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E4" w:rsidRDefault="005106E4" w:rsidP="005106E4">
      <w:pPr>
        <w:jc w:val="center"/>
        <w:rPr>
          <w:rFonts w:cs="Arial"/>
          <w:b/>
          <w:sz w:val="28"/>
          <w:szCs w:val="28"/>
          <w:lang w:val="es-ES_tradnl"/>
        </w:rPr>
      </w:pPr>
      <w:bookmarkStart w:id="0" w:name="_GoBack"/>
      <w:bookmarkEnd w:id="0"/>
      <w:r>
        <w:rPr>
          <w:rFonts w:cs="Arial"/>
          <w:b/>
          <w:sz w:val="28"/>
          <w:szCs w:val="28"/>
          <w:lang w:val="es-ES_tradnl"/>
        </w:rPr>
        <w:t>L</w:t>
      </w:r>
      <w:r w:rsidRPr="00AB2E52">
        <w:rPr>
          <w:rFonts w:cs="Arial"/>
          <w:b/>
          <w:sz w:val="28"/>
          <w:szCs w:val="28"/>
          <w:lang w:val="es-ES_tradnl"/>
        </w:rPr>
        <w:t>as tecnologías de la información</w:t>
      </w:r>
      <w:r>
        <w:rPr>
          <w:rFonts w:cs="Arial"/>
          <w:b/>
          <w:sz w:val="28"/>
          <w:szCs w:val="28"/>
          <w:lang w:val="es-ES_tradnl"/>
        </w:rPr>
        <w:t xml:space="preserve"> y la comunicación pueden acelerar las soluciones a</w:t>
      </w:r>
      <w:r w:rsidRPr="00AB2E52">
        <w:rPr>
          <w:rFonts w:cs="Arial"/>
          <w:b/>
          <w:sz w:val="28"/>
          <w:szCs w:val="28"/>
          <w:lang w:val="es-ES_tradnl"/>
        </w:rPr>
        <w:t xml:space="preserve">l calentamiento global y </w:t>
      </w:r>
      <w:r>
        <w:rPr>
          <w:rFonts w:cs="Arial"/>
          <w:b/>
          <w:sz w:val="28"/>
          <w:szCs w:val="28"/>
          <w:lang w:val="es-ES_tradnl"/>
        </w:rPr>
        <w:t xml:space="preserve">a los problemas </w:t>
      </w:r>
      <w:r w:rsidRPr="00AB2E52">
        <w:rPr>
          <w:rFonts w:cs="Arial"/>
          <w:b/>
          <w:sz w:val="28"/>
          <w:szCs w:val="28"/>
          <w:lang w:val="es-ES_tradnl"/>
        </w:rPr>
        <w:t>sociales</w:t>
      </w:r>
      <w:r w:rsidR="001D49AA">
        <w:rPr>
          <w:rFonts w:cs="Arial"/>
          <w:b/>
          <w:sz w:val="28"/>
          <w:szCs w:val="28"/>
          <w:lang w:val="es-ES_tradnl"/>
        </w:rPr>
        <w:t>,</w:t>
      </w:r>
      <w:r w:rsidRPr="00AB2E52">
        <w:rPr>
          <w:rFonts w:cs="Arial"/>
          <w:b/>
          <w:sz w:val="28"/>
          <w:szCs w:val="28"/>
          <w:lang w:val="es-ES_tradnl"/>
        </w:rPr>
        <w:t xml:space="preserve"> </w:t>
      </w:r>
      <w:r>
        <w:rPr>
          <w:rFonts w:cs="Arial"/>
          <w:b/>
          <w:sz w:val="28"/>
          <w:szCs w:val="28"/>
          <w:lang w:val="es-ES_tradnl"/>
        </w:rPr>
        <w:t xml:space="preserve">a la vez que favorecer el </w:t>
      </w:r>
      <w:r w:rsidRPr="00AB2E52">
        <w:rPr>
          <w:rFonts w:cs="Arial"/>
          <w:b/>
          <w:sz w:val="28"/>
          <w:szCs w:val="28"/>
          <w:lang w:val="es-ES_tradnl"/>
        </w:rPr>
        <w:t xml:space="preserve">crecimiento </w:t>
      </w:r>
      <w:r>
        <w:rPr>
          <w:rFonts w:cs="Arial"/>
          <w:b/>
          <w:sz w:val="28"/>
          <w:szCs w:val="28"/>
          <w:lang w:val="es-ES_tradnl"/>
        </w:rPr>
        <w:t>económico, apunta</w:t>
      </w:r>
      <w:r w:rsidRPr="00AB2E52">
        <w:rPr>
          <w:rFonts w:cs="Arial"/>
          <w:b/>
          <w:sz w:val="28"/>
          <w:szCs w:val="28"/>
          <w:lang w:val="es-ES_tradnl"/>
        </w:rPr>
        <w:t xml:space="preserve"> un estudio de </w:t>
      </w:r>
      <w:proofErr w:type="spellStart"/>
      <w:r w:rsidRPr="00AB2E52">
        <w:rPr>
          <w:rFonts w:cs="Arial"/>
          <w:b/>
          <w:sz w:val="28"/>
          <w:szCs w:val="28"/>
          <w:lang w:val="es-ES_tradnl"/>
        </w:rPr>
        <w:t>GeSI</w:t>
      </w:r>
      <w:proofErr w:type="spellEnd"/>
      <w:r w:rsidRPr="00AB2E52">
        <w:rPr>
          <w:rFonts w:cs="Arial"/>
          <w:b/>
          <w:sz w:val="28"/>
          <w:szCs w:val="28"/>
          <w:lang w:val="es-ES_tradnl"/>
        </w:rPr>
        <w:t xml:space="preserve"> y </w:t>
      </w:r>
      <w:proofErr w:type="spellStart"/>
      <w:r w:rsidRPr="00AB2E52">
        <w:rPr>
          <w:rFonts w:cs="Arial"/>
          <w:b/>
          <w:sz w:val="28"/>
          <w:szCs w:val="28"/>
          <w:lang w:val="es-ES_tradnl"/>
        </w:rPr>
        <w:t>Accenture</w:t>
      </w:r>
      <w:proofErr w:type="spellEnd"/>
      <w:r>
        <w:rPr>
          <w:rFonts w:cs="Arial"/>
          <w:b/>
          <w:sz w:val="28"/>
          <w:szCs w:val="28"/>
          <w:lang w:val="es-ES_tradnl"/>
        </w:rPr>
        <w:t xml:space="preserve">  </w:t>
      </w:r>
    </w:p>
    <w:p w:rsidR="005106E4" w:rsidRPr="00D75B51" w:rsidRDefault="005106E4" w:rsidP="005106E4">
      <w:pPr>
        <w:jc w:val="center"/>
        <w:rPr>
          <w:rFonts w:cs="Arial"/>
          <w:i/>
          <w:sz w:val="24"/>
          <w:szCs w:val="24"/>
          <w:lang w:val="es-ES_tradnl"/>
        </w:rPr>
      </w:pPr>
      <w:r w:rsidRPr="00D75B51">
        <w:rPr>
          <w:rFonts w:cs="Arial"/>
          <w:i/>
          <w:sz w:val="24"/>
          <w:szCs w:val="24"/>
          <w:lang w:val="es-ES_tradnl"/>
        </w:rPr>
        <w:t>SMARTer2030</w:t>
      </w:r>
      <w:r>
        <w:rPr>
          <w:rFonts w:cs="Arial"/>
          <w:i/>
          <w:sz w:val="24"/>
          <w:szCs w:val="24"/>
          <w:lang w:val="es-ES_tradnl"/>
        </w:rPr>
        <w:t xml:space="preserve"> muestra que existe potencial para </w:t>
      </w:r>
      <w:r w:rsidRPr="00D75B51">
        <w:rPr>
          <w:rFonts w:cs="Arial"/>
          <w:i/>
          <w:sz w:val="24"/>
          <w:szCs w:val="24"/>
          <w:lang w:val="es-ES_tradnl"/>
        </w:rPr>
        <w:t>reduc</w:t>
      </w:r>
      <w:r>
        <w:rPr>
          <w:rFonts w:cs="Arial"/>
          <w:i/>
          <w:sz w:val="24"/>
          <w:szCs w:val="24"/>
          <w:lang w:val="es-ES_tradnl"/>
        </w:rPr>
        <w:t>ir</w:t>
      </w:r>
      <w:r w:rsidRPr="00D75B51">
        <w:rPr>
          <w:rFonts w:cs="Arial"/>
          <w:i/>
          <w:sz w:val="24"/>
          <w:szCs w:val="24"/>
          <w:lang w:val="es-ES_tradnl"/>
        </w:rPr>
        <w:t xml:space="preserve"> el 20 por ciento de las emisiones mundiales del CO</w:t>
      </w:r>
      <w:r w:rsidRPr="00D75B51">
        <w:rPr>
          <w:rFonts w:cs="Arial"/>
          <w:i/>
          <w:sz w:val="24"/>
          <w:szCs w:val="24"/>
          <w:vertAlign w:val="subscript"/>
          <w:lang w:val="es-ES_tradnl"/>
        </w:rPr>
        <w:t xml:space="preserve">2e </w:t>
      </w:r>
      <w:r w:rsidRPr="00D75B51">
        <w:rPr>
          <w:rFonts w:cs="Arial"/>
          <w:i/>
          <w:sz w:val="24"/>
          <w:szCs w:val="24"/>
          <w:lang w:val="es-ES_tradnl"/>
        </w:rPr>
        <w:t xml:space="preserve">en 2030, </w:t>
      </w:r>
      <w:r w:rsidR="001D49AA">
        <w:rPr>
          <w:rFonts w:cs="Arial"/>
          <w:i/>
          <w:sz w:val="24"/>
          <w:szCs w:val="24"/>
          <w:lang w:val="es-ES_tradnl"/>
        </w:rPr>
        <w:t xml:space="preserve">para </w:t>
      </w:r>
      <w:r>
        <w:rPr>
          <w:rFonts w:cs="Arial"/>
          <w:i/>
          <w:sz w:val="24"/>
          <w:szCs w:val="24"/>
          <w:lang w:val="es-ES_tradnl"/>
        </w:rPr>
        <w:t xml:space="preserve">que 1.600 </w:t>
      </w:r>
      <w:r w:rsidRPr="00D75B51">
        <w:rPr>
          <w:rFonts w:cs="Arial"/>
          <w:i/>
          <w:sz w:val="24"/>
          <w:szCs w:val="24"/>
          <w:lang w:val="es-ES_tradnl"/>
        </w:rPr>
        <w:t xml:space="preserve">millones de personas </w:t>
      </w:r>
      <w:r>
        <w:rPr>
          <w:rFonts w:cs="Arial"/>
          <w:i/>
          <w:sz w:val="24"/>
          <w:szCs w:val="24"/>
          <w:lang w:val="es-ES_tradnl"/>
        </w:rPr>
        <w:t xml:space="preserve">más disfruten de </w:t>
      </w:r>
      <w:r w:rsidRPr="00D75B51">
        <w:rPr>
          <w:rFonts w:cs="Arial"/>
          <w:i/>
          <w:sz w:val="24"/>
          <w:szCs w:val="24"/>
          <w:lang w:val="es-ES_tradnl"/>
        </w:rPr>
        <w:t>atención sanitaria en línea</w:t>
      </w:r>
      <w:r>
        <w:rPr>
          <w:rFonts w:cs="Arial"/>
          <w:i/>
          <w:sz w:val="24"/>
          <w:szCs w:val="24"/>
          <w:lang w:val="es-ES_tradnl"/>
        </w:rPr>
        <w:t xml:space="preserve">, para generar unos 11 </w:t>
      </w:r>
      <w:r w:rsidRPr="00D75B51">
        <w:rPr>
          <w:rFonts w:cs="Arial"/>
          <w:i/>
          <w:sz w:val="24"/>
          <w:szCs w:val="24"/>
          <w:lang w:val="es-ES_tradnl"/>
        </w:rPr>
        <w:t xml:space="preserve">billones </w:t>
      </w:r>
      <w:r>
        <w:rPr>
          <w:rFonts w:cs="Arial"/>
          <w:i/>
          <w:sz w:val="24"/>
          <w:szCs w:val="24"/>
          <w:lang w:val="es-ES_tradnl"/>
        </w:rPr>
        <w:t xml:space="preserve">de </w:t>
      </w:r>
      <w:r w:rsidRPr="00D75B51">
        <w:rPr>
          <w:rFonts w:cs="Arial"/>
          <w:i/>
          <w:sz w:val="24"/>
          <w:szCs w:val="24"/>
          <w:lang w:val="es-ES_tradnl"/>
        </w:rPr>
        <w:t xml:space="preserve">dólares de nuevas ganancias </w:t>
      </w:r>
      <w:r w:rsidR="001D49AA">
        <w:rPr>
          <w:rFonts w:cs="Arial"/>
          <w:i/>
          <w:sz w:val="24"/>
          <w:szCs w:val="24"/>
          <w:lang w:val="es-ES_tradnl"/>
        </w:rPr>
        <w:t>así como para</w:t>
      </w:r>
      <w:r>
        <w:rPr>
          <w:rFonts w:cs="Arial"/>
          <w:i/>
          <w:sz w:val="24"/>
          <w:szCs w:val="24"/>
          <w:lang w:val="es-ES_tradnl"/>
        </w:rPr>
        <w:t xml:space="preserve"> </w:t>
      </w:r>
      <w:r w:rsidRPr="00D75B51">
        <w:rPr>
          <w:rFonts w:cs="Arial"/>
          <w:i/>
          <w:sz w:val="24"/>
          <w:szCs w:val="24"/>
          <w:lang w:val="es-ES_tradnl"/>
        </w:rPr>
        <w:t>ahorr</w:t>
      </w:r>
      <w:r>
        <w:rPr>
          <w:rFonts w:cs="Arial"/>
          <w:i/>
          <w:sz w:val="24"/>
          <w:szCs w:val="24"/>
          <w:lang w:val="es-ES_tradnl"/>
        </w:rPr>
        <w:t>ar</w:t>
      </w:r>
      <w:r w:rsidRPr="00D75B51">
        <w:rPr>
          <w:rFonts w:cs="Arial"/>
          <w:i/>
          <w:sz w:val="24"/>
          <w:szCs w:val="24"/>
          <w:lang w:val="es-ES_tradnl"/>
        </w:rPr>
        <w:t xml:space="preserve"> costos  </w:t>
      </w:r>
    </w:p>
    <w:p w:rsidR="005106E4" w:rsidRPr="00CE5337" w:rsidRDefault="005106E4" w:rsidP="005106E4">
      <w:pPr>
        <w:spacing w:before="100" w:beforeAutospacing="1" w:after="100" w:afterAutospacing="1"/>
        <w:jc w:val="both"/>
        <w:rPr>
          <w:rFonts w:cs="Arial"/>
          <w:sz w:val="24"/>
          <w:szCs w:val="24"/>
          <w:lang w:val="es-ES_tradnl"/>
        </w:rPr>
      </w:pPr>
      <w:r w:rsidRPr="00CE5337">
        <w:rPr>
          <w:rFonts w:cs="Arial"/>
          <w:b/>
          <w:sz w:val="24"/>
          <w:szCs w:val="24"/>
          <w:lang w:val="es-ES_tradnl"/>
        </w:rPr>
        <w:t>Bruselas:</w:t>
      </w:r>
      <w:r w:rsidRPr="00CE5337">
        <w:rPr>
          <w:rFonts w:cs="Arial"/>
          <w:sz w:val="24"/>
          <w:szCs w:val="24"/>
          <w:lang w:val="es-ES_tradnl"/>
        </w:rPr>
        <w:t xml:space="preserve"> 9 de junio </w:t>
      </w:r>
      <w:r>
        <w:rPr>
          <w:rFonts w:cs="Arial"/>
          <w:sz w:val="24"/>
          <w:szCs w:val="24"/>
          <w:lang w:val="es-ES_tradnl"/>
        </w:rPr>
        <w:t xml:space="preserve">de </w:t>
      </w:r>
      <w:r w:rsidRPr="00CE5337">
        <w:rPr>
          <w:rFonts w:cs="Arial"/>
          <w:sz w:val="24"/>
          <w:szCs w:val="24"/>
          <w:lang w:val="es-ES_tradnl"/>
        </w:rPr>
        <w:t xml:space="preserve">2015 – </w:t>
      </w:r>
      <w:r w:rsidRPr="007102A3">
        <w:rPr>
          <w:rFonts w:cs="Arial"/>
          <w:sz w:val="24"/>
          <w:szCs w:val="24"/>
          <w:lang w:val="es-ES_tradnl"/>
        </w:rPr>
        <w:t xml:space="preserve">Las tecnologías de </w:t>
      </w:r>
      <w:r>
        <w:rPr>
          <w:rFonts w:cs="Arial"/>
          <w:sz w:val="24"/>
          <w:szCs w:val="24"/>
          <w:lang w:val="es-ES_tradnl"/>
        </w:rPr>
        <w:t xml:space="preserve">la </w:t>
      </w:r>
      <w:r w:rsidRPr="007102A3">
        <w:rPr>
          <w:rFonts w:cs="Arial"/>
          <w:sz w:val="24"/>
          <w:szCs w:val="24"/>
          <w:lang w:val="es-ES_tradnl"/>
        </w:rPr>
        <w:t xml:space="preserve">información y </w:t>
      </w:r>
      <w:r>
        <w:rPr>
          <w:rFonts w:cs="Arial"/>
          <w:sz w:val="24"/>
          <w:szCs w:val="24"/>
          <w:lang w:val="es-ES_tradnl"/>
        </w:rPr>
        <w:t xml:space="preserve">la </w:t>
      </w:r>
      <w:r w:rsidRPr="007102A3">
        <w:rPr>
          <w:rFonts w:cs="Arial"/>
          <w:sz w:val="24"/>
          <w:szCs w:val="24"/>
          <w:lang w:val="es-ES_tradnl"/>
        </w:rPr>
        <w:t>comunicación (TIC) podr</w:t>
      </w:r>
      <w:r>
        <w:rPr>
          <w:rFonts w:cs="Arial"/>
          <w:sz w:val="24"/>
          <w:szCs w:val="24"/>
          <w:lang w:val="es-ES_tradnl"/>
        </w:rPr>
        <w:t>ía</w:t>
      </w:r>
      <w:r w:rsidRPr="007102A3">
        <w:rPr>
          <w:rFonts w:cs="Arial"/>
          <w:sz w:val="24"/>
          <w:szCs w:val="24"/>
          <w:lang w:val="es-ES_tradnl"/>
        </w:rPr>
        <w:t xml:space="preserve">n </w:t>
      </w:r>
      <w:r>
        <w:rPr>
          <w:rFonts w:cs="Arial"/>
          <w:sz w:val="24"/>
          <w:szCs w:val="24"/>
          <w:lang w:val="es-ES_tradnl"/>
        </w:rPr>
        <w:t xml:space="preserve">llevar amplios niveles de prosperidad sostenible a todos los rincones del mundo dentro de los próximos 15 años, según un estudio publicado esta semana por la </w:t>
      </w:r>
      <w:r w:rsidRPr="00772C54">
        <w:rPr>
          <w:rFonts w:cs="Arial"/>
          <w:sz w:val="24"/>
          <w:szCs w:val="24"/>
          <w:lang w:val="es-ES_tradnl"/>
        </w:rPr>
        <w:t>Global e-</w:t>
      </w:r>
      <w:proofErr w:type="spellStart"/>
      <w:r w:rsidRPr="00772C54">
        <w:rPr>
          <w:rFonts w:cs="Arial"/>
          <w:sz w:val="24"/>
          <w:szCs w:val="24"/>
          <w:lang w:val="es-ES_tradnl"/>
        </w:rPr>
        <w:t>Sustainability</w:t>
      </w:r>
      <w:proofErr w:type="spellEnd"/>
      <w:r w:rsidRPr="00772C54">
        <w:rPr>
          <w:rFonts w:cs="Arial"/>
          <w:sz w:val="24"/>
          <w:szCs w:val="24"/>
          <w:lang w:val="es-ES_tradnl"/>
        </w:rPr>
        <w:t xml:space="preserve"> </w:t>
      </w:r>
      <w:proofErr w:type="spellStart"/>
      <w:r w:rsidRPr="00772C54">
        <w:rPr>
          <w:rFonts w:cs="Arial"/>
          <w:sz w:val="24"/>
          <w:szCs w:val="24"/>
          <w:lang w:val="es-ES_tradnl"/>
        </w:rPr>
        <w:t>Initiative</w:t>
      </w:r>
      <w:proofErr w:type="spellEnd"/>
      <w:r>
        <w:rPr>
          <w:rFonts w:cs="Arial"/>
          <w:sz w:val="24"/>
          <w:szCs w:val="24"/>
          <w:lang w:val="es-ES_tradnl"/>
        </w:rPr>
        <w:t xml:space="preserve"> </w:t>
      </w:r>
      <w:r w:rsidRPr="00772C54">
        <w:rPr>
          <w:rFonts w:cs="Arial"/>
          <w:sz w:val="24"/>
          <w:szCs w:val="24"/>
          <w:lang w:val="es-ES_tradnl"/>
        </w:rPr>
        <w:t>(</w:t>
      </w:r>
      <w:proofErr w:type="spellStart"/>
      <w:r w:rsidRPr="00772C54">
        <w:rPr>
          <w:rFonts w:cs="Arial"/>
          <w:sz w:val="24"/>
          <w:szCs w:val="24"/>
          <w:lang w:val="es-ES_tradnl"/>
        </w:rPr>
        <w:t>GeSI</w:t>
      </w:r>
      <w:proofErr w:type="spellEnd"/>
      <w:r w:rsidRPr="00772C54">
        <w:rPr>
          <w:rFonts w:cs="Arial"/>
          <w:sz w:val="24"/>
          <w:szCs w:val="24"/>
          <w:lang w:val="es-ES_tradnl"/>
        </w:rPr>
        <w:t xml:space="preserve">) y </w:t>
      </w:r>
      <w:proofErr w:type="spellStart"/>
      <w:r w:rsidRPr="00772C54">
        <w:rPr>
          <w:rFonts w:cs="Arial"/>
          <w:sz w:val="24"/>
          <w:szCs w:val="24"/>
          <w:lang w:val="es-ES_tradnl"/>
        </w:rPr>
        <w:t>Accenture</w:t>
      </w:r>
      <w:proofErr w:type="spellEnd"/>
      <w:r w:rsidRPr="00772C54">
        <w:rPr>
          <w:rFonts w:cs="Arial"/>
          <w:sz w:val="24"/>
          <w:szCs w:val="24"/>
          <w:lang w:val="es-ES_tradnl"/>
        </w:rPr>
        <w:t xml:space="preserve"> (NYSE: ACN). </w:t>
      </w:r>
    </w:p>
    <w:p w:rsidR="005106E4" w:rsidRDefault="005106E4" w:rsidP="005106E4">
      <w:pPr>
        <w:spacing w:before="100" w:beforeAutospacing="1" w:after="100" w:afterAutospacing="1"/>
        <w:jc w:val="both"/>
        <w:rPr>
          <w:rFonts w:cs="Arial"/>
          <w:sz w:val="24"/>
          <w:szCs w:val="24"/>
          <w:lang w:val="es-ES_tradnl"/>
        </w:rPr>
      </w:pPr>
      <w:r w:rsidRPr="007102A3">
        <w:rPr>
          <w:rFonts w:cs="Arial"/>
          <w:sz w:val="24"/>
          <w:szCs w:val="24"/>
          <w:lang w:val="es-ES_tradnl"/>
        </w:rPr>
        <w:t xml:space="preserve">El informe </w:t>
      </w:r>
      <w:hyperlink r:id="rId9" w:history="1">
        <w:r w:rsidRPr="007102A3">
          <w:rPr>
            <w:rStyle w:val="Hyperlink"/>
            <w:rFonts w:cs="Arial"/>
            <w:i/>
            <w:sz w:val="24"/>
            <w:szCs w:val="24"/>
            <w:lang w:val="es-ES_tradnl"/>
          </w:rPr>
          <w:t>SMARTer2030</w:t>
        </w:r>
      </w:hyperlink>
      <w:r w:rsidRPr="007102A3">
        <w:rPr>
          <w:rStyle w:val="Hyperlink"/>
          <w:rFonts w:cs="Arial"/>
          <w:sz w:val="24"/>
          <w:szCs w:val="24"/>
          <w:lang w:val="es-ES_tradnl"/>
        </w:rPr>
        <w:t xml:space="preserve"> </w:t>
      </w:r>
      <w:r>
        <w:rPr>
          <w:rFonts w:cs="Arial"/>
          <w:sz w:val="24"/>
          <w:szCs w:val="24"/>
          <w:lang w:val="es-ES_tradnl"/>
        </w:rPr>
        <w:t>muestra que cu</w:t>
      </w:r>
      <w:r w:rsidR="001D49AA">
        <w:rPr>
          <w:rFonts w:cs="Arial"/>
          <w:sz w:val="24"/>
          <w:szCs w:val="24"/>
          <w:lang w:val="es-ES_tradnl"/>
        </w:rPr>
        <w:t>a</w:t>
      </w:r>
      <w:r>
        <w:rPr>
          <w:rFonts w:cs="Arial"/>
          <w:sz w:val="24"/>
          <w:szCs w:val="24"/>
          <w:lang w:val="es-ES_tradnl"/>
        </w:rPr>
        <w:t xml:space="preserve">nto más rápidos, baratos y disponibles mundialmente </w:t>
      </w:r>
      <w:r w:rsidR="001D49AA">
        <w:rPr>
          <w:rFonts w:cs="Arial"/>
          <w:sz w:val="24"/>
          <w:szCs w:val="24"/>
          <w:lang w:val="es-ES_tradnl"/>
        </w:rPr>
        <w:t>son</w:t>
      </w:r>
      <w:r>
        <w:rPr>
          <w:rFonts w:cs="Arial"/>
          <w:sz w:val="24"/>
          <w:szCs w:val="24"/>
          <w:lang w:val="es-ES_tradnl"/>
        </w:rPr>
        <w:t xml:space="preserve"> los </w:t>
      </w:r>
      <w:proofErr w:type="spellStart"/>
      <w:r>
        <w:rPr>
          <w:rFonts w:cs="Arial"/>
          <w:sz w:val="24"/>
          <w:szCs w:val="24"/>
          <w:lang w:val="es-ES_tradnl"/>
        </w:rPr>
        <w:t>smartphones</w:t>
      </w:r>
      <w:proofErr w:type="spellEnd"/>
      <w:r>
        <w:rPr>
          <w:rFonts w:cs="Arial"/>
          <w:sz w:val="24"/>
          <w:szCs w:val="24"/>
          <w:lang w:val="es-ES_tradnl"/>
        </w:rPr>
        <w:t>, sensores en red, redes eléctricas inteligentes y otros dispositivos</w:t>
      </w:r>
      <w:r w:rsidR="001D49AA">
        <w:rPr>
          <w:rFonts w:cs="Arial"/>
          <w:sz w:val="24"/>
          <w:szCs w:val="24"/>
          <w:lang w:val="es-ES_tradnl"/>
        </w:rPr>
        <w:t>;</w:t>
      </w:r>
      <w:r>
        <w:rPr>
          <w:rFonts w:cs="Arial"/>
          <w:sz w:val="24"/>
          <w:szCs w:val="24"/>
          <w:lang w:val="es-ES_tradnl"/>
        </w:rPr>
        <w:t xml:space="preserve"> </w:t>
      </w:r>
      <w:r w:rsidR="001D49AA">
        <w:rPr>
          <w:rFonts w:cs="Arial"/>
          <w:sz w:val="24"/>
          <w:szCs w:val="24"/>
          <w:lang w:val="es-ES_tradnl"/>
        </w:rPr>
        <w:t xml:space="preserve">más </w:t>
      </w:r>
      <w:r>
        <w:rPr>
          <w:rFonts w:cs="Arial"/>
          <w:sz w:val="24"/>
          <w:szCs w:val="24"/>
          <w:lang w:val="es-ES_tradnl"/>
        </w:rPr>
        <w:t xml:space="preserve">aumenta su potencial para </w:t>
      </w:r>
      <w:r w:rsidR="001D49AA">
        <w:rPr>
          <w:rFonts w:cs="Arial"/>
          <w:sz w:val="24"/>
          <w:szCs w:val="24"/>
          <w:lang w:val="es-ES_tradnl"/>
        </w:rPr>
        <w:t>generar</w:t>
      </w:r>
      <w:r>
        <w:rPr>
          <w:rFonts w:cs="Arial"/>
          <w:sz w:val="24"/>
          <w:szCs w:val="24"/>
          <w:lang w:val="es-ES_tradnl"/>
        </w:rPr>
        <w:t xml:space="preserve"> profundos beneficios medioambientales, económicos y sociales. Este potencial incluye la reducción del 20 por ciento de las emisiones de carbono a nivel mundial para 2030, más de 11 billones de dólares en nuevos beneficios económicos, la capacidad de extender la atención sanitaria online a 1.600 millones de personas del mundo entero y un incremento estimado del 30 por ciento en rendimientos agrícolas.  </w:t>
      </w:r>
    </w:p>
    <w:p w:rsidR="005106E4" w:rsidRDefault="005106E4" w:rsidP="005106E4">
      <w:pPr>
        <w:spacing w:before="100" w:beforeAutospacing="1" w:after="100" w:afterAutospacing="1"/>
        <w:jc w:val="both"/>
        <w:rPr>
          <w:rFonts w:cs="Arial"/>
          <w:sz w:val="24"/>
          <w:szCs w:val="24"/>
          <w:lang w:val="es-ES_tradnl"/>
        </w:rPr>
      </w:pPr>
      <w:r w:rsidRPr="007102A3">
        <w:rPr>
          <w:rFonts w:cs="Arial"/>
          <w:sz w:val="24"/>
          <w:szCs w:val="24"/>
          <w:lang w:val="es-ES_tradnl"/>
        </w:rPr>
        <w:t xml:space="preserve"> “Nuestras conclusio</w:t>
      </w:r>
      <w:r>
        <w:rPr>
          <w:rFonts w:cs="Arial"/>
          <w:sz w:val="24"/>
          <w:szCs w:val="24"/>
          <w:lang w:val="es-ES_tradnl"/>
        </w:rPr>
        <w:t xml:space="preserve">nes muestran que las TIC tienen la capacidad de hacer que el mundo </w:t>
      </w:r>
      <w:r w:rsidRPr="007102A3">
        <w:rPr>
          <w:rFonts w:cs="Arial"/>
          <w:sz w:val="24"/>
          <w:szCs w:val="24"/>
          <w:lang w:val="es-ES_tradnl"/>
        </w:rPr>
        <w:t xml:space="preserve">en 2030 </w:t>
      </w:r>
      <w:r>
        <w:rPr>
          <w:rFonts w:cs="Arial"/>
          <w:sz w:val="24"/>
          <w:szCs w:val="24"/>
          <w:lang w:val="es-ES_tradnl"/>
        </w:rPr>
        <w:t>sea más limpio, sano y próspero con mayores oportunidades para todas las personas</w:t>
      </w:r>
      <w:r w:rsidRPr="007102A3">
        <w:rPr>
          <w:rFonts w:cs="Arial"/>
          <w:sz w:val="24"/>
          <w:szCs w:val="24"/>
          <w:lang w:val="es-ES_tradnl"/>
        </w:rPr>
        <w:t>“</w:t>
      </w:r>
      <w:r>
        <w:rPr>
          <w:rFonts w:cs="Arial"/>
          <w:sz w:val="24"/>
          <w:szCs w:val="24"/>
          <w:lang w:val="es-ES_tradnl"/>
        </w:rPr>
        <w:t xml:space="preserve">, dijo Luis </w:t>
      </w:r>
      <w:proofErr w:type="spellStart"/>
      <w:r>
        <w:rPr>
          <w:rFonts w:cs="Arial"/>
          <w:sz w:val="24"/>
          <w:szCs w:val="24"/>
          <w:lang w:val="es-ES_tradnl"/>
        </w:rPr>
        <w:t>Neves</w:t>
      </w:r>
      <w:proofErr w:type="spellEnd"/>
      <w:r>
        <w:rPr>
          <w:rFonts w:cs="Arial"/>
          <w:sz w:val="24"/>
          <w:szCs w:val="24"/>
          <w:lang w:val="es-ES_tradnl"/>
        </w:rPr>
        <w:t xml:space="preserve">, presidente de </w:t>
      </w:r>
      <w:proofErr w:type="spellStart"/>
      <w:r>
        <w:rPr>
          <w:rFonts w:cs="Arial"/>
          <w:sz w:val="24"/>
          <w:szCs w:val="24"/>
          <w:lang w:val="es-ES_tradnl"/>
        </w:rPr>
        <w:t>GeSI</w:t>
      </w:r>
      <w:proofErr w:type="spellEnd"/>
      <w:r>
        <w:rPr>
          <w:rFonts w:cs="Arial"/>
          <w:sz w:val="24"/>
          <w:szCs w:val="24"/>
          <w:lang w:val="es-ES_tradnl"/>
        </w:rPr>
        <w:t xml:space="preserve">. </w:t>
      </w:r>
    </w:p>
    <w:p w:rsidR="005106E4" w:rsidRPr="00E31312" w:rsidRDefault="005106E4" w:rsidP="005106E4">
      <w:pPr>
        <w:spacing w:before="100" w:beforeAutospacing="1" w:after="100" w:afterAutospacing="1"/>
        <w:rPr>
          <w:rFonts w:cs="Arial"/>
          <w:sz w:val="24"/>
          <w:szCs w:val="24"/>
          <w:lang w:val="es-ES_tradnl"/>
        </w:rPr>
      </w:pPr>
      <w:r>
        <w:rPr>
          <w:rFonts w:cs="Arial"/>
          <w:sz w:val="24"/>
          <w:szCs w:val="24"/>
          <w:lang w:val="es-ES_tradnl"/>
        </w:rPr>
        <w:t xml:space="preserve">Estas son algunas de las </w:t>
      </w:r>
      <w:r w:rsidRPr="00E31312">
        <w:rPr>
          <w:rFonts w:cs="Arial"/>
          <w:sz w:val="24"/>
          <w:szCs w:val="24"/>
          <w:lang w:val="es-ES_tradnl"/>
        </w:rPr>
        <w:t xml:space="preserve">principales conclusiones del estudio: </w:t>
      </w:r>
    </w:p>
    <w:p w:rsidR="005106E4" w:rsidRPr="00D75B51" w:rsidRDefault="005106E4" w:rsidP="005106E4">
      <w:pPr>
        <w:pStyle w:val="ListParagraph"/>
        <w:numPr>
          <w:ilvl w:val="0"/>
          <w:numId w:val="2"/>
        </w:numPr>
        <w:spacing w:before="100" w:beforeAutospacing="1" w:after="100" w:afterAutospacing="1"/>
        <w:ind w:left="360"/>
        <w:jc w:val="both"/>
        <w:rPr>
          <w:rFonts w:cs="Arial"/>
          <w:sz w:val="24"/>
          <w:szCs w:val="24"/>
          <w:lang w:val="es-ES_tradnl"/>
        </w:rPr>
      </w:pPr>
      <w:r w:rsidRPr="002F7256">
        <w:rPr>
          <w:b/>
          <w:sz w:val="24"/>
          <w:szCs w:val="24"/>
          <w:lang w:val="es-ES_tradnl"/>
        </w:rPr>
        <w:t>Las TIC pueden permitir una reducción del 20 por ciento de las emisiones de CO</w:t>
      </w:r>
      <w:r w:rsidRPr="002F7256">
        <w:rPr>
          <w:b/>
          <w:sz w:val="24"/>
          <w:szCs w:val="24"/>
          <w:vertAlign w:val="subscript"/>
          <w:lang w:val="es-ES_tradnl"/>
        </w:rPr>
        <w:t xml:space="preserve">2e </w:t>
      </w:r>
      <w:r w:rsidRPr="002F7256">
        <w:rPr>
          <w:b/>
          <w:sz w:val="24"/>
          <w:szCs w:val="24"/>
          <w:lang w:val="es-ES_tradnl"/>
        </w:rPr>
        <w:t xml:space="preserve"> en 2030, </w:t>
      </w:r>
      <w:r>
        <w:rPr>
          <w:b/>
          <w:sz w:val="24"/>
          <w:szCs w:val="24"/>
          <w:lang w:val="es-ES_tradnl"/>
        </w:rPr>
        <w:t xml:space="preserve">manteniéndolas en los </w:t>
      </w:r>
      <w:r w:rsidRPr="002F7256">
        <w:rPr>
          <w:b/>
          <w:sz w:val="24"/>
          <w:szCs w:val="24"/>
          <w:lang w:val="es-ES_tradnl"/>
        </w:rPr>
        <w:t>niveles del 2015.</w:t>
      </w:r>
      <w:r w:rsidRPr="002F7256">
        <w:rPr>
          <w:rFonts w:cs="Arial"/>
          <w:sz w:val="24"/>
          <w:szCs w:val="24"/>
          <w:lang w:val="es-ES_tradnl"/>
        </w:rPr>
        <w:t xml:space="preserve"> Además de las ventajas medioambientales, este cambio </w:t>
      </w:r>
      <w:r>
        <w:rPr>
          <w:rFonts w:cs="Arial"/>
          <w:sz w:val="24"/>
          <w:szCs w:val="24"/>
          <w:lang w:val="es-ES_tradnl"/>
        </w:rPr>
        <w:t>drástico</w:t>
      </w:r>
      <w:r w:rsidRPr="002F7256">
        <w:rPr>
          <w:rFonts w:cs="Arial"/>
          <w:sz w:val="24"/>
          <w:szCs w:val="24"/>
          <w:lang w:val="es-ES_tradnl"/>
        </w:rPr>
        <w:t xml:space="preserve"> también </w:t>
      </w:r>
      <w:r>
        <w:rPr>
          <w:rFonts w:cs="Arial"/>
          <w:sz w:val="24"/>
          <w:szCs w:val="24"/>
          <w:lang w:val="es-ES_tradnl"/>
        </w:rPr>
        <w:t xml:space="preserve">implicaría </w:t>
      </w:r>
      <w:r w:rsidRPr="002F7256">
        <w:rPr>
          <w:rFonts w:cs="Arial"/>
          <w:sz w:val="24"/>
          <w:szCs w:val="24"/>
          <w:lang w:val="es-ES_tradnl"/>
        </w:rPr>
        <w:t xml:space="preserve">que </w:t>
      </w:r>
      <w:r>
        <w:rPr>
          <w:rFonts w:cs="Arial"/>
          <w:sz w:val="24"/>
          <w:szCs w:val="24"/>
          <w:lang w:val="es-ES_tradnl"/>
        </w:rPr>
        <w:t xml:space="preserve">los líderes políticos o empresariales </w:t>
      </w:r>
      <w:r w:rsidRPr="002F7256">
        <w:rPr>
          <w:rFonts w:cs="Arial"/>
          <w:sz w:val="24"/>
          <w:szCs w:val="24"/>
          <w:lang w:val="es-ES_tradnl"/>
        </w:rPr>
        <w:t xml:space="preserve">ya no se vean forzados </w:t>
      </w:r>
      <w:r>
        <w:rPr>
          <w:rFonts w:cs="Arial"/>
          <w:sz w:val="24"/>
          <w:szCs w:val="24"/>
          <w:lang w:val="es-ES_tradnl"/>
        </w:rPr>
        <w:t>a</w:t>
      </w:r>
      <w:r w:rsidRPr="002F7256">
        <w:rPr>
          <w:rFonts w:cs="Arial"/>
          <w:sz w:val="24"/>
          <w:szCs w:val="24"/>
          <w:lang w:val="es-ES_tradnl"/>
        </w:rPr>
        <w:t xml:space="preserve"> hacer </w:t>
      </w:r>
      <w:r>
        <w:rPr>
          <w:rFonts w:cs="Arial"/>
          <w:sz w:val="24"/>
          <w:szCs w:val="24"/>
          <w:lang w:val="es-ES_tradnl"/>
        </w:rPr>
        <w:t xml:space="preserve">elecciones entre </w:t>
      </w:r>
      <w:r w:rsidRPr="002F7256">
        <w:rPr>
          <w:rFonts w:cs="Arial"/>
          <w:sz w:val="24"/>
          <w:szCs w:val="24"/>
          <w:lang w:val="es-ES_tradnl"/>
        </w:rPr>
        <w:t xml:space="preserve">la prosperidad económica y la protección medioambiental. </w:t>
      </w:r>
    </w:p>
    <w:p w:rsidR="005106E4" w:rsidRPr="00D75B51" w:rsidRDefault="005106E4" w:rsidP="005106E4">
      <w:pPr>
        <w:pStyle w:val="ListParagraph"/>
        <w:spacing w:before="100" w:beforeAutospacing="1" w:after="100" w:afterAutospacing="1"/>
        <w:ind w:left="360"/>
        <w:jc w:val="both"/>
        <w:rPr>
          <w:rFonts w:cs="Arial"/>
          <w:sz w:val="24"/>
          <w:szCs w:val="24"/>
          <w:lang w:val="es-ES_tradnl"/>
        </w:rPr>
      </w:pPr>
    </w:p>
    <w:p w:rsidR="005106E4" w:rsidRPr="0027371D" w:rsidRDefault="005106E4" w:rsidP="005106E4">
      <w:pPr>
        <w:pStyle w:val="ListParagraph"/>
        <w:numPr>
          <w:ilvl w:val="0"/>
          <w:numId w:val="2"/>
        </w:numPr>
        <w:spacing w:before="100" w:beforeAutospacing="1" w:after="100" w:afterAutospacing="1"/>
        <w:ind w:left="360"/>
        <w:jc w:val="both"/>
        <w:rPr>
          <w:rFonts w:cs="Arial"/>
          <w:sz w:val="24"/>
          <w:szCs w:val="24"/>
          <w:lang w:val="es-ES_tradnl"/>
        </w:rPr>
      </w:pPr>
      <w:r>
        <w:rPr>
          <w:b/>
          <w:sz w:val="24"/>
          <w:szCs w:val="24"/>
          <w:lang w:val="es-ES_tradnl"/>
        </w:rPr>
        <w:t xml:space="preserve">El porcentaje de las emisiones globales procedente de </w:t>
      </w:r>
      <w:r w:rsidRPr="00000303">
        <w:rPr>
          <w:b/>
          <w:sz w:val="24"/>
          <w:szCs w:val="24"/>
          <w:lang w:val="es-ES_tradnl"/>
        </w:rPr>
        <w:t xml:space="preserve">las TIC </w:t>
      </w:r>
      <w:r>
        <w:rPr>
          <w:b/>
          <w:sz w:val="24"/>
          <w:szCs w:val="24"/>
          <w:lang w:val="es-ES_tradnl"/>
        </w:rPr>
        <w:t xml:space="preserve">disminuirá con el tiempo. </w:t>
      </w:r>
      <w:r w:rsidRPr="00351DCA">
        <w:rPr>
          <w:sz w:val="24"/>
          <w:szCs w:val="24"/>
          <w:lang w:val="es-ES_tradnl"/>
        </w:rPr>
        <w:t xml:space="preserve">El informe </w:t>
      </w:r>
      <w:r w:rsidRPr="00351DCA">
        <w:rPr>
          <w:i/>
          <w:sz w:val="24"/>
          <w:szCs w:val="24"/>
          <w:lang w:val="es-ES_tradnl"/>
        </w:rPr>
        <w:t>SMARTer2030</w:t>
      </w:r>
      <w:r w:rsidRPr="00351DCA">
        <w:rPr>
          <w:sz w:val="24"/>
          <w:szCs w:val="24"/>
          <w:lang w:val="es-ES_tradnl"/>
        </w:rPr>
        <w:t xml:space="preserve"> muestr</w:t>
      </w:r>
      <w:r>
        <w:rPr>
          <w:sz w:val="24"/>
          <w:szCs w:val="24"/>
          <w:lang w:val="es-ES_tradnl"/>
        </w:rPr>
        <w:t xml:space="preserve">a que se espera disminuir la “huella” </w:t>
      </w:r>
      <w:r w:rsidRPr="00351DCA">
        <w:rPr>
          <w:sz w:val="24"/>
          <w:szCs w:val="24"/>
          <w:lang w:val="es-ES_tradnl"/>
        </w:rPr>
        <w:t xml:space="preserve">de las emisiones de las TIC </w:t>
      </w:r>
      <w:r>
        <w:rPr>
          <w:sz w:val="24"/>
          <w:szCs w:val="24"/>
          <w:lang w:val="es-ES_tradnl"/>
        </w:rPr>
        <w:t xml:space="preserve">al </w:t>
      </w:r>
      <w:r w:rsidRPr="00351DCA">
        <w:rPr>
          <w:sz w:val="24"/>
          <w:szCs w:val="24"/>
          <w:lang w:val="es-ES_tradnl"/>
        </w:rPr>
        <w:t>1</w:t>
      </w:r>
      <w:r>
        <w:rPr>
          <w:sz w:val="24"/>
          <w:szCs w:val="24"/>
          <w:lang w:val="es-ES_tradnl"/>
        </w:rPr>
        <w:t>,</w:t>
      </w:r>
      <w:r w:rsidRPr="00351DCA">
        <w:rPr>
          <w:sz w:val="24"/>
          <w:szCs w:val="24"/>
          <w:lang w:val="es-ES_tradnl"/>
        </w:rPr>
        <w:t xml:space="preserve">97 </w:t>
      </w:r>
      <w:r>
        <w:rPr>
          <w:sz w:val="24"/>
          <w:szCs w:val="24"/>
          <w:lang w:val="es-ES_tradnl"/>
        </w:rPr>
        <w:t xml:space="preserve">por ciento de las emisiones globales para el 2030, comparado con el 2,3 por ciento previsto en el 2020. </w:t>
      </w:r>
      <w:r w:rsidRPr="00351DCA">
        <w:rPr>
          <w:sz w:val="24"/>
          <w:szCs w:val="24"/>
          <w:lang w:val="es-ES_tradnl"/>
        </w:rPr>
        <w:t xml:space="preserve"> </w:t>
      </w:r>
    </w:p>
    <w:p w:rsidR="005106E4" w:rsidRPr="007B1332" w:rsidRDefault="005106E4" w:rsidP="005106E4">
      <w:pPr>
        <w:pStyle w:val="ListParagraph"/>
        <w:spacing w:before="100" w:beforeAutospacing="1" w:after="100" w:afterAutospacing="1"/>
        <w:ind w:left="360"/>
        <w:jc w:val="both"/>
        <w:rPr>
          <w:rFonts w:cs="Arial"/>
          <w:sz w:val="24"/>
          <w:szCs w:val="24"/>
          <w:lang w:val="es-ES_tradnl"/>
        </w:rPr>
      </w:pPr>
      <w:r w:rsidRPr="00351DCA">
        <w:rPr>
          <w:sz w:val="24"/>
          <w:szCs w:val="24"/>
          <w:lang w:val="es-ES_tradnl"/>
        </w:rPr>
        <w:t xml:space="preserve"> </w:t>
      </w:r>
    </w:p>
    <w:p w:rsidR="005106E4" w:rsidRPr="0027371D" w:rsidRDefault="005106E4" w:rsidP="005106E4">
      <w:pPr>
        <w:pStyle w:val="ListParagraph"/>
        <w:numPr>
          <w:ilvl w:val="0"/>
          <w:numId w:val="2"/>
        </w:numPr>
        <w:spacing w:before="100" w:beforeAutospacing="1" w:after="100" w:afterAutospacing="1"/>
        <w:ind w:left="360"/>
        <w:jc w:val="both"/>
        <w:rPr>
          <w:rFonts w:cs="Arial"/>
          <w:sz w:val="24"/>
          <w:lang w:val="es-ES_tradnl"/>
        </w:rPr>
      </w:pPr>
      <w:r w:rsidRPr="0034782B">
        <w:rPr>
          <w:rFonts w:cs="Arial"/>
          <w:b/>
          <w:sz w:val="24"/>
          <w:szCs w:val="24"/>
          <w:lang w:val="es-ES_tradnl"/>
        </w:rPr>
        <w:t xml:space="preserve">Las </w:t>
      </w:r>
      <w:r>
        <w:rPr>
          <w:rFonts w:cs="Arial"/>
          <w:b/>
          <w:sz w:val="24"/>
          <w:szCs w:val="24"/>
          <w:lang w:val="es-ES_tradnl"/>
        </w:rPr>
        <w:t>TIC ofrecen beneficios</w:t>
      </w:r>
      <w:r w:rsidRPr="0034782B">
        <w:rPr>
          <w:rFonts w:cs="Arial"/>
          <w:b/>
          <w:sz w:val="24"/>
          <w:szCs w:val="24"/>
          <w:lang w:val="es-ES_tradnl"/>
        </w:rPr>
        <w:t xml:space="preserve"> medioambientales </w:t>
      </w:r>
      <w:r>
        <w:rPr>
          <w:rFonts w:cs="Arial"/>
          <w:b/>
          <w:sz w:val="24"/>
          <w:szCs w:val="24"/>
          <w:lang w:val="es-ES_tradnl"/>
        </w:rPr>
        <w:t xml:space="preserve">importantes </w:t>
      </w:r>
      <w:r w:rsidRPr="0034782B">
        <w:rPr>
          <w:rFonts w:cs="Arial"/>
          <w:b/>
          <w:sz w:val="24"/>
          <w:szCs w:val="24"/>
          <w:lang w:val="es-ES_tradnl"/>
        </w:rPr>
        <w:t>además de reducir las emisiones de carbon</w:t>
      </w:r>
      <w:r>
        <w:rPr>
          <w:rFonts w:cs="Arial"/>
          <w:b/>
          <w:sz w:val="24"/>
          <w:szCs w:val="24"/>
          <w:lang w:val="es-ES_tradnl"/>
        </w:rPr>
        <w:t>o</w:t>
      </w:r>
      <w:r w:rsidRPr="0034782B">
        <w:rPr>
          <w:rFonts w:cs="Arial"/>
          <w:b/>
          <w:sz w:val="24"/>
          <w:szCs w:val="24"/>
          <w:lang w:val="es-ES_tradnl"/>
        </w:rPr>
        <w:t xml:space="preserve">. </w:t>
      </w:r>
      <w:r>
        <w:rPr>
          <w:rFonts w:cs="Arial"/>
          <w:sz w:val="24"/>
          <w:szCs w:val="24"/>
          <w:lang w:val="es-ES_tradnl"/>
        </w:rPr>
        <w:t xml:space="preserve">Los beneficios más importantes identificados según el estudio son: </w:t>
      </w:r>
      <w:r>
        <w:rPr>
          <w:rFonts w:cs="Arial"/>
          <w:sz w:val="24"/>
          <w:szCs w:val="24"/>
          <w:lang w:val="es-ES_tradnl"/>
        </w:rPr>
        <w:lastRenderedPageBreak/>
        <w:t xml:space="preserve">el incremento de un 30 por ciento de los rendimientos agrícolas, el ahorro de 25 mil millones de barriles de petróleo </w:t>
      </w:r>
      <w:r w:rsidR="00AB50C7">
        <w:rPr>
          <w:rFonts w:cs="Arial"/>
          <w:sz w:val="24"/>
          <w:szCs w:val="24"/>
          <w:lang w:val="es-ES_tradnl"/>
        </w:rPr>
        <w:t xml:space="preserve">al </w:t>
      </w:r>
      <w:r>
        <w:rPr>
          <w:rFonts w:cs="Arial"/>
          <w:sz w:val="24"/>
          <w:szCs w:val="24"/>
          <w:lang w:val="es-ES_tradnl"/>
        </w:rPr>
        <w:t xml:space="preserve">año y el ahorro de 300 billones </w:t>
      </w:r>
      <w:r w:rsidR="00AB50C7">
        <w:rPr>
          <w:rFonts w:cs="Arial"/>
          <w:sz w:val="24"/>
          <w:szCs w:val="24"/>
          <w:lang w:val="es-ES_tradnl"/>
        </w:rPr>
        <w:t xml:space="preserve"> de litros de agua al </w:t>
      </w:r>
      <w:r>
        <w:rPr>
          <w:rFonts w:cs="Arial"/>
          <w:sz w:val="24"/>
          <w:szCs w:val="24"/>
          <w:lang w:val="es-ES_tradnl"/>
        </w:rPr>
        <w:t xml:space="preserve">año. </w:t>
      </w:r>
    </w:p>
    <w:p w:rsidR="005106E4" w:rsidRDefault="005106E4" w:rsidP="005106E4">
      <w:pPr>
        <w:pStyle w:val="ListParagraph"/>
        <w:rPr>
          <w:rFonts w:cs="Arial"/>
          <w:sz w:val="24"/>
          <w:lang w:val="es-ES_tradnl"/>
        </w:rPr>
      </w:pPr>
    </w:p>
    <w:p w:rsidR="005106E4" w:rsidRPr="006A37B0" w:rsidRDefault="005106E4" w:rsidP="005106E4">
      <w:pPr>
        <w:pStyle w:val="ListParagraph"/>
        <w:numPr>
          <w:ilvl w:val="0"/>
          <w:numId w:val="2"/>
        </w:numPr>
        <w:spacing w:before="100" w:beforeAutospacing="1" w:after="100" w:afterAutospacing="1"/>
        <w:ind w:left="360"/>
        <w:jc w:val="both"/>
        <w:rPr>
          <w:rFonts w:cs="Arial"/>
          <w:sz w:val="24"/>
          <w:lang w:val="es-ES_tradnl"/>
        </w:rPr>
      </w:pPr>
      <w:r>
        <w:rPr>
          <w:b/>
          <w:sz w:val="24"/>
          <w:szCs w:val="24"/>
          <w:lang w:val="es-ES_tradnl"/>
        </w:rPr>
        <w:t>Una evaluación</w:t>
      </w:r>
      <w:r w:rsidRPr="00CC7E89">
        <w:rPr>
          <w:b/>
          <w:sz w:val="24"/>
          <w:szCs w:val="24"/>
          <w:lang w:val="es-ES_tradnl"/>
        </w:rPr>
        <w:t xml:space="preserve"> de ocho </w:t>
      </w:r>
      <w:r>
        <w:rPr>
          <w:b/>
          <w:sz w:val="24"/>
          <w:szCs w:val="24"/>
          <w:lang w:val="es-ES_tradnl"/>
        </w:rPr>
        <w:t>sectores de la economía mundial</w:t>
      </w:r>
      <w:r w:rsidR="00AB50C7">
        <w:rPr>
          <w:b/>
          <w:sz w:val="24"/>
          <w:szCs w:val="24"/>
          <w:lang w:val="es-ES_tradnl"/>
        </w:rPr>
        <w:t xml:space="preserve"> </w:t>
      </w:r>
      <w:r>
        <w:rPr>
          <w:b/>
          <w:sz w:val="24"/>
          <w:szCs w:val="24"/>
          <w:lang w:val="es-ES_tradnl"/>
        </w:rPr>
        <w:t>—energía, alimentación, industria, salud, construcción, trabajo/negocios, aprendizaje, movilidad/logística</w:t>
      </w:r>
      <w:r w:rsidRPr="00CC7E89">
        <w:rPr>
          <w:b/>
          <w:sz w:val="24"/>
          <w:szCs w:val="24"/>
          <w:lang w:val="es-ES_tradnl"/>
        </w:rPr>
        <w:t>— muestra c</w:t>
      </w:r>
      <w:r>
        <w:rPr>
          <w:b/>
          <w:sz w:val="24"/>
          <w:szCs w:val="24"/>
          <w:lang w:val="es-ES_tradnl"/>
        </w:rPr>
        <w:t>ó</w:t>
      </w:r>
      <w:r w:rsidRPr="00CC7E89">
        <w:rPr>
          <w:b/>
          <w:sz w:val="24"/>
          <w:szCs w:val="24"/>
          <w:lang w:val="es-ES_tradnl"/>
        </w:rPr>
        <w:t xml:space="preserve">mo las TIC </w:t>
      </w:r>
      <w:r>
        <w:rPr>
          <w:b/>
          <w:sz w:val="24"/>
          <w:szCs w:val="24"/>
          <w:lang w:val="es-ES_tradnl"/>
        </w:rPr>
        <w:t>podrían</w:t>
      </w:r>
      <w:r w:rsidRPr="00CC7E89">
        <w:rPr>
          <w:b/>
          <w:sz w:val="24"/>
          <w:szCs w:val="24"/>
          <w:lang w:val="es-ES_tradnl"/>
        </w:rPr>
        <w:t xml:space="preserve"> generar </w:t>
      </w:r>
      <w:r>
        <w:rPr>
          <w:b/>
          <w:sz w:val="24"/>
          <w:szCs w:val="24"/>
          <w:lang w:val="es-ES_tradnl"/>
        </w:rPr>
        <w:t xml:space="preserve">más </w:t>
      </w:r>
      <w:r w:rsidRPr="00CC7E89">
        <w:rPr>
          <w:b/>
          <w:sz w:val="24"/>
          <w:szCs w:val="24"/>
          <w:lang w:val="es-ES_tradnl"/>
        </w:rPr>
        <w:t xml:space="preserve">de 11 </w:t>
      </w:r>
      <w:r>
        <w:rPr>
          <w:b/>
          <w:sz w:val="24"/>
          <w:szCs w:val="24"/>
          <w:lang w:val="es-ES_tradnl"/>
        </w:rPr>
        <w:t xml:space="preserve">billones </w:t>
      </w:r>
      <w:r w:rsidRPr="00CC7E89">
        <w:rPr>
          <w:b/>
          <w:sz w:val="24"/>
          <w:szCs w:val="24"/>
          <w:lang w:val="es-ES_tradnl"/>
        </w:rPr>
        <w:t>de</w:t>
      </w:r>
      <w:r>
        <w:rPr>
          <w:b/>
          <w:sz w:val="24"/>
          <w:szCs w:val="24"/>
          <w:lang w:val="es-ES_tradnl"/>
        </w:rPr>
        <w:t xml:space="preserve">  dólares</w:t>
      </w:r>
      <w:r w:rsidRPr="00CC7E89">
        <w:rPr>
          <w:b/>
          <w:sz w:val="24"/>
          <w:szCs w:val="24"/>
          <w:lang w:val="es-ES_tradnl"/>
        </w:rPr>
        <w:t xml:space="preserve"> </w:t>
      </w:r>
      <w:r>
        <w:rPr>
          <w:b/>
          <w:sz w:val="24"/>
          <w:szCs w:val="24"/>
          <w:lang w:val="es-ES_tradnl"/>
        </w:rPr>
        <w:t xml:space="preserve">de </w:t>
      </w:r>
      <w:r w:rsidRPr="00CC7E89">
        <w:rPr>
          <w:b/>
          <w:sz w:val="24"/>
          <w:szCs w:val="24"/>
          <w:lang w:val="es-ES_tradnl"/>
        </w:rPr>
        <w:t xml:space="preserve">beneficios económicos </w:t>
      </w:r>
      <w:r w:rsidR="00AB50C7">
        <w:rPr>
          <w:b/>
          <w:sz w:val="24"/>
          <w:szCs w:val="24"/>
          <w:lang w:val="es-ES_tradnl"/>
        </w:rPr>
        <w:t>al</w:t>
      </w:r>
      <w:r w:rsidRPr="00CC7E89">
        <w:rPr>
          <w:b/>
          <w:sz w:val="24"/>
          <w:szCs w:val="24"/>
          <w:lang w:val="es-ES_tradnl"/>
        </w:rPr>
        <w:t xml:space="preserve"> año en 2030, </w:t>
      </w:r>
      <w:r>
        <w:rPr>
          <w:sz w:val="24"/>
          <w:szCs w:val="24"/>
          <w:lang w:val="es-ES_tradnl"/>
        </w:rPr>
        <w:t xml:space="preserve">lo que equivale al </w:t>
      </w:r>
      <w:r w:rsidRPr="00CC7E89">
        <w:rPr>
          <w:sz w:val="24"/>
          <w:szCs w:val="24"/>
          <w:lang w:val="es-ES_tradnl"/>
        </w:rPr>
        <w:t>P</w:t>
      </w:r>
      <w:r>
        <w:rPr>
          <w:sz w:val="24"/>
          <w:szCs w:val="24"/>
          <w:lang w:val="es-ES_tradnl"/>
        </w:rPr>
        <w:t>IB</w:t>
      </w:r>
      <w:r w:rsidRPr="00CC7E89">
        <w:rPr>
          <w:sz w:val="24"/>
          <w:szCs w:val="24"/>
          <w:lang w:val="es-ES_tradnl"/>
        </w:rPr>
        <w:t xml:space="preserve"> de </w:t>
      </w:r>
      <w:r>
        <w:rPr>
          <w:sz w:val="24"/>
          <w:szCs w:val="24"/>
          <w:lang w:val="es-ES_tradnl"/>
        </w:rPr>
        <w:t xml:space="preserve">China en 2015. </w:t>
      </w:r>
      <w:r w:rsidRPr="00CC7E89">
        <w:rPr>
          <w:sz w:val="24"/>
          <w:szCs w:val="24"/>
          <w:lang w:val="es-ES_tradnl"/>
        </w:rPr>
        <w:t xml:space="preserve"> </w:t>
      </w:r>
    </w:p>
    <w:p w:rsidR="005106E4" w:rsidRDefault="005106E4" w:rsidP="005106E4">
      <w:pPr>
        <w:pStyle w:val="ListParagraph"/>
        <w:jc w:val="both"/>
        <w:rPr>
          <w:rFonts w:cs="Arial"/>
          <w:sz w:val="24"/>
          <w:lang w:val="es-ES_tradnl"/>
        </w:rPr>
      </w:pPr>
    </w:p>
    <w:p w:rsidR="00AB50C7" w:rsidRPr="00AB50C7" w:rsidRDefault="005106E4" w:rsidP="005106E4">
      <w:pPr>
        <w:pStyle w:val="ListParagraph"/>
        <w:numPr>
          <w:ilvl w:val="0"/>
          <w:numId w:val="2"/>
        </w:numPr>
        <w:spacing w:before="100" w:beforeAutospacing="1" w:after="100" w:afterAutospacing="1"/>
        <w:ind w:left="360"/>
        <w:jc w:val="both"/>
        <w:rPr>
          <w:lang w:val="es-ES"/>
        </w:rPr>
      </w:pPr>
      <w:r w:rsidRPr="00AB50C7">
        <w:rPr>
          <w:b/>
          <w:sz w:val="24"/>
          <w:szCs w:val="24"/>
          <w:lang w:val="es-ES_tradnl"/>
        </w:rPr>
        <w:t xml:space="preserve">Las TIC conectarán 2.500 millones de personas a la ‘’economía del conocimiento” en 2030, dando acceso a más de 1.600 millones de personas a la atención sanitaria y a más de 500 millones de personas a herramientas de aprendizaje en línea. </w:t>
      </w:r>
    </w:p>
    <w:p w:rsidR="00AB50C7" w:rsidRPr="00AB50C7" w:rsidRDefault="00AB50C7" w:rsidP="00AB50C7">
      <w:pPr>
        <w:pStyle w:val="ListParagraph"/>
        <w:rPr>
          <w:lang w:val="es-ES"/>
        </w:rPr>
      </w:pPr>
    </w:p>
    <w:p w:rsidR="005106E4" w:rsidRPr="00B53DD7" w:rsidRDefault="005106E4" w:rsidP="005106E4">
      <w:pPr>
        <w:pStyle w:val="ListParagraph"/>
        <w:numPr>
          <w:ilvl w:val="0"/>
          <w:numId w:val="2"/>
        </w:numPr>
        <w:spacing w:before="100" w:beforeAutospacing="1" w:after="100" w:afterAutospacing="1"/>
        <w:ind w:left="360"/>
        <w:jc w:val="both"/>
        <w:rPr>
          <w:sz w:val="24"/>
          <w:lang w:val="es-ES"/>
        </w:rPr>
      </w:pPr>
      <w:r w:rsidRPr="00B53DD7">
        <w:rPr>
          <w:sz w:val="24"/>
          <w:lang w:val="es-ES"/>
        </w:rPr>
        <w:t xml:space="preserve">El crecimiento mundial de la economía digital continúa acelerándose, proporcionado la escala necesaria para lograr una mayor conectividad y nuevos modelos de negocio innovadores donde los individuos están en el centro del proceso, contrariamente a la antigua producción económica en línea. </w:t>
      </w:r>
    </w:p>
    <w:p w:rsidR="005106E4" w:rsidRPr="00C42EEB" w:rsidRDefault="005106E4" w:rsidP="005106E4">
      <w:pPr>
        <w:pStyle w:val="ListBullet"/>
      </w:pPr>
    </w:p>
    <w:p w:rsidR="005106E4" w:rsidRPr="00C42EEB" w:rsidRDefault="005106E4" w:rsidP="005106E4">
      <w:pPr>
        <w:pStyle w:val="ListBullet"/>
        <w:rPr>
          <w:rFonts w:eastAsia="Calibri"/>
        </w:rPr>
      </w:pPr>
      <w:r w:rsidRPr="00C42EEB">
        <w:rPr>
          <w:rFonts w:eastAsia="Calibri"/>
        </w:rPr>
        <w:t xml:space="preserve">“La industria de las TIC ofrece beneficios </w:t>
      </w:r>
      <w:r>
        <w:rPr>
          <w:rFonts w:eastAsia="Calibri"/>
        </w:rPr>
        <w:t>significativos</w:t>
      </w:r>
      <w:r w:rsidRPr="00C42EEB">
        <w:rPr>
          <w:rFonts w:eastAsia="Calibri"/>
        </w:rPr>
        <w:t xml:space="preserve">: más recursos y negocios rentables que son menos perjudiciales </w:t>
      </w:r>
      <w:r>
        <w:rPr>
          <w:rFonts w:eastAsia="Calibri"/>
        </w:rPr>
        <w:t>para el</w:t>
      </w:r>
      <w:r w:rsidRPr="00C42EEB">
        <w:rPr>
          <w:rFonts w:eastAsia="Calibri"/>
        </w:rPr>
        <w:t xml:space="preserve"> medio</w:t>
      </w:r>
      <w:r>
        <w:rPr>
          <w:rFonts w:eastAsia="Calibri"/>
        </w:rPr>
        <w:t xml:space="preserve"> </w:t>
      </w:r>
      <w:r w:rsidRPr="00C42EEB">
        <w:rPr>
          <w:rFonts w:eastAsia="Calibri"/>
        </w:rPr>
        <w:t xml:space="preserve">ambiente, mejoras en los servicios con importantes beneficios sociales y nuevas fuentes de crecimiento económico”, dijo </w:t>
      </w:r>
      <w:proofErr w:type="spellStart"/>
      <w:r w:rsidRPr="00C42EEB">
        <w:rPr>
          <w:rFonts w:eastAsia="Calibri"/>
        </w:rPr>
        <w:t>Neves</w:t>
      </w:r>
      <w:proofErr w:type="spellEnd"/>
      <w:r w:rsidRPr="00C42EEB">
        <w:rPr>
          <w:rFonts w:eastAsia="Calibri"/>
        </w:rPr>
        <w:t xml:space="preserve">. </w:t>
      </w:r>
    </w:p>
    <w:p w:rsidR="005106E4" w:rsidRPr="00C42EEB" w:rsidRDefault="005106E4" w:rsidP="005106E4">
      <w:pPr>
        <w:pStyle w:val="ListBullet"/>
      </w:pPr>
    </w:p>
    <w:p w:rsidR="005106E4" w:rsidRPr="00D463E8" w:rsidRDefault="005106E4" w:rsidP="005106E4">
      <w:pPr>
        <w:pStyle w:val="ListBullet"/>
        <w:rPr>
          <w:b/>
        </w:rPr>
      </w:pPr>
      <w:r w:rsidRPr="00D463E8">
        <w:t xml:space="preserve">“Este nuevo estudio </w:t>
      </w:r>
      <w:r>
        <w:t xml:space="preserve">está </w:t>
      </w:r>
      <w:r w:rsidRPr="00D463E8">
        <w:t xml:space="preserve">basado en </w:t>
      </w:r>
      <w:r w:rsidRPr="00D463E8">
        <w:rPr>
          <w:rStyle w:val="hps"/>
          <w:rFonts w:cs="Arial"/>
          <w:color w:val="222222"/>
          <w:lang w:val="es-ES"/>
        </w:rPr>
        <w:t>modelos</w:t>
      </w:r>
      <w:r w:rsidRPr="00D463E8">
        <w:t xml:space="preserve"> </w:t>
      </w:r>
      <w:r w:rsidRPr="001A200A">
        <w:rPr>
          <w:rStyle w:val="hps"/>
          <w:rFonts w:cs="Arial"/>
          <w:color w:val="222222"/>
          <w:lang w:val="es-ES"/>
        </w:rPr>
        <w:t>en profundidad</w:t>
      </w:r>
      <w:r w:rsidR="00B53DD7">
        <w:rPr>
          <w:rStyle w:val="hps"/>
          <w:rFonts w:cs="Arial"/>
          <w:color w:val="222222"/>
          <w:lang w:val="es-ES"/>
        </w:rPr>
        <w:t xml:space="preserve"> </w:t>
      </w:r>
      <w:r>
        <w:t>—</w:t>
      </w:r>
      <w:r w:rsidRPr="00D463E8">
        <w:t xml:space="preserve">sin precedentes en </w:t>
      </w:r>
      <w:r>
        <w:t>su ámbito—</w:t>
      </w:r>
      <w:r w:rsidRPr="00D463E8">
        <w:t xml:space="preserve"> </w:t>
      </w:r>
      <w:r>
        <w:t>sobre</w:t>
      </w:r>
      <w:r w:rsidRPr="00D463E8">
        <w:t xml:space="preserve"> el potencial de las TIC para </w:t>
      </w:r>
      <w:r>
        <w:t xml:space="preserve">revolucionar la manera habitual de hacer </w:t>
      </w:r>
      <w:r w:rsidRPr="00D463E8">
        <w:t xml:space="preserve">negocios </w:t>
      </w:r>
      <w:r>
        <w:t xml:space="preserve">y rediseñar de forma radical </w:t>
      </w:r>
      <w:r w:rsidRPr="00D463E8">
        <w:t>l</w:t>
      </w:r>
      <w:r>
        <w:t xml:space="preserve">a manera en que vivimos, así como reducir </w:t>
      </w:r>
      <w:r w:rsidRPr="00D463E8">
        <w:t>el impacto que el crecimiento económico</w:t>
      </w:r>
      <w:r>
        <w:t xml:space="preserve"> continuo</w:t>
      </w:r>
      <w:r w:rsidRPr="00D463E8">
        <w:t xml:space="preserve"> tiene en nuestro medio ambiente. Las TIC pueden ayudar a </w:t>
      </w:r>
      <w:r>
        <w:t xml:space="preserve">disociar </w:t>
      </w:r>
      <w:r w:rsidRPr="00D463E8">
        <w:t xml:space="preserve">desarrollo económico y agotamiento de los recursos, </w:t>
      </w:r>
      <w:r w:rsidR="00B53DD7">
        <w:t>favoreciendo</w:t>
      </w:r>
      <w:r>
        <w:t xml:space="preserve"> el ahorro de 10 </w:t>
      </w:r>
      <w:r w:rsidR="00B53DD7">
        <w:t xml:space="preserve">veces </w:t>
      </w:r>
      <w:r>
        <w:t xml:space="preserve">más emisiones que las </w:t>
      </w:r>
      <w:r w:rsidRPr="00D463E8">
        <w:t xml:space="preserve">generadas por el </w:t>
      </w:r>
      <w:r>
        <w:t xml:space="preserve">propio </w:t>
      </w:r>
      <w:r w:rsidRPr="00D463E8">
        <w:t>sector de la</w:t>
      </w:r>
      <w:r>
        <w:t>s</w:t>
      </w:r>
      <w:r w:rsidRPr="00D463E8">
        <w:t xml:space="preserve"> TIC”. </w:t>
      </w:r>
    </w:p>
    <w:p w:rsidR="005106E4" w:rsidRPr="002A4511" w:rsidRDefault="005106E4" w:rsidP="005106E4">
      <w:pPr>
        <w:spacing w:before="100" w:beforeAutospacing="1" w:after="100" w:afterAutospacing="1"/>
        <w:jc w:val="both"/>
        <w:rPr>
          <w:rFonts w:cs="Arial"/>
          <w:sz w:val="24"/>
          <w:szCs w:val="24"/>
          <w:lang w:val="es-ES_tradnl"/>
        </w:rPr>
      </w:pPr>
      <w:r w:rsidRPr="002A4511">
        <w:rPr>
          <w:rFonts w:cs="Arial"/>
          <w:sz w:val="24"/>
          <w:szCs w:val="24"/>
          <w:lang w:val="es-ES_tradnl"/>
        </w:rPr>
        <w:t xml:space="preserve">“El informe SMARTer2030 </w:t>
      </w:r>
      <w:r>
        <w:rPr>
          <w:rFonts w:cs="Arial"/>
          <w:sz w:val="24"/>
          <w:szCs w:val="24"/>
          <w:lang w:val="es-ES_tradnl"/>
        </w:rPr>
        <w:t>llega</w:t>
      </w:r>
      <w:r w:rsidRPr="002A4511">
        <w:rPr>
          <w:rFonts w:cs="Arial"/>
          <w:sz w:val="24"/>
          <w:szCs w:val="24"/>
          <w:lang w:val="es-ES_tradnl"/>
        </w:rPr>
        <w:t xml:space="preserve"> seis meses antes de la </w:t>
      </w:r>
      <w:r>
        <w:rPr>
          <w:rFonts w:cs="Arial"/>
          <w:sz w:val="24"/>
          <w:szCs w:val="24"/>
          <w:lang w:val="es-ES_tradnl"/>
        </w:rPr>
        <w:t>crucial</w:t>
      </w:r>
      <w:r w:rsidRPr="002A4511">
        <w:rPr>
          <w:rFonts w:cs="Arial"/>
          <w:sz w:val="24"/>
          <w:szCs w:val="24"/>
          <w:lang w:val="es-ES_tradnl"/>
        </w:rPr>
        <w:t xml:space="preserve"> conferencia de Naciones Unidas sobre cambio climático en</w:t>
      </w:r>
      <w:r>
        <w:rPr>
          <w:rFonts w:cs="Arial"/>
          <w:sz w:val="24"/>
          <w:szCs w:val="24"/>
          <w:lang w:val="es-ES_tradnl"/>
        </w:rPr>
        <w:t xml:space="preserve"> París en 2015,” dijo la Secretaria Ejecutiva de la CMNUCC,</w:t>
      </w:r>
      <w:r w:rsidRPr="002A4511">
        <w:rPr>
          <w:rFonts w:cs="Arial"/>
          <w:sz w:val="24"/>
          <w:szCs w:val="24"/>
          <w:lang w:val="es-ES_tradnl"/>
        </w:rPr>
        <w:t xml:space="preserve"> Christiana Figueres. </w:t>
      </w:r>
      <w:r w:rsidRPr="005D5662">
        <w:rPr>
          <w:rFonts w:cs="Arial"/>
          <w:sz w:val="24"/>
          <w:szCs w:val="24"/>
          <w:lang w:val="es-ES_tradnl"/>
        </w:rPr>
        <w:t>“</w:t>
      </w:r>
      <w:r>
        <w:rPr>
          <w:rFonts w:cs="Arial"/>
          <w:sz w:val="24"/>
          <w:szCs w:val="24"/>
          <w:lang w:val="es-ES_tradnl"/>
        </w:rPr>
        <w:t>C</w:t>
      </w:r>
      <w:r w:rsidRPr="005D5662">
        <w:rPr>
          <w:rFonts w:cs="Arial"/>
          <w:sz w:val="24"/>
          <w:szCs w:val="24"/>
          <w:lang w:val="es-ES_tradnl"/>
        </w:rPr>
        <w:t>on un nuevo acuerdo</w:t>
      </w:r>
      <w:r>
        <w:rPr>
          <w:rFonts w:cs="Arial"/>
          <w:sz w:val="24"/>
          <w:szCs w:val="24"/>
          <w:lang w:val="es-ES_tradnl"/>
        </w:rPr>
        <w:t>,</w:t>
      </w:r>
      <w:r w:rsidRPr="005D5662">
        <w:rPr>
          <w:rFonts w:cs="Arial"/>
          <w:sz w:val="24"/>
          <w:szCs w:val="24"/>
          <w:lang w:val="es-ES_tradnl"/>
        </w:rPr>
        <w:t xml:space="preserve"> </w:t>
      </w:r>
      <w:r>
        <w:rPr>
          <w:rFonts w:cs="Arial"/>
          <w:sz w:val="24"/>
          <w:szCs w:val="24"/>
          <w:lang w:val="es-ES_tradnl"/>
        </w:rPr>
        <w:t>el resultado a largo plazo</w:t>
      </w:r>
      <w:r w:rsidRPr="005D5662">
        <w:rPr>
          <w:rFonts w:cs="Arial"/>
          <w:sz w:val="24"/>
          <w:szCs w:val="24"/>
          <w:lang w:val="es-ES_tradnl"/>
        </w:rPr>
        <w:t xml:space="preserve"> requiere </w:t>
      </w:r>
      <w:r w:rsidR="00B53DD7">
        <w:rPr>
          <w:rFonts w:cs="Arial"/>
          <w:sz w:val="24"/>
          <w:szCs w:val="24"/>
          <w:lang w:val="es-ES_tradnl"/>
        </w:rPr>
        <w:t xml:space="preserve">que las </w:t>
      </w:r>
      <w:r>
        <w:rPr>
          <w:rFonts w:cs="Arial"/>
          <w:sz w:val="24"/>
          <w:szCs w:val="24"/>
          <w:lang w:val="es-ES_tradnl"/>
        </w:rPr>
        <w:t>emisiones mundiales</w:t>
      </w:r>
      <w:r w:rsidRPr="005D5662">
        <w:rPr>
          <w:rFonts w:cs="Arial"/>
          <w:sz w:val="24"/>
          <w:szCs w:val="24"/>
          <w:lang w:val="es-ES_tradnl"/>
        </w:rPr>
        <w:t xml:space="preserve"> </w:t>
      </w:r>
      <w:r w:rsidR="00B53DD7">
        <w:rPr>
          <w:rFonts w:cs="Arial"/>
          <w:sz w:val="24"/>
          <w:szCs w:val="24"/>
          <w:lang w:val="es-ES_tradnl"/>
        </w:rPr>
        <w:t xml:space="preserve">toquen techo </w:t>
      </w:r>
      <w:r w:rsidRPr="005D5662">
        <w:rPr>
          <w:rFonts w:cs="Arial"/>
          <w:sz w:val="24"/>
          <w:szCs w:val="24"/>
          <w:lang w:val="es-ES_tradnl"/>
        </w:rPr>
        <w:t>en diez años y u</w:t>
      </w:r>
      <w:r>
        <w:rPr>
          <w:rFonts w:cs="Arial"/>
          <w:sz w:val="24"/>
          <w:szCs w:val="24"/>
          <w:lang w:val="es-ES_tradnl"/>
        </w:rPr>
        <w:t>na inversión dramática de la curva a partir de entonces.</w:t>
      </w:r>
      <w:r w:rsidRPr="00C13F2D">
        <w:rPr>
          <w:rFonts w:cs="Arial"/>
          <w:sz w:val="24"/>
          <w:szCs w:val="24"/>
          <w:lang w:val="es-ES_tradnl"/>
        </w:rPr>
        <w:t xml:space="preserve"> </w:t>
      </w:r>
      <w:r>
        <w:rPr>
          <w:rFonts w:cs="Arial"/>
          <w:sz w:val="24"/>
          <w:szCs w:val="24"/>
          <w:lang w:val="es-ES_tradnl"/>
        </w:rPr>
        <w:t xml:space="preserve">Este informe subraya el papel fundamental </w:t>
      </w:r>
      <w:r w:rsidR="00B53DD7">
        <w:rPr>
          <w:rFonts w:cs="Arial"/>
          <w:sz w:val="24"/>
          <w:szCs w:val="24"/>
          <w:lang w:val="es-ES_tradnl"/>
        </w:rPr>
        <w:t xml:space="preserve">que tienen </w:t>
      </w:r>
      <w:r>
        <w:rPr>
          <w:rFonts w:cs="Arial"/>
          <w:sz w:val="24"/>
          <w:szCs w:val="24"/>
          <w:lang w:val="es-ES_tradnl"/>
        </w:rPr>
        <w:t xml:space="preserve">las </w:t>
      </w:r>
      <w:r w:rsidRPr="002A4511">
        <w:rPr>
          <w:rFonts w:cs="Arial"/>
          <w:sz w:val="24"/>
          <w:szCs w:val="24"/>
          <w:lang w:val="es-ES_tradnl"/>
        </w:rPr>
        <w:t xml:space="preserve">TIC </w:t>
      </w:r>
      <w:r w:rsidR="00B53DD7">
        <w:rPr>
          <w:rFonts w:cs="Arial"/>
          <w:sz w:val="24"/>
          <w:szCs w:val="24"/>
          <w:lang w:val="es-ES_tradnl"/>
        </w:rPr>
        <w:t xml:space="preserve">para </w:t>
      </w:r>
      <w:r w:rsidRPr="002A4511">
        <w:rPr>
          <w:rFonts w:cs="Arial"/>
          <w:sz w:val="24"/>
          <w:szCs w:val="24"/>
          <w:lang w:val="es-ES_tradnl"/>
        </w:rPr>
        <w:t>ayudar a conseguir estos objetivos”</w:t>
      </w:r>
      <w:r>
        <w:rPr>
          <w:rFonts w:cs="Arial"/>
          <w:sz w:val="24"/>
          <w:szCs w:val="24"/>
          <w:lang w:val="es-ES_tradnl"/>
        </w:rPr>
        <w:t>.</w:t>
      </w:r>
    </w:p>
    <w:p w:rsidR="005106E4" w:rsidRPr="004C61AE" w:rsidRDefault="005106E4" w:rsidP="005106E4">
      <w:pPr>
        <w:pStyle w:val="ListBullet"/>
      </w:pPr>
      <w:r w:rsidRPr="004C61AE">
        <w:t>Los servicios basados en las TIC también podrían generar</w:t>
      </w:r>
      <w:r>
        <w:t xml:space="preserve"> una perspectiva de</w:t>
      </w:r>
      <w:r w:rsidRPr="004C61AE">
        <w:t xml:space="preserve"> 6 billones de dólares de ingresos anuales y 5 billones de dólares </w:t>
      </w:r>
      <w:r>
        <w:t>de ahorros anuales por el</w:t>
      </w:r>
      <w:r w:rsidRPr="004C61AE">
        <w:t xml:space="preserve"> menor consumo de energía, combustible y otros recursos, según el estudio. </w:t>
      </w:r>
    </w:p>
    <w:p w:rsidR="005106E4" w:rsidRPr="00484796" w:rsidRDefault="005106E4" w:rsidP="005106E4">
      <w:pPr>
        <w:pStyle w:val="ListBullet"/>
      </w:pPr>
    </w:p>
    <w:p w:rsidR="005106E4" w:rsidRPr="006123B0" w:rsidRDefault="005106E4" w:rsidP="005106E4">
      <w:pPr>
        <w:pStyle w:val="ListBullet"/>
      </w:pPr>
      <w:r w:rsidRPr="006123B0">
        <w:rPr>
          <w:i/>
        </w:rPr>
        <w:t>SMARTer2030</w:t>
      </w:r>
      <w:r w:rsidRPr="006123B0">
        <w:t xml:space="preserve"> es la continuación del informe </w:t>
      </w:r>
      <w:proofErr w:type="spellStart"/>
      <w:r w:rsidRPr="006123B0">
        <w:t>GeSI’s</w:t>
      </w:r>
      <w:proofErr w:type="spellEnd"/>
      <w:r w:rsidRPr="006123B0">
        <w:t xml:space="preserve"> 2012, </w:t>
      </w:r>
      <w:r w:rsidRPr="006123B0">
        <w:rPr>
          <w:i/>
        </w:rPr>
        <w:t xml:space="preserve">SMARTer2020, </w:t>
      </w:r>
      <w:r>
        <w:t xml:space="preserve">que calculó la reducción de las emisiones de gas de efecto invernadero y el consumo energético. Además de </w:t>
      </w:r>
      <w:r>
        <w:lastRenderedPageBreak/>
        <w:t xml:space="preserve">identificar los beneficios comerciales de las tecnologías que permiten modelos de negocio sostenibles, el nuevo informe va más allá apuntando tres cambios importantes que aceleran el potencial de las TIC  para obtener esos beneficios: </w:t>
      </w:r>
    </w:p>
    <w:p w:rsidR="005106E4" w:rsidRDefault="005106E4" w:rsidP="005106E4">
      <w:pPr>
        <w:pStyle w:val="ListBullet"/>
      </w:pPr>
    </w:p>
    <w:p w:rsidR="005106E4" w:rsidRDefault="005106E4" w:rsidP="005106E4">
      <w:pPr>
        <w:pStyle w:val="ListParagraph"/>
        <w:numPr>
          <w:ilvl w:val="0"/>
          <w:numId w:val="3"/>
        </w:numPr>
        <w:ind w:left="360"/>
        <w:rPr>
          <w:rFonts w:cs="Arial"/>
          <w:sz w:val="24"/>
          <w:szCs w:val="24"/>
          <w:lang w:val="es-ES_tradnl"/>
        </w:rPr>
      </w:pPr>
      <w:r>
        <w:rPr>
          <w:rFonts w:cs="Arial"/>
          <w:sz w:val="24"/>
          <w:szCs w:val="24"/>
          <w:lang w:val="es-ES_tradnl"/>
        </w:rPr>
        <w:t xml:space="preserve">En la actualidad, </w:t>
      </w:r>
      <w:r w:rsidRPr="006123B0">
        <w:rPr>
          <w:rFonts w:cs="Arial"/>
          <w:sz w:val="24"/>
          <w:szCs w:val="24"/>
          <w:lang w:val="es-ES_tradnl"/>
        </w:rPr>
        <w:t xml:space="preserve">las </w:t>
      </w:r>
      <w:r>
        <w:rPr>
          <w:rFonts w:cs="Arial"/>
          <w:sz w:val="24"/>
          <w:szCs w:val="24"/>
          <w:lang w:val="es-ES_tradnl"/>
        </w:rPr>
        <w:t xml:space="preserve">TIC </w:t>
      </w:r>
      <w:r w:rsidRPr="00F566DA">
        <w:rPr>
          <w:rFonts w:cs="Arial"/>
          <w:sz w:val="24"/>
          <w:szCs w:val="24"/>
          <w:lang w:val="es-ES_tradnl"/>
        </w:rPr>
        <w:t xml:space="preserve">ponen al usuario en el centro de las soluciones, empoderando a </w:t>
      </w:r>
      <w:r>
        <w:rPr>
          <w:rFonts w:cs="Arial"/>
          <w:sz w:val="24"/>
          <w:szCs w:val="24"/>
          <w:lang w:val="es-ES_tradnl"/>
        </w:rPr>
        <w:t>las personas, por ejemplo son servicios de salud en línea centrados en los pacientes o con flexibles sistemas de aprendizaje a la demanda.</w:t>
      </w:r>
    </w:p>
    <w:p w:rsidR="005106E4" w:rsidRPr="00F566DA" w:rsidRDefault="005106E4" w:rsidP="005106E4">
      <w:pPr>
        <w:pStyle w:val="ListParagraph"/>
        <w:ind w:left="360"/>
        <w:rPr>
          <w:rFonts w:cs="Arial"/>
          <w:sz w:val="24"/>
          <w:szCs w:val="24"/>
          <w:lang w:val="es-ES_tradnl"/>
        </w:rPr>
      </w:pPr>
    </w:p>
    <w:p w:rsidR="005106E4" w:rsidRDefault="005106E4" w:rsidP="005106E4">
      <w:pPr>
        <w:pStyle w:val="ListParagraph"/>
        <w:numPr>
          <w:ilvl w:val="0"/>
          <w:numId w:val="3"/>
        </w:numPr>
        <w:ind w:left="360"/>
        <w:jc w:val="both"/>
        <w:rPr>
          <w:rFonts w:cs="Arial"/>
          <w:sz w:val="24"/>
          <w:szCs w:val="24"/>
          <w:lang w:val="es-ES_tradnl"/>
        </w:rPr>
      </w:pPr>
      <w:r w:rsidRPr="00AD4A8B">
        <w:rPr>
          <w:rFonts w:cs="Arial"/>
          <w:sz w:val="24"/>
          <w:szCs w:val="24"/>
          <w:lang w:val="es-ES_tradnl"/>
        </w:rPr>
        <w:t xml:space="preserve">Como </w:t>
      </w:r>
      <w:r>
        <w:rPr>
          <w:rFonts w:cs="Arial"/>
          <w:sz w:val="24"/>
          <w:szCs w:val="24"/>
          <w:lang w:val="es-ES_tradnl"/>
        </w:rPr>
        <w:t xml:space="preserve">se espera que </w:t>
      </w:r>
      <w:r w:rsidRPr="00AD4A8B">
        <w:rPr>
          <w:rFonts w:cs="Arial"/>
          <w:sz w:val="24"/>
          <w:szCs w:val="24"/>
          <w:lang w:val="es-ES_tradnl"/>
        </w:rPr>
        <w:t xml:space="preserve">el número de dispositivos conectados </w:t>
      </w:r>
      <w:r>
        <w:rPr>
          <w:rFonts w:cs="Arial"/>
          <w:sz w:val="24"/>
          <w:szCs w:val="24"/>
          <w:lang w:val="es-ES_tradnl"/>
        </w:rPr>
        <w:t xml:space="preserve">crezca a </w:t>
      </w:r>
      <w:r w:rsidRPr="00AD4A8B">
        <w:rPr>
          <w:rFonts w:cs="Arial"/>
          <w:sz w:val="24"/>
          <w:szCs w:val="24"/>
          <w:lang w:val="es-ES_tradnl"/>
        </w:rPr>
        <w:t>100</w:t>
      </w:r>
      <w:r>
        <w:rPr>
          <w:rFonts w:cs="Arial"/>
          <w:sz w:val="24"/>
          <w:szCs w:val="24"/>
          <w:lang w:val="es-ES_tradnl"/>
        </w:rPr>
        <w:t>.000</w:t>
      </w:r>
      <w:r w:rsidRPr="00AD4A8B">
        <w:rPr>
          <w:rFonts w:cs="Arial"/>
          <w:sz w:val="24"/>
          <w:szCs w:val="24"/>
          <w:lang w:val="es-ES_tradnl"/>
        </w:rPr>
        <w:t xml:space="preserve"> millones en 2030</w:t>
      </w:r>
      <w:r w:rsidRPr="00565E1E">
        <w:rPr>
          <w:rStyle w:val="FootnoteReference"/>
          <w:rFonts w:cs="Arial"/>
          <w:sz w:val="24"/>
          <w:szCs w:val="24"/>
        </w:rPr>
        <w:footnoteReference w:id="1"/>
      </w:r>
      <w:r w:rsidRPr="00AD4A8B">
        <w:rPr>
          <w:rFonts w:cs="Arial"/>
          <w:sz w:val="24"/>
          <w:szCs w:val="24"/>
          <w:lang w:val="es-ES_tradnl"/>
        </w:rPr>
        <w:t xml:space="preserve">, </w:t>
      </w:r>
      <w:r>
        <w:rPr>
          <w:rFonts w:cs="Arial"/>
          <w:sz w:val="24"/>
          <w:szCs w:val="24"/>
          <w:lang w:val="es-ES_tradnl"/>
        </w:rPr>
        <w:t xml:space="preserve">aumenta significativamente su potencial de fomentar valor para la sociedad y el medio ambiente. </w:t>
      </w:r>
    </w:p>
    <w:p w:rsidR="005106E4" w:rsidRDefault="005106E4" w:rsidP="005106E4">
      <w:pPr>
        <w:pStyle w:val="ListParagraph"/>
        <w:rPr>
          <w:rFonts w:cs="Arial"/>
          <w:sz w:val="24"/>
          <w:szCs w:val="24"/>
          <w:lang w:val="es-ES_tradnl"/>
        </w:rPr>
      </w:pPr>
    </w:p>
    <w:p w:rsidR="005106E4" w:rsidRDefault="005106E4" w:rsidP="005106E4">
      <w:pPr>
        <w:pStyle w:val="ListParagraph"/>
        <w:numPr>
          <w:ilvl w:val="0"/>
          <w:numId w:val="3"/>
        </w:numPr>
        <w:ind w:left="360"/>
        <w:jc w:val="both"/>
        <w:rPr>
          <w:rFonts w:cs="Arial"/>
          <w:sz w:val="24"/>
          <w:szCs w:val="24"/>
          <w:lang w:val="es-ES_tradnl"/>
        </w:rPr>
      </w:pPr>
      <w:r>
        <w:rPr>
          <w:rFonts w:cs="Arial"/>
          <w:sz w:val="24"/>
          <w:szCs w:val="24"/>
          <w:lang w:val="es-ES_tradnl"/>
        </w:rPr>
        <w:t xml:space="preserve">Las </w:t>
      </w:r>
      <w:r w:rsidRPr="00A935E6">
        <w:rPr>
          <w:rFonts w:cs="Arial"/>
          <w:sz w:val="24"/>
          <w:szCs w:val="24"/>
          <w:lang w:val="es-ES_tradnl"/>
        </w:rPr>
        <w:t xml:space="preserve">TIC  </w:t>
      </w:r>
      <w:r>
        <w:rPr>
          <w:rFonts w:cs="Arial"/>
          <w:sz w:val="24"/>
          <w:szCs w:val="24"/>
          <w:lang w:val="es-ES_tradnl"/>
        </w:rPr>
        <w:t xml:space="preserve">hacen posibles nuevos y revolucionarios </w:t>
      </w:r>
      <w:r w:rsidRPr="00A935E6">
        <w:rPr>
          <w:rFonts w:cs="Arial"/>
          <w:sz w:val="24"/>
          <w:szCs w:val="24"/>
          <w:lang w:val="es-ES_tradnl"/>
        </w:rPr>
        <w:t xml:space="preserve">modelos de negocios </w:t>
      </w:r>
      <w:r>
        <w:rPr>
          <w:rFonts w:cs="Arial"/>
          <w:sz w:val="24"/>
          <w:szCs w:val="24"/>
          <w:lang w:val="es-ES_tradnl"/>
        </w:rPr>
        <w:t>rentables</w:t>
      </w:r>
      <w:r w:rsidRPr="00A935E6">
        <w:rPr>
          <w:rFonts w:cs="Arial"/>
          <w:sz w:val="24"/>
          <w:szCs w:val="24"/>
          <w:lang w:val="es-ES_tradnl"/>
        </w:rPr>
        <w:t xml:space="preserve"> que est</w:t>
      </w:r>
      <w:r>
        <w:rPr>
          <w:rFonts w:cs="Arial"/>
          <w:sz w:val="24"/>
          <w:szCs w:val="24"/>
          <w:lang w:val="es-ES_tradnl"/>
        </w:rPr>
        <w:t xml:space="preserve">án </w:t>
      </w:r>
      <w:r>
        <w:rPr>
          <w:rFonts w:cs="Arial"/>
          <w:sz w:val="24"/>
          <w:szCs w:val="24"/>
          <w:lang w:val="es-ES"/>
        </w:rPr>
        <w:t xml:space="preserve">desconectando </w:t>
      </w:r>
      <w:r>
        <w:rPr>
          <w:rFonts w:cs="Arial"/>
          <w:sz w:val="24"/>
          <w:szCs w:val="24"/>
          <w:lang w:val="es-ES_tradnl"/>
        </w:rPr>
        <w:t xml:space="preserve">el crecimiento de un uso intensivo del carbono y los recursos. </w:t>
      </w:r>
    </w:p>
    <w:p w:rsidR="005106E4" w:rsidRPr="00D463E8" w:rsidRDefault="005106E4" w:rsidP="005106E4">
      <w:pPr>
        <w:pStyle w:val="ListParagraph"/>
        <w:ind w:left="0"/>
        <w:rPr>
          <w:rFonts w:ascii="Arial" w:hAnsi="Arial" w:cs="Arial"/>
          <w:color w:val="222222"/>
          <w:lang w:val="es-ES_tradnl"/>
        </w:rPr>
      </w:pPr>
    </w:p>
    <w:p w:rsidR="005106E4" w:rsidRDefault="005106E4" w:rsidP="005106E4">
      <w:pPr>
        <w:jc w:val="both"/>
        <w:rPr>
          <w:rFonts w:cs="Arial"/>
          <w:sz w:val="24"/>
          <w:szCs w:val="24"/>
          <w:lang w:val="es-ES_tradnl"/>
        </w:rPr>
      </w:pPr>
      <w:r>
        <w:rPr>
          <w:rFonts w:cs="Arial"/>
          <w:sz w:val="24"/>
          <w:szCs w:val="24"/>
          <w:lang w:val="es-ES_tradnl"/>
        </w:rPr>
        <w:t xml:space="preserve">Peter </w:t>
      </w:r>
      <w:proofErr w:type="spellStart"/>
      <w:r>
        <w:rPr>
          <w:rFonts w:cs="Arial"/>
          <w:sz w:val="24"/>
          <w:szCs w:val="24"/>
          <w:lang w:val="es-ES_tradnl"/>
        </w:rPr>
        <w:t>Lacy</w:t>
      </w:r>
      <w:proofErr w:type="spellEnd"/>
      <w:r>
        <w:rPr>
          <w:rFonts w:cs="Arial"/>
          <w:sz w:val="24"/>
          <w:szCs w:val="24"/>
          <w:lang w:val="es-ES_tradnl"/>
        </w:rPr>
        <w:t>, director gerente</w:t>
      </w:r>
      <w:r w:rsidRPr="00A935E6">
        <w:rPr>
          <w:rFonts w:cs="Arial"/>
          <w:sz w:val="24"/>
          <w:szCs w:val="24"/>
          <w:lang w:val="es-ES_tradnl"/>
        </w:rPr>
        <w:t xml:space="preserve"> de </w:t>
      </w:r>
      <w:proofErr w:type="spellStart"/>
      <w:r w:rsidRPr="00A935E6">
        <w:rPr>
          <w:rFonts w:cs="Arial"/>
          <w:sz w:val="24"/>
          <w:szCs w:val="24"/>
          <w:lang w:val="es-ES_tradnl"/>
        </w:rPr>
        <w:t>Accenture</w:t>
      </w:r>
      <w:proofErr w:type="spellEnd"/>
      <w:r w:rsidRPr="00A935E6">
        <w:rPr>
          <w:rFonts w:cs="Arial"/>
          <w:sz w:val="24"/>
          <w:szCs w:val="24"/>
          <w:lang w:val="es-ES_tradnl"/>
        </w:rPr>
        <w:t xml:space="preserve"> </w:t>
      </w:r>
      <w:r>
        <w:rPr>
          <w:rFonts w:cs="Arial"/>
          <w:sz w:val="24"/>
          <w:szCs w:val="24"/>
          <w:lang w:val="es-ES_tradnl"/>
        </w:rPr>
        <w:t>Estrategia</w:t>
      </w:r>
      <w:r w:rsidR="008745F4">
        <w:rPr>
          <w:rFonts w:cs="Arial"/>
          <w:sz w:val="24"/>
          <w:szCs w:val="24"/>
          <w:lang w:val="es-ES_tradnl"/>
        </w:rPr>
        <w:t>,</w:t>
      </w:r>
      <w:r>
        <w:rPr>
          <w:rFonts w:cs="Arial"/>
          <w:sz w:val="24"/>
          <w:szCs w:val="24"/>
          <w:lang w:val="es-ES_tradnl"/>
        </w:rPr>
        <w:t xml:space="preserve"> dijo: “Esta perspectiva de 11 billones de dólares muestra que lo digital puede mejorar las perspectivas financieras y de negocio de invertir en productos y servicios social y medioambientalmente responsables. Las nuevas tecnologías además de ser fácilmente accesibles, pueden mejorar la calidad de vida de las personas de forma directa y ahora son capaces de hacerlo a escala masiva, permitiendo que estos modelos de negocio formen parte de la norma y sean fuente de competitividad y crecimiento”. </w:t>
      </w:r>
    </w:p>
    <w:p w:rsidR="005106E4" w:rsidRPr="00FB2175" w:rsidRDefault="005106E4" w:rsidP="005106E4">
      <w:pPr>
        <w:jc w:val="both"/>
        <w:rPr>
          <w:rFonts w:cs="Arial"/>
          <w:sz w:val="24"/>
          <w:szCs w:val="24"/>
          <w:lang w:val="es-ES_tradnl"/>
        </w:rPr>
      </w:pPr>
      <w:r w:rsidRPr="00FB2175">
        <w:rPr>
          <w:rFonts w:cs="Arial"/>
          <w:sz w:val="24"/>
          <w:szCs w:val="24"/>
          <w:lang w:val="es-ES_tradnl"/>
        </w:rPr>
        <w:t xml:space="preserve">SMARTer2030 identifica tres grupos de actores clave y </w:t>
      </w:r>
      <w:r w:rsidR="008745F4">
        <w:rPr>
          <w:rFonts w:cs="Arial"/>
          <w:sz w:val="24"/>
          <w:szCs w:val="24"/>
          <w:lang w:val="es-ES_tradnl"/>
        </w:rPr>
        <w:t xml:space="preserve">les </w:t>
      </w:r>
      <w:r w:rsidRPr="00FB2175">
        <w:rPr>
          <w:rFonts w:cs="Arial"/>
          <w:sz w:val="24"/>
          <w:szCs w:val="24"/>
          <w:lang w:val="es-ES_tradnl"/>
        </w:rPr>
        <w:t>recomienda acciones que p</w:t>
      </w:r>
      <w:r>
        <w:rPr>
          <w:rFonts w:cs="Arial"/>
          <w:sz w:val="24"/>
          <w:szCs w:val="24"/>
          <w:lang w:val="es-ES_tradnl"/>
        </w:rPr>
        <w:t>odrían</w:t>
      </w:r>
      <w:r w:rsidRPr="00FB2175">
        <w:rPr>
          <w:rFonts w:cs="Arial"/>
          <w:sz w:val="24"/>
          <w:szCs w:val="24"/>
          <w:lang w:val="es-ES_tradnl"/>
        </w:rPr>
        <w:t xml:space="preserve"> </w:t>
      </w:r>
      <w:r>
        <w:rPr>
          <w:rFonts w:cs="Arial"/>
          <w:sz w:val="24"/>
          <w:szCs w:val="24"/>
          <w:lang w:val="es-ES_tradnl"/>
        </w:rPr>
        <w:t xml:space="preserve"> </w:t>
      </w:r>
      <w:r w:rsidRPr="00FB2175">
        <w:rPr>
          <w:rFonts w:cs="Arial"/>
          <w:sz w:val="24"/>
          <w:szCs w:val="24"/>
          <w:lang w:val="es-ES_tradnl"/>
        </w:rPr>
        <w:t>priorizar</w:t>
      </w:r>
      <w:r w:rsidR="008745F4">
        <w:rPr>
          <w:rFonts w:cs="Arial"/>
          <w:sz w:val="24"/>
          <w:szCs w:val="24"/>
          <w:lang w:val="es-ES_tradnl"/>
        </w:rPr>
        <w:t xml:space="preserve"> </w:t>
      </w:r>
      <w:r w:rsidRPr="00FB2175">
        <w:rPr>
          <w:rFonts w:cs="Arial"/>
          <w:sz w:val="24"/>
          <w:szCs w:val="24"/>
          <w:lang w:val="es-ES_tradnl"/>
        </w:rPr>
        <w:t>para un fu</w:t>
      </w:r>
      <w:r>
        <w:rPr>
          <w:rFonts w:cs="Arial"/>
          <w:sz w:val="24"/>
          <w:szCs w:val="24"/>
          <w:lang w:val="es-ES_tradnl"/>
        </w:rPr>
        <w:t>turo más sostenible y rentable</w:t>
      </w:r>
      <w:r w:rsidRPr="00FB2175">
        <w:rPr>
          <w:rFonts w:cs="Arial"/>
          <w:sz w:val="24"/>
          <w:szCs w:val="24"/>
          <w:lang w:val="es-ES_tradnl"/>
        </w:rPr>
        <w:t xml:space="preserve">: </w:t>
      </w:r>
    </w:p>
    <w:p w:rsidR="005106E4" w:rsidRDefault="005106E4" w:rsidP="005106E4">
      <w:pPr>
        <w:pStyle w:val="ListParagraph"/>
        <w:numPr>
          <w:ilvl w:val="0"/>
          <w:numId w:val="1"/>
        </w:numPr>
        <w:jc w:val="both"/>
        <w:rPr>
          <w:rFonts w:cs="Arial"/>
          <w:sz w:val="24"/>
          <w:szCs w:val="24"/>
          <w:lang w:val="es-ES_tradnl"/>
        </w:rPr>
      </w:pPr>
      <w:r>
        <w:rPr>
          <w:rFonts w:cs="Arial"/>
          <w:sz w:val="24"/>
          <w:szCs w:val="24"/>
          <w:lang w:val="es-ES_tradnl"/>
        </w:rPr>
        <w:t>Los responsables</w:t>
      </w:r>
      <w:r w:rsidRPr="00541903">
        <w:rPr>
          <w:rFonts w:cs="Arial"/>
          <w:sz w:val="24"/>
          <w:szCs w:val="24"/>
          <w:lang w:val="es-ES_tradnl"/>
        </w:rPr>
        <w:t xml:space="preserve"> políticos de</w:t>
      </w:r>
      <w:r>
        <w:rPr>
          <w:rFonts w:cs="Arial"/>
          <w:sz w:val="24"/>
          <w:szCs w:val="24"/>
          <w:lang w:val="es-ES_tradnl"/>
        </w:rPr>
        <w:t>ben crear políticas correctas sobre</w:t>
      </w:r>
      <w:r w:rsidRPr="00541903">
        <w:rPr>
          <w:rFonts w:cs="Arial"/>
          <w:sz w:val="24"/>
          <w:szCs w:val="24"/>
          <w:lang w:val="es-ES_tradnl"/>
        </w:rPr>
        <w:t xml:space="preserve"> medio ambiente. </w:t>
      </w:r>
      <w:r>
        <w:rPr>
          <w:rFonts w:cs="Arial"/>
          <w:sz w:val="24"/>
          <w:szCs w:val="24"/>
          <w:lang w:val="es-ES_tradnl"/>
        </w:rPr>
        <w:t xml:space="preserve">En particular, el establecimiento de objetivos nacionales de </w:t>
      </w:r>
      <w:r w:rsidRPr="00541903">
        <w:rPr>
          <w:rFonts w:cs="Arial"/>
          <w:sz w:val="24"/>
          <w:szCs w:val="24"/>
          <w:lang w:val="es-ES_tradnl"/>
        </w:rPr>
        <w:t>CO</w:t>
      </w:r>
      <w:r w:rsidRPr="00541903">
        <w:rPr>
          <w:rFonts w:cs="Arial"/>
          <w:sz w:val="24"/>
          <w:szCs w:val="24"/>
          <w:vertAlign w:val="subscript"/>
          <w:lang w:val="es-ES_tradnl"/>
        </w:rPr>
        <w:t>2</w:t>
      </w:r>
      <w:r>
        <w:rPr>
          <w:rFonts w:cs="Arial"/>
          <w:sz w:val="24"/>
          <w:szCs w:val="24"/>
          <w:lang w:val="es-ES_tradnl"/>
        </w:rPr>
        <w:t xml:space="preserve">, reconociendo el papel fundamental de las TIC, la creación de incentivos de inversión para conectar a quienes no lo están con nuevas infraestructuras asegurando un enfoque regulatorio estable y equilibrado de las TIC. </w:t>
      </w:r>
    </w:p>
    <w:p w:rsidR="005106E4" w:rsidRDefault="005106E4" w:rsidP="005106E4">
      <w:pPr>
        <w:pStyle w:val="ListParagraph"/>
        <w:ind w:left="360"/>
        <w:rPr>
          <w:rFonts w:cs="Arial"/>
          <w:sz w:val="24"/>
          <w:szCs w:val="24"/>
          <w:lang w:val="es-ES_tradnl"/>
        </w:rPr>
      </w:pPr>
    </w:p>
    <w:p w:rsidR="005106E4" w:rsidRDefault="005106E4" w:rsidP="005106E4">
      <w:pPr>
        <w:pStyle w:val="ListParagraph"/>
        <w:numPr>
          <w:ilvl w:val="0"/>
          <w:numId w:val="1"/>
        </w:numPr>
        <w:rPr>
          <w:rFonts w:cs="Arial"/>
          <w:sz w:val="24"/>
          <w:szCs w:val="24"/>
          <w:lang w:val="es-ES_tradnl"/>
        </w:rPr>
      </w:pPr>
      <w:r w:rsidRPr="001177BB">
        <w:rPr>
          <w:rFonts w:cs="Arial"/>
          <w:sz w:val="24"/>
          <w:szCs w:val="24"/>
          <w:lang w:val="es-ES_tradnl"/>
        </w:rPr>
        <w:t>Las empresas deben reconocer las oportunidades de crecimiento e innovación permitidas por las</w:t>
      </w:r>
      <w:r>
        <w:rPr>
          <w:rFonts w:cs="Arial"/>
          <w:sz w:val="24"/>
          <w:szCs w:val="24"/>
          <w:lang w:val="es-ES_tradnl"/>
        </w:rPr>
        <w:t xml:space="preserve"> TIC que hacen</w:t>
      </w:r>
      <w:r w:rsidRPr="001177BB">
        <w:rPr>
          <w:rFonts w:cs="Arial"/>
          <w:sz w:val="24"/>
          <w:szCs w:val="24"/>
          <w:lang w:val="es-ES_tradnl"/>
        </w:rPr>
        <w:t xml:space="preserve"> viables las inversiones sostenibles. </w:t>
      </w:r>
    </w:p>
    <w:p w:rsidR="005106E4" w:rsidRPr="001177BB" w:rsidRDefault="005106E4" w:rsidP="005106E4">
      <w:pPr>
        <w:pStyle w:val="ListParagraph"/>
        <w:ind w:left="360"/>
        <w:rPr>
          <w:rFonts w:cs="Arial"/>
          <w:sz w:val="24"/>
          <w:szCs w:val="24"/>
          <w:lang w:val="es-ES_tradnl"/>
        </w:rPr>
      </w:pPr>
    </w:p>
    <w:p w:rsidR="005106E4" w:rsidRDefault="005106E4" w:rsidP="005106E4">
      <w:pPr>
        <w:pStyle w:val="ListParagraph"/>
        <w:numPr>
          <w:ilvl w:val="0"/>
          <w:numId w:val="1"/>
        </w:numPr>
        <w:jc w:val="both"/>
        <w:rPr>
          <w:rFonts w:cs="Arial"/>
          <w:sz w:val="24"/>
          <w:szCs w:val="24"/>
          <w:lang w:val="es-ES_tradnl"/>
        </w:rPr>
      </w:pPr>
      <w:r w:rsidRPr="001177BB">
        <w:rPr>
          <w:rFonts w:cs="Arial"/>
          <w:sz w:val="24"/>
          <w:szCs w:val="24"/>
          <w:lang w:val="es-ES_tradnl"/>
        </w:rPr>
        <w:t xml:space="preserve">Los consumidores deben animarse a adoptar soluciones tecnológicas que promuevan la eficiencia </w:t>
      </w:r>
      <w:r>
        <w:rPr>
          <w:rFonts w:cs="Arial"/>
          <w:sz w:val="24"/>
          <w:szCs w:val="24"/>
          <w:lang w:val="es-ES_tradnl"/>
        </w:rPr>
        <w:t>de los recursos, como las tipificada</w:t>
      </w:r>
      <w:r w:rsidRPr="001177BB">
        <w:rPr>
          <w:rFonts w:cs="Arial"/>
          <w:sz w:val="24"/>
          <w:szCs w:val="24"/>
          <w:lang w:val="es-ES_tradnl"/>
        </w:rPr>
        <w:t>s por la econom</w:t>
      </w:r>
      <w:r>
        <w:rPr>
          <w:rFonts w:cs="Arial"/>
          <w:sz w:val="24"/>
          <w:szCs w:val="24"/>
          <w:lang w:val="es-ES_tradnl"/>
        </w:rPr>
        <w:t xml:space="preserve">ía colaborativa. </w:t>
      </w:r>
    </w:p>
    <w:p w:rsidR="005106E4" w:rsidRPr="00080BCF" w:rsidRDefault="005106E4" w:rsidP="005106E4">
      <w:pPr>
        <w:rPr>
          <w:rFonts w:cs="Arial"/>
          <w:sz w:val="24"/>
          <w:szCs w:val="24"/>
          <w:lang w:val="es-ES_tradnl"/>
        </w:rPr>
      </w:pPr>
      <w:r w:rsidRPr="00080BCF">
        <w:rPr>
          <w:rFonts w:cs="Arial"/>
          <w:sz w:val="24"/>
          <w:szCs w:val="24"/>
          <w:lang w:val="es-ES_tradnl"/>
        </w:rPr>
        <w:t xml:space="preserve">Visite </w:t>
      </w:r>
      <w:hyperlink r:id="rId10" w:history="1">
        <w:r w:rsidRPr="00080BCF">
          <w:rPr>
            <w:rStyle w:val="Hyperlink"/>
            <w:rFonts w:cs="Arial"/>
            <w:sz w:val="24"/>
            <w:szCs w:val="24"/>
            <w:lang w:val="es-ES_tradnl"/>
          </w:rPr>
          <w:t>smarter2030.gesi.org</w:t>
        </w:r>
      </w:hyperlink>
      <w:r w:rsidRPr="00080BCF">
        <w:rPr>
          <w:rFonts w:cs="Arial"/>
          <w:sz w:val="24"/>
          <w:szCs w:val="24"/>
          <w:lang w:val="es-ES_tradnl"/>
        </w:rPr>
        <w:t xml:space="preserve"> para más</w:t>
      </w:r>
      <w:r>
        <w:rPr>
          <w:rFonts w:cs="Arial"/>
          <w:sz w:val="24"/>
          <w:szCs w:val="24"/>
          <w:lang w:val="es-ES_tradnl"/>
        </w:rPr>
        <w:t xml:space="preserve"> información</w:t>
      </w:r>
      <w:r w:rsidRPr="00080BCF">
        <w:rPr>
          <w:rFonts w:cs="Arial"/>
          <w:sz w:val="24"/>
          <w:szCs w:val="24"/>
          <w:lang w:val="es-ES_tradnl"/>
        </w:rPr>
        <w:t xml:space="preserve">. </w:t>
      </w:r>
    </w:p>
    <w:p w:rsidR="005106E4" w:rsidRDefault="005106E4" w:rsidP="005106E4">
      <w:pPr>
        <w:rPr>
          <w:rFonts w:cs="Arial"/>
          <w:b/>
          <w:sz w:val="24"/>
          <w:szCs w:val="24"/>
          <w:lang w:val="es-ES_tradnl"/>
        </w:rPr>
      </w:pPr>
    </w:p>
    <w:p w:rsidR="005106E4" w:rsidRPr="00CB01DE" w:rsidRDefault="005106E4" w:rsidP="005106E4">
      <w:pPr>
        <w:rPr>
          <w:rFonts w:cs="Arial"/>
          <w:b/>
          <w:sz w:val="24"/>
          <w:szCs w:val="24"/>
          <w:lang w:val="es-ES_tradnl"/>
        </w:rPr>
      </w:pPr>
      <w:r w:rsidRPr="00CB01DE">
        <w:rPr>
          <w:rFonts w:cs="Arial"/>
          <w:b/>
          <w:sz w:val="24"/>
          <w:szCs w:val="24"/>
          <w:lang w:val="es-ES_tradnl"/>
        </w:rPr>
        <w:lastRenderedPageBreak/>
        <w:t xml:space="preserve">Nota para los </w:t>
      </w:r>
      <w:r>
        <w:rPr>
          <w:rFonts w:cs="Arial"/>
          <w:b/>
          <w:sz w:val="24"/>
          <w:szCs w:val="24"/>
          <w:lang w:val="es-ES_tradnl"/>
        </w:rPr>
        <w:t>editores</w:t>
      </w:r>
    </w:p>
    <w:p w:rsidR="005106E4" w:rsidRDefault="005106E4" w:rsidP="005106E4">
      <w:pPr>
        <w:jc w:val="both"/>
        <w:rPr>
          <w:rFonts w:cs="Arial"/>
          <w:sz w:val="24"/>
          <w:szCs w:val="24"/>
          <w:lang w:val="es-ES_tradnl"/>
        </w:rPr>
      </w:pPr>
      <w:r w:rsidRPr="004722A5">
        <w:rPr>
          <w:rFonts w:cs="Arial"/>
          <w:sz w:val="24"/>
          <w:szCs w:val="24"/>
          <w:lang w:val="es-ES_tradnl"/>
        </w:rPr>
        <w:t>El informe SMARTer2030 es la continuación de la publicaci</w:t>
      </w:r>
      <w:r>
        <w:rPr>
          <w:rFonts w:cs="Arial"/>
          <w:sz w:val="24"/>
          <w:szCs w:val="24"/>
          <w:lang w:val="es-ES_tradnl"/>
        </w:rPr>
        <w:t xml:space="preserve">ón </w:t>
      </w:r>
      <w:r w:rsidRPr="004722A5">
        <w:rPr>
          <w:rFonts w:cs="Arial"/>
          <w:sz w:val="24"/>
          <w:szCs w:val="24"/>
          <w:lang w:val="es-ES_tradnl"/>
        </w:rPr>
        <w:t>SMARTer2020</w:t>
      </w:r>
      <w:r>
        <w:rPr>
          <w:rFonts w:cs="Arial"/>
          <w:sz w:val="24"/>
          <w:szCs w:val="24"/>
          <w:lang w:val="es-ES_tradnl"/>
        </w:rPr>
        <w:t xml:space="preserve"> hecha en 2012</w:t>
      </w:r>
      <w:r w:rsidRPr="004722A5">
        <w:rPr>
          <w:rFonts w:cs="Arial"/>
          <w:sz w:val="24"/>
          <w:szCs w:val="24"/>
          <w:lang w:val="es-ES_tradnl"/>
        </w:rPr>
        <w:t>.  SMARTer2030 examina las oportunidades económicas, sociales y medioambientales creadas por el uso innovador de las TIC en ocho sectores: alimentaci</w:t>
      </w:r>
      <w:r>
        <w:rPr>
          <w:rFonts w:cs="Arial"/>
          <w:sz w:val="24"/>
          <w:szCs w:val="24"/>
          <w:lang w:val="es-ES_tradnl"/>
        </w:rPr>
        <w:t xml:space="preserve">ón, energía, salud, educación, industria, movilidad y logística, trabajo y negocio y vivienda. </w:t>
      </w:r>
      <w:r w:rsidRPr="009E099B">
        <w:rPr>
          <w:rFonts w:cs="Arial"/>
          <w:sz w:val="24"/>
          <w:szCs w:val="24"/>
          <w:lang w:val="es-ES_tradnl"/>
        </w:rPr>
        <w:t>Global e-</w:t>
      </w:r>
      <w:proofErr w:type="spellStart"/>
      <w:r w:rsidRPr="009E099B">
        <w:rPr>
          <w:rFonts w:cs="Arial"/>
          <w:sz w:val="24"/>
          <w:szCs w:val="24"/>
          <w:lang w:val="es-ES_tradnl"/>
        </w:rPr>
        <w:t>Sustainability</w:t>
      </w:r>
      <w:proofErr w:type="spellEnd"/>
      <w:r w:rsidRPr="009E099B">
        <w:rPr>
          <w:rFonts w:cs="Arial"/>
          <w:sz w:val="24"/>
          <w:szCs w:val="24"/>
          <w:lang w:val="es-ES_tradnl"/>
        </w:rPr>
        <w:t xml:space="preserve"> </w:t>
      </w:r>
      <w:proofErr w:type="spellStart"/>
      <w:r w:rsidRPr="009E099B">
        <w:rPr>
          <w:rFonts w:cs="Arial"/>
          <w:sz w:val="24"/>
          <w:szCs w:val="24"/>
          <w:lang w:val="es-ES_tradnl"/>
        </w:rPr>
        <w:t>Initiative</w:t>
      </w:r>
      <w:proofErr w:type="spellEnd"/>
      <w:r w:rsidRPr="009E099B">
        <w:rPr>
          <w:rFonts w:cs="Arial"/>
          <w:sz w:val="24"/>
          <w:szCs w:val="24"/>
          <w:lang w:val="es-ES_tradnl"/>
        </w:rPr>
        <w:t xml:space="preserve"> (</w:t>
      </w:r>
      <w:proofErr w:type="spellStart"/>
      <w:r w:rsidRPr="009E099B">
        <w:rPr>
          <w:rFonts w:cs="Arial"/>
          <w:sz w:val="24"/>
          <w:szCs w:val="24"/>
          <w:lang w:val="es-ES_tradnl"/>
        </w:rPr>
        <w:t>GeSI</w:t>
      </w:r>
      <w:proofErr w:type="spellEnd"/>
      <w:r w:rsidRPr="009E099B">
        <w:rPr>
          <w:rFonts w:cs="Arial"/>
          <w:sz w:val="24"/>
          <w:szCs w:val="24"/>
          <w:lang w:val="es-ES_tradnl"/>
        </w:rPr>
        <w:t xml:space="preserve">) </w:t>
      </w:r>
      <w:r>
        <w:rPr>
          <w:rFonts w:cs="Arial"/>
          <w:sz w:val="24"/>
          <w:szCs w:val="24"/>
          <w:lang w:val="es-ES_tradnl"/>
        </w:rPr>
        <w:t xml:space="preserve">encargó la realización del estudio a </w:t>
      </w:r>
      <w:proofErr w:type="spellStart"/>
      <w:r w:rsidRPr="009E099B">
        <w:rPr>
          <w:rFonts w:cs="Arial"/>
          <w:sz w:val="24"/>
          <w:szCs w:val="24"/>
          <w:lang w:val="es-ES_tradnl"/>
        </w:rPr>
        <w:t>Accenture</w:t>
      </w:r>
      <w:proofErr w:type="spellEnd"/>
      <w:r w:rsidRPr="009E099B">
        <w:rPr>
          <w:rFonts w:cs="Arial"/>
          <w:sz w:val="24"/>
          <w:szCs w:val="24"/>
          <w:lang w:val="es-ES_tradnl"/>
        </w:rPr>
        <w:t xml:space="preserve"> </w:t>
      </w:r>
      <w:r>
        <w:rPr>
          <w:rFonts w:cs="Arial"/>
          <w:sz w:val="24"/>
          <w:szCs w:val="24"/>
          <w:lang w:val="es-ES_tradnl"/>
        </w:rPr>
        <w:t xml:space="preserve">Estrategia. El análisis fue realizado por </w:t>
      </w:r>
      <w:hyperlink r:id="rId11" w:history="1">
        <w:proofErr w:type="spellStart"/>
        <w:r>
          <w:rPr>
            <w:rStyle w:val="Hyperlink"/>
            <w:rFonts w:cs="Arial"/>
            <w:sz w:val="24"/>
            <w:szCs w:val="24"/>
            <w:lang w:val="es-ES_tradnl"/>
          </w:rPr>
          <w:t>Accenture</w:t>
        </w:r>
        <w:proofErr w:type="spellEnd"/>
      </w:hyperlink>
      <w:r w:rsidRPr="00A621F7">
        <w:rPr>
          <w:rStyle w:val="Hyperlink"/>
          <w:rFonts w:cs="Arial"/>
          <w:sz w:val="24"/>
          <w:szCs w:val="24"/>
          <w:lang w:val="es-ES"/>
        </w:rPr>
        <w:t xml:space="preserve"> Estrategia</w:t>
      </w:r>
      <w:r w:rsidRPr="009E099B">
        <w:rPr>
          <w:rFonts w:cs="Arial"/>
          <w:sz w:val="24"/>
          <w:szCs w:val="24"/>
          <w:lang w:val="es-ES_tradnl"/>
        </w:rPr>
        <w:t xml:space="preserve"> con la ayuda de expertos de la </w:t>
      </w:r>
      <w:r>
        <w:rPr>
          <w:rFonts w:cs="Arial"/>
          <w:sz w:val="24"/>
          <w:szCs w:val="24"/>
          <w:lang w:val="es-ES_tradnl"/>
        </w:rPr>
        <w:t xml:space="preserve">industria, incluyendo las empresas miembros de </w:t>
      </w:r>
      <w:proofErr w:type="spellStart"/>
      <w:r>
        <w:rPr>
          <w:rFonts w:cs="Arial"/>
          <w:sz w:val="24"/>
          <w:szCs w:val="24"/>
          <w:lang w:val="es-ES_tradnl"/>
        </w:rPr>
        <w:t>GeSI</w:t>
      </w:r>
      <w:proofErr w:type="spellEnd"/>
      <w:r>
        <w:rPr>
          <w:rFonts w:cs="Arial"/>
          <w:sz w:val="24"/>
          <w:szCs w:val="24"/>
          <w:lang w:val="es-ES_tradnl"/>
        </w:rPr>
        <w:t xml:space="preserve">. </w:t>
      </w:r>
    </w:p>
    <w:p w:rsidR="005106E4" w:rsidRPr="009E099B" w:rsidRDefault="005106E4" w:rsidP="005106E4">
      <w:pPr>
        <w:pStyle w:val="Default"/>
        <w:rPr>
          <w:rFonts w:cs="Arial"/>
          <w:bCs/>
          <w:lang w:val="es-ES_tradnl"/>
        </w:rPr>
      </w:pPr>
    </w:p>
    <w:p w:rsidR="005106E4" w:rsidRPr="00503377" w:rsidRDefault="005106E4" w:rsidP="005106E4">
      <w:pPr>
        <w:pStyle w:val="Default"/>
        <w:rPr>
          <w:rFonts w:cs="Arial"/>
          <w:b/>
          <w:bCs/>
        </w:rPr>
      </w:pPr>
      <w:proofErr w:type="spellStart"/>
      <w:r>
        <w:rPr>
          <w:rFonts w:cs="Arial"/>
          <w:b/>
          <w:bCs/>
        </w:rPr>
        <w:t>Sobre</w:t>
      </w:r>
      <w:proofErr w:type="spellEnd"/>
      <w:r w:rsidRPr="00503377">
        <w:rPr>
          <w:rFonts w:cs="Arial"/>
          <w:b/>
          <w:bCs/>
        </w:rPr>
        <w:t xml:space="preserve"> </w:t>
      </w:r>
      <w:proofErr w:type="spellStart"/>
      <w:r w:rsidRPr="00503377">
        <w:rPr>
          <w:rFonts w:cs="Arial"/>
          <w:b/>
          <w:bCs/>
        </w:rPr>
        <w:t>GeSI</w:t>
      </w:r>
      <w:proofErr w:type="spellEnd"/>
      <w:r w:rsidRPr="00503377">
        <w:rPr>
          <w:rFonts w:cs="Arial"/>
          <w:b/>
          <w:bCs/>
        </w:rPr>
        <w:t xml:space="preserve"> (Global e-Sustainability Initiative) </w:t>
      </w:r>
    </w:p>
    <w:p w:rsidR="005106E4" w:rsidRPr="00503377" w:rsidRDefault="005106E4" w:rsidP="005106E4">
      <w:pPr>
        <w:pStyle w:val="Default"/>
        <w:rPr>
          <w:rFonts w:cs="Arial"/>
          <w:b/>
        </w:rPr>
      </w:pPr>
    </w:p>
    <w:p w:rsidR="005106E4" w:rsidRPr="001A200A" w:rsidRDefault="005106E4" w:rsidP="005106E4">
      <w:pPr>
        <w:jc w:val="both"/>
        <w:rPr>
          <w:rFonts w:cs="Arial"/>
          <w:sz w:val="24"/>
          <w:szCs w:val="24"/>
          <w:lang w:val="es-ES"/>
        </w:rPr>
      </w:pPr>
      <w:r w:rsidRPr="001A200A">
        <w:rPr>
          <w:rFonts w:cs="Arial"/>
          <w:sz w:val="24"/>
          <w:szCs w:val="24"/>
          <w:lang w:val="es-ES"/>
        </w:rPr>
        <w:t xml:space="preserve">La </w:t>
      </w:r>
      <w:hyperlink r:id="rId12" w:history="1">
        <w:r w:rsidRPr="001416D7">
          <w:rPr>
            <w:rStyle w:val="Hyperlink"/>
            <w:rFonts w:cs="Arial"/>
            <w:sz w:val="24"/>
            <w:szCs w:val="24"/>
            <w:lang w:val="es-ES_tradnl"/>
          </w:rPr>
          <w:t>Global e-</w:t>
        </w:r>
        <w:proofErr w:type="spellStart"/>
        <w:r w:rsidRPr="001416D7">
          <w:rPr>
            <w:rStyle w:val="Hyperlink"/>
            <w:rFonts w:cs="Arial"/>
            <w:sz w:val="24"/>
            <w:szCs w:val="24"/>
            <w:lang w:val="es-ES_tradnl"/>
          </w:rPr>
          <w:t>Sustainability</w:t>
        </w:r>
        <w:proofErr w:type="spellEnd"/>
        <w:r w:rsidRPr="001416D7">
          <w:rPr>
            <w:rStyle w:val="Hyperlink"/>
            <w:rFonts w:cs="Arial"/>
            <w:sz w:val="24"/>
            <w:szCs w:val="24"/>
            <w:lang w:val="es-ES_tradnl"/>
          </w:rPr>
          <w:t xml:space="preserve"> </w:t>
        </w:r>
        <w:proofErr w:type="spellStart"/>
        <w:r w:rsidRPr="001416D7">
          <w:rPr>
            <w:rStyle w:val="Hyperlink"/>
            <w:rFonts w:cs="Arial"/>
            <w:sz w:val="24"/>
            <w:szCs w:val="24"/>
            <w:lang w:val="es-ES_tradnl"/>
          </w:rPr>
          <w:t>Initiative</w:t>
        </w:r>
        <w:proofErr w:type="spellEnd"/>
        <w:r w:rsidRPr="001416D7">
          <w:rPr>
            <w:rStyle w:val="Hyperlink"/>
            <w:rFonts w:cs="Arial"/>
            <w:sz w:val="24"/>
            <w:szCs w:val="24"/>
            <w:lang w:val="es-ES_tradnl"/>
          </w:rPr>
          <w:t xml:space="preserve"> (</w:t>
        </w:r>
        <w:proofErr w:type="spellStart"/>
        <w:r w:rsidRPr="001416D7">
          <w:rPr>
            <w:rStyle w:val="Hyperlink"/>
            <w:rFonts w:cs="Arial"/>
            <w:sz w:val="24"/>
            <w:szCs w:val="24"/>
            <w:lang w:val="es-ES_tradnl"/>
          </w:rPr>
          <w:t>GeSI</w:t>
        </w:r>
        <w:proofErr w:type="spellEnd"/>
        <w:r w:rsidRPr="001416D7">
          <w:rPr>
            <w:rStyle w:val="Hyperlink"/>
            <w:rFonts w:cs="Arial"/>
            <w:sz w:val="24"/>
            <w:szCs w:val="24"/>
            <w:lang w:val="es-ES_tradnl"/>
          </w:rPr>
          <w:t>)</w:t>
        </w:r>
      </w:hyperlink>
      <w:r w:rsidRPr="001416D7">
        <w:rPr>
          <w:rFonts w:cs="Arial"/>
          <w:sz w:val="24"/>
          <w:szCs w:val="24"/>
          <w:lang w:val="es-ES_tradnl"/>
        </w:rPr>
        <w:t xml:space="preserve"> </w:t>
      </w:r>
      <w:r w:rsidRPr="001A200A">
        <w:rPr>
          <w:rFonts w:cs="Arial"/>
          <w:sz w:val="24"/>
          <w:szCs w:val="24"/>
          <w:lang w:val="es-ES"/>
        </w:rPr>
        <w:t xml:space="preserve">es una alianza estratégica </w:t>
      </w:r>
      <w:r>
        <w:rPr>
          <w:rFonts w:cs="Arial"/>
          <w:sz w:val="24"/>
          <w:szCs w:val="24"/>
          <w:lang w:val="es-ES"/>
        </w:rPr>
        <w:t xml:space="preserve">de </w:t>
      </w:r>
      <w:r w:rsidRPr="001A200A">
        <w:rPr>
          <w:rFonts w:cs="Arial"/>
          <w:sz w:val="24"/>
          <w:szCs w:val="24"/>
          <w:lang w:val="es-ES"/>
        </w:rPr>
        <w:t>empresas y organizaciones de</w:t>
      </w:r>
      <w:r>
        <w:rPr>
          <w:rFonts w:cs="Arial"/>
          <w:sz w:val="24"/>
          <w:szCs w:val="24"/>
          <w:lang w:val="es-ES"/>
        </w:rPr>
        <w:t>l ámbito de las</w:t>
      </w:r>
      <w:r w:rsidRPr="001A200A">
        <w:rPr>
          <w:rFonts w:cs="Arial"/>
          <w:sz w:val="24"/>
          <w:szCs w:val="24"/>
          <w:lang w:val="es-ES"/>
        </w:rPr>
        <w:t xml:space="preserve"> Tecnologías de la Información y </w:t>
      </w:r>
      <w:r>
        <w:rPr>
          <w:rFonts w:cs="Arial"/>
          <w:sz w:val="24"/>
          <w:szCs w:val="24"/>
          <w:lang w:val="es-ES"/>
        </w:rPr>
        <w:t xml:space="preserve">la </w:t>
      </w:r>
      <w:r w:rsidRPr="001A200A">
        <w:rPr>
          <w:rFonts w:cs="Arial"/>
          <w:sz w:val="24"/>
          <w:szCs w:val="24"/>
          <w:lang w:val="es-ES"/>
        </w:rPr>
        <w:t>Comunicación de (</w:t>
      </w:r>
      <w:proofErr w:type="spellStart"/>
      <w:r w:rsidRPr="001A200A">
        <w:rPr>
          <w:rFonts w:cs="Arial"/>
          <w:sz w:val="24"/>
          <w:szCs w:val="24"/>
          <w:lang w:val="es-ES"/>
        </w:rPr>
        <w:t>TICs</w:t>
      </w:r>
      <w:proofErr w:type="spellEnd"/>
      <w:r w:rsidRPr="001A200A">
        <w:rPr>
          <w:rFonts w:cs="Arial"/>
          <w:sz w:val="24"/>
          <w:szCs w:val="24"/>
          <w:lang w:val="es-ES"/>
        </w:rPr>
        <w:t>) comprometid</w:t>
      </w:r>
      <w:r>
        <w:rPr>
          <w:rFonts w:cs="Arial"/>
          <w:sz w:val="24"/>
          <w:szCs w:val="24"/>
          <w:lang w:val="es-ES"/>
        </w:rPr>
        <w:t>a</w:t>
      </w:r>
      <w:r w:rsidRPr="001A200A">
        <w:rPr>
          <w:rFonts w:cs="Arial"/>
          <w:sz w:val="24"/>
          <w:szCs w:val="24"/>
          <w:lang w:val="es-ES"/>
        </w:rPr>
        <w:t xml:space="preserve">s con la creación y promoción de tecnologías y prácticas para fomentar la sostenibilidad económica, ambiental y social. Formada en 2001, la visión de </w:t>
      </w:r>
      <w:proofErr w:type="spellStart"/>
      <w:r w:rsidRPr="001A200A">
        <w:rPr>
          <w:rFonts w:cs="Arial"/>
          <w:sz w:val="24"/>
          <w:szCs w:val="24"/>
          <w:lang w:val="es-ES"/>
        </w:rPr>
        <w:t>GeSI</w:t>
      </w:r>
      <w:proofErr w:type="spellEnd"/>
      <w:r w:rsidRPr="001A200A">
        <w:rPr>
          <w:rFonts w:cs="Arial"/>
          <w:sz w:val="24"/>
          <w:szCs w:val="24"/>
          <w:lang w:val="es-ES"/>
        </w:rPr>
        <w:t xml:space="preserve"> es</w:t>
      </w:r>
      <w:r>
        <w:rPr>
          <w:rFonts w:cs="Arial"/>
          <w:sz w:val="24"/>
          <w:szCs w:val="24"/>
          <w:lang w:val="es-ES"/>
        </w:rPr>
        <w:t xml:space="preserve"> la de</w:t>
      </w:r>
      <w:r w:rsidRPr="001A200A">
        <w:rPr>
          <w:rFonts w:cs="Arial"/>
          <w:sz w:val="24"/>
          <w:szCs w:val="24"/>
          <w:lang w:val="es-ES"/>
        </w:rPr>
        <w:t xml:space="preserve"> un mundo sostenible a través de </w:t>
      </w:r>
      <w:r>
        <w:rPr>
          <w:rFonts w:cs="Arial"/>
          <w:sz w:val="24"/>
          <w:szCs w:val="24"/>
          <w:lang w:val="es-ES"/>
        </w:rPr>
        <w:t xml:space="preserve">una </w:t>
      </w:r>
      <w:r w:rsidRPr="001A200A">
        <w:rPr>
          <w:rFonts w:cs="Arial"/>
          <w:sz w:val="24"/>
          <w:szCs w:val="24"/>
          <w:lang w:val="es-ES"/>
        </w:rPr>
        <w:t xml:space="preserve">transformación responsable </w:t>
      </w:r>
      <w:r>
        <w:rPr>
          <w:rFonts w:cs="Arial"/>
          <w:sz w:val="24"/>
          <w:szCs w:val="24"/>
          <w:lang w:val="es-ES"/>
        </w:rPr>
        <w:t xml:space="preserve">gracias a las </w:t>
      </w:r>
      <w:r w:rsidRPr="001A200A">
        <w:rPr>
          <w:rFonts w:cs="Arial"/>
          <w:sz w:val="24"/>
          <w:szCs w:val="24"/>
          <w:lang w:val="es-ES"/>
        </w:rPr>
        <w:t xml:space="preserve">TIC. </w:t>
      </w:r>
      <w:proofErr w:type="spellStart"/>
      <w:r w:rsidRPr="001A200A">
        <w:rPr>
          <w:rFonts w:cs="Arial"/>
          <w:sz w:val="24"/>
          <w:szCs w:val="24"/>
          <w:lang w:val="es-ES"/>
        </w:rPr>
        <w:t>GeSI</w:t>
      </w:r>
      <w:proofErr w:type="spellEnd"/>
      <w:r w:rsidRPr="001A200A">
        <w:rPr>
          <w:rFonts w:cs="Arial"/>
          <w:sz w:val="24"/>
          <w:szCs w:val="24"/>
          <w:lang w:val="es-ES"/>
        </w:rPr>
        <w:t xml:space="preserve"> fomenta la cooperación global y abierta, informa al público de las actividades de sus miembros para mejorar su desempeño en sostenibilidad y promueve tecnologías innovadoras para el desarrollo sostenible.</w:t>
      </w:r>
    </w:p>
    <w:p w:rsidR="005106E4" w:rsidRPr="001A200A" w:rsidRDefault="005106E4" w:rsidP="005106E4">
      <w:pPr>
        <w:jc w:val="both"/>
        <w:rPr>
          <w:rFonts w:cs="Arial"/>
          <w:sz w:val="24"/>
          <w:szCs w:val="24"/>
          <w:lang w:val="es-ES_tradnl"/>
        </w:rPr>
      </w:pPr>
      <w:r w:rsidRPr="001A200A">
        <w:rPr>
          <w:rFonts w:cs="Arial"/>
          <w:sz w:val="24"/>
          <w:szCs w:val="24"/>
          <w:lang w:val="es-ES"/>
        </w:rPr>
        <w:t xml:space="preserve">Más de 30 de las empresas TIC más importantes del mundo son miembros de </w:t>
      </w:r>
      <w:proofErr w:type="spellStart"/>
      <w:r w:rsidRPr="001A200A">
        <w:rPr>
          <w:rFonts w:cs="Arial"/>
          <w:sz w:val="24"/>
          <w:szCs w:val="24"/>
          <w:lang w:val="es-ES"/>
        </w:rPr>
        <w:t>Ge</w:t>
      </w:r>
      <w:r>
        <w:rPr>
          <w:rFonts w:cs="Arial"/>
          <w:sz w:val="24"/>
          <w:szCs w:val="24"/>
          <w:lang w:val="es-ES"/>
        </w:rPr>
        <w:t>S</w:t>
      </w:r>
      <w:r w:rsidRPr="001A200A">
        <w:rPr>
          <w:rFonts w:cs="Arial"/>
          <w:sz w:val="24"/>
          <w:szCs w:val="24"/>
          <w:lang w:val="es-ES"/>
        </w:rPr>
        <w:t>I</w:t>
      </w:r>
      <w:proofErr w:type="spellEnd"/>
      <w:r w:rsidRPr="001A200A">
        <w:rPr>
          <w:rFonts w:cs="Arial"/>
          <w:sz w:val="24"/>
          <w:szCs w:val="24"/>
          <w:lang w:val="es-ES"/>
        </w:rPr>
        <w:t xml:space="preserve">. La organización también colabora con una amplia gama de actores internacionales comprometidos con los objetivos de sostenibilidad de las TIC. Estas asociaciones incluyen el Programa de las Naciones Unidas para el Medio Ambiente (PNUMA), la Convención Marco de las Naciones Unidas sobre el Cambio Climático (CMNUCC), la Unión </w:t>
      </w:r>
      <w:r>
        <w:rPr>
          <w:rFonts w:cs="Arial"/>
          <w:sz w:val="24"/>
          <w:szCs w:val="24"/>
          <w:lang w:val="es-ES"/>
        </w:rPr>
        <w:t xml:space="preserve">Internacional </w:t>
      </w:r>
      <w:r w:rsidRPr="001A200A">
        <w:rPr>
          <w:rFonts w:cs="Arial"/>
          <w:sz w:val="24"/>
          <w:szCs w:val="24"/>
          <w:lang w:val="es-ES"/>
        </w:rPr>
        <w:t xml:space="preserve">de Telecomunicaciones (UIT), y el Consejo Empresarial Mundial para el Desarrollo Sostenible (WBCSD). Estas colaboraciones ayudan a modelar </w:t>
      </w:r>
      <w:r>
        <w:rPr>
          <w:rFonts w:cs="Arial"/>
          <w:sz w:val="24"/>
          <w:szCs w:val="24"/>
          <w:lang w:val="es-ES"/>
        </w:rPr>
        <w:t xml:space="preserve">la </w:t>
      </w:r>
      <w:r w:rsidRPr="001A200A">
        <w:rPr>
          <w:rFonts w:cs="Arial"/>
          <w:sz w:val="24"/>
          <w:szCs w:val="24"/>
          <w:lang w:val="es-ES"/>
        </w:rPr>
        <w:t xml:space="preserve">visión mundial de </w:t>
      </w:r>
      <w:proofErr w:type="spellStart"/>
      <w:r w:rsidRPr="001A200A">
        <w:rPr>
          <w:rFonts w:cs="Arial"/>
          <w:sz w:val="24"/>
          <w:szCs w:val="24"/>
          <w:lang w:val="es-ES"/>
        </w:rPr>
        <w:t>GeSI</w:t>
      </w:r>
      <w:proofErr w:type="spellEnd"/>
      <w:r w:rsidRPr="001A200A">
        <w:rPr>
          <w:rFonts w:cs="Arial"/>
          <w:sz w:val="24"/>
          <w:szCs w:val="24"/>
          <w:lang w:val="es-ES"/>
        </w:rPr>
        <w:t xml:space="preserve"> sobre la evolución del sector de las TIC, y cómo se pueden afrontar mejor los desafíos del desarrollo sostenible. Para obtener más información, mire </w:t>
      </w:r>
      <w:hyperlink r:id="rId13" w:history="1">
        <w:r w:rsidRPr="009049AF">
          <w:rPr>
            <w:rStyle w:val="Hyperlink"/>
            <w:rFonts w:cs="Arial"/>
            <w:sz w:val="24"/>
            <w:szCs w:val="24"/>
            <w:lang w:val="es-ES_tradnl"/>
          </w:rPr>
          <w:t>www.gesi.org</w:t>
        </w:r>
      </w:hyperlink>
      <w:r w:rsidRPr="0012184E">
        <w:rPr>
          <w:rFonts w:cs="Arial"/>
          <w:sz w:val="24"/>
          <w:szCs w:val="24"/>
          <w:lang w:val="es-ES_tradnl"/>
        </w:rPr>
        <w:t>.</w:t>
      </w:r>
    </w:p>
    <w:p w:rsidR="005106E4" w:rsidRDefault="005106E4" w:rsidP="005106E4">
      <w:pPr>
        <w:rPr>
          <w:rFonts w:cs="Arial"/>
          <w:b/>
          <w:sz w:val="24"/>
          <w:szCs w:val="24"/>
          <w:lang w:val="es-ES_tradnl"/>
        </w:rPr>
      </w:pPr>
    </w:p>
    <w:p w:rsidR="005106E4" w:rsidRPr="0012184E" w:rsidRDefault="005106E4" w:rsidP="005106E4">
      <w:pPr>
        <w:rPr>
          <w:rFonts w:cs="Arial"/>
          <w:b/>
          <w:sz w:val="24"/>
          <w:szCs w:val="24"/>
          <w:lang w:val="es-ES_tradnl"/>
        </w:rPr>
      </w:pPr>
      <w:r>
        <w:rPr>
          <w:rFonts w:cs="Arial"/>
          <w:b/>
          <w:sz w:val="24"/>
          <w:szCs w:val="24"/>
          <w:lang w:val="es-ES_tradnl"/>
        </w:rPr>
        <w:t>Sobre</w:t>
      </w:r>
      <w:r w:rsidRPr="0012184E">
        <w:rPr>
          <w:rFonts w:cs="Arial"/>
          <w:b/>
          <w:sz w:val="24"/>
          <w:szCs w:val="24"/>
          <w:lang w:val="es-ES_tradnl"/>
        </w:rPr>
        <w:t xml:space="preserve"> </w:t>
      </w:r>
      <w:proofErr w:type="spellStart"/>
      <w:r w:rsidRPr="0012184E">
        <w:rPr>
          <w:rFonts w:cs="Arial"/>
          <w:b/>
          <w:sz w:val="24"/>
          <w:szCs w:val="24"/>
          <w:lang w:val="es-ES_tradnl"/>
        </w:rPr>
        <w:t>Accenture</w:t>
      </w:r>
      <w:proofErr w:type="spellEnd"/>
      <w:r w:rsidRPr="0012184E">
        <w:rPr>
          <w:rFonts w:cs="Arial"/>
          <w:b/>
          <w:sz w:val="24"/>
          <w:szCs w:val="24"/>
          <w:lang w:val="es-ES_tradnl"/>
        </w:rPr>
        <w:t xml:space="preserve"> </w:t>
      </w:r>
    </w:p>
    <w:p w:rsidR="005106E4" w:rsidRPr="001A200A" w:rsidRDefault="005106E4" w:rsidP="005106E4">
      <w:pPr>
        <w:jc w:val="both"/>
        <w:rPr>
          <w:rFonts w:cs="Arial"/>
          <w:color w:val="222222"/>
          <w:sz w:val="24"/>
          <w:szCs w:val="24"/>
          <w:lang w:val="es-ES"/>
        </w:rPr>
      </w:pPr>
      <w:proofErr w:type="spellStart"/>
      <w:r w:rsidRPr="001A200A">
        <w:rPr>
          <w:rFonts w:cs="Arial"/>
          <w:sz w:val="24"/>
          <w:szCs w:val="24"/>
          <w:lang w:val="es-ES"/>
        </w:rPr>
        <w:t>Accenture</w:t>
      </w:r>
      <w:proofErr w:type="spellEnd"/>
      <w:r w:rsidRPr="001A200A">
        <w:rPr>
          <w:rFonts w:cs="Arial"/>
          <w:sz w:val="24"/>
          <w:szCs w:val="24"/>
          <w:lang w:val="es-ES"/>
        </w:rPr>
        <w:t xml:space="preserve"> es una compañía global de consultoría de gestión, servicios tecnológicos y </w:t>
      </w:r>
      <w:proofErr w:type="spellStart"/>
      <w:r w:rsidRPr="001A200A">
        <w:rPr>
          <w:rFonts w:cs="Arial"/>
          <w:sz w:val="24"/>
          <w:szCs w:val="24"/>
          <w:lang w:val="es-ES"/>
        </w:rPr>
        <w:t>outsourcing</w:t>
      </w:r>
      <w:proofErr w:type="spellEnd"/>
      <w:r w:rsidRPr="001A200A">
        <w:rPr>
          <w:rFonts w:cs="Arial"/>
          <w:sz w:val="24"/>
          <w:szCs w:val="24"/>
          <w:lang w:val="es-ES"/>
        </w:rPr>
        <w:t xml:space="preserve">, con más de 323.000 </w:t>
      </w:r>
      <w:r>
        <w:rPr>
          <w:rFonts w:cs="Arial"/>
          <w:sz w:val="24"/>
          <w:szCs w:val="24"/>
          <w:lang w:val="es-ES"/>
        </w:rPr>
        <w:t xml:space="preserve">empleados que atienden a clientes </w:t>
      </w:r>
      <w:r w:rsidRPr="001A200A">
        <w:rPr>
          <w:rFonts w:cs="Arial"/>
          <w:sz w:val="24"/>
          <w:szCs w:val="24"/>
          <w:lang w:val="es-ES"/>
        </w:rPr>
        <w:t xml:space="preserve">en más de 120 países. Combinando una experiencia incomparable, amplias capacidades en todas las industrias y funciones de negocios y una amplia investigación sobre las empresas con más éxito del mundo, </w:t>
      </w:r>
      <w:proofErr w:type="spellStart"/>
      <w:r w:rsidRPr="001A200A">
        <w:rPr>
          <w:rFonts w:cs="Arial"/>
          <w:sz w:val="24"/>
          <w:szCs w:val="24"/>
          <w:lang w:val="es-ES"/>
        </w:rPr>
        <w:t>Accenture</w:t>
      </w:r>
      <w:proofErr w:type="spellEnd"/>
      <w:r w:rsidRPr="001A200A">
        <w:rPr>
          <w:rFonts w:cs="Arial"/>
          <w:sz w:val="24"/>
          <w:szCs w:val="24"/>
          <w:lang w:val="es-ES"/>
        </w:rPr>
        <w:t xml:space="preserve"> colabora con sus clientes para ayudarles a convertirse en empresas </w:t>
      </w:r>
      <w:r w:rsidRPr="00C00404">
        <w:rPr>
          <w:rFonts w:cs="Arial"/>
          <w:sz w:val="24"/>
          <w:szCs w:val="24"/>
          <w:lang w:val="es-ES"/>
        </w:rPr>
        <w:t>y gobiernos</w:t>
      </w:r>
      <w:r w:rsidRPr="001A200A">
        <w:rPr>
          <w:rFonts w:cs="Arial"/>
          <w:sz w:val="24"/>
          <w:szCs w:val="24"/>
          <w:lang w:val="es-ES"/>
        </w:rPr>
        <w:t xml:space="preserve"> de alto rendimiento. La compañía generó unos ingresos netos de 30</w:t>
      </w:r>
      <w:r>
        <w:rPr>
          <w:rFonts w:cs="Arial"/>
          <w:sz w:val="24"/>
          <w:szCs w:val="24"/>
          <w:lang w:val="es-ES"/>
        </w:rPr>
        <w:t>.000</w:t>
      </w:r>
      <w:r w:rsidRPr="001A200A">
        <w:rPr>
          <w:rFonts w:cs="Arial"/>
          <w:sz w:val="24"/>
          <w:szCs w:val="24"/>
          <w:lang w:val="es-ES"/>
        </w:rPr>
        <w:t xml:space="preserve"> millones de dólares en el año fiscal que terminó el 31 de agosto de 2014. Su página web es</w:t>
      </w:r>
      <w:r w:rsidRPr="001A200A">
        <w:rPr>
          <w:rFonts w:cs="Arial"/>
          <w:color w:val="222222"/>
          <w:sz w:val="24"/>
          <w:szCs w:val="24"/>
          <w:lang w:val="es-ES"/>
        </w:rPr>
        <w:t xml:space="preserve"> </w:t>
      </w:r>
      <w:hyperlink r:id="rId14" w:history="1">
        <w:r w:rsidRPr="0012184E">
          <w:rPr>
            <w:rFonts w:cs="Arial"/>
            <w:color w:val="FF3366"/>
            <w:sz w:val="24"/>
            <w:szCs w:val="24"/>
            <w:lang w:val="es-ES_tradnl"/>
          </w:rPr>
          <w:t>www.accenture.com</w:t>
        </w:r>
      </w:hyperlink>
      <w:r w:rsidRPr="0012184E">
        <w:rPr>
          <w:rFonts w:cs="Arial"/>
          <w:color w:val="FF3366"/>
          <w:sz w:val="24"/>
          <w:szCs w:val="24"/>
          <w:lang w:val="es-ES_tradnl"/>
        </w:rPr>
        <w:t>.</w:t>
      </w:r>
    </w:p>
    <w:p w:rsidR="005106E4" w:rsidRPr="001A200A" w:rsidRDefault="005106E4" w:rsidP="005106E4">
      <w:pPr>
        <w:jc w:val="both"/>
        <w:rPr>
          <w:rFonts w:cs="Arial"/>
          <w:color w:val="222222"/>
          <w:sz w:val="24"/>
          <w:szCs w:val="24"/>
          <w:lang w:val="es-ES"/>
        </w:rPr>
      </w:pPr>
      <w:proofErr w:type="spellStart"/>
      <w:r w:rsidRPr="001A200A">
        <w:rPr>
          <w:rFonts w:cs="Arial"/>
          <w:sz w:val="24"/>
          <w:szCs w:val="24"/>
          <w:lang w:val="es-ES"/>
        </w:rPr>
        <w:lastRenderedPageBreak/>
        <w:t>Accenture</w:t>
      </w:r>
      <w:proofErr w:type="spellEnd"/>
      <w:r w:rsidRPr="001A200A">
        <w:rPr>
          <w:rFonts w:cs="Arial"/>
          <w:sz w:val="24"/>
          <w:szCs w:val="24"/>
          <w:lang w:val="es-ES"/>
        </w:rPr>
        <w:t xml:space="preserve"> </w:t>
      </w:r>
      <w:r>
        <w:rPr>
          <w:rFonts w:cs="Arial"/>
          <w:sz w:val="24"/>
          <w:szCs w:val="24"/>
          <w:lang w:val="es-ES"/>
        </w:rPr>
        <w:t xml:space="preserve">Estrategia </w:t>
      </w:r>
      <w:r w:rsidRPr="001A200A">
        <w:rPr>
          <w:rFonts w:cs="Arial"/>
          <w:sz w:val="24"/>
          <w:szCs w:val="24"/>
          <w:lang w:val="es-ES"/>
        </w:rPr>
        <w:t xml:space="preserve">opera en la </w:t>
      </w:r>
      <w:r>
        <w:rPr>
          <w:rFonts w:cs="Arial"/>
          <w:sz w:val="24"/>
          <w:szCs w:val="24"/>
          <w:lang w:val="es-ES"/>
        </w:rPr>
        <w:t xml:space="preserve">conexión </w:t>
      </w:r>
      <w:r w:rsidRPr="001A200A">
        <w:rPr>
          <w:rFonts w:cs="Arial"/>
          <w:sz w:val="24"/>
          <w:szCs w:val="24"/>
          <w:lang w:val="es-ES"/>
        </w:rPr>
        <w:t xml:space="preserve">de los negocios y la tecnología. Reunimos nuestras capacidades en negocios, tecnología, operaciones y estrategia de función para ayudar a nuestros clientes </w:t>
      </w:r>
      <w:r>
        <w:rPr>
          <w:rFonts w:cs="Arial"/>
          <w:sz w:val="24"/>
          <w:szCs w:val="24"/>
          <w:lang w:val="es-ES"/>
        </w:rPr>
        <w:t xml:space="preserve">a planear </w:t>
      </w:r>
      <w:r w:rsidRPr="001A200A">
        <w:rPr>
          <w:rFonts w:cs="Arial"/>
          <w:sz w:val="24"/>
          <w:szCs w:val="24"/>
          <w:lang w:val="es-ES"/>
        </w:rPr>
        <w:t>y ejecutar estrategias específicas de</w:t>
      </w:r>
      <w:r>
        <w:rPr>
          <w:rFonts w:cs="Arial"/>
          <w:sz w:val="24"/>
          <w:szCs w:val="24"/>
          <w:lang w:val="es-ES"/>
        </w:rPr>
        <w:t xml:space="preserve"> su </w:t>
      </w:r>
      <w:r w:rsidRPr="001A200A">
        <w:rPr>
          <w:rFonts w:cs="Arial"/>
          <w:sz w:val="24"/>
          <w:szCs w:val="24"/>
          <w:lang w:val="es-ES"/>
        </w:rPr>
        <w:t xml:space="preserve">sector que apoyan grandes transformaciones de la empresa. Nuestro enfoque en temas relacionados con la </w:t>
      </w:r>
      <w:r>
        <w:rPr>
          <w:rFonts w:cs="Arial"/>
          <w:sz w:val="24"/>
          <w:szCs w:val="24"/>
          <w:lang w:val="es-ES"/>
        </w:rPr>
        <w:t>innovación</w:t>
      </w:r>
      <w:r w:rsidRPr="001A200A">
        <w:rPr>
          <w:rFonts w:cs="Arial"/>
          <w:sz w:val="24"/>
          <w:szCs w:val="24"/>
          <w:lang w:val="es-ES"/>
        </w:rPr>
        <w:t xml:space="preserve"> digital, competitividad, modelos operativos globales, el talento y liderazgo ayudan a </w:t>
      </w:r>
      <w:r>
        <w:rPr>
          <w:rFonts w:cs="Arial"/>
          <w:sz w:val="24"/>
          <w:szCs w:val="24"/>
          <w:lang w:val="es-ES"/>
        </w:rPr>
        <w:t>promover</w:t>
      </w:r>
      <w:r w:rsidRPr="001A200A">
        <w:rPr>
          <w:rFonts w:cs="Arial"/>
          <w:sz w:val="24"/>
          <w:szCs w:val="24"/>
          <w:lang w:val="es-ES"/>
        </w:rPr>
        <w:t xml:space="preserve"> tanto la eficiencia como el crecimiento. Para obtener más información</w:t>
      </w:r>
      <w:r w:rsidRPr="001A200A">
        <w:rPr>
          <w:rFonts w:cs="Arial"/>
          <w:color w:val="222222"/>
          <w:sz w:val="24"/>
          <w:szCs w:val="24"/>
          <w:lang w:val="es-ES"/>
        </w:rPr>
        <w:t xml:space="preserve">, </w:t>
      </w:r>
      <w:r w:rsidRPr="001A200A">
        <w:rPr>
          <w:rFonts w:cs="Arial"/>
          <w:sz w:val="24"/>
          <w:szCs w:val="24"/>
          <w:lang w:val="es-ES"/>
        </w:rPr>
        <w:t xml:space="preserve">siga </w:t>
      </w:r>
      <w:r w:rsidRPr="00C00404">
        <w:rPr>
          <w:rFonts w:cs="Arial"/>
          <w:sz w:val="24"/>
          <w:szCs w:val="24"/>
          <w:lang w:val="es-ES_tradnl"/>
        </w:rPr>
        <w:t>@</w:t>
      </w:r>
      <w:proofErr w:type="spellStart"/>
      <w:r w:rsidRPr="00C00404">
        <w:rPr>
          <w:rFonts w:cs="Arial"/>
          <w:sz w:val="24"/>
          <w:szCs w:val="24"/>
          <w:lang w:val="es-ES_tradnl"/>
        </w:rPr>
        <w:t>AccentureStrat</w:t>
      </w:r>
      <w:proofErr w:type="spellEnd"/>
      <w:r w:rsidRPr="00C00404">
        <w:rPr>
          <w:rFonts w:cs="Arial"/>
          <w:sz w:val="24"/>
          <w:szCs w:val="24"/>
          <w:lang w:val="es-ES_tradnl"/>
        </w:rPr>
        <w:t xml:space="preserve"> o visit</w:t>
      </w:r>
      <w:r>
        <w:rPr>
          <w:rFonts w:cs="Arial"/>
          <w:sz w:val="24"/>
          <w:szCs w:val="24"/>
          <w:lang w:val="es-ES_tradnl"/>
        </w:rPr>
        <w:t>e</w:t>
      </w:r>
      <w:r w:rsidRPr="00C00404">
        <w:rPr>
          <w:rFonts w:cs="Arial"/>
          <w:sz w:val="24"/>
          <w:szCs w:val="24"/>
          <w:lang w:val="es-ES_tradnl"/>
        </w:rPr>
        <w:t xml:space="preserve"> </w:t>
      </w:r>
      <w:hyperlink r:id="rId15" w:history="1">
        <w:r w:rsidRPr="00C00404">
          <w:rPr>
            <w:rStyle w:val="Hyperlink"/>
            <w:rFonts w:cs="Arial"/>
            <w:sz w:val="24"/>
            <w:szCs w:val="24"/>
            <w:lang w:val="es-ES_tradnl"/>
          </w:rPr>
          <w:t>www.accenture.com/strategy.</w:t>
        </w:r>
      </w:hyperlink>
    </w:p>
    <w:p w:rsidR="005106E4" w:rsidRPr="002F6963" w:rsidRDefault="005106E4" w:rsidP="005106E4">
      <w:pPr>
        <w:rPr>
          <w:rFonts w:cs="Arial"/>
          <w:b/>
          <w:sz w:val="24"/>
          <w:szCs w:val="24"/>
        </w:rPr>
      </w:pPr>
      <w:proofErr w:type="spellStart"/>
      <w:r w:rsidRPr="002F6963">
        <w:rPr>
          <w:rFonts w:cs="Arial"/>
          <w:b/>
          <w:sz w:val="24"/>
          <w:szCs w:val="24"/>
        </w:rPr>
        <w:t>Contact</w:t>
      </w:r>
      <w:r>
        <w:rPr>
          <w:rFonts w:cs="Arial"/>
          <w:b/>
          <w:sz w:val="24"/>
          <w:szCs w:val="24"/>
        </w:rPr>
        <w:t>o</w:t>
      </w:r>
      <w:r w:rsidRPr="002F6963">
        <w:rPr>
          <w:rFonts w:cs="Arial"/>
          <w:b/>
          <w:sz w:val="24"/>
          <w:szCs w:val="24"/>
        </w:rPr>
        <w:t>s</w:t>
      </w:r>
      <w:proofErr w:type="spellEnd"/>
      <w:r w:rsidRPr="002F6963">
        <w:rPr>
          <w:rFonts w:cs="Arial"/>
          <w:b/>
          <w:sz w:val="24"/>
          <w:szCs w:val="24"/>
        </w:rPr>
        <w:t xml:space="preserve">: </w:t>
      </w:r>
    </w:p>
    <w:p w:rsidR="005106E4" w:rsidRPr="00565E1E" w:rsidRDefault="005106E4" w:rsidP="005106E4">
      <w:pPr>
        <w:rPr>
          <w:rFonts w:cs="Arial"/>
          <w:color w:val="FF3366"/>
          <w:sz w:val="24"/>
          <w:szCs w:val="24"/>
        </w:rPr>
      </w:pPr>
      <w:r>
        <w:rPr>
          <w:rFonts w:cs="Arial"/>
          <w:sz w:val="24"/>
          <w:szCs w:val="24"/>
        </w:rPr>
        <w:t>Chiara Venturini</w:t>
      </w:r>
      <w:r w:rsidRPr="00565E1E">
        <w:rPr>
          <w:rFonts w:cs="Arial"/>
          <w:sz w:val="24"/>
          <w:szCs w:val="24"/>
        </w:rPr>
        <w:br/>
        <w:t>Global e-Sustainability Initiative</w:t>
      </w:r>
      <w:r w:rsidRPr="00565E1E">
        <w:rPr>
          <w:rFonts w:cs="Arial"/>
          <w:sz w:val="24"/>
          <w:szCs w:val="24"/>
        </w:rPr>
        <w:br/>
        <w:t>+ 32 473 450 248</w:t>
      </w:r>
      <w:r w:rsidRPr="00565E1E">
        <w:rPr>
          <w:rFonts w:cs="Arial"/>
          <w:color w:val="666666"/>
          <w:sz w:val="24"/>
          <w:szCs w:val="24"/>
        </w:rPr>
        <w:br/>
      </w:r>
      <w:hyperlink r:id="rId16" w:history="1">
        <w:r w:rsidRPr="00BE3C89">
          <w:rPr>
            <w:rStyle w:val="Hyperlink"/>
            <w:rFonts w:cs="Arial"/>
            <w:sz w:val="24"/>
            <w:szCs w:val="24"/>
          </w:rPr>
          <w:t>chiara.venturini@gesi.org</w:t>
        </w:r>
      </w:hyperlink>
    </w:p>
    <w:p w:rsidR="005106E4" w:rsidRPr="00565E1E" w:rsidRDefault="005106E4" w:rsidP="005106E4">
      <w:pPr>
        <w:rPr>
          <w:rFonts w:cs="Arial"/>
          <w:color w:val="FF3366"/>
          <w:sz w:val="24"/>
          <w:szCs w:val="24"/>
        </w:rPr>
      </w:pPr>
      <w:r w:rsidRPr="00565E1E">
        <w:rPr>
          <w:rFonts w:cs="Arial"/>
          <w:sz w:val="24"/>
          <w:szCs w:val="24"/>
        </w:rPr>
        <w:t>Matthew McGuinness</w:t>
      </w:r>
      <w:r w:rsidRPr="00565E1E">
        <w:rPr>
          <w:rFonts w:cs="Arial"/>
          <w:sz w:val="24"/>
          <w:szCs w:val="24"/>
        </w:rPr>
        <w:br/>
        <w:t>Accenture</w:t>
      </w:r>
      <w:r w:rsidRPr="00565E1E">
        <w:rPr>
          <w:rFonts w:cs="Arial"/>
          <w:sz w:val="24"/>
          <w:szCs w:val="24"/>
        </w:rPr>
        <w:br/>
        <w:t>+ 1 917 282 7187</w:t>
      </w:r>
      <w:r w:rsidRPr="00565E1E">
        <w:rPr>
          <w:rFonts w:cs="Arial"/>
          <w:color w:val="666666"/>
          <w:sz w:val="24"/>
          <w:szCs w:val="24"/>
        </w:rPr>
        <w:br/>
      </w:r>
      <w:hyperlink r:id="rId17" w:history="1">
        <w:r w:rsidRPr="00565E1E">
          <w:rPr>
            <w:rFonts w:cs="Arial"/>
            <w:color w:val="FF3366"/>
            <w:sz w:val="24"/>
            <w:szCs w:val="24"/>
          </w:rPr>
          <w:t>matthew.mcguinness@accenture.com</w:t>
        </w:r>
      </w:hyperlink>
    </w:p>
    <w:p w:rsidR="005106E4" w:rsidRPr="00565E1E" w:rsidRDefault="005106E4" w:rsidP="005106E4">
      <w:pPr>
        <w:rPr>
          <w:rFonts w:cs="Arial"/>
          <w:color w:val="FF3366"/>
          <w:sz w:val="24"/>
          <w:szCs w:val="24"/>
        </w:rPr>
      </w:pPr>
    </w:p>
    <w:p w:rsidR="005106E4" w:rsidRPr="00565E1E" w:rsidRDefault="00DE0D61" w:rsidP="005106E4">
      <w:pPr>
        <w:rPr>
          <w:rFonts w:cs="Arial"/>
          <w:sz w:val="24"/>
          <w:szCs w:val="24"/>
        </w:rPr>
      </w:pPr>
      <w:hyperlink r:id="rId18" w:history="1"/>
    </w:p>
    <w:p w:rsidR="005106E4" w:rsidRDefault="005106E4" w:rsidP="005106E4">
      <w:pPr>
        <w:rPr>
          <w:rFonts w:cs="Arial"/>
          <w:sz w:val="24"/>
          <w:szCs w:val="24"/>
        </w:rPr>
      </w:pPr>
    </w:p>
    <w:p w:rsidR="003C5B06" w:rsidRPr="005106E4" w:rsidRDefault="003C5B06" w:rsidP="005106E4"/>
    <w:sectPr w:rsidR="003C5B06" w:rsidRPr="005106E4" w:rsidSect="00816C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61" w:rsidRDefault="00DE0D61" w:rsidP="005106E4">
      <w:pPr>
        <w:spacing w:after="0" w:line="240" w:lineRule="auto"/>
      </w:pPr>
      <w:r>
        <w:separator/>
      </w:r>
    </w:p>
  </w:endnote>
  <w:endnote w:type="continuationSeparator" w:id="0">
    <w:p w:rsidR="00DE0D61" w:rsidRDefault="00DE0D61" w:rsidP="0051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61" w:rsidRDefault="00DE0D61" w:rsidP="005106E4">
      <w:pPr>
        <w:spacing w:after="0" w:line="240" w:lineRule="auto"/>
      </w:pPr>
      <w:r>
        <w:separator/>
      </w:r>
    </w:p>
  </w:footnote>
  <w:footnote w:type="continuationSeparator" w:id="0">
    <w:p w:rsidR="00DE0D61" w:rsidRDefault="00DE0D61" w:rsidP="005106E4">
      <w:pPr>
        <w:spacing w:after="0" w:line="240" w:lineRule="auto"/>
      </w:pPr>
      <w:r>
        <w:continuationSeparator/>
      </w:r>
    </w:p>
  </w:footnote>
  <w:footnote w:id="1">
    <w:p w:rsidR="005106E4" w:rsidRPr="00080BCF" w:rsidRDefault="005106E4" w:rsidP="005106E4">
      <w:pPr>
        <w:pStyle w:val="FootnoteText"/>
        <w:rPr>
          <w:lang w:val="es-ES_tradnl"/>
        </w:rPr>
      </w:pPr>
      <w:r>
        <w:rPr>
          <w:rStyle w:val="FootnoteReference"/>
        </w:rPr>
        <w:footnoteRef/>
      </w:r>
      <w:r w:rsidRPr="00080BCF">
        <w:rPr>
          <w:lang w:val="es-ES_tradnl"/>
        </w:rPr>
        <w:t xml:space="preserve"> Agencia Internacional de la Energía, More Data </w:t>
      </w:r>
      <w:proofErr w:type="spellStart"/>
      <w:r w:rsidRPr="00080BCF">
        <w:rPr>
          <w:lang w:val="es-ES_tradnl"/>
        </w:rPr>
        <w:t>Less</w:t>
      </w:r>
      <w:proofErr w:type="spellEnd"/>
      <w:r w:rsidRPr="00080BCF">
        <w:rPr>
          <w:lang w:val="es-ES_tradnl"/>
        </w:rPr>
        <w:t xml:space="preserve"> </w:t>
      </w:r>
      <w:proofErr w:type="spellStart"/>
      <w:r w:rsidRPr="00080BCF">
        <w:rPr>
          <w:lang w:val="es-ES_tradnl"/>
        </w:rPr>
        <w:t>Energy</w:t>
      </w:r>
      <w:proofErr w:type="spellEnd"/>
      <w:r w:rsidRPr="00080BCF">
        <w:rPr>
          <w:lang w:val="es-ES_tradnl"/>
        </w:rPr>
        <w:t>,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35147"/>
    <w:multiLevelType w:val="hybridMultilevel"/>
    <w:tmpl w:val="D0388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FE01A7"/>
    <w:multiLevelType w:val="hybridMultilevel"/>
    <w:tmpl w:val="1514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D44D5"/>
    <w:multiLevelType w:val="hybridMultilevel"/>
    <w:tmpl w:val="BF98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E4"/>
    <w:rsid w:val="001D49AA"/>
    <w:rsid w:val="00346C7A"/>
    <w:rsid w:val="00350527"/>
    <w:rsid w:val="003C5B06"/>
    <w:rsid w:val="004A5003"/>
    <w:rsid w:val="005106E4"/>
    <w:rsid w:val="00606BB4"/>
    <w:rsid w:val="007E3A10"/>
    <w:rsid w:val="008745F4"/>
    <w:rsid w:val="00AB50C7"/>
    <w:rsid w:val="00AD7134"/>
    <w:rsid w:val="00B53DD7"/>
    <w:rsid w:val="00DE0D61"/>
    <w:rsid w:val="00F20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E4"/>
    <w:pPr>
      <w:spacing w:after="160" w:line="259"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E4"/>
    <w:pPr>
      <w:ind w:left="720"/>
      <w:contextualSpacing/>
    </w:pPr>
  </w:style>
  <w:style w:type="paragraph" w:customStyle="1" w:styleId="Default">
    <w:name w:val="Default"/>
    <w:rsid w:val="005106E4"/>
    <w:pPr>
      <w:autoSpaceDE w:val="0"/>
      <w:autoSpaceDN w:val="0"/>
      <w:adjustRightInd w:val="0"/>
    </w:pPr>
    <w:rPr>
      <w:rFonts w:ascii="Calibri" w:eastAsia="Calibri" w:hAnsi="Calibri" w:cs="Calibri"/>
      <w:color w:val="000000"/>
      <w:sz w:val="24"/>
      <w:szCs w:val="24"/>
      <w:lang w:val="en-US" w:eastAsia="en-US"/>
    </w:rPr>
  </w:style>
  <w:style w:type="paragraph" w:styleId="FootnoteText">
    <w:name w:val="footnote text"/>
    <w:basedOn w:val="Normal"/>
    <w:link w:val="FootnoteTextChar"/>
    <w:uiPriority w:val="99"/>
    <w:unhideWhenUsed/>
    <w:rsid w:val="005106E4"/>
    <w:pPr>
      <w:spacing w:after="0" w:line="240" w:lineRule="auto"/>
    </w:pPr>
    <w:rPr>
      <w:sz w:val="20"/>
      <w:szCs w:val="20"/>
    </w:rPr>
  </w:style>
  <w:style w:type="character" w:customStyle="1" w:styleId="FootnoteTextChar">
    <w:name w:val="Footnote Text Char"/>
    <w:basedOn w:val="DefaultParagraphFont"/>
    <w:link w:val="FootnoteText"/>
    <w:uiPriority w:val="99"/>
    <w:rsid w:val="005106E4"/>
    <w:rPr>
      <w:rFonts w:ascii="Calibri" w:eastAsia="Calibri" w:hAnsi="Calibri"/>
      <w:lang w:val="en-US" w:eastAsia="en-US"/>
    </w:rPr>
  </w:style>
  <w:style w:type="character" w:styleId="FootnoteReference">
    <w:name w:val="footnote reference"/>
    <w:uiPriority w:val="99"/>
    <w:unhideWhenUsed/>
    <w:rsid w:val="005106E4"/>
    <w:rPr>
      <w:vertAlign w:val="superscript"/>
    </w:rPr>
  </w:style>
  <w:style w:type="character" w:styleId="Hyperlink">
    <w:name w:val="Hyperlink"/>
    <w:uiPriority w:val="99"/>
    <w:unhideWhenUsed/>
    <w:rsid w:val="005106E4"/>
    <w:rPr>
      <w:color w:val="0563C1"/>
      <w:u w:val="single"/>
    </w:rPr>
  </w:style>
  <w:style w:type="paragraph" w:styleId="ListBullet">
    <w:name w:val="List Bullet"/>
    <w:basedOn w:val="Normal"/>
    <w:autoRedefine/>
    <w:qFormat/>
    <w:rsid w:val="005106E4"/>
    <w:pPr>
      <w:spacing w:after="0" w:line="240" w:lineRule="auto"/>
      <w:jc w:val="both"/>
    </w:pPr>
    <w:rPr>
      <w:rFonts w:eastAsia="Times New Roman"/>
      <w:sz w:val="24"/>
      <w:szCs w:val="24"/>
      <w:lang w:val="es-ES_tradnl" w:eastAsia="de-DE"/>
    </w:rPr>
  </w:style>
  <w:style w:type="character" w:customStyle="1" w:styleId="hps">
    <w:name w:val="hps"/>
    <w:rsid w:val="00510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E4"/>
    <w:pPr>
      <w:spacing w:after="160" w:line="259"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E4"/>
    <w:pPr>
      <w:ind w:left="720"/>
      <w:contextualSpacing/>
    </w:pPr>
  </w:style>
  <w:style w:type="paragraph" w:customStyle="1" w:styleId="Default">
    <w:name w:val="Default"/>
    <w:rsid w:val="005106E4"/>
    <w:pPr>
      <w:autoSpaceDE w:val="0"/>
      <w:autoSpaceDN w:val="0"/>
      <w:adjustRightInd w:val="0"/>
    </w:pPr>
    <w:rPr>
      <w:rFonts w:ascii="Calibri" w:eastAsia="Calibri" w:hAnsi="Calibri" w:cs="Calibri"/>
      <w:color w:val="000000"/>
      <w:sz w:val="24"/>
      <w:szCs w:val="24"/>
      <w:lang w:val="en-US" w:eastAsia="en-US"/>
    </w:rPr>
  </w:style>
  <w:style w:type="paragraph" w:styleId="FootnoteText">
    <w:name w:val="footnote text"/>
    <w:basedOn w:val="Normal"/>
    <w:link w:val="FootnoteTextChar"/>
    <w:uiPriority w:val="99"/>
    <w:unhideWhenUsed/>
    <w:rsid w:val="005106E4"/>
    <w:pPr>
      <w:spacing w:after="0" w:line="240" w:lineRule="auto"/>
    </w:pPr>
    <w:rPr>
      <w:sz w:val="20"/>
      <w:szCs w:val="20"/>
    </w:rPr>
  </w:style>
  <w:style w:type="character" w:customStyle="1" w:styleId="FootnoteTextChar">
    <w:name w:val="Footnote Text Char"/>
    <w:basedOn w:val="DefaultParagraphFont"/>
    <w:link w:val="FootnoteText"/>
    <w:uiPriority w:val="99"/>
    <w:rsid w:val="005106E4"/>
    <w:rPr>
      <w:rFonts w:ascii="Calibri" w:eastAsia="Calibri" w:hAnsi="Calibri"/>
      <w:lang w:val="en-US" w:eastAsia="en-US"/>
    </w:rPr>
  </w:style>
  <w:style w:type="character" w:styleId="FootnoteReference">
    <w:name w:val="footnote reference"/>
    <w:uiPriority w:val="99"/>
    <w:unhideWhenUsed/>
    <w:rsid w:val="005106E4"/>
    <w:rPr>
      <w:vertAlign w:val="superscript"/>
    </w:rPr>
  </w:style>
  <w:style w:type="character" w:styleId="Hyperlink">
    <w:name w:val="Hyperlink"/>
    <w:uiPriority w:val="99"/>
    <w:unhideWhenUsed/>
    <w:rsid w:val="005106E4"/>
    <w:rPr>
      <w:color w:val="0563C1"/>
      <w:u w:val="single"/>
    </w:rPr>
  </w:style>
  <w:style w:type="paragraph" w:styleId="ListBullet">
    <w:name w:val="List Bullet"/>
    <w:basedOn w:val="Normal"/>
    <w:autoRedefine/>
    <w:qFormat/>
    <w:rsid w:val="005106E4"/>
    <w:pPr>
      <w:spacing w:after="0" w:line="240" w:lineRule="auto"/>
      <w:jc w:val="both"/>
    </w:pPr>
    <w:rPr>
      <w:rFonts w:eastAsia="Times New Roman"/>
      <w:sz w:val="24"/>
      <w:szCs w:val="24"/>
      <w:lang w:val="es-ES_tradnl" w:eastAsia="de-DE"/>
    </w:rPr>
  </w:style>
  <w:style w:type="character" w:customStyle="1" w:styleId="hps">
    <w:name w:val="hps"/>
    <w:rsid w:val="0051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si.org" TargetMode="External"/><Relationship Id="rId18" Type="http://schemas.openxmlformats.org/officeDocument/2006/relationships/hyperlink" Target="mailto:matthew.mcguinnes@accentur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si.org" TargetMode="External"/><Relationship Id="rId17" Type="http://schemas.openxmlformats.org/officeDocument/2006/relationships/hyperlink" Target="mailto:matthew.mcguinnes@accenture.com" TargetMode="External"/><Relationship Id="rId2" Type="http://schemas.openxmlformats.org/officeDocument/2006/relationships/numbering" Target="numbering.xml"/><Relationship Id="rId16" Type="http://schemas.openxmlformats.org/officeDocument/2006/relationships/hyperlink" Target="mailto:chiara.venturini@ge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nture.com/us-en/strategy/Pages/index.aspx?c=strat_ayranews_10000001&amp;n=otc_0515" TargetMode="External"/><Relationship Id="rId5" Type="http://schemas.openxmlformats.org/officeDocument/2006/relationships/settings" Target="settings.xml"/><Relationship Id="rId15" Type="http://schemas.openxmlformats.org/officeDocument/2006/relationships/hyperlink" Target="http://www.accenture.com/strategy." TargetMode="External"/><Relationship Id="rId10" Type="http://schemas.openxmlformats.org/officeDocument/2006/relationships/hyperlink" Target="http://smarter2030.gesi.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rter2030gesi.org/" TargetMode="External"/><Relationship Id="rId14" Type="http://schemas.openxmlformats.org/officeDocument/2006/relationships/hyperlink" Target="http://www.accen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EE0A-6D87-4775-B125-5F9BB671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Castano Cano</dc:creator>
  <cp:lastModifiedBy>Sarah Marchildon</cp:lastModifiedBy>
  <cp:revision>2</cp:revision>
  <dcterms:created xsi:type="dcterms:W3CDTF">2015-06-09T07:34:00Z</dcterms:created>
  <dcterms:modified xsi:type="dcterms:W3CDTF">2015-06-09T07:34:00Z</dcterms:modified>
</cp:coreProperties>
</file>