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C4447" w14:textId="21151AD8" w:rsidR="004E77B3" w:rsidRPr="00B21D99" w:rsidRDefault="00706D09" w:rsidP="006C6511">
      <w:pPr>
        <w:jc w:val="center"/>
        <w:rPr>
          <w:rFonts w:ascii="Arial" w:hAnsi="Arial" w:cs="Arial"/>
          <w:b/>
          <w:sz w:val="22"/>
        </w:rPr>
      </w:pPr>
      <w:bookmarkStart w:id="0" w:name="_GoBack"/>
      <w:bookmarkEnd w:id="0"/>
      <w:r w:rsidRPr="00B21D99">
        <w:rPr>
          <w:rFonts w:ascii="Arial" w:hAnsi="Arial" w:cs="Arial"/>
          <w:b/>
          <w:sz w:val="22"/>
        </w:rPr>
        <w:t>Submission by the Republic of Korea</w:t>
      </w:r>
    </w:p>
    <w:p w14:paraId="05336E24" w14:textId="4EF5EC9F" w:rsidR="00706D09" w:rsidRPr="00B21D99" w:rsidRDefault="00787637" w:rsidP="006C6511">
      <w:pPr>
        <w:jc w:val="center"/>
        <w:rPr>
          <w:rFonts w:ascii="Arial" w:hAnsi="Arial" w:cs="Arial"/>
          <w:b/>
          <w:sz w:val="22"/>
        </w:rPr>
      </w:pPr>
      <w:r>
        <w:rPr>
          <w:rFonts w:ascii="Arial" w:hAnsi="Arial" w:cs="Arial"/>
          <w:b/>
          <w:sz w:val="22"/>
        </w:rPr>
        <w:t>5</w:t>
      </w:r>
      <w:r w:rsidR="00BE543C" w:rsidRPr="00B21D99">
        <w:rPr>
          <w:rFonts w:ascii="Arial" w:hAnsi="Arial" w:cs="Arial"/>
          <w:b/>
          <w:sz w:val="22"/>
        </w:rPr>
        <w:t xml:space="preserve"> </w:t>
      </w:r>
      <w:r w:rsidR="003F7EB1" w:rsidRPr="00B21D99">
        <w:rPr>
          <w:rFonts w:ascii="Arial" w:hAnsi="Arial" w:cs="Arial"/>
          <w:b/>
          <w:sz w:val="22"/>
        </w:rPr>
        <w:t>June</w:t>
      </w:r>
      <w:r w:rsidR="00706D09" w:rsidRPr="00B21D99">
        <w:rPr>
          <w:rFonts w:ascii="Arial" w:hAnsi="Arial" w:cs="Arial"/>
          <w:b/>
          <w:sz w:val="22"/>
        </w:rPr>
        <w:t xml:space="preserve"> 2023</w:t>
      </w:r>
    </w:p>
    <w:p w14:paraId="41B39A0C" w14:textId="77777777" w:rsidR="00706D09" w:rsidRPr="00B21D99" w:rsidRDefault="00706D09">
      <w:pPr>
        <w:rPr>
          <w:rFonts w:ascii="Arial" w:hAnsi="Arial" w:cs="Arial"/>
          <w:sz w:val="22"/>
        </w:rPr>
      </w:pPr>
    </w:p>
    <w:p w14:paraId="32E2D5A1" w14:textId="6168CA85" w:rsidR="00706D09" w:rsidRPr="00B21D99" w:rsidRDefault="00706D09">
      <w:pPr>
        <w:rPr>
          <w:rFonts w:ascii="Arial" w:hAnsi="Arial" w:cs="Arial"/>
          <w:b/>
          <w:sz w:val="22"/>
        </w:rPr>
      </w:pPr>
      <w:r w:rsidRPr="00B21D99">
        <w:rPr>
          <w:rFonts w:ascii="Arial" w:hAnsi="Arial" w:cs="Arial"/>
          <w:b/>
          <w:sz w:val="22"/>
        </w:rPr>
        <w:t>Views on G</w:t>
      </w:r>
      <w:r w:rsidR="002E4EFA" w:rsidRPr="00B21D99">
        <w:rPr>
          <w:rFonts w:ascii="Arial" w:hAnsi="Arial" w:cs="Arial"/>
          <w:b/>
          <w:sz w:val="22"/>
        </w:rPr>
        <w:t>uidance on cooperative approaches referred to in Article 6, paragraph 2, of the Paris Agreement</w:t>
      </w:r>
    </w:p>
    <w:p w14:paraId="232BC672" w14:textId="77777777" w:rsidR="002E4EFA" w:rsidRPr="00B21D99" w:rsidRDefault="002E4EFA">
      <w:pPr>
        <w:rPr>
          <w:rFonts w:ascii="Arial" w:hAnsi="Arial" w:cs="Arial"/>
        </w:rPr>
      </w:pPr>
    </w:p>
    <w:p w14:paraId="07AEE51D" w14:textId="53D7ED59" w:rsidR="00AE4DB8" w:rsidRPr="00B21D99" w:rsidRDefault="00AE4DB8" w:rsidP="00AE4DB8">
      <w:pPr>
        <w:pStyle w:val="a9"/>
        <w:numPr>
          <w:ilvl w:val="0"/>
          <w:numId w:val="7"/>
        </w:numPr>
        <w:ind w:leftChars="0"/>
        <w:rPr>
          <w:rFonts w:ascii="Arial" w:hAnsi="Arial" w:cs="Arial"/>
          <w:b/>
        </w:rPr>
      </w:pPr>
      <w:r w:rsidRPr="00B21D99">
        <w:rPr>
          <w:rFonts w:ascii="Arial" w:hAnsi="Arial" w:cs="Arial"/>
          <w:b/>
        </w:rPr>
        <w:t>Introduction</w:t>
      </w:r>
    </w:p>
    <w:p w14:paraId="6F5CEE87" w14:textId="0F94EF59" w:rsidR="00F12075" w:rsidRPr="00B21D99" w:rsidRDefault="00F12075">
      <w:pPr>
        <w:rPr>
          <w:rFonts w:ascii="Arial" w:hAnsi="Arial" w:cs="Arial"/>
        </w:rPr>
      </w:pPr>
      <w:r w:rsidRPr="00B21D99">
        <w:rPr>
          <w:rFonts w:ascii="Arial" w:hAnsi="Arial" w:cs="Arial"/>
        </w:rPr>
        <w:t>The Conference of the Parties serving as the meeting of the Parties to the Paris Agreement</w:t>
      </w:r>
      <w:r w:rsidR="00810D12" w:rsidRPr="00B21D99">
        <w:rPr>
          <w:rFonts w:ascii="Arial" w:hAnsi="Arial" w:cs="Arial"/>
        </w:rPr>
        <w:t xml:space="preserve"> </w:t>
      </w:r>
      <w:r w:rsidRPr="00B21D99">
        <w:rPr>
          <w:rFonts w:ascii="Arial" w:hAnsi="Arial" w:cs="Arial"/>
        </w:rPr>
        <w:t>(CMA) at its fourth session invited Parties to “submit views on options for the recommendations referred to in paragraphs 16(a) and 17” for consideration by the Subsidiary Body for Scientific and Technological Advice (SBSTA) prior to its fifty-eighth session.</w:t>
      </w:r>
    </w:p>
    <w:p w14:paraId="3D3D2F92" w14:textId="3FB82935" w:rsidR="002E4EFA" w:rsidRPr="00B21D99" w:rsidRDefault="002E4EFA">
      <w:pPr>
        <w:rPr>
          <w:rFonts w:ascii="Arial" w:hAnsi="Arial" w:cs="Arial"/>
        </w:rPr>
      </w:pPr>
      <w:r w:rsidRPr="00B21D99">
        <w:rPr>
          <w:rFonts w:ascii="Arial" w:hAnsi="Arial" w:cs="Arial"/>
        </w:rPr>
        <w:t>In response to the call for submission</w:t>
      </w:r>
      <w:r w:rsidR="00F12075" w:rsidRPr="00B21D99">
        <w:rPr>
          <w:rFonts w:ascii="Arial" w:hAnsi="Arial" w:cs="Arial"/>
        </w:rPr>
        <w:t>s</w:t>
      </w:r>
      <w:r w:rsidRPr="00B21D99">
        <w:rPr>
          <w:rFonts w:ascii="Arial" w:hAnsi="Arial" w:cs="Arial"/>
        </w:rPr>
        <w:t xml:space="preserve"> </w:t>
      </w:r>
      <w:r w:rsidR="00F12075" w:rsidRPr="00B21D99">
        <w:rPr>
          <w:rFonts w:ascii="Arial" w:hAnsi="Arial" w:cs="Arial"/>
        </w:rPr>
        <w:t xml:space="preserve">by CMA4 (paragraph 15 of 6/CMA.4), </w:t>
      </w:r>
      <w:r w:rsidRPr="00B21D99">
        <w:rPr>
          <w:rFonts w:ascii="Arial" w:hAnsi="Arial" w:cs="Arial"/>
        </w:rPr>
        <w:t xml:space="preserve">the Republic of Korea (ROK) is pleased to submit </w:t>
      </w:r>
      <w:r w:rsidR="00232949" w:rsidRPr="00B21D99">
        <w:rPr>
          <w:rFonts w:ascii="Arial" w:hAnsi="Arial" w:cs="Arial"/>
        </w:rPr>
        <w:t xml:space="preserve">its </w:t>
      </w:r>
      <w:r w:rsidRPr="00B21D99">
        <w:rPr>
          <w:rFonts w:ascii="Arial" w:hAnsi="Arial" w:cs="Arial"/>
        </w:rPr>
        <w:t xml:space="preserve">views on </w:t>
      </w:r>
      <w:r w:rsidR="009744C1" w:rsidRPr="00B21D99">
        <w:rPr>
          <w:rFonts w:ascii="Arial" w:hAnsi="Arial" w:cs="Arial"/>
        </w:rPr>
        <w:t>the matters referred to in paragraph 16(a) and 17 of decision 6/CMA.4.</w:t>
      </w:r>
    </w:p>
    <w:p w14:paraId="700283F6" w14:textId="4FEBB1B9" w:rsidR="002E4EFA" w:rsidRPr="00B21D99" w:rsidRDefault="002E4EFA">
      <w:pPr>
        <w:rPr>
          <w:rFonts w:ascii="Arial" w:hAnsi="Arial" w:cs="Arial"/>
        </w:rPr>
      </w:pPr>
      <w:r w:rsidRPr="00B21D99">
        <w:rPr>
          <w:rFonts w:ascii="Arial" w:hAnsi="Arial" w:cs="Arial"/>
        </w:rPr>
        <w:t>The ROK hopes this submission could attribute to implementing cooperative approaches in combating climate change and achieving carbon neutrality.</w:t>
      </w:r>
    </w:p>
    <w:p w14:paraId="44AAAB11" w14:textId="77777777" w:rsidR="00D81DC2" w:rsidRPr="00B21D99" w:rsidRDefault="00D81DC2">
      <w:pPr>
        <w:rPr>
          <w:rFonts w:ascii="Arial" w:hAnsi="Arial" w:cs="Arial"/>
        </w:rPr>
      </w:pPr>
    </w:p>
    <w:p w14:paraId="07D86B22" w14:textId="5628E47B" w:rsidR="00D81DC2" w:rsidRPr="00B21D99" w:rsidRDefault="00D81DC2" w:rsidP="00D81DC2">
      <w:pPr>
        <w:rPr>
          <w:rFonts w:ascii="Arial" w:hAnsi="Arial" w:cs="Arial"/>
        </w:rPr>
      </w:pPr>
      <w:r w:rsidRPr="00B21D99">
        <w:rPr>
          <w:rFonts w:ascii="Arial" w:hAnsi="Arial" w:cs="Arial" w:hint="eastAsia"/>
        </w:rPr>
        <w:t xml:space="preserve">Bearing in mind the fact that some Parties have already started to participate in their own cooperative </w:t>
      </w:r>
      <w:r w:rsidRPr="00B21D99">
        <w:rPr>
          <w:rFonts w:ascii="Arial" w:hAnsi="Arial" w:cs="Arial"/>
        </w:rPr>
        <w:t>approaches</w:t>
      </w:r>
      <w:r w:rsidRPr="00B21D99">
        <w:rPr>
          <w:rFonts w:ascii="Arial" w:hAnsi="Arial" w:cs="Arial" w:hint="eastAsia"/>
        </w:rPr>
        <w:t xml:space="preserve">, </w:t>
      </w:r>
      <w:r w:rsidRPr="00B21D99">
        <w:rPr>
          <w:rFonts w:ascii="Arial" w:hAnsi="Arial" w:cs="Arial"/>
        </w:rPr>
        <w:t xml:space="preserve">the ROK views that among thirteen mandates in 6/CMA.4, paragraph 16(a) and 17, (1) sequencing and timing of the reports and review, (2) changes in authorization, </w:t>
      </w:r>
      <w:r w:rsidR="00904322" w:rsidRPr="00B21D99">
        <w:rPr>
          <w:rFonts w:ascii="Arial" w:hAnsi="Arial" w:cs="Arial"/>
        </w:rPr>
        <w:t xml:space="preserve">and </w:t>
      </w:r>
      <w:r w:rsidRPr="00B21D99">
        <w:rPr>
          <w:rFonts w:ascii="Arial" w:hAnsi="Arial" w:cs="Arial"/>
        </w:rPr>
        <w:t>(3) transferring authorized A6.4ER should be prioritized to ensure full operati</w:t>
      </w:r>
      <w:r w:rsidR="009043A2" w:rsidRPr="00B21D99">
        <w:rPr>
          <w:rFonts w:ascii="Arial" w:hAnsi="Arial" w:cs="Arial"/>
        </w:rPr>
        <w:t>onalization of Article 6.2.</w:t>
      </w:r>
    </w:p>
    <w:p w14:paraId="200DF04F" w14:textId="7B041409" w:rsidR="002E4EFA" w:rsidRPr="00B21D99" w:rsidRDefault="009043A2">
      <w:pPr>
        <w:rPr>
          <w:rFonts w:ascii="Arial" w:hAnsi="Arial" w:cs="Arial"/>
        </w:rPr>
      </w:pPr>
      <w:r w:rsidRPr="00B21D99">
        <w:rPr>
          <w:rFonts w:ascii="Arial" w:hAnsi="Arial" w:cs="Arial"/>
        </w:rPr>
        <w:t>In th</w:t>
      </w:r>
      <w:r w:rsidR="0065329E" w:rsidRPr="00B21D99">
        <w:rPr>
          <w:rFonts w:ascii="Arial" w:hAnsi="Arial" w:cs="Arial"/>
        </w:rPr>
        <w:t>is</w:t>
      </w:r>
      <w:r w:rsidRPr="00B21D99">
        <w:rPr>
          <w:rFonts w:ascii="Arial" w:hAnsi="Arial" w:cs="Arial"/>
        </w:rPr>
        <w:t xml:space="preserve"> context, t</w:t>
      </w:r>
      <w:r w:rsidR="00167CF8" w:rsidRPr="00B21D99">
        <w:rPr>
          <w:rFonts w:ascii="Arial" w:hAnsi="Arial" w:cs="Arial"/>
        </w:rPr>
        <w:t xml:space="preserve">he following are </w:t>
      </w:r>
      <w:r w:rsidR="00DC4D7B" w:rsidRPr="00B21D99">
        <w:rPr>
          <w:rFonts w:ascii="Arial" w:hAnsi="Arial" w:cs="Arial"/>
        </w:rPr>
        <w:t xml:space="preserve">the </w:t>
      </w:r>
      <w:r w:rsidR="00167CF8" w:rsidRPr="00B21D99">
        <w:rPr>
          <w:rFonts w:ascii="Arial" w:hAnsi="Arial" w:cs="Arial"/>
        </w:rPr>
        <w:t>i</w:t>
      </w:r>
      <w:r w:rsidR="00FD0F2E" w:rsidRPr="00B21D99">
        <w:rPr>
          <w:rFonts w:ascii="Arial" w:hAnsi="Arial" w:cs="Arial"/>
        </w:rPr>
        <w:t xml:space="preserve">tems </w:t>
      </w:r>
      <w:r w:rsidR="00167CF8" w:rsidRPr="00B21D99">
        <w:rPr>
          <w:rFonts w:ascii="Arial" w:hAnsi="Arial" w:cs="Arial"/>
        </w:rPr>
        <w:t xml:space="preserve">on which </w:t>
      </w:r>
      <w:r w:rsidR="00FD0F2E" w:rsidRPr="00B21D99">
        <w:rPr>
          <w:rFonts w:ascii="Arial" w:hAnsi="Arial" w:cs="Arial"/>
        </w:rPr>
        <w:t xml:space="preserve">the ROK </w:t>
      </w:r>
      <w:r w:rsidR="00167CF8" w:rsidRPr="00B21D99">
        <w:rPr>
          <w:rFonts w:ascii="Arial" w:hAnsi="Arial" w:cs="Arial"/>
        </w:rPr>
        <w:t xml:space="preserve">provides its </w:t>
      </w:r>
      <w:r w:rsidR="00FD0F2E" w:rsidRPr="00B21D99">
        <w:rPr>
          <w:rFonts w:ascii="Arial" w:hAnsi="Arial" w:cs="Arial"/>
        </w:rPr>
        <w:t>views:</w:t>
      </w:r>
    </w:p>
    <w:tbl>
      <w:tblPr>
        <w:tblStyle w:val="aa"/>
        <w:tblW w:w="0" w:type="auto"/>
        <w:tblLook w:val="04A0" w:firstRow="1" w:lastRow="0" w:firstColumn="1" w:lastColumn="0" w:noHBand="0" w:noVBand="1"/>
      </w:tblPr>
      <w:tblGrid>
        <w:gridCol w:w="9016"/>
      </w:tblGrid>
      <w:tr w:rsidR="00FD0F2E" w:rsidRPr="00B21D99" w14:paraId="7E0FDDE8" w14:textId="77777777" w:rsidTr="00FD0F2E">
        <w:tc>
          <w:tcPr>
            <w:tcW w:w="9016" w:type="dxa"/>
          </w:tcPr>
          <w:p w14:paraId="70ECA477" w14:textId="640BC86A" w:rsidR="00FD0F2E" w:rsidRPr="00B21D99" w:rsidRDefault="00F15321" w:rsidP="00F15321">
            <w:pPr>
              <w:rPr>
                <w:rFonts w:ascii="Arial" w:hAnsi="Arial" w:cs="Arial"/>
              </w:rPr>
            </w:pPr>
            <w:r w:rsidRPr="00B21D99">
              <w:rPr>
                <w:rFonts w:ascii="Arial" w:hAnsi="Arial" w:cs="Arial"/>
                <w:b/>
              </w:rPr>
              <w:t>17(a)</w:t>
            </w:r>
            <w:r w:rsidRPr="00B21D99">
              <w:rPr>
                <w:rFonts w:ascii="Arial" w:hAnsi="Arial" w:cs="Arial"/>
              </w:rPr>
              <w:t xml:space="preserve"> </w:t>
            </w:r>
            <w:r w:rsidR="00FD0F2E" w:rsidRPr="00B21D99">
              <w:rPr>
                <w:rFonts w:ascii="Arial" w:hAnsi="Arial" w:cs="Arial"/>
              </w:rPr>
              <w:t>The sequencing and timing of the submission of the initial report, the completion of the Article 6 technical expert review of that report, and the submission of the agreed electronic format.</w:t>
            </w:r>
          </w:p>
          <w:p w14:paraId="2F59E14C" w14:textId="77777777" w:rsidR="002416D2" w:rsidRPr="00B21D99" w:rsidRDefault="002416D2" w:rsidP="00F15321">
            <w:pPr>
              <w:rPr>
                <w:rFonts w:ascii="Arial" w:hAnsi="Arial" w:cs="Arial"/>
              </w:rPr>
            </w:pPr>
          </w:p>
          <w:p w14:paraId="57F18F09" w14:textId="3D44F56D" w:rsidR="00FD0F2E" w:rsidRPr="00B21D99" w:rsidRDefault="00F15321" w:rsidP="00F15321">
            <w:pPr>
              <w:rPr>
                <w:rFonts w:ascii="Arial" w:hAnsi="Arial" w:cs="Arial"/>
              </w:rPr>
            </w:pPr>
            <w:r w:rsidRPr="00B21D99">
              <w:rPr>
                <w:rFonts w:ascii="Arial" w:hAnsi="Arial" w:cs="Arial"/>
                <w:b/>
              </w:rPr>
              <w:t>17(b)</w:t>
            </w:r>
            <w:r w:rsidRPr="00B21D99">
              <w:rPr>
                <w:rFonts w:ascii="Arial" w:hAnsi="Arial" w:cs="Arial"/>
              </w:rPr>
              <w:t xml:space="preserve"> </w:t>
            </w:r>
            <w:r w:rsidR="00FD0F2E" w:rsidRPr="00B21D99">
              <w:rPr>
                <w:rFonts w:ascii="Arial" w:hAnsi="Arial" w:cs="Arial"/>
              </w:rPr>
              <w:t>The process of authorization pursuant to decision 2/CMA.3, annex, paragraphs 2, 18(g) and 21(c), notably the scope of changes to authorization of internationally transferred mitigation outcomes towards use(s), and the process for managing them and for authorization of entities and cooperative approaches with a view to ensuring transparency and consistency</w:t>
            </w:r>
            <w:r w:rsidR="00585A54" w:rsidRPr="00B21D99">
              <w:rPr>
                <w:rFonts w:ascii="Arial" w:hAnsi="Arial" w:cs="Arial"/>
              </w:rPr>
              <w:t>.</w:t>
            </w:r>
          </w:p>
          <w:p w14:paraId="2624FF78" w14:textId="77777777" w:rsidR="002416D2" w:rsidRPr="00B21D99" w:rsidRDefault="002416D2" w:rsidP="00F15321">
            <w:pPr>
              <w:rPr>
                <w:rFonts w:ascii="Arial" w:hAnsi="Arial" w:cs="Arial"/>
              </w:rPr>
            </w:pPr>
          </w:p>
          <w:p w14:paraId="75000095" w14:textId="19882619" w:rsidR="003F7AA6" w:rsidRPr="00B21D99" w:rsidRDefault="00F15321" w:rsidP="00F15321">
            <w:pPr>
              <w:rPr>
                <w:rFonts w:ascii="Arial" w:hAnsi="Arial" w:cs="Arial"/>
              </w:rPr>
            </w:pPr>
            <w:r w:rsidRPr="00B21D99">
              <w:rPr>
                <w:rFonts w:ascii="Arial" w:hAnsi="Arial" w:cs="Arial"/>
                <w:b/>
              </w:rPr>
              <w:t>17(d)</w:t>
            </w:r>
            <w:r w:rsidRPr="00B21D99">
              <w:rPr>
                <w:rFonts w:ascii="Arial" w:hAnsi="Arial" w:cs="Arial"/>
              </w:rPr>
              <w:t xml:space="preserve"> </w:t>
            </w:r>
            <w:r w:rsidR="003F7AA6" w:rsidRPr="00B21D99">
              <w:rPr>
                <w:rFonts w:ascii="Arial" w:hAnsi="Arial" w:cs="Arial"/>
              </w:rPr>
              <w:t>Tables for submitting annual information as part of the regular information, as referred to in decision 2/CMA.3, annex, paragraph 23(j)</w:t>
            </w:r>
            <w:r w:rsidR="00585A54" w:rsidRPr="00B21D99">
              <w:rPr>
                <w:rFonts w:ascii="Arial" w:hAnsi="Arial" w:cs="Arial"/>
              </w:rPr>
              <w:t>.</w:t>
            </w:r>
          </w:p>
          <w:p w14:paraId="746976C8" w14:textId="77777777" w:rsidR="002416D2" w:rsidRPr="00B21D99" w:rsidRDefault="002416D2" w:rsidP="00F15321">
            <w:pPr>
              <w:rPr>
                <w:rFonts w:ascii="Arial" w:hAnsi="Arial" w:cs="Arial"/>
              </w:rPr>
            </w:pPr>
          </w:p>
          <w:p w14:paraId="27B71360" w14:textId="740BC0B9" w:rsidR="00810568" w:rsidRPr="00B21D99" w:rsidRDefault="00410394" w:rsidP="00410394">
            <w:pPr>
              <w:rPr>
                <w:rFonts w:ascii="Arial" w:hAnsi="Arial" w:cs="Arial"/>
              </w:rPr>
            </w:pPr>
            <w:r w:rsidRPr="00B21D99">
              <w:rPr>
                <w:rFonts w:ascii="Arial" w:hAnsi="Arial" w:cs="Arial"/>
                <w:b/>
              </w:rPr>
              <w:t>17(g)</w:t>
            </w:r>
            <w:r w:rsidRPr="00B21D99">
              <w:rPr>
                <w:rFonts w:ascii="Arial" w:hAnsi="Arial" w:cs="Arial"/>
              </w:rPr>
              <w:t xml:space="preserve"> </w:t>
            </w:r>
            <w:r w:rsidR="00810568" w:rsidRPr="00B21D99">
              <w:rPr>
                <w:rFonts w:ascii="Arial" w:hAnsi="Arial" w:cs="Arial"/>
              </w:rPr>
              <w:t>The need for additional functionalities and procedures for the international registry to allow for transfer of Article 6, paragraph 4, emission reductions to the international registry and to provide services for cooperative approaches if voluntarily requested by Parties participating in a cooperative approach, including, inter alia, additional technical functionalities and administrative arrangements, for authorizing account access, and further guidance on procedures for reporting and review for the cooperative approaches of the participating Parties requesting such services, which may be required in addition to the relevant guidance in decision 2/CMA.3 and annex I to this decision;</w:t>
            </w:r>
          </w:p>
          <w:p w14:paraId="2DDC77B0" w14:textId="77777777" w:rsidR="002416D2" w:rsidRPr="00B21D99" w:rsidRDefault="002416D2" w:rsidP="00410394">
            <w:pPr>
              <w:rPr>
                <w:rFonts w:ascii="Arial" w:hAnsi="Arial" w:cs="Arial"/>
              </w:rPr>
            </w:pPr>
          </w:p>
          <w:p w14:paraId="028FB522" w14:textId="44085960" w:rsidR="00FE68A7" w:rsidRPr="00B21D99" w:rsidRDefault="00410394" w:rsidP="00410394">
            <w:pPr>
              <w:rPr>
                <w:rFonts w:ascii="Arial" w:hAnsi="Arial" w:cs="Arial"/>
              </w:rPr>
            </w:pPr>
            <w:r w:rsidRPr="00B21D99">
              <w:rPr>
                <w:rFonts w:ascii="Arial" w:hAnsi="Arial" w:cs="Arial"/>
                <w:b/>
              </w:rPr>
              <w:t>17(h)</w:t>
            </w:r>
            <w:r w:rsidRPr="00B21D99">
              <w:rPr>
                <w:rFonts w:ascii="Arial" w:hAnsi="Arial" w:cs="Arial"/>
              </w:rPr>
              <w:t xml:space="preserve"> </w:t>
            </w:r>
            <w:r w:rsidR="00FE68A7" w:rsidRPr="00B21D99">
              <w:rPr>
                <w:rFonts w:ascii="Arial" w:hAnsi="Arial" w:cs="Arial"/>
              </w:rPr>
              <w:t>The accounts of the international registry and the role of the international registry administrator, in accordance with the guidance contained in annex I;</w:t>
            </w:r>
          </w:p>
          <w:p w14:paraId="7DE87333" w14:textId="77777777" w:rsidR="002416D2" w:rsidRPr="00B21D99" w:rsidRDefault="002416D2" w:rsidP="00410394">
            <w:pPr>
              <w:rPr>
                <w:rFonts w:ascii="Arial" w:hAnsi="Arial" w:cs="Arial"/>
              </w:rPr>
            </w:pPr>
          </w:p>
          <w:p w14:paraId="6D8ABA09" w14:textId="2208BDD7" w:rsidR="00FD0F2E" w:rsidRPr="00B21D99" w:rsidRDefault="00410394" w:rsidP="00410394">
            <w:pPr>
              <w:rPr>
                <w:rFonts w:ascii="Arial" w:hAnsi="Arial" w:cs="Arial"/>
              </w:rPr>
            </w:pPr>
            <w:r w:rsidRPr="00B21D99">
              <w:rPr>
                <w:rFonts w:ascii="Arial" w:hAnsi="Arial" w:cs="Arial"/>
                <w:b/>
              </w:rPr>
              <w:t>17(j)</w:t>
            </w:r>
            <w:r w:rsidRPr="00B21D99">
              <w:rPr>
                <w:rFonts w:ascii="Arial" w:hAnsi="Arial" w:cs="Arial"/>
              </w:rPr>
              <w:t xml:space="preserve"> </w:t>
            </w:r>
            <w:r w:rsidR="00FE68A7" w:rsidRPr="00B21D99">
              <w:rPr>
                <w:rFonts w:ascii="Arial" w:hAnsi="Arial" w:cs="Arial"/>
              </w:rPr>
              <w:t xml:space="preserve">The common nomenclature referred to in annex I, chapter II.B, including for cooperative approaches reported by participating Parties, first transferring Party, sectors, activity types, non-greenhouse gas metrics and their units of measurement, registries that track internationally transferred mitigation outcome from cooperative approaches and action types; first transfer </w:t>
            </w:r>
            <w:r w:rsidR="00FE68A7" w:rsidRPr="00B21D99">
              <w:rPr>
                <w:rFonts w:ascii="Arial" w:hAnsi="Arial" w:cs="Arial"/>
              </w:rPr>
              <w:lastRenderedPageBreak/>
              <w:t>specifications; and purposes towards which use of internationally transferred mitigation outcomes is authorized;</w:t>
            </w:r>
          </w:p>
        </w:tc>
      </w:tr>
    </w:tbl>
    <w:p w14:paraId="5789C5AA" w14:textId="77777777" w:rsidR="00A64DDD" w:rsidRPr="00B21D99" w:rsidRDefault="00A64DDD">
      <w:pPr>
        <w:rPr>
          <w:rFonts w:ascii="Arial" w:hAnsi="Arial" w:cs="Arial"/>
        </w:rPr>
      </w:pPr>
    </w:p>
    <w:p w14:paraId="1CA70DB9" w14:textId="60E16F6F" w:rsidR="003477CF" w:rsidRPr="00B21D99" w:rsidRDefault="003477CF" w:rsidP="003477CF">
      <w:pPr>
        <w:pStyle w:val="a9"/>
        <w:numPr>
          <w:ilvl w:val="0"/>
          <w:numId w:val="7"/>
        </w:numPr>
        <w:ind w:leftChars="0"/>
        <w:rPr>
          <w:rFonts w:ascii="Arial" w:hAnsi="Arial" w:cs="Arial"/>
          <w:b/>
        </w:rPr>
      </w:pPr>
      <w:r w:rsidRPr="00B21D99">
        <w:rPr>
          <w:rFonts w:ascii="Arial" w:hAnsi="Arial" w:cs="Arial"/>
          <w:b/>
        </w:rPr>
        <w:t>The sequencing and timing of the submission of the initial report, the completion of the Article 6 technical expert review</w:t>
      </w:r>
      <w:r w:rsidR="00680ABB" w:rsidRPr="00B21D99">
        <w:rPr>
          <w:rFonts w:ascii="Arial" w:hAnsi="Arial" w:cs="Arial"/>
          <w:b/>
        </w:rPr>
        <w:t xml:space="preserve"> </w:t>
      </w:r>
      <w:r w:rsidR="00AB2958" w:rsidRPr="00B21D99">
        <w:rPr>
          <w:rFonts w:ascii="Arial" w:hAnsi="Arial" w:cs="Arial"/>
          <w:b/>
        </w:rPr>
        <w:t>(A6TER)</w:t>
      </w:r>
      <w:r w:rsidRPr="00B21D99">
        <w:rPr>
          <w:rFonts w:ascii="Arial" w:hAnsi="Arial" w:cs="Arial"/>
          <w:b/>
        </w:rPr>
        <w:t xml:space="preserve"> of that report, and the submission of the agreed electronic format</w:t>
      </w:r>
      <w:r w:rsidR="00396FB0" w:rsidRPr="00B21D99">
        <w:rPr>
          <w:rFonts w:ascii="Arial" w:hAnsi="Arial" w:cs="Arial"/>
          <w:b/>
        </w:rPr>
        <w:t xml:space="preserve"> </w:t>
      </w:r>
      <w:r w:rsidR="00AB2958" w:rsidRPr="00B21D99">
        <w:rPr>
          <w:rFonts w:ascii="Arial" w:hAnsi="Arial" w:cs="Arial"/>
          <w:b/>
        </w:rPr>
        <w:t>(AEF)</w:t>
      </w:r>
    </w:p>
    <w:p w14:paraId="78224E01" w14:textId="2A793305" w:rsidR="00444120" w:rsidRPr="00B21D99" w:rsidRDefault="00AB2958" w:rsidP="003477CF">
      <w:pPr>
        <w:rPr>
          <w:rFonts w:ascii="Arial" w:hAnsi="Arial" w:cs="Arial"/>
        </w:rPr>
      </w:pPr>
      <w:r w:rsidRPr="00B21D99">
        <w:rPr>
          <w:rFonts w:ascii="Arial" w:hAnsi="Arial" w:cs="Arial"/>
        </w:rPr>
        <w:t xml:space="preserve">Regarding the current guidance on cooperative approaches, the sequencing and timing of the submission of the initial report, the completion of </w:t>
      </w:r>
      <w:r w:rsidR="00DA3D63" w:rsidRPr="00B21D99">
        <w:rPr>
          <w:rFonts w:ascii="Arial" w:hAnsi="Arial" w:cs="Arial"/>
        </w:rPr>
        <w:t xml:space="preserve">the </w:t>
      </w:r>
      <w:r w:rsidRPr="00B21D99">
        <w:rPr>
          <w:rFonts w:ascii="Arial" w:hAnsi="Arial" w:cs="Arial"/>
        </w:rPr>
        <w:t xml:space="preserve">A6TER, and the submission of </w:t>
      </w:r>
      <w:r w:rsidR="00DA3D63" w:rsidRPr="00B21D99">
        <w:rPr>
          <w:rFonts w:ascii="Arial" w:hAnsi="Arial" w:cs="Arial"/>
        </w:rPr>
        <w:t xml:space="preserve">the </w:t>
      </w:r>
      <w:r w:rsidRPr="00B21D99">
        <w:rPr>
          <w:rFonts w:ascii="Arial" w:hAnsi="Arial" w:cs="Arial"/>
        </w:rPr>
        <w:t xml:space="preserve">AEF </w:t>
      </w:r>
      <w:r w:rsidR="00412F36" w:rsidRPr="00B21D99">
        <w:rPr>
          <w:rFonts w:ascii="Arial" w:hAnsi="Arial" w:cs="Arial"/>
        </w:rPr>
        <w:t>are</w:t>
      </w:r>
      <w:r w:rsidRPr="00B21D99">
        <w:rPr>
          <w:rFonts w:ascii="Arial" w:hAnsi="Arial" w:cs="Arial"/>
        </w:rPr>
        <w:t xml:space="preserve"> quite clear. As shown in </w:t>
      </w:r>
      <w:r w:rsidR="008F0D32" w:rsidRPr="00B21D99">
        <w:rPr>
          <w:rFonts w:ascii="Arial" w:hAnsi="Arial" w:cs="Arial"/>
        </w:rPr>
        <w:t>T</w:t>
      </w:r>
      <w:r w:rsidRPr="00B21D99">
        <w:rPr>
          <w:rFonts w:ascii="Arial" w:hAnsi="Arial" w:cs="Arial"/>
        </w:rPr>
        <w:t xml:space="preserve">able 1 below, </w:t>
      </w:r>
      <w:r w:rsidR="00024AF0" w:rsidRPr="00B21D99">
        <w:rPr>
          <w:rFonts w:ascii="Arial" w:hAnsi="Arial" w:cs="Arial"/>
        </w:rPr>
        <w:t xml:space="preserve">timing of the submission of the AEF is already adopted in </w:t>
      </w:r>
      <w:r w:rsidR="00AF1919" w:rsidRPr="00B21D99">
        <w:rPr>
          <w:rFonts w:ascii="Arial" w:hAnsi="Arial" w:cs="Arial"/>
        </w:rPr>
        <w:t>CMA3</w:t>
      </w:r>
      <w:r w:rsidRPr="00B21D99">
        <w:rPr>
          <w:rFonts w:ascii="Arial" w:hAnsi="Arial" w:cs="Arial"/>
        </w:rPr>
        <w:t xml:space="preserve">. Therefore, </w:t>
      </w:r>
      <w:r w:rsidR="00DF32E4" w:rsidRPr="00B21D99">
        <w:rPr>
          <w:rFonts w:ascii="Arial" w:hAnsi="Arial" w:cs="Arial"/>
        </w:rPr>
        <w:t xml:space="preserve">the ROK </w:t>
      </w:r>
      <w:r w:rsidR="00E90113" w:rsidRPr="00B21D99">
        <w:rPr>
          <w:rFonts w:ascii="Arial" w:hAnsi="Arial" w:cs="Arial"/>
        </w:rPr>
        <w:t xml:space="preserve">believes </w:t>
      </w:r>
      <w:r w:rsidR="00DA3D63" w:rsidRPr="00B21D99">
        <w:rPr>
          <w:rFonts w:ascii="Arial" w:hAnsi="Arial" w:cs="Arial"/>
        </w:rPr>
        <w:t xml:space="preserve">the </w:t>
      </w:r>
      <w:r w:rsidR="0090011A" w:rsidRPr="00B21D99">
        <w:rPr>
          <w:rFonts w:ascii="Arial" w:hAnsi="Arial" w:cs="Arial"/>
        </w:rPr>
        <w:t xml:space="preserve">AEF should be submitted on time </w:t>
      </w:r>
      <w:r w:rsidR="002F0C71" w:rsidRPr="00B21D99">
        <w:rPr>
          <w:rFonts w:ascii="Arial" w:hAnsi="Arial" w:cs="Arial"/>
        </w:rPr>
        <w:t xml:space="preserve">regardless of the completion of </w:t>
      </w:r>
      <w:r w:rsidR="00411EC0" w:rsidRPr="00B21D99">
        <w:rPr>
          <w:rFonts w:ascii="Arial" w:hAnsi="Arial" w:cs="Arial"/>
        </w:rPr>
        <w:t xml:space="preserve">the </w:t>
      </w:r>
      <w:r w:rsidR="002F0C71" w:rsidRPr="00B21D99">
        <w:rPr>
          <w:rFonts w:ascii="Arial" w:hAnsi="Arial" w:cs="Arial"/>
        </w:rPr>
        <w:t>A6TER</w:t>
      </w:r>
      <w:r w:rsidR="008519CD" w:rsidRPr="00B21D99">
        <w:rPr>
          <w:rFonts w:ascii="Arial" w:hAnsi="Arial" w:cs="Arial"/>
        </w:rPr>
        <w:t>,</w:t>
      </w:r>
      <w:r w:rsidR="0090011A" w:rsidRPr="00B21D99">
        <w:rPr>
          <w:rFonts w:ascii="Arial" w:hAnsi="Arial" w:cs="Arial"/>
        </w:rPr>
        <w:t xml:space="preserve"> </w:t>
      </w:r>
      <w:r w:rsidR="008519CD" w:rsidRPr="00B21D99">
        <w:rPr>
          <w:rFonts w:ascii="Arial" w:hAnsi="Arial" w:cs="Arial"/>
        </w:rPr>
        <w:t>a</w:t>
      </w:r>
      <w:r w:rsidR="0090011A" w:rsidRPr="00B21D99">
        <w:rPr>
          <w:rFonts w:ascii="Arial" w:hAnsi="Arial" w:cs="Arial"/>
        </w:rPr>
        <w:t xml:space="preserve">nd </w:t>
      </w:r>
      <w:r w:rsidR="008503EB" w:rsidRPr="00B21D99">
        <w:rPr>
          <w:rFonts w:ascii="Arial" w:hAnsi="Arial" w:cs="Arial"/>
        </w:rPr>
        <w:t>re</w:t>
      </w:r>
      <w:r w:rsidRPr="00B21D99">
        <w:rPr>
          <w:rFonts w:ascii="Arial" w:hAnsi="Arial" w:cs="Arial"/>
        </w:rPr>
        <w:t>consider</w:t>
      </w:r>
      <w:r w:rsidR="00FE6CFD" w:rsidRPr="00B21D99">
        <w:rPr>
          <w:rFonts w:ascii="Arial" w:hAnsi="Arial" w:cs="Arial"/>
        </w:rPr>
        <w:t xml:space="preserve">ation of </w:t>
      </w:r>
      <w:r w:rsidRPr="00B21D99">
        <w:rPr>
          <w:rFonts w:ascii="Arial" w:hAnsi="Arial" w:cs="Arial"/>
        </w:rPr>
        <w:t xml:space="preserve">this issue can </w:t>
      </w:r>
      <w:r w:rsidR="00007B84" w:rsidRPr="00B21D99">
        <w:rPr>
          <w:rFonts w:ascii="Arial" w:hAnsi="Arial" w:cs="Arial"/>
        </w:rPr>
        <w:t xml:space="preserve">lead to </w:t>
      </w:r>
      <w:r w:rsidRPr="00B21D99">
        <w:rPr>
          <w:rFonts w:ascii="Arial" w:hAnsi="Arial" w:cs="Arial"/>
        </w:rPr>
        <w:t xml:space="preserve">a retrogression </w:t>
      </w:r>
      <w:r w:rsidR="0051711B" w:rsidRPr="00B21D99">
        <w:rPr>
          <w:rFonts w:ascii="Arial" w:hAnsi="Arial" w:cs="Arial"/>
        </w:rPr>
        <w:t>of</w:t>
      </w:r>
      <w:r w:rsidRPr="00B21D99">
        <w:rPr>
          <w:rFonts w:ascii="Arial" w:hAnsi="Arial" w:cs="Arial"/>
        </w:rPr>
        <w:t xml:space="preserve"> what </w:t>
      </w:r>
      <w:r w:rsidR="00715C7B" w:rsidRPr="00B21D99">
        <w:rPr>
          <w:rFonts w:ascii="Arial" w:hAnsi="Arial" w:cs="Arial"/>
        </w:rPr>
        <w:t>has</w:t>
      </w:r>
      <w:r w:rsidRPr="00B21D99">
        <w:rPr>
          <w:rFonts w:ascii="Arial" w:hAnsi="Arial" w:cs="Arial"/>
        </w:rPr>
        <w:t xml:space="preserve"> been agreed.</w:t>
      </w:r>
      <w:r w:rsidR="008333F3" w:rsidRPr="00B21D99">
        <w:rPr>
          <w:rFonts w:ascii="Arial" w:hAnsi="Arial" w:cs="Arial"/>
        </w:rPr>
        <w:t xml:space="preserve"> </w:t>
      </w:r>
    </w:p>
    <w:p w14:paraId="6B393E51" w14:textId="1656E6B9" w:rsidR="003477CF" w:rsidRPr="00B21D99" w:rsidRDefault="008333F3" w:rsidP="003477CF">
      <w:pPr>
        <w:rPr>
          <w:rFonts w:ascii="Arial" w:hAnsi="Arial" w:cs="Arial"/>
        </w:rPr>
      </w:pPr>
      <w:r w:rsidRPr="00B21D99">
        <w:rPr>
          <w:rFonts w:ascii="Arial" w:hAnsi="Arial" w:cs="Arial"/>
        </w:rPr>
        <w:t xml:space="preserve">Moreover, </w:t>
      </w:r>
      <w:r w:rsidR="00931223" w:rsidRPr="00B21D99">
        <w:rPr>
          <w:rFonts w:ascii="Arial" w:hAnsi="Arial" w:cs="Arial"/>
        </w:rPr>
        <w:t xml:space="preserve">given that </w:t>
      </w:r>
      <w:r w:rsidR="00E84033" w:rsidRPr="00B21D99">
        <w:rPr>
          <w:rFonts w:ascii="Arial" w:hAnsi="Arial" w:cs="Arial"/>
        </w:rPr>
        <w:t>several</w:t>
      </w:r>
      <w:r w:rsidR="00931223" w:rsidRPr="00B21D99">
        <w:rPr>
          <w:rFonts w:ascii="Arial" w:hAnsi="Arial" w:cs="Arial"/>
        </w:rPr>
        <w:t xml:space="preserve"> updated initial reports can be submitted </w:t>
      </w:r>
      <w:r w:rsidR="003F6512" w:rsidRPr="00B21D99">
        <w:rPr>
          <w:rFonts w:ascii="Arial" w:hAnsi="Arial" w:cs="Arial"/>
        </w:rPr>
        <w:t xml:space="preserve">for </w:t>
      </w:r>
      <w:r w:rsidR="00970E9D" w:rsidRPr="00B21D99">
        <w:rPr>
          <w:rFonts w:ascii="Arial" w:hAnsi="Arial" w:cs="Arial"/>
        </w:rPr>
        <w:t xml:space="preserve">a </w:t>
      </w:r>
      <w:r w:rsidR="00931223" w:rsidRPr="00B21D99">
        <w:rPr>
          <w:rFonts w:ascii="Arial" w:hAnsi="Arial" w:cs="Arial"/>
        </w:rPr>
        <w:t>single cooperative approach</w:t>
      </w:r>
      <w:r w:rsidR="00DF62A6" w:rsidRPr="00B21D99">
        <w:rPr>
          <w:rFonts w:ascii="Arial" w:hAnsi="Arial" w:cs="Arial"/>
        </w:rPr>
        <w:t xml:space="preserve"> as Parties should reflect all changes </w:t>
      </w:r>
      <w:r w:rsidR="0055687A" w:rsidRPr="00B21D99">
        <w:rPr>
          <w:rFonts w:ascii="Arial" w:hAnsi="Arial" w:cs="Arial"/>
        </w:rPr>
        <w:t>made</w:t>
      </w:r>
      <w:r w:rsidR="00931223" w:rsidRPr="00B21D99">
        <w:rPr>
          <w:rFonts w:ascii="Arial" w:hAnsi="Arial" w:cs="Arial"/>
        </w:rPr>
        <w:t xml:space="preserve">, </w:t>
      </w:r>
      <w:r w:rsidR="00E8402E" w:rsidRPr="00B21D99">
        <w:rPr>
          <w:rFonts w:ascii="Arial" w:hAnsi="Arial" w:cs="Arial"/>
        </w:rPr>
        <w:t xml:space="preserve">submitting </w:t>
      </w:r>
      <w:r w:rsidR="00366425" w:rsidRPr="00B21D99">
        <w:rPr>
          <w:rFonts w:ascii="Arial" w:hAnsi="Arial" w:cs="Arial"/>
        </w:rPr>
        <w:t xml:space="preserve">the </w:t>
      </w:r>
      <w:r w:rsidR="00E8402E" w:rsidRPr="00B21D99">
        <w:rPr>
          <w:rFonts w:ascii="Arial" w:hAnsi="Arial" w:cs="Arial"/>
        </w:rPr>
        <w:t xml:space="preserve">AEF after the completion of the A6TER can </w:t>
      </w:r>
      <w:r w:rsidR="00931223" w:rsidRPr="00B21D99">
        <w:rPr>
          <w:rFonts w:ascii="Arial" w:hAnsi="Arial" w:cs="Arial"/>
        </w:rPr>
        <w:t>trig</w:t>
      </w:r>
      <w:r w:rsidR="00444120" w:rsidRPr="00B21D99">
        <w:rPr>
          <w:rFonts w:ascii="Arial" w:hAnsi="Arial" w:cs="Arial"/>
        </w:rPr>
        <w:t xml:space="preserve">ger a significant delay </w:t>
      </w:r>
      <w:r w:rsidR="00140287" w:rsidRPr="00B21D99">
        <w:rPr>
          <w:rFonts w:ascii="Arial" w:hAnsi="Arial" w:cs="Arial"/>
        </w:rPr>
        <w:t xml:space="preserve">in </w:t>
      </w:r>
      <w:r w:rsidR="009A4557" w:rsidRPr="00B21D99">
        <w:rPr>
          <w:rFonts w:ascii="Arial" w:hAnsi="Arial" w:cs="Arial"/>
        </w:rPr>
        <w:t xml:space="preserve">the </w:t>
      </w:r>
      <w:r w:rsidR="00444120" w:rsidRPr="00B21D99">
        <w:rPr>
          <w:rFonts w:ascii="Arial" w:hAnsi="Arial" w:cs="Arial"/>
        </w:rPr>
        <w:t>entire Article 6 process. To address this</w:t>
      </w:r>
      <w:r w:rsidR="00D9556A" w:rsidRPr="00B21D99">
        <w:rPr>
          <w:rFonts w:ascii="Arial" w:hAnsi="Arial" w:cs="Arial"/>
        </w:rPr>
        <w:t xml:space="preserve"> issue</w:t>
      </w:r>
      <w:r w:rsidR="00444120" w:rsidRPr="00B21D99">
        <w:rPr>
          <w:rFonts w:ascii="Arial" w:hAnsi="Arial" w:cs="Arial"/>
        </w:rPr>
        <w:t xml:space="preserve">, </w:t>
      </w:r>
      <w:r w:rsidR="0059332C" w:rsidRPr="00B21D99">
        <w:rPr>
          <w:rFonts w:ascii="Arial" w:hAnsi="Arial" w:cs="Arial"/>
        </w:rPr>
        <w:t xml:space="preserve">further discussion on safeguards </w:t>
      </w:r>
      <w:r w:rsidR="006B3B83" w:rsidRPr="00B21D99">
        <w:rPr>
          <w:rFonts w:ascii="Arial" w:hAnsi="Arial" w:cs="Arial"/>
        </w:rPr>
        <w:t xml:space="preserve">such as </w:t>
      </w:r>
      <w:r w:rsidR="0059332C" w:rsidRPr="00B21D99">
        <w:rPr>
          <w:rFonts w:ascii="Arial" w:hAnsi="Arial" w:cs="Arial"/>
        </w:rPr>
        <w:t>limiting initial reports submission periods should be considered.</w:t>
      </w:r>
    </w:p>
    <w:p w14:paraId="289A903A" w14:textId="77777777" w:rsidR="00AB17A1" w:rsidRPr="00B21D99" w:rsidRDefault="00AB17A1" w:rsidP="003477CF">
      <w:pPr>
        <w:rPr>
          <w:rFonts w:ascii="Arial" w:hAnsi="Arial" w:cs="Arial"/>
        </w:rPr>
      </w:pPr>
    </w:p>
    <w:p w14:paraId="12A4FBB1" w14:textId="1EDDFC09" w:rsidR="00AB2958" w:rsidRPr="00B21D99" w:rsidRDefault="00AB2958" w:rsidP="003477CF">
      <w:pPr>
        <w:rPr>
          <w:rFonts w:ascii="Arial" w:hAnsi="Arial" w:cs="Arial"/>
        </w:rPr>
      </w:pPr>
      <w:r w:rsidRPr="00B21D99">
        <w:rPr>
          <w:rFonts w:ascii="Arial" w:hAnsi="Arial" w:cs="Arial"/>
        </w:rPr>
        <w:t>Table 1. Timing of submission of the initial report</w:t>
      </w:r>
      <w:r w:rsidR="005B0013" w:rsidRPr="00B21D99">
        <w:rPr>
          <w:rFonts w:ascii="Arial" w:hAnsi="Arial" w:cs="Arial"/>
        </w:rPr>
        <w:t>,</w:t>
      </w:r>
      <w:r w:rsidRPr="00B21D99">
        <w:rPr>
          <w:rFonts w:ascii="Arial" w:hAnsi="Arial" w:cs="Arial"/>
        </w:rPr>
        <w:t xml:space="preserve"> A6TER</w:t>
      </w:r>
      <w:r w:rsidR="003743B8" w:rsidRPr="00B21D99">
        <w:rPr>
          <w:rFonts w:ascii="Arial" w:hAnsi="Arial" w:cs="Arial"/>
        </w:rPr>
        <w:t>, and AEF</w:t>
      </w:r>
    </w:p>
    <w:tbl>
      <w:tblPr>
        <w:tblStyle w:val="aa"/>
        <w:tblW w:w="0" w:type="auto"/>
        <w:tblLook w:val="04A0" w:firstRow="1" w:lastRow="0" w:firstColumn="1" w:lastColumn="0" w:noHBand="0" w:noVBand="1"/>
      </w:tblPr>
      <w:tblGrid>
        <w:gridCol w:w="1555"/>
        <w:gridCol w:w="2835"/>
        <w:gridCol w:w="4626"/>
      </w:tblGrid>
      <w:tr w:rsidR="00B21D99" w:rsidRPr="00B21D99" w14:paraId="560A7BCD" w14:textId="77777777" w:rsidTr="00AB17A1">
        <w:trPr>
          <w:trHeight w:val="253"/>
        </w:trPr>
        <w:tc>
          <w:tcPr>
            <w:tcW w:w="1555" w:type="dxa"/>
            <w:vAlign w:val="center"/>
          </w:tcPr>
          <w:p w14:paraId="3ACA47F0" w14:textId="451A9AEB" w:rsidR="00AB2958" w:rsidRPr="00B21D99" w:rsidRDefault="005D0A67" w:rsidP="00AB17A1">
            <w:pPr>
              <w:jc w:val="center"/>
              <w:rPr>
                <w:rFonts w:ascii="Arial" w:hAnsi="Arial" w:cs="Arial"/>
                <w:b/>
                <w:sz w:val="18"/>
                <w:szCs w:val="18"/>
              </w:rPr>
            </w:pPr>
            <w:r w:rsidRPr="00B21D99">
              <w:rPr>
                <w:rFonts w:ascii="Arial" w:hAnsi="Arial" w:cs="Arial"/>
                <w:b/>
                <w:sz w:val="18"/>
                <w:szCs w:val="18"/>
              </w:rPr>
              <w:t>Category</w:t>
            </w:r>
          </w:p>
        </w:tc>
        <w:tc>
          <w:tcPr>
            <w:tcW w:w="2835" w:type="dxa"/>
            <w:vAlign w:val="center"/>
          </w:tcPr>
          <w:p w14:paraId="7D36938E" w14:textId="7C2EA1D3" w:rsidR="00AB2958" w:rsidRPr="00B21D99" w:rsidRDefault="002601B0" w:rsidP="00AB17A1">
            <w:pPr>
              <w:jc w:val="center"/>
              <w:rPr>
                <w:rFonts w:ascii="Arial" w:hAnsi="Arial" w:cs="Arial"/>
                <w:b/>
                <w:sz w:val="18"/>
                <w:szCs w:val="18"/>
              </w:rPr>
            </w:pPr>
            <w:r w:rsidRPr="00B21D99">
              <w:rPr>
                <w:rFonts w:ascii="Arial" w:hAnsi="Arial" w:cs="Arial"/>
                <w:b/>
                <w:sz w:val="18"/>
                <w:szCs w:val="18"/>
              </w:rPr>
              <w:t xml:space="preserve">Relevant </w:t>
            </w:r>
            <w:r w:rsidR="00AB2958" w:rsidRPr="00B21D99">
              <w:rPr>
                <w:rFonts w:ascii="Arial" w:hAnsi="Arial" w:cs="Arial"/>
                <w:b/>
                <w:sz w:val="18"/>
                <w:szCs w:val="18"/>
              </w:rPr>
              <w:t>Decision</w:t>
            </w:r>
          </w:p>
        </w:tc>
        <w:tc>
          <w:tcPr>
            <w:tcW w:w="4626" w:type="dxa"/>
            <w:vAlign w:val="center"/>
          </w:tcPr>
          <w:p w14:paraId="31C7B8D4" w14:textId="364E9E5A" w:rsidR="00AB2958" w:rsidRPr="00B21D99" w:rsidRDefault="00AB2958" w:rsidP="00AB17A1">
            <w:pPr>
              <w:jc w:val="center"/>
              <w:rPr>
                <w:rFonts w:ascii="Arial" w:hAnsi="Arial" w:cs="Arial"/>
                <w:b/>
                <w:sz w:val="18"/>
                <w:szCs w:val="18"/>
              </w:rPr>
            </w:pPr>
            <w:r w:rsidRPr="00B21D99">
              <w:rPr>
                <w:rFonts w:ascii="Arial" w:hAnsi="Arial" w:cs="Arial"/>
                <w:b/>
                <w:sz w:val="18"/>
                <w:szCs w:val="18"/>
              </w:rPr>
              <w:t>Timing</w:t>
            </w:r>
            <w:r w:rsidR="00885C79" w:rsidRPr="00B21D99">
              <w:rPr>
                <w:rFonts w:ascii="Arial" w:hAnsi="Arial" w:cs="Arial"/>
                <w:b/>
                <w:sz w:val="18"/>
                <w:szCs w:val="18"/>
              </w:rPr>
              <w:t>/S</w:t>
            </w:r>
            <w:r w:rsidR="0071113E" w:rsidRPr="00B21D99">
              <w:rPr>
                <w:rFonts w:ascii="Arial" w:hAnsi="Arial" w:cs="Arial"/>
                <w:b/>
                <w:sz w:val="18"/>
                <w:szCs w:val="18"/>
              </w:rPr>
              <w:t>equencing</w:t>
            </w:r>
          </w:p>
        </w:tc>
      </w:tr>
      <w:tr w:rsidR="00B21D99" w:rsidRPr="00B21D99" w14:paraId="1B0BDAB8" w14:textId="77777777" w:rsidTr="00AB17A1">
        <w:trPr>
          <w:trHeight w:val="696"/>
        </w:trPr>
        <w:tc>
          <w:tcPr>
            <w:tcW w:w="1555" w:type="dxa"/>
            <w:vAlign w:val="center"/>
          </w:tcPr>
          <w:p w14:paraId="6B3C38B1" w14:textId="2323A136" w:rsidR="00AB2958" w:rsidRPr="00B21D99" w:rsidRDefault="00AB2958" w:rsidP="00AB17A1">
            <w:pPr>
              <w:jc w:val="center"/>
              <w:rPr>
                <w:rFonts w:ascii="Arial" w:hAnsi="Arial" w:cs="Arial"/>
                <w:sz w:val="18"/>
                <w:szCs w:val="18"/>
              </w:rPr>
            </w:pPr>
            <w:r w:rsidRPr="00B21D99">
              <w:rPr>
                <w:rFonts w:ascii="Arial" w:hAnsi="Arial" w:cs="Arial"/>
                <w:sz w:val="18"/>
                <w:szCs w:val="18"/>
              </w:rPr>
              <w:t>Initial Report</w:t>
            </w:r>
          </w:p>
        </w:tc>
        <w:tc>
          <w:tcPr>
            <w:tcW w:w="2835" w:type="dxa"/>
            <w:vAlign w:val="center"/>
          </w:tcPr>
          <w:p w14:paraId="0057DA9C" w14:textId="3A58D7B3" w:rsidR="00AB2958" w:rsidRPr="00B21D99" w:rsidRDefault="00AB2958" w:rsidP="00AB17A1">
            <w:pPr>
              <w:jc w:val="center"/>
              <w:rPr>
                <w:rFonts w:ascii="Arial" w:hAnsi="Arial" w:cs="Arial"/>
                <w:sz w:val="18"/>
                <w:szCs w:val="18"/>
              </w:rPr>
            </w:pPr>
            <w:r w:rsidRPr="00B21D99">
              <w:rPr>
                <w:rFonts w:ascii="Arial" w:hAnsi="Arial" w:cs="Arial"/>
                <w:sz w:val="18"/>
                <w:szCs w:val="18"/>
              </w:rPr>
              <w:t>2/CMA.3, annex, para</w:t>
            </w:r>
            <w:r w:rsidR="00CA7527" w:rsidRPr="00B21D99">
              <w:rPr>
                <w:rFonts w:ascii="Arial" w:hAnsi="Arial" w:cs="Arial"/>
                <w:sz w:val="18"/>
                <w:szCs w:val="18"/>
              </w:rPr>
              <w:t xml:space="preserve"> </w:t>
            </w:r>
            <w:r w:rsidRPr="00B21D99">
              <w:rPr>
                <w:rFonts w:ascii="Arial" w:hAnsi="Arial" w:cs="Arial"/>
                <w:sz w:val="18"/>
                <w:szCs w:val="18"/>
              </w:rPr>
              <w:t>18</w:t>
            </w:r>
          </w:p>
        </w:tc>
        <w:tc>
          <w:tcPr>
            <w:tcW w:w="4626" w:type="dxa"/>
            <w:vAlign w:val="center"/>
          </w:tcPr>
          <w:p w14:paraId="456A5356" w14:textId="7323F950" w:rsidR="00AB2958" w:rsidRPr="00B21D99" w:rsidRDefault="002601B0" w:rsidP="00AB17A1">
            <w:pPr>
              <w:jc w:val="center"/>
              <w:rPr>
                <w:rFonts w:ascii="Arial" w:hAnsi="Arial" w:cs="Arial"/>
                <w:sz w:val="18"/>
                <w:szCs w:val="18"/>
              </w:rPr>
            </w:pPr>
            <w:r w:rsidRPr="00B21D99">
              <w:rPr>
                <w:rFonts w:ascii="Arial" w:hAnsi="Arial" w:cs="Arial"/>
                <w:sz w:val="18"/>
                <w:szCs w:val="18"/>
              </w:rPr>
              <w:t>No later than authorization of ITMOs or where practical in conjunction with the next biennial transparency report</w:t>
            </w:r>
          </w:p>
        </w:tc>
      </w:tr>
      <w:tr w:rsidR="00B21D99" w:rsidRPr="00B21D99" w14:paraId="65D8C7D7" w14:textId="77777777" w:rsidTr="00AB17A1">
        <w:trPr>
          <w:trHeight w:val="677"/>
        </w:trPr>
        <w:tc>
          <w:tcPr>
            <w:tcW w:w="1555" w:type="dxa"/>
            <w:vAlign w:val="center"/>
          </w:tcPr>
          <w:p w14:paraId="5DED52C0" w14:textId="710CA7F5" w:rsidR="00AB2958" w:rsidRPr="00B21D99" w:rsidRDefault="00AB2958" w:rsidP="00AB17A1">
            <w:pPr>
              <w:jc w:val="center"/>
              <w:rPr>
                <w:rFonts w:ascii="Arial" w:hAnsi="Arial" w:cs="Arial"/>
                <w:sz w:val="18"/>
                <w:szCs w:val="18"/>
              </w:rPr>
            </w:pPr>
            <w:r w:rsidRPr="00B21D99">
              <w:rPr>
                <w:rFonts w:ascii="Arial" w:hAnsi="Arial" w:cs="Arial"/>
                <w:sz w:val="18"/>
                <w:szCs w:val="18"/>
              </w:rPr>
              <w:t>A6TER</w:t>
            </w:r>
          </w:p>
        </w:tc>
        <w:tc>
          <w:tcPr>
            <w:tcW w:w="2835" w:type="dxa"/>
            <w:vAlign w:val="center"/>
          </w:tcPr>
          <w:p w14:paraId="748C7187" w14:textId="54156E43" w:rsidR="00AB2958" w:rsidRPr="00B21D99" w:rsidRDefault="00AB2958" w:rsidP="00AB17A1">
            <w:pPr>
              <w:jc w:val="center"/>
              <w:rPr>
                <w:rFonts w:ascii="Arial" w:hAnsi="Arial" w:cs="Arial"/>
                <w:sz w:val="18"/>
                <w:szCs w:val="18"/>
              </w:rPr>
            </w:pPr>
            <w:r w:rsidRPr="00B21D99">
              <w:rPr>
                <w:rFonts w:ascii="Arial" w:hAnsi="Arial" w:cs="Arial"/>
                <w:sz w:val="18"/>
                <w:szCs w:val="18"/>
              </w:rPr>
              <w:t>6/CMA.4, annex</w:t>
            </w:r>
            <w:r w:rsidR="001F7C20" w:rsidRPr="00B21D99">
              <w:rPr>
                <w:rFonts w:ascii="Arial" w:eastAsia="HancomEQN" w:hAnsi="Arial" w:cs="Arial"/>
                <w:sz w:val="18"/>
                <w:szCs w:val="18"/>
              </w:rPr>
              <w:t xml:space="preserve"> II</w:t>
            </w:r>
            <w:r w:rsidRPr="00B21D99">
              <w:rPr>
                <w:rFonts w:ascii="Arial" w:hAnsi="Arial" w:cs="Arial"/>
                <w:sz w:val="18"/>
                <w:szCs w:val="18"/>
              </w:rPr>
              <w:t>, para 12</w:t>
            </w:r>
          </w:p>
        </w:tc>
        <w:tc>
          <w:tcPr>
            <w:tcW w:w="4626" w:type="dxa"/>
            <w:vAlign w:val="center"/>
          </w:tcPr>
          <w:p w14:paraId="4AEC49D2" w14:textId="6DB88A32" w:rsidR="00AB2958" w:rsidRPr="00B21D99" w:rsidRDefault="00730B82" w:rsidP="00AB17A1">
            <w:pPr>
              <w:jc w:val="center"/>
              <w:rPr>
                <w:rFonts w:ascii="Arial" w:hAnsi="Arial" w:cs="Arial"/>
                <w:sz w:val="18"/>
                <w:szCs w:val="18"/>
              </w:rPr>
            </w:pPr>
            <w:r w:rsidRPr="00B21D99">
              <w:rPr>
                <w:rFonts w:ascii="Arial" w:hAnsi="Arial" w:cs="Arial"/>
                <w:sz w:val="18"/>
                <w:szCs w:val="18"/>
              </w:rPr>
              <w:t>Shall undergo an Article 6 technical expert review following the calendar period in which the initial reports and updated initial reports were submitted</w:t>
            </w:r>
          </w:p>
        </w:tc>
      </w:tr>
      <w:tr w:rsidR="00AB2958" w:rsidRPr="00B21D99" w14:paraId="495E985D" w14:textId="77777777" w:rsidTr="00AB17A1">
        <w:trPr>
          <w:trHeight w:val="332"/>
        </w:trPr>
        <w:tc>
          <w:tcPr>
            <w:tcW w:w="1555" w:type="dxa"/>
            <w:vAlign w:val="center"/>
          </w:tcPr>
          <w:p w14:paraId="4877790B" w14:textId="70C5D357" w:rsidR="00AB2958" w:rsidRPr="00B21D99" w:rsidRDefault="00AB2958" w:rsidP="00AB17A1">
            <w:pPr>
              <w:jc w:val="center"/>
              <w:rPr>
                <w:rFonts w:ascii="Arial" w:hAnsi="Arial" w:cs="Arial"/>
                <w:b/>
                <w:sz w:val="18"/>
                <w:szCs w:val="18"/>
              </w:rPr>
            </w:pPr>
            <w:r w:rsidRPr="00B21D99">
              <w:rPr>
                <w:rFonts w:ascii="Arial" w:hAnsi="Arial" w:cs="Arial"/>
                <w:b/>
                <w:sz w:val="18"/>
                <w:szCs w:val="18"/>
              </w:rPr>
              <w:t>AEF</w:t>
            </w:r>
          </w:p>
        </w:tc>
        <w:tc>
          <w:tcPr>
            <w:tcW w:w="2835" w:type="dxa"/>
            <w:vAlign w:val="center"/>
          </w:tcPr>
          <w:p w14:paraId="2A6B7117" w14:textId="72517740" w:rsidR="00AB2958" w:rsidRPr="00B21D99" w:rsidRDefault="00CA7527" w:rsidP="00AB17A1">
            <w:pPr>
              <w:jc w:val="center"/>
              <w:rPr>
                <w:rFonts w:ascii="Arial" w:hAnsi="Arial" w:cs="Arial"/>
                <w:b/>
                <w:sz w:val="18"/>
                <w:szCs w:val="18"/>
              </w:rPr>
            </w:pPr>
            <w:r w:rsidRPr="00B21D99">
              <w:rPr>
                <w:rFonts w:ascii="Arial" w:hAnsi="Arial" w:cs="Arial"/>
                <w:b/>
                <w:sz w:val="18"/>
                <w:szCs w:val="18"/>
              </w:rPr>
              <w:t>2/CMA.3, annex, para 20</w:t>
            </w:r>
          </w:p>
        </w:tc>
        <w:tc>
          <w:tcPr>
            <w:tcW w:w="4626" w:type="dxa"/>
            <w:vAlign w:val="center"/>
          </w:tcPr>
          <w:p w14:paraId="76DE4DE1" w14:textId="69A3ACCA" w:rsidR="00AB2958" w:rsidRPr="00B21D99" w:rsidRDefault="002601B0" w:rsidP="00AB17A1">
            <w:pPr>
              <w:jc w:val="center"/>
              <w:rPr>
                <w:rFonts w:ascii="Arial" w:hAnsi="Arial" w:cs="Arial"/>
                <w:b/>
                <w:sz w:val="18"/>
                <w:szCs w:val="18"/>
              </w:rPr>
            </w:pPr>
            <w:r w:rsidRPr="00B21D99">
              <w:rPr>
                <w:rFonts w:ascii="Arial" w:hAnsi="Arial" w:cs="Arial"/>
                <w:b/>
                <w:sz w:val="18"/>
                <w:szCs w:val="18"/>
              </w:rPr>
              <w:t>No later than 15 April of the following year</w:t>
            </w:r>
          </w:p>
        </w:tc>
      </w:tr>
    </w:tbl>
    <w:p w14:paraId="6C28F65B" w14:textId="77777777" w:rsidR="00AB2958" w:rsidRPr="00B21D99" w:rsidRDefault="00AB2958" w:rsidP="003477CF">
      <w:pPr>
        <w:rPr>
          <w:rFonts w:ascii="Arial" w:hAnsi="Arial" w:cs="Arial"/>
        </w:rPr>
      </w:pPr>
    </w:p>
    <w:p w14:paraId="5B70DF93" w14:textId="77777777" w:rsidR="00A64DDD" w:rsidRPr="00B21D99" w:rsidRDefault="00A64DDD" w:rsidP="003477CF">
      <w:pPr>
        <w:rPr>
          <w:rFonts w:ascii="Arial" w:hAnsi="Arial" w:cs="Arial"/>
        </w:rPr>
      </w:pPr>
    </w:p>
    <w:p w14:paraId="6659ABC1" w14:textId="1ADF7E10" w:rsidR="00E63E36" w:rsidRPr="00B21D99" w:rsidRDefault="00E63E36" w:rsidP="00E63E36">
      <w:pPr>
        <w:pStyle w:val="a9"/>
        <w:numPr>
          <w:ilvl w:val="0"/>
          <w:numId w:val="7"/>
        </w:numPr>
        <w:ind w:leftChars="0"/>
        <w:rPr>
          <w:rFonts w:ascii="Arial" w:hAnsi="Arial" w:cs="Arial"/>
          <w:b/>
        </w:rPr>
      </w:pPr>
      <w:r w:rsidRPr="00B21D99">
        <w:rPr>
          <w:rFonts w:ascii="Arial" w:hAnsi="Arial" w:cs="Arial"/>
          <w:b/>
        </w:rPr>
        <w:t xml:space="preserve">Changes to authorization of ITMO </w:t>
      </w:r>
      <w:r w:rsidR="004F558D" w:rsidRPr="00B21D99">
        <w:rPr>
          <w:rFonts w:ascii="Arial" w:hAnsi="Arial" w:cs="Arial"/>
          <w:b/>
        </w:rPr>
        <w:t>and how to manage them.</w:t>
      </w:r>
    </w:p>
    <w:p w14:paraId="06B5D367" w14:textId="69F67CAA" w:rsidR="007C50FB" w:rsidRPr="00B21D99" w:rsidRDefault="00C83C90" w:rsidP="004F558D">
      <w:pPr>
        <w:rPr>
          <w:rFonts w:ascii="Arial" w:hAnsi="Arial" w:cs="Arial"/>
        </w:rPr>
      </w:pPr>
      <w:r w:rsidRPr="00B21D99">
        <w:rPr>
          <w:rFonts w:ascii="Arial" w:hAnsi="Arial" w:cs="Arial"/>
        </w:rPr>
        <w:t xml:space="preserve">2/CMA.3, annex, para21(c) implies that authorization can be changed by including any changes to earlier authorizations in the regular information. </w:t>
      </w:r>
      <w:r w:rsidR="007E08AA" w:rsidRPr="00B21D99">
        <w:rPr>
          <w:rFonts w:ascii="Arial" w:hAnsi="Arial" w:cs="Arial"/>
        </w:rPr>
        <w:t>Nonetheless, changes to the authorization should be carefully considered s</w:t>
      </w:r>
      <w:r w:rsidR="00D740A9" w:rsidRPr="00B21D99">
        <w:rPr>
          <w:rFonts w:ascii="Arial" w:hAnsi="Arial" w:cs="Arial"/>
        </w:rPr>
        <w:t xml:space="preserve">ince authorization has an impact on the whole Article 6 process, </w:t>
      </w:r>
      <w:r w:rsidR="007E08AA" w:rsidRPr="00B21D99">
        <w:rPr>
          <w:rFonts w:ascii="Arial" w:hAnsi="Arial" w:cs="Arial"/>
        </w:rPr>
        <w:t>and those revisions should be done in ways that m</w:t>
      </w:r>
      <w:r w:rsidR="00141226" w:rsidRPr="00B21D99">
        <w:rPr>
          <w:rFonts w:ascii="Arial" w:hAnsi="Arial" w:cs="Arial"/>
        </w:rPr>
        <w:t>inimize possible negative impac</w:t>
      </w:r>
      <w:r w:rsidR="007E08AA" w:rsidRPr="00B21D99">
        <w:rPr>
          <w:rFonts w:ascii="Arial" w:hAnsi="Arial" w:cs="Arial"/>
        </w:rPr>
        <w:t>ts.</w:t>
      </w:r>
    </w:p>
    <w:p w14:paraId="7C28DA2E" w14:textId="081BE762" w:rsidR="00141226" w:rsidRPr="00B21D99" w:rsidRDefault="00141226" w:rsidP="004F558D">
      <w:pPr>
        <w:rPr>
          <w:rFonts w:ascii="Arial" w:hAnsi="Arial" w:cs="Arial"/>
        </w:rPr>
      </w:pPr>
      <w:r w:rsidRPr="00B21D99">
        <w:rPr>
          <w:rFonts w:ascii="Arial" w:hAnsi="Arial" w:cs="Arial"/>
        </w:rPr>
        <w:t>Therefore, r</w:t>
      </w:r>
      <w:r w:rsidR="002F5B6D" w:rsidRPr="00B21D99">
        <w:rPr>
          <w:rFonts w:ascii="Arial" w:hAnsi="Arial" w:cs="Arial"/>
        </w:rPr>
        <w:t>egarding change</w:t>
      </w:r>
      <w:r w:rsidR="001264D6" w:rsidRPr="00B21D99">
        <w:rPr>
          <w:rFonts w:ascii="Arial" w:hAnsi="Arial" w:cs="Arial"/>
        </w:rPr>
        <w:t>s</w:t>
      </w:r>
      <w:r w:rsidR="002F5B6D" w:rsidRPr="00B21D99">
        <w:rPr>
          <w:rFonts w:ascii="Arial" w:hAnsi="Arial" w:cs="Arial"/>
        </w:rPr>
        <w:t xml:space="preserve"> to authorization and </w:t>
      </w:r>
      <w:r w:rsidR="008D5CC8" w:rsidRPr="00B21D99">
        <w:rPr>
          <w:rFonts w:ascii="Arial" w:hAnsi="Arial" w:cs="Arial"/>
        </w:rPr>
        <w:t xml:space="preserve">their </w:t>
      </w:r>
      <w:r w:rsidR="002F5B6D" w:rsidRPr="00B21D99">
        <w:rPr>
          <w:rFonts w:ascii="Arial" w:hAnsi="Arial" w:cs="Arial"/>
        </w:rPr>
        <w:t xml:space="preserve">management, the ROK </w:t>
      </w:r>
      <w:r w:rsidR="002F4BD1" w:rsidRPr="00B21D99">
        <w:rPr>
          <w:rFonts w:ascii="Arial" w:hAnsi="Arial" w:cs="Arial"/>
        </w:rPr>
        <w:t>believe</w:t>
      </w:r>
      <w:r w:rsidRPr="00B21D99">
        <w:rPr>
          <w:rFonts w:ascii="Arial" w:hAnsi="Arial" w:cs="Arial"/>
        </w:rPr>
        <w:t>s</w:t>
      </w:r>
      <w:r w:rsidR="004E333C" w:rsidRPr="00B21D99">
        <w:rPr>
          <w:rFonts w:ascii="Arial" w:hAnsi="Arial" w:cs="Arial"/>
        </w:rPr>
        <w:t xml:space="preserve"> any changes or</w:t>
      </w:r>
      <w:r w:rsidR="002F5B6D" w:rsidRPr="00B21D99">
        <w:rPr>
          <w:rFonts w:ascii="Arial" w:hAnsi="Arial" w:cs="Arial"/>
        </w:rPr>
        <w:t xml:space="preserve"> revision</w:t>
      </w:r>
      <w:r w:rsidR="004E333C" w:rsidRPr="00B21D99">
        <w:rPr>
          <w:rFonts w:ascii="Arial" w:hAnsi="Arial" w:cs="Arial"/>
        </w:rPr>
        <w:t>s</w:t>
      </w:r>
      <w:r w:rsidR="002F5B6D" w:rsidRPr="00B21D99">
        <w:rPr>
          <w:rFonts w:ascii="Arial" w:hAnsi="Arial" w:cs="Arial"/>
        </w:rPr>
        <w:t xml:space="preserve"> should be </w:t>
      </w:r>
      <w:r w:rsidR="003B13E7" w:rsidRPr="00B21D99">
        <w:rPr>
          <w:rFonts w:ascii="Arial" w:hAnsi="Arial" w:cs="Arial"/>
        </w:rPr>
        <w:t xml:space="preserve">made </w:t>
      </w:r>
      <w:r w:rsidR="002F5B6D" w:rsidRPr="00B21D99">
        <w:rPr>
          <w:rFonts w:ascii="Arial" w:hAnsi="Arial" w:cs="Arial"/>
        </w:rPr>
        <w:t xml:space="preserve">before </w:t>
      </w:r>
      <w:r w:rsidR="006108EF" w:rsidRPr="00B21D99">
        <w:rPr>
          <w:rFonts w:ascii="Arial" w:hAnsi="Arial" w:cs="Arial"/>
        </w:rPr>
        <w:t xml:space="preserve">the </w:t>
      </w:r>
      <w:r w:rsidR="002F5B6D" w:rsidRPr="00B21D99">
        <w:rPr>
          <w:rFonts w:ascii="Arial" w:hAnsi="Arial" w:cs="Arial"/>
        </w:rPr>
        <w:t>first transfer, considering the corresponding adjustment</w:t>
      </w:r>
      <w:r w:rsidR="00B750DB" w:rsidRPr="00B21D99">
        <w:rPr>
          <w:rFonts w:ascii="Arial" w:hAnsi="Arial" w:cs="Arial"/>
        </w:rPr>
        <w:t xml:space="preserve"> occurred</w:t>
      </w:r>
      <w:r w:rsidR="007C50FB" w:rsidRPr="00B21D99">
        <w:rPr>
          <w:rFonts w:ascii="Arial" w:hAnsi="Arial" w:cs="Arial"/>
        </w:rPr>
        <w:t xml:space="preserve"> by </w:t>
      </w:r>
      <w:r w:rsidR="00AB6B1C" w:rsidRPr="00B21D99">
        <w:rPr>
          <w:rFonts w:ascii="Arial" w:hAnsi="Arial" w:cs="Arial"/>
        </w:rPr>
        <w:t xml:space="preserve">the </w:t>
      </w:r>
      <w:r w:rsidR="007C50FB" w:rsidRPr="00B21D99">
        <w:rPr>
          <w:rFonts w:ascii="Arial" w:hAnsi="Arial" w:cs="Arial"/>
        </w:rPr>
        <w:t>first transfer</w:t>
      </w:r>
      <w:r w:rsidR="002F5B6D" w:rsidRPr="00B21D99">
        <w:rPr>
          <w:rFonts w:ascii="Arial" w:hAnsi="Arial" w:cs="Arial"/>
        </w:rPr>
        <w:t xml:space="preserve">, and </w:t>
      </w:r>
      <w:r w:rsidR="00A84BD7" w:rsidRPr="00B21D99">
        <w:rPr>
          <w:rFonts w:ascii="Arial" w:hAnsi="Arial" w:cs="Arial"/>
        </w:rPr>
        <w:t xml:space="preserve">be </w:t>
      </w:r>
      <w:r w:rsidR="002F5B6D" w:rsidRPr="00B21D99">
        <w:rPr>
          <w:rFonts w:ascii="Arial" w:hAnsi="Arial" w:cs="Arial"/>
        </w:rPr>
        <w:t xml:space="preserve">applied </w:t>
      </w:r>
      <w:r w:rsidR="006A5BC9" w:rsidRPr="00B21D99">
        <w:rPr>
          <w:rFonts w:ascii="Arial" w:hAnsi="Arial" w:cs="Arial"/>
        </w:rPr>
        <w:t xml:space="preserve">to </w:t>
      </w:r>
      <w:r w:rsidR="002F5B6D" w:rsidRPr="00B21D99">
        <w:rPr>
          <w:rFonts w:ascii="Arial" w:hAnsi="Arial" w:cs="Arial"/>
        </w:rPr>
        <w:t>the ITMOs after the revision</w:t>
      </w:r>
      <w:r w:rsidR="001C1C71" w:rsidRPr="00B21D99">
        <w:rPr>
          <w:rFonts w:ascii="Arial" w:hAnsi="Arial" w:cs="Arial"/>
        </w:rPr>
        <w:t>s</w:t>
      </w:r>
      <w:r w:rsidR="002F5B6D" w:rsidRPr="00B21D99">
        <w:rPr>
          <w:rFonts w:ascii="Arial" w:hAnsi="Arial" w:cs="Arial"/>
        </w:rPr>
        <w:t xml:space="preserve">. </w:t>
      </w:r>
    </w:p>
    <w:p w14:paraId="0AF3EE47" w14:textId="63D059BF" w:rsidR="004F558D" w:rsidRPr="00B21D99" w:rsidRDefault="002F5B6D" w:rsidP="004F558D">
      <w:pPr>
        <w:rPr>
          <w:rFonts w:ascii="Arial" w:hAnsi="Arial" w:cs="Arial"/>
        </w:rPr>
      </w:pPr>
      <w:r w:rsidRPr="00B21D99">
        <w:rPr>
          <w:rFonts w:ascii="Arial" w:hAnsi="Arial" w:cs="Arial"/>
        </w:rPr>
        <w:t>For the management of revision</w:t>
      </w:r>
      <w:r w:rsidR="001C1C71" w:rsidRPr="00B21D99">
        <w:rPr>
          <w:rFonts w:ascii="Arial" w:hAnsi="Arial" w:cs="Arial"/>
        </w:rPr>
        <w:t>s</w:t>
      </w:r>
      <w:r w:rsidRPr="00B21D99">
        <w:rPr>
          <w:rFonts w:ascii="Arial" w:hAnsi="Arial" w:cs="Arial"/>
        </w:rPr>
        <w:t xml:space="preserve">, regarding the 2/CMA.3, annex, paragraph 17, </w:t>
      </w:r>
      <w:r w:rsidR="00141226" w:rsidRPr="00B21D99">
        <w:rPr>
          <w:rFonts w:ascii="Arial" w:hAnsi="Arial" w:cs="Arial"/>
        </w:rPr>
        <w:t xml:space="preserve">participating Parties shall ensure transparency, accuracy, consistency, completeness and comparability in tracking progress in implementation and achievement of </w:t>
      </w:r>
      <w:r w:rsidR="004D2A96" w:rsidRPr="00B21D99">
        <w:rPr>
          <w:rFonts w:ascii="Arial" w:hAnsi="Arial" w:cs="Arial"/>
        </w:rPr>
        <w:t xml:space="preserve">their </w:t>
      </w:r>
      <w:r w:rsidR="00141226" w:rsidRPr="00B21D99">
        <w:rPr>
          <w:rFonts w:ascii="Arial" w:hAnsi="Arial" w:cs="Arial"/>
        </w:rPr>
        <w:t>NDC</w:t>
      </w:r>
      <w:r w:rsidR="004D2A96" w:rsidRPr="00B21D99">
        <w:rPr>
          <w:rFonts w:ascii="Arial" w:hAnsi="Arial" w:cs="Arial"/>
        </w:rPr>
        <w:t>s</w:t>
      </w:r>
      <w:r w:rsidR="00141226" w:rsidRPr="00B21D99">
        <w:rPr>
          <w:rFonts w:ascii="Arial" w:hAnsi="Arial" w:cs="Arial"/>
        </w:rPr>
        <w:t xml:space="preserve"> by applying safeguards and limits set out in further guidance from the CMA. In that context, </w:t>
      </w:r>
      <w:r w:rsidR="0022589B" w:rsidRPr="00B21D99">
        <w:rPr>
          <w:rFonts w:ascii="Arial" w:hAnsi="Arial" w:cs="Arial"/>
        </w:rPr>
        <w:t xml:space="preserve">the ROK suggests </w:t>
      </w:r>
      <w:r w:rsidR="00145587" w:rsidRPr="00B21D99">
        <w:rPr>
          <w:rFonts w:ascii="Arial" w:hAnsi="Arial" w:cs="Arial"/>
        </w:rPr>
        <w:t xml:space="preserve">the secretariat </w:t>
      </w:r>
      <w:r w:rsidR="0022589B" w:rsidRPr="00B21D99">
        <w:rPr>
          <w:rFonts w:ascii="Arial" w:hAnsi="Arial" w:cs="Arial"/>
        </w:rPr>
        <w:t>develop</w:t>
      </w:r>
      <w:r w:rsidR="008E4609" w:rsidRPr="00B21D99">
        <w:rPr>
          <w:rFonts w:ascii="Arial" w:hAnsi="Arial" w:cs="Arial"/>
        </w:rPr>
        <w:t>ing</w:t>
      </w:r>
      <w:r w:rsidR="0022589B" w:rsidRPr="00B21D99">
        <w:rPr>
          <w:rFonts w:ascii="Arial" w:hAnsi="Arial" w:cs="Arial"/>
        </w:rPr>
        <w:t xml:space="preserve"> </w:t>
      </w:r>
      <w:r w:rsidR="008A03E7" w:rsidRPr="00B21D99">
        <w:rPr>
          <w:rFonts w:ascii="Arial" w:hAnsi="Arial" w:cs="Arial"/>
        </w:rPr>
        <w:t xml:space="preserve">a </w:t>
      </w:r>
      <w:r w:rsidR="0022589B" w:rsidRPr="00B21D99">
        <w:rPr>
          <w:rFonts w:ascii="Arial" w:hAnsi="Arial" w:cs="Arial"/>
        </w:rPr>
        <w:t>basic guidance for the safeguards</w:t>
      </w:r>
      <w:r w:rsidR="00C75111" w:rsidRPr="00B21D99">
        <w:rPr>
          <w:rFonts w:ascii="Arial" w:hAnsi="Arial" w:cs="Arial"/>
        </w:rPr>
        <w:t xml:space="preserve">, </w:t>
      </w:r>
      <w:r w:rsidR="00016C92" w:rsidRPr="00B21D99">
        <w:rPr>
          <w:rFonts w:ascii="Arial" w:hAnsi="Arial" w:cs="Arial"/>
        </w:rPr>
        <w:t>and</w:t>
      </w:r>
      <w:r w:rsidR="00C75111" w:rsidRPr="00B21D99">
        <w:rPr>
          <w:rFonts w:ascii="Arial" w:hAnsi="Arial" w:cs="Arial"/>
        </w:rPr>
        <w:t xml:space="preserve"> participating Parties</w:t>
      </w:r>
      <w:r w:rsidR="0022589B" w:rsidRPr="00B21D99">
        <w:rPr>
          <w:rFonts w:ascii="Arial" w:hAnsi="Arial" w:cs="Arial"/>
        </w:rPr>
        <w:t xml:space="preserve"> ensuring and </w:t>
      </w:r>
      <w:r w:rsidR="009C6802" w:rsidRPr="00B21D99">
        <w:rPr>
          <w:rFonts w:ascii="Arial" w:hAnsi="Arial" w:cs="Arial"/>
        </w:rPr>
        <w:t>articulating</w:t>
      </w:r>
      <w:r w:rsidR="0022589B" w:rsidRPr="00B21D99">
        <w:rPr>
          <w:rFonts w:ascii="Arial" w:hAnsi="Arial" w:cs="Arial"/>
        </w:rPr>
        <w:t xml:space="preserve"> it</w:t>
      </w:r>
      <w:r w:rsidR="00C772A3" w:rsidRPr="00B21D99">
        <w:rPr>
          <w:rFonts w:ascii="Arial" w:hAnsi="Arial" w:cs="Arial"/>
        </w:rPr>
        <w:t xml:space="preserve"> within the scope</w:t>
      </w:r>
      <w:r w:rsidR="0022589B" w:rsidRPr="00B21D99">
        <w:rPr>
          <w:rFonts w:ascii="Arial" w:hAnsi="Arial" w:cs="Arial"/>
        </w:rPr>
        <w:t xml:space="preserve"> </w:t>
      </w:r>
      <w:r w:rsidR="00C772A3" w:rsidRPr="00B21D99">
        <w:rPr>
          <w:rFonts w:ascii="Arial" w:hAnsi="Arial" w:cs="Arial"/>
        </w:rPr>
        <w:t>of</w:t>
      </w:r>
      <w:r w:rsidR="0022589B" w:rsidRPr="00B21D99">
        <w:rPr>
          <w:rFonts w:ascii="Arial" w:hAnsi="Arial" w:cs="Arial"/>
        </w:rPr>
        <w:t xml:space="preserve"> cooperative approaches</w:t>
      </w:r>
      <w:r w:rsidR="00C75111" w:rsidRPr="00B21D99">
        <w:rPr>
          <w:rFonts w:ascii="Arial" w:hAnsi="Arial" w:cs="Arial"/>
        </w:rPr>
        <w:t>.</w:t>
      </w:r>
    </w:p>
    <w:p w14:paraId="2D775F24" w14:textId="77777777" w:rsidR="00A64DDD" w:rsidRPr="00B21D99" w:rsidRDefault="00A64DDD" w:rsidP="004F558D">
      <w:pPr>
        <w:rPr>
          <w:rFonts w:ascii="Arial" w:hAnsi="Arial" w:cs="Arial"/>
        </w:rPr>
      </w:pPr>
    </w:p>
    <w:p w14:paraId="447823CB" w14:textId="2BA5D5F0" w:rsidR="007C50FB" w:rsidRPr="00B21D99" w:rsidRDefault="007C50FB" w:rsidP="007C50FB">
      <w:pPr>
        <w:pStyle w:val="a9"/>
        <w:numPr>
          <w:ilvl w:val="0"/>
          <w:numId w:val="7"/>
        </w:numPr>
        <w:ind w:leftChars="0"/>
        <w:rPr>
          <w:rFonts w:ascii="Arial" w:hAnsi="Arial" w:cs="Arial"/>
          <w:b/>
        </w:rPr>
      </w:pPr>
      <w:r w:rsidRPr="00B21D99">
        <w:rPr>
          <w:rFonts w:ascii="Arial" w:hAnsi="Arial" w:cs="Arial"/>
          <w:b/>
        </w:rPr>
        <w:t>Tables for submitting annual information as part of the regular information, as referred to in decision 2/CMA.3, annex, paragraph 23(j)</w:t>
      </w:r>
    </w:p>
    <w:p w14:paraId="201AD1D4" w14:textId="47FA9226" w:rsidR="00133FCA" w:rsidRPr="00B21D99" w:rsidRDefault="00E40CB8" w:rsidP="009043A2">
      <w:pPr>
        <w:rPr>
          <w:rFonts w:ascii="Arial" w:hAnsi="Arial" w:cs="Arial"/>
        </w:rPr>
      </w:pPr>
      <w:r w:rsidRPr="00B21D99">
        <w:rPr>
          <w:rFonts w:ascii="Arial" w:hAnsi="Arial" w:cs="Arial"/>
        </w:rPr>
        <w:t>T</w:t>
      </w:r>
      <w:r w:rsidR="006D5DC7" w:rsidRPr="00B21D99">
        <w:rPr>
          <w:rFonts w:ascii="Arial" w:hAnsi="Arial" w:cs="Arial"/>
        </w:rPr>
        <w:t>able</w:t>
      </w:r>
      <w:r w:rsidR="00AB0DAA" w:rsidRPr="00B21D99">
        <w:rPr>
          <w:rFonts w:ascii="Arial" w:hAnsi="Arial" w:cs="Arial"/>
        </w:rPr>
        <w:t>s</w:t>
      </w:r>
      <w:r w:rsidR="006D5DC7" w:rsidRPr="00B21D99">
        <w:rPr>
          <w:rFonts w:ascii="Arial" w:hAnsi="Arial" w:cs="Arial"/>
        </w:rPr>
        <w:t xml:space="preserve"> for submitting information</w:t>
      </w:r>
      <w:r w:rsidR="00F21608" w:rsidRPr="00B21D99">
        <w:rPr>
          <w:rFonts w:ascii="Arial" w:hAnsi="Arial" w:cs="Arial"/>
        </w:rPr>
        <w:t xml:space="preserve"> as per decision 2/CMA.3, annex, </w:t>
      </w:r>
      <w:r w:rsidR="00E4718E" w:rsidRPr="00B21D99">
        <w:rPr>
          <w:rFonts w:ascii="Arial" w:hAnsi="Arial" w:cs="Arial"/>
        </w:rPr>
        <w:t xml:space="preserve">and paragraph 23(j) (hereinafter </w:t>
      </w:r>
      <w:r w:rsidR="00EE2DBD" w:rsidRPr="00B21D99">
        <w:rPr>
          <w:rFonts w:ascii="Arial" w:hAnsi="Arial" w:cs="Arial"/>
        </w:rPr>
        <w:t>“</w:t>
      </w:r>
      <w:r w:rsidR="00E4718E" w:rsidRPr="00B21D99">
        <w:rPr>
          <w:rFonts w:ascii="Arial" w:hAnsi="Arial" w:cs="Arial"/>
        </w:rPr>
        <w:t>paragraph 23(j) tables”)</w:t>
      </w:r>
      <w:r w:rsidR="006D5DC7" w:rsidRPr="00B21D99">
        <w:rPr>
          <w:rFonts w:ascii="Arial" w:hAnsi="Arial" w:cs="Arial"/>
        </w:rPr>
        <w:t xml:space="preserve"> </w:t>
      </w:r>
      <w:r w:rsidR="00C00886" w:rsidRPr="00B21D99">
        <w:rPr>
          <w:rFonts w:ascii="Arial" w:hAnsi="Arial" w:cs="Arial"/>
        </w:rPr>
        <w:t>h</w:t>
      </w:r>
      <w:r w:rsidR="00146777" w:rsidRPr="00B21D99">
        <w:rPr>
          <w:rFonts w:ascii="Arial" w:hAnsi="Arial" w:cs="Arial"/>
        </w:rPr>
        <w:t>as been recommende</w:t>
      </w:r>
      <w:r w:rsidR="006D5DC7" w:rsidRPr="00B21D99">
        <w:rPr>
          <w:rFonts w:ascii="Arial" w:hAnsi="Arial" w:cs="Arial"/>
        </w:rPr>
        <w:t xml:space="preserve">d </w:t>
      </w:r>
      <w:r w:rsidR="00F21608" w:rsidRPr="00B21D99">
        <w:rPr>
          <w:rFonts w:ascii="Arial" w:hAnsi="Arial" w:cs="Arial"/>
        </w:rPr>
        <w:t>in</w:t>
      </w:r>
      <w:r w:rsidR="006D5DC7" w:rsidRPr="00B21D99">
        <w:rPr>
          <w:rFonts w:ascii="Arial" w:hAnsi="Arial" w:cs="Arial"/>
        </w:rPr>
        <w:t xml:space="preserve"> SBSTA </w:t>
      </w:r>
      <w:r w:rsidR="00B12811" w:rsidRPr="00B21D99">
        <w:rPr>
          <w:rFonts w:ascii="Arial" w:hAnsi="Arial" w:cs="Arial"/>
        </w:rPr>
        <w:t>C</w:t>
      </w:r>
      <w:r w:rsidR="006D5DC7" w:rsidRPr="00B21D99">
        <w:rPr>
          <w:rFonts w:ascii="Arial" w:hAnsi="Arial" w:cs="Arial"/>
        </w:rPr>
        <w:t xml:space="preserve">hair informal document, </w:t>
      </w:r>
      <w:r w:rsidR="006D5DC7" w:rsidRPr="00B21D99">
        <w:rPr>
          <w:rFonts w:ascii="Arial" w:hAnsi="Arial" w:cs="Arial"/>
        </w:rPr>
        <w:lastRenderedPageBreak/>
        <w:t>SBSTA57/A6.2/InfDoc, annex</w:t>
      </w:r>
      <w:r w:rsidR="00062A4B" w:rsidRPr="00B21D99">
        <w:rPr>
          <w:rFonts w:ascii="Arial" w:eastAsia="맑은 고딕" w:hAnsi="Arial" w:cs="Arial"/>
        </w:rPr>
        <w:t xml:space="preserve"> VII</w:t>
      </w:r>
      <w:r w:rsidRPr="00B21D99">
        <w:rPr>
          <w:rFonts w:ascii="Arial" w:hAnsi="Arial" w:cs="Arial"/>
        </w:rPr>
        <w:t xml:space="preserve">, issued at SBSTA57. </w:t>
      </w:r>
      <w:r w:rsidR="00A0769E" w:rsidRPr="00B21D99">
        <w:rPr>
          <w:rFonts w:ascii="Arial" w:hAnsi="Arial" w:cs="Arial"/>
        </w:rPr>
        <w:t xml:space="preserve">The ROK suggests </w:t>
      </w:r>
      <w:r w:rsidR="00E4718E" w:rsidRPr="00B21D99">
        <w:rPr>
          <w:rFonts w:ascii="Arial" w:hAnsi="Arial" w:cs="Arial"/>
        </w:rPr>
        <w:t>develop</w:t>
      </w:r>
      <w:r w:rsidR="00A0769E" w:rsidRPr="00B21D99">
        <w:rPr>
          <w:rFonts w:ascii="Arial" w:hAnsi="Arial" w:cs="Arial"/>
        </w:rPr>
        <w:t>ing</w:t>
      </w:r>
      <w:r w:rsidR="00E4718E" w:rsidRPr="00B21D99">
        <w:rPr>
          <w:rFonts w:ascii="Arial" w:hAnsi="Arial" w:cs="Arial"/>
        </w:rPr>
        <w:t xml:space="preserve"> the paragraph 23(j) tables based on the </w:t>
      </w:r>
      <w:r w:rsidR="00EE2DBD" w:rsidRPr="00B21D99">
        <w:rPr>
          <w:rFonts w:ascii="Arial" w:hAnsi="Arial" w:cs="Arial"/>
        </w:rPr>
        <w:t>recommended</w:t>
      </w:r>
      <w:r w:rsidR="00132D6B" w:rsidRPr="00B21D99">
        <w:rPr>
          <w:rFonts w:ascii="Arial" w:hAnsi="Arial" w:cs="Arial"/>
        </w:rPr>
        <w:t xml:space="preserve"> tables, considering two points below.</w:t>
      </w:r>
    </w:p>
    <w:p w14:paraId="22FF7806" w14:textId="02AB0562" w:rsidR="00132D6B" w:rsidRPr="00B21D99" w:rsidRDefault="005C6679" w:rsidP="005C6679">
      <w:pPr>
        <w:pStyle w:val="a9"/>
        <w:numPr>
          <w:ilvl w:val="0"/>
          <w:numId w:val="18"/>
        </w:numPr>
        <w:ind w:leftChars="0"/>
        <w:rPr>
          <w:rFonts w:ascii="Arial" w:hAnsi="Arial" w:cs="Arial"/>
        </w:rPr>
      </w:pPr>
      <w:r w:rsidRPr="00B21D99">
        <w:rPr>
          <w:rFonts w:ascii="Arial" w:hAnsi="Arial" w:cs="Arial"/>
        </w:rPr>
        <w:t xml:space="preserve"> </w:t>
      </w:r>
      <w:r w:rsidR="00830DCF" w:rsidRPr="00B21D99">
        <w:rPr>
          <w:rFonts w:ascii="Arial" w:hAnsi="Arial" w:cs="Arial"/>
        </w:rPr>
        <w:t>Consistency</w:t>
      </w:r>
      <w:r w:rsidR="00132D6B" w:rsidRPr="00B21D99">
        <w:rPr>
          <w:rFonts w:ascii="Arial" w:hAnsi="Arial" w:cs="Arial"/>
        </w:rPr>
        <w:t xml:space="preserve"> with </w:t>
      </w:r>
      <w:r w:rsidR="000D4B1F" w:rsidRPr="00B21D99">
        <w:rPr>
          <w:rFonts w:ascii="Arial" w:hAnsi="Arial" w:cs="Arial"/>
        </w:rPr>
        <w:t xml:space="preserve">the </w:t>
      </w:r>
      <w:r w:rsidR="00132D6B" w:rsidRPr="00B21D99">
        <w:rPr>
          <w:rFonts w:ascii="Arial" w:hAnsi="Arial" w:cs="Arial"/>
        </w:rPr>
        <w:t>Agreed Electronic Format (AEF)</w:t>
      </w:r>
    </w:p>
    <w:p w14:paraId="284F9197" w14:textId="3501C79B" w:rsidR="00B62A8F" w:rsidRPr="00B21D99" w:rsidRDefault="00B62A8F" w:rsidP="00B62A8F">
      <w:pPr>
        <w:rPr>
          <w:rFonts w:ascii="Arial" w:hAnsi="Arial" w:cs="Arial"/>
        </w:rPr>
      </w:pPr>
      <w:r w:rsidRPr="00B21D99">
        <w:rPr>
          <w:rFonts w:ascii="Arial" w:hAnsi="Arial" w:cs="Arial"/>
        </w:rPr>
        <w:t xml:space="preserve">Given that the underlying information for the annual quantitative information to be presented through the paragraph 23(j) tables is all reported through the AEF, </w:t>
      </w:r>
      <w:r w:rsidR="00A0769E" w:rsidRPr="00B21D99">
        <w:rPr>
          <w:rFonts w:ascii="Arial" w:hAnsi="Arial" w:cs="Arial"/>
        </w:rPr>
        <w:t>using</w:t>
      </w:r>
      <w:r w:rsidRPr="00B21D99">
        <w:rPr>
          <w:rFonts w:ascii="Arial" w:hAnsi="Arial" w:cs="Arial"/>
        </w:rPr>
        <w:t xml:space="preserve"> </w:t>
      </w:r>
      <w:r w:rsidR="00A8447E" w:rsidRPr="00B21D99">
        <w:rPr>
          <w:rFonts w:ascii="Arial" w:hAnsi="Arial" w:cs="Arial"/>
        </w:rPr>
        <w:t>consistent</w:t>
      </w:r>
      <w:r w:rsidRPr="00B21D99">
        <w:rPr>
          <w:rFonts w:ascii="Arial" w:hAnsi="Arial" w:cs="Arial"/>
        </w:rPr>
        <w:t xml:space="preserve"> line item names for the same reported elements </w:t>
      </w:r>
      <w:r w:rsidR="00A8447E" w:rsidRPr="00B21D99">
        <w:rPr>
          <w:rFonts w:ascii="Arial" w:hAnsi="Arial" w:cs="Arial"/>
        </w:rPr>
        <w:t xml:space="preserve">across </w:t>
      </w:r>
      <w:r w:rsidRPr="00B21D99">
        <w:rPr>
          <w:rFonts w:ascii="Arial" w:hAnsi="Arial" w:cs="Arial"/>
        </w:rPr>
        <w:t>table</w:t>
      </w:r>
      <w:r w:rsidR="00064DBF" w:rsidRPr="00B21D99">
        <w:rPr>
          <w:rFonts w:ascii="Arial" w:hAnsi="Arial" w:cs="Arial"/>
        </w:rPr>
        <w:t>s</w:t>
      </w:r>
      <w:r w:rsidR="00664FA6" w:rsidRPr="00B21D99">
        <w:rPr>
          <w:rFonts w:ascii="Arial" w:hAnsi="Arial" w:cs="Arial"/>
        </w:rPr>
        <w:t xml:space="preserve"> would promote a common understanding</w:t>
      </w:r>
      <w:r w:rsidRPr="00B21D99">
        <w:rPr>
          <w:rFonts w:ascii="Arial" w:hAnsi="Arial" w:cs="Arial"/>
        </w:rPr>
        <w:t>.</w:t>
      </w:r>
    </w:p>
    <w:p w14:paraId="290C9FE0" w14:textId="64EF5B97" w:rsidR="00E4718E" w:rsidRPr="00B21D99" w:rsidRDefault="00146777" w:rsidP="00B62A8F">
      <w:pPr>
        <w:rPr>
          <w:rFonts w:ascii="Arial" w:hAnsi="Arial" w:cs="Arial"/>
        </w:rPr>
      </w:pPr>
      <w:r w:rsidRPr="00B21D99">
        <w:rPr>
          <w:rFonts w:ascii="Arial" w:hAnsi="Arial" w:cs="Arial"/>
        </w:rPr>
        <w:t>The recommended</w:t>
      </w:r>
      <w:r w:rsidR="008F608D" w:rsidRPr="00B21D99">
        <w:rPr>
          <w:rFonts w:ascii="Arial" w:hAnsi="Arial" w:cs="Arial"/>
        </w:rPr>
        <w:t xml:space="preserve"> table</w:t>
      </w:r>
      <w:r w:rsidR="00654EB3" w:rsidRPr="00B21D99">
        <w:rPr>
          <w:rFonts w:ascii="Arial" w:hAnsi="Arial" w:cs="Arial"/>
        </w:rPr>
        <w:t>s</w:t>
      </w:r>
      <w:r w:rsidR="008F608D" w:rsidRPr="00B21D99">
        <w:rPr>
          <w:rFonts w:ascii="Arial" w:hAnsi="Arial" w:cs="Arial"/>
        </w:rPr>
        <w:t xml:space="preserve"> require the issuance, authorization, use or cancellation</w:t>
      </w:r>
      <w:r w:rsidR="00B62A8F" w:rsidRPr="00B21D99">
        <w:rPr>
          <w:rFonts w:ascii="Arial" w:hAnsi="Arial" w:cs="Arial"/>
        </w:rPr>
        <w:t xml:space="preserve"> to be </w:t>
      </w:r>
      <w:r w:rsidR="00513917" w:rsidRPr="00B21D99">
        <w:rPr>
          <w:rFonts w:ascii="Arial" w:hAnsi="Arial" w:cs="Arial" w:hint="eastAsia"/>
        </w:rPr>
        <w:t>f</w:t>
      </w:r>
      <w:r w:rsidR="00513917" w:rsidRPr="00B21D99">
        <w:rPr>
          <w:rFonts w:ascii="Arial" w:hAnsi="Arial" w:cs="Arial"/>
        </w:rPr>
        <w:t>illed</w:t>
      </w:r>
      <w:r w:rsidR="00B62A8F" w:rsidRPr="00B21D99">
        <w:rPr>
          <w:rFonts w:ascii="Arial" w:hAnsi="Arial" w:cs="Arial"/>
        </w:rPr>
        <w:t xml:space="preserve"> in the </w:t>
      </w:r>
      <w:r w:rsidR="00F7184E" w:rsidRPr="00B21D99">
        <w:rPr>
          <w:rFonts w:ascii="Arial" w:hAnsi="Arial" w:cs="Arial"/>
        </w:rPr>
        <w:t>'Participating Party in whose registry the “first transfer” is effected through use or cancellation as per paragraph 2(b)</w:t>
      </w:r>
      <w:r w:rsidR="00B62A8F" w:rsidRPr="00B21D99">
        <w:rPr>
          <w:rFonts w:ascii="Arial" w:hAnsi="Arial" w:cs="Arial"/>
        </w:rPr>
        <w:t>' field</w:t>
      </w:r>
      <w:r w:rsidR="00962EB3" w:rsidRPr="00B21D99">
        <w:rPr>
          <w:rFonts w:ascii="Arial" w:hAnsi="Arial" w:cs="Arial"/>
        </w:rPr>
        <w:t xml:space="preserve"> (hereinafter </w:t>
      </w:r>
      <w:r w:rsidR="00C62219" w:rsidRPr="00B21D99">
        <w:rPr>
          <w:rFonts w:ascii="Arial" w:hAnsi="Arial" w:cs="Arial"/>
        </w:rPr>
        <w:t>“</w:t>
      </w:r>
      <w:r w:rsidR="00962EB3" w:rsidRPr="00B21D99">
        <w:rPr>
          <w:rFonts w:ascii="Arial" w:hAnsi="Arial" w:cs="Arial"/>
        </w:rPr>
        <w:t>Participating Party field</w:t>
      </w:r>
      <w:r w:rsidR="00C62219" w:rsidRPr="00B21D99">
        <w:rPr>
          <w:rFonts w:ascii="Arial" w:hAnsi="Arial" w:cs="Arial"/>
        </w:rPr>
        <w:t>”</w:t>
      </w:r>
      <w:r w:rsidR="00962EB3" w:rsidRPr="00B21D99">
        <w:rPr>
          <w:rFonts w:ascii="Arial" w:hAnsi="Arial" w:cs="Arial"/>
        </w:rPr>
        <w:t>)</w:t>
      </w:r>
      <w:r w:rsidR="00B62A8F" w:rsidRPr="00B21D99">
        <w:rPr>
          <w:rFonts w:ascii="Arial" w:hAnsi="Arial" w:cs="Arial"/>
        </w:rPr>
        <w:t xml:space="preserve">, which </w:t>
      </w:r>
      <w:r w:rsidR="005A16AB" w:rsidRPr="00B21D99">
        <w:rPr>
          <w:rFonts w:ascii="Arial" w:hAnsi="Arial" w:cs="Arial"/>
        </w:rPr>
        <w:t>the ROK</w:t>
      </w:r>
      <w:r w:rsidR="00B62A8F" w:rsidRPr="00B21D99">
        <w:rPr>
          <w:rFonts w:ascii="Arial" w:hAnsi="Arial" w:cs="Arial"/>
        </w:rPr>
        <w:t xml:space="preserve"> believe</w:t>
      </w:r>
      <w:r w:rsidR="009A519F" w:rsidRPr="00B21D99">
        <w:rPr>
          <w:rFonts w:ascii="Arial" w:hAnsi="Arial" w:cs="Arial"/>
        </w:rPr>
        <w:t>s</w:t>
      </w:r>
      <w:r w:rsidR="00B62A8F" w:rsidRPr="00B21D99">
        <w:rPr>
          <w:rFonts w:ascii="Arial" w:hAnsi="Arial" w:cs="Arial"/>
        </w:rPr>
        <w:t xml:space="preserve"> requires the </w:t>
      </w:r>
      <w:r w:rsidR="008F608D" w:rsidRPr="00B21D99">
        <w:rPr>
          <w:rFonts w:ascii="Arial" w:hAnsi="Arial" w:cs="Arial"/>
        </w:rPr>
        <w:t>first</w:t>
      </w:r>
      <w:r w:rsidR="00B62A8F" w:rsidRPr="00B21D99">
        <w:rPr>
          <w:rFonts w:ascii="Arial" w:hAnsi="Arial" w:cs="Arial"/>
        </w:rPr>
        <w:t xml:space="preserve"> transfer definition of OIMPs.</w:t>
      </w:r>
    </w:p>
    <w:p w14:paraId="52C90A94" w14:textId="56ACC5C4" w:rsidR="008F608D" w:rsidRPr="00B21D99" w:rsidRDefault="008F608D" w:rsidP="00B62A8F">
      <w:pPr>
        <w:rPr>
          <w:rFonts w:ascii="Arial" w:hAnsi="Arial" w:cs="Arial"/>
        </w:rPr>
      </w:pPr>
      <w:r w:rsidRPr="00B21D99">
        <w:rPr>
          <w:rFonts w:ascii="Arial" w:hAnsi="Arial" w:cs="Arial"/>
        </w:rPr>
        <w:t xml:space="preserve">Hence, it would be more appropriate to </w:t>
      </w:r>
      <w:r w:rsidR="00962EB3" w:rsidRPr="00B21D99">
        <w:rPr>
          <w:rFonts w:ascii="Arial" w:hAnsi="Arial" w:cs="Arial"/>
        </w:rPr>
        <w:t xml:space="preserve">fill in </w:t>
      </w:r>
      <w:r w:rsidR="009531BC" w:rsidRPr="00B21D99">
        <w:rPr>
          <w:rFonts w:ascii="Arial" w:hAnsi="Arial" w:cs="Arial"/>
        </w:rPr>
        <w:t xml:space="preserve">the Participating Party field </w:t>
      </w:r>
      <w:r w:rsidR="00962EB3" w:rsidRPr="00B21D99">
        <w:rPr>
          <w:rFonts w:ascii="Arial" w:hAnsi="Arial" w:cs="Arial"/>
        </w:rPr>
        <w:t>with Party’s name and add</w:t>
      </w:r>
      <w:r w:rsidRPr="00B21D99">
        <w:rPr>
          <w:rFonts w:ascii="Arial" w:hAnsi="Arial" w:cs="Arial"/>
        </w:rPr>
        <w:t xml:space="preserve"> ‘first transfer definition’</w:t>
      </w:r>
      <w:r w:rsidR="00962EB3" w:rsidRPr="00B21D99">
        <w:rPr>
          <w:rFonts w:ascii="Arial" w:hAnsi="Arial" w:cs="Arial"/>
        </w:rPr>
        <w:t xml:space="preserve"> field</w:t>
      </w:r>
      <w:r w:rsidRPr="00B21D99">
        <w:rPr>
          <w:rFonts w:ascii="Arial" w:hAnsi="Arial" w:cs="Arial"/>
        </w:rPr>
        <w:t xml:space="preserve"> </w:t>
      </w:r>
      <w:r w:rsidR="005D5287" w:rsidRPr="00B21D99">
        <w:rPr>
          <w:rFonts w:ascii="Arial" w:hAnsi="Arial" w:cs="Arial"/>
        </w:rPr>
        <w:t>as with the AEF</w:t>
      </w:r>
      <w:r w:rsidR="00BA4797" w:rsidRPr="00B21D99">
        <w:rPr>
          <w:rFonts w:ascii="Arial" w:hAnsi="Arial" w:cs="Arial"/>
        </w:rPr>
        <w:t>.</w:t>
      </w:r>
    </w:p>
    <w:p w14:paraId="5E262A14" w14:textId="1F775236" w:rsidR="008F608D" w:rsidRPr="00B21D99" w:rsidRDefault="00A73F90" w:rsidP="005C6679">
      <w:pPr>
        <w:pStyle w:val="a9"/>
        <w:numPr>
          <w:ilvl w:val="0"/>
          <w:numId w:val="18"/>
        </w:numPr>
        <w:ind w:leftChars="0"/>
        <w:rPr>
          <w:rFonts w:ascii="Arial" w:hAnsi="Arial" w:cs="Arial"/>
        </w:rPr>
      </w:pPr>
      <w:r w:rsidRPr="00B21D99">
        <w:rPr>
          <w:rFonts w:ascii="Arial" w:hAnsi="Arial" w:cs="Arial"/>
        </w:rPr>
        <w:t xml:space="preserve"> Adding metric information</w:t>
      </w:r>
    </w:p>
    <w:p w14:paraId="54EB3E49" w14:textId="4D609030" w:rsidR="00A7504E" w:rsidRPr="00B21D99" w:rsidRDefault="00A7504E" w:rsidP="00A7504E">
      <w:pPr>
        <w:rPr>
          <w:rFonts w:ascii="Arial" w:hAnsi="Arial" w:cs="Arial"/>
        </w:rPr>
      </w:pPr>
      <w:r w:rsidRPr="00B21D99">
        <w:rPr>
          <w:rFonts w:ascii="Arial" w:hAnsi="Arial" w:cs="Arial"/>
        </w:rPr>
        <w:t xml:space="preserve">Since recommended tables are intended to be completed in tCO2eq </w:t>
      </w:r>
      <w:r w:rsidR="009A00CE" w:rsidRPr="00B21D99">
        <w:rPr>
          <w:rFonts w:ascii="Arial" w:hAnsi="Arial" w:cs="Arial"/>
        </w:rPr>
        <w:t>only</w:t>
      </w:r>
      <w:r w:rsidRPr="00B21D99">
        <w:rPr>
          <w:rFonts w:ascii="Arial" w:hAnsi="Arial" w:cs="Arial"/>
        </w:rPr>
        <w:t xml:space="preserve">, it may be difficult to check the consistency of the coefficients for conversion for mitigation outcomes generated in non-greenhouse gas </w:t>
      </w:r>
      <w:r w:rsidR="004F7EFC" w:rsidRPr="00B21D99">
        <w:rPr>
          <w:rFonts w:ascii="Arial" w:hAnsi="Arial" w:cs="Arial"/>
        </w:rPr>
        <w:t>metric</w:t>
      </w:r>
      <w:r w:rsidRPr="00B21D99">
        <w:rPr>
          <w:rFonts w:ascii="Arial" w:hAnsi="Arial" w:cs="Arial"/>
        </w:rPr>
        <w:t xml:space="preserve">s. </w:t>
      </w:r>
    </w:p>
    <w:p w14:paraId="5FC162DE" w14:textId="5F44A772" w:rsidR="00A7504E" w:rsidRPr="00B21D99" w:rsidRDefault="00574BA3" w:rsidP="00A7504E">
      <w:pPr>
        <w:rPr>
          <w:rFonts w:ascii="Arial" w:hAnsi="Arial" w:cs="Arial"/>
        </w:rPr>
      </w:pPr>
      <w:r w:rsidRPr="00B21D99">
        <w:rPr>
          <w:rFonts w:ascii="Arial" w:hAnsi="Arial" w:cs="Arial"/>
        </w:rPr>
        <w:t>For</w:t>
      </w:r>
      <w:r w:rsidR="00A7504E" w:rsidRPr="00B21D99">
        <w:rPr>
          <w:rFonts w:ascii="Arial" w:hAnsi="Arial" w:cs="Arial"/>
        </w:rPr>
        <w:t xml:space="preserve"> example, information submitted in </w:t>
      </w:r>
      <w:r w:rsidR="00235505" w:rsidRPr="00B21D99">
        <w:rPr>
          <w:rFonts w:ascii="Arial" w:hAnsi="Arial" w:cs="Arial"/>
        </w:rPr>
        <w:t>20</w:t>
      </w:r>
      <w:r w:rsidR="00A7504E" w:rsidRPr="00B21D99">
        <w:rPr>
          <w:rFonts w:ascii="Arial" w:hAnsi="Arial" w:cs="Arial"/>
        </w:rPr>
        <w:t xml:space="preserve">26 requires annual information for </w:t>
      </w:r>
      <w:r w:rsidR="00235505" w:rsidRPr="00B21D99">
        <w:rPr>
          <w:rFonts w:ascii="Arial" w:hAnsi="Arial" w:cs="Arial"/>
        </w:rPr>
        <w:t>20</w:t>
      </w:r>
      <w:r w:rsidR="00A7504E" w:rsidRPr="00B21D99">
        <w:rPr>
          <w:rFonts w:ascii="Arial" w:hAnsi="Arial" w:cs="Arial"/>
        </w:rPr>
        <w:t xml:space="preserve">25 and </w:t>
      </w:r>
      <w:r w:rsidR="00235505" w:rsidRPr="00B21D99">
        <w:rPr>
          <w:rFonts w:ascii="Arial" w:hAnsi="Arial" w:cs="Arial"/>
        </w:rPr>
        <w:t>20</w:t>
      </w:r>
      <w:r w:rsidR="00A7504E" w:rsidRPr="00B21D99">
        <w:rPr>
          <w:rFonts w:ascii="Arial" w:hAnsi="Arial" w:cs="Arial"/>
        </w:rPr>
        <w:t xml:space="preserve">26, but the AEF for activities in </w:t>
      </w:r>
      <w:r w:rsidR="00D948BD" w:rsidRPr="00B21D99">
        <w:rPr>
          <w:rFonts w:ascii="Arial" w:hAnsi="Arial" w:cs="Arial"/>
        </w:rPr>
        <w:t>20</w:t>
      </w:r>
      <w:r w:rsidR="00A7504E" w:rsidRPr="00B21D99">
        <w:rPr>
          <w:rFonts w:ascii="Arial" w:hAnsi="Arial" w:cs="Arial"/>
        </w:rPr>
        <w:t xml:space="preserve">26 </w:t>
      </w:r>
      <w:r w:rsidR="00D948BD" w:rsidRPr="00B21D99">
        <w:rPr>
          <w:rFonts w:ascii="Arial" w:hAnsi="Arial" w:cs="Arial"/>
        </w:rPr>
        <w:t>might be submitted in 2027(before April 15)</w:t>
      </w:r>
      <w:r w:rsidR="00A7504E" w:rsidRPr="00B21D99">
        <w:rPr>
          <w:rFonts w:ascii="Arial" w:hAnsi="Arial" w:cs="Arial"/>
        </w:rPr>
        <w:t xml:space="preserve">, so it can be assumed that information for </w:t>
      </w:r>
      <w:r w:rsidR="00267866" w:rsidRPr="00B21D99">
        <w:rPr>
          <w:rFonts w:ascii="Arial" w:hAnsi="Arial" w:cs="Arial"/>
        </w:rPr>
        <w:t>20</w:t>
      </w:r>
      <w:r w:rsidR="00A7504E" w:rsidRPr="00B21D99">
        <w:rPr>
          <w:rFonts w:ascii="Arial" w:hAnsi="Arial" w:cs="Arial"/>
        </w:rPr>
        <w:t xml:space="preserve">26 is first reported through the BTR. </w:t>
      </w:r>
    </w:p>
    <w:p w14:paraId="112388C1" w14:textId="1D517519" w:rsidR="00A73F90" w:rsidRPr="00B21D99" w:rsidRDefault="00A7504E" w:rsidP="00A7504E">
      <w:pPr>
        <w:rPr>
          <w:rFonts w:ascii="Arial" w:hAnsi="Arial" w:cs="Arial"/>
        </w:rPr>
      </w:pPr>
      <w:r w:rsidRPr="00B21D99">
        <w:rPr>
          <w:rFonts w:ascii="Arial" w:hAnsi="Arial" w:cs="Arial"/>
        </w:rPr>
        <w:t xml:space="preserve">Therefore, </w:t>
      </w:r>
      <w:r w:rsidR="00267866" w:rsidRPr="00B21D99">
        <w:rPr>
          <w:rFonts w:ascii="Arial" w:hAnsi="Arial" w:cs="Arial"/>
        </w:rPr>
        <w:t>the ROK suggests</w:t>
      </w:r>
      <w:r w:rsidR="00345F07" w:rsidRPr="00B21D99">
        <w:rPr>
          <w:rFonts w:ascii="Arial" w:hAnsi="Arial" w:cs="Arial"/>
        </w:rPr>
        <w:t xml:space="preserve"> </w:t>
      </w:r>
      <w:r w:rsidR="00441930" w:rsidRPr="00B21D99">
        <w:rPr>
          <w:rFonts w:ascii="Arial" w:hAnsi="Arial" w:cs="Arial"/>
        </w:rPr>
        <w:t>ad</w:t>
      </w:r>
      <w:r w:rsidR="00345F07" w:rsidRPr="00B21D99">
        <w:rPr>
          <w:rFonts w:ascii="Arial" w:hAnsi="Arial" w:cs="Arial"/>
        </w:rPr>
        <w:t>ding</w:t>
      </w:r>
      <w:r w:rsidRPr="00B21D99">
        <w:rPr>
          <w:rFonts w:ascii="Arial" w:hAnsi="Arial" w:cs="Arial"/>
        </w:rPr>
        <w:t xml:space="preserve"> the </w:t>
      </w:r>
      <w:r w:rsidR="00267866" w:rsidRPr="00B21D99">
        <w:rPr>
          <w:rFonts w:ascii="Arial" w:hAnsi="Arial" w:cs="Arial"/>
        </w:rPr>
        <w:t>metric</w:t>
      </w:r>
      <w:r w:rsidRPr="00B21D99">
        <w:rPr>
          <w:rFonts w:ascii="Arial" w:hAnsi="Arial" w:cs="Arial"/>
        </w:rPr>
        <w:t xml:space="preserve"> information for transparency of conversion of </w:t>
      </w:r>
      <w:r w:rsidR="0078467A" w:rsidRPr="00B21D99">
        <w:rPr>
          <w:rFonts w:ascii="Arial" w:hAnsi="Arial" w:cs="Arial"/>
        </w:rPr>
        <w:t>ITMOs</w:t>
      </w:r>
      <w:r w:rsidRPr="00B21D99">
        <w:rPr>
          <w:rFonts w:ascii="Arial" w:hAnsi="Arial" w:cs="Arial"/>
        </w:rPr>
        <w:t xml:space="preserve"> and </w:t>
      </w:r>
      <w:r w:rsidR="00FC0935" w:rsidRPr="00B21D99">
        <w:rPr>
          <w:rFonts w:ascii="Arial" w:hAnsi="Arial" w:cs="Arial"/>
        </w:rPr>
        <w:t>reviewing</w:t>
      </w:r>
      <w:r w:rsidRPr="00B21D99">
        <w:rPr>
          <w:rFonts w:ascii="Arial" w:hAnsi="Arial" w:cs="Arial"/>
        </w:rPr>
        <w:t xml:space="preserve"> </w:t>
      </w:r>
      <w:r w:rsidR="00FC0935" w:rsidRPr="00B21D99">
        <w:rPr>
          <w:rFonts w:ascii="Arial" w:hAnsi="Arial" w:cs="Arial"/>
        </w:rPr>
        <w:t>its</w:t>
      </w:r>
      <w:r w:rsidRPr="00B21D99">
        <w:rPr>
          <w:rFonts w:ascii="Arial" w:hAnsi="Arial" w:cs="Arial"/>
        </w:rPr>
        <w:t xml:space="preserve"> a</w:t>
      </w:r>
      <w:r w:rsidR="00E36B2F" w:rsidRPr="00B21D99">
        <w:rPr>
          <w:rFonts w:ascii="Arial" w:hAnsi="Arial" w:cs="Arial"/>
        </w:rPr>
        <w:t>ppropriateness</w:t>
      </w:r>
      <w:r w:rsidRPr="00B21D99">
        <w:rPr>
          <w:rFonts w:ascii="Arial" w:hAnsi="Arial" w:cs="Arial"/>
        </w:rPr>
        <w:t>.</w:t>
      </w:r>
    </w:p>
    <w:p w14:paraId="446C59D2" w14:textId="77777777" w:rsidR="00A64DDD" w:rsidRPr="00B21D99" w:rsidRDefault="00A64DDD" w:rsidP="00A7504E">
      <w:pPr>
        <w:rPr>
          <w:rFonts w:ascii="Arial" w:hAnsi="Arial" w:cs="Arial"/>
        </w:rPr>
      </w:pPr>
    </w:p>
    <w:p w14:paraId="12921D58" w14:textId="1F6D388B" w:rsidR="00F865D3" w:rsidRPr="00B21D99" w:rsidRDefault="00F865D3" w:rsidP="00F865D3">
      <w:pPr>
        <w:pStyle w:val="a9"/>
        <w:numPr>
          <w:ilvl w:val="0"/>
          <w:numId w:val="7"/>
        </w:numPr>
        <w:ind w:leftChars="0"/>
        <w:rPr>
          <w:rFonts w:ascii="Arial" w:hAnsi="Arial" w:cs="Arial"/>
          <w:b/>
        </w:rPr>
      </w:pPr>
      <w:r w:rsidRPr="00B21D99">
        <w:rPr>
          <w:rFonts w:ascii="Arial" w:hAnsi="Arial" w:cs="Arial"/>
          <w:b/>
        </w:rPr>
        <w:t>The need for additional functionalities and procedures for the international registry to allow for transfer of Article 6, paragraph 4, emission reductions to the international registry</w:t>
      </w:r>
    </w:p>
    <w:p w14:paraId="792287BE" w14:textId="6A432BBF" w:rsidR="001642E9" w:rsidRPr="00B21D99" w:rsidRDefault="001642E9" w:rsidP="001642E9">
      <w:pPr>
        <w:rPr>
          <w:rFonts w:ascii="Arial" w:hAnsi="Arial" w:cs="Arial"/>
        </w:rPr>
      </w:pPr>
      <w:r w:rsidRPr="00B21D99">
        <w:rPr>
          <w:rFonts w:ascii="Arial" w:hAnsi="Arial" w:cs="Arial"/>
        </w:rPr>
        <w:t>Out of the issued A6.4ERs, those that are authorized to use towards NDCs and/or OIMPs</w:t>
      </w:r>
      <w:r w:rsidR="00665CDC" w:rsidRPr="00B21D99">
        <w:rPr>
          <w:rFonts w:ascii="Arial" w:hAnsi="Arial" w:cs="Arial"/>
        </w:rPr>
        <w:t xml:space="preserve"> </w:t>
      </w:r>
      <w:r w:rsidRPr="00B21D99">
        <w:rPr>
          <w:rFonts w:ascii="Arial" w:hAnsi="Arial" w:cs="Arial"/>
        </w:rPr>
        <w:t>(</w:t>
      </w:r>
      <w:r w:rsidR="00665CDC" w:rsidRPr="00B21D99">
        <w:rPr>
          <w:rFonts w:ascii="Arial" w:hAnsi="Arial" w:cs="Arial"/>
        </w:rPr>
        <w:t>hereinafter “</w:t>
      </w:r>
      <w:r w:rsidRPr="00B21D99">
        <w:rPr>
          <w:rFonts w:ascii="Arial" w:hAnsi="Arial" w:cs="Arial"/>
        </w:rPr>
        <w:t>authorized A6.4ER</w:t>
      </w:r>
      <w:r w:rsidR="00665CDC" w:rsidRPr="00B21D99">
        <w:rPr>
          <w:rFonts w:ascii="Arial" w:hAnsi="Arial" w:cs="Arial"/>
        </w:rPr>
        <w:t>s”</w:t>
      </w:r>
      <w:r w:rsidRPr="00B21D99">
        <w:rPr>
          <w:rFonts w:ascii="Arial" w:hAnsi="Arial" w:cs="Arial"/>
        </w:rPr>
        <w:t>) should be managed as ITMO</w:t>
      </w:r>
      <w:r w:rsidR="00364C08" w:rsidRPr="00B21D99">
        <w:rPr>
          <w:rFonts w:ascii="Arial" w:hAnsi="Arial" w:cs="Arial"/>
        </w:rPr>
        <w:t>s</w:t>
      </w:r>
      <w:r w:rsidRPr="00B21D99">
        <w:rPr>
          <w:rFonts w:ascii="Arial" w:hAnsi="Arial" w:cs="Arial"/>
        </w:rPr>
        <w:t xml:space="preserve"> and the linkage between the international registry and the </w:t>
      </w:r>
      <w:r w:rsidR="004A3671" w:rsidRPr="00B21D99">
        <w:rPr>
          <w:rFonts w:ascii="Arial" w:hAnsi="Arial" w:cs="Arial"/>
        </w:rPr>
        <w:t xml:space="preserve">A6.4 </w:t>
      </w:r>
      <w:r w:rsidRPr="00B21D99">
        <w:rPr>
          <w:rFonts w:ascii="Arial" w:hAnsi="Arial" w:cs="Arial"/>
        </w:rPr>
        <w:t>mechanism registry is mandated by the Guidance</w:t>
      </w:r>
      <w:r w:rsidR="00B706FF" w:rsidRPr="00B21D99">
        <w:rPr>
          <w:rFonts w:ascii="Arial" w:hAnsi="Arial" w:cs="Arial"/>
        </w:rPr>
        <w:t>.</w:t>
      </w:r>
      <w:r w:rsidRPr="00B21D99">
        <w:rPr>
          <w:rFonts w:ascii="Arial" w:hAnsi="Arial" w:cs="Arial"/>
        </w:rPr>
        <w:t xml:space="preserve"> </w:t>
      </w:r>
      <w:r w:rsidR="00B706FF" w:rsidRPr="00B21D99">
        <w:rPr>
          <w:rFonts w:ascii="Arial" w:hAnsi="Arial" w:cs="Arial"/>
        </w:rPr>
        <w:t xml:space="preserve">However, </w:t>
      </w:r>
      <w:r w:rsidRPr="00B21D99">
        <w:rPr>
          <w:rFonts w:ascii="Arial" w:hAnsi="Arial" w:cs="Arial"/>
        </w:rPr>
        <w:t xml:space="preserve">the </w:t>
      </w:r>
      <w:r w:rsidR="009A71C1" w:rsidRPr="00B21D99">
        <w:rPr>
          <w:rFonts w:ascii="Arial" w:hAnsi="Arial" w:cs="Arial"/>
        </w:rPr>
        <w:t>additional functionality</w:t>
      </w:r>
      <w:r w:rsidR="00A73AA9" w:rsidRPr="00B21D99">
        <w:rPr>
          <w:rFonts w:ascii="Arial" w:hAnsi="Arial" w:cs="Arial"/>
        </w:rPr>
        <w:t xml:space="preserve"> for</w:t>
      </w:r>
      <w:r w:rsidRPr="00B21D99">
        <w:rPr>
          <w:rFonts w:ascii="Arial" w:hAnsi="Arial" w:cs="Arial"/>
        </w:rPr>
        <w:t xml:space="preserve"> authorized A6.4ERs to be transferred to the international re</w:t>
      </w:r>
      <w:r w:rsidR="00AC59F0" w:rsidRPr="00B21D99">
        <w:rPr>
          <w:rFonts w:ascii="Arial" w:hAnsi="Arial" w:cs="Arial"/>
        </w:rPr>
        <w:t>gistry needs further discussion</w:t>
      </w:r>
      <w:r w:rsidR="00FA6225" w:rsidRPr="00B21D99">
        <w:rPr>
          <w:rFonts w:ascii="Arial" w:hAnsi="Arial" w:cs="Arial"/>
        </w:rPr>
        <w:t xml:space="preserve">, and the ROK believes this issue should be handled in </w:t>
      </w:r>
      <w:r w:rsidR="00662B25" w:rsidRPr="00B21D99">
        <w:rPr>
          <w:rFonts w:ascii="Arial" w:hAnsi="Arial" w:cs="Arial"/>
        </w:rPr>
        <w:t>light</w:t>
      </w:r>
      <w:r w:rsidR="00FA6225" w:rsidRPr="00B21D99">
        <w:rPr>
          <w:rFonts w:ascii="Arial" w:hAnsi="Arial" w:cs="Arial"/>
        </w:rPr>
        <w:t xml:space="preserve"> of balancing transparency, ITMO tracking convenience and cost-effectiveness.</w:t>
      </w:r>
    </w:p>
    <w:p w14:paraId="57A81028" w14:textId="0E99D98A" w:rsidR="00FA6225" w:rsidRPr="00B21D99" w:rsidRDefault="00FA6225" w:rsidP="005C6679">
      <w:pPr>
        <w:pStyle w:val="a9"/>
        <w:numPr>
          <w:ilvl w:val="0"/>
          <w:numId w:val="17"/>
        </w:numPr>
        <w:ind w:leftChars="0"/>
        <w:rPr>
          <w:rFonts w:ascii="Arial" w:hAnsi="Arial" w:cs="Arial"/>
        </w:rPr>
      </w:pPr>
      <w:r w:rsidRPr="00B21D99">
        <w:rPr>
          <w:rFonts w:ascii="Arial" w:hAnsi="Arial" w:cs="Arial"/>
        </w:rPr>
        <w:t xml:space="preserve"> T</w:t>
      </w:r>
      <w:r w:rsidRPr="00B21D99">
        <w:rPr>
          <w:rFonts w:ascii="Arial" w:hAnsi="Arial" w:cs="Arial" w:hint="eastAsia"/>
        </w:rPr>
        <w:t xml:space="preserve">ransparency </w:t>
      </w:r>
      <w:r w:rsidRPr="00B21D99">
        <w:rPr>
          <w:rFonts w:ascii="Arial" w:hAnsi="Arial" w:cs="Arial"/>
        </w:rPr>
        <w:t>and tracking ITMOs</w:t>
      </w:r>
    </w:p>
    <w:p w14:paraId="43383CFE" w14:textId="0C1DABFE" w:rsidR="005C6679" w:rsidRPr="00B21D99" w:rsidRDefault="00A73AA9" w:rsidP="001642E9">
      <w:pPr>
        <w:rPr>
          <w:rFonts w:ascii="Arial" w:hAnsi="Arial" w:cs="Arial"/>
        </w:rPr>
      </w:pPr>
      <w:r w:rsidRPr="00B21D99">
        <w:rPr>
          <w:rFonts w:ascii="Arial" w:hAnsi="Arial" w:cs="Arial"/>
        </w:rPr>
        <w:t>The authorized A6.4</w:t>
      </w:r>
      <w:r w:rsidR="001642E9" w:rsidRPr="00B21D99">
        <w:rPr>
          <w:rFonts w:ascii="Arial" w:hAnsi="Arial" w:cs="Arial"/>
        </w:rPr>
        <w:t>ER</w:t>
      </w:r>
      <w:r w:rsidRPr="00B21D99">
        <w:rPr>
          <w:rFonts w:ascii="Arial" w:hAnsi="Arial" w:cs="Arial"/>
        </w:rPr>
        <w:t>s</w:t>
      </w:r>
      <w:r w:rsidR="001642E9" w:rsidRPr="00B21D99">
        <w:rPr>
          <w:rFonts w:ascii="Arial" w:hAnsi="Arial" w:cs="Arial"/>
        </w:rPr>
        <w:t xml:space="preserve"> should be included in the relevant reporting</w:t>
      </w:r>
      <w:r w:rsidR="004E513B" w:rsidRPr="00B21D99">
        <w:rPr>
          <w:rFonts w:ascii="Arial" w:hAnsi="Arial" w:cs="Arial"/>
        </w:rPr>
        <w:t xml:space="preserve"> like</w:t>
      </w:r>
      <w:r w:rsidR="001642E9" w:rsidRPr="00B21D99">
        <w:rPr>
          <w:rFonts w:ascii="Arial" w:hAnsi="Arial" w:cs="Arial"/>
        </w:rPr>
        <w:t xml:space="preserve"> annual information </w:t>
      </w:r>
      <w:r w:rsidR="004E513B" w:rsidRPr="00B21D99">
        <w:rPr>
          <w:rFonts w:ascii="Arial" w:hAnsi="Arial" w:cs="Arial"/>
        </w:rPr>
        <w:t>and regular information as I</w:t>
      </w:r>
      <w:r w:rsidR="001642E9" w:rsidRPr="00B21D99">
        <w:rPr>
          <w:rFonts w:ascii="Arial" w:hAnsi="Arial" w:cs="Arial"/>
        </w:rPr>
        <w:t>TMO</w:t>
      </w:r>
      <w:r w:rsidRPr="00B21D99">
        <w:rPr>
          <w:rFonts w:ascii="Arial" w:hAnsi="Arial" w:cs="Arial"/>
        </w:rPr>
        <w:t>s</w:t>
      </w:r>
      <w:r w:rsidR="001642E9" w:rsidRPr="00B21D99">
        <w:rPr>
          <w:rFonts w:ascii="Arial" w:hAnsi="Arial" w:cs="Arial"/>
        </w:rPr>
        <w:t xml:space="preserve"> in accordance with Article 6.2 </w:t>
      </w:r>
      <w:r w:rsidR="004E513B" w:rsidRPr="00B21D99">
        <w:rPr>
          <w:rFonts w:ascii="Arial" w:hAnsi="Arial" w:cs="Arial"/>
        </w:rPr>
        <w:t>guidance</w:t>
      </w:r>
      <w:r w:rsidR="001642E9" w:rsidRPr="00B21D99">
        <w:rPr>
          <w:rFonts w:ascii="Arial" w:hAnsi="Arial" w:cs="Arial"/>
        </w:rPr>
        <w:t xml:space="preserve">. This </w:t>
      </w:r>
      <w:r w:rsidR="001C37B5" w:rsidRPr="00B21D99">
        <w:rPr>
          <w:rFonts w:ascii="Arial" w:hAnsi="Arial" w:cs="Arial"/>
        </w:rPr>
        <w:t>implies</w:t>
      </w:r>
      <w:r w:rsidR="001642E9" w:rsidRPr="00B21D99">
        <w:rPr>
          <w:rFonts w:ascii="Arial" w:hAnsi="Arial" w:cs="Arial"/>
        </w:rPr>
        <w:t xml:space="preserve"> that even if they are not tr</w:t>
      </w:r>
      <w:r w:rsidR="00D06684" w:rsidRPr="00B21D99">
        <w:rPr>
          <w:rFonts w:ascii="Arial" w:hAnsi="Arial" w:cs="Arial"/>
        </w:rPr>
        <w:t>ansferred to the i</w:t>
      </w:r>
      <w:r w:rsidR="009E1619" w:rsidRPr="00B21D99">
        <w:rPr>
          <w:rFonts w:ascii="Arial" w:hAnsi="Arial" w:cs="Arial"/>
        </w:rPr>
        <w:t>nternational r</w:t>
      </w:r>
      <w:r w:rsidR="001642E9" w:rsidRPr="00B21D99">
        <w:rPr>
          <w:rFonts w:ascii="Arial" w:hAnsi="Arial" w:cs="Arial"/>
        </w:rPr>
        <w:t>egist</w:t>
      </w:r>
      <w:r w:rsidR="009E1619" w:rsidRPr="00B21D99">
        <w:rPr>
          <w:rFonts w:ascii="Arial" w:hAnsi="Arial" w:cs="Arial"/>
        </w:rPr>
        <w:t>ry</w:t>
      </w:r>
      <w:r w:rsidR="001642E9" w:rsidRPr="00B21D99">
        <w:rPr>
          <w:rFonts w:ascii="Arial" w:hAnsi="Arial" w:cs="Arial"/>
        </w:rPr>
        <w:t xml:space="preserve">, they </w:t>
      </w:r>
      <w:r w:rsidRPr="00B21D99">
        <w:rPr>
          <w:rFonts w:ascii="Arial" w:hAnsi="Arial" w:cs="Arial"/>
        </w:rPr>
        <w:t>still can be tracked by reporting</w:t>
      </w:r>
      <w:r w:rsidR="001642E9" w:rsidRPr="00B21D99">
        <w:rPr>
          <w:rFonts w:ascii="Arial" w:hAnsi="Arial" w:cs="Arial"/>
        </w:rPr>
        <w:t xml:space="preserve"> through the AEF</w:t>
      </w:r>
      <w:r w:rsidR="00D06684" w:rsidRPr="00B21D99">
        <w:rPr>
          <w:rFonts w:ascii="Arial" w:hAnsi="Arial" w:cs="Arial"/>
        </w:rPr>
        <w:t xml:space="preserve"> and other reports</w:t>
      </w:r>
      <w:r w:rsidR="00E51BAE" w:rsidRPr="00B21D99">
        <w:rPr>
          <w:rFonts w:ascii="Arial" w:hAnsi="Arial" w:cs="Arial"/>
        </w:rPr>
        <w:t>; hence</w:t>
      </w:r>
      <w:r w:rsidR="001642E9" w:rsidRPr="00B21D99">
        <w:rPr>
          <w:rFonts w:ascii="Arial" w:hAnsi="Arial" w:cs="Arial"/>
        </w:rPr>
        <w:t xml:space="preserve"> the A6DB will record </w:t>
      </w:r>
      <w:r w:rsidR="00E51BAE" w:rsidRPr="00B21D99">
        <w:rPr>
          <w:rFonts w:ascii="Arial" w:hAnsi="Arial" w:cs="Arial"/>
        </w:rPr>
        <w:t xml:space="preserve">basic information and </w:t>
      </w:r>
      <w:r w:rsidR="001642E9" w:rsidRPr="00B21D99">
        <w:rPr>
          <w:rFonts w:ascii="Arial" w:hAnsi="Arial" w:cs="Arial"/>
        </w:rPr>
        <w:t>activities that need to be tracked, such as issuance</w:t>
      </w:r>
      <w:r w:rsidR="00D06684" w:rsidRPr="00B21D99">
        <w:rPr>
          <w:rFonts w:ascii="Arial" w:hAnsi="Arial" w:cs="Arial"/>
        </w:rPr>
        <w:t>,</w:t>
      </w:r>
      <w:r w:rsidR="001642E9" w:rsidRPr="00B21D99">
        <w:rPr>
          <w:rFonts w:ascii="Arial" w:hAnsi="Arial" w:cs="Arial"/>
        </w:rPr>
        <w:t xml:space="preserve"> holdings</w:t>
      </w:r>
      <w:r w:rsidR="00D06684" w:rsidRPr="00B21D99">
        <w:rPr>
          <w:rFonts w:ascii="Arial" w:hAnsi="Arial" w:cs="Arial"/>
        </w:rPr>
        <w:t>,</w:t>
      </w:r>
      <w:r w:rsidR="001642E9" w:rsidRPr="00B21D99">
        <w:rPr>
          <w:rFonts w:ascii="Arial" w:hAnsi="Arial" w:cs="Arial"/>
        </w:rPr>
        <w:t xml:space="preserve"> and t</w:t>
      </w:r>
      <w:r w:rsidRPr="00B21D99">
        <w:rPr>
          <w:rFonts w:ascii="Arial" w:hAnsi="Arial" w:cs="Arial"/>
        </w:rPr>
        <w:t>he purpose of the authorization.</w:t>
      </w:r>
      <w:r w:rsidR="00FA6225" w:rsidRPr="00B21D99">
        <w:rPr>
          <w:rFonts w:ascii="Arial" w:hAnsi="Arial" w:cs="Arial"/>
        </w:rPr>
        <w:t xml:space="preserve"> </w:t>
      </w:r>
      <w:r w:rsidR="00D40F4B" w:rsidRPr="00B21D99">
        <w:rPr>
          <w:rFonts w:ascii="Arial" w:hAnsi="Arial" w:cs="Arial"/>
        </w:rPr>
        <w:t>Also</w:t>
      </w:r>
      <w:r w:rsidR="005C6679" w:rsidRPr="00B21D99">
        <w:rPr>
          <w:rFonts w:ascii="Arial" w:hAnsi="Arial" w:cs="Arial"/>
        </w:rPr>
        <w:t xml:space="preserve">, Parties can check the consistency and get the information for reports by retrieving data by utilizing the interoperability between registries. </w:t>
      </w:r>
    </w:p>
    <w:p w14:paraId="77D64F61" w14:textId="579F4D98" w:rsidR="00ED525E" w:rsidRPr="00B21D99" w:rsidRDefault="00FA6225" w:rsidP="001642E9">
      <w:pPr>
        <w:rPr>
          <w:rFonts w:ascii="Arial" w:hAnsi="Arial" w:cs="Arial"/>
        </w:rPr>
      </w:pPr>
      <w:r w:rsidRPr="00B21D99">
        <w:rPr>
          <w:rFonts w:ascii="Arial" w:hAnsi="Arial" w:cs="Arial"/>
        </w:rPr>
        <w:t xml:space="preserve">However, </w:t>
      </w:r>
      <w:r w:rsidR="005C6679" w:rsidRPr="00B21D99">
        <w:rPr>
          <w:rFonts w:ascii="Arial" w:hAnsi="Arial" w:cs="Arial"/>
        </w:rPr>
        <w:t>considering the TACCC principle</w:t>
      </w:r>
      <w:r w:rsidR="00261896" w:rsidRPr="00B21D99">
        <w:rPr>
          <w:rFonts w:ascii="Arial" w:hAnsi="Arial" w:cs="Arial" w:hint="eastAsia"/>
        </w:rPr>
        <w:t>s</w:t>
      </w:r>
      <w:r w:rsidR="005C6679" w:rsidRPr="00B21D99">
        <w:rPr>
          <w:rFonts w:ascii="Arial" w:hAnsi="Arial" w:cs="Arial"/>
        </w:rPr>
        <w:t>, transferring authorized A6.4</w:t>
      </w:r>
      <w:r w:rsidR="005C6679" w:rsidRPr="00B21D99">
        <w:rPr>
          <w:rFonts w:ascii="Arial" w:hAnsi="Arial" w:cs="Arial" w:hint="eastAsia"/>
        </w:rPr>
        <w:t>E</w:t>
      </w:r>
      <w:r w:rsidR="005C6679" w:rsidRPr="00B21D99">
        <w:rPr>
          <w:rFonts w:ascii="Arial" w:hAnsi="Arial" w:cs="Arial"/>
        </w:rPr>
        <w:t>R</w:t>
      </w:r>
      <w:r w:rsidR="0099128E" w:rsidRPr="00B21D99">
        <w:rPr>
          <w:rFonts w:ascii="Arial" w:hAnsi="Arial" w:cs="Arial"/>
        </w:rPr>
        <w:t>s</w:t>
      </w:r>
      <w:r w:rsidR="005C6679" w:rsidRPr="00B21D99">
        <w:rPr>
          <w:rFonts w:ascii="Arial" w:hAnsi="Arial" w:cs="Arial"/>
        </w:rPr>
        <w:t xml:space="preserve"> can contribute </w:t>
      </w:r>
      <w:r w:rsidR="00902734" w:rsidRPr="00B21D99">
        <w:rPr>
          <w:rFonts w:ascii="Arial" w:hAnsi="Arial" w:cs="Arial"/>
        </w:rPr>
        <w:t xml:space="preserve">to </w:t>
      </w:r>
      <w:r w:rsidR="005C6679" w:rsidRPr="00B21D99">
        <w:rPr>
          <w:rFonts w:ascii="Arial" w:hAnsi="Arial" w:cs="Arial"/>
        </w:rPr>
        <w:t xml:space="preserve">enhancing transparency in Article 6.2 cycle </w:t>
      </w:r>
      <w:r w:rsidR="005C6679" w:rsidRPr="00B21D99">
        <w:rPr>
          <w:rFonts w:ascii="Arial" w:hAnsi="Arial" w:cs="Arial" w:hint="eastAsia"/>
        </w:rPr>
        <w:t xml:space="preserve">by </w:t>
      </w:r>
      <w:r w:rsidR="005C6679" w:rsidRPr="00B21D99">
        <w:rPr>
          <w:rFonts w:ascii="Arial" w:hAnsi="Arial" w:cs="Arial"/>
        </w:rPr>
        <w:t>minimiz</w:t>
      </w:r>
      <w:r w:rsidR="00BF62DD" w:rsidRPr="00B21D99">
        <w:rPr>
          <w:rFonts w:ascii="Arial" w:hAnsi="Arial" w:cs="Arial"/>
        </w:rPr>
        <w:t>ing</w:t>
      </w:r>
      <w:r w:rsidR="005C6679" w:rsidRPr="00B21D99">
        <w:rPr>
          <w:rFonts w:ascii="Arial" w:hAnsi="Arial" w:cs="Arial"/>
        </w:rPr>
        <w:t xml:space="preserve"> the risk of missing information, and </w:t>
      </w:r>
      <w:r w:rsidR="00560651" w:rsidRPr="00B21D99">
        <w:rPr>
          <w:rFonts w:ascii="Arial" w:hAnsi="Arial" w:cs="Arial"/>
        </w:rPr>
        <w:t xml:space="preserve">to </w:t>
      </w:r>
      <w:r w:rsidR="005C6679" w:rsidRPr="00B21D99">
        <w:rPr>
          <w:rFonts w:ascii="Arial" w:hAnsi="Arial" w:cs="Arial"/>
        </w:rPr>
        <w:t xml:space="preserve">tracking convenience since most of </w:t>
      </w:r>
      <w:r w:rsidR="00C04466" w:rsidRPr="00B21D99">
        <w:rPr>
          <w:rFonts w:ascii="Arial" w:hAnsi="Arial" w:cs="Arial"/>
        </w:rPr>
        <w:t xml:space="preserve">the data of </w:t>
      </w:r>
      <w:r w:rsidR="005C6679" w:rsidRPr="00B21D99">
        <w:rPr>
          <w:rFonts w:ascii="Arial" w:hAnsi="Arial" w:cs="Arial"/>
        </w:rPr>
        <w:t xml:space="preserve">ITMOs that need </w:t>
      </w:r>
      <w:r w:rsidR="002654BB" w:rsidRPr="00B21D99">
        <w:rPr>
          <w:rFonts w:ascii="Arial" w:hAnsi="Arial" w:cs="Arial"/>
        </w:rPr>
        <w:t xml:space="preserve">to be reported </w:t>
      </w:r>
      <w:r w:rsidR="00457846" w:rsidRPr="00B21D99">
        <w:rPr>
          <w:rFonts w:ascii="Arial" w:hAnsi="Arial" w:cs="Arial"/>
        </w:rPr>
        <w:t>can be</w:t>
      </w:r>
      <w:r w:rsidR="002654BB" w:rsidRPr="00B21D99">
        <w:rPr>
          <w:rFonts w:ascii="Arial" w:hAnsi="Arial" w:cs="Arial"/>
        </w:rPr>
        <w:t xml:space="preserve"> gathered </w:t>
      </w:r>
      <w:r w:rsidR="001470BC" w:rsidRPr="00B21D99">
        <w:rPr>
          <w:rFonts w:ascii="Arial" w:hAnsi="Arial" w:cs="Arial"/>
        </w:rPr>
        <w:t>from</w:t>
      </w:r>
      <w:r w:rsidR="002654BB" w:rsidRPr="00B21D99">
        <w:rPr>
          <w:rFonts w:ascii="Arial" w:hAnsi="Arial" w:cs="Arial"/>
        </w:rPr>
        <w:t xml:space="preserve"> the international</w:t>
      </w:r>
      <w:r w:rsidR="005C6679" w:rsidRPr="00B21D99">
        <w:rPr>
          <w:rFonts w:ascii="Arial" w:hAnsi="Arial" w:cs="Arial"/>
        </w:rPr>
        <w:t xml:space="preserve"> registry.</w:t>
      </w:r>
    </w:p>
    <w:p w14:paraId="0D121910" w14:textId="53028943" w:rsidR="002D5C69" w:rsidRPr="00B21D99" w:rsidRDefault="00ED525E" w:rsidP="00ED525E">
      <w:pPr>
        <w:widowControl/>
        <w:wordWrap/>
        <w:autoSpaceDE/>
        <w:autoSpaceDN/>
        <w:rPr>
          <w:rFonts w:ascii="Arial" w:hAnsi="Arial" w:cs="Arial"/>
        </w:rPr>
      </w:pPr>
      <w:r w:rsidRPr="00B21D99">
        <w:rPr>
          <w:rFonts w:ascii="Arial" w:hAnsi="Arial" w:cs="Arial"/>
        </w:rPr>
        <w:br w:type="page"/>
      </w:r>
    </w:p>
    <w:p w14:paraId="1A1D7001" w14:textId="151D2205" w:rsidR="00BD6AD7" w:rsidRPr="00B21D99" w:rsidRDefault="007B38EC" w:rsidP="007B38EC">
      <w:pPr>
        <w:pStyle w:val="a9"/>
        <w:numPr>
          <w:ilvl w:val="0"/>
          <w:numId w:val="17"/>
        </w:numPr>
        <w:ind w:leftChars="0"/>
        <w:rPr>
          <w:rFonts w:ascii="Arial" w:hAnsi="Arial" w:cs="Arial"/>
        </w:rPr>
      </w:pPr>
      <w:r w:rsidRPr="00B21D99">
        <w:rPr>
          <w:rFonts w:ascii="Arial" w:hAnsi="Arial" w:cs="Arial"/>
        </w:rPr>
        <w:lastRenderedPageBreak/>
        <w:t xml:space="preserve"> Cost-effectiveness</w:t>
      </w:r>
    </w:p>
    <w:p w14:paraId="3459CB4F" w14:textId="3DF468E6" w:rsidR="005046A6" w:rsidRPr="00B21D99" w:rsidRDefault="007B38EC" w:rsidP="001642E9">
      <w:pPr>
        <w:rPr>
          <w:rFonts w:ascii="Arial" w:hAnsi="Arial" w:cs="Arial"/>
        </w:rPr>
      </w:pPr>
      <w:r w:rsidRPr="00B21D99">
        <w:rPr>
          <w:rFonts w:ascii="Arial" w:hAnsi="Arial" w:cs="Arial"/>
        </w:rPr>
        <w:t>I</w:t>
      </w:r>
      <w:r w:rsidR="00FB11A6" w:rsidRPr="00B21D99">
        <w:rPr>
          <w:rFonts w:ascii="Arial" w:hAnsi="Arial" w:cs="Arial"/>
        </w:rPr>
        <w:t xml:space="preserve">f the A6.4ERs are transferred to the international registry, additional consideration would need to be given to the linkage of multiple national registries and </w:t>
      </w:r>
      <w:r w:rsidR="00124F78" w:rsidRPr="00B21D99">
        <w:rPr>
          <w:rFonts w:ascii="Arial" w:hAnsi="Arial" w:cs="Arial"/>
        </w:rPr>
        <w:t xml:space="preserve">the </w:t>
      </w:r>
      <w:r w:rsidR="00FB11A6" w:rsidRPr="00B21D99">
        <w:rPr>
          <w:rFonts w:ascii="Arial" w:hAnsi="Arial" w:cs="Arial"/>
        </w:rPr>
        <w:t xml:space="preserve">A6.4 mechanism registry to ensure </w:t>
      </w:r>
      <w:r w:rsidR="00580227" w:rsidRPr="00B21D99">
        <w:rPr>
          <w:rFonts w:ascii="Arial" w:hAnsi="Arial" w:cs="Arial"/>
        </w:rPr>
        <w:t xml:space="preserve">a </w:t>
      </w:r>
      <w:r w:rsidR="00FB11A6" w:rsidRPr="00B21D99">
        <w:rPr>
          <w:rFonts w:ascii="Arial" w:hAnsi="Arial" w:cs="Arial"/>
        </w:rPr>
        <w:t>similar or e</w:t>
      </w:r>
      <w:r w:rsidR="00165121" w:rsidRPr="00B21D99">
        <w:rPr>
          <w:rFonts w:ascii="Arial" w:hAnsi="Arial" w:cs="Arial"/>
        </w:rPr>
        <w:t>quivalent level of connectivity</w:t>
      </w:r>
      <w:r w:rsidR="005046A6" w:rsidRPr="00B21D99">
        <w:rPr>
          <w:rFonts w:ascii="Arial" w:hAnsi="Arial" w:cs="Arial"/>
        </w:rPr>
        <w:t xml:space="preserve">, which can incur cost </w:t>
      </w:r>
      <w:r w:rsidR="00CE0279" w:rsidRPr="00B21D99">
        <w:rPr>
          <w:rFonts w:ascii="Arial" w:hAnsi="Arial" w:cs="Arial"/>
        </w:rPr>
        <w:t xml:space="preserve">in </w:t>
      </w:r>
      <w:r w:rsidR="005046A6" w:rsidRPr="00B21D99">
        <w:rPr>
          <w:rFonts w:ascii="Arial" w:hAnsi="Arial" w:cs="Arial"/>
        </w:rPr>
        <w:t>maintaining a certain level of connection and interoperability. Due to limited available resources, such cost needs to be taken into account.</w:t>
      </w:r>
    </w:p>
    <w:p w14:paraId="3A6DA30C" w14:textId="77777777" w:rsidR="00FB11A6" w:rsidRPr="00B21D99" w:rsidRDefault="00FB11A6" w:rsidP="001642E9">
      <w:pPr>
        <w:rPr>
          <w:rFonts w:ascii="Arial" w:hAnsi="Arial" w:cs="Arial"/>
        </w:rPr>
      </w:pPr>
    </w:p>
    <w:p w14:paraId="3C1EE044" w14:textId="7DAFB73B" w:rsidR="00F865D3" w:rsidRPr="00B21D99" w:rsidRDefault="00F865D3" w:rsidP="00FA6225">
      <w:pPr>
        <w:pStyle w:val="a9"/>
        <w:numPr>
          <w:ilvl w:val="0"/>
          <w:numId w:val="15"/>
        </w:numPr>
        <w:ind w:leftChars="0"/>
        <w:rPr>
          <w:rFonts w:ascii="Arial" w:hAnsi="Arial" w:cs="Arial"/>
          <w:b/>
        </w:rPr>
      </w:pPr>
      <w:r w:rsidRPr="00B21D99">
        <w:rPr>
          <w:rFonts w:ascii="Arial" w:hAnsi="Arial" w:cs="Arial"/>
          <w:b/>
        </w:rPr>
        <w:t>The accounts of the international registry</w:t>
      </w:r>
    </w:p>
    <w:p w14:paraId="427BE8A6" w14:textId="5EC67233" w:rsidR="00EF6E34" w:rsidRPr="00B21D99" w:rsidRDefault="005129C7" w:rsidP="00EF6E34">
      <w:pPr>
        <w:rPr>
          <w:rFonts w:ascii="Arial" w:hAnsi="Arial" w:cs="Arial"/>
        </w:rPr>
      </w:pPr>
      <w:r w:rsidRPr="00B21D99">
        <w:rPr>
          <w:rFonts w:ascii="Arial" w:hAnsi="Arial" w:cs="Arial"/>
        </w:rPr>
        <w:t>R</w:t>
      </w:r>
      <w:r w:rsidR="00EF6E34" w:rsidRPr="00B21D99">
        <w:rPr>
          <w:rFonts w:ascii="Arial" w:hAnsi="Arial" w:cs="Arial"/>
        </w:rPr>
        <w:t>egistry is the most basic tool used by participating Parties to track ITMOs and records the actions including authorization, first transfer, transfer, acquisition, use towards NDCs, authorization for us</w:t>
      </w:r>
      <w:r w:rsidR="00723650" w:rsidRPr="00B21D99">
        <w:rPr>
          <w:rFonts w:ascii="Arial" w:hAnsi="Arial" w:cs="Arial"/>
        </w:rPr>
        <w:t>e</w:t>
      </w:r>
      <w:r w:rsidR="00EF6E34" w:rsidRPr="00B21D99">
        <w:rPr>
          <w:rFonts w:ascii="Arial" w:hAnsi="Arial" w:cs="Arial"/>
        </w:rPr>
        <w:t xml:space="preserve"> towards OIMP</w:t>
      </w:r>
      <w:r w:rsidR="00723650" w:rsidRPr="00B21D99">
        <w:rPr>
          <w:rFonts w:ascii="Arial" w:hAnsi="Arial" w:cs="Arial"/>
        </w:rPr>
        <w:t>s</w:t>
      </w:r>
      <w:r w:rsidR="00EF6E34" w:rsidRPr="00B21D99">
        <w:rPr>
          <w:rFonts w:ascii="Arial" w:hAnsi="Arial" w:cs="Arial"/>
        </w:rPr>
        <w:t>, and voluntary cancellation (including for OMGE, if applicable) in accordance with</w:t>
      </w:r>
      <w:r w:rsidR="00225DC1" w:rsidRPr="00B21D99">
        <w:rPr>
          <w:rFonts w:ascii="Arial" w:hAnsi="Arial" w:cs="Arial"/>
        </w:rPr>
        <w:t xml:space="preserve"> </w:t>
      </w:r>
      <w:r w:rsidR="00EF6E34" w:rsidRPr="00B21D99">
        <w:rPr>
          <w:rFonts w:ascii="Arial" w:hAnsi="Arial" w:cs="Arial"/>
        </w:rPr>
        <w:t>paragraph 29 of Annex, 2/CMA.3 and paragraph 1(b) of Annex</w:t>
      </w:r>
      <w:r w:rsidR="007B5994" w:rsidRPr="00B21D99">
        <w:rPr>
          <w:rFonts w:ascii="Arial" w:eastAsia="Microsoft YaHei UI" w:hAnsi="Arial" w:cs="Arial"/>
        </w:rPr>
        <w:t xml:space="preserve"> I</w:t>
      </w:r>
      <w:r w:rsidR="00EF6E34" w:rsidRPr="00B21D99">
        <w:rPr>
          <w:rFonts w:ascii="Arial" w:hAnsi="Arial" w:cs="Arial"/>
        </w:rPr>
        <w:t>, 6/CMA.4. In addition, the A6.4 mechanism registry shall have at a minimum the following accounts in accordance with paragraph 32 of Annex</w:t>
      </w:r>
      <w:r w:rsidR="00A35DCD" w:rsidRPr="00B21D99">
        <w:rPr>
          <w:rFonts w:ascii="Arial" w:eastAsia="맑은 고딕" w:hAnsi="Arial" w:cs="Arial"/>
        </w:rPr>
        <w:t xml:space="preserve"> I</w:t>
      </w:r>
      <w:r w:rsidR="00EF6E34" w:rsidRPr="00B21D99">
        <w:rPr>
          <w:rFonts w:ascii="Arial" w:eastAsiaTheme="minorHAnsi" w:hAnsi="Arial" w:cs="Arial"/>
        </w:rPr>
        <w:t>,</w:t>
      </w:r>
      <w:r w:rsidR="00EF6E34" w:rsidRPr="00B21D99">
        <w:rPr>
          <w:rFonts w:ascii="Arial" w:hAnsi="Arial" w:cs="Arial"/>
        </w:rPr>
        <w:t xml:space="preserve"> 7/CMA.4.</w:t>
      </w:r>
    </w:p>
    <w:p w14:paraId="2698FE53" w14:textId="42AF648D" w:rsidR="00EF6E34" w:rsidRPr="00B21D99" w:rsidRDefault="00EF6E34" w:rsidP="00EF6E34">
      <w:pPr>
        <w:rPr>
          <w:rFonts w:ascii="Arial" w:hAnsi="Arial" w:cs="Arial"/>
        </w:rPr>
      </w:pPr>
      <w:r w:rsidRPr="00B21D99">
        <w:rPr>
          <w:rFonts w:ascii="Arial" w:hAnsi="Arial" w:cs="Arial"/>
        </w:rPr>
        <w:t xml:space="preserve">(a) </w:t>
      </w:r>
      <w:r w:rsidR="009D6087" w:rsidRPr="00B21D99">
        <w:rPr>
          <w:rFonts w:ascii="Arial" w:hAnsi="Arial" w:cs="Arial"/>
        </w:rPr>
        <w:t xml:space="preserve">Pending </w:t>
      </w:r>
      <w:r w:rsidRPr="00B21D99">
        <w:rPr>
          <w:rFonts w:ascii="Arial" w:hAnsi="Arial" w:cs="Arial"/>
        </w:rPr>
        <w:t xml:space="preserve">account; (b) </w:t>
      </w:r>
      <w:r w:rsidR="009D6087" w:rsidRPr="00B21D99">
        <w:rPr>
          <w:rFonts w:ascii="Arial" w:hAnsi="Arial" w:cs="Arial"/>
        </w:rPr>
        <w:t>H</w:t>
      </w:r>
      <w:r w:rsidRPr="00B21D99">
        <w:rPr>
          <w:rFonts w:ascii="Arial" w:hAnsi="Arial" w:cs="Arial"/>
        </w:rPr>
        <w:t xml:space="preserve">olding account; (c) </w:t>
      </w:r>
      <w:r w:rsidR="009D6087" w:rsidRPr="00B21D99">
        <w:rPr>
          <w:rFonts w:ascii="Arial" w:hAnsi="Arial" w:cs="Arial"/>
        </w:rPr>
        <w:t>Share of proceeds for adaptation account</w:t>
      </w:r>
      <w:r w:rsidRPr="00B21D99">
        <w:rPr>
          <w:rFonts w:ascii="Arial" w:hAnsi="Arial" w:cs="Arial"/>
        </w:rPr>
        <w:t xml:space="preserve">; (d) </w:t>
      </w:r>
      <w:r w:rsidR="009D6087" w:rsidRPr="00B21D99">
        <w:rPr>
          <w:rFonts w:ascii="Arial" w:hAnsi="Arial" w:cs="Arial"/>
        </w:rPr>
        <w:t>M</w:t>
      </w:r>
      <w:r w:rsidRPr="00B21D99">
        <w:rPr>
          <w:rFonts w:ascii="Arial" w:hAnsi="Arial" w:cs="Arial"/>
        </w:rPr>
        <w:t xml:space="preserve">andatory cancellation </w:t>
      </w:r>
      <w:r w:rsidR="009D6087" w:rsidRPr="00B21D99">
        <w:rPr>
          <w:rFonts w:ascii="Arial" w:hAnsi="Arial" w:cs="Arial"/>
        </w:rPr>
        <w:t xml:space="preserve">for OMGE </w:t>
      </w:r>
      <w:r w:rsidRPr="00B21D99">
        <w:rPr>
          <w:rFonts w:ascii="Arial" w:hAnsi="Arial" w:cs="Arial"/>
        </w:rPr>
        <w:t xml:space="preserve">account; (e) </w:t>
      </w:r>
      <w:r w:rsidR="009D6087" w:rsidRPr="00B21D99">
        <w:rPr>
          <w:rFonts w:ascii="Arial" w:hAnsi="Arial" w:cs="Arial"/>
        </w:rPr>
        <w:t>V</w:t>
      </w:r>
      <w:r w:rsidRPr="00B21D99">
        <w:rPr>
          <w:rFonts w:ascii="Arial" w:hAnsi="Arial" w:cs="Arial"/>
        </w:rPr>
        <w:t xml:space="preserve">oluntary cancellation </w:t>
      </w:r>
      <w:r w:rsidR="009D6087" w:rsidRPr="00B21D99">
        <w:rPr>
          <w:rFonts w:ascii="Arial" w:hAnsi="Arial" w:cs="Arial"/>
        </w:rPr>
        <w:t xml:space="preserve">for OMGE </w:t>
      </w:r>
      <w:r w:rsidRPr="00B21D99">
        <w:rPr>
          <w:rFonts w:ascii="Arial" w:hAnsi="Arial" w:cs="Arial"/>
        </w:rPr>
        <w:t>account; (</w:t>
      </w:r>
      <w:r w:rsidR="009D6087" w:rsidRPr="00B21D99">
        <w:rPr>
          <w:rFonts w:ascii="Arial" w:hAnsi="Arial" w:cs="Arial"/>
        </w:rPr>
        <w:t>f</w:t>
      </w:r>
      <w:r w:rsidRPr="00B21D99">
        <w:rPr>
          <w:rFonts w:ascii="Arial" w:hAnsi="Arial" w:cs="Arial"/>
        </w:rPr>
        <w:t xml:space="preserve">) </w:t>
      </w:r>
      <w:r w:rsidR="009D6087" w:rsidRPr="00B21D99">
        <w:rPr>
          <w:rFonts w:ascii="Arial" w:hAnsi="Arial" w:cs="Arial"/>
        </w:rPr>
        <w:t xml:space="preserve">Retirement </w:t>
      </w:r>
      <w:r w:rsidRPr="00B21D99">
        <w:rPr>
          <w:rFonts w:ascii="Arial" w:hAnsi="Arial" w:cs="Arial"/>
        </w:rPr>
        <w:t>account</w:t>
      </w:r>
      <w:r w:rsidR="009D6087" w:rsidRPr="00B21D99">
        <w:rPr>
          <w:rFonts w:ascii="Arial" w:hAnsi="Arial" w:cs="Arial"/>
        </w:rPr>
        <w:t xml:space="preserve"> for A6.4ERs and CERs; (g</w:t>
      </w:r>
      <w:r w:rsidRPr="00B21D99">
        <w:rPr>
          <w:rFonts w:ascii="Arial" w:hAnsi="Arial" w:cs="Arial"/>
        </w:rPr>
        <w:t xml:space="preserve">) </w:t>
      </w:r>
      <w:r w:rsidR="009D6087" w:rsidRPr="00B21D99">
        <w:rPr>
          <w:rFonts w:ascii="Arial" w:hAnsi="Arial" w:cs="Arial"/>
        </w:rPr>
        <w:t>Account for</w:t>
      </w:r>
      <w:r w:rsidRPr="00B21D99">
        <w:rPr>
          <w:rFonts w:ascii="Arial" w:hAnsi="Arial" w:cs="Arial"/>
        </w:rPr>
        <w:t xml:space="preserve"> cancellation </w:t>
      </w:r>
      <w:r w:rsidR="009D6087" w:rsidRPr="00B21D99">
        <w:rPr>
          <w:rFonts w:ascii="Arial" w:hAnsi="Arial" w:cs="Arial"/>
        </w:rPr>
        <w:t>of A6.4ER</w:t>
      </w:r>
      <w:r w:rsidR="00163C7C" w:rsidRPr="00B21D99">
        <w:rPr>
          <w:rFonts w:ascii="Arial" w:hAnsi="Arial" w:cs="Arial"/>
        </w:rPr>
        <w:t>s</w:t>
      </w:r>
      <w:r w:rsidR="009D6087" w:rsidRPr="00B21D99">
        <w:rPr>
          <w:rFonts w:ascii="Arial" w:hAnsi="Arial" w:cs="Arial"/>
        </w:rPr>
        <w:t xml:space="preserve"> for OIMPs</w:t>
      </w:r>
      <w:r w:rsidRPr="00B21D99">
        <w:rPr>
          <w:rFonts w:ascii="Arial" w:hAnsi="Arial" w:cs="Arial"/>
        </w:rPr>
        <w:t>; (</w:t>
      </w:r>
      <w:r w:rsidR="009D6087" w:rsidRPr="00B21D99">
        <w:rPr>
          <w:rFonts w:ascii="Arial" w:hAnsi="Arial" w:cs="Arial"/>
        </w:rPr>
        <w:t>h</w:t>
      </w:r>
      <w:r w:rsidRPr="00B21D99">
        <w:rPr>
          <w:rFonts w:ascii="Arial" w:hAnsi="Arial" w:cs="Arial"/>
        </w:rPr>
        <w:t xml:space="preserve">) </w:t>
      </w:r>
      <w:r w:rsidR="009D6087" w:rsidRPr="00B21D99">
        <w:rPr>
          <w:rFonts w:ascii="Arial" w:hAnsi="Arial" w:cs="Arial"/>
        </w:rPr>
        <w:t>Account for</w:t>
      </w:r>
      <w:r w:rsidRPr="00B21D99">
        <w:rPr>
          <w:rFonts w:ascii="Arial" w:hAnsi="Arial" w:cs="Arial"/>
        </w:rPr>
        <w:t xml:space="preserve"> voluntary cancellation </w:t>
      </w:r>
      <w:r w:rsidR="009D6087" w:rsidRPr="00B21D99">
        <w:rPr>
          <w:rFonts w:ascii="Arial" w:hAnsi="Arial" w:cs="Arial"/>
        </w:rPr>
        <w:t>of A6.4ER</w:t>
      </w:r>
      <w:r w:rsidR="00163C7C" w:rsidRPr="00B21D99">
        <w:rPr>
          <w:rFonts w:ascii="Arial" w:hAnsi="Arial" w:cs="Arial"/>
        </w:rPr>
        <w:t>s</w:t>
      </w:r>
      <w:r w:rsidR="009D6087" w:rsidRPr="00B21D99">
        <w:rPr>
          <w:rFonts w:ascii="Arial" w:hAnsi="Arial" w:cs="Arial"/>
        </w:rPr>
        <w:t xml:space="preserve"> for other purposes</w:t>
      </w:r>
      <w:r w:rsidRPr="00B21D99">
        <w:rPr>
          <w:rFonts w:ascii="Arial" w:hAnsi="Arial" w:cs="Arial"/>
        </w:rPr>
        <w:t>; and (</w:t>
      </w:r>
      <w:r w:rsidR="009D6087" w:rsidRPr="00B21D99">
        <w:rPr>
          <w:rFonts w:ascii="Arial" w:hAnsi="Arial" w:cs="Arial"/>
        </w:rPr>
        <w:t xml:space="preserve">i) Account for </w:t>
      </w:r>
      <w:r w:rsidRPr="00B21D99">
        <w:rPr>
          <w:rFonts w:ascii="Arial" w:hAnsi="Arial" w:cs="Arial"/>
        </w:rPr>
        <w:t xml:space="preserve">administrative </w:t>
      </w:r>
      <w:r w:rsidR="00205C85" w:rsidRPr="00B21D99">
        <w:rPr>
          <w:rFonts w:ascii="Arial" w:hAnsi="Arial" w:cs="Arial"/>
        </w:rPr>
        <w:t>cancellation of A6.4ER</w:t>
      </w:r>
      <w:r w:rsidR="009C444F" w:rsidRPr="00B21D99">
        <w:rPr>
          <w:rFonts w:ascii="Arial" w:hAnsi="Arial" w:cs="Arial"/>
        </w:rPr>
        <w:t>s</w:t>
      </w:r>
      <w:r w:rsidR="00205C85" w:rsidRPr="00B21D99">
        <w:rPr>
          <w:rFonts w:ascii="Arial" w:hAnsi="Arial" w:cs="Arial"/>
        </w:rPr>
        <w:t xml:space="preserve"> and CERs</w:t>
      </w:r>
      <w:r w:rsidRPr="00B21D99">
        <w:rPr>
          <w:rFonts w:ascii="Arial" w:hAnsi="Arial" w:cs="Arial"/>
        </w:rPr>
        <w:t>.</w:t>
      </w:r>
    </w:p>
    <w:p w14:paraId="6B1A6D79" w14:textId="6C8D2BD1" w:rsidR="00022680" w:rsidRPr="00B21D99" w:rsidRDefault="00EF6E34" w:rsidP="00EF6E34">
      <w:pPr>
        <w:rPr>
          <w:rFonts w:ascii="Arial" w:hAnsi="Arial" w:cs="Arial"/>
        </w:rPr>
      </w:pPr>
      <w:r w:rsidRPr="00B21D99">
        <w:rPr>
          <w:rFonts w:ascii="Arial" w:hAnsi="Arial" w:cs="Arial"/>
        </w:rPr>
        <w:t>Therefore, taking into account the linkages between Article 6 undertakings, and for user understanding and convenience</w:t>
      </w:r>
      <w:r w:rsidR="00C12F47" w:rsidRPr="00B21D99">
        <w:rPr>
          <w:rFonts w:ascii="Arial" w:hAnsi="Arial" w:cs="Arial"/>
        </w:rPr>
        <w:t xml:space="preserve">, the </w:t>
      </w:r>
      <w:r w:rsidR="00CC752F" w:rsidRPr="00B21D99">
        <w:rPr>
          <w:rFonts w:ascii="Arial" w:hAnsi="Arial" w:cs="Arial"/>
        </w:rPr>
        <w:t>ROK</w:t>
      </w:r>
      <w:r w:rsidR="00C12F47" w:rsidRPr="00B21D99">
        <w:rPr>
          <w:rFonts w:ascii="Arial" w:hAnsi="Arial" w:cs="Arial"/>
        </w:rPr>
        <w:t xml:space="preserve"> suggests</w:t>
      </w:r>
      <w:r w:rsidRPr="00B21D99">
        <w:rPr>
          <w:rFonts w:ascii="Arial" w:hAnsi="Arial" w:cs="Arial"/>
        </w:rPr>
        <w:t xml:space="preserve"> </w:t>
      </w:r>
      <w:r w:rsidR="00B91EDE" w:rsidRPr="00B21D99">
        <w:rPr>
          <w:rFonts w:ascii="Arial" w:hAnsi="Arial" w:cs="Arial"/>
        </w:rPr>
        <w:t>organizing</w:t>
      </w:r>
      <w:r w:rsidR="00C12F47" w:rsidRPr="00B21D99">
        <w:rPr>
          <w:rFonts w:ascii="Arial" w:hAnsi="Arial" w:cs="Arial"/>
        </w:rPr>
        <w:t xml:space="preserve"> the international registry</w:t>
      </w:r>
      <w:r w:rsidRPr="00B21D99">
        <w:rPr>
          <w:rFonts w:ascii="Arial" w:hAnsi="Arial" w:cs="Arial"/>
        </w:rPr>
        <w:t xml:space="preserve"> accounts </w:t>
      </w:r>
      <w:r w:rsidR="00544853" w:rsidRPr="00B21D99">
        <w:rPr>
          <w:rFonts w:ascii="Arial" w:hAnsi="Arial" w:cs="Arial"/>
        </w:rPr>
        <w:t xml:space="preserve">to be </w:t>
      </w:r>
      <w:r w:rsidRPr="00B21D99">
        <w:rPr>
          <w:rFonts w:ascii="Arial" w:hAnsi="Arial" w:cs="Arial"/>
        </w:rPr>
        <w:t>similar to th</w:t>
      </w:r>
      <w:r w:rsidR="00C12F47" w:rsidRPr="00B21D99">
        <w:rPr>
          <w:rFonts w:ascii="Arial" w:hAnsi="Arial" w:cs="Arial"/>
        </w:rPr>
        <w:t>e Article 6.4 Mechanism Registry accounts</w:t>
      </w:r>
      <w:r w:rsidRPr="00B21D99">
        <w:rPr>
          <w:rFonts w:ascii="Arial" w:hAnsi="Arial" w:cs="Arial"/>
        </w:rPr>
        <w:t>, as shown in Table 2 below.</w:t>
      </w:r>
    </w:p>
    <w:p w14:paraId="1FE1C097" w14:textId="77777777" w:rsidR="00AB17A1" w:rsidRPr="00B21D99" w:rsidRDefault="00AB17A1" w:rsidP="00EF6E34">
      <w:pPr>
        <w:rPr>
          <w:rFonts w:ascii="Arial" w:hAnsi="Arial" w:cs="Arial"/>
        </w:rPr>
      </w:pPr>
    </w:p>
    <w:p w14:paraId="29B8E7F5" w14:textId="595D6C2F" w:rsidR="00C12F47" w:rsidRPr="00B21D99" w:rsidRDefault="00C12F47" w:rsidP="00C12F47">
      <w:pPr>
        <w:rPr>
          <w:rFonts w:ascii="Arial" w:hAnsi="Arial" w:cs="Arial"/>
        </w:rPr>
      </w:pPr>
      <w:r w:rsidRPr="00B21D99">
        <w:rPr>
          <w:rFonts w:ascii="Arial" w:hAnsi="Arial" w:cs="Arial"/>
        </w:rPr>
        <w:t>Table 2. Suggestion of international registry account type</w:t>
      </w:r>
      <w:r w:rsidR="003D67C9" w:rsidRPr="00B21D99">
        <w:rPr>
          <w:rFonts w:ascii="Arial" w:hAnsi="Arial" w:cs="Arial"/>
        </w:rPr>
        <w:t>s</w:t>
      </w:r>
    </w:p>
    <w:tbl>
      <w:tblPr>
        <w:tblStyle w:val="aa"/>
        <w:tblW w:w="0" w:type="auto"/>
        <w:tblLook w:val="04A0" w:firstRow="1" w:lastRow="0" w:firstColumn="1" w:lastColumn="0" w:noHBand="0" w:noVBand="1"/>
      </w:tblPr>
      <w:tblGrid>
        <w:gridCol w:w="4390"/>
        <w:gridCol w:w="4626"/>
      </w:tblGrid>
      <w:tr w:rsidR="00B21D99" w:rsidRPr="00B21D99" w14:paraId="6CA792FC" w14:textId="77777777" w:rsidTr="00CE4C55">
        <w:trPr>
          <w:trHeight w:val="265"/>
        </w:trPr>
        <w:tc>
          <w:tcPr>
            <w:tcW w:w="4390" w:type="dxa"/>
            <w:vAlign w:val="center"/>
          </w:tcPr>
          <w:p w14:paraId="35A7679D" w14:textId="700C3BF6" w:rsidR="00C12F47" w:rsidRPr="00B21D99" w:rsidRDefault="00C12F47" w:rsidP="00CE4C55">
            <w:pPr>
              <w:jc w:val="center"/>
              <w:rPr>
                <w:rFonts w:ascii="Arial" w:hAnsi="Arial" w:cs="Arial"/>
                <w:b/>
                <w:sz w:val="18"/>
                <w:szCs w:val="18"/>
              </w:rPr>
            </w:pPr>
            <w:r w:rsidRPr="00B21D99">
              <w:rPr>
                <w:rFonts w:ascii="Arial" w:hAnsi="Arial" w:cs="Arial"/>
                <w:b/>
                <w:sz w:val="18"/>
                <w:szCs w:val="18"/>
              </w:rPr>
              <w:t>Account</w:t>
            </w:r>
            <w:r w:rsidR="003D67C9" w:rsidRPr="00B21D99">
              <w:rPr>
                <w:rFonts w:ascii="Arial" w:hAnsi="Arial" w:cs="Arial"/>
                <w:b/>
                <w:sz w:val="18"/>
                <w:szCs w:val="18"/>
              </w:rPr>
              <w:t xml:space="preserve"> </w:t>
            </w:r>
            <w:r w:rsidRPr="00B21D99">
              <w:rPr>
                <w:rFonts w:ascii="Arial" w:hAnsi="Arial" w:cs="Arial"/>
                <w:b/>
                <w:sz w:val="18"/>
                <w:szCs w:val="18"/>
              </w:rPr>
              <w:t>(</w:t>
            </w:r>
            <w:r w:rsidR="00C50BB9" w:rsidRPr="00B21D99">
              <w:rPr>
                <w:rFonts w:ascii="Arial" w:hAnsi="Arial" w:cs="Arial"/>
                <w:b/>
                <w:sz w:val="18"/>
                <w:szCs w:val="18"/>
              </w:rPr>
              <w:t>suggestion</w:t>
            </w:r>
            <w:r w:rsidRPr="00B21D99">
              <w:rPr>
                <w:rFonts w:ascii="Arial" w:hAnsi="Arial" w:cs="Arial"/>
                <w:b/>
                <w:sz w:val="18"/>
                <w:szCs w:val="18"/>
              </w:rPr>
              <w:t>)</w:t>
            </w:r>
          </w:p>
        </w:tc>
        <w:tc>
          <w:tcPr>
            <w:tcW w:w="4626" w:type="dxa"/>
            <w:vAlign w:val="center"/>
          </w:tcPr>
          <w:p w14:paraId="723EC20E" w14:textId="77777777" w:rsidR="00C12F47" w:rsidRPr="00B21D99" w:rsidRDefault="00C12F47" w:rsidP="00CE4C55">
            <w:pPr>
              <w:jc w:val="center"/>
              <w:rPr>
                <w:rFonts w:ascii="Arial" w:hAnsi="Arial" w:cs="Arial"/>
                <w:b/>
                <w:sz w:val="18"/>
                <w:szCs w:val="18"/>
              </w:rPr>
            </w:pPr>
            <w:r w:rsidRPr="00B21D99">
              <w:rPr>
                <w:rFonts w:ascii="Arial" w:hAnsi="Arial" w:cs="Arial"/>
                <w:b/>
                <w:sz w:val="18"/>
                <w:szCs w:val="18"/>
              </w:rPr>
              <w:t>Description</w:t>
            </w:r>
          </w:p>
        </w:tc>
      </w:tr>
      <w:tr w:rsidR="00B21D99" w:rsidRPr="00B21D99" w14:paraId="41955E39" w14:textId="77777777" w:rsidTr="00CE4C55">
        <w:trPr>
          <w:trHeight w:val="278"/>
        </w:trPr>
        <w:tc>
          <w:tcPr>
            <w:tcW w:w="4390" w:type="dxa"/>
            <w:vAlign w:val="center"/>
          </w:tcPr>
          <w:p w14:paraId="16B890AE" w14:textId="77777777" w:rsidR="00C12F47" w:rsidRPr="00B21D99" w:rsidRDefault="00C12F47" w:rsidP="00CE4C55">
            <w:pPr>
              <w:jc w:val="center"/>
              <w:rPr>
                <w:rFonts w:ascii="Arial" w:hAnsi="Arial" w:cs="Arial"/>
                <w:sz w:val="18"/>
                <w:szCs w:val="18"/>
              </w:rPr>
            </w:pPr>
            <w:r w:rsidRPr="00B21D99">
              <w:rPr>
                <w:rFonts w:ascii="Arial" w:hAnsi="Arial" w:cs="Arial"/>
                <w:sz w:val="18"/>
                <w:szCs w:val="18"/>
              </w:rPr>
              <w:t>Holding account</w:t>
            </w:r>
          </w:p>
        </w:tc>
        <w:tc>
          <w:tcPr>
            <w:tcW w:w="4626" w:type="dxa"/>
            <w:vAlign w:val="center"/>
          </w:tcPr>
          <w:p w14:paraId="41930E38" w14:textId="77777777" w:rsidR="00C12F47" w:rsidRPr="00B21D99" w:rsidRDefault="00C12F47" w:rsidP="00CE4C55">
            <w:pPr>
              <w:jc w:val="center"/>
              <w:rPr>
                <w:rFonts w:ascii="Arial" w:hAnsi="Arial" w:cs="Arial"/>
                <w:sz w:val="18"/>
                <w:szCs w:val="18"/>
              </w:rPr>
            </w:pPr>
            <w:r w:rsidRPr="00B21D99">
              <w:rPr>
                <w:rFonts w:ascii="Arial" w:hAnsi="Arial" w:cs="Arial"/>
                <w:sz w:val="18"/>
                <w:szCs w:val="18"/>
              </w:rPr>
              <w:t>Account for ITMOs which are issued and authorized</w:t>
            </w:r>
          </w:p>
        </w:tc>
      </w:tr>
      <w:tr w:rsidR="00B21D99" w:rsidRPr="00B21D99" w14:paraId="188B93B1" w14:textId="77777777" w:rsidTr="00CE4C55">
        <w:trPr>
          <w:trHeight w:val="267"/>
        </w:trPr>
        <w:tc>
          <w:tcPr>
            <w:tcW w:w="4390" w:type="dxa"/>
            <w:vAlign w:val="center"/>
          </w:tcPr>
          <w:p w14:paraId="1A4C8F6B" w14:textId="77777777" w:rsidR="00C12F47" w:rsidRPr="00B21D99" w:rsidRDefault="00C12F47" w:rsidP="00CE4C55">
            <w:pPr>
              <w:jc w:val="center"/>
              <w:rPr>
                <w:rFonts w:ascii="Arial" w:hAnsi="Arial" w:cs="Arial"/>
                <w:sz w:val="18"/>
                <w:szCs w:val="18"/>
              </w:rPr>
            </w:pPr>
            <w:r w:rsidRPr="00B21D99">
              <w:rPr>
                <w:rFonts w:ascii="Arial" w:hAnsi="Arial" w:cs="Arial"/>
                <w:sz w:val="18"/>
                <w:szCs w:val="18"/>
              </w:rPr>
              <w:t>Retirement account for NDC</w:t>
            </w:r>
          </w:p>
        </w:tc>
        <w:tc>
          <w:tcPr>
            <w:tcW w:w="4626" w:type="dxa"/>
            <w:vAlign w:val="center"/>
          </w:tcPr>
          <w:p w14:paraId="0626C621" w14:textId="7EDC5C8C" w:rsidR="00C12F47" w:rsidRPr="00B21D99" w:rsidRDefault="00C12F47" w:rsidP="00CE4C55">
            <w:pPr>
              <w:jc w:val="center"/>
              <w:rPr>
                <w:rFonts w:ascii="Arial" w:hAnsi="Arial" w:cs="Arial"/>
                <w:sz w:val="18"/>
                <w:szCs w:val="18"/>
              </w:rPr>
            </w:pPr>
            <w:r w:rsidRPr="00B21D99">
              <w:rPr>
                <w:rFonts w:ascii="Arial" w:hAnsi="Arial" w:cs="Arial"/>
                <w:sz w:val="18"/>
                <w:szCs w:val="18"/>
              </w:rPr>
              <w:t>Account for using ITMOs toward</w:t>
            </w:r>
            <w:r w:rsidR="00A0769E" w:rsidRPr="00B21D99">
              <w:rPr>
                <w:rFonts w:ascii="Arial" w:hAnsi="Arial" w:cs="Arial"/>
                <w:sz w:val="18"/>
                <w:szCs w:val="18"/>
              </w:rPr>
              <w:t>s</w:t>
            </w:r>
            <w:r w:rsidRPr="00B21D99">
              <w:rPr>
                <w:rFonts w:ascii="Arial" w:hAnsi="Arial" w:cs="Arial"/>
                <w:sz w:val="18"/>
                <w:szCs w:val="18"/>
              </w:rPr>
              <w:t xml:space="preserve"> NDC</w:t>
            </w:r>
          </w:p>
        </w:tc>
      </w:tr>
      <w:tr w:rsidR="00B21D99" w:rsidRPr="00B21D99" w14:paraId="05160589" w14:textId="77777777" w:rsidTr="00CE4C55">
        <w:trPr>
          <w:trHeight w:val="271"/>
        </w:trPr>
        <w:tc>
          <w:tcPr>
            <w:tcW w:w="4390" w:type="dxa"/>
            <w:vAlign w:val="center"/>
          </w:tcPr>
          <w:p w14:paraId="3DADAD84" w14:textId="77777777" w:rsidR="00C12F47" w:rsidRPr="00B21D99" w:rsidRDefault="00C12F47" w:rsidP="00CE4C55">
            <w:pPr>
              <w:jc w:val="center"/>
              <w:rPr>
                <w:rFonts w:ascii="Arial" w:hAnsi="Arial" w:cs="Arial"/>
                <w:sz w:val="18"/>
                <w:szCs w:val="18"/>
              </w:rPr>
            </w:pPr>
            <w:r w:rsidRPr="00B21D99">
              <w:rPr>
                <w:rFonts w:ascii="Arial" w:hAnsi="Arial" w:cs="Arial"/>
                <w:sz w:val="18"/>
                <w:szCs w:val="18"/>
              </w:rPr>
              <w:t>Cancellation account for OIMPs</w:t>
            </w:r>
          </w:p>
        </w:tc>
        <w:tc>
          <w:tcPr>
            <w:tcW w:w="4626" w:type="dxa"/>
            <w:vAlign w:val="center"/>
          </w:tcPr>
          <w:p w14:paraId="4AE66DFB" w14:textId="66D772AC" w:rsidR="00C12F47" w:rsidRPr="00B21D99" w:rsidRDefault="00C12F47" w:rsidP="00CE4C55">
            <w:pPr>
              <w:jc w:val="center"/>
              <w:rPr>
                <w:rFonts w:ascii="Arial" w:hAnsi="Arial" w:cs="Arial"/>
                <w:sz w:val="18"/>
                <w:szCs w:val="18"/>
              </w:rPr>
            </w:pPr>
            <w:r w:rsidRPr="00B21D99">
              <w:rPr>
                <w:rFonts w:ascii="Arial" w:hAnsi="Arial" w:cs="Arial"/>
                <w:sz w:val="18"/>
                <w:szCs w:val="18"/>
              </w:rPr>
              <w:t>Account for using ITMOs toward</w:t>
            </w:r>
            <w:r w:rsidR="00A0769E" w:rsidRPr="00B21D99">
              <w:rPr>
                <w:rFonts w:ascii="Arial" w:hAnsi="Arial" w:cs="Arial"/>
                <w:sz w:val="18"/>
                <w:szCs w:val="18"/>
              </w:rPr>
              <w:t>s</w:t>
            </w:r>
            <w:r w:rsidRPr="00B21D99">
              <w:rPr>
                <w:rFonts w:ascii="Arial" w:hAnsi="Arial" w:cs="Arial"/>
                <w:sz w:val="18"/>
                <w:szCs w:val="18"/>
              </w:rPr>
              <w:t xml:space="preserve"> OIMPs</w:t>
            </w:r>
          </w:p>
        </w:tc>
      </w:tr>
      <w:tr w:rsidR="00B21D99" w:rsidRPr="00B21D99" w14:paraId="5B565F54" w14:textId="77777777" w:rsidTr="00CE4C55">
        <w:trPr>
          <w:trHeight w:val="275"/>
        </w:trPr>
        <w:tc>
          <w:tcPr>
            <w:tcW w:w="4390" w:type="dxa"/>
            <w:vAlign w:val="center"/>
          </w:tcPr>
          <w:p w14:paraId="38DF19F5" w14:textId="77777777" w:rsidR="00C12F47" w:rsidRPr="00B21D99" w:rsidRDefault="00C12F47" w:rsidP="00CE4C55">
            <w:pPr>
              <w:jc w:val="center"/>
              <w:rPr>
                <w:rFonts w:ascii="Arial" w:hAnsi="Arial" w:cs="Arial"/>
                <w:sz w:val="18"/>
                <w:szCs w:val="18"/>
              </w:rPr>
            </w:pPr>
            <w:r w:rsidRPr="00B21D99">
              <w:rPr>
                <w:rFonts w:ascii="Arial" w:hAnsi="Arial" w:cs="Arial"/>
                <w:sz w:val="18"/>
                <w:szCs w:val="18"/>
              </w:rPr>
              <w:t>Voluntary cancellation account for OMGE</w:t>
            </w:r>
          </w:p>
        </w:tc>
        <w:tc>
          <w:tcPr>
            <w:tcW w:w="4626" w:type="dxa"/>
            <w:vAlign w:val="center"/>
          </w:tcPr>
          <w:p w14:paraId="61F3A6E4" w14:textId="77777777" w:rsidR="00C12F47" w:rsidRPr="00B21D99" w:rsidRDefault="00C12F47" w:rsidP="00CE4C55">
            <w:pPr>
              <w:jc w:val="center"/>
              <w:rPr>
                <w:rFonts w:ascii="Arial" w:hAnsi="Arial" w:cs="Arial"/>
                <w:sz w:val="18"/>
                <w:szCs w:val="18"/>
              </w:rPr>
            </w:pPr>
            <w:r w:rsidRPr="00B21D99">
              <w:rPr>
                <w:rFonts w:ascii="Arial" w:hAnsi="Arial" w:cs="Arial"/>
                <w:sz w:val="18"/>
                <w:szCs w:val="18"/>
              </w:rPr>
              <w:t>Voluntarily cancelled ITMOs for OMGE</w:t>
            </w:r>
          </w:p>
        </w:tc>
      </w:tr>
      <w:tr w:rsidR="00C12F47" w:rsidRPr="00B21D99" w14:paraId="63C46335" w14:textId="77777777" w:rsidTr="00CE4C55">
        <w:trPr>
          <w:trHeight w:val="421"/>
        </w:trPr>
        <w:tc>
          <w:tcPr>
            <w:tcW w:w="4390" w:type="dxa"/>
            <w:vAlign w:val="center"/>
          </w:tcPr>
          <w:p w14:paraId="1B9405F0" w14:textId="77777777" w:rsidR="00C12F47" w:rsidRPr="00B21D99" w:rsidRDefault="00C12F47" w:rsidP="00CE4C55">
            <w:pPr>
              <w:jc w:val="center"/>
              <w:rPr>
                <w:rFonts w:ascii="Arial" w:hAnsi="Arial" w:cs="Arial"/>
                <w:sz w:val="18"/>
                <w:szCs w:val="18"/>
              </w:rPr>
            </w:pPr>
            <w:r w:rsidRPr="00B21D99">
              <w:rPr>
                <w:rFonts w:ascii="Arial" w:hAnsi="Arial" w:cs="Arial"/>
                <w:sz w:val="18"/>
                <w:szCs w:val="18"/>
              </w:rPr>
              <w:t>Voluntary cancellation account for other purposes</w:t>
            </w:r>
          </w:p>
        </w:tc>
        <w:tc>
          <w:tcPr>
            <w:tcW w:w="4626" w:type="dxa"/>
            <w:vAlign w:val="center"/>
          </w:tcPr>
          <w:p w14:paraId="18B49BA9" w14:textId="47835230" w:rsidR="00C12F47" w:rsidRPr="00B21D99" w:rsidRDefault="00C12F47" w:rsidP="00CE4C55">
            <w:pPr>
              <w:jc w:val="center"/>
              <w:rPr>
                <w:rFonts w:ascii="Arial" w:hAnsi="Arial" w:cs="Arial"/>
                <w:sz w:val="18"/>
                <w:szCs w:val="18"/>
              </w:rPr>
            </w:pPr>
            <w:r w:rsidRPr="00B21D99">
              <w:rPr>
                <w:rFonts w:ascii="Arial" w:hAnsi="Arial" w:cs="Arial"/>
                <w:sz w:val="18"/>
                <w:szCs w:val="18"/>
              </w:rPr>
              <w:t xml:space="preserve">Voluntarily cancelled ITMOs for other purposes </w:t>
            </w:r>
            <w:r w:rsidR="002E1367" w:rsidRPr="00B21D99">
              <w:rPr>
                <w:rFonts w:ascii="Arial" w:hAnsi="Arial" w:cs="Arial"/>
                <w:sz w:val="18"/>
                <w:szCs w:val="18"/>
              </w:rPr>
              <w:t>that are</w:t>
            </w:r>
            <w:r w:rsidRPr="00B21D99">
              <w:rPr>
                <w:rFonts w:ascii="Arial" w:hAnsi="Arial" w:cs="Arial"/>
                <w:sz w:val="18"/>
                <w:szCs w:val="18"/>
              </w:rPr>
              <w:t xml:space="preserve"> not included above</w:t>
            </w:r>
          </w:p>
        </w:tc>
      </w:tr>
    </w:tbl>
    <w:p w14:paraId="17D6E26B" w14:textId="77777777" w:rsidR="00C12F47" w:rsidRPr="00B21D99" w:rsidRDefault="00C12F47" w:rsidP="00EF6E34">
      <w:pPr>
        <w:rPr>
          <w:rFonts w:ascii="Arial" w:hAnsi="Arial" w:cs="Arial"/>
        </w:rPr>
      </w:pPr>
    </w:p>
    <w:p w14:paraId="078E6B1C" w14:textId="071686C7" w:rsidR="00F865D3" w:rsidRPr="00B21D99" w:rsidRDefault="00F865D3" w:rsidP="00FA6225">
      <w:pPr>
        <w:pStyle w:val="a9"/>
        <w:numPr>
          <w:ilvl w:val="0"/>
          <w:numId w:val="15"/>
        </w:numPr>
        <w:ind w:leftChars="0"/>
        <w:rPr>
          <w:rFonts w:ascii="Arial" w:hAnsi="Arial" w:cs="Arial"/>
          <w:b/>
        </w:rPr>
      </w:pPr>
      <w:r w:rsidRPr="00B21D99">
        <w:rPr>
          <w:rFonts w:ascii="Arial" w:hAnsi="Arial" w:cs="Arial"/>
          <w:b/>
        </w:rPr>
        <w:t>The common nomenclature</w:t>
      </w:r>
    </w:p>
    <w:p w14:paraId="4801D5DF" w14:textId="59F9FBCB" w:rsidR="00215A5D" w:rsidRPr="00B21D99" w:rsidRDefault="00F10904" w:rsidP="00215A5D">
      <w:pPr>
        <w:rPr>
          <w:rFonts w:ascii="Arial" w:hAnsi="Arial" w:cs="Arial"/>
        </w:rPr>
      </w:pPr>
      <w:r w:rsidRPr="00B21D99">
        <w:rPr>
          <w:rFonts w:ascii="Arial" w:hAnsi="Arial" w:cs="Arial"/>
        </w:rPr>
        <w:t xml:space="preserve">A </w:t>
      </w:r>
      <w:r w:rsidR="00215A5D" w:rsidRPr="00B21D99">
        <w:rPr>
          <w:rFonts w:ascii="Arial" w:hAnsi="Arial" w:cs="Arial"/>
        </w:rPr>
        <w:t xml:space="preserve">common nomenclature is </w:t>
      </w:r>
      <w:r w:rsidR="002107ED" w:rsidRPr="00B21D99">
        <w:rPr>
          <w:rFonts w:ascii="Arial" w:hAnsi="Arial" w:cs="Arial"/>
        </w:rPr>
        <w:t>a common list of values for specific information attributes required for the reporting of annual information in Article 6 and</w:t>
      </w:r>
      <w:r w:rsidR="00CA4E86" w:rsidRPr="00B21D99">
        <w:rPr>
          <w:rFonts w:ascii="Arial" w:hAnsi="Arial" w:cs="Arial"/>
        </w:rPr>
        <w:t xml:space="preserve"> is a</w:t>
      </w:r>
      <w:r w:rsidR="00215A5D" w:rsidRPr="00B21D99">
        <w:rPr>
          <w:rFonts w:ascii="Arial" w:hAnsi="Arial" w:cs="Arial"/>
        </w:rPr>
        <w:t xml:space="preserve"> primary means </w:t>
      </w:r>
      <w:r w:rsidR="002107ED" w:rsidRPr="00B21D99">
        <w:rPr>
          <w:rFonts w:ascii="Arial" w:hAnsi="Arial" w:cs="Arial"/>
        </w:rPr>
        <w:t>to</w:t>
      </w:r>
      <w:r w:rsidR="00215A5D" w:rsidRPr="00B21D99">
        <w:rPr>
          <w:rFonts w:ascii="Arial" w:hAnsi="Arial" w:cs="Arial"/>
        </w:rPr>
        <w:t xml:space="preserve"> identify inconsistencies in the </w:t>
      </w:r>
      <w:r w:rsidR="002107ED" w:rsidRPr="00B21D99">
        <w:rPr>
          <w:rFonts w:ascii="Arial" w:hAnsi="Arial" w:cs="Arial"/>
        </w:rPr>
        <w:t>reported information of ITMOs</w:t>
      </w:r>
      <w:r w:rsidR="009046CD" w:rsidRPr="00B21D99">
        <w:rPr>
          <w:rFonts w:ascii="Arial" w:hAnsi="Arial" w:cs="Arial"/>
        </w:rPr>
        <w:t>.</w:t>
      </w:r>
      <w:r w:rsidR="00215A5D" w:rsidRPr="00B21D99">
        <w:rPr>
          <w:rFonts w:ascii="Arial" w:hAnsi="Arial" w:cs="Arial"/>
        </w:rPr>
        <w:t xml:space="preserve"> </w:t>
      </w:r>
    </w:p>
    <w:p w14:paraId="001EC6AB" w14:textId="61C61436" w:rsidR="00C12F47" w:rsidRPr="00B21D99" w:rsidRDefault="009046CD" w:rsidP="00215A5D">
      <w:pPr>
        <w:rPr>
          <w:rFonts w:ascii="Arial" w:hAnsi="Arial" w:cs="Arial"/>
        </w:rPr>
      </w:pPr>
      <w:r w:rsidRPr="00B21D99">
        <w:rPr>
          <w:rFonts w:ascii="Arial" w:hAnsi="Arial" w:cs="Arial"/>
        </w:rPr>
        <w:t>T</w:t>
      </w:r>
      <w:r w:rsidR="00F34135" w:rsidRPr="00B21D99">
        <w:rPr>
          <w:rFonts w:ascii="Arial" w:hAnsi="Arial" w:cs="Arial"/>
        </w:rPr>
        <w:t>he ROK</w:t>
      </w:r>
      <w:r w:rsidR="00215A5D" w:rsidRPr="00B21D99">
        <w:rPr>
          <w:rFonts w:ascii="Arial" w:hAnsi="Arial" w:cs="Arial"/>
        </w:rPr>
        <w:t xml:space="preserve"> </w:t>
      </w:r>
      <w:r w:rsidRPr="00B21D99">
        <w:rPr>
          <w:rFonts w:ascii="Arial" w:hAnsi="Arial" w:cs="Arial"/>
        </w:rPr>
        <w:t xml:space="preserve">believes it should be </w:t>
      </w:r>
      <w:r w:rsidR="004E6378" w:rsidRPr="00B21D99">
        <w:rPr>
          <w:rFonts w:ascii="Arial" w:hAnsi="Arial" w:cs="Arial"/>
        </w:rPr>
        <w:t>established as clearly as possible</w:t>
      </w:r>
      <w:r w:rsidRPr="00B21D99">
        <w:rPr>
          <w:rFonts w:ascii="Arial" w:hAnsi="Arial" w:cs="Arial"/>
        </w:rPr>
        <w:t xml:space="preserve">, and in that context, </w:t>
      </w:r>
      <w:r w:rsidR="00215A5D" w:rsidRPr="00B21D99">
        <w:rPr>
          <w:rFonts w:ascii="Arial" w:hAnsi="Arial" w:cs="Arial"/>
        </w:rPr>
        <w:t xml:space="preserve">would like to </w:t>
      </w:r>
      <w:r w:rsidR="00F34135" w:rsidRPr="00B21D99">
        <w:rPr>
          <w:rFonts w:ascii="Arial" w:hAnsi="Arial" w:cs="Arial"/>
        </w:rPr>
        <w:t>suggest</w:t>
      </w:r>
      <w:r w:rsidR="00215A5D" w:rsidRPr="00B21D99">
        <w:rPr>
          <w:rFonts w:ascii="Arial" w:hAnsi="Arial" w:cs="Arial"/>
        </w:rPr>
        <w:t xml:space="preserve"> a common nomenclature as shown in Table 3 below</w:t>
      </w:r>
      <w:r w:rsidR="00AC305C" w:rsidRPr="00B21D99">
        <w:rPr>
          <w:rFonts w:ascii="Arial" w:hAnsi="Arial" w:cs="Arial"/>
        </w:rPr>
        <w:t xml:space="preserve"> </w:t>
      </w:r>
      <w:r w:rsidR="006C6713" w:rsidRPr="00B21D99">
        <w:rPr>
          <w:rFonts w:ascii="Arial" w:hAnsi="Arial" w:cs="Arial"/>
        </w:rPr>
        <w:t>and using</w:t>
      </w:r>
      <w:r w:rsidR="00AC305C" w:rsidRPr="00B21D99">
        <w:rPr>
          <w:rFonts w:ascii="Arial" w:hAnsi="Arial" w:cs="Arial"/>
        </w:rPr>
        <w:t xml:space="preserve"> abbreviated or numerical code</w:t>
      </w:r>
      <w:r w:rsidR="00253368" w:rsidRPr="00B21D99">
        <w:rPr>
          <w:rFonts w:ascii="Arial" w:hAnsi="Arial" w:cs="Arial"/>
        </w:rPr>
        <w:t>s</w:t>
      </w:r>
      <w:r w:rsidR="00AC305C" w:rsidRPr="00B21D99">
        <w:rPr>
          <w:rFonts w:ascii="Arial" w:hAnsi="Arial" w:cs="Arial"/>
        </w:rPr>
        <w:t xml:space="preserve"> for some elements</w:t>
      </w:r>
      <w:r w:rsidR="00035971" w:rsidRPr="00B21D99">
        <w:rPr>
          <w:rFonts w:ascii="Arial" w:hAnsi="Arial" w:cs="Arial"/>
        </w:rPr>
        <w:t xml:space="preserve"> such as sector and activity type</w:t>
      </w:r>
      <w:r w:rsidR="00AC305C" w:rsidRPr="00B21D99">
        <w:rPr>
          <w:rFonts w:ascii="Arial" w:hAnsi="Arial" w:cs="Arial"/>
        </w:rPr>
        <w:t xml:space="preserve"> for simplification</w:t>
      </w:r>
      <w:r w:rsidR="00215A5D" w:rsidRPr="00B21D99">
        <w:rPr>
          <w:rFonts w:ascii="Arial" w:hAnsi="Arial" w:cs="Arial"/>
        </w:rPr>
        <w:t xml:space="preserve">, </w:t>
      </w:r>
      <w:r w:rsidR="00F34135" w:rsidRPr="00B21D99">
        <w:rPr>
          <w:rFonts w:ascii="Arial" w:hAnsi="Arial" w:cs="Arial"/>
        </w:rPr>
        <w:t>considering</w:t>
      </w:r>
      <w:r w:rsidR="00215A5D" w:rsidRPr="00B21D99">
        <w:rPr>
          <w:rFonts w:ascii="Arial" w:hAnsi="Arial" w:cs="Arial"/>
        </w:rPr>
        <w:t xml:space="preserve"> the existing taxonomy and the annu</w:t>
      </w:r>
      <w:r w:rsidR="00F34135" w:rsidRPr="00B21D99">
        <w:rPr>
          <w:rFonts w:ascii="Arial" w:hAnsi="Arial" w:cs="Arial"/>
        </w:rPr>
        <w:t xml:space="preserve">al information </w:t>
      </w:r>
      <w:r w:rsidR="00215A5D" w:rsidRPr="00B21D99">
        <w:rPr>
          <w:rFonts w:ascii="Arial" w:hAnsi="Arial" w:cs="Arial"/>
        </w:rPr>
        <w:t>such as</w:t>
      </w:r>
      <w:r w:rsidR="00D33856" w:rsidRPr="00B21D99">
        <w:rPr>
          <w:rFonts w:ascii="Arial" w:hAnsi="Arial" w:cs="Arial"/>
        </w:rPr>
        <w:t xml:space="preserve"> the</w:t>
      </w:r>
      <w:r w:rsidR="00215A5D" w:rsidRPr="00B21D99">
        <w:rPr>
          <w:rFonts w:ascii="Arial" w:hAnsi="Arial" w:cs="Arial"/>
        </w:rPr>
        <w:t xml:space="preserve"> AEF.</w:t>
      </w:r>
    </w:p>
    <w:p w14:paraId="32A615AE" w14:textId="10922E28" w:rsidR="0004727A" w:rsidRPr="00B21D99" w:rsidRDefault="0004727A">
      <w:pPr>
        <w:widowControl/>
        <w:wordWrap/>
        <w:autoSpaceDE/>
        <w:autoSpaceDN/>
        <w:rPr>
          <w:rFonts w:ascii="Arial" w:hAnsi="Arial" w:cs="Arial"/>
        </w:rPr>
      </w:pPr>
      <w:r w:rsidRPr="00B21D99">
        <w:rPr>
          <w:rFonts w:ascii="Arial" w:hAnsi="Arial" w:cs="Arial"/>
        </w:rPr>
        <w:br w:type="page"/>
      </w:r>
    </w:p>
    <w:p w14:paraId="71190295" w14:textId="04F137F0" w:rsidR="00472466" w:rsidRPr="00B21D99" w:rsidRDefault="00472466" w:rsidP="00472466">
      <w:pPr>
        <w:rPr>
          <w:rFonts w:ascii="Arial" w:hAnsi="Arial" w:cs="Arial"/>
        </w:rPr>
      </w:pPr>
      <w:r w:rsidRPr="00B21D99">
        <w:rPr>
          <w:rFonts w:ascii="Arial" w:hAnsi="Arial" w:cs="Arial"/>
        </w:rPr>
        <w:lastRenderedPageBreak/>
        <w:t>Table 3. Suggestion of common nomenclature</w:t>
      </w:r>
      <w:r w:rsidR="005B0013" w:rsidRPr="00B21D99">
        <w:rPr>
          <w:rFonts w:ascii="Arial" w:hAnsi="Arial" w:cs="Arial"/>
        </w:rPr>
        <w:t>s</w:t>
      </w:r>
    </w:p>
    <w:tbl>
      <w:tblPr>
        <w:tblStyle w:val="aa"/>
        <w:tblW w:w="0" w:type="auto"/>
        <w:tblLook w:val="04A0" w:firstRow="1" w:lastRow="0" w:firstColumn="1" w:lastColumn="0" w:noHBand="0" w:noVBand="1"/>
      </w:tblPr>
      <w:tblGrid>
        <w:gridCol w:w="4390"/>
        <w:gridCol w:w="4626"/>
      </w:tblGrid>
      <w:tr w:rsidR="00B21D99" w:rsidRPr="00B21D99" w14:paraId="3186CF25" w14:textId="77777777" w:rsidTr="00CE4C55">
        <w:trPr>
          <w:trHeight w:val="349"/>
        </w:trPr>
        <w:tc>
          <w:tcPr>
            <w:tcW w:w="4390" w:type="dxa"/>
            <w:vAlign w:val="center"/>
          </w:tcPr>
          <w:p w14:paraId="6784F2C2" w14:textId="29B408CA" w:rsidR="00472466" w:rsidRPr="00B21D99" w:rsidRDefault="00472466" w:rsidP="00CE4C55">
            <w:pPr>
              <w:jc w:val="center"/>
              <w:rPr>
                <w:rFonts w:ascii="Arial" w:hAnsi="Arial" w:cs="Arial"/>
                <w:b/>
                <w:sz w:val="18"/>
                <w:szCs w:val="18"/>
              </w:rPr>
            </w:pPr>
            <w:r w:rsidRPr="00B21D99">
              <w:rPr>
                <w:rFonts w:ascii="Arial" w:hAnsi="Arial" w:cs="Arial"/>
                <w:b/>
                <w:sz w:val="18"/>
                <w:szCs w:val="18"/>
              </w:rPr>
              <w:t>Element</w:t>
            </w:r>
          </w:p>
        </w:tc>
        <w:tc>
          <w:tcPr>
            <w:tcW w:w="4626" w:type="dxa"/>
            <w:vAlign w:val="center"/>
          </w:tcPr>
          <w:p w14:paraId="7261EB25" w14:textId="027140DA" w:rsidR="00472466" w:rsidRPr="00B21D99" w:rsidRDefault="00C50BB9" w:rsidP="00CE4C55">
            <w:pPr>
              <w:jc w:val="center"/>
              <w:rPr>
                <w:rFonts w:ascii="Arial" w:hAnsi="Arial" w:cs="Arial"/>
                <w:b/>
                <w:sz w:val="18"/>
                <w:szCs w:val="18"/>
              </w:rPr>
            </w:pPr>
            <w:r w:rsidRPr="00B21D99">
              <w:rPr>
                <w:rFonts w:ascii="Arial" w:hAnsi="Arial" w:cs="Arial"/>
                <w:b/>
                <w:sz w:val="18"/>
                <w:szCs w:val="18"/>
              </w:rPr>
              <w:t xml:space="preserve">Common </w:t>
            </w:r>
            <w:r w:rsidR="002B577C" w:rsidRPr="00B21D99">
              <w:rPr>
                <w:rFonts w:ascii="Arial" w:hAnsi="Arial" w:cs="Arial"/>
                <w:b/>
                <w:sz w:val="18"/>
                <w:szCs w:val="18"/>
              </w:rPr>
              <w:t>N</w:t>
            </w:r>
            <w:r w:rsidRPr="00B21D99">
              <w:rPr>
                <w:rFonts w:ascii="Arial" w:hAnsi="Arial" w:cs="Arial"/>
                <w:b/>
                <w:sz w:val="18"/>
                <w:szCs w:val="18"/>
              </w:rPr>
              <w:t>omenclature</w:t>
            </w:r>
            <w:r w:rsidR="001B0793" w:rsidRPr="00B21D99">
              <w:rPr>
                <w:rFonts w:ascii="Arial" w:hAnsi="Arial" w:cs="Arial"/>
                <w:b/>
                <w:sz w:val="18"/>
                <w:szCs w:val="18"/>
              </w:rPr>
              <w:t xml:space="preserve"> </w:t>
            </w:r>
            <w:r w:rsidRPr="00B21D99">
              <w:rPr>
                <w:rFonts w:ascii="Arial" w:hAnsi="Arial" w:cs="Arial"/>
                <w:b/>
                <w:sz w:val="18"/>
                <w:szCs w:val="18"/>
              </w:rPr>
              <w:t>(suggestion</w:t>
            </w:r>
            <w:r w:rsidR="00472466" w:rsidRPr="00B21D99">
              <w:rPr>
                <w:rFonts w:ascii="Arial" w:hAnsi="Arial" w:cs="Arial"/>
                <w:b/>
                <w:sz w:val="18"/>
                <w:szCs w:val="18"/>
              </w:rPr>
              <w:t>)</w:t>
            </w:r>
          </w:p>
        </w:tc>
      </w:tr>
      <w:tr w:rsidR="00B21D99" w:rsidRPr="00B21D99" w14:paraId="1CB8BE69" w14:textId="77777777" w:rsidTr="00CE4C55">
        <w:trPr>
          <w:trHeight w:val="695"/>
        </w:trPr>
        <w:tc>
          <w:tcPr>
            <w:tcW w:w="4390" w:type="dxa"/>
            <w:vAlign w:val="center"/>
          </w:tcPr>
          <w:p w14:paraId="1BC59D14"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Cooperative approach</w:t>
            </w:r>
          </w:p>
        </w:tc>
        <w:tc>
          <w:tcPr>
            <w:tcW w:w="4626" w:type="dxa"/>
            <w:vAlign w:val="center"/>
          </w:tcPr>
          <w:p w14:paraId="164E978C"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ID</w:t>
            </w:r>
          </w:p>
          <w:p w14:paraId="0727CB8E" w14:textId="446FC156" w:rsidR="00472466" w:rsidRPr="00B21D99" w:rsidRDefault="00472466" w:rsidP="00AC305C">
            <w:pPr>
              <w:jc w:val="center"/>
              <w:rPr>
                <w:rFonts w:ascii="Arial" w:hAnsi="Arial" w:cs="Arial"/>
                <w:sz w:val="18"/>
                <w:szCs w:val="18"/>
              </w:rPr>
            </w:pPr>
            <w:r w:rsidRPr="00B21D99">
              <w:rPr>
                <w:rFonts w:ascii="Arial" w:hAnsi="Arial" w:cs="Arial"/>
                <w:sz w:val="18"/>
                <w:szCs w:val="18"/>
              </w:rPr>
              <w:t>(Year-</w:t>
            </w:r>
            <w:r w:rsidR="004F0D4F" w:rsidRPr="00B21D99">
              <w:rPr>
                <w:rFonts w:ascii="Arial" w:hAnsi="Arial" w:cs="Arial"/>
                <w:sz w:val="18"/>
                <w:szCs w:val="18"/>
              </w:rPr>
              <w:t xml:space="preserve">participating </w:t>
            </w:r>
            <w:r w:rsidR="001331D7" w:rsidRPr="00B21D99">
              <w:rPr>
                <w:rFonts w:ascii="Arial" w:hAnsi="Arial" w:cs="Arial"/>
                <w:sz w:val="18"/>
                <w:szCs w:val="18"/>
              </w:rPr>
              <w:t>Party and/or Entity</w:t>
            </w:r>
            <w:r w:rsidRPr="00B21D99">
              <w:rPr>
                <w:rFonts w:ascii="Arial" w:hAnsi="Arial" w:cs="Arial"/>
                <w:sz w:val="18"/>
                <w:szCs w:val="18"/>
              </w:rPr>
              <w:t xml:space="preserve"> code-</w:t>
            </w:r>
            <w:r w:rsidR="001331D7" w:rsidRPr="00B21D99">
              <w:rPr>
                <w:rFonts w:ascii="Arial" w:hAnsi="Arial" w:cs="Arial"/>
                <w:sz w:val="18"/>
                <w:szCs w:val="18"/>
              </w:rPr>
              <w:t>host Party-mechanism-project code)</w:t>
            </w:r>
          </w:p>
        </w:tc>
      </w:tr>
      <w:tr w:rsidR="00B21D99" w:rsidRPr="00B21D99" w14:paraId="119F89C0" w14:textId="77777777" w:rsidTr="00CE4C55">
        <w:trPr>
          <w:trHeight w:val="279"/>
        </w:trPr>
        <w:tc>
          <w:tcPr>
            <w:tcW w:w="4390" w:type="dxa"/>
            <w:vAlign w:val="center"/>
          </w:tcPr>
          <w:p w14:paraId="766D81FB" w14:textId="60189B64" w:rsidR="00472466" w:rsidRPr="00B21D99" w:rsidRDefault="00472466" w:rsidP="00CE4C55">
            <w:pPr>
              <w:jc w:val="center"/>
              <w:rPr>
                <w:rFonts w:ascii="Arial" w:hAnsi="Arial" w:cs="Arial"/>
                <w:sz w:val="18"/>
                <w:szCs w:val="18"/>
              </w:rPr>
            </w:pPr>
            <w:r w:rsidRPr="00B21D99">
              <w:rPr>
                <w:rFonts w:ascii="Arial" w:hAnsi="Arial" w:cs="Arial"/>
                <w:sz w:val="18"/>
                <w:szCs w:val="18"/>
              </w:rPr>
              <w:t>First transferring Party</w:t>
            </w:r>
          </w:p>
        </w:tc>
        <w:tc>
          <w:tcPr>
            <w:tcW w:w="4626" w:type="dxa"/>
            <w:vAlign w:val="center"/>
          </w:tcPr>
          <w:p w14:paraId="62207118" w14:textId="62452244" w:rsidR="00472466" w:rsidRPr="00B21D99" w:rsidRDefault="00472466" w:rsidP="00CE4C55">
            <w:pPr>
              <w:jc w:val="center"/>
              <w:rPr>
                <w:rFonts w:ascii="Arial" w:hAnsi="Arial" w:cs="Arial"/>
                <w:sz w:val="18"/>
                <w:szCs w:val="18"/>
              </w:rPr>
            </w:pPr>
            <w:r w:rsidRPr="00B21D99">
              <w:rPr>
                <w:rFonts w:ascii="Arial" w:hAnsi="Arial" w:cs="Arial"/>
                <w:sz w:val="18"/>
                <w:szCs w:val="18"/>
              </w:rPr>
              <w:t xml:space="preserve">ISO </w:t>
            </w:r>
            <w:r w:rsidR="001331D7" w:rsidRPr="00B21D99">
              <w:rPr>
                <w:rFonts w:ascii="Arial" w:hAnsi="Arial" w:cs="Arial"/>
                <w:sz w:val="18"/>
                <w:szCs w:val="18"/>
              </w:rPr>
              <w:t>316</w:t>
            </w:r>
            <w:r w:rsidR="009D101B" w:rsidRPr="00B21D99">
              <w:rPr>
                <w:rFonts w:ascii="Arial" w:hAnsi="Arial" w:cs="Arial"/>
                <w:sz w:val="18"/>
                <w:szCs w:val="18"/>
              </w:rPr>
              <w:t>6</w:t>
            </w:r>
            <w:r w:rsidR="002B5C61" w:rsidRPr="00B21D99">
              <w:rPr>
                <w:rFonts w:ascii="Arial" w:hAnsi="Arial" w:cs="Arial"/>
                <w:sz w:val="18"/>
                <w:szCs w:val="18"/>
              </w:rPr>
              <w:t>-1</w:t>
            </w:r>
          </w:p>
        </w:tc>
      </w:tr>
      <w:tr w:rsidR="00B21D99" w:rsidRPr="00B21D99" w14:paraId="615A0CF8" w14:textId="77777777" w:rsidTr="00CE4C55">
        <w:trPr>
          <w:trHeight w:val="553"/>
        </w:trPr>
        <w:tc>
          <w:tcPr>
            <w:tcW w:w="4390" w:type="dxa"/>
            <w:vAlign w:val="center"/>
          </w:tcPr>
          <w:p w14:paraId="30745109"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Sector</w:t>
            </w:r>
          </w:p>
        </w:tc>
        <w:tc>
          <w:tcPr>
            <w:tcW w:w="4626" w:type="dxa"/>
            <w:vAlign w:val="center"/>
          </w:tcPr>
          <w:p w14:paraId="11407089"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Classification under IPCC guideline</w:t>
            </w:r>
          </w:p>
          <w:p w14:paraId="79558847" w14:textId="71234581" w:rsidR="002B5C61" w:rsidRPr="00B21D99" w:rsidRDefault="002B5C61" w:rsidP="00CE4C55">
            <w:pPr>
              <w:jc w:val="center"/>
              <w:rPr>
                <w:rFonts w:ascii="Arial" w:hAnsi="Arial" w:cs="Arial"/>
                <w:sz w:val="18"/>
                <w:szCs w:val="18"/>
              </w:rPr>
            </w:pPr>
            <w:r w:rsidRPr="00B21D99">
              <w:rPr>
                <w:rFonts w:ascii="Arial" w:hAnsi="Arial" w:cs="Arial"/>
                <w:sz w:val="18"/>
                <w:szCs w:val="18"/>
              </w:rPr>
              <w:t>(</w:t>
            </w:r>
            <w:r w:rsidR="002C0581" w:rsidRPr="00B21D99">
              <w:rPr>
                <w:rFonts w:ascii="Arial" w:hAnsi="Arial" w:cs="Arial"/>
                <w:sz w:val="18"/>
                <w:szCs w:val="18"/>
              </w:rPr>
              <w:t>e.g.</w:t>
            </w:r>
            <w:r w:rsidRPr="00B21D99">
              <w:rPr>
                <w:rFonts w:ascii="Arial" w:hAnsi="Arial" w:cs="Arial"/>
                <w:sz w:val="18"/>
                <w:szCs w:val="18"/>
              </w:rPr>
              <w:t xml:space="preserve"> </w:t>
            </w:r>
            <w:r w:rsidR="00AC305C" w:rsidRPr="00B21D99">
              <w:rPr>
                <w:rFonts w:ascii="Arial" w:hAnsi="Arial" w:cs="Arial"/>
                <w:sz w:val="18"/>
                <w:szCs w:val="18"/>
              </w:rPr>
              <w:t xml:space="preserve">01: </w:t>
            </w:r>
            <w:r w:rsidRPr="00B21D99">
              <w:rPr>
                <w:rFonts w:ascii="Arial" w:hAnsi="Arial" w:cs="Arial"/>
                <w:sz w:val="18"/>
                <w:szCs w:val="18"/>
              </w:rPr>
              <w:t xml:space="preserve">Energy, </w:t>
            </w:r>
            <w:r w:rsidR="00AC305C" w:rsidRPr="00B21D99">
              <w:rPr>
                <w:rFonts w:ascii="Arial" w:hAnsi="Arial" w:cs="Arial"/>
                <w:sz w:val="18"/>
                <w:szCs w:val="18"/>
              </w:rPr>
              <w:t xml:space="preserve">02: </w:t>
            </w:r>
            <w:r w:rsidRPr="00B21D99">
              <w:rPr>
                <w:rFonts w:ascii="Arial" w:hAnsi="Arial" w:cs="Arial"/>
                <w:sz w:val="18"/>
                <w:szCs w:val="18"/>
              </w:rPr>
              <w:t xml:space="preserve">IPPU, </w:t>
            </w:r>
            <w:r w:rsidR="00AC305C" w:rsidRPr="00B21D99">
              <w:rPr>
                <w:rFonts w:ascii="Arial" w:hAnsi="Arial" w:cs="Arial"/>
                <w:sz w:val="18"/>
                <w:szCs w:val="18"/>
              </w:rPr>
              <w:t xml:space="preserve">03: </w:t>
            </w:r>
            <w:r w:rsidRPr="00B21D99">
              <w:rPr>
                <w:rFonts w:ascii="Arial" w:hAnsi="Arial" w:cs="Arial"/>
                <w:sz w:val="18"/>
                <w:szCs w:val="18"/>
              </w:rPr>
              <w:t>AFOLU)</w:t>
            </w:r>
          </w:p>
        </w:tc>
      </w:tr>
      <w:tr w:rsidR="00B21D99" w:rsidRPr="00B21D99" w14:paraId="185BC238" w14:textId="77777777" w:rsidTr="00CE4C55">
        <w:trPr>
          <w:trHeight w:val="703"/>
        </w:trPr>
        <w:tc>
          <w:tcPr>
            <w:tcW w:w="4390" w:type="dxa"/>
            <w:vAlign w:val="center"/>
          </w:tcPr>
          <w:p w14:paraId="56B065A0"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Activity type</w:t>
            </w:r>
          </w:p>
        </w:tc>
        <w:tc>
          <w:tcPr>
            <w:tcW w:w="4626" w:type="dxa"/>
            <w:vAlign w:val="center"/>
          </w:tcPr>
          <w:p w14:paraId="42F71BC7" w14:textId="25EBC873" w:rsidR="00472466" w:rsidRPr="00B21D99" w:rsidRDefault="00472466" w:rsidP="00CE4C55">
            <w:pPr>
              <w:jc w:val="center"/>
              <w:rPr>
                <w:rFonts w:ascii="Arial" w:hAnsi="Arial" w:cs="Arial"/>
                <w:sz w:val="18"/>
                <w:szCs w:val="18"/>
              </w:rPr>
            </w:pPr>
            <w:r w:rsidRPr="00B21D99">
              <w:rPr>
                <w:rFonts w:ascii="Arial" w:hAnsi="Arial" w:cs="Arial"/>
                <w:sz w:val="18"/>
                <w:szCs w:val="18"/>
              </w:rPr>
              <w:t>Reflect current and further CMA decision</w:t>
            </w:r>
            <w:r w:rsidR="00715C0D" w:rsidRPr="00B21D99">
              <w:rPr>
                <w:rFonts w:ascii="Arial" w:hAnsi="Arial" w:cs="Arial"/>
                <w:sz w:val="18"/>
                <w:szCs w:val="18"/>
              </w:rPr>
              <w:t>s</w:t>
            </w:r>
            <w:r w:rsidRPr="00B21D99">
              <w:rPr>
                <w:rFonts w:ascii="Arial" w:hAnsi="Arial" w:cs="Arial"/>
                <w:sz w:val="18"/>
                <w:szCs w:val="18"/>
              </w:rPr>
              <w:t xml:space="preserve"> based on the CDM activity type</w:t>
            </w:r>
          </w:p>
          <w:p w14:paraId="48379BAB" w14:textId="66A4B18F" w:rsidR="001615D8" w:rsidRPr="00B21D99" w:rsidRDefault="001615D8" w:rsidP="00CE4C55">
            <w:pPr>
              <w:jc w:val="center"/>
              <w:rPr>
                <w:rFonts w:ascii="Arial" w:hAnsi="Arial" w:cs="Arial"/>
                <w:sz w:val="18"/>
                <w:szCs w:val="18"/>
              </w:rPr>
            </w:pPr>
            <w:r w:rsidRPr="00B21D99">
              <w:rPr>
                <w:rFonts w:ascii="Arial" w:hAnsi="Arial" w:cs="Arial"/>
                <w:sz w:val="18"/>
                <w:szCs w:val="18"/>
              </w:rPr>
              <w:t>(</w:t>
            </w:r>
            <w:r w:rsidR="002C0581" w:rsidRPr="00B21D99">
              <w:rPr>
                <w:rFonts w:ascii="Arial" w:hAnsi="Arial" w:cs="Arial"/>
                <w:sz w:val="18"/>
                <w:szCs w:val="18"/>
              </w:rPr>
              <w:t>e.g.</w:t>
            </w:r>
            <w:r w:rsidRPr="00B21D99">
              <w:rPr>
                <w:rFonts w:ascii="Arial" w:hAnsi="Arial" w:cs="Arial"/>
                <w:sz w:val="18"/>
                <w:szCs w:val="18"/>
              </w:rPr>
              <w:t xml:space="preserve"> </w:t>
            </w:r>
            <w:r w:rsidR="00B5247B" w:rsidRPr="00B21D99">
              <w:rPr>
                <w:rFonts w:ascii="Arial" w:hAnsi="Arial" w:cs="Arial"/>
                <w:sz w:val="18"/>
                <w:szCs w:val="18"/>
              </w:rPr>
              <w:t>Afforestation and reforestation</w:t>
            </w:r>
            <w:r w:rsidR="00B5247B" w:rsidRPr="00B21D99">
              <w:rPr>
                <w:rFonts w:ascii="Arial" w:eastAsiaTheme="minorHAnsi" w:hAnsi="Arial" w:cs="Arial"/>
                <w:sz w:val="18"/>
                <w:szCs w:val="18"/>
              </w:rPr>
              <w:t xml:space="preserve"> </w:t>
            </w:r>
            <w:r w:rsidR="00B5247B" w:rsidRPr="00B21D99">
              <w:rPr>
                <w:rFonts w:ascii="Arial" w:hAnsi="Arial" w:cs="Arial"/>
                <w:sz w:val="18"/>
                <w:szCs w:val="18"/>
              </w:rPr>
              <w:t>→ Removals</w:t>
            </w:r>
            <w:r w:rsidRPr="00B21D99">
              <w:rPr>
                <w:rFonts w:ascii="Arial" w:hAnsi="Arial" w:cs="Arial"/>
                <w:sz w:val="18"/>
                <w:szCs w:val="18"/>
              </w:rPr>
              <w:t>)</w:t>
            </w:r>
          </w:p>
        </w:tc>
      </w:tr>
      <w:tr w:rsidR="00B21D99" w:rsidRPr="00B21D99" w14:paraId="06E62629" w14:textId="77777777" w:rsidTr="00CE4C55">
        <w:trPr>
          <w:trHeight w:val="273"/>
        </w:trPr>
        <w:tc>
          <w:tcPr>
            <w:tcW w:w="4390" w:type="dxa"/>
            <w:vAlign w:val="center"/>
          </w:tcPr>
          <w:p w14:paraId="1336A2AE"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Non-GHG metric</w:t>
            </w:r>
          </w:p>
        </w:tc>
        <w:tc>
          <w:tcPr>
            <w:tcW w:w="4626" w:type="dxa"/>
            <w:vAlign w:val="center"/>
          </w:tcPr>
          <w:p w14:paraId="320BB9DD" w14:textId="1922964C" w:rsidR="00472466" w:rsidRPr="00B21D99" w:rsidRDefault="00472466" w:rsidP="00CE4C55">
            <w:pPr>
              <w:jc w:val="center"/>
              <w:rPr>
                <w:rFonts w:ascii="Arial" w:hAnsi="Arial" w:cs="Arial"/>
                <w:sz w:val="18"/>
                <w:szCs w:val="18"/>
              </w:rPr>
            </w:pPr>
            <w:r w:rsidRPr="00B21D99">
              <w:rPr>
                <w:rFonts w:ascii="Arial" w:hAnsi="Arial" w:cs="Arial"/>
                <w:sz w:val="18"/>
                <w:szCs w:val="18"/>
              </w:rPr>
              <w:t>Metric</w:t>
            </w:r>
            <w:r w:rsidR="0000649E" w:rsidRPr="00B21D99">
              <w:rPr>
                <w:rFonts w:ascii="Arial" w:hAnsi="Arial" w:cs="Arial"/>
                <w:sz w:val="18"/>
                <w:szCs w:val="18"/>
              </w:rPr>
              <w:t xml:space="preserve"> in</w:t>
            </w:r>
            <w:r w:rsidRPr="00B21D99">
              <w:rPr>
                <w:rFonts w:ascii="Arial" w:hAnsi="Arial" w:cs="Arial"/>
                <w:sz w:val="18"/>
                <w:szCs w:val="18"/>
              </w:rPr>
              <w:t xml:space="preserve"> which ITMO is produced</w:t>
            </w:r>
          </w:p>
        </w:tc>
      </w:tr>
      <w:tr w:rsidR="00B21D99" w:rsidRPr="00B21D99" w14:paraId="4A93FA5E" w14:textId="77777777" w:rsidTr="00CE4C55">
        <w:trPr>
          <w:trHeight w:val="264"/>
        </w:trPr>
        <w:tc>
          <w:tcPr>
            <w:tcW w:w="4390" w:type="dxa"/>
            <w:vAlign w:val="center"/>
          </w:tcPr>
          <w:p w14:paraId="4652A253"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Action type</w:t>
            </w:r>
          </w:p>
        </w:tc>
        <w:tc>
          <w:tcPr>
            <w:tcW w:w="4626" w:type="dxa"/>
            <w:vAlign w:val="center"/>
          </w:tcPr>
          <w:p w14:paraId="6B2A232A"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2/CMA.3, annex, para 20(a)</w:t>
            </w:r>
          </w:p>
        </w:tc>
      </w:tr>
      <w:tr w:rsidR="00B21D99" w:rsidRPr="00B21D99" w14:paraId="06540BE7" w14:textId="77777777" w:rsidTr="00CE4C55">
        <w:trPr>
          <w:trHeight w:val="437"/>
        </w:trPr>
        <w:tc>
          <w:tcPr>
            <w:tcW w:w="4390" w:type="dxa"/>
            <w:vAlign w:val="center"/>
          </w:tcPr>
          <w:p w14:paraId="29F8C895"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First transfer specification</w:t>
            </w:r>
          </w:p>
        </w:tc>
        <w:tc>
          <w:tcPr>
            <w:tcW w:w="4626" w:type="dxa"/>
            <w:vAlign w:val="center"/>
          </w:tcPr>
          <w:p w14:paraId="4833CD33"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First transfer date + (if applicable) first transfer definition</w:t>
            </w:r>
          </w:p>
        </w:tc>
      </w:tr>
      <w:tr w:rsidR="00472466" w:rsidRPr="00B21D99" w14:paraId="613A57FE" w14:textId="77777777" w:rsidTr="00CE4C55">
        <w:trPr>
          <w:trHeight w:val="260"/>
        </w:trPr>
        <w:tc>
          <w:tcPr>
            <w:tcW w:w="4390" w:type="dxa"/>
            <w:vAlign w:val="center"/>
          </w:tcPr>
          <w:p w14:paraId="61593F62"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Purposes towards which use of ITMO is authorized</w:t>
            </w:r>
          </w:p>
        </w:tc>
        <w:tc>
          <w:tcPr>
            <w:tcW w:w="4626" w:type="dxa"/>
            <w:vAlign w:val="center"/>
          </w:tcPr>
          <w:p w14:paraId="37E181B9" w14:textId="77777777" w:rsidR="00472466" w:rsidRPr="00B21D99" w:rsidRDefault="00472466" w:rsidP="00CE4C55">
            <w:pPr>
              <w:jc w:val="center"/>
              <w:rPr>
                <w:rFonts w:ascii="Arial" w:hAnsi="Arial" w:cs="Arial"/>
                <w:sz w:val="18"/>
                <w:szCs w:val="18"/>
              </w:rPr>
            </w:pPr>
            <w:r w:rsidRPr="00B21D99">
              <w:rPr>
                <w:rFonts w:ascii="Arial" w:hAnsi="Arial" w:cs="Arial"/>
                <w:sz w:val="18"/>
                <w:szCs w:val="18"/>
              </w:rPr>
              <w:t>NDC, OIMP, NDC and/or OIMP</w:t>
            </w:r>
          </w:p>
        </w:tc>
      </w:tr>
    </w:tbl>
    <w:p w14:paraId="166CBFA0" w14:textId="77777777" w:rsidR="00472466" w:rsidRPr="00B21D99" w:rsidRDefault="00472466" w:rsidP="00215A5D"/>
    <w:sectPr w:rsidR="00472466" w:rsidRPr="00B21D9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0680B" w14:textId="77777777" w:rsidR="00CF48FC" w:rsidRDefault="00CF48FC" w:rsidP="0073002F">
      <w:pPr>
        <w:spacing w:after="0" w:line="240" w:lineRule="auto"/>
      </w:pPr>
      <w:r>
        <w:separator/>
      </w:r>
    </w:p>
  </w:endnote>
  <w:endnote w:type="continuationSeparator" w:id="0">
    <w:p w14:paraId="3AF40687" w14:textId="77777777" w:rsidR="00CF48FC" w:rsidRDefault="00CF48FC" w:rsidP="0073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휴먼명조">
    <w:altName w:val="맑은 고딕"/>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ancomEQN">
    <w:altName w:val="맑은 고딕"/>
    <w:charset w:val="81"/>
    <w:family w:val="auto"/>
    <w:pitch w:val="variable"/>
    <w:sig w:usb0="800002A7" w:usb1="19977CF9"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A49DA" w14:textId="77777777" w:rsidR="00CF48FC" w:rsidRDefault="00CF48FC" w:rsidP="0073002F">
      <w:pPr>
        <w:spacing w:after="0" w:line="240" w:lineRule="auto"/>
      </w:pPr>
      <w:r>
        <w:separator/>
      </w:r>
    </w:p>
  </w:footnote>
  <w:footnote w:type="continuationSeparator" w:id="0">
    <w:p w14:paraId="09039717" w14:textId="77777777" w:rsidR="00CF48FC" w:rsidRDefault="00CF48FC" w:rsidP="00730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3C98B9"/>
    <w:multiLevelType w:val="hybridMultilevel"/>
    <w:tmpl w:val="EFD07C98"/>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93BD7"/>
    <w:multiLevelType w:val="hybridMultilevel"/>
    <w:tmpl w:val="F6104A9A"/>
    <w:lvl w:ilvl="0" w:tplc="C9C400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EB01B67"/>
    <w:multiLevelType w:val="hybridMultilevel"/>
    <w:tmpl w:val="4B2C56E2"/>
    <w:lvl w:ilvl="0" w:tplc="79841FFC">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EBC00FE"/>
    <w:multiLevelType w:val="hybridMultilevel"/>
    <w:tmpl w:val="738A1A24"/>
    <w:lvl w:ilvl="0" w:tplc="288A9576">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4" w15:restartNumberingAfterBreak="0">
    <w:nsid w:val="254BBF6D"/>
    <w:multiLevelType w:val="hybridMultilevel"/>
    <w:tmpl w:val="92685DB9"/>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665A77"/>
    <w:multiLevelType w:val="hybridMultilevel"/>
    <w:tmpl w:val="D1ECEF4A"/>
    <w:lvl w:ilvl="0" w:tplc="FE441B18">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F6B58F7"/>
    <w:multiLevelType w:val="hybridMultilevel"/>
    <w:tmpl w:val="BCAA7BFE"/>
    <w:lvl w:ilvl="0" w:tplc="1E2CD1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0419D59"/>
    <w:multiLevelType w:val="hybridMultilevel"/>
    <w:tmpl w:val="76340A05"/>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3A5C56"/>
    <w:multiLevelType w:val="hybridMultilevel"/>
    <w:tmpl w:val="D0E800D8"/>
    <w:lvl w:ilvl="0" w:tplc="8C007C58">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033155C"/>
    <w:multiLevelType w:val="multilevel"/>
    <w:tmpl w:val="517A4E16"/>
    <w:lvl w:ilvl="0">
      <w:start w:val="1"/>
      <w:numFmt w:val="decimalEnclosedCircle"/>
      <w:lvlText w:val="%1"/>
      <w:lvlJc w:val="left"/>
      <w:pPr>
        <w:ind w:left="760" w:hanging="360"/>
      </w:pPr>
      <w:rPr>
        <w:rFonts w:ascii="맑은 고딕" w:eastAsia="맑은 고딕" w:hAnsi="맑은 고딕"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4B734F66"/>
    <w:multiLevelType w:val="hybridMultilevel"/>
    <w:tmpl w:val="DAC66D30"/>
    <w:lvl w:ilvl="0" w:tplc="4EC8C5CC">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D004B4C"/>
    <w:multiLevelType w:val="hybridMultilevel"/>
    <w:tmpl w:val="20A82F88"/>
    <w:lvl w:ilvl="0" w:tplc="EA5E9AF4">
      <w:start w:val="17"/>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6501216"/>
    <w:multiLevelType w:val="hybridMultilevel"/>
    <w:tmpl w:val="7EFAB830"/>
    <w:lvl w:ilvl="0" w:tplc="C784A676">
      <w:start w:val="1"/>
      <w:numFmt w:val="decimalEnclosedCircle"/>
      <w:lvlText w:val="%1"/>
      <w:lvlJc w:val="left"/>
      <w:pPr>
        <w:ind w:left="760" w:hanging="360"/>
      </w:pPr>
      <w:rPr>
        <w:rFonts w:ascii="맑은 고딕" w:eastAsia="맑은 고딕" w:hAnsi="맑은 고딕" w:cs="맑은 고딕"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DE60B73"/>
    <w:multiLevelType w:val="hybridMultilevel"/>
    <w:tmpl w:val="517A4E16"/>
    <w:lvl w:ilvl="0" w:tplc="6A8A8B74">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12B71A9"/>
    <w:multiLevelType w:val="hybridMultilevel"/>
    <w:tmpl w:val="E3EA2D1C"/>
    <w:lvl w:ilvl="0" w:tplc="C94615BA">
      <w:start w:val="3"/>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5" w15:restartNumberingAfterBreak="0">
    <w:nsid w:val="71A52055"/>
    <w:multiLevelType w:val="hybridMultilevel"/>
    <w:tmpl w:val="2474EDA0"/>
    <w:lvl w:ilvl="0" w:tplc="F01AD2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51B525B"/>
    <w:multiLevelType w:val="hybridMultilevel"/>
    <w:tmpl w:val="EF6A7AC2"/>
    <w:lvl w:ilvl="0" w:tplc="7BC46D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5F91A70"/>
    <w:multiLevelType w:val="hybridMultilevel"/>
    <w:tmpl w:val="7896A3E8"/>
    <w:lvl w:ilvl="0" w:tplc="4EC8C5CC">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9E107C5"/>
    <w:multiLevelType w:val="hybridMultilevel"/>
    <w:tmpl w:val="89948FF8"/>
    <w:lvl w:ilvl="0" w:tplc="E40642A8">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4"/>
  </w:num>
  <w:num w:numId="3">
    <w:abstractNumId w:val="0"/>
  </w:num>
  <w:num w:numId="4">
    <w:abstractNumId w:val="3"/>
  </w:num>
  <w:num w:numId="5">
    <w:abstractNumId w:val="1"/>
  </w:num>
  <w:num w:numId="6">
    <w:abstractNumId w:val="16"/>
  </w:num>
  <w:num w:numId="7">
    <w:abstractNumId w:val="15"/>
  </w:num>
  <w:num w:numId="8">
    <w:abstractNumId w:val="14"/>
  </w:num>
  <w:num w:numId="9">
    <w:abstractNumId w:val="11"/>
  </w:num>
  <w:num w:numId="10">
    <w:abstractNumId w:val="2"/>
  </w:num>
  <w:num w:numId="11">
    <w:abstractNumId w:val="5"/>
  </w:num>
  <w:num w:numId="12">
    <w:abstractNumId w:val="18"/>
  </w:num>
  <w:num w:numId="13">
    <w:abstractNumId w:val="12"/>
  </w:num>
  <w:num w:numId="14">
    <w:abstractNumId w:val="10"/>
  </w:num>
  <w:num w:numId="15">
    <w:abstractNumId w:val="13"/>
  </w:num>
  <w:num w:numId="16">
    <w:abstractNumId w:val="9"/>
  </w:num>
  <w:num w:numId="17">
    <w:abstractNumId w:val="8"/>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2C"/>
    <w:rsid w:val="00000768"/>
    <w:rsid w:val="0000649E"/>
    <w:rsid w:val="00007B84"/>
    <w:rsid w:val="00007C02"/>
    <w:rsid w:val="00013376"/>
    <w:rsid w:val="00014883"/>
    <w:rsid w:val="00016C92"/>
    <w:rsid w:val="00017694"/>
    <w:rsid w:val="000202F3"/>
    <w:rsid w:val="00022680"/>
    <w:rsid w:val="000248B5"/>
    <w:rsid w:val="00024AF0"/>
    <w:rsid w:val="00035971"/>
    <w:rsid w:val="00043BFC"/>
    <w:rsid w:val="0004727A"/>
    <w:rsid w:val="00047F2C"/>
    <w:rsid w:val="00060E3A"/>
    <w:rsid w:val="0006103D"/>
    <w:rsid w:val="00062A4B"/>
    <w:rsid w:val="0006422A"/>
    <w:rsid w:val="000642E4"/>
    <w:rsid w:val="00064DBF"/>
    <w:rsid w:val="0007597D"/>
    <w:rsid w:val="000803EF"/>
    <w:rsid w:val="00095A8E"/>
    <w:rsid w:val="000A4AC9"/>
    <w:rsid w:val="000B10AB"/>
    <w:rsid w:val="000B360C"/>
    <w:rsid w:val="000B4A0D"/>
    <w:rsid w:val="000D256D"/>
    <w:rsid w:val="000D27D6"/>
    <w:rsid w:val="000D300B"/>
    <w:rsid w:val="000D4B1F"/>
    <w:rsid w:val="000D4DCE"/>
    <w:rsid w:val="000D528E"/>
    <w:rsid w:val="000E776C"/>
    <w:rsid w:val="000F339B"/>
    <w:rsid w:val="000F345A"/>
    <w:rsid w:val="000F5EF6"/>
    <w:rsid w:val="000F6895"/>
    <w:rsid w:val="00113C3B"/>
    <w:rsid w:val="00114E57"/>
    <w:rsid w:val="00124F78"/>
    <w:rsid w:val="001264D6"/>
    <w:rsid w:val="00127254"/>
    <w:rsid w:val="00132D6B"/>
    <w:rsid w:val="001331D7"/>
    <w:rsid w:val="00133FCA"/>
    <w:rsid w:val="001347E4"/>
    <w:rsid w:val="00137153"/>
    <w:rsid w:val="00140287"/>
    <w:rsid w:val="00141226"/>
    <w:rsid w:val="00145587"/>
    <w:rsid w:val="00146777"/>
    <w:rsid w:val="001470BC"/>
    <w:rsid w:val="00152DE1"/>
    <w:rsid w:val="001615D8"/>
    <w:rsid w:val="00163C7C"/>
    <w:rsid w:val="001642E9"/>
    <w:rsid w:val="00165121"/>
    <w:rsid w:val="00167CF8"/>
    <w:rsid w:val="001721B6"/>
    <w:rsid w:val="001721D6"/>
    <w:rsid w:val="00180DDB"/>
    <w:rsid w:val="00192129"/>
    <w:rsid w:val="001A4698"/>
    <w:rsid w:val="001B0793"/>
    <w:rsid w:val="001B49A7"/>
    <w:rsid w:val="001C1C71"/>
    <w:rsid w:val="001C358E"/>
    <w:rsid w:val="001C37B5"/>
    <w:rsid w:val="001C4A73"/>
    <w:rsid w:val="001D6137"/>
    <w:rsid w:val="001E6999"/>
    <w:rsid w:val="001F7C20"/>
    <w:rsid w:val="00205C85"/>
    <w:rsid w:val="002107ED"/>
    <w:rsid w:val="00215A5D"/>
    <w:rsid w:val="0022589B"/>
    <w:rsid w:val="00225DC1"/>
    <w:rsid w:val="00232949"/>
    <w:rsid w:val="00235505"/>
    <w:rsid w:val="002416D2"/>
    <w:rsid w:val="00241BBD"/>
    <w:rsid w:val="00243650"/>
    <w:rsid w:val="00253368"/>
    <w:rsid w:val="002601B0"/>
    <w:rsid w:val="00261896"/>
    <w:rsid w:val="002654BB"/>
    <w:rsid w:val="00266282"/>
    <w:rsid w:val="00267866"/>
    <w:rsid w:val="002708BD"/>
    <w:rsid w:val="00273471"/>
    <w:rsid w:val="00274878"/>
    <w:rsid w:val="00277806"/>
    <w:rsid w:val="002919E3"/>
    <w:rsid w:val="002A05C4"/>
    <w:rsid w:val="002B577C"/>
    <w:rsid w:val="002B5C61"/>
    <w:rsid w:val="002C0581"/>
    <w:rsid w:val="002D5C69"/>
    <w:rsid w:val="002D6420"/>
    <w:rsid w:val="002E1367"/>
    <w:rsid w:val="002E1CC2"/>
    <w:rsid w:val="002E3CA4"/>
    <w:rsid w:val="002E4EFA"/>
    <w:rsid w:val="002F0C71"/>
    <w:rsid w:val="002F2840"/>
    <w:rsid w:val="002F4BD1"/>
    <w:rsid w:val="002F5B6D"/>
    <w:rsid w:val="00307852"/>
    <w:rsid w:val="003103EB"/>
    <w:rsid w:val="003415D8"/>
    <w:rsid w:val="00341BA1"/>
    <w:rsid w:val="003455FF"/>
    <w:rsid w:val="00345F07"/>
    <w:rsid w:val="0034754B"/>
    <w:rsid w:val="003477CF"/>
    <w:rsid w:val="003564E7"/>
    <w:rsid w:val="003576AD"/>
    <w:rsid w:val="00360E82"/>
    <w:rsid w:val="00364C08"/>
    <w:rsid w:val="003660F5"/>
    <w:rsid w:val="00366425"/>
    <w:rsid w:val="003743B8"/>
    <w:rsid w:val="00396FB0"/>
    <w:rsid w:val="003A66F4"/>
    <w:rsid w:val="003B13E7"/>
    <w:rsid w:val="003B3E39"/>
    <w:rsid w:val="003C4723"/>
    <w:rsid w:val="003D67C9"/>
    <w:rsid w:val="003E76E0"/>
    <w:rsid w:val="003F0346"/>
    <w:rsid w:val="003F04D0"/>
    <w:rsid w:val="003F6512"/>
    <w:rsid w:val="003F7AA6"/>
    <w:rsid w:val="003F7EB1"/>
    <w:rsid w:val="004072A7"/>
    <w:rsid w:val="00410394"/>
    <w:rsid w:val="00411EC0"/>
    <w:rsid w:val="00412F36"/>
    <w:rsid w:val="0041441B"/>
    <w:rsid w:val="004154C2"/>
    <w:rsid w:val="00433C88"/>
    <w:rsid w:val="00441930"/>
    <w:rsid w:val="00444120"/>
    <w:rsid w:val="00453A32"/>
    <w:rsid w:val="00457846"/>
    <w:rsid w:val="00460C79"/>
    <w:rsid w:val="004610A7"/>
    <w:rsid w:val="00463684"/>
    <w:rsid w:val="00464C69"/>
    <w:rsid w:val="00470ED0"/>
    <w:rsid w:val="00472466"/>
    <w:rsid w:val="00482F23"/>
    <w:rsid w:val="00484058"/>
    <w:rsid w:val="004A3671"/>
    <w:rsid w:val="004B39FA"/>
    <w:rsid w:val="004C26D1"/>
    <w:rsid w:val="004C317B"/>
    <w:rsid w:val="004C3748"/>
    <w:rsid w:val="004C395F"/>
    <w:rsid w:val="004C4BA1"/>
    <w:rsid w:val="004D1E3A"/>
    <w:rsid w:val="004D2A96"/>
    <w:rsid w:val="004D46AC"/>
    <w:rsid w:val="004E333C"/>
    <w:rsid w:val="004E513B"/>
    <w:rsid w:val="004E6378"/>
    <w:rsid w:val="004E77B3"/>
    <w:rsid w:val="004F0D4F"/>
    <w:rsid w:val="004F18EE"/>
    <w:rsid w:val="004F558D"/>
    <w:rsid w:val="004F7EFC"/>
    <w:rsid w:val="00501228"/>
    <w:rsid w:val="005012EC"/>
    <w:rsid w:val="005046A6"/>
    <w:rsid w:val="005129C7"/>
    <w:rsid w:val="00513917"/>
    <w:rsid w:val="0051711B"/>
    <w:rsid w:val="005179A8"/>
    <w:rsid w:val="00527115"/>
    <w:rsid w:val="00535777"/>
    <w:rsid w:val="00541E22"/>
    <w:rsid w:val="00541F7B"/>
    <w:rsid w:val="00544853"/>
    <w:rsid w:val="0054782A"/>
    <w:rsid w:val="0055687A"/>
    <w:rsid w:val="0055698F"/>
    <w:rsid w:val="00560651"/>
    <w:rsid w:val="0056163A"/>
    <w:rsid w:val="00574BA3"/>
    <w:rsid w:val="00580227"/>
    <w:rsid w:val="00585121"/>
    <w:rsid w:val="00585A54"/>
    <w:rsid w:val="00591A7F"/>
    <w:rsid w:val="0059332C"/>
    <w:rsid w:val="0059344D"/>
    <w:rsid w:val="0059515B"/>
    <w:rsid w:val="005A16AB"/>
    <w:rsid w:val="005A278C"/>
    <w:rsid w:val="005A58F2"/>
    <w:rsid w:val="005B0013"/>
    <w:rsid w:val="005C6679"/>
    <w:rsid w:val="005D0A67"/>
    <w:rsid w:val="005D5287"/>
    <w:rsid w:val="00601831"/>
    <w:rsid w:val="00605576"/>
    <w:rsid w:val="006108EF"/>
    <w:rsid w:val="00613880"/>
    <w:rsid w:val="006143CB"/>
    <w:rsid w:val="006211B1"/>
    <w:rsid w:val="006333B0"/>
    <w:rsid w:val="00644BA3"/>
    <w:rsid w:val="00650E18"/>
    <w:rsid w:val="006523E8"/>
    <w:rsid w:val="006527B5"/>
    <w:rsid w:val="00652F59"/>
    <w:rsid w:val="0065329E"/>
    <w:rsid w:val="00654EB3"/>
    <w:rsid w:val="00662B25"/>
    <w:rsid w:val="00664FA6"/>
    <w:rsid w:val="00665CDC"/>
    <w:rsid w:val="00680ABB"/>
    <w:rsid w:val="00682D83"/>
    <w:rsid w:val="00692A7C"/>
    <w:rsid w:val="006A4A28"/>
    <w:rsid w:val="006A5BC9"/>
    <w:rsid w:val="006B38D2"/>
    <w:rsid w:val="006B3B83"/>
    <w:rsid w:val="006B6B2E"/>
    <w:rsid w:val="006C5995"/>
    <w:rsid w:val="006C6511"/>
    <w:rsid w:val="006C6713"/>
    <w:rsid w:val="006D5DC7"/>
    <w:rsid w:val="006F026C"/>
    <w:rsid w:val="00706D09"/>
    <w:rsid w:val="0071113E"/>
    <w:rsid w:val="00715C0D"/>
    <w:rsid w:val="00715C7B"/>
    <w:rsid w:val="00723650"/>
    <w:rsid w:val="00724127"/>
    <w:rsid w:val="0073002F"/>
    <w:rsid w:val="00730B82"/>
    <w:rsid w:val="00733C62"/>
    <w:rsid w:val="007460D4"/>
    <w:rsid w:val="00747E49"/>
    <w:rsid w:val="00753613"/>
    <w:rsid w:val="00755708"/>
    <w:rsid w:val="00771582"/>
    <w:rsid w:val="0078067D"/>
    <w:rsid w:val="0078467A"/>
    <w:rsid w:val="0078538D"/>
    <w:rsid w:val="00787637"/>
    <w:rsid w:val="00796031"/>
    <w:rsid w:val="007A6EB1"/>
    <w:rsid w:val="007B38EC"/>
    <w:rsid w:val="007B5994"/>
    <w:rsid w:val="007C41C2"/>
    <w:rsid w:val="007C50FB"/>
    <w:rsid w:val="007C5708"/>
    <w:rsid w:val="007E08AA"/>
    <w:rsid w:val="007E5B90"/>
    <w:rsid w:val="00810568"/>
    <w:rsid w:val="00810D12"/>
    <w:rsid w:val="00814FD1"/>
    <w:rsid w:val="008176D4"/>
    <w:rsid w:val="008226F1"/>
    <w:rsid w:val="008229B1"/>
    <w:rsid w:val="00830DCF"/>
    <w:rsid w:val="008333F3"/>
    <w:rsid w:val="00844D68"/>
    <w:rsid w:val="008503EB"/>
    <w:rsid w:val="008519CD"/>
    <w:rsid w:val="0085616D"/>
    <w:rsid w:val="00865978"/>
    <w:rsid w:val="008750E8"/>
    <w:rsid w:val="00875F98"/>
    <w:rsid w:val="0088415D"/>
    <w:rsid w:val="00885C79"/>
    <w:rsid w:val="00895C8D"/>
    <w:rsid w:val="008A03E7"/>
    <w:rsid w:val="008A6594"/>
    <w:rsid w:val="008A7716"/>
    <w:rsid w:val="008D5CC8"/>
    <w:rsid w:val="008E4103"/>
    <w:rsid w:val="008E4609"/>
    <w:rsid w:val="008E4B18"/>
    <w:rsid w:val="008F0D32"/>
    <w:rsid w:val="008F608D"/>
    <w:rsid w:val="0090011A"/>
    <w:rsid w:val="00901627"/>
    <w:rsid w:val="00902734"/>
    <w:rsid w:val="00904322"/>
    <w:rsid w:val="009043A2"/>
    <w:rsid w:val="009046CD"/>
    <w:rsid w:val="009152AE"/>
    <w:rsid w:val="00923FD4"/>
    <w:rsid w:val="00924048"/>
    <w:rsid w:val="009245FB"/>
    <w:rsid w:val="00927473"/>
    <w:rsid w:val="00931223"/>
    <w:rsid w:val="009531BC"/>
    <w:rsid w:val="00954886"/>
    <w:rsid w:val="0096210D"/>
    <w:rsid w:val="00962EB3"/>
    <w:rsid w:val="00964791"/>
    <w:rsid w:val="009702B1"/>
    <w:rsid w:val="00970E9D"/>
    <w:rsid w:val="00973FAD"/>
    <w:rsid w:val="009744C1"/>
    <w:rsid w:val="009762F6"/>
    <w:rsid w:val="009823F7"/>
    <w:rsid w:val="00986CB6"/>
    <w:rsid w:val="0099128E"/>
    <w:rsid w:val="009A00CE"/>
    <w:rsid w:val="009A2AD3"/>
    <w:rsid w:val="009A4557"/>
    <w:rsid w:val="009A519F"/>
    <w:rsid w:val="009A597F"/>
    <w:rsid w:val="009A71C1"/>
    <w:rsid w:val="009C0BD0"/>
    <w:rsid w:val="009C444F"/>
    <w:rsid w:val="009C6802"/>
    <w:rsid w:val="009D101B"/>
    <w:rsid w:val="009D1DA4"/>
    <w:rsid w:val="009D6087"/>
    <w:rsid w:val="009E1619"/>
    <w:rsid w:val="009E780E"/>
    <w:rsid w:val="009F2AE7"/>
    <w:rsid w:val="00A05552"/>
    <w:rsid w:val="00A0769E"/>
    <w:rsid w:val="00A21BD1"/>
    <w:rsid w:val="00A23A50"/>
    <w:rsid w:val="00A35DCD"/>
    <w:rsid w:val="00A42E2A"/>
    <w:rsid w:val="00A60B6F"/>
    <w:rsid w:val="00A64DDD"/>
    <w:rsid w:val="00A70160"/>
    <w:rsid w:val="00A73AA9"/>
    <w:rsid w:val="00A73F90"/>
    <w:rsid w:val="00A7504E"/>
    <w:rsid w:val="00A81CD6"/>
    <w:rsid w:val="00A82B5D"/>
    <w:rsid w:val="00A8447E"/>
    <w:rsid w:val="00A846B5"/>
    <w:rsid w:val="00A84BD7"/>
    <w:rsid w:val="00A864C4"/>
    <w:rsid w:val="00AA4465"/>
    <w:rsid w:val="00AB0DAA"/>
    <w:rsid w:val="00AB17A1"/>
    <w:rsid w:val="00AB2958"/>
    <w:rsid w:val="00AB2A4F"/>
    <w:rsid w:val="00AB6B1C"/>
    <w:rsid w:val="00AC305C"/>
    <w:rsid w:val="00AC3684"/>
    <w:rsid w:val="00AC59F0"/>
    <w:rsid w:val="00AC6401"/>
    <w:rsid w:val="00AD339F"/>
    <w:rsid w:val="00AD39E9"/>
    <w:rsid w:val="00AE4B48"/>
    <w:rsid w:val="00AE4DB8"/>
    <w:rsid w:val="00AF1919"/>
    <w:rsid w:val="00B0524F"/>
    <w:rsid w:val="00B11B89"/>
    <w:rsid w:val="00B12811"/>
    <w:rsid w:val="00B16361"/>
    <w:rsid w:val="00B21D99"/>
    <w:rsid w:val="00B25876"/>
    <w:rsid w:val="00B26D3D"/>
    <w:rsid w:val="00B36F01"/>
    <w:rsid w:val="00B43D35"/>
    <w:rsid w:val="00B5247B"/>
    <w:rsid w:val="00B61CFD"/>
    <w:rsid w:val="00B62A8F"/>
    <w:rsid w:val="00B67D07"/>
    <w:rsid w:val="00B706FF"/>
    <w:rsid w:val="00B71157"/>
    <w:rsid w:val="00B750DB"/>
    <w:rsid w:val="00B87954"/>
    <w:rsid w:val="00B91EDE"/>
    <w:rsid w:val="00B96775"/>
    <w:rsid w:val="00BA4797"/>
    <w:rsid w:val="00BD6AD7"/>
    <w:rsid w:val="00BE543C"/>
    <w:rsid w:val="00BF62DD"/>
    <w:rsid w:val="00C00668"/>
    <w:rsid w:val="00C00886"/>
    <w:rsid w:val="00C04466"/>
    <w:rsid w:val="00C065F7"/>
    <w:rsid w:val="00C1091A"/>
    <w:rsid w:val="00C12F47"/>
    <w:rsid w:val="00C152FB"/>
    <w:rsid w:val="00C50BB9"/>
    <w:rsid w:val="00C60068"/>
    <w:rsid w:val="00C604BB"/>
    <w:rsid w:val="00C62219"/>
    <w:rsid w:val="00C73B14"/>
    <w:rsid w:val="00C75111"/>
    <w:rsid w:val="00C75914"/>
    <w:rsid w:val="00C772A3"/>
    <w:rsid w:val="00C77B0C"/>
    <w:rsid w:val="00C77DB6"/>
    <w:rsid w:val="00C83C90"/>
    <w:rsid w:val="00C8756B"/>
    <w:rsid w:val="00CA4E86"/>
    <w:rsid w:val="00CA7527"/>
    <w:rsid w:val="00CA7A0E"/>
    <w:rsid w:val="00CB5158"/>
    <w:rsid w:val="00CC5134"/>
    <w:rsid w:val="00CC70D2"/>
    <w:rsid w:val="00CC7130"/>
    <w:rsid w:val="00CC752F"/>
    <w:rsid w:val="00CE0279"/>
    <w:rsid w:val="00CE4C55"/>
    <w:rsid w:val="00CE6CF2"/>
    <w:rsid w:val="00CF00FB"/>
    <w:rsid w:val="00CF48FC"/>
    <w:rsid w:val="00CF69F8"/>
    <w:rsid w:val="00D0198B"/>
    <w:rsid w:val="00D06684"/>
    <w:rsid w:val="00D25305"/>
    <w:rsid w:val="00D33856"/>
    <w:rsid w:val="00D40F4B"/>
    <w:rsid w:val="00D460E7"/>
    <w:rsid w:val="00D56F4A"/>
    <w:rsid w:val="00D62033"/>
    <w:rsid w:val="00D6227D"/>
    <w:rsid w:val="00D65C79"/>
    <w:rsid w:val="00D66996"/>
    <w:rsid w:val="00D72BFF"/>
    <w:rsid w:val="00D72F64"/>
    <w:rsid w:val="00D740A9"/>
    <w:rsid w:val="00D81DC2"/>
    <w:rsid w:val="00D82AE1"/>
    <w:rsid w:val="00D91A65"/>
    <w:rsid w:val="00D948BD"/>
    <w:rsid w:val="00D9556A"/>
    <w:rsid w:val="00D96F5B"/>
    <w:rsid w:val="00DA3D63"/>
    <w:rsid w:val="00DB5B6D"/>
    <w:rsid w:val="00DC1104"/>
    <w:rsid w:val="00DC4D7B"/>
    <w:rsid w:val="00DD3E36"/>
    <w:rsid w:val="00DF2C16"/>
    <w:rsid w:val="00DF32E4"/>
    <w:rsid w:val="00DF62A6"/>
    <w:rsid w:val="00E0032C"/>
    <w:rsid w:val="00E10320"/>
    <w:rsid w:val="00E158F9"/>
    <w:rsid w:val="00E239E7"/>
    <w:rsid w:val="00E24A29"/>
    <w:rsid w:val="00E36B2F"/>
    <w:rsid w:val="00E40CB8"/>
    <w:rsid w:val="00E4718E"/>
    <w:rsid w:val="00E477AB"/>
    <w:rsid w:val="00E51BAE"/>
    <w:rsid w:val="00E6198B"/>
    <w:rsid w:val="00E63E36"/>
    <w:rsid w:val="00E8111B"/>
    <w:rsid w:val="00E81836"/>
    <w:rsid w:val="00E8402E"/>
    <w:rsid w:val="00E84033"/>
    <w:rsid w:val="00E90113"/>
    <w:rsid w:val="00E91578"/>
    <w:rsid w:val="00E96E90"/>
    <w:rsid w:val="00E97398"/>
    <w:rsid w:val="00E9782B"/>
    <w:rsid w:val="00EA71B0"/>
    <w:rsid w:val="00EB1777"/>
    <w:rsid w:val="00ED525E"/>
    <w:rsid w:val="00ED7F42"/>
    <w:rsid w:val="00EE0288"/>
    <w:rsid w:val="00EE2DBD"/>
    <w:rsid w:val="00EF6E34"/>
    <w:rsid w:val="00F00CAD"/>
    <w:rsid w:val="00F032AC"/>
    <w:rsid w:val="00F10904"/>
    <w:rsid w:val="00F117D1"/>
    <w:rsid w:val="00F12075"/>
    <w:rsid w:val="00F14DB4"/>
    <w:rsid w:val="00F15321"/>
    <w:rsid w:val="00F21608"/>
    <w:rsid w:val="00F32850"/>
    <w:rsid w:val="00F34135"/>
    <w:rsid w:val="00F53E1F"/>
    <w:rsid w:val="00F60834"/>
    <w:rsid w:val="00F7184E"/>
    <w:rsid w:val="00F83695"/>
    <w:rsid w:val="00F84589"/>
    <w:rsid w:val="00F86130"/>
    <w:rsid w:val="00F865D3"/>
    <w:rsid w:val="00F94EA5"/>
    <w:rsid w:val="00FA385E"/>
    <w:rsid w:val="00FA6225"/>
    <w:rsid w:val="00FB11A6"/>
    <w:rsid w:val="00FB7D0B"/>
    <w:rsid w:val="00FC0935"/>
    <w:rsid w:val="00FC7B2B"/>
    <w:rsid w:val="00FD0F2E"/>
    <w:rsid w:val="00FE68A7"/>
    <w:rsid w:val="00FE6CFD"/>
    <w:rsid w:val="00FF44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E139"/>
  <w15:chartTrackingRefBased/>
  <w15:docId w15:val="{D9394524-83AE-4D4E-B41B-E641BFDC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1B6"/>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3">
    <w:name w:val="header"/>
    <w:basedOn w:val="a"/>
    <w:link w:val="Char"/>
    <w:uiPriority w:val="99"/>
    <w:unhideWhenUsed/>
    <w:rsid w:val="0073002F"/>
    <w:pPr>
      <w:tabs>
        <w:tab w:val="center" w:pos="4513"/>
        <w:tab w:val="right" w:pos="9026"/>
      </w:tabs>
      <w:snapToGrid w:val="0"/>
    </w:pPr>
  </w:style>
  <w:style w:type="character" w:customStyle="1" w:styleId="Char">
    <w:name w:val="머리글 Char"/>
    <w:basedOn w:val="a0"/>
    <w:link w:val="a3"/>
    <w:uiPriority w:val="99"/>
    <w:rsid w:val="0073002F"/>
  </w:style>
  <w:style w:type="paragraph" w:styleId="a4">
    <w:name w:val="footer"/>
    <w:basedOn w:val="a"/>
    <w:link w:val="Char0"/>
    <w:uiPriority w:val="99"/>
    <w:unhideWhenUsed/>
    <w:rsid w:val="0073002F"/>
    <w:pPr>
      <w:tabs>
        <w:tab w:val="center" w:pos="4513"/>
        <w:tab w:val="right" w:pos="9026"/>
      </w:tabs>
      <w:snapToGrid w:val="0"/>
    </w:pPr>
  </w:style>
  <w:style w:type="character" w:customStyle="1" w:styleId="Char0">
    <w:name w:val="바닥글 Char"/>
    <w:basedOn w:val="a0"/>
    <w:link w:val="a4"/>
    <w:uiPriority w:val="99"/>
    <w:rsid w:val="0073002F"/>
  </w:style>
  <w:style w:type="character" w:styleId="a5">
    <w:name w:val="annotation reference"/>
    <w:basedOn w:val="a0"/>
    <w:uiPriority w:val="99"/>
    <w:semiHidden/>
    <w:unhideWhenUsed/>
    <w:rsid w:val="00AB2A4F"/>
    <w:rPr>
      <w:sz w:val="18"/>
      <w:szCs w:val="18"/>
    </w:rPr>
  </w:style>
  <w:style w:type="paragraph" w:styleId="a6">
    <w:name w:val="annotation text"/>
    <w:basedOn w:val="a"/>
    <w:link w:val="Char1"/>
    <w:uiPriority w:val="99"/>
    <w:semiHidden/>
    <w:unhideWhenUsed/>
    <w:rsid w:val="00AB2A4F"/>
    <w:pPr>
      <w:jc w:val="left"/>
    </w:pPr>
  </w:style>
  <w:style w:type="character" w:customStyle="1" w:styleId="Char1">
    <w:name w:val="메모 텍스트 Char"/>
    <w:basedOn w:val="a0"/>
    <w:link w:val="a6"/>
    <w:uiPriority w:val="99"/>
    <w:semiHidden/>
    <w:rsid w:val="00AB2A4F"/>
  </w:style>
  <w:style w:type="paragraph" w:styleId="a7">
    <w:name w:val="annotation subject"/>
    <w:basedOn w:val="a6"/>
    <w:next w:val="a6"/>
    <w:link w:val="Char2"/>
    <w:uiPriority w:val="99"/>
    <w:semiHidden/>
    <w:unhideWhenUsed/>
    <w:rsid w:val="00AB2A4F"/>
    <w:rPr>
      <w:b/>
      <w:bCs/>
    </w:rPr>
  </w:style>
  <w:style w:type="character" w:customStyle="1" w:styleId="Char2">
    <w:name w:val="메모 주제 Char"/>
    <w:basedOn w:val="Char1"/>
    <w:link w:val="a7"/>
    <w:uiPriority w:val="99"/>
    <w:semiHidden/>
    <w:rsid w:val="00AB2A4F"/>
    <w:rPr>
      <w:b/>
      <w:bCs/>
    </w:rPr>
  </w:style>
  <w:style w:type="paragraph" w:styleId="a8">
    <w:name w:val="Balloon Text"/>
    <w:basedOn w:val="a"/>
    <w:link w:val="Char3"/>
    <w:uiPriority w:val="99"/>
    <w:semiHidden/>
    <w:unhideWhenUsed/>
    <w:rsid w:val="00AB2A4F"/>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8"/>
    <w:uiPriority w:val="99"/>
    <w:semiHidden/>
    <w:rsid w:val="00AB2A4F"/>
    <w:rPr>
      <w:rFonts w:asciiTheme="majorHAnsi" w:eastAsiaTheme="majorEastAsia" w:hAnsiTheme="majorHAnsi" w:cstheme="majorBidi"/>
      <w:sz w:val="18"/>
      <w:szCs w:val="18"/>
    </w:rPr>
  </w:style>
  <w:style w:type="paragraph" w:styleId="a9">
    <w:name w:val="List Paragraph"/>
    <w:basedOn w:val="a"/>
    <w:uiPriority w:val="34"/>
    <w:qFormat/>
    <w:rsid w:val="00FB7D0B"/>
    <w:pPr>
      <w:ind w:leftChars="400" w:left="800"/>
    </w:pPr>
  </w:style>
  <w:style w:type="table" w:styleId="aa">
    <w:name w:val="Table Grid"/>
    <w:basedOn w:val="a1"/>
    <w:uiPriority w:val="39"/>
    <w:rsid w:val="0002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Char4"/>
    <w:uiPriority w:val="99"/>
    <w:semiHidden/>
    <w:unhideWhenUsed/>
    <w:rsid w:val="004E77B3"/>
    <w:pPr>
      <w:snapToGrid w:val="0"/>
      <w:jc w:val="left"/>
    </w:pPr>
  </w:style>
  <w:style w:type="character" w:customStyle="1" w:styleId="Char4">
    <w:name w:val="각주 텍스트 Char"/>
    <w:basedOn w:val="a0"/>
    <w:link w:val="ab"/>
    <w:uiPriority w:val="99"/>
    <w:semiHidden/>
    <w:rsid w:val="004E77B3"/>
  </w:style>
  <w:style w:type="character" w:styleId="ac">
    <w:name w:val="footnote reference"/>
    <w:basedOn w:val="a0"/>
    <w:uiPriority w:val="99"/>
    <w:semiHidden/>
    <w:unhideWhenUsed/>
    <w:rsid w:val="004E77B3"/>
    <w:rPr>
      <w:vertAlign w:val="superscript"/>
    </w:rPr>
  </w:style>
  <w:style w:type="paragraph" w:customStyle="1" w:styleId="ad">
    <w:name w:val="바탕글"/>
    <w:basedOn w:val="a"/>
    <w:rsid w:val="00FD0F2E"/>
    <w:pPr>
      <w:spacing w:after="0" w:line="384" w:lineRule="auto"/>
      <w:textAlignment w:val="baseline"/>
    </w:pPr>
    <w:rPr>
      <w:rFonts w:ascii="휴먼명조" w:eastAsia="굴림" w:hAnsi="굴림" w:cs="굴림"/>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7172">
      <w:bodyDiv w:val="1"/>
      <w:marLeft w:val="0"/>
      <w:marRight w:val="0"/>
      <w:marTop w:val="0"/>
      <w:marBottom w:val="0"/>
      <w:divBdr>
        <w:top w:val="none" w:sz="0" w:space="0" w:color="auto"/>
        <w:left w:val="none" w:sz="0" w:space="0" w:color="auto"/>
        <w:bottom w:val="none" w:sz="0" w:space="0" w:color="auto"/>
        <w:right w:val="none" w:sz="0" w:space="0" w:color="auto"/>
      </w:divBdr>
    </w:div>
    <w:div w:id="267197897">
      <w:bodyDiv w:val="1"/>
      <w:marLeft w:val="0"/>
      <w:marRight w:val="0"/>
      <w:marTop w:val="0"/>
      <w:marBottom w:val="0"/>
      <w:divBdr>
        <w:top w:val="none" w:sz="0" w:space="0" w:color="auto"/>
        <w:left w:val="none" w:sz="0" w:space="0" w:color="auto"/>
        <w:bottom w:val="none" w:sz="0" w:space="0" w:color="auto"/>
        <w:right w:val="none" w:sz="0" w:space="0" w:color="auto"/>
      </w:divBdr>
    </w:div>
    <w:div w:id="971911366">
      <w:bodyDiv w:val="1"/>
      <w:marLeft w:val="0"/>
      <w:marRight w:val="0"/>
      <w:marTop w:val="0"/>
      <w:marBottom w:val="0"/>
      <w:divBdr>
        <w:top w:val="none" w:sz="0" w:space="0" w:color="auto"/>
        <w:left w:val="none" w:sz="0" w:space="0" w:color="auto"/>
        <w:bottom w:val="none" w:sz="0" w:space="0" w:color="auto"/>
        <w:right w:val="none" w:sz="0" w:space="0" w:color="auto"/>
      </w:divBdr>
    </w:div>
    <w:div w:id="1282571355">
      <w:bodyDiv w:val="1"/>
      <w:marLeft w:val="0"/>
      <w:marRight w:val="0"/>
      <w:marTop w:val="0"/>
      <w:marBottom w:val="0"/>
      <w:divBdr>
        <w:top w:val="none" w:sz="0" w:space="0" w:color="auto"/>
        <w:left w:val="none" w:sz="0" w:space="0" w:color="auto"/>
        <w:bottom w:val="none" w:sz="0" w:space="0" w:color="auto"/>
        <w:right w:val="none" w:sz="0" w:space="0" w:color="auto"/>
      </w:divBdr>
    </w:div>
    <w:div w:id="1301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bmissionFile" ma:contentTypeID="0x010100F51B81ECA48C4AEDB5A375D0196DAC8E00F27E4CA6CE1B4048800F0938E0D9D4AE" ma:contentTypeVersion="15" ma:contentTypeDescription="My Content Type" ma:contentTypeScope="" ma:versionID="6c073ad1caa527927156e8610a33f9b9">
  <xsd:schema xmlns:xsd="http://www.w3.org/2001/XMLSchema" xmlns:xs="http://www.w3.org/2001/XMLSchema" xmlns:p="http://schemas.microsoft.com/office/2006/metadata/properties" xmlns:ns2="422aa6f4-7cc2-4343-930f-49e915c745b0" xmlns:ns3="385c0328-7de2-4a7b-b9e2-eefafeba70e7" xmlns:ns4="298b2d88-af87-46de-ac07-fdea42df24ee" targetNamespace="http://schemas.microsoft.com/office/2006/metadata/properties" ma:root="true" ma:fieldsID="0e06a9b19fea725262636655b444eb35" ns2:_="" ns3:_="" ns4:_="">
    <xsd:import namespace="422aa6f4-7cc2-4343-930f-49e915c745b0"/>
    <xsd:import namespace="385c0328-7de2-4a7b-b9e2-eefafeba70e7"/>
    <xsd:import namespace="298b2d88-af87-46de-ac07-fdea42df24ee"/>
    <xsd:element name="properties">
      <xsd:complexType>
        <xsd:sequence>
          <xsd:element name="documentManagement">
            <xsd:complexType>
              <xsd:all>
                <xsd:element ref="ns2:UNF3CSPInvitationToSubmit" minOccurs="0"/>
                <xsd:element ref="ns2:UNF3CSPEntity" minOccurs="0"/>
                <xsd:element ref="ns2:UNF3CSPDescription" minOccurs="0"/>
                <xsd:element ref="ns3:TaxCatchAll" minOccurs="0"/>
                <xsd:element ref="ns2:UNF3CSPLanguage" minOccurs="0"/>
                <xsd:element ref="ns2:UNF3CSPEntityType" minOccurs="0"/>
                <xsd:element ref="ns4:UNF3CSPSubmissionDate" minOccurs="0"/>
                <xsd:element ref="ns4:Source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aa6f4-7cc2-4343-930f-49e915c745b0" elementFormDefault="qualified">
    <xsd:import namespace="http://schemas.microsoft.com/office/2006/documentManagement/types"/>
    <xsd:import namespace="http://schemas.microsoft.com/office/infopath/2007/PartnerControls"/>
    <xsd:element name="UNF3CSPInvitationToSubmit" ma:index="8" nillable="true" ma:displayName="Invitation To Submit" ma:internalName="UNF3CSPInvitationToSubmit">
      <xsd:simpleType>
        <xsd:restriction base="dms:Text"/>
      </xsd:simpleType>
    </xsd:element>
    <xsd:element name="UNF3CSPEntity" ma:index="9" nillable="true" ma:displayName="Entity" ma:internalName="UNF3CSPEntity">
      <xsd:simpleType>
        <xsd:restriction base="dms:Text"/>
      </xsd:simpleType>
    </xsd:element>
    <xsd:element name="UNF3CSPDescription" ma:index="10" nillable="true" ma:displayName="Description" ma:internalName="UNF3CSPDescription">
      <xsd:simpleType>
        <xsd:restriction base="dms:Note">
          <xsd:maxLength value="255"/>
        </xsd:restriction>
      </xsd:simpleType>
    </xsd:element>
    <xsd:element name="UNF3CSPLanguage" ma:index="12" nillable="true" ma:displayName="Language" ma:internalName="UNF3CSPLanguage">
      <xsd:simpleType>
        <xsd:restriction base="dms:Text">
          <xsd:maxLength value="255"/>
        </xsd:restriction>
      </xsd:simpleType>
    </xsd:element>
    <xsd:element name="UNF3CSPEntityType" ma:index="13" nillable="true" ma:displayName="Entity Type" ma:internalName="UNF3CSPEntity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c0328-7de2-4a7b-b9e2-eefafeba70e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86c14c6-e152-49f0-aaea-fffb83091fc4}" ma:internalName="TaxCatchAll" ma:showField="CatchAllData" ma:web="385c0328-7de2-4a7b-b9e2-eefafeba70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b2d88-af87-46de-ac07-fdea42df24ee" elementFormDefault="qualified">
    <xsd:import namespace="http://schemas.microsoft.com/office/2006/documentManagement/types"/>
    <xsd:import namespace="http://schemas.microsoft.com/office/infopath/2007/PartnerControls"/>
    <xsd:element name="UNF3CSPSubmissionDate" ma:index="14" nillable="true" ma:displayName="Submission Date" ma:format="DateOnly" ma:internalName="UNF3CSPSubmissionDate">
      <xsd:simpleType>
        <xsd:restriction base="dms:DateTime"/>
      </xsd:simpleType>
    </xsd:element>
    <xsd:element name="SourceItemID" ma:index="15" nillable="true" ma:displayName="SourceItemID" ma:internalName="Sourc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F3CSPEntity xmlns="422aa6f4-7cc2-4343-930f-49e915c745b0">Republic of Korea</UNF3CSPEntity>
    <UNF3CSPInvitationToSubmit xmlns="422aa6f4-7cc2-4343-930f-49e915c745b0">1395</UNF3CSPInvitationToSubmit>
    <UNF3CSPSubmissionDate xmlns="298b2d88-af87-46de-ac07-fdea42df24ee">2023-06-06T18:53:00+00:00</UNF3CSPSubmissionDate>
    <UNF3CSPEntityType xmlns="422aa6f4-7cc2-4343-930f-49e915c745b0">Party</UNF3CSPEntityType>
    <UNF3CSPDescription xmlns="422aa6f4-7cc2-4343-930f-49e915c745b0">the Republic of Korea</UNF3CSPDescription>
    <UNF3CSPLanguage xmlns="422aa6f4-7cc2-4343-930f-49e915c745b0">English</UNF3CSPLanguage>
    <TaxCatchAll xmlns="385c0328-7de2-4a7b-b9e2-eefafeba70e7"/>
    <SourceItemID xmlns="298b2d88-af87-46de-ac07-fdea42df24ee" xsi:nil="true"/>
  </documentManagement>
</p:properties>
</file>

<file path=customXml/itemProps1.xml><?xml version="1.0" encoding="utf-8"?>
<ds:datastoreItem xmlns:ds="http://schemas.openxmlformats.org/officeDocument/2006/customXml" ds:itemID="{B84B9259-8AC0-4463-A230-F2D308F55BC9}">
  <ds:schemaRefs>
    <ds:schemaRef ds:uri="http://schemas.openxmlformats.org/officeDocument/2006/bibliography"/>
  </ds:schemaRefs>
</ds:datastoreItem>
</file>

<file path=customXml/itemProps2.xml><?xml version="1.0" encoding="utf-8"?>
<ds:datastoreItem xmlns:ds="http://schemas.openxmlformats.org/officeDocument/2006/customXml" ds:itemID="{4E6E019C-2183-4270-B493-DAC808E5AE74}"/>
</file>

<file path=customXml/itemProps3.xml><?xml version="1.0" encoding="utf-8"?>
<ds:datastoreItem xmlns:ds="http://schemas.openxmlformats.org/officeDocument/2006/customXml" ds:itemID="{4E7139EE-2FDE-4F3A-9373-F105959B968E}"/>
</file>

<file path=customXml/itemProps4.xml><?xml version="1.0" encoding="utf-8"?>
<ds:datastoreItem xmlns:ds="http://schemas.openxmlformats.org/officeDocument/2006/customXml" ds:itemID="{A38F243F-9BEE-420B-8EB6-11F090E93564}"/>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11390</Characters>
  <Application>Microsoft Office Word</Application>
  <DocSecurity>0</DocSecurity>
  <Lines>94</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기후변화외교과</cp:lastModifiedBy>
  <cp:revision>2</cp:revision>
  <cp:lastPrinted>2023-06-01T04:42:00Z</cp:lastPrinted>
  <dcterms:created xsi:type="dcterms:W3CDTF">2023-06-06T05:13:00Z</dcterms:created>
  <dcterms:modified xsi:type="dcterms:W3CDTF">2023-06-06T05:13:00Z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0x010100F51B81ECA48C4AEDB5A375D0196DAC8E00F27E4CA6CE1B4048800F0938E0D9D4AE</vt:lpwstr>
  </property>
  <property fmtid="{D5CDD505-2E9C-101B-9397-08002B2CF9AE}" pid="3" name="Order">
    <vt:r8>968000</vt:r8>
  </property>
  <property fmtid="{D5CDD505-2E9C-101B-9397-08002B2CF9AE}" pid="4" name="xd_ProgID">
    <vt:lpwstr/>
  </property>
  <property fmtid="{D5CDD505-2E9C-101B-9397-08002B2CF9AE}" pid="5" name="_CopySource">
    <vt:lpwstr>https://collaborate.unfccc.int/submissions/Archive/202306061853---submission on A6.2_the Republic of Korea (June 1 2023).docx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