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D1E01" w14:textId="77777777" w:rsidR="00C50ACE" w:rsidRDefault="00C50ACE" w:rsidP="00DE5DEE">
      <w:pPr>
        <w:pStyle w:val="Heading1"/>
        <w:keepLines/>
        <w:numPr>
          <w:ilvl w:val="0"/>
          <w:numId w:val="4"/>
        </w:numPr>
        <w:suppressAutoHyphens w:val="0"/>
        <w:spacing w:after="200"/>
        <w:ind w:left="0" w:firstLine="0"/>
        <w:rPr>
          <w:lang w:val="en-US"/>
        </w:rPr>
      </w:pPr>
      <w:bookmarkStart w:id="0" w:name="_Toc227577704"/>
      <w:bookmarkStart w:id="1" w:name="_Toc230395096"/>
      <w:bookmarkStart w:id="2" w:name="_Toc230395496"/>
      <w:bookmarkStart w:id="3" w:name="_Toc262731161"/>
      <w:bookmarkStart w:id="4" w:name="_Toc287970639"/>
      <w:bookmarkStart w:id="5" w:name="_Toc288056510"/>
      <w:bookmarkStart w:id="6" w:name="_Toc290669425"/>
      <w:bookmarkStart w:id="7" w:name="_Toc290977665"/>
      <w:bookmarkStart w:id="8" w:name="_Toc319507132"/>
      <w:bookmarkStart w:id="9" w:name="_Toc319507821"/>
      <w:r w:rsidRPr="00C50ACE">
        <w:rPr>
          <w:lang w:val="en-US"/>
        </w:rPr>
        <w:t>Information on changes in national registry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D34C8D4" w14:textId="4AE3F27A" w:rsidR="00FB5EB2" w:rsidRPr="003E0951" w:rsidRDefault="0004373C" w:rsidP="00FB5EB2">
      <w:pPr>
        <w:pStyle w:val="NormalWeb"/>
        <w:jc w:val="both"/>
        <w:rPr>
          <w:lang w:val="en"/>
        </w:rPr>
      </w:pPr>
      <w:r>
        <w:t>The followin</w:t>
      </w:r>
      <w:r w:rsidR="004B019E">
        <w:t>g</w:t>
      </w:r>
      <w:r>
        <w:t xml:space="preserve"> changes to</w:t>
      </w:r>
      <w:r w:rsidR="00EB57F4">
        <w:t xml:space="preserve"> the national registry of </w:t>
      </w:r>
      <w:r w:rsidR="00F57D86">
        <w:t>EU</w:t>
      </w:r>
      <w:r w:rsidR="00A84915">
        <w:t xml:space="preserve"> </w:t>
      </w:r>
      <w:r>
        <w:t xml:space="preserve">have occurred in </w:t>
      </w:r>
      <w:r w:rsidR="00FC1D60">
        <w:t>20</w:t>
      </w:r>
      <w:r w:rsidR="00D774AE">
        <w:t>2</w:t>
      </w:r>
      <w:r w:rsidR="00AB3B0F">
        <w:t>2</w:t>
      </w:r>
      <w:r w:rsidR="00BD7B5B">
        <w:rPr>
          <w:lang w:val="en"/>
        </w:rPr>
        <w:t>.</w:t>
      </w:r>
      <w:r w:rsidR="007404D9">
        <w:rPr>
          <w:lang w:val="en"/>
        </w:rPr>
        <w:t xml:space="preserve"> Note that the 20</w:t>
      </w:r>
      <w:r w:rsidR="00522133">
        <w:rPr>
          <w:lang w:val="en"/>
        </w:rPr>
        <w:t>2</w:t>
      </w:r>
      <w:r w:rsidR="00AB3B0F">
        <w:rPr>
          <w:lang w:val="en"/>
        </w:rPr>
        <w:t>2</w:t>
      </w:r>
      <w:r w:rsidR="007404D9">
        <w:rPr>
          <w:lang w:val="en"/>
        </w:rPr>
        <w:t xml:space="preserve"> SIAR confirms that previous recommendations have been implemented and included in the annual report.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000" w:firstRow="0" w:lastRow="0" w:firstColumn="0" w:lastColumn="0" w:noHBand="0" w:noVBand="0"/>
      </w:tblPr>
      <w:tblGrid>
        <w:gridCol w:w="3369"/>
        <w:gridCol w:w="5918"/>
      </w:tblGrid>
      <w:tr w:rsidR="00FB5EB2" w14:paraId="4C0F8B35" w14:textId="77777777" w:rsidTr="00997F1B">
        <w:trPr>
          <w:cantSplit/>
          <w:trHeight w:val="415"/>
          <w:tblHeader/>
          <w:jc w:val="center"/>
        </w:trPr>
        <w:tc>
          <w:tcPr>
            <w:tcW w:w="3369" w:type="dxa"/>
            <w:shd w:val="pct10" w:color="auto" w:fill="auto"/>
            <w:vAlign w:val="center"/>
          </w:tcPr>
          <w:p w14:paraId="7D095D41" w14:textId="77777777" w:rsidR="00FB5EB2" w:rsidRDefault="00FB5EB2" w:rsidP="0004373C">
            <w:pPr>
              <w:pStyle w:val="BodyText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Reporting Item</w:t>
            </w:r>
          </w:p>
        </w:tc>
        <w:tc>
          <w:tcPr>
            <w:tcW w:w="5918" w:type="dxa"/>
            <w:shd w:val="pct10" w:color="auto" w:fill="auto"/>
            <w:vAlign w:val="center"/>
          </w:tcPr>
          <w:p w14:paraId="6B4B8A8F" w14:textId="77777777" w:rsidR="00FB5EB2" w:rsidRDefault="0004373C" w:rsidP="0004373C">
            <w:pPr>
              <w:pStyle w:val="BodyText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FB5EB2" w:rsidRPr="003E353A" w14:paraId="0A3D7977" w14:textId="77777777" w:rsidTr="00FB5EB2">
        <w:trPr>
          <w:cantSplit/>
          <w:jc w:val="center"/>
        </w:trPr>
        <w:tc>
          <w:tcPr>
            <w:tcW w:w="3369" w:type="dxa"/>
          </w:tcPr>
          <w:p w14:paraId="0B5C4274" w14:textId="77777777" w:rsidR="00FB5EB2" w:rsidRPr="00066C5D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 w:rsidRPr="00066C5D">
              <w:rPr>
                <w:rFonts w:ascii="Arial" w:hAnsi="Arial" w:cs="Arial"/>
              </w:rPr>
              <w:t>15/CMP.1 annex II.E paragraph 32.(a)</w:t>
            </w:r>
          </w:p>
          <w:p w14:paraId="6D6E1994" w14:textId="77777777" w:rsidR="00FB5EB2" w:rsidRPr="002C7086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>Change of name or contact</w:t>
            </w:r>
          </w:p>
        </w:tc>
        <w:tc>
          <w:tcPr>
            <w:tcW w:w="5918" w:type="dxa"/>
          </w:tcPr>
          <w:p w14:paraId="33D840DF" w14:textId="77777777" w:rsidR="00FB5EB2" w:rsidRPr="002C7086" w:rsidRDefault="00FB5EB2" w:rsidP="00B12BD0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 xml:space="preserve"> </w:t>
            </w:r>
            <w:r w:rsidR="00B12BD0" w:rsidRPr="002C7086">
              <w:rPr>
                <w:rFonts w:ascii="Arial" w:hAnsi="Arial" w:cs="Arial"/>
              </w:rPr>
              <w:t>None</w:t>
            </w:r>
          </w:p>
        </w:tc>
      </w:tr>
      <w:tr w:rsidR="00FB5EB2" w:rsidRPr="00566E20" w14:paraId="45C47A75" w14:textId="77777777" w:rsidTr="00FB5EB2">
        <w:trPr>
          <w:cantSplit/>
          <w:jc w:val="center"/>
        </w:trPr>
        <w:tc>
          <w:tcPr>
            <w:tcW w:w="3369" w:type="dxa"/>
          </w:tcPr>
          <w:p w14:paraId="73698486" w14:textId="77777777" w:rsidR="00FB5EB2" w:rsidRPr="00066C5D" w:rsidRDefault="00FB5EB2" w:rsidP="00FB5EB2">
            <w:pPr>
              <w:pStyle w:val="BodyText"/>
              <w:ind w:left="0"/>
              <w:rPr>
                <w:rFonts w:ascii="Arial" w:hAnsi="Arial" w:cs="Arial"/>
                <w:lang w:val="de-DE"/>
              </w:rPr>
            </w:pPr>
            <w:r w:rsidRPr="00066C5D">
              <w:rPr>
                <w:rFonts w:ascii="Arial" w:hAnsi="Arial" w:cs="Arial"/>
                <w:lang w:val="de-DE"/>
              </w:rPr>
              <w:t>15/CMP.1 annex II.E paragraph 32.(b)</w:t>
            </w:r>
          </w:p>
          <w:p w14:paraId="320DEEA9" w14:textId="77777777" w:rsidR="00FB5EB2" w:rsidRPr="002C7086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 xml:space="preserve">Change </w:t>
            </w:r>
            <w:r w:rsidR="00FD0F30" w:rsidRPr="002C7086">
              <w:rPr>
                <w:rFonts w:ascii="Arial" w:hAnsi="Arial" w:cs="Arial"/>
              </w:rPr>
              <w:t xml:space="preserve">regarding </w:t>
            </w:r>
            <w:r w:rsidRPr="002C7086">
              <w:rPr>
                <w:rFonts w:ascii="Arial" w:hAnsi="Arial" w:cs="Arial"/>
              </w:rPr>
              <w:t>cooperation arrangement</w:t>
            </w:r>
          </w:p>
        </w:tc>
        <w:tc>
          <w:tcPr>
            <w:tcW w:w="5918" w:type="dxa"/>
          </w:tcPr>
          <w:p w14:paraId="5B89851C" w14:textId="19B41B9F" w:rsidR="00FB5EB2" w:rsidRPr="002C7086" w:rsidRDefault="00760734" w:rsidP="00BD1838">
            <w:pPr>
              <w:pStyle w:val="BodyText"/>
              <w:ind w:left="0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Arial" w:hAnsi="Arial" w:cs="Arial"/>
              </w:rPr>
              <w:t>No changes</w:t>
            </w:r>
            <w:r w:rsidR="00BD1838">
              <w:rPr>
                <w:rFonts w:ascii="Arial" w:hAnsi="Arial" w:cs="Arial"/>
              </w:rPr>
              <w:t>.</w:t>
            </w:r>
          </w:p>
        </w:tc>
      </w:tr>
      <w:tr w:rsidR="00FB5EB2" w:rsidRPr="00566E20" w14:paraId="30FC8A3E" w14:textId="77777777" w:rsidTr="00FB5EB2">
        <w:trPr>
          <w:cantSplit/>
          <w:jc w:val="center"/>
        </w:trPr>
        <w:tc>
          <w:tcPr>
            <w:tcW w:w="3369" w:type="dxa"/>
          </w:tcPr>
          <w:p w14:paraId="1D9ABAF0" w14:textId="77777777" w:rsidR="00FB5EB2" w:rsidRPr="00E66615" w:rsidRDefault="00FB5EB2" w:rsidP="00FB5EB2">
            <w:pPr>
              <w:pStyle w:val="BodyText"/>
              <w:ind w:left="0"/>
              <w:rPr>
                <w:rFonts w:ascii="Arial" w:hAnsi="Arial" w:cs="Arial"/>
                <w:lang w:val="fr-FR"/>
              </w:rPr>
            </w:pPr>
            <w:r w:rsidRPr="00E66615">
              <w:rPr>
                <w:rFonts w:ascii="Arial" w:hAnsi="Arial" w:cs="Arial"/>
                <w:lang w:val="fr-FR"/>
              </w:rPr>
              <w:t>15/CMP.1 annex II.E paragraph 32.(c)</w:t>
            </w:r>
          </w:p>
          <w:p w14:paraId="54025A42" w14:textId="77777777" w:rsidR="00FB5EB2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to database </w:t>
            </w:r>
            <w:r w:rsidR="00FD0F30">
              <w:rPr>
                <w:rFonts w:ascii="Arial" w:hAnsi="Arial" w:cs="Arial"/>
              </w:rPr>
              <w:t xml:space="preserve">structure </w:t>
            </w:r>
            <w:r>
              <w:rPr>
                <w:rFonts w:ascii="Arial" w:hAnsi="Arial" w:cs="Arial"/>
              </w:rPr>
              <w:t>or the capacity of national registry</w:t>
            </w:r>
          </w:p>
        </w:tc>
        <w:tc>
          <w:tcPr>
            <w:tcW w:w="5918" w:type="dxa"/>
          </w:tcPr>
          <w:p w14:paraId="794D8458" w14:textId="323CFD5B" w:rsidR="00E06FD4" w:rsidRPr="000672FE" w:rsidRDefault="000672FE" w:rsidP="00E06FD4">
            <w:pPr>
              <w:pStyle w:val="BodyText"/>
              <w:ind w:left="0"/>
              <w:jc w:val="both"/>
              <w:rPr>
                <w:rFonts w:ascii="Arial" w:hAnsi="Arial" w:cs="Arial"/>
                <w:lang w:val="en-US"/>
              </w:rPr>
            </w:pPr>
            <w:r w:rsidRPr="000672FE">
              <w:rPr>
                <w:rFonts w:ascii="Arial" w:hAnsi="Arial" w:cs="Arial"/>
                <w:lang w:val="en-US"/>
              </w:rPr>
              <w:t>The</w:t>
            </w:r>
            <w:r w:rsidR="0005694E">
              <w:rPr>
                <w:rFonts w:ascii="Arial" w:hAnsi="Arial" w:cs="Arial"/>
                <w:lang w:val="en-US"/>
              </w:rPr>
              <w:t xml:space="preserve">re </w:t>
            </w:r>
            <w:r w:rsidR="00BC04E3">
              <w:rPr>
                <w:rFonts w:ascii="Arial" w:hAnsi="Arial" w:cs="Arial"/>
                <w:lang w:val="en-US"/>
              </w:rPr>
              <w:t xml:space="preserve">has </w:t>
            </w:r>
            <w:r w:rsidR="0005694E" w:rsidRPr="00820DA4">
              <w:rPr>
                <w:rFonts w:ascii="Arial" w:hAnsi="Arial" w:cs="Arial"/>
                <w:lang w:val="en-US"/>
              </w:rPr>
              <w:t xml:space="preserve">been </w:t>
            </w:r>
            <w:r w:rsidR="00CC770D">
              <w:rPr>
                <w:rFonts w:ascii="Arial" w:hAnsi="Arial" w:cs="Arial"/>
                <w:lang w:val="en-US"/>
              </w:rPr>
              <w:t>3</w:t>
            </w:r>
            <w:r w:rsidRPr="00820DA4">
              <w:rPr>
                <w:rFonts w:ascii="Arial" w:hAnsi="Arial" w:cs="Arial"/>
                <w:lang w:val="en-US"/>
              </w:rPr>
              <w:t xml:space="preserve"> </w:t>
            </w:r>
            <w:r w:rsidR="0005694E" w:rsidRPr="00820DA4">
              <w:rPr>
                <w:rFonts w:ascii="Arial" w:hAnsi="Arial" w:cs="Arial"/>
                <w:lang w:val="en-US"/>
              </w:rPr>
              <w:t>new</w:t>
            </w:r>
            <w:r w:rsidR="00C3408E" w:rsidRPr="00820DA4">
              <w:rPr>
                <w:rFonts w:ascii="Arial" w:hAnsi="Arial" w:cs="Arial"/>
                <w:lang w:val="en-US"/>
              </w:rPr>
              <w:t xml:space="preserve"> EUCR releas</w:t>
            </w:r>
            <w:r w:rsidR="00522133" w:rsidRPr="00820DA4">
              <w:rPr>
                <w:rFonts w:ascii="Arial" w:hAnsi="Arial" w:cs="Arial"/>
                <w:lang w:val="en-US"/>
              </w:rPr>
              <w:t>e</w:t>
            </w:r>
            <w:r w:rsidR="00D774AE" w:rsidRPr="00820DA4">
              <w:rPr>
                <w:rFonts w:ascii="Arial" w:hAnsi="Arial" w:cs="Arial"/>
                <w:lang w:val="en-US"/>
              </w:rPr>
              <w:t>s</w:t>
            </w:r>
            <w:r w:rsidR="00522133">
              <w:rPr>
                <w:rFonts w:ascii="Arial" w:hAnsi="Arial" w:cs="Arial"/>
                <w:lang w:val="en-US"/>
              </w:rPr>
              <w:t xml:space="preserve"> (v</w:t>
            </w:r>
            <w:r w:rsidR="005971C4">
              <w:rPr>
                <w:rFonts w:ascii="Arial" w:hAnsi="Arial" w:cs="Arial"/>
                <w:lang w:val="en-US"/>
              </w:rPr>
              <w:t>ersion</w:t>
            </w:r>
            <w:r w:rsidR="00D774AE">
              <w:rPr>
                <w:rFonts w:ascii="Arial" w:hAnsi="Arial" w:cs="Arial"/>
                <w:lang w:val="en-US"/>
              </w:rPr>
              <w:t>s</w:t>
            </w:r>
            <w:r w:rsidR="00A84915">
              <w:rPr>
                <w:rFonts w:ascii="Arial" w:hAnsi="Arial" w:cs="Arial"/>
                <w:lang w:val="en-US"/>
              </w:rPr>
              <w:t xml:space="preserve"> </w:t>
            </w:r>
            <w:r w:rsidR="00CC770D">
              <w:rPr>
                <w:rFonts w:ascii="Arial" w:hAnsi="Arial" w:cs="Arial"/>
                <w:lang w:val="en-US"/>
              </w:rPr>
              <w:t>13.6.1, 13.7</w:t>
            </w:r>
            <w:r w:rsidR="00A84915">
              <w:rPr>
                <w:rFonts w:ascii="Arial" w:hAnsi="Arial" w:cs="Arial"/>
                <w:lang w:val="en-US"/>
              </w:rPr>
              <w:t>.</w:t>
            </w:r>
            <w:r w:rsidR="00CC770D">
              <w:rPr>
                <w:rFonts w:ascii="Arial" w:hAnsi="Arial" w:cs="Arial"/>
                <w:lang w:val="en-US"/>
              </w:rPr>
              <w:t>1 and 13.8.2</w:t>
            </w:r>
            <w:r w:rsidR="00522133">
              <w:rPr>
                <w:rFonts w:ascii="Arial" w:hAnsi="Arial" w:cs="Arial"/>
                <w:lang w:val="en-US"/>
              </w:rPr>
              <w:t>)</w:t>
            </w:r>
            <w:r w:rsidR="00C3408E">
              <w:rPr>
                <w:rFonts w:ascii="Arial" w:hAnsi="Arial" w:cs="Arial"/>
                <w:lang w:val="en-US"/>
              </w:rPr>
              <w:t xml:space="preserve"> after </w:t>
            </w:r>
            <w:r w:rsidR="0005694E">
              <w:rPr>
                <w:rFonts w:ascii="Arial" w:hAnsi="Arial" w:cs="Arial"/>
                <w:lang w:val="en-US"/>
              </w:rPr>
              <w:t xml:space="preserve">version </w:t>
            </w:r>
            <w:r w:rsidR="00D774AE">
              <w:rPr>
                <w:rFonts w:ascii="Arial" w:hAnsi="Arial" w:cs="Arial"/>
                <w:lang w:val="en-US"/>
              </w:rPr>
              <w:t>1</w:t>
            </w:r>
            <w:r w:rsidR="00EF321B">
              <w:rPr>
                <w:rFonts w:ascii="Arial" w:hAnsi="Arial" w:cs="Arial"/>
                <w:lang w:val="en-US"/>
              </w:rPr>
              <w:t>3</w:t>
            </w:r>
            <w:r w:rsidR="00D774AE">
              <w:rPr>
                <w:rFonts w:ascii="Arial" w:hAnsi="Arial" w:cs="Arial"/>
                <w:lang w:val="en-US"/>
              </w:rPr>
              <w:t>.5</w:t>
            </w:r>
            <w:r w:rsidR="00EF321B">
              <w:rPr>
                <w:rFonts w:ascii="Arial" w:hAnsi="Arial" w:cs="Arial"/>
                <w:lang w:val="en-US"/>
              </w:rPr>
              <w:t>.2</w:t>
            </w:r>
            <w:r w:rsidR="0005694E">
              <w:rPr>
                <w:rFonts w:ascii="Arial" w:hAnsi="Arial" w:cs="Arial"/>
                <w:lang w:val="en-US"/>
              </w:rPr>
              <w:t xml:space="preserve"> </w:t>
            </w:r>
            <w:r w:rsidR="00E0087F" w:rsidRPr="000672FE">
              <w:rPr>
                <w:rFonts w:ascii="Arial" w:hAnsi="Arial" w:cs="Arial"/>
                <w:lang w:val="en-US"/>
              </w:rPr>
              <w:t>(the production version at the time of the last Chapter 14 submission)</w:t>
            </w:r>
            <w:r w:rsidR="00E06FD4" w:rsidRPr="000672FE">
              <w:rPr>
                <w:rFonts w:ascii="Arial" w:hAnsi="Arial" w:cs="Arial"/>
                <w:lang w:val="en-US"/>
              </w:rPr>
              <w:t>.</w:t>
            </w:r>
          </w:p>
          <w:p w14:paraId="2DDB132A" w14:textId="1591F49A" w:rsidR="00E06FD4" w:rsidRPr="000672FE" w:rsidRDefault="00D774AE" w:rsidP="00E06FD4">
            <w:pPr>
              <w:pStyle w:val="BodyText"/>
              <w:ind w:left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</w:t>
            </w:r>
            <w:r w:rsidR="00BC04E3">
              <w:rPr>
                <w:rFonts w:ascii="Arial" w:hAnsi="Arial" w:cs="Arial"/>
                <w:lang w:val="en-US"/>
              </w:rPr>
              <w:t xml:space="preserve"> changes were applied to the database</w:t>
            </w:r>
            <w:r>
              <w:rPr>
                <w:rFonts w:ascii="Arial" w:hAnsi="Arial" w:cs="Arial"/>
                <w:lang w:val="en-US"/>
              </w:rPr>
              <w:t>, whose</w:t>
            </w:r>
            <w:r w:rsidR="00BC04E3" w:rsidRPr="000672FE">
              <w:rPr>
                <w:rFonts w:ascii="Arial" w:hAnsi="Arial" w:cs="Arial"/>
                <w:lang w:val="en-US"/>
              </w:rPr>
              <w:t xml:space="preserve"> model is provided in Annex A.</w:t>
            </w:r>
            <w:r w:rsidR="00BC04E3">
              <w:rPr>
                <w:rFonts w:ascii="Arial" w:hAnsi="Arial" w:cs="Arial"/>
                <w:lang w:val="en-US"/>
              </w:rPr>
              <w:t xml:space="preserve"> </w:t>
            </w:r>
            <w:r w:rsidR="006150D6" w:rsidRPr="000672FE">
              <w:rPr>
                <w:rFonts w:ascii="Arial" w:hAnsi="Arial" w:cs="Arial"/>
                <w:lang w:val="en-US"/>
              </w:rPr>
              <w:t>No change was</w:t>
            </w:r>
            <w:r w:rsidR="00E06FD4" w:rsidRPr="000672FE">
              <w:rPr>
                <w:rFonts w:ascii="Arial" w:hAnsi="Arial" w:cs="Arial"/>
                <w:lang w:val="en-US"/>
              </w:rPr>
              <w:t xml:space="preserve"> required to the application backup plan or to the disaster recovery plan.</w:t>
            </w:r>
            <w:r w:rsidR="00726EEC" w:rsidRPr="000672FE">
              <w:rPr>
                <w:rFonts w:ascii="Arial" w:hAnsi="Arial" w:cs="Arial"/>
                <w:lang w:val="en-US"/>
              </w:rPr>
              <w:t xml:space="preserve"> </w:t>
            </w:r>
            <w:r w:rsidR="00BC04E3">
              <w:rPr>
                <w:rFonts w:ascii="Arial" w:hAnsi="Arial" w:cs="Arial"/>
                <w:lang w:val="en-US"/>
              </w:rPr>
              <w:t xml:space="preserve"> </w:t>
            </w:r>
          </w:p>
          <w:p w14:paraId="487AFB03" w14:textId="77777777" w:rsidR="00E06FD4" w:rsidRPr="000672FE" w:rsidRDefault="00E06FD4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 w:rsidRPr="000672FE">
              <w:rPr>
                <w:rFonts w:ascii="Arial" w:hAnsi="Arial" w:cs="Arial"/>
              </w:rPr>
              <w:t>No change to the capacity of the national registry occurred during the reported period.</w:t>
            </w:r>
          </w:p>
        </w:tc>
      </w:tr>
      <w:tr w:rsidR="00FB5EB2" w:rsidRPr="00566E20" w14:paraId="5E99AE1C" w14:textId="77777777" w:rsidTr="00FB5EB2">
        <w:trPr>
          <w:cantSplit/>
          <w:jc w:val="center"/>
        </w:trPr>
        <w:tc>
          <w:tcPr>
            <w:tcW w:w="3369" w:type="dxa"/>
          </w:tcPr>
          <w:p w14:paraId="6350326E" w14:textId="11F0BC93" w:rsidR="00FB5EB2" w:rsidRPr="00E66615" w:rsidRDefault="00FB5EB2" w:rsidP="00FB5EB2">
            <w:pPr>
              <w:pStyle w:val="BodyText"/>
              <w:ind w:left="0"/>
              <w:rPr>
                <w:rFonts w:ascii="Arial" w:hAnsi="Arial" w:cs="Arial"/>
                <w:lang w:val="fr-FR"/>
              </w:rPr>
            </w:pPr>
            <w:r w:rsidRPr="00E66615">
              <w:rPr>
                <w:rFonts w:ascii="Arial" w:hAnsi="Arial" w:cs="Arial"/>
                <w:lang w:val="fr-FR"/>
              </w:rPr>
              <w:t>15/CMP.1 annex II.E paragraph 32.(d)</w:t>
            </w:r>
          </w:p>
          <w:p w14:paraId="16AB91DC" w14:textId="77777777" w:rsidR="00FB5EB2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</w:t>
            </w:r>
            <w:r w:rsidR="00FD0F30">
              <w:rPr>
                <w:rFonts w:ascii="Arial" w:hAnsi="Arial" w:cs="Arial"/>
              </w:rPr>
              <w:t xml:space="preserve">regarding </w:t>
            </w:r>
            <w:r>
              <w:rPr>
                <w:rFonts w:ascii="Arial" w:hAnsi="Arial" w:cs="Arial"/>
              </w:rPr>
              <w:t>conformance to technical standards</w:t>
            </w:r>
          </w:p>
        </w:tc>
        <w:tc>
          <w:tcPr>
            <w:tcW w:w="5918" w:type="dxa"/>
          </w:tcPr>
          <w:p w14:paraId="4F076DFA" w14:textId="27E5B427" w:rsidR="006150D6" w:rsidRPr="000672FE" w:rsidRDefault="00522133" w:rsidP="006150D6">
            <w:pPr>
              <w:pStyle w:val="BodyText"/>
              <w:ind w:left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</w:t>
            </w:r>
            <w:r w:rsidR="0005694E">
              <w:rPr>
                <w:rFonts w:ascii="Arial" w:hAnsi="Arial" w:cs="Arial"/>
                <w:lang w:val="en-US"/>
              </w:rPr>
              <w:t>c</w:t>
            </w:r>
            <w:r w:rsidR="006150D6" w:rsidRPr="000672FE">
              <w:rPr>
                <w:rFonts w:ascii="Arial" w:hAnsi="Arial" w:cs="Arial"/>
                <w:lang w:val="en-US"/>
              </w:rPr>
              <w:t>hanges</w:t>
            </w:r>
            <w:r>
              <w:rPr>
                <w:rFonts w:ascii="Arial" w:hAnsi="Arial" w:cs="Arial"/>
                <w:lang w:val="en-US"/>
              </w:rPr>
              <w:t xml:space="preserve"> that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 </w:t>
            </w:r>
            <w:r w:rsidR="0005694E">
              <w:rPr>
                <w:rFonts w:ascii="Arial" w:hAnsi="Arial" w:cs="Arial"/>
                <w:lang w:val="en-US"/>
              </w:rPr>
              <w:t xml:space="preserve">have been 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introduced </w:t>
            </w:r>
            <w:r>
              <w:rPr>
                <w:rFonts w:ascii="Arial" w:hAnsi="Arial" w:cs="Arial"/>
                <w:lang w:val="en-US"/>
              </w:rPr>
              <w:t>with version</w:t>
            </w:r>
            <w:r w:rsidR="00F6499D">
              <w:rPr>
                <w:rFonts w:ascii="Arial" w:hAnsi="Arial" w:cs="Arial"/>
                <w:lang w:val="en-US"/>
              </w:rPr>
              <w:t xml:space="preserve">s </w:t>
            </w:r>
            <w:r w:rsidR="00CC770D">
              <w:rPr>
                <w:rFonts w:ascii="Arial" w:hAnsi="Arial" w:cs="Arial"/>
                <w:lang w:val="en-US"/>
              </w:rPr>
              <w:t>13.6.1, 13.7</w:t>
            </w:r>
            <w:r w:rsidR="00A84915">
              <w:rPr>
                <w:rFonts w:ascii="Arial" w:hAnsi="Arial" w:cs="Arial"/>
                <w:lang w:val="en-US"/>
              </w:rPr>
              <w:t>.</w:t>
            </w:r>
            <w:r w:rsidR="00CC770D">
              <w:rPr>
                <w:rFonts w:ascii="Arial" w:hAnsi="Arial" w:cs="Arial"/>
                <w:lang w:val="en-US"/>
              </w:rPr>
              <w:t>1 and 13.8.2</w:t>
            </w:r>
            <w:r>
              <w:rPr>
                <w:rFonts w:ascii="Arial" w:hAnsi="Arial" w:cs="Arial"/>
                <w:lang w:val="en-US"/>
              </w:rPr>
              <w:t xml:space="preserve"> compared with</w:t>
            </w:r>
            <w:r w:rsidR="00B82CA0" w:rsidRPr="000672FE">
              <w:rPr>
                <w:rFonts w:ascii="Arial" w:hAnsi="Arial" w:cs="Arial"/>
                <w:lang w:val="en-US"/>
              </w:rPr>
              <w:t xml:space="preserve"> </w:t>
            </w:r>
            <w:r w:rsidR="00B82CA0" w:rsidRPr="00D85456">
              <w:rPr>
                <w:rFonts w:ascii="Arial" w:hAnsi="Arial" w:cs="Arial"/>
                <w:lang w:val="en-US"/>
              </w:rPr>
              <w:t xml:space="preserve">version </w:t>
            </w:r>
            <w:r w:rsidR="00F6499D">
              <w:rPr>
                <w:rFonts w:ascii="Arial" w:hAnsi="Arial" w:cs="Arial"/>
                <w:lang w:val="en-US"/>
              </w:rPr>
              <w:t>1</w:t>
            </w:r>
            <w:r w:rsidR="00CC770D">
              <w:rPr>
                <w:rFonts w:ascii="Arial" w:hAnsi="Arial" w:cs="Arial"/>
                <w:lang w:val="en-US"/>
              </w:rPr>
              <w:t>3</w:t>
            </w:r>
            <w:r w:rsidR="00F6499D">
              <w:rPr>
                <w:rFonts w:ascii="Arial" w:hAnsi="Arial" w:cs="Arial"/>
                <w:lang w:val="en-US"/>
              </w:rPr>
              <w:t>.5</w:t>
            </w:r>
            <w:r w:rsidR="00CC770D">
              <w:rPr>
                <w:rFonts w:ascii="Arial" w:hAnsi="Arial" w:cs="Arial"/>
                <w:lang w:val="en-US"/>
              </w:rPr>
              <w:t>.2</w:t>
            </w:r>
            <w:r w:rsidR="00F6499D">
              <w:rPr>
                <w:rFonts w:ascii="Arial" w:hAnsi="Arial" w:cs="Arial"/>
                <w:lang w:val="en-US"/>
              </w:rPr>
              <w:t xml:space="preserve"> 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of the national registry </w:t>
            </w:r>
            <w:r>
              <w:rPr>
                <w:rFonts w:ascii="Arial" w:hAnsi="Arial" w:cs="Arial"/>
                <w:lang w:val="en-US"/>
              </w:rPr>
              <w:t xml:space="preserve">are presented in </w:t>
            </w:r>
            <w:r w:rsidR="000D4315" w:rsidRPr="000672FE">
              <w:rPr>
                <w:rFonts w:ascii="Arial" w:hAnsi="Arial" w:cs="Arial"/>
                <w:lang w:val="en-US"/>
              </w:rPr>
              <w:t>Annex B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. </w:t>
            </w:r>
          </w:p>
          <w:p w14:paraId="6B12ED7A" w14:textId="4AC144F7" w:rsidR="006150D6" w:rsidRPr="000672FE" w:rsidRDefault="0005694E" w:rsidP="00647E0D">
            <w:pPr>
              <w:pStyle w:val="BodyText"/>
              <w:ind w:left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is to be noted that e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ach release of the registry is subject to both regression testing and tests related to new functionality. These tests also include thorough testing against the DES and </w:t>
            </w:r>
            <w:r>
              <w:rPr>
                <w:rFonts w:ascii="Arial" w:hAnsi="Arial" w:cs="Arial"/>
                <w:lang w:val="en-US"/>
              </w:rPr>
              <w:t>are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 carried out prior to the relevant major release of the version to Production (see Annex B). </w:t>
            </w:r>
          </w:p>
          <w:p w14:paraId="784DE010" w14:textId="0DED7B1D" w:rsidR="00FB5EB2" w:rsidRPr="000672FE" w:rsidRDefault="006150D6" w:rsidP="00A828F3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 w:rsidRPr="000672FE">
              <w:rPr>
                <w:rFonts w:ascii="Arial" w:hAnsi="Arial" w:cs="Arial"/>
              </w:rPr>
              <w:t>No other change in the registry's conformance to the technical standards occurred for the reported period.</w:t>
            </w:r>
          </w:p>
        </w:tc>
      </w:tr>
      <w:tr w:rsidR="00FB5EB2" w:rsidRPr="00566E20" w14:paraId="1A9E3542" w14:textId="77777777" w:rsidTr="00FB5EB2">
        <w:trPr>
          <w:cantSplit/>
          <w:jc w:val="center"/>
        </w:trPr>
        <w:tc>
          <w:tcPr>
            <w:tcW w:w="3369" w:type="dxa"/>
          </w:tcPr>
          <w:p w14:paraId="48B96261" w14:textId="77777777" w:rsidR="00FB5EB2" w:rsidRPr="00D232AF" w:rsidRDefault="00FB5EB2" w:rsidP="00FB5EB2">
            <w:pPr>
              <w:pStyle w:val="BodyText"/>
              <w:ind w:left="0"/>
              <w:rPr>
                <w:rFonts w:ascii="Arial" w:hAnsi="Arial" w:cs="Arial"/>
                <w:lang w:val="it-IT"/>
              </w:rPr>
            </w:pPr>
            <w:r w:rsidRPr="00D232AF">
              <w:rPr>
                <w:rFonts w:ascii="Arial" w:hAnsi="Arial" w:cs="Arial"/>
                <w:lang w:val="it-IT"/>
              </w:rPr>
              <w:t>15/CMP.1 annex II.E paragraph 32.(e)</w:t>
            </w:r>
          </w:p>
          <w:p w14:paraId="0B0006E5" w14:textId="77777777" w:rsidR="00FB5EB2" w:rsidRPr="002C7086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 xml:space="preserve">Change </w:t>
            </w:r>
            <w:r w:rsidR="00FD0F30" w:rsidRPr="002C7086">
              <w:rPr>
                <w:rFonts w:ascii="Arial" w:hAnsi="Arial" w:cs="Arial"/>
              </w:rPr>
              <w:t xml:space="preserve">to </w:t>
            </w:r>
            <w:r w:rsidRPr="002C7086">
              <w:rPr>
                <w:rFonts w:ascii="Arial" w:hAnsi="Arial" w:cs="Arial"/>
              </w:rPr>
              <w:t>discrepancies procedures</w:t>
            </w:r>
          </w:p>
        </w:tc>
        <w:tc>
          <w:tcPr>
            <w:tcW w:w="5918" w:type="dxa"/>
          </w:tcPr>
          <w:p w14:paraId="1B154900" w14:textId="77777777" w:rsidR="00FC757D" w:rsidRPr="002C7086" w:rsidRDefault="006150D6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>No change of discrepancies procedures occurred during the reported period.</w:t>
            </w:r>
          </w:p>
        </w:tc>
      </w:tr>
      <w:tr w:rsidR="00FB5EB2" w:rsidRPr="00566E20" w14:paraId="2375536F" w14:textId="77777777" w:rsidTr="00FB5EB2">
        <w:trPr>
          <w:cantSplit/>
          <w:jc w:val="center"/>
        </w:trPr>
        <w:tc>
          <w:tcPr>
            <w:tcW w:w="3369" w:type="dxa"/>
          </w:tcPr>
          <w:p w14:paraId="426DD78E" w14:textId="77777777" w:rsidR="00FB5EB2" w:rsidRPr="00F57D86" w:rsidRDefault="00FB5EB2" w:rsidP="00FB5EB2">
            <w:pPr>
              <w:pStyle w:val="BodyText"/>
              <w:keepNext/>
              <w:keepLines/>
              <w:ind w:left="0"/>
              <w:rPr>
                <w:rFonts w:ascii="Arial" w:hAnsi="Arial" w:cs="Arial"/>
                <w:lang w:val="en-IE"/>
              </w:rPr>
            </w:pPr>
            <w:r w:rsidRPr="00F57D86">
              <w:rPr>
                <w:rFonts w:ascii="Arial" w:hAnsi="Arial" w:cs="Arial"/>
                <w:lang w:val="en-IE"/>
              </w:rPr>
              <w:t>15/CMP.1 annex II.E paragraph 32.(f)</w:t>
            </w:r>
          </w:p>
          <w:p w14:paraId="0AF32D5E" w14:textId="77777777" w:rsidR="00FB5EB2" w:rsidRDefault="00FB5EB2">
            <w:pPr>
              <w:pStyle w:val="BodyText"/>
              <w:keepNext/>
              <w:keepLines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</w:t>
            </w:r>
            <w:r w:rsidR="00FD0F30">
              <w:rPr>
                <w:rFonts w:ascii="Arial" w:hAnsi="Arial" w:cs="Arial"/>
              </w:rPr>
              <w:t xml:space="preserve">regarding </w:t>
            </w:r>
            <w:r>
              <w:rPr>
                <w:rFonts w:ascii="Arial" w:hAnsi="Arial" w:cs="Arial"/>
              </w:rPr>
              <w:t>security</w:t>
            </w:r>
          </w:p>
        </w:tc>
        <w:tc>
          <w:tcPr>
            <w:tcW w:w="5918" w:type="dxa"/>
          </w:tcPr>
          <w:p w14:paraId="2E202D44" w14:textId="32BA39A8" w:rsidR="00FB5EB2" w:rsidRDefault="0031091B" w:rsidP="00D724B3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changes regarding security were introduced</w:t>
            </w:r>
            <w:r w:rsidR="00D724B3">
              <w:rPr>
                <w:rFonts w:ascii="Arial" w:hAnsi="Arial" w:cs="Arial"/>
              </w:rPr>
              <w:t>.</w:t>
            </w:r>
            <w:r w:rsidR="00E0087F">
              <w:rPr>
                <w:rFonts w:ascii="Arial" w:hAnsi="Arial" w:cs="Arial"/>
              </w:rPr>
              <w:t xml:space="preserve"> </w:t>
            </w:r>
          </w:p>
        </w:tc>
      </w:tr>
      <w:tr w:rsidR="00FB5EB2" w:rsidRPr="00566E20" w14:paraId="7C029FD7" w14:textId="77777777" w:rsidTr="00FB5EB2">
        <w:trPr>
          <w:cantSplit/>
          <w:jc w:val="center"/>
        </w:trPr>
        <w:tc>
          <w:tcPr>
            <w:tcW w:w="3369" w:type="dxa"/>
          </w:tcPr>
          <w:p w14:paraId="670E98F9" w14:textId="77777777" w:rsidR="00FB5EB2" w:rsidRPr="002C7086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 w:rsidRPr="0019346A">
              <w:rPr>
                <w:rFonts w:ascii="Arial" w:hAnsi="Arial" w:cs="Arial"/>
              </w:rPr>
              <w:t>15/CMP.1 annex II.E paragraph 32.(g)</w:t>
            </w:r>
          </w:p>
          <w:p w14:paraId="360F6585" w14:textId="77777777" w:rsidR="00FB5EB2" w:rsidRPr="002C7086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 xml:space="preserve">Change </w:t>
            </w:r>
            <w:r w:rsidR="000A0806" w:rsidRPr="002C7086">
              <w:rPr>
                <w:rFonts w:ascii="Arial" w:hAnsi="Arial" w:cs="Arial"/>
              </w:rPr>
              <w:t xml:space="preserve">to </w:t>
            </w:r>
            <w:r w:rsidRPr="002C7086">
              <w:rPr>
                <w:rFonts w:ascii="Arial" w:hAnsi="Arial" w:cs="Arial"/>
              </w:rPr>
              <w:t xml:space="preserve">list of publicly available information </w:t>
            </w:r>
          </w:p>
        </w:tc>
        <w:tc>
          <w:tcPr>
            <w:tcW w:w="5918" w:type="dxa"/>
          </w:tcPr>
          <w:p w14:paraId="07B669B9" w14:textId="77777777" w:rsidR="006150D6" w:rsidRPr="0019346A" w:rsidRDefault="006150D6" w:rsidP="00E0087F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>No change to the list of publicly available information</w:t>
            </w:r>
            <w:r w:rsidR="000672FE" w:rsidRPr="002C7086">
              <w:rPr>
                <w:rFonts w:ascii="Arial" w:hAnsi="Arial" w:cs="Arial"/>
              </w:rPr>
              <w:t xml:space="preserve"> occurred during the reported</w:t>
            </w:r>
            <w:r w:rsidRPr="002C7086">
              <w:rPr>
                <w:rFonts w:ascii="Arial" w:hAnsi="Arial" w:cs="Arial"/>
              </w:rPr>
              <w:t xml:space="preserve"> period.</w:t>
            </w:r>
          </w:p>
        </w:tc>
      </w:tr>
      <w:tr w:rsidR="00FB5EB2" w:rsidRPr="00566E20" w14:paraId="2F701233" w14:textId="77777777" w:rsidTr="00FB5EB2">
        <w:trPr>
          <w:cantSplit/>
          <w:jc w:val="center"/>
        </w:trPr>
        <w:tc>
          <w:tcPr>
            <w:tcW w:w="3369" w:type="dxa"/>
          </w:tcPr>
          <w:p w14:paraId="0BBAFFCF" w14:textId="77777777" w:rsidR="00FB5EB2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15/CMP.1 annex II.E paragraph 32.(h)</w:t>
            </w:r>
          </w:p>
          <w:p w14:paraId="1FF44FB0" w14:textId="77777777" w:rsidR="00FB5EB2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of Internet address</w:t>
            </w:r>
          </w:p>
        </w:tc>
        <w:tc>
          <w:tcPr>
            <w:tcW w:w="5918" w:type="dxa"/>
          </w:tcPr>
          <w:p w14:paraId="7AA1E235" w14:textId="50A13396" w:rsidR="00FB5EB2" w:rsidRDefault="0037533A" w:rsidP="0005694E">
            <w:pPr>
              <w:pStyle w:val="BodyText"/>
              <w:ind w:left="0"/>
              <w:rPr>
                <w:rFonts w:ascii="Arial" w:hAnsi="Arial" w:cs="Arial"/>
              </w:rPr>
            </w:pPr>
            <w:r w:rsidRPr="0037533A">
              <w:rPr>
                <w:rFonts w:ascii="Arial" w:hAnsi="Arial" w:cs="Arial"/>
              </w:rPr>
              <w:t>No change to the registry internet address during the reported period</w:t>
            </w:r>
            <w:r>
              <w:rPr>
                <w:rFonts w:ascii="Arial" w:hAnsi="Arial" w:cs="Arial"/>
              </w:rPr>
              <w:t>.</w:t>
            </w:r>
          </w:p>
        </w:tc>
      </w:tr>
      <w:tr w:rsidR="00FB5EB2" w:rsidRPr="00566E20" w14:paraId="6861C3A1" w14:textId="77777777" w:rsidTr="00FB5EB2">
        <w:trPr>
          <w:cantSplit/>
          <w:jc w:val="center"/>
        </w:trPr>
        <w:tc>
          <w:tcPr>
            <w:tcW w:w="3369" w:type="dxa"/>
          </w:tcPr>
          <w:p w14:paraId="79770D9C" w14:textId="77777777" w:rsidR="00FB5EB2" w:rsidRPr="002C7086" w:rsidRDefault="00FB5EB2" w:rsidP="00FB5EB2">
            <w:pPr>
              <w:pStyle w:val="BodyText"/>
              <w:ind w:left="0"/>
              <w:rPr>
                <w:rFonts w:ascii="Arial" w:hAnsi="Arial" w:cs="Arial"/>
              </w:rPr>
            </w:pPr>
            <w:r w:rsidRPr="0019346A">
              <w:rPr>
                <w:rFonts w:ascii="Arial" w:hAnsi="Arial" w:cs="Arial"/>
              </w:rPr>
              <w:t xml:space="preserve">15/CMP.1 annex </w:t>
            </w:r>
            <w:r w:rsidRPr="002C7086">
              <w:rPr>
                <w:rFonts w:ascii="Arial" w:hAnsi="Arial" w:cs="Arial"/>
              </w:rPr>
              <w:t>II.E paragraph 32.(i)</w:t>
            </w:r>
          </w:p>
          <w:p w14:paraId="675206C4" w14:textId="77777777" w:rsidR="00FB5EB2" w:rsidRPr="002C7086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 xml:space="preserve">Change </w:t>
            </w:r>
            <w:r w:rsidR="000A0806" w:rsidRPr="002C7086">
              <w:rPr>
                <w:rFonts w:ascii="Arial" w:hAnsi="Arial" w:cs="Arial"/>
              </w:rPr>
              <w:t xml:space="preserve">regarding </w:t>
            </w:r>
            <w:r w:rsidRPr="002C7086">
              <w:rPr>
                <w:rFonts w:ascii="Arial" w:hAnsi="Arial" w:cs="Arial"/>
              </w:rPr>
              <w:t xml:space="preserve">data integrity measures </w:t>
            </w:r>
          </w:p>
        </w:tc>
        <w:tc>
          <w:tcPr>
            <w:tcW w:w="5918" w:type="dxa"/>
          </w:tcPr>
          <w:p w14:paraId="50DA7906" w14:textId="77777777" w:rsidR="00FB5EB2" w:rsidRPr="0019346A" w:rsidRDefault="006150D6" w:rsidP="0046462F">
            <w:pPr>
              <w:pStyle w:val="BodyText"/>
              <w:ind w:left="0"/>
              <w:jc w:val="both"/>
              <w:rPr>
                <w:rFonts w:ascii="Arial" w:hAnsi="Arial" w:cs="Arial"/>
              </w:rPr>
            </w:pPr>
            <w:r w:rsidRPr="002C7086">
              <w:rPr>
                <w:rFonts w:ascii="Arial" w:hAnsi="Arial" w:cs="Arial"/>
              </w:rPr>
              <w:t>No change of data integrity measur</w:t>
            </w:r>
            <w:r w:rsidR="000672FE" w:rsidRPr="002C7086">
              <w:rPr>
                <w:rFonts w:ascii="Arial" w:hAnsi="Arial" w:cs="Arial"/>
              </w:rPr>
              <w:t>es occurred during the reported</w:t>
            </w:r>
            <w:r w:rsidRPr="002C7086">
              <w:rPr>
                <w:rFonts w:ascii="Arial" w:hAnsi="Arial" w:cs="Arial"/>
              </w:rPr>
              <w:t xml:space="preserve"> period.</w:t>
            </w:r>
          </w:p>
        </w:tc>
      </w:tr>
      <w:tr w:rsidR="00FB5EB2" w:rsidRPr="00566E20" w14:paraId="350B2D64" w14:textId="77777777" w:rsidTr="00FB5EB2">
        <w:trPr>
          <w:cantSplit/>
          <w:jc w:val="center"/>
        </w:trPr>
        <w:tc>
          <w:tcPr>
            <w:tcW w:w="3369" w:type="dxa"/>
          </w:tcPr>
          <w:p w14:paraId="099AD946" w14:textId="77777777" w:rsidR="00FB5EB2" w:rsidRPr="00FC1D60" w:rsidRDefault="00FB5EB2" w:rsidP="00FB5EB2">
            <w:pPr>
              <w:pStyle w:val="BodyText"/>
              <w:ind w:left="0"/>
              <w:rPr>
                <w:rFonts w:ascii="Arial" w:hAnsi="Arial" w:cs="Arial"/>
                <w:lang w:val="fr-BE"/>
              </w:rPr>
            </w:pPr>
            <w:r w:rsidRPr="00FC1D60">
              <w:rPr>
                <w:rFonts w:ascii="Arial" w:hAnsi="Arial" w:cs="Arial"/>
                <w:lang w:val="fr-BE"/>
              </w:rPr>
              <w:t>15/CMP.1 annex II.E paragraph 32.(j)</w:t>
            </w:r>
          </w:p>
          <w:p w14:paraId="148E077B" w14:textId="77777777" w:rsidR="00FB5EB2" w:rsidRDefault="00FB5EB2">
            <w:pPr>
              <w:pStyle w:val="BodyTex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</w:t>
            </w:r>
            <w:r w:rsidR="000A0806">
              <w:rPr>
                <w:rFonts w:ascii="Arial" w:hAnsi="Arial" w:cs="Arial"/>
              </w:rPr>
              <w:t xml:space="preserve">regarding </w:t>
            </w:r>
            <w:r>
              <w:rPr>
                <w:rFonts w:ascii="Arial" w:hAnsi="Arial" w:cs="Arial"/>
              </w:rPr>
              <w:t xml:space="preserve">test results </w:t>
            </w:r>
          </w:p>
        </w:tc>
        <w:tc>
          <w:tcPr>
            <w:tcW w:w="5918" w:type="dxa"/>
          </w:tcPr>
          <w:p w14:paraId="27C1C43D" w14:textId="2F5098E9" w:rsidR="00FB5EB2" w:rsidRPr="000672FE" w:rsidRDefault="0005694E">
            <w:pPr>
              <w:pStyle w:val="BodyText"/>
              <w:ind w:left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 change during the reported period.</w:t>
            </w:r>
            <w:r w:rsidR="006150D6" w:rsidRPr="000672FE">
              <w:rPr>
                <w:rFonts w:ascii="Arial" w:hAnsi="Arial" w:cs="Arial"/>
                <w:lang w:val="en-US"/>
              </w:rPr>
              <w:t xml:space="preserve">  </w:t>
            </w:r>
          </w:p>
          <w:p w14:paraId="4F9227BC" w14:textId="77777777" w:rsidR="00676FBA" w:rsidRPr="000672FE" w:rsidRDefault="00676FBA" w:rsidP="008D53B4">
            <w:pPr>
              <w:pStyle w:val="BodyText"/>
              <w:ind w:left="0"/>
              <w:jc w:val="both"/>
              <w:rPr>
                <w:rFonts w:ascii="Times New Roman" w:hAnsi="Times New Roman"/>
                <w:lang w:val="en"/>
              </w:rPr>
            </w:pPr>
          </w:p>
        </w:tc>
      </w:tr>
    </w:tbl>
    <w:p w14:paraId="08D923DB" w14:textId="77777777" w:rsidR="005B64F2" w:rsidRDefault="005B64F2" w:rsidP="005B64F2">
      <w:pPr>
        <w:rPr>
          <w:lang w:val="en-GB"/>
        </w:rPr>
      </w:pPr>
    </w:p>
    <w:p w14:paraId="0D4149D3" w14:textId="77777777" w:rsidR="005B64F2" w:rsidRPr="00D5381E" w:rsidRDefault="005B64F2" w:rsidP="003E0951">
      <w:pPr>
        <w:pStyle w:val="NormalWeb"/>
        <w:jc w:val="both"/>
      </w:pPr>
    </w:p>
    <w:sectPr w:rsidR="005B64F2" w:rsidRPr="00D5381E" w:rsidSect="00C50A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D1A7" w14:textId="77777777" w:rsidR="00D739F1" w:rsidRDefault="00D739F1" w:rsidP="004B019E">
      <w:pPr>
        <w:spacing w:after="0"/>
      </w:pPr>
      <w:r>
        <w:separator/>
      </w:r>
    </w:p>
  </w:endnote>
  <w:endnote w:type="continuationSeparator" w:id="0">
    <w:p w14:paraId="7A51ED44" w14:textId="77777777" w:rsidR="00D739F1" w:rsidRDefault="00D739F1" w:rsidP="004B01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1901" w14:textId="77777777" w:rsidR="00D739F1" w:rsidRDefault="00D739F1" w:rsidP="004B019E">
      <w:pPr>
        <w:spacing w:after="0"/>
      </w:pPr>
      <w:r>
        <w:separator/>
      </w:r>
    </w:p>
  </w:footnote>
  <w:footnote w:type="continuationSeparator" w:id="0">
    <w:p w14:paraId="77E81D51" w14:textId="77777777" w:rsidR="00D739F1" w:rsidRDefault="00D739F1" w:rsidP="004B019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9182DD0"/>
    <w:lvl w:ilvl="0">
      <w:start w:val="12"/>
      <w:numFmt w:val="decimal"/>
      <w:pStyle w:val="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844" w:hanging="70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701" w:hanging="708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84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2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0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8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16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24" w:hanging="708"/>
      </w:pPr>
      <w:rPr>
        <w:rFonts w:hint="default"/>
      </w:rPr>
    </w:lvl>
  </w:abstractNum>
  <w:abstractNum w:abstractNumId="1" w15:restartNumberingAfterBreak="0">
    <w:nsid w:val="06CF755D"/>
    <w:multiLevelType w:val="hybridMultilevel"/>
    <w:tmpl w:val="91F4AB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372"/>
    <w:multiLevelType w:val="hybridMultilevel"/>
    <w:tmpl w:val="356E1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B518A"/>
    <w:multiLevelType w:val="hybridMultilevel"/>
    <w:tmpl w:val="A37AF7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B3C"/>
    <w:multiLevelType w:val="hybridMultilevel"/>
    <w:tmpl w:val="5E2671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63AB"/>
    <w:multiLevelType w:val="hybridMultilevel"/>
    <w:tmpl w:val="D78CA4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42E81"/>
    <w:multiLevelType w:val="hybridMultilevel"/>
    <w:tmpl w:val="6874A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1418"/>
        </w:tabs>
        <w:ind w:left="1418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2126"/>
        </w:tabs>
        <w:ind w:left="2126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835"/>
        </w:tabs>
        <w:ind w:left="2835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8" w15:restartNumberingAfterBreak="0">
    <w:nsid w:val="5FD073C3"/>
    <w:multiLevelType w:val="hybridMultilevel"/>
    <w:tmpl w:val="F738B0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AE9C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7433C"/>
    <w:multiLevelType w:val="hybridMultilevel"/>
    <w:tmpl w:val="46C43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E5690"/>
    <w:multiLevelType w:val="multilevel"/>
    <w:tmpl w:val="56C64B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7C730D1E"/>
    <w:multiLevelType w:val="hybridMultilevel"/>
    <w:tmpl w:val="F5428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6"/>
  </w:num>
  <w:num w:numId="13">
    <w:abstractNumId w:val="7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553E6"/>
    <w:rsid w:val="00022C9E"/>
    <w:rsid w:val="000360A1"/>
    <w:rsid w:val="0004373C"/>
    <w:rsid w:val="0005694E"/>
    <w:rsid w:val="00064C75"/>
    <w:rsid w:val="00066C5D"/>
    <w:rsid w:val="000672FE"/>
    <w:rsid w:val="000A0806"/>
    <w:rsid w:val="000A0E79"/>
    <w:rsid w:val="000A6AE2"/>
    <w:rsid w:val="000D18C1"/>
    <w:rsid w:val="000D4315"/>
    <w:rsid w:val="001303AE"/>
    <w:rsid w:val="00137746"/>
    <w:rsid w:val="0014094E"/>
    <w:rsid w:val="00163EC6"/>
    <w:rsid w:val="00190FCB"/>
    <w:rsid w:val="0019346A"/>
    <w:rsid w:val="001B4B8B"/>
    <w:rsid w:val="001D25C5"/>
    <w:rsid w:val="001E7056"/>
    <w:rsid w:val="0020696C"/>
    <w:rsid w:val="00235AA9"/>
    <w:rsid w:val="00250794"/>
    <w:rsid w:val="0026743F"/>
    <w:rsid w:val="002B54EF"/>
    <w:rsid w:val="002C593E"/>
    <w:rsid w:val="002C7086"/>
    <w:rsid w:val="002D7415"/>
    <w:rsid w:val="002E2F8C"/>
    <w:rsid w:val="002E66D0"/>
    <w:rsid w:val="0031091B"/>
    <w:rsid w:val="003320A6"/>
    <w:rsid w:val="003327B8"/>
    <w:rsid w:val="00366F3E"/>
    <w:rsid w:val="0037533A"/>
    <w:rsid w:val="003C12CB"/>
    <w:rsid w:val="003D1105"/>
    <w:rsid w:val="003E0951"/>
    <w:rsid w:val="003E353A"/>
    <w:rsid w:val="003F187E"/>
    <w:rsid w:val="00404C6E"/>
    <w:rsid w:val="00415BB9"/>
    <w:rsid w:val="0046070F"/>
    <w:rsid w:val="0046462F"/>
    <w:rsid w:val="004B019E"/>
    <w:rsid w:val="004E1F74"/>
    <w:rsid w:val="004F320C"/>
    <w:rsid w:val="00517F36"/>
    <w:rsid w:val="00522133"/>
    <w:rsid w:val="00554507"/>
    <w:rsid w:val="00566E20"/>
    <w:rsid w:val="005971C4"/>
    <w:rsid w:val="005B64F2"/>
    <w:rsid w:val="005B7603"/>
    <w:rsid w:val="005B78FD"/>
    <w:rsid w:val="006150D6"/>
    <w:rsid w:val="00617EB1"/>
    <w:rsid w:val="00644A3A"/>
    <w:rsid w:val="00647E0D"/>
    <w:rsid w:val="00653799"/>
    <w:rsid w:val="00676FBA"/>
    <w:rsid w:val="006C51DA"/>
    <w:rsid w:val="006F4130"/>
    <w:rsid w:val="00726EEC"/>
    <w:rsid w:val="007404D9"/>
    <w:rsid w:val="00760734"/>
    <w:rsid w:val="007E1EBF"/>
    <w:rsid w:val="00813BE3"/>
    <w:rsid w:val="00820DA4"/>
    <w:rsid w:val="00820EAB"/>
    <w:rsid w:val="008A52BE"/>
    <w:rsid w:val="008B10B2"/>
    <w:rsid w:val="008B5D4C"/>
    <w:rsid w:val="008D53B4"/>
    <w:rsid w:val="008E666C"/>
    <w:rsid w:val="008F00E3"/>
    <w:rsid w:val="008F1ABA"/>
    <w:rsid w:val="00900CF8"/>
    <w:rsid w:val="009338F2"/>
    <w:rsid w:val="00940066"/>
    <w:rsid w:val="009553E6"/>
    <w:rsid w:val="00961925"/>
    <w:rsid w:val="00977F6E"/>
    <w:rsid w:val="00997835"/>
    <w:rsid w:val="00997F1B"/>
    <w:rsid w:val="00A73B43"/>
    <w:rsid w:val="00A828F3"/>
    <w:rsid w:val="00A84915"/>
    <w:rsid w:val="00A977ED"/>
    <w:rsid w:val="00AB3B0F"/>
    <w:rsid w:val="00AD34F2"/>
    <w:rsid w:val="00B12BD0"/>
    <w:rsid w:val="00B733B9"/>
    <w:rsid w:val="00B82CA0"/>
    <w:rsid w:val="00BA7E23"/>
    <w:rsid w:val="00BC04E3"/>
    <w:rsid w:val="00BC36CF"/>
    <w:rsid w:val="00BD1838"/>
    <w:rsid w:val="00BD7B5B"/>
    <w:rsid w:val="00C3408E"/>
    <w:rsid w:val="00C50ACE"/>
    <w:rsid w:val="00C81BB5"/>
    <w:rsid w:val="00CA4E1F"/>
    <w:rsid w:val="00CC770D"/>
    <w:rsid w:val="00CF33D2"/>
    <w:rsid w:val="00D232AF"/>
    <w:rsid w:val="00D5381E"/>
    <w:rsid w:val="00D724B3"/>
    <w:rsid w:val="00D739F1"/>
    <w:rsid w:val="00D774AE"/>
    <w:rsid w:val="00D85456"/>
    <w:rsid w:val="00DA11AC"/>
    <w:rsid w:val="00DB2A20"/>
    <w:rsid w:val="00DE187A"/>
    <w:rsid w:val="00DE5DEE"/>
    <w:rsid w:val="00DF4764"/>
    <w:rsid w:val="00E0087F"/>
    <w:rsid w:val="00E06FD4"/>
    <w:rsid w:val="00E302F7"/>
    <w:rsid w:val="00E5524D"/>
    <w:rsid w:val="00E62715"/>
    <w:rsid w:val="00EB57F4"/>
    <w:rsid w:val="00EC6ECD"/>
    <w:rsid w:val="00EF321B"/>
    <w:rsid w:val="00F4327E"/>
    <w:rsid w:val="00F57D86"/>
    <w:rsid w:val="00F63E32"/>
    <w:rsid w:val="00F6499D"/>
    <w:rsid w:val="00FB5EB2"/>
    <w:rsid w:val="00FC1D60"/>
    <w:rsid w:val="00FC757D"/>
    <w:rsid w:val="00FD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429763"/>
  <w15:docId w15:val="{A54D3C40-33C1-421A-B315-7C7FB0E9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AC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val="de-DE" w:eastAsia="de-DE"/>
    </w:rPr>
  </w:style>
  <w:style w:type="paragraph" w:styleId="Heading1">
    <w:name w:val="heading 1"/>
    <w:aliases w:val="Überschrift Avenir,H1,Chapter heading,Headline 1,Chapter heading1,Headline 11,Überschrift Avenir1,H11,Chapter heading2,Headline 12,Überschrift Avenir2,H12,Chapter heading3,Headline 13,Überschrift Avenir3,H13,Chapter heading4,Headline 14"/>
    <w:basedOn w:val="Normal"/>
    <w:next w:val="Normal"/>
    <w:link w:val="Heading1Char"/>
    <w:uiPriority w:val="9"/>
    <w:qFormat/>
    <w:rsid w:val="00C50ACE"/>
    <w:pPr>
      <w:keepNext/>
      <w:pageBreakBefore/>
      <w:numPr>
        <w:numId w:val="1"/>
      </w:numPr>
      <w:suppressAutoHyphens/>
      <w:spacing w:after="360"/>
      <w:jc w:val="left"/>
      <w:outlineLvl w:val="0"/>
    </w:pPr>
    <w:rPr>
      <w:rFonts w:ascii="Arial" w:hAnsi="Arial"/>
      <w:b/>
      <w:caps/>
      <w:sz w:val="32"/>
    </w:rPr>
  </w:style>
  <w:style w:type="paragraph" w:styleId="Heading2">
    <w:name w:val="heading 2"/>
    <w:aliases w:val="H2,Headline 2,Headline 21,H21,Headline 22,H22,Headline 23,H23,Headline 24,H24,Headline 25,H25,Headline 26,H26,Headline 27,H27,Headline 28,H28,Headline 29,H29,Headline 210,H210,Headline 211,H211,Headline 212,H212,Headline 213,H213,H214,H215"/>
    <w:basedOn w:val="Heading1"/>
    <w:next w:val="Normal"/>
    <w:link w:val="Heading2Char"/>
    <w:uiPriority w:val="9"/>
    <w:qFormat/>
    <w:rsid w:val="00C50ACE"/>
    <w:pPr>
      <w:pageBreakBefore w:val="0"/>
      <w:numPr>
        <w:ilvl w:val="1"/>
      </w:numPr>
      <w:spacing w:before="480" w:after="300"/>
      <w:outlineLvl w:val="1"/>
    </w:pPr>
    <w:rPr>
      <w:caps w:val="0"/>
      <w:sz w:val="28"/>
    </w:rPr>
  </w:style>
  <w:style w:type="paragraph" w:styleId="Heading3">
    <w:name w:val="heading 3"/>
    <w:aliases w:val="Ü3,H3,Headline 3,Headline 31,Ü31,H31,Headline 32,Ü32,H32,Headline 33,Ü33,H33,Headline 34,Ü34,H34,Headline 35,Ü35,H35,Headline 36,Ü36,H36,Headline 37,Ü37,H37,Headline 38,Ü38,H38,Headline 39,Ü39,H39,Headline 310,Ü310,H310,Headline 311,Ü311"/>
    <w:basedOn w:val="Normal"/>
    <w:next w:val="Normal"/>
    <w:link w:val="Heading3Char"/>
    <w:uiPriority w:val="9"/>
    <w:qFormat/>
    <w:rsid w:val="00C50ACE"/>
    <w:pPr>
      <w:keepNext/>
      <w:numPr>
        <w:ilvl w:val="2"/>
        <w:numId w:val="1"/>
      </w:numPr>
      <w:spacing w:before="480" w:after="240"/>
      <w:jc w:val="left"/>
      <w:outlineLvl w:val="2"/>
    </w:pPr>
    <w:rPr>
      <w:rFonts w:ascii="Arial" w:hAnsi="Arial"/>
      <w:b/>
      <w:i/>
      <w:sz w:val="24"/>
    </w:rPr>
  </w:style>
  <w:style w:type="paragraph" w:styleId="Heading4">
    <w:name w:val="heading 4"/>
    <w:aliases w:val="H4,Headline 4,Headline 41,H41,Headline 42,H42,Headline 43,H43,Headline 44,H44,Headline 45,H45,Headline 46,H46,Headline 47,H47,Headline 48,H48,Headline 49,H49,Headline 410,H410,Headline 411,H411,Headline 412,H412,Headline 413,H413,H414,H415"/>
    <w:basedOn w:val="Normal"/>
    <w:next w:val="Normal"/>
    <w:link w:val="Heading4Char"/>
    <w:uiPriority w:val="9"/>
    <w:qFormat/>
    <w:rsid w:val="00C50ACE"/>
    <w:pPr>
      <w:keepNext/>
      <w:numPr>
        <w:ilvl w:val="3"/>
        <w:numId w:val="1"/>
      </w:numPr>
      <w:spacing w:before="360"/>
      <w:jc w:val="lef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5E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Überschrift Avenir Char,H1 Char,Chapter heading Char,Headline 1 Char,Chapter heading1 Char,Headline 11 Char,Überschrift Avenir1 Char,H11 Char,Chapter heading2 Char,Headline 12 Char,Überschrift Avenir2 Char,H12 Char,Chapter heading3 Char"/>
    <w:basedOn w:val="DefaultParagraphFont"/>
    <w:link w:val="Heading1"/>
    <w:uiPriority w:val="9"/>
    <w:rsid w:val="00C50ACE"/>
    <w:rPr>
      <w:rFonts w:ascii="Arial" w:eastAsia="Times New Roman" w:hAnsi="Arial" w:cs="Times New Roman"/>
      <w:b/>
      <w:caps/>
      <w:sz w:val="32"/>
      <w:szCs w:val="20"/>
      <w:lang w:val="de-DE" w:eastAsia="de-DE"/>
    </w:rPr>
  </w:style>
  <w:style w:type="character" w:customStyle="1" w:styleId="Heading2Char">
    <w:name w:val="Heading 2 Char"/>
    <w:aliases w:val="H2 Char,Headline 2 Char,Headline 21 Char,H21 Char,Headline 22 Char,H22 Char,Headline 23 Char,H23 Char,Headline 24 Char,H24 Char,Headline 25 Char,H25 Char,Headline 26 Char,H26 Char,Headline 27 Char,H27 Char,Headline 28 Char,H28 Char"/>
    <w:basedOn w:val="DefaultParagraphFont"/>
    <w:link w:val="Heading2"/>
    <w:uiPriority w:val="9"/>
    <w:rsid w:val="00C50ACE"/>
    <w:rPr>
      <w:rFonts w:ascii="Arial" w:eastAsia="Times New Roman" w:hAnsi="Arial" w:cs="Times New Roman"/>
      <w:b/>
      <w:sz w:val="28"/>
      <w:szCs w:val="20"/>
      <w:lang w:val="de-DE" w:eastAsia="de-DE"/>
    </w:rPr>
  </w:style>
  <w:style w:type="character" w:customStyle="1" w:styleId="Heading3Char">
    <w:name w:val="Heading 3 Char"/>
    <w:aliases w:val="Ü3 Char,H3 Char,Headline 3 Char,Headline 31 Char,Ü31 Char,H31 Char,Headline 32 Char,Ü32 Char,H32 Char,Headline 33 Char,Ü33 Char,H33 Char,Headline 34 Char,Ü34 Char,H34 Char,Headline 35 Char,Ü35 Char,H35 Char,Headline 36 Char,Ü36 Char"/>
    <w:basedOn w:val="DefaultParagraphFont"/>
    <w:link w:val="Heading3"/>
    <w:uiPriority w:val="9"/>
    <w:rsid w:val="00C50ACE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Heading4Char">
    <w:name w:val="Heading 4 Char"/>
    <w:aliases w:val="H4 Char,Headline 4 Char,Headline 41 Char,H41 Char,Headline 42 Char,H42 Char,Headline 43 Char,H43 Char,Headline 44 Char,H44 Char,Headline 45 Char,H45 Char,Headline 46 Char,H46 Char,Headline 47 Char,H47 Char,Headline 48 Char,H48 Char"/>
    <w:basedOn w:val="DefaultParagraphFont"/>
    <w:link w:val="Heading4"/>
    <w:uiPriority w:val="9"/>
    <w:rsid w:val="00C50ACE"/>
    <w:rPr>
      <w:rFonts w:ascii="Arial" w:eastAsia="Times New Roman" w:hAnsi="Arial" w:cs="Times New Roman"/>
      <w:b/>
      <w:szCs w:val="20"/>
      <w:lang w:val="de-DE" w:eastAsia="de-DE"/>
    </w:rPr>
  </w:style>
  <w:style w:type="paragraph" w:customStyle="1" w:styleId="Listenabsatz">
    <w:name w:val="Listenabsatz"/>
    <w:basedOn w:val="Normal"/>
    <w:uiPriority w:val="34"/>
    <w:qFormat/>
    <w:rsid w:val="00C50ACE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8A52B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3B43"/>
    <w:pPr>
      <w:spacing w:before="100" w:beforeAutospacing="1" w:after="100" w:afterAutospacing="1"/>
      <w:jc w:val="left"/>
    </w:pPr>
    <w:rPr>
      <w:rFonts w:eastAsiaTheme="minorHAnsi"/>
      <w:sz w:val="24"/>
      <w:szCs w:val="24"/>
      <w:lang w:val="en-GB" w:eastAsia="en-GB"/>
    </w:rPr>
  </w:style>
  <w:style w:type="paragraph" w:customStyle="1" w:styleId="Default">
    <w:name w:val="Default"/>
    <w:rsid w:val="009978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B5EB2"/>
    <w:rPr>
      <w:rFonts w:asciiTheme="majorHAnsi" w:eastAsiaTheme="majorEastAsia" w:hAnsiTheme="majorHAnsi" w:cstheme="majorBidi"/>
      <w:color w:val="243F60" w:themeColor="accent1" w:themeShade="7F"/>
      <w:szCs w:val="20"/>
      <w:lang w:val="de-DE" w:eastAsia="de-DE"/>
    </w:rPr>
  </w:style>
  <w:style w:type="paragraph" w:styleId="BodyText">
    <w:name w:val="Body Text"/>
    <w:basedOn w:val="Normal"/>
    <w:link w:val="BodyTextChar"/>
    <w:rsid w:val="00FB5EB2"/>
    <w:pPr>
      <w:ind w:left="720"/>
      <w:jc w:val="left"/>
    </w:pPr>
    <w:rPr>
      <w:rFonts w:ascii="Verdana" w:hAnsi="Verdana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FB5EB2"/>
    <w:rPr>
      <w:rFonts w:ascii="Verdana" w:eastAsia="Times New Roman" w:hAnsi="Verdan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E5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DE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DEE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DEE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DE5DEE"/>
    <w:pPr>
      <w:spacing w:after="0" w:line="240" w:lineRule="auto"/>
    </w:pPr>
    <w:rPr>
      <w:rFonts w:ascii="Times New Roman" w:eastAsia="Times New Roman" w:hAnsi="Times New Roman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DE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DEE"/>
    <w:rPr>
      <w:rFonts w:ascii="Tahoma" w:eastAsia="Times New Roman" w:hAnsi="Tahoma" w:cs="Tahoma"/>
      <w:sz w:val="16"/>
      <w:szCs w:val="16"/>
      <w:lang w:val="de-DE" w:eastAsia="de-DE"/>
    </w:rPr>
  </w:style>
  <w:style w:type="paragraph" w:styleId="FootnoteText">
    <w:name w:val="footnote text"/>
    <w:basedOn w:val="Normal"/>
    <w:link w:val="FootnoteTextChar"/>
    <w:semiHidden/>
    <w:rsid w:val="004B019E"/>
    <w:pPr>
      <w:spacing w:after="240"/>
      <w:ind w:left="357" w:hanging="357"/>
    </w:pPr>
    <w:rPr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B019E"/>
    <w:rPr>
      <w:rFonts w:ascii="Times New Roman" w:eastAsia="Times New Roman" w:hAnsi="Times New Roman" w:cs="Times New Roman"/>
      <w:sz w:val="20"/>
      <w:szCs w:val="20"/>
    </w:rPr>
  </w:style>
  <w:style w:type="paragraph" w:styleId="ListNumber">
    <w:name w:val="List Number"/>
    <w:basedOn w:val="Normal"/>
    <w:rsid w:val="004B019E"/>
    <w:pPr>
      <w:numPr>
        <w:numId w:val="13"/>
      </w:numPr>
      <w:spacing w:after="240"/>
    </w:pPr>
    <w:rPr>
      <w:sz w:val="24"/>
      <w:lang w:val="en-GB" w:eastAsia="en-US"/>
    </w:rPr>
  </w:style>
  <w:style w:type="paragraph" w:customStyle="1" w:styleId="ListNumberLevel2">
    <w:name w:val="List Number (Level 2)"/>
    <w:basedOn w:val="Normal"/>
    <w:rsid w:val="004B019E"/>
    <w:pPr>
      <w:numPr>
        <w:ilvl w:val="1"/>
        <w:numId w:val="13"/>
      </w:numPr>
      <w:spacing w:after="240"/>
    </w:pPr>
    <w:rPr>
      <w:sz w:val="24"/>
      <w:lang w:val="en-GB" w:eastAsia="en-US"/>
    </w:rPr>
  </w:style>
  <w:style w:type="paragraph" w:customStyle="1" w:styleId="ListNumberLevel3">
    <w:name w:val="List Number (Level 3)"/>
    <w:basedOn w:val="Normal"/>
    <w:rsid w:val="004B019E"/>
    <w:pPr>
      <w:numPr>
        <w:ilvl w:val="2"/>
        <w:numId w:val="13"/>
      </w:numPr>
      <w:spacing w:after="240"/>
    </w:pPr>
    <w:rPr>
      <w:sz w:val="24"/>
      <w:lang w:val="en-GB" w:eastAsia="en-US"/>
    </w:rPr>
  </w:style>
  <w:style w:type="paragraph" w:customStyle="1" w:styleId="ListNumberLevel4">
    <w:name w:val="List Number (Level 4)"/>
    <w:basedOn w:val="Normal"/>
    <w:rsid w:val="004B019E"/>
    <w:pPr>
      <w:numPr>
        <w:ilvl w:val="3"/>
        <w:numId w:val="13"/>
      </w:numPr>
      <w:spacing w:after="240"/>
    </w:pPr>
    <w:rPr>
      <w:sz w:val="24"/>
      <w:lang w:val="en-GB" w:eastAsia="en-US"/>
    </w:rPr>
  </w:style>
  <w:style w:type="character" w:styleId="FootnoteReference">
    <w:name w:val="footnote reference"/>
    <w:basedOn w:val="DefaultParagraphFont"/>
    <w:semiHidden/>
    <w:rsid w:val="004B019E"/>
    <w:rPr>
      <w:vertAlign w:val="superscript"/>
    </w:rPr>
  </w:style>
  <w:style w:type="paragraph" w:styleId="NoSpacing">
    <w:name w:val="No Spacing"/>
    <w:uiPriority w:val="1"/>
    <w:qFormat/>
    <w:rsid w:val="001303AE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8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14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368</Words>
  <Characters>2074</Characters>
  <Application>Microsoft Office Word</Application>
  <DocSecurity>0</DocSecurity>
  <Lines>76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LYNCH Breffni (CLIMA-EXT)</dc:creator>
  <cp:lastModifiedBy>LANZA Francesca (CLIMA)</cp:lastModifiedBy>
  <cp:revision>15</cp:revision>
  <cp:lastPrinted>2013-02-26T11:16:00Z</cp:lastPrinted>
  <dcterms:created xsi:type="dcterms:W3CDTF">2021-01-13T14:55:00Z</dcterms:created>
  <dcterms:modified xsi:type="dcterms:W3CDTF">2023-01-04T16:35:00Z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9243d45b-21c8-4fb5-9e6a-63644fa6b88b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2022-03-31T14:19:31Z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052e4a08-53be-4b1b-9a51-4cdfa52ad17b</vt:lpwstr>
  </property>
  <property fmtid="{D5CDD505-2E9C-101B-9397-08002B2CF9AE}" pid="9" name="MSIP_Label_6bd9ddd1-4d20-43f6-abfa-fc3c07406f94_ContentBits">
    <vt:lpwstr>0</vt:lpwstr>
  </property>
</Properties>
</file>