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B186C" w:rsidR="00DB186C" w:rsidP="00DB186C" w:rsidRDefault="004F3B51" w14:paraId="49910B75" w14:noSpellErr="1" w14:textId="1AA5CDB5">
      <w:pPr>
        <w:rPr>
          <w:rFonts w:ascii="Arial" w:hAnsi="Arial" w:cs="Arial"/>
          <w:sz w:val="22"/>
          <w:szCs w:val="22"/>
        </w:rPr>
      </w:pPr>
      <w:r w:rsidRPr="406A2719" w:rsidR="004F3B51">
        <w:rPr>
          <w:rFonts w:ascii="Arial" w:hAnsi="Arial" w:cs="Arial"/>
          <w:b w:val="1"/>
          <w:bCs w:val="1"/>
          <w:sz w:val="22"/>
          <w:szCs w:val="22"/>
        </w:rPr>
        <w:t>UK Submission</w:t>
      </w:r>
      <w:r w:rsidRPr="406A2719" w:rsidR="00DB186C">
        <w:rPr>
          <w:rFonts w:ascii="Arial" w:hAnsi="Arial" w:cs="Arial"/>
          <w:b w:val="1"/>
          <w:bCs w:val="1"/>
          <w:sz w:val="22"/>
          <w:szCs w:val="22"/>
        </w:rPr>
        <w:t xml:space="preserve"> to</w:t>
      </w:r>
      <w:r w:rsidRPr="406A2719" w:rsidR="004F3B51">
        <w:rPr>
          <w:rFonts w:ascii="Arial" w:hAnsi="Arial" w:cs="Arial"/>
          <w:b w:val="1"/>
          <w:bCs w:val="1"/>
          <w:sz w:val="22"/>
          <w:szCs w:val="22"/>
        </w:rPr>
        <w:t xml:space="preserve"> the</w:t>
      </w:r>
      <w:r w:rsidRPr="406A2719" w:rsidR="00DB186C">
        <w:rPr>
          <w:rFonts w:ascii="Arial" w:hAnsi="Arial" w:cs="Arial"/>
          <w:b w:val="1"/>
          <w:bCs w:val="1"/>
          <w:sz w:val="22"/>
          <w:szCs w:val="22"/>
        </w:rPr>
        <w:t xml:space="preserve"> COP 30 Presidency Roadmap on the Transition Away from Fossil Fuels in a Just, Orderly and Equitable Manner</w:t>
      </w:r>
      <w:r w:rsidRPr="406A2719" w:rsidR="00DB186C">
        <w:rPr>
          <w:rFonts w:ascii="Arial" w:hAnsi="Arial" w:cs="Arial"/>
          <w:sz w:val="22"/>
          <w:szCs w:val="22"/>
        </w:rPr>
        <w:t> </w:t>
      </w:r>
    </w:p>
    <w:p w:rsidR="406A2719" w:rsidP="406A2719" w:rsidRDefault="406A2719" w14:paraId="575A4601" w14:textId="7B2F3288">
      <w:pPr>
        <w:pStyle w:val="Heading2"/>
      </w:pPr>
      <w:r w:rsidR="406A2719">
        <w:rPr/>
        <w:t xml:space="preserve">Meeting brief – UK position and priorities (transitioning away from fossil fuels </w:t>
      </w:r>
      <w:r w:rsidR="406A2719">
        <w:rPr/>
        <w:t>&amp;</w:t>
      </w:r>
      <w:r w:rsidR="406A2719">
        <w:rPr/>
        <w:t xml:space="preserve"> COP30 Roadmap)</w:t>
      </w:r>
    </w:p>
    <w:p w:rsidR="406A2719" w:rsidP="406A2719" w:rsidRDefault="406A2719" w14:paraId="1FA92C5B" w14:textId="66EFFAFE">
      <w:pPr>
        <w:pStyle w:val="ListParagraph"/>
        <w:numPr>
          <w:ilvl w:val="0"/>
          <w:numId w:val="2"/>
        </w:numPr>
        <w:rPr/>
      </w:pPr>
      <w:r w:rsidRPr="406A2719" w:rsidR="406A2719">
        <w:rPr>
          <w:b w:val="1"/>
          <w:bCs w:val="1"/>
        </w:rPr>
        <w:t>Bottom line:</w:t>
      </w:r>
      <w:r w:rsidR="406A2719">
        <w:rPr/>
        <w:t xml:space="preserve"> UK strongly backs implementing GST para 28(d): </w:t>
      </w:r>
      <w:r w:rsidRPr="406A2719" w:rsidR="406A2719">
        <w:rPr>
          <w:b w:val="1"/>
          <w:bCs w:val="1"/>
        </w:rPr>
        <w:t>transition away from fossil fuels</w:t>
      </w:r>
      <w:r w:rsidR="406A2719">
        <w:rPr/>
        <w:t xml:space="preserve"> in a </w:t>
      </w:r>
      <w:r w:rsidRPr="406A2719" w:rsidR="406A2719">
        <w:rPr>
          <w:b w:val="1"/>
          <w:bCs w:val="1"/>
        </w:rPr>
        <w:t>just, orderly and equitable</w:t>
      </w:r>
      <w:r w:rsidR="406A2719">
        <w:rPr/>
        <w:t xml:space="preserve"> manner, with faster action this decade to keep 1.5°C within reach and deliver </w:t>
      </w:r>
      <w:r w:rsidRPr="406A2719" w:rsidR="406A2719">
        <w:rPr>
          <w:b w:val="1"/>
          <w:bCs w:val="1"/>
        </w:rPr>
        <w:t>net zero by 2050</w:t>
      </w:r>
      <w:r w:rsidR="406A2719">
        <w:rPr/>
        <w:t>.</w:t>
      </w:r>
    </w:p>
    <w:p w:rsidR="406A2719" w:rsidP="406A2719" w:rsidRDefault="406A2719" w14:paraId="3F8174CC" w14:textId="166A6447">
      <w:pPr>
        <w:pStyle w:val="ListParagraph"/>
        <w:numPr>
          <w:ilvl w:val="0"/>
          <w:numId w:val="2"/>
        </w:numPr>
        <w:rPr/>
      </w:pPr>
      <w:r w:rsidRPr="406A2719" w:rsidR="406A2719">
        <w:rPr>
          <w:b w:val="1"/>
          <w:bCs w:val="1"/>
        </w:rPr>
        <w:t>Why it matters (UK framing):</w:t>
      </w:r>
      <w:r w:rsidR="406A2719">
        <w:rPr/>
        <w:t xml:space="preserve"> fossil fuel dependence is a core </w:t>
      </w:r>
      <w:r w:rsidRPr="406A2719" w:rsidR="406A2719">
        <w:rPr>
          <w:b w:val="1"/>
          <w:bCs w:val="1"/>
        </w:rPr>
        <w:t>energy security</w:t>
      </w:r>
      <w:r w:rsidR="406A2719">
        <w:rPr/>
        <w:t xml:space="preserve"> risk; clean power and electrification reduce exposure to volatile international markets and deliver jobs/clean air.</w:t>
      </w:r>
    </w:p>
    <w:p w:rsidR="406A2719" w:rsidP="406A2719" w:rsidRDefault="406A2719" w14:paraId="05560D9D" w14:textId="61B781D6">
      <w:pPr>
        <w:pStyle w:val="ListParagraph"/>
        <w:numPr>
          <w:ilvl w:val="0"/>
          <w:numId w:val="2"/>
        </w:numPr>
        <w:rPr/>
      </w:pPr>
      <w:r w:rsidRPr="406A2719" w:rsidR="406A2719">
        <w:rPr>
          <w:b w:val="1"/>
          <w:bCs w:val="1"/>
        </w:rPr>
        <w:t>Approach:</w:t>
      </w:r>
      <w:r w:rsidR="406A2719">
        <w:rPr/>
        <w:t xml:space="preserve"> whole-economy transition covering </w:t>
      </w:r>
      <w:r w:rsidRPr="406A2719" w:rsidR="406A2719">
        <w:rPr>
          <w:b w:val="1"/>
          <w:bCs w:val="1"/>
        </w:rPr>
        <w:t>demand and supply</w:t>
      </w:r>
      <w:r w:rsidR="406A2719">
        <w:rPr/>
        <w:t xml:space="preserve">, alongside rapid deployment of </w:t>
      </w:r>
      <w:r w:rsidRPr="406A2719" w:rsidR="406A2719">
        <w:rPr>
          <w:b w:val="1"/>
          <w:bCs w:val="1"/>
        </w:rPr>
        <w:t>clean power</w:t>
      </w:r>
      <w:r w:rsidR="406A2719">
        <w:rPr/>
        <w:t xml:space="preserve"> and electrification.</w:t>
      </w:r>
    </w:p>
    <w:p w:rsidR="406A2719" w:rsidP="406A2719" w:rsidRDefault="406A2719" w14:paraId="2D5ACDC6" w14:textId="11885FAC">
      <w:pPr>
        <w:pStyle w:val="ListParagraph"/>
        <w:numPr>
          <w:ilvl w:val="0"/>
          <w:numId w:val="2"/>
        </w:numPr>
        <w:rPr/>
      </w:pPr>
      <w:r w:rsidRPr="406A2719" w:rsidR="406A2719">
        <w:rPr>
          <w:b w:val="1"/>
          <w:bCs w:val="1"/>
        </w:rPr>
        <w:t>Domestic policy (highlights only):</w:t>
      </w:r>
      <w:r w:rsidR="406A2719">
        <w:rPr/>
        <w:t xml:space="preserve"> Climate Change Act (net zero in law), 5-year carbon budgets set 12 years ahead, independent CCC oversight; UK cites emissions down 50%+ since 1990 with ~80% economic growth.</w:t>
      </w:r>
    </w:p>
    <w:p w:rsidR="406A2719" w:rsidP="406A2719" w:rsidRDefault="406A2719" w14:paraId="72BC70D9" w14:textId="4C345216">
      <w:pPr>
        <w:pStyle w:val="ListParagraph"/>
        <w:numPr>
          <w:ilvl w:val="0"/>
          <w:numId w:val="2"/>
        </w:numPr>
        <w:rPr/>
      </w:pPr>
      <w:r w:rsidRPr="406A2719" w:rsidR="406A2719">
        <w:rPr>
          <w:b w:val="1"/>
          <w:bCs w:val="1"/>
        </w:rPr>
        <w:t>Just transition:</w:t>
      </w:r>
      <w:r w:rsidR="406A2719">
        <w:rPr/>
        <w:t xml:space="preserve"> stresses fairness for workers/communities (lessons from coal), with focus on good jobs, place-based renewal, and enabling the existing energy workforce to move into clean energy roles.</w:t>
      </w:r>
    </w:p>
    <w:p w:rsidR="406A2719" w:rsidP="406A2719" w:rsidRDefault="406A2719" w14:paraId="1C6F3D2A" w14:textId="21D888CB">
      <w:pPr>
        <w:pStyle w:val="ListParagraph"/>
        <w:numPr>
          <w:ilvl w:val="0"/>
          <w:numId w:val="2"/>
        </w:numPr>
        <w:rPr/>
      </w:pPr>
      <w:r w:rsidRPr="406A2719" w:rsidR="406A2719">
        <w:rPr>
          <w:b w:val="1"/>
          <w:bCs w:val="1"/>
        </w:rPr>
        <w:t>Oil &amp; gas supply transition:</w:t>
      </w:r>
      <w:r w:rsidR="406A2719">
        <w:rPr/>
        <w:t xml:space="preserve"> “science-aligned” approach via the </w:t>
      </w:r>
      <w:r w:rsidRPr="406A2719" w:rsidR="406A2719">
        <w:rPr>
          <w:b w:val="1"/>
          <w:bCs w:val="1"/>
        </w:rPr>
        <w:t>North Sea Future Plan</w:t>
      </w:r>
      <w:r w:rsidR="406A2719">
        <w:rPr/>
        <w:t>—manage licensing/regulation through the transition, grow clean energy industries/supply chains, and support workforce transition.</w:t>
      </w:r>
    </w:p>
    <w:p w:rsidR="406A2719" w:rsidP="406A2719" w:rsidRDefault="406A2719" w14:paraId="6ED63354" w14:textId="4E9B6BBC">
      <w:pPr>
        <w:pStyle w:val="ListParagraph"/>
        <w:numPr>
          <w:ilvl w:val="0"/>
          <w:numId w:val="2"/>
        </w:numPr>
        <w:rPr/>
      </w:pPr>
      <w:r w:rsidRPr="406A2719" w:rsidR="406A2719">
        <w:rPr>
          <w:b w:val="1"/>
          <w:bCs w:val="1"/>
        </w:rPr>
        <w:t>COP30 Roadmap priorities:</w:t>
      </w:r>
      <w:r w:rsidR="406A2719">
        <w:rPr/>
        <w:t xml:space="preserve"> process/products should be </w:t>
      </w:r>
      <w:r w:rsidRPr="406A2719" w:rsidR="406A2719">
        <w:rPr>
          <w:b w:val="1"/>
          <w:bCs w:val="1"/>
        </w:rPr>
        <w:t>inclusive</w:t>
      </w:r>
      <w:r w:rsidR="406A2719">
        <w:rPr/>
        <w:t xml:space="preserve">, </w:t>
      </w:r>
      <w:r w:rsidRPr="406A2719" w:rsidR="406A2719">
        <w:rPr>
          <w:b w:val="1"/>
          <w:bCs w:val="1"/>
        </w:rPr>
        <w:t>science-based</w:t>
      </w:r>
      <w:r w:rsidR="406A2719">
        <w:rPr/>
        <w:t xml:space="preserve">, </w:t>
      </w:r>
      <w:r w:rsidRPr="406A2719" w:rsidR="406A2719">
        <w:rPr>
          <w:b w:val="1"/>
          <w:bCs w:val="1"/>
        </w:rPr>
        <w:t>just-transition centred</w:t>
      </w:r>
      <w:r w:rsidR="406A2719">
        <w:rPr/>
        <w:t xml:space="preserve">, and </w:t>
      </w:r>
      <w:r w:rsidRPr="406A2719" w:rsidR="406A2719">
        <w:rPr>
          <w:b w:val="1"/>
          <w:bCs w:val="1"/>
        </w:rPr>
        <w:t>aligned</w:t>
      </w:r>
      <w:r w:rsidR="406A2719">
        <w:rPr/>
        <w:t xml:space="preserve"> with UNFCCC/GST and related initiatives (incl. Santa Marta), with clarity on how outputs are carried into COP31+.</w:t>
      </w:r>
    </w:p>
    <w:p w:rsidR="406A2719" w:rsidP="406A2719" w:rsidRDefault="406A2719" w14:paraId="1EDC6A7F" w14:textId="79312B29">
      <w:pPr>
        <w:pStyle w:val="ListParagraph"/>
        <w:numPr>
          <w:ilvl w:val="0"/>
          <w:numId w:val="2"/>
        </w:numPr>
        <w:rPr/>
      </w:pPr>
      <w:r w:rsidRPr="406A2719" w:rsidR="406A2719">
        <w:rPr>
          <w:b w:val="1"/>
          <w:bCs w:val="1"/>
        </w:rPr>
        <w:t>Support offer:</w:t>
      </w:r>
      <w:r w:rsidR="406A2719">
        <w:rPr/>
        <w:t xml:space="preserve"> UK proposes </w:t>
      </w:r>
      <w:r w:rsidRPr="406A2719" w:rsidR="406A2719">
        <w:rPr>
          <w:b w:val="1"/>
          <w:bCs w:val="1"/>
        </w:rPr>
        <w:t>voluntary, country-tailored</w:t>
      </w:r>
      <w:r w:rsidR="406A2719">
        <w:rPr/>
        <w:t xml:space="preserve"> support—especially for Global South fossil fuel producers—to assess fiscal/economic implications of pathways and feed into both the Roadmap and national-level roadmaps.</w:t>
      </w:r>
    </w:p>
    <w:p w:rsidRPr="00DB186C" w:rsidR="00DB186C" w:rsidP="00DB186C" w:rsidRDefault="00DB186C" w14:paraId="5C7172BA" w14:textId="77777777">
      <w:pPr>
        <w:rPr>
          <w:rFonts w:ascii="Arial" w:hAnsi="Arial" w:cs="Arial"/>
          <w:sz w:val="22"/>
          <w:szCs w:val="22"/>
        </w:rPr>
      </w:pPr>
      <w:r w:rsidRPr="00DB186C">
        <w:rPr>
          <w:rFonts w:ascii="Arial" w:hAnsi="Arial" w:cs="Arial"/>
          <w:b/>
          <w:bCs/>
          <w:sz w:val="22"/>
          <w:szCs w:val="22"/>
          <w:u w:val="single"/>
        </w:rPr>
        <w:t>Introduction </w:t>
      </w:r>
      <w:r w:rsidRPr="00DB186C">
        <w:rPr>
          <w:rFonts w:ascii="Arial" w:hAnsi="Arial" w:cs="Arial"/>
          <w:sz w:val="22"/>
          <w:szCs w:val="22"/>
        </w:rPr>
        <w:t> </w:t>
      </w:r>
    </w:p>
    <w:p w:rsidRPr="00DB186C" w:rsidR="00DB186C" w:rsidP="00DB186C" w:rsidRDefault="00DB186C" w14:paraId="074B20A4" w14:textId="77777777">
      <w:pPr>
        <w:rPr>
          <w:rFonts w:ascii="Arial" w:hAnsi="Arial" w:cs="Arial"/>
          <w:sz w:val="22"/>
          <w:szCs w:val="22"/>
        </w:rPr>
      </w:pPr>
      <w:r w:rsidRPr="00DB186C">
        <w:rPr>
          <w:rFonts w:ascii="Arial" w:hAnsi="Arial" w:cs="Arial"/>
          <w:sz w:val="22"/>
          <w:szCs w:val="22"/>
        </w:rPr>
        <w:t>The UK welcomes the opportunity to contribute to this vital </w:t>
      </w:r>
      <w:proofErr w:type="gramStart"/>
      <w:r w:rsidRPr="00DB186C">
        <w:rPr>
          <w:rFonts w:ascii="Arial" w:hAnsi="Arial" w:cs="Arial"/>
          <w:sz w:val="22"/>
          <w:szCs w:val="22"/>
        </w:rPr>
        <w:t>discussion, and</w:t>
      </w:r>
      <w:proofErr w:type="gramEnd"/>
      <w:r w:rsidRPr="00DB186C">
        <w:rPr>
          <w:rFonts w:ascii="Arial" w:hAnsi="Arial" w:cs="Arial"/>
          <w:sz w:val="22"/>
          <w:szCs w:val="22"/>
        </w:rPr>
        <w:t> is very supportive of the Presidency’s Roadmap initiative and broader efforts to implement paragraph 28d of the first Global Stocktake (GST). The GST outcome highlighted the need for transitioning away from fossil fuels in a just, orderly and equitable manner, accelerating action in this critical decade, to achieve net zero by 2050. This commitment is critical to keeping 1.5C within reach. </w:t>
      </w:r>
    </w:p>
    <w:p w:rsidRPr="00DB186C" w:rsidR="00DB186C" w:rsidP="00DB186C" w:rsidRDefault="00DB186C" w14:paraId="682FE999" w14:textId="77777777">
      <w:pPr>
        <w:rPr>
          <w:rFonts w:ascii="Arial" w:hAnsi="Arial" w:cs="Arial"/>
          <w:sz w:val="22"/>
          <w:szCs w:val="22"/>
        </w:rPr>
      </w:pPr>
      <w:r w:rsidRPr="00DB186C">
        <w:rPr>
          <w:rFonts w:ascii="Arial" w:hAnsi="Arial" w:cs="Arial"/>
          <w:sz w:val="22"/>
          <w:szCs w:val="22"/>
        </w:rPr>
        <w:t>Recent events have underlined once more the risks of being exposed to volatile international fossil fuel markets. The current crisis, the second fossil fuel crisis in just five years, is another reminder that the only route to energy security and sovereignty, for countries like the UK and many others, is to transition away from dependence on fossil fuel markets.  </w:t>
      </w:r>
    </w:p>
    <w:p w:rsidRPr="00DB186C" w:rsidR="00DB186C" w:rsidP="00DB186C" w:rsidRDefault="00DB186C" w14:paraId="1121915D" w14:textId="77777777">
      <w:pPr>
        <w:rPr>
          <w:rFonts w:ascii="Arial" w:hAnsi="Arial" w:cs="Arial"/>
          <w:sz w:val="22"/>
          <w:szCs w:val="22"/>
        </w:rPr>
      </w:pPr>
      <w:r w:rsidRPr="00DB186C">
        <w:rPr>
          <w:rFonts w:ascii="Arial" w:hAnsi="Arial" w:cs="Arial"/>
          <w:sz w:val="22"/>
          <w:szCs w:val="22"/>
        </w:rPr>
        <w:t>Transitioning away from fossil fuels, considering both demand and supply, is therefore essential, and must be done alongside rapid deployment of clean energy and electrification across the economy. This represents a significant opportunity to boost energy and economic security, deliver good jobs and clean air, while bringing down global emissions.  </w:t>
      </w:r>
    </w:p>
    <w:p w:rsidRPr="00DB186C" w:rsidR="00DB186C" w:rsidP="00DB186C" w:rsidRDefault="00DB186C" w14:paraId="4FD25D26" w14:textId="77777777">
      <w:pPr>
        <w:rPr>
          <w:rFonts w:ascii="Arial" w:hAnsi="Arial" w:cs="Arial"/>
          <w:sz w:val="22"/>
          <w:szCs w:val="22"/>
        </w:rPr>
      </w:pPr>
      <w:r w:rsidRPr="00DB186C">
        <w:rPr>
          <w:rFonts w:ascii="Arial" w:hAnsi="Arial" w:cs="Arial"/>
          <w:b/>
          <w:bCs/>
          <w:sz w:val="22"/>
          <w:szCs w:val="22"/>
          <w:u w:val="single"/>
        </w:rPr>
        <w:t>Lessons learned, key barriers and levers from the UK’s transition away from fossil fuels</w:t>
      </w:r>
      <w:r w:rsidRPr="00DB186C">
        <w:rPr>
          <w:rFonts w:ascii="Arial" w:hAnsi="Arial" w:cs="Arial"/>
          <w:sz w:val="22"/>
          <w:szCs w:val="22"/>
        </w:rPr>
        <w:t> </w:t>
      </w:r>
    </w:p>
    <w:p w:rsidRPr="00DB186C" w:rsidR="00DB186C" w:rsidP="00DB186C" w:rsidRDefault="00DB186C" w14:paraId="544C55C4" w14:noSpellErr="1" w14:textId="57CC7703">
      <w:pPr>
        <w:rPr>
          <w:rFonts w:ascii="Arial" w:hAnsi="Arial" w:cs="Arial"/>
          <w:sz w:val="22"/>
          <w:szCs w:val="22"/>
        </w:rPr>
      </w:pPr>
      <w:r w:rsidRPr="406A2719" w:rsidR="00DB186C">
        <w:rPr>
          <w:rFonts w:ascii="Arial" w:hAnsi="Arial" w:cs="Arial"/>
          <w:b w:val="1"/>
          <w:bCs w:val="1"/>
          <w:i w:val="1"/>
          <w:iCs w:val="1"/>
          <w:sz w:val="22"/>
          <w:szCs w:val="22"/>
        </w:rPr>
        <w:t>A clear, stable, legally binding framework has been critical to driving progress.</w:t>
      </w:r>
      <w:r w:rsidRPr="406A2719" w:rsidR="00DB186C">
        <w:rPr>
          <w:rFonts w:ascii="Arial" w:hAnsi="Arial" w:cs="Arial"/>
          <w:sz w:val="22"/>
          <w:szCs w:val="22"/>
        </w:rPr>
        <w:t> </w:t>
      </w:r>
    </w:p>
    <w:p w:rsidRPr="00DB186C" w:rsidR="00DB186C" w:rsidP="00DB186C" w:rsidRDefault="00DB186C" w14:paraId="0F832DAD" w14:noSpellErr="1" w14:textId="39C43E36">
      <w:pPr>
        <w:rPr>
          <w:rFonts w:ascii="Arial" w:hAnsi="Arial" w:cs="Arial"/>
          <w:sz w:val="22"/>
          <w:szCs w:val="22"/>
        </w:rPr>
      </w:pPr>
      <w:r w:rsidRPr="406A2719" w:rsidR="00DB186C">
        <w:rPr>
          <w:rFonts w:ascii="Arial" w:hAnsi="Arial" w:cs="Arial"/>
          <w:sz w:val="22"/>
          <w:szCs w:val="22"/>
        </w:rPr>
        <w:t>The UK’s domestic transition to net zero is underpinned by the Climate Change Act 2008, which sets our commitment to reach net zero emissions by 2050 in law. To keep the UK on a pathway to achieving the 2050 target, the Government is required to establish legally binding, five-year caps on emissions – called carbon budgets. These are set twelve years in advance of when they start.  This framework is vital for driving the transition away from fossil fuels in the UK by providing a stable environment for investment in clean energy and the net zero </w:t>
      </w:r>
      <w:proofErr w:type="gramStart"/>
      <w:r w:rsidRPr="406A2719" w:rsidR="00DB186C">
        <w:rPr>
          <w:rFonts w:ascii="Arial" w:hAnsi="Arial" w:cs="Arial"/>
          <w:sz w:val="22"/>
          <w:szCs w:val="22"/>
        </w:rPr>
        <w:t>transition, and</w:t>
      </w:r>
      <w:proofErr w:type="gramEnd"/>
      <w:r w:rsidRPr="406A2719" w:rsidR="00DB186C">
        <w:rPr>
          <w:rFonts w:ascii="Arial" w:hAnsi="Arial" w:cs="Arial"/>
          <w:sz w:val="22"/>
          <w:szCs w:val="22"/>
        </w:rPr>
        <w:t> has already led to significant progress. </w:t>
      </w:r>
    </w:p>
    <w:p w:rsidRPr="00DB186C" w:rsidR="00DB186C" w:rsidP="00DB186C" w:rsidRDefault="00DB186C" w14:paraId="367C07C9" w14:textId="77777777">
      <w:pPr>
        <w:rPr>
          <w:rFonts w:ascii="Arial" w:hAnsi="Arial" w:cs="Arial"/>
          <w:sz w:val="22"/>
          <w:szCs w:val="22"/>
        </w:rPr>
      </w:pPr>
      <w:r w:rsidRPr="00DB186C">
        <w:rPr>
          <w:rFonts w:ascii="Arial" w:hAnsi="Arial" w:cs="Arial"/>
          <w:sz w:val="22"/>
          <w:szCs w:val="22"/>
        </w:rPr>
        <w:t>The Climate Change Act is a key driver of investment and decarbonisation. We have reduced emissions by over 50% while growing the economy by 80% since 1990. </w:t>
      </w:r>
    </w:p>
    <w:p w:rsidRPr="00DB186C" w:rsidR="00DB186C" w:rsidP="00DB186C" w:rsidRDefault="00DB186C" w14:paraId="4F437DDD" w14:textId="013614A8">
      <w:pPr>
        <w:rPr>
          <w:rFonts w:ascii="Arial" w:hAnsi="Arial" w:cs="Arial"/>
          <w:sz w:val="22"/>
          <w:szCs w:val="22"/>
        </w:rPr>
      </w:pPr>
      <w:r w:rsidRPr="00DB186C">
        <w:rPr>
          <w:rFonts w:ascii="Arial" w:hAnsi="Arial" w:cs="Arial"/>
          <w:sz w:val="22"/>
          <w:szCs w:val="22"/>
        </w:rPr>
        <w:t>The Climate Change Act also established the independent Climate Change Committee (CCC), which provides advice on emissions targets and progress in meeting them. This supports the UK to make informed decisions and provides transparency, helping to drive improvements in climate policy. It also ensure</w:t>
      </w:r>
      <w:r w:rsidR="000E2632">
        <w:rPr>
          <w:rFonts w:ascii="Arial" w:hAnsi="Arial" w:cs="Arial"/>
          <w:sz w:val="22"/>
          <w:szCs w:val="22"/>
        </w:rPr>
        <w:t>s</w:t>
      </w:r>
      <w:r w:rsidRPr="00DB186C">
        <w:rPr>
          <w:rFonts w:ascii="Arial" w:hAnsi="Arial" w:cs="Arial"/>
          <w:sz w:val="22"/>
          <w:szCs w:val="22"/>
        </w:rPr>
        <w:t> the evidence base for the benefits of the net zero transition are clear and accessible, helping to inform debate. </w:t>
      </w:r>
    </w:p>
    <w:p w:rsidRPr="00DB186C" w:rsidR="00DB186C" w:rsidP="00DB186C" w:rsidRDefault="00DB186C" w14:paraId="6B406AF0" w14:noSpellErr="1" w14:textId="43D248E7">
      <w:pPr>
        <w:rPr>
          <w:rFonts w:ascii="Arial" w:hAnsi="Arial" w:cs="Arial"/>
          <w:sz w:val="22"/>
          <w:szCs w:val="22"/>
        </w:rPr>
      </w:pPr>
      <w:r w:rsidRPr="406A2719" w:rsidR="00DB186C">
        <w:rPr>
          <w:rFonts w:ascii="Arial" w:hAnsi="Arial" w:cs="Arial"/>
          <w:b w:val="1"/>
          <w:bCs w:val="1"/>
          <w:i w:val="1"/>
          <w:iCs w:val="1"/>
          <w:sz w:val="22"/>
          <w:szCs w:val="22"/>
        </w:rPr>
        <w:t>Action across all sectors is vital to delivering the transition away from fossil fuels</w:t>
      </w:r>
      <w:r w:rsidRPr="406A2719" w:rsidR="00DB186C">
        <w:rPr>
          <w:rFonts w:ascii="Arial" w:hAnsi="Arial" w:cs="Arial"/>
          <w:sz w:val="22"/>
          <w:szCs w:val="22"/>
        </w:rPr>
        <w:t> </w:t>
      </w:r>
    </w:p>
    <w:p w:rsidRPr="00DB186C" w:rsidR="00DB186C" w:rsidP="00DB186C" w:rsidRDefault="00DB186C" w14:paraId="17FD9EC1" w14:noSpellErr="1" w14:textId="6C8F027A">
      <w:pPr>
        <w:rPr>
          <w:rFonts w:ascii="Arial" w:hAnsi="Arial" w:cs="Arial"/>
          <w:sz w:val="22"/>
          <w:szCs w:val="22"/>
        </w:rPr>
      </w:pPr>
      <w:r w:rsidRPr="406A2719" w:rsidR="00DB186C">
        <w:rPr>
          <w:rFonts w:ascii="Arial" w:hAnsi="Arial" w:cs="Arial"/>
          <w:sz w:val="22"/>
          <w:szCs w:val="22"/>
        </w:rPr>
        <w:t>The UK has achieved significant progress in the </w:t>
      </w:r>
      <w:r w:rsidRPr="406A2719" w:rsidR="00DB186C">
        <w:rPr>
          <w:rFonts w:ascii="Arial" w:hAnsi="Arial" w:cs="Arial"/>
          <w:b w:val="1"/>
          <w:bCs w:val="1"/>
          <w:sz w:val="22"/>
          <w:szCs w:val="22"/>
        </w:rPr>
        <w:t>power sector</w:t>
      </w:r>
      <w:r w:rsidRPr="406A2719" w:rsidR="00DB186C">
        <w:rPr>
          <w:rFonts w:ascii="Arial" w:hAnsi="Arial" w:cs="Arial"/>
          <w:sz w:val="22"/>
          <w:szCs w:val="22"/>
        </w:rPr>
        <w:t xml:space="preserve">, becoming the first G7 country to achieve coal power phase out in 2024. We believe that our mission to deliver clean power by 2030 is the best way to break our dependence on global fossil fuel markets and protect UK citizens permanently. We have created Great British Energy, a new publicly owned energy company that will invest in, develop, build and operate clean energy technologies. This will help us to harness clean energy with less reliance on volatile </w:t>
      </w:r>
      <w:r w:rsidRPr="406A2719" w:rsidR="00DB186C">
        <w:rPr>
          <w:rFonts w:ascii="Arial" w:hAnsi="Arial" w:cs="Arial"/>
          <w:sz w:val="22"/>
          <w:szCs w:val="22"/>
        </w:rPr>
        <w:t>international energy markets and help in our commitment to make Britain a clean energy superpower by </w:t>
      </w:r>
      <w:proofErr w:type="gramStart"/>
      <w:r w:rsidRPr="406A2719" w:rsidR="00DB186C">
        <w:rPr>
          <w:rFonts w:ascii="Arial" w:hAnsi="Arial" w:cs="Arial"/>
          <w:sz w:val="22"/>
          <w:szCs w:val="22"/>
        </w:rPr>
        <w:t>2030, and</w:t>
      </w:r>
      <w:proofErr w:type="gramEnd"/>
      <w:r w:rsidRPr="406A2719" w:rsidR="00DB186C">
        <w:rPr>
          <w:rFonts w:ascii="Arial" w:hAnsi="Arial" w:cs="Arial"/>
          <w:sz w:val="22"/>
          <w:szCs w:val="22"/>
        </w:rPr>
        <w:t> will invest in local communities to give them a direct stake in the clean energy transition. </w:t>
      </w:r>
    </w:p>
    <w:p w:rsidRPr="00DB186C" w:rsidR="00DB186C" w:rsidP="00DB186C" w:rsidRDefault="00DB186C" w14:paraId="77C00BA8" w14:noSpellErr="1" w14:textId="10CEFC4C">
      <w:pPr>
        <w:rPr>
          <w:rFonts w:ascii="Arial" w:hAnsi="Arial" w:cs="Arial"/>
          <w:sz w:val="22"/>
          <w:szCs w:val="22"/>
        </w:rPr>
      </w:pPr>
      <w:r w:rsidRPr="406A2719" w:rsidR="00DB186C">
        <w:rPr>
          <w:rFonts w:ascii="Arial" w:hAnsi="Arial" w:cs="Arial"/>
          <w:sz w:val="22"/>
          <w:szCs w:val="22"/>
        </w:rPr>
        <w:t>Looking ahead, managing the power system as we transition towards clean power will be a challenge, alongside bottlenecks for grid connections. In addition</w:t>
      </w:r>
      <w:r w:rsidRPr="406A2719" w:rsidR="5DF48916">
        <w:rPr>
          <w:rFonts w:ascii="Arial" w:hAnsi="Arial" w:cs="Arial"/>
          <w:sz w:val="22"/>
          <w:szCs w:val="22"/>
        </w:rPr>
        <w:t>,</w:t>
      </w:r>
      <w:r w:rsidRPr="406A2719" w:rsidR="00DB186C">
        <w:rPr>
          <w:rFonts w:ascii="Arial" w:hAnsi="Arial" w:cs="Arial"/>
          <w:sz w:val="22"/>
          <w:szCs w:val="22"/>
        </w:rPr>
        <w:t> significant further investment is required in our energy system.  </w:t>
      </w:r>
    </w:p>
    <w:p w:rsidRPr="00DB186C" w:rsidR="00DB186C" w:rsidP="00DB186C" w:rsidRDefault="00DB186C" w14:paraId="1D8C190E" w14:noSpellErr="1" w14:textId="29A5C408">
      <w:pPr>
        <w:rPr>
          <w:rFonts w:ascii="Arial" w:hAnsi="Arial" w:cs="Arial"/>
          <w:sz w:val="22"/>
          <w:szCs w:val="22"/>
        </w:rPr>
      </w:pPr>
      <w:r w:rsidRPr="406A2719" w:rsidR="00DB186C">
        <w:rPr>
          <w:rFonts w:ascii="Arial" w:hAnsi="Arial" w:cs="Arial"/>
          <w:b w:val="1"/>
          <w:bCs w:val="1"/>
          <w:sz w:val="22"/>
          <w:szCs w:val="22"/>
        </w:rPr>
        <w:t>The Transport sector</w:t>
      </w:r>
      <w:r w:rsidRPr="406A2719" w:rsidR="00DB186C">
        <w:rPr>
          <w:rFonts w:ascii="Arial" w:hAnsi="Arial" w:cs="Arial"/>
          <w:sz w:val="22"/>
          <w:szCs w:val="22"/>
        </w:rPr>
        <w:t> is the UK’s largest greenhouse gas (GHG) emitting sector, responsible for 30% of territorial emissions, rising to 37% when including emissions from the UK’s share of international aviation and shipping. GHG emissions from transport have remained broadly stable as other sectors have decarbonised, with improvements in fuel efficiency largely offset by increased travel demand.  </w:t>
      </w:r>
    </w:p>
    <w:p w:rsidRPr="00DB186C" w:rsidR="00DB186C" w:rsidP="00DB186C" w:rsidRDefault="00DB186C" w14:paraId="6BE88FD7" w14:noSpellErr="1" w14:textId="3F13F15D">
      <w:pPr>
        <w:rPr>
          <w:rFonts w:ascii="Arial" w:hAnsi="Arial" w:cs="Arial"/>
          <w:sz w:val="22"/>
          <w:szCs w:val="22"/>
        </w:rPr>
      </w:pPr>
      <w:r w:rsidRPr="406A2719" w:rsidR="00DB186C">
        <w:rPr>
          <w:rFonts w:ascii="Arial" w:hAnsi="Arial" w:cs="Arial"/>
          <w:sz w:val="22"/>
          <w:szCs w:val="22"/>
        </w:rPr>
        <w:t>Recent data shows signs of progress in reversing this trend, including a decoupling of increased traffic from an increase in vehicle emissions, and with total UK transport emissions 8% below 2019 levels. Supported by the Zero Emission Vehicle Mandate – regulation requiring an increasing percentage of all new cars and vans sold in the UK to be zero emission each year, on a pathway to 100% by 2035 – over 1.6 million zero emission vehicles now make up approximately 5% of the UK car fleet. More than 75,500 drivers have benefitted from discounts through the £2 billion Electric Car Grant, and a combination of policy, planning and public funding has supported availability of over 118,000 public chargers. The UK Government consulted on a regulatory framework to reduce emissions from new heavy goods vehicles in early </w:t>
      </w:r>
      <w:proofErr w:type="gramStart"/>
      <w:r w:rsidRPr="406A2719" w:rsidR="00DB186C">
        <w:rPr>
          <w:rFonts w:ascii="Arial" w:hAnsi="Arial" w:cs="Arial"/>
          <w:sz w:val="22"/>
          <w:szCs w:val="22"/>
        </w:rPr>
        <w:t>2026, and</w:t>
      </w:r>
      <w:proofErr w:type="gramEnd"/>
      <w:r w:rsidRPr="406A2719" w:rsidR="00DB186C">
        <w:rPr>
          <w:rFonts w:ascii="Arial" w:hAnsi="Arial" w:cs="Arial"/>
          <w:sz w:val="22"/>
          <w:szCs w:val="22"/>
        </w:rPr>
        <w:t> will phase-out the use of new non-zero emission buses in England in the 2030s. </w:t>
      </w:r>
    </w:p>
    <w:p w:rsidRPr="00DB186C" w:rsidR="00DB186C" w:rsidP="00DB186C" w:rsidRDefault="00DB186C" w14:paraId="4D85817F" w14:noSpellErr="1" w14:textId="0CC784D3">
      <w:pPr>
        <w:rPr>
          <w:rFonts w:ascii="Arial" w:hAnsi="Arial" w:cs="Arial"/>
          <w:sz w:val="22"/>
          <w:szCs w:val="22"/>
        </w:rPr>
      </w:pPr>
      <w:r w:rsidRPr="406A2719" w:rsidR="00DB186C">
        <w:rPr>
          <w:rFonts w:ascii="Arial" w:hAnsi="Arial" w:cs="Arial"/>
          <w:sz w:val="22"/>
          <w:szCs w:val="22"/>
        </w:rPr>
        <w:t>The UK’s Sustainable Aviation Fuel (SAF) Mandate – which requires an increasing proportion of UK jet fuel to come from sustainable sources, rising from 2% in 2025 to 10% in 2030, and 22% in 2040 – will be the measure delivering the greatest emission reductions from flights in the coming years. Its delivery will be supported by funding and policy to drive investment in UK SAF </w:t>
      </w:r>
      <w:proofErr w:type="gramStart"/>
      <w:r w:rsidRPr="406A2719" w:rsidR="00DB186C">
        <w:rPr>
          <w:rFonts w:ascii="Arial" w:hAnsi="Arial" w:cs="Arial"/>
          <w:sz w:val="22"/>
          <w:szCs w:val="22"/>
        </w:rPr>
        <w:t>production, and</w:t>
      </w:r>
      <w:proofErr w:type="gramEnd"/>
      <w:r w:rsidRPr="406A2719" w:rsidR="00DB186C">
        <w:rPr>
          <w:rFonts w:ascii="Arial" w:hAnsi="Arial" w:cs="Arial"/>
          <w:sz w:val="22"/>
          <w:szCs w:val="22"/>
        </w:rPr>
        <w:t> is complemented by work to reduce inefficiencies by modernising UK airspace and R&amp;D funding to accelerate development of low and zero emission aerospace technologies. </w:t>
      </w:r>
    </w:p>
    <w:p w:rsidRPr="00DB186C" w:rsidR="00DB186C" w:rsidP="00DB186C" w:rsidRDefault="00DB186C" w14:paraId="5F8C9F5C" w14:noSpellErr="1" w14:textId="224C644E">
      <w:pPr>
        <w:rPr>
          <w:rFonts w:ascii="Arial" w:hAnsi="Arial" w:cs="Arial"/>
          <w:sz w:val="22"/>
          <w:szCs w:val="22"/>
        </w:rPr>
      </w:pPr>
      <w:r w:rsidRPr="406A2719" w:rsidR="00DB186C">
        <w:rPr>
          <w:rFonts w:ascii="Arial" w:hAnsi="Arial" w:cs="Arial"/>
          <w:sz w:val="22"/>
          <w:szCs w:val="22"/>
        </w:rPr>
        <w:t>The UK Government’s 2025 Maritime Decarbonisation Strategy set out a five-pillar approach to meeting goals of zero lifecycle emissions from domestic shipping by 2050. This included fuel regulations, emissions pricing, reducing emissions at berth, addressing emissions from smaller vessels, and improving energy efficiency. Its delivery will be supported by the £448 million UK Shipping Office for Reducing Emissions, which aims to accelerate the readiness and commercialisation of key technologies in the sector. </w:t>
      </w:r>
    </w:p>
    <w:p w:rsidRPr="00DB186C" w:rsidR="00DB186C" w:rsidP="00DB186C" w:rsidRDefault="00DB186C" w14:paraId="30CA765F" w14:textId="6893C399" w14:noSpellErr="1">
      <w:pPr>
        <w:rPr>
          <w:rFonts w:ascii="Arial" w:hAnsi="Arial" w:cs="Arial"/>
          <w:sz w:val="22"/>
          <w:szCs w:val="22"/>
        </w:rPr>
      </w:pPr>
      <w:r w:rsidRPr="00DB186C" w:rsidR="00DB186C">
        <w:rPr>
          <w:rFonts w:ascii="Arial" w:hAnsi="Arial" w:cs="Arial"/>
          <w:sz w:val="22"/>
          <w:szCs w:val="22"/>
        </w:rPr>
        <w:t>Transitioning away from fossil fuels in the </w:t>
      </w:r>
      <w:r w:rsidRPr="00DB186C" w:rsidR="00DB186C">
        <w:rPr>
          <w:rFonts w:ascii="Arial" w:hAnsi="Arial" w:cs="Arial"/>
          <w:b w:val="1"/>
          <w:bCs w:val="1"/>
          <w:sz w:val="22"/>
          <w:szCs w:val="22"/>
        </w:rPr>
        <w:t>heating sector </w:t>
      </w:r>
      <w:r w:rsidRPr="00DB186C" w:rsidR="00DB186C">
        <w:rPr>
          <w:rFonts w:ascii="Arial" w:hAnsi="Arial" w:cs="Arial"/>
          <w:sz w:val="22"/>
          <w:szCs w:val="22"/>
        </w:rPr>
        <w:t>represents a challenge given 86% of households in England use a natural gas-fired main heating system. This leaves UK households exposed to volatile fossil fuel markets. Following the full-scale Russian invasion of Ukraine in 2022, the energy price cap for a typical household soared from £1,277 in winter 2021-22 to over £4,000 by the start of 2023</w:t>
      </w:r>
      <w:r w:rsidR="0029329A">
        <w:rPr>
          <w:rStyle w:val="FootnoteReference"/>
          <w:rFonts w:ascii="Arial" w:hAnsi="Arial" w:cs="Arial"/>
          <w:sz w:val="22"/>
          <w:szCs w:val="22"/>
        </w:rPr>
        <w:footnoteReference w:id="1"/>
      </w:r>
      <w:r w:rsidR="4F44B215">
        <w:rPr>
          <w:rFonts w:ascii="Arial" w:hAnsi="Arial" w:cs="Arial"/>
          <w:sz w:val="22"/>
          <w:szCs w:val="22"/>
        </w:rPr>
        <w:t>.</w:t>
      </w:r>
      <w:r w:rsidRPr="00DB186C" w:rsidR="00DB186C">
        <w:rPr>
          <w:rFonts w:ascii="Arial" w:hAnsi="Arial" w:cs="Arial"/>
          <w:sz w:val="22"/>
          <w:szCs w:val="22"/>
        </w:rPr>
        <w:t> Decarbonising heating, alongside energy efficiency, and deployment of solar panels and battery storage, are the solution.  </w:t>
      </w:r>
    </w:p>
    <w:p w:rsidRPr="00DB186C" w:rsidR="00DB186C" w:rsidP="00DB186C" w:rsidRDefault="00DB186C" w14:paraId="622BEE34" w14:textId="42EAB78D" w14:noSpellErr="1">
      <w:pPr>
        <w:rPr>
          <w:rFonts w:ascii="Arial" w:hAnsi="Arial" w:cs="Arial"/>
          <w:sz w:val="22"/>
          <w:szCs w:val="22"/>
        </w:rPr>
      </w:pPr>
      <w:r w:rsidRPr="00DB186C" w:rsidR="00DB186C">
        <w:rPr>
          <w:rFonts w:ascii="Arial" w:hAnsi="Arial" w:cs="Arial"/>
          <w:sz w:val="22"/>
          <w:szCs w:val="22"/>
        </w:rPr>
        <w:t>The UK plans to triple the number of homes with solar by 2030, deliver over 450,000 heat pump installations per year, and upgrade up to 5 million homes in total. Key levers to progress include driving the uptake of heat pumps via removing unnecessary planning rules, expanding the Boiler Upgrade Scheme (grants of up to £7,500 to help households cover the upfront costs of installing heat pumps and biomass boilers) to a wider range of technologies, and taking action to make electricity cheaper. Additional levers include low- and zero-interest consumer loans to help households with upfront costs and new minimum energy efficiency standards in private and social rented housing. These measures to drive electrification in the home will support the UK’s mission for Clean Power by 2030, swapping a reliance on fossil fuels for clean, homegrown power. Further information is available in the Warm Homes Plan</w:t>
      </w:r>
      <w:r w:rsidR="009C61B8">
        <w:rPr>
          <w:rStyle w:val="FootnoteReference"/>
          <w:rFonts w:ascii="Arial" w:hAnsi="Arial" w:cs="Arial"/>
          <w:sz w:val="22"/>
          <w:szCs w:val="22"/>
        </w:rPr>
        <w:footnoteReference w:id="2"/>
      </w:r>
      <w:r w:rsidRPr="00DB186C" w:rsidR="00DB186C">
        <w:rPr>
          <w:rFonts w:ascii="Arial" w:hAnsi="Arial" w:cs="Arial"/>
          <w:sz w:val="22"/>
          <w:szCs w:val="22"/>
        </w:rPr>
        <w:t>, published January 2026. </w:t>
      </w:r>
    </w:p>
    <w:p w:rsidRPr="00DB186C" w:rsidR="00DB186C" w:rsidP="00DB186C" w:rsidRDefault="00DB186C" w14:paraId="4A5E3CF9" w14:noSpellErr="1" w14:textId="2DE83B8B">
      <w:pPr>
        <w:rPr>
          <w:rFonts w:ascii="Arial" w:hAnsi="Arial" w:cs="Arial"/>
          <w:sz w:val="22"/>
          <w:szCs w:val="22"/>
        </w:rPr>
      </w:pPr>
      <w:r w:rsidRPr="406A2719" w:rsidR="00DB186C">
        <w:rPr>
          <w:rFonts w:ascii="Arial" w:hAnsi="Arial" w:cs="Arial"/>
          <w:sz w:val="22"/>
          <w:szCs w:val="22"/>
        </w:rPr>
        <w:t>The UK’s reliance on volatile fossil fuel markets has also exposed the UK’s </w:t>
      </w:r>
      <w:r w:rsidRPr="406A2719" w:rsidR="00DB186C">
        <w:rPr>
          <w:rFonts w:ascii="Arial" w:hAnsi="Arial" w:cs="Arial"/>
          <w:b w:val="1"/>
          <w:bCs w:val="1"/>
          <w:sz w:val="22"/>
          <w:szCs w:val="22"/>
        </w:rPr>
        <w:t>industrial sector</w:t>
      </w:r>
      <w:r w:rsidRPr="406A2719" w:rsidR="00DB186C">
        <w:rPr>
          <w:rFonts w:ascii="Arial" w:hAnsi="Arial" w:cs="Arial"/>
          <w:sz w:val="22"/>
          <w:szCs w:val="22"/>
        </w:rPr>
        <w:t> to high and unpredictable energy bills. Industrial decarbonisation is vital to future-proofing industry, transitioning to modern low carbon processes and securing jobs in our foundational sectors for the long term. We will drive sustainable clean growth in the UK’s industrial sectors by capturing the opportunities this presents to get ahead in the industries of the future. Growth sectors like CCUS and hydrogen will be crucial in helping hard-to-abate industrial sectors such as cement to decarbonise, and the government’s support for these will create growth opportunities in the UK’s industrial heartlands by attracting private investment and supporting thousands of jobs across the supply chain. </w:t>
      </w:r>
    </w:p>
    <w:p w:rsidRPr="00DB186C" w:rsidR="00DB186C" w:rsidP="00DB186C" w:rsidRDefault="00DB186C" w14:paraId="1C55EE82" w14:textId="77777777">
      <w:pPr>
        <w:rPr>
          <w:rFonts w:ascii="Arial" w:hAnsi="Arial" w:cs="Arial"/>
          <w:sz w:val="22"/>
          <w:szCs w:val="22"/>
        </w:rPr>
      </w:pPr>
      <w:r w:rsidRPr="00DB186C">
        <w:rPr>
          <w:rFonts w:ascii="Arial" w:hAnsi="Arial" w:cs="Arial"/>
          <w:sz w:val="22"/>
          <w:szCs w:val="22"/>
        </w:rPr>
        <w:t>The UK is also addressing the high cost of electricity faced by British Industry: In the Industrial Strategy, we announced additional support for 7,000 energy intensive firms by removing policy costs on their energy bills through the British Industry Supercharger and British Industrial Competitiveness Scheme. We are continuing to develop policies to bring down electricity costs relative to gas for industry and intend to consult on options to reduce costs and make low carbon heat the economically rational choice. </w:t>
      </w:r>
    </w:p>
    <w:p w:rsidRPr="00DB186C" w:rsidR="00DB186C" w:rsidP="00DB186C" w:rsidRDefault="00DB186C" w14:paraId="27ABA0BC" w14:textId="77777777">
      <w:pPr>
        <w:rPr>
          <w:rFonts w:ascii="Arial" w:hAnsi="Arial" w:cs="Arial"/>
          <w:sz w:val="22"/>
          <w:szCs w:val="22"/>
        </w:rPr>
      </w:pPr>
      <w:r w:rsidRPr="00DB186C">
        <w:rPr>
          <w:rFonts w:ascii="Arial" w:hAnsi="Arial" w:cs="Arial"/>
          <w:b/>
          <w:bCs/>
          <w:i/>
          <w:iCs/>
          <w:sz w:val="22"/>
          <w:szCs w:val="22"/>
        </w:rPr>
        <w:t>The transition must be just to ensure benefits are distributed widely</w:t>
      </w:r>
      <w:r w:rsidRPr="00DB186C">
        <w:rPr>
          <w:rFonts w:ascii="Arial" w:hAnsi="Arial" w:cs="Arial"/>
          <w:sz w:val="22"/>
          <w:szCs w:val="22"/>
        </w:rPr>
        <w:t> </w:t>
      </w:r>
    </w:p>
    <w:p w:rsidRPr="00DB186C" w:rsidR="00DB186C" w:rsidP="00DB186C" w:rsidRDefault="00DB186C" w14:paraId="7E4205EA" w14:textId="2B8D073F">
      <w:pPr>
        <w:rPr>
          <w:rFonts w:ascii="Arial" w:hAnsi="Arial" w:cs="Arial"/>
          <w:sz w:val="22"/>
          <w:szCs w:val="22"/>
        </w:rPr>
      </w:pPr>
      <w:r w:rsidRPr="00DB186C">
        <w:rPr>
          <w:rFonts w:ascii="Arial" w:hAnsi="Arial" w:cs="Arial"/>
          <w:sz w:val="22"/>
          <w:szCs w:val="22"/>
        </w:rPr>
        <w:t>The UK is taking action to coordinate our approach to mitigate risks from the transition away from fossil fuels, and </w:t>
      </w:r>
      <w:r w:rsidR="0032161E">
        <w:rPr>
          <w:rFonts w:ascii="Arial" w:hAnsi="Arial" w:cs="Arial"/>
          <w:sz w:val="22"/>
          <w:szCs w:val="22"/>
        </w:rPr>
        <w:t xml:space="preserve">to </w:t>
      </w:r>
      <w:r w:rsidR="009D3409">
        <w:rPr>
          <w:rFonts w:ascii="Arial" w:hAnsi="Arial" w:cs="Arial"/>
          <w:sz w:val="22"/>
          <w:szCs w:val="22"/>
        </w:rPr>
        <w:t>deliver</w:t>
      </w:r>
      <w:r w:rsidRPr="00DB186C">
        <w:rPr>
          <w:rFonts w:ascii="Arial" w:hAnsi="Arial" w:cs="Arial"/>
          <w:sz w:val="22"/>
          <w:szCs w:val="22"/>
        </w:rPr>
        <w:t xml:space="preserve"> a just transition</w:t>
      </w:r>
      <w:r w:rsidR="00E23046">
        <w:rPr>
          <w:rFonts w:ascii="Arial" w:hAnsi="Arial" w:cs="Arial"/>
          <w:sz w:val="22"/>
          <w:szCs w:val="22"/>
        </w:rPr>
        <w:t xml:space="preserve">, that ensures workers </w:t>
      </w:r>
      <w:r w:rsidRPr="00DB186C">
        <w:rPr>
          <w:rFonts w:ascii="Arial" w:hAnsi="Arial" w:cs="Arial"/>
          <w:sz w:val="22"/>
          <w:szCs w:val="22"/>
        </w:rPr>
        <w:t>benefit from the economic opportunities from our transition to net zero. This presents a significant opportunity to revitalise our industrial heartlands and ensure that our existing home-grown energy workforce can move flexibly into good clean energy roles. We have learnt from experiences to date and are applying this to critical sectors moving forwards.  </w:t>
      </w:r>
    </w:p>
    <w:p w:rsidRPr="00DB186C" w:rsidR="00DB186C" w:rsidP="00DB186C" w:rsidRDefault="00DB186C" w14:paraId="45E9D5FF" w14:textId="77777777">
      <w:pPr>
        <w:rPr>
          <w:rFonts w:ascii="Arial" w:hAnsi="Arial" w:cs="Arial"/>
          <w:sz w:val="22"/>
          <w:szCs w:val="22"/>
        </w:rPr>
      </w:pPr>
      <w:r w:rsidRPr="00DB186C">
        <w:rPr>
          <w:rFonts w:ascii="Arial" w:hAnsi="Arial" w:cs="Arial"/>
          <w:sz w:val="22"/>
          <w:szCs w:val="22"/>
        </w:rPr>
        <w:t>The United Kingdom’s </w:t>
      </w:r>
      <w:r w:rsidRPr="00DB186C">
        <w:rPr>
          <w:rFonts w:ascii="Arial" w:hAnsi="Arial" w:cs="Arial"/>
          <w:b/>
          <w:bCs/>
          <w:sz w:val="22"/>
          <w:szCs w:val="22"/>
        </w:rPr>
        <w:t>transition away from coal</w:t>
      </w:r>
      <w:r w:rsidRPr="00DB186C">
        <w:rPr>
          <w:rFonts w:ascii="Arial" w:hAnsi="Arial" w:cs="Arial"/>
          <w:sz w:val="22"/>
          <w:szCs w:val="22"/>
        </w:rPr>
        <w:t> over the past four decades has been dramatic in scale and, at times, fraught with social challenges. Coal was once the backbone of communities in </w:t>
      </w:r>
      <w:proofErr w:type="gramStart"/>
      <w:r w:rsidRPr="00DB186C">
        <w:rPr>
          <w:rFonts w:ascii="Arial" w:hAnsi="Arial" w:cs="Arial"/>
          <w:sz w:val="22"/>
          <w:szCs w:val="22"/>
        </w:rPr>
        <w:t>a number of</w:t>
      </w:r>
      <w:proofErr w:type="gramEnd"/>
      <w:r w:rsidRPr="00DB186C">
        <w:rPr>
          <w:rFonts w:ascii="Arial" w:hAnsi="Arial" w:cs="Arial"/>
          <w:sz w:val="22"/>
          <w:szCs w:val="22"/>
        </w:rPr>
        <w:t> regions across the UK in the 19</w:t>
      </w:r>
      <w:r w:rsidRPr="00DB186C">
        <w:rPr>
          <w:rFonts w:ascii="Arial" w:hAnsi="Arial" w:cs="Arial"/>
          <w:sz w:val="22"/>
          <w:szCs w:val="22"/>
          <w:vertAlign w:val="superscript"/>
        </w:rPr>
        <w:t>th</w:t>
      </w:r>
      <w:r w:rsidRPr="00DB186C">
        <w:rPr>
          <w:rFonts w:ascii="Arial" w:hAnsi="Arial" w:cs="Arial"/>
          <w:sz w:val="22"/>
          <w:szCs w:val="22"/>
        </w:rPr>
        <w:t> and 20</w:t>
      </w:r>
      <w:r w:rsidRPr="00DB186C">
        <w:rPr>
          <w:rFonts w:ascii="Arial" w:hAnsi="Arial" w:cs="Arial"/>
          <w:sz w:val="22"/>
          <w:szCs w:val="22"/>
          <w:vertAlign w:val="superscript"/>
        </w:rPr>
        <w:t>th</w:t>
      </w:r>
      <w:r w:rsidRPr="00DB186C">
        <w:rPr>
          <w:rFonts w:ascii="Arial" w:hAnsi="Arial" w:cs="Arial"/>
          <w:sz w:val="22"/>
          <w:szCs w:val="22"/>
        </w:rPr>
        <w:t xml:space="preserve"> centuries, but former mining areas still face entrenched social and economic challenges from deindustrialisation with regions struggling with unemployment, quality jobs, health inequality and underinvestment.  The UK Government is committed to revitalising these former coalfield areas by driving local growth and creating high-skilled, long-term employment through targeted industrial and regional strategies. The same communities who were at the heart of our coal-fired growth will be at the centre of our mission for clean power, and benefit from the many opportunities renewable power and emerging technologies will </w:t>
      </w:r>
      <w:r w:rsidRPr="00DB186C">
        <w:rPr>
          <w:rFonts w:ascii="Arial" w:hAnsi="Arial" w:cs="Arial"/>
          <w:sz w:val="22"/>
          <w:szCs w:val="22"/>
        </w:rPr>
        <w:t>bring. Well-paid clean energy jobs will be delivered across the UK, meaning people will have access to these opportunities in their hometowns </w:t>
      </w:r>
    </w:p>
    <w:p w:rsidRPr="00DB186C" w:rsidR="00DB186C" w:rsidP="00DB186C" w:rsidRDefault="00DB186C" w14:paraId="36C3785F" w14:textId="77777777">
      <w:pPr>
        <w:rPr>
          <w:rFonts w:ascii="Arial" w:hAnsi="Arial" w:cs="Arial"/>
          <w:sz w:val="22"/>
          <w:szCs w:val="22"/>
        </w:rPr>
      </w:pPr>
      <w:r w:rsidRPr="00DB186C">
        <w:rPr>
          <w:rFonts w:ascii="Arial" w:hAnsi="Arial" w:cs="Arial"/>
          <w:sz w:val="22"/>
          <w:szCs w:val="22"/>
        </w:rPr>
        <w:t>The UK is taking a globally standard setting, 1.5°C and climate science aligned approach to </w:t>
      </w:r>
      <w:r w:rsidRPr="00DB186C">
        <w:rPr>
          <w:rFonts w:ascii="Arial" w:hAnsi="Arial" w:cs="Arial"/>
          <w:b/>
          <w:bCs/>
          <w:sz w:val="22"/>
          <w:szCs w:val="22"/>
        </w:rPr>
        <w:t>future oil and gas production</w:t>
      </w:r>
      <w:r w:rsidRPr="00DB186C">
        <w:rPr>
          <w:rFonts w:ascii="Arial" w:hAnsi="Arial" w:cs="Arial"/>
          <w:sz w:val="22"/>
          <w:szCs w:val="22"/>
        </w:rPr>
        <w:t> as we transition away from fossil fuels in a just, orderly and equitable manner. This approach puts the UK at the forefront of climate leadership, but it is also the right choice for our energy security, providing good long-term jobs, and the best outcomes for workers and communities. We recently published our North Sea Future Plan which sets out many of the barriers faced in transitioning away from oil and gas production and what the government is doing about it. They include: Growing our North Sea clean energy industries by providing policy and investment certainty, catalytic public investment, removing barriers to private investment, and developing the supply chain; managing the ongoing role of oil and gas through the transition, including policies on oil and gas licensing and reform of the regulator; and supporting workers and communities to transition, including ensuring new jobs are good quality, supporting workers into those new jobs, removing barriers to training, and involving them in shaping the transition. </w:t>
      </w:r>
    </w:p>
    <w:p w:rsidRPr="00DB186C" w:rsidR="00DB186C" w:rsidP="00DB186C" w:rsidRDefault="00DB186C" w14:paraId="03ED9B19" w14:textId="386DFD06">
      <w:pPr>
        <w:rPr>
          <w:rFonts w:ascii="Arial" w:hAnsi="Arial" w:cs="Arial"/>
          <w:sz w:val="22"/>
          <w:szCs w:val="22"/>
        </w:rPr>
      </w:pPr>
      <w:r w:rsidRPr="00DB186C">
        <w:rPr>
          <w:rFonts w:ascii="Arial" w:hAnsi="Arial" w:cs="Arial"/>
          <w:sz w:val="22"/>
          <w:szCs w:val="22"/>
        </w:rPr>
        <w:t>A critical part of our approach</w:t>
      </w:r>
      <w:r w:rsidR="0045085D">
        <w:rPr>
          <w:rStyle w:val="FootnoteReference"/>
          <w:rFonts w:ascii="Arial" w:hAnsi="Arial" w:cs="Arial"/>
          <w:sz w:val="22"/>
          <w:szCs w:val="22"/>
        </w:rPr>
        <w:footnoteReference w:id="3"/>
      </w:r>
      <w:r w:rsidRPr="00DB186C">
        <w:rPr>
          <w:rFonts w:ascii="Arial" w:hAnsi="Arial" w:cs="Arial"/>
          <w:sz w:val="22"/>
          <w:szCs w:val="22"/>
        </w:rPr>
        <w:t> is to ensure our oil and gas workers and supply chain can take advantage of the opportunities of our clean energy transition, creating a global blueprint for a transition which supports prosperity, jobs, economic growth, communities and energy security. A key lesson has been the wide range of views across stakeholders and the importance of engaging broadly to understand them. Another important lesson is the value of cross</w:t>
      </w:r>
      <w:r w:rsidRPr="00DB186C">
        <w:rPr>
          <w:rFonts w:ascii="Arial" w:hAnsi="Arial" w:cs="Arial"/>
          <w:sz w:val="22"/>
          <w:szCs w:val="22"/>
        </w:rPr>
        <w:noBreakHyphen/>
      </w:r>
      <w:r w:rsidRPr="00DB186C">
        <w:rPr>
          <w:rFonts w:ascii="Arial" w:hAnsi="Arial" w:cs="Arial"/>
          <w:sz w:val="22"/>
          <w:szCs w:val="22"/>
        </w:rPr>
        <w:t>sector engagement.   </w:t>
      </w:r>
    </w:p>
    <w:p w:rsidRPr="00DB186C" w:rsidR="00DB186C" w:rsidP="00DB186C" w:rsidRDefault="00DB186C" w14:paraId="4D63C59A" w14:textId="77777777">
      <w:pPr>
        <w:rPr>
          <w:rFonts w:ascii="Arial" w:hAnsi="Arial" w:cs="Arial"/>
          <w:sz w:val="22"/>
          <w:szCs w:val="22"/>
        </w:rPr>
      </w:pPr>
      <w:r w:rsidRPr="00DB186C">
        <w:rPr>
          <w:rFonts w:ascii="Arial" w:hAnsi="Arial" w:cs="Arial"/>
          <w:b/>
          <w:bCs/>
          <w:sz w:val="22"/>
          <w:szCs w:val="22"/>
          <w:u w:val="single"/>
        </w:rPr>
        <w:t>Ensuring the transition reflects the diverse realities of countries at different stages of the transition</w:t>
      </w:r>
      <w:r w:rsidRPr="00DB186C">
        <w:rPr>
          <w:rFonts w:ascii="Arial" w:hAnsi="Arial" w:cs="Arial"/>
          <w:sz w:val="22"/>
          <w:szCs w:val="22"/>
        </w:rPr>
        <w:t> </w:t>
      </w:r>
    </w:p>
    <w:p w:rsidRPr="00DB186C" w:rsidR="00DB186C" w:rsidP="00DB186C" w:rsidRDefault="00DB186C" w14:paraId="07A095A4" w14:textId="77777777">
      <w:pPr>
        <w:rPr>
          <w:rFonts w:ascii="Arial" w:hAnsi="Arial" w:cs="Arial"/>
          <w:sz w:val="22"/>
          <w:szCs w:val="22"/>
        </w:rPr>
      </w:pPr>
      <w:r w:rsidRPr="00DB186C">
        <w:rPr>
          <w:rFonts w:ascii="Arial" w:hAnsi="Arial" w:cs="Arial"/>
          <w:b/>
          <w:bCs/>
          <w:i/>
          <w:iCs/>
          <w:sz w:val="22"/>
          <w:szCs w:val="22"/>
        </w:rPr>
        <w:t>A roadmap </w:t>
      </w:r>
      <w:proofErr w:type="gramStart"/>
      <w:r w:rsidRPr="00DB186C">
        <w:rPr>
          <w:rFonts w:ascii="Arial" w:hAnsi="Arial" w:cs="Arial"/>
          <w:b/>
          <w:bCs/>
          <w:i/>
          <w:iCs/>
          <w:sz w:val="22"/>
          <w:szCs w:val="22"/>
        </w:rPr>
        <w:t>process</w:t>
      </w:r>
      <w:proofErr w:type="gramEnd"/>
      <w:r w:rsidRPr="00DB186C">
        <w:rPr>
          <w:rFonts w:ascii="Arial" w:hAnsi="Arial" w:cs="Arial"/>
          <w:b/>
          <w:bCs/>
          <w:i/>
          <w:iCs/>
          <w:sz w:val="22"/>
          <w:szCs w:val="22"/>
        </w:rPr>
        <w:t> this year should embed certain key principles to ensure a just, orderly and equitable transition away from fossil fuels</w:t>
      </w:r>
      <w:r w:rsidRPr="00DB186C">
        <w:rPr>
          <w:rFonts w:ascii="Arial" w:hAnsi="Arial" w:cs="Arial"/>
          <w:sz w:val="22"/>
          <w:szCs w:val="22"/>
        </w:rPr>
        <w:t> </w:t>
      </w:r>
    </w:p>
    <w:p w:rsidRPr="00DB186C" w:rsidR="00DB186C" w:rsidP="00DB186C" w:rsidRDefault="00DB186C" w14:paraId="36996F3F" w14:textId="77777777">
      <w:pPr>
        <w:rPr>
          <w:rFonts w:ascii="Arial" w:hAnsi="Arial" w:cs="Arial"/>
          <w:sz w:val="22"/>
          <w:szCs w:val="22"/>
        </w:rPr>
      </w:pPr>
      <w:r w:rsidRPr="00DB186C">
        <w:rPr>
          <w:rFonts w:ascii="Arial" w:hAnsi="Arial" w:cs="Arial"/>
          <w:sz w:val="22"/>
          <w:szCs w:val="22"/>
        </w:rPr>
        <w:t>The UK supports a high ambition approach, and stands ready to engage constructively with Brazil and partners to help shape a roadmap process and products that: </w:t>
      </w:r>
    </w:p>
    <w:p w:rsidRPr="00DB186C" w:rsidR="00DB186C" w:rsidP="00DB186C" w:rsidRDefault="00DB186C" w14:paraId="374DA658" w14:textId="77777777">
      <w:pPr>
        <w:rPr>
          <w:rFonts w:ascii="Arial" w:hAnsi="Arial" w:cs="Arial"/>
          <w:sz w:val="22"/>
          <w:szCs w:val="22"/>
        </w:rPr>
      </w:pPr>
      <w:r w:rsidRPr="00DB186C">
        <w:rPr>
          <w:rFonts w:ascii="Arial" w:hAnsi="Arial" w:cs="Arial"/>
          <w:sz w:val="22"/>
          <w:szCs w:val="22"/>
        </w:rPr>
        <w:t xml:space="preserve">1. Are inclusive of both the global north and </w:t>
      </w:r>
      <w:proofErr w:type="gramStart"/>
      <w:r w:rsidRPr="00DB186C">
        <w:rPr>
          <w:rFonts w:ascii="Arial" w:hAnsi="Arial" w:cs="Arial"/>
          <w:sz w:val="22"/>
          <w:szCs w:val="22"/>
        </w:rPr>
        <w:t>south;</w:t>
      </w:r>
      <w:proofErr w:type="gramEnd"/>
      <w:r w:rsidRPr="00DB186C">
        <w:rPr>
          <w:rFonts w:ascii="Arial" w:hAnsi="Arial" w:cs="Arial"/>
          <w:sz w:val="22"/>
          <w:szCs w:val="22"/>
        </w:rPr>
        <w:t> </w:t>
      </w:r>
    </w:p>
    <w:p w:rsidRPr="00DB186C" w:rsidR="00DB186C" w:rsidP="00DB186C" w:rsidRDefault="00DB186C" w14:paraId="38F34B5F" w14:textId="77777777">
      <w:pPr>
        <w:rPr>
          <w:rFonts w:ascii="Arial" w:hAnsi="Arial" w:cs="Arial"/>
          <w:sz w:val="22"/>
          <w:szCs w:val="22"/>
        </w:rPr>
      </w:pPr>
      <w:r w:rsidRPr="00DB186C">
        <w:rPr>
          <w:rFonts w:ascii="Arial" w:hAnsi="Arial" w:cs="Arial"/>
          <w:sz w:val="22"/>
          <w:szCs w:val="22"/>
        </w:rPr>
        <w:t>2. Are grounded in the best available science, including from the IPCC, reflecting credible, technically grounded pathways for achieving net zero and limiting warming to 1.5°</w:t>
      </w:r>
      <w:proofErr w:type="gramStart"/>
      <w:r w:rsidRPr="00DB186C">
        <w:rPr>
          <w:rFonts w:ascii="Arial" w:hAnsi="Arial" w:cs="Arial"/>
          <w:sz w:val="22"/>
          <w:szCs w:val="22"/>
        </w:rPr>
        <w:t>C;</w:t>
      </w:r>
      <w:proofErr w:type="gramEnd"/>
      <w:r w:rsidRPr="00DB186C">
        <w:rPr>
          <w:rFonts w:ascii="Arial" w:hAnsi="Arial" w:cs="Arial"/>
          <w:sz w:val="22"/>
          <w:szCs w:val="22"/>
        </w:rPr>
        <w:t> </w:t>
      </w:r>
    </w:p>
    <w:p w:rsidRPr="00DB186C" w:rsidR="00DB186C" w:rsidP="00DB186C" w:rsidRDefault="00DB186C" w14:paraId="689F4756" w14:textId="77777777">
      <w:pPr>
        <w:rPr>
          <w:rFonts w:ascii="Arial" w:hAnsi="Arial" w:cs="Arial"/>
          <w:sz w:val="22"/>
          <w:szCs w:val="22"/>
        </w:rPr>
      </w:pPr>
      <w:r w:rsidRPr="00DB186C">
        <w:rPr>
          <w:rFonts w:ascii="Arial" w:hAnsi="Arial" w:cs="Arial"/>
          <w:sz w:val="22"/>
          <w:szCs w:val="22"/>
        </w:rPr>
        <w:t>3. Have just transition considerations at their core, ensuring fairness for communities and workers; and </w:t>
      </w:r>
    </w:p>
    <w:p w:rsidRPr="00DB186C" w:rsidR="00DB186C" w:rsidP="00DB186C" w:rsidRDefault="00DB186C" w14:paraId="4180A78D" w14:textId="77777777">
      <w:pPr>
        <w:rPr>
          <w:rFonts w:ascii="Arial" w:hAnsi="Arial" w:cs="Arial"/>
          <w:sz w:val="22"/>
          <w:szCs w:val="22"/>
        </w:rPr>
      </w:pPr>
      <w:r w:rsidRPr="00DB186C">
        <w:rPr>
          <w:rFonts w:ascii="Arial" w:hAnsi="Arial" w:cs="Arial"/>
          <w:sz w:val="22"/>
          <w:szCs w:val="22"/>
        </w:rPr>
        <w:t>4. Identifies and aligns the landscape of relevant institutions and initiatives. This should </w:t>
      </w:r>
      <w:proofErr w:type="gramStart"/>
      <w:r w:rsidRPr="00DB186C">
        <w:rPr>
          <w:rFonts w:ascii="Arial" w:hAnsi="Arial" w:cs="Arial"/>
          <w:sz w:val="22"/>
          <w:szCs w:val="22"/>
        </w:rPr>
        <w:t>including</w:t>
      </w:r>
      <w:proofErr w:type="gramEnd"/>
      <w:r w:rsidRPr="00DB186C">
        <w:rPr>
          <w:rFonts w:ascii="Arial" w:hAnsi="Arial" w:cs="Arial"/>
          <w:sz w:val="22"/>
          <w:szCs w:val="22"/>
        </w:rPr>
        <w:t> building on other international processes, including close collaboration where relevant around the outputs of the Santa Marta Conference on Transitioning Away from Fossil Fuels. The process of development and outputs from the roadmap should be clearly aligned with the UNFCCC process (including the Global Stocktake), with further discussion required on how the roadmaps should be considered at COP31 and future sessions. </w:t>
      </w:r>
    </w:p>
    <w:p w:rsidRPr="00DB186C" w:rsidR="00DB186C" w:rsidP="00DB186C" w:rsidRDefault="00DB186C" w14:paraId="7FA8A8FB" w14:textId="77777777">
      <w:pPr>
        <w:rPr>
          <w:rFonts w:ascii="Arial" w:hAnsi="Arial" w:cs="Arial"/>
          <w:sz w:val="22"/>
          <w:szCs w:val="22"/>
        </w:rPr>
      </w:pPr>
      <w:r w:rsidRPr="00DB186C">
        <w:rPr>
          <w:rFonts w:ascii="Arial" w:hAnsi="Arial" w:cs="Arial"/>
          <w:b/>
          <w:bCs/>
          <w:i/>
          <w:iCs/>
          <w:sz w:val="22"/>
          <w:szCs w:val="22"/>
        </w:rPr>
        <w:t>Tailored and practical advice is needed to support countries with their national planning and implementing the transition</w:t>
      </w:r>
      <w:r w:rsidRPr="00DB186C">
        <w:rPr>
          <w:rFonts w:ascii="Arial" w:hAnsi="Arial" w:cs="Arial"/>
          <w:sz w:val="22"/>
          <w:szCs w:val="22"/>
        </w:rPr>
        <w:t> </w:t>
      </w:r>
    </w:p>
    <w:p w:rsidRPr="00DB186C" w:rsidR="00DB186C" w:rsidP="00DB186C" w:rsidRDefault="00DB186C" w14:paraId="0467A072" w14:textId="77777777">
      <w:pPr>
        <w:rPr>
          <w:rFonts w:ascii="Arial" w:hAnsi="Arial" w:cs="Arial"/>
          <w:sz w:val="22"/>
          <w:szCs w:val="22"/>
        </w:rPr>
      </w:pPr>
      <w:r w:rsidRPr="00DB186C">
        <w:rPr>
          <w:rFonts w:ascii="Arial" w:hAnsi="Arial" w:cs="Arial"/>
          <w:sz w:val="22"/>
          <w:szCs w:val="22"/>
        </w:rPr>
        <w:t>The international community should ensure there is support for countries where the transition may be hardest, such as Global South fossil fuel producers that are dependent on fossil fuels for a large proportion of government revenue. As many significant countries and regions for fossil fuel demand transition away from fossil fuels, producers (particularly those with a high cost of production) will be increasingly at risk. </w:t>
      </w:r>
    </w:p>
    <w:p w:rsidRPr="00DB186C" w:rsidR="00DB186C" w:rsidP="00DB186C" w:rsidRDefault="00DB186C" w14:paraId="1682E140" w14:textId="77777777">
      <w:pPr>
        <w:rPr>
          <w:rFonts w:ascii="Arial" w:hAnsi="Arial" w:cs="Arial"/>
          <w:sz w:val="22"/>
          <w:szCs w:val="22"/>
        </w:rPr>
      </w:pPr>
      <w:r w:rsidRPr="00DB186C">
        <w:rPr>
          <w:rFonts w:ascii="Arial" w:hAnsi="Arial" w:cs="Arial"/>
          <w:sz w:val="22"/>
          <w:szCs w:val="22"/>
        </w:rPr>
        <w:t>There is scope for further discussion, on a voluntary basis and tailored to the specific needs of individual countries, to bring together detailed and practical analysis and guidance for producer countries to better understand the fiscal and economic implications of different transition pathways and how these can be managed and reflected in national planning.  </w:t>
      </w:r>
    </w:p>
    <w:p w:rsidRPr="00DB186C" w:rsidR="00DB186C" w:rsidP="00DB186C" w:rsidRDefault="00DB186C" w14:paraId="360811B1" w14:textId="77777777">
      <w:pPr>
        <w:rPr>
          <w:rFonts w:ascii="Arial" w:hAnsi="Arial" w:cs="Arial"/>
          <w:sz w:val="22"/>
          <w:szCs w:val="22"/>
        </w:rPr>
      </w:pPr>
      <w:r w:rsidRPr="00DB186C">
        <w:rPr>
          <w:rFonts w:ascii="Arial" w:hAnsi="Arial" w:cs="Arial"/>
          <w:sz w:val="22"/>
          <w:szCs w:val="22"/>
        </w:rPr>
        <w:t>The UK stands ready to support with convening some of these discussions, bringing together relevant experts and countries that are interested in such support. This could ultimately be an in input to the </w:t>
      </w:r>
      <w:proofErr w:type="gramStart"/>
      <w:r w:rsidRPr="00DB186C">
        <w:rPr>
          <w:rFonts w:ascii="Arial" w:hAnsi="Arial" w:cs="Arial"/>
          <w:sz w:val="22"/>
          <w:szCs w:val="22"/>
        </w:rPr>
        <w:t>Roadmap</w:t>
      </w:r>
      <w:proofErr w:type="gramEnd"/>
      <w:r w:rsidRPr="00DB186C">
        <w:rPr>
          <w:rFonts w:ascii="Arial" w:hAnsi="Arial" w:cs="Arial"/>
          <w:sz w:val="22"/>
          <w:szCs w:val="22"/>
        </w:rPr>
        <w:t> process, while also enabling countries to develop individual national roadmaps on transitioning away from fossil fuels.  </w:t>
      </w:r>
    </w:p>
    <w:p w:rsidRPr="00DB186C" w:rsidR="00DB186C" w:rsidP="00DB186C" w:rsidRDefault="00DB186C" w14:paraId="6E9B8B0A" w14:textId="77777777">
      <w:pPr>
        <w:rPr>
          <w:rFonts w:ascii="Arial" w:hAnsi="Arial" w:cs="Arial"/>
          <w:sz w:val="22"/>
          <w:szCs w:val="22"/>
        </w:rPr>
      </w:pPr>
      <w:r w:rsidRPr="00DB186C">
        <w:rPr>
          <w:rFonts w:ascii="Arial" w:hAnsi="Arial" w:cs="Arial"/>
          <w:sz w:val="22"/>
          <w:szCs w:val="22"/>
        </w:rPr>
        <w:t>This voluntary process could lead to the development of national roadmaps for high priority countries who have sought out transition support, while also establishing the framework through which tailored advice can be delivered at a national level, that is responsive to the needs and concerns of the country in question. This country-specific national planning could then complement plans to deliver a global platform, by acting as an input into any global repository of solutions, to guide and inform future national roadmap planning with lessons of best practice.  </w:t>
      </w:r>
    </w:p>
    <w:p w:rsidRPr="00DB186C" w:rsidR="00DE71FA" w:rsidRDefault="00DE71FA" w14:paraId="0F62AF2B" w14:textId="77777777">
      <w:pPr>
        <w:rPr>
          <w:rFonts w:ascii="Arial" w:hAnsi="Arial" w:cs="Arial"/>
          <w:sz w:val="22"/>
          <w:szCs w:val="22"/>
        </w:rPr>
      </w:pPr>
    </w:p>
    <w:sectPr w:rsidRPr="00DB186C" w:rsidR="00DE71FA">
      <w:headerReference w:type="even" r:id="rId7"/>
      <w:headerReference w:type="default" r:id="rId8"/>
      <w:footerReference w:type="even" r:id="rId9"/>
      <w:footerReference w:type="default" r:id="rId10"/>
      <w:headerReference w:type="first" r:id="rId11"/>
      <w:footerReference w:type="firs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A4721" w:rsidP="004F3B51" w:rsidRDefault="004A4721" w14:paraId="73BFE84E" w14:textId="77777777">
      <w:pPr>
        <w:spacing w:after="0" w:line="240" w:lineRule="auto"/>
      </w:pPr>
      <w:r>
        <w:separator/>
      </w:r>
    </w:p>
  </w:endnote>
  <w:endnote w:type="continuationSeparator" w:id="0">
    <w:p w:rsidR="004A4721" w:rsidP="004F3B51" w:rsidRDefault="004A4721" w14:paraId="460BEDD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F3B51" w:rsidRDefault="004F3B51" w14:paraId="6872C7AD" w14:textId="3988BBA3">
    <w:pPr>
      <w:pStyle w:val="Footer"/>
    </w:pPr>
    <w:r>
      <w:rPr>
        <w:noProof/>
      </w:rPr>
      <mc:AlternateContent>
        <mc:Choice Requires="wps">
          <w:drawing>
            <wp:anchor distT="0" distB="0" distL="0" distR="0" simplePos="0" relativeHeight="251662336" behindDoc="0" locked="0" layoutInCell="1" allowOverlap="1" wp14:anchorId="4D933395" wp14:editId="7DA61EBE">
              <wp:simplePos x="635" y="635"/>
              <wp:positionH relativeFrom="page">
                <wp:align>center</wp:align>
              </wp:positionH>
              <wp:positionV relativeFrom="page">
                <wp:align>bottom</wp:align>
              </wp:positionV>
              <wp:extent cx="518795" cy="370205"/>
              <wp:effectExtent l="0" t="0" r="14605" b="0"/>
              <wp:wrapNone/>
              <wp:docPr id="121559780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205"/>
                      </a:xfrm>
                      <a:prstGeom prst="rect">
                        <a:avLst/>
                      </a:prstGeom>
                      <a:noFill/>
                      <a:ln>
                        <a:noFill/>
                      </a:ln>
                    </wps:spPr>
                    <wps:txbx>
                      <w:txbxContent>
                        <w:p w:rsidRPr="004F3B51" w:rsidR="004F3B51" w:rsidP="004F3B51" w:rsidRDefault="004F3B51" w14:paraId="24FBE32F" w14:textId="6E474EF3">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A759BD2">
            <v:shapetype id="_x0000_t202" coordsize="21600,21600" o:spt="202" path="m,l,21600r21600,l21600,xe" w14:anchorId="4D933395">
              <v:stroke joinstyle="miter"/>
              <v:path gradientshapeok="t" o:connecttype="rect"/>
            </v:shapetype>
            <v:shape id="Text Box 5" style="position:absolute;margin-left:0;margin-top:0;width:40.85pt;height:29.15pt;z-index:251662336;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">
              <v:fill o:detectmouseclick="t"/>
              <v:textbox style="mso-fit-shape-to-text:t" inset="0,0,0,15pt">
                <w:txbxContent>
                  <w:p w:rsidRPr="004F3B51" w:rsidR="004F3B51" w:rsidP="004F3B51" w:rsidRDefault="004F3B51" w14:paraId="2CCFEE10" w14:textId="6E474EF3">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F3B51" w:rsidRDefault="004F3B51" w14:paraId="760B6C2B" w14:textId="4D2077B8">
    <w:pPr>
      <w:pStyle w:val="Footer"/>
    </w:pPr>
    <w:r>
      <w:rPr>
        <w:noProof/>
      </w:rPr>
      <mc:AlternateContent>
        <mc:Choice Requires="wps">
          <w:drawing>
            <wp:anchor distT="0" distB="0" distL="0" distR="0" simplePos="0" relativeHeight="251663360" behindDoc="0" locked="0" layoutInCell="1" allowOverlap="1" wp14:anchorId="719DA49C" wp14:editId="1686B31C">
              <wp:simplePos x="914400" y="10058400"/>
              <wp:positionH relativeFrom="page">
                <wp:align>center</wp:align>
              </wp:positionH>
              <wp:positionV relativeFrom="page">
                <wp:align>bottom</wp:align>
              </wp:positionV>
              <wp:extent cx="518795" cy="370205"/>
              <wp:effectExtent l="0" t="0" r="14605" b="0"/>
              <wp:wrapNone/>
              <wp:docPr id="658328492"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205"/>
                      </a:xfrm>
                      <a:prstGeom prst="rect">
                        <a:avLst/>
                      </a:prstGeom>
                      <a:noFill/>
                      <a:ln>
                        <a:noFill/>
                      </a:ln>
                    </wps:spPr>
                    <wps:txbx>
                      <w:txbxContent>
                        <w:p w:rsidRPr="004F3B51" w:rsidR="004F3B51" w:rsidP="004F3B51" w:rsidRDefault="004F3B51" w14:paraId="1B494194" w14:textId="64658954">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02DA63BA">
            <v:shapetype id="_x0000_t202" coordsize="21600,21600" o:spt="202" path="m,l,21600r21600,l21600,xe" w14:anchorId="719DA49C">
              <v:stroke joinstyle="miter"/>
              <v:path gradientshapeok="t" o:connecttype="rect"/>
            </v:shapetype>
            <v:shape id="Text Box 6" style="position:absolute;margin-left:0;margin-top:0;width:40.85pt;height:29.15pt;z-index:251663360;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">
              <v:fill o:detectmouseclick="t"/>
              <v:textbox style="mso-fit-shape-to-text:t" inset="0,0,0,15pt">
                <w:txbxContent>
                  <w:p w:rsidRPr="004F3B51" w:rsidR="004F3B51" w:rsidP="004F3B51" w:rsidRDefault="004F3B51" w14:paraId="171AAEBA" w14:textId="64658954">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F3B51" w:rsidRDefault="004F3B51" w14:paraId="6AC0EF9B" w14:textId="06404332">
    <w:pPr>
      <w:pStyle w:val="Footer"/>
    </w:pPr>
    <w:r>
      <w:rPr>
        <w:noProof/>
      </w:rPr>
      <mc:AlternateContent>
        <mc:Choice Requires="wps">
          <w:drawing>
            <wp:anchor distT="0" distB="0" distL="0" distR="0" simplePos="0" relativeHeight="251661312" behindDoc="0" locked="0" layoutInCell="1" allowOverlap="1" wp14:anchorId="6A5E8929" wp14:editId="2F854884">
              <wp:simplePos x="635" y="635"/>
              <wp:positionH relativeFrom="page">
                <wp:align>center</wp:align>
              </wp:positionH>
              <wp:positionV relativeFrom="page">
                <wp:align>bottom</wp:align>
              </wp:positionV>
              <wp:extent cx="518795" cy="370205"/>
              <wp:effectExtent l="0" t="0" r="14605" b="0"/>
              <wp:wrapNone/>
              <wp:docPr id="177506865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205"/>
                      </a:xfrm>
                      <a:prstGeom prst="rect">
                        <a:avLst/>
                      </a:prstGeom>
                      <a:noFill/>
                      <a:ln>
                        <a:noFill/>
                      </a:ln>
                    </wps:spPr>
                    <wps:txbx>
                      <w:txbxContent>
                        <w:p w:rsidRPr="004F3B51" w:rsidR="004F3B51" w:rsidP="004F3B51" w:rsidRDefault="004F3B51" w14:paraId="2B083839" w14:textId="7561BC2B">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10EF967F">
            <v:shapetype id="_x0000_t202" coordsize="21600,21600" o:spt="202" path="m,l,21600r21600,l21600,xe" w14:anchorId="6A5E8929">
              <v:stroke joinstyle="miter"/>
              <v:path gradientshapeok="t" o:connecttype="rect"/>
            </v:shapetype>
            <v:shape id="Text Box 4" style="position:absolute;margin-left:0;margin-top:0;width:40.85pt;height:29.15pt;z-index:251661312;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">
              <v:fill o:detectmouseclick="t"/>
              <v:textbox style="mso-fit-shape-to-text:t" inset="0,0,0,15pt">
                <w:txbxContent>
                  <w:p w:rsidRPr="004F3B51" w:rsidR="004F3B51" w:rsidP="004F3B51" w:rsidRDefault="004F3B51" w14:paraId="75F360E3" w14:textId="7561BC2B">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A4721" w:rsidP="004F3B51" w:rsidRDefault="004A4721" w14:paraId="778B7567" w14:textId="77777777">
      <w:pPr>
        <w:spacing w:after="0" w:line="240" w:lineRule="auto"/>
      </w:pPr>
      <w:r>
        <w:separator/>
      </w:r>
    </w:p>
  </w:footnote>
  <w:footnote w:type="continuationSeparator" w:id="0">
    <w:p w:rsidR="004A4721" w:rsidP="004F3B51" w:rsidRDefault="004A4721" w14:paraId="4906BE9E" w14:textId="77777777">
      <w:pPr>
        <w:spacing w:after="0" w:line="240" w:lineRule="auto"/>
      </w:pPr>
      <w:r>
        <w:continuationSeparator/>
      </w:r>
    </w:p>
  </w:footnote>
  <w:footnote w:id="1">
    <w:p w:rsidR="0029329A" w:rsidRDefault="0029329A" w14:paraId="07C3C65D" w14:textId="007CCD33">
      <w:pPr>
        <w:pStyle w:val="FootnoteText"/>
      </w:pPr>
      <w:r>
        <w:rPr>
          <w:rStyle w:val="FootnoteReference"/>
        </w:rPr>
        <w:footnoteRef/>
      </w:r>
      <w:r>
        <w:t xml:space="preserve"> </w:t>
      </w:r>
      <w:r w:rsidRPr="0029329A">
        <w:rPr>
          <w:vertAlign w:val="superscript"/>
        </w:rPr>
        <w:t>1</w:t>
      </w:r>
      <w:r w:rsidRPr="0029329A">
        <w:t>National Audit Office (2024) Energy bills support: an update  </w:t>
      </w:r>
    </w:p>
  </w:footnote>
  <w:footnote w:id="2">
    <w:p w:rsidR="009C61B8" w:rsidRDefault="009C61B8" w14:paraId="41906AE6" w14:textId="46779584">
      <w:pPr>
        <w:pStyle w:val="FootnoteText"/>
      </w:pPr>
      <w:r>
        <w:rPr>
          <w:rStyle w:val="FootnoteReference"/>
        </w:rPr>
        <w:footnoteRef/>
      </w:r>
      <w:r>
        <w:t xml:space="preserve"> </w:t>
      </w:r>
      <w:hyperlink w:tgtFrame="_blank" w:history="1" r:id="rId1">
        <w:r w:rsidRPr="009C61B8">
          <w:rPr>
            <w:rStyle w:val="Hyperlink"/>
          </w:rPr>
          <w:t>Warm Homes Plan</w:t>
        </w:r>
      </w:hyperlink>
      <w:r w:rsidRPr="009C61B8">
        <w:t> (2026)</w:t>
      </w:r>
    </w:p>
  </w:footnote>
  <w:footnote w:id="3">
    <w:p w:rsidR="0045085D" w:rsidRDefault="0045085D" w14:paraId="6E90B2D5" w14:textId="118D3602">
      <w:pPr>
        <w:pStyle w:val="FootnoteText"/>
      </w:pPr>
      <w:r>
        <w:rPr>
          <w:rStyle w:val="FootnoteReference"/>
        </w:rPr>
        <w:footnoteRef/>
      </w:r>
      <w:r>
        <w:t xml:space="preserve"> </w:t>
      </w:r>
      <w:r w:rsidRPr="0045085D">
        <w:t> </w:t>
      </w:r>
      <w:hyperlink w:tgtFrame="_blank" w:history="1" r:id="rId2">
        <w:r w:rsidRPr="0045085D">
          <w:rPr>
            <w:rStyle w:val="Hyperlink"/>
          </w:rPr>
          <w:t>Building the North Sea’s energy future: government response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F3B51" w:rsidRDefault="004F3B51" w14:paraId="576ED872" w14:textId="05B60C50">
    <w:pPr>
      <w:pStyle w:val="Header"/>
    </w:pPr>
    <w:r>
      <w:rPr>
        <w:noProof/>
      </w:rPr>
      <mc:AlternateContent>
        <mc:Choice Requires="wps">
          <w:drawing>
            <wp:anchor distT="0" distB="0" distL="0" distR="0" simplePos="0" relativeHeight="251659264" behindDoc="0" locked="0" layoutInCell="1" allowOverlap="1" wp14:anchorId="340313BB" wp14:editId="2D0B7AF4">
              <wp:simplePos x="635" y="635"/>
              <wp:positionH relativeFrom="page">
                <wp:align>center</wp:align>
              </wp:positionH>
              <wp:positionV relativeFrom="page">
                <wp:align>top</wp:align>
              </wp:positionV>
              <wp:extent cx="518795" cy="370205"/>
              <wp:effectExtent l="0" t="0" r="14605" b="10795"/>
              <wp:wrapNone/>
              <wp:docPr id="72047441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70205"/>
                      </a:xfrm>
                      <a:prstGeom prst="rect">
                        <a:avLst/>
                      </a:prstGeom>
                      <a:noFill/>
                      <a:ln>
                        <a:noFill/>
                      </a:ln>
                    </wps:spPr>
                    <wps:txbx>
                      <w:txbxContent>
                        <w:p w:rsidRPr="004F3B51" w:rsidR="004F3B51" w:rsidP="004F3B51" w:rsidRDefault="004F3B51" w14:paraId="46645DD6" w14:textId="1370B4A9">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7F3C62B2">
            <v:shapetype id="_x0000_t202" coordsize="21600,21600" o:spt="202" path="m,l,21600r21600,l21600,xe" w14:anchorId="340313BB">
              <v:stroke joinstyle="miter"/>
              <v:path gradientshapeok="t" o:connecttype="rect"/>
            </v:shapetype>
            <v:shape id="Text Box 2" style="position:absolute;margin-left:0;margin-top:0;width:40.85pt;height:29.15pt;z-index:251659264;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">
              <v:fill o:detectmouseclick="t"/>
              <v:textbox style="mso-fit-shape-to-text:t" inset="0,15pt,0,0">
                <w:txbxContent>
                  <w:p w:rsidRPr="004F3B51" w:rsidR="004F3B51" w:rsidP="004F3B51" w:rsidRDefault="004F3B51" w14:paraId="09E77742" w14:textId="1370B4A9">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F3B51" w:rsidRDefault="004F3B51" w14:paraId="0B1AECD7" w14:textId="2B79B3AC">
    <w:pPr>
      <w:pStyle w:val="Header"/>
    </w:pPr>
    <w:r>
      <w:rPr>
        <w:noProof/>
      </w:rPr>
      <mc:AlternateContent>
        <mc:Choice Requires="wps">
          <w:drawing>
            <wp:anchor distT="0" distB="0" distL="0" distR="0" simplePos="0" relativeHeight="251660288" behindDoc="0" locked="0" layoutInCell="1" allowOverlap="1" wp14:anchorId="76EE99AF" wp14:editId="7349EE11">
              <wp:simplePos x="914400" y="447675"/>
              <wp:positionH relativeFrom="page">
                <wp:align>center</wp:align>
              </wp:positionH>
              <wp:positionV relativeFrom="page">
                <wp:align>top</wp:align>
              </wp:positionV>
              <wp:extent cx="518795" cy="370205"/>
              <wp:effectExtent l="0" t="0" r="14605" b="10795"/>
              <wp:wrapNone/>
              <wp:docPr id="111399108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70205"/>
                      </a:xfrm>
                      <a:prstGeom prst="rect">
                        <a:avLst/>
                      </a:prstGeom>
                      <a:noFill/>
                      <a:ln>
                        <a:noFill/>
                      </a:ln>
                    </wps:spPr>
                    <wps:txbx>
                      <w:txbxContent>
                        <w:p w:rsidRPr="004F3B51" w:rsidR="004F3B51" w:rsidP="004F3B51" w:rsidRDefault="004F3B51" w14:paraId="10B75352" w14:textId="64043173">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4FC02AF8">
            <v:shapetype id="_x0000_t202" coordsize="21600,21600" o:spt="202" path="m,l,21600r21600,l21600,xe" w14:anchorId="76EE99AF">
              <v:stroke joinstyle="miter"/>
              <v:path gradientshapeok="t" o:connecttype="rect"/>
            </v:shapetype>
            <v:shape id="Text Box 3" style="position:absolute;margin-left:0;margin-top:0;width:40.85pt;height:29.15pt;z-index:251660288;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">
              <v:fill o:detectmouseclick="t"/>
              <v:textbox style="mso-fit-shape-to-text:t" inset="0,15pt,0,0">
                <w:txbxContent>
                  <w:p w:rsidRPr="004F3B51" w:rsidR="004F3B51" w:rsidP="004F3B51" w:rsidRDefault="004F3B51" w14:paraId="08CE8BEA" w14:textId="64043173">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4F3B51" w:rsidRDefault="004F3B51" w14:paraId="57246EA1" w14:textId="493D4024">
    <w:pPr>
      <w:pStyle w:val="Header"/>
    </w:pPr>
    <w:r>
      <w:rPr>
        <w:noProof/>
      </w:rPr>
      <mc:AlternateContent>
        <mc:Choice Requires="wps">
          <w:drawing>
            <wp:anchor distT="0" distB="0" distL="0" distR="0" simplePos="0" relativeHeight="251658240" behindDoc="0" locked="0" layoutInCell="1" allowOverlap="1" wp14:anchorId="4DD27673" wp14:editId="6B63C3FE">
              <wp:simplePos x="635" y="635"/>
              <wp:positionH relativeFrom="page">
                <wp:align>center</wp:align>
              </wp:positionH>
              <wp:positionV relativeFrom="page">
                <wp:align>top</wp:align>
              </wp:positionV>
              <wp:extent cx="518795" cy="370205"/>
              <wp:effectExtent l="0" t="0" r="14605" b="10795"/>
              <wp:wrapNone/>
              <wp:docPr id="213878386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70205"/>
                      </a:xfrm>
                      <a:prstGeom prst="rect">
                        <a:avLst/>
                      </a:prstGeom>
                      <a:noFill/>
                      <a:ln>
                        <a:noFill/>
                      </a:ln>
                    </wps:spPr>
                    <wps:txbx>
                      <w:txbxContent>
                        <w:p w:rsidRPr="004F3B51" w:rsidR="004F3B51" w:rsidP="004F3B51" w:rsidRDefault="004F3B51" w14:paraId="7972E746" w14:textId="481F68EE">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2675E762">
            <v:shapetype id="_x0000_t202" coordsize="21600,21600" o:spt="202" path="m,l,21600r21600,l21600,xe" w14:anchorId="4DD27673">
              <v:stroke joinstyle="miter"/>
              <v:path gradientshapeok="t" o:connecttype="rect"/>
            </v:shapetype>
            <v:shape id="Text Box 1" style="position:absolute;margin-left:0;margin-top:0;width:40.85pt;height:29.1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">
              <v:fill o:detectmouseclick="t"/>
              <v:textbox style="mso-fit-shape-to-text:t" inset="0,15pt,0,0">
                <w:txbxContent>
                  <w:p w:rsidRPr="004F3B51" w:rsidR="004F3B51" w:rsidP="004F3B51" w:rsidRDefault="004F3B51" w14:paraId="17D1F485" w14:textId="481F68EE">
                    <w:pPr>
                      <w:spacing w:after="0"/>
                      <w:rPr>
                        <w:rFonts w:ascii="Aptos" w:hAnsi="Aptos" w:eastAsia="Aptos" w:cs="Aptos"/>
                        <w:noProof/>
                        <w:color w:val="000000"/>
                        <w:sz w:val="20"/>
                        <w:szCs w:val="20"/>
                      </w:rPr>
                    </w:pPr>
                    <w:r w:rsidRPr="004F3B51">
                      <w:rPr>
                        <w:rFonts w:ascii="Aptos" w:hAnsi="Aptos" w:eastAsia="Aptos" w:cs="Aptos"/>
                        <w:noProof/>
                        <w:color w:val="000000"/>
                        <w:sz w:val="20"/>
                        <w:szCs w:val="20"/>
                      </w:rPr>
                      <w:t>OFFICIAL</w:t>
                    </w:r>
                  </w:p>
                </w:txbxContent>
              </v:textbox>
              <w10:wrap anchorx="page" anchory="page"/>
            </v:shape>
          </w:pict>
        </mc:Fallback>
      </mc:AlternateContent>
    </w:r>
  </w:p>
</w:hdr>
</file>

<file path=word/numbering.xml><?xml version="1.0" encoding="utf-8"?>
<w:numbering xmlns:w="http://schemas.openxmlformats.org/wordprocessingml/2006/main">
  <w:abstractNum xmlns:w="http://schemas.openxmlformats.org/wordprocessingml/2006/main" w:abstractNumId="2">
    <w:nsid w:val="4c721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260e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6C"/>
    <w:rsid w:val="000E2632"/>
    <w:rsid w:val="0029329A"/>
    <w:rsid w:val="00306E71"/>
    <w:rsid w:val="0032161E"/>
    <w:rsid w:val="0045085D"/>
    <w:rsid w:val="004A4721"/>
    <w:rsid w:val="004F3B51"/>
    <w:rsid w:val="0060047A"/>
    <w:rsid w:val="009C61B8"/>
    <w:rsid w:val="009D3409"/>
    <w:rsid w:val="00B56567"/>
    <w:rsid w:val="00CC692E"/>
    <w:rsid w:val="00DB186C"/>
    <w:rsid w:val="00DE71FA"/>
    <w:rsid w:val="00E23046"/>
    <w:rsid w:val="00F0104E"/>
    <w:rsid w:val="09C72ADE"/>
    <w:rsid w:val="27C2A540"/>
    <w:rsid w:val="406A2719"/>
    <w:rsid w:val="4B72D675"/>
    <w:rsid w:val="4F44B215"/>
    <w:rsid w:val="5A9C09B6"/>
    <w:rsid w:val="5DF48916"/>
    <w:rsid w:val="680A2CBB"/>
    <w:rsid w:val="6A28E8D3"/>
    <w:rsid w:val="7A71B612"/>
    <w:rsid w:val="7E5B6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C69D3"/>
  <w15:chartTrackingRefBased/>
  <w15:docId w15:val="{3552E5A4-6060-4661-ACD1-339015ABCC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B186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186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18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8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8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8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8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8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86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B186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B186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B186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B186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B186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B186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B186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B186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B186C"/>
    <w:rPr>
      <w:rFonts w:eastAsiaTheme="majorEastAsia" w:cstheme="majorBidi"/>
      <w:color w:val="272727" w:themeColor="text1" w:themeTint="D8"/>
    </w:rPr>
  </w:style>
  <w:style w:type="paragraph" w:styleId="Title">
    <w:name w:val="Title"/>
    <w:basedOn w:val="Normal"/>
    <w:next w:val="Normal"/>
    <w:link w:val="TitleChar"/>
    <w:uiPriority w:val="10"/>
    <w:qFormat/>
    <w:rsid w:val="00DB186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B186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B186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B18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86C"/>
    <w:pPr>
      <w:spacing w:before="160"/>
      <w:jc w:val="center"/>
    </w:pPr>
    <w:rPr>
      <w:i/>
      <w:iCs/>
      <w:color w:val="404040" w:themeColor="text1" w:themeTint="BF"/>
    </w:rPr>
  </w:style>
  <w:style w:type="character" w:styleId="QuoteChar" w:customStyle="1">
    <w:name w:val="Quote Char"/>
    <w:basedOn w:val="DefaultParagraphFont"/>
    <w:link w:val="Quote"/>
    <w:uiPriority w:val="29"/>
    <w:rsid w:val="00DB186C"/>
    <w:rPr>
      <w:i/>
      <w:iCs/>
      <w:color w:val="404040" w:themeColor="text1" w:themeTint="BF"/>
    </w:rPr>
  </w:style>
  <w:style w:type="paragraph" w:styleId="ListParagraph">
    <w:name w:val="List Paragraph"/>
    <w:basedOn w:val="Normal"/>
    <w:uiPriority w:val="34"/>
    <w:qFormat/>
    <w:rsid w:val="00DB186C"/>
    <w:pPr>
      <w:ind w:left="720"/>
      <w:contextualSpacing/>
    </w:pPr>
  </w:style>
  <w:style w:type="character" w:styleId="IntenseEmphasis">
    <w:name w:val="Intense Emphasis"/>
    <w:basedOn w:val="DefaultParagraphFont"/>
    <w:uiPriority w:val="21"/>
    <w:qFormat/>
    <w:rsid w:val="00DB186C"/>
    <w:rPr>
      <w:i/>
      <w:iCs/>
      <w:color w:val="0F4761" w:themeColor="accent1" w:themeShade="BF"/>
    </w:rPr>
  </w:style>
  <w:style w:type="paragraph" w:styleId="IntenseQuote">
    <w:name w:val="Intense Quote"/>
    <w:basedOn w:val="Normal"/>
    <w:next w:val="Normal"/>
    <w:link w:val="IntenseQuoteChar"/>
    <w:uiPriority w:val="30"/>
    <w:qFormat/>
    <w:rsid w:val="00DB186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B186C"/>
    <w:rPr>
      <w:i/>
      <w:iCs/>
      <w:color w:val="0F4761" w:themeColor="accent1" w:themeShade="BF"/>
    </w:rPr>
  </w:style>
  <w:style w:type="character" w:styleId="IntenseReference">
    <w:name w:val="Intense Reference"/>
    <w:basedOn w:val="DefaultParagraphFont"/>
    <w:uiPriority w:val="32"/>
    <w:qFormat/>
    <w:rsid w:val="00DB186C"/>
    <w:rPr>
      <w:b/>
      <w:bCs/>
      <w:smallCaps/>
      <w:color w:val="0F4761" w:themeColor="accent1" w:themeShade="BF"/>
      <w:spacing w:val="5"/>
    </w:rPr>
  </w:style>
  <w:style w:type="paragraph" w:styleId="paragraph" w:customStyle="1">
    <w:name w:val="paragraph"/>
    <w:basedOn w:val="Normal"/>
    <w:rsid w:val="00DB186C"/>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DB186C"/>
  </w:style>
  <w:style w:type="character" w:styleId="eop" w:customStyle="1">
    <w:name w:val="eop"/>
    <w:basedOn w:val="DefaultParagraphFont"/>
    <w:rsid w:val="00DB186C"/>
  </w:style>
  <w:style w:type="character" w:styleId="superscript" w:customStyle="1">
    <w:name w:val="superscript"/>
    <w:basedOn w:val="DefaultParagraphFont"/>
    <w:rsid w:val="00DB186C"/>
  </w:style>
  <w:style w:type="paragraph" w:styleId="Header">
    <w:name w:val="header"/>
    <w:basedOn w:val="Normal"/>
    <w:link w:val="HeaderChar"/>
    <w:uiPriority w:val="99"/>
    <w:unhideWhenUsed/>
    <w:rsid w:val="004F3B51"/>
    <w:pPr>
      <w:tabs>
        <w:tab w:val="center" w:pos="4513"/>
        <w:tab w:val="right" w:pos="9026"/>
      </w:tabs>
      <w:spacing w:after="0" w:line="240" w:lineRule="auto"/>
    </w:pPr>
  </w:style>
  <w:style w:type="character" w:styleId="HeaderChar" w:customStyle="1">
    <w:name w:val="Header Char"/>
    <w:basedOn w:val="DefaultParagraphFont"/>
    <w:link w:val="Header"/>
    <w:uiPriority w:val="99"/>
    <w:rsid w:val="004F3B51"/>
  </w:style>
  <w:style w:type="paragraph" w:styleId="Footer">
    <w:name w:val="footer"/>
    <w:basedOn w:val="Normal"/>
    <w:link w:val="FooterChar"/>
    <w:uiPriority w:val="99"/>
    <w:unhideWhenUsed/>
    <w:rsid w:val="004F3B51"/>
    <w:pPr>
      <w:tabs>
        <w:tab w:val="center" w:pos="4513"/>
        <w:tab w:val="right" w:pos="9026"/>
      </w:tabs>
      <w:spacing w:after="0" w:line="240" w:lineRule="auto"/>
    </w:pPr>
  </w:style>
  <w:style w:type="character" w:styleId="FooterChar" w:customStyle="1">
    <w:name w:val="Footer Char"/>
    <w:basedOn w:val="DefaultParagraphFont"/>
    <w:link w:val="Footer"/>
    <w:uiPriority w:val="99"/>
    <w:rsid w:val="004F3B51"/>
  </w:style>
  <w:style w:type="paragraph" w:styleId="EndnoteText">
    <w:name w:val="endnote text"/>
    <w:basedOn w:val="Normal"/>
    <w:link w:val="EndnoteTextChar"/>
    <w:uiPriority w:val="99"/>
    <w:semiHidden/>
    <w:unhideWhenUsed/>
    <w:rsid w:val="0060047A"/>
    <w:pPr>
      <w:spacing w:after="0" w:line="240" w:lineRule="auto"/>
    </w:pPr>
    <w:rPr>
      <w:sz w:val="20"/>
      <w:szCs w:val="20"/>
    </w:rPr>
  </w:style>
  <w:style w:type="character" w:styleId="EndnoteTextChar" w:customStyle="1">
    <w:name w:val="Endnote Text Char"/>
    <w:basedOn w:val="DefaultParagraphFont"/>
    <w:link w:val="EndnoteText"/>
    <w:uiPriority w:val="99"/>
    <w:semiHidden/>
    <w:rsid w:val="0060047A"/>
    <w:rPr>
      <w:sz w:val="20"/>
      <w:szCs w:val="20"/>
    </w:rPr>
  </w:style>
  <w:style w:type="character" w:styleId="EndnoteReference">
    <w:name w:val="endnote reference"/>
    <w:basedOn w:val="DefaultParagraphFont"/>
    <w:uiPriority w:val="99"/>
    <w:semiHidden/>
    <w:unhideWhenUsed/>
    <w:rsid w:val="0060047A"/>
    <w:rPr>
      <w:vertAlign w:val="superscript"/>
    </w:rPr>
  </w:style>
  <w:style w:type="paragraph" w:styleId="FootnoteText">
    <w:name w:val="footnote text"/>
    <w:basedOn w:val="Normal"/>
    <w:link w:val="FootnoteTextChar"/>
    <w:uiPriority w:val="99"/>
    <w:semiHidden/>
    <w:unhideWhenUsed/>
    <w:rsid w:val="0045085D"/>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45085D"/>
    <w:rPr>
      <w:sz w:val="20"/>
      <w:szCs w:val="20"/>
    </w:rPr>
  </w:style>
  <w:style w:type="character" w:styleId="FootnoteReference">
    <w:name w:val="footnote reference"/>
    <w:basedOn w:val="DefaultParagraphFont"/>
    <w:uiPriority w:val="99"/>
    <w:semiHidden/>
    <w:unhideWhenUsed/>
    <w:rsid w:val="0045085D"/>
    <w:rPr>
      <w:vertAlign w:val="superscript"/>
    </w:rPr>
  </w:style>
  <w:style w:type="character" w:styleId="Hyperlink">
    <w:name w:val="Hyperlink"/>
    <w:basedOn w:val="DefaultParagraphFont"/>
    <w:uiPriority w:val="99"/>
    <w:unhideWhenUsed/>
    <w:rsid w:val="0045085D"/>
    <w:rPr>
      <w:color w:val="467886" w:themeColor="hyperlink"/>
      <w:u w:val="single"/>
    </w:rPr>
  </w:style>
  <w:style w:type="character" w:styleId="UnresolvedMention">
    <w:name w:val="Unresolved Mention"/>
    <w:basedOn w:val="DefaultParagraphFont"/>
    <w:uiPriority w:val="99"/>
    <w:semiHidden/>
    <w:unhideWhenUsed/>
    <w:rsid w:val="00450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customXml" Target="../customXml/item5.xml" Id="rId1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customXml" Target="../customXml/item4.xml" Id="rId17"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numbering" Target="numbering.xml" Id="R21a3d717bb31422e" /></Relationships>
</file>

<file path=word/_rels/footnotes.xml.rels><?xml version="1.0" encoding="UTF-8" standalone="yes"?>
<Relationships xmlns="http://schemas.openxmlformats.org/package/2006/relationships"><Relationship Id="rId2" Type="http://schemas.openxmlformats.org/officeDocument/2006/relationships/hyperlink" Target="https://assets.publishing.service.gov.uk/media/6926dede345e31ab14ecf507/north-sea-future-plan-government-response.pdf" TargetMode="External"/><Relationship Id="rId1" Type="http://schemas.openxmlformats.org/officeDocument/2006/relationships/hyperlink" Target="https://assets.publishing.service.gov.uk/media/696f8a3ec0f4afaa9536a0c4/warm-homes-plan-standard-print.pdf"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EBFA4AD3D067488A4F8AE22F38BF68" ma:contentTypeVersion="24" ma:contentTypeDescription="Create a new document." ma:contentTypeScope="" ma:versionID="e6597272997f0690f71d43810c8509b8">
  <xsd:schema xmlns:xsd="http://www.w3.org/2001/XMLSchema" xmlns:xs="http://www.w3.org/2001/XMLSchema" xmlns:p="http://schemas.microsoft.com/office/2006/metadata/properties" xmlns:ns2="b819522c-9de1-4f2d-ac58-6f2cdd8b04ea" xmlns:ns3="13d80b15-5f07-43ab-b435-85767a7dac08" xmlns:ns4="eb4559c4-8463-4985-927f-f0d558bff8f0" targetNamespace="http://schemas.microsoft.com/office/2006/metadata/properties" ma:root="true" ma:fieldsID="82ac2112bcd5a0549c73152ff6aab61f" ns2:_="" ns3:_="" ns4:_="">
    <xsd:import namespace="b819522c-9de1-4f2d-ac58-6f2cdd8b04ea"/>
    <xsd:import namespace="13d80b15-5f07-43ab-b435-85767a7dac08"/>
    <xsd:import namespace="eb4559c4-8463-4985-927f-f0d558bff8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Source" minOccurs="0"/>
                <xsd:element ref="ns2:MediaServiceLocation" minOccurs="0"/>
                <xsd:element ref="ns2:Documenttype" minOccurs="0"/>
                <xsd:element ref="ns2:Substantivecheck" minOccurs="0"/>
                <xsd:element ref="ns2:Comments" minOccurs="0"/>
                <xsd:element ref="ns2:Email" minOccurs="0"/>
                <xsd:element ref="ns2:Category" minOccurs="0"/>
                <xsd:element ref="ns2:Email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19522c-9de1-4f2d-ac58-6f2cdd8b0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d8c265a-5436-43a7-80c1-713d2827ffd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urce" ma:index="22" nillable="true" ma:displayName="Source" ma:format="Dropdown" ma:internalName="Sourc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Documenttype" ma:index="24" nillable="true" ma:displayName="Registered" ma:format="Dropdown" ma:internalName="Documenttype">
      <xsd:simpleType>
        <xsd:restriction base="dms:Text">
          <xsd:maxLength value="255"/>
        </xsd:restriction>
      </xsd:simpleType>
    </xsd:element>
    <xsd:element name="Substantivecheck" ma:index="25" nillable="true" ma:displayName="Substantive check" ma:format="Dropdown" ma:internalName="Substantivecheck">
      <xsd:simpleType>
        <xsd:restriction base="dms:Choice">
          <xsd:enumeration value="Editing"/>
          <xsd:enumeration value="Cleared"/>
          <xsd:enumeration value="On review"/>
        </xsd:restriction>
      </xsd:simpleType>
    </xsd:element>
    <xsd:element name="Comments" ma:index="26" nillable="true" ma:displayName="Comments" ma:format="Dropdown" ma:internalName="Comments">
      <xsd:simpleType>
        <xsd:restriction base="dms:Text">
          <xsd:maxLength value="255"/>
        </xsd:restriction>
      </xsd:simpleType>
    </xsd:element>
    <xsd:element name="Email" ma:index="28" nillable="true" ma:displayName="Email" ma:format="Dropdown" ma:internalName="Email">
      <xsd:simpleType>
        <xsd:restriction base="dms:Text">
          <xsd:maxLength value="255"/>
        </xsd:restriction>
      </xsd:simpleType>
    </xsd:element>
    <xsd:element name="Category" ma:index="29" nillable="true" ma:displayName="Category" ma:format="Dropdown" ma:internalName="Category">
      <xsd:simpleType>
        <xsd:restriction base="dms:Text">
          <xsd:maxLength value="255"/>
        </xsd:restriction>
      </xsd:simpleType>
    </xsd:element>
    <xsd:element name="EmailLink" ma:index="30" nillable="true" ma:displayName="Email Link" ma:format="Hyperlink" ma:internalName="Email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3d80b15-5f07-43ab-b435-85767a7dac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4559c4-8463-4985-927f-f0d558bff8f0"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1990851-a39d-4e76-9339-d9f3f2815fa8}" ma:internalName="TaxCatchAll" ma:showField="CatchAllData" ma:web="13d80b15-5f07-43ab-b435-85767a7dac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7"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9d8c265a-5436-43a7-80c1-713d2827ffde" ContentTypeId="0x0101"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eb4559c4-8463-4985-927f-f0d558bff8f0" xsi:nil="true"/>
    <Category xmlns="b819522c-9de1-4f2d-ac58-6f2cdd8b04ea" xsi:nil="true"/>
    <EmailLink xmlns="b819522c-9de1-4f2d-ac58-6f2cdd8b04ea">
      <Url xsi:nil="true"/>
      <Description xsi:nil="true"/>
    </EmailLink>
    <Email xmlns="b819522c-9de1-4f2d-ac58-6f2cdd8b04ea" xsi:nil="true"/>
    <Comments xmlns="b819522c-9de1-4f2d-ac58-6f2cdd8b04ea" xsi:nil="true"/>
    <Documenttype xmlns="b819522c-9de1-4f2d-ac58-6f2cdd8b04ea" xsi:nil="true"/>
    <lcf76f155ced4ddcb4097134ff3c332f xmlns="b819522c-9de1-4f2d-ac58-6f2cdd8b04ea">
      <Terms xmlns="http://schemas.microsoft.com/office/infopath/2007/PartnerControls"/>
    </lcf76f155ced4ddcb4097134ff3c332f>
    <Substantivecheck xmlns="b819522c-9de1-4f2d-ac58-6f2cdd8b04ea" xsi:nil="true"/>
    <Source xmlns="b819522c-9de1-4f2d-ac58-6f2cdd8b04ea" xsi:nil="true"/>
  </documentManagement>
</p:properties>
</file>

<file path=customXml/itemProps1.xml><?xml version="1.0" encoding="utf-8"?>
<ds:datastoreItem xmlns:ds="http://schemas.openxmlformats.org/officeDocument/2006/customXml" ds:itemID="{4C85A51F-81F4-4A27-92E7-0A4ECB86BF14}">
  <ds:schemaRefs>
    <ds:schemaRef ds:uri="http://schemas.openxmlformats.org/officeDocument/2006/bibliography"/>
  </ds:schemaRefs>
</ds:datastoreItem>
</file>

<file path=customXml/itemProps2.xml><?xml version="1.0" encoding="utf-8"?>
<ds:datastoreItem xmlns:ds="http://schemas.openxmlformats.org/officeDocument/2006/customXml" ds:itemID="{63A5A444-CD9B-470C-834A-AA86F21960CF}"/>
</file>

<file path=customXml/itemProps3.xml><?xml version="1.0" encoding="utf-8"?>
<ds:datastoreItem xmlns:ds="http://schemas.openxmlformats.org/officeDocument/2006/customXml" ds:itemID="{C5FA1E33-D67C-4A40-BE1E-7A50621DCE1E}"/>
</file>

<file path=customXml/itemProps4.xml><?xml version="1.0" encoding="utf-8"?>
<ds:datastoreItem xmlns:ds="http://schemas.openxmlformats.org/officeDocument/2006/customXml" ds:itemID="{BD7C2E41-3E1A-42BD-94C3-02296AAA433A}"/>
</file>

<file path=customXml/itemProps5.xml><?xml version="1.0" encoding="utf-8"?>
<ds:datastoreItem xmlns:ds="http://schemas.openxmlformats.org/officeDocument/2006/customXml" ds:itemID="{5F949BEA-CFFA-429D-9C54-DE18F4AAA1B3}"/>
</file>

<file path=docMetadata/LabelInfo.xml><?xml version="1.0" encoding="utf-8"?>
<clbl:labelList xmlns:clbl="http://schemas.microsoft.com/office/2020/mipLabelMetadata">
  <clbl:label id="{ba62f585-b40f-4ab9-bafe-39150f03d124}" enabled="1" method="Privileged" siteId="{cbac7005-02c1-43eb-b497-e6492d1b2dd8}" contentBits="3"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Cirrus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McAdam, Beth (Energy Security)</dc:creator>
  <keywords/>
  <dc:description/>
  <lastModifiedBy>Vintura Silva</lastModifiedBy>
  <revision>4</revision>
  <dcterms:created xsi:type="dcterms:W3CDTF">2026-04-10T15:20:00.0000000Z</dcterms:created>
  <dcterms:modified xsi:type="dcterms:W3CDTF">2026-04-16T11:05:10.6281386Z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7f7b407a,2af1912b,426627a8</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69cd65f3,48748cef,273d4bac</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ContentTypeId">
    <vt:lpwstr>0x0101002BEBFA4AD3D067488A4F8AE22F38BF68</vt:lpwstr>
  </property>
  <property fmtid="{D5CDD505-2E9C-101B-9397-08002B2CF9AE}" pid="10" name="docLang">
    <vt:lpwstr>en</vt:lpwstr>
  </property>
  <property fmtid="{D5CDD505-2E9C-101B-9397-08002B2CF9AE}" pid="11" name="MediaServiceImageTags">
    <vt:lpwstr/>
  </property>
</Properties>
</file>