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24CB5" w14:textId="27A5BECE" w:rsidR="00AD7E5C" w:rsidRDefault="00AD7E5C" w:rsidP="00AD7E5C">
      <w:pPr>
        <w:spacing w:before="120" w:after="120"/>
        <w:jc w:val="both"/>
        <w:rPr>
          <w:rFonts w:asciiTheme="majorHAnsi" w:eastAsia="Calibri" w:hAnsiTheme="majorHAnsi" w:cstheme="majorHAnsi"/>
          <w:bCs/>
          <w:sz w:val="20"/>
          <w:szCs w:val="20"/>
          <w:lang w:val="en-AU"/>
        </w:rPr>
      </w:pPr>
    </w:p>
    <w:tbl>
      <w:tblPr>
        <w:tblStyle w:val="TableGrid"/>
        <w:tblW w:w="0" w:type="auto"/>
        <w:tblLook w:val="04A0" w:firstRow="1" w:lastRow="0" w:firstColumn="1" w:lastColumn="0" w:noHBand="0" w:noVBand="1"/>
      </w:tblPr>
      <w:tblGrid>
        <w:gridCol w:w="567"/>
        <w:gridCol w:w="2792"/>
        <w:gridCol w:w="2404"/>
        <w:gridCol w:w="2132"/>
        <w:gridCol w:w="2614"/>
        <w:gridCol w:w="2405"/>
        <w:gridCol w:w="2326"/>
      </w:tblGrid>
      <w:tr w:rsidR="00685BA9" w14:paraId="16719EBE" w14:textId="77777777" w:rsidTr="00A2243E">
        <w:trPr>
          <w:trHeight w:val="597"/>
        </w:trPr>
        <w:tc>
          <w:tcPr>
            <w:tcW w:w="567" w:type="dxa"/>
            <w:vMerge w:val="restart"/>
            <w:textDirection w:val="btLr"/>
          </w:tcPr>
          <w:p w14:paraId="5D3CCD85" w14:textId="3166653A" w:rsidR="00685BA9" w:rsidRDefault="00685BA9" w:rsidP="00F55475">
            <w:pPr>
              <w:ind w:left="113" w:right="113"/>
              <w:jc w:val="right"/>
            </w:pPr>
            <w:r w:rsidRPr="00AD7E5C">
              <w:t>capacity-building, knowledge management and communication</w:t>
            </w:r>
          </w:p>
        </w:tc>
        <w:tc>
          <w:tcPr>
            <w:tcW w:w="2792" w:type="dxa"/>
            <w:vMerge w:val="restart"/>
          </w:tcPr>
          <w:p w14:paraId="69CAA0FB" w14:textId="479C963F" w:rsidR="00685BA9" w:rsidRDefault="00685BA9" w:rsidP="00CB37F8">
            <w:r>
              <w:t>GAP</w:t>
            </w:r>
          </w:p>
        </w:tc>
        <w:tc>
          <w:tcPr>
            <w:tcW w:w="2404" w:type="dxa"/>
            <w:vMerge w:val="restart"/>
          </w:tcPr>
          <w:p w14:paraId="1D8E9CF2" w14:textId="77777777" w:rsidR="00685BA9" w:rsidRDefault="00685BA9" w:rsidP="00CB37F8">
            <w:r>
              <w:t>What has worked and why</w:t>
            </w:r>
          </w:p>
        </w:tc>
        <w:tc>
          <w:tcPr>
            <w:tcW w:w="2132" w:type="dxa"/>
            <w:vMerge w:val="restart"/>
          </w:tcPr>
          <w:p w14:paraId="0327A8A4" w14:textId="77777777" w:rsidR="00685BA9" w:rsidRDefault="00685BA9" w:rsidP="00CB37F8">
            <w:r>
              <w:t>What has not worked and why not</w:t>
            </w:r>
          </w:p>
        </w:tc>
        <w:tc>
          <w:tcPr>
            <w:tcW w:w="7345" w:type="dxa"/>
            <w:gridSpan w:val="3"/>
          </w:tcPr>
          <w:p w14:paraId="237D3BF3" w14:textId="77777777" w:rsidR="00685BA9" w:rsidRDefault="00685BA9" w:rsidP="00CB37F8">
            <w:r>
              <w:t>W</w:t>
            </w:r>
            <w:r w:rsidRPr="00F864E3">
              <w:t xml:space="preserve">hat is needed to enhance implementation (Who, What, Where, </w:t>
            </w:r>
            <w:proofErr w:type="gramStart"/>
            <w:r w:rsidRPr="00F864E3">
              <w:t>When,</w:t>
            </w:r>
            <w:proofErr w:type="gramEnd"/>
            <w:r w:rsidRPr="00F864E3">
              <w:t xml:space="preserve"> How)</w:t>
            </w:r>
          </w:p>
        </w:tc>
      </w:tr>
      <w:tr w:rsidR="00685BA9" w14:paraId="01112568" w14:textId="77777777" w:rsidTr="00A2243E">
        <w:trPr>
          <w:trHeight w:val="597"/>
        </w:trPr>
        <w:tc>
          <w:tcPr>
            <w:tcW w:w="567" w:type="dxa"/>
            <w:vMerge/>
          </w:tcPr>
          <w:p w14:paraId="402CE7A1" w14:textId="77777777" w:rsidR="00685BA9" w:rsidRDefault="00685BA9" w:rsidP="00CB37F8"/>
        </w:tc>
        <w:tc>
          <w:tcPr>
            <w:tcW w:w="2792" w:type="dxa"/>
            <w:vMerge/>
          </w:tcPr>
          <w:p w14:paraId="1FE391C1" w14:textId="21908437" w:rsidR="00685BA9" w:rsidRDefault="00685BA9" w:rsidP="00CB37F8"/>
        </w:tc>
        <w:tc>
          <w:tcPr>
            <w:tcW w:w="2404" w:type="dxa"/>
            <w:vMerge/>
          </w:tcPr>
          <w:p w14:paraId="785B4B76" w14:textId="77777777" w:rsidR="00685BA9" w:rsidRDefault="00685BA9" w:rsidP="00CB37F8"/>
        </w:tc>
        <w:tc>
          <w:tcPr>
            <w:tcW w:w="2132" w:type="dxa"/>
            <w:vMerge/>
          </w:tcPr>
          <w:p w14:paraId="616AF077" w14:textId="77777777" w:rsidR="00685BA9" w:rsidRDefault="00685BA9" w:rsidP="00CB37F8"/>
        </w:tc>
        <w:tc>
          <w:tcPr>
            <w:tcW w:w="2614" w:type="dxa"/>
          </w:tcPr>
          <w:p w14:paraId="5E97F625" w14:textId="77777777" w:rsidR="00685BA9" w:rsidRDefault="00685BA9" w:rsidP="00CB37F8">
            <w:r>
              <w:t>at the international level</w:t>
            </w:r>
          </w:p>
        </w:tc>
        <w:tc>
          <w:tcPr>
            <w:tcW w:w="2405" w:type="dxa"/>
          </w:tcPr>
          <w:p w14:paraId="06CADF62" w14:textId="77777777" w:rsidR="00685BA9" w:rsidRDefault="00685BA9" w:rsidP="00CB37F8">
            <w:r w:rsidRPr="00F864E3">
              <w:t>at the regional</w:t>
            </w:r>
            <w:r>
              <w:t xml:space="preserve"> l</w:t>
            </w:r>
            <w:r w:rsidRPr="00F864E3">
              <w:t>evel</w:t>
            </w:r>
          </w:p>
        </w:tc>
        <w:tc>
          <w:tcPr>
            <w:tcW w:w="2326" w:type="dxa"/>
          </w:tcPr>
          <w:p w14:paraId="2FE86255" w14:textId="77777777" w:rsidR="00685BA9" w:rsidRDefault="00685BA9" w:rsidP="00CB37F8">
            <w:r w:rsidRPr="00F864E3">
              <w:t>at the local level</w:t>
            </w:r>
          </w:p>
        </w:tc>
      </w:tr>
      <w:tr w:rsidR="00685BA9" w14:paraId="073A405B" w14:textId="77777777" w:rsidTr="00A2243E">
        <w:trPr>
          <w:trHeight w:val="304"/>
        </w:trPr>
        <w:tc>
          <w:tcPr>
            <w:tcW w:w="567" w:type="dxa"/>
            <w:vMerge/>
          </w:tcPr>
          <w:p w14:paraId="36A61BEB" w14:textId="77777777" w:rsidR="00685BA9" w:rsidRDefault="00685BA9" w:rsidP="00CB37F8"/>
        </w:tc>
        <w:tc>
          <w:tcPr>
            <w:tcW w:w="2792" w:type="dxa"/>
          </w:tcPr>
          <w:p w14:paraId="1466C6C4" w14:textId="256534C4" w:rsidR="00685BA9" w:rsidRDefault="00685BA9" w:rsidP="00CB37F8">
            <w:r>
              <w:t>A.1 Strengthen capacity-building efforts for governments and other stakeholders in mainstreaming gender in formulating, monitoring, implementing and reviewing, as appropriate, national climate change policies, plans, strategies and action, including nationally determined contributions, national adaptation plans and national communications</w:t>
            </w:r>
          </w:p>
          <w:p w14:paraId="3ABD6BE3" w14:textId="77777777" w:rsidR="00685BA9" w:rsidRDefault="00685BA9" w:rsidP="00CB37F8"/>
          <w:p w14:paraId="25BDCB0F" w14:textId="77777777" w:rsidR="00685BA9" w:rsidRDefault="00685BA9" w:rsidP="00CB37F8">
            <w:r>
              <w:t>Implementation of capacity-building for developing gender-responsive climate change policy Regional, national Contributing: national gender and climate change focal points, secretariat</w:t>
            </w:r>
          </w:p>
          <w:p w14:paraId="09D4C80C" w14:textId="762313D9" w:rsidR="00685BA9" w:rsidRDefault="00685BA9" w:rsidP="00CB37F8"/>
        </w:tc>
        <w:tc>
          <w:tcPr>
            <w:tcW w:w="2404" w:type="dxa"/>
          </w:tcPr>
          <w:p w14:paraId="430B2FDB" w14:textId="77777777" w:rsidR="00685BA9" w:rsidRDefault="00685BA9" w:rsidP="00CB37F8"/>
        </w:tc>
        <w:tc>
          <w:tcPr>
            <w:tcW w:w="2132" w:type="dxa"/>
          </w:tcPr>
          <w:p w14:paraId="1F37AC14" w14:textId="77777777" w:rsidR="00685BA9" w:rsidRDefault="00685BA9" w:rsidP="00CB37F8"/>
        </w:tc>
        <w:tc>
          <w:tcPr>
            <w:tcW w:w="2614" w:type="dxa"/>
          </w:tcPr>
          <w:p w14:paraId="35D15063" w14:textId="77777777" w:rsidR="00685BA9" w:rsidRDefault="00685BA9" w:rsidP="00CB37F8"/>
        </w:tc>
        <w:tc>
          <w:tcPr>
            <w:tcW w:w="2405" w:type="dxa"/>
          </w:tcPr>
          <w:p w14:paraId="3A05A6A1" w14:textId="77777777" w:rsidR="00685BA9" w:rsidRDefault="00685BA9" w:rsidP="00CB37F8"/>
        </w:tc>
        <w:tc>
          <w:tcPr>
            <w:tcW w:w="2326" w:type="dxa"/>
          </w:tcPr>
          <w:p w14:paraId="05D63EF7" w14:textId="77777777" w:rsidR="00685BA9" w:rsidRDefault="00685BA9" w:rsidP="00CB37F8"/>
        </w:tc>
      </w:tr>
      <w:tr w:rsidR="00685BA9" w14:paraId="40F3566A" w14:textId="77777777" w:rsidTr="00A2243E">
        <w:trPr>
          <w:trHeight w:val="291"/>
        </w:trPr>
        <w:tc>
          <w:tcPr>
            <w:tcW w:w="567" w:type="dxa"/>
            <w:vMerge/>
          </w:tcPr>
          <w:p w14:paraId="5F14D324" w14:textId="77777777" w:rsidR="00685BA9" w:rsidRDefault="00685BA9" w:rsidP="00CB37F8"/>
        </w:tc>
        <w:tc>
          <w:tcPr>
            <w:tcW w:w="2792" w:type="dxa"/>
          </w:tcPr>
          <w:p w14:paraId="70C7C15B" w14:textId="7CC0FA5C" w:rsidR="00685BA9" w:rsidRDefault="00685BA9" w:rsidP="00CB37F8">
            <w:r>
              <w:t>A.2 Discuss and clarify the role and the work of the national gender and climate change focal points, including through providing capacity-building, tools and resources, sharing experience and best practices, workshops, knowledge exchange, peer-to-peer learning, mentoring and coaching</w:t>
            </w:r>
          </w:p>
          <w:p w14:paraId="68C33021" w14:textId="77777777" w:rsidR="00685BA9" w:rsidRDefault="00685BA9" w:rsidP="00CB37F8"/>
          <w:p w14:paraId="3EE4C185" w14:textId="77777777" w:rsidR="00685BA9" w:rsidRDefault="00685BA9" w:rsidP="00CB37F8">
            <w:r>
              <w:t xml:space="preserve">In-session workshop </w:t>
            </w:r>
          </w:p>
          <w:p w14:paraId="15AA4DE1" w14:textId="77777777" w:rsidR="00685BA9" w:rsidRDefault="00685BA9" w:rsidP="00CB37F8"/>
          <w:p w14:paraId="60C3A67E" w14:textId="68E0DDCF" w:rsidR="00685BA9" w:rsidRDefault="00685BA9" w:rsidP="00CB37F8">
            <w:r>
              <w:t>Recommendations on the role of the national gender and climate change focal point</w:t>
            </w:r>
          </w:p>
        </w:tc>
        <w:tc>
          <w:tcPr>
            <w:tcW w:w="2404" w:type="dxa"/>
          </w:tcPr>
          <w:p w14:paraId="4CD71BE5" w14:textId="77777777" w:rsidR="00685BA9" w:rsidRDefault="00685BA9" w:rsidP="00CB37F8"/>
        </w:tc>
        <w:tc>
          <w:tcPr>
            <w:tcW w:w="2132" w:type="dxa"/>
          </w:tcPr>
          <w:p w14:paraId="7355FE26" w14:textId="77777777" w:rsidR="00685BA9" w:rsidRDefault="00685BA9" w:rsidP="00CB37F8"/>
        </w:tc>
        <w:tc>
          <w:tcPr>
            <w:tcW w:w="2614" w:type="dxa"/>
          </w:tcPr>
          <w:p w14:paraId="4503EF77" w14:textId="77777777" w:rsidR="00685BA9" w:rsidRDefault="00685BA9" w:rsidP="00CB37F8"/>
        </w:tc>
        <w:tc>
          <w:tcPr>
            <w:tcW w:w="2405" w:type="dxa"/>
          </w:tcPr>
          <w:p w14:paraId="43068537" w14:textId="77777777" w:rsidR="00685BA9" w:rsidRDefault="00685BA9" w:rsidP="00CB37F8"/>
        </w:tc>
        <w:tc>
          <w:tcPr>
            <w:tcW w:w="2326" w:type="dxa"/>
          </w:tcPr>
          <w:p w14:paraId="6C3178C7" w14:textId="77777777" w:rsidR="00685BA9" w:rsidRDefault="00685BA9" w:rsidP="00CB37F8"/>
        </w:tc>
      </w:tr>
      <w:tr w:rsidR="00685BA9" w14:paraId="48F0D396" w14:textId="77777777" w:rsidTr="00A2243E">
        <w:trPr>
          <w:trHeight w:val="291"/>
        </w:trPr>
        <w:tc>
          <w:tcPr>
            <w:tcW w:w="567" w:type="dxa"/>
            <w:vMerge/>
          </w:tcPr>
          <w:p w14:paraId="7565D95F" w14:textId="77777777" w:rsidR="00685BA9" w:rsidRDefault="00685BA9" w:rsidP="00CB37F8"/>
        </w:tc>
        <w:tc>
          <w:tcPr>
            <w:tcW w:w="2792" w:type="dxa"/>
          </w:tcPr>
          <w:p w14:paraId="07A6B820" w14:textId="77777777" w:rsidR="00685BA9" w:rsidRDefault="00685BA9" w:rsidP="00CB37F8">
            <w:r>
              <w:t xml:space="preserve">A.2 Provision of capacity-building opportunities, </w:t>
            </w:r>
            <w:proofErr w:type="gramStart"/>
            <w:r>
              <w:t>tools</w:t>
            </w:r>
            <w:proofErr w:type="gramEnd"/>
            <w:r>
              <w:t xml:space="preserve"> and resources</w:t>
            </w:r>
          </w:p>
          <w:p w14:paraId="5246FE8B" w14:textId="7B1BD275" w:rsidR="00685BA9" w:rsidRDefault="00685BA9" w:rsidP="00CB37F8"/>
        </w:tc>
        <w:tc>
          <w:tcPr>
            <w:tcW w:w="2404" w:type="dxa"/>
          </w:tcPr>
          <w:p w14:paraId="089FF2C4" w14:textId="77777777" w:rsidR="00685BA9" w:rsidRDefault="00685BA9" w:rsidP="00CB37F8"/>
        </w:tc>
        <w:tc>
          <w:tcPr>
            <w:tcW w:w="2132" w:type="dxa"/>
          </w:tcPr>
          <w:p w14:paraId="7B30FBA0" w14:textId="77777777" w:rsidR="00685BA9" w:rsidRDefault="00685BA9" w:rsidP="00CB37F8"/>
        </w:tc>
        <w:tc>
          <w:tcPr>
            <w:tcW w:w="2614" w:type="dxa"/>
          </w:tcPr>
          <w:p w14:paraId="213232B2" w14:textId="77777777" w:rsidR="00685BA9" w:rsidRDefault="00685BA9" w:rsidP="00CB37F8"/>
        </w:tc>
        <w:tc>
          <w:tcPr>
            <w:tcW w:w="2405" w:type="dxa"/>
          </w:tcPr>
          <w:p w14:paraId="1DCF9D06" w14:textId="77777777" w:rsidR="00685BA9" w:rsidRDefault="00685BA9" w:rsidP="00CB37F8"/>
        </w:tc>
        <w:tc>
          <w:tcPr>
            <w:tcW w:w="2326" w:type="dxa"/>
          </w:tcPr>
          <w:p w14:paraId="40C7B829" w14:textId="77777777" w:rsidR="00685BA9" w:rsidRDefault="00685BA9" w:rsidP="00CB37F8"/>
        </w:tc>
      </w:tr>
      <w:tr w:rsidR="00685BA9" w14:paraId="5163700E" w14:textId="77777777" w:rsidTr="00A2243E">
        <w:trPr>
          <w:trHeight w:val="291"/>
        </w:trPr>
        <w:tc>
          <w:tcPr>
            <w:tcW w:w="567" w:type="dxa"/>
            <w:vMerge/>
          </w:tcPr>
          <w:p w14:paraId="558D7133" w14:textId="77777777" w:rsidR="00685BA9" w:rsidRDefault="00685BA9" w:rsidP="00CB37F8"/>
        </w:tc>
        <w:tc>
          <w:tcPr>
            <w:tcW w:w="2792" w:type="dxa"/>
          </w:tcPr>
          <w:p w14:paraId="59F20166" w14:textId="644EA16B" w:rsidR="00685BA9" w:rsidRDefault="00685BA9" w:rsidP="00685BA9">
            <w:r>
              <w:t>A.2 Dialogue with the United Nations Entity for Gender Equality and the Empowerment of Women, national gender and climate change focal points and other relevant stakeholders on how their work contributes to the achievement of the objectives of the gender action plan</w:t>
            </w:r>
          </w:p>
        </w:tc>
        <w:tc>
          <w:tcPr>
            <w:tcW w:w="2404" w:type="dxa"/>
          </w:tcPr>
          <w:p w14:paraId="342C9314" w14:textId="77777777" w:rsidR="00685BA9" w:rsidRDefault="00685BA9" w:rsidP="00CB37F8"/>
        </w:tc>
        <w:tc>
          <w:tcPr>
            <w:tcW w:w="2132" w:type="dxa"/>
          </w:tcPr>
          <w:p w14:paraId="2D1324C2" w14:textId="77777777" w:rsidR="00685BA9" w:rsidRDefault="00685BA9" w:rsidP="00CB37F8"/>
        </w:tc>
        <w:tc>
          <w:tcPr>
            <w:tcW w:w="2614" w:type="dxa"/>
          </w:tcPr>
          <w:p w14:paraId="5275ECAF" w14:textId="77777777" w:rsidR="00685BA9" w:rsidRDefault="00685BA9" w:rsidP="00CB37F8"/>
        </w:tc>
        <w:tc>
          <w:tcPr>
            <w:tcW w:w="2405" w:type="dxa"/>
          </w:tcPr>
          <w:p w14:paraId="1105D6FC" w14:textId="77777777" w:rsidR="00685BA9" w:rsidRDefault="00685BA9" w:rsidP="00CB37F8"/>
        </w:tc>
        <w:tc>
          <w:tcPr>
            <w:tcW w:w="2326" w:type="dxa"/>
          </w:tcPr>
          <w:p w14:paraId="28153A1F" w14:textId="77777777" w:rsidR="00685BA9" w:rsidRDefault="00685BA9" w:rsidP="00CB37F8"/>
        </w:tc>
      </w:tr>
      <w:tr w:rsidR="00685BA9" w14:paraId="29E13774" w14:textId="77777777" w:rsidTr="00A2243E">
        <w:trPr>
          <w:trHeight w:val="304"/>
        </w:trPr>
        <w:tc>
          <w:tcPr>
            <w:tcW w:w="567" w:type="dxa"/>
            <w:vMerge/>
          </w:tcPr>
          <w:p w14:paraId="4F76F49F" w14:textId="77777777" w:rsidR="00685BA9" w:rsidRDefault="00685BA9" w:rsidP="00CB37F8"/>
        </w:tc>
        <w:tc>
          <w:tcPr>
            <w:tcW w:w="2792" w:type="dxa"/>
          </w:tcPr>
          <w:p w14:paraId="0C5BF6B0" w14:textId="0DF01C36" w:rsidR="00685BA9" w:rsidRDefault="00685BA9" w:rsidP="00CB37F8">
            <w:r>
              <w:t>A.3 Enhance capacity-building for governments and other relevant stakeholders to collect, analyse and apply sex-disaggregated data and gender analysis in the context of climate change, where applicable</w:t>
            </w:r>
          </w:p>
          <w:p w14:paraId="66BC4F25" w14:textId="77777777" w:rsidR="00685BA9" w:rsidRDefault="00685BA9" w:rsidP="00CB37F8"/>
          <w:p w14:paraId="17E8A90E" w14:textId="77777777" w:rsidR="00685BA9" w:rsidRDefault="00685BA9" w:rsidP="00CB37F8">
            <w:r>
              <w:t>Promotion of tools, guidelines and training</w:t>
            </w:r>
          </w:p>
          <w:p w14:paraId="6ECEBD26" w14:textId="5A2F4993" w:rsidR="00685BA9" w:rsidRDefault="00685BA9" w:rsidP="00CB37F8"/>
        </w:tc>
        <w:tc>
          <w:tcPr>
            <w:tcW w:w="2404" w:type="dxa"/>
          </w:tcPr>
          <w:p w14:paraId="0C3B4282" w14:textId="77777777" w:rsidR="00685BA9" w:rsidRDefault="00685BA9" w:rsidP="00CB37F8"/>
        </w:tc>
        <w:tc>
          <w:tcPr>
            <w:tcW w:w="2132" w:type="dxa"/>
          </w:tcPr>
          <w:p w14:paraId="587337B0" w14:textId="77777777" w:rsidR="00685BA9" w:rsidRDefault="00685BA9" w:rsidP="00CB37F8"/>
        </w:tc>
        <w:tc>
          <w:tcPr>
            <w:tcW w:w="2614" w:type="dxa"/>
          </w:tcPr>
          <w:p w14:paraId="572C3932" w14:textId="77777777" w:rsidR="00685BA9" w:rsidRDefault="00685BA9" w:rsidP="00CB37F8"/>
        </w:tc>
        <w:tc>
          <w:tcPr>
            <w:tcW w:w="2405" w:type="dxa"/>
          </w:tcPr>
          <w:p w14:paraId="569B2055" w14:textId="77777777" w:rsidR="00685BA9" w:rsidRDefault="00685BA9" w:rsidP="00CB37F8"/>
        </w:tc>
        <w:tc>
          <w:tcPr>
            <w:tcW w:w="2326" w:type="dxa"/>
          </w:tcPr>
          <w:p w14:paraId="18344FAC" w14:textId="77777777" w:rsidR="00685BA9" w:rsidRDefault="00685BA9" w:rsidP="00CB37F8"/>
        </w:tc>
      </w:tr>
      <w:tr w:rsidR="00685BA9" w14:paraId="2221C2B6" w14:textId="77777777" w:rsidTr="00A2243E">
        <w:trPr>
          <w:trHeight w:val="291"/>
        </w:trPr>
        <w:tc>
          <w:tcPr>
            <w:tcW w:w="567" w:type="dxa"/>
            <w:vMerge/>
          </w:tcPr>
          <w:p w14:paraId="3222EE1E" w14:textId="77777777" w:rsidR="00685BA9" w:rsidRDefault="00685BA9" w:rsidP="00CB37F8"/>
        </w:tc>
        <w:tc>
          <w:tcPr>
            <w:tcW w:w="2792" w:type="dxa"/>
          </w:tcPr>
          <w:p w14:paraId="65596D25" w14:textId="307C7861" w:rsidR="00685BA9" w:rsidRDefault="00685BA9" w:rsidP="00CB37F8">
            <w:r>
              <w:t>A.4 Strengthen the evidence base and understanding of the differentiated impacts of climate change on men and women and the role of women as agents of change and on opportunities for women</w:t>
            </w:r>
          </w:p>
          <w:p w14:paraId="197C2A6C" w14:textId="77777777" w:rsidR="00685BA9" w:rsidRDefault="00685BA9" w:rsidP="00CB37F8"/>
          <w:p w14:paraId="401918EF" w14:textId="73460502" w:rsidR="00685BA9" w:rsidRDefault="00685BA9" w:rsidP="00CB37F8">
            <w:r>
              <w:t>Submissions on Dimensions and examples of the gender-differentiated impacts of climate change International, regional, national, The role of women as agents of change, Opportunities for women</w:t>
            </w:r>
          </w:p>
        </w:tc>
        <w:tc>
          <w:tcPr>
            <w:tcW w:w="2404" w:type="dxa"/>
          </w:tcPr>
          <w:p w14:paraId="1DDE60B8" w14:textId="77777777" w:rsidR="00685BA9" w:rsidRDefault="00685BA9" w:rsidP="00CB37F8"/>
        </w:tc>
        <w:tc>
          <w:tcPr>
            <w:tcW w:w="2132" w:type="dxa"/>
          </w:tcPr>
          <w:p w14:paraId="773128CA" w14:textId="77777777" w:rsidR="00685BA9" w:rsidRDefault="00685BA9" w:rsidP="00CB37F8"/>
        </w:tc>
        <w:tc>
          <w:tcPr>
            <w:tcW w:w="2614" w:type="dxa"/>
          </w:tcPr>
          <w:p w14:paraId="33F6C532" w14:textId="77777777" w:rsidR="00685BA9" w:rsidRDefault="00685BA9" w:rsidP="00CB37F8"/>
        </w:tc>
        <w:tc>
          <w:tcPr>
            <w:tcW w:w="2405" w:type="dxa"/>
          </w:tcPr>
          <w:p w14:paraId="1CF7D3BA" w14:textId="77777777" w:rsidR="00685BA9" w:rsidRDefault="00685BA9" w:rsidP="00CB37F8"/>
        </w:tc>
        <w:tc>
          <w:tcPr>
            <w:tcW w:w="2326" w:type="dxa"/>
          </w:tcPr>
          <w:p w14:paraId="6A8241C3" w14:textId="77777777" w:rsidR="00685BA9" w:rsidRDefault="00685BA9" w:rsidP="00CB37F8"/>
        </w:tc>
      </w:tr>
      <w:tr w:rsidR="00685BA9" w14:paraId="25FD9E21" w14:textId="77777777" w:rsidTr="00685BA9">
        <w:trPr>
          <w:trHeight w:val="618"/>
        </w:trPr>
        <w:tc>
          <w:tcPr>
            <w:tcW w:w="567" w:type="dxa"/>
            <w:vMerge/>
          </w:tcPr>
          <w:p w14:paraId="73B6D6A7" w14:textId="77777777" w:rsidR="00685BA9" w:rsidRDefault="00685BA9" w:rsidP="00CB37F8"/>
        </w:tc>
        <w:tc>
          <w:tcPr>
            <w:tcW w:w="2792" w:type="dxa"/>
          </w:tcPr>
          <w:p w14:paraId="29596696" w14:textId="4BED8FEA" w:rsidR="00685BA9" w:rsidRDefault="00685BA9" w:rsidP="00CB37F8">
            <w:r>
              <w:t>A.4 Synthesis report on the submissions</w:t>
            </w:r>
          </w:p>
        </w:tc>
        <w:tc>
          <w:tcPr>
            <w:tcW w:w="2404" w:type="dxa"/>
          </w:tcPr>
          <w:p w14:paraId="65C16062" w14:textId="77777777" w:rsidR="00685BA9" w:rsidRDefault="00685BA9" w:rsidP="00CB37F8"/>
        </w:tc>
        <w:tc>
          <w:tcPr>
            <w:tcW w:w="2132" w:type="dxa"/>
          </w:tcPr>
          <w:p w14:paraId="469B6BEA" w14:textId="77777777" w:rsidR="00685BA9" w:rsidRDefault="00685BA9" w:rsidP="00CB37F8"/>
        </w:tc>
        <w:tc>
          <w:tcPr>
            <w:tcW w:w="2614" w:type="dxa"/>
          </w:tcPr>
          <w:p w14:paraId="5387C174" w14:textId="77777777" w:rsidR="00685BA9" w:rsidRDefault="00685BA9" w:rsidP="00CB37F8"/>
        </w:tc>
        <w:tc>
          <w:tcPr>
            <w:tcW w:w="2405" w:type="dxa"/>
          </w:tcPr>
          <w:p w14:paraId="1A1569FE" w14:textId="77777777" w:rsidR="00685BA9" w:rsidRDefault="00685BA9" w:rsidP="00CB37F8"/>
        </w:tc>
        <w:tc>
          <w:tcPr>
            <w:tcW w:w="2326" w:type="dxa"/>
          </w:tcPr>
          <w:p w14:paraId="428FE980" w14:textId="77777777" w:rsidR="00685BA9" w:rsidRDefault="00685BA9" w:rsidP="00CB37F8"/>
        </w:tc>
      </w:tr>
      <w:tr w:rsidR="00685BA9" w14:paraId="0A8C0E31" w14:textId="77777777" w:rsidTr="00685BA9">
        <w:trPr>
          <w:trHeight w:val="335"/>
        </w:trPr>
        <w:tc>
          <w:tcPr>
            <w:tcW w:w="567" w:type="dxa"/>
            <w:vMerge/>
          </w:tcPr>
          <w:p w14:paraId="0BBDCC38" w14:textId="77777777" w:rsidR="00685BA9" w:rsidRDefault="00685BA9" w:rsidP="00CB37F8"/>
        </w:tc>
        <w:tc>
          <w:tcPr>
            <w:tcW w:w="2792" w:type="dxa"/>
          </w:tcPr>
          <w:p w14:paraId="5D3EA526" w14:textId="3F53C51D" w:rsidR="00685BA9" w:rsidRDefault="00685BA9" w:rsidP="00CB37F8">
            <w:r>
              <w:t>A.4 SBI–SBSTA special event</w:t>
            </w:r>
          </w:p>
        </w:tc>
        <w:tc>
          <w:tcPr>
            <w:tcW w:w="2404" w:type="dxa"/>
          </w:tcPr>
          <w:p w14:paraId="4752851C" w14:textId="77777777" w:rsidR="00685BA9" w:rsidRDefault="00685BA9" w:rsidP="00CB37F8"/>
        </w:tc>
        <w:tc>
          <w:tcPr>
            <w:tcW w:w="2132" w:type="dxa"/>
          </w:tcPr>
          <w:p w14:paraId="43C96900" w14:textId="77777777" w:rsidR="00685BA9" w:rsidRDefault="00685BA9" w:rsidP="00CB37F8"/>
        </w:tc>
        <w:tc>
          <w:tcPr>
            <w:tcW w:w="2614" w:type="dxa"/>
          </w:tcPr>
          <w:p w14:paraId="20CDF912" w14:textId="77777777" w:rsidR="00685BA9" w:rsidRDefault="00685BA9" w:rsidP="00CB37F8"/>
        </w:tc>
        <w:tc>
          <w:tcPr>
            <w:tcW w:w="2405" w:type="dxa"/>
          </w:tcPr>
          <w:p w14:paraId="18D8F9BD" w14:textId="77777777" w:rsidR="00685BA9" w:rsidRDefault="00685BA9" w:rsidP="00CB37F8"/>
        </w:tc>
        <w:tc>
          <w:tcPr>
            <w:tcW w:w="2326" w:type="dxa"/>
          </w:tcPr>
          <w:p w14:paraId="56F1851A" w14:textId="77777777" w:rsidR="00685BA9" w:rsidRDefault="00685BA9" w:rsidP="00CB37F8"/>
        </w:tc>
      </w:tr>
      <w:tr w:rsidR="00685BA9" w14:paraId="7D9472CC" w14:textId="77777777" w:rsidTr="00A2243E">
        <w:trPr>
          <w:trHeight w:val="291"/>
        </w:trPr>
        <w:tc>
          <w:tcPr>
            <w:tcW w:w="567" w:type="dxa"/>
            <w:vMerge/>
          </w:tcPr>
          <w:p w14:paraId="39FFB59D" w14:textId="77777777" w:rsidR="00685BA9" w:rsidRDefault="00685BA9" w:rsidP="00CB37F8"/>
        </w:tc>
        <w:tc>
          <w:tcPr>
            <w:tcW w:w="2792" w:type="dxa"/>
          </w:tcPr>
          <w:p w14:paraId="4EE7FB65" w14:textId="5ED20466" w:rsidR="00685BA9" w:rsidRDefault="00685BA9" w:rsidP="00CB37F8">
            <w:r>
              <w:t>A.5 Promote the use of social media, web resources and innovative communication tools to effectively communicate to the public, in particular reaching out to women, on the implementation of the Lima work programme on gender and its gender action plan and on gender equality</w:t>
            </w:r>
          </w:p>
          <w:p w14:paraId="1749B5EF" w14:textId="77777777" w:rsidR="00685BA9" w:rsidRDefault="00685BA9" w:rsidP="00CB37F8"/>
          <w:p w14:paraId="048248ED" w14:textId="1C55C201" w:rsidR="00685BA9" w:rsidRDefault="00685BA9" w:rsidP="00CB37F8">
            <w:r>
              <w:t>Effective communication through social media, web resources and innovative communication tools</w:t>
            </w:r>
          </w:p>
        </w:tc>
        <w:tc>
          <w:tcPr>
            <w:tcW w:w="2404" w:type="dxa"/>
          </w:tcPr>
          <w:p w14:paraId="15345B01" w14:textId="77777777" w:rsidR="00685BA9" w:rsidRDefault="00685BA9" w:rsidP="00CB37F8"/>
        </w:tc>
        <w:tc>
          <w:tcPr>
            <w:tcW w:w="2132" w:type="dxa"/>
          </w:tcPr>
          <w:p w14:paraId="149403F7" w14:textId="77777777" w:rsidR="00685BA9" w:rsidRDefault="00685BA9" w:rsidP="00CB37F8"/>
        </w:tc>
        <w:tc>
          <w:tcPr>
            <w:tcW w:w="2614" w:type="dxa"/>
          </w:tcPr>
          <w:p w14:paraId="0D68E2F7" w14:textId="77777777" w:rsidR="00685BA9" w:rsidRDefault="00685BA9" w:rsidP="00CB37F8"/>
        </w:tc>
        <w:tc>
          <w:tcPr>
            <w:tcW w:w="2405" w:type="dxa"/>
          </w:tcPr>
          <w:p w14:paraId="0BD7D51B" w14:textId="77777777" w:rsidR="00685BA9" w:rsidRDefault="00685BA9" w:rsidP="00CB37F8"/>
        </w:tc>
        <w:tc>
          <w:tcPr>
            <w:tcW w:w="2326" w:type="dxa"/>
          </w:tcPr>
          <w:p w14:paraId="72172933" w14:textId="77777777" w:rsidR="00685BA9" w:rsidRDefault="00685BA9" w:rsidP="00CB37F8"/>
        </w:tc>
      </w:tr>
      <w:tr w:rsidR="00685BA9" w14:paraId="7B36362D" w14:textId="77777777" w:rsidTr="00685BA9">
        <w:trPr>
          <w:trHeight w:val="424"/>
        </w:trPr>
        <w:tc>
          <w:tcPr>
            <w:tcW w:w="567" w:type="dxa"/>
            <w:vMerge/>
          </w:tcPr>
          <w:p w14:paraId="686E200E" w14:textId="77777777" w:rsidR="00685BA9" w:rsidRDefault="00685BA9" w:rsidP="00CB37F8"/>
        </w:tc>
        <w:tc>
          <w:tcPr>
            <w:tcW w:w="2792" w:type="dxa"/>
          </w:tcPr>
          <w:p w14:paraId="63D0953F" w14:textId="501E3D66" w:rsidR="00685BA9" w:rsidRDefault="00685BA9" w:rsidP="00685BA9">
            <w:r>
              <w:t xml:space="preserve">A. </w:t>
            </w:r>
          </w:p>
        </w:tc>
        <w:tc>
          <w:tcPr>
            <w:tcW w:w="2404" w:type="dxa"/>
          </w:tcPr>
          <w:p w14:paraId="53FA7BC2" w14:textId="77777777" w:rsidR="00685BA9" w:rsidRDefault="00685BA9" w:rsidP="00CB37F8"/>
        </w:tc>
        <w:tc>
          <w:tcPr>
            <w:tcW w:w="2132" w:type="dxa"/>
          </w:tcPr>
          <w:p w14:paraId="4B6AB491" w14:textId="77777777" w:rsidR="00685BA9" w:rsidRDefault="00685BA9" w:rsidP="00CB37F8"/>
        </w:tc>
        <w:tc>
          <w:tcPr>
            <w:tcW w:w="2614" w:type="dxa"/>
          </w:tcPr>
          <w:p w14:paraId="579DF884" w14:textId="77777777" w:rsidR="00685BA9" w:rsidRDefault="00685BA9" w:rsidP="00CB37F8"/>
        </w:tc>
        <w:tc>
          <w:tcPr>
            <w:tcW w:w="2405" w:type="dxa"/>
          </w:tcPr>
          <w:p w14:paraId="6253B1A0" w14:textId="77777777" w:rsidR="00685BA9" w:rsidRDefault="00685BA9" w:rsidP="00CB37F8"/>
        </w:tc>
        <w:tc>
          <w:tcPr>
            <w:tcW w:w="2326" w:type="dxa"/>
          </w:tcPr>
          <w:p w14:paraId="3FD22084" w14:textId="77777777" w:rsidR="00685BA9" w:rsidRDefault="00685BA9" w:rsidP="00CB37F8"/>
        </w:tc>
      </w:tr>
    </w:tbl>
    <w:p w14:paraId="1C95B2D7" w14:textId="77777777" w:rsidR="00AD7E5C" w:rsidRDefault="00AD7E5C" w:rsidP="00AD7E5C">
      <w:pPr>
        <w:spacing w:before="120" w:after="120"/>
        <w:jc w:val="both"/>
        <w:rPr>
          <w:rFonts w:asciiTheme="majorHAnsi" w:eastAsia="Calibri" w:hAnsiTheme="majorHAnsi" w:cstheme="majorHAnsi"/>
          <w:bCs/>
          <w:sz w:val="20"/>
          <w:szCs w:val="20"/>
          <w:lang w:val="en-AU"/>
        </w:rPr>
      </w:pPr>
    </w:p>
    <w:tbl>
      <w:tblPr>
        <w:tblStyle w:val="TableGrid"/>
        <w:tblW w:w="0" w:type="auto"/>
        <w:tblLook w:val="04A0" w:firstRow="1" w:lastRow="0" w:firstColumn="1" w:lastColumn="0" w:noHBand="0" w:noVBand="1"/>
      </w:tblPr>
      <w:tblGrid>
        <w:gridCol w:w="562"/>
        <w:gridCol w:w="4023"/>
        <w:gridCol w:w="2187"/>
        <w:gridCol w:w="1939"/>
        <w:gridCol w:w="2373"/>
        <w:gridCol w:w="2186"/>
        <w:gridCol w:w="2118"/>
      </w:tblGrid>
      <w:tr w:rsidR="00F85AB9" w14:paraId="7AB450DF" w14:textId="77777777" w:rsidTr="00685BA9">
        <w:trPr>
          <w:cantSplit/>
          <w:trHeight w:val="902"/>
        </w:trPr>
        <w:tc>
          <w:tcPr>
            <w:tcW w:w="562" w:type="dxa"/>
            <w:vMerge w:val="restart"/>
            <w:textDirection w:val="btLr"/>
          </w:tcPr>
          <w:p w14:paraId="55A0C12C" w14:textId="350CA560" w:rsidR="00F85AB9" w:rsidRDefault="00F85AB9" w:rsidP="00F85AB9">
            <w:pPr>
              <w:snapToGrid w:val="0"/>
              <w:ind w:left="113" w:right="113"/>
              <w:jc w:val="right"/>
            </w:pPr>
            <w:r>
              <w:t xml:space="preserve">Gender balance, participation and </w:t>
            </w:r>
            <w:proofErr w:type="spellStart"/>
            <w:r>
              <w:t>womens</w:t>
            </w:r>
            <w:proofErr w:type="spellEnd"/>
            <w:r>
              <w:t xml:space="preserve"> leadership</w:t>
            </w:r>
          </w:p>
        </w:tc>
        <w:tc>
          <w:tcPr>
            <w:tcW w:w="4023" w:type="dxa"/>
            <w:vMerge w:val="restart"/>
          </w:tcPr>
          <w:p w14:paraId="51BE4949" w14:textId="71C2B4D8" w:rsidR="00F85AB9" w:rsidRDefault="00F85AB9" w:rsidP="00A2243E">
            <w:r>
              <w:t>GAP</w:t>
            </w:r>
          </w:p>
        </w:tc>
        <w:tc>
          <w:tcPr>
            <w:tcW w:w="2187" w:type="dxa"/>
            <w:vMerge w:val="restart"/>
          </w:tcPr>
          <w:p w14:paraId="0C0E46AC" w14:textId="77777777" w:rsidR="00F85AB9" w:rsidRDefault="00F85AB9" w:rsidP="00A2243E">
            <w:r>
              <w:t>What has worked and why</w:t>
            </w:r>
          </w:p>
        </w:tc>
        <w:tc>
          <w:tcPr>
            <w:tcW w:w="1939" w:type="dxa"/>
            <w:vMerge w:val="restart"/>
          </w:tcPr>
          <w:p w14:paraId="1AB9DD19" w14:textId="77777777" w:rsidR="00F85AB9" w:rsidRDefault="00F85AB9" w:rsidP="00A2243E">
            <w:r>
              <w:t>What has not worked and why not</w:t>
            </w:r>
          </w:p>
        </w:tc>
        <w:tc>
          <w:tcPr>
            <w:tcW w:w="6677" w:type="dxa"/>
            <w:gridSpan w:val="3"/>
          </w:tcPr>
          <w:p w14:paraId="6763CCCA" w14:textId="77777777" w:rsidR="00F85AB9" w:rsidRDefault="00F85AB9" w:rsidP="00A2243E">
            <w:r>
              <w:t>W</w:t>
            </w:r>
            <w:r w:rsidRPr="00F864E3">
              <w:t xml:space="preserve">hat is needed to enhance implementation (Who, What, Where, </w:t>
            </w:r>
            <w:proofErr w:type="gramStart"/>
            <w:r w:rsidRPr="00F864E3">
              <w:t>When,</w:t>
            </w:r>
            <w:proofErr w:type="gramEnd"/>
            <w:r w:rsidRPr="00F864E3">
              <w:t xml:space="preserve"> How)</w:t>
            </w:r>
          </w:p>
        </w:tc>
      </w:tr>
      <w:tr w:rsidR="00F85AB9" w14:paraId="5238F122" w14:textId="77777777" w:rsidTr="001D47EA">
        <w:trPr>
          <w:cantSplit/>
          <w:trHeight w:val="620"/>
        </w:trPr>
        <w:tc>
          <w:tcPr>
            <w:tcW w:w="562" w:type="dxa"/>
            <w:vMerge/>
            <w:textDirection w:val="btLr"/>
          </w:tcPr>
          <w:p w14:paraId="0121EDF2" w14:textId="77777777" w:rsidR="00F85AB9" w:rsidRDefault="00F85AB9" w:rsidP="00A2243E">
            <w:pPr>
              <w:ind w:left="113" w:right="113"/>
            </w:pPr>
          </w:p>
        </w:tc>
        <w:tc>
          <w:tcPr>
            <w:tcW w:w="4023" w:type="dxa"/>
            <w:vMerge/>
          </w:tcPr>
          <w:p w14:paraId="728F8600" w14:textId="4A7B8ECB" w:rsidR="00F85AB9" w:rsidRDefault="00F85AB9" w:rsidP="00A2243E"/>
        </w:tc>
        <w:tc>
          <w:tcPr>
            <w:tcW w:w="2187" w:type="dxa"/>
            <w:vMerge/>
          </w:tcPr>
          <w:p w14:paraId="0714AC1C" w14:textId="77777777" w:rsidR="00F85AB9" w:rsidRDefault="00F85AB9" w:rsidP="00A2243E"/>
        </w:tc>
        <w:tc>
          <w:tcPr>
            <w:tcW w:w="1939" w:type="dxa"/>
            <w:vMerge/>
          </w:tcPr>
          <w:p w14:paraId="3F1B5642" w14:textId="77777777" w:rsidR="00F85AB9" w:rsidRDefault="00F85AB9" w:rsidP="00A2243E"/>
        </w:tc>
        <w:tc>
          <w:tcPr>
            <w:tcW w:w="2373" w:type="dxa"/>
          </w:tcPr>
          <w:p w14:paraId="16C902A3" w14:textId="77777777" w:rsidR="00F85AB9" w:rsidRDefault="00F85AB9" w:rsidP="00A2243E">
            <w:r>
              <w:t>at the international level</w:t>
            </w:r>
          </w:p>
        </w:tc>
        <w:tc>
          <w:tcPr>
            <w:tcW w:w="2186" w:type="dxa"/>
          </w:tcPr>
          <w:p w14:paraId="3876E6D4" w14:textId="77777777" w:rsidR="00F85AB9" w:rsidRDefault="00F85AB9" w:rsidP="00A2243E">
            <w:r w:rsidRPr="00F864E3">
              <w:t>at the regional</w:t>
            </w:r>
            <w:r>
              <w:t xml:space="preserve"> l</w:t>
            </w:r>
            <w:r w:rsidRPr="00F864E3">
              <w:t>evel</w:t>
            </w:r>
          </w:p>
        </w:tc>
        <w:tc>
          <w:tcPr>
            <w:tcW w:w="2118" w:type="dxa"/>
          </w:tcPr>
          <w:p w14:paraId="44823506" w14:textId="77777777" w:rsidR="00F85AB9" w:rsidRDefault="00F85AB9" w:rsidP="00A2243E">
            <w:r w:rsidRPr="00F864E3">
              <w:t>at the local level</w:t>
            </w:r>
          </w:p>
        </w:tc>
      </w:tr>
      <w:tr w:rsidR="00F85AB9" w14:paraId="6195377C" w14:textId="77777777" w:rsidTr="00A2243E">
        <w:trPr>
          <w:cantSplit/>
          <w:trHeight w:val="1134"/>
        </w:trPr>
        <w:tc>
          <w:tcPr>
            <w:tcW w:w="562" w:type="dxa"/>
            <w:vMerge/>
            <w:textDirection w:val="btLr"/>
          </w:tcPr>
          <w:p w14:paraId="53B947B6" w14:textId="77777777" w:rsidR="00F85AB9" w:rsidRDefault="00F85AB9" w:rsidP="00A2243E">
            <w:pPr>
              <w:ind w:left="113" w:right="113"/>
            </w:pPr>
          </w:p>
        </w:tc>
        <w:tc>
          <w:tcPr>
            <w:tcW w:w="4023" w:type="dxa"/>
          </w:tcPr>
          <w:p w14:paraId="6D8789E7" w14:textId="78804D95" w:rsidR="00F85AB9" w:rsidRDefault="00F85AB9" w:rsidP="00A2243E">
            <w:r>
              <w:t xml:space="preserve">B.1 Promote initiatives for capacity-building in leadership, </w:t>
            </w:r>
            <w:proofErr w:type="gramStart"/>
            <w:r>
              <w:t>negotiation</w:t>
            </w:r>
            <w:proofErr w:type="gramEnd"/>
            <w:r>
              <w:t xml:space="preserve"> and facilitation of negotiation for women delegates including young women, indigenous women and women from local communities, including through webinars and in-session training to enhance women’s participation in the UNFCCC process</w:t>
            </w:r>
          </w:p>
          <w:p w14:paraId="0C198259" w14:textId="77777777" w:rsidR="00F85AB9" w:rsidRDefault="00F85AB9" w:rsidP="00A2243E"/>
          <w:p w14:paraId="5202BDC9" w14:textId="185DF9D9" w:rsidR="00F85AB9" w:rsidRDefault="00F85AB9" w:rsidP="00685BA9">
            <w:r>
              <w:t>Workshops, capacity-building initiatives, webinars</w:t>
            </w:r>
          </w:p>
        </w:tc>
        <w:tc>
          <w:tcPr>
            <w:tcW w:w="2187" w:type="dxa"/>
          </w:tcPr>
          <w:p w14:paraId="4E37AC6C" w14:textId="77777777" w:rsidR="00F85AB9" w:rsidRDefault="00F85AB9" w:rsidP="00A2243E"/>
        </w:tc>
        <w:tc>
          <w:tcPr>
            <w:tcW w:w="1939" w:type="dxa"/>
          </w:tcPr>
          <w:p w14:paraId="48DE945C" w14:textId="77777777" w:rsidR="00F85AB9" w:rsidRDefault="00F85AB9" w:rsidP="00A2243E"/>
        </w:tc>
        <w:tc>
          <w:tcPr>
            <w:tcW w:w="2373" w:type="dxa"/>
          </w:tcPr>
          <w:p w14:paraId="1DEE6132" w14:textId="77777777" w:rsidR="00F85AB9" w:rsidRDefault="00F85AB9" w:rsidP="00A2243E"/>
        </w:tc>
        <w:tc>
          <w:tcPr>
            <w:tcW w:w="2186" w:type="dxa"/>
          </w:tcPr>
          <w:p w14:paraId="5D13717C" w14:textId="77777777" w:rsidR="00F85AB9" w:rsidRDefault="00F85AB9" w:rsidP="00A2243E"/>
        </w:tc>
        <w:tc>
          <w:tcPr>
            <w:tcW w:w="2118" w:type="dxa"/>
          </w:tcPr>
          <w:p w14:paraId="4DF59656" w14:textId="77777777" w:rsidR="00F85AB9" w:rsidRDefault="00F85AB9" w:rsidP="00A2243E"/>
        </w:tc>
      </w:tr>
      <w:tr w:rsidR="00F85AB9" w14:paraId="0304E3F3" w14:textId="77777777" w:rsidTr="00A2243E">
        <w:trPr>
          <w:cantSplit/>
          <w:trHeight w:val="1134"/>
        </w:trPr>
        <w:tc>
          <w:tcPr>
            <w:tcW w:w="562" w:type="dxa"/>
            <w:vMerge/>
            <w:textDirection w:val="btLr"/>
          </w:tcPr>
          <w:p w14:paraId="21E448D4" w14:textId="77777777" w:rsidR="00F85AB9" w:rsidRDefault="00F85AB9" w:rsidP="001D47EA">
            <w:pPr>
              <w:ind w:left="113" w:right="113"/>
            </w:pPr>
          </w:p>
        </w:tc>
        <w:tc>
          <w:tcPr>
            <w:tcW w:w="4023" w:type="dxa"/>
          </w:tcPr>
          <w:p w14:paraId="7D1FC013" w14:textId="77777777" w:rsidR="00F85AB9" w:rsidRDefault="00F85AB9" w:rsidP="001D47EA">
            <w:r>
              <w:t>B.2 Promote travel funds as a means of supporting the equal participation of women in all national delegations at UNFCCC sessions, as well as funds to support the participation of grass-roots local and indigenous peoples’ communities from developing countries, the least developed countries and small island developing States and encourage Parties and relevant organisations to share information on travel funding</w:t>
            </w:r>
          </w:p>
          <w:p w14:paraId="4618955C" w14:textId="77777777" w:rsidR="00F85AB9" w:rsidRDefault="00F85AB9" w:rsidP="001D47EA"/>
          <w:p w14:paraId="3826B906" w14:textId="77777777" w:rsidR="00F85AB9" w:rsidRDefault="00F85AB9" w:rsidP="001D47EA">
            <w:r>
              <w:t>Mobilization of travel funds to increase women’s participation in the UNFCCC process</w:t>
            </w:r>
          </w:p>
          <w:p w14:paraId="4DCAA2F7" w14:textId="77777777" w:rsidR="00F85AB9" w:rsidRDefault="00F85AB9" w:rsidP="001D47EA"/>
        </w:tc>
        <w:tc>
          <w:tcPr>
            <w:tcW w:w="2187" w:type="dxa"/>
          </w:tcPr>
          <w:p w14:paraId="71DAAF2D" w14:textId="77777777" w:rsidR="00F85AB9" w:rsidRDefault="00F85AB9" w:rsidP="001D47EA"/>
        </w:tc>
        <w:tc>
          <w:tcPr>
            <w:tcW w:w="1939" w:type="dxa"/>
          </w:tcPr>
          <w:p w14:paraId="6D7F3C31" w14:textId="77777777" w:rsidR="00F85AB9" w:rsidRDefault="00F85AB9" w:rsidP="001D47EA"/>
        </w:tc>
        <w:tc>
          <w:tcPr>
            <w:tcW w:w="2373" w:type="dxa"/>
          </w:tcPr>
          <w:p w14:paraId="453524E7" w14:textId="77777777" w:rsidR="00F85AB9" w:rsidRDefault="00F85AB9" w:rsidP="001D47EA"/>
        </w:tc>
        <w:tc>
          <w:tcPr>
            <w:tcW w:w="2186" w:type="dxa"/>
          </w:tcPr>
          <w:p w14:paraId="22D58A8F" w14:textId="77777777" w:rsidR="00F85AB9" w:rsidRDefault="00F85AB9" w:rsidP="001D47EA"/>
        </w:tc>
        <w:tc>
          <w:tcPr>
            <w:tcW w:w="2118" w:type="dxa"/>
          </w:tcPr>
          <w:p w14:paraId="75316537" w14:textId="77777777" w:rsidR="00F85AB9" w:rsidRDefault="00F85AB9" w:rsidP="001D47EA"/>
        </w:tc>
      </w:tr>
      <w:tr w:rsidR="00F85AB9" w14:paraId="332C666A" w14:textId="77777777" w:rsidTr="00A2243E">
        <w:trPr>
          <w:cantSplit/>
          <w:trHeight w:val="1134"/>
        </w:trPr>
        <w:tc>
          <w:tcPr>
            <w:tcW w:w="562" w:type="dxa"/>
            <w:vMerge/>
            <w:textDirection w:val="btLr"/>
          </w:tcPr>
          <w:p w14:paraId="75F55F6A" w14:textId="77777777" w:rsidR="00F85AB9" w:rsidRDefault="00F85AB9" w:rsidP="001D47EA">
            <w:pPr>
              <w:ind w:left="113" w:right="113"/>
            </w:pPr>
          </w:p>
        </w:tc>
        <w:tc>
          <w:tcPr>
            <w:tcW w:w="4023" w:type="dxa"/>
          </w:tcPr>
          <w:p w14:paraId="4094E369" w14:textId="77777777" w:rsidR="00F85AB9" w:rsidRDefault="00F85AB9" w:rsidP="001D47EA">
            <w:r>
              <w:t>B.3 Invite the Local Communities and Indigenous Peoples Platform Facilitative Working Group to collaborate and co-host a dialogue to discuss advancing the leadership and highlighting the solutions of local communities and indigenous women and ways of enhancing their effective participation in climate policy and action, to the extent that it is consistent with the workplan of the Local Communities and Indigenous Peoples Platform Facilitative Working Group and within existing resources</w:t>
            </w:r>
          </w:p>
          <w:p w14:paraId="2AE510E2" w14:textId="77777777" w:rsidR="00F85AB9" w:rsidRDefault="00F85AB9" w:rsidP="001D47EA"/>
          <w:p w14:paraId="615A4CAF" w14:textId="427A2D11" w:rsidR="00F85AB9" w:rsidRDefault="00F85AB9" w:rsidP="00F85AB9">
            <w:r>
              <w:t>Dialogue</w:t>
            </w:r>
          </w:p>
        </w:tc>
        <w:tc>
          <w:tcPr>
            <w:tcW w:w="2187" w:type="dxa"/>
          </w:tcPr>
          <w:p w14:paraId="603CB40F" w14:textId="77777777" w:rsidR="00F85AB9" w:rsidRDefault="00F85AB9" w:rsidP="001D47EA"/>
        </w:tc>
        <w:tc>
          <w:tcPr>
            <w:tcW w:w="1939" w:type="dxa"/>
          </w:tcPr>
          <w:p w14:paraId="13D47F2A" w14:textId="77777777" w:rsidR="00F85AB9" w:rsidRDefault="00F85AB9" w:rsidP="001D47EA"/>
        </w:tc>
        <w:tc>
          <w:tcPr>
            <w:tcW w:w="2373" w:type="dxa"/>
          </w:tcPr>
          <w:p w14:paraId="5A1F2E52" w14:textId="77777777" w:rsidR="00F85AB9" w:rsidRDefault="00F85AB9" w:rsidP="001D47EA"/>
        </w:tc>
        <w:tc>
          <w:tcPr>
            <w:tcW w:w="2186" w:type="dxa"/>
          </w:tcPr>
          <w:p w14:paraId="7940E53D" w14:textId="77777777" w:rsidR="00F85AB9" w:rsidRDefault="00F85AB9" w:rsidP="001D47EA"/>
        </w:tc>
        <w:tc>
          <w:tcPr>
            <w:tcW w:w="2118" w:type="dxa"/>
          </w:tcPr>
          <w:p w14:paraId="49A7531D" w14:textId="77777777" w:rsidR="00F85AB9" w:rsidRDefault="00F85AB9" w:rsidP="001D47EA"/>
        </w:tc>
      </w:tr>
      <w:tr w:rsidR="00F85AB9" w14:paraId="6F281678" w14:textId="77777777" w:rsidTr="00F85AB9">
        <w:trPr>
          <w:cantSplit/>
          <w:trHeight w:val="264"/>
        </w:trPr>
        <w:tc>
          <w:tcPr>
            <w:tcW w:w="562" w:type="dxa"/>
            <w:vMerge/>
            <w:textDirection w:val="btLr"/>
          </w:tcPr>
          <w:p w14:paraId="68576ADD" w14:textId="77777777" w:rsidR="00F85AB9" w:rsidRDefault="00F85AB9" w:rsidP="001D47EA">
            <w:pPr>
              <w:ind w:left="113" w:right="113"/>
            </w:pPr>
          </w:p>
        </w:tc>
        <w:tc>
          <w:tcPr>
            <w:tcW w:w="4023" w:type="dxa"/>
          </w:tcPr>
          <w:p w14:paraId="7CAB7ED7" w14:textId="3E2E1166" w:rsidR="00F85AB9" w:rsidRDefault="00F85AB9" w:rsidP="00F85AB9">
            <w:r>
              <w:t>B.3 Dialogue report</w:t>
            </w:r>
          </w:p>
        </w:tc>
        <w:tc>
          <w:tcPr>
            <w:tcW w:w="2187" w:type="dxa"/>
          </w:tcPr>
          <w:p w14:paraId="5A2E0726" w14:textId="77777777" w:rsidR="00F85AB9" w:rsidRDefault="00F85AB9" w:rsidP="001D47EA"/>
        </w:tc>
        <w:tc>
          <w:tcPr>
            <w:tcW w:w="1939" w:type="dxa"/>
          </w:tcPr>
          <w:p w14:paraId="32D51F30" w14:textId="77777777" w:rsidR="00F85AB9" w:rsidRDefault="00F85AB9" w:rsidP="001D47EA"/>
        </w:tc>
        <w:tc>
          <w:tcPr>
            <w:tcW w:w="2373" w:type="dxa"/>
          </w:tcPr>
          <w:p w14:paraId="351A3ADF" w14:textId="77777777" w:rsidR="00F85AB9" w:rsidRDefault="00F85AB9" w:rsidP="001D47EA"/>
        </w:tc>
        <w:tc>
          <w:tcPr>
            <w:tcW w:w="2186" w:type="dxa"/>
          </w:tcPr>
          <w:p w14:paraId="4A514CF6" w14:textId="77777777" w:rsidR="00F85AB9" w:rsidRDefault="00F85AB9" w:rsidP="001D47EA"/>
        </w:tc>
        <w:tc>
          <w:tcPr>
            <w:tcW w:w="2118" w:type="dxa"/>
          </w:tcPr>
          <w:p w14:paraId="2C024BF1" w14:textId="77777777" w:rsidR="00F85AB9" w:rsidRDefault="00F85AB9" w:rsidP="001D47EA"/>
        </w:tc>
      </w:tr>
      <w:tr w:rsidR="00F85AB9" w14:paraId="23846A5F" w14:textId="77777777" w:rsidTr="00F85AB9">
        <w:trPr>
          <w:cantSplit/>
          <w:trHeight w:val="552"/>
        </w:trPr>
        <w:tc>
          <w:tcPr>
            <w:tcW w:w="562" w:type="dxa"/>
            <w:vMerge/>
            <w:textDirection w:val="btLr"/>
          </w:tcPr>
          <w:p w14:paraId="4A158E33" w14:textId="77777777" w:rsidR="00F85AB9" w:rsidRDefault="00F85AB9" w:rsidP="001D47EA">
            <w:pPr>
              <w:ind w:left="113" w:right="113"/>
            </w:pPr>
          </w:p>
        </w:tc>
        <w:tc>
          <w:tcPr>
            <w:tcW w:w="4023" w:type="dxa"/>
          </w:tcPr>
          <w:p w14:paraId="37FD16C4" w14:textId="12CBDD1D" w:rsidR="00F85AB9" w:rsidRDefault="00F85AB9" w:rsidP="00F85AB9">
            <w:r>
              <w:t>B.</w:t>
            </w:r>
          </w:p>
        </w:tc>
        <w:tc>
          <w:tcPr>
            <w:tcW w:w="2187" w:type="dxa"/>
          </w:tcPr>
          <w:p w14:paraId="035F27B0" w14:textId="77777777" w:rsidR="00F85AB9" w:rsidRDefault="00F85AB9" w:rsidP="001D47EA"/>
        </w:tc>
        <w:tc>
          <w:tcPr>
            <w:tcW w:w="1939" w:type="dxa"/>
          </w:tcPr>
          <w:p w14:paraId="74822D2D" w14:textId="77777777" w:rsidR="00F85AB9" w:rsidRDefault="00F85AB9" w:rsidP="001D47EA"/>
        </w:tc>
        <w:tc>
          <w:tcPr>
            <w:tcW w:w="2373" w:type="dxa"/>
          </w:tcPr>
          <w:p w14:paraId="410C17ED" w14:textId="77777777" w:rsidR="00F85AB9" w:rsidRDefault="00F85AB9" w:rsidP="001D47EA"/>
        </w:tc>
        <w:tc>
          <w:tcPr>
            <w:tcW w:w="2186" w:type="dxa"/>
          </w:tcPr>
          <w:p w14:paraId="07FEAD40" w14:textId="77777777" w:rsidR="00F85AB9" w:rsidRDefault="00F85AB9" w:rsidP="001D47EA"/>
        </w:tc>
        <w:tc>
          <w:tcPr>
            <w:tcW w:w="2118" w:type="dxa"/>
          </w:tcPr>
          <w:p w14:paraId="50493509" w14:textId="77777777" w:rsidR="00F85AB9" w:rsidRDefault="00F85AB9" w:rsidP="001D47EA"/>
        </w:tc>
      </w:tr>
    </w:tbl>
    <w:p w14:paraId="299EABA0" w14:textId="77777777" w:rsidR="00E748A1" w:rsidRDefault="00E748A1" w:rsidP="00AD7E5C">
      <w:pPr>
        <w:rPr>
          <w:rFonts w:asciiTheme="majorHAnsi" w:eastAsia="Calibri" w:hAnsiTheme="majorHAnsi" w:cstheme="majorHAnsi"/>
          <w:bCs/>
          <w:lang w:val="en-AU"/>
        </w:rPr>
      </w:pPr>
    </w:p>
    <w:tbl>
      <w:tblPr>
        <w:tblStyle w:val="TableGrid"/>
        <w:tblW w:w="15456" w:type="dxa"/>
        <w:tblLook w:val="04A0" w:firstRow="1" w:lastRow="0" w:firstColumn="1" w:lastColumn="0" w:noHBand="0" w:noVBand="1"/>
      </w:tblPr>
      <w:tblGrid>
        <w:gridCol w:w="567"/>
        <w:gridCol w:w="4018"/>
        <w:gridCol w:w="2201"/>
        <w:gridCol w:w="1950"/>
        <w:gridCol w:w="2385"/>
        <w:gridCol w:w="2200"/>
        <w:gridCol w:w="2135"/>
      </w:tblGrid>
      <w:tr w:rsidR="00685BA9" w14:paraId="7817582D" w14:textId="77777777" w:rsidTr="00685BA9">
        <w:trPr>
          <w:trHeight w:val="596"/>
        </w:trPr>
        <w:tc>
          <w:tcPr>
            <w:tcW w:w="567" w:type="dxa"/>
            <w:vMerge w:val="restart"/>
            <w:textDirection w:val="btLr"/>
          </w:tcPr>
          <w:p w14:paraId="57732EE1" w14:textId="1BC1749B" w:rsidR="00685BA9" w:rsidRDefault="00685BA9" w:rsidP="00685BA9">
            <w:pPr>
              <w:ind w:left="113" w:right="113"/>
              <w:jc w:val="right"/>
            </w:pPr>
            <w:r>
              <w:t>Monitoring and reporting</w:t>
            </w:r>
          </w:p>
        </w:tc>
        <w:tc>
          <w:tcPr>
            <w:tcW w:w="4018" w:type="dxa"/>
            <w:vMerge w:val="restart"/>
          </w:tcPr>
          <w:p w14:paraId="5663C104" w14:textId="2C29B78C" w:rsidR="00685BA9" w:rsidRDefault="00685BA9" w:rsidP="00A2243E">
            <w:r>
              <w:t>GAP</w:t>
            </w:r>
          </w:p>
        </w:tc>
        <w:tc>
          <w:tcPr>
            <w:tcW w:w="2201" w:type="dxa"/>
            <w:vMerge w:val="restart"/>
          </w:tcPr>
          <w:p w14:paraId="4BF0A918" w14:textId="77777777" w:rsidR="00685BA9" w:rsidRDefault="00685BA9" w:rsidP="00A2243E">
            <w:r>
              <w:t>What has worked and why</w:t>
            </w:r>
          </w:p>
        </w:tc>
        <w:tc>
          <w:tcPr>
            <w:tcW w:w="1950" w:type="dxa"/>
            <w:vMerge w:val="restart"/>
          </w:tcPr>
          <w:p w14:paraId="6A93D41C" w14:textId="77777777" w:rsidR="00685BA9" w:rsidRDefault="00685BA9" w:rsidP="00A2243E">
            <w:r>
              <w:t>What has not worked and why not</w:t>
            </w:r>
          </w:p>
        </w:tc>
        <w:tc>
          <w:tcPr>
            <w:tcW w:w="6720" w:type="dxa"/>
            <w:gridSpan w:val="3"/>
          </w:tcPr>
          <w:p w14:paraId="443D2092" w14:textId="77777777" w:rsidR="00685BA9" w:rsidRDefault="00685BA9" w:rsidP="00A2243E">
            <w:r>
              <w:t>W</w:t>
            </w:r>
            <w:r w:rsidRPr="00F864E3">
              <w:t xml:space="preserve">hat is needed to enhance implementation (Who, What, Where, </w:t>
            </w:r>
            <w:proofErr w:type="gramStart"/>
            <w:r w:rsidRPr="00F864E3">
              <w:t>When,</w:t>
            </w:r>
            <w:proofErr w:type="gramEnd"/>
            <w:r w:rsidRPr="00F864E3">
              <w:t xml:space="preserve"> How)</w:t>
            </w:r>
          </w:p>
        </w:tc>
      </w:tr>
      <w:tr w:rsidR="00685BA9" w14:paraId="64FE4584" w14:textId="77777777" w:rsidTr="00A2243E">
        <w:trPr>
          <w:trHeight w:val="596"/>
        </w:trPr>
        <w:tc>
          <w:tcPr>
            <w:tcW w:w="567" w:type="dxa"/>
            <w:vMerge/>
          </w:tcPr>
          <w:p w14:paraId="2B3BC916" w14:textId="77777777" w:rsidR="00685BA9" w:rsidRDefault="00685BA9" w:rsidP="00A2243E"/>
        </w:tc>
        <w:tc>
          <w:tcPr>
            <w:tcW w:w="4018" w:type="dxa"/>
            <w:vMerge/>
          </w:tcPr>
          <w:p w14:paraId="329EC011" w14:textId="11A9695D" w:rsidR="00685BA9" w:rsidRDefault="00685BA9" w:rsidP="00A2243E"/>
        </w:tc>
        <w:tc>
          <w:tcPr>
            <w:tcW w:w="2201" w:type="dxa"/>
            <w:vMerge/>
          </w:tcPr>
          <w:p w14:paraId="0F3B20A0" w14:textId="77777777" w:rsidR="00685BA9" w:rsidRDefault="00685BA9" w:rsidP="00A2243E"/>
        </w:tc>
        <w:tc>
          <w:tcPr>
            <w:tcW w:w="1950" w:type="dxa"/>
            <w:vMerge/>
          </w:tcPr>
          <w:p w14:paraId="6A5F426F" w14:textId="77777777" w:rsidR="00685BA9" w:rsidRDefault="00685BA9" w:rsidP="00A2243E"/>
        </w:tc>
        <w:tc>
          <w:tcPr>
            <w:tcW w:w="2385" w:type="dxa"/>
          </w:tcPr>
          <w:p w14:paraId="638491E3" w14:textId="77777777" w:rsidR="00685BA9" w:rsidRDefault="00685BA9" w:rsidP="00A2243E">
            <w:r>
              <w:t>at the international level</w:t>
            </w:r>
          </w:p>
        </w:tc>
        <w:tc>
          <w:tcPr>
            <w:tcW w:w="2200" w:type="dxa"/>
          </w:tcPr>
          <w:p w14:paraId="6FDD8B14" w14:textId="77777777" w:rsidR="00685BA9" w:rsidRDefault="00685BA9" w:rsidP="00A2243E">
            <w:r w:rsidRPr="00F864E3">
              <w:t>at the regional</w:t>
            </w:r>
            <w:r>
              <w:t xml:space="preserve"> l</w:t>
            </w:r>
            <w:r w:rsidRPr="00F864E3">
              <w:t>evel</w:t>
            </w:r>
          </w:p>
        </w:tc>
        <w:tc>
          <w:tcPr>
            <w:tcW w:w="2135" w:type="dxa"/>
          </w:tcPr>
          <w:p w14:paraId="212D6166" w14:textId="77777777" w:rsidR="00685BA9" w:rsidRDefault="00685BA9" w:rsidP="00A2243E">
            <w:r w:rsidRPr="00F864E3">
              <w:t>at the local level</w:t>
            </w:r>
          </w:p>
        </w:tc>
      </w:tr>
      <w:tr w:rsidR="00685BA9" w14:paraId="55344D88" w14:textId="77777777" w:rsidTr="00A2243E">
        <w:trPr>
          <w:trHeight w:val="304"/>
        </w:trPr>
        <w:tc>
          <w:tcPr>
            <w:tcW w:w="567" w:type="dxa"/>
            <w:vMerge/>
          </w:tcPr>
          <w:p w14:paraId="347F0375" w14:textId="77777777" w:rsidR="00685BA9" w:rsidRDefault="00685BA9" w:rsidP="00A2243E"/>
        </w:tc>
        <w:tc>
          <w:tcPr>
            <w:tcW w:w="4018" w:type="dxa"/>
          </w:tcPr>
          <w:p w14:paraId="0C57F156" w14:textId="00E4AB13" w:rsidR="00685BA9" w:rsidRDefault="00685BA9" w:rsidP="00A2243E">
            <w:r>
              <w:t>E.1 Strengthen the monitoring and reporting on women in leadership positions within the UNFCCC process in the context of the gender composition report referred to in paragraph 15(b) of this decision and including through case studies</w:t>
            </w:r>
          </w:p>
          <w:p w14:paraId="5904DD67" w14:textId="77777777" w:rsidR="00685BA9" w:rsidRDefault="00685BA9" w:rsidP="00A2243E"/>
          <w:p w14:paraId="0741B33D" w14:textId="5707DA73" w:rsidR="00685BA9" w:rsidRDefault="00685BA9" w:rsidP="00A2243E">
            <w:r>
              <w:t>Inclusion of additional information in gender composition report</w:t>
            </w:r>
          </w:p>
          <w:p w14:paraId="24D2327B" w14:textId="77777777" w:rsidR="00685BA9" w:rsidRDefault="00685BA9" w:rsidP="00A2243E"/>
        </w:tc>
        <w:tc>
          <w:tcPr>
            <w:tcW w:w="2201" w:type="dxa"/>
          </w:tcPr>
          <w:p w14:paraId="2EE7620A" w14:textId="77777777" w:rsidR="00685BA9" w:rsidRDefault="00685BA9" w:rsidP="00A2243E"/>
        </w:tc>
        <w:tc>
          <w:tcPr>
            <w:tcW w:w="1950" w:type="dxa"/>
          </w:tcPr>
          <w:p w14:paraId="7DA8ECCD" w14:textId="77777777" w:rsidR="00685BA9" w:rsidRDefault="00685BA9" w:rsidP="00A2243E"/>
        </w:tc>
        <w:tc>
          <w:tcPr>
            <w:tcW w:w="2385" w:type="dxa"/>
          </w:tcPr>
          <w:p w14:paraId="54916623" w14:textId="77777777" w:rsidR="00685BA9" w:rsidRDefault="00685BA9" w:rsidP="00A2243E"/>
        </w:tc>
        <w:tc>
          <w:tcPr>
            <w:tcW w:w="2200" w:type="dxa"/>
          </w:tcPr>
          <w:p w14:paraId="69083BAE" w14:textId="77777777" w:rsidR="00685BA9" w:rsidRDefault="00685BA9" w:rsidP="00A2243E"/>
        </w:tc>
        <w:tc>
          <w:tcPr>
            <w:tcW w:w="2135" w:type="dxa"/>
          </w:tcPr>
          <w:p w14:paraId="7BE682C9" w14:textId="77777777" w:rsidR="00685BA9" w:rsidRDefault="00685BA9" w:rsidP="00A2243E"/>
        </w:tc>
      </w:tr>
      <w:tr w:rsidR="00685BA9" w14:paraId="79CB763B" w14:textId="77777777" w:rsidTr="00A2243E">
        <w:trPr>
          <w:trHeight w:val="291"/>
        </w:trPr>
        <w:tc>
          <w:tcPr>
            <w:tcW w:w="567" w:type="dxa"/>
            <w:vMerge/>
          </w:tcPr>
          <w:p w14:paraId="57E51E56" w14:textId="77777777" w:rsidR="00685BA9" w:rsidRDefault="00685BA9" w:rsidP="00A2243E"/>
        </w:tc>
        <w:tc>
          <w:tcPr>
            <w:tcW w:w="4018" w:type="dxa"/>
          </w:tcPr>
          <w:p w14:paraId="04D3F508" w14:textId="77777777" w:rsidR="00685BA9" w:rsidRDefault="00685BA9" w:rsidP="00A2243E">
            <w:r>
              <w:t>E.2 Monitor and report on the implementation of gender-responsive climate policies, plans, strategies and action, as appropriate, reported by Parties in regular reports and communications under the UNFCCC process</w:t>
            </w:r>
          </w:p>
          <w:p w14:paraId="11648318" w14:textId="77777777" w:rsidR="00685BA9" w:rsidRDefault="00685BA9" w:rsidP="00A2243E"/>
          <w:p w14:paraId="7F0C2347" w14:textId="77777777" w:rsidR="00685BA9" w:rsidRDefault="00685BA9" w:rsidP="00A2243E">
            <w:r>
              <w:t>Compilation and synthesis report</w:t>
            </w:r>
          </w:p>
          <w:p w14:paraId="528F45A1" w14:textId="646FD5D6" w:rsidR="00685BA9" w:rsidRDefault="00685BA9" w:rsidP="00A2243E"/>
        </w:tc>
        <w:tc>
          <w:tcPr>
            <w:tcW w:w="2201" w:type="dxa"/>
          </w:tcPr>
          <w:p w14:paraId="5D6F088E" w14:textId="77777777" w:rsidR="00685BA9" w:rsidRDefault="00685BA9" w:rsidP="00A2243E"/>
        </w:tc>
        <w:tc>
          <w:tcPr>
            <w:tcW w:w="1950" w:type="dxa"/>
          </w:tcPr>
          <w:p w14:paraId="07A80BFA" w14:textId="77777777" w:rsidR="00685BA9" w:rsidRDefault="00685BA9" w:rsidP="00A2243E"/>
        </w:tc>
        <w:tc>
          <w:tcPr>
            <w:tcW w:w="2385" w:type="dxa"/>
          </w:tcPr>
          <w:p w14:paraId="54E027DF" w14:textId="77777777" w:rsidR="00685BA9" w:rsidRDefault="00685BA9" w:rsidP="00A2243E"/>
        </w:tc>
        <w:tc>
          <w:tcPr>
            <w:tcW w:w="2200" w:type="dxa"/>
          </w:tcPr>
          <w:p w14:paraId="36667CBD" w14:textId="77777777" w:rsidR="00685BA9" w:rsidRDefault="00685BA9" w:rsidP="00A2243E"/>
        </w:tc>
        <w:tc>
          <w:tcPr>
            <w:tcW w:w="2135" w:type="dxa"/>
          </w:tcPr>
          <w:p w14:paraId="14CC39A0" w14:textId="77777777" w:rsidR="00685BA9" w:rsidRDefault="00685BA9" w:rsidP="00A2243E"/>
        </w:tc>
      </w:tr>
      <w:tr w:rsidR="00685BA9" w14:paraId="0432610A" w14:textId="77777777" w:rsidTr="00A2243E">
        <w:trPr>
          <w:trHeight w:val="291"/>
        </w:trPr>
        <w:tc>
          <w:tcPr>
            <w:tcW w:w="567" w:type="dxa"/>
            <w:vMerge/>
          </w:tcPr>
          <w:p w14:paraId="1FEB50B2" w14:textId="77777777" w:rsidR="00685BA9" w:rsidRDefault="00685BA9" w:rsidP="00A2243E"/>
        </w:tc>
        <w:tc>
          <w:tcPr>
            <w:tcW w:w="4018" w:type="dxa"/>
          </w:tcPr>
          <w:p w14:paraId="70251FCD" w14:textId="77777777" w:rsidR="00685BA9" w:rsidRDefault="00685BA9" w:rsidP="00A2243E">
            <w:r>
              <w:t>E.3 Support the review of the Lima work programme on gender and its gender action plan</w:t>
            </w:r>
          </w:p>
          <w:p w14:paraId="0C781826" w14:textId="77777777" w:rsidR="00685BA9" w:rsidRDefault="00685BA9" w:rsidP="00A2243E"/>
          <w:p w14:paraId="5C6DE8DD" w14:textId="77777777" w:rsidR="00685BA9" w:rsidRDefault="00685BA9" w:rsidP="00A2243E">
            <w:r>
              <w:t xml:space="preserve">Submissions to the UNFCCC on identifying progress in implementing the gender action plan, categorized by deliverable/output for each gender action plan activity, and further work to be undertaken. </w:t>
            </w:r>
          </w:p>
          <w:p w14:paraId="1C8998E7" w14:textId="77777777" w:rsidR="00685BA9" w:rsidRDefault="00685BA9" w:rsidP="00A2243E"/>
          <w:p w14:paraId="64066C6D" w14:textId="77777777" w:rsidR="00685BA9" w:rsidRDefault="00685BA9" w:rsidP="00A2243E">
            <w:r>
              <w:t>Submit via the submission portal inputs on progress, challenges, gaps and priorities in implementing the gender action plan, categorized by deliverable or output for each activity under the gender action plan, and on future work to be undertaken on gender and climate change, with a view to the submissions informing the review</w:t>
            </w:r>
          </w:p>
          <w:p w14:paraId="21838259" w14:textId="4F0FBCED" w:rsidR="00685BA9" w:rsidRDefault="00685BA9" w:rsidP="00A2243E"/>
        </w:tc>
        <w:tc>
          <w:tcPr>
            <w:tcW w:w="2201" w:type="dxa"/>
          </w:tcPr>
          <w:p w14:paraId="4D2C6753" w14:textId="77777777" w:rsidR="00685BA9" w:rsidRDefault="00685BA9" w:rsidP="00A2243E"/>
        </w:tc>
        <w:tc>
          <w:tcPr>
            <w:tcW w:w="1950" w:type="dxa"/>
          </w:tcPr>
          <w:p w14:paraId="3B84B092" w14:textId="77777777" w:rsidR="00685BA9" w:rsidRDefault="00685BA9" w:rsidP="00A2243E"/>
        </w:tc>
        <w:tc>
          <w:tcPr>
            <w:tcW w:w="2385" w:type="dxa"/>
          </w:tcPr>
          <w:p w14:paraId="6C76AD93" w14:textId="77777777" w:rsidR="00685BA9" w:rsidRDefault="00685BA9" w:rsidP="00A2243E"/>
        </w:tc>
        <w:tc>
          <w:tcPr>
            <w:tcW w:w="2200" w:type="dxa"/>
          </w:tcPr>
          <w:p w14:paraId="1FEDC6C2" w14:textId="77777777" w:rsidR="00685BA9" w:rsidRDefault="00685BA9" w:rsidP="00A2243E"/>
        </w:tc>
        <w:tc>
          <w:tcPr>
            <w:tcW w:w="2135" w:type="dxa"/>
          </w:tcPr>
          <w:p w14:paraId="7FEEB8BE" w14:textId="77777777" w:rsidR="00685BA9" w:rsidRDefault="00685BA9" w:rsidP="00A2243E"/>
        </w:tc>
      </w:tr>
      <w:tr w:rsidR="00685BA9" w14:paraId="1287BB46" w14:textId="77777777" w:rsidTr="00A2243E">
        <w:trPr>
          <w:trHeight w:val="291"/>
        </w:trPr>
        <w:tc>
          <w:tcPr>
            <w:tcW w:w="567" w:type="dxa"/>
            <w:vMerge/>
          </w:tcPr>
          <w:p w14:paraId="25C41619" w14:textId="77777777" w:rsidR="00685BA9" w:rsidRDefault="00685BA9" w:rsidP="00A2243E"/>
        </w:tc>
        <w:tc>
          <w:tcPr>
            <w:tcW w:w="4018" w:type="dxa"/>
          </w:tcPr>
          <w:p w14:paraId="6EB66A2B" w14:textId="77777777" w:rsidR="00685BA9" w:rsidRDefault="00685BA9" w:rsidP="00A2243E">
            <w:r>
              <w:t>E.4 Raise awareness of the support available to developing country Parties for reporting on the implementation of the gender action plan</w:t>
            </w:r>
          </w:p>
          <w:p w14:paraId="7F2DE90F" w14:textId="77777777" w:rsidR="00685BA9" w:rsidRDefault="00685BA9" w:rsidP="00A2243E"/>
          <w:p w14:paraId="1B077E7D" w14:textId="77777777" w:rsidR="00685BA9" w:rsidRDefault="00685BA9" w:rsidP="00A2243E">
            <w:r>
              <w:t>Communication of such information on the gender web pages on the UNFCCC website</w:t>
            </w:r>
          </w:p>
          <w:p w14:paraId="6E907739" w14:textId="57273C47" w:rsidR="00685BA9" w:rsidRDefault="00685BA9" w:rsidP="00A2243E"/>
        </w:tc>
        <w:tc>
          <w:tcPr>
            <w:tcW w:w="2201" w:type="dxa"/>
          </w:tcPr>
          <w:p w14:paraId="373AC41D" w14:textId="77777777" w:rsidR="00685BA9" w:rsidRDefault="00685BA9" w:rsidP="00A2243E"/>
        </w:tc>
        <w:tc>
          <w:tcPr>
            <w:tcW w:w="1950" w:type="dxa"/>
          </w:tcPr>
          <w:p w14:paraId="6482507E" w14:textId="77777777" w:rsidR="00685BA9" w:rsidRDefault="00685BA9" w:rsidP="00A2243E"/>
        </w:tc>
        <w:tc>
          <w:tcPr>
            <w:tcW w:w="2385" w:type="dxa"/>
          </w:tcPr>
          <w:p w14:paraId="7656E84F" w14:textId="77777777" w:rsidR="00685BA9" w:rsidRDefault="00685BA9" w:rsidP="00A2243E"/>
        </w:tc>
        <w:tc>
          <w:tcPr>
            <w:tcW w:w="2200" w:type="dxa"/>
          </w:tcPr>
          <w:p w14:paraId="7F1B062C" w14:textId="77777777" w:rsidR="00685BA9" w:rsidRDefault="00685BA9" w:rsidP="00A2243E"/>
        </w:tc>
        <w:tc>
          <w:tcPr>
            <w:tcW w:w="2135" w:type="dxa"/>
          </w:tcPr>
          <w:p w14:paraId="4AC8C058" w14:textId="77777777" w:rsidR="00685BA9" w:rsidRDefault="00685BA9" w:rsidP="00A2243E"/>
        </w:tc>
      </w:tr>
      <w:tr w:rsidR="00685BA9" w14:paraId="430A69AD" w14:textId="77777777" w:rsidTr="00A2243E">
        <w:trPr>
          <w:trHeight w:val="291"/>
        </w:trPr>
        <w:tc>
          <w:tcPr>
            <w:tcW w:w="567" w:type="dxa"/>
            <w:vMerge/>
          </w:tcPr>
          <w:p w14:paraId="3BC0BB8D" w14:textId="77777777" w:rsidR="00685BA9" w:rsidRDefault="00685BA9" w:rsidP="00A2243E"/>
        </w:tc>
        <w:tc>
          <w:tcPr>
            <w:tcW w:w="4018" w:type="dxa"/>
          </w:tcPr>
          <w:p w14:paraId="6BE7ECE8" w14:textId="65275E14" w:rsidR="00685BA9" w:rsidRDefault="00685BA9" w:rsidP="00F85AB9">
            <w:r>
              <w:t>E.</w:t>
            </w:r>
          </w:p>
        </w:tc>
        <w:tc>
          <w:tcPr>
            <w:tcW w:w="2201" w:type="dxa"/>
          </w:tcPr>
          <w:p w14:paraId="3B787492" w14:textId="77777777" w:rsidR="00685BA9" w:rsidRDefault="00685BA9" w:rsidP="00A2243E"/>
        </w:tc>
        <w:tc>
          <w:tcPr>
            <w:tcW w:w="1950" w:type="dxa"/>
          </w:tcPr>
          <w:p w14:paraId="171CDB49" w14:textId="77777777" w:rsidR="00685BA9" w:rsidRDefault="00685BA9" w:rsidP="00A2243E"/>
        </w:tc>
        <w:tc>
          <w:tcPr>
            <w:tcW w:w="2385" w:type="dxa"/>
          </w:tcPr>
          <w:p w14:paraId="4915359E" w14:textId="77777777" w:rsidR="00685BA9" w:rsidRDefault="00685BA9" w:rsidP="00A2243E"/>
        </w:tc>
        <w:tc>
          <w:tcPr>
            <w:tcW w:w="2200" w:type="dxa"/>
          </w:tcPr>
          <w:p w14:paraId="4DB6CDC8" w14:textId="77777777" w:rsidR="00685BA9" w:rsidRDefault="00685BA9" w:rsidP="00A2243E"/>
        </w:tc>
        <w:tc>
          <w:tcPr>
            <w:tcW w:w="2135" w:type="dxa"/>
          </w:tcPr>
          <w:p w14:paraId="79015442" w14:textId="77777777" w:rsidR="00685BA9" w:rsidRDefault="00685BA9" w:rsidP="00A2243E"/>
        </w:tc>
      </w:tr>
    </w:tbl>
    <w:p w14:paraId="243802CE" w14:textId="5F2D2C46" w:rsidR="00F85AB9" w:rsidRPr="00F85AB9" w:rsidRDefault="00F85AB9" w:rsidP="00220486">
      <w:pPr>
        <w:tabs>
          <w:tab w:val="left" w:pos="1005"/>
        </w:tabs>
        <w:rPr>
          <w:b/>
          <w:bCs/>
        </w:rPr>
      </w:pPr>
    </w:p>
    <w:sectPr w:rsidR="00F85AB9" w:rsidRPr="00F85AB9" w:rsidSect="00AD7E5C">
      <w:headerReference w:type="default"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0C95D" w14:textId="77777777" w:rsidR="00B13A66" w:rsidRDefault="00B13A66" w:rsidP="00277586">
      <w:pPr>
        <w:spacing w:after="0" w:line="240" w:lineRule="auto"/>
      </w:pPr>
      <w:r>
        <w:separator/>
      </w:r>
    </w:p>
  </w:endnote>
  <w:endnote w:type="continuationSeparator" w:id="0">
    <w:p w14:paraId="5A599A8E" w14:textId="77777777" w:rsidR="00B13A66" w:rsidRDefault="00B13A66" w:rsidP="00277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081512"/>
      <w:docPartObj>
        <w:docPartGallery w:val="Page Numbers (Bottom of Page)"/>
        <w:docPartUnique/>
      </w:docPartObj>
    </w:sdtPr>
    <w:sdtEndPr>
      <w:rPr>
        <w:noProof/>
      </w:rPr>
    </w:sdtEndPr>
    <w:sdtContent>
      <w:p w14:paraId="3D7B4BA1" w14:textId="0774B408" w:rsidR="005579D0" w:rsidRDefault="005579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5586EF" w14:textId="77777777" w:rsidR="005579D0" w:rsidRDefault="00557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A50F1" w14:textId="77777777" w:rsidR="00B13A66" w:rsidRDefault="00B13A66" w:rsidP="00277586">
      <w:pPr>
        <w:spacing w:after="0" w:line="240" w:lineRule="auto"/>
      </w:pPr>
      <w:r>
        <w:separator/>
      </w:r>
    </w:p>
  </w:footnote>
  <w:footnote w:type="continuationSeparator" w:id="0">
    <w:p w14:paraId="4FA4509C" w14:textId="77777777" w:rsidR="00B13A66" w:rsidRDefault="00B13A66" w:rsidP="00277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57A3" w14:textId="77777777" w:rsidR="00B774B5" w:rsidRPr="00AD7E5C" w:rsidRDefault="00B774B5">
    <w:pPr>
      <w:pStyle w:val="Header"/>
      <w:rPr>
        <w:b/>
        <w:bCs/>
      </w:rPr>
    </w:pPr>
    <w:r w:rsidRPr="00AD7E5C">
      <w:rPr>
        <w:b/>
        <w:bCs/>
      </w:rPr>
      <w:t>Template Day 1</w:t>
    </w:r>
  </w:p>
  <w:p w14:paraId="616783B4" w14:textId="77777777" w:rsidR="00B774B5" w:rsidRDefault="00B774B5">
    <w:pPr>
      <w:pStyle w:val="Header"/>
    </w:pPr>
    <w:r w:rsidRPr="00AD7E5C">
      <w:t>World café, capacity-building, knowledge management and communication; gender-balance, participation and women’s leadership; monitoring and reporting</w:t>
    </w:r>
  </w:p>
  <w:p w14:paraId="666FD16B" w14:textId="7A77CFB0" w:rsidR="00B774B5" w:rsidRDefault="00B774B5">
    <w:pPr>
      <w:pStyle w:val="Header"/>
    </w:pPr>
    <w:r w:rsidRPr="00AD7E5C">
      <w:t>Monday 3 June 16:10-18:00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FD2"/>
    <w:multiLevelType w:val="hybridMultilevel"/>
    <w:tmpl w:val="3586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30F29"/>
    <w:multiLevelType w:val="hybridMultilevel"/>
    <w:tmpl w:val="3AE01594"/>
    <w:lvl w:ilvl="0" w:tplc="FFFFFFFF">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6B140BA"/>
    <w:multiLevelType w:val="hybridMultilevel"/>
    <w:tmpl w:val="DF601A84"/>
    <w:lvl w:ilvl="0" w:tplc="46B4F4CC">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3118C"/>
    <w:multiLevelType w:val="hybridMultilevel"/>
    <w:tmpl w:val="5F188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B33C9"/>
    <w:multiLevelType w:val="hybridMultilevel"/>
    <w:tmpl w:val="2A021CAC"/>
    <w:lvl w:ilvl="0" w:tplc="E1482CDA">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912D0"/>
    <w:multiLevelType w:val="hybridMultilevel"/>
    <w:tmpl w:val="1E9473AA"/>
    <w:lvl w:ilvl="0" w:tplc="77A2131A">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47031"/>
    <w:multiLevelType w:val="hybridMultilevel"/>
    <w:tmpl w:val="E30CF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F62E42"/>
    <w:multiLevelType w:val="hybridMultilevel"/>
    <w:tmpl w:val="C1BA8A4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ABF52A9"/>
    <w:multiLevelType w:val="hybridMultilevel"/>
    <w:tmpl w:val="CFE0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05535B"/>
    <w:multiLevelType w:val="hybridMultilevel"/>
    <w:tmpl w:val="3B942F46"/>
    <w:lvl w:ilvl="0" w:tplc="E7122E08">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FC254A"/>
    <w:multiLevelType w:val="hybridMultilevel"/>
    <w:tmpl w:val="18CEE3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B805A1"/>
    <w:multiLevelType w:val="hybridMultilevel"/>
    <w:tmpl w:val="5F86F3FA"/>
    <w:lvl w:ilvl="0" w:tplc="D4A8DEC8">
      <w:start w:val="4"/>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C94B73"/>
    <w:multiLevelType w:val="hybridMultilevel"/>
    <w:tmpl w:val="D9CCE264"/>
    <w:lvl w:ilvl="0" w:tplc="8C3C788A">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17EC0"/>
    <w:multiLevelType w:val="hybridMultilevel"/>
    <w:tmpl w:val="496418A8"/>
    <w:lvl w:ilvl="0" w:tplc="ACDABE84">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5F4810"/>
    <w:multiLevelType w:val="hybridMultilevel"/>
    <w:tmpl w:val="B4FEF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0885293">
    <w:abstractNumId w:val="1"/>
  </w:num>
  <w:num w:numId="2" w16cid:durableId="876700197">
    <w:abstractNumId w:val="7"/>
  </w:num>
  <w:num w:numId="3" w16cid:durableId="13924040">
    <w:abstractNumId w:val="14"/>
  </w:num>
  <w:num w:numId="4" w16cid:durableId="1850215152">
    <w:abstractNumId w:val="8"/>
  </w:num>
  <w:num w:numId="5" w16cid:durableId="424771108">
    <w:abstractNumId w:val="0"/>
  </w:num>
  <w:num w:numId="6" w16cid:durableId="921991398">
    <w:abstractNumId w:val="9"/>
  </w:num>
  <w:num w:numId="7" w16cid:durableId="902060780">
    <w:abstractNumId w:val="12"/>
  </w:num>
  <w:num w:numId="8" w16cid:durableId="83307149">
    <w:abstractNumId w:val="2"/>
  </w:num>
  <w:num w:numId="9" w16cid:durableId="88548045">
    <w:abstractNumId w:val="13"/>
  </w:num>
  <w:num w:numId="10" w16cid:durableId="1178621431">
    <w:abstractNumId w:val="5"/>
  </w:num>
  <w:num w:numId="11" w16cid:durableId="191040054">
    <w:abstractNumId w:val="4"/>
  </w:num>
  <w:num w:numId="12" w16cid:durableId="97995232">
    <w:abstractNumId w:val="10"/>
  </w:num>
  <w:num w:numId="13" w16cid:durableId="874388767">
    <w:abstractNumId w:val="11"/>
  </w:num>
  <w:num w:numId="14" w16cid:durableId="1208571683">
    <w:abstractNumId w:val="3"/>
  </w:num>
  <w:num w:numId="15" w16cid:durableId="9578813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11"/>
    <w:rsid w:val="00010C75"/>
    <w:rsid w:val="000645DF"/>
    <w:rsid w:val="0007456C"/>
    <w:rsid w:val="000A5718"/>
    <w:rsid w:val="000D468C"/>
    <w:rsid w:val="00193A12"/>
    <w:rsid w:val="001D47EA"/>
    <w:rsid w:val="001E0C24"/>
    <w:rsid w:val="002157FC"/>
    <w:rsid w:val="00220486"/>
    <w:rsid w:val="00277586"/>
    <w:rsid w:val="00281F13"/>
    <w:rsid w:val="002F36E1"/>
    <w:rsid w:val="00303FE6"/>
    <w:rsid w:val="003A50E4"/>
    <w:rsid w:val="003D24E8"/>
    <w:rsid w:val="00403E26"/>
    <w:rsid w:val="004365B0"/>
    <w:rsid w:val="00477E19"/>
    <w:rsid w:val="004B4D64"/>
    <w:rsid w:val="005544AB"/>
    <w:rsid w:val="005579D0"/>
    <w:rsid w:val="00592F0F"/>
    <w:rsid w:val="005B3E65"/>
    <w:rsid w:val="005D3EAE"/>
    <w:rsid w:val="005E08AC"/>
    <w:rsid w:val="00685BA9"/>
    <w:rsid w:val="007019FD"/>
    <w:rsid w:val="00754FE8"/>
    <w:rsid w:val="00792FCA"/>
    <w:rsid w:val="007C305E"/>
    <w:rsid w:val="00815F3E"/>
    <w:rsid w:val="008B3D9F"/>
    <w:rsid w:val="00920A56"/>
    <w:rsid w:val="00990E2E"/>
    <w:rsid w:val="009C207A"/>
    <w:rsid w:val="009D1D2E"/>
    <w:rsid w:val="00A2243E"/>
    <w:rsid w:val="00A82BA0"/>
    <w:rsid w:val="00A96393"/>
    <w:rsid w:val="00AA201E"/>
    <w:rsid w:val="00AB17BE"/>
    <w:rsid w:val="00AB6950"/>
    <w:rsid w:val="00AD7E5C"/>
    <w:rsid w:val="00B01011"/>
    <w:rsid w:val="00B13446"/>
    <w:rsid w:val="00B13A66"/>
    <w:rsid w:val="00B63374"/>
    <w:rsid w:val="00B774B5"/>
    <w:rsid w:val="00BD222B"/>
    <w:rsid w:val="00C0778D"/>
    <w:rsid w:val="00C540D5"/>
    <w:rsid w:val="00C64DEE"/>
    <w:rsid w:val="00C74781"/>
    <w:rsid w:val="00D22E34"/>
    <w:rsid w:val="00D41C20"/>
    <w:rsid w:val="00D67F19"/>
    <w:rsid w:val="00D82EF7"/>
    <w:rsid w:val="00D9334B"/>
    <w:rsid w:val="00DA4CB6"/>
    <w:rsid w:val="00DA5A55"/>
    <w:rsid w:val="00E15CD0"/>
    <w:rsid w:val="00E401E2"/>
    <w:rsid w:val="00E551FA"/>
    <w:rsid w:val="00E748A1"/>
    <w:rsid w:val="00E83CBC"/>
    <w:rsid w:val="00EC7611"/>
    <w:rsid w:val="00ED5451"/>
    <w:rsid w:val="00F30A31"/>
    <w:rsid w:val="00F55475"/>
    <w:rsid w:val="00F57FC6"/>
    <w:rsid w:val="00F83E52"/>
    <w:rsid w:val="00F85AB9"/>
    <w:rsid w:val="00F864E3"/>
    <w:rsid w:val="00FB1B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41B9D"/>
  <w15:chartTrackingRefBased/>
  <w15:docId w15:val="{795059D4-0450-409F-BF95-DE06C9DC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7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7611"/>
    <w:rPr>
      <w:sz w:val="16"/>
      <w:szCs w:val="16"/>
    </w:rPr>
  </w:style>
  <w:style w:type="paragraph" w:styleId="CommentText">
    <w:name w:val="annotation text"/>
    <w:basedOn w:val="Normal"/>
    <w:link w:val="CommentTextChar"/>
    <w:uiPriority w:val="99"/>
    <w:unhideWhenUsed/>
    <w:rsid w:val="00EC7611"/>
    <w:pPr>
      <w:spacing w:line="240" w:lineRule="auto"/>
    </w:pPr>
    <w:rPr>
      <w:sz w:val="20"/>
      <w:szCs w:val="20"/>
    </w:rPr>
  </w:style>
  <w:style w:type="character" w:customStyle="1" w:styleId="CommentTextChar">
    <w:name w:val="Comment Text Char"/>
    <w:basedOn w:val="DefaultParagraphFont"/>
    <w:link w:val="CommentText"/>
    <w:uiPriority w:val="99"/>
    <w:rsid w:val="00EC7611"/>
    <w:rPr>
      <w:sz w:val="20"/>
      <w:szCs w:val="20"/>
    </w:rPr>
  </w:style>
  <w:style w:type="paragraph" w:styleId="ListParagraph">
    <w:name w:val="List Paragraph"/>
    <w:basedOn w:val="Normal"/>
    <w:uiPriority w:val="34"/>
    <w:qFormat/>
    <w:rsid w:val="00EC7611"/>
    <w:pPr>
      <w:spacing w:after="0" w:line="240" w:lineRule="auto"/>
      <w:ind w:left="720"/>
      <w:contextualSpacing/>
    </w:pPr>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B13446"/>
    <w:rPr>
      <w:b/>
      <w:bCs/>
    </w:rPr>
  </w:style>
  <w:style w:type="character" w:customStyle="1" w:styleId="CommentSubjectChar">
    <w:name w:val="Comment Subject Char"/>
    <w:basedOn w:val="CommentTextChar"/>
    <w:link w:val="CommentSubject"/>
    <w:uiPriority w:val="99"/>
    <w:semiHidden/>
    <w:rsid w:val="00B13446"/>
    <w:rPr>
      <w:b/>
      <w:bCs/>
      <w:sz w:val="20"/>
      <w:szCs w:val="20"/>
    </w:rPr>
  </w:style>
  <w:style w:type="paragraph" w:styleId="Header">
    <w:name w:val="header"/>
    <w:basedOn w:val="Normal"/>
    <w:link w:val="HeaderChar"/>
    <w:uiPriority w:val="99"/>
    <w:unhideWhenUsed/>
    <w:rsid w:val="00277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586"/>
  </w:style>
  <w:style w:type="paragraph" w:styleId="Footer">
    <w:name w:val="footer"/>
    <w:basedOn w:val="Normal"/>
    <w:link w:val="FooterChar"/>
    <w:uiPriority w:val="99"/>
    <w:unhideWhenUsed/>
    <w:rsid w:val="002775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586"/>
  </w:style>
  <w:style w:type="character" w:styleId="Hyperlink">
    <w:name w:val="Hyperlink"/>
    <w:basedOn w:val="DefaultParagraphFont"/>
    <w:uiPriority w:val="99"/>
    <w:unhideWhenUsed/>
    <w:rsid w:val="000D468C"/>
    <w:rPr>
      <w:color w:val="0563C1" w:themeColor="hyperlink"/>
      <w:u w:val="single"/>
    </w:rPr>
  </w:style>
  <w:style w:type="character" w:styleId="UnresolvedMention">
    <w:name w:val="Unresolved Mention"/>
    <w:basedOn w:val="DefaultParagraphFont"/>
    <w:uiPriority w:val="99"/>
    <w:semiHidden/>
    <w:unhideWhenUsed/>
    <w:rsid w:val="000D468C"/>
    <w:rPr>
      <w:color w:val="605E5C"/>
      <w:shd w:val="clear" w:color="auto" w:fill="E1DFDD"/>
    </w:rPr>
  </w:style>
  <w:style w:type="paragraph" w:styleId="Revision">
    <w:name w:val="Revision"/>
    <w:hidden/>
    <w:uiPriority w:val="99"/>
    <w:semiHidden/>
    <w:rsid w:val="00C540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6103">
      <w:bodyDiv w:val="1"/>
      <w:marLeft w:val="0"/>
      <w:marRight w:val="0"/>
      <w:marTop w:val="0"/>
      <w:marBottom w:val="0"/>
      <w:divBdr>
        <w:top w:val="none" w:sz="0" w:space="0" w:color="auto"/>
        <w:left w:val="none" w:sz="0" w:space="0" w:color="auto"/>
        <w:bottom w:val="none" w:sz="0" w:space="0" w:color="auto"/>
        <w:right w:val="none" w:sz="0" w:space="0" w:color="auto"/>
      </w:divBdr>
      <w:divsChild>
        <w:div w:id="630863718">
          <w:marLeft w:val="0"/>
          <w:marRight w:val="0"/>
          <w:marTop w:val="0"/>
          <w:marBottom w:val="0"/>
          <w:divBdr>
            <w:top w:val="none" w:sz="0" w:space="0" w:color="auto"/>
            <w:left w:val="none" w:sz="0" w:space="0" w:color="auto"/>
            <w:bottom w:val="none" w:sz="0" w:space="0" w:color="auto"/>
            <w:right w:val="none" w:sz="0" w:space="0" w:color="auto"/>
          </w:divBdr>
          <w:divsChild>
            <w:div w:id="815798546">
              <w:marLeft w:val="0"/>
              <w:marRight w:val="0"/>
              <w:marTop w:val="0"/>
              <w:marBottom w:val="0"/>
              <w:divBdr>
                <w:top w:val="none" w:sz="0" w:space="0" w:color="auto"/>
                <w:left w:val="none" w:sz="0" w:space="0" w:color="auto"/>
                <w:bottom w:val="none" w:sz="0" w:space="0" w:color="auto"/>
                <w:right w:val="none" w:sz="0" w:space="0" w:color="auto"/>
              </w:divBdr>
            </w:div>
            <w:div w:id="1080130286">
              <w:marLeft w:val="0"/>
              <w:marRight w:val="0"/>
              <w:marTop w:val="0"/>
              <w:marBottom w:val="0"/>
              <w:divBdr>
                <w:top w:val="none" w:sz="0" w:space="0" w:color="auto"/>
                <w:left w:val="none" w:sz="0" w:space="0" w:color="auto"/>
                <w:bottom w:val="none" w:sz="0" w:space="0" w:color="auto"/>
                <w:right w:val="none" w:sz="0" w:space="0" w:color="auto"/>
              </w:divBdr>
            </w:div>
          </w:divsChild>
        </w:div>
        <w:div w:id="319163136">
          <w:marLeft w:val="0"/>
          <w:marRight w:val="0"/>
          <w:marTop w:val="0"/>
          <w:marBottom w:val="0"/>
          <w:divBdr>
            <w:top w:val="none" w:sz="0" w:space="0" w:color="auto"/>
            <w:left w:val="none" w:sz="0" w:space="0" w:color="auto"/>
            <w:bottom w:val="none" w:sz="0" w:space="0" w:color="auto"/>
            <w:right w:val="none" w:sz="0" w:space="0" w:color="auto"/>
          </w:divBdr>
          <w:divsChild>
            <w:div w:id="15972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3842">
      <w:bodyDiv w:val="1"/>
      <w:marLeft w:val="0"/>
      <w:marRight w:val="0"/>
      <w:marTop w:val="0"/>
      <w:marBottom w:val="0"/>
      <w:divBdr>
        <w:top w:val="none" w:sz="0" w:space="0" w:color="auto"/>
        <w:left w:val="none" w:sz="0" w:space="0" w:color="auto"/>
        <w:bottom w:val="none" w:sz="0" w:space="0" w:color="auto"/>
        <w:right w:val="none" w:sz="0" w:space="0" w:color="auto"/>
      </w:divBdr>
    </w:div>
    <w:div w:id="432212239">
      <w:bodyDiv w:val="1"/>
      <w:marLeft w:val="0"/>
      <w:marRight w:val="0"/>
      <w:marTop w:val="0"/>
      <w:marBottom w:val="0"/>
      <w:divBdr>
        <w:top w:val="none" w:sz="0" w:space="0" w:color="auto"/>
        <w:left w:val="none" w:sz="0" w:space="0" w:color="auto"/>
        <w:bottom w:val="none" w:sz="0" w:space="0" w:color="auto"/>
        <w:right w:val="none" w:sz="0" w:space="0" w:color="auto"/>
      </w:divBdr>
    </w:div>
    <w:div w:id="74954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DO xmlns="ccd45ac6-7bc2-4aa6-bace-c7765e0f6f88">false</ODO>
    <EES xmlns="ccd45ac6-7bc2-4aa6-bace-c7765e0f6f88">false</EES>
    <RMP xmlns="ccd45ac6-7bc2-4aa6-bace-c7765e0f6f88">false</RMP>
  </documentManagement>
</p:properties>
</file>

<file path=customXml/item3.xml><?xml version="1.0" encoding="utf-8"?>
<ct:contentTypeSchema xmlns:ct="http://schemas.microsoft.com/office/2006/metadata/contentType" xmlns:ma="http://schemas.microsoft.com/office/2006/metadata/properties/metaAttributes" ct:_="" ma:_="" ma:contentTypeName="UNFCCC Word Document" ma:contentTypeID="0x010100815E22169F4FDA4990F64B77880A2F35005AA16990932BCF42979D54B7D828F7B3" ma:contentTypeVersion="4" ma:contentTypeDescription="Creates a new UNFCCC Document" ma:contentTypeScope="" ma:versionID="f44f1c6cf9c48c938c9a34d2b16bcb20">
  <xsd:schema xmlns:xsd="http://www.w3.org/2001/XMLSchema" xmlns:xs="http://www.w3.org/2001/XMLSchema" xmlns:p="http://schemas.microsoft.com/office/2006/metadata/properties" xmlns:ns2="ccd45ac6-7bc2-4aa6-bace-c7765e0f6f88" targetNamespace="http://schemas.microsoft.com/office/2006/metadata/properties" ma:root="true" ma:fieldsID="e1e98535ac2a6c13c3a10b57a08ec8e6" ns2:_="">
    <xsd:import namespace="ccd45ac6-7bc2-4aa6-bace-c7765e0f6f88"/>
    <xsd:element name="properties">
      <xsd:complexType>
        <xsd:sequence>
          <xsd:element name="documentManagement">
            <xsd:complexType>
              <xsd:all>
                <xsd:element ref="ns2:EES" minOccurs="0"/>
                <xsd:element ref="ns2:RMP" minOccurs="0"/>
                <xsd:element ref="ns2:O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45ac6-7bc2-4aa6-bace-c7765e0f6f88" elementFormDefault="qualified">
    <xsd:import namespace="http://schemas.microsoft.com/office/2006/documentManagement/types"/>
    <xsd:import namespace="http://schemas.microsoft.com/office/infopath/2007/PartnerControls"/>
    <xsd:element name="EES" ma:index="8" nillable="true" ma:displayName="EES" ma:default="0" ma:description="Executive Engagement and Support" ma:internalName="EES">
      <xsd:simpleType>
        <xsd:restriction base="dms:Boolean"/>
      </xsd:simpleType>
    </xsd:element>
    <xsd:element name="RMP" ma:index="9" nillable="true" ma:displayName="RMP" ma:default="0" ma:internalName="RMP">
      <xsd:simpleType>
        <xsd:restriction base="dms:Boolean"/>
      </xsd:simpleType>
    </xsd:element>
    <xsd:element name="ODO" ma:index="10" nillable="true" ma:displayName="ODO" ma:default="0" ma:internalName="OD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E04104-08EF-4264-A63D-A7D11622A8A3}">
  <ds:schemaRefs>
    <ds:schemaRef ds:uri="http://schemas.openxmlformats.org/officeDocument/2006/bibliography"/>
  </ds:schemaRefs>
</ds:datastoreItem>
</file>

<file path=customXml/itemProps2.xml><?xml version="1.0" encoding="utf-8"?>
<ds:datastoreItem xmlns:ds="http://schemas.openxmlformats.org/officeDocument/2006/customXml" ds:itemID="{9CE458D3-D080-42B1-AEC0-A47B00572A89}">
  <ds:schemaRefs>
    <ds:schemaRef ds:uri="ccd45ac6-7bc2-4aa6-bace-c7765e0f6f88"/>
    <ds:schemaRef ds:uri="http://purl.org/dc/elements/1.1/"/>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F6655E7-61E5-4205-845B-2E4FE9289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45ac6-7bc2-4aa6-bace-c7765e0f6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B36374-2E2B-4A47-A16B-3A0EFE10C6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Wiebke Bender</dc:creator>
  <cp:keywords/>
  <dc:description/>
  <cp:lastModifiedBy>Wiebke Bender</cp:lastModifiedBy>
  <cp:revision>5</cp:revision>
  <dcterms:created xsi:type="dcterms:W3CDTF">2024-05-28T16:48:00Z</dcterms:created>
  <dcterms:modified xsi:type="dcterms:W3CDTF">2024-05-29T12:45:00Z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0x010100815E22169F4FDA4990F64B77880A2F35005AA16990932BCF42979D54B7D828F7B3</vt:lpwstr>
  </property>
</Properties>
</file>