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AFF0" w14:textId="77777777" w:rsidR="003C7A74" w:rsidRPr="00502663" w:rsidRDefault="003C7A74" w:rsidP="003C7A74">
      <w:pPr>
        <w:jc w:val="center"/>
        <w:rPr>
          <w:rFonts w:asciiTheme="minorHAnsi" w:hAnsiTheme="minorHAnsi"/>
          <w:b/>
          <w:sz w:val="32"/>
          <w:szCs w:val="32"/>
        </w:rPr>
      </w:pPr>
      <w:r w:rsidRPr="00502663">
        <w:rPr>
          <w:rFonts w:asciiTheme="minorHAnsi" w:hAnsiTheme="minorHAnsi"/>
          <w:b/>
          <w:sz w:val="32"/>
          <w:szCs w:val="32"/>
        </w:rPr>
        <w:t xml:space="preserve">Template for non-Party stakeholders’ inputs </w:t>
      </w:r>
    </w:p>
    <w:p w14:paraId="0B7F3174" w14:textId="77777777" w:rsidR="003C7A74" w:rsidRPr="00502663" w:rsidRDefault="003C7A74" w:rsidP="003C7A74">
      <w:pPr>
        <w:jc w:val="center"/>
        <w:rPr>
          <w:rFonts w:asciiTheme="minorHAnsi" w:hAnsiTheme="minorHAnsi"/>
          <w:b/>
          <w:sz w:val="32"/>
          <w:szCs w:val="32"/>
        </w:rPr>
      </w:pPr>
      <w:r w:rsidRPr="00502663">
        <w:rPr>
          <w:rFonts w:asciiTheme="minorHAnsi" w:hAnsiTheme="minorHAnsi"/>
          <w:b/>
          <w:sz w:val="32"/>
          <w:szCs w:val="32"/>
        </w:rPr>
        <w:t xml:space="preserve">for the </w:t>
      </w:r>
      <w:proofErr w:type="spellStart"/>
      <w:r w:rsidRPr="00502663">
        <w:rPr>
          <w:rFonts w:asciiTheme="minorHAnsi" w:hAnsiTheme="minorHAnsi"/>
          <w:b/>
          <w:sz w:val="32"/>
          <w:szCs w:val="32"/>
        </w:rPr>
        <w:t>Talanoa</w:t>
      </w:r>
      <w:proofErr w:type="spellEnd"/>
      <w:r w:rsidRPr="00502663">
        <w:rPr>
          <w:rFonts w:asciiTheme="minorHAnsi" w:hAnsiTheme="minorHAnsi"/>
          <w:b/>
          <w:sz w:val="32"/>
          <w:szCs w:val="32"/>
        </w:rPr>
        <w:t xml:space="preserve"> Dialogue </w:t>
      </w:r>
    </w:p>
    <w:p w14:paraId="2998E984" w14:textId="77777777" w:rsidR="003C7A74" w:rsidRPr="00502663" w:rsidRDefault="003C7A74" w:rsidP="003C7A74">
      <w:pPr>
        <w:jc w:val="center"/>
        <w:rPr>
          <w:rFonts w:asciiTheme="minorHAnsi" w:hAnsiTheme="minorHAnsi"/>
          <w:b/>
          <w:sz w:val="24"/>
          <w:szCs w:val="24"/>
        </w:rPr>
      </w:pPr>
      <w:r w:rsidRPr="00502663">
        <w:rPr>
          <w:rFonts w:asciiTheme="minorHAnsi" w:hAnsiTheme="minorHAnsi"/>
          <w:sz w:val="32"/>
          <w:szCs w:val="32"/>
        </w:rPr>
        <w:t>Question 3 - How do we get there?</w:t>
      </w:r>
    </w:p>
    <w:p w14:paraId="6A43242A" w14:textId="77777777" w:rsidR="003C7A74" w:rsidRPr="00502663" w:rsidRDefault="003C7A74" w:rsidP="003C7A74">
      <w:pPr>
        <w:rPr>
          <w:rFonts w:asciiTheme="minorHAnsi" w:hAnsiTheme="minorHAnsi"/>
          <w:b/>
          <w:sz w:val="32"/>
          <w:szCs w:val="32"/>
        </w:rPr>
      </w:pPr>
    </w:p>
    <w:p w14:paraId="2CCF4B32" w14:textId="77777777" w:rsidR="003C7A74" w:rsidRPr="00502663" w:rsidRDefault="003C7A74" w:rsidP="003C7A74">
      <w:pPr>
        <w:tabs>
          <w:tab w:val="left" w:pos="4111"/>
        </w:tabs>
        <w:rPr>
          <w:rFonts w:asciiTheme="minorHAnsi" w:hAnsiTheme="minorHAnsi"/>
          <w:i/>
          <w:sz w:val="20"/>
        </w:rPr>
      </w:pPr>
      <w:r w:rsidRPr="00502663">
        <w:rPr>
          <w:rFonts w:asciiTheme="minorHAnsi" w:hAnsiTheme="minorHAnsi"/>
          <w:i/>
          <w:sz w:val="20"/>
        </w:rPr>
        <w:t xml:space="preserve">This template is meant to guide non-Party stakeholders (organization(s), coalition(s), initiative(s) and/or sector(s) etc.) in providing inputs that are relevant and impactful to the </w:t>
      </w:r>
      <w:proofErr w:type="spellStart"/>
      <w:r w:rsidRPr="00502663">
        <w:rPr>
          <w:rFonts w:asciiTheme="minorHAnsi" w:hAnsiTheme="minorHAnsi"/>
          <w:i/>
          <w:sz w:val="20"/>
        </w:rPr>
        <w:t>Talanoa</w:t>
      </w:r>
      <w:proofErr w:type="spellEnd"/>
      <w:r w:rsidRPr="00502663">
        <w:rPr>
          <w:rFonts w:asciiTheme="minorHAnsi" w:hAnsiTheme="minorHAnsi"/>
          <w:i/>
          <w:sz w:val="20"/>
        </w:rPr>
        <w:t xml:space="preserve"> Dialogue process. Using such the template is not mandatory, however, the High-level Champions encourage non-Party stakeholders to use such a structure to facilitate capturing and highlighting the key messages across the three questions.</w:t>
      </w:r>
    </w:p>
    <w:p w14:paraId="27847690" w14:textId="77777777" w:rsidR="003C7A74" w:rsidRPr="00502663" w:rsidRDefault="003C7A74" w:rsidP="003C7A74">
      <w:pPr>
        <w:rPr>
          <w:rFonts w:asciiTheme="minorHAnsi" w:hAnsiTheme="minorHAnsi"/>
          <w:b/>
          <w:sz w:val="24"/>
          <w:szCs w:val="24"/>
        </w:rPr>
      </w:pPr>
    </w:p>
    <w:p w14:paraId="40B75271" w14:textId="77777777" w:rsidR="003C7A74" w:rsidRPr="00502663" w:rsidRDefault="003C7A74" w:rsidP="003C7A74">
      <w:pPr>
        <w:rPr>
          <w:rFonts w:asciiTheme="minorHAnsi" w:hAnsiTheme="minorHAnsi"/>
          <w:b/>
          <w:sz w:val="24"/>
          <w:szCs w:val="24"/>
        </w:rPr>
      </w:pPr>
      <w:r w:rsidRPr="00502663">
        <w:rPr>
          <w:rFonts w:asciiTheme="minorHAnsi" w:hAnsiTheme="minorHAnsi"/>
          <w:b/>
          <w:sz w:val="24"/>
          <w:szCs w:val="24"/>
        </w:rPr>
        <w:t>How do we get there?</w:t>
      </w:r>
    </w:p>
    <w:p w14:paraId="53E2948A" w14:textId="77777777" w:rsidR="003C7A74" w:rsidRPr="00502663" w:rsidRDefault="003C7A74" w:rsidP="003C7A74">
      <w:pPr>
        <w:rPr>
          <w:rFonts w:asciiTheme="minorHAnsi" w:hAnsiTheme="minorHAnsi"/>
          <w:i/>
          <w:sz w:val="20"/>
        </w:rPr>
      </w:pPr>
      <w:r w:rsidRPr="00502663">
        <w:rPr>
          <w:rFonts w:asciiTheme="minorHAnsi" w:hAnsiTheme="minorHAnsi"/>
          <w:i/>
          <w:sz w:val="20"/>
        </w:rPr>
        <w:t>Ways in which the UN Climate Change process can help you achieve your vision and goals, and how your actions can help in expediting sustainable transitions to climate neutral societies [Maximum 300 words]</w:t>
      </w:r>
    </w:p>
    <w:tbl>
      <w:tblPr>
        <w:tblStyle w:val="TableGrid2"/>
        <w:tblW w:w="0" w:type="auto"/>
        <w:tblLook w:val="04A0" w:firstRow="1" w:lastRow="0" w:firstColumn="1" w:lastColumn="0" w:noHBand="0" w:noVBand="1"/>
      </w:tblPr>
      <w:tblGrid>
        <w:gridCol w:w="8472"/>
      </w:tblGrid>
      <w:tr w:rsidR="003C7A74" w:rsidRPr="00502663" w14:paraId="6515F7B0" w14:textId="77777777" w:rsidTr="00FA1CA5">
        <w:tc>
          <w:tcPr>
            <w:tcW w:w="8472" w:type="dxa"/>
          </w:tcPr>
          <w:p w14:paraId="6521F485" w14:textId="5C2823A3" w:rsidR="005C4BDC" w:rsidRPr="00F506A2" w:rsidRDefault="005C4BDC" w:rsidP="005C4BDC">
            <w:pPr>
              <w:shd w:val="clear" w:color="auto" w:fill="FFFFFF"/>
              <w:tabs>
                <w:tab w:val="clear" w:pos="709"/>
                <w:tab w:val="clear" w:pos="5245"/>
              </w:tabs>
              <w:spacing w:after="150" w:line="240" w:lineRule="auto"/>
              <w:rPr>
                <w:rFonts w:asciiTheme="minorHAnsi" w:hAnsiTheme="minorHAnsi" w:cstheme="minorHAnsi"/>
                <w:color w:val="000000"/>
                <w:szCs w:val="22"/>
                <w:lang w:eastAsia="en-GB"/>
              </w:rPr>
            </w:pPr>
            <w:r w:rsidRPr="00F506A2">
              <w:rPr>
                <w:rFonts w:asciiTheme="minorHAnsi" w:hAnsiTheme="minorHAnsi" w:cstheme="minorHAnsi"/>
                <w:color w:val="000000"/>
                <w:szCs w:val="22"/>
                <w:lang w:eastAsia="en-GB"/>
              </w:rPr>
              <w:t>IEMA is a non-profit organisation for environment and sustainability professionals (14,500</w:t>
            </w:r>
            <w:r w:rsidR="00537D93">
              <w:rPr>
                <w:rFonts w:asciiTheme="minorHAnsi" w:hAnsiTheme="minorHAnsi" w:cstheme="minorHAnsi"/>
                <w:color w:val="000000"/>
                <w:szCs w:val="22"/>
                <w:lang w:eastAsia="en-GB"/>
              </w:rPr>
              <w:t xml:space="preserve"> members</w:t>
            </w:r>
            <w:r w:rsidRPr="00F506A2">
              <w:rPr>
                <w:rFonts w:asciiTheme="minorHAnsi" w:hAnsiTheme="minorHAnsi" w:cstheme="minorHAnsi"/>
                <w:color w:val="000000"/>
                <w:szCs w:val="22"/>
                <w:lang w:eastAsia="en-GB"/>
              </w:rPr>
              <w:t xml:space="preserve"> </w:t>
            </w:r>
            <w:r w:rsidR="00537D93">
              <w:rPr>
                <w:rFonts w:asciiTheme="minorHAnsi" w:hAnsiTheme="minorHAnsi" w:cstheme="minorHAnsi"/>
                <w:color w:val="000000"/>
                <w:szCs w:val="22"/>
                <w:lang w:eastAsia="en-GB"/>
              </w:rPr>
              <w:t>globally</w:t>
            </w:r>
            <w:r w:rsidRPr="00F506A2">
              <w:rPr>
                <w:rFonts w:asciiTheme="minorHAnsi" w:hAnsiTheme="minorHAnsi" w:cstheme="minorHAnsi"/>
                <w:color w:val="000000"/>
                <w:szCs w:val="22"/>
                <w:lang w:eastAsia="en-GB"/>
              </w:rPr>
              <w:t xml:space="preserve">). These </w:t>
            </w:r>
            <w:r w:rsidRPr="00F506A2">
              <w:rPr>
                <w:rFonts w:asciiTheme="minorHAnsi" w:hAnsiTheme="minorHAnsi" w:cstheme="minorHAnsi"/>
                <w:szCs w:val="22"/>
              </w:rPr>
              <w:t xml:space="preserve">professionals are well placed to understand the Climate Change ‘transformation agenda’ through their work with organisations across all economic sectors. They informed IEMA’s </w:t>
            </w:r>
            <w:hyperlink r:id="rId7" w:history="1">
              <w:r w:rsidRPr="00F506A2">
                <w:rPr>
                  <w:rStyle w:val="Hyperlink"/>
                  <w:rFonts w:asciiTheme="minorHAnsi" w:hAnsiTheme="minorHAnsi" w:cstheme="minorHAnsi"/>
                  <w:szCs w:val="22"/>
                  <w:lang w:eastAsia="en-GB"/>
                </w:rPr>
                <w:t>Position Statement on Climate Change and Energy</w:t>
              </w:r>
            </w:hyperlink>
            <w:r w:rsidRPr="00F506A2">
              <w:rPr>
                <w:rFonts w:asciiTheme="minorHAnsi" w:hAnsiTheme="minorHAnsi" w:cstheme="minorHAnsi"/>
                <w:color w:val="000000"/>
                <w:szCs w:val="22"/>
                <w:lang w:eastAsia="en-GB"/>
              </w:rPr>
              <w:t xml:space="preserve"> calling for</w:t>
            </w:r>
            <w:r w:rsidR="00064D1F" w:rsidRPr="00F506A2">
              <w:rPr>
                <w:rFonts w:asciiTheme="minorHAnsi" w:hAnsiTheme="minorHAnsi" w:cstheme="minorHAnsi"/>
                <w:color w:val="000000"/>
                <w:szCs w:val="22"/>
                <w:lang w:eastAsia="en-GB"/>
              </w:rPr>
              <w:t>;</w:t>
            </w:r>
          </w:p>
          <w:p w14:paraId="12159F3C" w14:textId="0AEC0D0B" w:rsidR="005C4BDC" w:rsidRPr="00F506A2" w:rsidRDefault="005C4BDC" w:rsidP="005C4BDC">
            <w:pPr>
              <w:shd w:val="clear" w:color="auto" w:fill="FFFFFF"/>
              <w:tabs>
                <w:tab w:val="clear" w:pos="709"/>
                <w:tab w:val="clear" w:pos="5245"/>
              </w:tabs>
              <w:spacing w:after="150" w:line="240" w:lineRule="auto"/>
              <w:rPr>
                <w:rFonts w:asciiTheme="minorHAnsi" w:hAnsiTheme="minorHAnsi" w:cstheme="minorHAnsi"/>
                <w:szCs w:val="22"/>
              </w:rPr>
            </w:pPr>
            <w:r w:rsidRPr="00F506A2">
              <w:rPr>
                <w:rFonts w:asciiTheme="minorHAnsi" w:hAnsiTheme="minorHAnsi" w:cstheme="minorHAnsi"/>
                <w:szCs w:val="22"/>
              </w:rPr>
              <w:t>CLIMATE LEADERSHIP AT ALL LEVELS - As we head (current path) towards 4 degree</w:t>
            </w:r>
            <w:r w:rsidR="00537D93">
              <w:rPr>
                <w:rFonts w:asciiTheme="minorHAnsi" w:hAnsiTheme="minorHAnsi" w:cstheme="minorHAnsi"/>
                <w:szCs w:val="22"/>
              </w:rPr>
              <w:t>s</w:t>
            </w:r>
            <w:r w:rsidRPr="00F506A2">
              <w:rPr>
                <w:rFonts w:asciiTheme="minorHAnsi" w:hAnsiTheme="minorHAnsi" w:cstheme="minorHAnsi"/>
                <w:szCs w:val="22"/>
              </w:rPr>
              <w:t xml:space="preserve"> or greater warming, professional urgency is a justified and objective response</w:t>
            </w:r>
            <w:r w:rsidR="00064D1F" w:rsidRPr="00F506A2">
              <w:rPr>
                <w:rFonts w:asciiTheme="minorHAnsi" w:hAnsiTheme="minorHAnsi" w:cstheme="minorHAnsi"/>
                <w:szCs w:val="22"/>
              </w:rPr>
              <w:t xml:space="preserve">. </w:t>
            </w:r>
            <w:r w:rsidRPr="00F506A2">
              <w:rPr>
                <w:rFonts w:asciiTheme="minorHAnsi" w:hAnsiTheme="minorHAnsi" w:cstheme="minorHAnsi"/>
                <w:szCs w:val="22"/>
              </w:rPr>
              <w:t xml:space="preserve"> We encourage and acknowledge individuals, businesses, organisations and governments in showing climate leadership. IEMA will make its own contribution and work with </w:t>
            </w:r>
            <w:r w:rsidR="00064D1F" w:rsidRPr="00F506A2">
              <w:rPr>
                <w:rFonts w:asciiTheme="minorHAnsi" w:hAnsiTheme="minorHAnsi" w:cstheme="minorHAnsi"/>
                <w:szCs w:val="22"/>
              </w:rPr>
              <w:t xml:space="preserve">professionals </w:t>
            </w:r>
            <w:r w:rsidRPr="00F506A2">
              <w:rPr>
                <w:rFonts w:asciiTheme="minorHAnsi" w:hAnsiTheme="minorHAnsi" w:cstheme="minorHAnsi"/>
                <w:szCs w:val="22"/>
              </w:rPr>
              <w:t xml:space="preserve">on this critical challenge. </w:t>
            </w:r>
          </w:p>
          <w:p w14:paraId="0B6A310C" w14:textId="5EFE628C" w:rsidR="005C4BDC" w:rsidRPr="00F506A2" w:rsidRDefault="005C4BDC" w:rsidP="005C4BDC">
            <w:pPr>
              <w:shd w:val="clear" w:color="auto" w:fill="FFFFFF"/>
              <w:tabs>
                <w:tab w:val="clear" w:pos="709"/>
                <w:tab w:val="clear" w:pos="5245"/>
              </w:tabs>
              <w:spacing w:after="150" w:line="240" w:lineRule="auto"/>
              <w:rPr>
                <w:rFonts w:asciiTheme="minorHAnsi" w:hAnsiTheme="minorHAnsi" w:cstheme="minorHAnsi"/>
                <w:szCs w:val="22"/>
              </w:rPr>
            </w:pPr>
            <w:r w:rsidRPr="00F506A2">
              <w:rPr>
                <w:rFonts w:asciiTheme="minorHAnsi" w:hAnsiTheme="minorHAnsi" w:cstheme="minorHAnsi"/>
                <w:szCs w:val="22"/>
              </w:rPr>
              <w:t xml:space="preserve">POLICY FRAMEWORKS AND STRATEGIC APPROACHES NEED TO SUPPORT CERTAINTY AND GIVE CONFIDENCE FOR ORGANISATIONS TO INVEST IN AND ADDRESS ENERGY AND CLIMATE CHALLENGES. Policy confidence is important for practitioners who are working to transform organisations. This is needed at national and international level and across a range of well-known organisational drivers (regulation, fiscal measures, trading schemes, guidance, standards, procurement and supply chains, etc). </w:t>
            </w:r>
          </w:p>
          <w:p w14:paraId="00C76BB4" w14:textId="1E7666C0" w:rsidR="005C4BDC" w:rsidRPr="00F506A2" w:rsidRDefault="005C4BDC" w:rsidP="005C4BDC">
            <w:pPr>
              <w:shd w:val="clear" w:color="auto" w:fill="FFFFFF"/>
              <w:tabs>
                <w:tab w:val="clear" w:pos="709"/>
                <w:tab w:val="clear" w:pos="5245"/>
              </w:tabs>
              <w:spacing w:after="150" w:line="240" w:lineRule="auto"/>
              <w:rPr>
                <w:rFonts w:asciiTheme="minorHAnsi" w:hAnsiTheme="minorHAnsi" w:cstheme="minorHAnsi"/>
                <w:szCs w:val="22"/>
              </w:rPr>
            </w:pPr>
            <w:r w:rsidRPr="00F506A2">
              <w:rPr>
                <w:rFonts w:asciiTheme="minorHAnsi" w:hAnsiTheme="minorHAnsi" w:cstheme="minorHAnsi"/>
                <w:szCs w:val="22"/>
              </w:rPr>
              <w:t>RECOGNITION, INTEGRATION AND EMBEDDING OF CLIMATE CHANGE AS A MAINSTREAM ‘BUSINESS’ ISSUE. Approaches are required to embed climate change action and energy reduction into mainstream business and across the value chain. There is increased focus on business realities such as: reducing energy costs and carbon, complying with climate legislation, increasing resilience, building reputation, adding value and meeting contractual and stakeholder expectations. IEMA will work to secure action on these drivers and to build</w:t>
            </w:r>
            <w:r w:rsidR="00064D1F" w:rsidRPr="00F506A2">
              <w:rPr>
                <w:rFonts w:asciiTheme="minorHAnsi" w:hAnsiTheme="minorHAnsi" w:cstheme="minorHAnsi"/>
                <w:szCs w:val="22"/>
              </w:rPr>
              <w:t xml:space="preserve"> </w:t>
            </w:r>
            <w:r w:rsidRPr="00F506A2">
              <w:rPr>
                <w:rFonts w:asciiTheme="minorHAnsi" w:hAnsiTheme="minorHAnsi" w:cstheme="minorHAnsi"/>
                <w:szCs w:val="22"/>
              </w:rPr>
              <w:t>consensus on the relevance of climate change and business case for transformation</w:t>
            </w:r>
            <w:r w:rsidR="00064D1F" w:rsidRPr="00F506A2">
              <w:rPr>
                <w:rFonts w:asciiTheme="minorHAnsi" w:hAnsiTheme="minorHAnsi" w:cstheme="minorHAnsi"/>
                <w:szCs w:val="22"/>
              </w:rPr>
              <w:t xml:space="preserve">. </w:t>
            </w:r>
            <w:r w:rsidRPr="00F506A2">
              <w:rPr>
                <w:rFonts w:asciiTheme="minorHAnsi" w:hAnsiTheme="minorHAnsi" w:cstheme="minorHAnsi"/>
                <w:szCs w:val="22"/>
              </w:rPr>
              <w:t xml:space="preserve"> </w:t>
            </w:r>
          </w:p>
          <w:p w14:paraId="34C88C06" w14:textId="77777777" w:rsidR="005C4BDC" w:rsidRDefault="005C4BDC" w:rsidP="005C4BDC">
            <w:pPr>
              <w:shd w:val="clear" w:color="auto" w:fill="FFFFFF"/>
              <w:tabs>
                <w:tab w:val="clear" w:pos="709"/>
                <w:tab w:val="clear" w:pos="5245"/>
              </w:tabs>
              <w:spacing w:after="150" w:line="240" w:lineRule="auto"/>
              <w:rPr>
                <w:rFonts w:asciiTheme="minorHAnsi" w:hAnsiTheme="minorHAnsi" w:cstheme="minorHAnsi"/>
                <w:szCs w:val="22"/>
              </w:rPr>
            </w:pPr>
            <w:r w:rsidRPr="00F506A2">
              <w:rPr>
                <w:rFonts w:asciiTheme="minorHAnsi" w:hAnsiTheme="minorHAnsi" w:cstheme="minorHAnsi"/>
                <w:szCs w:val="22"/>
              </w:rPr>
              <w:t>REPORTING AND DISCLOSURE WITH INCREASING TRANSPARENCY ON CLIMATE CHANGE PERFORMANCE. Reporting and disclosure have a unique role to play in building Board level commitment and embedding climate change into mainstream business. Lifecycle thinking is important to help ensure the true impact and full costs of climate change are reflected across decision making</w:t>
            </w:r>
          </w:p>
          <w:p w14:paraId="5DC4E1C4" w14:textId="0A7139F1" w:rsidR="00F506A2" w:rsidRPr="005C4BDC" w:rsidRDefault="00F506A2" w:rsidP="005C4BDC">
            <w:pPr>
              <w:shd w:val="clear" w:color="auto" w:fill="FFFFFF"/>
              <w:tabs>
                <w:tab w:val="clear" w:pos="709"/>
                <w:tab w:val="clear" w:pos="5245"/>
              </w:tabs>
              <w:spacing w:after="150" w:line="240" w:lineRule="auto"/>
            </w:pPr>
          </w:p>
        </w:tc>
      </w:tr>
    </w:tbl>
    <w:p w14:paraId="16CC12D3" w14:textId="77777777" w:rsidR="003C7A74" w:rsidRPr="00502663" w:rsidRDefault="003C7A74" w:rsidP="003C7A74">
      <w:pPr>
        <w:rPr>
          <w:rFonts w:asciiTheme="minorHAnsi" w:hAnsiTheme="minorHAnsi"/>
          <w:i/>
          <w:sz w:val="20"/>
        </w:rPr>
      </w:pPr>
    </w:p>
    <w:p w14:paraId="2DFAF41B" w14:textId="77777777" w:rsidR="003C7A74" w:rsidRPr="00502663" w:rsidRDefault="003C7A74" w:rsidP="003C7A74">
      <w:pPr>
        <w:rPr>
          <w:rFonts w:asciiTheme="minorHAnsi" w:hAnsiTheme="minorHAnsi"/>
          <w:i/>
          <w:sz w:val="20"/>
        </w:rPr>
      </w:pPr>
      <w:r w:rsidRPr="00502663">
        <w:rPr>
          <w:rFonts w:asciiTheme="minorHAnsi" w:hAnsiTheme="minorHAnsi"/>
          <w:i/>
          <w:sz w:val="20"/>
        </w:rPr>
        <w:t>Concrete solutions that have been realized while implementing your commitments, including lessons learnt from success stories and challenges, and case studies that are in line with the 1.5/2 degrees’ goal and can support the Parties in achieving their NDC goals, enable higher ambition and inspire engagement of other non-state actors [Maximum 300 words]</w:t>
      </w:r>
    </w:p>
    <w:tbl>
      <w:tblPr>
        <w:tblStyle w:val="TableGrid2"/>
        <w:tblW w:w="0" w:type="auto"/>
        <w:tblLook w:val="04A0" w:firstRow="1" w:lastRow="0" w:firstColumn="1" w:lastColumn="0" w:noHBand="0" w:noVBand="1"/>
      </w:tblPr>
      <w:tblGrid>
        <w:gridCol w:w="9016"/>
      </w:tblGrid>
      <w:tr w:rsidR="003C7A74" w:rsidRPr="00502663" w14:paraId="27839D9E" w14:textId="77777777" w:rsidTr="00FA1CA5">
        <w:tc>
          <w:tcPr>
            <w:tcW w:w="9016" w:type="dxa"/>
          </w:tcPr>
          <w:p w14:paraId="0FEDD8B0" w14:textId="4E04B699" w:rsidR="0029239D" w:rsidRDefault="00F506A2" w:rsidP="00F506A2">
            <w:pPr>
              <w:shd w:val="clear" w:color="auto" w:fill="FFFFFF"/>
              <w:spacing w:line="270" w:lineRule="atLeast"/>
              <w:rPr>
                <w:rFonts w:asciiTheme="minorHAnsi" w:hAnsiTheme="minorHAnsi" w:cstheme="minorHAnsi"/>
                <w:color w:val="000000"/>
                <w:szCs w:val="22"/>
                <w:lang w:eastAsia="en-GB"/>
              </w:rPr>
            </w:pPr>
            <w:r w:rsidRPr="000F1892">
              <w:rPr>
                <w:rFonts w:asciiTheme="minorHAnsi" w:hAnsiTheme="minorHAnsi" w:cstheme="minorHAnsi"/>
                <w:color w:val="000000"/>
                <w:szCs w:val="22"/>
                <w:lang w:eastAsia="en-GB"/>
              </w:rPr>
              <w:lastRenderedPageBreak/>
              <w:t xml:space="preserve">IEMA </w:t>
            </w:r>
            <w:r>
              <w:rPr>
                <w:rFonts w:asciiTheme="minorHAnsi" w:hAnsiTheme="minorHAnsi" w:cstheme="minorHAnsi"/>
                <w:color w:val="000000"/>
                <w:szCs w:val="22"/>
                <w:lang w:eastAsia="en-GB"/>
              </w:rPr>
              <w:t xml:space="preserve">has demonstrated that individual professionals offer a unique </w:t>
            </w:r>
            <w:r w:rsidR="00A00E93">
              <w:rPr>
                <w:rFonts w:asciiTheme="minorHAnsi" w:hAnsiTheme="minorHAnsi" w:cstheme="minorHAnsi"/>
                <w:color w:val="000000"/>
                <w:szCs w:val="22"/>
                <w:lang w:eastAsia="en-GB"/>
              </w:rPr>
              <w:t xml:space="preserve">and </w:t>
            </w:r>
            <w:r>
              <w:rPr>
                <w:rFonts w:asciiTheme="minorHAnsi" w:hAnsiTheme="minorHAnsi" w:cstheme="minorHAnsi"/>
                <w:color w:val="000000"/>
                <w:szCs w:val="22"/>
                <w:lang w:eastAsia="en-GB"/>
              </w:rPr>
              <w:t xml:space="preserve">effective constituency for </w:t>
            </w:r>
            <w:r w:rsidR="0029239D">
              <w:rPr>
                <w:rFonts w:asciiTheme="minorHAnsi" w:hAnsiTheme="minorHAnsi" w:cstheme="minorHAnsi"/>
                <w:color w:val="000000"/>
                <w:szCs w:val="22"/>
                <w:lang w:eastAsia="en-GB"/>
              </w:rPr>
              <w:t xml:space="preserve">driving </w:t>
            </w:r>
            <w:r>
              <w:rPr>
                <w:rFonts w:asciiTheme="minorHAnsi" w:hAnsiTheme="minorHAnsi" w:cstheme="minorHAnsi"/>
                <w:color w:val="000000"/>
                <w:szCs w:val="22"/>
                <w:lang w:eastAsia="en-GB"/>
              </w:rPr>
              <w:t>climate action</w:t>
            </w:r>
            <w:r w:rsidR="0029239D">
              <w:rPr>
                <w:rFonts w:asciiTheme="minorHAnsi" w:hAnsiTheme="minorHAnsi" w:cstheme="minorHAnsi"/>
                <w:color w:val="000000"/>
                <w:szCs w:val="22"/>
                <w:lang w:eastAsia="en-GB"/>
              </w:rPr>
              <w:t xml:space="preserve"> and transformation</w:t>
            </w:r>
            <w:r w:rsidR="00D50149">
              <w:rPr>
                <w:rFonts w:asciiTheme="minorHAnsi" w:hAnsiTheme="minorHAnsi" w:cstheme="minorHAnsi"/>
                <w:color w:val="000000"/>
                <w:szCs w:val="22"/>
                <w:lang w:eastAsia="en-GB"/>
              </w:rPr>
              <w:t xml:space="preserve">al change </w:t>
            </w:r>
            <w:r w:rsidR="00537D93">
              <w:rPr>
                <w:rFonts w:asciiTheme="minorHAnsi" w:hAnsiTheme="minorHAnsi" w:cstheme="minorHAnsi"/>
                <w:color w:val="000000"/>
                <w:szCs w:val="22"/>
                <w:lang w:eastAsia="en-GB"/>
              </w:rPr>
              <w:t>(</w:t>
            </w:r>
            <w:r w:rsidR="0029239D">
              <w:rPr>
                <w:rFonts w:asciiTheme="minorHAnsi" w:hAnsiTheme="minorHAnsi" w:cstheme="minorHAnsi"/>
                <w:color w:val="000000"/>
                <w:szCs w:val="22"/>
                <w:lang w:eastAsia="en-GB"/>
              </w:rPr>
              <w:t>within companies, projects and developments</w:t>
            </w:r>
            <w:r w:rsidR="00537D93">
              <w:rPr>
                <w:rFonts w:asciiTheme="minorHAnsi" w:hAnsiTheme="minorHAnsi" w:cstheme="minorHAnsi"/>
                <w:color w:val="000000"/>
                <w:szCs w:val="22"/>
                <w:lang w:eastAsia="en-GB"/>
              </w:rPr>
              <w:t>)</w:t>
            </w:r>
            <w:r>
              <w:rPr>
                <w:rFonts w:asciiTheme="minorHAnsi" w:hAnsiTheme="minorHAnsi" w:cstheme="minorHAnsi"/>
                <w:color w:val="000000"/>
                <w:szCs w:val="22"/>
                <w:lang w:eastAsia="en-GB"/>
              </w:rPr>
              <w:t xml:space="preserve">. </w:t>
            </w:r>
          </w:p>
          <w:p w14:paraId="090EFF65" w14:textId="77777777" w:rsidR="0029239D" w:rsidRDefault="0029239D" w:rsidP="00F506A2">
            <w:pPr>
              <w:shd w:val="clear" w:color="auto" w:fill="FFFFFF"/>
              <w:spacing w:line="270" w:lineRule="atLeast"/>
              <w:rPr>
                <w:rFonts w:asciiTheme="minorHAnsi" w:hAnsiTheme="minorHAnsi" w:cstheme="minorHAnsi"/>
                <w:color w:val="000000"/>
                <w:szCs w:val="22"/>
                <w:lang w:eastAsia="en-GB"/>
              </w:rPr>
            </w:pPr>
          </w:p>
          <w:p w14:paraId="1252BDE5" w14:textId="630C659A" w:rsidR="00F506A2" w:rsidRPr="000F1892" w:rsidRDefault="00F506A2" w:rsidP="00F506A2">
            <w:pPr>
              <w:shd w:val="clear" w:color="auto" w:fill="FFFFFF"/>
              <w:spacing w:line="270" w:lineRule="atLeast"/>
              <w:rPr>
                <w:rFonts w:asciiTheme="minorHAnsi" w:hAnsiTheme="minorHAnsi" w:cstheme="minorHAnsi"/>
                <w:szCs w:val="22"/>
              </w:rPr>
            </w:pPr>
            <w:r>
              <w:rPr>
                <w:rFonts w:asciiTheme="minorHAnsi" w:hAnsiTheme="minorHAnsi" w:cstheme="minorHAnsi"/>
                <w:color w:val="000000"/>
                <w:szCs w:val="22"/>
                <w:lang w:eastAsia="en-GB"/>
              </w:rPr>
              <w:t xml:space="preserve">IEMA runs </w:t>
            </w:r>
            <w:r w:rsidRPr="000F1892">
              <w:rPr>
                <w:rFonts w:asciiTheme="minorHAnsi" w:hAnsiTheme="minorHAnsi" w:cstheme="minorHAnsi"/>
                <w:color w:val="000000"/>
                <w:szCs w:val="22"/>
                <w:lang w:eastAsia="en-GB"/>
              </w:rPr>
              <w:t xml:space="preserve">approximately </w:t>
            </w:r>
            <w:r>
              <w:rPr>
                <w:rFonts w:asciiTheme="minorHAnsi" w:hAnsiTheme="minorHAnsi" w:cstheme="minorHAnsi"/>
                <w:color w:val="000000"/>
                <w:szCs w:val="22"/>
                <w:lang w:eastAsia="en-GB"/>
              </w:rPr>
              <w:t>fifty</w:t>
            </w:r>
            <w:r w:rsidRPr="000F1892">
              <w:rPr>
                <w:rFonts w:asciiTheme="minorHAnsi" w:hAnsiTheme="minorHAnsi" w:cstheme="minorHAnsi"/>
                <w:color w:val="000000"/>
                <w:szCs w:val="22"/>
                <w:lang w:eastAsia="en-GB"/>
              </w:rPr>
              <w:t xml:space="preserve"> webinars a year to extend and share good practice, skills and knowledge.  </w:t>
            </w:r>
            <w:r w:rsidR="00AB5DD8">
              <w:rPr>
                <w:rFonts w:asciiTheme="minorHAnsi" w:hAnsiTheme="minorHAnsi" w:cstheme="minorHAnsi"/>
                <w:color w:val="000000"/>
                <w:szCs w:val="22"/>
                <w:lang w:eastAsia="en-GB"/>
              </w:rPr>
              <w:t xml:space="preserve">Over </w:t>
            </w:r>
            <w:r>
              <w:rPr>
                <w:rFonts w:asciiTheme="minorHAnsi" w:hAnsiTheme="minorHAnsi" w:cstheme="minorHAnsi"/>
                <w:color w:val="000000"/>
                <w:szCs w:val="22"/>
                <w:lang w:eastAsia="en-GB"/>
              </w:rPr>
              <w:t>one thousand</w:t>
            </w:r>
            <w:r w:rsidRPr="000F1892">
              <w:rPr>
                <w:rFonts w:asciiTheme="minorHAnsi" w:hAnsiTheme="minorHAnsi" w:cstheme="minorHAnsi"/>
                <w:color w:val="000000"/>
                <w:szCs w:val="22"/>
                <w:lang w:eastAsia="en-GB"/>
              </w:rPr>
              <w:t xml:space="preserve"> professionals are engaged in topic networks and active regional groups operate across </w:t>
            </w:r>
            <w:r>
              <w:rPr>
                <w:rFonts w:asciiTheme="minorHAnsi" w:hAnsiTheme="minorHAnsi" w:cstheme="minorHAnsi"/>
                <w:color w:val="000000"/>
                <w:szCs w:val="22"/>
                <w:lang w:eastAsia="en-GB"/>
              </w:rPr>
              <w:t xml:space="preserve">the </w:t>
            </w:r>
            <w:r w:rsidRPr="000F1892">
              <w:rPr>
                <w:rFonts w:asciiTheme="minorHAnsi" w:hAnsiTheme="minorHAnsi" w:cstheme="minorHAnsi"/>
                <w:color w:val="000000"/>
                <w:szCs w:val="22"/>
                <w:lang w:eastAsia="en-GB"/>
              </w:rPr>
              <w:t xml:space="preserve">UK </w:t>
            </w:r>
            <w:r>
              <w:rPr>
                <w:rFonts w:asciiTheme="minorHAnsi" w:hAnsiTheme="minorHAnsi" w:cstheme="minorHAnsi"/>
                <w:color w:val="000000"/>
                <w:szCs w:val="22"/>
                <w:lang w:eastAsia="en-GB"/>
              </w:rPr>
              <w:t>(</w:t>
            </w:r>
            <w:r w:rsidRPr="000F1892">
              <w:rPr>
                <w:rFonts w:asciiTheme="minorHAnsi" w:hAnsiTheme="minorHAnsi" w:cstheme="minorHAnsi"/>
                <w:color w:val="000000"/>
                <w:szCs w:val="22"/>
                <w:lang w:eastAsia="en-GB"/>
              </w:rPr>
              <w:t xml:space="preserve">and </w:t>
            </w:r>
            <w:r>
              <w:rPr>
                <w:rFonts w:asciiTheme="minorHAnsi" w:hAnsiTheme="minorHAnsi" w:cstheme="minorHAnsi"/>
                <w:color w:val="000000"/>
                <w:szCs w:val="22"/>
                <w:lang w:eastAsia="en-GB"/>
              </w:rPr>
              <w:t xml:space="preserve">are developing </w:t>
            </w:r>
            <w:r w:rsidRPr="000F1892">
              <w:rPr>
                <w:rFonts w:asciiTheme="minorHAnsi" w:hAnsiTheme="minorHAnsi" w:cstheme="minorHAnsi"/>
                <w:color w:val="000000"/>
                <w:szCs w:val="22"/>
                <w:lang w:eastAsia="en-GB"/>
              </w:rPr>
              <w:t>internationally</w:t>
            </w:r>
            <w:r>
              <w:rPr>
                <w:rFonts w:asciiTheme="minorHAnsi" w:hAnsiTheme="minorHAnsi" w:cstheme="minorHAnsi"/>
                <w:color w:val="000000"/>
                <w:szCs w:val="22"/>
                <w:lang w:eastAsia="en-GB"/>
              </w:rPr>
              <w:t>)</w:t>
            </w:r>
            <w:r w:rsidRPr="000F1892">
              <w:rPr>
                <w:rFonts w:asciiTheme="minorHAnsi" w:hAnsiTheme="minorHAnsi" w:cstheme="minorHAnsi"/>
                <w:color w:val="000000"/>
                <w:szCs w:val="22"/>
                <w:lang w:eastAsia="en-GB"/>
              </w:rPr>
              <w:t>.</w:t>
            </w:r>
            <w:r>
              <w:rPr>
                <w:rFonts w:asciiTheme="minorHAnsi" w:hAnsiTheme="minorHAnsi" w:cstheme="minorHAnsi"/>
                <w:color w:val="000000"/>
                <w:szCs w:val="22"/>
                <w:lang w:eastAsia="en-GB"/>
              </w:rPr>
              <w:t xml:space="preserve"> Working with these professionals,</w:t>
            </w:r>
            <w:r w:rsidRPr="000F1892">
              <w:rPr>
                <w:rFonts w:asciiTheme="minorHAnsi" w:hAnsiTheme="minorHAnsi" w:cstheme="minorHAnsi"/>
                <w:color w:val="000000"/>
                <w:szCs w:val="22"/>
                <w:lang w:eastAsia="en-GB"/>
              </w:rPr>
              <w:t xml:space="preserve"> </w:t>
            </w:r>
            <w:r w:rsidRPr="000F1892">
              <w:rPr>
                <w:rFonts w:asciiTheme="minorHAnsi" w:hAnsiTheme="minorHAnsi" w:cstheme="minorHAnsi"/>
                <w:szCs w:val="22"/>
              </w:rPr>
              <w:t xml:space="preserve">IEMA has delivered events and guidance on Climate Change related challenges and has collected evidence to inform public policy.  Examples include; </w:t>
            </w:r>
          </w:p>
          <w:p w14:paraId="0B4BA43B" w14:textId="77777777" w:rsidR="00F506A2" w:rsidRPr="000F1892" w:rsidRDefault="00F506A2" w:rsidP="00F506A2">
            <w:pPr>
              <w:rPr>
                <w:rFonts w:asciiTheme="minorHAnsi" w:hAnsiTheme="minorHAnsi" w:cstheme="minorHAnsi"/>
                <w:szCs w:val="22"/>
              </w:rPr>
            </w:pPr>
          </w:p>
          <w:p w14:paraId="7E94480A" w14:textId="33A9EE95" w:rsidR="00FD5082" w:rsidRDefault="00FD5082" w:rsidP="00F506A2">
            <w:pPr>
              <w:pStyle w:val="ListParagraph"/>
              <w:numPr>
                <w:ilvl w:val="0"/>
                <w:numId w:val="2"/>
              </w:numPr>
              <w:rPr>
                <w:rFonts w:cstheme="minorHAnsi"/>
              </w:rPr>
            </w:pPr>
            <w:r>
              <w:rPr>
                <w:rFonts w:cstheme="minorHAnsi"/>
              </w:rPr>
              <w:t xml:space="preserve">Major events and </w:t>
            </w:r>
            <w:hyperlink r:id="rId8" w:history="1">
              <w:r w:rsidRPr="00FD5082">
                <w:rPr>
                  <w:rStyle w:val="Hyperlink"/>
                  <w:rFonts w:cstheme="minorHAnsi"/>
                </w:rPr>
                <w:t>conferences</w:t>
              </w:r>
            </w:hyperlink>
            <w:r>
              <w:rPr>
                <w:rFonts w:cstheme="minorHAnsi"/>
              </w:rPr>
              <w:t xml:space="preserve"> for capacity building and 1-1 support </w:t>
            </w:r>
          </w:p>
          <w:p w14:paraId="6FE81B16" w14:textId="6A0679DB" w:rsidR="00F506A2" w:rsidRPr="000F1892" w:rsidRDefault="00A00E93" w:rsidP="00F506A2">
            <w:pPr>
              <w:pStyle w:val="ListParagraph"/>
              <w:numPr>
                <w:ilvl w:val="0"/>
                <w:numId w:val="2"/>
              </w:numPr>
              <w:rPr>
                <w:rFonts w:cstheme="minorHAnsi"/>
              </w:rPr>
            </w:pPr>
            <w:r>
              <w:rPr>
                <w:rFonts w:cstheme="minorHAnsi"/>
              </w:rPr>
              <w:t>P</w:t>
            </w:r>
            <w:r w:rsidR="00F506A2" w:rsidRPr="000F1892">
              <w:rPr>
                <w:rFonts w:cstheme="minorHAnsi"/>
              </w:rPr>
              <w:t>ractitioner guides</w:t>
            </w:r>
            <w:r>
              <w:rPr>
                <w:rFonts w:cstheme="minorHAnsi"/>
              </w:rPr>
              <w:t xml:space="preserve"> </w:t>
            </w:r>
            <w:r w:rsidR="00F506A2" w:rsidRPr="000F1892">
              <w:rPr>
                <w:rFonts w:cstheme="minorHAnsi"/>
              </w:rPr>
              <w:t>on both Climate Change Mitigation and Adaptation</w:t>
            </w:r>
            <w:r>
              <w:rPr>
                <w:rFonts w:cstheme="minorHAnsi"/>
              </w:rPr>
              <w:t xml:space="preserve"> for organisations</w:t>
            </w:r>
            <w:r w:rsidR="00F506A2" w:rsidRPr="000F1892">
              <w:rPr>
                <w:rFonts w:cstheme="minorHAnsi"/>
              </w:rPr>
              <w:t xml:space="preserve">  </w:t>
            </w:r>
          </w:p>
          <w:p w14:paraId="36B6BE78" w14:textId="0DD2DD47" w:rsidR="00F506A2" w:rsidRPr="000F1892" w:rsidRDefault="00A41A5E" w:rsidP="00F506A2">
            <w:pPr>
              <w:pStyle w:val="ListParagraph"/>
              <w:numPr>
                <w:ilvl w:val="0"/>
                <w:numId w:val="2"/>
              </w:numPr>
              <w:shd w:val="clear" w:color="auto" w:fill="FFFFFF"/>
              <w:spacing w:line="270" w:lineRule="atLeast"/>
              <w:rPr>
                <w:rFonts w:cstheme="minorHAnsi"/>
                <w:color w:val="000000"/>
                <w:lang w:eastAsia="en-GB"/>
              </w:rPr>
            </w:pPr>
            <w:hyperlink r:id="rId9" w:history="1">
              <w:r w:rsidR="00F506A2" w:rsidRPr="000F1892">
                <w:rPr>
                  <w:rStyle w:val="Hyperlink"/>
                  <w:rFonts w:cstheme="minorHAnsi"/>
                  <w:lang w:eastAsia="en-GB"/>
                </w:rPr>
                <w:t>Change Management for Sustainable Development</w:t>
              </w:r>
            </w:hyperlink>
            <w:r w:rsidR="00F506A2" w:rsidRPr="000F1892">
              <w:rPr>
                <w:rFonts w:cstheme="minorHAnsi"/>
                <w:color w:val="000000"/>
                <w:lang w:eastAsia="en-GB"/>
              </w:rPr>
              <w:t xml:space="preserve"> -  First of a new ‘Sustainability in Practice’ </w:t>
            </w:r>
            <w:r w:rsidR="00D50149">
              <w:rPr>
                <w:rFonts w:cstheme="minorHAnsi"/>
                <w:color w:val="000000"/>
                <w:lang w:eastAsia="en-GB"/>
              </w:rPr>
              <w:t xml:space="preserve">guidance </w:t>
            </w:r>
            <w:r w:rsidR="00F506A2" w:rsidRPr="000F1892">
              <w:rPr>
                <w:rFonts w:cstheme="minorHAnsi"/>
                <w:color w:val="000000"/>
                <w:lang w:eastAsia="en-GB"/>
              </w:rPr>
              <w:t>series (recently launched)</w:t>
            </w:r>
          </w:p>
          <w:p w14:paraId="60A7FEA0" w14:textId="77777777" w:rsidR="00FD5082" w:rsidRPr="00FD5082" w:rsidRDefault="00FD5082" w:rsidP="00F506A2">
            <w:pPr>
              <w:pStyle w:val="ListParagraph"/>
              <w:numPr>
                <w:ilvl w:val="0"/>
                <w:numId w:val="2"/>
              </w:numPr>
              <w:shd w:val="clear" w:color="auto" w:fill="FFFFFF"/>
              <w:spacing w:line="270" w:lineRule="atLeast"/>
              <w:rPr>
                <w:rFonts w:cstheme="minorHAnsi"/>
                <w:color w:val="000000"/>
                <w:lang w:eastAsia="en-GB"/>
              </w:rPr>
            </w:pPr>
            <w:r>
              <w:rPr>
                <w:rFonts w:cstheme="minorHAnsi"/>
              </w:rPr>
              <w:t xml:space="preserve">Guidance for </w:t>
            </w:r>
            <w:r w:rsidR="00F506A2" w:rsidRPr="000F1892">
              <w:rPr>
                <w:rFonts w:cstheme="minorHAnsi"/>
              </w:rPr>
              <w:t xml:space="preserve">EIA </w:t>
            </w:r>
            <w:r>
              <w:rPr>
                <w:rFonts w:cstheme="minorHAnsi"/>
              </w:rPr>
              <w:t xml:space="preserve">professionals on climate change mitigation and adaptation </w:t>
            </w:r>
          </w:p>
          <w:p w14:paraId="6F26EC7D" w14:textId="11BFA713" w:rsidR="00F506A2" w:rsidRPr="00A00E93" w:rsidRDefault="00A00E93" w:rsidP="00A00E93">
            <w:pPr>
              <w:pStyle w:val="ListParagraph"/>
              <w:numPr>
                <w:ilvl w:val="0"/>
                <w:numId w:val="2"/>
              </w:numPr>
              <w:shd w:val="clear" w:color="auto" w:fill="FFFFFF"/>
              <w:spacing w:line="270" w:lineRule="atLeast"/>
              <w:rPr>
                <w:rFonts w:cstheme="minorHAnsi"/>
                <w:color w:val="000000"/>
                <w:lang w:eastAsia="en-GB"/>
              </w:rPr>
            </w:pPr>
            <w:r>
              <w:rPr>
                <w:rFonts w:cstheme="minorHAnsi"/>
                <w:color w:val="000000"/>
                <w:lang w:eastAsia="en-GB"/>
              </w:rPr>
              <w:t xml:space="preserve">Developing networks </w:t>
            </w:r>
            <w:r w:rsidR="00AB5DD8">
              <w:rPr>
                <w:rFonts w:cstheme="minorHAnsi"/>
                <w:color w:val="000000"/>
                <w:lang w:eastAsia="en-GB"/>
              </w:rPr>
              <w:t xml:space="preserve">including the IEMA </w:t>
            </w:r>
            <w:r w:rsidR="00D50149">
              <w:rPr>
                <w:rFonts w:cstheme="minorHAnsi"/>
                <w:color w:val="000000"/>
                <w:lang w:eastAsia="en-GB"/>
              </w:rPr>
              <w:t>F</w:t>
            </w:r>
            <w:r w:rsidR="00AB5DD8">
              <w:rPr>
                <w:rFonts w:cstheme="minorHAnsi"/>
                <w:color w:val="000000"/>
                <w:lang w:eastAsia="en-GB"/>
              </w:rPr>
              <w:t xml:space="preserve">ellows, IEMA regions, </w:t>
            </w:r>
            <w:r>
              <w:rPr>
                <w:rFonts w:cstheme="minorHAnsi"/>
                <w:color w:val="000000"/>
                <w:lang w:eastAsia="en-GB"/>
              </w:rPr>
              <w:t xml:space="preserve">Corporate Sustainability, Global Environmental and Social Assessment, Environmental Impact Assessment and </w:t>
            </w:r>
            <w:r w:rsidR="00AB5DD8">
              <w:rPr>
                <w:rFonts w:cstheme="minorHAnsi"/>
                <w:color w:val="000000"/>
                <w:lang w:eastAsia="en-GB"/>
              </w:rPr>
              <w:t xml:space="preserve">IEMA </w:t>
            </w:r>
            <w:r>
              <w:rPr>
                <w:rFonts w:cstheme="minorHAnsi"/>
                <w:color w:val="000000"/>
                <w:lang w:eastAsia="en-GB"/>
              </w:rPr>
              <w:t>Climate Change and Energy</w:t>
            </w:r>
            <w:r w:rsidR="00AB5DD8">
              <w:rPr>
                <w:rFonts w:cstheme="minorHAnsi"/>
                <w:color w:val="000000"/>
                <w:lang w:eastAsia="en-GB"/>
              </w:rPr>
              <w:t xml:space="preserve"> networks</w:t>
            </w:r>
            <w:r>
              <w:rPr>
                <w:rFonts w:cstheme="minorHAnsi"/>
                <w:color w:val="000000"/>
                <w:lang w:eastAsia="en-GB"/>
              </w:rPr>
              <w:t xml:space="preserve">. </w:t>
            </w:r>
          </w:p>
          <w:p w14:paraId="434B6D59" w14:textId="26495AF8" w:rsidR="00F506A2" w:rsidRPr="00A00E93" w:rsidRDefault="00A00E93" w:rsidP="00F506A2">
            <w:pPr>
              <w:pStyle w:val="ListParagraph"/>
              <w:numPr>
                <w:ilvl w:val="0"/>
                <w:numId w:val="2"/>
              </w:numPr>
              <w:rPr>
                <w:rFonts w:cstheme="minorHAnsi"/>
              </w:rPr>
            </w:pPr>
            <w:r w:rsidRPr="00A00E93">
              <w:rPr>
                <w:rFonts w:cstheme="minorHAnsi"/>
              </w:rPr>
              <w:t xml:space="preserve">Profession based surveys helping to inform development of International Standards and </w:t>
            </w:r>
            <w:r w:rsidR="00F506A2" w:rsidRPr="00A00E93">
              <w:rPr>
                <w:rFonts w:cstheme="minorHAnsi"/>
              </w:rPr>
              <w:t xml:space="preserve">Consultation responses including formative evidence to support the introduction of a mandatory GHG reporting requirement (UK) </w:t>
            </w:r>
          </w:p>
          <w:p w14:paraId="0E6082B9" w14:textId="5E202BB8" w:rsidR="00F506A2" w:rsidRPr="00502663" w:rsidRDefault="00F506A2" w:rsidP="00546CDB">
            <w:pPr>
              <w:rPr>
                <w:i/>
                <w:sz w:val="20"/>
              </w:rPr>
            </w:pPr>
            <w:r w:rsidRPr="00B02A8A">
              <w:rPr>
                <w:rFonts w:asciiTheme="minorHAnsi" w:hAnsiTheme="minorHAnsi" w:cstheme="minorHAnsi"/>
                <w:color w:val="000000"/>
                <w:szCs w:val="22"/>
                <w:lang w:eastAsia="en-GB"/>
              </w:rPr>
              <w:t xml:space="preserve">IEMA has around 14,500 </w:t>
            </w:r>
            <w:r w:rsidR="00EA21EB">
              <w:rPr>
                <w:rFonts w:asciiTheme="minorHAnsi" w:hAnsiTheme="minorHAnsi" w:cstheme="minorHAnsi"/>
                <w:color w:val="000000"/>
                <w:szCs w:val="22"/>
                <w:lang w:eastAsia="en-GB"/>
              </w:rPr>
              <w:t xml:space="preserve">individual professional </w:t>
            </w:r>
            <w:r w:rsidRPr="00B02A8A">
              <w:rPr>
                <w:rFonts w:asciiTheme="minorHAnsi" w:hAnsiTheme="minorHAnsi" w:cstheme="minorHAnsi"/>
                <w:color w:val="000000"/>
                <w:szCs w:val="22"/>
                <w:lang w:eastAsia="en-GB"/>
              </w:rPr>
              <w:t xml:space="preserve">members and collaborates with international partners. The </w:t>
            </w:r>
            <w:r w:rsidR="002D30A9">
              <w:rPr>
                <w:rFonts w:asciiTheme="minorHAnsi" w:hAnsiTheme="minorHAnsi" w:cstheme="minorHAnsi"/>
                <w:color w:val="000000"/>
                <w:szCs w:val="22"/>
                <w:lang w:eastAsia="en-GB"/>
              </w:rPr>
              <w:t xml:space="preserve">IEMA </w:t>
            </w:r>
            <w:r w:rsidRPr="00B02A8A">
              <w:rPr>
                <w:rFonts w:asciiTheme="minorHAnsi" w:hAnsiTheme="minorHAnsi" w:cstheme="minorHAnsi"/>
                <w:color w:val="000000"/>
                <w:szCs w:val="22"/>
                <w:lang w:eastAsia="en-GB"/>
              </w:rPr>
              <w:t xml:space="preserve">Climate </w:t>
            </w:r>
            <w:r>
              <w:rPr>
                <w:rFonts w:asciiTheme="minorHAnsi" w:hAnsiTheme="minorHAnsi" w:cstheme="minorHAnsi"/>
                <w:color w:val="000000"/>
                <w:szCs w:val="22"/>
                <w:lang w:eastAsia="en-GB"/>
              </w:rPr>
              <w:t xml:space="preserve">Change </w:t>
            </w:r>
            <w:r w:rsidRPr="00B02A8A">
              <w:rPr>
                <w:rFonts w:asciiTheme="minorHAnsi" w:hAnsiTheme="minorHAnsi" w:cstheme="minorHAnsi"/>
                <w:color w:val="000000"/>
                <w:szCs w:val="22"/>
                <w:lang w:eastAsia="en-GB"/>
              </w:rPr>
              <w:t xml:space="preserve">and Energy professional network is growing </w:t>
            </w:r>
            <w:r w:rsidR="002D30A9">
              <w:rPr>
                <w:rFonts w:asciiTheme="minorHAnsi" w:hAnsiTheme="minorHAnsi" w:cstheme="minorHAnsi"/>
                <w:color w:val="000000"/>
                <w:szCs w:val="22"/>
                <w:lang w:eastAsia="en-GB"/>
              </w:rPr>
              <w:t xml:space="preserve">(along with wider IEMA networks).  The potential </w:t>
            </w:r>
            <w:r w:rsidRPr="00B02A8A">
              <w:rPr>
                <w:rFonts w:asciiTheme="minorHAnsi" w:hAnsiTheme="minorHAnsi" w:cstheme="minorHAnsi"/>
                <w:color w:val="000000"/>
                <w:szCs w:val="22"/>
                <w:lang w:eastAsia="en-GB"/>
              </w:rPr>
              <w:t xml:space="preserve">for </w:t>
            </w:r>
            <w:r w:rsidR="002D30A9">
              <w:rPr>
                <w:rFonts w:asciiTheme="minorHAnsi" w:hAnsiTheme="minorHAnsi" w:cstheme="minorHAnsi"/>
                <w:color w:val="000000"/>
                <w:szCs w:val="22"/>
                <w:lang w:eastAsia="en-GB"/>
              </w:rPr>
              <w:t xml:space="preserve">collaboration, </w:t>
            </w:r>
            <w:r w:rsidRPr="00B02A8A">
              <w:rPr>
                <w:rFonts w:asciiTheme="minorHAnsi" w:hAnsiTheme="minorHAnsi" w:cstheme="minorHAnsi"/>
                <w:color w:val="000000"/>
                <w:szCs w:val="22"/>
                <w:lang w:eastAsia="en-GB"/>
              </w:rPr>
              <w:t>practice exchange, joint learning and capacity building is extensive</w:t>
            </w:r>
          </w:p>
        </w:tc>
      </w:tr>
    </w:tbl>
    <w:p w14:paraId="7F4288E4" w14:textId="77777777" w:rsidR="003C7A74" w:rsidRPr="00502663" w:rsidRDefault="003C7A74" w:rsidP="003C7A74">
      <w:pPr>
        <w:spacing w:line="240" w:lineRule="auto"/>
        <w:rPr>
          <w:rFonts w:asciiTheme="minorHAnsi" w:hAnsiTheme="minorHAnsi"/>
          <w:i/>
          <w:sz w:val="20"/>
        </w:rPr>
      </w:pPr>
    </w:p>
    <w:p w14:paraId="368A9282" w14:textId="77777777" w:rsidR="003C7A74" w:rsidRPr="00502663" w:rsidRDefault="003C7A74" w:rsidP="003C7A74">
      <w:pPr>
        <w:rPr>
          <w:rFonts w:asciiTheme="minorHAnsi" w:hAnsiTheme="minorHAnsi"/>
          <w:i/>
          <w:sz w:val="20"/>
        </w:rPr>
      </w:pPr>
      <w:r w:rsidRPr="00502663">
        <w:rPr>
          <w:rFonts w:asciiTheme="minorHAnsi" w:hAnsiTheme="minorHAnsi"/>
          <w:i/>
          <w:sz w:val="20"/>
        </w:rPr>
        <w:t>Collaboration models with other stakeholders and</w:t>
      </w:r>
      <w:proofErr w:type="gramStart"/>
      <w:r w:rsidRPr="00502663">
        <w:rPr>
          <w:rFonts w:asciiTheme="minorHAnsi" w:hAnsiTheme="minorHAnsi"/>
          <w:i/>
          <w:sz w:val="20"/>
        </w:rPr>
        <w:t>, in particular, between</w:t>
      </w:r>
      <w:proofErr w:type="gramEnd"/>
      <w:r w:rsidRPr="00502663">
        <w:rPr>
          <w:rFonts w:asciiTheme="minorHAnsi" w:hAnsiTheme="minorHAnsi"/>
          <w:i/>
          <w:sz w:val="20"/>
        </w:rPr>
        <w:t xml:space="preserve"> non-Party stakeholders, national governments and the UN Climate Change process that have been successful in helping you, or can help you, achieve your commitments [Maximum 300 words]</w:t>
      </w:r>
    </w:p>
    <w:tbl>
      <w:tblPr>
        <w:tblStyle w:val="TableGrid2"/>
        <w:tblW w:w="0" w:type="auto"/>
        <w:tblLook w:val="04A0" w:firstRow="1" w:lastRow="0" w:firstColumn="1" w:lastColumn="0" w:noHBand="0" w:noVBand="1"/>
      </w:tblPr>
      <w:tblGrid>
        <w:gridCol w:w="9016"/>
      </w:tblGrid>
      <w:tr w:rsidR="003C7A74" w:rsidRPr="00502663" w14:paraId="5F3E6C63" w14:textId="77777777" w:rsidTr="00FA1CA5">
        <w:tc>
          <w:tcPr>
            <w:tcW w:w="9016" w:type="dxa"/>
          </w:tcPr>
          <w:p w14:paraId="5FA58A09" w14:textId="675E9C20" w:rsidR="00775338" w:rsidRPr="00FB55DF" w:rsidRDefault="00775338" w:rsidP="00775338">
            <w:pPr>
              <w:rPr>
                <w:rFonts w:asciiTheme="minorHAnsi" w:hAnsiTheme="minorHAnsi" w:cstheme="minorHAnsi"/>
                <w:color w:val="000000"/>
                <w:szCs w:val="22"/>
                <w:lang w:eastAsia="en-GB"/>
              </w:rPr>
            </w:pPr>
          </w:p>
          <w:p w14:paraId="071ED162" w14:textId="44535087" w:rsidR="00C43455" w:rsidRDefault="00C43455" w:rsidP="00C43455">
            <w:pPr>
              <w:pStyle w:val="ListParagraph"/>
              <w:numPr>
                <w:ilvl w:val="0"/>
                <w:numId w:val="3"/>
              </w:numPr>
              <w:autoSpaceDE w:val="0"/>
              <w:autoSpaceDN w:val="0"/>
              <w:adjustRightInd w:val="0"/>
              <w:spacing w:line="240" w:lineRule="auto"/>
              <w:rPr>
                <w:rFonts w:cstheme="minorHAnsi"/>
                <w:color w:val="000000"/>
                <w:lang w:eastAsia="en-GB"/>
              </w:rPr>
            </w:pPr>
            <w:r w:rsidRPr="00AB5DD8">
              <w:rPr>
                <w:rFonts w:cstheme="minorHAnsi"/>
              </w:rPr>
              <w:t>IEMA’s ambition is to innovate, collaborate and resolve our future development (moving beyond trade-offs and thus transforming to sustainability).  I</w:t>
            </w:r>
            <w:r w:rsidRPr="00AB5DD8">
              <w:rPr>
                <w:rFonts w:cstheme="minorHAnsi"/>
                <w:color w:val="000000"/>
                <w:lang w:eastAsia="en-GB"/>
              </w:rPr>
              <w:t>ndividual professionals offer a unique and effective constituency for driving climate action and transformations within companies, projects and developments.  Collaborations are inherent to this progress and there are multiple collaboration case studies available within the IEMA membership.</w:t>
            </w:r>
          </w:p>
          <w:p w14:paraId="4B452029" w14:textId="77777777" w:rsidR="00C43455" w:rsidRPr="00AB5DD8" w:rsidRDefault="00C43455" w:rsidP="00C43455">
            <w:pPr>
              <w:pStyle w:val="ListParagraph"/>
              <w:autoSpaceDE w:val="0"/>
              <w:autoSpaceDN w:val="0"/>
              <w:adjustRightInd w:val="0"/>
              <w:spacing w:line="240" w:lineRule="auto"/>
              <w:rPr>
                <w:rFonts w:cstheme="minorHAnsi"/>
                <w:color w:val="000000"/>
                <w:lang w:eastAsia="en-GB"/>
              </w:rPr>
            </w:pPr>
          </w:p>
          <w:p w14:paraId="48712D50" w14:textId="360C493C" w:rsidR="00AB5DD8" w:rsidRPr="00AB5DD8" w:rsidRDefault="00546CDB" w:rsidP="00546CDB">
            <w:pPr>
              <w:pStyle w:val="ListParagraph"/>
              <w:numPr>
                <w:ilvl w:val="0"/>
                <w:numId w:val="3"/>
              </w:numPr>
              <w:autoSpaceDE w:val="0"/>
              <w:autoSpaceDN w:val="0"/>
              <w:adjustRightInd w:val="0"/>
              <w:spacing w:line="240" w:lineRule="auto"/>
              <w:rPr>
                <w:rFonts w:cstheme="minorHAnsi"/>
                <w:color w:val="000000"/>
                <w:lang w:eastAsia="en-GB"/>
              </w:rPr>
            </w:pPr>
            <w:r w:rsidRPr="00AB5DD8">
              <w:rPr>
                <w:rFonts w:cstheme="minorHAnsi"/>
              </w:rPr>
              <w:t>The process of developing new s</w:t>
            </w:r>
            <w:r w:rsidR="00FB55DF" w:rsidRPr="00AB5DD8">
              <w:rPr>
                <w:rFonts w:cstheme="minorHAnsi"/>
              </w:rPr>
              <w:t xml:space="preserve">tandards </w:t>
            </w:r>
            <w:r w:rsidRPr="00AB5DD8">
              <w:rPr>
                <w:rFonts w:cstheme="minorHAnsi"/>
              </w:rPr>
              <w:t xml:space="preserve">and guidance </w:t>
            </w:r>
            <w:r w:rsidR="00FB55DF" w:rsidRPr="00AB5DD8">
              <w:rPr>
                <w:rFonts w:cstheme="minorHAnsi"/>
              </w:rPr>
              <w:t>provide</w:t>
            </w:r>
            <w:r w:rsidRPr="00AB5DD8">
              <w:rPr>
                <w:rFonts w:cstheme="minorHAnsi"/>
              </w:rPr>
              <w:t xml:space="preserve">s </w:t>
            </w:r>
            <w:r w:rsidR="00D50149">
              <w:rPr>
                <w:rFonts w:cstheme="minorHAnsi"/>
              </w:rPr>
              <w:t>one</w:t>
            </w:r>
            <w:r w:rsidRPr="00AB5DD8">
              <w:rPr>
                <w:rFonts w:cstheme="minorHAnsi"/>
              </w:rPr>
              <w:t xml:space="preserve"> op</w:t>
            </w:r>
            <w:r w:rsidR="00FB55DF" w:rsidRPr="00AB5DD8">
              <w:rPr>
                <w:rFonts w:cstheme="minorHAnsi"/>
              </w:rPr>
              <w:t>portunity for collaboration (</w:t>
            </w:r>
            <w:r w:rsidRPr="00AB5DD8">
              <w:rPr>
                <w:rFonts w:cstheme="minorHAnsi"/>
              </w:rPr>
              <w:t xml:space="preserve">ISO </w:t>
            </w:r>
            <w:r w:rsidR="00FB55DF" w:rsidRPr="00AB5DD8">
              <w:rPr>
                <w:rFonts w:cstheme="minorHAnsi"/>
              </w:rPr>
              <w:t xml:space="preserve">standards </w:t>
            </w:r>
            <w:r w:rsidRPr="00AB5DD8">
              <w:rPr>
                <w:rFonts w:cstheme="minorHAnsi"/>
              </w:rPr>
              <w:t xml:space="preserve">for example </w:t>
            </w:r>
            <w:r w:rsidR="00FB55DF" w:rsidRPr="00AB5DD8">
              <w:rPr>
                <w:rFonts w:cstheme="minorHAnsi"/>
              </w:rPr>
              <w:t xml:space="preserve">being developed internationally and through consensus).   </w:t>
            </w:r>
            <w:r w:rsidR="002D30A9" w:rsidRPr="00AB5DD8">
              <w:rPr>
                <w:rFonts w:cstheme="minorHAnsi"/>
              </w:rPr>
              <w:t xml:space="preserve">They offer a route for building effective frameworks and tools, capable of underpinning </w:t>
            </w:r>
            <w:r w:rsidR="00D50149">
              <w:rPr>
                <w:rFonts w:cstheme="minorHAnsi"/>
              </w:rPr>
              <w:t xml:space="preserve">the </w:t>
            </w:r>
            <w:r w:rsidR="002D30A9" w:rsidRPr="00AB5DD8">
              <w:rPr>
                <w:rFonts w:cstheme="minorHAnsi"/>
              </w:rPr>
              <w:t>growth of new technologies, markets and economic transformation.</w:t>
            </w:r>
            <w:r w:rsidR="00EA21EB" w:rsidRPr="00AB5DD8">
              <w:rPr>
                <w:rFonts w:cstheme="minorHAnsi"/>
              </w:rPr>
              <w:t xml:space="preserve"> </w:t>
            </w:r>
            <w:r w:rsidR="002D30A9" w:rsidRPr="00AB5DD8">
              <w:rPr>
                <w:rFonts w:cstheme="minorHAnsi"/>
              </w:rPr>
              <w:t xml:space="preserve"> </w:t>
            </w:r>
            <w:r w:rsidR="00AB5DD8">
              <w:rPr>
                <w:rFonts w:cstheme="minorHAnsi"/>
              </w:rPr>
              <w:t xml:space="preserve">They can also </w:t>
            </w:r>
            <w:r w:rsidR="00C43455">
              <w:rPr>
                <w:rFonts w:cstheme="minorHAnsi"/>
              </w:rPr>
              <w:t xml:space="preserve">lead to </w:t>
            </w:r>
            <w:r w:rsidR="00D50149">
              <w:rPr>
                <w:rFonts w:cstheme="minorHAnsi"/>
              </w:rPr>
              <w:t xml:space="preserve">/ </w:t>
            </w:r>
            <w:r w:rsidR="00AB5DD8">
              <w:rPr>
                <w:rFonts w:cstheme="minorHAnsi"/>
              </w:rPr>
              <w:t xml:space="preserve">support </w:t>
            </w:r>
            <w:r w:rsidR="00C43455">
              <w:rPr>
                <w:rFonts w:cstheme="minorHAnsi"/>
              </w:rPr>
              <w:t xml:space="preserve">climate change </w:t>
            </w:r>
            <w:r w:rsidR="00AB5DD8">
              <w:rPr>
                <w:rFonts w:cstheme="minorHAnsi"/>
              </w:rPr>
              <w:t>skills and capacity building.</w:t>
            </w:r>
          </w:p>
          <w:p w14:paraId="74854A05" w14:textId="77777777" w:rsidR="00AB5DD8" w:rsidRPr="00AB5DD8" w:rsidRDefault="00AB5DD8" w:rsidP="00AB5DD8">
            <w:pPr>
              <w:pStyle w:val="ListParagraph"/>
              <w:autoSpaceDE w:val="0"/>
              <w:autoSpaceDN w:val="0"/>
              <w:adjustRightInd w:val="0"/>
              <w:spacing w:line="240" w:lineRule="auto"/>
              <w:rPr>
                <w:rFonts w:cstheme="minorHAnsi"/>
                <w:color w:val="000000"/>
                <w:lang w:eastAsia="en-GB"/>
              </w:rPr>
            </w:pPr>
          </w:p>
          <w:p w14:paraId="2242297D" w14:textId="24C89615" w:rsidR="007F4AB8" w:rsidRPr="00502663" w:rsidRDefault="00AB5DD8" w:rsidP="00D50149">
            <w:pPr>
              <w:pStyle w:val="ListParagraph"/>
              <w:autoSpaceDE w:val="0"/>
              <w:autoSpaceDN w:val="0"/>
              <w:adjustRightInd w:val="0"/>
              <w:spacing w:line="240" w:lineRule="auto"/>
              <w:rPr>
                <w:i/>
                <w:sz w:val="20"/>
              </w:rPr>
            </w:pPr>
            <w:r>
              <w:rPr>
                <w:rFonts w:cstheme="minorHAnsi"/>
              </w:rPr>
              <w:t xml:space="preserve">As an example, </w:t>
            </w:r>
            <w:r w:rsidR="002D30A9" w:rsidRPr="00AB5DD8">
              <w:rPr>
                <w:rFonts w:cstheme="minorHAnsi"/>
              </w:rPr>
              <w:t>ISO</w:t>
            </w:r>
            <w:r w:rsidR="00FB55DF" w:rsidRPr="00AB5DD8">
              <w:rPr>
                <w:rFonts w:cstheme="minorHAnsi"/>
              </w:rPr>
              <w:t xml:space="preserve"> standards are well developed in climate change mitigation, providing credible, accepted approaches that measure and account for GHG emissions, along with management system standards, helping organizations to plan and take effective actions.  To further support </w:t>
            </w:r>
            <w:r w:rsidR="00EA21EB" w:rsidRPr="00AB5DD8">
              <w:rPr>
                <w:rFonts w:cstheme="minorHAnsi"/>
              </w:rPr>
              <w:t>‘</w:t>
            </w:r>
            <w:r w:rsidR="00FB55DF" w:rsidRPr="00AB5DD8">
              <w:rPr>
                <w:rFonts w:cstheme="minorHAnsi"/>
              </w:rPr>
              <w:t>actors</w:t>
            </w:r>
            <w:r w:rsidR="00EA21EB" w:rsidRPr="00AB5DD8">
              <w:rPr>
                <w:rFonts w:cstheme="minorHAnsi"/>
              </w:rPr>
              <w:t>’</w:t>
            </w:r>
            <w:r w:rsidR="00FB55DF" w:rsidRPr="00AB5DD8">
              <w:rPr>
                <w:rFonts w:cstheme="minorHAnsi"/>
              </w:rPr>
              <w:t xml:space="preserve"> in addressing and responding to the impacts of climate change, a new </w:t>
            </w:r>
            <w:r w:rsidR="00C43455">
              <w:rPr>
                <w:rFonts w:cstheme="minorHAnsi"/>
              </w:rPr>
              <w:t xml:space="preserve">ISO </w:t>
            </w:r>
            <w:r w:rsidR="00FB55DF" w:rsidRPr="00AB5DD8">
              <w:rPr>
                <w:rFonts w:cstheme="minorHAnsi"/>
              </w:rPr>
              <w:t>adaptation framework standard is well under way</w:t>
            </w:r>
            <w:r w:rsidR="00546CDB" w:rsidRPr="00AB5DD8">
              <w:rPr>
                <w:rFonts w:cstheme="minorHAnsi"/>
              </w:rPr>
              <w:t>.  A</w:t>
            </w:r>
            <w:r w:rsidR="00FB55DF" w:rsidRPr="00AB5DD8">
              <w:rPr>
                <w:rFonts w:cstheme="minorHAnsi"/>
              </w:rPr>
              <w:t xml:space="preserve"> range of mainstream </w:t>
            </w:r>
            <w:r w:rsidR="00C43455">
              <w:rPr>
                <w:rFonts w:cstheme="minorHAnsi"/>
              </w:rPr>
              <w:t xml:space="preserve">ISO </w:t>
            </w:r>
            <w:r w:rsidR="00FB55DF" w:rsidRPr="00AB5DD8">
              <w:rPr>
                <w:rFonts w:cstheme="minorHAnsi"/>
              </w:rPr>
              <w:t>standards are in development</w:t>
            </w:r>
            <w:r w:rsidR="00546CDB" w:rsidRPr="00AB5DD8">
              <w:rPr>
                <w:rFonts w:cstheme="minorHAnsi"/>
              </w:rPr>
              <w:t xml:space="preserve"> and</w:t>
            </w:r>
            <w:r w:rsidR="00FB55DF" w:rsidRPr="00AB5DD8">
              <w:rPr>
                <w:rFonts w:cstheme="minorHAnsi"/>
              </w:rPr>
              <w:t xml:space="preserve"> with new guidance, these can make their own contribution to climate </w:t>
            </w:r>
            <w:r>
              <w:rPr>
                <w:rFonts w:cstheme="minorHAnsi"/>
              </w:rPr>
              <w:t xml:space="preserve">change </w:t>
            </w:r>
            <w:r w:rsidR="00FB55DF" w:rsidRPr="00AB5DD8">
              <w:rPr>
                <w:rFonts w:cstheme="minorHAnsi"/>
              </w:rPr>
              <w:t>adaptation and carbon reduction.</w:t>
            </w:r>
          </w:p>
        </w:tc>
      </w:tr>
    </w:tbl>
    <w:p w14:paraId="78D0F2D8" w14:textId="77777777" w:rsidR="003C7A74" w:rsidRPr="00502663" w:rsidRDefault="003C7A74" w:rsidP="003C7A74">
      <w:pPr>
        <w:rPr>
          <w:rFonts w:asciiTheme="minorHAnsi" w:hAnsiTheme="minorHAnsi"/>
          <w:i/>
          <w:sz w:val="20"/>
        </w:rPr>
      </w:pPr>
    </w:p>
    <w:p w14:paraId="0301435B" w14:textId="77777777" w:rsidR="003C7A74" w:rsidRPr="00502663" w:rsidRDefault="003C7A74" w:rsidP="003C7A74">
      <w:pPr>
        <w:rPr>
          <w:rFonts w:asciiTheme="minorHAnsi" w:hAnsiTheme="minorHAnsi"/>
          <w:i/>
          <w:sz w:val="20"/>
        </w:rPr>
      </w:pPr>
      <w:r w:rsidRPr="00502663">
        <w:rPr>
          <w:rFonts w:asciiTheme="minorHAnsi" w:hAnsiTheme="minorHAnsi"/>
          <w:i/>
          <w:sz w:val="20"/>
        </w:rPr>
        <w:t>Opportunities to further scale up action and means to address barriers that can enable even further action by non-Party stakeholders based on the actions you have taken to implement your commitments. (“We’ve made progress and have made new commitments as described above. This is what I need from national governments, other non-Party stakeholders and the UN Climate Change process to take even further action…”) [Maximum 200 words for each item below]:</w:t>
      </w:r>
    </w:p>
    <w:p w14:paraId="6281A956" w14:textId="77777777" w:rsidR="003C7A74" w:rsidRPr="00502663" w:rsidRDefault="003C7A74" w:rsidP="003C7A74">
      <w:pPr>
        <w:spacing w:line="240" w:lineRule="auto"/>
        <w:rPr>
          <w:rFonts w:asciiTheme="minorHAnsi" w:hAnsiTheme="minorHAnsi"/>
          <w:i/>
          <w:sz w:val="20"/>
        </w:rPr>
      </w:pPr>
    </w:p>
    <w:p w14:paraId="234A39B0" w14:textId="77777777" w:rsidR="003C7A74" w:rsidRPr="00502663" w:rsidRDefault="003C7A74" w:rsidP="003C7A74">
      <w:pPr>
        <w:numPr>
          <w:ilvl w:val="0"/>
          <w:numId w:val="1"/>
        </w:numPr>
        <w:tabs>
          <w:tab w:val="clear" w:pos="709"/>
          <w:tab w:val="clear" w:pos="5245"/>
        </w:tabs>
        <w:spacing w:line="240" w:lineRule="auto"/>
        <w:contextualSpacing/>
        <w:rPr>
          <w:rFonts w:asciiTheme="minorHAnsi" w:hAnsiTheme="minorHAnsi" w:cstheme="minorBidi"/>
          <w:i/>
          <w:sz w:val="20"/>
          <w:lang w:val="en-IE"/>
        </w:rPr>
      </w:pPr>
      <w:r w:rsidRPr="00502663">
        <w:rPr>
          <w:rFonts w:asciiTheme="minorHAnsi" w:hAnsiTheme="minorHAnsi" w:cstheme="minorBidi"/>
          <w:i/>
          <w:sz w:val="20"/>
          <w:lang w:val="en-IE"/>
        </w:rPr>
        <w:t xml:space="preserve">Policy levers </w:t>
      </w:r>
    </w:p>
    <w:tbl>
      <w:tblPr>
        <w:tblStyle w:val="TableGrid2"/>
        <w:tblW w:w="0" w:type="auto"/>
        <w:tblLook w:val="04A0" w:firstRow="1" w:lastRow="0" w:firstColumn="1" w:lastColumn="0" w:noHBand="0" w:noVBand="1"/>
      </w:tblPr>
      <w:tblGrid>
        <w:gridCol w:w="9016"/>
      </w:tblGrid>
      <w:tr w:rsidR="003C7A74" w:rsidRPr="00502663" w14:paraId="73255EC5" w14:textId="77777777" w:rsidTr="00FA1CA5">
        <w:tc>
          <w:tcPr>
            <w:tcW w:w="9016" w:type="dxa"/>
          </w:tcPr>
          <w:p w14:paraId="5D74CEF2" w14:textId="1986CB8A" w:rsidR="00A861A7" w:rsidRPr="00D412C4" w:rsidRDefault="00A861A7" w:rsidP="00B80C08">
            <w:pPr>
              <w:rPr>
                <w:rFonts w:asciiTheme="minorHAnsi" w:hAnsiTheme="minorHAnsi" w:cstheme="minorHAnsi"/>
                <w:szCs w:val="22"/>
              </w:rPr>
            </w:pPr>
            <w:r w:rsidRPr="00D412C4">
              <w:rPr>
                <w:rFonts w:asciiTheme="minorHAnsi" w:hAnsiTheme="minorHAnsi" w:cstheme="minorHAnsi"/>
                <w:szCs w:val="22"/>
                <w:u w:val="single"/>
              </w:rPr>
              <w:t>Mandatory GHG reporting</w:t>
            </w:r>
            <w:r w:rsidR="00D412C4">
              <w:rPr>
                <w:rFonts w:asciiTheme="minorHAnsi" w:hAnsiTheme="minorHAnsi" w:cstheme="minorHAnsi"/>
                <w:szCs w:val="22"/>
                <w:u w:val="single"/>
              </w:rPr>
              <w:t xml:space="preserve"> - </w:t>
            </w:r>
            <w:r w:rsidRPr="00D412C4">
              <w:rPr>
                <w:rFonts w:asciiTheme="minorHAnsi" w:hAnsiTheme="minorHAnsi" w:cstheme="minorHAnsi"/>
                <w:szCs w:val="22"/>
                <w:u w:val="single"/>
              </w:rPr>
              <w:t xml:space="preserve"> </w:t>
            </w:r>
            <w:r w:rsidRPr="00D412C4">
              <w:rPr>
                <w:rFonts w:asciiTheme="minorHAnsi" w:hAnsiTheme="minorHAnsi" w:cstheme="minorHAnsi"/>
                <w:szCs w:val="22"/>
              </w:rPr>
              <w:t xml:space="preserve">is an important policy lever and </w:t>
            </w:r>
            <w:r w:rsidR="00B80C08" w:rsidRPr="00D412C4">
              <w:rPr>
                <w:rFonts w:asciiTheme="minorHAnsi" w:hAnsiTheme="minorHAnsi" w:cstheme="minorHAnsi"/>
                <w:szCs w:val="22"/>
              </w:rPr>
              <w:t>c</w:t>
            </w:r>
            <w:r w:rsidRPr="00D412C4">
              <w:rPr>
                <w:rFonts w:asciiTheme="minorHAnsi" w:hAnsiTheme="minorHAnsi" w:cstheme="minorHAnsi"/>
                <w:szCs w:val="22"/>
              </w:rPr>
              <w:t>ould be extended</w:t>
            </w:r>
            <w:r w:rsidR="00CB59CB" w:rsidRPr="00D412C4">
              <w:rPr>
                <w:rFonts w:asciiTheme="minorHAnsi" w:hAnsiTheme="minorHAnsi" w:cstheme="minorHAnsi"/>
                <w:szCs w:val="22"/>
              </w:rPr>
              <w:t xml:space="preserve"> internationally</w:t>
            </w:r>
            <w:r w:rsidRPr="00D412C4">
              <w:rPr>
                <w:rFonts w:asciiTheme="minorHAnsi" w:hAnsiTheme="minorHAnsi" w:cstheme="minorHAnsi"/>
                <w:szCs w:val="22"/>
              </w:rPr>
              <w:t xml:space="preserve">. </w:t>
            </w:r>
            <w:r w:rsidR="00CB59CB" w:rsidRPr="00D412C4">
              <w:rPr>
                <w:rFonts w:asciiTheme="minorHAnsi" w:hAnsiTheme="minorHAnsi" w:cstheme="minorHAnsi"/>
                <w:szCs w:val="22"/>
              </w:rPr>
              <w:t xml:space="preserve">Similar mandatory </w:t>
            </w:r>
            <w:r w:rsidR="00B80C08" w:rsidRPr="00D412C4">
              <w:rPr>
                <w:rFonts w:asciiTheme="minorHAnsi" w:hAnsiTheme="minorHAnsi" w:cstheme="minorHAnsi"/>
                <w:szCs w:val="22"/>
              </w:rPr>
              <w:t xml:space="preserve">policies </w:t>
            </w:r>
            <w:r w:rsidR="00CB59CB" w:rsidRPr="00D412C4">
              <w:rPr>
                <w:rFonts w:asciiTheme="minorHAnsi" w:hAnsiTheme="minorHAnsi" w:cstheme="minorHAnsi"/>
                <w:szCs w:val="22"/>
              </w:rPr>
              <w:t xml:space="preserve">may be beneficial for Adaptation (not necessarily annually). </w:t>
            </w:r>
            <w:r w:rsidR="00D412C4">
              <w:rPr>
                <w:rFonts w:asciiTheme="minorHAnsi" w:hAnsiTheme="minorHAnsi" w:cstheme="minorHAnsi"/>
                <w:szCs w:val="22"/>
              </w:rPr>
              <w:t>Disclosure and r</w:t>
            </w:r>
            <w:r w:rsidR="00CB59CB" w:rsidRPr="00D412C4">
              <w:rPr>
                <w:rFonts w:asciiTheme="minorHAnsi" w:hAnsiTheme="minorHAnsi" w:cstheme="minorHAnsi"/>
                <w:szCs w:val="22"/>
              </w:rPr>
              <w:t xml:space="preserve">eporting is </w:t>
            </w:r>
            <w:r w:rsidR="00D412C4" w:rsidRPr="00D412C4">
              <w:rPr>
                <w:rFonts w:asciiTheme="minorHAnsi" w:hAnsiTheme="minorHAnsi" w:cstheme="minorHAnsi"/>
                <w:szCs w:val="22"/>
              </w:rPr>
              <w:t>effective, especially</w:t>
            </w:r>
            <w:r w:rsidR="00CB59CB" w:rsidRPr="00D412C4">
              <w:rPr>
                <w:rFonts w:asciiTheme="minorHAnsi" w:hAnsiTheme="minorHAnsi" w:cstheme="minorHAnsi"/>
                <w:szCs w:val="22"/>
              </w:rPr>
              <w:t xml:space="preserve"> when part of a wider policy approach alongside fiscal </w:t>
            </w:r>
            <w:r w:rsidR="00546CDB">
              <w:rPr>
                <w:rFonts w:asciiTheme="minorHAnsi" w:hAnsiTheme="minorHAnsi" w:cstheme="minorHAnsi"/>
                <w:szCs w:val="22"/>
              </w:rPr>
              <w:t>measures</w:t>
            </w:r>
            <w:r w:rsidR="00CB59CB" w:rsidRPr="00D412C4">
              <w:rPr>
                <w:rFonts w:asciiTheme="minorHAnsi" w:hAnsiTheme="minorHAnsi" w:cstheme="minorHAnsi"/>
                <w:szCs w:val="22"/>
              </w:rPr>
              <w:t>. IEMA</w:t>
            </w:r>
            <w:r w:rsidRPr="00D412C4">
              <w:rPr>
                <w:rFonts w:asciiTheme="minorHAnsi" w:hAnsiTheme="minorHAnsi" w:cstheme="minorHAnsi"/>
                <w:szCs w:val="22"/>
              </w:rPr>
              <w:t xml:space="preserve"> professionals have strongly indicated that a mix of policy drivers can work synergistically</w:t>
            </w:r>
            <w:r w:rsidR="00AB5DD8">
              <w:rPr>
                <w:rFonts w:asciiTheme="minorHAnsi" w:hAnsiTheme="minorHAnsi" w:cstheme="minorHAnsi"/>
                <w:szCs w:val="22"/>
              </w:rPr>
              <w:t xml:space="preserve">. </w:t>
            </w:r>
            <w:r w:rsidR="00B80C08" w:rsidRPr="00D412C4">
              <w:rPr>
                <w:rFonts w:asciiTheme="minorHAnsi" w:hAnsiTheme="minorHAnsi" w:cstheme="minorHAnsi"/>
                <w:szCs w:val="22"/>
              </w:rPr>
              <w:t>I</w:t>
            </w:r>
            <w:r w:rsidR="00CB59CB" w:rsidRPr="00D412C4">
              <w:rPr>
                <w:rFonts w:asciiTheme="minorHAnsi" w:hAnsiTheme="minorHAnsi" w:cstheme="minorHAnsi"/>
                <w:szCs w:val="22"/>
              </w:rPr>
              <w:t>n the UK t</w:t>
            </w:r>
            <w:r w:rsidRPr="00D412C4">
              <w:rPr>
                <w:rFonts w:asciiTheme="minorHAnsi" w:hAnsiTheme="minorHAnsi" w:cstheme="minorHAnsi"/>
                <w:szCs w:val="22"/>
              </w:rPr>
              <w:t>here is profession</w:t>
            </w:r>
            <w:r w:rsidR="00CB59CB" w:rsidRPr="00D412C4">
              <w:rPr>
                <w:rFonts w:asciiTheme="minorHAnsi" w:hAnsiTheme="minorHAnsi" w:cstheme="minorHAnsi"/>
                <w:szCs w:val="22"/>
              </w:rPr>
              <w:t>-</w:t>
            </w:r>
            <w:r w:rsidRPr="00D412C4">
              <w:rPr>
                <w:rFonts w:asciiTheme="minorHAnsi" w:hAnsiTheme="minorHAnsi" w:cstheme="minorHAnsi"/>
                <w:szCs w:val="22"/>
              </w:rPr>
              <w:t xml:space="preserve">based support for extending </w:t>
            </w:r>
            <w:r w:rsidR="00AB5DD8">
              <w:rPr>
                <w:rFonts w:asciiTheme="minorHAnsi" w:hAnsiTheme="minorHAnsi" w:cstheme="minorHAnsi"/>
                <w:szCs w:val="22"/>
              </w:rPr>
              <w:t xml:space="preserve">a </w:t>
            </w:r>
            <w:r w:rsidR="00B80C08" w:rsidRPr="00D412C4">
              <w:rPr>
                <w:rFonts w:asciiTheme="minorHAnsi" w:hAnsiTheme="minorHAnsi" w:cstheme="minorHAnsi"/>
                <w:szCs w:val="22"/>
              </w:rPr>
              <w:t xml:space="preserve">mandatory GHG </w:t>
            </w:r>
            <w:r w:rsidRPr="00D412C4">
              <w:rPr>
                <w:rFonts w:asciiTheme="minorHAnsi" w:hAnsiTheme="minorHAnsi" w:cstheme="minorHAnsi"/>
                <w:szCs w:val="22"/>
              </w:rPr>
              <w:t>reporting requirement to all large businesses</w:t>
            </w:r>
            <w:r w:rsidR="00B80C08" w:rsidRPr="00D412C4">
              <w:rPr>
                <w:rFonts w:asciiTheme="minorHAnsi" w:hAnsiTheme="minorHAnsi" w:cstheme="minorHAnsi"/>
                <w:szCs w:val="22"/>
              </w:rPr>
              <w:t>.</w:t>
            </w:r>
          </w:p>
          <w:p w14:paraId="2013E359" w14:textId="77777777" w:rsidR="00A861A7" w:rsidRPr="00D412C4" w:rsidRDefault="00A861A7" w:rsidP="00FA1CA5">
            <w:pPr>
              <w:rPr>
                <w:rFonts w:asciiTheme="minorHAnsi" w:hAnsiTheme="minorHAnsi" w:cstheme="minorHAnsi"/>
                <w:szCs w:val="22"/>
              </w:rPr>
            </w:pPr>
          </w:p>
          <w:p w14:paraId="61508370" w14:textId="09097B8E" w:rsidR="00A861A7" w:rsidRPr="00D412C4" w:rsidRDefault="00A861A7" w:rsidP="00FA1CA5">
            <w:pPr>
              <w:rPr>
                <w:rFonts w:asciiTheme="minorHAnsi" w:hAnsiTheme="minorHAnsi" w:cstheme="minorHAnsi"/>
                <w:szCs w:val="22"/>
              </w:rPr>
            </w:pPr>
            <w:r w:rsidRPr="00D412C4">
              <w:rPr>
                <w:rFonts w:asciiTheme="minorHAnsi" w:hAnsiTheme="minorHAnsi" w:cstheme="minorHAnsi"/>
                <w:szCs w:val="22"/>
                <w:u w:val="single"/>
              </w:rPr>
              <w:t xml:space="preserve">Policy </w:t>
            </w:r>
            <w:r w:rsidR="00D412C4" w:rsidRPr="00D412C4">
              <w:rPr>
                <w:rFonts w:asciiTheme="minorHAnsi" w:hAnsiTheme="minorHAnsi" w:cstheme="minorHAnsi"/>
                <w:szCs w:val="22"/>
                <w:u w:val="single"/>
              </w:rPr>
              <w:t>uncertainty</w:t>
            </w:r>
            <w:r w:rsidR="00D412C4" w:rsidRPr="00D412C4">
              <w:rPr>
                <w:rFonts w:asciiTheme="minorHAnsi" w:hAnsiTheme="minorHAnsi" w:cstheme="minorHAnsi"/>
                <w:szCs w:val="22"/>
              </w:rPr>
              <w:t xml:space="preserve"> </w:t>
            </w:r>
            <w:r w:rsidR="00D412C4">
              <w:rPr>
                <w:rFonts w:asciiTheme="minorHAnsi" w:hAnsiTheme="minorHAnsi" w:cstheme="minorHAnsi"/>
                <w:szCs w:val="22"/>
              </w:rPr>
              <w:t xml:space="preserve">- </w:t>
            </w:r>
            <w:r w:rsidRPr="00D412C4">
              <w:rPr>
                <w:rFonts w:asciiTheme="minorHAnsi" w:hAnsiTheme="minorHAnsi" w:cstheme="minorHAnsi"/>
                <w:szCs w:val="22"/>
              </w:rPr>
              <w:t>by</w:t>
            </w:r>
            <w:r w:rsidR="00CB59CB" w:rsidRPr="00D412C4">
              <w:rPr>
                <w:rFonts w:asciiTheme="minorHAnsi" w:hAnsiTheme="minorHAnsi" w:cstheme="minorHAnsi"/>
                <w:szCs w:val="22"/>
              </w:rPr>
              <w:t xml:space="preserve"> </w:t>
            </w:r>
            <w:r w:rsidR="00B80C08" w:rsidRPr="00D412C4">
              <w:rPr>
                <w:rFonts w:asciiTheme="minorHAnsi" w:hAnsiTheme="minorHAnsi" w:cstheme="minorHAnsi"/>
                <w:szCs w:val="22"/>
              </w:rPr>
              <w:t>governments</w:t>
            </w:r>
            <w:r w:rsidR="00CB59CB" w:rsidRPr="00D412C4">
              <w:rPr>
                <w:rFonts w:asciiTheme="minorHAnsi" w:hAnsiTheme="minorHAnsi" w:cstheme="minorHAnsi"/>
                <w:szCs w:val="22"/>
              </w:rPr>
              <w:t xml:space="preserve"> </w:t>
            </w:r>
            <w:r w:rsidRPr="00D412C4">
              <w:rPr>
                <w:rFonts w:asciiTheme="minorHAnsi" w:hAnsiTheme="minorHAnsi" w:cstheme="minorHAnsi"/>
                <w:szCs w:val="22"/>
              </w:rPr>
              <w:t xml:space="preserve">and </w:t>
            </w:r>
            <w:r w:rsidR="0029239D" w:rsidRPr="00D412C4">
              <w:rPr>
                <w:rFonts w:asciiTheme="minorHAnsi" w:hAnsiTheme="minorHAnsi" w:cstheme="minorHAnsi"/>
                <w:szCs w:val="22"/>
              </w:rPr>
              <w:t xml:space="preserve">international </w:t>
            </w:r>
            <w:r w:rsidR="00546CDB">
              <w:rPr>
                <w:rFonts w:asciiTheme="minorHAnsi" w:hAnsiTheme="minorHAnsi" w:cstheme="minorHAnsi"/>
                <w:szCs w:val="22"/>
              </w:rPr>
              <w:t>bodies</w:t>
            </w:r>
            <w:r w:rsidRPr="00D412C4">
              <w:rPr>
                <w:rFonts w:asciiTheme="minorHAnsi" w:hAnsiTheme="minorHAnsi" w:cstheme="minorHAnsi"/>
                <w:szCs w:val="22"/>
              </w:rPr>
              <w:t xml:space="preserve"> can be a barrier</w:t>
            </w:r>
            <w:r w:rsidR="00B80C08" w:rsidRPr="00D412C4">
              <w:rPr>
                <w:rFonts w:asciiTheme="minorHAnsi" w:hAnsiTheme="minorHAnsi" w:cstheme="minorHAnsi"/>
                <w:szCs w:val="22"/>
              </w:rPr>
              <w:t xml:space="preserve"> to non-state </w:t>
            </w:r>
            <w:r w:rsidR="00D412C4" w:rsidRPr="00D412C4">
              <w:rPr>
                <w:rFonts w:asciiTheme="minorHAnsi" w:hAnsiTheme="minorHAnsi" w:cstheme="minorHAnsi"/>
                <w:szCs w:val="22"/>
              </w:rPr>
              <w:t>‘</w:t>
            </w:r>
            <w:r w:rsidR="00B80C08" w:rsidRPr="00D412C4">
              <w:rPr>
                <w:rFonts w:asciiTheme="minorHAnsi" w:hAnsiTheme="minorHAnsi" w:cstheme="minorHAnsi"/>
                <w:szCs w:val="22"/>
              </w:rPr>
              <w:t>actors</w:t>
            </w:r>
            <w:r w:rsidR="00D412C4" w:rsidRPr="00D412C4">
              <w:rPr>
                <w:rFonts w:asciiTheme="minorHAnsi" w:hAnsiTheme="minorHAnsi" w:cstheme="minorHAnsi"/>
                <w:szCs w:val="22"/>
              </w:rPr>
              <w:t>’</w:t>
            </w:r>
            <w:r w:rsidR="00CB59CB" w:rsidRPr="00D412C4">
              <w:rPr>
                <w:rFonts w:asciiTheme="minorHAnsi" w:hAnsiTheme="minorHAnsi" w:cstheme="minorHAnsi"/>
                <w:szCs w:val="22"/>
              </w:rPr>
              <w:t xml:space="preserve">. </w:t>
            </w:r>
            <w:r w:rsidR="00D412C4">
              <w:rPr>
                <w:rFonts w:asciiTheme="minorHAnsi" w:hAnsiTheme="minorHAnsi" w:cstheme="minorHAnsi"/>
                <w:szCs w:val="22"/>
              </w:rPr>
              <w:t>L</w:t>
            </w:r>
            <w:r w:rsidR="0029239D" w:rsidRPr="00D412C4">
              <w:rPr>
                <w:rFonts w:asciiTheme="minorHAnsi" w:hAnsiTheme="minorHAnsi" w:cstheme="minorHAnsi"/>
                <w:szCs w:val="22"/>
              </w:rPr>
              <w:t xml:space="preserve">ong-term </w:t>
            </w:r>
            <w:r w:rsidR="00B80C08" w:rsidRPr="00D412C4">
              <w:rPr>
                <w:rFonts w:asciiTheme="minorHAnsi" w:hAnsiTheme="minorHAnsi" w:cstheme="minorHAnsi"/>
                <w:szCs w:val="22"/>
              </w:rPr>
              <w:t>state</w:t>
            </w:r>
            <w:r w:rsidR="0029239D" w:rsidRPr="00D412C4">
              <w:rPr>
                <w:rFonts w:asciiTheme="minorHAnsi" w:hAnsiTheme="minorHAnsi" w:cstheme="minorHAnsi"/>
                <w:szCs w:val="22"/>
              </w:rPr>
              <w:t xml:space="preserve"> </w:t>
            </w:r>
            <w:r w:rsidR="00B80C08" w:rsidRPr="00D412C4">
              <w:rPr>
                <w:rFonts w:asciiTheme="minorHAnsi" w:hAnsiTheme="minorHAnsi" w:cstheme="minorHAnsi"/>
                <w:szCs w:val="22"/>
              </w:rPr>
              <w:t xml:space="preserve">level commitments </w:t>
            </w:r>
            <w:r w:rsidR="00D412C4">
              <w:rPr>
                <w:rFonts w:asciiTheme="minorHAnsi" w:hAnsiTheme="minorHAnsi" w:cstheme="minorHAnsi"/>
                <w:szCs w:val="22"/>
              </w:rPr>
              <w:t>(</w:t>
            </w:r>
            <w:r w:rsidR="00546CDB">
              <w:rPr>
                <w:rFonts w:asciiTheme="minorHAnsi" w:hAnsiTheme="minorHAnsi" w:cstheme="minorHAnsi"/>
                <w:szCs w:val="22"/>
              </w:rPr>
              <w:t xml:space="preserve">via COP21) </w:t>
            </w:r>
            <w:r w:rsidR="00B80C08" w:rsidRPr="00D412C4">
              <w:rPr>
                <w:rFonts w:asciiTheme="minorHAnsi" w:hAnsiTheme="minorHAnsi" w:cstheme="minorHAnsi"/>
                <w:szCs w:val="22"/>
              </w:rPr>
              <w:t xml:space="preserve">need to be matched by </w:t>
            </w:r>
            <w:r w:rsidR="00D412C4">
              <w:rPr>
                <w:rFonts w:asciiTheme="minorHAnsi" w:hAnsiTheme="minorHAnsi" w:cstheme="minorHAnsi"/>
                <w:szCs w:val="22"/>
              </w:rPr>
              <w:t>similar l</w:t>
            </w:r>
            <w:r w:rsidR="00B80C08" w:rsidRPr="00D412C4">
              <w:rPr>
                <w:rFonts w:asciiTheme="minorHAnsi" w:hAnsiTheme="minorHAnsi" w:cstheme="minorHAnsi"/>
                <w:szCs w:val="22"/>
              </w:rPr>
              <w:t>onger</w:t>
            </w:r>
            <w:r w:rsidR="00D412C4">
              <w:rPr>
                <w:rFonts w:asciiTheme="minorHAnsi" w:hAnsiTheme="minorHAnsi" w:cstheme="minorHAnsi"/>
                <w:szCs w:val="22"/>
              </w:rPr>
              <w:t>-</w:t>
            </w:r>
            <w:r w:rsidR="00B80C08" w:rsidRPr="00D412C4">
              <w:rPr>
                <w:rFonts w:asciiTheme="minorHAnsi" w:hAnsiTheme="minorHAnsi" w:cstheme="minorHAnsi"/>
                <w:szCs w:val="22"/>
              </w:rPr>
              <w:t>term policies for businesses</w:t>
            </w:r>
            <w:r w:rsidR="00D412C4">
              <w:rPr>
                <w:rFonts w:asciiTheme="minorHAnsi" w:hAnsiTheme="minorHAnsi" w:cstheme="minorHAnsi"/>
                <w:szCs w:val="22"/>
              </w:rPr>
              <w:t xml:space="preserve"> operating in and between countries.</w:t>
            </w:r>
            <w:r w:rsidR="00B80C08" w:rsidRPr="00D412C4">
              <w:rPr>
                <w:rFonts w:asciiTheme="minorHAnsi" w:hAnsiTheme="minorHAnsi" w:cstheme="minorHAnsi"/>
                <w:szCs w:val="22"/>
              </w:rPr>
              <w:t xml:space="preserve">  </w:t>
            </w:r>
            <w:r w:rsidRPr="00D412C4">
              <w:rPr>
                <w:rFonts w:asciiTheme="minorHAnsi" w:hAnsiTheme="minorHAnsi" w:cstheme="minorHAnsi"/>
                <w:szCs w:val="22"/>
              </w:rPr>
              <w:t xml:space="preserve">This is essential to ensure organisations respond and make low carbon, energy and climate change investments with greater confidence. </w:t>
            </w:r>
            <w:r w:rsidR="00D412C4">
              <w:rPr>
                <w:rFonts w:asciiTheme="minorHAnsi" w:hAnsiTheme="minorHAnsi" w:cstheme="minorHAnsi"/>
                <w:szCs w:val="22"/>
              </w:rPr>
              <w:t xml:space="preserve">Frequent policy change and </w:t>
            </w:r>
            <w:r w:rsidRPr="00D412C4">
              <w:rPr>
                <w:rFonts w:asciiTheme="minorHAnsi" w:hAnsiTheme="minorHAnsi" w:cstheme="minorHAnsi"/>
                <w:szCs w:val="22"/>
              </w:rPr>
              <w:t>uncertainty</w:t>
            </w:r>
            <w:r w:rsidR="00CB59CB" w:rsidRPr="00D412C4">
              <w:rPr>
                <w:rFonts w:asciiTheme="minorHAnsi" w:hAnsiTheme="minorHAnsi" w:cstheme="minorHAnsi"/>
                <w:szCs w:val="22"/>
              </w:rPr>
              <w:t xml:space="preserve"> at state level and between states can be a</w:t>
            </w:r>
            <w:r w:rsidRPr="00D412C4">
              <w:rPr>
                <w:rFonts w:asciiTheme="minorHAnsi" w:hAnsiTheme="minorHAnsi" w:cstheme="minorHAnsi"/>
                <w:szCs w:val="22"/>
              </w:rPr>
              <w:t xml:space="preserve"> significant barrier to action by companies. </w:t>
            </w:r>
          </w:p>
          <w:p w14:paraId="246BCACA" w14:textId="77777777" w:rsidR="00CB59CB" w:rsidRPr="00D412C4" w:rsidRDefault="00CB59CB" w:rsidP="00FA1CA5">
            <w:pPr>
              <w:rPr>
                <w:rFonts w:asciiTheme="minorHAnsi" w:hAnsiTheme="minorHAnsi" w:cstheme="minorHAnsi"/>
                <w:szCs w:val="22"/>
              </w:rPr>
            </w:pPr>
          </w:p>
          <w:p w14:paraId="2088EC30" w14:textId="4733C872" w:rsidR="00A861A7" w:rsidRDefault="00546CDB" w:rsidP="00FA1CA5">
            <w:pPr>
              <w:rPr>
                <w:rFonts w:asciiTheme="minorHAnsi" w:hAnsiTheme="minorHAnsi" w:cstheme="minorHAnsi"/>
                <w:szCs w:val="22"/>
              </w:rPr>
            </w:pPr>
            <w:r>
              <w:rPr>
                <w:rFonts w:asciiTheme="minorHAnsi" w:hAnsiTheme="minorHAnsi" w:cstheme="minorHAnsi"/>
                <w:szCs w:val="22"/>
                <w:u w:val="single"/>
              </w:rPr>
              <w:t xml:space="preserve">Confidence </w:t>
            </w:r>
            <w:r w:rsidR="00D412C4">
              <w:rPr>
                <w:rFonts w:asciiTheme="minorHAnsi" w:hAnsiTheme="minorHAnsi" w:cstheme="minorHAnsi"/>
                <w:szCs w:val="22"/>
                <w:u w:val="single"/>
              </w:rPr>
              <w:t xml:space="preserve">around </w:t>
            </w:r>
            <w:r w:rsidR="00CB59CB" w:rsidRPr="00D412C4">
              <w:rPr>
                <w:rFonts w:asciiTheme="minorHAnsi" w:hAnsiTheme="minorHAnsi" w:cstheme="minorHAnsi"/>
                <w:szCs w:val="22"/>
                <w:u w:val="single"/>
              </w:rPr>
              <w:t>future carbon values</w:t>
            </w:r>
            <w:r w:rsidR="00CB59CB" w:rsidRPr="00D412C4">
              <w:rPr>
                <w:rFonts w:asciiTheme="minorHAnsi" w:hAnsiTheme="minorHAnsi" w:cstheme="minorHAnsi"/>
                <w:szCs w:val="22"/>
              </w:rPr>
              <w:t xml:space="preserve"> is a</w:t>
            </w:r>
            <w:r>
              <w:rPr>
                <w:rFonts w:asciiTheme="minorHAnsi" w:hAnsiTheme="minorHAnsi" w:cstheme="minorHAnsi"/>
                <w:szCs w:val="22"/>
              </w:rPr>
              <w:t xml:space="preserve"> related </w:t>
            </w:r>
            <w:r w:rsidR="00CB59CB" w:rsidRPr="00D412C4">
              <w:rPr>
                <w:rFonts w:asciiTheme="minorHAnsi" w:hAnsiTheme="minorHAnsi" w:cstheme="minorHAnsi"/>
                <w:szCs w:val="22"/>
              </w:rPr>
              <w:t>concern (</w:t>
            </w:r>
            <w:r w:rsidR="00AB5DD8">
              <w:rPr>
                <w:rFonts w:asciiTheme="minorHAnsi" w:hAnsiTheme="minorHAnsi" w:cstheme="minorHAnsi"/>
                <w:szCs w:val="22"/>
              </w:rPr>
              <w:t>e.g. on s</w:t>
            </w:r>
            <w:r w:rsidR="00CB59CB" w:rsidRPr="00D412C4">
              <w:rPr>
                <w:rFonts w:asciiTheme="minorHAnsi" w:hAnsiTheme="minorHAnsi" w:cstheme="minorHAnsi"/>
                <w:szCs w:val="22"/>
              </w:rPr>
              <w:t xml:space="preserve">ubsidies, carbon pricing and taxation). </w:t>
            </w:r>
            <w:r w:rsidR="00D412C4">
              <w:rPr>
                <w:rFonts w:asciiTheme="minorHAnsi" w:hAnsiTheme="minorHAnsi" w:cstheme="minorHAnsi"/>
                <w:szCs w:val="22"/>
              </w:rPr>
              <w:t>As an example, w</w:t>
            </w:r>
            <w:r w:rsidR="00A861A7" w:rsidRPr="00D412C4">
              <w:rPr>
                <w:rFonts w:asciiTheme="minorHAnsi" w:hAnsiTheme="minorHAnsi" w:cstheme="minorHAnsi"/>
                <w:szCs w:val="22"/>
              </w:rPr>
              <w:t>ithin the EU ETS over supply of allowances significantly suppressed the carbon price. Uncertainty about the future of the market fuelled volatility, while delay in tackling over supply</w:t>
            </w:r>
            <w:r w:rsidR="00CB59CB" w:rsidRPr="00D412C4">
              <w:rPr>
                <w:rFonts w:asciiTheme="minorHAnsi" w:hAnsiTheme="minorHAnsi" w:cstheme="minorHAnsi"/>
                <w:szCs w:val="22"/>
              </w:rPr>
              <w:t xml:space="preserve"> u</w:t>
            </w:r>
            <w:r w:rsidR="00A861A7" w:rsidRPr="00D412C4">
              <w:rPr>
                <w:rFonts w:asciiTheme="minorHAnsi" w:hAnsiTheme="minorHAnsi" w:cstheme="minorHAnsi"/>
                <w:szCs w:val="22"/>
              </w:rPr>
              <w:t>ndermin</w:t>
            </w:r>
            <w:r w:rsidR="00CB59CB" w:rsidRPr="00D412C4">
              <w:rPr>
                <w:rFonts w:asciiTheme="minorHAnsi" w:hAnsiTheme="minorHAnsi" w:cstheme="minorHAnsi"/>
                <w:szCs w:val="22"/>
              </w:rPr>
              <w:t xml:space="preserve">ed </w:t>
            </w:r>
            <w:r w:rsidR="00A861A7" w:rsidRPr="00D412C4">
              <w:rPr>
                <w:rFonts w:asciiTheme="minorHAnsi" w:hAnsiTheme="minorHAnsi" w:cstheme="minorHAnsi"/>
                <w:szCs w:val="22"/>
              </w:rPr>
              <w:t>the aim to use the market to drive low carbon investment.</w:t>
            </w:r>
          </w:p>
          <w:p w14:paraId="289D9ADA" w14:textId="414A6414" w:rsidR="00AA0397" w:rsidRDefault="00AA0397" w:rsidP="00FA1CA5">
            <w:pPr>
              <w:rPr>
                <w:rFonts w:asciiTheme="minorHAnsi" w:hAnsiTheme="minorHAnsi" w:cstheme="minorHAnsi"/>
                <w:i/>
                <w:szCs w:val="22"/>
              </w:rPr>
            </w:pPr>
          </w:p>
          <w:p w14:paraId="573A503F" w14:textId="77AC9A3E" w:rsidR="003C7A74" w:rsidRPr="00502663" w:rsidRDefault="003C7A74" w:rsidP="00FA1CA5">
            <w:pPr>
              <w:rPr>
                <w:i/>
                <w:sz w:val="20"/>
              </w:rPr>
            </w:pPr>
          </w:p>
        </w:tc>
      </w:tr>
    </w:tbl>
    <w:p w14:paraId="7BB19C41" w14:textId="77777777" w:rsidR="003C7A74" w:rsidRPr="00502663" w:rsidRDefault="003C7A74" w:rsidP="003C7A74">
      <w:pPr>
        <w:tabs>
          <w:tab w:val="clear" w:pos="709"/>
          <w:tab w:val="clear" w:pos="5245"/>
        </w:tabs>
        <w:spacing w:line="240" w:lineRule="auto"/>
        <w:ind w:left="720"/>
        <w:contextualSpacing/>
        <w:rPr>
          <w:rFonts w:asciiTheme="minorHAnsi" w:hAnsiTheme="minorHAnsi" w:cstheme="minorBidi"/>
          <w:i/>
          <w:sz w:val="20"/>
          <w:lang w:val="en-IE"/>
        </w:rPr>
      </w:pPr>
    </w:p>
    <w:p w14:paraId="67C47102" w14:textId="77777777" w:rsidR="003C7A74" w:rsidRPr="00502663" w:rsidRDefault="003C7A74" w:rsidP="003C7A74">
      <w:pPr>
        <w:tabs>
          <w:tab w:val="clear" w:pos="709"/>
          <w:tab w:val="clear" w:pos="5245"/>
        </w:tabs>
        <w:spacing w:line="240" w:lineRule="auto"/>
        <w:ind w:left="720"/>
        <w:contextualSpacing/>
        <w:rPr>
          <w:rFonts w:asciiTheme="minorHAnsi" w:hAnsiTheme="minorHAnsi" w:cstheme="minorBidi"/>
          <w:i/>
          <w:sz w:val="20"/>
          <w:lang w:val="en-IE"/>
        </w:rPr>
      </w:pPr>
    </w:p>
    <w:p w14:paraId="76303C41" w14:textId="77777777" w:rsidR="003C7A74" w:rsidRPr="00502663" w:rsidRDefault="003C7A74" w:rsidP="003C7A74">
      <w:pPr>
        <w:tabs>
          <w:tab w:val="clear" w:pos="709"/>
          <w:tab w:val="clear" w:pos="5245"/>
        </w:tabs>
        <w:spacing w:line="240" w:lineRule="auto"/>
        <w:ind w:left="720"/>
        <w:contextualSpacing/>
        <w:rPr>
          <w:rFonts w:asciiTheme="minorHAnsi" w:hAnsiTheme="minorHAnsi" w:cstheme="minorBidi"/>
          <w:i/>
          <w:sz w:val="20"/>
          <w:lang w:val="en-IE"/>
        </w:rPr>
      </w:pPr>
    </w:p>
    <w:p w14:paraId="05E54DB3" w14:textId="77777777" w:rsidR="003C7A74" w:rsidRPr="00502663" w:rsidRDefault="003C7A74" w:rsidP="003C7A74">
      <w:pPr>
        <w:tabs>
          <w:tab w:val="clear" w:pos="709"/>
          <w:tab w:val="clear" w:pos="5245"/>
        </w:tabs>
        <w:spacing w:line="240" w:lineRule="auto"/>
      </w:pPr>
    </w:p>
    <w:p w14:paraId="149A6B15" w14:textId="77777777" w:rsidR="00AA0397" w:rsidRPr="00A318EB" w:rsidRDefault="00AA0397" w:rsidP="00AA0397">
      <w:pPr>
        <w:pStyle w:val="ListParagraph"/>
        <w:numPr>
          <w:ilvl w:val="0"/>
          <w:numId w:val="1"/>
        </w:numPr>
        <w:spacing w:after="0" w:line="240" w:lineRule="auto"/>
        <w:rPr>
          <w:rFonts w:eastAsia="Times New Roman"/>
          <w:i/>
          <w:sz w:val="20"/>
          <w:szCs w:val="20"/>
        </w:rPr>
      </w:pPr>
      <w:r w:rsidRPr="00A318EB">
        <w:rPr>
          <w:rFonts w:eastAsia="Times New Roman"/>
          <w:i/>
          <w:sz w:val="20"/>
          <w:szCs w:val="20"/>
        </w:rPr>
        <w:t xml:space="preserve">Lessons learned based on the experience and progress so far </w:t>
      </w:r>
    </w:p>
    <w:tbl>
      <w:tblPr>
        <w:tblStyle w:val="TableGrid"/>
        <w:tblW w:w="0" w:type="auto"/>
        <w:tblLook w:val="04A0" w:firstRow="1" w:lastRow="0" w:firstColumn="1" w:lastColumn="0" w:noHBand="0" w:noVBand="1"/>
      </w:tblPr>
      <w:tblGrid>
        <w:gridCol w:w="9016"/>
      </w:tblGrid>
      <w:tr w:rsidR="00AA0397" w:rsidRPr="00A318EB" w14:paraId="706B3941" w14:textId="77777777" w:rsidTr="00C837A0">
        <w:tc>
          <w:tcPr>
            <w:tcW w:w="9016" w:type="dxa"/>
          </w:tcPr>
          <w:p w14:paraId="0D2BC00C" w14:textId="72947A10" w:rsidR="00595949" w:rsidRPr="00B54B9F" w:rsidRDefault="00595949" w:rsidP="00233266">
            <w:pPr>
              <w:rPr>
                <w:rFonts w:asciiTheme="minorHAnsi" w:hAnsiTheme="minorHAnsi" w:cstheme="minorHAnsi"/>
                <w:szCs w:val="22"/>
              </w:rPr>
            </w:pPr>
            <w:proofErr w:type="gramStart"/>
            <w:r w:rsidRPr="00B54B9F">
              <w:rPr>
                <w:rFonts w:asciiTheme="minorHAnsi" w:hAnsiTheme="minorHAnsi" w:cstheme="minorHAnsi"/>
                <w:szCs w:val="22"/>
              </w:rPr>
              <w:t>A</w:t>
            </w:r>
            <w:r w:rsidRPr="00B54B9F">
              <w:rPr>
                <w:rFonts w:asciiTheme="minorHAnsi" w:hAnsiTheme="minorHAnsi" w:cstheme="minorHAnsi"/>
                <w:szCs w:val="22"/>
              </w:rPr>
              <w:t xml:space="preserve"> number of</w:t>
            </w:r>
            <w:proofErr w:type="gramEnd"/>
            <w:r w:rsidRPr="00B54B9F">
              <w:rPr>
                <w:rFonts w:asciiTheme="minorHAnsi" w:hAnsiTheme="minorHAnsi" w:cstheme="minorHAnsi"/>
                <w:szCs w:val="22"/>
              </w:rPr>
              <w:t xml:space="preserve"> important voluntary reporting initiatives exist - examples being the Carbon Disclosure Project (CDP) Global Reporting Initiative (GRI) and work via International Integrated Reporting Council</w:t>
            </w:r>
            <w:r w:rsidRPr="00B54B9F">
              <w:rPr>
                <w:rFonts w:asciiTheme="minorHAnsi" w:hAnsiTheme="minorHAnsi" w:cstheme="minorHAnsi"/>
                <w:szCs w:val="22"/>
              </w:rPr>
              <w:t>. S</w:t>
            </w:r>
            <w:r w:rsidRPr="00B54B9F">
              <w:rPr>
                <w:rFonts w:asciiTheme="minorHAnsi" w:hAnsiTheme="minorHAnsi" w:cstheme="minorHAnsi"/>
                <w:szCs w:val="22"/>
              </w:rPr>
              <w:t>tandards and guidance publications also exist from ISO, WRI, WBCSD amongst others</w:t>
            </w:r>
            <w:r w:rsidRPr="00B54B9F">
              <w:rPr>
                <w:rFonts w:asciiTheme="minorHAnsi" w:hAnsiTheme="minorHAnsi" w:cstheme="minorHAnsi"/>
                <w:szCs w:val="22"/>
              </w:rPr>
              <w:t>.</w:t>
            </w:r>
            <w:r w:rsidRPr="00B54B9F">
              <w:rPr>
                <w:rFonts w:asciiTheme="minorHAnsi" w:hAnsiTheme="minorHAnsi" w:cstheme="minorHAnsi"/>
                <w:szCs w:val="22"/>
              </w:rPr>
              <w:t xml:space="preserve"> Although differing reporting frameworks, standards and guidance are </w:t>
            </w:r>
            <w:r w:rsidR="00B54B9F" w:rsidRPr="00B54B9F">
              <w:rPr>
                <w:rFonts w:asciiTheme="minorHAnsi" w:hAnsiTheme="minorHAnsi" w:cstheme="minorHAnsi"/>
                <w:szCs w:val="22"/>
              </w:rPr>
              <w:t xml:space="preserve">valuable, </w:t>
            </w:r>
            <w:r w:rsidRPr="00B54B9F">
              <w:rPr>
                <w:rFonts w:asciiTheme="minorHAnsi" w:hAnsiTheme="minorHAnsi" w:cstheme="minorHAnsi"/>
                <w:szCs w:val="22"/>
              </w:rPr>
              <w:t xml:space="preserve">a need exists for consistency in terminology (between approaches) and for avoiding duplication </w:t>
            </w:r>
            <w:r w:rsidR="00B54B9F" w:rsidRPr="00B54B9F">
              <w:rPr>
                <w:rFonts w:asciiTheme="minorHAnsi" w:hAnsiTheme="minorHAnsi" w:cstheme="minorHAnsi"/>
                <w:szCs w:val="22"/>
              </w:rPr>
              <w:t xml:space="preserve">/ </w:t>
            </w:r>
            <w:r w:rsidRPr="00B54B9F">
              <w:rPr>
                <w:rFonts w:asciiTheme="minorHAnsi" w:hAnsiTheme="minorHAnsi" w:cstheme="minorHAnsi"/>
                <w:szCs w:val="22"/>
              </w:rPr>
              <w:t xml:space="preserve">discrepancy. </w:t>
            </w:r>
          </w:p>
          <w:p w14:paraId="7A33E89C" w14:textId="77777777" w:rsidR="00595949" w:rsidRPr="00B54B9F" w:rsidRDefault="00595949" w:rsidP="00233266">
            <w:pPr>
              <w:rPr>
                <w:rFonts w:asciiTheme="minorHAnsi" w:hAnsiTheme="minorHAnsi" w:cstheme="minorHAnsi"/>
                <w:szCs w:val="22"/>
              </w:rPr>
            </w:pPr>
          </w:p>
          <w:p w14:paraId="291F6BF1" w14:textId="6E88C0E3" w:rsidR="00595949" w:rsidRPr="00B54B9F" w:rsidRDefault="00595949" w:rsidP="00233266">
            <w:pPr>
              <w:rPr>
                <w:rFonts w:asciiTheme="minorHAnsi" w:hAnsiTheme="minorHAnsi" w:cstheme="minorHAnsi"/>
                <w:szCs w:val="22"/>
              </w:rPr>
            </w:pPr>
            <w:r w:rsidRPr="00B54B9F">
              <w:rPr>
                <w:rFonts w:asciiTheme="minorHAnsi" w:hAnsiTheme="minorHAnsi" w:cstheme="minorHAnsi"/>
                <w:szCs w:val="22"/>
              </w:rPr>
              <w:t>A concern exists around difficulties in getting accurate and reliable emission factors in some countries and regions internationally</w:t>
            </w:r>
            <w:r w:rsidRPr="00B54B9F">
              <w:rPr>
                <w:rFonts w:asciiTheme="minorHAnsi" w:hAnsiTheme="minorHAnsi" w:cstheme="minorHAnsi"/>
                <w:szCs w:val="22"/>
              </w:rPr>
              <w:t xml:space="preserve">. Providing reliable and (ideally) freely available emission factors </w:t>
            </w:r>
            <w:r w:rsidR="00CD2072">
              <w:rPr>
                <w:rFonts w:asciiTheme="minorHAnsi" w:hAnsiTheme="minorHAnsi" w:cstheme="minorHAnsi"/>
                <w:szCs w:val="22"/>
              </w:rPr>
              <w:t>c</w:t>
            </w:r>
            <w:r w:rsidRPr="00B54B9F">
              <w:rPr>
                <w:rFonts w:asciiTheme="minorHAnsi" w:hAnsiTheme="minorHAnsi" w:cstheme="minorHAnsi"/>
                <w:szCs w:val="22"/>
              </w:rPr>
              <w:t xml:space="preserve">ould be significant </w:t>
            </w:r>
            <w:r w:rsidR="00CD2072">
              <w:rPr>
                <w:rFonts w:asciiTheme="minorHAnsi" w:hAnsiTheme="minorHAnsi" w:cstheme="minorHAnsi"/>
                <w:szCs w:val="22"/>
              </w:rPr>
              <w:t xml:space="preserve">in supporting </w:t>
            </w:r>
            <w:r w:rsidRPr="00B54B9F">
              <w:rPr>
                <w:rFonts w:asciiTheme="minorHAnsi" w:hAnsiTheme="minorHAnsi" w:cstheme="minorHAnsi"/>
                <w:szCs w:val="22"/>
              </w:rPr>
              <w:t>effective GHG accounting and management</w:t>
            </w:r>
          </w:p>
          <w:p w14:paraId="1161CA31" w14:textId="77777777" w:rsidR="00595949" w:rsidRPr="00B54B9F" w:rsidRDefault="00595949" w:rsidP="00233266">
            <w:pPr>
              <w:rPr>
                <w:rFonts w:asciiTheme="minorHAnsi" w:hAnsiTheme="minorHAnsi" w:cstheme="minorHAnsi"/>
                <w:szCs w:val="22"/>
              </w:rPr>
            </w:pPr>
          </w:p>
          <w:p w14:paraId="7FE4627A" w14:textId="10D327B2" w:rsidR="00595949" w:rsidRDefault="00595949" w:rsidP="00233266">
            <w:pPr>
              <w:rPr>
                <w:rFonts w:asciiTheme="minorHAnsi" w:hAnsiTheme="minorHAnsi" w:cstheme="minorHAnsi"/>
                <w:szCs w:val="22"/>
              </w:rPr>
            </w:pPr>
            <w:r w:rsidRPr="00B54B9F">
              <w:rPr>
                <w:rFonts w:asciiTheme="minorHAnsi" w:hAnsiTheme="minorHAnsi" w:cstheme="minorHAnsi"/>
                <w:szCs w:val="22"/>
              </w:rPr>
              <w:t>A skills gap exists and there is scope for greater capacity building around energy management, GHG accounting and Climate Change Adaptation.</w:t>
            </w:r>
          </w:p>
          <w:p w14:paraId="24314D13" w14:textId="1266A3BA" w:rsidR="00B54B9F" w:rsidRDefault="00B54B9F" w:rsidP="00233266">
            <w:pPr>
              <w:rPr>
                <w:rFonts w:asciiTheme="minorHAnsi" w:hAnsiTheme="minorHAnsi" w:cstheme="minorHAnsi"/>
                <w:szCs w:val="22"/>
              </w:rPr>
            </w:pPr>
          </w:p>
          <w:p w14:paraId="56C5F255" w14:textId="3A687574" w:rsidR="00B54B9F" w:rsidRPr="00B54B9F" w:rsidRDefault="00B54B9F" w:rsidP="00B54B9F">
            <w:pPr>
              <w:rPr>
                <w:rFonts w:asciiTheme="minorHAnsi" w:hAnsiTheme="minorHAnsi" w:cstheme="minorHAnsi"/>
                <w:i/>
                <w:szCs w:val="22"/>
              </w:rPr>
            </w:pPr>
            <w:r w:rsidRPr="00B54B9F">
              <w:rPr>
                <w:rFonts w:asciiTheme="minorHAnsi" w:hAnsiTheme="minorHAnsi" w:cstheme="minorHAnsi"/>
                <w:szCs w:val="22"/>
              </w:rPr>
              <w:t>In 2009 IEMA developed a GHG management hierarchy approach as a framework to scope and address energy and carbon reduction (</w:t>
            </w:r>
            <w:r w:rsidR="00CD2072">
              <w:rPr>
                <w:rFonts w:asciiTheme="minorHAnsi" w:hAnsiTheme="minorHAnsi" w:cstheme="minorHAnsi"/>
                <w:szCs w:val="22"/>
              </w:rPr>
              <w:t xml:space="preserve">ref </w:t>
            </w:r>
            <w:r w:rsidRPr="00B54B9F">
              <w:rPr>
                <w:rFonts w:asciiTheme="minorHAnsi" w:hAnsiTheme="minorHAnsi" w:cstheme="minorHAnsi"/>
                <w:szCs w:val="22"/>
              </w:rPr>
              <w:t xml:space="preserve">two diagrams in IEMA </w:t>
            </w:r>
            <w:hyperlink r:id="rId10" w:history="1">
              <w:r w:rsidRPr="00B54B9F">
                <w:rPr>
                  <w:rStyle w:val="Hyperlink"/>
                  <w:rFonts w:asciiTheme="minorHAnsi" w:hAnsiTheme="minorHAnsi" w:cstheme="minorHAnsi"/>
                  <w:szCs w:val="22"/>
                </w:rPr>
                <w:t>Position Statement</w:t>
              </w:r>
            </w:hyperlink>
            <w:r w:rsidRPr="00B54B9F">
              <w:rPr>
                <w:rFonts w:asciiTheme="minorHAnsi" w:hAnsiTheme="minorHAnsi" w:cstheme="minorHAnsi"/>
                <w:szCs w:val="22"/>
              </w:rPr>
              <w:t xml:space="preserve">) . Working </w:t>
            </w:r>
            <w:r w:rsidRPr="00B54B9F">
              <w:rPr>
                <w:rFonts w:asciiTheme="minorHAnsi" w:hAnsiTheme="minorHAnsi" w:cstheme="minorHAnsi"/>
                <w:szCs w:val="22"/>
              </w:rPr>
              <w:lastRenderedPageBreak/>
              <w:t xml:space="preserve">through the hierarchy, priority is placed on ‘at source’ GHG avoidance, followed by energy reduction and then supported by substitution measures such as on site renewable energy. After reviewing these opportunities, compensation measures are considered (offsetting). This approach can be useful in informing more effective decisions within mainstream business approaches. It does not limit measures such as offsetting (this is still important). The approach instead places offsetting in a framework, avoiding over-simplistic ‘equivalence’ and advocating use of offsetting within a strategic approach. </w:t>
            </w:r>
          </w:p>
          <w:p w14:paraId="26058E50" w14:textId="3E314FC1" w:rsidR="00595949" w:rsidRPr="00B54B9F" w:rsidRDefault="00595949" w:rsidP="00233266">
            <w:pPr>
              <w:rPr>
                <w:rFonts w:asciiTheme="minorHAnsi" w:hAnsiTheme="minorHAnsi" w:cstheme="minorHAnsi"/>
                <w:szCs w:val="22"/>
              </w:rPr>
            </w:pPr>
          </w:p>
          <w:p w14:paraId="3BB5D7EF" w14:textId="7C015631" w:rsidR="00595949" w:rsidRDefault="00595949" w:rsidP="00233266">
            <w:pPr>
              <w:rPr>
                <w:i/>
                <w:sz w:val="20"/>
              </w:rPr>
            </w:pPr>
            <w:r w:rsidRPr="00B54B9F">
              <w:rPr>
                <w:rFonts w:asciiTheme="minorHAnsi" w:hAnsiTheme="minorHAnsi" w:cstheme="minorHAnsi"/>
                <w:szCs w:val="22"/>
              </w:rPr>
              <w:t xml:space="preserve">Transparent </w:t>
            </w:r>
            <w:bookmarkStart w:id="0" w:name="_GoBack"/>
            <w:bookmarkEnd w:id="0"/>
            <w:r w:rsidRPr="00B54B9F">
              <w:rPr>
                <w:rFonts w:asciiTheme="minorHAnsi" w:hAnsiTheme="minorHAnsi" w:cstheme="minorHAnsi"/>
                <w:szCs w:val="22"/>
              </w:rPr>
              <w:t>and credible ‘green claims’ need scrutiny and vigilance</w:t>
            </w:r>
          </w:p>
          <w:p w14:paraId="6438C1AF" w14:textId="404DB31C" w:rsidR="00233266" w:rsidRPr="00233266" w:rsidRDefault="00233266" w:rsidP="00233266">
            <w:pPr>
              <w:rPr>
                <w:i/>
                <w:sz w:val="20"/>
              </w:rPr>
            </w:pPr>
          </w:p>
        </w:tc>
      </w:tr>
    </w:tbl>
    <w:p w14:paraId="5C8054EB" w14:textId="77777777" w:rsidR="00AA0397" w:rsidRDefault="00AA0397" w:rsidP="00AA0397">
      <w:pPr>
        <w:rPr>
          <w:rFonts w:asciiTheme="minorHAnsi" w:hAnsiTheme="minorHAnsi"/>
          <w:i/>
          <w:sz w:val="20"/>
        </w:rPr>
      </w:pPr>
    </w:p>
    <w:sectPr w:rsidR="00AA039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5344" w14:textId="77777777" w:rsidR="001B047D" w:rsidRDefault="001B047D" w:rsidP="003C7A74">
      <w:pPr>
        <w:spacing w:line="240" w:lineRule="auto"/>
      </w:pPr>
      <w:r>
        <w:separator/>
      </w:r>
    </w:p>
  </w:endnote>
  <w:endnote w:type="continuationSeparator" w:id="0">
    <w:p w14:paraId="7A623E49" w14:textId="77777777" w:rsidR="001B047D" w:rsidRDefault="001B047D" w:rsidP="003C7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4523" w14:textId="77777777" w:rsidR="003C7A74" w:rsidRDefault="003C7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13FC" w14:textId="77777777" w:rsidR="003C7A74" w:rsidRDefault="003C7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CD30" w14:textId="77777777" w:rsidR="003C7A74" w:rsidRDefault="003C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0E4F4" w14:textId="77777777" w:rsidR="001B047D" w:rsidRDefault="001B047D" w:rsidP="003C7A74">
      <w:pPr>
        <w:spacing w:line="240" w:lineRule="auto"/>
      </w:pPr>
      <w:r>
        <w:separator/>
      </w:r>
    </w:p>
  </w:footnote>
  <w:footnote w:type="continuationSeparator" w:id="0">
    <w:p w14:paraId="1E571623" w14:textId="77777777" w:rsidR="001B047D" w:rsidRDefault="001B047D" w:rsidP="003C7A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D9F3" w14:textId="77777777" w:rsidR="003C7A74" w:rsidRDefault="003C7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D6A0" w14:textId="77777777" w:rsidR="003C7A74" w:rsidRPr="003C7A74" w:rsidRDefault="003C7A74" w:rsidP="003C7A74">
    <w:pPr>
      <w:widowControl w:val="0"/>
      <w:tabs>
        <w:tab w:val="clear" w:pos="709"/>
        <w:tab w:val="clear" w:pos="5245"/>
        <w:tab w:val="center" w:pos="4680"/>
        <w:tab w:val="right" w:pos="9360"/>
      </w:tabs>
      <w:spacing w:line="240" w:lineRule="auto"/>
    </w:pPr>
    <w:r w:rsidRPr="003C7A74">
      <w:rPr>
        <w:noProof/>
        <w:lang w:val="en-US"/>
      </w:rPr>
      <w:drawing>
        <wp:anchor distT="0" distB="0" distL="114300" distR="114300" simplePos="0" relativeHeight="251659264" behindDoc="0" locked="0" layoutInCell="1" allowOverlap="1" wp14:anchorId="2C20BC7A" wp14:editId="7EEB5F8B">
          <wp:simplePos x="0" y="0"/>
          <wp:positionH relativeFrom="margin">
            <wp:posOffset>-201416</wp:posOffset>
          </wp:positionH>
          <wp:positionV relativeFrom="topMargin">
            <wp:align>bottom</wp:align>
          </wp:positionV>
          <wp:extent cx="929640" cy="7524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9640" cy="752475"/>
                  </a:xfrm>
                  <a:prstGeom prst="rect">
                    <a:avLst/>
                  </a:prstGeom>
                </pic:spPr>
              </pic:pic>
            </a:graphicData>
          </a:graphic>
          <wp14:sizeRelH relativeFrom="margin">
            <wp14:pctWidth>0</wp14:pctWidth>
          </wp14:sizeRelH>
          <wp14:sizeRelV relativeFrom="margin">
            <wp14:pctHeight>0</wp14:pctHeight>
          </wp14:sizeRelV>
        </wp:anchor>
      </w:drawing>
    </w:r>
    <w:r w:rsidRPr="003C7A74">
      <w:rPr>
        <w:noProof/>
        <w:lang w:val="en-US"/>
      </w:rPr>
      <w:drawing>
        <wp:anchor distT="0" distB="0" distL="114300" distR="114300" simplePos="0" relativeHeight="251660288" behindDoc="0" locked="0" layoutInCell="1" allowOverlap="1" wp14:anchorId="26BD65C9" wp14:editId="4AF6A776">
          <wp:simplePos x="0" y="0"/>
          <wp:positionH relativeFrom="margin">
            <wp:posOffset>3152140</wp:posOffset>
          </wp:positionH>
          <wp:positionV relativeFrom="paragraph">
            <wp:posOffset>-697534</wp:posOffset>
          </wp:positionV>
          <wp:extent cx="2762250" cy="8616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62250" cy="861695"/>
                  </a:xfrm>
                  <a:prstGeom prst="rect">
                    <a:avLst/>
                  </a:prstGeom>
                </pic:spPr>
              </pic:pic>
            </a:graphicData>
          </a:graphic>
        </wp:anchor>
      </w:drawing>
    </w:r>
  </w:p>
  <w:p w14:paraId="470391BD" w14:textId="77777777" w:rsidR="003C7A74" w:rsidRDefault="003C7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594F" w14:textId="77777777" w:rsidR="003C7A74" w:rsidRDefault="003C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2E65"/>
    <w:multiLevelType w:val="hybridMultilevel"/>
    <w:tmpl w:val="BE208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BB2EE7"/>
    <w:multiLevelType w:val="hybridMultilevel"/>
    <w:tmpl w:val="BD54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30F3F"/>
    <w:multiLevelType w:val="hybridMultilevel"/>
    <w:tmpl w:val="C034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74"/>
    <w:rsid w:val="000502BD"/>
    <w:rsid w:val="00064D1F"/>
    <w:rsid w:val="000E689E"/>
    <w:rsid w:val="001B047D"/>
    <w:rsid w:val="00233266"/>
    <w:rsid w:val="0029239D"/>
    <w:rsid w:val="002D30A9"/>
    <w:rsid w:val="003C7A74"/>
    <w:rsid w:val="00537D93"/>
    <w:rsid w:val="00546CDB"/>
    <w:rsid w:val="00595949"/>
    <w:rsid w:val="005C4BDC"/>
    <w:rsid w:val="006F5097"/>
    <w:rsid w:val="0075354A"/>
    <w:rsid w:val="00775338"/>
    <w:rsid w:val="007F4AB8"/>
    <w:rsid w:val="00A00E93"/>
    <w:rsid w:val="00A1656C"/>
    <w:rsid w:val="00A861A7"/>
    <w:rsid w:val="00AA0397"/>
    <w:rsid w:val="00AB5DD8"/>
    <w:rsid w:val="00AB79E2"/>
    <w:rsid w:val="00B54B9F"/>
    <w:rsid w:val="00B80C08"/>
    <w:rsid w:val="00C43455"/>
    <w:rsid w:val="00CB59CB"/>
    <w:rsid w:val="00CD2072"/>
    <w:rsid w:val="00D412C4"/>
    <w:rsid w:val="00D50149"/>
    <w:rsid w:val="00E8293B"/>
    <w:rsid w:val="00EA21EB"/>
    <w:rsid w:val="00F506A2"/>
    <w:rsid w:val="00F637B4"/>
    <w:rsid w:val="00FB55DF"/>
    <w:rsid w:val="00FD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1A1C"/>
  <w15:docId w15:val="{AAA57BD2-F3AF-40F5-B99D-5F189300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A74"/>
    <w:pPr>
      <w:tabs>
        <w:tab w:val="left" w:pos="709"/>
        <w:tab w:val="left" w:pos="5245"/>
      </w:tabs>
      <w:spacing w:line="284"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3C7A74"/>
    <w:pPr>
      <w:spacing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7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A74"/>
    <w:pPr>
      <w:tabs>
        <w:tab w:val="clear" w:pos="709"/>
        <w:tab w:val="clear" w:pos="5245"/>
        <w:tab w:val="center" w:pos="4513"/>
        <w:tab w:val="right" w:pos="9026"/>
      </w:tabs>
      <w:spacing w:line="240" w:lineRule="auto"/>
    </w:pPr>
  </w:style>
  <w:style w:type="character" w:customStyle="1" w:styleId="HeaderChar">
    <w:name w:val="Header Char"/>
    <w:basedOn w:val="DefaultParagraphFont"/>
    <w:link w:val="Header"/>
    <w:uiPriority w:val="99"/>
    <w:rsid w:val="003C7A74"/>
    <w:rPr>
      <w:rFonts w:ascii="Times New Roman" w:eastAsia="Times New Roman" w:hAnsi="Times New Roman" w:cs="Times New Roman"/>
      <w:szCs w:val="20"/>
    </w:rPr>
  </w:style>
  <w:style w:type="paragraph" w:styleId="Footer">
    <w:name w:val="footer"/>
    <w:basedOn w:val="Normal"/>
    <w:link w:val="FooterChar"/>
    <w:uiPriority w:val="99"/>
    <w:unhideWhenUsed/>
    <w:rsid w:val="003C7A74"/>
    <w:pPr>
      <w:tabs>
        <w:tab w:val="clear" w:pos="709"/>
        <w:tab w:val="clear" w:pos="5245"/>
        <w:tab w:val="center" w:pos="4513"/>
        <w:tab w:val="right" w:pos="9026"/>
      </w:tabs>
      <w:spacing w:line="240" w:lineRule="auto"/>
    </w:pPr>
  </w:style>
  <w:style w:type="character" w:customStyle="1" w:styleId="FooterChar">
    <w:name w:val="Footer Char"/>
    <w:basedOn w:val="DefaultParagraphFont"/>
    <w:link w:val="Footer"/>
    <w:uiPriority w:val="99"/>
    <w:rsid w:val="003C7A74"/>
    <w:rPr>
      <w:rFonts w:ascii="Times New Roman" w:eastAsia="Times New Roman" w:hAnsi="Times New Roman" w:cs="Times New Roman"/>
      <w:szCs w:val="20"/>
    </w:rPr>
  </w:style>
  <w:style w:type="character" w:styleId="Hyperlink">
    <w:name w:val="Hyperlink"/>
    <w:basedOn w:val="DefaultParagraphFont"/>
    <w:uiPriority w:val="99"/>
    <w:unhideWhenUsed/>
    <w:rsid w:val="005C4BDC"/>
    <w:rPr>
      <w:color w:val="0000FF" w:themeColor="hyperlink"/>
      <w:u w:val="single"/>
    </w:rPr>
  </w:style>
  <w:style w:type="paragraph" w:styleId="ListParagraph">
    <w:name w:val="List Paragraph"/>
    <w:basedOn w:val="Normal"/>
    <w:uiPriority w:val="34"/>
    <w:qFormat/>
    <w:rsid w:val="00F506A2"/>
    <w:pPr>
      <w:tabs>
        <w:tab w:val="clear" w:pos="709"/>
        <w:tab w:val="clear" w:pos="5245"/>
      </w:tabs>
      <w:spacing w:after="160" w:line="259" w:lineRule="auto"/>
      <w:ind w:left="720"/>
      <w:contextualSpacing/>
    </w:pPr>
    <w:rPr>
      <w:rFonts w:asciiTheme="minorHAnsi" w:eastAsiaTheme="minorHAnsi" w:hAnsiTheme="minorHAnsi" w:cstheme="minorBidi"/>
      <w:szCs w:val="22"/>
      <w:lang w:val="en-IE"/>
    </w:rPr>
  </w:style>
  <w:style w:type="character" w:styleId="UnresolvedMention">
    <w:name w:val="Unresolved Mention"/>
    <w:basedOn w:val="DefaultParagraphFont"/>
    <w:uiPriority w:val="99"/>
    <w:semiHidden/>
    <w:unhideWhenUsed/>
    <w:rsid w:val="00FD5082"/>
    <w:rPr>
      <w:color w:val="808080"/>
      <w:shd w:val="clear" w:color="auto" w:fill="E6E6E6"/>
    </w:rPr>
  </w:style>
  <w:style w:type="paragraph" w:customStyle="1" w:styleId="Default">
    <w:name w:val="Default"/>
    <w:rsid w:val="00A861A7"/>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ma.net/event-reports/2017/12/04/iemas-leading-the-way-conference-2017-transformational-change-and-climate-ac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ma.net/assets/uploads/position_statement_climate_change_and_energy_v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ema.net/assets/uploads/position_statement_climate_change_and_energy_v4.pdf" TargetMode="External"/><Relationship Id="rId4" Type="http://schemas.openxmlformats.org/officeDocument/2006/relationships/webSettings" Target="webSettings.xml"/><Relationship Id="rId9" Type="http://schemas.openxmlformats.org/officeDocument/2006/relationships/hyperlink" Target="https://www.iema.net/cms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Islamic Relief Worldwide</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Williams</dc:creator>
  <cp:lastModifiedBy>Nick Blyth</cp:lastModifiedBy>
  <cp:revision>2</cp:revision>
  <dcterms:created xsi:type="dcterms:W3CDTF">2018-04-03T03:28:00Z</dcterms:created>
  <dcterms:modified xsi:type="dcterms:W3CDTF">2018-04-03T03:28:00Z</dcterms:modified>
</cp:coreProperties>
</file>