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E4BE9" w14:textId="77777777" w:rsidR="001D66AE" w:rsidRPr="00A318EB" w:rsidRDefault="001D66AE" w:rsidP="001D66AE">
      <w:pPr>
        <w:pStyle w:val="NormalWeb"/>
        <w:spacing w:before="0" w:beforeAutospacing="0" w:after="0" w:afterAutospacing="0" w:line="292" w:lineRule="atLeast"/>
        <w:rPr>
          <w:rFonts w:asciiTheme="minorHAnsi" w:hAnsiTheme="minorHAnsi"/>
          <w:sz w:val="22"/>
          <w:szCs w:val="22"/>
          <w:lang w:val="en-GB"/>
        </w:rPr>
      </w:pPr>
      <w:bookmarkStart w:id="0" w:name="_GoBack"/>
      <w:bookmarkEnd w:id="0"/>
    </w:p>
    <w:p w14:paraId="4ED1F78E" w14:textId="2DBB6192" w:rsidR="00743658" w:rsidRDefault="00743658" w:rsidP="00FF1518">
      <w:pPr>
        <w:ind w:left="-720" w:right="-720"/>
        <w:jc w:val="center"/>
        <w:rPr>
          <w:rFonts w:asciiTheme="minorHAnsi" w:hAnsiTheme="minorHAnsi"/>
          <w:b/>
          <w:sz w:val="32"/>
          <w:szCs w:val="32"/>
        </w:rPr>
      </w:pPr>
      <w:r>
        <w:rPr>
          <w:rFonts w:asciiTheme="minorHAnsi" w:hAnsiTheme="minorHAnsi"/>
          <w:b/>
          <w:sz w:val="32"/>
          <w:szCs w:val="32"/>
        </w:rPr>
        <w:t>Non-Party Stakeholders’ I</w:t>
      </w:r>
      <w:r w:rsidR="001D66AE" w:rsidRPr="00A318EB">
        <w:rPr>
          <w:rFonts w:asciiTheme="minorHAnsi" w:hAnsiTheme="minorHAnsi"/>
          <w:b/>
          <w:sz w:val="32"/>
          <w:szCs w:val="32"/>
        </w:rPr>
        <w:t>nputs for the Talanoa Dialogue</w:t>
      </w:r>
    </w:p>
    <w:p w14:paraId="3988026F" w14:textId="6739C28D" w:rsidR="001D66AE" w:rsidRDefault="00743658" w:rsidP="00FF1518">
      <w:pPr>
        <w:ind w:left="-720" w:right="-720"/>
        <w:jc w:val="center"/>
        <w:rPr>
          <w:rFonts w:asciiTheme="minorHAnsi" w:hAnsiTheme="minorHAnsi"/>
          <w:b/>
          <w:sz w:val="32"/>
          <w:szCs w:val="32"/>
        </w:rPr>
      </w:pPr>
      <w:r>
        <w:rPr>
          <w:rFonts w:asciiTheme="minorHAnsi" w:hAnsiTheme="minorHAnsi"/>
          <w:b/>
          <w:sz w:val="32"/>
          <w:szCs w:val="32"/>
        </w:rPr>
        <w:t>Jupiter Oxygen Corporation</w:t>
      </w:r>
      <w:r w:rsidR="0081449E">
        <w:rPr>
          <w:rFonts w:asciiTheme="minorHAnsi" w:hAnsiTheme="minorHAnsi"/>
          <w:b/>
          <w:sz w:val="32"/>
          <w:szCs w:val="32"/>
        </w:rPr>
        <w:t xml:space="preserve">, </w:t>
      </w:r>
      <w:r>
        <w:rPr>
          <w:rFonts w:asciiTheme="minorHAnsi" w:hAnsiTheme="minorHAnsi"/>
          <w:b/>
          <w:sz w:val="32"/>
          <w:szCs w:val="32"/>
        </w:rPr>
        <w:t>U.S.A.</w:t>
      </w:r>
      <w:r w:rsidR="0081449E">
        <w:rPr>
          <w:rFonts w:asciiTheme="minorHAnsi" w:hAnsiTheme="minorHAnsi"/>
          <w:b/>
          <w:sz w:val="32"/>
          <w:szCs w:val="32"/>
        </w:rPr>
        <w:t xml:space="preserve"> Submission</w:t>
      </w:r>
    </w:p>
    <w:p w14:paraId="3E0A79D5" w14:textId="77777777" w:rsidR="00D21D40" w:rsidRDefault="00D21D40" w:rsidP="001D66AE">
      <w:pPr>
        <w:rPr>
          <w:rFonts w:asciiTheme="minorHAnsi" w:hAnsiTheme="minorHAnsi"/>
          <w:b/>
          <w:sz w:val="24"/>
          <w:szCs w:val="24"/>
        </w:rPr>
      </w:pPr>
    </w:p>
    <w:p w14:paraId="2EF97FF2" w14:textId="3D798C4E" w:rsidR="001D66AE" w:rsidRPr="00D21D40" w:rsidRDefault="001D66AE" w:rsidP="00D21D40">
      <w:pPr>
        <w:pStyle w:val="ListParagraph"/>
        <w:numPr>
          <w:ilvl w:val="0"/>
          <w:numId w:val="8"/>
        </w:numPr>
        <w:rPr>
          <w:b/>
          <w:sz w:val="24"/>
          <w:szCs w:val="24"/>
        </w:rPr>
      </w:pPr>
      <w:r w:rsidRPr="00D21D40">
        <w:rPr>
          <w:b/>
          <w:sz w:val="24"/>
          <w:szCs w:val="24"/>
        </w:rPr>
        <w:t xml:space="preserve">Where are we? </w:t>
      </w:r>
    </w:p>
    <w:p w14:paraId="34AE415B" w14:textId="721018D0" w:rsidR="001D66AE" w:rsidRPr="00A318EB" w:rsidRDefault="001D66AE" w:rsidP="001D66AE">
      <w:pPr>
        <w:rPr>
          <w:rFonts w:asciiTheme="minorHAnsi" w:hAnsiTheme="minorHAnsi"/>
          <w:i/>
          <w:sz w:val="20"/>
        </w:rPr>
      </w:pPr>
      <w:r w:rsidRPr="00A318EB">
        <w:rPr>
          <w:rFonts w:asciiTheme="minorHAnsi" w:hAnsiTheme="minorHAnsi"/>
          <w:i/>
          <w:sz w:val="20"/>
        </w:rPr>
        <w:t>The commitment</w:t>
      </w:r>
      <w:r>
        <w:rPr>
          <w:rFonts w:asciiTheme="minorHAnsi" w:hAnsiTheme="minorHAnsi"/>
          <w:i/>
          <w:sz w:val="20"/>
        </w:rPr>
        <w:t xml:space="preserve"> </w:t>
      </w:r>
      <w:r w:rsidR="0066071D">
        <w:rPr>
          <w:rFonts w:asciiTheme="minorHAnsi" w:hAnsiTheme="minorHAnsi"/>
          <w:i/>
          <w:sz w:val="20"/>
        </w:rPr>
        <w:t>(planned and/or announced) as well as</w:t>
      </w:r>
      <w:r w:rsidRPr="00A318EB">
        <w:rPr>
          <w:rFonts w:asciiTheme="minorHAnsi" w:hAnsiTheme="minorHAnsi"/>
          <w:i/>
          <w:sz w:val="20"/>
        </w:rPr>
        <w:t xml:space="preserve"> the actions taken so far that are in line with aims of Paris Agreement</w:t>
      </w:r>
      <w:r w:rsidR="004D526B">
        <w:rPr>
          <w:rFonts w:asciiTheme="minorHAnsi" w:hAnsiTheme="minorHAnsi"/>
          <w:i/>
          <w:sz w:val="20"/>
        </w:rPr>
        <w:t>,</w:t>
      </w:r>
      <w:r w:rsidRPr="00A318EB">
        <w:rPr>
          <w:rFonts w:asciiTheme="minorHAnsi" w:hAnsiTheme="minorHAnsi"/>
          <w:i/>
          <w:sz w:val="20"/>
        </w:rPr>
        <w:t xml:space="preserve"> the 1.5/2 degrees’ goal</w:t>
      </w:r>
      <w:r w:rsidR="004D526B">
        <w:rPr>
          <w:rFonts w:asciiTheme="minorHAnsi" w:hAnsiTheme="minorHAnsi"/>
          <w:i/>
          <w:sz w:val="20"/>
        </w:rPr>
        <w:t xml:space="preserve"> and the transition towards a net-zero emission society by this mid-century</w:t>
      </w:r>
      <w:r w:rsidR="00593FA2">
        <w:rPr>
          <w:rFonts w:asciiTheme="minorHAnsi" w:hAnsiTheme="minorHAnsi"/>
          <w:i/>
          <w:sz w:val="20"/>
        </w:rPr>
        <w:t xml:space="preserve"> </w:t>
      </w:r>
    </w:p>
    <w:tbl>
      <w:tblPr>
        <w:tblStyle w:val="TableGrid"/>
        <w:tblW w:w="0" w:type="auto"/>
        <w:tblLook w:val="04A0" w:firstRow="1" w:lastRow="0" w:firstColumn="1" w:lastColumn="0" w:noHBand="0" w:noVBand="1"/>
      </w:tblPr>
      <w:tblGrid>
        <w:gridCol w:w="9016"/>
      </w:tblGrid>
      <w:tr w:rsidR="001D66AE" w:rsidRPr="00A318EB" w14:paraId="044B8E38" w14:textId="77777777" w:rsidTr="00614DCB">
        <w:tc>
          <w:tcPr>
            <w:tcW w:w="9016" w:type="dxa"/>
          </w:tcPr>
          <w:p w14:paraId="4F5AE06F" w14:textId="4733C35C"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The International Energy Agency (IEA) has determined that carbon capture and storage (CCS) is vital for reducing emissions across the energy system and for achieving the 2</w:t>
            </w:r>
            <w:r w:rsidRPr="00FF1518">
              <w:rPr>
                <w:rFonts w:asciiTheme="minorHAnsi" w:hAnsiTheme="minorHAnsi" w:cstheme="minorHAnsi"/>
                <w:sz w:val="20"/>
                <w:vertAlign w:val="superscript"/>
              </w:rPr>
              <w:t>o</w:t>
            </w:r>
            <w:r w:rsidRPr="00FF1518">
              <w:rPr>
                <w:rFonts w:asciiTheme="minorHAnsi" w:hAnsiTheme="minorHAnsi" w:cstheme="minorHAnsi"/>
                <w:sz w:val="20"/>
              </w:rPr>
              <w:t xml:space="preserve"> C target of the Paris Agreement. Indeed, the International Energy Agency concluded in 2016, “There is no other energy solution that can significantly reduce emissions from the coal and gas power generation capacity that will remain a feature of the electricity mix for the foreseeable future.</w:t>
            </w:r>
            <w:r w:rsidR="00DC446B">
              <w:rPr>
                <w:rFonts w:asciiTheme="minorHAnsi" w:hAnsiTheme="minorHAnsi" w:cstheme="minorHAnsi"/>
                <w:sz w:val="20"/>
              </w:rPr>
              <w:t>”</w:t>
            </w:r>
            <w:r w:rsidRPr="00FF1518" w:rsidDel="001B2636">
              <w:rPr>
                <w:rFonts w:asciiTheme="minorHAnsi" w:hAnsiTheme="minorHAnsi" w:cstheme="minorHAnsi"/>
                <w:sz w:val="20"/>
              </w:rPr>
              <w:t xml:space="preserve"> </w:t>
            </w:r>
            <w:r w:rsidRPr="00FF1518">
              <w:rPr>
                <w:rFonts w:asciiTheme="minorHAnsi" w:hAnsiTheme="minorHAnsi" w:cstheme="minorHAnsi"/>
                <w:sz w:val="20"/>
              </w:rPr>
              <w:t>IEA further argues that the potential for CCS to generate negative emissions -- when coupled with renewable energy technologies (such as bioenergy) -- is integral to energy use becoming CO</w:t>
            </w:r>
            <w:r w:rsidRPr="00FF1518">
              <w:rPr>
                <w:rFonts w:asciiTheme="minorHAnsi" w:hAnsiTheme="minorHAnsi" w:cstheme="minorHAnsi"/>
                <w:sz w:val="20"/>
                <w:vertAlign w:val="subscript"/>
              </w:rPr>
              <w:t>2</w:t>
            </w:r>
            <w:r w:rsidRPr="00FF1518">
              <w:rPr>
                <w:rFonts w:asciiTheme="minorHAnsi" w:hAnsiTheme="minorHAnsi" w:cstheme="minorHAnsi"/>
                <w:sz w:val="20"/>
              </w:rPr>
              <w:t> emissions‐neutral by 2060. (Accessed at https://www.iea.org/topics/carbon-capture-and-storage/).</w:t>
            </w:r>
          </w:p>
          <w:p w14:paraId="6C60F3C3" w14:textId="6DEBF341"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 xml:space="preserve">A broad, growing consensus has emerged in parallel in the scientific and environmental community.  For example, Alan Miller, writing in the </w:t>
            </w:r>
            <w:proofErr w:type="spellStart"/>
            <w:r w:rsidRPr="00FF1518">
              <w:rPr>
                <w:rFonts w:asciiTheme="minorHAnsi" w:hAnsiTheme="minorHAnsi" w:cstheme="minorHAnsi"/>
                <w:i/>
                <w:sz w:val="20"/>
              </w:rPr>
              <w:t>The</w:t>
            </w:r>
            <w:proofErr w:type="spellEnd"/>
            <w:r w:rsidRPr="00FF1518">
              <w:rPr>
                <w:rFonts w:asciiTheme="minorHAnsi" w:hAnsiTheme="minorHAnsi" w:cstheme="minorHAnsi"/>
                <w:i/>
                <w:sz w:val="20"/>
              </w:rPr>
              <w:t xml:space="preserve"> Environmental Forum,</w:t>
            </w:r>
            <w:r w:rsidRPr="00FF1518">
              <w:rPr>
                <w:rFonts w:asciiTheme="minorHAnsi" w:hAnsiTheme="minorHAnsi" w:cstheme="minorHAnsi"/>
                <w:sz w:val="20"/>
              </w:rPr>
              <w:t xml:space="preserve"> a publication of the Environmental Law Institute, concludes that “Achieving an energy economy based entirely on renewables is unrealistic” for reaching the Paris 2 degree target, and that “removing carbon dioxide from emissions waste streams and burying it is necessary….”</w:t>
            </w:r>
          </w:p>
          <w:p w14:paraId="5E748031" w14:textId="0893CC87"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Without doubt, carbon capture and storage technology strat</w:t>
            </w:r>
            <w:r w:rsidR="009F50EE">
              <w:rPr>
                <w:rFonts w:asciiTheme="minorHAnsi" w:hAnsiTheme="minorHAnsi" w:cstheme="minorHAnsi"/>
                <w:sz w:val="20"/>
              </w:rPr>
              <w:t xml:space="preserve">egies are essential in mitigating </w:t>
            </w:r>
            <w:r w:rsidRPr="00FF1518">
              <w:rPr>
                <w:rFonts w:asciiTheme="minorHAnsi" w:hAnsiTheme="minorHAnsi" w:cstheme="minorHAnsi"/>
                <w:sz w:val="20"/>
              </w:rPr>
              <w:t xml:space="preserve">the risks of future climate change, especially for limiting the impact on climate change from coal-fired power plants that will continue to be built and used by emerging economies to ensure energy security and for economic growth. </w:t>
            </w:r>
          </w:p>
          <w:p w14:paraId="3666B77C" w14:textId="5ABCFEBC" w:rsidR="00FF1518" w:rsidRPr="00FF1518" w:rsidRDefault="006C5B01" w:rsidP="00FF1518">
            <w:pPr>
              <w:jc w:val="both"/>
              <w:rPr>
                <w:rFonts w:asciiTheme="minorHAnsi" w:hAnsiTheme="minorHAnsi" w:cstheme="minorHAnsi"/>
                <w:sz w:val="20"/>
              </w:rPr>
            </w:pPr>
            <w:r>
              <w:rPr>
                <w:rFonts w:asciiTheme="minorHAnsi" w:hAnsiTheme="minorHAnsi" w:cstheme="minorHAnsi"/>
                <w:sz w:val="20"/>
              </w:rPr>
              <w:t>Moreover</w:t>
            </w:r>
            <w:r w:rsidR="00FF1518" w:rsidRPr="00FF1518">
              <w:rPr>
                <w:rFonts w:asciiTheme="minorHAnsi" w:hAnsiTheme="minorHAnsi" w:cstheme="minorHAnsi"/>
                <w:sz w:val="20"/>
              </w:rPr>
              <w:t>, variations of this technology can play a major role in decarbonizing worldwide production of steel, cement, fertilizer, petrochemical products, as well as pulp and paper.  In addition, integrated carbon capture, utilization, and storage (CCUS) projects can capture up to 95% of carbon emissions, recover substantial amounts of process water and eliminate key air pollutants from coal and natural gas-fired power plants. The carbon captured can be used for enhanced oil recovery (EOR), reducing significantly the carbon footprint of oil production, while storing the CO</w:t>
            </w:r>
            <w:r w:rsidR="00FF1518" w:rsidRPr="00FF1518">
              <w:rPr>
                <w:rFonts w:asciiTheme="minorHAnsi" w:hAnsiTheme="minorHAnsi" w:cstheme="minorHAnsi"/>
                <w:sz w:val="20"/>
                <w:vertAlign w:val="subscript"/>
              </w:rPr>
              <w:t>2</w:t>
            </w:r>
            <w:r w:rsidR="00FF1518" w:rsidRPr="00FF1518">
              <w:rPr>
                <w:rFonts w:asciiTheme="minorHAnsi" w:hAnsiTheme="minorHAnsi" w:cstheme="minorHAnsi"/>
                <w:sz w:val="20"/>
              </w:rPr>
              <w:t xml:space="preserve"> safely underground. Furthermore, developments to commercialize Enhanced Coal Bed Methane (ECBM) recovery are expected to lead to increased natural gas resources, which will be another utilization option at scale for CO</w:t>
            </w:r>
            <w:r w:rsidR="00FF1518" w:rsidRPr="00FF1518">
              <w:rPr>
                <w:rFonts w:asciiTheme="minorHAnsi" w:hAnsiTheme="minorHAnsi" w:cstheme="minorHAnsi"/>
                <w:sz w:val="20"/>
                <w:vertAlign w:val="subscript"/>
              </w:rPr>
              <w:t>2</w:t>
            </w:r>
            <w:r w:rsidR="00FF1518" w:rsidRPr="00FF1518">
              <w:rPr>
                <w:rFonts w:asciiTheme="minorHAnsi" w:hAnsiTheme="minorHAnsi" w:cstheme="minorHAnsi"/>
                <w:sz w:val="20"/>
              </w:rPr>
              <w:t>, as well as even further decreasing CO</w:t>
            </w:r>
            <w:r w:rsidR="00FF1518" w:rsidRPr="00FF1518">
              <w:rPr>
                <w:rFonts w:asciiTheme="minorHAnsi" w:hAnsiTheme="minorHAnsi" w:cstheme="minorHAnsi"/>
                <w:sz w:val="20"/>
                <w:vertAlign w:val="subscript"/>
              </w:rPr>
              <w:t>2</w:t>
            </w:r>
            <w:r w:rsidR="00FF1518" w:rsidRPr="00FF1518">
              <w:rPr>
                <w:rFonts w:asciiTheme="minorHAnsi" w:hAnsiTheme="minorHAnsi" w:cstheme="minorHAnsi"/>
                <w:sz w:val="20"/>
              </w:rPr>
              <w:t xml:space="preserve"> emissions by reducing the need to use coal.</w:t>
            </w:r>
          </w:p>
          <w:p w14:paraId="1D99E82A" w14:textId="77777777"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The capture and reuse of CO</w:t>
            </w:r>
            <w:r w:rsidRPr="00FF1518">
              <w:rPr>
                <w:rFonts w:asciiTheme="minorHAnsi" w:hAnsiTheme="minorHAnsi" w:cstheme="minorHAnsi"/>
                <w:sz w:val="20"/>
                <w:vertAlign w:val="subscript"/>
              </w:rPr>
              <w:t xml:space="preserve">2 </w:t>
            </w:r>
            <w:r w:rsidRPr="00FF1518">
              <w:rPr>
                <w:rFonts w:asciiTheme="minorHAnsi" w:hAnsiTheme="minorHAnsi" w:cstheme="minorHAnsi"/>
                <w:sz w:val="20"/>
              </w:rPr>
              <w:t xml:space="preserve">(referred to as Carbon Capture, and Utilization, or CCU) facilitates manufacturing of carbon-based products such as washing soda, mattresses, upholstered furniture, bricks, stone, and cement, while curtailing the carbon footprint of those products significantly. </w:t>
            </w:r>
          </w:p>
          <w:p w14:paraId="346C5E1D" w14:textId="77777777"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Clearly, it is imperative that CCS, CCUS, and CCU technologies play a major role in reducing atmospheric CO</w:t>
            </w:r>
            <w:r w:rsidRPr="00FF1518">
              <w:rPr>
                <w:rFonts w:asciiTheme="minorHAnsi" w:hAnsiTheme="minorHAnsi" w:cstheme="minorHAnsi"/>
                <w:sz w:val="20"/>
                <w:vertAlign w:val="subscript"/>
              </w:rPr>
              <w:t>2</w:t>
            </w:r>
            <w:r w:rsidRPr="00FF1518">
              <w:rPr>
                <w:rFonts w:asciiTheme="minorHAnsi" w:hAnsiTheme="minorHAnsi" w:cstheme="minorHAnsi"/>
                <w:sz w:val="20"/>
              </w:rPr>
              <w:t xml:space="preserve"> emissions and meeting the goals of the Paris Agreement. The International Energy Agency (IEA) projects in its ‘Energy Perspectives 2017’ that the 2-degree target embedded in the Paris Agreement requires an inclusive approach combining energy efficiency (40 per cent), renewables (35 per cent), CCS (14 per cent), nuclear (6 per cent), and fuel switching (5 per cent). Concerning even more ambitious climate protection goals, for example, the ‘Beyond 2-degrees scenario’, the IEA projects that CCS would need to provide 32 per cent of global CO</w:t>
            </w:r>
            <w:r w:rsidRPr="00FF1518">
              <w:rPr>
                <w:rFonts w:asciiTheme="minorHAnsi" w:hAnsiTheme="minorHAnsi" w:cstheme="minorHAnsi"/>
                <w:sz w:val="20"/>
                <w:vertAlign w:val="subscript"/>
              </w:rPr>
              <w:t>2</w:t>
            </w:r>
            <w:r w:rsidRPr="00FF1518">
              <w:rPr>
                <w:rFonts w:asciiTheme="minorHAnsi" w:hAnsiTheme="minorHAnsi" w:cstheme="minorHAnsi"/>
                <w:sz w:val="20"/>
              </w:rPr>
              <w:t xml:space="preserve"> emission reductions. </w:t>
            </w:r>
          </w:p>
          <w:p w14:paraId="05A0C8FF" w14:textId="50971036" w:rsidR="00F00537" w:rsidRPr="00FF5E39" w:rsidRDefault="00F00537" w:rsidP="00530658">
            <w:pPr>
              <w:rPr>
                <w:rFonts w:asciiTheme="minorHAnsi" w:hAnsiTheme="minorHAnsi" w:cstheme="minorHAnsi"/>
                <w:sz w:val="20"/>
              </w:rPr>
            </w:pPr>
          </w:p>
        </w:tc>
      </w:tr>
    </w:tbl>
    <w:p w14:paraId="619BBAEE" w14:textId="77777777" w:rsidR="001D66AE" w:rsidRPr="00A318EB" w:rsidRDefault="001D66AE" w:rsidP="001D66AE">
      <w:pPr>
        <w:rPr>
          <w:rFonts w:asciiTheme="minorHAnsi" w:hAnsiTheme="minorHAnsi"/>
          <w:i/>
          <w:sz w:val="20"/>
        </w:rPr>
      </w:pPr>
    </w:p>
    <w:p w14:paraId="6BC85B81" w14:textId="687F5918" w:rsidR="004A4345" w:rsidRPr="00D21D40" w:rsidRDefault="004A4345" w:rsidP="00D21D40">
      <w:pPr>
        <w:pStyle w:val="ListParagraph"/>
        <w:numPr>
          <w:ilvl w:val="0"/>
          <w:numId w:val="8"/>
        </w:numPr>
        <w:rPr>
          <w:b/>
          <w:sz w:val="24"/>
          <w:szCs w:val="24"/>
        </w:rPr>
      </w:pPr>
      <w:r w:rsidRPr="00D21D40">
        <w:rPr>
          <w:b/>
          <w:sz w:val="24"/>
          <w:szCs w:val="24"/>
        </w:rPr>
        <w:lastRenderedPageBreak/>
        <w:t>Where do we want to go?</w:t>
      </w:r>
    </w:p>
    <w:p w14:paraId="006B437A" w14:textId="79CA7B19" w:rsidR="004A4345" w:rsidRPr="003E2804" w:rsidRDefault="004A4345" w:rsidP="004A4345">
      <w:pPr>
        <w:rPr>
          <w:rFonts w:asciiTheme="minorHAnsi" w:hAnsiTheme="minorHAnsi"/>
          <w:i/>
          <w:sz w:val="20"/>
        </w:rPr>
      </w:pPr>
      <w:r w:rsidRPr="003E2804">
        <w:rPr>
          <w:rFonts w:asciiTheme="minorHAnsi" w:hAnsiTheme="minorHAnsi"/>
          <w:i/>
          <w:sz w:val="20"/>
        </w:rPr>
        <w:t>Vision of the future for your organization and/or sector in terms of its possible role in achieving the 1.5/2 degrees’ goal and a net-zero emis</w:t>
      </w:r>
      <w:r w:rsidR="00593FA2">
        <w:rPr>
          <w:rFonts w:asciiTheme="minorHAnsi" w:hAnsiTheme="minorHAnsi"/>
          <w:i/>
          <w:sz w:val="20"/>
        </w:rPr>
        <w:t xml:space="preserve">sion world by this mid-century </w:t>
      </w:r>
    </w:p>
    <w:tbl>
      <w:tblPr>
        <w:tblStyle w:val="TableGrid"/>
        <w:tblW w:w="0" w:type="auto"/>
        <w:tblLook w:val="04A0" w:firstRow="1" w:lastRow="0" w:firstColumn="1" w:lastColumn="0" w:noHBand="0" w:noVBand="1"/>
      </w:tblPr>
      <w:tblGrid>
        <w:gridCol w:w="9016"/>
      </w:tblGrid>
      <w:tr w:rsidR="004A4345" w:rsidRPr="00A318EB" w14:paraId="0E4F1E37" w14:textId="77777777" w:rsidTr="00B87B8E">
        <w:tc>
          <w:tcPr>
            <w:tcW w:w="9016" w:type="dxa"/>
          </w:tcPr>
          <w:p w14:paraId="0D806FC6" w14:textId="4AE4B593" w:rsidR="00FF1518" w:rsidRPr="00FF1518" w:rsidRDefault="004A4345" w:rsidP="00FF1518">
            <w:pPr>
              <w:jc w:val="both"/>
              <w:rPr>
                <w:rFonts w:asciiTheme="minorHAnsi" w:hAnsiTheme="minorHAnsi" w:cstheme="minorHAnsi"/>
                <w:sz w:val="20"/>
              </w:rPr>
            </w:pPr>
            <w:r>
              <w:rPr>
                <w:rFonts w:asciiTheme="minorHAnsi" w:hAnsiTheme="minorHAnsi" w:cstheme="minorHAnsi"/>
                <w:sz w:val="20"/>
              </w:rPr>
              <w:t xml:space="preserve"> </w:t>
            </w:r>
            <w:r w:rsidR="00FF1518" w:rsidRPr="00FF1518">
              <w:rPr>
                <w:rFonts w:asciiTheme="minorHAnsi" w:hAnsiTheme="minorHAnsi" w:cstheme="minorHAnsi"/>
                <w:sz w:val="20"/>
              </w:rPr>
              <w:t>If we are going to limit the risk of disruptive future climate change, we must meet and even exceed the Paris Agreement target of limiting future temperature increases to 2</w:t>
            </w:r>
            <w:r w:rsidR="00FF1518" w:rsidRPr="00FF1518">
              <w:rPr>
                <w:rFonts w:asciiTheme="minorHAnsi" w:hAnsiTheme="minorHAnsi" w:cstheme="minorHAnsi"/>
                <w:sz w:val="20"/>
                <w:vertAlign w:val="superscript"/>
              </w:rPr>
              <w:t>o</w:t>
            </w:r>
            <w:r w:rsidR="00FF1518" w:rsidRPr="00FF1518">
              <w:rPr>
                <w:rFonts w:asciiTheme="minorHAnsi" w:hAnsiTheme="minorHAnsi" w:cstheme="minorHAnsi"/>
                <w:sz w:val="20"/>
              </w:rPr>
              <w:t xml:space="preserve"> C. We need to go beyond relying upon the use of renewable energy and energy efficiency as the primary mitigation method. We must commercialize and deploy cost-effective s</w:t>
            </w:r>
            <w:r w:rsidR="00282B4D">
              <w:rPr>
                <w:rFonts w:asciiTheme="minorHAnsi" w:hAnsiTheme="minorHAnsi" w:cstheme="minorHAnsi"/>
                <w:sz w:val="20"/>
              </w:rPr>
              <w:t xml:space="preserve">trategies for CCS, CCUS and CCU </w:t>
            </w:r>
            <w:r w:rsidR="00282B4D">
              <w:rPr>
                <w:rFonts w:asciiTheme="minorHAnsi" w:hAnsiTheme="minorHAnsi" w:cstheme="minorHAnsi"/>
                <w:i/>
                <w:sz w:val="16"/>
                <w:szCs w:val="16"/>
              </w:rPr>
              <w:t>[Carbon Capture and Storage, Carbon Capture Utilization and Storage, Carbon Capture Utilization/Reuse]</w:t>
            </w:r>
            <w:r w:rsidR="00CE036D">
              <w:rPr>
                <w:rFonts w:asciiTheme="minorHAnsi" w:hAnsiTheme="minorHAnsi" w:cstheme="minorHAnsi"/>
                <w:sz w:val="20"/>
              </w:rPr>
              <w:t xml:space="preserve"> </w:t>
            </w:r>
            <w:r w:rsidR="00FF1518" w:rsidRPr="00FF1518">
              <w:rPr>
                <w:rFonts w:asciiTheme="minorHAnsi" w:hAnsiTheme="minorHAnsi" w:cstheme="minorHAnsi"/>
                <w:sz w:val="20"/>
              </w:rPr>
              <w:t>as an additional mitigation strategy, especially in countries that will continue to rely on coal for electricity generation over the next several decades. To achieve the scale of carbon capture technology deployment that will be needed, we must expand the understanding that the goals of the Paris Agreement cannot be achieved without widespread use of these technologies.</w:t>
            </w:r>
          </w:p>
          <w:p w14:paraId="2E23D7DC" w14:textId="77777777" w:rsidR="00C80B7A" w:rsidRDefault="00FF1518" w:rsidP="00FF1518">
            <w:pPr>
              <w:jc w:val="both"/>
              <w:rPr>
                <w:rFonts w:asciiTheme="minorHAnsi" w:hAnsiTheme="minorHAnsi" w:cstheme="minorHAnsi"/>
                <w:sz w:val="20"/>
              </w:rPr>
            </w:pPr>
            <w:r w:rsidRPr="00FF1518">
              <w:rPr>
                <w:rFonts w:asciiTheme="minorHAnsi" w:hAnsiTheme="minorHAnsi" w:cstheme="minorHAnsi"/>
                <w:sz w:val="20"/>
              </w:rPr>
              <w:t xml:space="preserve">In fast-growing emerging economies, which will continue to depend on coal for decades to come, we must move to demonstrate that cleaner fossil energy strategies, based on CCS, CCUS, and CCU, have multiple benefits for them. These strategies can advance national development priorities, avoid dangerous levels of local air pollution, and help to protect the global environment.  Providing capacity building and Know-How for cleaner fossil energy technologies can be accomplished by providing financial support from multilateral development banks </w:t>
            </w:r>
            <w:r w:rsidR="001C33E2">
              <w:rPr>
                <w:rFonts w:asciiTheme="minorHAnsi" w:hAnsiTheme="minorHAnsi" w:cstheme="minorHAnsi"/>
                <w:sz w:val="20"/>
              </w:rPr>
              <w:t xml:space="preserve">(MDB’s) </w:t>
            </w:r>
            <w:r w:rsidRPr="00FF1518">
              <w:rPr>
                <w:rFonts w:asciiTheme="minorHAnsi" w:hAnsiTheme="minorHAnsi" w:cstheme="minorHAnsi"/>
                <w:sz w:val="20"/>
              </w:rPr>
              <w:t xml:space="preserve">and the Green Climate Fund </w:t>
            </w:r>
            <w:r w:rsidR="001C33E2">
              <w:rPr>
                <w:rFonts w:asciiTheme="minorHAnsi" w:hAnsiTheme="minorHAnsi" w:cstheme="minorHAnsi"/>
                <w:sz w:val="20"/>
              </w:rPr>
              <w:t xml:space="preserve">(GCF) </w:t>
            </w:r>
            <w:r w:rsidRPr="00FF1518">
              <w:rPr>
                <w:rFonts w:asciiTheme="minorHAnsi" w:hAnsiTheme="minorHAnsi" w:cstheme="minorHAnsi"/>
                <w:sz w:val="20"/>
              </w:rPr>
              <w:t>for commercial-scale demonstration projects, in particular by underwriting the licensing fees that can recover the development costs of these technologies.</w:t>
            </w:r>
            <w:r w:rsidR="00C80B7A">
              <w:rPr>
                <w:rFonts w:asciiTheme="minorHAnsi" w:hAnsiTheme="minorHAnsi" w:cstheme="minorHAnsi"/>
                <w:sz w:val="20"/>
              </w:rPr>
              <w:t xml:space="preserve">  </w:t>
            </w:r>
          </w:p>
          <w:p w14:paraId="134CAA51" w14:textId="36BDE5C0"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 xml:space="preserve"> </w:t>
            </w:r>
          </w:p>
          <w:p w14:paraId="69CA3B3A" w14:textId="34F44F1D" w:rsidR="004A4345" w:rsidRPr="00593FA2" w:rsidRDefault="004A4345" w:rsidP="00245055">
            <w:pPr>
              <w:rPr>
                <w:rFonts w:asciiTheme="minorHAnsi" w:hAnsiTheme="minorHAnsi" w:cstheme="minorHAnsi"/>
                <w:i/>
                <w:sz w:val="16"/>
                <w:szCs w:val="16"/>
              </w:rPr>
            </w:pPr>
          </w:p>
        </w:tc>
      </w:tr>
    </w:tbl>
    <w:p w14:paraId="0C46E2A0" w14:textId="77777777" w:rsidR="004A4345" w:rsidRPr="00A318EB" w:rsidRDefault="004A4345" w:rsidP="004A4345">
      <w:pPr>
        <w:rPr>
          <w:rFonts w:asciiTheme="minorHAnsi" w:hAnsiTheme="minorHAnsi"/>
          <w:i/>
          <w:sz w:val="20"/>
        </w:rPr>
      </w:pPr>
    </w:p>
    <w:p w14:paraId="1C4924F1" w14:textId="767BD632" w:rsidR="004A4345" w:rsidRPr="00D21D40" w:rsidRDefault="004A4345" w:rsidP="00D21D40">
      <w:pPr>
        <w:pStyle w:val="ListParagraph"/>
        <w:numPr>
          <w:ilvl w:val="0"/>
          <w:numId w:val="8"/>
        </w:numPr>
        <w:rPr>
          <w:b/>
          <w:sz w:val="24"/>
          <w:szCs w:val="24"/>
        </w:rPr>
      </w:pPr>
      <w:r w:rsidRPr="00D21D40">
        <w:rPr>
          <w:b/>
          <w:sz w:val="24"/>
          <w:szCs w:val="24"/>
        </w:rPr>
        <w:t>How do we get there?</w:t>
      </w:r>
    </w:p>
    <w:p w14:paraId="3D1AE39A" w14:textId="09DBE60B" w:rsidR="004A4345" w:rsidRPr="00A318EB" w:rsidRDefault="004A4345" w:rsidP="004A4345">
      <w:pPr>
        <w:rPr>
          <w:rFonts w:asciiTheme="minorHAnsi" w:hAnsiTheme="minorHAnsi"/>
          <w:i/>
          <w:sz w:val="20"/>
        </w:rPr>
      </w:pPr>
      <w:r>
        <w:rPr>
          <w:rFonts w:asciiTheme="minorHAnsi" w:hAnsiTheme="minorHAnsi"/>
          <w:i/>
          <w:sz w:val="20"/>
        </w:rPr>
        <w:t xml:space="preserve">Ways in which the UN Climate Change process can help you achieve your vision and goals, and how your actions can help in expediting sustainable transitions to climate neutral societies </w:t>
      </w:r>
    </w:p>
    <w:tbl>
      <w:tblPr>
        <w:tblStyle w:val="TableGrid"/>
        <w:tblW w:w="0" w:type="auto"/>
        <w:tblLook w:val="04A0" w:firstRow="1" w:lastRow="0" w:firstColumn="1" w:lastColumn="0" w:noHBand="0" w:noVBand="1"/>
      </w:tblPr>
      <w:tblGrid>
        <w:gridCol w:w="9016"/>
      </w:tblGrid>
      <w:tr w:rsidR="004A4345" w:rsidRPr="00A318EB" w14:paraId="42440AE0" w14:textId="77777777" w:rsidTr="00B87B8E">
        <w:tc>
          <w:tcPr>
            <w:tcW w:w="9016" w:type="dxa"/>
          </w:tcPr>
          <w:p w14:paraId="2E6A6213" w14:textId="77777777"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We can reach the Paris goals by accelerating the deployment of carbon capture technologies, in concert with a broad suite of other technologies, such as renewable energy and energy efficiency.</w:t>
            </w:r>
          </w:p>
          <w:p w14:paraId="42413ECE" w14:textId="77777777"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The US took an important step in this direction earlier this year with the passage of the reform to Section 45Q of the US Tax Code. This legislation provides tax credits for CO</w:t>
            </w:r>
            <w:r w:rsidRPr="00FF1518">
              <w:rPr>
                <w:rFonts w:asciiTheme="minorHAnsi" w:hAnsiTheme="minorHAnsi" w:cstheme="minorHAnsi"/>
                <w:sz w:val="20"/>
                <w:vertAlign w:val="subscript"/>
              </w:rPr>
              <w:t xml:space="preserve">2 </w:t>
            </w:r>
            <w:r w:rsidRPr="00FF1518">
              <w:rPr>
                <w:rFonts w:asciiTheme="minorHAnsi" w:hAnsiTheme="minorHAnsi" w:cstheme="minorHAnsi"/>
                <w:sz w:val="20"/>
              </w:rPr>
              <w:t>capture and storage and is expected to stimulate development of new carbon capture projects in the US that will help to lower the cost of these technologies worldwide.</w:t>
            </w:r>
          </w:p>
          <w:p w14:paraId="695B2463" w14:textId="6FDC6AE1"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To reduce the rate of growth in greenhouse gas (GHG) emissions in emerging economies, these countries will need to rapidly commercialize the cleaner fossil energy strategies that are now being developed mainly by industrial nations.</w:t>
            </w:r>
            <w:r w:rsidR="00CE036D">
              <w:rPr>
                <w:rFonts w:asciiTheme="minorHAnsi" w:hAnsiTheme="minorHAnsi" w:cstheme="minorHAnsi"/>
                <w:sz w:val="20"/>
              </w:rPr>
              <w:t xml:space="preserve">  </w:t>
            </w:r>
            <w:r w:rsidRPr="00FF1518">
              <w:rPr>
                <w:rFonts w:asciiTheme="minorHAnsi" w:hAnsiTheme="minorHAnsi" w:cstheme="minorHAnsi"/>
                <w:sz w:val="20"/>
              </w:rPr>
              <w:t>It is critically important that these efforts be supported financially by industrial country governments as well as by MDBs, GCF and others.</w:t>
            </w:r>
          </w:p>
          <w:p w14:paraId="7367ED2E" w14:textId="79177401"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Another important part of the solution involves the capture of CO</w:t>
            </w:r>
            <w:r w:rsidRPr="00FF1518">
              <w:rPr>
                <w:rFonts w:asciiTheme="minorHAnsi" w:hAnsiTheme="minorHAnsi" w:cstheme="minorHAnsi"/>
                <w:sz w:val="20"/>
                <w:vertAlign w:val="subscript"/>
              </w:rPr>
              <w:t>2</w:t>
            </w:r>
            <w:r w:rsidRPr="00FF1518">
              <w:rPr>
                <w:rFonts w:asciiTheme="minorHAnsi" w:hAnsiTheme="minorHAnsi" w:cstheme="minorHAnsi"/>
                <w:sz w:val="20"/>
              </w:rPr>
              <w:t xml:space="preserve"> from industrial sources with reuse and/or storage of the captured CO</w:t>
            </w:r>
            <w:r w:rsidRPr="00FF1518">
              <w:rPr>
                <w:rFonts w:asciiTheme="minorHAnsi" w:hAnsiTheme="minorHAnsi" w:cstheme="minorHAnsi"/>
                <w:sz w:val="20"/>
                <w:vertAlign w:val="subscript"/>
              </w:rPr>
              <w:t>2</w:t>
            </w:r>
            <w:r w:rsidRPr="00FF1518">
              <w:rPr>
                <w:rFonts w:asciiTheme="minorHAnsi" w:hAnsiTheme="minorHAnsi" w:cstheme="minorHAnsi"/>
                <w:sz w:val="20"/>
              </w:rPr>
              <w:t xml:space="preserve">. </w:t>
            </w:r>
            <w:r w:rsidR="00CE036D">
              <w:rPr>
                <w:rFonts w:asciiTheme="minorHAnsi" w:hAnsiTheme="minorHAnsi" w:cstheme="minorHAnsi"/>
                <w:sz w:val="20"/>
              </w:rPr>
              <w:t xml:space="preserve"> </w:t>
            </w:r>
            <w:r w:rsidRPr="00FF1518">
              <w:rPr>
                <w:rFonts w:asciiTheme="minorHAnsi" w:hAnsiTheme="minorHAnsi" w:cstheme="minorHAnsi"/>
                <w:sz w:val="20"/>
              </w:rPr>
              <w:t>Utilizing / reusing CO</w:t>
            </w:r>
            <w:r w:rsidRPr="00FF1518">
              <w:rPr>
                <w:rFonts w:asciiTheme="minorHAnsi" w:hAnsiTheme="minorHAnsi" w:cstheme="minorHAnsi"/>
                <w:sz w:val="20"/>
                <w:vertAlign w:val="subscript"/>
              </w:rPr>
              <w:t>2</w:t>
            </w:r>
            <w:r w:rsidRPr="00FF1518">
              <w:rPr>
                <w:rFonts w:asciiTheme="minorHAnsi" w:hAnsiTheme="minorHAnsi" w:cstheme="minorHAnsi"/>
                <w:sz w:val="20"/>
              </w:rPr>
              <w:t>, instead of simply disposing of it as a waste and a pollutant, generates a secondary revenue stream from the original activity and helps to improve the economic competitiveness of carbon capture, utilization, and storage technologies.</w:t>
            </w:r>
          </w:p>
          <w:p w14:paraId="3FF55C68" w14:textId="77777777" w:rsidR="00593FA2" w:rsidRDefault="00593FA2" w:rsidP="006C5B01">
            <w:pPr>
              <w:rPr>
                <w:rFonts w:asciiTheme="minorHAnsi" w:hAnsiTheme="minorHAnsi" w:cstheme="minorHAnsi"/>
                <w:sz w:val="20"/>
              </w:rPr>
            </w:pPr>
          </w:p>
          <w:p w14:paraId="1D2C2995" w14:textId="55197542" w:rsidR="004A4345" w:rsidRPr="00FF1518" w:rsidRDefault="00FF1518" w:rsidP="006C5B01">
            <w:pPr>
              <w:rPr>
                <w:sz w:val="20"/>
              </w:rPr>
            </w:pPr>
            <w:r w:rsidRPr="00FF1518">
              <w:rPr>
                <w:rFonts w:asciiTheme="minorHAnsi" w:hAnsiTheme="minorHAnsi" w:cstheme="minorHAnsi"/>
                <w:sz w:val="20"/>
              </w:rPr>
              <w:lastRenderedPageBreak/>
              <w:t>Furthermore, the United States has significantly reduced its aggregate CO</w:t>
            </w:r>
            <w:r w:rsidRPr="00FF1518">
              <w:rPr>
                <w:rFonts w:asciiTheme="minorHAnsi" w:hAnsiTheme="minorHAnsi" w:cstheme="minorHAnsi"/>
                <w:sz w:val="20"/>
                <w:vertAlign w:val="subscript"/>
              </w:rPr>
              <w:t>2</w:t>
            </w:r>
            <w:r w:rsidRPr="00FF1518">
              <w:rPr>
                <w:rFonts w:asciiTheme="minorHAnsi" w:hAnsiTheme="minorHAnsi" w:cstheme="minorHAnsi"/>
                <w:sz w:val="20"/>
              </w:rPr>
              <w:t xml:space="preserve"> emissions in recent years by exploiting shale gas, reducing substantially the cost of natural gas, with a significant drop in CO</w:t>
            </w:r>
            <w:r w:rsidRPr="00FF1518">
              <w:rPr>
                <w:rFonts w:asciiTheme="minorHAnsi" w:hAnsiTheme="minorHAnsi" w:cstheme="minorHAnsi"/>
                <w:sz w:val="20"/>
                <w:vertAlign w:val="subscript"/>
              </w:rPr>
              <w:t>2</w:t>
            </w:r>
            <w:r w:rsidRPr="00FF1518">
              <w:rPr>
                <w:rFonts w:asciiTheme="minorHAnsi" w:hAnsiTheme="minorHAnsi" w:cstheme="minorHAnsi"/>
                <w:sz w:val="20"/>
              </w:rPr>
              <w:t xml:space="preserve"> emissions</w:t>
            </w:r>
            <w:r w:rsidRPr="00FF1518">
              <w:rPr>
                <w:rStyle w:val="FootnoteReference"/>
                <w:rFonts w:asciiTheme="minorHAnsi" w:hAnsiTheme="minorHAnsi" w:cstheme="minorHAnsi"/>
                <w:sz w:val="20"/>
              </w:rPr>
              <w:footnoteReference w:id="1"/>
            </w:r>
            <w:r w:rsidRPr="00FF1518">
              <w:rPr>
                <w:rFonts w:asciiTheme="minorHAnsi" w:hAnsiTheme="minorHAnsi" w:cstheme="minorHAnsi"/>
                <w:sz w:val="20"/>
              </w:rPr>
              <w:t xml:space="preserve">.  </w:t>
            </w:r>
            <w:r w:rsidR="006C5B01">
              <w:rPr>
                <w:rFonts w:asciiTheme="minorHAnsi" w:hAnsiTheme="minorHAnsi" w:cstheme="minorHAnsi"/>
                <w:sz w:val="20"/>
              </w:rPr>
              <w:t>Similarly, by e</w:t>
            </w:r>
            <w:r w:rsidRPr="00FF1518">
              <w:rPr>
                <w:rFonts w:asciiTheme="minorHAnsi" w:hAnsiTheme="minorHAnsi" w:cstheme="minorHAnsi"/>
                <w:sz w:val="20"/>
              </w:rPr>
              <w:t>xploring unconventional domestic fossil energy resources, such as ‘shale gas’ and enhanced co</w:t>
            </w:r>
            <w:r w:rsidR="00CE036D">
              <w:rPr>
                <w:rFonts w:asciiTheme="minorHAnsi" w:hAnsiTheme="minorHAnsi" w:cstheme="minorHAnsi"/>
                <w:sz w:val="20"/>
              </w:rPr>
              <w:t>al-bed methane recovery,</w:t>
            </w:r>
            <w:r w:rsidRPr="00FF1518">
              <w:rPr>
                <w:rFonts w:asciiTheme="minorHAnsi" w:hAnsiTheme="minorHAnsi" w:cstheme="minorHAnsi"/>
                <w:sz w:val="20"/>
              </w:rPr>
              <w:t xml:space="preserve"> e</w:t>
            </w:r>
            <w:r w:rsidR="006C5B01">
              <w:rPr>
                <w:rFonts w:asciiTheme="minorHAnsi" w:hAnsiTheme="minorHAnsi" w:cstheme="minorHAnsi"/>
                <w:sz w:val="20"/>
              </w:rPr>
              <w:t xml:space="preserve">merging economies that are greatly </w:t>
            </w:r>
            <w:r w:rsidRPr="00FF1518">
              <w:rPr>
                <w:rFonts w:asciiTheme="minorHAnsi" w:hAnsiTheme="minorHAnsi" w:cstheme="minorHAnsi"/>
                <w:sz w:val="20"/>
              </w:rPr>
              <w:t>depend</w:t>
            </w:r>
            <w:r w:rsidR="006C5B01">
              <w:rPr>
                <w:rFonts w:asciiTheme="minorHAnsi" w:hAnsiTheme="minorHAnsi" w:cstheme="minorHAnsi"/>
                <w:sz w:val="20"/>
              </w:rPr>
              <w:t>ent</w:t>
            </w:r>
            <w:r w:rsidRPr="00FF1518">
              <w:rPr>
                <w:rFonts w:asciiTheme="minorHAnsi" w:hAnsiTheme="minorHAnsi" w:cstheme="minorHAnsi"/>
                <w:sz w:val="20"/>
              </w:rPr>
              <w:t xml:space="preserve"> on coal for growth </w:t>
            </w:r>
            <w:r w:rsidR="006C5B01">
              <w:rPr>
                <w:rFonts w:asciiTheme="minorHAnsi" w:hAnsiTheme="minorHAnsi" w:cstheme="minorHAnsi"/>
                <w:sz w:val="20"/>
              </w:rPr>
              <w:t xml:space="preserve">will be able </w:t>
            </w:r>
            <w:r w:rsidRPr="00FF1518">
              <w:rPr>
                <w:rFonts w:asciiTheme="minorHAnsi" w:hAnsiTheme="minorHAnsi" w:cstheme="minorHAnsi"/>
                <w:sz w:val="20"/>
              </w:rPr>
              <w:t>t</w:t>
            </w:r>
            <w:r w:rsidR="006C5B01">
              <w:rPr>
                <w:rFonts w:asciiTheme="minorHAnsi" w:hAnsiTheme="minorHAnsi" w:cstheme="minorHAnsi"/>
                <w:sz w:val="20"/>
              </w:rPr>
              <w:t>o</w:t>
            </w:r>
            <w:r w:rsidRPr="00FF1518">
              <w:rPr>
                <w:rFonts w:asciiTheme="minorHAnsi" w:hAnsiTheme="minorHAnsi" w:cstheme="minorHAnsi"/>
                <w:sz w:val="20"/>
              </w:rPr>
              <w:t xml:space="preserve"> substantially reduce </w:t>
            </w:r>
            <w:r w:rsidR="006C5B01">
              <w:rPr>
                <w:rFonts w:asciiTheme="minorHAnsi" w:hAnsiTheme="minorHAnsi" w:cstheme="minorHAnsi"/>
                <w:sz w:val="20"/>
              </w:rPr>
              <w:t>CO</w:t>
            </w:r>
            <w:r w:rsidR="006C5B01" w:rsidRPr="006C5B01">
              <w:rPr>
                <w:rFonts w:asciiTheme="minorHAnsi" w:hAnsiTheme="minorHAnsi" w:cstheme="minorHAnsi"/>
                <w:sz w:val="20"/>
                <w:vertAlign w:val="subscript"/>
              </w:rPr>
              <w:t>2</w:t>
            </w:r>
            <w:r w:rsidR="006C5B01">
              <w:rPr>
                <w:rFonts w:asciiTheme="minorHAnsi" w:hAnsiTheme="minorHAnsi" w:cstheme="minorHAnsi"/>
                <w:sz w:val="20"/>
              </w:rPr>
              <w:t xml:space="preserve"> emissions by substituting domestic natural gas for coal.  </w:t>
            </w:r>
          </w:p>
        </w:tc>
      </w:tr>
    </w:tbl>
    <w:p w14:paraId="476213BC" w14:textId="77777777" w:rsidR="004A4345" w:rsidRDefault="004A4345" w:rsidP="004A4345">
      <w:pPr>
        <w:rPr>
          <w:rFonts w:asciiTheme="minorHAnsi" w:hAnsiTheme="minorHAnsi"/>
          <w:i/>
          <w:sz w:val="20"/>
        </w:rPr>
      </w:pPr>
    </w:p>
    <w:p w14:paraId="189BDD67" w14:textId="5414E1A0" w:rsidR="004A4345" w:rsidRPr="00A318EB" w:rsidRDefault="004A4345" w:rsidP="004A4345">
      <w:pPr>
        <w:rPr>
          <w:rFonts w:asciiTheme="minorHAnsi" w:hAnsiTheme="minorHAnsi"/>
          <w:i/>
          <w:sz w:val="20"/>
        </w:rPr>
      </w:pPr>
      <w:r w:rsidRPr="00A318EB">
        <w:rPr>
          <w:rFonts w:asciiTheme="minorHAnsi" w:hAnsiTheme="minorHAnsi"/>
          <w:i/>
          <w:sz w:val="20"/>
        </w:rPr>
        <w:t xml:space="preserve">Concrete solutions </w:t>
      </w:r>
      <w:r>
        <w:rPr>
          <w:rFonts w:asciiTheme="minorHAnsi" w:hAnsiTheme="minorHAnsi"/>
          <w:i/>
          <w:sz w:val="20"/>
        </w:rPr>
        <w:t>that have been realized while implementing your commitments, including lessons learnt from</w:t>
      </w:r>
      <w:r w:rsidRPr="00A318EB">
        <w:rPr>
          <w:rFonts w:asciiTheme="minorHAnsi" w:hAnsiTheme="minorHAnsi"/>
          <w:i/>
          <w:sz w:val="20"/>
        </w:rPr>
        <w:t xml:space="preserve"> success stories</w:t>
      </w:r>
      <w:r>
        <w:rPr>
          <w:rFonts w:asciiTheme="minorHAnsi" w:hAnsiTheme="minorHAnsi"/>
          <w:i/>
          <w:sz w:val="20"/>
        </w:rPr>
        <w:t xml:space="preserve"> and challenges</w:t>
      </w:r>
      <w:r w:rsidRPr="00A318EB">
        <w:rPr>
          <w:rFonts w:asciiTheme="minorHAnsi" w:hAnsiTheme="minorHAnsi"/>
          <w:i/>
          <w:sz w:val="20"/>
        </w:rPr>
        <w:t xml:space="preserve">, </w:t>
      </w:r>
      <w:r>
        <w:rPr>
          <w:rFonts w:asciiTheme="minorHAnsi" w:hAnsiTheme="minorHAnsi"/>
          <w:i/>
          <w:sz w:val="20"/>
        </w:rPr>
        <w:t xml:space="preserve">and </w:t>
      </w:r>
      <w:r w:rsidRPr="00A318EB">
        <w:rPr>
          <w:rFonts w:asciiTheme="minorHAnsi" w:hAnsiTheme="minorHAnsi"/>
          <w:i/>
          <w:sz w:val="20"/>
        </w:rPr>
        <w:t>case studie</w:t>
      </w:r>
      <w:r>
        <w:rPr>
          <w:rFonts w:asciiTheme="minorHAnsi" w:hAnsiTheme="minorHAnsi"/>
          <w:i/>
          <w:sz w:val="20"/>
        </w:rPr>
        <w:t>s</w:t>
      </w:r>
      <w:r w:rsidRPr="00A318EB">
        <w:rPr>
          <w:rFonts w:asciiTheme="minorHAnsi" w:hAnsiTheme="minorHAnsi"/>
          <w:i/>
          <w:sz w:val="20"/>
        </w:rPr>
        <w:t xml:space="preserve"> that are in line with the 1.5/2 degrees’ goal and </w:t>
      </w:r>
      <w:r>
        <w:rPr>
          <w:rFonts w:asciiTheme="minorHAnsi" w:hAnsiTheme="minorHAnsi"/>
          <w:i/>
          <w:sz w:val="20"/>
        </w:rPr>
        <w:t>can support</w:t>
      </w:r>
      <w:r w:rsidRPr="00A318EB">
        <w:rPr>
          <w:rFonts w:asciiTheme="minorHAnsi" w:hAnsiTheme="minorHAnsi"/>
          <w:i/>
          <w:sz w:val="20"/>
        </w:rPr>
        <w:t xml:space="preserve"> </w:t>
      </w:r>
      <w:r>
        <w:rPr>
          <w:rFonts w:asciiTheme="minorHAnsi" w:hAnsiTheme="minorHAnsi"/>
          <w:i/>
          <w:sz w:val="20"/>
        </w:rPr>
        <w:t xml:space="preserve">the </w:t>
      </w:r>
      <w:r w:rsidRPr="00A318EB">
        <w:rPr>
          <w:rFonts w:asciiTheme="minorHAnsi" w:hAnsiTheme="minorHAnsi"/>
          <w:i/>
          <w:sz w:val="20"/>
        </w:rPr>
        <w:t xml:space="preserve">Parties </w:t>
      </w:r>
      <w:r>
        <w:rPr>
          <w:rFonts w:asciiTheme="minorHAnsi" w:hAnsiTheme="minorHAnsi"/>
          <w:i/>
          <w:sz w:val="20"/>
        </w:rPr>
        <w:t xml:space="preserve">in </w:t>
      </w:r>
      <w:r w:rsidRPr="00A318EB">
        <w:rPr>
          <w:rFonts w:asciiTheme="minorHAnsi" w:hAnsiTheme="minorHAnsi"/>
          <w:i/>
          <w:sz w:val="20"/>
        </w:rPr>
        <w:t>achiev</w:t>
      </w:r>
      <w:r>
        <w:rPr>
          <w:rFonts w:asciiTheme="minorHAnsi" w:hAnsiTheme="minorHAnsi"/>
          <w:i/>
          <w:sz w:val="20"/>
        </w:rPr>
        <w:t>ing</w:t>
      </w:r>
      <w:r w:rsidRPr="00A318EB">
        <w:rPr>
          <w:rFonts w:asciiTheme="minorHAnsi" w:hAnsiTheme="minorHAnsi"/>
          <w:i/>
          <w:sz w:val="20"/>
        </w:rPr>
        <w:t xml:space="preserve"> their </w:t>
      </w:r>
      <w:r>
        <w:rPr>
          <w:rFonts w:asciiTheme="minorHAnsi" w:hAnsiTheme="minorHAnsi"/>
          <w:i/>
          <w:sz w:val="20"/>
        </w:rPr>
        <w:t xml:space="preserve">NDC goals, </w:t>
      </w:r>
      <w:r w:rsidRPr="00A318EB">
        <w:rPr>
          <w:rFonts w:asciiTheme="minorHAnsi" w:hAnsiTheme="minorHAnsi"/>
          <w:i/>
          <w:sz w:val="20"/>
        </w:rPr>
        <w:t xml:space="preserve">enable higher ambition </w:t>
      </w:r>
      <w:r>
        <w:rPr>
          <w:rFonts w:asciiTheme="minorHAnsi" w:hAnsiTheme="minorHAnsi"/>
          <w:i/>
          <w:sz w:val="20"/>
        </w:rPr>
        <w:t xml:space="preserve">and inspire engagement of other non-state actors </w:t>
      </w:r>
    </w:p>
    <w:tbl>
      <w:tblPr>
        <w:tblStyle w:val="TableGrid"/>
        <w:tblW w:w="0" w:type="auto"/>
        <w:tblLook w:val="04A0" w:firstRow="1" w:lastRow="0" w:firstColumn="1" w:lastColumn="0" w:noHBand="0" w:noVBand="1"/>
      </w:tblPr>
      <w:tblGrid>
        <w:gridCol w:w="9096"/>
      </w:tblGrid>
      <w:tr w:rsidR="004A4345" w:rsidRPr="00A318EB" w14:paraId="6CC4311E" w14:textId="77777777" w:rsidTr="00B87B8E">
        <w:tc>
          <w:tcPr>
            <w:tcW w:w="9096" w:type="dxa"/>
          </w:tcPr>
          <w:p w14:paraId="5884BFEA" w14:textId="22371822" w:rsidR="00FF1518" w:rsidRDefault="006C5B01" w:rsidP="00FF1518">
            <w:pPr>
              <w:jc w:val="both"/>
              <w:rPr>
                <w:rFonts w:asciiTheme="minorHAnsi" w:hAnsiTheme="minorHAnsi" w:cstheme="minorHAnsi"/>
                <w:sz w:val="20"/>
              </w:rPr>
            </w:pPr>
            <w:r w:rsidRPr="00FF1518">
              <w:rPr>
                <w:rFonts w:asciiTheme="minorHAnsi" w:hAnsiTheme="minorHAnsi" w:cstheme="minorHAnsi"/>
                <w:sz w:val="20"/>
              </w:rPr>
              <w:t>There are a number of efforts that can be undertak</w:t>
            </w:r>
            <w:r w:rsidR="00CE036D">
              <w:rPr>
                <w:rFonts w:asciiTheme="minorHAnsi" w:hAnsiTheme="minorHAnsi" w:cstheme="minorHAnsi"/>
                <w:sz w:val="20"/>
              </w:rPr>
              <w:t>en to accelerate the use of CCS, CCUS,</w:t>
            </w:r>
            <w:r w:rsidRPr="00FF1518">
              <w:rPr>
                <w:rFonts w:asciiTheme="minorHAnsi" w:hAnsiTheme="minorHAnsi" w:cstheme="minorHAnsi"/>
                <w:sz w:val="20"/>
              </w:rPr>
              <w:t>CCU</w:t>
            </w:r>
            <w:r w:rsidR="00C80B7A">
              <w:rPr>
                <w:rFonts w:asciiTheme="minorHAnsi" w:hAnsiTheme="minorHAnsi" w:cstheme="minorHAnsi"/>
                <w:sz w:val="20"/>
              </w:rPr>
              <w:t xml:space="preserve"> </w:t>
            </w:r>
            <w:r w:rsidR="00CE036D">
              <w:rPr>
                <w:rFonts w:asciiTheme="minorHAnsi" w:hAnsiTheme="minorHAnsi" w:cstheme="minorHAnsi"/>
                <w:i/>
                <w:sz w:val="16"/>
                <w:szCs w:val="16"/>
              </w:rPr>
              <w:t xml:space="preserve">[Carbon Capture and Storage, </w:t>
            </w:r>
            <w:r w:rsidR="00C80B7A">
              <w:rPr>
                <w:rFonts w:asciiTheme="minorHAnsi" w:hAnsiTheme="minorHAnsi" w:cstheme="minorHAnsi"/>
                <w:i/>
                <w:sz w:val="16"/>
                <w:szCs w:val="16"/>
              </w:rPr>
              <w:t>Carbon Capture Utilization and Sto</w:t>
            </w:r>
            <w:r w:rsidR="00CE036D">
              <w:rPr>
                <w:rFonts w:asciiTheme="minorHAnsi" w:hAnsiTheme="minorHAnsi" w:cstheme="minorHAnsi"/>
                <w:i/>
                <w:sz w:val="16"/>
                <w:szCs w:val="16"/>
              </w:rPr>
              <w:t>rage, Carbon Capture Utilization/</w:t>
            </w:r>
            <w:r w:rsidR="00C80B7A">
              <w:rPr>
                <w:rFonts w:asciiTheme="minorHAnsi" w:hAnsiTheme="minorHAnsi" w:cstheme="minorHAnsi"/>
                <w:i/>
                <w:sz w:val="16"/>
                <w:szCs w:val="16"/>
              </w:rPr>
              <w:t>Reuse]</w:t>
            </w:r>
            <w:r w:rsidRPr="00FF1518">
              <w:rPr>
                <w:rFonts w:asciiTheme="minorHAnsi" w:hAnsiTheme="minorHAnsi" w:cstheme="minorHAnsi"/>
                <w:sz w:val="20"/>
              </w:rPr>
              <w:t xml:space="preserve">.  </w:t>
            </w:r>
            <w:r w:rsidR="00FF1518" w:rsidRPr="00FF1518">
              <w:rPr>
                <w:rFonts w:asciiTheme="minorHAnsi" w:hAnsiTheme="minorHAnsi" w:cstheme="minorHAnsi"/>
                <w:sz w:val="20"/>
              </w:rPr>
              <w:t>Examples include: (1) establishing a price for carbon in national economies, (2) setting ambitious CO</w:t>
            </w:r>
            <w:r w:rsidR="00FF1518" w:rsidRPr="00FF1518">
              <w:rPr>
                <w:rFonts w:asciiTheme="minorHAnsi" w:hAnsiTheme="minorHAnsi" w:cstheme="minorHAnsi"/>
                <w:sz w:val="20"/>
                <w:vertAlign w:val="subscript"/>
              </w:rPr>
              <w:t>2</w:t>
            </w:r>
            <w:r w:rsidR="00FF1518" w:rsidRPr="00FF1518">
              <w:rPr>
                <w:rFonts w:asciiTheme="minorHAnsi" w:hAnsiTheme="minorHAnsi" w:cstheme="minorHAnsi"/>
                <w:sz w:val="20"/>
              </w:rPr>
              <w:t xml:space="preserve"> reduction targets at national level, (3) providing incentives for CO</w:t>
            </w:r>
            <w:r w:rsidR="00FF1518" w:rsidRPr="00FF1518">
              <w:rPr>
                <w:rFonts w:asciiTheme="minorHAnsi" w:hAnsiTheme="minorHAnsi" w:cstheme="minorHAnsi"/>
                <w:sz w:val="20"/>
                <w:vertAlign w:val="subscript"/>
              </w:rPr>
              <w:t>2</w:t>
            </w:r>
            <w:r w:rsidR="00FF1518" w:rsidRPr="00FF1518">
              <w:rPr>
                <w:rFonts w:asciiTheme="minorHAnsi" w:hAnsiTheme="minorHAnsi" w:cstheme="minorHAnsi"/>
                <w:sz w:val="20"/>
              </w:rPr>
              <w:t xml:space="preserve"> capture and storage, (4) development of the legal and regulatory regimes needed for safe deployment of CCS and CCUS technologies, and (5) expansion of research and development on carbon capture technologies through Public Private Partnerships: </w:t>
            </w:r>
          </w:p>
          <w:p w14:paraId="36A5821B" w14:textId="77777777" w:rsidR="00CE036D" w:rsidRPr="00FF1518" w:rsidRDefault="00CE036D" w:rsidP="00FF1518">
            <w:pPr>
              <w:jc w:val="both"/>
              <w:rPr>
                <w:rFonts w:asciiTheme="minorHAnsi" w:hAnsiTheme="minorHAnsi" w:cstheme="minorHAnsi"/>
                <w:sz w:val="20"/>
              </w:rPr>
            </w:pPr>
          </w:p>
          <w:p w14:paraId="77C3526A" w14:textId="46F211CD" w:rsidR="00FF1518" w:rsidRPr="00FF1518" w:rsidRDefault="00FF1518" w:rsidP="00FF1518">
            <w:pPr>
              <w:pStyle w:val="ListParagraph"/>
              <w:numPr>
                <w:ilvl w:val="0"/>
                <w:numId w:val="9"/>
              </w:numPr>
              <w:spacing w:line="252" w:lineRule="auto"/>
              <w:contextualSpacing w:val="0"/>
              <w:jc w:val="both"/>
              <w:rPr>
                <w:rFonts w:cstheme="minorHAnsi"/>
                <w:sz w:val="20"/>
                <w:szCs w:val="20"/>
              </w:rPr>
            </w:pPr>
            <w:r w:rsidRPr="00FF1518">
              <w:rPr>
                <w:rFonts w:cstheme="minorHAnsi"/>
                <w:sz w:val="20"/>
                <w:szCs w:val="20"/>
              </w:rPr>
              <w:t>Joint R&amp;D between public and private sector - Over the last the last two decades, carbon capture, utilization and storage (CCUS) technology has been developed and brou</w:t>
            </w:r>
            <w:r w:rsidR="006C5B01">
              <w:rPr>
                <w:rFonts w:cstheme="minorHAnsi"/>
                <w:sz w:val="20"/>
                <w:szCs w:val="20"/>
              </w:rPr>
              <w:t>ght to readiness for commercial-</w:t>
            </w:r>
            <w:r w:rsidRPr="00FF1518">
              <w:rPr>
                <w:rFonts w:cstheme="minorHAnsi"/>
                <w:sz w:val="20"/>
                <w:szCs w:val="20"/>
              </w:rPr>
              <w:t>scale CCUS demonstration by Jupiter Oxygen Corporation, USA. This company uses an oxy</w:t>
            </w:r>
            <w:r w:rsidR="006C5B01">
              <w:rPr>
                <w:rFonts w:cstheme="minorHAnsi"/>
                <w:sz w:val="20"/>
                <w:szCs w:val="20"/>
              </w:rPr>
              <w:t>-combustion process to achieve</w:t>
            </w:r>
            <w:r w:rsidRPr="00FF1518">
              <w:rPr>
                <w:rFonts w:cstheme="minorHAnsi"/>
                <w:sz w:val="20"/>
                <w:szCs w:val="20"/>
              </w:rPr>
              <w:t xml:space="preserve"> high flame-temperature conditions in power plant boilers, which enables cost effective carbon capture from existing natural gas and coal-fired power plants. </w:t>
            </w:r>
          </w:p>
          <w:p w14:paraId="1B3DA79E" w14:textId="0C3C1F65" w:rsidR="00FF1518" w:rsidRPr="00FF1518" w:rsidRDefault="00FF1518" w:rsidP="00FF1518">
            <w:pPr>
              <w:pStyle w:val="ListParagraph"/>
              <w:numPr>
                <w:ilvl w:val="0"/>
                <w:numId w:val="9"/>
              </w:numPr>
              <w:spacing w:line="252" w:lineRule="auto"/>
              <w:contextualSpacing w:val="0"/>
              <w:jc w:val="both"/>
              <w:rPr>
                <w:rFonts w:cstheme="minorHAnsi"/>
                <w:sz w:val="20"/>
                <w:szCs w:val="20"/>
              </w:rPr>
            </w:pPr>
            <w:r w:rsidRPr="00FF1518">
              <w:rPr>
                <w:rFonts w:cstheme="minorHAnsi"/>
                <w:sz w:val="20"/>
                <w:szCs w:val="20"/>
              </w:rPr>
              <w:t>The U.S. Department of Energy’s National Energy Technology Laboratory (NETL) worked over 10 years with Jupiter Oxygen to perfect the carbon capture train and integrated air pollutant control</w:t>
            </w:r>
            <w:r w:rsidR="00CE036D">
              <w:rPr>
                <w:rFonts w:cstheme="minorHAnsi"/>
                <w:sz w:val="20"/>
                <w:szCs w:val="20"/>
              </w:rPr>
              <w:t xml:space="preserve"> system</w:t>
            </w:r>
            <w:r w:rsidRPr="00FF1518">
              <w:rPr>
                <w:rFonts w:cstheme="minorHAnsi"/>
                <w:sz w:val="20"/>
                <w:szCs w:val="20"/>
              </w:rPr>
              <w:t>.</w:t>
            </w:r>
          </w:p>
          <w:p w14:paraId="1777DF74" w14:textId="5B5AA364" w:rsidR="004A4345" w:rsidRPr="00DD386F" w:rsidRDefault="004A4345" w:rsidP="00B87B8E">
            <w:pPr>
              <w:pStyle w:val="yiv1887266641msonormal"/>
              <w:spacing w:before="2"/>
              <w:rPr>
                <w:rFonts w:asciiTheme="minorHAnsi" w:hAnsiTheme="minorHAnsi" w:cstheme="minorHAnsi"/>
                <w:i/>
              </w:rPr>
            </w:pPr>
          </w:p>
        </w:tc>
      </w:tr>
    </w:tbl>
    <w:p w14:paraId="3D9D2CC8" w14:textId="77777777" w:rsidR="004A4345" w:rsidRPr="00A318EB" w:rsidRDefault="004A4345" w:rsidP="004A4345">
      <w:pPr>
        <w:spacing w:line="240" w:lineRule="auto"/>
        <w:rPr>
          <w:rFonts w:asciiTheme="minorHAnsi" w:hAnsiTheme="minorHAnsi"/>
          <w:i/>
          <w:sz w:val="20"/>
        </w:rPr>
      </w:pPr>
    </w:p>
    <w:p w14:paraId="4A0AF57D" w14:textId="77777777" w:rsidR="004A4345" w:rsidRPr="00A318EB" w:rsidRDefault="004A4345" w:rsidP="004A4345">
      <w:pPr>
        <w:spacing w:line="240" w:lineRule="auto"/>
        <w:rPr>
          <w:rFonts w:asciiTheme="minorHAnsi" w:hAnsiTheme="minorHAnsi"/>
          <w:i/>
          <w:sz w:val="20"/>
        </w:rPr>
      </w:pPr>
    </w:p>
    <w:p w14:paraId="21788AB6" w14:textId="77777777" w:rsidR="004A4345" w:rsidRPr="008C3517" w:rsidRDefault="004A4345" w:rsidP="008C3517">
      <w:pPr>
        <w:spacing w:line="240" w:lineRule="auto"/>
        <w:rPr>
          <w:i/>
          <w:sz w:val="20"/>
        </w:rPr>
      </w:pPr>
      <w:r w:rsidRPr="008C3517">
        <w:rPr>
          <w:i/>
          <w:sz w:val="20"/>
        </w:rPr>
        <w:t xml:space="preserve">Lessons learned based on the experience and progress so far </w:t>
      </w:r>
    </w:p>
    <w:tbl>
      <w:tblPr>
        <w:tblStyle w:val="TableGrid"/>
        <w:tblW w:w="0" w:type="auto"/>
        <w:tblLook w:val="04A0" w:firstRow="1" w:lastRow="0" w:firstColumn="1" w:lastColumn="0" w:noHBand="0" w:noVBand="1"/>
      </w:tblPr>
      <w:tblGrid>
        <w:gridCol w:w="9016"/>
      </w:tblGrid>
      <w:tr w:rsidR="004A4345" w:rsidRPr="00A318EB" w14:paraId="63792A1F" w14:textId="77777777" w:rsidTr="00B87B8E">
        <w:tc>
          <w:tcPr>
            <w:tcW w:w="9016" w:type="dxa"/>
          </w:tcPr>
          <w:p w14:paraId="20337C75" w14:textId="76BE00B6" w:rsidR="00FF1518"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These CCUS technologies are among the most pragmatic sol</w:t>
            </w:r>
            <w:r w:rsidR="0086715B">
              <w:rPr>
                <w:rFonts w:asciiTheme="minorHAnsi" w:hAnsiTheme="minorHAnsi" w:cstheme="minorHAnsi"/>
                <w:sz w:val="20"/>
              </w:rPr>
              <w:t>utions to realistically tackle</w:t>
            </w:r>
            <w:r w:rsidRPr="00FF1518">
              <w:rPr>
                <w:rFonts w:asciiTheme="minorHAnsi" w:hAnsiTheme="minorHAnsi" w:cstheme="minorHAnsi"/>
                <w:sz w:val="20"/>
              </w:rPr>
              <w:t xml:space="preserve"> climate change and should receive the necessary financial support for accelerated development and deployment, especially in emerging economies that are much reliant on coal for economic growth. </w:t>
            </w:r>
          </w:p>
          <w:p w14:paraId="371F205E" w14:textId="77777777" w:rsidR="00CE036D" w:rsidRDefault="00CE036D" w:rsidP="00FF1518">
            <w:pPr>
              <w:jc w:val="both"/>
              <w:rPr>
                <w:rFonts w:asciiTheme="minorHAnsi" w:hAnsiTheme="minorHAnsi" w:cstheme="minorHAnsi"/>
                <w:sz w:val="20"/>
              </w:rPr>
            </w:pPr>
          </w:p>
          <w:p w14:paraId="27D411F7" w14:textId="5EE47FB5" w:rsidR="004A4345" w:rsidRPr="00FF1518" w:rsidRDefault="00FF1518" w:rsidP="00FF1518">
            <w:pPr>
              <w:jc w:val="both"/>
              <w:rPr>
                <w:rFonts w:asciiTheme="minorHAnsi" w:hAnsiTheme="minorHAnsi" w:cstheme="minorHAnsi"/>
                <w:sz w:val="20"/>
              </w:rPr>
            </w:pPr>
            <w:r w:rsidRPr="00FF1518">
              <w:rPr>
                <w:rFonts w:asciiTheme="minorHAnsi" w:hAnsiTheme="minorHAnsi" w:cstheme="minorHAnsi"/>
                <w:sz w:val="20"/>
              </w:rPr>
              <w:t>In sum</w:t>
            </w:r>
            <w:r w:rsidR="00CE036D">
              <w:rPr>
                <w:rFonts w:asciiTheme="minorHAnsi" w:hAnsiTheme="minorHAnsi" w:cstheme="minorHAnsi"/>
                <w:sz w:val="20"/>
              </w:rPr>
              <w:t>mary</w:t>
            </w:r>
            <w:r w:rsidRPr="00FF1518">
              <w:rPr>
                <w:rFonts w:asciiTheme="minorHAnsi" w:hAnsiTheme="minorHAnsi" w:cstheme="minorHAnsi"/>
                <w:sz w:val="20"/>
              </w:rPr>
              <w:t>, carbon capture, utilization, and storage or reuse technologies are essential to addressing the challenge of global climate change effectively.</w:t>
            </w:r>
          </w:p>
          <w:p w14:paraId="0DC1EBA1" w14:textId="77777777" w:rsidR="004A4345" w:rsidRPr="00A318EB" w:rsidRDefault="004A4345" w:rsidP="00B87B8E">
            <w:pPr>
              <w:rPr>
                <w:i/>
                <w:sz w:val="20"/>
              </w:rPr>
            </w:pPr>
          </w:p>
        </w:tc>
      </w:tr>
    </w:tbl>
    <w:p w14:paraId="3A51CEAA" w14:textId="77777777" w:rsidR="004A4345" w:rsidRDefault="004A4345" w:rsidP="004A4345">
      <w:pPr>
        <w:rPr>
          <w:rFonts w:asciiTheme="minorHAnsi" w:hAnsiTheme="minorHAnsi"/>
          <w:i/>
          <w:sz w:val="20"/>
        </w:rPr>
      </w:pPr>
    </w:p>
    <w:p w14:paraId="324CF366" w14:textId="77777777" w:rsidR="005E6302" w:rsidRDefault="005E6302" w:rsidP="001D66AE">
      <w:pPr>
        <w:rPr>
          <w:rFonts w:asciiTheme="minorHAnsi" w:hAnsiTheme="minorHAnsi"/>
          <w:b/>
          <w:sz w:val="24"/>
          <w:szCs w:val="24"/>
        </w:rPr>
      </w:pPr>
    </w:p>
    <w:sectPr w:rsidR="005E6302" w:rsidSect="009B6C10">
      <w:headerReference w:type="even" r:id="rId8"/>
      <w:headerReference w:type="default" r:id="rId9"/>
      <w:footerReference w:type="default" r:id="rId10"/>
      <w:headerReference w:type="first" r:id="rId11"/>
      <w:pgSz w:w="12240" w:h="15840"/>
      <w:pgMar w:top="1440" w:right="1440" w:bottom="1440" w:left="1440" w:header="119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E0F8F" w14:textId="77777777" w:rsidR="007E30A8" w:rsidRDefault="007E30A8" w:rsidP="005339CC">
      <w:pPr>
        <w:spacing w:line="240" w:lineRule="auto"/>
      </w:pPr>
      <w:r>
        <w:separator/>
      </w:r>
    </w:p>
  </w:endnote>
  <w:endnote w:type="continuationSeparator" w:id="0">
    <w:p w14:paraId="27414DF9" w14:textId="77777777" w:rsidR="007E30A8" w:rsidRDefault="007E30A8" w:rsidP="00533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F21D9" w14:textId="304170ED" w:rsidR="00EB0A2F" w:rsidRPr="006C5B01" w:rsidRDefault="00D16893" w:rsidP="00D16893">
    <w:pPr>
      <w:pStyle w:val="Footer"/>
      <w:tabs>
        <w:tab w:val="clear" w:pos="4680"/>
        <w:tab w:val="clear" w:pos="9360"/>
      </w:tabs>
      <w:rPr>
        <w:caps/>
        <w:color w:val="4F81BD" w:themeColor="accent1"/>
        <w:sz w:val="18"/>
        <w:szCs w:val="18"/>
      </w:rPr>
    </w:pPr>
    <w:r>
      <w:rPr>
        <w:noProof/>
      </w:rPr>
      <w:t xml:space="preserve">                                            </w:t>
    </w:r>
    <w:r w:rsidRPr="008007A7">
      <w:rPr>
        <w:noProof/>
        <w:lang w:val="en-US"/>
      </w:rPr>
      <w:drawing>
        <wp:inline distT="0" distB="0" distL="0" distR="0" wp14:anchorId="41474A5A" wp14:editId="7D1B0E30">
          <wp:extent cx="361950" cy="354853"/>
          <wp:effectExtent l="0" t="0" r="0" b="7620"/>
          <wp:docPr id="1" name="Picture 1" descr="J:\Jupiter Oxygen\JOC Logo\JupiterLogo-Nam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Jupiter Oxygen\JOC Logo\JupiterLogo-Name.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759" cy="365450"/>
                  </a:xfrm>
                  <a:prstGeom prst="rect">
                    <a:avLst/>
                  </a:prstGeom>
                  <a:noFill/>
                  <a:ln>
                    <a:noFill/>
                  </a:ln>
                </pic:spPr>
              </pic:pic>
            </a:graphicData>
          </a:graphic>
        </wp:inline>
      </w:drawing>
    </w:r>
    <w:r>
      <w:rPr>
        <w:noProof/>
      </w:rPr>
      <w:t xml:space="preserve"> </w:t>
    </w:r>
    <w:r w:rsidR="009F50EE" w:rsidRPr="00D16893">
      <w:rPr>
        <w:b/>
        <w:caps/>
        <w:color w:val="0000FF"/>
        <w:sz w:val="18"/>
        <w:szCs w:val="18"/>
      </w:rPr>
      <w:t>jupiter oxygen corporation April 2,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F1396" w14:textId="77777777" w:rsidR="007E30A8" w:rsidRDefault="007E30A8" w:rsidP="005339CC">
      <w:pPr>
        <w:spacing w:line="240" w:lineRule="auto"/>
      </w:pPr>
      <w:r>
        <w:separator/>
      </w:r>
    </w:p>
  </w:footnote>
  <w:footnote w:type="continuationSeparator" w:id="0">
    <w:p w14:paraId="0E9B3CD6" w14:textId="77777777" w:rsidR="007E30A8" w:rsidRDefault="007E30A8" w:rsidP="005339CC">
      <w:pPr>
        <w:spacing w:line="240" w:lineRule="auto"/>
      </w:pPr>
      <w:r>
        <w:continuationSeparator/>
      </w:r>
    </w:p>
  </w:footnote>
  <w:footnote w:id="1">
    <w:p w14:paraId="0C304A13" w14:textId="283A7AAD" w:rsidR="00FF1518" w:rsidRPr="006020FB" w:rsidRDefault="00FF1518" w:rsidP="00FF1518">
      <w:pPr>
        <w:pStyle w:val="FootnoteText"/>
        <w:rPr>
          <w:sz w:val="24"/>
          <w:szCs w:val="24"/>
        </w:rPr>
      </w:pPr>
      <w:r>
        <w:rPr>
          <w:rStyle w:val="FootnoteReference"/>
        </w:rPr>
        <w:footnoteRef/>
      </w:r>
      <w:r>
        <w:t xml:space="preserve"> </w:t>
      </w:r>
      <w:r w:rsidRPr="009F50EE">
        <w:rPr>
          <w:rFonts w:asciiTheme="minorHAnsi" w:hAnsiTheme="minorHAnsi" w:cstheme="minorHAnsi"/>
          <w:b/>
          <w:sz w:val="16"/>
          <w:szCs w:val="16"/>
        </w:rPr>
        <w:t>A</w:t>
      </w:r>
      <w:r w:rsidRPr="009F50EE">
        <w:rPr>
          <w:rFonts w:asciiTheme="minorHAnsi" w:hAnsiTheme="minorHAnsi" w:cstheme="minorHAnsi"/>
          <w:sz w:val="16"/>
          <w:szCs w:val="16"/>
        </w:rPr>
        <w:t>ccording to the U.S. Energy Information Administration (EIA, October 2017)</w:t>
      </w:r>
      <w:r w:rsidR="006C5B01">
        <w:rPr>
          <w:rFonts w:asciiTheme="minorHAnsi" w:hAnsiTheme="minorHAnsi" w:cstheme="minorHAnsi"/>
          <w:sz w:val="16"/>
          <w:szCs w:val="16"/>
        </w:rPr>
        <w:t>, in the year 2000,</w:t>
      </w:r>
      <w:r w:rsidRPr="009F50EE">
        <w:rPr>
          <w:rFonts w:asciiTheme="minorHAnsi" w:hAnsiTheme="minorHAnsi" w:cstheme="minorHAnsi"/>
          <w:sz w:val="16"/>
          <w:szCs w:val="16"/>
        </w:rPr>
        <w:t xml:space="preserve"> U.S. electric energy was produced</w:t>
      </w:r>
      <w:r w:rsidR="002C0BFA">
        <w:rPr>
          <w:rFonts w:asciiTheme="minorHAnsi" w:hAnsiTheme="minorHAnsi" w:cstheme="minorHAnsi"/>
          <w:sz w:val="16"/>
          <w:szCs w:val="16"/>
        </w:rPr>
        <w:t xml:space="preserve"> more than 50% </w:t>
      </w:r>
      <w:r w:rsidR="006C5B01">
        <w:rPr>
          <w:rFonts w:asciiTheme="minorHAnsi" w:hAnsiTheme="minorHAnsi" w:cstheme="minorHAnsi"/>
          <w:sz w:val="16"/>
          <w:szCs w:val="16"/>
        </w:rPr>
        <w:t xml:space="preserve">by coal </w:t>
      </w:r>
      <w:r w:rsidRPr="009F50EE">
        <w:rPr>
          <w:rFonts w:asciiTheme="minorHAnsi" w:hAnsiTheme="minorHAnsi" w:cstheme="minorHAnsi"/>
          <w:sz w:val="16"/>
          <w:szCs w:val="16"/>
        </w:rPr>
        <w:t>compared to only 16% by natural gas, and</w:t>
      </w:r>
      <w:r w:rsidR="001C33E2">
        <w:rPr>
          <w:rFonts w:asciiTheme="minorHAnsi" w:hAnsiTheme="minorHAnsi" w:cstheme="minorHAnsi"/>
          <w:sz w:val="16"/>
          <w:szCs w:val="16"/>
        </w:rPr>
        <w:t xml:space="preserve"> by 2015</w:t>
      </w:r>
      <w:r w:rsidRPr="009F50EE">
        <w:rPr>
          <w:rFonts w:asciiTheme="minorHAnsi" w:hAnsiTheme="minorHAnsi" w:cstheme="minorHAnsi"/>
          <w:sz w:val="16"/>
          <w:szCs w:val="16"/>
        </w:rPr>
        <w:t xml:space="preserve"> rea</w:t>
      </w:r>
      <w:r w:rsidR="006C5B01">
        <w:rPr>
          <w:rFonts w:asciiTheme="minorHAnsi" w:hAnsiTheme="minorHAnsi" w:cstheme="minorHAnsi"/>
          <w:sz w:val="16"/>
          <w:szCs w:val="16"/>
        </w:rPr>
        <w:t>ched an equal proportion of 32% each for coal and natural gas</w:t>
      </w:r>
      <w:r w:rsidRPr="009F50EE">
        <w:rPr>
          <w:rFonts w:asciiTheme="minorHAnsi" w:hAnsiTheme="minorHAnsi" w:cstheme="minorHAnsi"/>
          <w:sz w:val="16"/>
          <w:szCs w:val="16"/>
        </w:rPr>
        <w:t xml:space="preserve"> within only 15 years!</w:t>
      </w:r>
      <w:r w:rsidRPr="006020FB">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9F4A" w14:textId="634AEC5F" w:rsidR="00EB0A2F" w:rsidRDefault="00EB0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1950F" w14:textId="4C5AD50C" w:rsidR="005339CC" w:rsidRDefault="009B6C10" w:rsidP="00AA4B66">
    <w:pPr>
      <w:pStyle w:val="Header"/>
      <w:widowControl w:val="0"/>
    </w:pPr>
    <w:r w:rsidRPr="000A100E">
      <w:rPr>
        <w:noProof/>
        <w:lang w:val="en-US"/>
      </w:rPr>
      <w:drawing>
        <wp:anchor distT="0" distB="0" distL="114300" distR="114300" simplePos="0" relativeHeight="251660288" behindDoc="0" locked="0" layoutInCell="1" allowOverlap="1" wp14:anchorId="02D38366" wp14:editId="0764866C">
          <wp:simplePos x="0" y="0"/>
          <wp:positionH relativeFrom="margin">
            <wp:posOffset>3152140</wp:posOffset>
          </wp:positionH>
          <wp:positionV relativeFrom="paragraph">
            <wp:posOffset>-697534</wp:posOffset>
          </wp:positionV>
          <wp:extent cx="2762250" cy="86169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861695"/>
                  </a:xfrm>
                  <a:prstGeom prst="rect">
                    <a:avLst/>
                  </a:prstGeom>
                </pic:spPr>
              </pic:pic>
            </a:graphicData>
          </a:graphic>
        </wp:anchor>
      </w:drawing>
    </w:r>
    <w:r w:rsidR="00AA4B66" w:rsidRPr="000A100E">
      <w:rPr>
        <w:noProof/>
        <w:lang w:val="en-US"/>
      </w:rPr>
      <w:drawing>
        <wp:anchor distT="0" distB="0" distL="114300" distR="114300" simplePos="0" relativeHeight="251659264" behindDoc="0" locked="0" layoutInCell="1" allowOverlap="1" wp14:anchorId="368590B7" wp14:editId="3D0D7EC8">
          <wp:simplePos x="0" y="0"/>
          <wp:positionH relativeFrom="margin">
            <wp:posOffset>-201416</wp:posOffset>
          </wp:positionH>
          <wp:positionV relativeFrom="topMargin">
            <wp:align>bottom</wp:align>
          </wp:positionV>
          <wp:extent cx="929640" cy="752475"/>
          <wp:effectExtent l="0" t="0" r="381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29640"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AF61" w14:textId="05B09B85" w:rsidR="00EB0A2F" w:rsidRDefault="00EB0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361A"/>
    <w:multiLevelType w:val="hybridMultilevel"/>
    <w:tmpl w:val="233E57B0"/>
    <w:lvl w:ilvl="0" w:tplc="B9240960">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24BD9"/>
    <w:multiLevelType w:val="hybridMultilevel"/>
    <w:tmpl w:val="1730D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A76AD1"/>
    <w:multiLevelType w:val="hybridMultilevel"/>
    <w:tmpl w:val="717E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243AD"/>
    <w:multiLevelType w:val="hybridMultilevel"/>
    <w:tmpl w:val="28D82F36"/>
    <w:lvl w:ilvl="0" w:tplc="CBB8C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C289B"/>
    <w:multiLevelType w:val="hybridMultilevel"/>
    <w:tmpl w:val="FFBC8A0C"/>
    <w:lvl w:ilvl="0" w:tplc="7F762F9E">
      <w:start w:val="1"/>
      <w:numFmt w:val="bullet"/>
      <w:lvlText w:val="●"/>
      <w:lvlJc w:val="left"/>
      <w:pPr>
        <w:tabs>
          <w:tab w:val="num" w:pos="720"/>
        </w:tabs>
        <w:ind w:left="720" w:hanging="360"/>
      </w:pPr>
      <w:rPr>
        <w:rFonts w:ascii="Arial" w:hAnsi="Arial" w:hint="default"/>
      </w:rPr>
    </w:lvl>
    <w:lvl w:ilvl="1" w:tplc="35FA31B6" w:tentative="1">
      <w:start w:val="1"/>
      <w:numFmt w:val="bullet"/>
      <w:lvlText w:val="●"/>
      <w:lvlJc w:val="left"/>
      <w:pPr>
        <w:tabs>
          <w:tab w:val="num" w:pos="1440"/>
        </w:tabs>
        <w:ind w:left="1440" w:hanging="360"/>
      </w:pPr>
      <w:rPr>
        <w:rFonts w:ascii="Arial" w:hAnsi="Arial" w:hint="default"/>
      </w:rPr>
    </w:lvl>
    <w:lvl w:ilvl="2" w:tplc="793C717E" w:tentative="1">
      <w:start w:val="1"/>
      <w:numFmt w:val="bullet"/>
      <w:lvlText w:val="●"/>
      <w:lvlJc w:val="left"/>
      <w:pPr>
        <w:tabs>
          <w:tab w:val="num" w:pos="2160"/>
        </w:tabs>
        <w:ind w:left="2160" w:hanging="360"/>
      </w:pPr>
      <w:rPr>
        <w:rFonts w:ascii="Arial" w:hAnsi="Arial" w:hint="default"/>
      </w:rPr>
    </w:lvl>
    <w:lvl w:ilvl="3" w:tplc="728E1142" w:tentative="1">
      <w:start w:val="1"/>
      <w:numFmt w:val="bullet"/>
      <w:lvlText w:val="●"/>
      <w:lvlJc w:val="left"/>
      <w:pPr>
        <w:tabs>
          <w:tab w:val="num" w:pos="2880"/>
        </w:tabs>
        <w:ind w:left="2880" w:hanging="360"/>
      </w:pPr>
      <w:rPr>
        <w:rFonts w:ascii="Arial" w:hAnsi="Arial" w:hint="default"/>
      </w:rPr>
    </w:lvl>
    <w:lvl w:ilvl="4" w:tplc="88C222D2" w:tentative="1">
      <w:start w:val="1"/>
      <w:numFmt w:val="bullet"/>
      <w:lvlText w:val="●"/>
      <w:lvlJc w:val="left"/>
      <w:pPr>
        <w:tabs>
          <w:tab w:val="num" w:pos="3600"/>
        </w:tabs>
        <w:ind w:left="3600" w:hanging="360"/>
      </w:pPr>
      <w:rPr>
        <w:rFonts w:ascii="Arial" w:hAnsi="Arial" w:hint="default"/>
      </w:rPr>
    </w:lvl>
    <w:lvl w:ilvl="5" w:tplc="5CCC62F8" w:tentative="1">
      <w:start w:val="1"/>
      <w:numFmt w:val="bullet"/>
      <w:lvlText w:val="●"/>
      <w:lvlJc w:val="left"/>
      <w:pPr>
        <w:tabs>
          <w:tab w:val="num" w:pos="4320"/>
        </w:tabs>
        <w:ind w:left="4320" w:hanging="360"/>
      </w:pPr>
      <w:rPr>
        <w:rFonts w:ascii="Arial" w:hAnsi="Arial" w:hint="default"/>
      </w:rPr>
    </w:lvl>
    <w:lvl w:ilvl="6" w:tplc="53007C6A" w:tentative="1">
      <w:start w:val="1"/>
      <w:numFmt w:val="bullet"/>
      <w:lvlText w:val="●"/>
      <w:lvlJc w:val="left"/>
      <w:pPr>
        <w:tabs>
          <w:tab w:val="num" w:pos="5040"/>
        </w:tabs>
        <w:ind w:left="5040" w:hanging="360"/>
      </w:pPr>
      <w:rPr>
        <w:rFonts w:ascii="Arial" w:hAnsi="Arial" w:hint="default"/>
      </w:rPr>
    </w:lvl>
    <w:lvl w:ilvl="7" w:tplc="4C7A44C0" w:tentative="1">
      <w:start w:val="1"/>
      <w:numFmt w:val="bullet"/>
      <w:lvlText w:val="●"/>
      <w:lvlJc w:val="left"/>
      <w:pPr>
        <w:tabs>
          <w:tab w:val="num" w:pos="5760"/>
        </w:tabs>
        <w:ind w:left="5760" w:hanging="360"/>
      </w:pPr>
      <w:rPr>
        <w:rFonts w:ascii="Arial" w:hAnsi="Arial" w:hint="default"/>
      </w:rPr>
    </w:lvl>
    <w:lvl w:ilvl="8" w:tplc="E236D4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222317"/>
    <w:multiLevelType w:val="hybridMultilevel"/>
    <w:tmpl w:val="DA86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B2EE7"/>
    <w:multiLevelType w:val="hybridMultilevel"/>
    <w:tmpl w:val="BD54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70A78"/>
    <w:multiLevelType w:val="hybridMultilevel"/>
    <w:tmpl w:val="7EE22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5"/>
  </w:num>
  <w:num w:numId="8">
    <w:abstractNumId w:val="7"/>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AE"/>
    <w:rsid w:val="00026656"/>
    <w:rsid w:val="00104F67"/>
    <w:rsid w:val="00176EE2"/>
    <w:rsid w:val="001848B1"/>
    <w:rsid w:val="00185AE5"/>
    <w:rsid w:val="001A04D0"/>
    <w:rsid w:val="001C33E2"/>
    <w:rsid w:val="001C774C"/>
    <w:rsid w:val="001D09A4"/>
    <w:rsid w:val="001D66AE"/>
    <w:rsid w:val="00213AEA"/>
    <w:rsid w:val="00216A9B"/>
    <w:rsid w:val="00237713"/>
    <w:rsid w:val="00245055"/>
    <w:rsid w:val="0028171A"/>
    <w:rsid w:val="00282B4D"/>
    <w:rsid w:val="00283365"/>
    <w:rsid w:val="002A0875"/>
    <w:rsid w:val="002A51DD"/>
    <w:rsid w:val="002B49D4"/>
    <w:rsid w:val="002C0BFA"/>
    <w:rsid w:val="002F488D"/>
    <w:rsid w:val="00342B49"/>
    <w:rsid w:val="00372202"/>
    <w:rsid w:val="00396682"/>
    <w:rsid w:val="003D371E"/>
    <w:rsid w:val="003E28D3"/>
    <w:rsid w:val="0043585E"/>
    <w:rsid w:val="004A4345"/>
    <w:rsid w:val="004C12C5"/>
    <w:rsid w:val="004D526B"/>
    <w:rsid w:val="004E478D"/>
    <w:rsid w:val="004F76BA"/>
    <w:rsid w:val="00505400"/>
    <w:rsid w:val="00530658"/>
    <w:rsid w:val="005339CC"/>
    <w:rsid w:val="00540666"/>
    <w:rsid w:val="00555F16"/>
    <w:rsid w:val="00593FA2"/>
    <w:rsid w:val="00595EAB"/>
    <w:rsid w:val="005C0386"/>
    <w:rsid w:val="005C7ACC"/>
    <w:rsid w:val="005E28BC"/>
    <w:rsid w:val="005E6302"/>
    <w:rsid w:val="00610E41"/>
    <w:rsid w:val="00611276"/>
    <w:rsid w:val="006222F3"/>
    <w:rsid w:val="0066071D"/>
    <w:rsid w:val="006A692D"/>
    <w:rsid w:val="006C1345"/>
    <w:rsid w:val="006C21E1"/>
    <w:rsid w:val="006C5B01"/>
    <w:rsid w:val="006D0139"/>
    <w:rsid w:val="006E053C"/>
    <w:rsid w:val="006E0FCA"/>
    <w:rsid w:val="0072043F"/>
    <w:rsid w:val="00743658"/>
    <w:rsid w:val="00782DE3"/>
    <w:rsid w:val="007953BD"/>
    <w:rsid w:val="007C67E7"/>
    <w:rsid w:val="007E30A8"/>
    <w:rsid w:val="00801E89"/>
    <w:rsid w:val="00812153"/>
    <w:rsid w:val="0081449E"/>
    <w:rsid w:val="008531D4"/>
    <w:rsid w:val="0085511A"/>
    <w:rsid w:val="0086715B"/>
    <w:rsid w:val="0087125E"/>
    <w:rsid w:val="008A4B03"/>
    <w:rsid w:val="008C3517"/>
    <w:rsid w:val="008E5C74"/>
    <w:rsid w:val="008E5CBC"/>
    <w:rsid w:val="008F4C72"/>
    <w:rsid w:val="00931290"/>
    <w:rsid w:val="009979DF"/>
    <w:rsid w:val="009A2247"/>
    <w:rsid w:val="009A5945"/>
    <w:rsid w:val="009B6C10"/>
    <w:rsid w:val="009F50EE"/>
    <w:rsid w:val="00A048F5"/>
    <w:rsid w:val="00A6085E"/>
    <w:rsid w:val="00A919B1"/>
    <w:rsid w:val="00AA4B66"/>
    <w:rsid w:val="00B070BF"/>
    <w:rsid w:val="00B77EA8"/>
    <w:rsid w:val="00B824E9"/>
    <w:rsid w:val="00BA5BA6"/>
    <w:rsid w:val="00BC7F0E"/>
    <w:rsid w:val="00BD0A0F"/>
    <w:rsid w:val="00C33BA5"/>
    <w:rsid w:val="00C447B0"/>
    <w:rsid w:val="00C63C82"/>
    <w:rsid w:val="00C80B7A"/>
    <w:rsid w:val="00C9710A"/>
    <w:rsid w:val="00CC2DDB"/>
    <w:rsid w:val="00CE036D"/>
    <w:rsid w:val="00CF549A"/>
    <w:rsid w:val="00D00B8B"/>
    <w:rsid w:val="00D16893"/>
    <w:rsid w:val="00D21449"/>
    <w:rsid w:val="00D21D40"/>
    <w:rsid w:val="00D7243E"/>
    <w:rsid w:val="00DA426F"/>
    <w:rsid w:val="00DC1F22"/>
    <w:rsid w:val="00DC446B"/>
    <w:rsid w:val="00DD46D0"/>
    <w:rsid w:val="00DD4DE5"/>
    <w:rsid w:val="00DD5101"/>
    <w:rsid w:val="00DF5156"/>
    <w:rsid w:val="00EA1A72"/>
    <w:rsid w:val="00EB0A2F"/>
    <w:rsid w:val="00EE29B9"/>
    <w:rsid w:val="00F00537"/>
    <w:rsid w:val="00F71A11"/>
    <w:rsid w:val="00FF1518"/>
    <w:rsid w:val="00FF5E39"/>
    <w:rsid w:val="00FF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05A67"/>
  <w15:chartTrackingRefBased/>
  <w15:docId w15:val="{CDDAFE38-227A-4F1F-87C4-4F9EF065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E6302"/>
    <w:pPr>
      <w:tabs>
        <w:tab w:val="left" w:pos="709"/>
        <w:tab w:val="left" w:pos="5245"/>
      </w:tabs>
      <w:spacing w:after="0" w:line="284" w:lineRule="atLeast"/>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D66AE"/>
    <w:rPr>
      <w:sz w:val="16"/>
    </w:rPr>
  </w:style>
  <w:style w:type="paragraph" w:styleId="CommentText">
    <w:name w:val="annotation text"/>
    <w:basedOn w:val="Normal"/>
    <w:link w:val="CommentTextChar"/>
    <w:uiPriority w:val="99"/>
    <w:semiHidden/>
    <w:rsid w:val="001D66AE"/>
  </w:style>
  <w:style w:type="character" w:customStyle="1" w:styleId="CommentTextChar">
    <w:name w:val="Comment Text Char"/>
    <w:basedOn w:val="DefaultParagraphFont"/>
    <w:link w:val="CommentText"/>
    <w:uiPriority w:val="99"/>
    <w:semiHidden/>
    <w:rsid w:val="001D66AE"/>
    <w:rPr>
      <w:rFonts w:ascii="Times New Roman" w:eastAsia="Times New Roman" w:hAnsi="Times New Roman" w:cs="Times New Roman"/>
      <w:szCs w:val="20"/>
      <w:lang w:val="en-GB"/>
    </w:rPr>
  </w:style>
  <w:style w:type="paragraph" w:styleId="NormalWeb">
    <w:name w:val="Normal (Web)"/>
    <w:basedOn w:val="Normal"/>
    <w:uiPriority w:val="99"/>
    <w:unhideWhenUsed/>
    <w:rsid w:val="001D66AE"/>
    <w:pPr>
      <w:tabs>
        <w:tab w:val="clear" w:pos="709"/>
        <w:tab w:val="clear" w:pos="5245"/>
      </w:tabs>
      <w:spacing w:before="100" w:beforeAutospacing="1" w:after="100" w:afterAutospacing="1" w:line="240" w:lineRule="auto"/>
    </w:pPr>
    <w:rPr>
      <w:rFonts w:eastAsia="Calibri"/>
      <w:sz w:val="24"/>
      <w:szCs w:val="24"/>
      <w:lang w:val="en-US"/>
    </w:rPr>
  </w:style>
  <w:style w:type="paragraph" w:styleId="ListParagraph">
    <w:name w:val="List Paragraph"/>
    <w:basedOn w:val="Normal"/>
    <w:uiPriority w:val="34"/>
    <w:qFormat/>
    <w:rsid w:val="001D66AE"/>
    <w:pPr>
      <w:tabs>
        <w:tab w:val="clear" w:pos="709"/>
        <w:tab w:val="clear" w:pos="5245"/>
      </w:tabs>
      <w:spacing w:after="160" w:line="259" w:lineRule="auto"/>
      <w:ind w:left="720"/>
      <w:contextualSpacing/>
    </w:pPr>
    <w:rPr>
      <w:rFonts w:asciiTheme="minorHAnsi" w:eastAsiaTheme="minorHAnsi" w:hAnsiTheme="minorHAnsi" w:cstheme="minorBidi"/>
      <w:szCs w:val="22"/>
      <w:lang w:val="en-IE"/>
    </w:rPr>
  </w:style>
  <w:style w:type="table" w:styleId="TableGrid">
    <w:name w:val="Table Grid"/>
    <w:basedOn w:val="TableNormal"/>
    <w:uiPriority w:val="39"/>
    <w:rsid w:val="001D66AE"/>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6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AE"/>
    <w:rPr>
      <w:rFonts w:ascii="Segoe UI" w:eastAsia="Times New Roman" w:hAnsi="Segoe UI" w:cs="Segoe UI"/>
      <w:sz w:val="18"/>
      <w:szCs w:val="18"/>
      <w:lang w:val="en-GB"/>
    </w:rPr>
  </w:style>
  <w:style w:type="paragraph" w:styleId="Header">
    <w:name w:val="header"/>
    <w:basedOn w:val="Normal"/>
    <w:link w:val="HeaderChar"/>
    <w:uiPriority w:val="99"/>
    <w:unhideWhenUsed/>
    <w:rsid w:val="005339CC"/>
    <w:pPr>
      <w:tabs>
        <w:tab w:val="clear" w:pos="709"/>
        <w:tab w:val="clear" w:pos="5245"/>
        <w:tab w:val="center" w:pos="4680"/>
        <w:tab w:val="right" w:pos="9360"/>
      </w:tabs>
      <w:spacing w:line="240" w:lineRule="auto"/>
    </w:pPr>
  </w:style>
  <w:style w:type="character" w:customStyle="1" w:styleId="HeaderChar">
    <w:name w:val="Header Char"/>
    <w:basedOn w:val="DefaultParagraphFont"/>
    <w:link w:val="Header"/>
    <w:uiPriority w:val="99"/>
    <w:rsid w:val="005339CC"/>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5339CC"/>
    <w:pPr>
      <w:tabs>
        <w:tab w:val="clear" w:pos="709"/>
        <w:tab w:val="clear" w:pos="5245"/>
        <w:tab w:val="center" w:pos="4680"/>
        <w:tab w:val="right" w:pos="9360"/>
      </w:tabs>
      <w:spacing w:line="240" w:lineRule="auto"/>
    </w:pPr>
  </w:style>
  <w:style w:type="character" w:customStyle="1" w:styleId="FooterChar">
    <w:name w:val="Footer Char"/>
    <w:basedOn w:val="DefaultParagraphFont"/>
    <w:link w:val="Footer"/>
    <w:uiPriority w:val="99"/>
    <w:rsid w:val="005339CC"/>
    <w:rPr>
      <w:rFonts w:ascii="Times New Roman" w:eastAsia="Times New Roman" w:hAnsi="Times New Roman" w:cs="Times New Roman"/>
      <w:szCs w:val="20"/>
      <w:lang w:val="en-GB"/>
    </w:rPr>
  </w:style>
  <w:style w:type="character" w:styleId="Hyperlink">
    <w:name w:val="Hyperlink"/>
    <w:basedOn w:val="DefaultParagraphFont"/>
    <w:uiPriority w:val="99"/>
    <w:unhideWhenUsed/>
    <w:rsid w:val="008531D4"/>
    <w:rPr>
      <w:color w:val="0000FF" w:themeColor="hyperlink"/>
      <w:u w:val="single"/>
    </w:rPr>
  </w:style>
  <w:style w:type="character" w:customStyle="1" w:styleId="UnresolvedMention">
    <w:name w:val="Unresolved Mention"/>
    <w:basedOn w:val="DefaultParagraphFont"/>
    <w:uiPriority w:val="99"/>
    <w:semiHidden/>
    <w:unhideWhenUsed/>
    <w:rsid w:val="008531D4"/>
    <w:rPr>
      <w:color w:val="808080"/>
      <w:shd w:val="clear" w:color="auto" w:fill="E6E6E6"/>
    </w:rPr>
  </w:style>
  <w:style w:type="paragraph" w:styleId="FootnoteText">
    <w:name w:val="footnote text"/>
    <w:basedOn w:val="Normal"/>
    <w:link w:val="FootnoteTextChar"/>
    <w:uiPriority w:val="99"/>
    <w:semiHidden/>
    <w:unhideWhenUsed/>
    <w:rsid w:val="002B49D4"/>
    <w:pPr>
      <w:spacing w:line="240" w:lineRule="auto"/>
    </w:pPr>
    <w:rPr>
      <w:sz w:val="20"/>
    </w:rPr>
  </w:style>
  <w:style w:type="character" w:customStyle="1" w:styleId="FootnoteTextChar">
    <w:name w:val="Footnote Text Char"/>
    <w:basedOn w:val="DefaultParagraphFont"/>
    <w:link w:val="FootnoteText"/>
    <w:uiPriority w:val="99"/>
    <w:semiHidden/>
    <w:rsid w:val="002B49D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B49D4"/>
    <w:rPr>
      <w:vertAlign w:val="superscript"/>
    </w:rPr>
  </w:style>
  <w:style w:type="paragraph" w:customStyle="1" w:styleId="yiv1887266641msonormal">
    <w:name w:val="yiv1887266641msonormal"/>
    <w:basedOn w:val="Normal"/>
    <w:uiPriority w:val="99"/>
    <w:rsid w:val="004A4345"/>
    <w:pPr>
      <w:tabs>
        <w:tab w:val="clear" w:pos="709"/>
        <w:tab w:val="clear" w:pos="5245"/>
      </w:tabs>
      <w:spacing w:beforeLines="1" w:line="240" w:lineRule="auto"/>
    </w:pPr>
    <w:rPr>
      <w:rFonts w:ascii="Times" w:eastAsiaTheme="minorHAnsi" w:hAnsi="Times" w:cs="Calibri"/>
      <w:sz w:val="20"/>
      <w:lang w:val="en-US"/>
    </w:rPr>
  </w:style>
  <w:style w:type="character" w:styleId="FollowedHyperlink">
    <w:name w:val="FollowedHyperlink"/>
    <w:basedOn w:val="DefaultParagraphFont"/>
    <w:uiPriority w:val="99"/>
    <w:semiHidden/>
    <w:unhideWhenUsed/>
    <w:rsid w:val="00BC7F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1967">
      <w:bodyDiv w:val="1"/>
      <w:marLeft w:val="0"/>
      <w:marRight w:val="0"/>
      <w:marTop w:val="0"/>
      <w:marBottom w:val="0"/>
      <w:divBdr>
        <w:top w:val="none" w:sz="0" w:space="0" w:color="auto"/>
        <w:left w:val="none" w:sz="0" w:space="0" w:color="auto"/>
        <w:bottom w:val="none" w:sz="0" w:space="0" w:color="auto"/>
        <w:right w:val="none" w:sz="0" w:space="0" w:color="auto"/>
      </w:divBdr>
    </w:div>
    <w:div w:id="256015173">
      <w:bodyDiv w:val="1"/>
      <w:marLeft w:val="0"/>
      <w:marRight w:val="0"/>
      <w:marTop w:val="0"/>
      <w:marBottom w:val="0"/>
      <w:divBdr>
        <w:top w:val="none" w:sz="0" w:space="0" w:color="auto"/>
        <w:left w:val="none" w:sz="0" w:space="0" w:color="auto"/>
        <w:bottom w:val="none" w:sz="0" w:space="0" w:color="auto"/>
        <w:right w:val="none" w:sz="0" w:space="0" w:color="auto"/>
      </w:divBdr>
    </w:div>
    <w:div w:id="354889547">
      <w:bodyDiv w:val="1"/>
      <w:marLeft w:val="0"/>
      <w:marRight w:val="0"/>
      <w:marTop w:val="0"/>
      <w:marBottom w:val="0"/>
      <w:divBdr>
        <w:top w:val="none" w:sz="0" w:space="0" w:color="auto"/>
        <w:left w:val="none" w:sz="0" w:space="0" w:color="auto"/>
        <w:bottom w:val="none" w:sz="0" w:space="0" w:color="auto"/>
        <w:right w:val="none" w:sz="0" w:space="0" w:color="auto"/>
      </w:divBdr>
      <w:divsChild>
        <w:div w:id="1322662403">
          <w:marLeft w:val="288"/>
          <w:marRight w:val="0"/>
          <w:marTop w:val="120"/>
          <w:marBottom w:val="0"/>
          <w:divBdr>
            <w:top w:val="none" w:sz="0" w:space="0" w:color="auto"/>
            <w:left w:val="none" w:sz="0" w:space="0" w:color="auto"/>
            <w:bottom w:val="none" w:sz="0" w:space="0" w:color="auto"/>
            <w:right w:val="none" w:sz="0" w:space="0" w:color="auto"/>
          </w:divBdr>
        </w:div>
        <w:div w:id="1660116625">
          <w:marLeft w:val="288"/>
          <w:marRight w:val="0"/>
          <w:marTop w:val="120"/>
          <w:marBottom w:val="0"/>
          <w:divBdr>
            <w:top w:val="none" w:sz="0" w:space="0" w:color="auto"/>
            <w:left w:val="none" w:sz="0" w:space="0" w:color="auto"/>
            <w:bottom w:val="none" w:sz="0" w:space="0" w:color="auto"/>
            <w:right w:val="none" w:sz="0" w:space="0" w:color="auto"/>
          </w:divBdr>
        </w:div>
      </w:divsChild>
    </w:div>
    <w:div w:id="565727655">
      <w:bodyDiv w:val="1"/>
      <w:marLeft w:val="0"/>
      <w:marRight w:val="0"/>
      <w:marTop w:val="0"/>
      <w:marBottom w:val="0"/>
      <w:divBdr>
        <w:top w:val="none" w:sz="0" w:space="0" w:color="auto"/>
        <w:left w:val="none" w:sz="0" w:space="0" w:color="auto"/>
        <w:bottom w:val="none" w:sz="0" w:space="0" w:color="auto"/>
        <w:right w:val="none" w:sz="0" w:space="0" w:color="auto"/>
      </w:divBdr>
    </w:div>
    <w:div w:id="589891623">
      <w:bodyDiv w:val="1"/>
      <w:marLeft w:val="0"/>
      <w:marRight w:val="0"/>
      <w:marTop w:val="0"/>
      <w:marBottom w:val="0"/>
      <w:divBdr>
        <w:top w:val="none" w:sz="0" w:space="0" w:color="auto"/>
        <w:left w:val="none" w:sz="0" w:space="0" w:color="auto"/>
        <w:bottom w:val="none" w:sz="0" w:space="0" w:color="auto"/>
        <w:right w:val="none" w:sz="0" w:space="0" w:color="auto"/>
      </w:divBdr>
    </w:div>
    <w:div w:id="18534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E6E9C-1489-43C8-8841-BA4EFA1E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1445</Words>
  <Characters>8241</Characters>
  <Application>Microsoft Office Word</Application>
  <DocSecurity>0</DocSecurity>
  <Lines>68</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Magalhaes</dc:creator>
  <cp:keywords/>
  <dc:description/>
  <cp:lastModifiedBy>Anizh Kumar</cp:lastModifiedBy>
  <cp:revision>2</cp:revision>
  <cp:lastPrinted>2018-04-02T17:27:00Z</cp:lastPrinted>
  <dcterms:created xsi:type="dcterms:W3CDTF">2018-04-18T13:24:00Z</dcterms:created>
  <dcterms:modified xsi:type="dcterms:W3CDTF">2018-04-18T13:24:00Z</dcterms:modified>
</cp:coreProperties>
</file>