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1404E" w14:textId="0E617D77" w:rsidR="00766749" w:rsidRDefault="00C25859" w:rsidP="001164B3">
      <w:pPr>
        <w:spacing w:line="240" w:lineRule="auto"/>
      </w:pPr>
      <w:r>
        <w:rPr>
          <w:noProof/>
          <w:lang w:val="en-US"/>
        </w:rPr>
        <mc:AlternateContent>
          <mc:Choice Requires="wpg">
            <w:drawing>
              <wp:anchor distT="0" distB="0" distL="114300" distR="114300" simplePos="0" relativeHeight="251664439" behindDoc="0" locked="0" layoutInCell="1" allowOverlap="1" wp14:anchorId="4D16FCA5" wp14:editId="52DAEB9B">
                <wp:simplePos x="0" y="0"/>
                <wp:positionH relativeFrom="page">
                  <wp:posOffset>239395</wp:posOffset>
                </wp:positionH>
                <wp:positionV relativeFrom="page">
                  <wp:posOffset>93345</wp:posOffset>
                </wp:positionV>
                <wp:extent cx="7315200" cy="1215391"/>
                <wp:effectExtent l="0" t="0" r="1270" b="1905"/>
                <wp:wrapNone/>
                <wp:docPr id="943224477" name="Group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871446669"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781033" name="Rectangle 970781033"/>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6E7A74D" id="Group 157" o:spid="_x0000_s1026" style="position:absolute;margin-left:18.85pt;margin-top:7.35pt;width:8in;height:95.7pt;z-index:251664439;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" path="m,l7312660,r,1129665l3619500,733425,,1091565,,xe" fillcolor="#4f81bd [3204]" stroked="f" strokeweight="2pt">
                  <v:path arrowok="t" o:connecttype="custom" o:connectlocs="0,0;7315200,0;7315200,1130373;3620757,733885;0,1092249;0,0" o:connectangles="0,0,0,0,0,0"/>
                </v:shape>
                <v:rect id="Rectangle 970781033"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" stroked="f" strokeweight="2pt">
                  <v:fill r:id="rId12" o:title="" recolor="t" rotate="t" type="frame"/>
                </v:rect>
                <w10:wrap anchorx="page" anchory="page"/>
              </v:group>
            </w:pict>
          </mc:Fallback>
        </mc:AlternateContent>
      </w:r>
    </w:p>
    <w:p w14:paraId="00B54C0A" w14:textId="1A7CCC91" w:rsidR="00C25859" w:rsidRDefault="00F65CCB" w:rsidP="00C25859">
      <w:pPr>
        <w:spacing w:line="240" w:lineRule="auto"/>
      </w:pPr>
      <w:r w:rsidRPr="002462F0">
        <w:t xml:space="preserve"> </w:t>
      </w:r>
    </w:p>
    <w:p w14:paraId="4632D255" w14:textId="77777777" w:rsidR="00C25859" w:rsidRDefault="00C25859" w:rsidP="00C25859">
      <w:pPr>
        <w:spacing w:line="240" w:lineRule="auto"/>
      </w:pPr>
      <w:r w:rsidRPr="002462F0">
        <w:rPr>
          <w:noProof/>
          <w:lang w:val="en-US"/>
        </w:rPr>
        <w:drawing>
          <wp:anchor distT="0" distB="0" distL="114300" distR="114300" simplePos="0" relativeHeight="251662391" behindDoc="0" locked="0" layoutInCell="1" allowOverlap="1" wp14:anchorId="5D97C367" wp14:editId="4B15B2E5">
            <wp:simplePos x="0" y="0"/>
            <wp:positionH relativeFrom="margin">
              <wp:posOffset>2418715</wp:posOffset>
            </wp:positionH>
            <wp:positionV relativeFrom="paragraph">
              <wp:posOffset>218652</wp:posOffset>
            </wp:positionV>
            <wp:extent cx="923026" cy="1292102"/>
            <wp:effectExtent l="0" t="0" r="0" b="3810"/>
            <wp:wrapNone/>
            <wp:docPr id="146388250" name="Picture 8" descr="A red and white coat of arms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8250" name="Picture 8" descr="A red and white coat of arms with a crow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026" cy="12921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BD149" w14:textId="77777777" w:rsidR="00C25859" w:rsidRDefault="00C25859" w:rsidP="00C25859">
      <w:pPr>
        <w:spacing w:line="240" w:lineRule="auto"/>
      </w:pPr>
      <w:r w:rsidRPr="002462F0">
        <w:t xml:space="preserve"> </w:t>
      </w:r>
    </w:p>
    <w:p w14:paraId="0E58AAA0" w14:textId="77777777" w:rsidR="00C25859" w:rsidRDefault="00C25859" w:rsidP="00C25859">
      <w:pPr>
        <w:spacing w:line="240" w:lineRule="auto"/>
      </w:pPr>
    </w:p>
    <w:p w14:paraId="7A966C13" w14:textId="77777777" w:rsidR="00C25859" w:rsidRPr="002462F0" w:rsidRDefault="00C25859" w:rsidP="00C25859">
      <w:pPr>
        <w:spacing w:line="240" w:lineRule="auto"/>
      </w:pPr>
    </w:p>
    <w:p w14:paraId="77BD1EB1" w14:textId="77777777" w:rsidR="00C25859" w:rsidRPr="002462F0" w:rsidRDefault="00C25859" w:rsidP="00C25859"/>
    <w:p w14:paraId="2D4F6E01" w14:textId="77777777" w:rsidR="00C25859" w:rsidRPr="002462F0" w:rsidRDefault="00C25859" w:rsidP="00C25859">
      <w:pPr>
        <w:jc w:val="center"/>
      </w:pPr>
    </w:p>
    <w:p w14:paraId="5B3BE006" w14:textId="77777777" w:rsidR="00C25859" w:rsidRPr="002462F0" w:rsidRDefault="00C25859" w:rsidP="00C25859">
      <w:pPr>
        <w:widowControl w:val="0"/>
        <w:tabs>
          <w:tab w:val="left" w:pos="1560"/>
          <w:tab w:val="center" w:pos="1980"/>
          <w:tab w:val="center" w:pos="4703"/>
          <w:tab w:val="right" w:pos="7560"/>
          <w:tab w:val="right" w:pos="9406"/>
          <w:tab w:val="right" w:leader="dot" w:pos="9540"/>
        </w:tabs>
        <w:autoSpaceDE w:val="0"/>
        <w:autoSpaceDN w:val="0"/>
        <w:adjustRightInd w:val="0"/>
        <w:jc w:val="center"/>
        <w:rPr>
          <w:rFonts w:cs="Calibri"/>
          <w:b/>
          <w:bCs/>
          <w:sz w:val="32"/>
          <w:szCs w:val="32"/>
        </w:rPr>
      </w:pPr>
      <w:r w:rsidRPr="002462F0">
        <w:rPr>
          <w:rFonts w:cs="Calibri"/>
          <w:b/>
          <w:bCs/>
          <w:sz w:val="32"/>
          <w:szCs w:val="32"/>
        </w:rPr>
        <w:t>REPUBLIC OF SERBIA</w:t>
      </w:r>
    </w:p>
    <w:p w14:paraId="230E20D8" w14:textId="77777777" w:rsidR="00C25859" w:rsidRPr="002462F0" w:rsidRDefault="00C25859" w:rsidP="00C25859">
      <w:pPr>
        <w:widowControl w:val="0"/>
        <w:tabs>
          <w:tab w:val="center" w:pos="1980"/>
          <w:tab w:val="center" w:pos="4703"/>
          <w:tab w:val="right" w:pos="7560"/>
          <w:tab w:val="right" w:pos="9406"/>
          <w:tab w:val="right" w:leader="dot" w:pos="9540"/>
        </w:tabs>
        <w:autoSpaceDE w:val="0"/>
        <w:autoSpaceDN w:val="0"/>
        <w:adjustRightInd w:val="0"/>
        <w:jc w:val="center"/>
        <w:rPr>
          <w:rFonts w:cs="Calibri"/>
          <w:sz w:val="32"/>
          <w:szCs w:val="32"/>
        </w:rPr>
      </w:pPr>
      <w:r w:rsidRPr="002462F0">
        <w:rPr>
          <w:rFonts w:cs="Calibri"/>
          <w:sz w:val="32"/>
          <w:szCs w:val="32"/>
        </w:rPr>
        <w:t>Ministry of Environmental Protection</w:t>
      </w:r>
    </w:p>
    <w:p w14:paraId="700ED010" w14:textId="77777777" w:rsidR="00C25859" w:rsidRPr="002462F0" w:rsidRDefault="00C25859" w:rsidP="00C25859">
      <w:pPr>
        <w:jc w:val="center"/>
      </w:pPr>
      <w:r w:rsidRPr="002462F0">
        <w:rPr>
          <w:rFonts w:cs="Calibri"/>
          <w:b/>
          <w:bCs/>
          <w:sz w:val="32"/>
          <w:szCs w:val="32"/>
        </w:rPr>
        <w:t>Environmental Protection Agency</w:t>
      </w:r>
    </w:p>
    <w:p w14:paraId="0350EE9A" w14:textId="77777777" w:rsidR="00C25859" w:rsidRDefault="00C25859" w:rsidP="00C25859">
      <w:pPr>
        <w:jc w:val="center"/>
        <w:rPr>
          <w:sz w:val="40"/>
          <w:szCs w:val="40"/>
        </w:rPr>
      </w:pPr>
    </w:p>
    <w:p w14:paraId="31C7B6D8" w14:textId="11A18BD5" w:rsidR="00C25859" w:rsidRPr="002462F0" w:rsidRDefault="00C25859" w:rsidP="00771B5A">
      <w:pPr>
        <w:jc w:val="center"/>
        <w:rPr>
          <w:sz w:val="40"/>
        </w:rPr>
      </w:pPr>
      <w:r>
        <w:rPr>
          <w:sz w:val="40"/>
          <w:szCs w:val="40"/>
        </w:rPr>
        <w:t>National Greenhouse Gas Inventory document of Serbia</w:t>
      </w:r>
      <w:r w:rsidR="00771B5A">
        <w:rPr>
          <w:sz w:val="40"/>
          <w:szCs w:val="40"/>
        </w:rPr>
        <w:t xml:space="preserve"> </w:t>
      </w:r>
      <w:r>
        <w:rPr>
          <w:sz w:val="40"/>
        </w:rPr>
        <w:t>2024</w:t>
      </w:r>
    </w:p>
    <w:p w14:paraId="55BE3C9B" w14:textId="77777777" w:rsidR="00C25859" w:rsidRDefault="00C25859" w:rsidP="00C25859">
      <w:pPr>
        <w:pStyle w:val="BodyText"/>
      </w:pPr>
    </w:p>
    <w:p w14:paraId="00401FAD" w14:textId="77777777" w:rsidR="00C25859" w:rsidRDefault="00C25859" w:rsidP="00C25859">
      <w:pPr>
        <w:pStyle w:val="BodyText"/>
      </w:pPr>
    </w:p>
    <w:p w14:paraId="5DB81D5A" w14:textId="77777777" w:rsidR="00C25859" w:rsidRDefault="00C25859" w:rsidP="00C25859">
      <w:pPr>
        <w:pStyle w:val="BodyText"/>
      </w:pPr>
    </w:p>
    <w:p w14:paraId="0323744C" w14:textId="77777777" w:rsidR="00C25859" w:rsidRDefault="00C25859" w:rsidP="00C25859">
      <w:pPr>
        <w:pStyle w:val="BodyText"/>
      </w:pPr>
    </w:p>
    <w:p w14:paraId="36FC3DED" w14:textId="77777777" w:rsidR="00C25859" w:rsidRDefault="00C25859" w:rsidP="00C25859">
      <w:pPr>
        <w:pStyle w:val="BodyText"/>
      </w:pPr>
    </w:p>
    <w:p w14:paraId="0DDC9471" w14:textId="77777777" w:rsidR="00C25859" w:rsidRDefault="00C25859" w:rsidP="00C25859">
      <w:pPr>
        <w:pStyle w:val="BodyText"/>
      </w:pPr>
    </w:p>
    <w:p w14:paraId="0073D118" w14:textId="77777777" w:rsidR="00C25859" w:rsidRDefault="00C25859" w:rsidP="00C25859">
      <w:pPr>
        <w:pStyle w:val="BodyText"/>
      </w:pPr>
    </w:p>
    <w:p w14:paraId="240E8129" w14:textId="77777777" w:rsidR="00C25859" w:rsidRDefault="00C25859" w:rsidP="00C25859">
      <w:pPr>
        <w:pStyle w:val="BodyText"/>
      </w:pPr>
    </w:p>
    <w:p w14:paraId="05555921" w14:textId="77777777" w:rsidR="00C25859" w:rsidRDefault="00C25859" w:rsidP="00C25859">
      <w:pPr>
        <w:pStyle w:val="BodyText"/>
      </w:pPr>
    </w:p>
    <w:p w14:paraId="293BF337" w14:textId="77777777" w:rsidR="00C25859" w:rsidRDefault="00C25859" w:rsidP="00C25859">
      <w:pPr>
        <w:pStyle w:val="BodyText"/>
      </w:pPr>
    </w:p>
    <w:p w14:paraId="7E79E0D8" w14:textId="77777777" w:rsidR="00C25859" w:rsidRDefault="00C25859" w:rsidP="00C25859">
      <w:pPr>
        <w:pStyle w:val="BodyText"/>
      </w:pPr>
    </w:p>
    <w:p w14:paraId="1C50B922" w14:textId="77777777" w:rsidR="00C25859" w:rsidRDefault="00C25859" w:rsidP="00C25859">
      <w:pPr>
        <w:pStyle w:val="BodyText"/>
      </w:pPr>
    </w:p>
    <w:p w14:paraId="391018B4" w14:textId="77777777" w:rsidR="00BD58A6" w:rsidRDefault="00BD58A6" w:rsidP="00C25859">
      <w:pPr>
        <w:pStyle w:val="BodyText"/>
      </w:pPr>
    </w:p>
    <w:p w14:paraId="7549357F" w14:textId="77777777" w:rsidR="00BD58A6" w:rsidRDefault="00BD58A6" w:rsidP="00C25859">
      <w:pPr>
        <w:pStyle w:val="BodyText"/>
      </w:pPr>
    </w:p>
    <w:p w14:paraId="62C514BB" w14:textId="77777777" w:rsidR="00BD58A6" w:rsidRDefault="00BD58A6" w:rsidP="00C25859">
      <w:pPr>
        <w:pStyle w:val="BodyText"/>
      </w:pPr>
    </w:p>
    <w:p w14:paraId="1C5CF547" w14:textId="7D0A1642" w:rsidR="0006461E" w:rsidRDefault="00C25859" w:rsidP="00BD58A6">
      <w:pPr>
        <w:pStyle w:val="BodyText"/>
        <w:jc w:val="center"/>
      </w:pPr>
      <w:r>
        <w:t>Belgrade, December 2024</w:t>
      </w:r>
    </w:p>
    <w:p w14:paraId="60F2D5A1" w14:textId="77777777" w:rsidR="00BD58A6" w:rsidRPr="002462F0" w:rsidRDefault="00BD58A6" w:rsidP="00BD58A6">
      <w:pPr>
        <w:pStyle w:val="BodyText"/>
        <w:jc w:val="center"/>
      </w:pPr>
    </w:p>
    <w:p w14:paraId="1DF996F8" w14:textId="56BF5CED" w:rsidR="00311CF4" w:rsidRPr="002462F0" w:rsidRDefault="00311CF4" w:rsidP="00C25859">
      <w:pPr>
        <w:tabs>
          <w:tab w:val="left" w:pos="2500"/>
        </w:tabs>
        <w:jc w:val="left"/>
        <w:sectPr w:rsidR="00311CF4" w:rsidRPr="002462F0" w:rsidSect="003A475A">
          <w:headerReference w:type="default" r:id="rId14"/>
          <w:footerReference w:type="even" r:id="rId15"/>
          <w:footerReference w:type="default" r:id="rId16"/>
          <w:pgSz w:w="11906" w:h="16838"/>
          <w:pgMar w:top="1417" w:right="1417" w:bottom="1417" w:left="1417" w:header="708" w:footer="708" w:gutter="0"/>
          <w:cols w:space="708"/>
          <w:titlePg/>
          <w:docGrid w:linePitch="360"/>
        </w:sectPr>
      </w:pPr>
    </w:p>
    <w:p w14:paraId="0B2166BD" w14:textId="231618F2" w:rsidR="00DB475E" w:rsidRPr="002462F0" w:rsidRDefault="006059AE" w:rsidP="006059AE">
      <w:pPr>
        <w:tabs>
          <w:tab w:val="center" w:pos="4536"/>
        </w:tabs>
        <w:sectPr w:rsidR="00DB475E" w:rsidRPr="002462F0" w:rsidSect="003A475A">
          <w:footerReference w:type="even" r:id="rId17"/>
          <w:footerReference w:type="default" r:id="rId18"/>
          <w:pgSz w:w="11906" w:h="16838"/>
          <w:pgMar w:top="1417" w:right="1417" w:bottom="1417" w:left="1417" w:header="708" w:footer="708" w:gutter="0"/>
          <w:cols w:space="708"/>
          <w:docGrid w:linePitch="360"/>
        </w:sectPr>
      </w:pPr>
      <w:r w:rsidRPr="002462F0">
        <w:lastRenderedPageBreak/>
        <w:tab/>
      </w:r>
    </w:p>
    <w:p w14:paraId="26E83DA3" w14:textId="77777777" w:rsidR="00C25859" w:rsidRPr="007D34A9" w:rsidRDefault="00C25859" w:rsidP="00C25859">
      <w:pPr>
        <w:pStyle w:val="BodyText"/>
        <w:rPr>
          <w:b/>
          <w:bCs/>
          <w:color w:val="548DD4" w:themeColor="text2" w:themeTint="99"/>
          <w:sz w:val="44"/>
          <w:szCs w:val="48"/>
        </w:rPr>
      </w:pPr>
      <w:bookmarkStart w:id="0" w:name="_Toc178397300"/>
      <w:r w:rsidRPr="007D34A9">
        <w:rPr>
          <w:b/>
          <w:bCs/>
          <w:color w:val="548DD4" w:themeColor="text2" w:themeTint="99"/>
          <w:sz w:val="44"/>
          <w:szCs w:val="48"/>
        </w:rPr>
        <w:t>Preface</w:t>
      </w:r>
      <w:bookmarkEnd w:id="0"/>
    </w:p>
    <w:p w14:paraId="36916F61" w14:textId="19F3068A" w:rsidR="00C25859" w:rsidRPr="00A13CAE" w:rsidRDefault="00C25859" w:rsidP="00C25859">
      <w:pPr>
        <w:rPr>
          <w:sz w:val="22"/>
          <w:szCs w:val="24"/>
        </w:rPr>
      </w:pPr>
      <w:r w:rsidRPr="00A13CAE">
        <w:rPr>
          <w:sz w:val="22"/>
          <w:szCs w:val="24"/>
        </w:rPr>
        <w:t>Serbia</w:t>
      </w:r>
      <w:r w:rsidR="009C3926">
        <w:rPr>
          <w:sz w:val="22"/>
          <w:szCs w:val="24"/>
        </w:rPr>
        <w:t>n</w:t>
      </w:r>
      <w:r w:rsidRPr="00A13CAE">
        <w:rPr>
          <w:sz w:val="22"/>
          <w:szCs w:val="24"/>
        </w:rPr>
        <w:t xml:space="preserve"> Environment</w:t>
      </w:r>
      <w:r w:rsidR="009C3926">
        <w:rPr>
          <w:sz w:val="22"/>
          <w:szCs w:val="24"/>
        </w:rPr>
        <w:t>al</w:t>
      </w:r>
      <w:r w:rsidRPr="00A13CAE">
        <w:rPr>
          <w:sz w:val="22"/>
          <w:szCs w:val="24"/>
        </w:rPr>
        <w:t xml:space="preserve"> Protection Agency (S</w:t>
      </w:r>
      <w:r w:rsidR="009C3926">
        <w:rPr>
          <w:sz w:val="22"/>
          <w:szCs w:val="24"/>
        </w:rPr>
        <w:t>E</w:t>
      </w:r>
      <w:r w:rsidRPr="00A13CAE">
        <w:rPr>
          <w:sz w:val="22"/>
          <w:szCs w:val="24"/>
        </w:rPr>
        <w:t xml:space="preserve">PA) is </w:t>
      </w:r>
      <w:r w:rsidR="00063947">
        <w:rPr>
          <w:sz w:val="22"/>
          <w:szCs w:val="24"/>
        </w:rPr>
        <w:t>responsible for</w:t>
      </w:r>
      <w:r w:rsidRPr="00A13CAE">
        <w:rPr>
          <w:sz w:val="22"/>
          <w:szCs w:val="24"/>
        </w:rPr>
        <w:t xml:space="preserve"> the overall coordinati</w:t>
      </w:r>
      <w:r w:rsidR="00553E40">
        <w:rPr>
          <w:sz w:val="22"/>
          <w:szCs w:val="24"/>
        </w:rPr>
        <w:t>on</w:t>
      </w:r>
      <w:r w:rsidRPr="00A13CAE">
        <w:rPr>
          <w:sz w:val="22"/>
          <w:szCs w:val="24"/>
        </w:rPr>
        <w:t xml:space="preserve"> of activities necessary for the development of emission inventories </w:t>
      </w:r>
      <w:r w:rsidR="00553E40">
        <w:rPr>
          <w:sz w:val="22"/>
          <w:szCs w:val="24"/>
        </w:rPr>
        <w:t>as well as</w:t>
      </w:r>
      <w:r w:rsidR="00553E40" w:rsidRPr="00A13CAE">
        <w:rPr>
          <w:sz w:val="22"/>
          <w:szCs w:val="24"/>
        </w:rPr>
        <w:t xml:space="preserve"> </w:t>
      </w:r>
      <w:r w:rsidRPr="00A13CAE">
        <w:rPr>
          <w:sz w:val="22"/>
          <w:szCs w:val="24"/>
        </w:rPr>
        <w:t xml:space="preserve">with </w:t>
      </w:r>
      <w:r w:rsidR="00292904">
        <w:rPr>
          <w:sz w:val="22"/>
          <w:szCs w:val="24"/>
        </w:rPr>
        <w:t>preparing</w:t>
      </w:r>
      <w:r w:rsidR="00292904" w:rsidRPr="00292904">
        <w:rPr>
          <w:sz w:val="22"/>
          <w:szCs w:val="24"/>
        </w:rPr>
        <w:t xml:space="preserve"> national inventor</w:t>
      </w:r>
      <w:r w:rsidR="00A67544">
        <w:rPr>
          <w:sz w:val="22"/>
          <w:szCs w:val="24"/>
        </w:rPr>
        <w:t>y</w:t>
      </w:r>
      <w:r w:rsidR="00292904" w:rsidRPr="00292904">
        <w:rPr>
          <w:sz w:val="22"/>
          <w:szCs w:val="24"/>
        </w:rPr>
        <w:t xml:space="preserve"> of anthropogenic emissions by sources and removals by sinks of greenhouse gases</w:t>
      </w:r>
      <w:r w:rsidR="00553E40" w:rsidRPr="00A13CAE">
        <w:rPr>
          <w:sz w:val="22"/>
          <w:szCs w:val="24"/>
        </w:rPr>
        <w:t xml:space="preserve"> </w:t>
      </w:r>
      <w:r w:rsidRPr="00A13CAE">
        <w:rPr>
          <w:sz w:val="22"/>
          <w:szCs w:val="24"/>
        </w:rPr>
        <w:t>for the purposes of reporting to the United Nations Framework Convention on Climate Change (UNFCCC)</w:t>
      </w:r>
      <w:r w:rsidR="00063947">
        <w:rPr>
          <w:sz w:val="22"/>
          <w:szCs w:val="24"/>
        </w:rPr>
        <w:t xml:space="preserve">, </w:t>
      </w:r>
      <w:r w:rsidR="00063947" w:rsidRPr="00A13CAE">
        <w:rPr>
          <w:sz w:val="22"/>
          <w:szCs w:val="24"/>
        </w:rPr>
        <w:t>in accordance with the Serbian legislation</w:t>
      </w:r>
      <w:r w:rsidRPr="00A13CAE">
        <w:rPr>
          <w:sz w:val="22"/>
          <w:szCs w:val="24"/>
        </w:rPr>
        <w:t>.</w:t>
      </w:r>
    </w:p>
    <w:p w14:paraId="046ABBED" w14:textId="5ABDE8D1" w:rsidR="00C25859" w:rsidRPr="00A13CAE" w:rsidRDefault="00C25859" w:rsidP="00C25859">
      <w:pPr>
        <w:pStyle w:val="BodyText"/>
        <w:spacing w:after="0"/>
        <w:rPr>
          <w:sz w:val="22"/>
          <w:szCs w:val="24"/>
        </w:rPr>
      </w:pPr>
      <w:r w:rsidRPr="00A13CAE">
        <w:rPr>
          <w:sz w:val="22"/>
          <w:szCs w:val="24"/>
        </w:rPr>
        <w:t xml:space="preserve">In line with Articles 4 and 12 of the United Nations Framework Convention on Climate Change (UNFCCC) and Article 13 of the Paris Agreement, all Parties are required to submit national inventories of greenhouse gas emissions and removals. </w:t>
      </w:r>
      <w:r w:rsidR="00C31DA8">
        <w:rPr>
          <w:sz w:val="22"/>
          <w:szCs w:val="24"/>
        </w:rPr>
        <w:t xml:space="preserve">In this respect, </w:t>
      </w:r>
      <w:r w:rsidR="00A67544" w:rsidRPr="00292904">
        <w:rPr>
          <w:sz w:val="22"/>
          <w:szCs w:val="24"/>
        </w:rPr>
        <w:t>national inventor</w:t>
      </w:r>
      <w:r w:rsidR="00A67544">
        <w:rPr>
          <w:sz w:val="22"/>
          <w:szCs w:val="24"/>
        </w:rPr>
        <w:t>y</w:t>
      </w:r>
      <w:r w:rsidR="00A67544" w:rsidRPr="00292904">
        <w:rPr>
          <w:sz w:val="22"/>
          <w:szCs w:val="24"/>
        </w:rPr>
        <w:t xml:space="preserve"> of anthropogenic emissions by sources and removals by sinks of greenhouse gases</w:t>
      </w:r>
      <w:r w:rsidR="00A67544" w:rsidRPr="00A13CAE">
        <w:rPr>
          <w:sz w:val="22"/>
          <w:szCs w:val="24"/>
        </w:rPr>
        <w:t xml:space="preserve"> </w:t>
      </w:r>
      <w:r w:rsidR="00A67544">
        <w:rPr>
          <w:sz w:val="22"/>
          <w:szCs w:val="24"/>
        </w:rPr>
        <w:t xml:space="preserve">of the Republic of Serbia </w:t>
      </w:r>
      <w:r w:rsidRPr="00A13CAE">
        <w:rPr>
          <w:sz w:val="22"/>
          <w:szCs w:val="24"/>
        </w:rPr>
        <w:t>is outlined in this National Inventory Document, prepared in accordance with the Modalities, Procedures, and Guidelines for the Transparency Framework for Action and Support, as referred to in Article 13 of the Paris Agreement (Decision 18/CMA.1 Annex).</w:t>
      </w:r>
    </w:p>
    <w:p w14:paraId="0DB824DA" w14:textId="77777777" w:rsidR="00C25859" w:rsidRDefault="00C25859" w:rsidP="00C25859">
      <w:pPr>
        <w:pStyle w:val="BodyText"/>
        <w:spacing w:after="0"/>
        <w:rPr>
          <w:sz w:val="22"/>
          <w:szCs w:val="24"/>
          <w:highlight w:val="yellow"/>
        </w:rPr>
      </w:pPr>
    </w:p>
    <w:p w14:paraId="6C6A8A0C" w14:textId="42997D6E" w:rsidR="00C25859" w:rsidRPr="004F5BA7" w:rsidRDefault="00586AAD" w:rsidP="00C25859">
      <w:pPr>
        <w:pStyle w:val="BodyText"/>
        <w:spacing w:after="0"/>
        <w:rPr>
          <w:sz w:val="22"/>
          <w:szCs w:val="24"/>
        </w:rPr>
      </w:pPr>
      <w:r w:rsidRPr="00A13CAE">
        <w:rPr>
          <w:sz w:val="22"/>
          <w:szCs w:val="24"/>
        </w:rPr>
        <w:t>National Inventory Document</w:t>
      </w:r>
      <w:r w:rsidRPr="004F5BA7" w:rsidDel="00586AAD">
        <w:rPr>
          <w:sz w:val="22"/>
          <w:szCs w:val="24"/>
        </w:rPr>
        <w:t xml:space="preserve"> </w:t>
      </w:r>
      <w:r w:rsidR="00C25859" w:rsidRPr="004F5BA7">
        <w:rPr>
          <w:sz w:val="22"/>
          <w:szCs w:val="24"/>
        </w:rPr>
        <w:t>presents Serbia’s national inventory arrangements, the estimation methods of greenhouse gas emissions and removals from sources and sinks, and the trends in emissions and removals for greenhouse gases (carbon dioxide [CO</w:t>
      </w:r>
      <w:r w:rsidR="00C25859" w:rsidRPr="00312B3A">
        <w:rPr>
          <w:sz w:val="22"/>
          <w:szCs w:val="24"/>
          <w:vertAlign w:val="subscript"/>
        </w:rPr>
        <w:t>2</w:t>
      </w:r>
      <w:r w:rsidR="00C25859" w:rsidRPr="004F5BA7">
        <w:rPr>
          <w:sz w:val="22"/>
          <w:szCs w:val="24"/>
        </w:rPr>
        <w:t>], methane [CH</w:t>
      </w:r>
      <w:r w:rsidR="00C25859" w:rsidRPr="00312B3A">
        <w:rPr>
          <w:sz w:val="22"/>
          <w:szCs w:val="24"/>
          <w:vertAlign w:val="subscript"/>
        </w:rPr>
        <w:t>4</w:t>
      </w:r>
      <w:r w:rsidR="00C25859" w:rsidRPr="004F5BA7">
        <w:rPr>
          <w:sz w:val="22"/>
          <w:szCs w:val="24"/>
        </w:rPr>
        <w:t>], nitrous oxide [N</w:t>
      </w:r>
      <w:r w:rsidR="00C25859" w:rsidRPr="00312B3A">
        <w:rPr>
          <w:sz w:val="22"/>
          <w:szCs w:val="24"/>
          <w:vertAlign w:val="subscript"/>
        </w:rPr>
        <w:t>2</w:t>
      </w:r>
      <w:r w:rsidR="00C25859" w:rsidRPr="004F5BA7">
        <w:rPr>
          <w:sz w:val="22"/>
          <w:szCs w:val="24"/>
        </w:rPr>
        <w:t>O], hydrofluorocarbons [HFCs], perfluorocarbons [PFCs], sulphur hexafluoride [SF</w:t>
      </w:r>
      <w:r w:rsidR="00C25859" w:rsidRPr="00312B3A">
        <w:rPr>
          <w:sz w:val="22"/>
          <w:szCs w:val="24"/>
          <w:vertAlign w:val="subscript"/>
        </w:rPr>
        <w:t>6</w:t>
      </w:r>
      <w:r w:rsidR="00C25859" w:rsidRPr="004F5BA7">
        <w:rPr>
          <w:sz w:val="22"/>
          <w:szCs w:val="24"/>
        </w:rPr>
        <w:t>], nitrogen trifluoride [NF</w:t>
      </w:r>
      <w:r w:rsidR="00C25859" w:rsidRPr="00312B3A">
        <w:rPr>
          <w:sz w:val="22"/>
          <w:szCs w:val="24"/>
          <w:vertAlign w:val="subscript"/>
        </w:rPr>
        <w:t>3</w:t>
      </w:r>
      <w:r w:rsidR="00C25859" w:rsidRPr="004F5BA7">
        <w:rPr>
          <w:sz w:val="22"/>
          <w:szCs w:val="24"/>
        </w:rPr>
        <w:t>]</w:t>
      </w:r>
      <w:r w:rsidR="00C25859" w:rsidRPr="003631EA">
        <w:rPr>
          <w:sz w:val="22"/>
          <w:szCs w:val="24"/>
        </w:rPr>
        <w:t>).</w:t>
      </w:r>
      <w:r w:rsidR="00C25859" w:rsidRPr="004F5BA7">
        <w:rPr>
          <w:sz w:val="22"/>
          <w:szCs w:val="24"/>
        </w:rPr>
        <w:t xml:space="preserve"> Methodological details of the LULUCF sector not accounting in the Nationally Determined Contribution (NDC) is presented as well, as other </w:t>
      </w:r>
      <w:r w:rsidR="00C25859">
        <w:rPr>
          <w:sz w:val="22"/>
          <w:szCs w:val="24"/>
        </w:rPr>
        <w:t>relevant</w:t>
      </w:r>
      <w:r w:rsidR="00C25859" w:rsidRPr="004F5BA7">
        <w:rPr>
          <w:sz w:val="22"/>
          <w:szCs w:val="24"/>
        </w:rPr>
        <w:t xml:space="preserve"> additional information. </w:t>
      </w:r>
    </w:p>
    <w:p w14:paraId="4E3ED9CE" w14:textId="77777777" w:rsidR="00C25859" w:rsidRPr="002B31C1" w:rsidRDefault="00C25859" w:rsidP="00C25859">
      <w:pPr>
        <w:pStyle w:val="BodyText"/>
        <w:spacing w:after="0"/>
        <w:rPr>
          <w:sz w:val="22"/>
          <w:szCs w:val="24"/>
          <w:highlight w:val="yellow"/>
        </w:rPr>
      </w:pPr>
    </w:p>
    <w:p w14:paraId="5C369FF5" w14:textId="77777777" w:rsidR="00C25859" w:rsidRPr="004F5BA7" w:rsidRDefault="00C25859" w:rsidP="00C25859">
      <w:pPr>
        <w:pStyle w:val="BodyText"/>
        <w:spacing w:after="0"/>
        <w:rPr>
          <w:sz w:val="22"/>
          <w:szCs w:val="24"/>
        </w:rPr>
      </w:pPr>
      <w:r w:rsidRPr="004F5BA7">
        <w:rPr>
          <w:sz w:val="22"/>
          <w:szCs w:val="24"/>
        </w:rPr>
        <w:t>The structure of this document is prepared in line with the structure specified in the Outline of the National Inventory Document, Pursuant to the Modalities, Procedures and Guidelines for the Transparency Framework for Action and Support Referred to in Article 13 of the Paris Agreement (Decision 5/CMA.3 Annex).</w:t>
      </w:r>
    </w:p>
    <w:p w14:paraId="36A357F7" w14:textId="77777777" w:rsidR="00C25859" w:rsidRPr="002B31C1" w:rsidRDefault="00C25859" w:rsidP="00C25859">
      <w:pPr>
        <w:pStyle w:val="BodyText"/>
        <w:spacing w:after="0"/>
        <w:rPr>
          <w:sz w:val="22"/>
          <w:szCs w:val="24"/>
          <w:highlight w:val="yellow"/>
        </w:rPr>
      </w:pPr>
    </w:p>
    <w:p w14:paraId="33727007" w14:textId="156DC732" w:rsidR="00C25859" w:rsidRDefault="00C25859" w:rsidP="00C25859">
      <w:pPr>
        <w:pStyle w:val="BodyText"/>
        <w:spacing w:after="0"/>
        <w:rPr>
          <w:sz w:val="22"/>
          <w:szCs w:val="24"/>
        </w:rPr>
      </w:pPr>
      <w:r w:rsidRPr="00A13CAE">
        <w:rPr>
          <w:sz w:val="22"/>
          <w:szCs w:val="24"/>
        </w:rPr>
        <w:t xml:space="preserve">The Executive Summary focuses on the latest trends in emissions and removals of greenhouse gases in </w:t>
      </w:r>
      <w:r w:rsidR="002128FB">
        <w:rPr>
          <w:sz w:val="22"/>
          <w:szCs w:val="24"/>
        </w:rPr>
        <w:t xml:space="preserve">the Republic of </w:t>
      </w:r>
      <w:r w:rsidRPr="00A13CAE">
        <w:rPr>
          <w:sz w:val="22"/>
          <w:szCs w:val="24"/>
        </w:rPr>
        <w:t xml:space="preserve">Serbia. Chapter 1 </w:t>
      </w:r>
      <w:r w:rsidR="002128FB">
        <w:rPr>
          <w:sz w:val="22"/>
          <w:szCs w:val="24"/>
        </w:rPr>
        <w:t>presents</w:t>
      </w:r>
      <w:r w:rsidRPr="00A13CAE">
        <w:rPr>
          <w:sz w:val="22"/>
          <w:szCs w:val="24"/>
        </w:rPr>
        <w:t xml:space="preserve"> background information on the greenhouse gas inventory, national inventory arrangements, the inventory preparation process, methodologies and data sources used, key category analysis, and results of uncertainty assessment. Chapter 2 describes the latest information on trends in emissions and removals of greenhouse gases in Serbia. Chapters 3 to 7 provide the details of estimation methods for the sources and sinks described in the 2006 IPCC Guidelines. Chapter 8 provides the explanations on improvements and recalculations (data revision, addition of new categories, etc.) made since the previous submission. Annexes offer information to assist further understanding of Serbia’s inventory and other additional information.</w:t>
      </w:r>
    </w:p>
    <w:p w14:paraId="48409974" w14:textId="252FC864" w:rsidR="00C25859" w:rsidRDefault="00FE1467" w:rsidP="00312B3A">
      <w:pPr>
        <w:spacing w:before="100" w:beforeAutospacing="1" w:after="100" w:afterAutospacing="1"/>
      </w:pPr>
      <w:r>
        <w:rPr>
          <w:sz w:val="22"/>
          <w:szCs w:val="24"/>
        </w:rPr>
        <w:t>F</w:t>
      </w:r>
      <w:r w:rsidR="006627A0" w:rsidRPr="006627A0">
        <w:rPr>
          <w:sz w:val="22"/>
          <w:szCs w:val="24"/>
        </w:rPr>
        <w:t xml:space="preserve">irst National Inventory Document (NID) </w:t>
      </w:r>
      <w:r>
        <w:rPr>
          <w:sz w:val="22"/>
          <w:szCs w:val="24"/>
        </w:rPr>
        <w:t xml:space="preserve">of the Republic of Serbia </w:t>
      </w:r>
      <w:r w:rsidR="006627A0" w:rsidRPr="006627A0">
        <w:rPr>
          <w:sz w:val="22"/>
          <w:szCs w:val="24"/>
        </w:rPr>
        <w:t>under the UNFCCC</w:t>
      </w:r>
      <w:r>
        <w:rPr>
          <w:sz w:val="22"/>
          <w:szCs w:val="24"/>
        </w:rPr>
        <w:t xml:space="preserve"> was prepared </w:t>
      </w:r>
      <w:r w:rsidR="004F0912">
        <w:rPr>
          <w:sz w:val="22"/>
          <w:szCs w:val="24"/>
        </w:rPr>
        <w:t>under the GEF funded project “</w:t>
      </w:r>
      <w:r w:rsidR="004F0912" w:rsidRPr="00312B3A">
        <w:rPr>
          <w:i/>
          <w:iCs/>
          <w:sz w:val="22"/>
          <w:szCs w:val="24"/>
        </w:rPr>
        <w:t>Development of the First Biennial Transparency Report and the combined Fourth National Communication and Second Biennial Transparency Report of Serbia under the UNFCCC</w:t>
      </w:r>
      <w:r w:rsidR="004F0912">
        <w:rPr>
          <w:sz w:val="22"/>
          <w:szCs w:val="24"/>
        </w:rPr>
        <w:t>” and</w:t>
      </w:r>
      <w:r w:rsidR="004F0912" w:rsidRPr="004F0912">
        <w:rPr>
          <w:sz w:val="22"/>
          <w:szCs w:val="24"/>
        </w:rPr>
        <w:t xml:space="preserve"> </w:t>
      </w:r>
      <w:r>
        <w:rPr>
          <w:sz w:val="22"/>
          <w:szCs w:val="24"/>
        </w:rPr>
        <w:t xml:space="preserve">with the support of </w:t>
      </w:r>
      <w:r w:rsidR="00AF4B3C">
        <w:rPr>
          <w:sz w:val="22"/>
          <w:szCs w:val="24"/>
        </w:rPr>
        <w:t>CITEPA.</w:t>
      </w:r>
    </w:p>
    <w:p w14:paraId="714BD9F8" w14:textId="77777777" w:rsidR="00C25859" w:rsidRDefault="00C25859" w:rsidP="00C25859">
      <w:pPr>
        <w:pStyle w:val="BodyText"/>
        <w:jc w:val="right"/>
      </w:pPr>
      <w:r>
        <w:t>December, 2024</w:t>
      </w:r>
    </w:p>
    <w:p w14:paraId="1B6F0E72" w14:textId="05F5EF57" w:rsidR="00DB475E" w:rsidRDefault="00C25859" w:rsidP="00C25859">
      <w:pPr>
        <w:spacing w:line="240" w:lineRule="auto"/>
        <w:jc w:val="right"/>
      </w:pPr>
      <w:r>
        <w:lastRenderedPageBreak/>
        <w:t>Ministry of Environment Protection of the Republic of Serbia</w:t>
      </w:r>
    </w:p>
    <w:p w14:paraId="103DAE49" w14:textId="77777777" w:rsidR="00746503" w:rsidRDefault="00746503" w:rsidP="00746503">
      <w:pPr>
        <w:spacing w:after="0"/>
        <w:rPr>
          <w:lang w:eastAsia="sl-SI"/>
        </w:rPr>
      </w:pPr>
    </w:p>
    <w:p w14:paraId="14823369" w14:textId="77777777" w:rsidR="00746503" w:rsidRDefault="00746503" w:rsidP="00746503">
      <w:pPr>
        <w:spacing w:after="0"/>
        <w:rPr>
          <w:lang w:eastAsia="sl-SI"/>
        </w:rPr>
      </w:pPr>
    </w:p>
    <w:p w14:paraId="74E23746" w14:textId="77777777" w:rsidR="00746503" w:rsidRDefault="00746503" w:rsidP="00746503">
      <w:pPr>
        <w:spacing w:after="0"/>
        <w:rPr>
          <w:lang w:eastAsia="sl-SI"/>
        </w:rPr>
      </w:pPr>
    </w:p>
    <w:p w14:paraId="3FD2B7D7" w14:textId="77777777" w:rsidR="00746503" w:rsidRDefault="00746503" w:rsidP="00746503">
      <w:pPr>
        <w:spacing w:after="0"/>
        <w:rPr>
          <w:lang w:eastAsia="sl-SI"/>
        </w:rPr>
      </w:pPr>
    </w:p>
    <w:p w14:paraId="62B4054C" w14:textId="77777777" w:rsidR="00746503" w:rsidRDefault="00746503" w:rsidP="00746503">
      <w:pPr>
        <w:spacing w:after="0"/>
        <w:rPr>
          <w:lang w:eastAsia="sl-SI"/>
        </w:rPr>
      </w:pPr>
    </w:p>
    <w:p w14:paraId="3283CF97" w14:textId="77777777" w:rsidR="00746503" w:rsidRDefault="00746503" w:rsidP="00746503">
      <w:pPr>
        <w:spacing w:after="0"/>
        <w:rPr>
          <w:lang w:eastAsia="sl-SI"/>
        </w:rPr>
      </w:pPr>
    </w:p>
    <w:p w14:paraId="24F5FD28" w14:textId="77777777" w:rsidR="00746503" w:rsidRDefault="00746503" w:rsidP="00746503">
      <w:pPr>
        <w:spacing w:after="0"/>
        <w:rPr>
          <w:lang w:eastAsia="sl-SI"/>
        </w:rPr>
      </w:pPr>
    </w:p>
    <w:p w14:paraId="1FEA96F4" w14:textId="77777777" w:rsidR="00746503" w:rsidRDefault="00746503" w:rsidP="00746503">
      <w:pPr>
        <w:spacing w:after="0"/>
        <w:rPr>
          <w:lang w:eastAsia="sl-SI"/>
        </w:rPr>
      </w:pPr>
    </w:p>
    <w:p w14:paraId="7A60B800" w14:textId="77777777" w:rsidR="00746503" w:rsidRDefault="00746503" w:rsidP="00746503">
      <w:pPr>
        <w:spacing w:after="0"/>
        <w:rPr>
          <w:lang w:eastAsia="sl-SI"/>
        </w:rPr>
      </w:pPr>
    </w:p>
    <w:p w14:paraId="2281F578" w14:textId="77777777" w:rsidR="00746503" w:rsidRDefault="00746503" w:rsidP="00746503">
      <w:pPr>
        <w:spacing w:after="0"/>
        <w:rPr>
          <w:lang w:eastAsia="sl-SI"/>
        </w:rPr>
      </w:pPr>
    </w:p>
    <w:p w14:paraId="5C5DC311" w14:textId="77777777" w:rsidR="00746503" w:rsidRDefault="00746503" w:rsidP="00746503">
      <w:pPr>
        <w:spacing w:after="0"/>
        <w:rPr>
          <w:lang w:eastAsia="sl-SI"/>
        </w:rPr>
      </w:pPr>
    </w:p>
    <w:p w14:paraId="755B88BE" w14:textId="77777777" w:rsidR="00746503" w:rsidRDefault="00746503" w:rsidP="00746503">
      <w:pPr>
        <w:spacing w:after="0"/>
        <w:rPr>
          <w:lang w:eastAsia="sl-SI"/>
        </w:rPr>
      </w:pPr>
    </w:p>
    <w:p w14:paraId="4EB61E99" w14:textId="77777777" w:rsidR="00746503" w:rsidRDefault="00746503" w:rsidP="00746503">
      <w:pPr>
        <w:spacing w:after="0"/>
        <w:rPr>
          <w:lang w:eastAsia="sl-SI"/>
        </w:rPr>
      </w:pPr>
    </w:p>
    <w:p w14:paraId="6845CB5D" w14:textId="77777777" w:rsidR="00746503" w:rsidRDefault="00746503" w:rsidP="00746503">
      <w:pPr>
        <w:spacing w:after="0"/>
        <w:rPr>
          <w:lang w:eastAsia="sl-SI"/>
        </w:rPr>
      </w:pPr>
    </w:p>
    <w:p w14:paraId="4B32B356" w14:textId="77777777" w:rsidR="00746503" w:rsidRDefault="00746503" w:rsidP="00746503">
      <w:pPr>
        <w:spacing w:after="0"/>
        <w:rPr>
          <w:lang w:eastAsia="sl-SI"/>
        </w:rPr>
      </w:pPr>
    </w:p>
    <w:p w14:paraId="4B92899E" w14:textId="77777777" w:rsidR="00746503" w:rsidRDefault="00746503" w:rsidP="00746503">
      <w:pPr>
        <w:spacing w:after="0"/>
        <w:rPr>
          <w:lang w:eastAsia="sl-SI"/>
        </w:rPr>
      </w:pPr>
    </w:p>
    <w:p w14:paraId="23016A85" w14:textId="77777777" w:rsidR="00746503" w:rsidRDefault="00746503" w:rsidP="00746503">
      <w:pPr>
        <w:spacing w:after="0"/>
        <w:rPr>
          <w:lang w:eastAsia="sl-SI"/>
        </w:rPr>
      </w:pPr>
    </w:p>
    <w:p w14:paraId="6D329E6E" w14:textId="77777777" w:rsidR="00746503" w:rsidRDefault="00746503" w:rsidP="00746503">
      <w:pPr>
        <w:spacing w:after="0"/>
        <w:rPr>
          <w:lang w:eastAsia="sl-SI"/>
        </w:rPr>
      </w:pPr>
    </w:p>
    <w:p w14:paraId="5102C91C" w14:textId="77777777" w:rsidR="00746503" w:rsidRDefault="00746503" w:rsidP="00746503">
      <w:pPr>
        <w:spacing w:after="0"/>
        <w:rPr>
          <w:lang w:eastAsia="sl-SI"/>
        </w:rPr>
      </w:pPr>
    </w:p>
    <w:p w14:paraId="19CF03ED" w14:textId="77777777" w:rsidR="00746503" w:rsidRDefault="00746503" w:rsidP="00746503">
      <w:pPr>
        <w:spacing w:after="0"/>
        <w:rPr>
          <w:lang w:eastAsia="sl-SI"/>
        </w:rPr>
      </w:pPr>
    </w:p>
    <w:p w14:paraId="7C6B4E39" w14:textId="77777777" w:rsidR="00746503" w:rsidRDefault="00746503" w:rsidP="00746503">
      <w:pPr>
        <w:spacing w:after="0"/>
        <w:rPr>
          <w:lang w:eastAsia="sl-SI"/>
        </w:rPr>
      </w:pPr>
    </w:p>
    <w:p w14:paraId="3DA0300D" w14:textId="77777777" w:rsidR="00746503" w:rsidRDefault="00746503" w:rsidP="00746503">
      <w:pPr>
        <w:spacing w:after="0"/>
        <w:rPr>
          <w:lang w:eastAsia="sl-SI"/>
        </w:rPr>
      </w:pPr>
    </w:p>
    <w:p w14:paraId="151D7339" w14:textId="77777777" w:rsidR="00746503" w:rsidRDefault="00746503" w:rsidP="00746503">
      <w:pPr>
        <w:spacing w:after="0"/>
        <w:rPr>
          <w:lang w:eastAsia="sl-SI"/>
        </w:rPr>
      </w:pPr>
    </w:p>
    <w:p w14:paraId="3B72664D" w14:textId="77777777" w:rsidR="00746503" w:rsidRDefault="00746503" w:rsidP="00746503">
      <w:pPr>
        <w:spacing w:after="0"/>
        <w:rPr>
          <w:lang w:eastAsia="sl-SI"/>
        </w:rPr>
      </w:pPr>
    </w:p>
    <w:p w14:paraId="4F249B5C" w14:textId="77777777" w:rsidR="00746503" w:rsidRDefault="00746503" w:rsidP="00746503">
      <w:pPr>
        <w:spacing w:after="0"/>
        <w:rPr>
          <w:lang w:eastAsia="sl-SI"/>
        </w:rPr>
      </w:pPr>
    </w:p>
    <w:p w14:paraId="3AC8FBFB" w14:textId="77777777" w:rsidR="00746503" w:rsidRDefault="00746503" w:rsidP="00746503">
      <w:pPr>
        <w:spacing w:after="0"/>
        <w:rPr>
          <w:lang w:eastAsia="sl-SI"/>
        </w:rPr>
      </w:pPr>
    </w:p>
    <w:p w14:paraId="489920CF" w14:textId="77777777" w:rsidR="00746503" w:rsidRDefault="00746503" w:rsidP="00746503">
      <w:pPr>
        <w:spacing w:after="0"/>
        <w:rPr>
          <w:lang w:eastAsia="sl-SI"/>
        </w:rPr>
      </w:pPr>
    </w:p>
    <w:p w14:paraId="68CA61A0" w14:textId="77777777" w:rsidR="00746503" w:rsidRDefault="00746503" w:rsidP="00746503">
      <w:pPr>
        <w:spacing w:after="0"/>
        <w:rPr>
          <w:lang w:eastAsia="sl-SI"/>
        </w:rPr>
      </w:pPr>
    </w:p>
    <w:p w14:paraId="7EB541E8" w14:textId="77777777" w:rsidR="00746503" w:rsidRDefault="00746503" w:rsidP="00746503">
      <w:pPr>
        <w:spacing w:after="0"/>
        <w:rPr>
          <w:lang w:eastAsia="sl-SI"/>
        </w:rPr>
      </w:pPr>
    </w:p>
    <w:p w14:paraId="5F5FFDE6" w14:textId="77777777" w:rsidR="00746503" w:rsidRDefault="00746503" w:rsidP="00746503">
      <w:pPr>
        <w:spacing w:after="0"/>
        <w:rPr>
          <w:lang w:eastAsia="sl-SI"/>
        </w:rPr>
      </w:pPr>
    </w:p>
    <w:p w14:paraId="055C1C27" w14:textId="77777777" w:rsidR="00746503" w:rsidRDefault="00746503" w:rsidP="00746503">
      <w:pPr>
        <w:spacing w:after="0"/>
        <w:rPr>
          <w:lang w:eastAsia="sl-SI"/>
        </w:rPr>
      </w:pPr>
    </w:p>
    <w:p w14:paraId="4AE7747B" w14:textId="237EE712" w:rsidR="00746503" w:rsidRDefault="00746503" w:rsidP="00746503">
      <w:pPr>
        <w:spacing w:after="0"/>
        <w:rPr>
          <w:lang w:eastAsia="sl-SI"/>
        </w:rPr>
      </w:pPr>
      <w:r>
        <w:rPr>
          <w:lang w:eastAsia="sl-SI"/>
        </w:rPr>
        <w:t>Republic of Serbia</w:t>
      </w:r>
    </w:p>
    <w:p w14:paraId="2C6C7FEE" w14:textId="1199546E" w:rsidR="00746503" w:rsidRDefault="00746503" w:rsidP="00746503">
      <w:pPr>
        <w:spacing w:after="0"/>
        <w:rPr>
          <w:lang w:eastAsia="sl-SI"/>
        </w:rPr>
      </w:pPr>
      <w:r>
        <w:rPr>
          <w:lang w:eastAsia="sl-SI"/>
        </w:rPr>
        <w:t>Ministry of the Environment</w:t>
      </w:r>
      <w:r w:rsidR="00BD58A6">
        <w:rPr>
          <w:lang w:eastAsia="sl-SI"/>
        </w:rPr>
        <w:t>al</w:t>
      </w:r>
      <w:r>
        <w:rPr>
          <w:lang w:eastAsia="sl-SI"/>
        </w:rPr>
        <w:t xml:space="preserve"> Protection</w:t>
      </w:r>
    </w:p>
    <w:p w14:paraId="5974A0DB" w14:textId="11927ABD" w:rsidR="00746503" w:rsidRDefault="00746503" w:rsidP="00746503">
      <w:pPr>
        <w:spacing w:after="0"/>
        <w:rPr>
          <w:lang w:eastAsia="sl-SI"/>
        </w:rPr>
      </w:pPr>
      <w:r>
        <w:rPr>
          <w:lang w:eastAsia="sl-SI"/>
        </w:rPr>
        <w:t>Serbian Environment Protection Agency</w:t>
      </w:r>
    </w:p>
    <w:p w14:paraId="6A4BD1C4" w14:textId="77777777" w:rsidR="00746503" w:rsidRDefault="00746503" w:rsidP="00746503">
      <w:pPr>
        <w:spacing w:after="0"/>
        <w:rPr>
          <w:lang w:eastAsia="sl-SI"/>
        </w:rPr>
      </w:pPr>
    </w:p>
    <w:p w14:paraId="79BB2EBB" w14:textId="7C84ED52" w:rsidR="00746503" w:rsidRDefault="00746503" w:rsidP="00746503">
      <w:pPr>
        <w:spacing w:after="0"/>
        <w:rPr>
          <w:lang w:eastAsia="sl-SI"/>
        </w:rPr>
      </w:pPr>
      <w:r>
        <w:rPr>
          <w:lang w:eastAsia="sl-SI"/>
        </w:rPr>
        <w:t>Phone: +381 (0)11 6356788</w:t>
      </w:r>
    </w:p>
    <w:p w14:paraId="1CFCB6AB" w14:textId="64B4CC48" w:rsidR="00746503" w:rsidRDefault="00746503" w:rsidP="00746503">
      <w:pPr>
        <w:spacing w:after="0"/>
        <w:rPr>
          <w:lang w:val="de-DE" w:eastAsia="sl-SI"/>
        </w:rPr>
      </w:pPr>
      <w:r>
        <w:rPr>
          <w:lang w:val="de-DE" w:eastAsia="sl-SI"/>
        </w:rPr>
        <w:t>E-Mail: office @sepa.gov.rs</w:t>
      </w:r>
    </w:p>
    <w:p w14:paraId="25F885FB" w14:textId="102CD039" w:rsidR="00746503" w:rsidRDefault="00746503" w:rsidP="00746503">
      <w:pPr>
        <w:spacing w:after="0"/>
        <w:rPr>
          <w:lang w:val="de-DE" w:eastAsia="sl-SI"/>
        </w:rPr>
      </w:pPr>
      <w:r>
        <w:rPr>
          <w:lang w:val="de-DE" w:eastAsia="sl-SI"/>
        </w:rPr>
        <w:t xml:space="preserve">Adresse: Agencija za zaštitu životne sredina, </w:t>
      </w:r>
      <w:r w:rsidR="00BD58A6">
        <w:rPr>
          <w:lang w:val="de-DE" w:eastAsia="sl-SI"/>
        </w:rPr>
        <w:t>Ž</w:t>
      </w:r>
      <w:r>
        <w:rPr>
          <w:lang w:val="de-DE" w:eastAsia="sl-SI"/>
        </w:rPr>
        <w:t>abljačka 10a, 11160 Belgrade</w:t>
      </w:r>
    </w:p>
    <w:p w14:paraId="4A38A914" w14:textId="4F5706C1" w:rsidR="00746503" w:rsidRDefault="00746503" w:rsidP="00746503">
      <w:pPr>
        <w:spacing w:after="0"/>
        <w:rPr>
          <w:lang w:val="es-ES" w:eastAsia="sl-SI"/>
        </w:rPr>
      </w:pPr>
      <w:r>
        <w:rPr>
          <w:lang w:val="es-ES" w:eastAsia="sl-SI"/>
        </w:rPr>
        <w:t>Internet: www.sepa.gov.rs</w:t>
      </w:r>
    </w:p>
    <w:p w14:paraId="7ABB3543" w14:textId="77777777" w:rsidR="00746503" w:rsidRDefault="00746503" w:rsidP="00746503">
      <w:pPr>
        <w:spacing w:after="0"/>
        <w:rPr>
          <w:lang w:val="es-ES" w:eastAsia="sl-SI"/>
        </w:rPr>
      </w:pPr>
    </w:p>
    <w:p w14:paraId="7AF732BD" w14:textId="77777777" w:rsidR="00746503" w:rsidRDefault="00746503" w:rsidP="00746503">
      <w:pPr>
        <w:spacing w:after="0"/>
        <w:rPr>
          <w:lang w:val="es-ES" w:eastAsia="sl-SI"/>
        </w:rPr>
      </w:pPr>
    </w:p>
    <w:p w14:paraId="78626FF9" w14:textId="77777777" w:rsidR="00746503" w:rsidRDefault="00746503" w:rsidP="00746503">
      <w:pPr>
        <w:spacing w:after="0"/>
        <w:rPr>
          <w:lang w:val="es-ES" w:eastAsia="sl-SI"/>
        </w:rPr>
      </w:pPr>
      <w:proofErr w:type="spellStart"/>
      <w:r>
        <w:rPr>
          <w:lang w:val="es-ES" w:eastAsia="sl-SI"/>
        </w:rPr>
        <w:t>Contact</w:t>
      </w:r>
      <w:proofErr w:type="spellEnd"/>
      <w:r>
        <w:rPr>
          <w:lang w:val="es-ES" w:eastAsia="sl-SI"/>
        </w:rPr>
        <w:t xml:space="preserve"> </w:t>
      </w:r>
      <w:proofErr w:type="spellStart"/>
      <w:r>
        <w:rPr>
          <w:lang w:val="es-ES" w:eastAsia="sl-SI"/>
        </w:rPr>
        <w:t>person</w:t>
      </w:r>
      <w:proofErr w:type="spellEnd"/>
      <w:r>
        <w:rPr>
          <w:lang w:val="es-ES" w:eastAsia="sl-SI"/>
        </w:rPr>
        <w:t>:</w:t>
      </w:r>
    </w:p>
    <w:p w14:paraId="736E9246" w14:textId="77777777" w:rsidR="00746503" w:rsidRDefault="00746503" w:rsidP="00746503">
      <w:pPr>
        <w:spacing w:after="0"/>
        <w:rPr>
          <w:lang w:val="es-ES" w:eastAsia="sl-SI"/>
        </w:rPr>
      </w:pPr>
    </w:p>
    <w:p w14:paraId="73EE7A24" w14:textId="4532469E" w:rsidR="00746503" w:rsidRDefault="00746503" w:rsidP="00746503">
      <w:pPr>
        <w:spacing w:after="0"/>
        <w:rPr>
          <w:lang w:val="es-ES" w:eastAsia="sl-SI"/>
        </w:rPr>
      </w:pPr>
      <w:r>
        <w:rPr>
          <w:lang w:val="es-ES" w:eastAsia="sl-SI"/>
        </w:rPr>
        <w:t>Ivana Dukić</w:t>
      </w:r>
    </w:p>
    <w:p w14:paraId="1ED0BAE1" w14:textId="4ABB694C" w:rsidR="00746503" w:rsidRDefault="00746503" w:rsidP="00746503">
      <w:pPr>
        <w:spacing w:after="0"/>
        <w:rPr>
          <w:lang w:eastAsia="sl-SI"/>
        </w:rPr>
      </w:pPr>
      <w:r>
        <w:rPr>
          <w:lang w:eastAsia="sl-SI"/>
        </w:rPr>
        <w:t>Phone: +38</w:t>
      </w:r>
      <w:r w:rsidR="00BD58A6">
        <w:rPr>
          <w:lang w:eastAsia="sl-SI"/>
        </w:rPr>
        <w:t>1</w:t>
      </w:r>
      <w:r>
        <w:rPr>
          <w:lang w:eastAsia="sl-SI"/>
        </w:rPr>
        <w:t xml:space="preserve"> (0)</w:t>
      </w:r>
      <w:r w:rsidR="00BD58A6">
        <w:rPr>
          <w:lang w:eastAsia="sl-SI"/>
        </w:rPr>
        <w:t>1</w:t>
      </w:r>
      <w:r>
        <w:rPr>
          <w:lang w:eastAsia="sl-SI"/>
        </w:rPr>
        <w:t xml:space="preserve">1 </w:t>
      </w:r>
      <w:r w:rsidR="00E34B9F">
        <w:rPr>
          <w:lang w:eastAsia="sl-SI"/>
        </w:rPr>
        <w:t>6356793</w:t>
      </w:r>
    </w:p>
    <w:p w14:paraId="023907AA" w14:textId="42ABCD45" w:rsidR="00BD58A6" w:rsidRDefault="00746503" w:rsidP="00746503">
      <w:pPr>
        <w:spacing w:after="0"/>
        <w:rPr>
          <w:lang w:val="de-DE" w:eastAsia="sl-SI"/>
        </w:rPr>
      </w:pPr>
      <w:r>
        <w:rPr>
          <w:lang w:val="de-DE" w:eastAsia="sl-SI"/>
        </w:rPr>
        <w:t xml:space="preserve">E-Mail: </w:t>
      </w:r>
      <w:hyperlink r:id="rId19" w:history="1">
        <w:r w:rsidR="00BD58A6" w:rsidRPr="006D599C">
          <w:rPr>
            <w:rStyle w:val="Hyperlink"/>
            <w:lang w:val="de-DE" w:eastAsia="sl-SI"/>
          </w:rPr>
          <w:t>ivana.dukic@sepa.gov.rs</w:t>
        </w:r>
      </w:hyperlink>
    </w:p>
    <w:p w14:paraId="489E10B2" w14:textId="20053117" w:rsidR="00746503" w:rsidRDefault="00BD58A6" w:rsidP="00746503">
      <w:pPr>
        <w:spacing w:after="0"/>
        <w:rPr>
          <w:lang w:val="de-DE" w:eastAsia="sl-SI"/>
        </w:rPr>
      </w:pPr>
      <w:r>
        <w:rPr>
          <w:lang w:val="de-DE" w:eastAsia="sl-SI"/>
        </w:rPr>
        <w:t xml:space="preserve"> </w:t>
      </w:r>
    </w:p>
    <w:p w14:paraId="54CBBB96" w14:textId="3A0D1942" w:rsidR="00C25859" w:rsidRDefault="00C25859">
      <w:pPr>
        <w:jc w:val="left"/>
      </w:pPr>
      <w:r>
        <w:br w:type="page"/>
      </w:r>
    </w:p>
    <w:p w14:paraId="5A1EC3AA" w14:textId="3D038A5F" w:rsidR="002F3057" w:rsidRPr="00771B5A" w:rsidRDefault="00771B5A" w:rsidP="00771B5A">
      <w:pPr>
        <w:pStyle w:val="BodyText"/>
        <w:rPr>
          <w:b/>
          <w:bCs/>
          <w:color w:val="548DD4" w:themeColor="text2" w:themeTint="99"/>
          <w:sz w:val="40"/>
          <w:szCs w:val="40"/>
        </w:rPr>
      </w:pPr>
      <w:r w:rsidRPr="00771B5A">
        <w:rPr>
          <w:b/>
          <w:bCs/>
          <w:color w:val="548DD4" w:themeColor="text2" w:themeTint="99"/>
          <w:sz w:val="40"/>
          <w:szCs w:val="40"/>
        </w:rPr>
        <w:lastRenderedPageBreak/>
        <w:t>Table of Content</w:t>
      </w:r>
    </w:p>
    <w:p w14:paraId="595B5EEB" w14:textId="77777777" w:rsidR="00771B5A" w:rsidRDefault="00771B5A" w:rsidP="00771B5A">
      <w:pPr>
        <w:pStyle w:val="BodyText"/>
        <w:rPr>
          <w:highlight w:val="yellow"/>
        </w:rPr>
      </w:pPr>
    </w:p>
    <w:bookmarkStart w:id="1" w:name="_Toc433706743"/>
    <w:p w14:paraId="40BC50CB" w14:textId="4ADF02DF" w:rsidR="00440D6B" w:rsidRDefault="00771B5A">
      <w:pPr>
        <w:pStyle w:val="TOC1"/>
        <w:tabs>
          <w:tab w:val="right" w:leader="dot" w:pos="9062"/>
        </w:tabs>
        <w:rPr>
          <w:rFonts w:eastAsiaTheme="minorEastAsia"/>
          <w:noProof/>
          <w:kern w:val="2"/>
          <w:sz w:val="24"/>
          <w:szCs w:val="24"/>
          <w:lang w:val="en-US"/>
          <w14:ligatures w14:val="standardContextual"/>
        </w:rPr>
      </w:pPr>
      <w:r>
        <w:rPr>
          <w:highlight w:val="yellow"/>
        </w:rPr>
        <w:fldChar w:fldCharType="begin"/>
      </w:r>
      <w:r>
        <w:rPr>
          <w:highlight w:val="yellow"/>
        </w:rPr>
        <w:instrText xml:space="preserve"> TOC \o "1-3" \u </w:instrText>
      </w:r>
      <w:r>
        <w:rPr>
          <w:highlight w:val="yellow"/>
        </w:rPr>
        <w:fldChar w:fldCharType="separate"/>
      </w:r>
      <w:r w:rsidR="00440D6B">
        <w:rPr>
          <w:noProof/>
          <w:lang w:eastAsia="fr-FR"/>
        </w:rPr>
        <w:t>EXECUTIVE SUMMARY</w:t>
      </w:r>
      <w:r w:rsidR="00440D6B">
        <w:rPr>
          <w:noProof/>
        </w:rPr>
        <w:tab/>
      </w:r>
      <w:r w:rsidR="00440D6B">
        <w:rPr>
          <w:noProof/>
        </w:rPr>
        <w:fldChar w:fldCharType="begin"/>
      </w:r>
      <w:r w:rsidR="00440D6B">
        <w:rPr>
          <w:noProof/>
        </w:rPr>
        <w:instrText xml:space="preserve"> PAGEREF _Toc184808141 \h </w:instrText>
      </w:r>
      <w:r w:rsidR="00440D6B">
        <w:rPr>
          <w:noProof/>
        </w:rPr>
      </w:r>
      <w:r w:rsidR="00440D6B">
        <w:rPr>
          <w:noProof/>
        </w:rPr>
        <w:fldChar w:fldCharType="separate"/>
      </w:r>
      <w:r w:rsidR="00440D6B">
        <w:rPr>
          <w:noProof/>
        </w:rPr>
        <w:t>19</w:t>
      </w:r>
      <w:r w:rsidR="00440D6B">
        <w:rPr>
          <w:noProof/>
        </w:rPr>
        <w:fldChar w:fldCharType="end"/>
      </w:r>
    </w:p>
    <w:p w14:paraId="137448B3" w14:textId="38EE1DDE"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Chapter 1: Introduction</w:t>
      </w:r>
      <w:r>
        <w:rPr>
          <w:noProof/>
        </w:rPr>
        <w:tab/>
      </w:r>
      <w:r>
        <w:rPr>
          <w:noProof/>
        </w:rPr>
        <w:fldChar w:fldCharType="begin"/>
      </w:r>
      <w:r>
        <w:rPr>
          <w:noProof/>
        </w:rPr>
        <w:instrText xml:space="preserve"> PAGEREF _Toc184808142 \h </w:instrText>
      </w:r>
      <w:r>
        <w:rPr>
          <w:noProof/>
        </w:rPr>
      </w:r>
      <w:r>
        <w:rPr>
          <w:noProof/>
        </w:rPr>
        <w:fldChar w:fldCharType="separate"/>
      </w:r>
      <w:r>
        <w:rPr>
          <w:noProof/>
        </w:rPr>
        <w:t>23</w:t>
      </w:r>
      <w:r>
        <w:rPr>
          <w:noProof/>
        </w:rPr>
        <w:fldChar w:fldCharType="end"/>
      </w:r>
    </w:p>
    <w:p w14:paraId="6F15C368" w14:textId="4D59D719"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1.1</w:t>
      </w:r>
      <w:r>
        <w:rPr>
          <w:rFonts w:eastAsiaTheme="minorEastAsia"/>
          <w:noProof/>
          <w:kern w:val="2"/>
          <w:sz w:val="24"/>
          <w:szCs w:val="24"/>
          <w:lang w:val="en-US"/>
          <w14:ligatures w14:val="standardContextual"/>
        </w:rPr>
        <w:tab/>
      </w:r>
      <w:r w:rsidRPr="00293C44">
        <w:rPr>
          <w:noProof/>
        </w:rPr>
        <w:t>Background information on GHG inventories and climate change</w:t>
      </w:r>
      <w:r>
        <w:rPr>
          <w:noProof/>
        </w:rPr>
        <w:tab/>
      </w:r>
      <w:r>
        <w:rPr>
          <w:noProof/>
        </w:rPr>
        <w:fldChar w:fldCharType="begin"/>
      </w:r>
      <w:r>
        <w:rPr>
          <w:noProof/>
        </w:rPr>
        <w:instrText xml:space="preserve"> PAGEREF _Toc184808143 \h </w:instrText>
      </w:r>
      <w:r>
        <w:rPr>
          <w:noProof/>
        </w:rPr>
      </w:r>
      <w:r>
        <w:rPr>
          <w:noProof/>
        </w:rPr>
        <w:fldChar w:fldCharType="separate"/>
      </w:r>
      <w:r>
        <w:rPr>
          <w:noProof/>
        </w:rPr>
        <w:t>23</w:t>
      </w:r>
      <w:r>
        <w:rPr>
          <w:noProof/>
        </w:rPr>
        <w:fldChar w:fldCharType="end"/>
      </w:r>
    </w:p>
    <w:p w14:paraId="30F65874" w14:textId="0DACFA7F"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1.2</w:t>
      </w:r>
      <w:r>
        <w:rPr>
          <w:rFonts w:eastAsiaTheme="minorEastAsia"/>
          <w:noProof/>
          <w:kern w:val="2"/>
          <w:sz w:val="24"/>
          <w:szCs w:val="24"/>
          <w:lang w:val="en-US"/>
          <w14:ligatures w14:val="standardContextual"/>
        </w:rPr>
        <w:tab/>
      </w:r>
      <w:r w:rsidRPr="00293C44">
        <w:rPr>
          <w:noProof/>
        </w:rPr>
        <w:t>A description of the national circumstances and institutional arrangements</w:t>
      </w:r>
      <w:r>
        <w:rPr>
          <w:noProof/>
        </w:rPr>
        <w:tab/>
      </w:r>
      <w:r>
        <w:rPr>
          <w:noProof/>
        </w:rPr>
        <w:fldChar w:fldCharType="begin"/>
      </w:r>
      <w:r>
        <w:rPr>
          <w:noProof/>
        </w:rPr>
        <w:instrText xml:space="preserve"> PAGEREF _Toc184808144 \h </w:instrText>
      </w:r>
      <w:r>
        <w:rPr>
          <w:noProof/>
        </w:rPr>
      </w:r>
      <w:r>
        <w:rPr>
          <w:noProof/>
        </w:rPr>
        <w:fldChar w:fldCharType="separate"/>
      </w:r>
      <w:r>
        <w:rPr>
          <w:noProof/>
        </w:rPr>
        <w:t>25</w:t>
      </w:r>
      <w:r>
        <w:rPr>
          <w:noProof/>
        </w:rPr>
        <w:fldChar w:fldCharType="end"/>
      </w:r>
    </w:p>
    <w:p w14:paraId="75AC34BA" w14:textId="395C9BA9" w:rsidR="00440D6B" w:rsidRDefault="00440D6B">
      <w:pPr>
        <w:pStyle w:val="TOC3"/>
        <w:rPr>
          <w:rFonts w:eastAsiaTheme="minorEastAsia"/>
          <w:noProof/>
          <w:kern w:val="2"/>
          <w:sz w:val="24"/>
          <w:szCs w:val="24"/>
          <w:lang w:val="en-US"/>
          <w14:ligatures w14:val="standardContextual"/>
        </w:rPr>
      </w:pPr>
      <w:r>
        <w:rPr>
          <w:noProof/>
        </w:rPr>
        <w:t>1.2.1</w:t>
      </w:r>
      <w:r>
        <w:rPr>
          <w:rFonts w:eastAsiaTheme="minorEastAsia"/>
          <w:noProof/>
          <w:kern w:val="2"/>
          <w:sz w:val="24"/>
          <w:szCs w:val="24"/>
          <w:lang w:val="en-US"/>
          <w14:ligatures w14:val="standardContextual"/>
        </w:rPr>
        <w:tab/>
      </w:r>
      <w:r>
        <w:rPr>
          <w:noProof/>
        </w:rPr>
        <w:t>National entity or national focal point</w:t>
      </w:r>
      <w:r>
        <w:rPr>
          <w:noProof/>
        </w:rPr>
        <w:tab/>
      </w:r>
      <w:r>
        <w:rPr>
          <w:noProof/>
        </w:rPr>
        <w:fldChar w:fldCharType="begin"/>
      </w:r>
      <w:r>
        <w:rPr>
          <w:noProof/>
        </w:rPr>
        <w:instrText xml:space="preserve"> PAGEREF _Toc184808145 \h </w:instrText>
      </w:r>
      <w:r>
        <w:rPr>
          <w:noProof/>
        </w:rPr>
      </w:r>
      <w:r>
        <w:rPr>
          <w:noProof/>
        </w:rPr>
        <w:fldChar w:fldCharType="separate"/>
      </w:r>
      <w:r>
        <w:rPr>
          <w:noProof/>
        </w:rPr>
        <w:t>25</w:t>
      </w:r>
      <w:r>
        <w:rPr>
          <w:noProof/>
        </w:rPr>
        <w:fldChar w:fldCharType="end"/>
      </w:r>
    </w:p>
    <w:p w14:paraId="6A6FB48F" w14:textId="049F1285" w:rsidR="00440D6B" w:rsidRDefault="00440D6B">
      <w:pPr>
        <w:pStyle w:val="TOC3"/>
        <w:rPr>
          <w:rFonts w:eastAsiaTheme="minorEastAsia"/>
          <w:noProof/>
          <w:kern w:val="2"/>
          <w:sz w:val="24"/>
          <w:szCs w:val="24"/>
          <w:lang w:val="en-US"/>
          <w14:ligatures w14:val="standardContextual"/>
        </w:rPr>
      </w:pPr>
      <w:r>
        <w:rPr>
          <w:noProof/>
        </w:rPr>
        <w:t>1.2.2</w:t>
      </w:r>
      <w:r>
        <w:rPr>
          <w:rFonts w:eastAsiaTheme="minorEastAsia"/>
          <w:noProof/>
          <w:kern w:val="2"/>
          <w:sz w:val="24"/>
          <w:szCs w:val="24"/>
          <w:lang w:val="en-US"/>
          <w14:ligatures w14:val="standardContextual"/>
        </w:rPr>
        <w:tab/>
      </w:r>
      <w:r>
        <w:rPr>
          <w:noProof/>
        </w:rPr>
        <w:t>Inventory preparation process</w:t>
      </w:r>
      <w:r>
        <w:rPr>
          <w:noProof/>
        </w:rPr>
        <w:tab/>
      </w:r>
      <w:r>
        <w:rPr>
          <w:noProof/>
        </w:rPr>
        <w:fldChar w:fldCharType="begin"/>
      </w:r>
      <w:r>
        <w:rPr>
          <w:noProof/>
        </w:rPr>
        <w:instrText xml:space="preserve"> PAGEREF _Toc184808146 \h </w:instrText>
      </w:r>
      <w:r>
        <w:rPr>
          <w:noProof/>
        </w:rPr>
      </w:r>
      <w:r>
        <w:rPr>
          <w:noProof/>
        </w:rPr>
        <w:fldChar w:fldCharType="separate"/>
      </w:r>
      <w:r>
        <w:rPr>
          <w:noProof/>
        </w:rPr>
        <w:t>27</w:t>
      </w:r>
      <w:r>
        <w:rPr>
          <w:noProof/>
        </w:rPr>
        <w:fldChar w:fldCharType="end"/>
      </w:r>
    </w:p>
    <w:p w14:paraId="5A6ECEDA" w14:textId="06A819E1" w:rsidR="00440D6B" w:rsidRDefault="00440D6B">
      <w:pPr>
        <w:pStyle w:val="TOC3"/>
        <w:rPr>
          <w:rFonts w:eastAsiaTheme="minorEastAsia"/>
          <w:noProof/>
          <w:kern w:val="2"/>
          <w:sz w:val="24"/>
          <w:szCs w:val="24"/>
          <w:lang w:val="en-US"/>
          <w14:ligatures w14:val="standardContextual"/>
        </w:rPr>
      </w:pPr>
      <w:r>
        <w:rPr>
          <w:noProof/>
        </w:rPr>
        <w:t>1.2.3</w:t>
      </w:r>
      <w:r>
        <w:rPr>
          <w:rFonts w:eastAsiaTheme="minorEastAsia"/>
          <w:noProof/>
          <w:kern w:val="2"/>
          <w:sz w:val="24"/>
          <w:szCs w:val="24"/>
          <w:lang w:val="en-US"/>
          <w14:ligatures w14:val="standardContextual"/>
        </w:rPr>
        <w:tab/>
      </w:r>
      <w:r>
        <w:rPr>
          <w:noProof/>
        </w:rPr>
        <w:t>Archiving information</w:t>
      </w:r>
      <w:r>
        <w:rPr>
          <w:noProof/>
        </w:rPr>
        <w:tab/>
      </w:r>
      <w:r>
        <w:rPr>
          <w:noProof/>
        </w:rPr>
        <w:fldChar w:fldCharType="begin"/>
      </w:r>
      <w:r>
        <w:rPr>
          <w:noProof/>
        </w:rPr>
        <w:instrText xml:space="preserve"> PAGEREF _Toc184808147 \h </w:instrText>
      </w:r>
      <w:r>
        <w:rPr>
          <w:noProof/>
        </w:rPr>
      </w:r>
      <w:r>
        <w:rPr>
          <w:noProof/>
        </w:rPr>
        <w:fldChar w:fldCharType="separate"/>
      </w:r>
      <w:r>
        <w:rPr>
          <w:noProof/>
        </w:rPr>
        <w:t>31</w:t>
      </w:r>
      <w:r>
        <w:rPr>
          <w:noProof/>
        </w:rPr>
        <w:fldChar w:fldCharType="end"/>
      </w:r>
    </w:p>
    <w:p w14:paraId="68027987" w14:textId="5E786833" w:rsidR="00440D6B" w:rsidRDefault="00440D6B">
      <w:pPr>
        <w:pStyle w:val="TOC3"/>
        <w:rPr>
          <w:rFonts w:eastAsiaTheme="minorEastAsia"/>
          <w:noProof/>
          <w:kern w:val="2"/>
          <w:sz w:val="24"/>
          <w:szCs w:val="24"/>
          <w:lang w:val="en-US"/>
          <w14:ligatures w14:val="standardContextual"/>
        </w:rPr>
      </w:pPr>
      <w:r>
        <w:rPr>
          <w:noProof/>
        </w:rPr>
        <w:t>1.2.4</w:t>
      </w:r>
      <w:r>
        <w:rPr>
          <w:rFonts w:eastAsiaTheme="minorEastAsia"/>
          <w:noProof/>
          <w:kern w:val="2"/>
          <w:sz w:val="24"/>
          <w:szCs w:val="24"/>
          <w:lang w:val="en-US"/>
          <w14:ligatures w14:val="standardContextual"/>
        </w:rPr>
        <w:tab/>
      </w:r>
      <w:r>
        <w:rPr>
          <w:noProof/>
        </w:rPr>
        <w:t>Processes for official consideration and approval of inventory</w:t>
      </w:r>
      <w:r>
        <w:rPr>
          <w:noProof/>
        </w:rPr>
        <w:tab/>
      </w:r>
      <w:r>
        <w:rPr>
          <w:noProof/>
        </w:rPr>
        <w:fldChar w:fldCharType="begin"/>
      </w:r>
      <w:r>
        <w:rPr>
          <w:noProof/>
        </w:rPr>
        <w:instrText xml:space="preserve"> PAGEREF _Toc184808148 \h </w:instrText>
      </w:r>
      <w:r>
        <w:rPr>
          <w:noProof/>
        </w:rPr>
      </w:r>
      <w:r>
        <w:rPr>
          <w:noProof/>
        </w:rPr>
        <w:fldChar w:fldCharType="separate"/>
      </w:r>
      <w:r>
        <w:rPr>
          <w:noProof/>
        </w:rPr>
        <w:t>31</w:t>
      </w:r>
      <w:r>
        <w:rPr>
          <w:noProof/>
        </w:rPr>
        <w:fldChar w:fldCharType="end"/>
      </w:r>
    </w:p>
    <w:p w14:paraId="41FD254E" w14:textId="66147E4A"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1.3</w:t>
      </w:r>
      <w:r>
        <w:rPr>
          <w:rFonts w:eastAsiaTheme="minorEastAsia"/>
          <w:noProof/>
          <w:kern w:val="2"/>
          <w:sz w:val="24"/>
          <w:szCs w:val="24"/>
          <w:lang w:val="en-US"/>
          <w14:ligatures w14:val="standardContextual"/>
        </w:rPr>
        <w:tab/>
      </w:r>
      <w:r>
        <w:rPr>
          <w:noProof/>
        </w:rPr>
        <w:t>Brief general description of methodologies (including tiers used) and data sources used</w:t>
      </w:r>
      <w:r>
        <w:rPr>
          <w:noProof/>
        </w:rPr>
        <w:tab/>
      </w:r>
      <w:r>
        <w:rPr>
          <w:noProof/>
        </w:rPr>
        <w:fldChar w:fldCharType="begin"/>
      </w:r>
      <w:r>
        <w:rPr>
          <w:noProof/>
        </w:rPr>
        <w:instrText xml:space="preserve"> PAGEREF _Toc184808149 \h </w:instrText>
      </w:r>
      <w:r>
        <w:rPr>
          <w:noProof/>
        </w:rPr>
      </w:r>
      <w:r>
        <w:rPr>
          <w:noProof/>
        </w:rPr>
        <w:fldChar w:fldCharType="separate"/>
      </w:r>
      <w:r>
        <w:rPr>
          <w:noProof/>
        </w:rPr>
        <w:t>32</w:t>
      </w:r>
      <w:r>
        <w:rPr>
          <w:noProof/>
        </w:rPr>
        <w:fldChar w:fldCharType="end"/>
      </w:r>
    </w:p>
    <w:p w14:paraId="278D0571" w14:textId="323AF624"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1.4</w:t>
      </w:r>
      <w:r>
        <w:rPr>
          <w:rFonts w:eastAsiaTheme="minorEastAsia"/>
          <w:noProof/>
          <w:kern w:val="2"/>
          <w:sz w:val="24"/>
          <w:szCs w:val="24"/>
          <w:lang w:val="en-US"/>
          <w14:ligatures w14:val="standardContextual"/>
        </w:rPr>
        <w:tab/>
      </w:r>
      <w:r>
        <w:rPr>
          <w:noProof/>
        </w:rPr>
        <w:t>Brief description of key categories</w:t>
      </w:r>
      <w:r>
        <w:rPr>
          <w:noProof/>
        </w:rPr>
        <w:tab/>
      </w:r>
      <w:r>
        <w:rPr>
          <w:noProof/>
        </w:rPr>
        <w:fldChar w:fldCharType="begin"/>
      </w:r>
      <w:r>
        <w:rPr>
          <w:noProof/>
        </w:rPr>
        <w:instrText xml:space="preserve"> PAGEREF _Toc184808150 \h </w:instrText>
      </w:r>
      <w:r>
        <w:rPr>
          <w:noProof/>
        </w:rPr>
      </w:r>
      <w:r>
        <w:rPr>
          <w:noProof/>
        </w:rPr>
        <w:fldChar w:fldCharType="separate"/>
      </w:r>
      <w:r>
        <w:rPr>
          <w:noProof/>
        </w:rPr>
        <w:t>35</w:t>
      </w:r>
      <w:r>
        <w:rPr>
          <w:noProof/>
        </w:rPr>
        <w:fldChar w:fldCharType="end"/>
      </w:r>
    </w:p>
    <w:p w14:paraId="68168D4D" w14:textId="323F9C56"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1.5</w:t>
      </w:r>
      <w:r>
        <w:rPr>
          <w:rFonts w:eastAsiaTheme="minorEastAsia"/>
          <w:noProof/>
          <w:kern w:val="2"/>
          <w:sz w:val="24"/>
          <w:szCs w:val="24"/>
          <w:lang w:val="en-US"/>
          <w14:ligatures w14:val="standardContextual"/>
        </w:rPr>
        <w:tab/>
      </w:r>
      <w:r>
        <w:rPr>
          <w:noProof/>
        </w:rPr>
        <w:t>Brief general description of QA/QC plan and implementation</w:t>
      </w:r>
      <w:r>
        <w:rPr>
          <w:noProof/>
        </w:rPr>
        <w:tab/>
      </w:r>
      <w:r>
        <w:rPr>
          <w:noProof/>
        </w:rPr>
        <w:fldChar w:fldCharType="begin"/>
      </w:r>
      <w:r>
        <w:rPr>
          <w:noProof/>
        </w:rPr>
        <w:instrText xml:space="preserve"> PAGEREF _Toc184808151 \h </w:instrText>
      </w:r>
      <w:r>
        <w:rPr>
          <w:noProof/>
        </w:rPr>
      </w:r>
      <w:r>
        <w:rPr>
          <w:noProof/>
        </w:rPr>
        <w:fldChar w:fldCharType="separate"/>
      </w:r>
      <w:r>
        <w:rPr>
          <w:noProof/>
        </w:rPr>
        <w:t>40</w:t>
      </w:r>
      <w:r>
        <w:rPr>
          <w:noProof/>
        </w:rPr>
        <w:fldChar w:fldCharType="end"/>
      </w:r>
    </w:p>
    <w:p w14:paraId="4437A73A" w14:textId="23770614"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1.6</w:t>
      </w:r>
      <w:r>
        <w:rPr>
          <w:rFonts w:eastAsiaTheme="minorEastAsia"/>
          <w:noProof/>
          <w:kern w:val="2"/>
          <w:sz w:val="24"/>
          <w:szCs w:val="24"/>
          <w:lang w:val="en-US"/>
          <w14:ligatures w14:val="standardContextual"/>
        </w:rPr>
        <w:tab/>
      </w:r>
      <w:r>
        <w:rPr>
          <w:noProof/>
        </w:rPr>
        <w:t>General uncertainty evaluation</w:t>
      </w:r>
      <w:r>
        <w:rPr>
          <w:noProof/>
        </w:rPr>
        <w:tab/>
      </w:r>
      <w:r>
        <w:rPr>
          <w:noProof/>
        </w:rPr>
        <w:fldChar w:fldCharType="begin"/>
      </w:r>
      <w:r>
        <w:rPr>
          <w:noProof/>
        </w:rPr>
        <w:instrText xml:space="preserve"> PAGEREF _Toc184808152 \h </w:instrText>
      </w:r>
      <w:r>
        <w:rPr>
          <w:noProof/>
        </w:rPr>
      </w:r>
      <w:r>
        <w:rPr>
          <w:noProof/>
        </w:rPr>
        <w:fldChar w:fldCharType="separate"/>
      </w:r>
      <w:r>
        <w:rPr>
          <w:noProof/>
        </w:rPr>
        <w:t>41</w:t>
      </w:r>
      <w:r>
        <w:rPr>
          <w:noProof/>
        </w:rPr>
        <w:fldChar w:fldCharType="end"/>
      </w:r>
    </w:p>
    <w:p w14:paraId="26173743" w14:textId="20220C9E"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1.7</w:t>
      </w:r>
      <w:r>
        <w:rPr>
          <w:rFonts w:eastAsiaTheme="minorEastAsia"/>
          <w:noProof/>
          <w:kern w:val="2"/>
          <w:sz w:val="24"/>
          <w:szCs w:val="24"/>
          <w:lang w:val="en-US"/>
          <w14:ligatures w14:val="standardContextual"/>
        </w:rPr>
        <w:tab/>
      </w:r>
      <w:r>
        <w:rPr>
          <w:noProof/>
        </w:rPr>
        <w:t>General assessment of completeness (MPGs para 30)</w:t>
      </w:r>
      <w:r>
        <w:rPr>
          <w:noProof/>
        </w:rPr>
        <w:tab/>
      </w:r>
      <w:r>
        <w:rPr>
          <w:noProof/>
        </w:rPr>
        <w:fldChar w:fldCharType="begin"/>
      </w:r>
      <w:r>
        <w:rPr>
          <w:noProof/>
        </w:rPr>
        <w:instrText xml:space="preserve"> PAGEREF _Toc184808153 \h </w:instrText>
      </w:r>
      <w:r>
        <w:rPr>
          <w:noProof/>
        </w:rPr>
      </w:r>
      <w:r>
        <w:rPr>
          <w:noProof/>
        </w:rPr>
        <w:fldChar w:fldCharType="separate"/>
      </w:r>
      <w:r>
        <w:rPr>
          <w:noProof/>
        </w:rPr>
        <w:t>42</w:t>
      </w:r>
      <w:r>
        <w:rPr>
          <w:noProof/>
        </w:rPr>
        <w:fldChar w:fldCharType="end"/>
      </w:r>
    </w:p>
    <w:p w14:paraId="63AFBAFD" w14:textId="26309A72" w:rsidR="00440D6B" w:rsidRDefault="00440D6B">
      <w:pPr>
        <w:pStyle w:val="TOC3"/>
        <w:rPr>
          <w:rFonts w:eastAsiaTheme="minorEastAsia"/>
          <w:noProof/>
          <w:kern w:val="2"/>
          <w:sz w:val="24"/>
          <w:szCs w:val="24"/>
          <w:lang w:val="en-US"/>
          <w14:ligatures w14:val="standardContextual"/>
        </w:rPr>
      </w:pPr>
      <w:r>
        <w:rPr>
          <w:noProof/>
          <w:lang w:eastAsia="fr-FR"/>
        </w:rPr>
        <w:t>1.7.1</w:t>
      </w:r>
      <w:r>
        <w:rPr>
          <w:rFonts w:eastAsiaTheme="minorEastAsia"/>
          <w:noProof/>
          <w:kern w:val="2"/>
          <w:sz w:val="24"/>
          <w:szCs w:val="24"/>
          <w:lang w:val="en-US"/>
          <w14:ligatures w14:val="standardContextual"/>
        </w:rPr>
        <w:tab/>
      </w:r>
      <w:r>
        <w:rPr>
          <w:noProof/>
          <w:lang w:eastAsia="fr-FR"/>
        </w:rPr>
        <w:t>Information on completeness (MPGs para. 30)</w:t>
      </w:r>
      <w:r>
        <w:rPr>
          <w:noProof/>
        </w:rPr>
        <w:tab/>
      </w:r>
      <w:r>
        <w:rPr>
          <w:noProof/>
        </w:rPr>
        <w:fldChar w:fldCharType="begin"/>
      </w:r>
      <w:r>
        <w:rPr>
          <w:noProof/>
        </w:rPr>
        <w:instrText xml:space="preserve"> PAGEREF _Toc184808154 \h </w:instrText>
      </w:r>
      <w:r>
        <w:rPr>
          <w:noProof/>
        </w:rPr>
      </w:r>
      <w:r>
        <w:rPr>
          <w:noProof/>
        </w:rPr>
        <w:fldChar w:fldCharType="separate"/>
      </w:r>
      <w:r>
        <w:rPr>
          <w:noProof/>
        </w:rPr>
        <w:t>42</w:t>
      </w:r>
      <w:r>
        <w:rPr>
          <w:noProof/>
        </w:rPr>
        <w:fldChar w:fldCharType="end"/>
      </w:r>
    </w:p>
    <w:p w14:paraId="67A557D8" w14:textId="27FEA14C" w:rsidR="00440D6B" w:rsidRDefault="00440D6B">
      <w:pPr>
        <w:pStyle w:val="TOC3"/>
        <w:rPr>
          <w:rFonts w:eastAsiaTheme="minorEastAsia"/>
          <w:noProof/>
          <w:kern w:val="2"/>
          <w:sz w:val="24"/>
          <w:szCs w:val="24"/>
          <w:lang w:val="en-US"/>
          <w14:ligatures w14:val="standardContextual"/>
        </w:rPr>
      </w:pPr>
      <w:r>
        <w:rPr>
          <w:noProof/>
          <w:lang w:eastAsia="fr-FR"/>
        </w:rPr>
        <w:t>1.7.2</w:t>
      </w:r>
      <w:r>
        <w:rPr>
          <w:rFonts w:eastAsiaTheme="minorEastAsia"/>
          <w:noProof/>
          <w:kern w:val="2"/>
          <w:sz w:val="24"/>
          <w:szCs w:val="24"/>
          <w:lang w:val="en-US"/>
          <w14:ligatures w14:val="standardContextual"/>
        </w:rPr>
        <w:tab/>
      </w:r>
      <w:r>
        <w:rPr>
          <w:noProof/>
          <w:lang w:eastAsia="fr-FR"/>
        </w:rPr>
        <w:t>Description of insignificant categories (MPGs para. 32)</w:t>
      </w:r>
      <w:r>
        <w:rPr>
          <w:noProof/>
        </w:rPr>
        <w:tab/>
      </w:r>
      <w:r>
        <w:rPr>
          <w:noProof/>
        </w:rPr>
        <w:fldChar w:fldCharType="begin"/>
      </w:r>
      <w:r>
        <w:rPr>
          <w:noProof/>
        </w:rPr>
        <w:instrText xml:space="preserve"> PAGEREF _Toc184808155 \h </w:instrText>
      </w:r>
      <w:r>
        <w:rPr>
          <w:noProof/>
        </w:rPr>
      </w:r>
      <w:r>
        <w:rPr>
          <w:noProof/>
        </w:rPr>
        <w:fldChar w:fldCharType="separate"/>
      </w:r>
      <w:r>
        <w:rPr>
          <w:noProof/>
        </w:rPr>
        <w:t>42</w:t>
      </w:r>
      <w:r>
        <w:rPr>
          <w:noProof/>
        </w:rPr>
        <w:fldChar w:fldCharType="end"/>
      </w:r>
    </w:p>
    <w:p w14:paraId="4D27F4CD" w14:textId="554FAC0E" w:rsidR="00440D6B" w:rsidRDefault="00440D6B">
      <w:pPr>
        <w:pStyle w:val="TOC3"/>
        <w:rPr>
          <w:rFonts w:eastAsiaTheme="minorEastAsia"/>
          <w:noProof/>
          <w:kern w:val="2"/>
          <w:sz w:val="24"/>
          <w:szCs w:val="24"/>
          <w:lang w:val="en-US"/>
          <w14:ligatures w14:val="standardContextual"/>
        </w:rPr>
      </w:pPr>
      <w:r>
        <w:rPr>
          <w:noProof/>
          <w:lang w:eastAsia="fr-FR"/>
        </w:rPr>
        <w:t>1.7.3</w:t>
      </w:r>
      <w:r>
        <w:rPr>
          <w:rFonts w:eastAsiaTheme="minorEastAsia"/>
          <w:noProof/>
          <w:kern w:val="2"/>
          <w:sz w:val="24"/>
          <w:szCs w:val="24"/>
          <w:lang w:val="en-US"/>
          <w14:ligatures w14:val="standardContextual"/>
        </w:rPr>
        <w:tab/>
      </w:r>
      <w:r>
        <w:rPr>
          <w:noProof/>
          <w:lang w:eastAsia="fr-FR"/>
        </w:rPr>
        <w:t>Total aggregate emissions considered insignificant (MPGs para. 32)</w:t>
      </w:r>
      <w:r>
        <w:rPr>
          <w:noProof/>
        </w:rPr>
        <w:tab/>
      </w:r>
      <w:r>
        <w:rPr>
          <w:noProof/>
        </w:rPr>
        <w:fldChar w:fldCharType="begin"/>
      </w:r>
      <w:r>
        <w:rPr>
          <w:noProof/>
        </w:rPr>
        <w:instrText xml:space="preserve"> PAGEREF _Toc184808156 \h </w:instrText>
      </w:r>
      <w:r>
        <w:rPr>
          <w:noProof/>
        </w:rPr>
      </w:r>
      <w:r>
        <w:rPr>
          <w:noProof/>
        </w:rPr>
        <w:fldChar w:fldCharType="separate"/>
      </w:r>
      <w:r>
        <w:rPr>
          <w:noProof/>
        </w:rPr>
        <w:t>43</w:t>
      </w:r>
      <w:r>
        <w:rPr>
          <w:noProof/>
        </w:rPr>
        <w:fldChar w:fldCharType="end"/>
      </w:r>
    </w:p>
    <w:p w14:paraId="10E73591" w14:textId="47CE8C86"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lang w:eastAsia="fr-FR"/>
          <w14:scene3d>
            <w14:camera w14:prst="orthographicFront"/>
            <w14:lightRig w14:rig="threePt" w14:dir="t">
              <w14:rot w14:lat="0" w14:lon="0" w14:rev="0"/>
            </w14:lightRig>
          </w14:scene3d>
        </w:rPr>
        <w:t>1.8</w:t>
      </w:r>
      <w:r>
        <w:rPr>
          <w:rFonts w:eastAsiaTheme="minorEastAsia"/>
          <w:noProof/>
          <w:kern w:val="2"/>
          <w:sz w:val="24"/>
          <w:szCs w:val="24"/>
          <w:lang w:val="en-US"/>
          <w14:ligatures w14:val="standardContextual"/>
        </w:rPr>
        <w:tab/>
      </w:r>
      <w:r>
        <w:rPr>
          <w:noProof/>
          <w:lang w:eastAsia="fr-FR"/>
        </w:rPr>
        <w:t>Metrics (MPGs para. 37)</w:t>
      </w:r>
      <w:r>
        <w:rPr>
          <w:noProof/>
        </w:rPr>
        <w:tab/>
      </w:r>
      <w:r>
        <w:rPr>
          <w:noProof/>
        </w:rPr>
        <w:fldChar w:fldCharType="begin"/>
      </w:r>
      <w:r>
        <w:rPr>
          <w:noProof/>
        </w:rPr>
        <w:instrText xml:space="preserve"> PAGEREF _Toc184808157 \h </w:instrText>
      </w:r>
      <w:r>
        <w:rPr>
          <w:noProof/>
        </w:rPr>
      </w:r>
      <w:r>
        <w:rPr>
          <w:noProof/>
        </w:rPr>
        <w:fldChar w:fldCharType="separate"/>
      </w:r>
      <w:r>
        <w:rPr>
          <w:noProof/>
        </w:rPr>
        <w:t>43</w:t>
      </w:r>
      <w:r>
        <w:rPr>
          <w:noProof/>
        </w:rPr>
        <w:fldChar w:fldCharType="end"/>
      </w:r>
    </w:p>
    <w:p w14:paraId="10FEAE08" w14:textId="6C653380"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lang w:eastAsia="fr-FR"/>
          <w14:scene3d>
            <w14:camera w14:prst="orthographicFront"/>
            <w14:lightRig w14:rig="threePt" w14:dir="t">
              <w14:rot w14:lat="0" w14:lon="0" w14:rev="0"/>
            </w14:lightRig>
          </w14:scene3d>
        </w:rPr>
        <w:t>1.9</w:t>
      </w:r>
      <w:r>
        <w:rPr>
          <w:rFonts w:eastAsiaTheme="minorEastAsia"/>
          <w:noProof/>
          <w:kern w:val="2"/>
          <w:sz w:val="24"/>
          <w:szCs w:val="24"/>
          <w:lang w:val="en-US"/>
          <w14:ligatures w14:val="standardContextual"/>
        </w:rPr>
        <w:tab/>
      </w:r>
      <w:r>
        <w:rPr>
          <w:noProof/>
          <w:lang w:eastAsia="fr-FR"/>
        </w:rPr>
        <w:t>Summary of any flexibility applied (MPGs paras. 4-6)</w:t>
      </w:r>
      <w:r>
        <w:rPr>
          <w:noProof/>
        </w:rPr>
        <w:tab/>
      </w:r>
      <w:r>
        <w:rPr>
          <w:noProof/>
        </w:rPr>
        <w:fldChar w:fldCharType="begin"/>
      </w:r>
      <w:r>
        <w:rPr>
          <w:noProof/>
        </w:rPr>
        <w:instrText xml:space="preserve"> PAGEREF _Toc184808158 \h </w:instrText>
      </w:r>
      <w:r>
        <w:rPr>
          <w:noProof/>
        </w:rPr>
      </w:r>
      <w:r>
        <w:rPr>
          <w:noProof/>
        </w:rPr>
        <w:fldChar w:fldCharType="separate"/>
      </w:r>
      <w:r>
        <w:rPr>
          <w:noProof/>
        </w:rPr>
        <w:t>44</w:t>
      </w:r>
      <w:r>
        <w:rPr>
          <w:noProof/>
        </w:rPr>
        <w:fldChar w:fldCharType="end"/>
      </w:r>
    </w:p>
    <w:p w14:paraId="15671EC8" w14:textId="01F21E0A"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Chapter 2: Trends in greenhouse gas emissions</w:t>
      </w:r>
      <w:r>
        <w:rPr>
          <w:noProof/>
        </w:rPr>
        <w:tab/>
      </w:r>
      <w:r>
        <w:rPr>
          <w:noProof/>
        </w:rPr>
        <w:fldChar w:fldCharType="begin"/>
      </w:r>
      <w:r>
        <w:rPr>
          <w:noProof/>
        </w:rPr>
        <w:instrText xml:space="preserve"> PAGEREF _Toc184808159 \h </w:instrText>
      </w:r>
      <w:r>
        <w:rPr>
          <w:noProof/>
        </w:rPr>
      </w:r>
      <w:r>
        <w:rPr>
          <w:noProof/>
        </w:rPr>
        <w:fldChar w:fldCharType="separate"/>
      </w:r>
      <w:r>
        <w:rPr>
          <w:noProof/>
        </w:rPr>
        <w:t>45</w:t>
      </w:r>
      <w:r>
        <w:rPr>
          <w:noProof/>
        </w:rPr>
        <w:fldChar w:fldCharType="end"/>
      </w:r>
    </w:p>
    <w:p w14:paraId="3014A923" w14:textId="1F13E6D9"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2.1</w:t>
      </w:r>
      <w:r>
        <w:rPr>
          <w:rFonts w:eastAsiaTheme="minorEastAsia"/>
          <w:noProof/>
          <w:kern w:val="2"/>
          <w:sz w:val="24"/>
          <w:szCs w:val="24"/>
          <w:lang w:val="en-US"/>
          <w14:ligatures w14:val="standardContextual"/>
        </w:rPr>
        <w:tab/>
      </w:r>
      <w:r>
        <w:rPr>
          <w:noProof/>
        </w:rPr>
        <w:t>Description of emission and removal trends for aggregated GHG emissions and removals</w:t>
      </w:r>
      <w:r>
        <w:rPr>
          <w:noProof/>
        </w:rPr>
        <w:tab/>
      </w:r>
      <w:r>
        <w:rPr>
          <w:noProof/>
        </w:rPr>
        <w:fldChar w:fldCharType="begin"/>
      </w:r>
      <w:r>
        <w:rPr>
          <w:noProof/>
        </w:rPr>
        <w:instrText xml:space="preserve"> PAGEREF _Toc184808161 \h </w:instrText>
      </w:r>
      <w:r>
        <w:rPr>
          <w:noProof/>
        </w:rPr>
      </w:r>
      <w:r>
        <w:rPr>
          <w:noProof/>
        </w:rPr>
        <w:fldChar w:fldCharType="separate"/>
      </w:r>
      <w:r>
        <w:rPr>
          <w:noProof/>
        </w:rPr>
        <w:t>45</w:t>
      </w:r>
      <w:r>
        <w:rPr>
          <w:noProof/>
        </w:rPr>
        <w:fldChar w:fldCharType="end"/>
      </w:r>
    </w:p>
    <w:p w14:paraId="23A96C53" w14:textId="0D003A4C"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lang w:eastAsia="fr-FR"/>
          <w14:scene3d>
            <w14:camera w14:prst="orthographicFront"/>
            <w14:lightRig w14:rig="threePt" w14:dir="t">
              <w14:rot w14:lat="0" w14:lon="0" w14:rev="0"/>
            </w14:lightRig>
          </w14:scene3d>
        </w:rPr>
        <w:t>2.2</w:t>
      </w:r>
      <w:r>
        <w:rPr>
          <w:rFonts w:eastAsiaTheme="minorEastAsia"/>
          <w:noProof/>
          <w:kern w:val="2"/>
          <w:sz w:val="24"/>
          <w:szCs w:val="24"/>
          <w:lang w:val="en-US"/>
          <w14:ligatures w14:val="standardContextual"/>
        </w:rPr>
        <w:tab/>
      </w:r>
      <w:r>
        <w:rPr>
          <w:noProof/>
          <w:lang w:eastAsia="fr-FR"/>
        </w:rPr>
        <w:t>Description of emission and removal trends by sector and by gas</w:t>
      </w:r>
      <w:r>
        <w:rPr>
          <w:noProof/>
        </w:rPr>
        <w:tab/>
      </w:r>
      <w:r>
        <w:rPr>
          <w:noProof/>
        </w:rPr>
        <w:fldChar w:fldCharType="begin"/>
      </w:r>
      <w:r>
        <w:rPr>
          <w:noProof/>
        </w:rPr>
        <w:instrText xml:space="preserve"> PAGEREF _Toc184808162 \h </w:instrText>
      </w:r>
      <w:r>
        <w:rPr>
          <w:noProof/>
        </w:rPr>
      </w:r>
      <w:r>
        <w:rPr>
          <w:noProof/>
        </w:rPr>
        <w:fldChar w:fldCharType="separate"/>
      </w:r>
      <w:r>
        <w:rPr>
          <w:noProof/>
        </w:rPr>
        <w:t>47</w:t>
      </w:r>
      <w:r>
        <w:rPr>
          <w:noProof/>
        </w:rPr>
        <w:fldChar w:fldCharType="end"/>
      </w:r>
    </w:p>
    <w:p w14:paraId="35AD6001" w14:textId="1745300F"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Chapter 3: Energy (CRT sector 1)</w:t>
      </w:r>
      <w:r>
        <w:rPr>
          <w:noProof/>
        </w:rPr>
        <w:tab/>
      </w:r>
      <w:r>
        <w:rPr>
          <w:noProof/>
        </w:rPr>
        <w:fldChar w:fldCharType="begin"/>
      </w:r>
      <w:r>
        <w:rPr>
          <w:noProof/>
        </w:rPr>
        <w:instrText xml:space="preserve"> PAGEREF _Toc184808163 \h </w:instrText>
      </w:r>
      <w:r>
        <w:rPr>
          <w:noProof/>
        </w:rPr>
      </w:r>
      <w:r>
        <w:rPr>
          <w:noProof/>
        </w:rPr>
        <w:fldChar w:fldCharType="separate"/>
      </w:r>
      <w:r>
        <w:rPr>
          <w:noProof/>
        </w:rPr>
        <w:t>55</w:t>
      </w:r>
      <w:r>
        <w:rPr>
          <w:noProof/>
        </w:rPr>
        <w:fldChar w:fldCharType="end"/>
      </w:r>
    </w:p>
    <w:p w14:paraId="5748D483" w14:textId="54B5C36F"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3.1</w:t>
      </w:r>
      <w:r>
        <w:rPr>
          <w:rFonts w:eastAsiaTheme="minorEastAsia"/>
          <w:noProof/>
          <w:kern w:val="2"/>
          <w:sz w:val="24"/>
          <w:szCs w:val="24"/>
          <w:lang w:val="en-US"/>
          <w14:ligatures w14:val="standardContextual"/>
        </w:rPr>
        <w:tab/>
      </w:r>
      <w:r w:rsidRPr="00293C44">
        <w:rPr>
          <w:noProof/>
        </w:rPr>
        <w:t>Overview of sector</w:t>
      </w:r>
      <w:r>
        <w:rPr>
          <w:noProof/>
        </w:rPr>
        <w:tab/>
      </w:r>
      <w:r>
        <w:rPr>
          <w:noProof/>
        </w:rPr>
        <w:fldChar w:fldCharType="begin"/>
      </w:r>
      <w:r>
        <w:rPr>
          <w:noProof/>
        </w:rPr>
        <w:instrText xml:space="preserve"> PAGEREF _Toc184808165 \h </w:instrText>
      </w:r>
      <w:r>
        <w:rPr>
          <w:noProof/>
        </w:rPr>
      </w:r>
      <w:r>
        <w:rPr>
          <w:noProof/>
        </w:rPr>
        <w:fldChar w:fldCharType="separate"/>
      </w:r>
      <w:r>
        <w:rPr>
          <w:noProof/>
        </w:rPr>
        <w:t>55</w:t>
      </w:r>
      <w:r>
        <w:rPr>
          <w:noProof/>
        </w:rPr>
        <w:fldChar w:fldCharType="end"/>
      </w:r>
    </w:p>
    <w:p w14:paraId="200D90BD" w14:textId="697F253C"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3.2</w:t>
      </w:r>
      <w:r>
        <w:rPr>
          <w:rFonts w:eastAsiaTheme="minorEastAsia"/>
          <w:noProof/>
          <w:kern w:val="2"/>
          <w:sz w:val="24"/>
          <w:szCs w:val="24"/>
          <w:lang w:val="en-US"/>
          <w14:ligatures w14:val="standardContextual"/>
        </w:rPr>
        <w:tab/>
      </w:r>
      <w:r w:rsidRPr="00293C44">
        <w:rPr>
          <w:noProof/>
        </w:rPr>
        <w:t>Fuel combustion (CRT 1.A)</w:t>
      </w:r>
      <w:r>
        <w:rPr>
          <w:noProof/>
        </w:rPr>
        <w:tab/>
      </w:r>
      <w:r>
        <w:rPr>
          <w:noProof/>
        </w:rPr>
        <w:fldChar w:fldCharType="begin"/>
      </w:r>
      <w:r>
        <w:rPr>
          <w:noProof/>
        </w:rPr>
        <w:instrText xml:space="preserve"> PAGEREF _Toc184808166 \h </w:instrText>
      </w:r>
      <w:r>
        <w:rPr>
          <w:noProof/>
        </w:rPr>
      </w:r>
      <w:r>
        <w:rPr>
          <w:noProof/>
        </w:rPr>
        <w:fldChar w:fldCharType="separate"/>
      </w:r>
      <w:r>
        <w:rPr>
          <w:noProof/>
        </w:rPr>
        <w:t>57</w:t>
      </w:r>
      <w:r>
        <w:rPr>
          <w:noProof/>
        </w:rPr>
        <w:fldChar w:fldCharType="end"/>
      </w:r>
    </w:p>
    <w:p w14:paraId="437672C2" w14:textId="39FCB2B4" w:rsidR="00440D6B" w:rsidRDefault="00440D6B">
      <w:pPr>
        <w:pStyle w:val="TOC3"/>
        <w:rPr>
          <w:rFonts w:eastAsiaTheme="minorEastAsia"/>
          <w:noProof/>
          <w:kern w:val="2"/>
          <w:sz w:val="24"/>
          <w:szCs w:val="24"/>
          <w:lang w:val="en-US"/>
          <w14:ligatures w14:val="standardContextual"/>
        </w:rPr>
      </w:pPr>
      <w:r w:rsidRPr="00293C44">
        <w:rPr>
          <w:noProof/>
          <w:lang w:eastAsia="fr-FR"/>
        </w:rPr>
        <w:t>3.2.1</w:t>
      </w:r>
      <w:r>
        <w:rPr>
          <w:rFonts w:eastAsiaTheme="minorEastAsia"/>
          <w:noProof/>
          <w:kern w:val="2"/>
          <w:sz w:val="24"/>
          <w:szCs w:val="24"/>
          <w:lang w:val="en-US"/>
          <w14:ligatures w14:val="standardContextual"/>
        </w:rPr>
        <w:tab/>
      </w:r>
      <w:r w:rsidRPr="00293C44">
        <w:rPr>
          <w:noProof/>
          <w:lang w:eastAsia="fr-FR"/>
        </w:rPr>
        <w:t>Comparison of the sectoral approach with the reference approach (RA vs. SA)</w:t>
      </w:r>
      <w:r>
        <w:rPr>
          <w:noProof/>
        </w:rPr>
        <w:tab/>
      </w:r>
      <w:r>
        <w:rPr>
          <w:noProof/>
        </w:rPr>
        <w:fldChar w:fldCharType="begin"/>
      </w:r>
      <w:r>
        <w:rPr>
          <w:noProof/>
        </w:rPr>
        <w:instrText xml:space="preserve"> PAGEREF _Toc184808167 \h </w:instrText>
      </w:r>
      <w:r>
        <w:rPr>
          <w:noProof/>
        </w:rPr>
      </w:r>
      <w:r>
        <w:rPr>
          <w:noProof/>
        </w:rPr>
        <w:fldChar w:fldCharType="separate"/>
      </w:r>
      <w:r>
        <w:rPr>
          <w:noProof/>
        </w:rPr>
        <w:t>57</w:t>
      </w:r>
      <w:r>
        <w:rPr>
          <w:noProof/>
        </w:rPr>
        <w:fldChar w:fldCharType="end"/>
      </w:r>
    </w:p>
    <w:p w14:paraId="321D5CFC" w14:textId="43504C4B" w:rsidR="00440D6B" w:rsidRDefault="00440D6B">
      <w:pPr>
        <w:pStyle w:val="TOC3"/>
        <w:rPr>
          <w:rFonts w:eastAsiaTheme="minorEastAsia"/>
          <w:noProof/>
          <w:kern w:val="2"/>
          <w:sz w:val="24"/>
          <w:szCs w:val="24"/>
          <w:lang w:val="en-US"/>
          <w14:ligatures w14:val="standardContextual"/>
        </w:rPr>
      </w:pPr>
      <w:r w:rsidRPr="00293C44">
        <w:rPr>
          <w:noProof/>
          <w:lang w:eastAsia="fr-FR"/>
        </w:rPr>
        <w:t>3.2.2</w:t>
      </w:r>
      <w:r>
        <w:rPr>
          <w:rFonts w:eastAsiaTheme="minorEastAsia"/>
          <w:noProof/>
          <w:kern w:val="2"/>
          <w:sz w:val="24"/>
          <w:szCs w:val="24"/>
          <w:lang w:val="en-US"/>
          <w14:ligatures w14:val="standardContextual"/>
        </w:rPr>
        <w:tab/>
      </w:r>
      <w:r w:rsidRPr="00293C44">
        <w:rPr>
          <w:noProof/>
          <w:lang w:eastAsia="fr-FR"/>
        </w:rPr>
        <w:t>International bunker fuels</w:t>
      </w:r>
      <w:r>
        <w:rPr>
          <w:noProof/>
        </w:rPr>
        <w:tab/>
      </w:r>
      <w:r>
        <w:rPr>
          <w:noProof/>
        </w:rPr>
        <w:fldChar w:fldCharType="begin"/>
      </w:r>
      <w:r>
        <w:rPr>
          <w:noProof/>
        </w:rPr>
        <w:instrText xml:space="preserve"> PAGEREF _Toc184808168 \h </w:instrText>
      </w:r>
      <w:r>
        <w:rPr>
          <w:noProof/>
        </w:rPr>
      </w:r>
      <w:r>
        <w:rPr>
          <w:noProof/>
        </w:rPr>
        <w:fldChar w:fldCharType="separate"/>
      </w:r>
      <w:r>
        <w:rPr>
          <w:noProof/>
        </w:rPr>
        <w:t>60</w:t>
      </w:r>
      <w:r>
        <w:rPr>
          <w:noProof/>
        </w:rPr>
        <w:fldChar w:fldCharType="end"/>
      </w:r>
    </w:p>
    <w:p w14:paraId="2B850797" w14:textId="6DC29BA2" w:rsidR="00440D6B" w:rsidRDefault="00440D6B">
      <w:pPr>
        <w:pStyle w:val="TOC3"/>
        <w:rPr>
          <w:rFonts w:eastAsiaTheme="minorEastAsia"/>
          <w:noProof/>
          <w:kern w:val="2"/>
          <w:sz w:val="24"/>
          <w:szCs w:val="24"/>
          <w:lang w:val="en-US"/>
          <w14:ligatures w14:val="standardContextual"/>
        </w:rPr>
      </w:pPr>
      <w:r w:rsidRPr="00293C44">
        <w:rPr>
          <w:noProof/>
          <w:lang w:eastAsia="fr-FR"/>
        </w:rPr>
        <w:t>3.2.3</w:t>
      </w:r>
      <w:r>
        <w:rPr>
          <w:rFonts w:eastAsiaTheme="minorEastAsia"/>
          <w:noProof/>
          <w:kern w:val="2"/>
          <w:sz w:val="24"/>
          <w:szCs w:val="24"/>
          <w:lang w:val="en-US"/>
          <w14:ligatures w14:val="standardContextual"/>
        </w:rPr>
        <w:tab/>
      </w:r>
      <w:r w:rsidRPr="00293C44">
        <w:rPr>
          <w:noProof/>
          <w:lang w:eastAsia="fr-FR"/>
        </w:rPr>
        <w:t>Feedstocks and non-energy use of fuels</w:t>
      </w:r>
      <w:r>
        <w:rPr>
          <w:noProof/>
        </w:rPr>
        <w:tab/>
      </w:r>
      <w:r>
        <w:rPr>
          <w:noProof/>
        </w:rPr>
        <w:fldChar w:fldCharType="begin"/>
      </w:r>
      <w:r>
        <w:rPr>
          <w:noProof/>
        </w:rPr>
        <w:instrText xml:space="preserve"> PAGEREF _Toc184808169 \h </w:instrText>
      </w:r>
      <w:r>
        <w:rPr>
          <w:noProof/>
        </w:rPr>
      </w:r>
      <w:r>
        <w:rPr>
          <w:noProof/>
        </w:rPr>
        <w:fldChar w:fldCharType="separate"/>
      </w:r>
      <w:r>
        <w:rPr>
          <w:noProof/>
        </w:rPr>
        <w:t>61</w:t>
      </w:r>
      <w:r>
        <w:rPr>
          <w:noProof/>
        </w:rPr>
        <w:fldChar w:fldCharType="end"/>
      </w:r>
    </w:p>
    <w:p w14:paraId="2980EFBE" w14:textId="4091A4C1" w:rsidR="00440D6B" w:rsidRDefault="00440D6B">
      <w:pPr>
        <w:pStyle w:val="TOC3"/>
        <w:rPr>
          <w:rFonts w:eastAsiaTheme="minorEastAsia"/>
          <w:noProof/>
          <w:kern w:val="2"/>
          <w:sz w:val="24"/>
          <w:szCs w:val="24"/>
          <w:lang w:val="en-US"/>
          <w14:ligatures w14:val="standardContextual"/>
        </w:rPr>
      </w:pPr>
      <w:r w:rsidRPr="00293C44">
        <w:rPr>
          <w:noProof/>
          <w:lang w:eastAsia="fr-FR"/>
        </w:rPr>
        <w:t>3.2.4</w:t>
      </w:r>
      <w:r>
        <w:rPr>
          <w:rFonts w:eastAsiaTheme="minorEastAsia"/>
          <w:noProof/>
          <w:kern w:val="2"/>
          <w:sz w:val="24"/>
          <w:szCs w:val="24"/>
          <w:lang w:val="en-US"/>
          <w14:ligatures w14:val="standardContextual"/>
        </w:rPr>
        <w:tab/>
      </w:r>
      <w:r w:rsidRPr="00293C44">
        <w:rPr>
          <w:noProof/>
          <w:lang w:eastAsia="fr-FR"/>
        </w:rPr>
        <w:t>General characteristics for fuel combustion (CRT 1A)</w:t>
      </w:r>
      <w:r>
        <w:rPr>
          <w:noProof/>
        </w:rPr>
        <w:tab/>
      </w:r>
      <w:r>
        <w:rPr>
          <w:noProof/>
        </w:rPr>
        <w:fldChar w:fldCharType="begin"/>
      </w:r>
      <w:r>
        <w:rPr>
          <w:noProof/>
        </w:rPr>
        <w:instrText xml:space="preserve"> PAGEREF _Toc184808170 \h </w:instrText>
      </w:r>
      <w:r>
        <w:rPr>
          <w:noProof/>
        </w:rPr>
      </w:r>
      <w:r>
        <w:rPr>
          <w:noProof/>
        </w:rPr>
        <w:fldChar w:fldCharType="separate"/>
      </w:r>
      <w:r>
        <w:rPr>
          <w:noProof/>
        </w:rPr>
        <w:t>62</w:t>
      </w:r>
      <w:r>
        <w:rPr>
          <w:noProof/>
        </w:rPr>
        <w:fldChar w:fldCharType="end"/>
      </w:r>
    </w:p>
    <w:p w14:paraId="527A153A" w14:textId="20E484A5" w:rsidR="00440D6B" w:rsidRDefault="00440D6B">
      <w:pPr>
        <w:pStyle w:val="TOC3"/>
        <w:rPr>
          <w:rFonts w:eastAsiaTheme="minorEastAsia"/>
          <w:noProof/>
          <w:kern w:val="2"/>
          <w:sz w:val="24"/>
          <w:szCs w:val="24"/>
          <w:lang w:val="en-US"/>
          <w14:ligatures w14:val="standardContextual"/>
        </w:rPr>
      </w:pPr>
      <w:r w:rsidRPr="00293C44">
        <w:rPr>
          <w:noProof/>
          <w:lang w:eastAsia="fr-FR"/>
        </w:rPr>
        <w:t>3.2.5</w:t>
      </w:r>
      <w:r>
        <w:rPr>
          <w:rFonts w:eastAsiaTheme="minorEastAsia"/>
          <w:noProof/>
          <w:kern w:val="2"/>
          <w:sz w:val="24"/>
          <w:szCs w:val="24"/>
          <w:lang w:val="en-US"/>
          <w14:ligatures w14:val="standardContextual"/>
        </w:rPr>
        <w:tab/>
      </w:r>
      <w:r w:rsidRPr="00293C44">
        <w:rPr>
          <w:noProof/>
          <w:lang w:eastAsia="fr-FR"/>
        </w:rPr>
        <w:t>Energy industries (CRT 1A1)</w:t>
      </w:r>
      <w:r>
        <w:rPr>
          <w:noProof/>
        </w:rPr>
        <w:tab/>
      </w:r>
      <w:r>
        <w:rPr>
          <w:noProof/>
        </w:rPr>
        <w:fldChar w:fldCharType="begin"/>
      </w:r>
      <w:r>
        <w:rPr>
          <w:noProof/>
        </w:rPr>
        <w:instrText xml:space="preserve"> PAGEREF _Toc184808171 \h </w:instrText>
      </w:r>
      <w:r>
        <w:rPr>
          <w:noProof/>
        </w:rPr>
      </w:r>
      <w:r>
        <w:rPr>
          <w:noProof/>
        </w:rPr>
        <w:fldChar w:fldCharType="separate"/>
      </w:r>
      <w:r>
        <w:rPr>
          <w:noProof/>
        </w:rPr>
        <w:t>65</w:t>
      </w:r>
      <w:r>
        <w:rPr>
          <w:noProof/>
        </w:rPr>
        <w:fldChar w:fldCharType="end"/>
      </w:r>
    </w:p>
    <w:p w14:paraId="308D3DAB" w14:textId="794BEBDA" w:rsidR="00440D6B" w:rsidRDefault="00440D6B">
      <w:pPr>
        <w:pStyle w:val="TOC3"/>
        <w:rPr>
          <w:rFonts w:eastAsiaTheme="minorEastAsia"/>
          <w:noProof/>
          <w:kern w:val="2"/>
          <w:sz w:val="24"/>
          <w:szCs w:val="24"/>
          <w:lang w:val="en-US"/>
          <w14:ligatures w14:val="standardContextual"/>
        </w:rPr>
      </w:pPr>
      <w:r w:rsidRPr="00293C44">
        <w:rPr>
          <w:noProof/>
          <w:lang w:eastAsia="fr-FR"/>
        </w:rPr>
        <w:t>3.2.6</w:t>
      </w:r>
      <w:r>
        <w:rPr>
          <w:rFonts w:eastAsiaTheme="minorEastAsia"/>
          <w:noProof/>
          <w:kern w:val="2"/>
          <w:sz w:val="24"/>
          <w:szCs w:val="24"/>
          <w:lang w:val="en-US"/>
          <w14:ligatures w14:val="standardContextual"/>
        </w:rPr>
        <w:tab/>
      </w:r>
      <w:r w:rsidRPr="00293C44">
        <w:rPr>
          <w:noProof/>
          <w:lang w:eastAsia="fr-FR"/>
        </w:rPr>
        <w:t>Manufacturing industry and construction (CRT 1A2)</w:t>
      </w:r>
      <w:r>
        <w:rPr>
          <w:noProof/>
        </w:rPr>
        <w:tab/>
      </w:r>
      <w:r>
        <w:rPr>
          <w:noProof/>
        </w:rPr>
        <w:fldChar w:fldCharType="begin"/>
      </w:r>
      <w:r>
        <w:rPr>
          <w:noProof/>
        </w:rPr>
        <w:instrText xml:space="preserve"> PAGEREF _Toc184808172 \h </w:instrText>
      </w:r>
      <w:r>
        <w:rPr>
          <w:noProof/>
        </w:rPr>
      </w:r>
      <w:r>
        <w:rPr>
          <w:noProof/>
        </w:rPr>
        <w:fldChar w:fldCharType="separate"/>
      </w:r>
      <w:r>
        <w:rPr>
          <w:noProof/>
        </w:rPr>
        <w:t>72</w:t>
      </w:r>
      <w:r>
        <w:rPr>
          <w:noProof/>
        </w:rPr>
        <w:fldChar w:fldCharType="end"/>
      </w:r>
    </w:p>
    <w:p w14:paraId="35839CAB" w14:textId="5FF0C600" w:rsidR="00440D6B" w:rsidRDefault="00440D6B">
      <w:pPr>
        <w:pStyle w:val="TOC3"/>
        <w:rPr>
          <w:rFonts w:eastAsiaTheme="minorEastAsia"/>
          <w:noProof/>
          <w:kern w:val="2"/>
          <w:sz w:val="24"/>
          <w:szCs w:val="24"/>
          <w:lang w:val="en-US"/>
          <w14:ligatures w14:val="standardContextual"/>
        </w:rPr>
      </w:pPr>
      <w:r w:rsidRPr="00293C44">
        <w:rPr>
          <w:noProof/>
          <w:lang w:eastAsia="fr-FR"/>
        </w:rPr>
        <w:t>3.2.7</w:t>
      </w:r>
      <w:r>
        <w:rPr>
          <w:rFonts w:eastAsiaTheme="minorEastAsia"/>
          <w:noProof/>
          <w:kern w:val="2"/>
          <w:sz w:val="24"/>
          <w:szCs w:val="24"/>
          <w:lang w:val="en-US"/>
          <w14:ligatures w14:val="standardContextual"/>
        </w:rPr>
        <w:tab/>
      </w:r>
      <w:r w:rsidRPr="00293C44">
        <w:rPr>
          <w:noProof/>
          <w:lang w:eastAsia="fr-FR"/>
        </w:rPr>
        <w:t>Transport (CRT 1A3)</w:t>
      </w:r>
      <w:r>
        <w:rPr>
          <w:noProof/>
        </w:rPr>
        <w:tab/>
      </w:r>
      <w:r>
        <w:rPr>
          <w:noProof/>
        </w:rPr>
        <w:fldChar w:fldCharType="begin"/>
      </w:r>
      <w:r>
        <w:rPr>
          <w:noProof/>
        </w:rPr>
        <w:instrText xml:space="preserve"> PAGEREF _Toc184808173 \h </w:instrText>
      </w:r>
      <w:r>
        <w:rPr>
          <w:noProof/>
        </w:rPr>
      </w:r>
      <w:r>
        <w:rPr>
          <w:noProof/>
        </w:rPr>
        <w:fldChar w:fldCharType="separate"/>
      </w:r>
      <w:r>
        <w:rPr>
          <w:noProof/>
        </w:rPr>
        <w:t>77</w:t>
      </w:r>
      <w:r>
        <w:rPr>
          <w:noProof/>
        </w:rPr>
        <w:fldChar w:fldCharType="end"/>
      </w:r>
    </w:p>
    <w:p w14:paraId="151E13E8" w14:textId="394768AC" w:rsidR="00440D6B" w:rsidRDefault="00440D6B">
      <w:pPr>
        <w:pStyle w:val="TOC2"/>
        <w:tabs>
          <w:tab w:val="left" w:pos="1100"/>
          <w:tab w:val="right" w:leader="dot" w:pos="9062"/>
        </w:tabs>
        <w:rPr>
          <w:rFonts w:eastAsiaTheme="minorEastAsia"/>
          <w:noProof/>
          <w:kern w:val="2"/>
          <w:sz w:val="24"/>
          <w:szCs w:val="24"/>
          <w:lang w:val="en-US"/>
          <w14:ligatures w14:val="standardContextual"/>
        </w:rPr>
      </w:pPr>
      <w:r w:rsidRPr="00293C44">
        <w:rPr>
          <w:noProof/>
          <w:color w:val="595959" w:themeColor="text1" w:themeTint="A6"/>
        </w:rPr>
        <w:t>3.2.7.1</w:t>
      </w:r>
      <w:r>
        <w:rPr>
          <w:rFonts w:eastAsiaTheme="minorEastAsia"/>
          <w:noProof/>
          <w:kern w:val="2"/>
          <w:sz w:val="24"/>
          <w:szCs w:val="24"/>
          <w:lang w:val="en-US"/>
          <w14:ligatures w14:val="standardContextual"/>
        </w:rPr>
        <w:tab/>
      </w:r>
      <w:r w:rsidRPr="00293C44">
        <w:rPr>
          <w:noProof/>
          <w:color w:val="595959" w:themeColor="text1" w:themeTint="A6"/>
        </w:rPr>
        <w:t>Road transportation (CRT 1A3b)</w:t>
      </w:r>
      <w:r>
        <w:rPr>
          <w:noProof/>
        </w:rPr>
        <w:tab/>
      </w:r>
      <w:r>
        <w:rPr>
          <w:noProof/>
        </w:rPr>
        <w:fldChar w:fldCharType="begin"/>
      </w:r>
      <w:r>
        <w:rPr>
          <w:noProof/>
        </w:rPr>
        <w:instrText xml:space="preserve"> PAGEREF _Toc184808174 \h </w:instrText>
      </w:r>
      <w:r>
        <w:rPr>
          <w:noProof/>
        </w:rPr>
      </w:r>
      <w:r>
        <w:rPr>
          <w:noProof/>
        </w:rPr>
        <w:fldChar w:fldCharType="separate"/>
      </w:r>
      <w:r>
        <w:rPr>
          <w:noProof/>
        </w:rPr>
        <w:t>78</w:t>
      </w:r>
      <w:r>
        <w:rPr>
          <w:noProof/>
        </w:rPr>
        <w:fldChar w:fldCharType="end"/>
      </w:r>
    </w:p>
    <w:p w14:paraId="3DEE5F35" w14:textId="0449F4EB" w:rsidR="00440D6B" w:rsidRDefault="00440D6B">
      <w:pPr>
        <w:pStyle w:val="TOC2"/>
        <w:tabs>
          <w:tab w:val="left" w:pos="1320"/>
          <w:tab w:val="right" w:leader="dot" w:pos="9062"/>
        </w:tabs>
        <w:rPr>
          <w:rFonts w:eastAsiaTheme="minorEastAsia"/>
          <w:noProof/>
          <w:kern w:val="2"/>
          <w:sz w:val="24"/>
          <w:szCs w:val="24"/>
          <w:lang w:val="en-US"/>
          <w14:ligatures w14:val="standardContextual"/>
        </w:rPr>
      </w:pPr>
      <w:r w:rsidRPr="00293C44">
        <w:rPr>
          <w:rFonts w:eastAsiaTheme="majorEastAsia" w:cstheme="majorBidi"/>
          <w:noProof/>
          <w:color w:val="808080" w:themeColor="background1" w:themeShade="80"/>
        </w:rPr>
        <w:t>3.2.7.1.1</w:t>
      </w:r>
      <w:r>
        <w:rPr>
          <w:rFonts w:eastAsiaTheme="minorEastAsia"/>
          <w:noProof/>
          <w:kern w:val="2"/>
          <w:sz w:val="24"/>
          <w:szCs w:val="24"/>
          <w:lang w:val="en-US"/>
          <w14:ligatures w14:val="standardContextual"/>
        </w:rPr>
        <w:tab/>
      </w:r>
      <w:r w:rsidRPr="00293C44">
        <w:rPr>
          <w:rFonts w:eastAsiaTheme="majorEastAsia" w:cstheme="majorBidi"/>
          <w:noProof/>
          <w:color w:val="808080" w:themeColor="background1" w:themeShade="80"/>
        </w:rPr>
        <w:t>Category description</w:t>
      </w:r>
      <w:r>
        <w:rPr>
          <w:noProof/>
        </w:rPr>
        <w:tab/>
      </w:r>
      <w:r>
        <w:rPr>
          <w:noProof/>
        </w:rPr>
        <w:fldChar w:fldCharType="begin"/>
      </w:r>
      <w:r>
        <w:rPr>
          <w:noProof/>
        </w:rPr>
        <w:instrText xml:space="preserve"> PAGEREF _Toc184808175 \h </w:instrText>
      </w:r>
      <w:r>
        <w:rPr>
          <w:noProof/>
        </w:rPr>
      </w:r>
      <w:r>
        <w:rPr>
          <w:noProof/>
        </w:rPr>
        <w:fldChar w:fldCharType="separate"/>
      </w:r>
      <w:r>
        <w:rPr>
          <w:noProof/>
        </w:rPr>
        <w:t>78</w:t>
      </w:r>
      <w:r>
        <w:rPr>
          <w:noProof/>
        </w:rPr>
        <w:fldChar w:fldCharType="end"/>
      </w:r>
    </w:p>
    <w:p w14:paraId="7CC7495E" w14:textId="1F421679" w:rsidR="00440D6B" w:rsidRDefault="00440D6B">
      <w:pPr>
        <w:pStyle w:val="TOC2"/>
        <w:tabs>
          <w:tab w:val="left" w:pos="1320"/>
          <w:tab w:val="right" w:leader="dot" w:pos="9062"/>
        </w:tabs>
        <w:rPr>
          <w:rFonts w:eastAsiaTheme="minorEastAsia"/>
          <w:noProof/>
          <w:kern w:val="2"/>
          <w:sz w:val="24"/>
          <w:szCs w:val="24"/>
          <w:lang w:val="en-US"/>
          <w14:ligatures w14:val="standardContextual"/>
        </w:rPr>
      </w:pPr>
      <w:r w:rsidRPr="00293C44">
        <w:rPr>
          <w:rFonts w:eastAsiaTheme="majorEastAsia" w:cstheme="majorBidi"/>
          <w:noProof/>
          <w:color w:val="808080" w:themeColor="background1" w:themeShade="80"/>
        </w:rPr>
        <w:t>3.2.7.1.2</w:t>
      </w:r>
      <w:r>
        <w:rPr>
          <w:rFonts w:eastAsiaTheme="minorEastAsia"/>
          <w:noProof/>
          <w:kern w:val="2"/>
          <w:sz w:val="24"/>
          <w:szCs w:val="24"/>
          <w:lang w:val="en-US"/>
          <w14:ligatures w14:val="standardContextual"/>
        </w:rPr>
        <w:tab/>
      </w:r>
      <w:r w:rsidRPr="00293C44">
        <w:rPr>
          <w:rFonts w:eastAsiaTheme="majorEastAsia" w:cstheme="majorBidi"/>
          <w:noProof/>
          <w:color w:val="808080" w:themeColor="background1" w:themeShade="80"/>
        </w:rPr>
        <w:t>Methodological issues</w:t>
      </w:r>
      <w:r>
        <w:rPr>
          <w:noProof/>
        </w:rPr>
        <w:tab/>
      </w:r>
      <w:r>
        <w:rPr>
          <w:noProof/>
        </w:rPr>
        <w:fldChar w:fldCharType="begin"/>
      </w:r>
      <w:r>
        <w:rPr>
          <w:noProof/>
        </w:rPr>
        <w:instrText xml:space="preserve"> PAGEREF _Toc184808176 \h </w:instrText>
      </w:r>
      <w:r>
        <w:rPr>
          <w:noProof/>
        </w:rPr>
      </w:r>
      <w:r>
        <w:rPr>
          <w:noProof/>
        </w:rPr>
        <w:fldChar w:fldCharType="separate"/>
      </w:r>
      <w:r>
        <w:rPr>
          <w:noProof/>
        </w:rPr>
        <w:t>79</w:t>
      </w:r>
      <w:r>
        <w:rPr>
          <w:noProof/>
        </w:rPr>
        <w:fldChar w:fldCharType="end"/>
      </w:r>
    </w:p>
    <w:p w14:paraId="0456A88B" w14:textId="265A0A17" w:rsidR="00440D6B" w:rsidRDefault="00440D6B">
      <w:pPr>
        <w:pStyle w:val="TOC2"/>
        <w:tabs>
          <w:tab w:val="left" w:pos="1100"/>
          <w:tab w:val="right" w:leader="dot" w:pos="9062"/>
        </w:tabs>
        <w:rPr>
          <w:rFonts w:eastAsiaTheme="minorEastAsia"/>
          <w:noProof/>
          <w:kern w:val="2"/>
          <w:sz w:val="24"/>
          <w:szCs w:val="24"/>
          <w:lang w:val="en-US"/>
          <w14:ligatures w14:val="standardContextual"/>
        </w:rPr>
      </w:pPr>
      <w:r w:rsidRPr="00293C44">
        <w:rPr>
          <w:noProof/>
          <w:color w:val="595959" w:themeColor="text1" w:themeTint="A6"/>
        </w:rPr>
        <w:lastRenderedPageBreak/>
        <w:t>3.2.7.2</w:t>
      </w:r>
      <w:r>
        <w:rPr>
          <w:rFonts w:eastAsiaTheme="minorEastAsia"/>
          <w:noProof/>
          <w:kern w:val="2"/>
          <w:sz w:val="24"/>
          <w:szCs w:val="24"/>
          <w:lang w:val="en-US"/>
          <w14:ligatures w14:val="standardContextual"/>
        </w:rPr>
        <w:tab/>
      </w:r>
      <w:r w:rsidRPr="00293C44">
        <w:rPr>
          <w:noProof/>
          <w:color w:val="595959" w:themeColor="text1" w:themeTint="A6"/>
        </w:rPr>
        <w:t>Railways (CRT 1A3c)</w:t>
      </w:r>
      <w:r>
        <w:rPr>
          <w:noProof/>
        </w:rPr>
        <w:tab/>
      </w:r>
      <w:r>
        <w:rPr>
          <w:noProof/>
        </w:rPr>
        <w:fldChar w:fldCharType="begin"/>
      </w:r>
      <w:r>
        <w:rPr>
          <w:noProof/>
        </w:rPr>
        <w:instrText xml:space="preserve"> PAGEREF _Toc184808177 \h </w:instrText>
      </w:r>
      <w:r>
        <w:rPr>
          <w:noProof/>
        </w:rPr>
      </w:r>
      <w:r>
        <w:rPr>
          <w:noProof/>
        </w:rPr>
        <w:fldChar w:fldCharType="separate"/>
      </w:r>
      <w:r>
        <w:rPr>
          <w:noProof/>
        </w:rPr>
        <w:t>79</w:t>
      </w:r>
      <w:r>
        <w:rPr>
          <w:noProof/>
        </w:rPr>
        <w:fldChar w:fldCharType="end"/>
      </w:r>
    </w:p>
    <w:p w14:paraId="0B8C86AF" w14:textId="2E07E74D" w:rsidR="00440D6B" w:rsidRDefault="00440D6B">
      <w:pPr>
        <w:pStyle w:val="TOC2"/>
        <w:tabs>
          <w:tab w:val="left" w:pos="1320"/>
          <w:tab w:val="right" w:leader="dot" w:pos="9062"/>
        </w:tabs>
        <w:rPr>
          <w:rFonts w:eastAsiaTheme="minorEastAsia"/>
          <w:noProof/>
          <w:kern w:val="2"/>
          <w:sz w:val="24"/>
          <w:szCs w:val="24"/>
          <w:lang w:val="en-US"/>
          <w14:ligatures w14:val="standardContextual"/>
        </w:rPr>
      </w:pPr>
      <w:r w:rsidRPr="00293C44">
        <w:rPr>
          <w:rFonts w:eastAsiaTheme="majorEastAsia" w:cstheme="majorBidi"/>
          <w:noProof/>
          <w:color w:val="808080" w:themeColor="background1" w:themeShade="80"/>
        </w:rPr>
        <w:t>3.2.7.2.1</w:t>
      </w:r>
      <w:r>
        <w:rPr>
          <w:rFonts w:eastAsiaTheme="minorEastAsia"/>
          <w:noProof/>
          <w:kern w:val="2"/>
          <w:sz w:val="24"/>
          <w:szCs w:val="24"/>
          <w:lang w:val="en-US"/>
          <w14:ligatures w14:val="standardContextual"/>
        </w:rPr>
        <w:tab/>
      </w:r>
      <w:r w:rsidRPr="00293C44">
        <w:rPr>
          <w:rFonts w:eastAsiaTheme="majorEastAsia" w:cstheme="majorBidi"/>
          <w:noProof/>
          <w:color w:val="808080" w:themeColor="background1" w:themeShade="80"/>
        </w:rPr>
        <w:t>Category description</w:t>
      </w:r>
      <w:r>
        <w:rPr>
          <w:noProof/>
        </w:rPr>
        <w:tab/>
      </w:r>
      <w:r>
        <w:rPr>
          <w:noProof/>
        </w:rPr>
        <w:fldChar w:fldCharType="begin"/>
      </w:r>
      <w:r>
        <w:rPr>
          <w:noProof/>
        </w:rPr>
        <w:instrText xml:space="preserve"> PAGEREF _Toc184808178 \h </w:instrText>
      </w:r>
      <w:r>
        <w:rPr>
          <w:noProof/>
        </w:rPr>
      </w:r>
      <w:r>
        <w:rPr>
          <w:noProof/>
        </w:rPr>
        <w:fldChar w:fldCharType="separate"/>
      </w:r>
      <w:r>
        <w:rPr>
          <w:noProof/>
        </w:rPr>
        <w:t>79</w:t>
      </w:r>
      <w:r>
        <w:rPr>
          <w:noProof/>
        </w:rPr>
        <w:fldChar w:fldCharType="end"/>
      </w:r>
    </w:p>
    <w:p w14:paraId="2917A52B" w14:textId="1D5BE115" w:rsidR="00440D6B" w:rsidRDefault="00440D6B">
      <w:pPr>
        <w:pStyle w:val="TOC2"/>
        <w:tabs>
          <w:tab w:val="left" w:pos="1320"/>
          <w:tab w:val="right" w:leader="dot" w:pos="9062"/>
        </w:tabs>
        <w:rPr>
          <w:rFonts w:eastAsiaTheme="minorEastAsia"/>
          <w:noProof/>
          <w:kern w:val="2"/>
          <w:sz w:val="24"/>
          <w:szCs w:val="24"/>
          <w:lang w:val="en-US"/>
          <w14:ligatures w14:val="standardContextual"/>
        </w:rPr>
      </w:pPr>
      <w:r w:rsidRPr="00293C44">
        <w:rPr>
          <w:rFonts w:eastAsiaTheme="majorEastAsia" w:cstheme="majorBidi"/>
          <w:noProof/>
          <w:color w:val="808080" w:themeColor="background1" w:themeShade="80"/>
        </w:rPr>
        <w:t>3.2.7.2.2</w:t>
      </w:r>
      <w:r>
        <w:rPr>
          <w:rFonts w:eastAsiaTheme="minorEastAsia"/>
          <w:noProof/>
          <w:kern w:val="2"/>
          <w:sz w:val="24"/>
          <w:szCs w:val="24"/>
          <w:lang w:val="en-US"/>
          <w14:ligatures w14:val="standardContextual"/>
        </w:rPr>
        <w:tab/>
      </w:r>
      <w:r w:rsidRPr="00293C44">
        <w:rPr>
          <w:rFonts w:eastAsiaTheme="majorEastAsia" w:cstheme="majorBidi"/>
          <w:noProof/>
          <w:color w:val="808080" w:themeColor="background1" w:themeShade="80"/>
        </w:rPr>
        <w:t>Methodological issues</w:t>
      </w:r>
      <w:r>
        <w:rPr>
          <w:noProof/>
        </w:rPr>
        <w:tab/>
      </w:r>
      <w:r>
        <w:rPr>
          <w:noProof/>
        </w:rPr>
        <w:fldChar w:fldCharType="begin"/>
      </w:r>
      <w:r>
        <w:rPr>
          <w:noProof/>
        </w:rPr>
        <w:instrText xml:space="preserve"> PAGEREF _Toc184808179 \h </w:instrText>
      </w:r>
      <w:r>
        <w:rPr>
          <w:noProof/>
        </w:rPr>
      </w:r>
      <w:r>
        <w:rPr>
          <w:noProof/>
        </w:rPr>
        <w:fldChar w:fldCharType="separate"/>
      </w:r>
      <w:r>
        <w:rPr>
          <w:noProof/>
        </w:rPr>
        <w:t>80</w:t>
      </w:r>
      <w:r>
        <w:rPr>
          <w:noProof/>
        </w:rPr>
        <w:fldChar w:fldCharType="end"/>
      </w:r>
    </w:p>
    <w:p w14:paraId="0B2821F0" w14:textId="07D9137F" w:rsidR="00440D6B" w:rsidRDefault="00440D6B">
      <w:pPr>
        <w:pStyle w:val="TOC2"/>
        <w:tabs>
          <w:tab w:val="left" w:pos="1100"/>
          <w:tab w:val="right" w:leader="dot" w:pos="9062"/>
        </w:tabs>
        <w:rPr>
          <w:rFonts w:eastAsiaTheme="minorEastAsia"/>
          <w:noProof/>
          <w:kern w:val="2"/>
          <w:sz w:val="24"/>
          <w:szCs w:val="24"/>
          <w:lang w:val="en-US"/>
          <w14:ligatures w14:val="standardContextual"/>
        </w:rPr>
      </w:pPr>
      <w:r w:rsidRPr="00293C44">
        <w:rPr>
          <w:noProof/>
          <w:color w:val="595959" w:themeColor="text1" w:themeTint="A6"/>
        </w:rPr>
        <w:t>3.2.7.3</w:t>
      </w:r>
      <w:r>
        <w:rPr>
          <w:rFonts w:eastAsiaTheme="minorEastAsia"/>
          <w:noProof/>
          <w:kern w:val="2"/>
          <w:sz w:val="24"/>
          <w:szCs w:val="24"/>
          <w:lang w:val="en-US"/>
          <w14:ligatures w14:val="standardContextual"/>
        </w:rPr>
        <w:tab/>
      </w:r>
      <w:r w:rsidRPr="00293C44">
        <w:rPr>
          <w:noProof/>
          <w:color w:val="595959" w:themeColor="text1" w:themeTint="A6"/>
        </w:rPr>
        <w:t>Domestic navigation (CRT 1A3d)</w:t>
      </w:r>
      <w:r>
        <w:rPr>
          <w:noProof/>
        </w:rPr>
        <w:tab/>
      </w:r>
      <w:r>
        <w:rPr>
          <w:noProof/>
        </w:rPr>
        <w:fldChar w:fldCharType="begin"/>
      </w:r>
      <w:r>
        <w:rPr>
          <w:noProof/>
        </w:rPr>
        <w:instrText xml:space="preserve"> PAGEREF _Toc184808180 \h </w:instrText>
      </w:r>
      <w:r>
        <w:rPr>
          <w:noProof/>
        </w:rPr>
      </w:r>
      <w:r>
        <w:rPr>
          <w:noProof/>
        </w:rPr>
        <w:fldChar w:fldCharType="separate"/>
      </w:r>
      <w:r>
        <w:rPr>
          <w:noProof/>
        </w:rPr>
        <w:t>81</w:t>
      </w:r>
      <w:r>
        <w:rPr>
          <w:noProof/>
        </w:rPr>
        <w:fldChar w:fldCharType="end"/>
      </w:r>
    </w:p>
    <w:p w14:paraId="1DAABA53" w14:textId="44355C22" w:rsidR="00440D6B" w:rsidRDefault="00440D6B">
      <w:pPr>
        <w:pStyle w:val="TOC2"/>
        <w:tabs>
          <w:tab w:val="left" w:pos="1320"/>
          <w:tab w:val="right" w:leader="dot" w:pos="9062"/>
        </w:tabs>
        <w:rPr>
          <w:rFonts w:eastAsiaTheme="minorEastAsia"/>
          <w:noProof/>
          <w:kern w:val="2"/>
          <w:sz w:val="24"/>
          <w:szCs w:val="24"/>
          <w:lang w:val="en-US"/>
          <w14:ligatures w14:val="standardContextual"/>
        </w:rPr>
      </w:pPr>
      <w:r w:rsidRPr="00293C44">
        <w:rPr>
          <w:rFonts w:eastAsiaTheme="majorEastAsia" w:cstheme="majorBidi"/>
          <w:noProof/>
          <w:color w:val="808080" w:themeColor="background1" w:themeShade="80"/>
        </w:rPr>
        <w:t>3.2.7.3.1</w:t>
      </w:r>
      <w:r>
        <w:rPr>
          <w:rFonts w:eastAsiaTheme="minorEastAsia"/>
          <w:noProof/>
          <w:kern w:val="2"/>
          <w:sz w:val="24"/>
          <w:szCs w:val="24"/>
          <w:lang w:val="en-US"/>
          <w14:ligatures w14:val="standardContextual"/>
        </w:rPr>
        <w:tab/>
      </w:r>
      <w:r w:rsidRPr="00293C44">
        <w:rPr>
          <w:rFonts w:eastAsiaTheme="majorEastAsia" w:cstheme="majorBidi"/>
          <w:noProof/>
          <w:color w:val="808080" w:themeColor="background1" w:themeShade="80"/>
        </w:rPr>
        <w:t>Category description</w:t>
      </w:r>
      <w:r>
        <w:rPr>
          <w:noProof/>
        </w:rPr>
        <w:tab/>
      </w:r>
      <w:r>
        <w:rPr>
          <w:noProof/>
        </w:rPr>
        <w:fldChar w:fldCharType="begin"/>
      </w:r>
      <w:r>
        <w:rPr>
          <w:noProof/>
        </w:rPr>
        <w:instrText xml:space="preserve"> PAGEREF _Toc184808181 \h </w:instrText>
      </w:r>
      <w:r>
        <w:rPr>
          <w:noProof/>
        </w:rPr>
      </w:r>
      <w:r>
        <w:rPr>
          <w:noProof/>
        </w:rPr>
        <w:fldChar w:fldCharType="separate"/>
      </w:r>
      <w:r>
        <w:rPr>
          <w:noProof/>
        </w:rPr>
        <w:t>81</w:t>
      </w:r>
      <w:r>
        <w:rPr>
          <w:noProof/>
        </w:rPr>
        <w:fldChar w:fldCharType="end"/>
      </w:r>
    </w:p>
    <w:p w14:paraId="39BAB63A" w14:textId="5365E638" w:rsidR="00440D6B" w:rsidRDefault="00440D6B">
      <w:pPr>
        <w:pStyle w:val="TOC2"/>
        <w:tabs>
          <w:tab w:val="left" w:pos="1320"/>
          <w:tab w:val="right" w:leader="dot" w:pos="9062"/>
        </w:tabs>
        <w:rPr>
          <w:rFonts w:eastAsiaTheme="minorEastAsia"/>
          <w:noProof/>
          <w:kern w:val="2"/>
          <w:sz w:val="24"/>
          <w:szCs w:val="24"/>
          <w:lang w:val="en-US"/>
          <w14:ligatures w14:val="standardContextual"/>
        </w:rPr>
      </w:pPr>
      <w:r w:rsidRPr="00293C44">
        <w:rPr>
          <w:rFonts w:eastAsiaTheme="majorEastAsia" w:cstheme="majorBidi"/>
          <w:noProof/>
          <w:color w:val="808080" w:themeColor="background1" w:themeShade="80"/>
        </w:rPr>
        <w:t>3.2.7.3.2</w:t>
      </w:r>
      <w:r>
        <w:rPr>
          <w:rFonts w:eastAsiaTheme="minorEastAsia"/>
          <w:noProof/>
          <w:kern w:val="2"/>
          <w:sz w:val="24"/>
          <w:szCs w:val="24"/>
          <w:lang w:val="en-US"/>
          <w14:ligatures w14:val="standardContextual"/>
        </w:rPr>
        <w:tab/>
      </w:r>
      <w:r w:rsidRPr="00293C44">
        <w:rPr>
          <w:rFonts w:eastAsiaTheme="majorEastAsia" w:cstheme="majorBidi"/>
          <w:noProof/>
          <w:color w:val="808080" w:themeColor="background1" w:themeShade="80"/>
        </w:rPr>
        <w:t>Methodological issues</w:t>
      </w:r>
      <w:r>
        <w:rPr>
          <w:noProof/>
        </w:rPr>
        <w:tab/>
      </w:r>
      <w:r>
        <w:rPr>
          <w:noProof/>
        </w:rPr>
        <w:fldChar w:fldCharType="begin"/>
      </w:r>
      <w:r>
        <w:rPr>
          <w:noProof/>
        </w:rPr>
        <w:instrText xml:space="preserve"> PAGEREF _Toc184808182 \h </w:instrText>
      </w:r>
      <w:r>
        <w:rPr>
          <w:noProof/>
        </w:rPr>
      </w:r>
      <w:r>
        <w:rPr>
          <w:noProof/>
        </w:rPr>
        <w:fldChar w:fldCharType="separate"/>
      </w:r>
      <w:r>
        <w:rPr>
          <w:noProof/>
        </w:rPr>
        <w:t>81</w:t>
      </w:r>
      <w:r>
        <w:rPr>
          <w:noProof/>
        </w:rPr>
        <w:fldChar w:fldCharType="end"/>
      </w:r>
    </w:p>
    <w:p w14:paraId="4AEDB220" w14:textId="1C56531B" w:rsidR="00440D6B" w:rsidRDefault="00440D6B">
      <w:pPr>
        <w:pStyle w:val="TOC3"/>
        <w:rPr>
          <w:rFonts w:eastAsiaTheme="minorEastAsia"/>
          <w:noProof/>
          <w:kern w:val="2"/>
          <w:sz w:val="24"/>
          <w:szCs w:val="24"/>
          <w:lang w:val="en-US"/>
          <w14:ligatures w14:val="standardContextual"/>
        </w:rPr>
      </w:pPr>
      <w:r w:rsidRPr="00293C44">
        <w:rPr>
          <w:noProof/>
          <w:lang w:eastAsia="fr-FR"/>
        </w:rPr>
        <w:t>3.2.8</w:t>
      </w:r>
      <w:r>
        <w:rPr>
          <w:rFonts w:eastAsiaTheme="minorEastAsia"/>
          <w:noProof/>
          <w:kern w:val="2"/>
          <w:sz w:val="24"/>
          <w:szCs w:val="24"/>
          <w:lang w:val="en-US"/>
          <w14:ligatures w14:val="standardContextual"/>
        </w:rPr>
        <w:tab/>
      </w:r>
      <w:r w:rsidRPr="00293C44">
        <w:rPr>
          <w:noProof/>
          <w:lang w:eastAsia="fr-FR"/>
        </w:rPr>
        <w:t>Other sectors (CRT 1A4)</w:t>
      </w:r>
      <w:r>
        <w:rPr>
          <w:noProof/>
        </w:rPr>
        <w:tab/>
      </w:r>
      <w:r>
        <w:rPr>
          <w:noProof/>
        </w:rPr>
        <w:fldChar w:fldCharType="begin"/>
      </w:r>
      <w:r>
        <w:rPr>
          <w:noProof/>
        </w:rPr>
        <w:instrText xml:space="preserve"> PAGEREF _Toc184808183 \h </w:instrText>
      </w:r>
      <w:r>
        <w:rPr>
          <w:noProof/>
        </w:rPr>
      </w:r>
      <w:r>
        <w:rPr>
          <w:noProof/>
        </w:rPr>
        <w:fldChar w:fldCharType="separate"/>
      </w:r>
      <w:r>
        <w:rPr>
          <w:noProof/>
        </w:rPr>
        <w:t>82</w:t>
      </w:r>
      <w:r>
        <w:rPr>
          <w:noProof/>
        </w:rPr>
        <w:fldChar w:fldCharType="end"/>
      </w:r>
    </w:p>
    <w:p w14:paraId="1BD75469" w14:textId="5143B7CC" w:rsidR="00440D6B" w:rsidRDefault="00440D6B">
      <w:pPr>
        <w:pStyle w:val="TOC2"/>
        <w:tabs>
          <w:tab w:val="left" w:pos="1320"/>
          <w:tab w:val="right" w:leader="dot" w:pos="9062"/>
        </w:tabs>
        <w:rPr>
          <w:rFonts w:eastAsiaTheme="minorEastAsia"/>
          <w:noProof/>
          <w:kern w:val="2"/>
          <w:sz w:val="24"/>
          <w:szCs w:val="24"/>
          <w:lang w:val="en-US"/>
          <w14:ligatures w14:val="standardContextual"/>
        </w:rPr>
      </w:pPr>
      <w:r w:rsidRPr="00293C44">
        <w:rPr>
          <w:rFonts w:eastAsiaTheme="majorEastAsia" w:cstheme="majorBidi"/>
          <w:noProof/>
          <w:color w:val="808080" w:themeColor="background1" w:themeShade="80"/>
        </w:rPr>
        <w:t>3.2.8.1.1</w:t>
      </w:r>
      <w:r>
        <w:rPr>
          <w:rFonts w:eastAsiaTheme="minorEastAsia"/>
          <w:noProof/>
          <w:kern w:val="2"/>
          <w:sz w:val="24"/>
          <w:szCs w:val="24"/>
          <w:lang w:val="en-US"/>
          <w14:ligatures w14:val="standardContextual"/>
        </w:rPr>
        <w:tab/>
      </w:r>
      <w:r w:rsidRPr="00293C44">
        <w:rPr>
          <w:rFonts w:eastAsiaTheme="majorEastAsia" w:cstheme="majorBidi"/>
          <w:noProof/>
          <w:color w:val="808080" w:themeColor="background1" w:themeShade="80"/>
        </w:rPr>
        <w:t>Category description</w:t>
      </w:r>
      <w:r>
        <w:rPr>
          <w:noProof/>
        </w:rPr>
        <w:tab/>
      </w:r>
      <w:r>
        <w:rPr>
          <w:noProof/>
        </w:rPr>
        <w:fldChar w:fldCharType="begin"/>
      </w:r>
      <w:r>
        <w:rPr>
          <w:noProof/>
        </w:rPr>
        <w:instrText xml:space="preserve"> PAGEREF _Toc184808184 \h </w:instrText>
      </w:r>
      <w:r>
        <w:rPr>
          <w:noProof/>
        </w:rPr>
      </w:r>
      <w:r>
        <w:rPr>
          <w:noProof/>
        </w:rPr>
        <w:fldChar w:fldCharType="separate"/>
      </w:r>
      <w:r>
        <w:rPr>
          <w:noProof/>
        </w:rPr>
        <w:t>85</w:t>
      </w:r>
      <w:r>
        <w:rPr>
          <w:noProof/>
        </w:rPr>
        <w:fldChar w:fldCharType="end"/>
      </w:r>
    </w:p>
    <w:p w14:paraId="2ECE115E" w14:textId="04702498" w:rsidR="00440D6B" w:rsidRDefault="00440D6B">
      <w:pPr>
        <w:pStyle w:val="TOC2"/>
        <w:tabs>
          <w:tab w:val="left" w:pos="1320"/>
          <w:tab w:val="right" w:leader="dot" w:pos="9062"/>
        </w:tabs>
        <w:rPr>
          <w:rFonts w:eastAsiaTheme="minorEastAsia"/>
          <w:noProof/>
          <w:kern w:val="2"/>
          <w:sz w:val="24"/>
          <w:szCs w:val="24"/>
          <w:lang w:val="en-US"/>
          <w14:ligatures w14:val="standardContextual"/>
        </w:rPr>
      </w:pPr>
      <w:r w:rsidRPr="00293C44">
        <w:rPr>
          <w:rFonts w:eastAsiaTheme="majorEastAsia" w:cstheme="majorBidi"/>
          <w:noProof/>
          <w:color w:val="808080" w:themeColor="background1" w:themeShade="80"/>
        </w:rPr>
        <w:t>3.2.8.1.2</w:t>
      </w:r>
      <w:r>
        <w:rPr>
          <w:rFonts w:eastAsiaTheme="minorEastAsia"/>
          <w:noProof/>
          <w:kern w:val="2"/>
          <w:sz w:val="24"/>
          <w:szCs w:val="24"/>
          <w:lang w:val="en-US"/>
          <w14:ligatures w14:val="standardContextual"/>
        </w:rPr>
        <w:tab/>
      </w:r>
      <w:r w:rsidRPr="00293C44">
        <w:rPr>
          <w:rFonts w:eastAsiaTheme="majorEastAsia" w:cstheme="majorBidi"/>
          <w:noProof/>
          <w:color w:val="808080" w:themeColor="background1" w:themeShade="80"/>
        </w:rPr>
        <w:t>Methodological issues</w:t>
      </w:r>
      <w:r>
        <w:rPr>
          <w:noProof/>
        </w:rPr>
        <w:tab/>
      </w:r>
      <w:r>
        <w:rPr>
          <w:noProof/>
        </w:rPr>
        <w:fldChar w:fldCharType="begin"/>
      </w:r>
      <w:r>
        <w:rPr>
          <w:noProof/>
        </w:rPr>
        <w:instrText xml:space="preserve"> PAGEREF _Toc184808185 \h </w:instrText>
      </w:r>
      <w:r>
        <w:rPr>
          <w:noProof/>
        </w:rPr>
      </w:r>
      <w:r>
        <w:rPr>
          <w:noProof/>
        </w:rPr>
        <w:fldChar w:fldCharType="separate"/>
      </w:r>
      <w:r>
        <w:rPr>
          <w:noProof/>
        </w:rPr>
        <w:t>85</w:t>
      </w:r>
      <w:r>
        <w:rPr>
          <w:noProof/>
        </w:rPr>
        <w:fldChar w:fldCharType="end"/>
      </w:r>
    </w:p>
    <w:p w14:paraId="327D1918" w14:textId="60E32F31" w:rsidR="00440D6B" w:rsidRDefault="00440D6B">
      <w:pPr>
        <w:pStyle w:val="TOC2"/>
        <w:tabs>
          <w:tab w:val="left" w:pos="1320"/>
          <w:tab w:val="right" w:leader="dot" w:pos="9062"/>
        </w:tabs>
        <w:rPr>
          <w:rFonts w:eastAsiaTheme="minorEastAsia"/>
          <w:noProof/>
          <w:kern w:val="2"/>
          <w:sz w:val="24"/>
          <w:szCs w:val="24"/>
          <w:lang w:val="en-US"/>
          <w14:ligatures w14:val="standardContextual"/>
        </w:rPr>
      </w:pPr>
      <w:r w:rsidRPr="00293C44">
        <w:rPr>
          <w:rFonts w:eastAsiaTheme="majorEastAsia" w:cstheme="majorBidi"/>
          <w:noProof/>
          <w:color w:val="808080" w:themeColor="background1" w:themeShade="80"/>
        </w:rPr>
        <w:t>3.2.8.2.1</w:t>
      </w:r>
      <w:r>
        <w:rPr>
          <w:rFonts w:eastAsiaTheme="minorEastAsia"/>
          <w:noProof/>
          <w:kern w:val="2"/>
          <w:sz w:val="24"/>
          <w:szCs w:val="24"/>
          <w:lang w:val="en-US"/>
          <w14:ligatures w14:val="standardContextual"/>
        </w:rPr>
        <w:tab/>
      </w:r>
      <w:r w:rsidRPr="00293C44">
        <w:rPr>
          <w:rFonts w:eastAsiaTheme="majorEastAsia" w:cstheme="majorBidi"/>
          <w:noProof/>
          <w:color w:val="808080" w:themeColor="background1" w:themeShade="80"/>
        </w:rPr>
        <w:t>Category description</w:t>
      </w:r>
      <w:r>
        <w:rPr>
          <w:noProof/>
        </w:rPr>
        <w:tab/>
      </w:r>
      <w:r>
        <w:rPr>
          <w:noProof/>
        </w:rPr>
        <w:fldChar w:fldCharType="begin"/>
      </w:r>
      <w:r>
        <w:rPr>
          <w:noProof/>
        </w:rPr>
        <w:instrText xml:space="preserve"> PAGEREF _Toc184808186 \h </w:instrText>
      </w:r>
      <w:r>
        <w:rPr>
          <w:noProof/>
        </w:rPr>
      </w:r>
      <w:r>
        <w:rPr>
          <w:noProof/>
        </w:rPr>
        <w:fldChar w:fldCharType="separate"/>
      </w:r>
      <w:r>
        <w:rPr>
          <w:noProof/>
        </w:rPr>
        <w:t>86</w:t>
      </w:r>
      <w:r>
        <w:rPr>
          <w:noProof/>
        </w:rPr>
        <w:fldChar w:fldCharType="end"/>
      </w:r>
    </w:p>
    <w:p w14:paraId="04386E50" w14:textId="6A871968" w:rsidR="00440D6B" w:rsidRDefault="00440D6B">
      <w:pPr>
        <w:pStyle w:val="TOC2"/>
        <w:tabs>
          <w:tab w:val="left" w:pos="1320"/>
          <w:tab w:val="right" w:leader="dot" w:pos="9062"/>
        </w:tabs>
        <w:rPr>
          <w:rFonts w:eastAsiaTheme="minorEastAsia"/>
          <w:noProof/>
          <w:kern w:val="2"/>
          <w:sz w:val="24"/>
          <w:szCs w:val="24"/>
          <w:lang w:val="en-US"/>
          <w14:ligatures w14:val="standardContextual"/>
        </w:rPr>
      </w:pPr>
      <w:r w:rsidRPr="00293C44">
        <w:rPr>
          <w:rFonts w:eastAsiaTheme="majorEastAsia" w:cstheme="majorBidi"/>
          <w:noProof/>
          <w:color w:val="808080" w:themeColor="background1" w:themeShade="80"/>
        </w:rPr>
        <w:t>3.2.8.2.2</w:t>
      </w:r>
      <w:r>
        <w:rPr>
          <w:rFonts w:eastAsiaTheme="minorEastAsia"/>
          <w:noProof/>
          <w:kern w:val="2"/>
          <w:sz w:val="24"/>
          <w:szCs w:val="24"/>
          <w:lang w:val="en-US"/>
          <w14:ligatures w14:val="standardContextual"/>
        </w:rPr>
        <w:tab/>
      </w:r>
      <w:r w:rsidRPr="00293C44">
        <w:rPr>
          <w:rFonts w:eastAsiaTheme="majorEastAsia" w:cstheme="majorBidi"/>
          <w:noProof/>
          <w:color w:val="808080" w:themeColor="background1" w:themeShade="80"/>
        </w:rPr>
        <w:t>Methodological issues</w:t>
      </w:r>
      <w:r>
        <w:rPr>
          <w:noProof/>
        </w:rPr>
        <w:tab/>
      </w:r>
      <w:r>
        <w:rPr>
          <w:noProof/>
        </w:rPr>
        <w:fldChar w:fldCharType="begin"/>
      </w:r>
      <w:r>
        <w:rPr>
          <w:noProof/>
        </w:rPr>
        <w:instrText xml:space="preserve"> PAGEREF _Toc184808187 \h </w:instrText>
      </w:r>
      <w:r>
        <w:rPr>
          <w:noProof/>
        </w:rPr>
      </w:r>
      <w:r>
        <w:rPr>
          <w:noProof/>
        </w:rPr>
        <w:fldChar w:fldCharType="separate"/>
      </w:r>
      <w:r>
        <w:rPr>
          <w:noProof/>
        </w:rPr>
        <w:t>87</w:t>
      </w:r>
      <w:r>
        <w:rPr>
          <w:noProof/>
        </w:rPr>
        <w:fldChar w:fldCharType="end"/>
      </w:r>
    </w:p>
    <w:p w14:paraId="03EC9635" w14:textId="3B1ED680" w:rsidR="00440D6B" w:rsidRDefault="00440D6B">
      <w:pPr>
        <w:pStyle w:val="TOC2"/>
        <w:tabs>
          <w:tab w:val="left" w:pos="1320"/>
          <w:tab w:val="right" w:leader="dot" w:pos="9062"/>
        </w:tabs>
        <w:rPr>
          <w:rFonts w:eastAsiaTheme="minorEastAsia"/>
          <w:noProof/>
          <w:kern w:val="2"/>
          <w:sz w:val="24"/>
          <w:szCs w:val="24"/>
          <w:lang w:val="en-US"/>
          <w14:ligatures w14:val="standardContextual"/>
        </w:rPr>
      </w:pPr>
      <w:r w:rsidRPr="00293C44">
        <w:rPr>
          <w:rFonts w:eastAsiaTheme="majorEastAsia" w:cstheme="majorBidi"/>
          <w:noProof/>
          <w:color w:val="808080" w:themeColor="background1" w:themeShade="80"/>
        </w:rPr>
        <w:t>3.2.8.3.1</w:t>
      </w:r>
      <w:r>
        <w:rPr>
          <w:rFonts w:eastAsiaTheme="minorEastAsia"/>
          <w:noProof/>
          <w:kern w:val="2"/>
          <w:sz w:val="24"/>
          <w:szCs w:val="24"/>
          <w:lang w:val="en-US"/>
          <w14:ligatures w14:val="standardContextual"/>
        </w:rPr>
        <w:tab/>
      </w:r>
      <w:r w:rsidRPr="00293C44">
        <w:rPr>
          <w:rFonts w:eastAsiaTheme="majorEastAsia" w:cstheme="majorBidi"/>
          <w:noProof/>
          <w:color w:val="808080" w:themeColor="background1" w:themeShade="80"/>
        </w:rPr>
        <w:t>Category description</w:t>
      </w:r>
      <w:r>
        <w:rPr>
          <w:noProof/>
        </w:rPr>
        <w:tab/>
      </w:r>
      <w:r>
        <w:rPr>
          <w:noProof/>
        </w:rPr>
        <w:fldChar w:fldCharType="begin"/>
      </w:r>
      <w:r>
        <w:rPr>
          <w:noProof/>
        </w:rPr>
        <w:instrText xml:space="preserve"> PAGEREF _Toc184808188 \h </w:instrText>
      </w:r>
      <w:r>
        <w:rPr>
          <w:noProof/>
        </w:rPr>
      </w:r>
      <w:r>
        <w:rPr>
          <w:noProof/>
        </w:rPr>
        <w:fldChar w:fldCharType="separate"/>
      </w:r>
      <w:r>
        <w:rPr>
          <w:noProof/>
        </w:rPr>
        <w:t>87</w:t>
      </w:r>
      <w:r>
        <w:rPr>
          <w:noProof/>
        </w:rPr>
        <w:fldChar w:fldCharType="end"/>
      </w:r>
    </w:p>
    <w:p w14:paraId="264B2A00" w14:textId="02297A0C" w:rsidR="00440D6B" w:rsidRDefault="00440D6B">
      <w:pPr>
        <w:pStyle w:val="TOC2"/>
        <w:tabs>
          <w:tab w:val="left" w:pos="1320"/>
          <w:tab w:val="right" w:leader="dot" w:pos="9062"/>
        </w:tabs>
        <w:rPr>
          <w:rFonts w:eastAsiaTheme="minorEastAsia"/>
          <w:noProof/>
          <w:kern w:val="2"/>
          <w:sz w:val="24"/>
          <w:szCs w:val="24"/>
          <w:lang w:val="en-US"/>
          <w14:ligatures w14:val="standardContextual"/>
        </w:rPr>
      </w:pPr>
      <w:r w:rsidRPr="00293C44">
        <w:rPr>
          <w:rFonts w:eastAsiaTheme="majorEastAsia" w:cstheme="majorBidi"/>
          <w:noProof/>
          <w:color w:val="808080" w:themeColor="background1" w:themeShade="80"/>
        </w:rPr>
        <w:t>3.2.8.3.2</w:t>
      </w:r>
      <w:r>
        <w:rPr>
          <w:rFonts w:eastAsiaTheme="minorEastAsia"/>
          <w:noProof/>
          <w:kern w:val="2"/>
          <w:sz w:val="24"/>
          <w:szCs w:val="24"/>
          <w:lang w:val="en-US"/>
          <w14:ligatures w14:val="standardContextual"/>
        </w:rPr>
        <w:tab/>
      </w:r>
      <w:r w:rsidRPr="00293C44">
        <w:rPr>
          <w:rFonts w:eastAsiaTheme="majorEastAsia" w:cstheme="majorBidi"/>
          <w:noProof/>
          <w:color w:val="808080" w:themeColor="background1" w:themeShade="80"/>
        </w:rPr>
        <w:t>Methodological issues</w:t>
      </w:r>
      <w:r>
        <w:rPr>
          <w:noProof/>
        </w:rPr>
        <w:tab/>
      </w:r>
      <w:r>
        <w:rPr>
          <w:noProof/>
        </w:rPr>
        <w:fldChar w:fldCharType="begin"/>
      </w:r>
      <w:r>
        <w:rPr>
          <w:noProof/>
        </w:rPr>
        <w:instrText xml:space="preserve"> PAGEREF _Toc184808189 \h </w:instrText>
      </w:r>
      <w:r>
        <w:rPr>
          <w:noProof/>
        </w:rPr>
      </w:r>
      <w:r>
        <w:rPr>
          <w:noProof/>
        </w:rPr>
        <w:fldChar w:fldCharType="separate"/>
      </w:r>
      <w:r>
        <w:rPr>
          <w:noProof/>
        </w:rPr>
        <w:t>88</w:t>
      </w:r>
      <w:r>
        <w:rPr>
          <w:noProof/>
        </w:rPr>
        <w:fldChar w:fldCharType="end"/>
      </w:r>
    </w:p>
    <w:p w14:paraId="2C970510" w14:textId="755E1D21"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3.3</w:t>
      </w:r>
      <w:r>
        <w:rPr>
          <w:rFonts w:eastAsiaTheme="minorEastAsia"/>
          <w:noProof/>
          <w:kern w:val="2"/>
          <w:sz w:val="24"/>
          <w:szCs w:val="24"/>
          <w:lang w:val="en-US"/>
          <w14:ligatures w14:val="standardContextual"/>
        </w:rPr>
        <w:tab/>
      </w:r>
      <w:r w:rsidRPr="00293C44">
        <w:rPr>
          <w:noProof/>
        </w:rPr>
        <w:t>Fugitive emissions from solid fuels and oil and natural gas and other emissions from energy production (CRT 1.B)</w:t>
      </w:r>
      <w:r>
        <w:rPr>
          <w:noProof/>
        </w:rPr>
        <w:tab/>
      </w:r>
      <w:r>
        <w:rPr>
          <w:noProof/>
        </w:rPr>
        <w:fldChar w:fldCharType="begin"/>
      </w:r>
      <w:r>
        <w:rPr>
          <w:noProof/>
        </w:rPr>
        <w:instrText xml:space="preserve"> PAGEREF _Toc184808190 \h </w:instrText>
      </w:r>
      <w:r>
        <w:rPr>
          <w:noProof/>
        </w:rPr>
      </w:r>
      <w:r>
        <w:rPr>
          <w:noProof/>
        </w:rPr>
        <w:fldChar w:fldCharType="separate"/>
      </w:r>
      <w:r>
        <w:rPr>
          <w:noProof/>
        </w:rPr>
        <w:t>89</w:t>
      </w:r>
      <w:r>
        <w:rPr>
          <w:noProof/>
        </w:rPr>
        <w:fldChar w:fldCharType="end"/>
      </w:r>
    </w:p>
    <w:p w14:paraId="38AA0018" w14:textId="0BBB96BF" w:rsidR="00440D6B" w:rsidRDefault="00440D6B">
      <w:pPr>
        <w:pStyle w:val="TOC3"/>
        <w:rPr>
          <w:rFonts w:eastAsiaTheme="minorEastAsia"/>
          <w:noProof/>
          <w:kern w:val="2"/>
          <w:sz w:val="24"/>
          <w:szCs w:val="24"/>
          <w:lang w:val="en-US"/>
          <w14:ligatures w14:val="standardContextual"/>
        </w:rPr>
      </w:pPr>
      <w:r w:rsidRPr="00293C44">
        <w:rPr>
          <w:noProof/>
          <w:lang w:eastAsia="fr-FR"/>
        </w:rPr>
        <w:t>3.3.1</w:t>
      </w:r>
      <w:r>
        <w:rPr>
          <w:rFonts w:eastAsiaTheme="minorEastAsia"/>
          <w:noProof/>
          <w:kern w:val="2"/>
          <w:sz w:val="24"/>
          <w:szCs w:val="24"/>
          <w:lang w:val="en-US"/>
          <w14:ligatures w14:val="standardContextual"/>
        </w:rPr>
        <w:tab/>
      </w:r>
      <w:r w:rsidRPr="00293C44">
        <w:rPr>
          <w:noProof/>
          <w:lang w:eastAsia="fr-FR"/>
        </w:rPr>
        <w:t>Category description</w:t>
      </w:r>
      <w:r>
        <w:rPr>
          <w:noProof/>
        </w:rPr>
        <w:tab/>
      </w:r>
      <w:r>
        <w:rPr>
          <w:noProof/>
        </w:rPr>
        <w:fldChar w:fldCharType="begin"/>
      </w:r>
      <w:r>
        <w:rPr>
          <w:noProof/>
        </w:rPr>
        <w:instrText xml:space="preserve"> PAGEREF _Toc184808191 \h </w:instrText>
      </w:r>
      <w:r>
        <w:rPr>
          <w:noProof/>
        </w:rPr>
      </w:r>
      <w:r>
        <w:rPr>
          <w:noProof/>
        </w:rPr>
        <w:fldChar w:fldCharType="separate"/>
      </w:r>
      <w:r>
        <w:rPr>
          <w:noProof/>
        </w:rPr>
        <w:t>89</w:t>
      </w:r>
      <w:r>
        <w:rPr>
          <w:noProof/>
        </w:rPr>
        <w:fldChar w:fldCharType="end"/>
      </w:r>
    </w:p>
    <w:p w14:paraId="6CD264EB" w14:textId="05CBB807" w:rsidR="00440D6B" w:rsidRDefault="00440D6B">
      <w:pPr>
        <w:pStyle w:val="TOC3"/>
        <w:rPr>
          <w:rFonts w:eastAsiaTheme="minorEastAsia"/>
          <w:noProof/>
          <w:kern w:val="2"/>
          <w:sz w:val="24"/>
          <w:szCs w:val="24"/>
          <w:lang w:val="en-US"/>
          <w14:ligatures w14:val="standardContextual"/>
        </w:rPr>
      </w:pPr>
      <w:r>
        <w:rPr>
          <w:noProof/>
          <w:lang w:eastAsia="fr-FR"/>
        </w:rPr>
        <w:t>3.3.2</w:t>
      </w:r>
      <w:r>
        <w:rPr>
          <w:rFonts w:eastAsiaTheme="minorEastAsia"/>
          <w:noProof/>
          <w:kern w:val="2"/>
          <w:sz w:val="24"/>
          <w:szCs w:val="24"/>
          <w:lang w:val="en-US"/>
          <w14:ligatures w14:val="standardContextual"/>
        </w:rPr>
        <w:tab/>
      </w:r>
      <w:r>
        <w:rPr>
          <w:noProof/>
          <w:lang w:eastAsia="fr-FR"/>
        </w:rPr>
        <w:t>Methodological issues</w:t>
      </w:r>
      <w:r>
        <w:rPr>
          <w:noProof/>
        </w:rPr>
        <w:tab/>
      </w:r>
      <w:r>
        <w:rPr>
          <w:noProof/>
        </w:rPr>
        <w:fldChar w:fldCharType="begin"/>
      </w:r>
      <w:r>
        <w:rPr>
          <w:noProof/>
        </w:rPr>
        <w:instrText xml:space="preserve"> PAGEREF _Toc184808192 \h </w:instrText>
      </w:r>
      <w:r>
        <w:rPr>
          <w:noProof/>
        </w:rPr>
      </w:r>
      <w:r>
        <w:rPr>
          <w:noProof/>
        </w:rPr>
        <w:fldChar w:fldCharType="separate"/>
      </w:r>
      <w:r>
        <w:rPr>
          <w:noProof/>
        </w:rPr>
        <w:t>97</w:t>
      </w:r>
      <w:r>
        <w:rPr>
          <w:noProof/>
        </w:rPr>
        <w:fldChar w:fldCharType="end"/>
      </w:r>
    </w:p>
    <w:p w14:paraId="5E768128" w14:textId="316ACBF3" w:rsidR="00440D6B" w:rsidRDefault="00440D6B">
      <w:pPr>
        <w:pStyle w:val="TOC3"/>
        <w:rPr>
          <w:rFonts w:eastAsiaTheme="minorEastAsia"/>
          <w:noProof/>
          <w:kern w:val="2"/>
          <w:sz w:val="24"/>
          <w:szCs w:val="24"/>
          <w:lang w:val="en-US"/>
          <w14:ligatures w14:val="standardContextual"/>
        </w:rPr>
      </w:pPr>
      <w:r>
        <w:rPr>
          <w:noProof/>
          <w:lang w:eastAsia="fr-FR"/>
        </w:rPr>
        <w:t>3.3.3</w:t>
      </w:r>
      <w:r>
        <w:rPr>
          <w:rFonts w:eastAsiaTheme="minorEastAsia"/>
          <w:noProof/>
          <w:kern w:val="2"/>
          <w:sz w:val="24"/>
          <w:szCs w:val="24"/>
          <w:lang w:val="en-US"/>
          <w14:ligatures w14:val="standardContextual"/>
        </w:rPr>
        <w:tab/>
      </w:r>
      <w:r>
        <w:rPr>
          <w:noProof/>
          <w:lang w:eastAsia="fr-FR"/>
        </w:rPr>
        <w:t>Uncertainties and time-series consistency</w:t>
      </w:r>
      <w:r>
        <w:rPr>
          <w:noProof/>
        </w:rPr>
        <w:tab/>
      </w:r>
      <w:r>
        <w:rPr>
          <w:noProof/>
        </w:rPr>
        <w:fldChar w:fldCharType="begin"/>
      </w:r>
      <w:r>
        <w:rPr>
          <w:noProof/>
        </w:rPr>
        <w:instrText xml:space="preserve"> PAGEREF _Toc184808193 \h </w:instrText>
      </w:r>
      <w:r>
        <w:rPr>
          <w:noProof/>
        </w:rPr>
      </w:r>
      <w:r>
        <w:rPr>
          <w:noProof/>
        </w:rPr>
        <w:fldChar w:fldCharType="separate"/>
      </w:r>
      <w:r>
        <w:rPr>
          <w:noProof/>
        </w:rPr>
        <w:t>98</w:t>
      </w:r>
      <w:r>
        <w:rPr>
          <w:noProof/>
        </w:rPr>
        <w:fldChar w:fldCharType="end"/>
      </w:r>
    </w:p>
    <w:p w14:paraId="0345CA0E" w14:textId="69794296" w:rsidR="00440D6B" w:rsidRDefault="00440D6B">
      <w:pPr>
        <w:pStyle w:val="TOC3"/>
        <w:rPr>
          <w:rFonts w:eastAsiaTheme="minorEastAsia"/>
          <w:noProof/>
          <w:kern w:val="2"/>
          <w:sz w:val="24"/>
          <w:szCs w:val="24"/>
          <w:lang w:val="en-US"/>
          <w14:ligatures w14:val="standardContextual"/>
        </w:rPr>
      </w:pPr>
      <w:r>
        <w:rPr>
          <w:noProof/>
          <w:lang w:eastAsia="fr-FR"/>
        </w:rPr>
        <w:t>3.3.4</w:t>
      </w:r>
      <w:r>
        <w:rPr>
          <w:rFonts w:eastAsiaTheme="minorEastAsia"/>
          <w:noProof/>
          <w:kern w:val="2"/>
          <w:sz w:val="24"/>
          <w:szCs w:val="24"/>
          <w:lang w:val="en-US"/>
          <w14:ligatures w14:val="standardContextual"/>
        </w:rPr>
        <w:tab/>
      </w:r>
      <w:r>
        <w:rPr>
          <w:noProof/>
          <w:lang w:eastAsia="fr-FR"/>
        </w:rPr>
        <w:t>Category-specific QA/QC and verification</w:t>
      </w:r>
      <w:r>
        <w:rPr>
          <w:noProof/>
        </w:rPr>
        <w:tab/>
      </w:r>
      <w:r>
        <w:rPr>
          <w:noProof/>
        </w:rPr>
        <w:fldChar w:fldCharType="begin"/>
      </w:r>
      <w:r>
        <w:rPr>
          <w:noProof/>
        </w:rPr>
        <w:instrText xml:space="preserve"> PAGEREF _Toc184808194 \h </w:instrText>
      </w:r>
      <w:r>
        <w:rPr>
          <w:noProof/>
        </w:rPr>
      </w:r>
      <w:r>
        <w:rPr>
          <w:noProof/>
        </w:rPr>
        <w:fldChar w:fldCharType="separate"/>
      </w:r>
      <w:r>
        <w:rPr>
          <w:noProof/>
        </w:rPr>
        <w:t>99</w:t>
      </w:r>
      <w:r>
        <w:rPr>
          <w:noProof/>
        </w:rPr>
        <w:fldChar w:fldCharType="end"/>
      </w:r>
    </w:p>
    <w:p w14:paraId="27652B7E" w14:textId="17E76398" w:rsidR="00440D6B" w:rsidRDefault="00440D6B">
      <w:pPr>
        <w:pStyle w:val="TOC3"/>
        <w:rPr>
          <w:rFonts w:eastAsiaTheme="minorEastAsia"/>
          <w:noProof/>
          <w:kern w:val="2"/>
          <w:sz w:val="24"/>
          <w:szCs w:val="24"/>
          <w:lang w:val="en-US"/>
          <w14:ligatures w14:val="standardContextual"/>
        </w:rPr>
      </w:pPr>
      <w:r>
        <w:rPr>
          <w:noProof/>
          <w:lang w:eastAsia="fr-FR"/>
        </w:rPr>
        <w:t>3.3.5</w:t>
      </w:r>
      <w:r>
        <w:rPr>
          <w:rFonts w:eastAsiaTheme="minorEastAsia"/>
          <w:noProof/>
          <w:kern w:val="2"/>
          <w:sz w:val="24"/>
          <w:szCs w:val="24"/>
          <w:lang w:val="en-US"/>
          <w14:ligatures w14:val="standardContextual"/>
        </w:rPr>
        <w:tab/>
      </w:r>
      <w:r>
        <w:rPr>
          <w:noProof/>
          <w:lang w:eastAsia="fr-FR"/>
        </w:rPr>
        <w:t>Category-specific recalculations</w:t>
      </w:r>
      <w:r>
        <w:rPr>
          <w:noProof/>
        </w:rPr>
        <w:tab/>
      </w:r>
      <w:r>
        <w:rPr>
          <w:noProof/>
        </w:rPr>
        <w:fldChar w:fldCharType="begin"/>
      </w:r>
      <w:r>
        <w:rPr>
          <w:noProof/>
        </w:rPr>
        <w:instrText xml:space="preserve"> PAGEREF _Toc184808195 \h </w:instrText>
      </w:r>
      <w:r>
        <w:rPr>
          <w:noProof/>
        </w:rPr>
      </w:r>
      <w:r>
        <w:rPr>
          <w:noProof/>
        </w:rPr>
        <w:fldChar w:fldCharType="separate"/>
      </w:r>
      <w:r>
        <w:rPr>
          <w:noProof/>
        </w:rPr>
        <w:t>99</w:t>
      </w:r>
      <w:r>
        <w:rPr>
          <w:noProof/>
        </w:rPr>
        <w:fldChar w:fldCharType="end"/>
      </w:r>
    </w:p>
    <w:p w14:paraId="6F424149" w14:textId="53C7D651" w:rsidR="00440D6B" w:rsidRDefault="00440D6B">
      <w:pPr>
        <w:pStyle w:val="TOC3"/>
        <w:rPr>
          <w:rFonts w:eastAsiaTheme="minorEastAsia"/>
          <w:noProof/>
          <w:kern w:val="2"/>
          <w:sz w:val="24"/>
          <w:szCs w:val="24"/>
          <w:lang w:val="en-US"/>
          <w14:ligatures w14:val="standardContextual"/>
        </w:rPr>
      </w:pPr>
      <w:r>
        <w:rPr>
          <w:noProof/>
          <w:lang w:eastAsia="fr-FR"/>
        </w:rPr>
        <w:t>3.3.6</w:t>
      </w:r>
      <w:r>
        <w:rPr>
          <w:rFonts w:eastAsiaTheme="minorEastAsia"/>
          <w:noProof/>
          <w:kern w:val="2"/>
          <w:sz w:val="24"/>
          <w:szCs w:val="24"/>
          <w:lang w:val="en-US"/>
          <w14:ligatures w14:val="standardContextual"/>
        </w:rPr>
        <w:tab/>
      </w:r>
      <w:r>
        <w:rPr>
          <w:noProof/>
          <w:lang w:eastAsia="fr-FR"/>
        </w:rPr>
        <w:t>Category-specific planned improvements</w:t>
      </w:r>
      <w:r>
        <w:rPr>
          <w:noProof/>
        </w:rPr>
        <w:tab/>
      </w:r>
      <w:r>
        <w:rPr>
          <w:noProof/>
        </w:rPr>
        <w:fldChar w:fldCharType="begin"/>
      </w:r>
      <w:r>
        <w:rPr>
          <w:noProof/>
        </w:rPr>
        <w:instrText xml:space="preserve"> PAGEREF _Toc184808196 \h </w:instrText>
      </w:r>
      <w:r>
        <w:rPr>
          <w:noProof/>
        </w:rPr>
      </w:r>
      <w:r>
        <w:rPr>
          <w:noProof/>
        </w:rPr>
        <w:fldChar w:fldCharType="separate"/>
      </w:r>
      <w:r>
        <w:rPr>
          <w:noProof/>
        </w:rPr>
        <w:t>99</w:t>
      </w:r>
      <w:r>
        <w:rPr>
          <w:noProof/>
        </w:rPr>
        <w:fldChar w:fldCharType="end"/>
      </w:r>
    </w:p>
    <w:p w14:paraId="5BCF8D6C" w14:textId="405A5993"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Chapter 4: Industrial processes and product use (CRT sector 2)</w:t>
      </w:r>
      <w:r>
        <w:rPr>
          <w:noProof/>
        </w:rPr>
        <w:tab/>
      </w:r>
      <w:r>
        <w:rPr>
          <w:noProof/>
        </w:rPr>
        <w:fldChar w:fldCharType="begin"/>
      </w:r>
      <w:r>
        <w:rPr>
          <w:noProof/>
        </w:rPr>
        <w:instrText xml:space="preserve"> PAGEREF _Toc184808197 \h </w:instrText>
      </w:r>
      <w:r>
        <w:rPr>
          <w:noProof/>
        </w:rPr>
      </w:r>
      <w:r>
        <w:rPr>
          <w:noProof/>
        </w:rPr>
        <w:fldChar w:fldCharType="separate"/>
      </w:r>
      <w:r>
        <w:rPr>
          <w:noProof/>
        </w:rPr>
        <w:t>100</w:t>
      </w:r>
      <w:r>
        <w:rPr>
          <w:noProof/>
        </w:rPr>
        <w:fldChar w:fldCharType="end"/>
      </w:r>
    </w:p>
    <w:p w14:paraId="44714479" w14:textId="71BC6611"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4.1</w:t>
      </w:r>
      <w:r>
        <w:rPr>
          <w:rFonts w:eastAsiaTheme="minorEastAsia"/>
          <w:noProof/>
          <w:kern w:val="2"/>
          <w:sz w:val="24"/>
          <w:szCs w:val="24"/>
          <w:lang w:val="en-US"/>
          <w14:ligatures w14:val="standardContextual"/>
        </w:rPr>
        <w:tab/>
      </w:r>
      <w:r w:rsidRPr="00293C44">
        <w:rPr>
          <w:bCs/>
          <w:noProof/>
        </w:rPr>
        <w:t>Overview of sector</w:t>
      </w:r>
      <w:r>
        <w:rPr>
          <w:noProof/>
        </w:rPr>
        <w:tab/>
      </w:r>
      <w:r>
        <w:rPr>
          <w:noProof/>
        </w:rPr>
        <w:fldChar w:fldCharType="begin"/>
      </w:r>
      <w:r>
        <w:rPr>
          <w:noProof/>
        </w:rPr>
        <w:instrText xml:space="preserve"> PAGEREF _Toc184808199 \h </w:instrText>
      </w:r>
      <w:r>
        <w:rPr>
          <w:noProof/>
        </w:rPr>
      </w:r>
      <w:r>
        <w:rPr>
          <w:noProof/>
        </w:rPr>
        <w:fldChar w:fldCharType="separate"/>
      </w:r>
      <w:r>
        <w:rPr>
          <w:noProof/>
        </w:rPr>
        <w:t>100</w:t>
      </w:r>
      <w:r>
        <w:rPr>
          <w:noProof/>
        </w:rPr>
        <w:fldChar w:fldCharType="end"/>
      </w:r>
    </w:p>
    <w:p w14:paraId="485CA070" w14:textId="5D29916D"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4.2</w:t>
      </w:r>
      <w:r>
        <w:rPr>
          <w:rFonts w:eastAsiaTheme="minorEastAsia"/>
          <w:noProof/>
          <w:kern w:val="2"/>
          <w:sz w:val="24"/>
          <w:szCs w:val="24"/>
          <w:lang w:val="en-US"/>
          <w14:ligatures w14:val="standardContextual"/>
        </w:rPr>
        <w:tab/>
      </w:r>
      <w:r>
        <w:rPr>
          <w:noProof/>
        </w:rPr>
        <w:t>Mineral</w:t>
      </w:r>
      <w:r w:rsidRPr="00293C44">
        <w:rPr>
          <w:noProof/>
        </w:rPr>
        <w:t xml:space="preserve"> </w:t>
      </w:r>
      <w:r>
        <w:rPr>
          <w:noProof/>
        </w:rPr>
        <w:t>industry</w:t>
      </w:r>
      <w:r w:rsidRPr="00293C44">
        <w:rPr>
          <w:noProof/>
        </w:rPr>
        <w:t xml:space="preserve"> (CRT 2A)</w:t>
      </w:r>
      <w:r>
        <w:rPr>
          <w:noProof/>
        </w:rPr>
        <w:tab/>
      </w:r>
      <w:r>
        <w:rPr>
          <w:noProof/>
        </w:rPr>
        <w:fldChar w:fldCharType="begin"/>
      </w:r>
      <w:r>
        <w:rPr>
          <w:noProof/>
        </w:rPr>
        <w:instrText xml:space="preserve"> PAGEREF _Toc184808200 \h </w:instrText>
      </w:r>
      <w:r>
        <w:rPr>
          <w:noProof/>
        </w:rPr>
      </w:r>
      <w:r>
        <w:rPr>
          <w:noProof/>
        </w:rPr>
        <w:fldChar w:fldCharType="separate"/>
      </w:r>
      <w:r>
        <w:rPr>
          <w:noProof/>
        </w:rPr>
        <w:t>102</w:t>
      </w:r>
      <w:r>
        <w:rPr>
          <w:noProof/>
        </w:rPr>
        <w:fldChar w:fldCharType="end"/>
      </w:r>
    </w:p>
    <w:p w14:paraId="2483B14C" w14:textId="37D26370" w:rsidR="00440D6B" w:rsidRDefault="00440D6B">
      <w:pPr>
        <w:pStyle w:val="TOC3"/>
        <w:rPr>
          <w:rFonts w:eastAsiaTheme="minorEastAsia"/>
          <w:noProof/>
          <w:kern w:val="2"/>
          <w:sz w:val="24"/>
          <w:szCs w:val="24"/>
          <w:lang w:val="en-US"/>
          <w14:ligatures w14:val="standardContextual"/>
        </w:rPr>
      </w:pPr>
      <w:r>
        <w:rPr>
          <w:noProof/>
          <w:lang w:eastAsia="fr-FR"/>
        </w:rPr>
        <w:t>4.2.1</w:t>
      </w:r>
      <w:r>
        <w:rPr>
          <w:rFonts w:eastAsiaTheme="minorEastAsia"/>
          <w:noProof/>
          <w:kern w:val="2"/>
          <w:sz w:val="24"/>
          <w:szCs w:val="24"/>
          <w:lang w:val="en-US"/>
          <w14:ligatures w14:val="standardContextual"/>
        </w:rPr>
        <w:tab/>
      </w:r>
      <w:r>
        <w:rPr>
          <w:noProof/>
          <w:lang w:eastAsia="fr-FR"/>
        </w:rPr>
        <w:t>Cement production (CRT 2A1)</w:t>
      </w:r>
      <w:r>
        <w:rPr>
          <w:noProof/>
        </w:rPr>
        <w:tab/>
      </w:r>
      <w:r>
        <w:rPr>
          <w:noProof/>
        </w:rPr>
        <w:fldChar w:fldCharType="begin"/>
      </w:r>
      <w:r>
        <w:rPr>
          <w:noProof/>
        </w:rPr>
        <w:instrText xml:space="preserve"> PAGEREF _Toc184808201 \h </w:instrText>
      </w:r>
      <w:r>
        <w:rPr>
          <w:noProof/>
        </w:rPr>
      </w:r>
      <w:r>
        <w:rPr>
          <w:noProof/>
        </w:rPr>
        <w:fldChar w:fldCharType="separate"/>
      </w:r>
      <w:r>
        <w:rPr>
          <w:noProof/>
        </w:rPr>
        <w:t>103</w:t>
      </w:r>
      <w:r>
        <w:rPr>
          <w:noProof/>
        </w:rPr>
        <w:fldChar w:fldCharType="end"/>
      </w:r>
    </w:p>
    <w:p w14:paraId="6B356475" w14:textId="7EA002EF" w:rsidR="00440D6B" w:rsidRDefault="00440D6B">
      <w:pPr>
        <w:pStyle w:val="TOC3"/>
        <w:rPr>
          <w:rFonts w:eastAsiaTheme="minorEastAsia"/>
          <w:noProof/>
          <w:kern w:val="2"/>
          <w:sz w:val="24"/>
          <w:szCs w:val="24"/>
          <w:lang w:val="en-US"/>
          <w14:ligatures w14:val="standardContextual"/>
        </w:rPr>
      </w:pPr>
      <w:r>
        <w:rPr>
          <w:noProof/>
          <w:lang w:eastAsia="fr-FR"/>
        </w:rPr>
        <w:t>4.2.2</w:t>
      </w:r>
      <w:r>
        <w:rPr>
          <w:rFonts w:eastAsiaTheme="minorEastAsia"/>
          <w:noProof/>
          <w:kern w:val="2"/>
          <w:sz w:val="24"/>
          <w:szCs w:val="24"/>
          <w:lang w:val="en-US"/>
          <w14:ligatures w14:val="standardContextual"/>
        </w:rPr>
        <w:tab/>
      </w:r>
      <w:r>
        <w:rPr>
          <w:noProof/>
          <w:lang w:eastAsia="fr-FR"/>
        </w:rPr>
        <w:t>Lime production (CRT 2A2)</w:t>
      </w:r>
      <w:r>
        <w:rPr>
          <w:noProof/>
        </w:rPr>
        <w:tab/>
      </w:r>
      <w:r>
        <w:rPr>
          <w:noProof/>
        </w:rPr>
        <w:fldChar w:fldCharType="begin"/>
      </w:r>
      <w:r>
        <w:rPr>
          <w:noProof/>
        </w:rPr>
        <w:instrText xml:space="preserve"> PAGEREF _Toc184808202 \h </w:instrText>
      </w:r>
      <w:r>
        <w:rPr>
          <w:noProof/>
        </w:rPr>
      </w:r>
      <w:r>
        <w:rPr>
          <w:noProof/>
        </w:rPr>
        <w:fldChar w:fldCharType="separate"/>
      </w:r>
      <w:r>
        <w:rPr>
          <w:noProof/>
        </w:rPr>
        <w:t>104</w:t>
      </w:r>
      <w:r>
        <w:rPr>
          <w:noProof/>
        </w:rPr>
        <w:fldChar w:fldCharType="end"/>
      </w:r>
    </w:p>
    <w:p w14:paraId="7A5BD104" w14:textId="070D3B97" w:rsidR="00440D6B" w:rsidRDefault="00440D6B">
      <w:pPr>
        <w:pStyle w:val="TOC3"/>
        <w:rPr>
          <w:rFonts w:eastAsiaTheme="minorEastAsia"/>
          <w:noProof/>
          <w:kern w:val="2"/>
          <w:sz w:val="24"/>
          <w:szCs w:val="24"/>
          <w:lang w:val="en-US"/>
          <w14:ligatures w14:val="standardContextual"/>
        </w:rPr>
      </w:pPr>
      <w:r>
        <w:rPr>
          <w:noProof/>
          <w:lang w:eastAsia="fr-FR"/>
        </w:rPr>
        <w:t>4.2.3</w:t>
      </w:r>
      <w:r>
        <w:rPr>
          <w:rFonts w:eastAsiaTheme="minorEastAsia"/>
          <w:noProof/>
          <w:kern w:val="2"/>
          <w:sz w:val="24"/>
          <w:szCs w:val="24"/>
          <w:lang w:val="en-US"/>
          <w14:ligatures w14:val="standardContextual"/>
        </w:rPr>
        <w:tab/>
      </w:r>
      <w:r>
        <w:rPr>
          <w:noProof/>
          <w:lang w:eastAsia="fr-FR"/>
        </w:rPr>
        <w:t>Glass production (CRT 2A3)</w:t>
      </w:r>
      <w:r>
        <w:rPr>
          <w:noProof/>
        </w:rPr>
        <w:tab/>
      </w:r>
      <w:r>
        <w:rPr>
          <w:noProof/>
        </w:rPr>
        <w:fldChar w:fldCharType="begin"/>
      </w:r>
      <w:r>
        <w:rPr>
          <w:noProof/>
        </w:rPr>
        <w:instrText xml:space="preserve"> PAGEREF _Toc184808203 \h </w:instrText>
      </w:r>
      <w:r>
        <w:rPr>
          <w:noProof/>
        </w:rPr>
      </w:r>
      <w:r>
        <w:rPr>
          <w:noProof/>
        </w:rPr>
        <w:fldChar w:fldCharType="separate"/>
      </w:r>
      <w:r>
        <w:rPr>
          <w:noProof/>
        </w:rPr>
        <w:t>104</w:t>
      </w:r>
      <w:r>
        <w:rPr>
          <w:noProof/>
        </w:rPr>
        <w:fldChar w:fldCharType="end"/>
      </w:r>
    </w:p>
    <w:p w14:paraId="2F6E71AD" w14:textId="5F17374B" w:rsidR="00440D6B" w:rsidRDefault="00440D6B">
      <w:pPr>
        <w:pStyle w:val="TOC3"/>
        <w:rPr>
          <w:rFonts w:eastAsiaTheme="minorEastAsia"/>
          <w:noProof/>
          <w:kern w:val="2"/>
          <w:sz w:val="24"/>
          <w:szCs w:val="24"/>
          <w:lang w:val="en-US"/>
          <w14:ligatures w14:val="standardContextual"/>
        </w:rPr>
      </w:pPr>
      <w:r>
        <w:rPr>
          <w:noProof/>
          <w:lang w:eastAsia="fr-FR"/>
        </w:rPr>
        <w:t>4.2.4</w:t>
      </w:r>
      <w:r>
        <w:rPr>
          <w:rFonts w:eastAsiaTheme="minorEastAsia"/>
          <w:noProof/>
          <w:kern w:val="2"/>
          <w:sz w:val="24"/>
          <w:szCs w:val="24"/>
          <w:lang w:val="en-US"/>
          <w14:ligatures w14:val="standardContextual"/>
        </w:rPr>
        <w:tab/>
      </w:r>
      <w:r>
        <w:rPr>
          <w:noProof/>
          <w:lang w:eastAsia="fr-FR"/>
        </w:rPr>
        <w:t>Other use of carbonates (CRT 2A4)</w:t>
      </w:r>
      <w:r>
        <w:rPr>
          <w:noProof/>
        </w:rPr>
        <w:tab/>
      </w:r>
      <w:r>
        <w:rPr>
          <w:noProof/>
        </w:rPr>
        <w:fldChar w:fldCharType="begin"/>
      </w:r>
      <w:r>
        <w:rPr>
          <w:noProof/>
        </w:rPr>
        <w:instrText xml:space="preserve"> PAGEREF _Toc184808204 \h </w:instrText>
      </w:r>
      <w:r>
        <w:rPr>
          <w:noProof/>
        </w:rPr>
      </w:r>
      <w:r>
        <w:rPr>
          <w:noProof/>
        </w:rPr>
        <w:fldChar w:fldCharType="separate"/>
      </w:r>
      <w:r>
        <w:rPr>
          <w:noProof/>
        </w:rPr>
        <w:t>105</w:t>
      </w:r>
      <w:r>
        <w:rPr>
          <w:noProof/>
        </w:rPr>
        <w:fldChar w:fldCharType="end"/>
      </w:r>
    </w:p>
    <w:p w14:paraId="3B0BD0FD" w14:textId="05192B8A" w:rsidR="00440D6B" w:rsidRDefault="00440D6B">
      <w:pPr>
        <w:pStyle w:val="TOC3"/>
        <w:rPr>
          <w:rFonts w:eastAsiaTheme="minorEastAsia"/>
          <w:noProof/>
          <w:kern w:val="2"/>
          <w:sz w:val="24"/>
          <w:szCs w:val="24"/>
          <w:lang w:val="en-US"/>
          <w14:ligatures w14:val="standardContextual"/>
        </w:rPr>
      </w:pPr>
      <w:r>
        <w:rPr>
          <w:noProof/>
          <w:lang w:eastAsia="fr-FR"/>
        </w:rPr>
        <w:t>4.2.5</w:t>
      </w:r>
      <w:r>
        <w:rPr>
          <w:rFonts w:eastAsiaTheme="minorEastAsia"/>
          <w:noProof/>
          <w:kern w:val="2"/>
          <w:sz w:val="24"/>
          <w:szCs w:val="24"/>
          <w:lang w:val="en-US"/>
          <w14:ligatures w14:val="standardContextual"/>
        </w:rPr>
        <w:tab/>
      </w:r>
      <w:r>
        <w:rPr>
          <w:noProof/>
          <w:lang w:eastAsia="fr-FR"/>
        </w:rPr>
        <w:t>Uncertainties and time-series consistency</w:t>
      </w:r>
      <w:r>
        <w:rPr>
          <w:noProof/>
        </w:rPr>
        <w:tab/>
      </w:r>
      <w:r>
        <w:rPr>
          <w:noProof/>
        </w:rPr>
        <w:fldChar w:fldCharType="begin"/>
      </w:r>
      <w:r>
        <w:rPr>
          <w:noProof/>
        </w:rPr>
        <w:instrText xml:space="preserve"> PAGEREF _Toc184808205 \h </w:instrText>
      </w:r>
      <w:r>
        <w:rPr>
          <w:noProof/>
        </w:rPr>
      </w:r>
      <w:r>
        <w:rPr>
          <w:noProof/>
        </w:rPr>
        <w:fldChar w:fldCharType="separate"/>
      </w:r>
      <w:r>
        <w:rPr>
          <w:noProof/>
        </w:rPr>
        <w:t>107</w:t>
      </w:r>
      <w:r>
        <w:rPr>
          <w:noProof/>
        </w:rPr>
        <w:fldChar w:fldCharType="end"/>
      </w:r>
    </w:p>
    <w:p w14:paraId="4F5D5D44" w14:textId="5F23C145" w:rsidR="00440D6B" w:rsidRDefault="00440D6B">
      <w:pPr>
        <w:pStyle w:val="TOC3"/>
        <w:rPr>
          <w:rFonts w:eastAsiaTheme="minorEastAsia"/>
          <w:noProof/>
          <w:kern w:val="2"/>
          <w:sz w:val="24"/>
          <w:szCs w:val="24"/>
          <w:lang w:val="en-US"/>
          <w14:ligatures w14:val="standardContextual"/>
        </w:rPr>
      </w:pPr>
      <w:r>
        <w:rPr>
          <w:noProof/>
          <w:lang w:eastAsia="fr-FR"/>
        </w:rPr>
        <w:t>4.2.6</w:t>
      </w:r>
      <w:r>
        <w:rPr>
          <w:rFonts w:eastAsiaTheme="minorEastAsia"/>
          <w:noProof/>
          <w:kern w:val="2"/>
          <w:sz w:val="24"/>
          <w:szCs w:val="24"/>
          <w:lang w:val="en-US"/>
          <w14:ligatures w14:val="standardContextual"/>
        </w:rPr>
        <w:tab/>
      </w:r>
      <w:r>
        <w:rPr>
          <w:noProof/>
          <w:lang w:eastAsia="fr-FR"/>
        </w:rPr>
        <w:t>Category-specific QA/QC and verification</w:t>
      </w:r>
      <w:r>
        <w:rPr>
          <w:noProof/>
        </w:rPr>
        <w:tab/>
      </w:r>
      <w:r>
        <w:rPr>
          <w:noProof/>
        </w:rPr>
        <w:fldChar w:fldCharType="begin"/>
      </w:r>
      <w:r>
        <w:rPr>
          <w:noProof/>
        </w:rPr>
        <w:instrText xml:space="preserve"> PAGEREF _Toc184808206 \h </w:instrText>
      </w:r>
      <w:r>
        <w:rPr>
          <w:noProof/>
        </w:rPr>
      </w:r>
      <w:r>
        <w:rPr>
          <w:noProof/>
        </w:rPr>
        <w:fldChar w:fldCharType="separate"/>
      </w:r>
      <w:r>
        <w:rPr>
          <w:noProof/>
        </w:rPr>
        <w:t>107</w:t>
      </w:r>
      <w:r>
        <w:rPr>
          <w:noProof/>
        </w:rPr>
        <w:fldChar w:fldCharType="end"/>
      </w:r>
    </w:p>
    <w:p w14:paraId="4BCFCDFF" w14:textId="5D0FE09A" w:rsidR="00440D6B" w:rsidRDefault="00440D6B">
      <w:pPr>
        <w:pStyle w:val="TOC3"/>
        <w:rPr>
          <w:rFonts w:eastAsiaTheme="minorEastAsia"/>
          <w:noProof/>
          <w:kern w:val="2"/>
          <w:sz w:val="24"/>
          <w:szCs w:val="24"/>
          <w:lang w:val="en-US"/>
          <w14:ligatures w14:val="standardContextual"/>
        </w:rPr>
      </w:pPr>
      <w:r>
        <w:rPr>
          <w:noProof/>
          <w:lang w:eastAsia="fr-FR"/>
        </w:rPr>
        <w:t>4.2.7</w:t>
      </w:r>
      <w:r>
        <w:rPr>
          <w:rFonts w:eastAsiaTheme="minorEastAsia"/>
          <w:noProof/>
          <w:kern w:val="2"/>
          <w:sz w:val="24"/>
          <w:szCs w:val="24"/>
          <w:lang w:val="en-US"/>
          <w14:ligatures w14:val="standardContextual"/>
        </w:rPr>
        <w:tab/>
      </w:r>
      <w:r>
        <w:rPr>
          <w:noProof/>
          <w:lang w:eastAsia="fr-FR"/>
        </w:rPr>
        <w:t>Category-specific recalculations</w:t>
      </w:r>
      <w:r>
        <w:rPr>
          <w:noProof/>
        </w:rPr>
        <w:tab/>
      </w:r>
      <w:r>
        <w:rPr>
          <w:noProof/>
        </w:rPr>
        <w:fldChar w:fldCharType="begin"/>
      </w:r>
      <w:r>
        <w:rPr>
          <w:noProof/>
        </w:rPr>
        <w:instrText xml:space="preserve"> PAGEREF _Toc184808207 \h </w:instrText>
      </w:r>
      <w:r>
        <w:rPr>
          <w:noProof/>
        </w:rPr>
      </w:r>
      <w:r>
        <w:rPr>
          <w:noProof/>
        </w:rPr>
        <w:fldChar w:fldCharType="separate"/>
      </w:r>
      <w:r>
        <w:rPr>
          <w:noProof/>
        </w:rPr>
        <w:t>107</w:t>
      </w:r>
      <w:r>
        <w:rPr>
          <w:noProof/>
        </w:rPr>
        <w:fldChar w:fldCharType="end"/>
      </w:r>
    </w:p>
    <w:p w14:paraId="7E1E96BC" w14:textId="2E52D3CA" w:rsidR="00440D6B" w:rsidRDefault="00440D6B">
      <w:pPr>
        <w:pStyle w:val="TOC3"/>
        <w:rPr>
          <w:rFonts w:eastAsiaTheme="minorEastAsia"/>
          <w:noProof/>
          <w:kern w:val="2"/>
          <w:sz w:val="24"/>
          <w:szCs w:val="24"/>
          <w:lang w:val="en-US"/>
          <w14:ligatures w14:val="standardContextual"/>
        </w:rPr>
      </w:pPr>
      <w:r>
        <w:rPr>
          <w:noProof/>
          <w:lang w:eastAsia="fr-FR"/>
        </w:rPr>
        <w:t>4.2.8</w:t>
      </w:r>
      <w:r>
        <w:rPr>
          <w:rFonts w:eastAsiaTheme="minorEastAsia"/>
          <w:noProof/>
          <w:kern w:val="2"/>
          <w:sz w:val="24"/>
          <w:szCs w:val="24"/>
          <w:lang w:val="en-US"/>
          <w14:ligatures w14:val="standardContextual"/>
        </w:rPr>
        <w:tab/>
      </w:r>
      <w:r>
        <w:rPr>
          <w:noProof/>
          <w:lang w:eastAsia="fr-FR"/>
        </w:rPr>
        <w:t>Category-specific planned improvements</w:t>
      </w:r>
      <w:r>
        <w:rPr>
          <w:noProof/>
        </w:rPr>
        <w:tab/>
      </w:r>
      <w:r>
        <w:rPr>
          <w:noProof/>
        </w:rPr>
        <w:fldChar w:fldCharType="begin"/>
      </w:r>
      <w:r>
        <w:rPr>
          <w:noProof/>
        </w:rPr>
        <w:instrText xml:space="preserve"> PAGEREF _Toc184808208 \h </w:instrText>
      </w:r>
      <w:r>
        <w:rPr>
          <w:noProof/>
        </w:rPr>
      </w:r>
      <w:r>
        <w:rPr>
          <w:noProof/>
        </w:rPr>
        <w:fldChar w:fldCharType="separate"/>
      </w:r>
      <w:r>
        <w:rPr>
          <w:noProof/>
        </w:rPr>
        <w:t>108</w:t>
      </w:r>
      <w:r>
        <w:rPr>
          <w:noProof/>
        </w:rPr>
        <w:fldChar w:fldCharType="end"/>
      </w:r>
    </w:p>
    <w:p w14:paraId="7689A819" w14:textId="438C6B0C"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4.3</w:t>
      </w:r>
      <w:r>
        <w:rPr>
          <w:rFonts w:eastAsiaTheme="minorEastAsia"/>
          <w:noProof/>
          <w:kern w:val="2"/>
          <w:sz w:val="24"/>
          <w:szCs w:val="24"/>
          <w:lang w:val="en-US"/>
          <w14:ligatures w14:val="standardContextual"/>
        </w:rPr>
        <w:tab/>
      </w:r>
      <w:r w:rsidRPr="00293C44">
        <w:rPr>
          <w:bCs/>
          <w:noProof/>
        </w:rPr>
        <w:t>Chemical industry (CRT 2B)</w:t>
      </w:r>
      <w:r>
        <w:rPr>
          <w:noProof/>
        </w:rPr>
        <w:tab/>
      </w:r>
      <w:r>
        <w:rPr>
          <w:noProof/>
        </w:rPr>
        <w:fldChar w:fldCharType="begin"/>
      </w:r>
      <w:r>
        <w:rPr>
          <w:noProof/>
        </w:rPr>
        <w:instrText xml:space="preserve"> PAGEREF _Toc184808210 \h </w:instrText>
      </w:r>
      <w:r>
        <w:rPr>
          <w:noProof/>
        </w:rPr>
      </w:r>
      <w:r>
        <w:rPr>
          <w:noProof/>
        </w:rPr>
        <w:fldChar w:fldCharType="separate"/>
      </w:r>
      <w:r>
        <w:rPr>
          <w:noProof/>
        </w:rPr>
        <w:t>108</w:t>
      </w:r>
      <w:r>
        <w:rPr>
          <w:noProof/>
        </w:rPr>
        <w:fldChar w:fldCharType="end"/>
      </w:r>
    </w:p>
    <w:p w14:paraId="1A02C663" w14:textId="0AB83422" w:rsidR="00440D6B" w:rsidRDefault="00440D6B">
      <w:pPr>
        <w:pStyle w:val="TOC3"/>
        <w:rPr>
          <w:rFonts w:eastAsiaTheme="minorEastAsia"/>
          <w:noProof/>
          <w:kern w:val="2"/>
          <w:sz w:val="24"/>
          <w:szCs w:val="24"/>
          <w:lang w:val="en-US"/>
          <w14:ligatures w14:val="standardContextual"/>
        </w:rPr>
      </w:pPr>
      <w:r>
        <w:rPr>
          <w:noProof/>
          <w:lang w:eastAsia="fr-FR"/>
        </w:rPr>
        <w:t>4.3.1</w:t>
      </w:r>
      <w:r>
        <w:rPr>
          <w:rFonts w:eastAsiaTheme="minorEastAsia"/>
          <w:noProof/>
          <w:kern w:val="2"/>
          <w:sz w:val="24"/>
          <w:szCs w:val="24"/>
          <w:lang w:val="en-US"/>
          <w14:ligatures w14:val="standardContextual"/>
        </w:rPr>
        <w:tab/>
      </w:r>
      <w:r>
        <w:rPr>
          <w:noProof/>
          <w:lang w:eastAsia="fr-FR"/>
        </w:rPr>
        <w:t>Ammonia production (CRT 2B1)</w:t>
      </w:r>
      <w:r>
        <w:rPr>
          <w:noProof/>
        </w:rPr>
        <w:tab/>
      </w:r>
      <w:r>
        <w:rPr>
          <w:noProof/>
        </w:rPr>
        <w:fldChar w:fldCharType="begin"/>
      </w:r>
      <w:r>
        <w:rPr>
          <w:noProof/>
        </w:rPr>
        <w:instrText xml:space="preserve"> PAGEREF _Toc184808212 \h </w:instrText>
      </w:r>
      <w:r>
        <w:rPr>
          <w:noProof/>
        </w:rPr>
      </w:r>
      <w:r>
        <w:rPr>
          <w:noProof/>
        </w:rPr>
        <w:fldChar w:fldCharType="separate"/>
      </w:r>
      <w:r>
        <w:rPr>
          <w:noProof/>
        </w:rPr>
        <w:t>109</w:t>
      </w:r>
      <w:r>
        <w:rPr>
          <w:noProof/>
        </w:rPr>
        <w:fldChar w:fldCharType="end"/>
      </w:r>
    </w:p>
    <w:p w14:paraId="77818ED1" w14:textId="77B3083E" w:rsidR="00440D6B" w:rsidRDefault="00440D6B">
      <w:pPr>
        <w:pStyle w:val="TOC3"/>
        <w:rPr>
          <w:rFonts w:eastAsiaTheme="minorEastAsia"/>
          <w:noProof/>
          <w:kern w:val="2"/>
          <w:sz w:val="24"/>
          <w:szCs w:val="24"/>
          <w:lang w:val="en-US"/>
          <w14:ligatures w14:val="standardContextual"/>
        </w:rPr>
      </w:pPr>
      <w:r>
        <w:rPr>
          <w:noProof/>
          <w:lang w:eastAsia="fr-FR"/>
        </w:rPr>
        <w:t>4.3.2</w:t>
      </w:r>
      <w:r>
        <w:rPr>
          <w:rFonts w:eastAsiaTheme="minorEastAsia"/>
          <w:noProof/>
          <w:kern w:val="2"/>
          <w:sz w:val="24"/>
          <w:szCs w:val="24"/>
          <w:lang w:val="en-US"/>
          <w14:ligatures w14:val="standardContextual"/>
        </w:rPr>
        <w:tab/>
      </w:r>
      <w:r>
        <w:rPr>
          <w:noProof/>
          <w:lang w:eastAsia="fr-FR"/>
        </w:rPr>
        <w:t>Nitric acid production (CRT 2B2)</w:t>
      </w:r>
      <w:r>
        <w:rPr>
          <w:noProof/>
        </w:rPr>
        <w:tab/>
      </w:r>
      <w:r>
        <w:rPr>
          <w:noProof/>
        </w:rPr>
        <w:fldChar w:fldCharType="begin"/>
      </w:r>
      <w:r>
        <w:rPr>
          <w:noProof/>
        </w:rPr>
        <w:instrText xml:space="preserve"> PAGEREF _Toc184808213 \h </w:instrText>
      </w:r>
      <w:r>
        <w:rPr>
          <w:noProof/>
        </w:rPr>
      </w:r>
      <w:r>
        <w:rPr>
          <w:noProof/>
        </w:rPr>
        <w:fldChar w:fldCharType="separate"/>
      </w:r>
      <w:r>
        <w:rPr>
          <w:noProof/>
        </w:rPr>
        <w:t>110</w:t>
      </w:r>
      <w:r>
        <w:rPr>
          <w:noProof/>
        </w:rPr>
        <w:fldChar w:fldCharType="end"/>
      </w:r>
    </w:p>
    <w:p w14:paraId="4050D360" w14:textId="4352CF57" w:rsidR="00440D6B" w:rsidRDefault="00440D6B">
      <w:pPr>
        <w:pStyle w:val="TOC3"/>
        <w:rPr>
          <w:rFonts w:eastAsiaTheme="minorEastAsia"/>
          <w:noProof/>
          <w:kern w:val="2"/>
          <w:sz w:val="24"/>
          <w:szCs w:val="24"/>
          <w:lang w:val="en-US"/>
          <w14:ligatures w14:val="standardContextual"/>
        </w:rPr>
      </w:pPr>
      <w:r>
        <w:rPr>
          <w:noProof/>
          <w:lang w:eastAsia="fr-FR"/>
        </w:rPr>
        <w:t>4.3.3</w:t>
      </w:r>
      <w:r>
        <w:rPr>
          <w:rFonts w:eastAsiaTheme="minorEastAsia"/>
          <w:noProof/>
          <w:kern w:val="2"/>
          <w:sz w:val="24"/>
          <w:szCs w:val="24"/>
          <w:lang w:val="en-US"/>
          <w14:ligatures w14:val="standardContextual"/>
        </w:rPr>
        <w:tab/>
      </w:r>
      <w:r>
        <w:rPr>
          <w:noProof/>
          <w:lang w:eastAsia="fr-FR"/>
        </w:rPr>
        <w:t>Petrochemical and carbon black production (CRT 2B8)</w:t>
      </w:r>
      <w:r>
        <w:rPr>
          <w:noProof/>
        </w:rPr>
        <w:tab/>
      </w:r>
      <w:r>
        <w:rPr>
          <w:noProof/>
        </w:rPr>
        <w:fldChar w:fldCharType="begin"/>
      </w:r>
      <w:r>
        <w:rPr>
          <w:noProof/>
        </w:rPr>
        <w:instrText xml:space="preserve"> PAGEREF _Toc184808214 \h </w:instrText>
      </w:r>
      <w:r>
        <w:rPr>
          <w:noProof/>
        </w:rPr>
      </w:r>
      <w:r>
        <w:rPr>
          <w:noProof/>
        </w:rPr>
        <w:fldChar w:fldCharType="separate"/>
      </w:r>
      <w:r>
        <w:rPr>
          <w:noProof/>
        </w:rPr>
        <w:t>111</w:t>
      </w:r>
      <w:r>
        <w:rPr>
          <w:noProof/>
        </w:rPr>
        <w:fldChar w:fldCharType="end"/>
      </w:r>
    </w:p>
    <w:p w14:paraId="77C9CFA1" w14:textId="7ECF3828" w:rsidR="00440D6B" w:rsidRDefault="00440D6B">
      <w:pPr>
        <w:pStyle w:val="TOC3"/>
        <w:rPr>
          <w:rFonts w:eastAsiaTheme="minorEastAsia"/>
          <w:noProof/>
          <w:kern w:val="2"/>
          <w:sz w:val="24"/>
          <w:szCs w:val="24"/>
          <w:lang w:val="en-US"/>
          <w14:ligatures w14:val="standardContextual"/>
        </w:rPr>
      </w:pPr>
      <w:r>
        <w:rPr>
          <w:noProof/>
          <w:lang w:eastAsia="fr-FR"/>
        </w:rPr>
        <w:t>4.3.4</w:t>
      </w:r>
      <w:r>
        <w:rPr>
          <w:rFonts w:eastAsiaTheme="minorEastAsia"/>
          <w:noProof/>
          <w:kern w:val="2"/>
          <w:sz w:val="24"/>
          <w:szCs w:val="24"/>
          <w:lang w:val="en-US"/>
          <w14:ligatures w14:val="standardContextual"/>
        </w:rPr>
        <w:tab/>
      </w:r>
      <w:r>
        <w:rPr>
          <w:noProof/>
          <w:lang w:eastAsia="fr-FR"/>
        </w:rPr>
        <w:t>Other (2B10)</w:t>
      </w:r>
      <w:r>
        <w:rPr>
          <w:noProof/>
        </w:rPr>
        <w:tab/>
      </w:r>
      <w:r>
        <w:rPr>
          <w:noProof/>
        </w:rPr>
        <w:fldChar w:fldCharType="begin"/>
      </w:r>
      <w:r>
        <w:rPr>
          <w:noProof/>
        </w:rPr>
        <w:instrText xml:space="preserve"> PAGEREF _Toc184808215 \h </w:instrText>
      </w:r>
      <w:r>
        <w:rPr>
          <w:noProof/>
        </w:rPr>
      </w:r>
      <w:r>
        <w:rPr>
          <w:noProof/>
        </w:rPr>
        <w:fldChar w:fldCharType="separate"/>
      </w:r>
      <w:r>
        <w:rPr>
          <w:noProof/>
        </w:rPr>
        <w:t>113</w:t>
      </w:r>
      <w:r>
        <w:rPr>
          <w:noProof/>
        </w:rPr>
        <w:fldChar w:fldCharType="end"/>
      </w:r>
    </w:p>
    <w:p w14:paraId="142F57D1" w14:textId="44CE4626" w:rsidR="00440D6B" w:rsidRDefault="00440D6B">
      <w:pPr>
        <w:pStyle w:val="TOC3"/>
        <w:rPr>
          <w:rFonts w:eastAsiaTheme="minorEastAsia"/>
          <w:noProof/>
          <w:kern w:val="2"/>
          <w:sz w:val="24"/>
          <w:szCs w:val="24"/>
          <w:lang w:val="en-US"/>
          <w14:ligatures w14:val="standardContextual"/>
        </w:rPr>
      </w:pPr>
      <w:r>
        <w:rPr>
          <w:noProof/>
          <w:lang w:eastAsia="fr-FR"/>
        </w:rPr>
        <w:t>4.3.5</w:t>
      </w:r>
      <w:r>
        <w:rPr>
          <w:rFonts w:eastAsiaTheme="minorEastAsia"/>
          <w:noProof/>
          <w:kern w:val="2"/>
          <w:sz w:val="24"/>
          <w:szCs w:val="24"/>
          <w:lang w:val="en-US"/>
          <w14:ligatures w14:val="standardContextual"/>
        </w:rPr>
        <w:tab/>
      </w:r>
      <w:r>
        <w:rPr>
          <w:noProof/>
          <w:lang w:eastAsia="fr-FR"/>
        </w:rPr>
        <w:t>Uncertainties and time-series consistency</w:t>
      </w:r>
      <w:r>
        <w:rPr>
          <w:noProof/>
        </w:rPr>
        <w:tab/>
      </w:r>
      <w:r>
        <w:rPr>
          <w:noProof/>
        </w:rPr>
        <w:fldChar w:fldCharType="begin"/>
      </w:r>
      <w:r>
        <w:rPr>
          <w:noProof/>
        </w:rPr>
        <w:instrText xml:space="preserve"> PAGEREF _Toc184808216 \h </w:instrText>
      </w:r>
      <w:r>
        <w:rPr>
          <w:noProof/>
        </w:rPr>
      </w:r>
      <w:r>
        <w:rPr>
          <w:noProof/>
        </w:rPr>
        <w:fldChar w:fldCharType="separate"/>
      </w:r>
      <w:r>
        <w:rPr>
          <w:noProof/>
        </w:rPr>
        <w:t>114</w:t>
      </w:r>
      <w:r>
        <w:rPr>
          <w:noProof/>
        </w:rPr>
        <w:fldChar w:fldCharType="end"/>
      </w:r>
    </w:p>
    <w:p w14:paraId="77489802" w14:textId="7408F688" w:rsidR="00440D6B" w:rsidRDefault="00440D6B">
      <w:pPr>
        <w:pStyle w:val="TOC3"/>
        <w:rPr>
          <w:rFonts w:eastAsiaTheme="minorEastAsia"/>
          <w:noProof/>
          <w:kern w:val="2"/>
          <w:sz w:val="24"/>
          <w:szCs w:val="24"/>
          <w:lang w:val="en-US"/>
          <w14:ligatures w14:val="standardContextual"/>
        </w:rPr>
      </w:pPr>
      <w:r>
        <w:rPr>
          <w:noProof/>
          <w:lang w:eastAsia="fr-FR"/>
        </w:rPr>
        <w:lastRenderedPageBreak/>
        <w:t>4.3.6</w:t>
      </w:r>
      <w:r>
        <w:rPr>
          <w:rFonts w:eastAsiaTheme="minorEastAsia"/>
          <w:noProof/>
          <w:kern w:val="2"/>
          <w:sz w:val="24"/>
          <w:szCs w:val="24"/>
          <w:lang w:val="en-US"/>
          <w14:ligatures w14:val="standardContextual"/>
        </w:rPr>
        <w:tab/>
      </w:r>
      <w:r>
        <w:rPr>
          <w:noProof/>
          <w:lang w:eastAsia="fr-FR"/>
        </w:rPr>
        <w:t>Category-specific QA/QC and verification</w:t>
      </w:r>
      <w:r>
        <w:rPr>
          <w:noProof/>
        </w:rPr>
        <w:tab/>
      </w:r>
      <w:r>
        <w:rPr>
          <w:noProof/>
        </w:rPr>
        <w:fldChar w:fldCharType="begin"/>
      </w:r>
      <w:r>
        <w:rPr>
          <w:noProof/>
        </w:rPr>
        <w:instrText xml:space="preserve"> PAGEREF _Toc184808217 \h </w:instrText>
      </w:r>
      <w:r>
        <w:rPr>
          <w:noProof/>
        </w:rPr>
      </w:r>
      <w:r>
        <w:rPr>
          <w:noProof/>
        </w:rPr>
        <w:fldChar w:fldCharType="separate"/>
      </w:r>
      <w:r>
        <w:rPr>
          <w:noProof/>
        </w:rPr>
        <w:t>114</w:t>
      </w:r>
      <w:r>
        <w:rPr>
          <w:noProof/>
        </w:rPr>
        <w:fldChar w:fldCharType="end"/>
      </w:r>
    </w:p>
    <w:p w14:paraId="36FC6F93" w14:textId="41DBDBB9" w:rsidR="00440D6B" w:rsidRDefault="00440D6B">
      <w:pPr>
        <w:pStyle w:val="TOC3"/>
        <w:rPr>
          <w:rFonts w:eastAsiaTheme="minorEastAsia"/>
          <w:noProof/>
          <w:kern w:val="2"/>
          <w:sz w:val="24"/>
          <w:szCs w:val="24"/>
          <w:lang w:val="en-US"/>
          <w14:ligatures w14:val="standardContextual"/>
        </w:rPr>
      </w:pPr>
      <w:r>
        <w:rPr>
          <w:noProof/>
          <w:lang w:eastAsia="fr-FR"/>
        </w:rPr>
        <w:t>4.3.7</w:t>
      </w:r>
      <w:r>
        <w:rPr>
          <w:rFonts w:eastAsiaTheme="minorEastAsia"/>
          <w:noProof/>
          <w:kern w:val="2"/>
          <w:sz w:val="24"/>
          <w:szCs w:val="24"/>
          <w:lang w:val="en-US"/>
          <w14:ligatures w14:val="standardContextual"/>
        </w:rPr>
        <w:tab/>
      </w:r>
      <w:r>
        <w:rPr>
          <w:noProof/>
          <w:lang w:eastAsia="fr-FR"/>
        </w:rPr>
        <w:t>Category-specific recalculations</w:t>
      </w:r>
      <w:r>
        <w:rPr>
          <w:noProof/>
        </w:rPr>
        <w:tab/>
      </w:r>
      <w:r>
        <w:rPr>
          <w:noProof/>
        </w:rPr>
        <w:fldChar w:fldCharType="begin"/>
      </w:r>
      <w:r>
        <w:rPr>
          <w:noProof/>
        </w:rPr>
        <w:instrText xml:space="preserve"> PAGEREF _Toc184808218 \h </w:instrText>
      </w:r>
      <w:r>
        <w:rPr>
          <w:noProof/>
        </w:rPr>
      </w:r>
      <w:r>
        <w:rPr>
          <w:noProof/>
        </w:rPr>
        <w:fldChar w:fldCharType="separate"/>
      </w:r>
      <w:r>
        <w:rPr>
          <w:noProof/>
        </w:rPr>
        <w:t>115</w:t>
      </w:r>
      <w:r>
        <w:rPr>
          <w:noProof/>
        </w:rPr>
        <w:fldChar w:fldCharType="end"/>
      </w:r>
    </w:p>
    <w:p w14:paraId="0D513525" w14:textId="2470EEC4" w:rsidR="00440D6B" w:rsidRDefault="00440D6B">
      <w:pPr>
        <w:pStyle w:val="TOC3"/>
        <w:rPr>
          <w:rFonts w:eastAsiaTheme="minorEastAsia"/>
          <w:noProof/>
          <w:kern w:val="2"/>
          <w:sz w:val="24"/>
          <w:szCs w:val="24"/>
          <w:lang w:val="en-US"/>
          <w14:ligatures w14:val="standardContextual"/>
        </w:rPr>
      </w:pPr>
      <w:r>
        <w:rPr>
          <w:noProof/>
          <w:lang w:eastAsia="fr-FR"/>
        </w:rPr>
        <w:t>4.3.8</w:t>
      </w:r>
      <w:r>
        <w:rPr>
          <w:rFonts w:eastAsiaTheme="minorEastAsia"/>
          <w:noProof/>
          <w:kern w:val="2"/>
          <w:sz w:val="24"/>
          <w:szCs w:val="24"/>
          <w:lang w:val="en-US"/>
          <w14:ligatures w14:val="standardContextual"/>
        </w:rPr>
        <w:tab/>
      </w:r>
      <w:r>
        <w:rPr>
          <w:noProof/>
          <w:lang w:eastAsia="fr-FR"/>
        </w:rPr>
        <w:t>Category-specific planned improvements</w:t>
      </w:r>
      <w:r>
        <w:rPr>
          <w:noProof/>
        </w:rPr>
        <w:tab/>
      </w:r>
      <w:r>
        <w:rPr>
          <w:noProof/>
        </w:rPr>
        <w:fldChar w:fldCharType="begin"/>
      </w:r>
      <w:r>
        <w:rPr>
          <w:noProof/>
        </w:rPr>
        <w:instrText xml:space="preserve"> PAGEREF _Toc184808219 \h </w:instrText>
      </w:r>
      <w:r>
        <w:rPr>
          <w:noProof/>
        </w:rPr>
      </w:r>
      <w:r>
        <w:rPr>
          <w:noProof/>
        </w:rPr>
        <w:fldChar w:fldCharType="separate"/>
      </w:r>
      <w:r>
        <w:rPr>
          <w:noProof/>
        </w:rPr>
        <w:t>115</w:t>
      </w:r>
      <w:r>
        <w:rPr>
          <w:noProof/>
        </w:rPr>
        <w:fldChar w:fldCharType="end"/>
      </w:r>
    </w:p>
    <w:p w14:paraId="7F707EA4" w14:textId="1910F2CF"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4.4</w:t>
      </w:r>
      <w:r>
        <w:rPr>
          <w:rFonts w:eastAsiaTheme="minorEastAsia"/>
          <w:noProof/>
          <w:kern w:val="2"/>
          <w:sz w:val="24"/>
          <w:szCs w:val="24"/>
          <w:lang w:val="en-US"/>
          <w14:ligatures w14:val="standardContextual"/>
        </w:rPr>
        <w:tab/>
      </w:r>
      <w:r w:rsidRPr="00293C44">
        <w:rPr>
          <w:bCs/>
          <w:noProof/>
        </w:rPr>
        <w:t>Metal industry (CRT 2C)</w:t>
      </w:r>
      <w:r>
        <w:rPr>
          <w:noProof/>
        </w:rPr>
        <w:tab/>
      </w:r>
      <w:r>
        <w:rPr>
          <w:noProof/>
        </w:rPr>
        <w:fldChar w:fldCharType="begin"/>
      </w:r>
      <w:r>
        <w:rPr>
          <w:noProof/>
        </w:rPr>
        <w:instrText xml:space="preserve"> PAGEREF _Toc184808220 \h </w:instrText>
      </w:r>
      <w:r>
        <w:rPr>
          <w:noProof/>
        </w:rPr>
      </w:r>
      <w:r>
        <w:rPr>
          <w:noProof/>
        </w:rPr>
        <w:fldChar w:fldCharType="separate"/>
      </w:r>
      <w:r>
        <w:rPr>
          <w:noProof/>
        </w:rPr>
        <w:t>115</w:t>
      </w:r>
      <w:r>
        <w:rPr>
          <w:noProof/>
        </w:rPr>
        <w:fldChar w:fldCharType="end"/>
      </w:r>
    </w:p>
    <w:p w14:paraId="19B74E3F" w14:textId="0243DF25" w:rsidR="00440D6B" w:rsidRDefault="00440D6B">
      <w:pPr>
        <w:pStyle w:val="TOC3"/>
        <w:rPr>
          <w:rFonts w:eastAsiaTheme="minorEastAsia"/>
          <w:noProof/>
          <w:kern w:val="2"/>
          <w:sz w:val="24"/>
          <w:szCs w:val="24"/>
          <w:lang w:val="en-US"/>
          <w14:ligatures w14:val="standardContextual"/>
        </w:rPr>
      </w:pPr>
      <w:r>
        <w:rPr>
          <w:noProof/>
          <w:lang w:eastAsia="fr-FR"/>
        </w:rPr>
        <w:t>4.4.1</w:t>
      </w:r>
      <w:r>
        <w:rPr>
          <w:rFonts w:eastAsiaTheme="minorEastAsia"/>
          <w:noProof/>
          <w:kern w:val="2"/>
          <w:sz w:val="24"/>
          <w:szCs w:val="24"/>
          <w:lang w:val="en-US"/>
          <w14:ligatures w14:val="standardContextual"/>
        </w:rPr>
        <w:tab/>
      </w:r>
      <w:r>
        <w:rPr>
          <w:noProof/>
          <w:lang w:eastAsia="fr-FR"/>
        </w:rPr>
        <w:t>Iron and steel (CRT 2C1)</w:t>
      </w:r>
      <w:r>
        <w:rPr>
          <w:noProof/>
        </w:rPr>
        <w:tab/>
      </w:r>
      <w:r>
        <w:rPr>
          <w:noProof/>
        </w:rPr>
        <w:fldChar w:fldCharType="begin"/>
      </w:r>
      <w:r>
        <w:rPr>
          <w:noProof/>
        </w:rPr>
        <w:instrText xml:space="preserve"> PAGEREF _Toc184808221 \h </w:instrText>
      </w:r>
      <w:r>
        <w:rPr>
          <w:noProof/>
        </w:rPr>
      </w:r>
      <w:r>
        <w:rPr>
          <w:noProof/>
        </w:rPr>
        <w:fldChar w:fldCharType="separate"/>
      </w:r>
      <w:r>
        <w:rPr>
          <w:noProof/>
        </w:rPr>
        <w:t>116</w:t>
      </w:r>
      <w:r>
        <w:rPr>
          <w:noProof/>
        </w:rPr>
        <w:fldChar w:fldCharType="end"/>
      </w:r>
    </w:p>
    <w:p w14:paraId="28417352" w14:textId="4928EC86" w:rsidR="00440D6B" w:rsidRDefault="00440D6B">
      <w:pPr>
        <w:pStyle w:val="TOC3"/>
        <w:rPr>
          <w:rFonts w:eastAsiaTheme="minorEastAsia"/>
          <w:noProof/>
          <w:kern w:val="2"/>
          <w:sz w:val="24"/>
          <w:szCs w:val="24"/>
          <w:lang w:val="en-US"/>
          <w14:ligatures w14:val="standardContextual"/>
        </w:rPr>
      </w:pPr>
      <w:r>
        <w:rPr>
          <w:noProof/>
        </w:rPr>
        <w:t>4.4.2</w:t>
      </w:r>
      <w:r>
        <w:rPr>
          <w:rFonts w:eastAsiaTheme="minorEastAsia"/>
          <w:noProof/>
          <w:kern w:val="2"/>
          <w:sz w:val="24"/>
          <w:szCs w:val="24"/>
          <w:lang w:val="en-US"/>
          <w14:ligatures w14:val="standardContextual"/>
        </w:rPr>
        <w:tab/>
      </w:r>
      <w:r>
        <w:rPr>
          <w:noProof/>
        </w:rPr>
        <w:t>Magnesium production (CRT 2C4)</w:t>
      </w:r>
      <w:r>
        <w:rPr>
          <w:noProof/>
        </w:rPr>
        <w:tab/>
      </w:r>
      <w:r>
        <w:rPr>
          <w:noProof/>
        </w:rPr>
        <w:fldChar w:fldCharType="begin"/>
      </w:r>
      <w:r>
        <w:rPr>
          <w:noProof/>
        </w:rPr>
        <w:instrText xml:space="preserve"> PAGEREF _Toc184808222 \h </w:instrText>
      </w:r>
      <w:r>
        <w:rPr>
          <w:noProof/>
        </w:rPr>
      </w:r>
      <w:r>
        <w:rPr>
          <w:noProof/>
        </w:rPr>
        <w:fldChar w:fldCharType="separate"/>
      </w:r>
      <w:r>
        <w:rPr>
          <w:noProof/>
        </w:rPr>
        <w:t>119</w:t>
      </w:r>
      <w:r>
        <w:rPr>
          <w:noProof/>
        </w:rPr>
        <w:fldChar w:fldCharType="end"/>
      </w:r>
    </w:p>
    <w:p w14:paraId="71F1DF9C" w14:textId="5956ED15"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4.5</w:t>
      </w:r>
      <w:r>
        <w:rPr>
          <w:rFonts w:eastAsiaTheme="minorEastAsia"/>
          <w:noProof/>
          <w:kern w:val="2"/>
          <w:sz w:val="24"/>
          <w:szCs w:val="24"/>
          <w:lang w:val="en-US"/>
          <w14:ligatures w14:val="standardContextual"/>
        </w:rPr>
        <w:tab/>
      </w:r>
      <w:r>
        <w:rPr>
          <w:noProof/>
        </w:rPr>
        <w:t>Lead production (CRT 2C5)</w:t>
      </w:r>
      <w:r>
        <w:rPr>
          <w:noProof/>
        </w:rPr>
        <w:tab/>
      </w:r>
      <w:r>
        <w:rPr>
          <w:noProof/>
        </w:rPr>
        <w:fldChar w:fldCharType="begin"/>
      </w:r>
      <w:r>
        <w:rPr>
          <w:noProof/>
        </w:rPr>
        <w:instrText xml:space="preserve"> PAGEREF _Toc184808223 \h </w:instrText>
      </w:r>
      <w:r>
        <w:rPr>
          <w:noProof/>
        </w:rPr>
      </w:r>
      <w:r>
        <w:rPr>
          <w:noProof/>
        </w:rPr>
        <w:fldChar w:fldCharType="separate"/>
      </w:r>
      <w:r>
        <w:rPr>
          <w:noProof/>
        </w:rPr>
        <w:t>120</w:t>
      </w:r>
      <w:r>
        <w:rPr>
          <w:noProof/>
        </w:rPr>
        <w:fldChar w:fldCharType="end"/>
      </w:r>
    </w:p>
    <w:p w14:paraId="671C672B" w14:textId="3884BE09"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4.6</w:t>
      </w:r>
      <w:r>
        <w:rPr>
          <w:rFonts w:eastAsiaTheme="minorEastAsia"/>
          <w:noProof/>
          <w:kern w:val="2"/>
          <w:sz w:val="24"/>
          <w:szCs w:val="24"/>
          <w:lang w:val="en-US"/>
          <w14:ligatures w14:val="standardContextual"/>
        </w:rPr>
        <w:tab/>
      </w:r>
      <w:r w:rsidRPr="00293C44">
        <w:rPr>
          <w:noProof/>
        </w:rPr>
        <w:t>Zinc production (CRT 2C6)</w:t>
      </w:r>
      <w:r>
        <w:rPr>
          <w:noProof/>
        </w:rPr>
        <w:tab/>
      </w:r>
      <w:r>
        <w:rPr>
          <w:noProof/>
        </w:rPr>
        <w:fldChar w:fldCharType="begin"/>
      </w:r>
      <w:r>
        <w:rPr>
          <w:noProof/>
        </w:rPr>
        <w:instrText xml:space="preserve"> PAGEREF _Toc184808224 \h </w:instrText>
      </w:r>
      <w:r>
        <w:rPr>
          <w:noProof/>
        </w:rPr>
      </w:r>
      <w:r>
        <w:rPr>
          <w:noProof/>
        </w:rPr>
        <w:fldChar w:fldCharType="separate"/>
      </w:r>
      <w:r>
        <w:rPr>
          <w:noProof/>
        </w:rPr>
        <w:t>120</w:t>
      </w:r>
      <w:r>
        <w:rPr>
          <w:noProof/>
        </w:rPr>
        <w:fldChar w:fldCharType="end"/>
      </w:r>
    </w:p>
    <w:p w14:paraId="47AED46E" w14:textId="30DF32D2" w:rsidR="00440D6B" w:rsidRDefault="00440D6B">
      <w:pPr>
        <w:pStyle w:val="TOC3"/>
        <w:rPr>
          <w:rFonts w:eastAsiaTheme="minorEastAsia"/>
          <w:noProof/>
          <w:kern w:val="2"/>
          <w:sz w:val="24"/>
          <w:szCs w:val="24"/>
          <w:lang w:val="en-US"/>
          <w14:ligatures w14:val="standardContextual"/>
        </w:rPr>
      </w:pPr>
      <w:r>
        <w:rPr>
          <w:noProof/>
          <w:lang w:eastAsia="fr-FR"/>
        </w:rPr>
        <w:t>4.6.2</w:t>
      </w:r>
      <w:r>
        <w:rPr>
          <w:rFonts w:eastAsiaTheme="minorEastAsia"/>
          <w:noProof/>
          <w:kern w:val="2"/>
          <w:sz w:val="24"/>
          <w:szCs w:val="24"/>
          <w:lang w:val="en-US"/>
          <w14:ligatures w14:val="standardContextual"/>
        </w:rPr>
        <w:tab/>
      </w:r>
      <w:r>
        <w:rPr>
          <w:noProof/>
          <w:lang w:eastAsia="fr-FR"/>
        </w:rPr>
        <w:t>Uncertainties and time-series consistency</w:t>
      </w:r>
      <w:r>
        <w:rPr>
          <w:noProof/>
        </w:rPr>
        <w:tab/>
      </w:r>
      <w:r>
        <w:rPr>
          <w:noProof/>
        </w:rPr>
        <w:fldChar w:fldCharType="begin"/>
      </w:r>
      <w:r>
        <w:rPr>
          <w:noProof/>
        </w:rPr>
        <w:instrText xml:space="preserve"> PAGEREF _Toc184808225 \h </w:instrText>
      </w:r>
      <w:r>
        <w:rPr>
          <w:noProof/>
        </w:rPr>
      </w:r>
      <w:r>
        <w:rPr>
          <w:noProof/>
        </w:rPr>
        <w:fldChar w:fldCharType="separate"/>
      </w:r>
      <w:r>
        <w:rPr>
          <w:noProof/>
        </w:rPr>
        <w:t>121</w:t>
      </w:r>
      <w:r>
        <w:rPr>
          <w:noProof/>
        </w:rPr>
        <w:fldChar w:fldCharType="end"/>
      </w:r>
    </w:p>
    <w:p w14:paraId="19186AD0" w14:textId="618581A6" w:rsidR="00440D6B" w:rsidRDefault="00440D6B">
      <w:pPr>
        <w:pStyle w:val="TOC3"/>
        <w:rPr>
          <w:rFonts w:eastAsiaTheme="minorEastAsia"/>
          <w:noProof/>
          <w:kern w:val="2"/>
          <w:sz w:val="24"/>
          <w:szCs w:val="24"/>
          <w:lang w:val="en-US"/>
          <w14:ligatures w14:val="standardContextual"/>
        </w:rPr>
      </w:pPr>
      <w:r>
        <w:rPr>
          <w:noProof/>
          <w:lang w:eastAsia="fr-FR"/>
        </w:rPr>
        <w:t>4.6.3</w:t>
      </w:r>
      <w:r>
        <w:rPr>
          <w:rFonts w:eastAsiaTheme="minorEastAsia"/>
          <w:noProof/>
          <w:kern w:val="2"/>
          <w:sz w:val="24"/>
          <w:szCs w:val="24"/>
          <w:lang w:val="en-US"/>
          <w14:ligatures w14:val="standardContextual"/>
        </w:rPr>
        <w:tab/>
      </w:r>
      <w:r>
        <w:rPr>
          <w:noProof/>
          <w:lang w:eastAsia="fr-FR"/>
        </w:rPr>
        <w:t>Category-specific QA/QC and verification</w:t>
      </w:r>
      <w:r>
        <w:rPr>
          <w:noProof/>
        </w:rPr>
        <w:tab/>
      </w:r>
      <w:r>
        <w:rPr>
          <w:noProof/>
        </w:rPr>
        <w:fldChar w:fldCharType="begin"/>
      </w:r>
      <w:r>
        <w:rPr>
          <w:noProof/>
        </w:rPr>
        <w:instrText xml:space="preserve"> PAGEREF _Toc184808226 \h </w:instrText>
      </w:r>
      <w:r>
        <w:rPr>
          <w:noProof/>
        </w:rPr>
      </w:r>
      <w:r>
        <w:rPr>
          <w:noProof/>
        </w:rPr>
        <w:fldChar w:fldCharType="separate"/>
      </w:r>
      <w:r>
        <w:rPr>
          <w:noProof/>
        </w:rPr>
        <w:t>122</w:t>
      </w:r>
      <w:r>
        <w:rPr>
          <w:noProof/>
        </w:rPr>
        <w:fldChar w:fldCharType="end"/>
      </w:r>
    </w:p>
    <w:p w14:paraId="58C661C9" w14:textId="3244E9E8" w:rsidR="00440D6B" w:rsidRDefault="00440D6B">
      <w:pPr>
        <w:pStyle w:val="TOC3"/>
        <w:rPr>
          <w:rFonts w:eastAsiaTheme="minorEastAsia"/>
          <w:noProof/>
          <w:kern w:val="2"/>
          <w:sz w:val="24"/>
          <w:szCs w:val="24"/>
          <w:lang w:val="en-US"/>
          <w14:ligatures w14:val="standardContextual"/>
        </w:rPr>
      </w:pPr>
      <w:r>
        <w:rPr>
          <w:noProof/>
          <w:lang w:eastAsia="fr-FR"/>
        </w:rPr>
        <w:t>4.6.4</w:t>
      </w:r>
      <w:r>
        <w:rPr>
          <w:rFonts w:eastAsiaTheme="minorEastAsia"/>
          <w:noProof/>
          <w:kern w:val="2"/>
          <w:sz w:val="24"/>
          <w:szCs w:val="24"/>
          <w:lang w:val="en-US"/>
          <w14:ligatures w14:val="standardContextual"/>
        </w:rPr>
        <w:tab/>
      </w:r>
      <w:r>
        <w:rPr>
          <w:noProof/>
          <w:lang w:eastAsia="fr-FR"/>
        </w:rPr>
        <w:t>Category-specific recalculations</w:t>
      </w:r>
      <w:r>
        <w:rPr>
          <w:noProof/>
        </w:rPr>
        <w:tab/>
      </w:r>
      <w:r>
        <w:rPr>
          <w:noProof/>
        </w:rPr>
        <w:fldChar w:fldCharType="begin"/>
      </w:r>
      <w:r>
        <w:rPr>
          <w:noProof/>
        </w:rPr>
        <w:instrText xml:space="preserve"> PAGEREF _Toc184808227 \h </w:instrText>
      </w:r>
      <w:r>
        <w:rPr>
          <w:noProof/>
        </w:rPr>
      </w:r>
      <w:r>
        <w:rPr>
          <w:noProof/>
        </w:rPr>
        <w:fldChar w:fldCharType="separate"/>
      </w:r>
      <w:r>
        <w:rPr>
          <w:noProof/>
        </w:rPr>
        <w:t>122</w:t>
      </w:r>
      <w:r>
        <w:rPr>
          <w:noProof/>
        </w:rPr>
        <w:fldChar w:fldCharType="end"/>
      </w:r>
    </w:p>
    <w:p w14:paraId="4DA24D03" w14:textId="25281546" w:rsidR="00440D6B" w:rsidRDefault="00440D6B">
      <w:pPr>
        <w:pStyle w:val="TOC3"/>
        <w:rPr>
          <w:rFonts w:eastAsiaTheme="minorEastAsia"/>
          <w:noProof/>
          <w:kern w:val="2"/>
          <w:sz w:val="24"/>
          <w:szCs w:val="24"/>
          <w:lang w:val="en-US"/>
          <w14:ligatures w14:val="standardContextual"/>
        </w:rPr>
      </w:pPr>
      <w:r>
        <w:rPr>
          <w:noProof/>
          <w:lang w:eastAsia="fr-FR"/>
        </w:rPr>
        <w:t>4.6.5</w:t>
      </w:r>
      <w:r>
        <w:rPr>
          <w:rFonts w:eastAsiaTheme="minorEastAsia"/>
          <w:noProof/>
          <w:kern w:val="2"/>
          <w:sz w:val="24"/>
          <w:szCs w:val="24"/>
          <w:lang w:val="en-US"/>
          <w14:ligatures w14:val="standardContextual"/>
        </w:rPr>
        <w:tab/>
      </w:r>
      <w:r>
        <w:rPr>
          <w:noProof/>
          <w:lang w:eastAsia="fr-FR"/>
        </w:rPr>
        <w:t>Category-specific planned improvements</w:t>
      </w:r>
      <w:r>
        <w:rPr>
          <w:noProof/>
        </w:rPr>
        <w:tab/>
      </w:r>
      <w:r>
        <w:rPr>
          <w:noProof/>
        </w:rPr>
        <w:fldChar w:fldCharType="begin"/>
      </w:r>
      <w:r>
        <w:rPr>
          <w:noProof/>
        </w:rPr>
        <w:instrText xml:space="preserve"> PAGEREF _Toc184808228 \h </w:instrText>
      </w:r>
      <w:r>
        <w:rPr>
          <w:noProof/>
        </w:rPr>
      </w:r>
      <w:r>
        <w:rPr>
          <w:noProof/>
        </w:rPr>
        <w:fldChar w:fldCharType="separate"/>
      </w:r>
      <w:r>
        <w:rPr>
          <w:noProof/>
        </w:rPr>
        <w:t>122</w:t>
      </w:r>
      <w:r>
        <w:rPr>
          <w:noProof/>
        </w:rPr>
        <w:fldChar w:fldCharType="end"/>
      </w:r>
    </w:p>
    <w:p w14:paraId="667142A1" w14:textId="46ECD150"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4.7</w:t>
      </w:r>
      <w:r>
        <w:rPr>
          <w:rFonts w:eastAsiaTheme="minorEastAsia"/>
          <w:noProof/>
          <w:kern w:val="2"/>
          <w:sz w:val="24"/>
          <w:szCs w:val="24"/>
          <w:lang w:val="en-US"/>
          <w14:ligatures w14:val="standardContextual"/>
        </w:rPr>
        <w:tab/>
      </w:r>
      <w:r>
        <w:rPr>
          <w:noProof/>
        </w:rPr>
        <w:t>Non-energy products from fuels and solvent use (CRT 2D)</w:t>
      </w:r>
      <w:r>
        <w:rPr>
          <w:noProof/>
        </w:rPr>
        <w:tab/>
      </w:r>
      <w:r>
        <w:rPr>
          <w:noProof/>
        </w:rPr>
        <w:fldChar w:fldCharType="begin"/>
      </w:r>
      <w:r>
        <w:rPr>
          <w:noProof/>
        </w:rPr>
        <w:instrText xml:space="preserve"> PAGEREF _Toc184808229 \h </w:instrText>
      </w:r>
      <w:r>
        <w:rPr>
          <w:noProof/>
        </w:rPr>
      </w:r>
      <w:r>
        <w:rPr>
          <w:noProof/>
        </w:rPr>
        <w:fldChar w:fldCharType="separate"/>
      </w:r>
      <w:r>
        <w:rPr>
          <w:noProof/>
        </w:rPr>
        <w:t>122</w:t>
      </w:r>
      <w:r>
        <w:rPr>
          <w:noProof/>
        </w:rPr>
        <w:fldChar w:fldCharType="end"/>
      </w:r>
    </w:p>
    <w:p w14:paraId="221612D3" w14:textId="65C98D85" w:rsidR="00440D6B" w:rsidRDefault="00440D6B">
      <w:pPr>
        <w:pStyle w:val="TOC3"/>
        <w:rPr>
          <w:rFonts w:eastAsiaTheme="minorEastAsia"/>
          <w:noProof/>
          <w:kern w:val="2"/>
          <w:sz w:val="24"/>
          <w:szCs w:val="24"/>
          <w:lang w:val="en-US"/>
          <w14:ligatures w14:val="standardContextual"/>
        </w:rPr>
      </w:pPr>
      <w:r>
        <w:rPr>
          <w:noProof/>
          <w:lang w:eastAsia="fr-FR"/>
        </w:rPr>
        <w:t>4.7.1</w:t>
      </w:r>
      <w:r>
        <w:rPr>
          <w:rFonts w:eastAsiaTheme="minorEastAsia"/>
          <w:noProof/>
          <w:kern w:val="2"/>
          <w:sz w:val="24"/>
          <w:szCs w:val="24"/>
          <w:lang w:val="en-US"/>
          <w14:ligatures w14:val="standardContextual"/>
        </w:rPr>
        <w:tab/>
      </w:r>
      <w:r>
        <w:rPr>
          <w:noProof/>
          <w:lang w:eastAsia="fr-FR"/>
        </w:rPr>
        <w:t>Lubricant use (CRT 2D1)</w:t>
      </w:r>
      <w:r>
        <w:rPr>
          <w:noProof/>
        </w:rPr>
        <w:tab/>
      </w:r>
      <w:r>
        <w:rPr>
          <w:noProof/>
        </w:rPr>
        <w:fldChar w:fldCharType="begin"/>
      </w:r>
      <w:r>
        <w:rPr>
          <w:noProof/>
        </w:rPr>
        <w:instrText xml:space="preserve"> PAGEREF _Toc184808230 \h </w:instrText>
      </w:r>
      <w:r>
        <w:rPr>
          <w:noProof/>
        </w:rPr>
      </w:r>
      <w:r>
        <w:rPr>
          <w:noProof/>
        </w:rPr>
        <w:fldChar w:fldCharType="separate"/>
      </w:r>
      <w:r>
        <w:rPr>
          <w:noProof/>
        </w:rPr>
        <w:t>123</w:t>
      </w:r>
      <w:r>
        <w:rPr>
          <w:noProof/>
        </w:rPr>
        <w:fldChar w:fldCharType="end"/>
      </w:r>
    </w:p>
    <w:p w14:paraId="43DCF78D" w14:textId="2601AAA5" w:rsidR="00440D6B" w:rsidRDefault="00440D6B">
      <w:pPr>
        <w:pStyle w:val="TOC3"/>
        <w:rPr>
          <w:rFonts w:eastAsiaTheme="minorEastAsia"/>
          <w:noProof/>
          <w:kern w:val="2"/>
          <w:sz w:val="24"/>
          <w:szCs w:val="24"/>
          <w:lang w:val="en-US"/>
          <w14:ligatures w14:val="standardContextual"/>
        </w:rPr>
      </w:pPr>
      <w:r>
        <w:rPr>
          <w:noProof/>
          <w:lang w:eastAsia="fr-FR"/>
        </w:rPr>
        <w:t>4.7.2</w:t>
      </w:r>
      <w:r>
        <w:rPr>
          <w:rFonts w:eastAsiaTheme="minorEastAsia"/>
          <w:noProof/>
          <w:kern w:val="2"/>
          <w:sz w:val="24"/>
          <w:szCs w:val="24"/>
          <w:lang w:val="en-US"/>
          <w14:ligatures w14:val="standardContextual"/>
        </w:rPr>
        <w:tab/>
      </w:r>
      <w:r>
        <w:rPr>
          <w:noProof/>
          <w:lang w:eastAsia="fr-FR"/>
        </w:rPr>
        <w:t>Paraffin wax use (CRT 2D2)</w:t>
      </w:r>
      <w:r>
        <w:rPr>
          <w:noProof/>
        </w:rPr>
        <w:tab/>
      </w:r>
      <w:r>
        <w:rPr>
          <w:noProof/>
        </w:rPr>
        <w:fldChar w:fldCharType="begin"/>
      </w:r>
      <w:r>
        <w:rPr>
          <w:noProof/>
        </w:rPr>
        <w:instrText xml:space="preserve"> PAGEREF _Toc184808231 \h </w:instrText>
      </w:r>
      <w:r>
        <w:rPr>
          <w:noProof/>
        </w:rPr>
      </w:r>
      <w:r>
        <w:rPr>
          <w:noProof/>
        </w:rPr>
        <w:fldChar w:fldCharType="separate"/>
      </w:r>
      <w:r>
        <w:rPr>
          <w:noProof/>
        </w:rPr>
        <w:t>124</w:t>
      </w:r>
      <w:r>
        <w:rPr>
          <w:noProof/>
        </w:rPr>
        <w:fldChar w:fldCharType="end"/>
      </w:r>
    </w:p>
    <w:p w14:paraId="0F11C055" w14:textId="417F77A7" w:rsidR="00440D6B" w:rsidRDefault="00440D6B">
      <w:pPr>
        <w:pStyle w:val="TOC3"/>
        <w:rPr>
          <w:rFonts w:eastAsiaTheme="minorEastAsia"/>
          <w:noProof/>
          <w:kern w:val="2"/>
          <w:sz w:val="24"/>
          <w:szCs w:val="24"/>
          <w:lang w:val="en-US"/>
          <w14:ligatures w14:val="standardContextual"/>
        </w:rPr>
      </w:pPr>
      <w:r>
        <w:rPr>
          <w:noProof/>
          <w:lang w:eastAsia="fr-FR"/>
        </w:rPr>
        <w:t>4.7.3</w:t>
      </w:r>
      <w:r>
        <w:rPr>
          <w:rFonts w:eastAsiaTheme="minorEastAsia"/>
          <w:noProof/>
          <w:kern w:val="2"/>
          <w:sz w:val="24"/>
          <w:szCs w:val="24"/>
          <w:lang w:val="en-US"/>
          <w14:ligatures w14:val="standardContextual"/>
        </w:rPr>
        <w:tab/>
      </w:r>
      <w:r>
        <w:rPr>
          <w:noProof/>
          <w:lang w:eastAsia="fr-FR"/>
        </w:rPr>
        <w:t>Solvent use (CRT 2D3)</w:t>
      </w:r>
      <w:r>
        <w:rPr>
          <w:noProof/>
        </w:rPr>
        <w:tab/>
      </w:r>
      <w:r>
        <w:rPr>
          <w:noProof/>
        </w:rPr>
        <w:fldChar w:fldCharType="begin"/>
      </w:r>
      <w:r>
        <w:rPr>
          <w:noProof/>
        </w:rPr>
        <w:instrText xml:space="preserve"> PAGEREF _Toc184808232 \h </w:instrText>
      </w:r>
      <w:r>
        <w:rPr>
          <w:noProof/>
        </w:rPr>
      </w:r>
      <w:r>
        <w:rPr>
          <w:noProof/>
        </w:rPr>
        <w:fldChar w:fldCharType="separate"/>
      </w:r>
      <w:r>
        <w:rPr>
          <w:noProof/>
        </w:rPr>
        <w:t>124</w:t>
      </w:r>
      <w:r>
        <w:rPr>
          <w:noProof/>
        </w:rPr>
        <w:fldChar w:fldCharType="end"/>
      </w:r>
    </w:p>
    <w:p w14:paraId="370C23C4" w14:textId="0237C08A" w:rsidR="00440D6B" w:rsidRDefault="00440D6B">
      <w:pPr>
        <w:pStyle w:val="TOC3"/>
        <w:rPr>
          <w:rFonts w:eastAsiaTheme="minorEastAsia"/>
          <w:noProof/>
          <w:kern w:val="2"/>
          <w:sz w:val="24"/>
          <w:szCs w:val="24"/>
          <w:lang w:val="en-US"/>
          <w14:ligatures w14:val="standardContextual"/>
        </w:rPr>
      </w:pPr>
      <w:r>
        <w:rPr>
          <w:noProof/>
          <w:lang w:eastAsia="fr-FR"/>
        </w:rPr>
        <w:t>4.7.4</w:t>
      </w:r>
      <w:r>
        <w:rPr>
          <w:rFonts w:eastAsiaTheme="minorEastAsia"/>
          <w:noProof/>
          <w:kern w:val="2"/>
          <w:sz w:val="24"/>
          <w:szCs w:val="24"/>
          <w:lang w:val="en-US"/>
          <w14:ligatures w14:val="standardContextual"/>
        </w:rPr>
        <w:tab/>
      </w:r>
      <w:r>
        <w:rPr>
          <w:noProof/>
          <w:lang w:eastAsia="fr-FR"/>
        </w:rPr>
        <w:t>Uncertainties and time-series consistency</w:t>
      </w:r>
      <w:r>
        <w:rPr>
          <w:noProof/>
        </w:rPr>
        <w:tab/>
      </w:r>
      <w:r>
        <w:rPr>
          <w:noProof/>
        </w:rPr>
        <w:fldChar w:fldCharType="begin"/>
      </w:r>
      <w:r>
        <w:rPr>
          <w:noProof/>
        </w:rPr>
        <w:instrText xml:space="preserve"> PAGEREF _Toc184808233 \h </w:instrText>
      </w:r>
      <w:r>
        <w:rPr>
          <w:noProof/>
        </w:rPr>
      </w:r>
      <w:r>
        <w:rPr>
          <w:noProof/>
        </w:rPr>
        <w:fldChar w:fldCharType="separate"/>
      </w:r>
      <w:r>
        <w:rPr>
          <w:noProof/>
        </w:rPr>
        <w:t>125</w:t>
      </w:r>
      <w:r>
        <w:rPr>
          <w:noProof/>
        </w:rPr>
        <w:fldChar w:fldCharType="end"/>
      </w:r>
    </w:p>
    <w:p w14:paraId="67C4FA74" w14:textId="5304014A" w:rsidR="00440D6B" w:rsidRDefault="00440D6B">
      <w:pPr>
        <w:pStyle w:val="TOC3"/>
        <w:rPr>
          <w:rFonts w:eastAsiaTheme="minorEastAsia"/>
          <w:noProof/>
          <w:kern w:val="2"/>
          <w:sz w:val="24"/>
          <w:szCs w:val="24"/>
          <w:lang w:val="en-US"/>
          <w14:ligatures w14:val="standardContextual"/>
        </w:rPr>
      </w:pPr>
      <w:r>
        <w:rPr>
          <w:noProof/>
          <w:lang w:eastAsia="fr-FR"/>
        </w:rPr>
        <w:t>4.7.5</w:t>
      </w:r>
      <w:r>
        <w:rPr>
          <w:rFonts w:eastAsiaTheme="minorEastAsia"/>
          <w:noProof/>
          <w:kern w:val="2"/>
          <w:sz w:val="24"/>
          <w:szCs w:val="24"/>
          <w:lang w:val="en-US"/>
          <w14:ligatures w14:val="standardContextual"/>
        </w:rPr>
        <w:tab/>
      </w:r>
      <w:r>
        <w:rPr>
          <w:noProof/>
          <w:lang w:eastAsia="fr-FR"/>
        </w:rPr>
        <w:t>Category-specific QA/QC and verification</w:t>
      </w:r>
      <w:r>
        <w:rPr>
          <w:noProof/>
        </w:rPr>
        <w:tab/>
      </w:r>
      <w:r>
        <w:rPr>
          <w:noProof/>
        </w:rPr>
        <w:fldChar w:fldCharType="begin"/>
      </w:r>
      <w:r>
        <w:rPr>
          <w:noProof/>
        </w:rPr>
        <w:instrText xml:space="preserve"> PAGEREF _Toc184808234 \h </w:instrText>
      </w:r>
      <w:r>
        <w:rPr>
          <w:noProof/>
        </w:rPr>
      </w:r>
      <w:r>
        <w:rPr>
          <w:noProof/>
        </w:rPr>
        <w:fldChar w:fldCharType="separate"/>
      </w:r>
      <w:r>
        <w:rPr>
          <w:noProof/>
        </w:rPr>
        <w:t>125</w:t>
      </w:r>
      <w:r>
        <w:rPr>
          <w:noProof/>
        </w:rPr>
        <w:fldChar w:fldCharType="end"/>
      </w:r>
    </w:p>
    <w:p w14:paraId="0AC935B2" w14:textId="3DA83BEC" w:rsidR="00440D6B" w:rsidRDefault="00440D6B">
      <w:pPr>
        <w:pStyle w:val="TOC3"/>
        <w:rPr>
          <w:rFonts w:eastAsiaTheme="minorEastAsia"/>
          <w:noProof/>
          <w:kern w:val="2"/>
          <w:sz w:val="24"/>
          <w:szCs w:val="24"/>
          <w:lang w:val="en-US"/>
          <w14:ligatures w14:val="standardContextual"/>
        </w:rPr>
      </w:pPr>
      <w:r>
        <w:rPr>
          <w:noProof/>
          <w:lang w:eastAsia="fr-FR"/>
        </w:rPr>
        <w:t>4.7.6</w:t>
      </w:r>
      <w:r>
        <w:rPr>
          <w:rFonts w:eastAsiaTheme="minorEastAsia"/>
          <w:noProof/>
          <w:kern w:val="2"/>
          <w:sz w:val="24"/>
          <w:szCs w:val="24"/>
          <w:lang w:val="en-US"/>
          <w14:ligatures w14:val="standardContextual"/>
        </w:rPr>
        <w:tab/>
      </w:r>
      <w:r>
        <w:rPr>
          <w:noProof/>
          <w:lang w:eastAsia="fr-FR"/>
        </w:rPr>
        <w:t>Category-specific recalculations</w:t>
      </w:r>
      <w:r>
        <w:rPr>
          <w:noProof/>
        </w:rPr>
        <w:tab/>
      </w:r>
      <w:r>
        <w:rPr>
          <w:noProof/>
        </w:rPr>
        <w:fldChar w:fldCharType="begin"/>
      </w:r>
      <w:r>
        <w:rPr>
          <w:noProof/>
        </w:rPr>
        <w:instrText xml:space="preserve"> PAGEREF _Toc184808235 \h </w:instrText>
      </w:r>
      <w:r>
        <w:rPr>
          <w:noProof/>
        </w:rPr>
      </w:r>
      <w:r>
        <w:rPr>
          <w:noProof/>
        </w:rPr>
        <w:fldChar w:fldCharType="separate"/>
      </w:r>
      <w:r>
        <w:rPr>
          <w:noProof/>
        </w:rPr>
        <w:t>126</w:t>
      </w:r>
      <w:r>
        <w:rPr>
          <w:noProof/>
        </w:rPr>
        <w:fldChar w:fldCharType="end"/>
      </w:r>
    </w:p>
    <w:p w14:paraId="641DA350" w14:textId="0213EB63" w:rsidR="00440D6B" w:rsidRDefault="00440D6B">
      <w:pPr>
        <w:pStyle w:val="TOC3"/>
        <w:rPr>
          <w:rFonts w:eastAsiaTheme="minorEastAsia"/>
          <w:noProof/>
          <w:kern w:val="2"/>
          <w:sz w:val="24"/>
          <w:szCs w:val="24"/>
          <w:lang w:val="en-US"/>
          <w14:ligatures w14:val="standardContextual"/>
        </w:rPr>
      </w:pPr>
      <w:r>
        <w:rPr>
          <w:noProof/>
          <w:lang w:eastAsia="fr-FR"/>
        </w:rPr>
        <w:t>4.7.7</w:t>
      </w:r>
      <w:r>
        <w:rPr>
          <w:rFonts w:eastAsiaTheme="minorEastAsia"/>
          <w:noProof/>
          <w:kern w:val="2"/>
          <w:sz w:val="24"/>
          <w:szCs w:val="24"/>
          <w:lang w:val="en-US"/>
          <w14:ligatures w14:val="standardContextual"/>
        </w:rPr>
        <w:tab/>
      </w:r>
      <w:r>
        <w:rPr>
          <w:noProof/>
          <w:lang w:eastAsia="fr-FR"/>
        </w:rPr>
        <w:t>Category-specific planned improvements</w:t>
      </w:r>
      <w:r>
        <w:rPr>
          <w:noProof/>
        </w:rPr>
        <w:tab/>
      </w:r>
      <w:r>
        <w:rPr>
          <w:noProof/>
        </w:rPr>
        <w:fldChar w:fldCharType="begin"/>
      </w:r>
      <w:r>
        <w:rPr>
          <w:noProof/>
        </w:rPr>
        <w:instrText xml:space="preserve"> PAGEREF _Toc184808236 \h </w:instrText>
      </w:r>
      <w:r>
        <w:rPr>
          <w:noProof/>
        </w:rPr>
      </w:r>
      <w:r>
        <w:rPr>
          <w:noProof/>
        </w:rPr>
        <w:fldChar w:fldCharType="separate"/>
      </w:r>
      <w:r>
        <w:rPr>
          <w:noProof/>
        </w:rPr>
        <w:t>126</w:t>
      </w:r>
      <w:r>
        <w:rPr>
          <w:noProof/>
        </w:rPr>
        <w:fldChar w:fldCharType="end"/>
      </w:r>
    </w:p>
    <w:p w14:paraId="600F0FFF" w14:textId="726FE1E5"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4.8</w:t>
      </w:r>
      <w:r>
        <w:rPr>
          <w:rFonts w:eastAsiaTheme="minorEastAsia"/>
          <w:noProof/>
          <w:kern w:val="2"/>
          <w:sz w:val="24"/>
          <w:szCs w:val="24"/>
          <w:lang w:val="en-US"/>
          <w14:ligatures w14:val="standardContextual"/>
        </w:rPr>
        <w:tab/>
      </w:r>
      <w:r w:rsidRPr="00293C44">
        <w:rPr>
          <w:bCs/>
          <w:noProof/>
        </w:rPr>
        <w:t>Product uses as substitutes for ODS (CRT 2F)</w:t>
      </w:r>
      <w:r>
        <w:rPr>
          <w:noProof/>
        </w:rPr>
        <w:tab/>
      </w:r>
      <w:r>
        <w:rPr>
          <w:noProof/>
        </w:rPr>
        <w:fldChar w:fldCharType="begin"/>
      </w:r>
      <w:r>
        <w:rPr>
          <w:noProof/>
        </w:rPr>
        <w:instrText xml:space="preserve"> PAGEREF _Toc184808238 \h </w:instrText>
      </w:r>
      <w:r>
        <w:rPr>
          <w:noProof/>
        </w:rPr>
      </w:r>
      <w:r>
        <w:rPr>
          <w:noProof/>
        </w:rPr>
        <w:fldChar w:fldCharType="separate"/>
      </w:r>
      <w:r>
        <w:rPr>
          <w:noProof/>
        </w:rPr>
        <w:t>126</w:t>
      </w:r>
      <w:r>
        <w:rPr>
          <w:noProof/>
        </w:rPr>
        <w:fldChar w:fldCharType="end"/>
      </w:r>
    </w:p>
    <w:p w14:paraId="3CE5A4F8" w14:textId="489F9293" w:rsidR="00440D6B" w:rsidRDefault="00440D6B">
      <w:pPr>
        <w:pStyle w:val="TOC3"/>
        <w:rPr>
          <w:rFonts w:eastAsiaTheme="minorEastAsia"/>
          <w:noProof/>
          <w:kern w:val="2"/>
          <w:sz w:val="24"/>
          <w:szCs w:val="24"/>
          <w:lang w:val="en-US"/>
          <w14:ligatures w14:val="standardContextual"/>
        </w:rPr>
      </w:pPr>
      <w:r>
        <w:rPr>
          <w:noProof/>
          <w:lang w:eastAsia="fr-FR"/>
        </w:rPr>
        <w:t>4.8.1</w:t>
      </w:r>
      <w:r>
        <w:rPr>
          <w:rFonts w:eastAsiaTheme="minorEastAsia"/>
          <w:noProof/>
          <w:kern w:val="2"/>
          <w:sz w:val="24"/>
          <w:szCs w:val="24"/>
          <w:lang w:val="en-US"/>
          <w14:ligatures w14:val="standardContextual"/>
        </w:rPr>
        <w:tab/>
      </w:r>
      <w:r>
        <w:rPr>
          <w:noProof/>
          <w:lang w:eastAsia="fr-FR"/>
        </w:rPr>
        <w:t>Refrigeration and air-conditioning (CRT 2F1)</w:t>
      </w:r>
      <w:r>
        <w:rPr>
          <w:noProof/>
        </w:rPr>
        <w:tab/>
      </w:r>
      <w:r>
        <w:rPr>
          <w:noProof/>
        </w:rPr>
        <w:fldChar w:fldCharType="begin"/>
      </w:r>
      <w:r>
        <w:rPr>
          <w:noProof/>
        </w:rPr>
        <w:instrText xml:space="preserve"> PAGEREF _Toc184808239 \h </w:instrText>
      </w:r>
      <w:r>
        <w:rPr>
          <w:noProof/>
        </w:rPr>
      </w:r>
      <w:r>
        <w:rPr>
          <w:noProof/>
        </w:rPr>
        <w:fldChar w:fldCharType="separate"/>
      </w:r>
      <w:r>
        <w:rPr>
          <w:noProof/>
        </w:rPr>
        <w:t>127</w:t>
      </w:r>
      <w:r>
        <w:rPr>
          <w:noProof/>
        </w:rPr>
        <w:fldChar w:fldCharType="end"/>
      </w:r>
    </w:p>
    <w:p w14:paraId="50F6972F" w14:textId="05638FE6" w:rsidR="00440D6B" w:rsidRDefault="00440D6B">
      <w:pPr>
        <w:pStyle w:val="TOC3"/>
        <w:rPr>
          <w:rFonts w:eastAsiaTheme="minorEastAsia"/>
          <w:noProof/>
          <w:kern w:val="2"/>
          <w:sz w:val="24"/>
          <w:szCs w:val="24"/>
          <w:lang w:val="en-US"/>
          <w14:ligatures w14:val="standardContextual"/>
        </w:rPr>
      </w:pPr>
      <w:r>
        <w:rPr>
          <w:noProof/>
          <w:lang w:eastAsia="fr-FR"/>
        </w:rPr>
        <w:t>4.8.2</w:t>
      </w:r>
      <w:r>
        <w:rPr>
          <w:rFonts w:eastAsiaTheme="minorEastAsia"/>
          <w:noProof/>
          <w:kern w:val="2"/>
          <w:sz w:val="24"/>
          <w:szCs w:val="24"/>
          <w:lang w:val="en-US"/>
          <w14:ligatures w14:val="standardContextual"/>
        </w:rPr>
        <w:tab/>
      </w:r>
      <w:r>
        <w:rPr>
          <w:noProof/>
          <w:lang w:eastAsia="fr-FR"/>
        </w:rPr>
        <w:t>Foam blowing agents (CRT 2F2)</w:t>
      </w:r>
      <w:r>
        <w:rPr>
          <w:noProof/>
        </w:rPr>
        <w:tab/>
      </w:r>
      <w:r>
        <w:rPr>
          <w:noProof/>
        </w:rPr>
        <w:fldChar w:fldCharType="begin"/>
      </w:r>
      <w:r>
        <w:rPr>
          <w:noProof/>
        </w:rPr>
        <w:instrText xml:space="preserve"> PAGEREF _Toc184808240 \h </w:instrText>
      </w:r>
      <w:r>
        <w:rPr>
          <w:noProof/>
        </w:rPr>
      </w:r>
      <w:r>
        <w:rPr>
          <w:noProof/>
        </w:rPr>
        <w:fldChar w:fldCharType="separate"/>
      </w:r>
      <w:r>
        <w:rPr>
          <w:noProof/>
        </w:rPr>
        <w:t>130</w:t>
      </w:r>
      <w:r>
        <w:rPr>
          <w:noProof/>
        </w:rPr>
        <w:fldChar w:fldCharType="end"/>
      </w:r>
    </w:p>
    <w:p w14:paraId="1F12BECB" w14:textId="07AD62D2" w:rsidR="00440D6B" w:rsidRDefault="00440D6B">
      <w:pPr>
        <w:pStyle w:val="TOC3"/>
        <w:rPr>
          <w:rFonts w:eastAsiaTheme="minorEastAsia"/>
          <w:noProof/>
          <w:kern w:val="2"/>
          <w:sz w:val="24"/>
          <w:szCs w:val="24"/>
          <w:lang w:val="en-US"/>
          <w14:ligatures w14:val="standardContextual"/>
        </w:rPr>
      </w:pPr>
      <w:r>
        <w:rPr>
          <w:noProof/>
          <w:lang w:eastAsia="fr-FR"/>
        </w:rPr>
        <w:t>4.8.3</w:t>
      </w:r>
      <w:r>
        <w:rPr>
          <w:rFonts w:eastAsiaTheme="minorEastAsia"/>
          <w:noProof/>
          <w:kern w:val="2"/>
          <w:sz w:val="24"/>
          <w:szCs w:val="24"/>
          <w:lang w:val="en-US"/>
          <w14:ligatures w14:val="standardContextual"/>
        </w:rPr>
        <w:tab/>
      </w:r>
      <w:r>
        <w:rPr>
          <w:noProof/>
          <w:lang w:eastAsia="fr-FR"/>
        </w:rPr>
        <w:t>Fire protection (2F3)</w:t>
      </w:r>
      <w:r>
        <w:rPr>
          <w:noProof/>
        </w:rPr>
        <w:tab/>
      </w:r>
      <w:r>
        <w:rPr>
          <w:noProof/>
        </w:rPr>
        <w:fldChar w:fldCharType="begin"/>
      </w:r>
      <w:r>
        <w:rPr>
          <w:noProof/>
        </w:rPr>
        <w:instrText xml:space="preserve"> PAGEREF _Toc184808241 \h </w:instrText>
      </w:r>
      <w:r>
        <w:rPr>
          <w:noProof/>
        </w:rPr>
      </w:r>
      <w:r>
        <w:rPr>
          <w:noProof/>
        </w:rPr>
        <w:fldChar w:fldCharType="separate"/>
      </w:r>
      <w:r>
        <w:rPr>
          <w:noProof/>
        </w:rPr>
        <w:t>130</w:t>
      </w:r>
      <w:r>
        <w:rPr>
          <w:noProof/>
        </w:rPr>
        <w:fldChar w:fldCharType="end"/>
      </w:r>
    </w:p>
    <w:p w14:paraId="2D2E279F" w14:textId="1BE98315" w:rsidR="00440D6B" w:rsidRDefault="00440D6B">
      <w:pPr>
        <w:pStyle w:val="TOC3"/>
        <w:rPr>
          <w:rFonts w:eastAsiaTheme="minorEastAsia"/>
          <w:noProof/>
          <w:kern w:val="2"/>
          <w:sz w:val="24"/>
          <w:szCs w:val="24"/>
          <w:lang w:val="en-US"/>
          <w14:ligatures w14:val="standardContextual"/>
        </w:rPr>
      </w:pPr>
      <w:r>
        <w:rPr>
          <w:noProof/>
          <w:lang w:eastAsia="fr-FR"/>
        </w:rPr>
        <w:t>4.8.4</w:t>
      </w:r>
      <w:r>
        <w:rPr>
          <w:rFonts w:eastAsiaTheme="minorEastAsia"/>
          <w:noProof/>
          <w:kern w:val="2"/>
          <w:sz w:val="24"/>
          <w:szCs w:val="24"/>
          <w:lang w:val="en-US"/>
          <w14:ligatures w14:val="standardContextual"/>
        </w:rPr>
        <w:tab/>
      </w:r>
      <w:r>
        <w:rPr>
          <w:noProof/>
          <w:lang w:eastAsia="fr-FR"/>
        </w:rPr>
        <w:t>Aerosols (2F4)</w:t>
      </w:r>
      <w:r>
        <w:rPr>
          <w:noProof/>
        </w:rPr>
        <w:tab/>
      </w:r>
      <w:r>
        <w:rPr>
          <w:noProof/>
        </w:rPr>
        <w:fldChar w:fldCharType="begin"/>
      </w:r>
      <w:r>
        <w:rPr>
          <w:noProof/>
        </w:rPr>
        <w:instrText xml:space="preserve"> PAGEREF _Toc184808242 \h </w:instrText>
      </w:r>
      <w:r>
        <w:rPr>
          <w:noProof/>
        </w:rPr>
      </w:r>
      <w:r>
        <w:rPr>
          <w:noProof/>
        </w:rPr>
        <w:fldChar w:fldCharType="separate"/>
      </w:r>
      <w:r>
        <w:rPr>
          <w:noProof/>
        </w:rPr>
        <w:t>130</w:t>
      </w:r>
      <w:r>
        <w:rPr>
          <w:noProof/>
        </w:rPr>
        <w:fldChar w:fldCharType="end"/>
      </w:r>
    </w:p>
    <w:p w14:paraId="5EB2C93D" w14:textId="50814C9B" w:rsidR="00440D6B" w:rsidRDefault="00440D6B">
      <w:pPr>
        <w:pStyle w:val="TOC3"/>
        <w:rPr>
          <w:rFonts w:eastAsiaTheme="minorEastAsia"/>
          <w:noProof/>
          <w:kern w:val="2"/>
          <w:sz w:val="24"/>
          <w:szCs w:val="24"/>
          <w:lang w:val="en-US"/>
          <w14:ligatures w14:val="standardContextual"/>
        </w:rPr>
      </w:pPr>
      <w:r>
        <w:rPr>
          <w:noProof/>
          <w:lang w:eastAsia="fr-FR"/>
        </w:rPr>
        <w:t>4.8.5</w:t>
      </w:r>
      <w:r>
        <w:rPr>
          <w:rFonts w:eastAsiaTheme="minorEastAsia"/>
          <w:noProof/>
          <w:kern w:val="2"/>
          <w:sz w:val="24"/>
          <w:szCs w:val="24"/>
          <w:lang w:val="en-US"/>
          <w14:ligatures w14:val="standardContextual"/>
        </w:rPr>
        <w:tab/>
      </w:r>
      <w:r>
        <w:rPr>
          <w:noProof/>
          <w:lang w:eastAsia="fr-FR"/>
        </w:rPr>
        <w:t>Uncertainties and time-series consistency</w:t>
      </w:r>
      <w:r>
        <w:rPr>
          <w:noProof/>
        </w:rPr>
        <w:tab/>
      </w:r>
      <w:r>
        <w:rPr>
          <w:noProof/>
        </w:rPr>
        <w:fldChar w:fldCharType="begin"/>
      </w:r>
      <w:r>
        <w:rPr>
          <w:noProof/>
        </w:rPr>
        <w:instrText xml:space="preserve"> PAGEREF _Toc184808243 \h </w:instrText>
      </w:r>
      <w:r>
        <w:rPr>
          <w:noProof/>
        </w:rPr>
      </w:r>
      <w:r>
        <w:rPr>
          <w:noProof/>
        </w:rPr>
        <w:fldChar w:fldCharType="separate"/>
      </w:r>
      <w:r>
        <w:rPr>
          <w:noProof/>
        </w:rPr>
        <w:t>131</w:t>
      </w:r>
      <w:r>
        <w:rPr>
          <w:noProof/>
        </w:rPr>
        <w:fldChar w:fldCharType="end"/>
      </w:r>
    </w:p>
    <w:p w14:paraId="0BDF1822" w14:textId="2ED4A53D" w:rsidR="00440D6B" w:rsidRDefault="00440D6B">
      <w:pPr>
        <w:pStyle w:val="TOC3"/>
        <w:rPr>
          <w:rFonts w:eastAsiaTheme="minorEastAsia"/>
          <w:noProof/>
          <w:kern w:val="2"/>
          <w:sz w:val="24"/>
          <w:szCs w:val="24"/>
          <w:lang w:val="en-US"/>
          <w14:ligatures w14:val="standardContextual"/>
        </w:rPr>
      </w:pPr>
      <w:r>
        <w:rPr>
          <w:noProof/>
          <w:lang w:eastAsia="fr-FR"/>
        </w:rPr>
        <w:t>4.8.6</w:t>
      </w:r>
      <w:r>
        <w:rPr>
          <w:rFonts w:eastAsiaTheme="minorEastAsia"/>
          <w:noProof/>
          <w:kern w:val="2"/>
          <w:sz w:val="24"/>
          <w:szCs w:val="24"/>
          <w:lang w:val="en-US"/>
          <w14:ligatures w14:val="standardContextual"/>
        </w:rPr>
        <w:tab/>
      </w:r>
      <w:r>
        <w:rPr>
          <w:noProof/>
          <w:lang w:eastAsia="fr-FR"/>
        </w:rPr>
        <w:t>Category-specific QA/QC and verification</w:t>
      </w:r>
      <w:r>
        <w:rPr>
          <w:noProof/>
        </w:rPr>
        <w:tab/>
      </w:r>
      <w:r>
        <w:rPr>
          <w:noProof/>
        </w:rPr>
        <w:fldChar w:fldCharType="begin"/>
      </w:r>
      <w:r>
        <w:rPr>
          <w:noProof/>
        </w:rPr>
        <w:instrText xml:space="preserve"> PAGEREF _Toc184808244 \h </w:instrText>
      </w:r>
      <w:r>
        <w:rPr>
          <w:noProof/>
        </w:rPr>
      </w:r>
      <w:r>
        <w:rPr>
          <w:noProof/>
        </w:rPr>
        <w:fldChar w:fldCharType="separate"/>
      </w:r>
      <w:r>
        <w:rPr>
          <w:noProof/>
        </w:rPr>
        <w:t>132</w:t>
      </w:r>
      <w:r>
        <w:rPr>
          <w:noProof/>
        </w:rPr>
        <w:fldChar w:fldCharType="end"/>
      </w:r>
    </w:p>
    <w:p w14:paraId="08AD8435" w14:textId="2B9A8D7C" w:rsidR="00440D6B" w:rsidRDefault="00440D6B">
      <w:pPr>
        <w:pStyle w:val="TOC3"/>
        <w:rPr>
          <w:rFonts w:eastAsiaTheme="minorEastAsia"/>
          <w:noProof/>
          <w:kern w:val="2"/>
          <w:sz w:val="24"/>
          <w:szCs w:val="24"/>
          <w:lang w:val="en-US"/>
          <w14:ligatures w14:val="standardContextual"/>
        </w:rPr>
      </w:pPr>
      <w:r>
        <w:rPr>
          <w:noProof/>
          <w:lang w:eastAsia="fr-FR"/>
        </w:rPr>
        <w:t>4.8.7</w:t>
      </w:r>
      <w:r>
        <w:rPr>
          <w:rFonts w:eastAsiaTheme="minorEastAsia"/>
          <w:noProof/>
          <w:kern w:val="2"/>
          <w:sz w:val="24"/>
          <w:szCs w:val="24"/>
          <w:lang w:val="en-US"/>
          <w14:ligatures w14:val="standardContextual"/>
        </w:rPr>
        <w:tab/>
      </w:r>
      <w:r>
        <w:rPr>
          <w:noProof/>
          <w:lang w:eastAsia="fr-FR"/>
        </w:rPr>
        <w:t>Category-specific recalculations</w:t>
      </w:r>
      <w:r>
        <w:rPr>
          <w:noProof/>
        </w:rPr>
        <w:tab/>
      </w:r>
      <w:r>
        <w:rPr>
          <w:noProof/>
        </w:rPr>
        <w:fldChar w:fldCharType="begin"/>
      </w:r>
      <w:r>
        <w:rPr>
          <w:noProof/>
        </w:rPr>
        <w:instrText xml:space="preserve"> PAGEREF _Toc184808245 \h </w:instrText>
      </w:r>
      <w:r>
        <w:rPr>
          <w:noProof/>
        </w:rPr>
      </w:r>
      <w:r>
        <w:rPr>
          <w:noProof/>
        </w:rPr>
        <w:fldChar w:fldCharType="separate"/>
      </w:r>
      <w:r>
        <w:rPr>
          <w:noProof/>
        </w:rPr>
        <w:t>132</w:t>
      </w:r>
      <w:r>
        <w:rPr>
          <w:noProof/>
        </w:rPr>
        <w:fldChar w:fldCharType="end"/>
      </w:r>
    </w:p>
    <w:p w14:paraId="03B58D0B" w14:textId="77E59817" w:rsidR="00440D6B" w:rsidRDefault="00440D6B">
      <w:pPr>
        <w:pStyle w:val="TOC3"/>
        <w:rPr>
          <w:rFonts w:eastAsiaTheme="minorEastAsia"/>
          <w:noProof/>
          <w:kern w:val="2"/>
          <w:sz w:val="24"/>
          <w:szCs w:val="24"/>
          <w:lang w:val="en-US"/>
          <w14:ligatures w14:val="standardContextual"/>
        </w:rPr>
      </w:pPr>
      <w:r>
        <w:rPr>
          <w:noProof/>
          <w:lang w:eastAsia="fr-FR"/>
        </w:rPr>
        <w:t>4.8.8</w:t>
      </w:r>
      <w:r>
        <w:rPr>
          <w:rFonts w:eastAsiaTheme="minorEastAsia"/>
          <w:noProof/>
          <w:kern w:val="2"/>
          <w:sz w:val="24"/>
          <w:szCs w:val="24"/>
          <w:lang w:val="en-US"/>
          <w14:ligatures w14:val="standardContextual"/>
        </w:rPr>
        <w:tab/>
      </w:r>
      <w:r>
        <w:rPr>
          <w:noProof/>
          <w:lang w:eastAsia="fr-FR"/>
        </w:rPr>
        <w:t>Category-specific planned improvements</w:t>
      </w:r>
      <w:r>
        <w:rPr>
          <w:noProof/>
        </w:rPr>
        <w:tab/>
      </w:r>
      <w:r>
        <w:rPr>
          <w:noProof/>
        </w:rPr>
        <w:fldChar w:fldCharType="begin"/>
      </w:r>
      <w:r>
        <w:rPr>
          <w:noProof/>
        </w:rPr>
        <w:instrText xml:space="preserve"> PAGEREF _Toc184808246 \h </w:instrText>
      </w:r>
      <w:r>
        <w:rPr>
          <w:noProof/>
        </w:rPr>
      </w:r>
      <w:r>
        <w:rPr>
          <w:noProof/>
        </w:rPr>
        <w:fldChar w:fldCharType="separate"/>
      </w:r>
      <w:r>
        <w:rPr>
          <w:noProof/>
        </w:rPr>
        <w:t>132</w:t>
      </w:r>
      <w:r>
        <w:rPr>
          <w:noProof/>
        </w:rPr>
        <w:fldChar w:fldCharType="end"/>
      </w:r>
    </w:p>
    <w:p w14:paraId="66F0A3C7" w14:textId="26027419"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4.9</w:t>
      </w:r>
      <w:r>
        <w:rPr>
          <w:rFonts w:eastAsiaTheme="minorEastAsia"/>
          <w:noProof/>
          <w:kern w:val="2"/>
          <w:sz w:val="24"/>
          <w:szCs w:val="24"/>
          <w:lang w:val="en-US"/>
          <w14:ligatures w14:val="standardContextual"/>
        </w:rPr>
        <w:tab/>
      </w:r>
      <w:r w:rsidRPr="00293C44">
        <w:rPr>
          <w:bCs/>
          <w:noProof/>
        </w:rPr>
        <w:t>Other product manufacture and use (CRT 2G)</w:t>
      </w:r>
      <w:r>
        <w:rPr>
          <w:noProof/>
        </w:rPr>
        <w:tab/>
      </w:r>
      <w:r>
        <w:rPr>
          <w:noProof/>
        </w:rPr>
        <w:fldChar w:fldCharType="begin"/>
      </w:r>
      <w:r>
        <w:rPr>
          <w:noProof/>
        </w:rPr>
        <w:instrText xml:space="preserve"> PAGEREF _Toc184808247 \h </w:instrText>
      </w:r>
      <w:r>
        <w:rPr>
          <w:noProof/>
        </w:rPr>
      </w:r>
      <w:r>
        <w:rPr>
          <w:noProof/>
        </w:rPr>
        <w:fldChar w:fldCharType="separate"/>
      </w:r>
      <w:r>
        <w:rPr>
          <w:noProof/>
        </w:rPr>
        <w:t>132</w:t>
      </w:r>
      <w:r>
        <w:rPr>
          <w:noProof/>
        </w:rPr>
        <w:fldChar w:fldCharType="end"/>
      </w:r>
    </w:p>
    <w:p w14:paraId="38C7FFC1" w14:textId="51E676A9" w:rsidR="00440D6B" w:rsidRDefault="00440D6B">
      <w:pPr>
        <w:pStyle w:val="TOC3"/>
        <w:rPr>
          <w:rFonts w:eastAsiaTheme="minorEastAsia"/>
          <w:noProof/>
          <w:kern w:val="2"/>
          <w:sz w:val="24"/>
          <w:szCs w:val="24"/>
          <w:lang w:val="en-US"/>
          <w14:ligatures w14:val="standardContextual"/>
        </w:rPr>
      </w:pPr>
      <w:r>
        <w:rPr>
          <w:noProof/>
          <w:lang w:eastAsia="fr-FR"/>
        </w:rPr>
        <w:t>4.9.1</w:t>
      </w:r>
      <w:r>
        <w:rPr>
          <w:rFonts w:eastAsiaTheme="minorEastAsia"/>
          <w:noProof/>
          <w:kern w:val="2"/>
          <w:sz w:val="24"/>
          <w:szCs w:val="24"/>
          <w:lang w:val="en-US"/>
          <w14:ligatures w14:val="standardContextual"/>
        </w:rPr>
        <w:tab/>
      </w:r>
      <w:r>
        <w:rPr>
          <w:noProof/>
          <w:lang w:eastAsia="fr-FR"/>
        </w:rPr>
        <w:t>Electrical equipment (CRT 2G1)</w:t>
      </w:r>
      <w:r>
        <w:rPr>
          <w:noProof/>
        </w:rPr>
        <w:tab/>
      </w:r>
      <w:r>
        <w:rPr>
          <w:noProof/>
        </w:rPr>
        <w:fldChar w:fldCharType="begin"/>
      </w:r>
      <w:r>
        <w:rPr>
          <w:noProof/>
        </w:rPr>
        <w:instrText xml:space="preserve"> PAGEREF _Toc184808248 \h </w:instrText>
      </w:r>
      <w:r>
        <w:rPr>
          <w:noProof/>
        </w:rPr>
      </w:r>
      <w:r>
        <w:rPr>
          <w:noProof/>
        </w:rPr>
        <w:fldChar w:fldCharType="separate"/>
      </w:r>
      <w:r>
        <w:rPr>
          <w:noProof/>
        </w:rPr>
        <w:t>133</w:t>
      </w:r>
      <w:r>
        <w:rPr>
          <w:noProof/>
        </w:rPr>
        <w:fldChar w:fldCharType="end"/>
      </w:r>
    </w:p>
    <w:p w14:paraId="6BAB6F9E" w14:textId="1771A073"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Chapter 5: Agriculture (CRT sector 3)</w:t>
      </w:r>
      <w:r>
        <w:rPr>
          <w:noProof/>
        </w:rPr>
        <w:tab/>
      </w:r>
      <w:r>
        <w:rPr>
          <w:noProof/>
        </w:rPr>
        <w:fldChar w:fldCharType="begin"/>
      </w:r>
      <w:r>
        <w:rPr>
          <w:noProof/>
        </w:rPr>
        <w:instrText xml:space="preserve"> PAGEREF _Toc184808249 \h </w:instrText>
      </w:r>
      <w:r>
        <w:rPr>
          <w:noProof/>
        </w:rPr>
      </w:r>
      <w:r>
        <w:rPr>
          <w:noProof/>
        </w:rPr>
        <w:fldChar w:fldCharType="separate"/>
      </w:r>
      <w:r>
        <w:rPr>
          <w:noProof/>
        </w:rPr>
        <w:t>135</w:t>
      </w:r>
      <w:r>
        <w:rPr>
          <w:noProof/>
        </w:rPr>
        <w:fldChar w:fldCharType="end"/>
      </w:r>
    </w:p>
    <w:p w14:paraId="2AE5FECE" w14:textId="6157A221"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5.1</w:t>
      </w:r>
      <w:r>
        <w:rPr>
          <w:rFonts w:eastAsiaTheme="minorEastAsia"/>
          <w:noProof/>
          <w:kern w:val="2"/>
          <w:sz w:val="24"/>
          <w:szCs w:val="24"/>
          <w:lang w:val="en-US"/>
          <w14:ligatures w14:val="standardContextual"/>
        </w:rPr>
        <w:tab/>
      </w:r>
      <w:r>
        <w:rPr>
          <w:noProof/>
        </w:rPr>
        <w:t>Overview of sector</w:t>
      </w:r>
      <w:r>
        <w:rPr>
          <w:noProof/>
        </w:rPr>
        <w:tab/>
      </w:r>
      <w:r>
        <w:rPr>
          <w:noProof/>
        </w:rPr>
        <w:fldChar w:fldCharType="begin"/>
      </w:r>
      <w:r>
        <w:rPr>
          <w:noProof/>
        </w:rPr>
        <w:instrText xml:space="preserve"> PAGEREF _Toc184808251 \h </w:instrText>
      </w:r>
      <w:r>
        <w:rPr>
          <w:noProof/>
        </w:rPr>
      </w:r>
      <w:r>
        <w:rPr>
          <w:noProof/>
        </w:rPr>
        <w:fldChar w:fldCharType="separate"/>
      </w:r>
      <w:r>
        <w:rPr>
          <w:noProof/>
        </w:rPr>
        <w:t>135</w:t>
      </w:r>
      <w:r>
        <w:rPr>
          <w:noProof/>
        </w:rPr>
        <w:fldChar w:fldCharType="end"/>
      </w:r>
    </w:p>
    <w:p w14:paraId="546CE8CC" w14:textId="7161BE77"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5.2</w:t>
      </w:r>
      <w:r>
        <w:rPr>
          <w:rFonts w:eastAsiaTheme="minorEastAsia"/>
          <w:noProof/>
          <w:kern w:val="2"/>
          <w:sz w:val="24"/>
          <w:szCs w:val="24"/>
          <w:lang w:val="en-US"/>
          <w14:ligatures w14:val="standardContextual"/>
        </w:rPr>
        <w:tab/>
      </w:r>
      <w:r>
        <w:rPr>
          <w:noProof/>
        </w:rPr>
        <w:t>Enteric fermentation (CRT 3A)</w:t>
      </w:r>
      <w:r>
        <w:rPr>
          <w:noProof/>
        </w:rPr>
        <w:tab/>
      </w:r>
      <w:r>
        <w:rPr>
          <w:noProof/>
        </w:rPr>
        <w:fldChar w:fldCharType="begin"/>
      </w:r>
      <w:r>
        <w:rPr>
          <w:noProof/>
        </w:rPr>
        <w:instrText xml:space="preserve"> PAGEREF _Toc184808252 \h </w:instrText>
      </w:r>
      <w:r>
        <w:rPr>
          <w:noProof/>
        </w:rPr>
      </w:r>
      <w:r>
        <w:rPr>
          <w:noProof/>
        </w:rPr>
        <w:fldChar w:fldCharType="separate"/>
      </w:r>
      <w:r>
        <w:rPr>
          <w:noProof/>
        </w:rPr>
        <w:t>137</w:t>
      </w:r>
      <w:r>
        <w:rPr>
          <w:noProof/>
        </w:rPr>
        <w:fldChar w:fldCharType="end"/>
      </w:r>
    </w:p>
    <w:p w14:paraId="712BAA48" w14:textId="14D69F09" w:rsidR="00440D6B" w:rsidRDefault="00440D6B">
      <w:pPr>
        <w:pStyle w:val="TOC3"/>
        <w:rPr>
          <w:rFonts w:eastAsiaTheme="minorEastAsia"/>
          <w:noProof/>
          <w:kern w:val="2"/>
          <w:sz w:val="24"/>
          <w:szCs w:val="24"/>
          <w:lang w:val="en-US"/>
          <w14:ligatures w14:val="standardContextual"/>
        </w:rPr>
      </w:pPr>
      <w:r>
        <w:rPr>
          <w:noProof/>
          <w:lang w:eastAsia="fr-FR"/>
        </w:rPr>
        <w:t>5.2.1</w:t>
      </w:r>
      <w:r>
        <w:rPr>
          <w:rFonts w:eastAsiaTheme="minorEastAsia"/>
          <w:noProof/>
          <w:kern w:val="2"/>
          <w:sz w:val="24"/>
          <w:szCs w:val="24"/>
          <w:lang w:val="en-US"/>
          <w14:ligatures w14:val="standardContextual"/>
        </w:rPr>
        <w:tab/>
      </w:r>
      <w:r>
        <w:rPr>
          <w:noProof/>
          <w:lang w:eastAsia="fr-FR"/>
        </w:rPr>
        <w:t>Cattle (CRT 3A1)</w:t>
      </w:r>
      <w:r>
        <w:rPr>
          <w:noProof/>
        </w:rPr>
        <w:tab/>
      </w:r>
      <w:r>
        <w:rPr>
          <w:noProof/>
        </w:rPr>
        <w:fldChar w:fldCharType="begin"/>
      </w:r>
      <w:r>
        <w:rPr>
          <w:noProof/>
        </w:rPr>
        <w:instrText xml:space="preserve"> PAGEREF _Toc184808254 \h </w:instrText>
      </w:r>
      <w:r>
        <w:rPr>
          <w:noProof/>
        </w:rPr>
      </w:r>
      <w:r>
        <w:rPr>
          <w:noProof/>
        </w:rPr>
        <w:fldChar w:fldCharType="separate"/>
      </w:r>
      <w:r>
        <w:rPr>
          <w:noProof/>
        </w:rPr>
        <w:t>138</w:t>
      </w:r>
      <w:r>
        <w:rPr>
          <w:noProof/>
        </w:rPr>
        <w:fldChar w:fldCharType="end"/>
      </w:r>
    </w:p>
    <w:p w14:paraId="333073A2" w14:textId="12E4E4A9" w:rsidR="00440D6B" w:rsidRDefault="00440D6B">
      <w:pPr>
        <w:pStyle w:val="TOC3"/>
        <w:rPr>
          <w:rFonts w:eastAsiaTheme="minorEastAsia"/>
          <w:noProof/>
          <w:kern w:val="2"/>
          <w:sz w:val="24"/>
          <w:szCs w:val="24"/>
          <w:lang w:val="en-US"/>
          <w14:ligatures w14:val="standardContextual"/>
        </w:rPr>
      </w:pPr>
      <w:r>
        <w:rPr>
          <w:noProof/>
          <w:lang w:eastAsia="fr-FR"/>
        </w:rPr>
        <w:t>5.2.2</w:t>
      </w:r>
      <w:r>
        <w:rPr>
          <w:rFonts w:eastAsiaTheme="minorEastAsia"/>
          <w:noProof/>
          <w:kern w:val="2"/>
          <w:sz w:val="24"/>
          <w:szCs w:val="24"/>
          <w:lang w:val="en-US"/>
          <w14:ligatures w14:val="standardContextual"/>
        </w:rPr>
        <w:tab/>
      </w:r>
      <w:r>
        <w:rPr>
          <w:noProof/>
          <w:lang w:eastAsia="fr-FR"/>
        </w:rPr>
        <w:t>Sheep (CRT 3A2)</w:t>
      </w:r>
      <w:r>
        <w:rPr>
          <w:noProof/>
        </w:rPr>
        <w:tab/>
      </w:r>
      <w:r>
        <w:rPr>
          <w:noProof/>
        </w:rPr>
        <w:fldChar w:fldCharType="begin"/>
      </w:r>
      <w:r>
        <w:rPr>
          <w:noProof/>
        </w:rPr>
        <w:instrText xml:space="preserve"> PAGEREF _Toc184808255 \h </w:instrText>
      </w:r>
      <w:r>
        <w:rPr>
          <w:noProof/>
        </w:rPr>
      </w:r>
      <w:r>
        <w:rPr>
          <w:noProof/>
        </w:rPr>
        <w:fldChar w:fldCharType="separate"/>
      </w:r>
      <w:r>
        <w:rPr>
          <w:noProof/>
        </w:rPr>
        <w:t>140</w:t>
      </w:r>
      <w:r>
        <w:rPr>
          <w:noProof/>
        </w:rPr>
        <w:fldChar w:fldCharType="end"/>
      </w:r>
    </w:p>
    <w:p w14:paraId="64D0E1D8" w14:textId="3216A4E0" w:rsidR="00440D6B" w:rsidRDefault="00440D6B">
      <w:pPr>
        <w:pStyle w:val="TOC3"/>
        <w:rPr>
          <w:rFonts w:eastAsiaTheme="minorEastAsia"/>
          <w:noProof/>
          <w:kern w:val="2"/>
          <w:sz w:val="24"/>
          <w:szCs w:val="24"/>
          <w:lang w:val="en-US"/>
          <w14:ligatures w14:val="standardContextual"/>
        </w:rPr>
      </w:pPr>
      <w:r>
        <w:rPr>
          <w:noProof/>
          <w:lang w:eastAsia="fr-FR"/>
        </w:rPr>
        <w:t>5.2.3</w:t>
      </w:r>
      <w:r>
        <w:rPr>
          <w:rFonts w:eastAsiaTheme="minorEastAsia"/>
          <w:noProof/>
          <w:kern w:val="2"/>
          <w:sz w:val="24"/>
          <w:szCs w:val="24"/>
          <w:lang w:val="en-US"/>
          <w14:ligatures w14:val="standardContextual"/>
        </w:rPr>
        <w:tab/>
      </w:r>
      <w:r>
        <w:rPr>
          <w:noProof/>
          <w:lang w:eastAsia="fr-FR"/>
        </w:rPr>
        <w:t>Swine (3A3)</w:t>
      </w:r>
      <w:r>
        <w:rPr>
          <w:noProof/>
        </w:rPr>
        <w:tab/>
      </w:r>
      <w:r>
        <w:rPr>
          <w:noProof/>
        </w:rPr>
        <w:fldChar w:fldCharType="begin"/>
      </w:r>
      <w:r>
        <w:rPr>
          <w:noProof/>
        </w:rPr>
        <w:instrText xml:space="preserve"> PAGEREF _Toc184808256 \h </w:instrText>
      </w:r>
      <w:r>
        <w:rPr>
          <w:noProof/>
        </w:rPr>
      </w:r>
      <w:r>
        <w:rPr>
          <w:noProof/>
        </w:rPr>
        <w:fldChar w:fldCharType="separate"/>
      </w:r>
      <w:r>
        <w:rPr>
          <w:noProof/>
        </w:rPr>
        <w:t>141</w:t>
      </w:r>
      <w:r>
        <w:rPr>
          <w:noProof/>
        </w:rPr>
        <w:fldChar w:fldCharType="end"/>
      </w:r>
    </w:p>
    <w:p w14:paraId="3C750D10" w14:textId="6A57B087" w:rsidR="00440D6B" w:rsidRDefault="00440D6B">
      <w:pPr>
        <w:pStyle w:val="TOC3"/>
        <w:rPr>
          <w:rFonts w:eastAsiaTheme="minorEastAsia"/>
          <w:noProof/>
          <w:kern w:val="2"/>
          <w:sz w:val="24"/>
          <w:szCs w:val="24"/>
          <w:lang w:val="en-US"/>
          <w14:ligatures w14:val="standardContextual"/>
        </w:rPr>
      </w:pPr>
      <w:r>
        <w:rPr>
          <w:noProof/>
          <w:lang w:eastAsia="fr-FR"/>
        </w:rPr>
        <w:lastRenderedPageBreak/>
        <w:t>5.2.4</w:t>
      </w:r>
      <w:r>
        <w:rPr>
          <w:rFonts w:eastAsiaTheme="minorEastAsia"/>
          <w:noProof/>
          <w:kern w:val="2"/>
          <w:sz w:val="24"/>
          <w:szCs w:val="24"/>
          <w:lang w:val="en-US"/>
          <w14:ligatures w14:val="standardContextual"/>
        </w:rPr>
        <w:tab/>
      </w:r>
      <w:r>
        <w:rPr>
          <w:noProof/>
          <w:lang w:eastAsia="fr-FR"/>
        </w:rPr>
        <w:t>Other livestock (3A4)</w:t>
      </w:r>
      <w:r>
        <w:rPr>
          <w:noProof/>
        </w:rPr>
        <w:tab/>
      </w:r>
      <w:r>
        <w:rPr>
          <w:noProof/>
        </w:rPr>
        <w:fldChar w:fldCharType="begin"/>
      </w:r>
      <w:r>
        <w:rPr>
          <w:noProof/>
        </w:rPr>
        <w:instrText xml:space="preserve"> PAGEREF _Toc184808257 \h </w:instrText>
      </w:r>
      <w:r>
        <w:rPr>
          <w:noProof/>
        </w:rPr>
      </w:r>
      <w:r>
        <w:rPr>
          <w:noProof/>
        </w:rPr>
        <w:fldChar w:fldCharType="separate"/>
      </w:r>
      <w:r>
        <w:rPr>
          <w:noProof/>
        </w:rPr>
        <w:t>141</w:t>
      </w:r>
      <w:r>
        <w:rPr>
          <w:noProof/>
        </w:rPr>
        <w:fldChar w:fldCharType="end"/>
      </w:r>
    </w:p>
    <w:p w14:paraId="7182E05F" w14:textId="7345FFB5" w:rsidR="00440D6B" w:rsidRDefault="00440D6B">
      <w:pPr>
        <w:pStyle w:val="TOC3"/>
        <w:rPr>
          <w:rFonts w:eastAsiaTheme="minorEastAsia"/>
          <w:noProof/>
          <w:kern w:val="2"/>
          <w:sz w:val="24"/>
          <w:szCs w:val="24"/>
          <w:lang w:val="en-US"/>
          <w14:ligatures w14:val="standardContextual"/>
        </w:rPr>
      </w:pPr>
      <w:r w:rsidRPr="00293C44">
        <w:rPr>
          <w:noProof/>
          <w:lang w:eastAsia="fr-FR"/>
        </w:rPr>
        <w:t>5.2.5</w:t>
      </w:r>
      <w:r>
        <w:rPr>
          <w:rFonts w:eastAsiaTheme="minorEastAsia"/>
          <w:noProof/>
          <w:kern w:val="2"/>
          <w:sz w:val="24"/>
          <w:szCs w:val="24"/>
          <w:lang w:val="en-US"/>
          <w14:ligatures w14:val="standardContextual"/>
        </w:rPr>
        <w:tab/>
      </w:r>
      <w:r w:rsidRPr="00293C44">
        <w:rPr>
          <w:noProof/>
          <w:lang w:eastAsia="fr-FR"/>
        </w:rPr>
        <w:t>Uncertainties and time-series consistency</w:t>
      </w:r>
      <w:r>
        <w:rPr>
          <w:noProof/>
        </w:rPr>
        <w:tab/>
      </w:r>
      <w:r>
        <w:rPr>
          <w:noProof/>
        </w:rPr>
        <w:fldChar w:fldCharType="begin"/>
      </w:r>
      <w:r>
        <w:rPr>
          <w:noProof/>
        </w:rPr>
        <w:instrText xml:space="preserve"> PAGEREF _Toc184808258 \h </w:instrText>
      </w:r>
      <w:r>
        <w:rPr>
          <w:noProof/>
        </w:rPr>
      </w:r>
      <w:r>
        <w:rPr>
          <w:noProof/>
        </w:rPr>
        <w:fldChar w:fldCharType="separate"/>
      </w:r>
      <w:r>
        <w:rPr>
          <w:noProof/>
        </w:rPr>
        <w:t>143</w:t>
      </w:r>
      <w:r>
        <w:rPr>
          <w:noProof/>
        </w:rPr>
        <w:fldChar w:fldCharType="end"/>
      </w:r>
    </w:p>
    <w:p w14:paraId="44E69A3E" w14:textId="3CC25DD2" w:rsidR="00440D6B" w:rsidRDefault="00440D6B">
      <w:pPr>
        <w:pStyle w:val="TOC3"/>
        <w:rPr>
          <w:rFonts w:eastAsiaTheme="minorEastAsia"/>
          <w:noProof/>
          <w:kern w:val="2"/>
          <w:sz w:val="24"/>
          <w:szCs w:val="24"/>
          <w:lang w:val="en-US"/>
          <w14:ligatures w14:val="standardContextual"/>
        </w:rPr>
      </w:pPr>
      <w:r w:rsidRPr="00293C44">
        <w:rPr>
          <w:noProof/>
          <w:lang w:eastAsia="fr-FR"/>
        </w:rPr>
        <w:t>5.2.6</w:t>
      </w:r>
      <w:r>
        <w:rPr>
          <w:rFonts w:eastAsiaTheme="minorEastAsia"/>
          <w:noProof/>
          <w:kern w:val="2"/>
          <w:sz w:val="24"/>
          <w:szCs w:val="24"/>
          <w:lang w:val="en-US"/>
          <w14:ligatures w14:val="standardContextual"/>
        </w:rPr>
        <w:tab/>
      </w:r>
      <w:r w:rsidRPr="00293C44">
        <w:rPr>
          <w:noProof/>
          <w:lang w:eastAsia="fr-FR"/>
        </w:rPr>
        <w:t>Category-specific QA/QC and verification</w:t>
      </w:r>
      <w:r>
        <w:rPr>
          <w:noProof/>
        </w:rPr>
        <w:tab/>
      </w:r>
      <w:r>
        <w:rPr>
          <w:noProof/>
        </w:rPr>
        <w:fldChar w:fldCharType="begin"/>
      </w:r>
      <w:r>
        <w:rPr>
          <w:noProof/>
        </w:rPr>
        <w:instrText xml:space="preserve"> PAGEREF _Toc184808259 \h </w:instrText>
      </w:r>
      <w:r>
        <w:rPr>
          <w:noProof/>
        </w:rPr>
      </w:r>
      <w:r>
        <w:rPr>
          <w:noProof/>
        </w:rPr>
        <w:fldChar w:fldCharType="separate"/>
      </w:r>
      <w:r>
        <w:rPr>
          <w:noProof/>
        </w:rPr>
        <w:t>143</w:t>
      </w:r>
      <w:r>
        <w:rPr>
          <w:noProof/>
        </w:rPr>
        <w:fldChar w:fldCharType="end"/>
      </w:r>
    </w:p>
    <w:p w14:paraId="5DB80E92" w14:textId="386FDE59" w:rsidR="00440D6B" w:rsidRDefault="00440D6B">
      <w:pPr>
        <w:pStyle w:val="TOC3"/>
        <w:rPr>
          <w:rFonts w:eastAsiaTheme="minorEastAsia"/>
          <w:noProof/>
          <w:kern w:val="2"/>
          <w:sz w:val="24"/>
          <w:szCs w:val="24"/>
          <w:lang w:val="en-US"/>
          <w14:ligatures w14:val="standardContextual"/>
        </w:rPr>
      </w:pPr>
      <w:r w:rsidRPr="00293C44">
        <w:rPr>
          <w:noProof/>
          <w:lang w:eastAsia="fr-FR"/>
        </w:rPr>
        <w:t>5.2.7</w:t>
      </w:r>
      <w:r>
        <w:rPr>
          <w:rFonts w:eastAsiaTheme="minorEastAsia"/>
          <w:noProof/>
          <w:kern w:val="2"/>
          <w:sz w:val="24"/>
          <w:szCs w:val="24"/>
          <w:lang w:val="en-US"/>
          <w14:ligatures w14:val="standardContextual"/>
        </w:rPr>
        <w:tab/>
      </w:r>
      <w:r w:rsidRPr="00293C44">
        <w:rPr>
          <w:noProof/>
          <w:lang w:eastAsia="fr-FR"/>
        </w:rPr>
        <w:t>Category-specific recalculations</w:t>
      </w:r>
      <w:r>
        <w:rPr>
          <w:noProof/>
        </w:rPr>
        <w:tab/>
      </w:r>
      <w:r>
        <w:rPr>
          <w:noProof/>
        </w:rPr>
        <w:fldChar w:fldCharType="begin"/>
      </w:r>
      <w:r>
        <w:rPr>
          <w:noProof/>
        </w:rPr>
        <w:instrText xml:space="preserve"> PAGEREF _Toc184808260 \h </w:instrText>
      </w:r>
      <w:r>
        <w:rPr>
          <w:noProof/>
        </w:rPr>
      </w:r>
      <w:r>
        <w:rPr>
          <w:noProof/>
        </w:rPr>
        <w:fldChar w:fldCharType="separate"/>
      </w:r>
      <w:r>
        <w:rPr>
          <w:noProof/>
        </w:rPr>
        <w:t>143</w:t>
      </w:r>
      <w:r>
        <w:rPr>
          <w:noProof/>
        </w:rPr>
        <w:fldChar w:fldCharType="end"/>
      </w:r>
    </w:p>
    <w:p w14:paraId="7913CCE7" w14:textId="12465A2F" w:rsidR="00440D6B" w:rsidRDefault="00440D6B">
      <w:pPr>
        <w:pStyle w:val="TOC3"/>
        <w:rPr>
          <w:rFonts w:eastAsiaTheme="minorEastAsia"/>
          <w:noProof/>
          <w:kern w:val="2"/>
          <w:sz w:val="24"/>
          <w:szCs w:val="24"/>
          <w:lang w:val="en-US"/>
          <w14:ligatures w14:val="standardContextual"/>
        </w:rPr>
      </w:pPr>
      <w:r w:rsidRPr="00293C44">
        <w:rPr>
          <w:noProof/>
          <w:lang w:eastAsia="fr-FR"/>
        </w:rPr>
        <w:t>5.2.8</w:t>
      </w:r>
      <w:r>
        <w:rPr>
          <w:rFonts w:eastAsiaTheme="minorEastAsia"/>
          <w:noProof/>
          <w:kern w:val="2"/>
          <w:sz w:val="24"/>
          <w:szCs w:val="24"/>
          <w:lang w:val="en-US"/>
          <w14:ligatures w14:val="standardContextual"/>
        </w:rPr>
        <w:tab/>
      </w:r>
      <w:r w:rsidRPr="00293C44">
        <w:rPr>
          <w:noProof/>
          <w:lang w:eastAsia="fr-FR"/>
        </w:rPr>
        <w:t>Category-specific planned improvements</w:t>
      </w:r>
      <w:r>
        <w:rPr>
          <w:noProof/>
        </w:rPr>
        <w:tab/>
      </w:r>
      <w:r>
        <w:rPr>
          <w:noProof/>
        </w:rPr>
        <w:fldChar w:fldCharType="begin"/>
      </w:r>
      <w:r>
        <w:rPr>
          <w:noProof/>
        </w:rPr>
        <w:instrText xml:space="preserve"> PAGEREF _Toc184808261 \h </w:instrText>
      </w:r>
      <w:r>
        <w:rPr>
          <w:noProof/>
        </w:rPr>
      </w:r>
      <w:r>
        <w:rPr>
          <w:noProof/>
        </w:rPr>
        <w:fldChar w:fldCharType="separate"/>
      </w:r>
      <w:r>
        <w:rPr>
          <w:noProof/>
        </w:rPr>
        <w:t>143</w:t>
      </w:r>
      <w:r>
        <w:rPr>
          <w:noProof/>
        </w:rPr>
        <w:fldChar w:fldCharType="end"/>
      </w:r>
    </w:p>
    <w:p w14:paraId="07A8C045" w14:textId="2942435F"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5.3</w:t>
      </w:r>
      <w:r>
        <w:rPr>
          <w:rFonts w:eastAsiaTheme="minorEastAsia"/>
          <w:noProof/>
          <w:kern w:val="2"/>
          <w:sz w:val="24"/>
          <w:szCs w:val="24"/>
          <w:lang w:val="en-US"/>
          <w14:ligatures w14:val="standardContextual"/>
        </w:rPr>
        <w:tab/>
      </w:r>
      <w:r>
        <w:rPr>
          <w:noProof/>
        </w:rPr>
        <w:t>Manure management (CRT 3B)</w:t>
      </w:r>
      <w:r>
        <w:rPr>
          <w:noProof/>
        </w:rPr>
        <w:tab/>
      </w:r>
      <w:r>
        <w:rPr>
          <w:noProof/>
        </w:rPr>
        <w:fldChar w:fldCharType="begin"/>
      </w:r>
      <w:r>
        <w:rPr>
          <w:noProof/>
        </w:rPr>
        <w:instrText xml:space="preserve"> PAGEREF _Toc184808262 \h </w:instrText>
      </w:r>
      <w:r>
        <w:rPr>
          <w:noProof/>
        </w:rPr>
      </w:r>
      <w:r>
        <w:rPr>
          <w:noProof/>
        </w:rPr>
        <w:fldChar w:fldCharType="separate"/>
      </w:r>
      <w:r>
        <w:rPr>
          <w:noProof/>
        </w:rPr>
        <w:t>143</w:t>
      </w:r>
      <w:r>
        <w:rPr>
          <w:noProof/>
        </w:rPr>
        <w:fldChar w:fldCharType="end"/>
      </w:r>
    </w:p>
    <w:p w14:paraId="6FE4BE67" w14:textId="50E66777" w:rsidR="00440D6B" w:rsidRDefault="00440D6B">
      <w:pPr>
        <w:pStyle w:val="TOC3"/>
        <w:rPr>
          <w:rFonts w:eastAsiaTheme="minorEastAsia"/>
          <w:noProof/>
          <w:kern w:val="2"/>
          <w:sz w:val="24"/>
          <w:szCs w:val="24"/>
          <w:lang w:val="en-US"/>
          <w14:ligatures w14:val="standardContextual"/>
        </w:rPr>
      </w:pPr>
      <w:r>
        <w:rPr>
          <w:noProof/>
          <w:lang w:eastAsia="fr-FR"/>
        </w:rPr>
        <w:t>5.3.1</w:t>
      </w:r>
      <w:r>
        <w:rPr>
          <w:rFonts w:eastAsiaTheme="minorEastAsia"/>
          <w:noProof/>
          <w:kern w:val="2"/>
          <w:sz w:val="24"/>
          <w:szCs w:val="24"/>
          <w:lang w:val="en-US"/>
          <w14:ligatures w14:val="standardContextual"/>
        </w:rPr>
        <w:tab/>
      </w:r>
      <w:r>
        <w:rPr>
          <w:noProof/>
          <w:lang w:eastAsia="fr-FR"/>
        </w:rPr>
        <w:t>CH</w:t>
      </w:r>
      <w:r w:rsidRPr="00293C44">
        <w:rPr>
          <w:noProof/>
          <w:vertAlign w:val="subscript"/>
          <w:lang w:eastAsia="fr-FR"/>
        </w:rPr>
        <w:t>4</w:t>
      </w:r>
      <w:r>
        <w:rPr>
          <w:noProof/>
          <w:lang w:eastAsia="fr-FR"/>
        </w:rPr>
        <w:t xml:space="preserve"> emissions from Manure management (CRT 3B1)</w:t>
      </w:r>
      <w:r>
        <w:rPr>
          <w:noProof/>
        </w:rPr>
        <w:tab/>
      </w:r>
      <w:r>
        <w:rPr>
          <w:noProof/>
        </w:rPr>
        <w:fldChar w:fldCharType="begin"/>
      </w:r>
      <w:r>
        <w:rPr>
          <w:noProof/>
        </w:rPr>
        <w:instrText xml:space="preserve"> PAGEREF _Toc184808263 \h </w:instrText>
      </w:r>
      <w:r>
        <w:rPr>
          <w:noProof/>
        </w:rPr>
      </w:r>
      <w:r>
        <w:rPr>
          <w:noProof/>
        </w:rPr>
        <w:fldChar w:fldCharType="separate"/>
      </w:r>
      <w:r>
        <w:rPr>
          <w:noProof/>
        </w:rPr>
        <w:t>145</w:t>
      </w:r>
      <w:r>
        <w:rPr>
          <w:noProof/>
        </w:rPr>
        <w:fldChar w:fldCharType="end"/>
      </w:r>
    </w:p>
    <w:p w14:paraId="35695D1F" w14:textId="79BDFA14" w:rsidR="00440D6B" w:rsidRDefault="00440D6B">
      <w:pPr>
        <w:pStyle w:val="TOC3"/>
        <w:rPr>
          <w:rFonts w:eastAsiaTheme="minorEastAsia"/>
          <w:noProof/>
          <w:kern w:val="2"/>
          <w:sz w:val="24"/>
          <w:szCs w:val="24"/>
          <w:lang w:val="en-US"/>
          <w14:ligatures w14:val="standardContextual"/>
        </w:rPr>
      </w:pPr>
      <w:r>
        <w:rPr>
          <w:noProof/>
          <w:lang w:eastAsia="fr-FR"/>
        </w:rPr>
        <w:t>5.3.2</w:t>
      </w:r>
      <w:r>
        <w:rPr>
          <w:rFonts w:eastAsiaTheme="minorEastAsia"/>
          <w:noProof/>
          <w:kern w:val="2"/>
          <w:sz w:val="24"/>
          <w:szCs w:val="24"/>
          <w:lang w:val="en-US"/>
          <w14:ligatures w14:val="standardContextual"/>
        </w:rPr>
        <w:tab/>
      </w:r>
      <w:r>
        <w:rPr>
          <w:noProof/>
          <w:lang w:eastAsia="fr-FR"/>
        </w:rPr>
        <w:t>N</w:t>
      </w:r>
      <w:r w:rsidRPr="00293C44">
        <w:rPr>
          <w:noProof/>
          <w:vertAlign w:val="subscript"/>
          <w:lang w:eastAsia="fr-FR"/>
        </w:rPr>
        <w:t>2</w:t>
      </w:r>
      <w:r>
        <w:rPr>
          <w:noProof/>
          <w:lang w:eastAsia="fr-FR"/>
        </w:rPr>
        <w:t>O emissions from manure management (CRT 3B2)</w:t>
      </w:r>
      <w:r>
        <w:rPr>
          <w:noProof/>
        </w:rPr>
        <w:tab/>
      </w:r>
      <w:r>
        <w:rPr>
          <w:noProof/>
        </w:rPr>
        <w:fldChar w:fldCharType="begin"/>
      </w:r>
      <w:r>
        <w:rPr>
          <w:noProof/>
        </w:rPr>
        <w:instrText xml:space="preserve"> PAGEREF _Toc184808264 \h </w:instrText>
      </w:r>
      <w:r>
        <w:rPr>
          <w:noProof/>
        </w:rPr>
      </w:r>
      <w:r>
        <w:rPr>
          <w:noProof/>
        </w:rPr>
        <w:fldChar w:fldCharType="separate"/>
      </w:r>
      <w:r>
        <w:rPr>
          <w:noProof/>
        </w:rPr>
        <w:t>151</w:t>
      </w:r>
      <w:r>
        <w:rPr>
          <w:noProof/>
        </w:rPr>
        <w:fldChar w:fldCharType="end"/>
      </w:r>
    </w:p>
    <w:p w14:paraId="262630BA" w14:textId="12295217" w:rsidR="00440D6B" w:rsidRDefault="00440D6B">
      <w:pPr>
        <w:pStyle w:val="TOC3"/>
        <w:rPr>
          <w:rFonts w:eastAsiaTheme="minorEastAsia"/>
          <w:noProof/>
          <w:kern w:val="2"/>
          <w:sz w:val="24"/>
          <w:szCs w:val="24"/>
          <w:lang w:val="en-US"/>
          <w14:ligatures w14:val="standardContextual"/>
        </w:rPr>
      </w:pPr>
      <w:r w:rsidRPr="00293C44">
        <w:rPr>
          <w:noProof/>
          <w:lang w:eastAsia="fr-FR"/>
        </w:rPr>
        <w:t>5.3.3</w:t>
      </w:r>
      <w:r>
        <w:rPr>
          <w:rFonts w:eastAsiaTheme="minorEastAsia"/>
          <w:noProof/>
          <w:kern w:val="2"/>
          <w:sz w:val="24"/>
          <w:szCs w:val="24"/>
          <w:lang w:val="en-US"/>
          <w14:ligatures w14:val="standardContextual"/>
        </w:rPr>
        <w:tab/>
      </w:r>
      <w:r w:rsidRPr="00293C44">
        <w:rPr>
          <w:noProof/>
          <w:lang w:eastAsia="fr-FR"/>
        </w:rPr>
        <w:t>Uncertainties and time-series consistency</w:t>
      </w:r>
      <w:r>
        <w:rPr>
          <w:noProof/>
        </w:rPr>
        <w:tab/>
      </w:r>
      <w:r>
        <w:rPr>
          <w:noProof/>
        </w:rPr>
        <w:fldChar w:fldCharType="begin"/>
      </w:r>
      <w:r>
        <w:rPr>
          <w:noProof/>
        </w:rPr>
        <w:instrText xml:space="preserve"> PAGEREF _Toc184808265 \h </w:instrText>
      </w:r>
      <w:r>
        <w:rPr>
          <w:noProof/>
        </w:rPr>
      </w:r>
      <w:r>
        <w:rPr>
          <w:noProof/>
        </w:rPr>
        <w:fldChar w:fldCharType="separate"/>
      </w:r>
      <w:r>
        <w:rPr>
          <w:noProof/>
        </w:rPr>
        <w:t>155</w:t>
      </w:r>
      <w:r>
        <w:rPr>
          <w:noProof/>
        </w:rPr>
        <w:fldChar w:fldCharType="end"/>
      </w:r>
    </w:p>
    <w:p w14:paraId="22280778" w14:textId="174735B6" w:rsidR="00440D6B" w:rsidRDefault="00440D6B">
      <w:pPr>
        <w:pStyle w:val="TOC3"/>
        <w:rPr>
          <w:rFonts w:eastAsiaTheme="minorEastAsia"/>
          <w:noProof/>
          <w:kern w:val="2"/>
          <w:sz w:val="24"/>
          <w:szCs w:val="24"/>
          <w:lang w:val="en-US"/>
          <w14:ligatures w14:val="standardContextual"/>
        </w:rPr>
      </w:pPr>
      <w:r w:rsidRPr="00293C44">
        <w:rPr>
          <w:noProof/>
          <w:lang w:eastAsia="fr-FR"/>
        </w:rPr>
        <w:t>5.3.4</w:t>
      </w:r>
      <w:r>
        <w:rPr>
          <w:rFonts w:eastAsiaTheme="minorEastAsia"/>
          <w:noProof/>
          <w:kern w:val="2"/>
          <w:sz w:val="24"/>
          <w:szCs w:val="24"/>
          <w:lang w:val="en-US"/>
          <w14:ligatures w14:val="standardContextual"/>
        </w:rPr>
        <w:tab/>
      </w:r>
      <w:r w:rsidRPr="00293C44">
        <w:rPr>
          <w:noProof/>
          <w:lang w:eastAsia="fr-FR"/>
        </w:rPr>
        <w:t>Category-specific QA/QC and verification</w:t>
      </w:r>
      <w:r>
        <w:rPr>
          <w:noProof/>
        </w:rPr>
        <w:tab/>
      </w:r>
      <w:r>
        <w:rPr>
          <w:noProof/>
        </w:rPr>
        <w:fldChar w:fldCharType="begin"/>
      </w:r>
      <w:r>
        <w:rPr>
          <w:noProof/>
        </w:rPr>
        <w:instrText xml:space="preserve"> PAGEREF _Toc184808266 \h </w:instrText>
      </w:r>
      <w:r>
        <w:rPr>
          <w:noProof/>
        </w:rPr>
      </w:r>
      <w:r>
        <w:rPr>
          <w:noProof/>
        </w:rPr>
        <w:fldChar w:fldCharType="separate"/>
      </w:r>
      <w:r>
        <w:rPr>
          <w:noProof/>
        </w:rPr>
        <w:t>156</w:t>
      </w:r>
      <w:r>
        <w:rPr>
          <w:noProof/>
        </w:rPr>
        <w:fldChar w:fldCharType="end"/>
      </w:r>
    </w:p>
    <w:p w14:paraId="74B34D66" w14:textId="3E502923" w:rsidR="00440D6B" w:rsidRDefault="00440D6B">
      <w:pPr>
        <w:pStyle w:val="TOC3"/>
        <w:rPr>
          <w:rFonts w:eastAsiaTheme="minorEastAsia"/>
          <w:noProof/>
          <w:kern w:val="2"/>
          <w:sz w:val="24"/>
          <w:szCs w:val="24"/>
          <w:lang w:val="en-US"/>
          <w14:ligatures w14:val="standardContextual"/>
        </w:rPr>
      </w:pPr>
      <w:r w:rsidRPr="00293C44">
        <w:rPr>
          <w:noProof/>
          <w:lang w:eastAsia="fr-FR"/>
        </w:rPr>
        <w:t>5.3.5</w:t>
      </w:r>
      <w:r>
        <w:rPr>
          <w:rFonts w:eastAsiaTheme="minorEastAsia"/>
          <w:noProof/>
          <w:kern w:val="2"/>
          <w:sz w:val="24"/>
          <w:szCs w:val="24"/>
          <w:lang w:val="en-US"/>
          <w14:ligatures w14:val="standardContextual"/>
        </w:rPr>
        <w:tab/>
      </w:r>
      <w:r w:rsidRPr="00293C44">
        <w:rPr>
          <w:noProof/>
          <w:lang w:eastAsia="fr-FR"/>
        </w:rPr>
        <w:t>Category-specific recalculations</w:t>
      </w:r>
      <w:r>
        <w:rPr>
          <w:noProof/>
        </w:rPr>
        <w:tab/>
      </w:r>
      <w:r>
        <w:rPr>
          <w:noProof/>
        </w:rPr>
        <w:fldChar w:fldCharType="begin"/>
      </w:r>
      <w:r>
        <w:rPr>
          <w:noProof/>
        </w:rPr>
        <w:instrText xml:space="preserve"> PAGEREF _Toc184808267 \h </w:instrText>
      </w:r>
      <w:r>
        <w:rPr>
          <w:noProof/>
        </w:rPr>
      </w:r>
      <w:r>
        <w:rPr>
          <w:noProof/>
        </w:rPr>
        <w:fldChar w:fldCharType="separate"/>
      </w:r>
      <w:r>
        <w:rPr>
          <w:noProof/>
        </w:rPr>
        <w:t>156</w:t>
      </w:r>
      <w:r>
        <w:rPr>
          <w:noProof/>
        </w:rPr>
        <w:fldChar w:fldCharType="end"/>
      </w:r>
    </w:p>
    <w:p w14:paraId="1DAD34D9" w14:textId="0A0410F0" w:rsidR="00440D6B" w:rsidRDefault="00440D6B">
      <w:pPr>
        <w:pStyle w:val="TOC3"/>
        <w:rPr>
          <w:rFonts w:eastAsiaTheme="minorEastAsia"/>
          <w:noProof/>
          <w:kern w:val="2"/>
          <w:sz w:val="24"/>
          <w:szCs w:val="24"/>
          <w:lang w:val="en-US"/>
          <w14:ligatures w14:val="standardContextual"/>
        </w:rPr>
      </w:pPr>
      <w:r w:rsidRPr="00293C44">
        <w:rPr>
          <w:noProof/>
          <w:lang w:eastAsia="fr-FR"/>
        </w:rPr>
        <w:t>5.3.6</w:t>
      </w:r>
      <w:r>
        <w:rPr>
          <w:rFonts w:eastAsiaTheme="minorEastAsia"/>
          <w:noProof/>
          <w:kern w:val="2"/>
          <w:sz w:val="24"/>
          <w:szCs w:val="24"/>
          <w:lang w:val="en-US"/>
          <w14:ligatures w14:val="standardContextual"/>
        </w:rPr>
        <w:tab/>
      </w:r>
      <w:r w:rsidRPr="00293C44">
        <w:rPr>
          <w:noProof/>
          <w:lang w:eastAsia="fr-FR"/>
        </w:rPr>
        <w:t>Category-specific planned improvements</w:t>
      </w:r>
      <w:r>
        <w:rPr>
          <w:noProof/>
        </w:rPr>
        <w:tab/>
      </w:r>
      <w:r>
        <w:rPr>
          <w:noProof/>
        </w:rPr>
        <w:fldChar w:fldCharType="begin"/>
      </w:r>
      <w:r>
        <w:rPr>
          <w:noProof/>
        </w:rPr>
        <w:instrText xml:space="preserve"> PAGEREF _Toc184808268 \h </w:instrText>
      </w:r>
      <w:r>
        <w:rPr>
          <w:noProof/>
        </w:rPr>
      </w:r>
      <w:r>
        <w:rPr>
          <w:noProof/>
        </w:rPr>
        <w:fldChar w:fldCharType="separate"/>
      </w:r>
      <w:r>
        <w:rPr>
          <w:noProof/>
        </w:rPr>
        <w:t>156</w:t>
      </w:r>
      <w:r>
        <w:rPr>
          <w:noProof/>
        </w:rPr>
        <w:fldChar w:fldCharType="end"/>
      </w:r>
    </w:p>
    <w:p w14:paraId="18D126CD" w14:textId="4E87791D"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5.4</w:t>
      </w:r>
      <w:r>
        <w:rPr>
          <w:rFonts w:eastAsiaTheme="minorEastAsia"/>
          <w:noProof/>
          <w:kern w:val="2"/>
          <w:sz w:val="24"/>
          <w:szCs w:val="24"/>
          <w:lang w:val="en-US"/>
          <w14:ligatures w14:val="standardContextual"/>
        </w:rPr>
        <w:tab/>
      </w:r>
      <w:r>
        <w:rPr>
          <w:noProof/>
        </w:rPr>
        <w:t>Agricultural soils (CRT 3D)</w:t>
      </w:r>
      <w:r>
        <w:rPr>
          <w:noProof/>
        </w:rPr>
        <w:tab/>
      </w:r>
      <w:r>
        <w:rPr>
          <w:noProof/>
        </w:rPr>
        <w:fldChar w:fldCharType="begin"/>
      </w:r>
      <w:r>
        <w:rPr>
          <w:noProof/>
        </w:rPr>
        <w:instrText xml:space="preserve"> PAGEREF _Toc184808269 \h </w:instrText>
      </w:r>
      <w:r>
        <w:rPr>
          <w:noProof/>
        </w:rPr>
      </w:r>
      <w:r>
        <w:rPr>
          <w:noProof/>
        </w:rPr>
        <w:fldChar w:fldCharType="separate"/>
      </w:r>
      <w:r>
        <w:rPr>
          <w:noProof/>
        </w:rPr>
        <w:t>156</w:t>
      </w:r>
      <w:r>
        <w:rPr>
          <w:noProof/>
        </w:rPr>
        <w:fldChar w:fldCharType="end"/>
      </w:r>
    </w:p>
    <w:p w14:paraId="2ACA4244" w14:textId="10570058" w:rsidR="00440D6B" w:rsidRDefault="00440D6B">
      <w:pPr>
        <w:pStyle w:val="TOC3"/>
        <w:rPr>
          <w:rFonts w:eastAsiaTheme="minorEastAsia"/>
          <w:noProof/>
          <w:kern w:val="2"/>
          <w:sz w:val="24"/>
          <w:szCs w:val="24"/>
          <w:lang w:val="en-US"/>
          <w14:ligatures w14:val="standardContextual"/>
        </w:rPr>
      </w:pPr>
      <w:r w:rsidRPr="00293C44">
        <w:rPr>
          <w:noProof/>
          <w:lang w:eastAsia="fr-FR"/>
        </w:rPr>
        <w:t>5.4.1</w:t>
      </w:r>
      <w:r>
        <w:rPr>
          <w:rFonts w:eastAsiaTheme="minorEastAsia"/>
          <w:noProof/>
          <w:kern w:val="2"/>
          <w:sz w:val="24"/>
          <w:szCs w:val="24"/>
          <w:lang w:val="en-US"/>
          <w14:ligatures w14:val="standardContextual"/>
        </w:rPr>
        <w:tab/>
      </w:r>
      <w:r w:rsidRPr="00293C44">
        <w:rPr>
          <w:noProof/>
          <w:lang w:eastAsia="fr-FR"/>
        </w:rPr>
        <w:t>Direct N</w:t>
      </w:r>
      <w:r w:rsidRPr="00293C44">
        <w:rPr>
          <w:noProof/>
          <w:vertAlign w:val="subscript"/>
          <w:lang w:eastAsia="fr-FR"/>
        </w:rPr>
        <w:t>2</w:t>
      </w:r>
      <w:r w:rsidRPr="00293C44">
        <w:rPr>
          <w:noProof/>
          <w:lang w:eastAsia="fr-FR"/>
        </w:rPr>
        <w:t>O emissions from managed soils (CRT 3D1)</w:t>
      </w:r>
      <w:r>
        <w:rPr>
          <w:noProof/>
        </w:rPr>
        <w:tab/>
      </w:r>
      <w:r>
        <w:rPr>
          <w:noProof/>
        </w:rPr>
        <w:fldChar w:fldCharType="begin"/>
      </w:r>
      <w:r>
        <w:rPr>
          <w:noProof/>
        </w:rPr>
        <w:instrText xml:space="preserve"> PAGEREF _Toc184808270 \h </w:instrText>
      </w:r>
      <w:r>
        <w:rPr>
          <w:noProof/>
        </w:rPr>
      </w:r>
      <w:r>
        <w:rPr>
          <w:noProof/>
        </w:rPr>
        <w:fldChar w:fldCharType="separate"/>
      </w:r>
      <w:r>
        <w:rPr>
          <w:noProof/>
        </w:rPr>
        <w:t>158</w:t>
      </w:r>
      <w:r>
        <w:rPr>
          <w:noProof/>
        </w:rPr>
        <w:fldChar w:fldCharType="end"/>
      </w:r>
    </w:p>
    <w:p w14:paraId="2C5D0298" w14:textId="25202AF8" w:rsidR="00440D6B" w:rsidRDefault="00440D6B">
      <w:pPr>
        <w:pStyle w:val="TOC3"/>
        <w:rPr>
          <w:rFonts w:eastAsiaTheme="minorEastAsia"/>
          <w:noProof/>
          <w:kern w:val="2"/>
          <w:sz w:val="24"/>
          <w:szCs w:val="24"/>
          <w:lang w:val="en-US"/>
          <w14:ligatures w14:val="standardContextual"/>
        </w:rPr>
      </w:pPr>
      <w:r w:rsidRPr="00293C44">
        <w:rPr>
          <w:noProof/>
          <w:lang w:eastAsia="fr-FR"/>
        </w:rPr>
        <w:t>5.4.2</w:t>
      </w:r>
      <w:r>
        <w:rPr>
          <w:rFonts w:eastAsiaTheme="minorEastAsia"/>
          <w:noProof/>
          <w:kern w:val="2"/>
          <w:sz w:val="24"/>
          <w:szCs w:val="24"/>
          <w:lang w:val="en-US"/>
          <w14:ligatures w14:val="standardContextual"/>
        </w:rPr>
        <w:tab/>
      </w:r>
      <w:r w:rsidRPr="00293C44">
        <w:rPr>
          <w:noProof/>
          <w:lang w:eastAsia="fr-FR"/>
        </w:rPr>
        <w:t>Indirect N</w:t>
      </w:r>
      <w:r w:rsidRPr="00293C44">
        <w:rPr>
          <w:noProof/>
          <w:vertAlign w:val="subscript"/>
          <w:lang w:eastAsia="fr-FR"/>
        </w:rPr>
        <w:t>2</w:t>
      </w:r>
      <w:r w:rsidRPr="00293C44">
        <w:rPr>
          <w:noProof/>
          <w:lang w:eastAsia="fr-FR"/>
        </w:rPr>
        <w:t>O emissions from managed soils (CRT 3D2)</w:t>
      </w:r>
      <w:r>
        <w:rPr>
          <w:noProof/>
        </w:rPr>
        <w:tab/>
      </w:r>
      <w:r>
        <w:rPr>
          <w:noProof/>
        </w:rPr>
        <w:fldChar w:fldCharType="begin"/>
      </w:r>
      <w:r>
        <w:rPr>
          <w:noProof/>
        </w:rPr>
        <w:instrText xml:space="preserve"> PAGEREF _Toc184808272 \h </w:instrText>
      </w:r>
      <w:r>
        <w:rPr>
          <w:noProof/>
        </w:rPr>
      </w:r>
      <w:r>
        <w:rPr>
          <w:noProof/>
        </w:rPr>
        <w:fldChar w:fldCharType="separate"/>
      </w:r>
      <w:r>
        <w:rPr>
          <w:noProof/>
        </w:rPr>
        <w:t>161</w:t>
      </w:r>
      <w:r>
        <w:rPr>
          <w:noProof/>
        </w:rPr>
        <w:fldChar w:fldCharType="end"/>
      </w:r>
    </w:p>
    <w:p w14:paraId="07395D89" w14:textId="14C51850" w:rsidR="00440D6B" w:rsidRDefault="00440D6B">
      <w:pPr>
        <w:pStyle w:val="TOC3"/>
        <w:rPr>
          <w:rFonts w:eastAsiaTheme="minorEastAsia"/>
          <w:noProof/>
          <w:kern w:val="2"/>
          <w:sz w:val="24"/>
          <w:szCs w:val="24"/>
          <w:lang w:val="en-US"/>
          <w14:ligatures w14:val="standardContextual"/>
        </w:rPr>
      </w:pPr>
      <w:r w:rsidRPr="00293C44">
        <w:rPr>
          <w:noProof/>
          <w:lang w:eastAsia="fr-FR"/>
        </w:rPr>
        <w:t>5.4.3</w:t>
      </w:r>
      <w:r>
        <w:rPr>
          <w:rFonts w:eastAsiaTheme="minorEastAsia"/>
          <w:noProof/>
          <w:kern w:val="2"/>
          <w:sz w:val="24"/>
          <w:szCs w:val="24"/>
          <w:lang w:val="en-US"/>
          <w14:ligatures w14:val="standardContextual"/>
        </w:rPr>
        <w:tab/>
      </w:r>
      <w:r w:rsidRPr="00293C44">
        <w:rPr>
          <w:noProof/>
          <w:lang w:eastAsia="fr-FR"/>
        </w:rPr>
        <w:t>Uncertainties and time-series consistency</w:t>
      </w:r>
      <w:r>
        <w:rPr>
          <w:noProof/>
        </w:rPr>
        <w:tab/>
      </w:r>
      <w:r>
        <w:rPr>
          <w:noProof/>
        </w:rPr>
        <w:fldChar w:fldCharType="begin"/>
      </w:r>
      <w:r>
        <w:rPr>
          <w:noProof/>
        </w:rPr>
        <w:instrText xml:space="preserve"> PAGEREF _Toc184808274 \h </w:instrText>
      </w:r>
      <w:r>
        <w:rPr>
          <w:noProof/>
        </w:rPr>
      </w:r>
      <w:r>
        <w:rPr>
          <w:noProof/>
        </w:rPr>
        <w:fldChar w:fldCharType="separate"/>
      </w:r>
      <w:r>
        <w:rPr>
          <w:noProof/>
        </w:rPr>
        <w:t>162</w:t>
      </w:r>
      <w:r>
        <w:rPr>
          <w:noProof/>
        </w:rPr>
        <w:fldChar w:fldCharType="end"/>
      </w:r>
    </w:p>
    <w:p w14:paraId="3EC5FBDB" w14:textId="51D4752D" w:rsidR="00440D6B" w:rsidRDefault="00440D6B">
      <w:pPr>
        <w:pStyle w:val="TOC3"/>
        <w:rPr>
          <w:rFonts w:eastAsiaTheme="minorEastAsia"/>
          <w:noProof/>
          <w:kern w:val="2"/>
          <w:sz w:val="24"/>
          <w:szCs w:val="24"/>
          <w:lang w:val="en-US"/>
          <w14:ligatures w14:val="standardContextual"/>
        </w:rPr>
      </w:pPr>
      <w:r w:rsidRPr="00293C44">
        <w:rPr>
          <w:noProof/>
          <w:lang w:eastAsia="fr-FR"/>
        </w:rPr>
        <w:t>5.4.4</w:t>
      </w:r>
      <w:r>
        <w:rPr>
          <w:rFonts w:eastAsiaTheme="minorEastAsia"/>
          <w:noProof/>
          <w:kern w:val="2"/>
          <w:sz w:val="24"/>
          <w:szCs w:val="24"/>
          <w:lang w:val="en-US"/>
          <w14:ligatures w14:val="standardContextual"/>
        </w:rPr>
        <w:tab/>
      </w:r>
      <w:r w:rsidRPr="00293C44">
        <w:rPr>
          <w:noProof/>
          <w:lang w:eastAsia="fr-FR"/>
        </w:rPr>
        <w:t>Category-specific QA/QC and verification</w:t>
      </w:r>
      <w:r>
        <w:rPr>
          <w:noProof/>
        </w:rPr>
        <w:tab/>
      </w:r>
      <w:r>
        <w:rPr>
          <w:noProof/>
        </w:rPr>
        <w:fldChar w:fldCharType="begin"/>
      </w:r>
      <w:r>
        <w:rPr>
          <w:noProof/>
        </w:rPr>
        <w:instrText xml:space="preserve"> PAGEREF _Toc184808275 \h </w:instrText>
      </w:r>
      <w:r>
        <w:rPr>
          <w:noProof/>
        </w:rPr>
      </w:r>
      <w:r>
        <w:rPr>
          <w:noProof/>
        </w:rPr>
        <w:fldChar w:fldCharType="separate"/>
      </w:r>
      <w:r>
        <w:rPr>
          <w:noProof/>
        </w:rPr>
        <w:t>162</w:t>
      </w:r>
      <w:r>
        <w:rPr>
          <w:noProof/>
        </w:rPr>
        <w:fldChar w:fldCharType="end"/>
      </w:r>
    </w:p>
    <w:p w14:paraId="4C5BC50B" w14:textId="2A6B0835" w:rsidR="00440D6B" w:rsidRDefault="00440D6B">
      <w:pPr>
        <w:pStyle w:val="TOC3"/>
        <w:rPr>
          <w:rFonts w:eastAsiaTheme="minorEastAsia"/>
          <w:noProof/>
          <w:kern w:val="2"/>
          <w:sz w:val="24"/>
          <w:szCs w:val="24"/>
          <w:lang w:val="en-US"/>
          <w14:ligatures w14:val="standardContextual"/>
        </w:rPr>
      </w:pPr>
      <w:r w:rsidRPr="00293C44">
        <w:rPr>
          <w:noProof/>
          <w:lang w:eastAsia="fr-FR"/>
        </w:rPr>
        <w:t>5.4.5</w:t>
      </w:r>
      <w:r>
        <w:rPr>
          <w:rFonts w:eastAsiaTheme="minorEastAsia"/>
          <w:noProof/>
          <w:kern w:val="2"/>
          <w:sz w:val="24"/>
          <w:szCs w:val="24"/>
          <w:lang w:val="en-US"/>
          <w14:ligatures w14:val="standardContextual"/>
        </w:rPr>
        <w:tab/>
      </w:r>
      <w:r w:rsidRPr="00293C44">
        <w:rPr>
          <w:noProof/>
          <w:lang w:eastAsia="fr-FR"/>
        </w:rPr>
        <w:t>Category-specific recalculations</w:t>
      </w:r>
      <w:r>
        <w:rPr>
          <w:noProof/>
        </w:rPr>
        <w:tab/>
      </w:r>
      <w:r>
        <w:rPr>
          <w:noProof/>
        </w:rPr>
        <w:fldChar w:fldCharType="begin"/>
      </w:r>
      <w:r>
        <w:rPr>
          <w:noProof/>
        </w:rPr>
        <w:instrText xml:space="preserve"> PAGEREF _Toc184808276 \h </w:instrText>
      </w:r>
      <w:r>
        <w:rPr>
          <w:noProof/>
        </w:rPr>
      </w:r>
      <w:r>
        <w:rPr>
          <w:noProof/>
        </w:rPr>
        <w:fldChar w:fldCharType="separate"/>
      </w:r>
      <w:r>
        <w:rPr>
          <w:noProof/>
        </w:rPr>
        <w:t>163</w:t>
      </w:r>
      <w:r>
        <w:rPr>
          <w:noProof/>
        </w:rPr>
        <w:fldChar w:fldCharType="end"/>
      </w:r>
    </w:p>
    <w:p w14:paraId="77A31195" w14:textId="344554DC" w:rsidR="00440D6B" w:rsidRDefault="00440D6B">
      <w:pPr>
        <w:pStyle w:val="TOC3"/>
        <w:rPr>
          <w:rFonts w:eastAsiaTheme="minorEastAsia"/>
          <w:noProof/>
          <w:kern w:val="2"/>
          <w:sz w:val="24"/>
          <w:szCs w:val="24"/>
          <w:lang w:val="en-US"/>
          <w14:ligatures w14:val="standardContextual"/>
        </w:rPr>
      </w:pPr>
      <w:r w:rsidRPr="00293C44">
        <w:rPr>
          <w:noProof/>
          <w:lang w:eastAsia="fr-FR"/>
        </w:rPr>
        <w:t>5.4.6</w:t>
      </w:r>
      <w:r>
        <w:rPr>
          <w:rFonts w:eastAsiaTheme="minorEastAsia"/>
          <w:noProof/>
          <w:kern w:val="2"/>
          <w:sz w:val="24"/>
          <w:szCs w:val="24"/>
          <w:lang w:val="en-US"/>
          <w14:ligatures w14:val="standardContextual"/>
        </w:rPr>
        <w:tab/>
      </w:r>
      <w:r w:rsidRPr="00293C44">
        <w:rPr>
          <w:noProof/>
          <w:lang w:eastAsia="fr-FR"/>
        </w:rPr>
        <w:t>Category-specific planned improvements</w:t>
      </w:r>
      <w:r>
        <w:rPr>
          <w:noProof/>
        </w:rPr>
        <w:tab/>
      </w:r>
      <w:r>
        <w:rPr>
          <w:noProof/>
        </w:rPr>
        <w:fldChar w:fldCharType="begin"/>
      </w:r>
      <w:r>
        <w:rPr>
          <w:noProof/>
        </w:rPr>
        <w:instrText xml:space="preserve"> PAGEREF _Toc184808277 \h </w:instrText>
      </w:r>
      <w:r>
        <w:rPr>
          <w:noProof/>
        </w:rPr>
      </w:r>
      <w:r>
        <w:rPr>
          <w:noProof/>
        </w:rPr>
        <w:fldChar w:fldCharType="separate"/>
      </w:r>
      <w:r>
        <w:rPr>
          <w:noProof/>
        </w:rPr>
        <w:t>163</w:t>
      </w:r>
      <w:r>
        <w:rPr>
          <w:noProof/>
        </w:rPr>
        <w:fldChar w:fldCharType="end"/>
      </w:r>
    </w:p>
    <w:p w14:paraId="45E6721F" w14:textId="417317B5"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5.5</w:t>
      </w:r>
      <w:r>
        <w:rPr>
          <w:rFonts w:eastAsiaTheme="minorEastAsia"/>
          <w:noProof/>
          <w:kern w:val="2"/>
          <w:sz w:val="24"/>
          <w:szCs w:val="24"/>
          <w:lang w:val="en-US"/>
          <w14:ligatures w14:val="standardContextual"/>
        </w:rPr>
        <w:tab/>
      </w:r>
      <w:r>
        <w:rPr>
          <w:noProof/>
        </w:rPr>
        <w:t>Field burning of agricultural residues (CRF 3F)</w:t>
      </w:r>
      <w:r>
        <w:rPr>
          <w:noProof/>
        </w:rPr>
        <w:tab/>
      </w:r>
      <w:r>
        <w:rPr>
          <w:noProof/>
        </w:rPr>
        <w:fldChar w:fldCharType="begin"/>
      </w:r>
      <w:r>
        <w:rPr>
          <w:noProof/>
        </w:rPr>
        <w:instrText xml:space="preserve"> PAGEREF _Toc184808278 \h </w:instrText>
      </w:r>
      <w:r>
        <w:rPr>
          <w:noProof/>
        </w:rPr>
      </w:r>
      <w:r>
        <w:rPr>
          <w:noProof/>
        </w:rPr>
        <w:fldChar w:fldCharType="separate"/>
      </w:r>
      <w:r>
        <w:rPr>
          <w:noProof/>
        </w:rPr>
        <w:t>163</w:t>
      </w:r>
      <w:r>
        <w:rPr>
          <w:noProof/>
        </w:rPr>
        <w:fldChar w:fldCharType="end"/>
      </w:r>
    </w:p>
    <w:p w14:paraId="34B4E5CE" w14:textId="76B2D7FB" w:rsidR="00440D6B" w:rsidRDefault="00440D6B">
      <w:pPr>
        <w:pStyle w:val="TOC3"/>
        <w:rPr>
          <w:rFonts w:eastAsiaTheme="minorEastAsia"/>
          <w:noProof/>
          <w:kern w:val="2"/>
          <w:sz w:val="24"/>
          <w:szCs w:val="24"/>
          <w:lang w:val="en-US"/>
          <w14:ligatures w14:val="standardContextual"/>
        </w:rPr>
      </w:pPr>
      <w:r w:rsidRPr="00293C44">
        <w:rPr>
          <w:noProof/>
          <w:lang w:eastAsia="fr-FR"/>
        </w:rPr>
        <w:t>5.5.1</w:t>
      </w:r>
      <w:r>
        <w:rPr>
          <w:rFonts w:eastAsiaTheme="minorEastAsia"/>
          <w:noProof/>
          <w:kern w:val="2"/>
          <w:sz w:val="24"/>
          <w:szCs w:val="24"/>
          <w:lang w:val="en-US"/>
          <w14:ligatures w14:val="standardContextual"/>
        </w:rPr>
        <w:tab/>
      </w:r>
      <w:r w:rsidRPr="00293C44">
        <w:rPr>
          <w:noProof/>
          <w:lang w:eastAsia="fr-FR"/>
        </w:rPr>
        <w:t>Cereals (CRF 3F1)</w:t>
      </w:r>
      <w:r>
        <w:rPr>
          <w:noProof/>
        </w:rPr>
        <w:tab/>
      </w:r>
      <w:r>
        <w:rPr>
          <w:noProof/>
        </w:rPr>
        <w:fldChar w:fldCharType="begin"/>
      </w:r>
      <w:r>
        <w:rPr>
          <w:noProof/>
        </w:rPr>
        <w:instrText xml:space="preserve"> PAGEREF _Toc184808279 \h </w:instrText>
      </w:r>
      <w:r>
        <w:rPr>
          <w:noProof/>
        </w:rPr>
      </w:r>
      <w:r>
        <w:rPr>
          <w:noProof/>
        </w:rPr>
        <w:fldChar w:fldCharType="separate"/>
      </w:r>
      <w:r>
        <w:rPr>
          <w:noProof/>
        </w:rPr>
        <w:t>163</w:t>
      </w:r>
      <w:r>
        <w:rPr>
          <w:noProof/>
        </w:rPr>
        <w:fldChar w:fldCharType="end"/>
      </w:r>
    </w:p>
    <w:p w14:paraId="1AE0E1CF" w14:textId="643CD214" w:rsidR="00440D6B" w:rsidRDefault="00440D6B">
      <w:pPr>
        <w:pStyle w:val="TOC3"/>
        <w:rPr>
          <w:rFonts w:eastAsiaTheme="minorEastAsia"/>
          <w:noProof/>
          <w:kern w:val="2"/>
          <w:sz w:val="24"/>
          <w:szCs w:val="24"/>
          <w:lang w:val="en-US"/>
          <w14:ligatures w14:val="standardContextual"/>
        </w:rPr>
      </w:pPr>
      <w:r w:rsidRPr="00293C44">
        <w:rPr>
          <w:noProof/>
          <w:lang w:eastAsia="fr-FR"/>
        </w:rPr>
        <w:t>5.5.2</w:t>
      </w:r>
      <w:r>
        <w:rPr>
          <w:rFonts w:eastAsiaTheme="minorEastAsia"/>
          <w:noProof/>
          <w:kern w:val="2"/>
          <w:sz w:val="24"/>
          <w:szCs w:val="24"/>
          <w:lang w:val="en-US"/>
          <w14:ligatures w14:val="standardContextual"/>
        </w:rPr>
        <w:tab/>
      </w:r>
      <w:r w:rsidRPr="00293C44">
        <w:rPr>
          <w:noProof/>
          <w:lang w:eastAsia="fr-FR"/>
        </w:rPr>
        <w:t>Uncertainties and time-series consistency</w:t>
      </w:r>
      <w:r>
        <w:rPr>
          <w:noProof/>
        </w:rPr>
        <w:tab/>
      </w:r>
      <w:r>
        <w:rPr>
          <w:noProof/>
        </w:rPr>
        <w:fldChar w:fldCharType="begin"/>
      </w:r>
      <w:r>
        <w:rPr>
          <w:noProof/>
        </w:rPr>
        <w:instrText xml:space="preserve"> PAGEREF _Toc184808280 \h </w:instrText>
      </w:r>
      <w:r>
        <w:rPr>
          <w:noProof/>
        </w:rPr>
      </w:r>
      <w:r>
        <w:rPr>
          <w:noProof/>
        </w:rPr>
        <w:fldChar w:fldCharType="separate"/>
      </w:r>
      <w:r>
        <w:rPr>
          <w:noProof/>
        </w:rPr>
        <w:t>165</w:t>
      </w:r>
      <w:r>
        <w:rPr>
          <w:noProof/>
        </w:rPr>
        <w:fldChar w:fldCharType="end"/>
      </w:r>
    </w:p>
    <w:p w14:paraId="40439119" w14:textId="678282BB" w:rsidR="00440D6B" w:rsidRDefault="00440D6B">
      <w:pPr>
        <w:pStyle w:val="TOC3"/>
        <w:rPr>
          <w:rFonts w:eastAsiaTheme="minorEastAsia"/>
          <w:noProof/>
          <w:kern w:val="2"/>
          <w:sz w:val="24"/>
          <w:szCs w:val="24"/>
          <w:lang w:val="en-US"/>
          <w14:ligatures w14:val="standardContextual"/>
        </w:rPr>
      </w:pPr>
      <w:r w:rsidRPr="00293C44">
        <w:rPr>
          <w:noProof/>
          <w:lang w:eastAsia="fr-FR"/>
        </w:rPr>
        <w:t>5.5.3</w:t>
      </w:r>
      <w:r>
        <w:rPr>
          <w:rFonts w:eastAsiaTheme="minorEastAsia"/>
          <w:noProof/>
          <w:kern w:val="2"/>
          <w:sz w:val="24"/>
          <w:szCs w:val="24"/>
          <w:lang w:val="en-US"/>
          <w14:ligatures w14:val="standardContextual"/>
        </w:rPr>
        <w:tab/>
      </w:r>
      <w:r w:rsidRPr="00293C44">
        <w:rPr>
          <w:noProof/>
          <w:lang w:eastAsia="fr-FR"/>
        </w:rPr>
        <w:t>Category-specific QA/QC and verification</w:t>
      </w:r>
      <w:r>
        <w:rPr>
          <w:noProof/>
        </w:rPr>
        <w:tab/>
      </w:r>
      <w:r>
        <w:rPr>
          <w:noProof/>
        </w:rPr>
        <w:fldChar w:fldCharType="begin"/>
      </w:r>
      <w:r>
        <w:rPr>
          <w:noProof/>
        </w:rPr>
        <w:instrText xml:space="preserve"> PAGEREF _Toc184808281 \h </w:instrText>
      </w:r>
      <w:r>
        <w:rPr>
          <w:noProof/>
        </w:rPr>
      </w:r>
      <w:r>
        <w:rPr>
          <w:noProof/>
        </w:rPr>
        <w:fldChar w:fldCharType="separate"/>
      </w:r>
      <w:r>
        <w:rPr>
          <w:noProof/>
        </w:rPr>
        <w:t>165</w:t>
      </w:r>
      <w:r>
        <w:rPr>
          <w:noProof/>
        </w:rPr>
        <w:fldChar w:fldCharType="end"/>
      </w:r>
    </w:p>
    <w:p w14:paraId="7B22502F" w14:textId="491E2B96" w:rsidR="00440D6B" w:rsidRDefault="00440D6B">
      <w:pPr>
        <w:pStyle w:val="TOC3"/>
        <w:rPr>
          <w:rFonts w:eastAsiaTheme="minorEastAsia"/>
          <w:noProof/>
          <w:kern w:val="2"/>
          <w:sz w:val="24"/>
          <w:szCs w:val="24"/>
          <w:lang w:val="en-US"/>
          <w14:ligatures w14:val="standardContextual"/>
        </w:rPr>
      </w:pPr>
      <w:r w:rsidRPr="00293C44">
        <w:rPr>
          <w:noProof/>
          <w:lang w:eastAsia="fr-FR"/>
        </w:rPr>
        <w:t>5.5.4</w:t>
      </w:r>
      <w:r>
        <w:rPr>
          <w:rFonts w:eastAsiaTheme="minorEastAsia"/>
          <w:noProof/>
          <w:kern w:val="2"/>
          <w:sz w:val="24"/>
          <w:szCs w:val="24"/>
          <w:lang w:val="en-US"/>
          <w14:ligatures w14:val="standardContextual"/>
        </w:rPr>
        <w:tab/>
      </w:r>
      <w:r w:rsidRPr="00293C44">
        <w:rPr>
          <w:noProof/>
          <w:lang w:eastAsia="fr-FR"/>
        </w:rPr>
        <w:t>Category-specific recalculations</w:t>
      </w:r>
      <w:r>
        <w:rPr>
          <w:noProof/>
        </w:rPr>
        <w:tab/>
      </w:r>
      <w:r>
        <w:rPr>
          <w:noProof/>
        </w:rPr>
        <w:fldChar w:fldCharType="begin"/>
      </w:r>
      <w:r>
        <w:rPr>
          <w:noProof/>
        </w:rPr>
        <w:instrText xml:space="preserve"> PAGEREF _Toc184808282 \h </w:instrText>
      </w:r>
      <w:r>
        <w:rPr>
          <w:noProof/>
        </w:rPr>
      </w:r>
      <w:r>
        <w:rPr>
          <w:noProof/>
        </w:rPr>
        <w:fldChar w:fldCharType="separate"/>
      </w:r>
      <w:r>
        <w:rPr>
          <w:noProof/>
        </w:rPr>
        <w:t>165</w:t>
      </w:r>
      <w:r>
        <w:rPr>
          <w:noProof/>
        </w:rPr>
        <w:fldChar w:fldCharType="end"/>
      </w:r>
    </w:p>
    <w:p w14:paraId="6E6B0EB0" w14:textId="423C23BD" w:rsidR="00440D6B" w:rsidRDefault="00440D6B">
      <w:pPr>
        <w:pStyle w:val="TOC3"/>
        <w:rPr>
          <w:rFonts w:eastAsiaTheme="minorEastAsia"/>
          <w:noProof/>
          <w:kern w:val="2"/>
          <w:sz w:val="24"/>
          <w:szCs w:val="24"/>
          <w:lang w:val="en-US"/>
          <w14:ligatures w14:val="standardContextual"/>
        </w:rPr>
      </w:pPr>
      <w:r w:rsidRPr="00293C44">
        <w:rPr>
          <w:noProof/>
          <w:lang w:eastAsia="fr-FR"/>
        </w:rPr>
        <w:t>5.5.5</w:t>
      </w:r>
      <w:r>
        <w:rPr>
          <w:rFonts w:eastAsiaTheme="minorEastAsia"/>
          <w:noProof/>
          <w:kern w:val="2"/>
          <w:sz w:val="24"/>
          <w:szCs w:val="24"/>
          <w:lang w:val="en-US"/>
          <w14:ligatures w14:val="standardContextual"/>
        </w:rPr>
        <w:tab/>
      </w:r>
      <w:r w:rsidRPr="00293C44">
        <w:rPr>
          <w:noProof/>
          <w:lang w:eastAsia="fr-FR"/>
        </w:rPr>
        <w:t>Category-specific planned improvements</w:t>
      </w:r>
      <w:r>
        <w:rPr>
          <w:noProof/>
        </w:rPr>
        <w:tab/>
      </w:r>
      <w:r>
        <w:rPr>
          <w:noProof/>
        </w:rPr>
        <w:fldChar w:fldCharType="begin"/>
      </w:r>
      <w:r>
        <w:rPr>
          <w:noProof/>
        </w:rPr>
        <w:instrText xml:space="preserve"> PAGEREF _Toc184808283 \h </w:instrText>
      </w:r>
      <w:r>
        <w:rPr>
          <w:noProof/>
        </w:rPr>
      </w:r>
      <w:r>
        <w:rPr>
          <w:noProof/>
        </w:rPr>
        <w:fldChar w:fldCharType="separate"/>
      </w:r>
      <w:r>
        <w:rPr>
          <w:noProof/>
        </w:rPr>
        <w:t>165</w:t>
      </w:r>
      <w:r>
        <w:rPr>
          <w:noProof/>
        </w:rPr>
        <w:fldChar w:fldCharType="end"/>
      </w:r>
    </w:p>
    <w:p w14:paraId="1C1F5A45" w14:textId="1EB0E1DA"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5.6</w:t>
      </w:r>
      <w:r>
        <w:rPr>
          <w:rFonts w:eastAsiaTheme="minorEastAsia"/>
          <w:noProof/>
          <w:kern w:val="2"/>
          <w:sz w:val="24"/>
          <w:szCs w:val="24"/>
          <w:lang w:val="en-US"/>
          <w14:ligatures w14:val="standardContextual"/>
        </w:rPr>
        <w:tab/>
      </w:r>
      <w:r>
        <w:rPr>
          <w:noProof/>
        </w:rPr>
        <w:t>Urea application (CRF 3H)</w:t>
      </w:r>
      <w:r>
        <w:rPr>
          <w:noProof/>
        </w:rPr>
        <w:tab/>
      </w:r>
      <w:r>
        <w:rPr>
          <w:noProof/>
        </w:rPr>
        <w:fldChar w:fldCharType="begin"/>
      </w:r>
      <w:r>
        <w:rPr>
          <w:noProof/>
        </w:rPr>
        <w:instrText xml:space="preserve"> PAGEREF _Toc184808284 \h </w:instrText>
      </w:r>
      <w:r>
        <w:rPr>
          <w:noProof/>
        </w:rPr>
      </w:r>
      <w:r>
        <w:rPr>
          <w:noProof/>
        </w:rPr>
        <w:fldChar w:fldCharType="separate"/>
      </w:r>
      <w:r>
        <w:rPr>
          <w:noProof/>
        </w:rPr>
        <w:t>166</w:t>
      </w:r>
      <w:r>
        <w:rPr>
          <w:noProof/>
        </w:rPr>
        <w:fldChar w:fldCharType="end"/>
      </w:r>
    </w:p>
    <w:p w14:paraId="79D6C4EE" w14:textId="43C1693C" w:rsidR="00440D6B" w:rsidRDefault="00440D6B">
      <w:pPr>
        <w:pStyle w:val="TOC3"/>
        <w:rPr>
          <w:rFonts w:eastAsiaTheme="minorEastAsia"/>
          <w:noProof/>
          <w:kern w:val="2"/>
          <w:sz w:val="24"/>
          <w:szCs w:val="24"/>
          <w:lang w:val="en-US"/>
          <w14:ligatures w14:val="standardContextual"/>
        </w:rPr>
      </w:pPr>
      <w:r w:rsidRPr="00293C44">
        <w:rPr>
          <w:noProof/>
          <w:lang w:eastAsia="fr-FR"/>
        </w:rPr>
        <w:t>5.6.1</w:t>
      </w:r>
      <w:r>
        <w:rPr>
          <w:rFonts w:eastAsiaTheme="minorEastAsia"/>
          <w:noProof/>
          <w:kern w:val="2"/>
          <w:sz w:val="24"/>
          <w:szCs w:val="24"/>
          <w:lang w:val="en-US"/>
          <w14:ligatures w14:val="standardContextual"/>
        </w:rPr>
        <w:tab/>
      </w:r>
      <w:r w:rsidRPr="00293C44">
        <w:rPr>
          <w:noProof/>
          <w:lang w:eastAsia="fr-FR"/>
        </w:rPr>
        <w:t>Category description</w:t>
      </w:r>
      <w:r>
        <w:rPr>
          <w:noProof/>
        </w:rPr>
        <w:tab/>
      </w:r>
      <w:r>
        <w:rPr>
          <w:noProof/>
        </w:rPr>
        <w:fldChar w:fldCharType="begin"/>
      </w:r>
      <w:r>
        <w:rPr>
          <w:noProof/>
        </w:rPr>
        <w:instrText xml:space="preserve"> PAGEREF _Toc184808285 \h </w:instrText>
      </w:r>
      <w:r>
        <w:rPr>
          <w:noProof/>
        </w:rPr>
      </w:r>
      <w:r>
        <w:rPr>
          <w:noProof/>
        </w:rPr>
        <w:fldChar w:fldCharType="separate"/>
      </w:r>
      <w:r>
        <w:rPr>
          <w:noProof/>
        </w:rPr>
        <w:t>166</w:t>
      </w:r>
      <w:r>
        <w:rPr>
          <w:noProof/>
        </w:rPr>
        <w:fldChar w:fldCharType="end"/>
      </w:r>
    </w:p>
    <w:p w14:paraId="3F4DE3AF" w14:textId="5F52BEC9" w:rsidR="00440D6B" w:rsidRDefault="00440D6B">
      <w:pPr>
        <w:pStyle w:val="TOC3"/>
        <w:rPr>
          <w:rFonts w:eastAsiaTheme="minorEastAsia"/>
          <w:noProof/>
          <w:kern w:val="2"/>
          <w:sz w:val="24"/>
          <w:szCs w:val="24"/>
          <w:lang w:val="en-US"/>
          <w14:ligatures w14:val="standardContextual"/>
        </w:rPr>
      </w:pPr>
      <w:r w:rsidRPr="00293C44">
        <w:rPr>
          <w:noProof/>
          <w:lang w:eastAsia="fr-FR"/>
        </w:rPr>
        <w:t>5.6.2</w:t>
      </w:r>
      <w:r>
        <w:rPr>
          <w:rFonts w:eastAsiaTheme="minorEastAsia"/>
          <w:noProof/>
          <w:kern w:val="2"/>
          <w:sz w:val="24"/>
          <w:szCs w:val="24"/>
          <w:lang w:val="en-US"/>
          <w14:ligatures w14:val="standardContextual"/>
        </w:rPr>
        <w:tab/>
      </w:r>
      <w:r w:rsidRPr="00293C44">
        <w:rPr>
          <w:noProof/>
          <w:lang w:eastAsia="fr-FR"/>
        </w:rPr>
        <w:t>Methodological issues</w:t>
      </w:r>
      <w:r>
        <w:rPr>
          <w:noProof/>
        </w:rPr>
        <w:tab/>
      </w:r>
      <w:r>
        <w:rPr>
          <w:noProof/>
        </w:rPr>
        <w:fldChar w:fldCharType="begin"/>
      </w:r>
      <w:r>
        <w:rPr>
          <w:noProof/>
        </w:rPr>
        <w:instrText xml:space="preserve"> PAGEREF _Toc184808286 \h </w:instrText>
      </w:r>
      <w:r>
        <w:rPr>
          <w:noProof/>
        </w:rPr>
      </w:r>
      <w:r>
        <w:rPr>
          <w:noProof/>
        </w:rPr>
        <w:fldChar w:fldCharType="separate"/>
      </w:r>
      <w:r>
        <w:rPr>
          <w:noProof/>
        </w:rPr>
        <w:t>166</w:t>
      </w:r>
      <w:r>
        <w:rPr>
          <w:noProof/>
        </w:rPr>
        <w:fldChar w:fldCharType="end"/>
      </w:r>
    </w:p>
    <w:p w14:paraId="2A2488EB" w14:textId="59DEB0B0" w:rsidR="00440D6B" w:rsidRDefault="00440D6B">
      <w:pPr>
        <w:pStyle w:val="TOC3"/>
        <w:rPr>
          <w:rFonts w:eastAsiaTheme="minorEastAsia"/>
          <w:noProof/>
          <w:kern w:val="2"/>
          <w:sz w:val="24"/>
          <w:szCs w:val="24"/>
          <w:lang w:val="en-US"/>
          <w14:ligatures w14:val="standardContextual"/>
        </w:rPr>
      </w:pPr>
      <w:r w:rsidRPr="00293C44">
        <w:rPr>
          <w:noProof/>
          <w:lang w:eastAsia="fr-FR"/>
        </w:rPr>
        <w:t>5.6.3</w:t>
      </w:r>
      <w:r>
        <w:rPr>
          <w:rFonts w:eastAsiaTheme="minorEastAsia"/>
          <w:noProof/>
          <w:kern w:val="2"/>
          <w:sz w:val="24"/>
          <w:szCs w:val="24"/>
          <w:lang w:val="en-US"/>
          <w14:ligatures w14:val="standardContextual"/>
        </w:rPr>
        <w:tab/>
      </w:r>
      <w:r w:rsidRPr="00293C44">
        <w:rPr>
          <w:noProof/>
          <w:lang w:eastAsia="fr-FR"/>
        </w:rPr>
        <w:t>Uncertainties and time-series consistency</w:t>
      </w:r>
      <w:r>
        <w:rPr>
          <w:noProof/>
        </w:rPr>
        <w:tab/>
      </w:r>
      <w:r>
        <w:rPr>
          <w:noProof/>
        </w:rPr>
        <w:fldChar w:fldCharType="begin"/>
      </w:r>
      <w:r>
        <w:rPr>
          <w:noProof/>
        </w:rPr>
        <w:instrText xml:space="preserve"> PAGEREF _Toc184808287 \h </w:instrText>
      </w:r>
      <w:r>
        <w:rPr>
          <w:noProof/>
        </w:rPr>
      </w:r>
      <w:r>
        <w:rPr>
          <w:noProof/>
        </w:rPr>
        <w:fldChar w:fldCharType="separate"/>
      </w:r>
      <w:r>
        <w:rPr>
          <w:noProof/>
        </w:rPr>
        <w:t>167</w:t>
      </w:r>
      <w:r>
        <w:rPr>
          <w:noProof/>
        </w:rPr>
        <w:fldChar w:fldCharType="end"/>
      </w:r>
    </w:p>
    <w:p w14:paraId="56A558C4" w14:textId="0DDC3978" w:rsidR="00440D6B" w:rsidRDefault="00440D6B">
      <w:pPr>
        <w:pStyle w:val="TOC3"/>
        <w:rPr>
          <w:rFonts w:eastAsiaTheme="minorEastAsia"/>
          <w:noProof/>
          <w:kern w:val="2"/>
          <w:sz w:val="24"/>
          <w:szCs w:val="24"/>
          <w:lang w:val="en-US"/>
          <w14:ligatures w14:val="standardContextual"/>
        </w:rPr>
      </w:pPr>
      <w:r w:rsidRPr="00293C44">
        <w:rPr>
          <w:noProof/>
          <w:lang w:eastAsia="fr-FR"/>
        </w:rPr>
        <w:t>5.6.4</w:t>
      </w:r>
      <w:r>
        <w:rPr>
          <w:rFonts w:eastAsiaTheme="minorEastAsia"/>
          <w:noProof/>
          <w:kern w:val="2"/>
          <w:sz w:val="24"/>
          <w:szCs w:val="24"/>
          <w:lang w:val="en-US"/>
          <w14:ligatures w14:val="standardContextual"/>
        </w:rPr>
        <w:tab/>
      </w:r>
      <w:r w:rsidRPr="00293C44">
        <w:rPr>
          <w:noProof/>
          <w:lang w:eastAsia="fr-FR"/>
        </w:rPr>
        <w:t>Category-specific QA/QC and verification</w:t>
      </w:r>
      <w:r>
        <w:rPr>
          <w:noProof/>
        </w:rPr>
        <w:tab/>
      </w:r>
      <w:r>
        <w:rPr>
          <w:noProof/>
        </w:rPr>
        <w:fldChar w:fldCharType="begin"/>
      </w:r>
      <w:r>
        <w:rPr>
          <w:noProof/>
        </w:rPr>
        <w:instrText xml:space="preserve"> PAGEREF _Toc184808288 \h </w:instrText>
      </w:r>
      <w:r>
        <w:rPr>
          <w:noProof/>
        </w:rPr>
      </w:r>
      <w:r>
        <w:rPr>
          <w:noProof/>
        </w:rPr>
        <w:fldChar w:fldCharType="separate"/>
      </w:r>
      <w:r>
        <w:rPr>
          <w:noProof/>
        </w:rPr>
        <w:t>167</w:t>
      </w:r>
      <w:r>
        <w:rPr>
          <w:noProof/>
        </w:rPr>
        <w:fldChar w:fldCharType="end"/>
      </w:r>
    </w:p>
    <w:p w14:paraId="204B364A" w14:textId="0D1211B0" w:rsidR="00440D6B" w:rsidRDefault="00440D6B">
      <w:pPr>
        <w:pStyle w:val="TOC3"/>
        <w:rPr>
          <w:rFonts w:eastAsiaTheme="minorEastAsia"/>
          <w:noProof/>
          <w:kern w:val="2"/>
          <w:sz w:val="24"/>
          <w:szCs w:val="24"/>
          <w:lang w:val="en-US"/>
          <w14:ligatures w14:val="standardContextual"/>
        </w:rPr>
      </w:pPr>
      <w:r w:rsidRPr="00293C44">
        <w:rPr>
          <w:noProof/>
          <w:lang w:eastAsia="fr-FR"/>
        </w:rPr>
        <w:t>5.6.5</w:t>
      </w:r>
      <w:r>
        <w:rPr>
          <w:rFonts w:eastAsiaTheme="minorEastAsia"/>
          <w:noProof/>
          <w:kern w:val="2"/>
          <w:sz w:val="24"/>
          <w:szCs w:val="24"/>
          <w:lang w:val="en-US"/>
          <w14:ligatures w14:val="standardContextual"/>
        </w:rPr>
        <w:tab/>
      </w:r>
      <w:r w:rsidRPr="00293C44">
        <w:rPr>
          <w:noProof/>
          <w:lang w:eastAsia="fr-FR"/>
        </w:rPr>
        <w:t>Category-specific recalculations</w:t>
      </w:r>
      <w:r>
        <w:rPr>
          <w:noProof/>
        </w:rPr>
        <w:tab/>
      </w:r>
      <w:r>
        <w:rPr>
          <w:noProof/>
        </w:rPr>
        <w:fldChar w:fldCharType="begin"/>
      </w:r>
      <w:r>
        <w:rPr>
          <w:noProof/>
        </w:rPr>
        <w:instrText xml:space="preserve"> PAGEREF _Toc184808289 \h </w:instrText>
      </w:r>
      <w:r>
        <w:rPr>
          <w:noProof/>
        </w:rPr>
      </w:r>
      <w:r>
        <w:rPr>
          <w:noProof/>
        </w:rPr>
        <w:fldChar w:fldCharType="separate"/>
      </w:r>
      <w:r>
        <w:rPr>
          <w:noProof/>
        </w:rPr>
        <w:t>167</w:t>
      </w:r>
      <w:r>
        <w:rPr>
          <w:noProof/>
        </w:rPr>
        <w:fldChar w:fldCharType="end"/>
      </w:r>
    </w:p>
    <w:p w14:paraId="006E7B9F" w14:textId="1D47C86D" w:rsidR="00440D6B" w:rsidRDefault="00440D6B">
      <w:pPr>
        <w:pStyle w:val="TOC3"/>
        <w:rPr>
          <w:rFonts w:eastAsiaTheme="minorEastAsia"/>
          <w:noProof/>
          <w:kern w:val="2"/>
          <w:sz w:val="24"/>
          <w:szCs w:val="24"/>
          <w:lang w:val="en-US"/>
          <w14:ligatures w14:val="standardContextual"/>
        </w:rPr>
      </w:pPr>
      <w:r w:rsidRPr="00293C44">
        <w:rPr>
          <w:noProof/>
          <w:lang w:eastAsia="fr-FR"/>
        </w:rPr>
        <w:t>5.6.6</w:t>
      </w:r>
      <w:r>
        <w:rPr>
          <w:rFonts w:eastAsiaTheme="minorEastAsia"/>
          <w:noProof/>
          <w:kern w:val="2"/>
          <w:sz w:val="24"/>
          <w:szCs w:val="24"/>
          <w:lang w:val="en-US"/>
          <w14:ligatures w14:val="standardContextual"/>
        </w:rPr>
        <w:tab/>
      </w:r>
      <w:r w:rsidRPr="00293C44">
        <w:rPr>
          <w:noProof/>
          <w:lang w:eastAsia="fr-FR"/>
        </w:rPr>
        <w:t>Category-specific planned improvements</w:t>
      </w:r>
      <w:r>
        <w:rPr>
          <w:noProof/>
        </w:rPr>
        <w:tab/>
      </w:r>
      <w:r>
        <w:rPr>
          <w:noProof/>
        </w:rPr>
        <w:fldChar w:fldCharType="begin"/>
      </w:r>
      <w:r>
        <w:rPr>
          <w:noProof/>
        </w:rPr>
        <w:instrText xml:space="preserve"> PAGEREF _Toc184808290 \h </w:instrText>
      </w:r>
      <w:r>
        <w:rPr>
          <w:noProof/>
        </w:rPr>
      </w:r>
      <w:r>
        <w:rPr>
          <w:noProof/>
        </w:rPr>
        <w:fldChar w:fldCharType="separate"/>
      </w:r>
      <w:r>
        <w:rPr>
          <w:noProof/>
        </w:rPr>
        <w:t>167</w:t>
      </w:r>
      <w:r>
        <w:rPr>
          <w:noProof/>
        </w:rPr>
        <w:fldChar w:fldCharType="end"/>
      </w:r>
    </w:p>
    <w:p w14:paraId="298921DC" w14:textId="3372EE53"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Chapter 6: Land Use, Land-Use Change and Forestry (CRT sector 4)</w:t>
      </w:r>
      <w:r>
        <w:rPr>
          <w:noProof/>
        </w:rPr>
        <w:tab/>
      </w:r>
      <w:r>
        <w:rPr>
          <w:noProof/>
        </w:rPr>
        <w:fldChar w:fldCharType="begin"/>
      </w:r>
      <w:r>
        <w:rPr>
          <w:noProof/>
        </w:rPr>
        <w:instrText xml:space="preserve"> PAGEREF _Toc184808291 \h </w:instrText>
      </w:r>
      <w:r>
        <w:rPr>
          <w:noProof/>
        </w:rPr>
      </w:r>
      <w:r>
        <w:rPr>
          <w:noProof/>
        </w:rPr>
        <w:fldChar w:fldCharType="separate"/>
      </w:r>
      <w:r>
        <w:rPr>
          <w:noProof/>
        </w:rPr>
        <w:t>168</w:t>
      </w:r>
      <w:r>
        <w:rPr>
          <w:noProof/>
        </w:rPr>
        <w:fldChar w:fldCharType="end"/>
      </w:r>
    </w:p>
    <w:p w14:paraId="0CE4B703" w14:textId="5315049A"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6.1</w:t>
      </w:r>
      <w:r>
        <w:rPr>
          <w:rFonts w:eastAsiaTheme="minorEastAsia"/>
          <w:noProof/>
          <w:kern w:val="2"/>
          <w:sz w:val="24"/>
          <w:szCs w:val="24"/>
          <w:lang w:val="en-US"/>
          <w14:ligatures w14:val="standardContextual"/>
        </w:rPr>
        <w:tab/>
      </w:r>
      <w:r w:rsidRPr="00293C44">
        <w:rPr>
          <w:noProof/>
        </w:rPr>
        <w:t>Overview of sector</w:t>
      </w:r>
      <w:r>
        <w:rPr>
          <w:noProof/>
        </w:rPr>
        <w:tab/>
      </w:r>
      <w:r>
        <w:rPr>
          <w:noProof/>
        </w:rPr>
        <w:fldChar w:fldCharType="begin"/>
      </w:r>
      <w:r>
        <w:rPr>
          <w:noProof/>
        </w:rPr>
        <w:instrText xml:space="preserve"> PAGEREF _Toc184808293 \h </w:instrText>
      </w:r>
      <w:r>
        <w:rPr>
          <w:noProof/>
        </w:rPr>
      </w:r>
      <w:r>
        <w:rPr>
          <w:noProof/>
        </w:rPr>
        <w:fldChar w:fldCharType="separate"/>
      </w:r>
      <w:r>
        <w:rPr>
          <w:noProof/>
        </w:rPr>
        <w:t>168</w:t>
      </w:r>
      <w:r>
        <w:rPr>
          <w:noProof/>
        </w:rPr>
        <w:fldChar w:fldCharType="end"/>
      </w:r>
    </w:p>
    <w:p w14:paraId="3D4DB503" w14:textId="5FE1886A"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6.2</w:t>
      </w:r>
      <w:r>
        <w:rPr>
          <w:rFonts w:eastAsiaTheme="minorEastAsia"/>
          <w:noProof/>
          <w:kern w:val="2"/>
          <w:sz w:val="24"/>
          <w:szCs w:val="24"/>
          <w:lang w:val="en-US"/>
          <w14:ligatures w14:val="standardContextual"/>
        </w:rPr>
        <w:tab/>
      </w:r>
      <w:r>
        <w:rPr>
          <w:noProof/>
        </w:rPr>
        <w:t>Land-use definitions and the classification systems used and their correspondence to the land use, land-use change and forestry categories (e.g. land use and land-use change matrix)</w:t>
      </w:r>
      <w:r>
        <w:rPr>
          <w:noProof/>
        </w:rPr>
        <w:tab/>
      </w:r>
      <w:r>
        <w:rPr>
          <w:noProof/>
        </w:rPr>
        <w:fldChar w:fldCharType="begin"/>
      </w:r>
      <w:r>
        <w:rPr>
          <w:noProof/>
        </w:rPr>
        <w:instrText xml:space="preserve"> PAGEREF _Toc184808294 \h </w:instrText>
      </w:r>
      <w:r>
        <w:rPr>
          <w:noProof/>
        </w:rPr>
      </w:r>
      <w:r>
        <w:rPr>
          <w:noProof/>
        </w:rPr>
        <w:fldChar w:fldCharType="separate"/>
      </w:r>
      <w:r>
        <w:rPr>
          <w:noProof/>
        </w:rPr>
        <w:t>170</w:t>
      </w:r>
      <w:r>
        <w:rPr>
          <w:noProof/>
        </w:rPr>
        <w:fldChar w:fldCharType="end"/>
      </w:r>
    </w:p>
    <w:p w14:paraId="6925F7C9" w14:textId="278A12AF"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6.3</w:t>
      </w:r>
      <w:r>
        <w:rPr>
          <w:rFonts w:eastAsiaTheme="minorEastAsia"/>
          <w:noProof/>
          <w:kern w:val="2"/>
          <w:sz w:val="24"/>
          <w:szCs w:val="24"/>
          <w:lang w:val="en-US"/>
          <w14:ligatures w14:val="standardContextual"/>
        </w:rPr>
        <w:tab/>
      </w:r>
      <w:r>
        <w:rPr>
          <w:noProof/>
        </w:rPr>
        <w:t>Information on approaches used for representing land areas and on land-use database used for the inventory preparation</w:t>
      </w:r>
      <w:r>
        <w:rPr>
          <w:noProof/>
        </w:rPr>
        <w:tab/>
      </w:r>
      <w:r>
        <w:rPr>
          <w:noProof/>
        </w:rPr>
        <w:fldChar w:fldCharType="begin"/>
      </w:r>
      <w:r>
        <w:rPr>
          <w:noProof/>
        </w:rPr>
        <w:instrText xml:space="preserve"> PAGEREF _Toc184808295 \h </w:instrText>
      </w:r>
      <w:r>
        <w:rPr>
          <w:noProof/>
        </w:rPr>
      </w:r>
      <w:r>
        <w:rPr>
          <w:noProof/>
        </w:rPr>
        <w:fldChar w:fldCharType="separate"/>
      </w:r>
      <w:r>
        <w:rPr>
          <w:noProof/>
        </w:rPr>
        <w:t>170</w:t>
      </w:r>
      <w:r>
        <w:rPr>
          <w:noProof/>
        </w:rPr>
        <w:fldChar w:fldCharType="end"/>
      </w:r>
    </w:p>
    <w:p w14:paraId="709FCB4F" w14:textId="1E951CCF"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lastRenderedPageBreak/>
        <w:t>6.4</w:t>
      </w:r>
      <w:r>
        <w:rPr>
          <w:rFonts w:eastAsiaTheme="minorEastAsia"/>
          <w:noProof/>
          <w:kern w:val="2"/>
          <w:sz w:val="24"/>
          <w:szCs w:val="24"/>
          <w:lang w:val="en-US"/>
          <w14:ligatures w14:val="standardContextual"/>
        </w:rPr>
        <w:tab/>
      </w:r>
      <w:r w:rsidRPr="00293C44">
        <w:rPr>
          <w:noProof/>
        </w:rPr>
        <w:t>Common elements to all land uses (CRT 4)</w:t>
      </w:r>
      <w:r>
        <w:rPr>
          <w:noProof/>
        </w:rPr>
        <w:tab/>
      </w:r>
      <w:r>
        <w:rPr>
          <w:noProof/>
        </w:rPr>
        <w:fldChar w:fldCharType="begin"/>
      </w:r>
      <w:r>
        <w:rPr>
          <w:noProof/>
        </w:rPr>
        <w:instrText xml:space="preserve"> PAGEREF _Toc184808296 \h </w:instrText>
      </w:r>
      <w:r>
        <w:rPr>
          <w:noProof/>
        </w:rPr>
      </w:r>
      <w:r>
        <w:rPr>
          <w:noProof/>
        </w:rPr>
        <w:fldChar w:fldCharType="separate"/>
      </w:r>
      <w:r>
        <w:rPr>
          <w:noProof/>
        </w:rPr>
        <w:t>173</w:t>
      </w:r>
      <w:r>
        <w:rPr>
          <w:noProof/>
        </w:rPr>
        <w:fldChar w:fldCharType="end"/>
      </w:r>
    </w:p>
    <w:p w14:paraId="3D47881D" w14:textId="2902C025" w:rsidR="00440D6B" w:rsidRDefault="00440D6B">
      <w:pPr>
        <w:pStyle w:val="TOC3"/>
        <w:rPr>
          <w:rFonts w:eastAsiaTheme="minorEastAsia"/>
          <w:noProof/>
          <w:kern w:val="2"/>
          <w:sz w:val="24"/>
          <w:szCs w:val="24"/>
          <w:lang w:val="en-US"/>
          <w14:ligatures w14:val="standardContextual"/>
        </w:rPr>
      </w:pPr>
      <w:r>
        <w:rPr>
          <w:noProof/>
        </w:rPr>
        <w:t>6.4.1</w:t>
      </w:r>
      <w:r>
        <w:rPr>
          <w:rFonts w:eastAsiaTheme="minorEastAsia"/>
          <w:noProof/>
          <w:kern w:val="2"/>
          <w:sz w:val="24"/>
          <w:szCs w:val="24"/>
          <w:lang w:val="en-US"/>
          <w14:ligatures w14:val="standardContextual"/>
        </w:rPr>
        <w:tab/>
      </w:r>
      <w:r>
        <w:rPr>
          <w:noProof/>
        </w:rPr>
        <w:t>Carbon stock changes</w:t>
      </w:r>
      <w:r>
        <w:rPr>
          <w:noProof/>
        </w:rPr>
        <w:tab/>
      </w:r>
      <w:r>
        <w:rPr>
          <w:noProof/>
        </w:rPr>
        <w:fldChar w:fldCharType="begin"/>
      </w:r>
      <w:r>
        <w:rPr>
          <w:noProof/>
        </w:rPr>
        <w:instrText xml:space="preserve"> PAGEREF _Toc184808297 \h </w:instrText>
      </w:r>
      <w:r>
        <w:rPr>
          <w:noProof/>
        </w:rPr>
      </w:r>
      <w:r>
        <w:rPr>
          <w:noProof/>
        </w:rPr>
        <w:fldChar w:fldCharType="separate"/>
      </w:r>
      <w:r>
        <w:rPr>
          <w:noProof/>
        </w:rPr>
        <w:t>173</w:t>
      </w:r>
      <w:r>
        <w:rPr>
          <w:noProof/>
        </w:rPr>
        <w:fldChar w:fldCharType="end"/>
      </w:r>
    </w:p>
    <w:p w14:paraId="7C3DA875" w14:textId="481E6577" w:rsidR="00440D6B" w:rsidRDefault="00440D6B">
      <w:pPr>
        <w:pStyle w:val="TOC3"/>
        <w:rPr>
          <w:rFonts w:eastAsiaTheme="minorEastAsia"/>
          <w:noProof/>
          <w:kern w:val="2"/>
          <w:sz w:val="24"/>
          <w:szCs w:val="24"/>
          <w:lang w:val="en-US"/>
          <w14:ligatures w14:val="standardContextual"/>
        </w:rPr>
      </w:pPr>
      <w:r>
        <w:rPr>
          <w:noProof/>
        </w:rPr>
        <w:t>6.4.2</w:t>
      </w:r>
      <w:r>
        <w:rPr>
          <w:rFonts w:eastAsiaTheme="minorEastAsia"/>
          <w:noProof/>
          <w:kern w:val="2"/>
          <w:sz w:val="24"/>
          <w:szCs w:val="24"/>
          <w:lang w:val="en-US"/>
          <w14:ligatures w14:val="standardContextual"/>
        </w:rPr>
        <w:tab/>
      </w:r>
      <w:r>
        <w:rPr>
          <w:noProof/>
        </w:rPr>
        <w:t>Direct N</w:t>
      </w:r>
      <w:r w:rsidRPr="00293C44">
        <w:rPr>
          <w:noProof/>
          <w:vertAlign w:val="subscript"/>
        </w:rPr>
        <w:t>2</w:t>
      </w:r>
      <w:r>
        <w:rPr>
          <w:noProof/>
        </w:rPr>
        <w:t>O Emissions from N Inputs to Managed Soils</w:t>
      </w:r>
      <w:r>
        <w:rPr>
          <w:noProof/>
        </w:rPr>
        <w:tab/>
      </w:r>
      <w:r>
        <w:rPr>
          <w:noProof/>
        </w:rPr>
        <w:fldChar w:fldCharType="begin"/>
      </w:r>
      <w:r>
        <w:rPr>
          <w:noProof/>
        </w:rPr>
        <w:instrText xml:space="preserve"> PAGEREF _Toc184808298 \h </w:instrText>
      </w:r>
      <w:r>
        <w:rPr>
          <w:noProof/>
        </w:rPr>
      </w:r>
      <w:r>
        <w:rPr>
          <w:noProof/>
        </w:rPr>
        <w:fldChar w:fldCharType="separate"/>
      </w:r>
      <w:r>
        <w:rPr>
          <w:noProof/>
        </w:rPr>
        <w:t>174</w:t>
      </w:r>
      <w:r>
        <w:rPr>
          <w:noProof/>
        </w:rPr>
        <w:fldChar w:fldCharType="end"/>
      </w:r>
    </w:p>
    <w:p w14:paraId="64748E3B" w14:textId="20CA0748" w:rsidR="00440D6B" w:rsidRDefault="00440D6B">
      <w:pPr>
        <w:pStyle w:val="TOC3"/>
        <w:tabs>
          <w:tab w:val="left" w:pos="1760"/>
        </w:tabs>
        <w:rPr>
          <w:rFonts w:eastAsiaTheme="minorEastAsia"/>
          <w:noProof/>
          <w:kern w:val="2"/>
          <w:sz w:val="24"/>
          <w:szCs w:val="24"/>
          <w:lang w:val="en-US"/>
          <w14:ligatures w14:val="standardContextual"/>
        </w:rPr>
      </w:pPr>
      <w:r>
        <w:rPr>
          <w:noProof/>
        </w:rPr>
        <w:t>6.4.3</w:t>
      </w:r>
      <w:r>
        <w:rPr>
          <w:rFonts w:eastAsiaTheme="minorEastAsia"/>
          <w:noProof/>
          <w:kern w:val="2"/>
          <w:sz w:val="24"/>
          <w:szCs w:val="24"/>
          <w:lang w:val="en-US"/>
          <w14:ligatures w14:val="standardContextual"/>
        </w:rPr>
        <w:tab/>
      </w:r>
      <w:r>
        <w:rPr>
          <w:noProof/>
        </w:rPr>
        <w:t>Emissions and removals from drainage and rewetting and other management of organic and mineral soils</w:t>
      </w:r>
      <w:r>
        <w:rPr>
          <w:noProof/>
        </w:rPr>
        <w:tab/>
      </w:r>
      <w:r>
        <w:rPr>
          <w:noProof/>
        </w:rPr>
        <w:fldChar w:fldCharType="begin"/>
      </w:r>
      <w:r>
        <w:rPr>
          <w:noProof/>
        </w:rPr>
        <w:instrText xml:space="preserve"> PAGEREF _Toc184808299 \h </w:instrText>
      </w:r>
      <w:r>
        <w:rPr>
          <w:noProof/>
        </w:rPr>
      </w:r>
      <w:r>
        <w:rPr>
          <w:noProof/>
        </w:rPr>
        <w:fldChar w:fldCharType="separate"/>
      </w:r>
      <w:r>
        <w:rPr>
          <w:noProof/>
        </w:rPr>
        <w:t>174</w:t>
      </w:r>
      <w:r>
        <w:rPr>
          <w:noProof/>
        </w:rPr>
        <w:fldChar w:fldCharType="end"/>
      </w:r>
    </w:p>
    <w:p w14:paraId="668165D7" w14:textId="02D4A827" w:rsidR="00440D6B" w:rsidRDefault="00440D6B">
      <w:pPr>
        <w:pStyle w:val="TOC3"/>
        <w:rPr>
          <w:rFonts w:eastAsiaTheme="minorEastAsia"/>
          <w:noProof/>
          <w:kern w:val="2"/>
          <w:sz w:val="24"/>
          <w:szCs w:val="24"/>
          <w:lang w:val="en-US"/>
          <w14:ligatures w14:val="standardContextual"/>
        </w:rPr>
      </w:pPr>
      <w:r>
        <w:rPr>
          <w:noProof/>
        </w:rPr>
        <w:t>6.4.4</w:t>
      </w:r>
      <w:r>
        <w:rPr>
          <w:rFonts w:eastAsiaTheme="minorEastAsia"/>
          <w:noProof/>
          <w:kern w:val="2"/>
          <w:sz w:val="24"/>
          <w:szCs w:val="24"/>
          <w:lang w:val="en-US"/>
          <w14:ligatures w14:val="standardContextual"/>
        </w:rPr>
        <w:tab/>
      </w:r>
      <w:r>
        <w:rPr>
          <w:noProof/>
        </w:rPr>
        <w:t>Direct N</w:t>
      </w:r>
      <w:r w:rsidRPr="00293C44">
        <w:rPr>
          <w:noProof/>
          <w:vertAlign w:val="subscript"/>
        </w:rPr>
        <w:t>2</w:t>
      </w:r>
      <w:r>
        <w:rPr>
          <w:noProof/>
        </w:rPr>
        <w:t>O Emissions from N Mineralization/Immobilization</w:t>
      </w:r>
      <w:r>
        <w:rPr>
          <w:noProof/>
        </w:rPr>
        <w:tab/>
      </w:r>
      <w:r>
        <w:rPr>
          <w:noProof/>
        </w:rPr>
        <w:fldChar w:fldCharType="begin"/>
      </w:r>
      <w:r>
        <w:rPr>
          <w:noProof/>
        </w:rPr>
        <w:instrText xml:space="preserve"> PAGEREF _Toc184808300 \h </w:instrText>
      </w:r>
      <w:r>
        <w:rPr>
          <w:noProof/>
        </w:rPr>
      </w:r>
      <w:r>
        <w:rPr>
          <w:noProof/>
        </w:rPr>
        <w:fldChar w:fldCharType="separate"/>
      </w:r>
      <w:r>
        <w:rPr>
          <w:noProof/>
        </w:rPr>
        <w:t>174</w:t>
      </w:r>
      <w:r>
        <w:rPr>
          <w:noProof/>
        </w:rPr>
        <w:fldChar w:fldCharType="end"/>
      </w:r>
    </w:p>
    <w:p w14:paraId="0D2CE557" w14:textId="1BE344E9" w:rsidR="00440D6B" w:rsidRDefault="00440D6B">
      <w:pPr>
        <w:pStyle w:val="TOC3"/>
        <w:rPr>
          <w:rFonts w:eastAsiaTheme="minorEastAsia"/>
          <w:noProof/>
          <w:kern w:val="2"/>
          <w:sz w:val="24"/>
          <w:szCs w:val="24"/>
          <w:lang w:val="en-US"/>
          <w14:ligatures w14:val="standardContextual"/>
        </w:rPr>
      </w:pPr>
      <w:r>
        <w:rPr>
          <w:noProof/>
        </w:rPr>
        <w:t>6.4.5</w:t>
      </w:r>
      <w:r>
        <w:rPr>
          <w:rFonts w:eastAsiaTheme="minorEastAsia"/>
          <w:noProof/>
          <w:kern w:val="2"/>
          <w:sz w:val="24"/>
          <w:szCs w:val="24"/>
          <w:lang w:val="en-US"/>
          <w14:ligatures w14:val="standardContextual"/>
        </w:rPr>
        <w:tab/>
      </w:r>
      <w:r>
        <w:rPr>
          <w:noProof/>
        </w:rPr>
        <w:t>Indirect N</w:t>
      </w:r>
      <w:r w:rsidRPr="00293C44">
        <w:rPr>
          <w:noProof/>
          <w:vertAlign w:val="subscript"/>
        </w:rPr>
        <w:t>2</w:t>
      </w:r>
      <w:r>
        <w:rPr>
          <w:noProof/>
        </w:rPr>
        <w:t>O Emissions from Managed Soils</w:t>
      </w:r>
      <w:r>
        <w:rPr>
          <w:noProof/>
        </w:rPr>
        <w:tab/>
      </w:r>
      <w:r>
        <w:rPr>
          <w:noProof/>
        </w:rPr>
        <w:fldChar w:fldCharType="begin"/>
      </w:r>
      <w:r>
        <w:rPr>
          <w:noProof/>
        </w:rPr>
        <w:instrText xml:space="preserve"> PAGEREF _Toc184808301 \h </w:instrText>
      </w:r>
      <w:r>
        <w:rPr>
          <w:noProof/>
        </w:rPr>
      </w:r>
      <w:r>
        <w:rPr>
          <w:noProof/>
        </w:rPr>
        <w:fldChar w:fldCharType="separate"/>
      </w:r>
      <w:r>
        <w:rPr>
          <w:noProof/>
        </w:rPr>
        <w:t>175</w:t>
      </w:r>
      <w:r>
        <w:rPr>
          <w:noProof/>
        </w:rPr>
        <w:fldChar w:fldCharType="end"/>
      </w:r>
    </w:p>
    <w:p w14:paraId="0E66F43B" w14:textId="265266CE" w:rsidR="00440D6B" w:rsidRDefault="00440D6B">
      <w:pPr>
        <w:pStyle w:val="TOC3"/>
        <w:rPr>
          <w:rFonts w:eastAsiaTheme="minorEastAsia"/>
          <w:noProof/>
          <w:kern w:val="2"/>
          <w:sz w:val="24"/>
          <w:szCs w:val="24"/>
          <w:lang w:val="en-US"/>
          <w14:ligatures w14:val="standardContextual"/>
        </w:rPr>
      </w:pPr>
      <w:r>
        <w:rPr>
          <w:noProof/>
        </w:rPr>
        <w:t>6.4.6</w:t>
      </w:r>
      <w:r>
        <w:rPr>
          <w:rFonts w:eastAsiaTheme="minorEastAsia"/>
          <w:noProof/>
          <w:kern w:val="2"/>
          <w:sz w:val="24"/>
          <w:szCs w:val="24"/>
          <w:lang w:val="en-US"/>
          <w14:ligatures w14:val="standardContextual"/>
        </w:rPr>
        <w:tab/>
      </w:r>
      <w:r>
        <w:rPr>
          <w:noProof/>
        </w:rPr>
        <w:t>Biomass Burning</w:t>
      </w:r>
      <w:r>
        <w:rPr>
          <w:noProof/>
        </w:rPr>
        <w:tab/>
      </w:r>
      <w:r>
        <w:rPr>
          <w:noProof/>
        </w:rPr>
        <w:fldChar w:fldCharType="begin"/>
      </w:r>
      <w:r>
        <w:rPr>
          <w:noProof/>
        </w:rPr>
        <w:instrText xml:space="preserve"> PAGEREF _Toc184808302 \h </w:instrText>
      </w:r>
      <w:r>
        <w:rPr>
          <w:noProof/>
        </w:rPr>
      </w:r>
      <w:r>
        <w:rPr>
          <w:noProof/>
        </w:rPr>
        <w:fldChar w:fldCharType="separate"/>
      </w:r>
      <w:r>
        <w:rPr>
          <w:noProof/>
        </w:rPr>
        <w:t>175</w:t>
      </w:r>
      <w:r>
        <w:rPr>
          <w:noProof/>
        </w:rPr>
        <w:fldChar w:fldCharType="end"/>
      </w:r>
    </w:p>
    <w:p w14:paraId="1EB422B3" w14:textId="7D7676F2"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6.5</w:t>
      </w:r>
      <w:r>
        <w:rPr>
          <w:rFonts w:eastAsiaTheme="minorEastAsia"/>
          <w:noProof/>
          <w:kern w:val="2"/>
          <w:sz w:val="24"/>
          <w:szCs w:val="24"/>
          <w:lang w:val="en-US"/>
          <w14:ligatures w14:val="standardContextual"/>
        </w:rPr>
        <w:tab/>
      </w:r>
      <w:r>
        <w:rPr>
          <w:noProof/>
        </w:rPr>
        <w:t>Forestlands (CRT 4A)</w:t>
      </w:r>
      <w:r>
        <w:rPr>
          <w:noProof/>
        </w:rPr>
        <w:tab/>
      </w:r>
      <w:r>
        <w:rPr>
          <w:noProof/>
        </w:rPr>
        <w:fldChar w:fldCharType="begin"/>
      </w:r>
      <w:r>
        <w:rPr>
          <w:noProof/>
        </w:rPr>
        <w:instrText xml:space="preserve"> PAGEREF _Toc184808303 \h </w:instrText>
      </w:r>
      <w:r>
        <w:rPr>
          <w:noProof/>
        </w:rPr>
      </w:r>
      <w:r>
        <w:rPr>
          <w:noProof/>
        </w:rPr>
        <w:fldChar w:fldCharType="separate"/>
      </w:r>
      <w:r>
        <w:rPr>
          <w:noProof/>
        </w:rPr>
        <w:t>176</w:t>
      </w:r>
      <w:r>
        <w:rPr>
          <w:noProof/>
        </w:rPr>
        <w:fldChar w:fldCharType="end"/>
      </w:r>
    </w:p>
    <w:p w14:paraId="7FA3E765" w14:textId="69F23964" w:rsidR="00440D6B" w:rsidRDefault="00440D6B">
      <w:pPr>
        <w:pStyle w:val="TOC3"/>
        <w:rPr>
          <w:rFonts w:eastAsiaTheme="minorEastAsia"/>
          <w:noProof/>
          <w:kern w:val="2"/>
          <w:sz w:val="24"/>
          <w:szCs w:val="24"/>
          <w:lang w:val="en-US"/>
          <w14:ligatures w14:val="standardContextual"/>
        </w:rPr>
      </w:pPr>
      <w:r>
        <w:rPr>
          <w:noProof/>
        </w:rPr>
        <w:t>6.5.1</w:t>
      </w:r>
      <w:r>
        <w:rPr>
          <w:rFonts w:eastAsiaTheme="minorEastAsia"/>
          <w:noProof/>
          <w:kern w:val="2"/>
          <w:sz w:val="24"/>
          <w:szCs w:val="24"/>
          <w:lang w:val="en-US"/>
          <w14:ligatures w14:val="standardContextual"/>
        </w:rPr>
        <w:tab/>
      </w:r>
      <w:r>
        <w:rPr>
          <w:noProof/>
        </w:rPr>
        <w:t>Description</w:t>
      </w:r>
      <w:r>
        <w:rPr>
          <w:noProof/>
        </w:rPr>
        <w:tab/>
      </w:r>
      <w:r>
        <w:rPr>
          <w:noProof/>
        </w:rPr>
        <w:fldChar w:fldCharType="begin"/>
      </w:r>
      <w:r>
        <w:rPr>
          <w:noProof/>
        </w:rPr>
        <w:instrText xml:space="preserve"> PAGEREF _Toc184808304 \h </w:instrText>
      </w:r>
      <w:r>
        <w:rPr>
          <w:noProof/>
        </w:rPr>
      </w:r>
      <w:r>
        <w:rPr>
          <w:noProof/>
        </w:rPr>
        <w:fldChar w:fldCharType="separate"/>
      </w:r>
      <w:r>
        <w:rPr>
          <w:noProof/>
        </w:rPr>
        <w:t>176</w:t>
      </w:r>
      <w:r>
        <w:rPr>
          <w:noProof/>
        </w:rPr>
        <w:fldChar w:fldCharType="end"/>
      </w:r>
    </w:p>
    <w:p w14:paraId="4DF0FAA3" w14:textId="2375CD16" w:rsidR="00440D6B" w:rsidRDefault="00440D6B">
      <w:pPr>
        <w:pStyle w:val="TOC3"/>
        <w:rPr>
          <w:rFonts w:eastAsiaTheme="minorEastAsia"/>
          <w:noProof/>
          <w:kern w:val="2"/>
          <w:sz w:val="24"/>
          <w:szCs w:val="24"/>
          <w:lang w:val="en-US"/>
          <w14:ligatures w14:val="standardContextual"/>
        </w:rPr>
      </w:pPr>
      <w:r>
        <w:rPr>
          <w:noProof/>
        </w:rPr>
        <w:t>6.5.2</w:t>
      </w:r>
      <w:r>
        <w:rPr>
          <w:rFonts w:eastAsiaTheme="minorEastAsia"/>
          <w:noProof/>
          <w:kern w:val="2"/>
          <w:sz w:val="24"/>
          <w:szCs w:val="24"/>
          <w:lang w:val="en-US"/>
          <w14:ligatures w14:val="standardContextual"/>
        </w:rPr>
        <w:tab/>
      </w:r>
      <w:r>
        <w:rPr>
          <w:noProof/>
        </w:rPr>
        <w:t>Methodological issues</w:t>
      </w:r>
      <w:r>
        <w:rPr>
          <w:noProof/>
        </w:rPr>
        <w:tab/>
      </w:r>
      <w:r>
        <w:rPr>
          <w:noProof/>
        </w:rPr>
        <w:fldChar w:fldCharType="begin"/>
      </w:r>
      <w:r>
        <w:rPr>
          <w:noProof/>
        </w:rPr>
        <w:instrText xml:space="preserve"> PAGEREF _Toc184808305 \h </w:instrText>
      </w:r>
      <w:r>
        <w:rPr>
          <w:noProof/>
        </w:rPr>
      </w:r>
      <w:r>
        <w:rPr>
          <w:noProof/>
        </w:rPr>
        <w:fldChar w:fldCharType="separate"/>
      </w:r>
      <w:r>
        <w:rPr>
          <w:noProof/>
        </w:rPr>
        <w:t>178</w:t>
      </w:r>
      <w:r>
        <w:rPr>
          <w:noProof/>
        </w:rPr>
        <w:fldChar w:fldCharType="end"/>
      </w:r>
    </w:p>
    <w:p w14:paraId="30CC1D40" w14:textId="6C443C4F" w:rsidR="00440D6B" w:rsidRDefault="00440D6B">
      <w:pPr>
        <w:pStyle w:val="TOC3"/>
        <w:rPr>
          <w:rFonts w:eastAsiaTheme="minorEastAsia"/>
          <w:noProof/>
          <w:kern w:val="2"/>
          <w:sz w:val="24"/>
          <w:szCs w:val="24"/>
          <w:lang w:val="en-US"/>
          <w14:ligatures w14:val="standardContextual"/>
        </w:rPr>
      </w:pPr>
      <w:r>
        <w:rPr>
          <w:noProof/>
        </w:rPr>
        <w:t>6.5.3</w:t>
      </w:r>
      <w:r>
        <w:rPr>
          <w:rFonts w:eastAsiaTheme="minorEastAsia"/>
          <w:noProof/>
          <w:kern w:val="2"/>
          <w:sz w:val="24"/>
          <w:szCs w:val="24"/>
          <w:lang w:val="en-US"/>
          <w14:ligatures w14:val="standardContextual"/>
        </w:rPr>
        <w:tab/>
      </w:r>
      <w:r>
        <w:rPr>
          <w:noProof/>
        </w:rPr>
        <w:t>Uncertainties and time-series consistency</w:t>
      </w:r>
      <w:r>
        <w:rPr>
          <w:noProof/>
        </w:rPr>
        <w:tab/>
      </w:r>
      <w:r>
        <w:rPr>
          <w:noProof/>
        </w:rPr>
        <w:fldChar w:fldCharType="begin"/>
      </w:r>
      <w:r>
        <w:rPr>
          <w:noProof/>
        </w:rPr>
        <w:instrText xml:space="preserve"> PAGEREF _Toc184808306 \h </w:instrText>
      </w:r>
      <w:r>
        <w:rPr>
          <w:noProof/>
        </w:rPr>
      </w:r>
      <w:r>
        <w:rPr>
          <w:noProof/>
        </w:rPr>
        <w:fldChar w:fldCharType="separate"/>
      </w:r>
      <w:r>
        <w:rPr>
          <w:noProof/>
        </w:rPr>
        <w:t>181</w:t>
      </w:r>
      <w:r>
        <w:rPr>
          <w:noProof/>
        </w:rPr>
        <w:fldChar w:fldCharType="end"/>
      </w:r>
    </w:p>
    <w:p w14:paraId="218AF885" w14:textId="6015D776" w:rsidR="00440D6B" w:rsidRDefault="00440D6B">
      <w:pPr>
        <w:pStyle w:val="TOC3"/>
        <w:rPr>
          <w:rFonts w:eastAsiaTheme="minorEastAsia"/>
          <w:noProof/>
          <w:kern w:val="2"/>
          <w:sz w:val="24"/>
          <w:szCs w:val="24"/>
          <w:lang w:val="en-US"/>
          <w14:ligatures w14:val="standardContextual"/>
        </w:rPr>
      </w:pPr>
      <w:r>
        <w:rPr>
          <w:noProof/>
        </w:rPr>
        <w:t>6.5.4</w:t>
      </w:r>
      <w:r>
        <w:rPr>
          <w:rFonts w:eastAsiaTheme="minorEastAsia"/>
          <w:noProof/>
          <w:kern w:val="2"/>
          <w:sz w:val="24"/>
          <w:szCs w:val="24"/>
          <w:lang w:val="en-US"/>
          <w14:ligatures w14:val="standardContextual"/>
        </w:rPr>
        <w:tab/>
      </w:r>
      <w:r>
        <w:rPr>
          <w:noProof/>
        </w:rPr>
        <w:t>Category-specific QA/QC and verification</w:t>
      </w:r>
      <w:r>
        <w:rPr>
          <w:noProof/>
        </w:rPr>
        <w:tab/>
      </w:r>
      <w:r>
        <w:rPr>
          <w:noProof/>
        </w:rPr>
        <w:fldChar w:fldCharType="begin"/>
      </w:r>
      <w:r>
        <w:rPr>
          <w:noProof/>
        </w:rPr>
        <w:instrText xml:space="preserve"> PAGEREF _Toc184808307 \h </w:instrText>
      </w:r>
      <w:r>
        <w:rPr>
          <w:noProof/>
        </w:rPr>
      </w:r>
      <w:r>
        <w:rPr>
          <w:noProof/>
        </w:rPr>
        <w:fldChar w:fldCharType="separate"/>
      </w:r>
      <w:r>
        <w:rPr>
          <w:noProof/>
        </w:rPr>
        <w:t>182</w:t>
      </w:r>
      <w:r>
        <w:rPr>
          <w:noProof/>
        </w:rPr>
        <w:fldChar w:fldCharType="end"/>
      </w:r>
    </w:p>
    <w:p w14:paraId="6B6CB8BE" w14:textId="5A57EC69" w:rsidR="00440D6B" w:rsidRDefault="00440D6B">
      <w:pPr>
        <w:pStyle w:val="TOC3"/>
        <w:rPr>
          <w:rFonts w:eastAsiaTheme="minorEastAsia"/>
          <w:noProof/>
          <w:kern w:val="2"/>
          <w:sz w:val="24"/>
          <w:szCs w:val="24"/>
          <w:lang w:val="en-US"/>
          <w14:ligatures w14:val="standardContextual"/>
        </w:rPr>
      </w:pPr>
      <w:r>
        <w:rPr>
          <w:noProof/>
        </w:rPr>
        <w:t>6.5.5</w:t>
      </w:r>
      <w:r>
        <w:rPr>
          <w:rFonts w:eastAsiaTheme="minorEastAsia"/>
          <w:noProof/>
          <w:kern w:val="2"/>
          <w:sz w:val="24"/>
          <w:szCs w:val="24"/>
          <w:lang w:val="en-US"/>
          <w14:ligatures w14:val="standardContextual"/>
        </w:rPr>
        <w:tab/>
      </w:r>
      <w:r>
        <w:rPr>
          <w:noProof/>
        </w:rPr>
        <w:t>Category-specific recalculations</w:t>
      </w:r>
      <w:r>
        <w:rPr>
          <w:noProof/>
        </w:rPr>
        <w:tab/>
      </w:r>
      <w:r>
        <w:rPr>
          <w:noProof/>
        </w:rPr>
        <w:fldChar w:fldCharType="begin"/>
      </w:r>
      <w:r>
        <w:rPr>
          <w:noProof/>
        </w:rPr>
        <w:instrText xml:space="preserve"> PAGEREF _Toc184808308 \h </w:instrText>
      </w:r>
      <w:r>
        <w:rPr>
          <w:noProof/>
        </w:rPr>
      </w:r>
      <w:r>
        <w:rPr>
          <w:noProof/>
        </w:rPr>
        <w:fldChar w:fldCharType="separate"/>
      </w:r>
      <w:r>
        <w:rPr>
          <w:noProof/>
        </w:rPr>
        <w:t>182</w:t>
      </w:r>
      <w:r>
        <w:rPr>
          <w:noProof/>
        </w:rPr>
        <w:fldChar w:fldCharType="end"/>
      </w:r>
    </w:p>
    <w:p w14:paraId="44F8343B" w14:textId="014F2FC2" w:rsidR="00440D6B" w:rsidRDefault="00440D6B">
      <w:pPr>
        <w:pStyle w:val="TOC3"/>
        <w:rPr>
          <w:rFonts w:eastAsiaTheme="minorEastAsia"/>
          <w:noProof/>
          <w:kern w:val="2"/>
          <w:sz w:val="24"/>
          <w:szCs w:val="24"/>
          <w:lang w:val="en-US"/>
          <w14:ligatures w14:val="standardContextual"/>
        </w:rPr>
      </w:pPr>
      <w:r>
        <w:rPr>
          <w:noProof/>
        </w:rPr>
        <w:t>6.5.6</w:t>
      </w:r>
      <w:r>
        <w:rPr>
          <w:rFonts w:eastAsiaTheme="minorEastAsia"/>
          <w:noProof/>
          <w:kern w:val="2"/>
          <w:sz w:val="24"/>
          <w:szCs w:val="24"/>
          <w:lang w:val="en-US"/>
          <w14:ligatures w14:val="standardContextual"/>
        </w:rPr>
        <w:tab/>
      </w:r>
      <w:r>
        <w:rPr>
          <w:noProof/>
        </w:rPr>
        <w:t>Category-specific planned improvements</w:t>
      </w:r>
      <w:r>
        <w:rPr>
          <w:noProof/>
        </w:rPr>
        <w:tab/>
      </w:r>
      <w:r>
        <w:rPr>
          <w:noProof/>
        </w:rPr>
        <w:fldChar w:fldCharType="begin"/>
      </w:r>
      <w:r>
        <w:rPr>
          <w:noProof/>
        </w:rPr>
        <w:instrText xml:space="preserve"> PAGEREF _Toc184808309 \h </w:instrText>
      </w:r>
      <w:r>
        <w:rPr>
          <w:noProof/>
        </w:rPr>
      </w:r>
      <w:r>
        <w:rPr>
          <w:noProof/>
        </w:rPr>
        <w:fldChar w:fldCharType="separate"/>
      </w:r>
      <w:r>
        <w:rPr>
          <w:noProof/>
        </w:rPr>
        <w:t>182</w:t>
      </w:r>
      <w:r>
        <w:rPr>
          <w:noProof/>
        </w:rPr>
        <w:fldChar w:fldCharType="end"/>
      </w:r>
    </w:p>
    <w:p w14:paraId="00F881CC" w14:textId="6A6BC5E8"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6.6</w:t>
      </w:r>
      <w:r>
        <w:rPr>
          <w:rFonts w:eastAsiaTheme="minorEastAsia"/>
          <w:noProof/>
          <w:kern w:val="2"/>
          <w:sz w:val="24"/>
          <w:szCs w:val="24"/>
          <w:lang w:val="en-US"/>
          <w14:ligatures w14:val="standardContextual"/>
        </w:rPr>
        <w:tab/>
      </w:r>
      <w:r>
        <w:rPr>
          <w:noProof/>
        </w:rPr>
        <w:t>Croplands (CRT 4B)</w:t>
      </w:r>
      <w:r>
        <w:rPr>
          <w:noProof/>
        </w:rPr>
        <w:tab/>
      </w:r>
      <w:r>
        <w:rPr>
          <w:noProof/>
        </w:rPr>
        <w:fldChar w:fldCharType="begin"/>
      </w:r>
      <w:r>
        <w:rPr>
          <w:noProof/>
        </w:rPr>
        <w:instrText xml:space="preserve"> PAGEREF _Toc184808310 \h </w:instrText>
      </w:r>
      <w:r>
        <w:rPr>
          <w:noProof/>
        </w:rPr>
      </w:r>
      <w:r>
        <w:rPr>
          <w:noProof/>
        </w:rPr>
        <w:fldChar w:fldCharType="separate"/>
      </w:r>
      <w:r>
        <w:rPr>
          <w:noProof/>
        </w:rPr>
        <w:t>182</w:t>
      </w:r>
      <w:r>
        <w:rPr>
          <w:noProof/>
        </w:rPr>
        <w:fldChar w:fldCharType="end"/>
      </w:r>
    </w:p>
    <w:p w14:paraId="589811BA" w14:textId="4BE0C1CC" w:rsidR="00440D6B" w:rsidRDefault="00440D6B">
      <w:pPr>
        <w:pStyle w:val="TOC3"/>
        <w:rPr>
          <w:rFonts w:eastAsiaTheme="minorEastAsia"/>
          <w:noProof/>
          <w:kern w:val="2"/>
          <w:sz w:val="24"/>
          <w:szCs w:val="24"/>
          <w:lang w:val="en-US"/>
          <w14:ligatures w14:val="standardContextual"/>
        </w:rPr>
      </w:pPr>
      <w:r>
        <w:rPr>
          <w:noProof/>
        </w:rPr>
        <w:t>6.6.1</w:t>
      </w:r>
      <w:r>
        <w:rPr>
          <w:rFonts w:eastAsiaTheme="minorEastAsia"/>
          <w:noProof/>
          <w:kern w:val="2"/>
          <w:sz w:val="24"/>
          <w:szCs w:val="24"/>
          <w:lang w:val="en-US"/>
          <w14:ligatures w14:val="standardContextual"/>
        </w:rPr>
        <w:tab/>
      </w:r>
      <w:r>
        <w:rPr>
          <w:noProof/>
        </w:rPr>
        <w:t>Description</w:t>
      </w:r>
      <w:r>
        <w:rPr>
          <w:noProof/>
        </w:rPr>
        <w:tab/>
      </w:r>
      <w:r>
        <w:rPr>
          <w:noProof/>
        </w:rPr>
        <w:fldChar w:fldCharType="begin"/>
      </w:r>
      <w:r>
        <w:rPr>
          <w:noProof/>
        </w:rPr>
        <w:instrText xml:space="preserve"> PAGEREF _Toc184808311 \h </w:instrText>
      </w:r>
      <w:r>
        <w:rPr>
          <w:noProof/>
        </w:rPr>
      </w:r>
      <w:r>
        <w:rPr>
          <w:noProof/>
        </w:rPr>
        <w:fldChar w:fldCharType="separate"/>
      </w:r>
      <w:r>
        <w:rPr>
          <w:noProof/>
        </w:rPr>
        <w:t>182</w:t>
      </w:r>
      <w:r>
        <w:rPr>
          <w:noProof/>
        </w:rPr>
        <w:fldChar w:fldCharType="end"/>
      </w:r>
    </w:p>
    <w:p w14:paraId="5CECE343" w14:textId="068B3284" w:rsidR="00440D6B" w:rsidRDefault="00440D6B">
      <w:pPr>
        <w:pStyle w:val="TOC3"/>
        <w:rPr>
          <w:rFonts w:eastAsiaTheme="minorEastAsia"/>
          <w:noProof/>
          <w:kern w:val="2"/>
          <w:sz w:val="24"/>
          <w:szCs w:val="24"/>
          <w:lang w:val="en-US"/>
          <w14:ligatures w14:val="standardContextual"/>
        </w:rPr>
      </w:pPr>
      <w:r>
        <w:rPr>
          <w:noProof/>
        </w:rPr>
        <w:t>6.6.2</w:t>
      </w:r>
      <w:r>
        <w:rPr>
          <w:rFonts w:eastAsiaTheme="minorEastAsia"/>
          <w:noProof/>
          <w:kern w:val="2"/>
          <w:sz w:val="24"/>
          <w:szCs w:val="24"/>
          <w:lang w:val="en-US"/>
          <w14:ligatures w14:val="standardContextual"/>
        </w:rPr>
        <w:tab/>
      </w:r>
      <w:r>
        <w:rPr>
          <w:noProof/>
        </w:rPr>
        <w:t>Methodological issues</w:t>
      </w:r>
      <w:r>
        <w:rPr>
          <w:noProof/>
        </w:rPr>
        <w:tab/>
      </w:r>
      <w:r>
        <w:rPr>
          <w:noProof/>
        </w:rPr>
        <w:fldChar w:fldCharType="begin"/>
      </w:r>
      <w:r>
        <w:rPr>
          <w:noProof/>
        </w:rPr>
        <w:instrText xml:space="preserve"> PAGEREF _Toc184808312 \h </w:instrText>
      </w:r>
      <w:r>
        <w:rPr>
          <w:noProof/>
        </w:rPr>
      </w:r>
      <w:r>
        <w:rPr>
          <w:noProof/>
        </w:rPr>
        <w:fldChar w:fldCharType="separate"/>
      </w:r>
      <w:r>
        <w:rPr>
          <w:noProof/>
        </w:rPr>
        <w:t>183</w:t>
      </w:r>
      <w:r>
        <w:rPr>
          <w:noProof/>
        </w:rPr>
        <w:fldChar w:fldCharType="end"/>
      </w:r>
    </w:p>
    <w:p w14:paraId="06D76CB7" w14:textId="72368A4D" w:rsidR="00440D6B" w:rsidRDefault="00440D6B">
      <w:pPr>
        <w:pStyle w:val="TOC3"/>
        <w:rPr>
          <w:rFonts w:eastAsiaTheme="minorEastAsia"/>
          <w:noProof/>
          <w:kern w:val="2"/>
          <w:sz w:val="24"/>
          <w:szCs w:val="24"/>
          <w:lang w:val="en-US"/>
          <w14:ligatures w14:val="standardContextual"/>
        </w:rPr>
      </w:pPr>
      <w:r>
        <w:rPr>
          <w:noProof/>
        </w:rPr>
        <w:t>6.6.3</w:t>
      </w:r>
      <w:r>
        <w:rPr>
          <w:rFonts w:eastAsiaTheme="minorEastAsia"/>
          <w:noProof/>
          <w:kern w:val="2"/>
          <w:sz w:val="24"/>
          <w:szCs w:val="24"/>
          <w:lang w:val="en-US"/>
          <w14:ligatures w14:val="standardContextual"/>
        </w:rPr>
        <w:tab/>
      </w:r>
      <w:r>
        <w:rPr>
          <w:noProof/>
        </w:rPr>
        <w:t>Uncertainties and time-series consistency</w:t>
      </w:r>
      <w:r>
        <w:rPr>
          <w:noProof/>
        </w:rPr>
        <w:tab/>
      </w:r>
      <w:r>
        <w:rPr>
          <w:noProof/>
        </w:rPr>
        <w:fldChar w:fldCharType="begin"/>
      </w:r>
      <w:r>
        <w:rPr>
          <w:noProof/>
        </w:rPr>
        <w:instrText xml:space="preserve"> PAGEREF _Toc184808313 \h </w:instrText>
      </w:r>
      <w:r>
        <w:rPr>
          <w:noProof/>
        </w:rPr>
      </w:r>
      <w:r>
        <w:rPr>
          <w:noProof/>
        </w:rPr>
        <w:fldChar w:fldCharType="separate"/>
      </w:r>
      <w:r>
        <w:rPr>
          <w:noProof/>
        </w:rPr>
        <w:t>185</w:t>
      </w:r>
      <w:r>
        <w:rPr>
          <w:noProof/>
        </w:rPr>
        <w:fldChar w:fldCharType="end"/>
      </w:r>
    </w:p>
    <w:p w14:paraId="11726720" w14:textId="7AB9963B" w:rsidR="00440D6B" w:rsidRDefault="00440D6B">
      <w:pPr>
        <w:pStyle w:val="TOC3"/>
        <w:rPr>
          <w:rFonts w:eastAsiaTheme="minorEastAsia"/>
          <w:noProof/>
          <w:kern w:val="2"/>
          <w:sz w:val="24"/>
          <w:szCs w:val="24"/>
          <w:lang w:val="en-US"/>
          <w14:ligatures w14:val="standardContextual"/>
        </w:rPr>
      </w:pPr>
      <w:r>
        <w:rPr>
          <w:noProof/>
        </w:rPr>
        <w:t>6.6.4</w:t>
      </w:r>
      <w:r>
        <w:rPr>
          <w:rFonts w:eastAsiaTheme="minorEastAsia"/>
          <w:noProof/>
          <w:kern w:val="2"/>
          <w:sz w:val="24"/>
          <w:szCs w:val="24"/>
          <w:lang w:val="en-US"/>
          <w14:ligatures w14:val="standardContextual"/>
        </w:rPr>
        <w:tab/>
      </w:r>
      <w:r>
        <w:rPr>
          <w:noProof/>
        </w:rPr>
        <w:t>Category-specific QA/QC and verification</w:t>
      </w:r>
      <w:r>
        <w:rPr>
          <w:noProof/>
        </w:rPr>
        <w:tab/>
      </w:r>
      <w:r>
        <w:rPr>
          <w:noProof/>
        </w:rPr>
        <w:fldChar w:fldCharType="begin"/>
      </w:r>
      <w:r>
        <w:rPr>
          <w:noProof/>
        </w:rPr>
        <w:instrText xml:space="preserve"> PAGEREF _Toc184808314 \h </w:instrText>
      </w:r>
      <w:r>
        <w:rPr>
          <w:noProof/>
        </w:rPr>
      </w:r>
      <w:r>
        <w:rPr>
          <w:noProof/>
        </w:rPr>
        <w:fldChar w:fldCharType="separate"/>
      </w:r>
      <w:r>
        <w:rPr>
          <w:noProof/>
        </w:rPr>
        <w:t>185</w:t>
      </w:r>
      <w:r>
        <w:rPr>
          <w:noProof/>
        </w:rPr>
        <w:fldChar w:fldCharType="end"/>
      </w:r>
    </w:p>
    <w:p w14:paraId="6CEAE467" w14:textId="5A9CE978" w:rsidR="00440D6B" w:rsidRDefault="00440D6B">
      <w:pPr>
        <w:pStyle w:val="TOC3"/>
        <w:rPr>
          <w:rFonts w:eastAsiaTheme="minorEastAsia"/>
          <w:noProof/>
          <w:kern w:val="2"/>
          <w:sz w:val="24"/>
          <w:szCs w:val="24"/>
          <w:lang w:val="en-US"/>
          <w14:ligatures w14:val="standardContextual"/>
        </w:rPr>
      </w:pPr>
      <w:r>
        <w:rPr>
          <w:noProof/>
        </w:rPr>
        <w:t>6.6.5</w:t>
      </w:r>
      <w:r>
        <w:rPr>
          <w:rFonts w:eastAsiaTheme="minorEastAsia"/>
          <w:noProof/>
          <w:kern w:val="2"/>
          <w:sz w:val="24"/>
          <w:szCs w:val="24"/>
          <w:lang w:val="en-US"/>
          <w14:ligatures w14:val="standardContextual"/>
        </w:rPr>
        <w:tab/>
      </w:r>
      <w:r>
        <w:rPr>
          <w:noProof/>
        </w:rPr>
        <w:t>Category-specific recalculations</w:t>
      </w:r>
      <w:r>
        <w:rPr>
          <w:noProof/>
        </w:rPr>
        <w:tab/>
      </w:r>
      <w:r>
        <w:rPr>
          <w:noProof/>
        </w:rPr>
        <w:fldChar w:fldCharType="begin"/>
      </w:r>
      <w:r>
        <w:rPr>
          <w:noProof/>
        </w:rPr>
        <w:instrText xml:space="preserve"> PAGEREF _Toc184808315 \h </w:instrText>
      </w:r>
      <w:r>
        <w:rPr>
          <w:noProof/>
        </w:rPr>
      </w:r>
      <w:r>
        <w:rPr>
          <w:noProof/>
        </w:rPr>
        <w:fldChar w:fldCharType="separate"/>
      </w:r>
      <w:r>
        <w:rPr>
          <w:noProof/>
        </w:rPr>
        <w:t>185</w:t>
      </w:r>
      <w:r>
        <w:rPr>
          <w:noProof/>
        </w:rPr>
        <w:fldChar w:fldCharType="end"/>
      </w:r>
    </w:p>
    <w:p w14:paraId="0A4942F3" w14:textId="65F2B38A" w:rsidR="00440D6B" w:rsidRDefault="00440D6B">
      <w:pPr>
        <w:pStyle w:val="TOC3"/>
        <w:rPr>
          <w:rFonts w:eastAsiaTheme="minorEastAsia"/>
          <w:noProof/>
          <w:kern w:val="2"/>
          <w:sz w:val="24"/>
          <w:szCs w:val="24"/>
          <w:lang w:val="en-US"/>
          <w14:ligatures w14:val="standardContextual"/>
        </w:rPr>
      </w:pPr>
      <w:r>
        <w:rPr>
          <w:noProof/>
        </w:rPr>
        <w:t>6.6.6</w:t>
      </w:r>
      <w:r>
        <w:rPr>
          <w:rFonts w:eastAsiaTheme="minorEastAsia"/>
          <w:noProof/>
          <w:kern w:val="2"/>
          <w:sz w:val="24"/>
          <w:szCs w:val="24"/>
          <w:lang w:val="en-US"/>
          <w14:ligatures w14:val="standardContextual"/>
        </w:rPr>
        <w:tab/>
      </w:r>
      <w:r>
        <w:rPr>
          <w:noProof/>
        </w:rPr>
        <w:t>Category-specific planned improvements</w:t>
      </w:r>
      <w:r>
        <w:rPr>
          <w:noProof/>
        </w:rPr>
        <w:tab/>
      </w:r>
      <w:r>
        <w:rPr>
          <w:noProof/>
        </w:rPr>
        <w:fldChar w:fldCharType="begin"/>
      </w:r>
      <w:r>
        <w:rPr>
          <w:noProof/>
        </w:rPr>
        <w:instrText xml:space="preserve"> PAGEREF _Toc184808316 \h </w:instrText>
      </w:r>
      <w:r>
        <w:rPr>
          <w:noProof/>
        </w:rPr>
      </w:r>
      <w:r>
        <w:rPr>
          <w:noProof/>
        </w:rPr>
        <w:fldChar w:fldCharType="separate"/>
      </w:r>
      <w:r>
        <w:rPr>
          <w:noProof/>
        </w:rPr>
        <w:t>185</w:t>
      </w:r>
      <w:r>
        <w:rPr>
          <w:noProof/>
        </w:rPr>
        <w:fldChar w:fldCharType="end"/>
      </w:r>
    </w:p>
    <w:p w14:paraId="379A1DC0" w14:textId="67E68AD8"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6.7</w:t>
      </w:r>
      <w:r>
        <w:rPr>
          <w:rFonts w:eastAsiaTheme="minorEastAsia"/>
          <w:noProof/>
          <w:kern w:val="2"/>
          <w:sz w:val="24"/>
          <w:szCs w:val="24"/>
          <w:lang w:val="en-US"/>
          <w14:ligatures w14:val="standardContextual"/>
        </w:rPr>
        <w:tab/>
      </w:r>
      <w:r>
        <w:rPr>
          <w:noProof/>
        </w:rPr>
        <w:t>Grasslands (CRT 4C)</w:t>
      </w:r>
      <w:r>
        <w:rPr>
          <w:noProof/>
        </w:rPr>
        <w:tab/>
      </w:r>
      <w:r>
        <w:rPr>
          <w:noProof/>
        </w:rPr>
        <w:fldChar w:fldCharType="begin"/>
      </w:r>
      <w:r>
        <w:rPr>
          <w:noProof/>
        </w:rPr>
        <w:instrText xml:space="preserve"> PAGEREF _Toc184808317 \h </w:instrText>
      </w:r>
      <w:r>
        <w:rPr>
          <w:noProof/>
        </w:rPr>
      </w:r>
      <w:r>
        <w:rPr>
          <w:noProof/>
        </w:rPr>
        <w:fldChar w:fldCharType="separate"/>
      </w:r>
      <w:r>
        <w:rPr>
          <w:noProof/>
        </w:rPr>
        <w:t>185</w:t>
      </w:r>
      <w:r>
        <w:rPr>
          <w:noProof/>
        </w:rPr>
        <w:fldChar w:fldCharType="end"/>
      </w:r>
    </w:p>
    <w:p w14:paraId="2E740E71" w14:textId="6806D821" w:rsidR="00440D6B" w:rsidRDefault="00440D6B">
      <w:pPr>
        <w:pStyle w:val="TOC3"/>
        <w:rPr>
          <w:rFonts w:eastAsiaTheme="minorEastAsia"/>
          <w:noProof/>
          <w:kern w:val="2"/>
          <w:sz w:val="24"/>
          <w:szCs w:val="24"/>
          <w:lang w:val="en-US"/>
          <w14:ligatures w14:val="standardContextual"/>
        </w:rPr>
      </w:pPr>
      <w:r>
        <w:rPr>
          <w:noProof/>
        </w:rPr>
        <w:t>6.7.1</w:t>
      </w:r>
      <w:r>
        <w:rPr>
          <w:rFonts w:eastAsiaTheme="minorEastAsia"/>
          <w:noProof/>
          <w:kern w:val="2"/>
          <w:sz w:val="24"/>
          <w:szCs w:val="24"/>
          <w:lang w:val="en-US"/>
          <w14:ligatures w14:val="standardContextual"/>
        </w:rPr>
        <w:tab/>
      </w:r>
      <w:r>
        <w:rPr>
          <w:noProof/>
        </w:rPr>
        <w:t>Description</w:t>
      </w:r>
      <w:r>
        <w:rPr>
          <w:noProof/>
        </w:rPr>
        <w:tab/>
      </w:r>
      <w:r>
        <w:rPr>
          <w:noProof/>
        </w:rPr>
        <w:fldChar w:fldCharType="begin"/>
      </w:r>
      <w:r>
        <w:rPr>
          <w:noProof/>
        </w:rPr>
        <w:instrText xml:space="preserve"> PAGEREF _Toc184808318 \h </w:instrText>
      </w:r>
      <w:r>
        <w:rPr>
          <w:noProof/>
        </w:rPr>
      </w:r>
      <w:r>
        <w:rPr>
          <w:noProof/>
        </w:rPr>
        <w:fldChar w:fldCharType="separate"/>
      </w:r>
      <w:r>
        <w:rPr>
          <w:noProof/>
        </w:rPr>
        <w:t>185</w:t>
      </w:r>
      <w:r>
        <w:rPr>
          <w:noProof/>
        </w:rPr>
        <w:fldChar w:fldCharType="end"/>
      </w:r>
    </w:p>
    <w:p w14:paraId="355AC7AA" w14:textId="7BA56044" w:rsidR="00440D6B" w:rsidRDefault="00440D6B">
      <w:pPr>
        <w:pStyle w:val="TOC3"/>
        <w:rPr>
          <w:rFonts w:eastAsiaTheme="minorEastAsia"/>
          <w:noProof/>
          <w:kern w:val="2"/>
          <w:sz w:val="24"/>
          <w:szCs w:val="24"/>
          <w:lang w:val="en-US"/>
          <w14:ligatures w14:val="standardContextual"/>
        </w:rPr>
      </w:pPr>
      <w:r>
        <w:rPr>
          <w:noProof/>
        </w:rPr>
        <w:t>6.7.2</w:t>
      </w:r>
      <w:r>
        <w:rPr>
          <w:rFonts w:eastAsiaTheme="minorEastAsia"/>
          <w:noProof/>
          <w:kern w:val="2"/>
          <w:sz w:val="24"/>
          <w:szCs w:val="24"/>
          <w:lang w:val="en-US"/>
          <w14:ligatures w14:val="standardContextual"/>
        </w:rPr>
        <w:tab/>
      </w:r>
      <w:r>
        <w:rPr>
          <w:noProof/>
        </w:rPr>
        <w:t>Methodological issues</w:t>
      </w:r>
      <w:r>
        <w:rPr>
          <w:noProof/>
        </w:rPr>
        <w:tab/>
      </w:r>
      <w:r>
        <w:rPr>
          <w:noProof/>
        </w:rPr>
        <w:fldChar w:fldCharType="begin"/>
      </w:r>
      <w:r>
        <w:rPr>
          <w:noProof/>
        </w:rPr>
        <w:instrText xml:space="preserve"> PAGEREF _Toc184808319 \h </w:instrText>
      </w:r>
      <w:r>
        <w:rPr>
          <w:noProof/>
        </w:rPr>
      </w:r>
      <w:r>
        <w:rPr>
          <w:noProof/>
        </w:rPr>
        <w:fldChar w:fldCharType="separate"/>
      </w:r>
      <w:r>
        <w:rPr>
          <w:noProof/>
        </w:rPr>
        <w:t>187</w:t>
      </w:r>
      <w:r>
        <w:rPr>
          <w:noProof/>
        </w:rPr>
        <w:fldChar w:fldCharType="end"/>
      </w:r>
    </w:p>
    <w:p w14:paraId="76AA8A97" w14:textId="3FD1C56D" w:rsidR="00440D6B" w:rsidRDefault="00440D6B">
      <w:pPr>
        <w:pStyle w:val="TOC3"/>
        <w:rPr>
          <w:rFonts w:eastAsiaTheme="minorEastAsia"/>
          <w:noProof/>
          <w:kern w:val="2"/>
          <w:sz w:val="24"/>
          <w:szCs w:val="24"/>
          <w:lang w:val="en-US"/>
          <w14:ligatures w14:val="standardContextual"/>
        </w:rPr>
      </w:pPr>
      <w:r>
        <w:rPr>
          <w:noProof/>
        </w:rPr>
        <w:t>6.7.3</w:t>
      </w:r>
      <w:r>
        <w:rPr>
          <w:rFonts w:eastAsiaTheme="minorEastAsia"/>
          <w:noProof/>
          <w:kern w:val="2"/>
          <w:sz w:val="24"/>
          <w:szCs w:val="24"/>
          <w:lang w:val="en-US"/>
          <w14:ligatures w14:val="standardContextual"/>
        </w:rPr>
        <w:tab/>
      </w:r>
      <w:r>
        <w:rPr>
          <w:noProof/>
        </w:rPr>
        <w:t>Uncertainties and time-series consistency</w:t>
      </w:r>
      <w:r>
        <w:rPr>
          <w:noProof/>
        </w:rPr>
        <w:tab/>
      </w:r>
      <w:r>
        <w:rPr>
          <w:noProof/>
        </w:rPr>
        <w:fldChar w:fldCharType="begin"/>
      </w:r>
      <w:r>
        <w:rPr>
          <w:noProof/>
        </w:rPr>
        <w:instrText xml:space="preserve"> PAGEREF _Toc184808320 \h </w:instrText>
      </w:r>
      <w:r>
        <w:rPr>
          <w:noProof/>
        </w:rPr>
      </w:r>
      <w:r>
        <w:rPr>
          <w:noProof/>
        </w:rPr>
        <w:fldChar w:fldCharType="separate"/>
      </w:r>
      <w:r>
        <w:rPr>
          <w:noProof/>
        </w:rPr>
        <w:t>189</w:t>
      </w:r>
      <w:r>
        <w:rPr>
          <w:noProof/>
        </w:rPr>
        <w:fldChar w:fldCharType="end"/>
      </w:r>
    </w:p>
    <w:p w14:paraId="0793A7CA" w14:textId="34EBFC94" w:rsidR="00440D6B" w:rsidRDefault="00440D6B">
      <w:pPr>
        <w:pStyle w:val="TOC3"/>
        <w:rPr>
          <w:rFonts w:eastAsiaTheme="minorEastAsia"/>
          <w:noProof/>
          <w:kern w:val="2"/>
          <w:sz w:val="24"/>
          <w:szCs w:val="24"/>
          <w:lang w:val="en-US"/>
          <w14:ligatures w14:val="standardContextual"/>
        </w:rPr>
      </w:pPr>
      <w:r>
        <w:rPr>
          <w:noProof/>
        </w:rPr>
        <w:t>6.7.4</w:t>
      </w:r>
      <w:r>
        <w:rPr>
          <w:rFonts w:eastAsiaTheme="minorEastAsia"/>
          <w:noProof/>
          <w:kern w:val="2"/>
          <w:sz w:val="24"/>
          <w:szCs w:val="24"/>
          <w:lang w:val="en-US"/>
          <w14:ligatures w14:val="standardContextual"/>
        </w:rPr>
        <w:tab/>
      </w:r>
      <w:r>
        <w:rPr>
          <w:noProof/>
        </w:rPr>
        <w:t>Category-specific QA/QC and verification</w:t>
      </w:r>
      <w:r>
        <w:rPr>
          <w:noProof/>
        </w:rPr>
        <w:tab/>
      </w:r>
      <w:r>
        <w:rPr>
          <w:noProof/>
        </w:rPr>
        <w:fldChar w:fldCharType="begin"/>
      </w:r>
      <w:r>
        <w:rPr>
          <w:noProof/>
        </w:rPr>
        <w:instrText xml:space="preserve"> PAGEREF _Toc184808321 \h </w:instrText>
      </w:r>
      <w:r>
        <w:rPr>
          <w:noProof/>
        </w:rPr>
      </w:r>
      <w:r>
        <w:rPr>
          <w:noProof/>
        </w:rPr>
        <w:fldChar w:fldCharType="separate"/>
      </w:r>
      <w:r>
        <w:rPr>
          <w:noProof/>
        </w:rPr>
        <w:t>189</w:t>
      </w:r>
      <w:r>
        <w:rPr>
          <w:noProof/>
        </w:rPr>
        <w:fldChar w:fldCharType="end"/>
      </w:r>
    </w:p>
    <w:p w14:paraId="46989745" w14:textId="0933894F" w:rsidR="00440D6B" w:rsidRDefault="00440D6B">
      <w:pPr>
        <w:pStyle w:val="TOC3"/>
        <w:rPr>
          <w:rFonts w:eastAsiaTheme="minorEastAsia"/>
          <w:noProof/>
          <w:kern w:val="2"/>
          <w:sz w:val="24"/>
          <w:szCs w:val="24"/>
          <w:lang w:val="en-US"/>
          <w14:ligatures w14:val="standardContextual"/>
        </w:rPr>
      </w:pPr>
      <w:r>
        <w:rPr>
          <w:noProof/>
        </w:rPr>
        <w:t>6.7.5</w:t>
      </w:r>
      <w:r>
        <w:rPr>
          <w:rFonts w:eastAsiaTheme="minorEastAsia"/>
          <w:noProof/>
          <w:kern w:val="2"/>
          <w:sz w:val="24"/>
          <w:szCs w:val="24"/>
          <w:lang w:val="en-US"/>
          <w14:ligatures w14:val="standardContextual"/>
        </w:rPr>
        <w:tab/>
      </w:r>
      <w:r>
        <w:rPr>
          <w:noProof/>
        </w:rPr>
        <w:t>Category-specific recalculations</w:t>
      </w:r>
      <w:r>
        <w:rPr>
          <w:noProof/>
        </w:rPr>
        <w:tab/>
      </w:r>
      <w:r>
        <w:rPr>
          <w:noProof/>
        </w:rPr>
        <w:fldChar w:fldCharType="begin"/>
      </w:r>
      <w:r>
        <w:rPr>
          <w:noProof/>
        </w:rPr>
        <w:instrText xml:space="preserve"> PAGEREF _Toc184808322 \h </w:instrText>
      </w:r>
      <w:r>
        <w:rPr>
          <w:noProof/>
        </w:rPr>
      </w:r>
      <w:r>
        <w:rPr>
          <w:noProof/>
        </w:rPr>
        <w:fldChar w:fldCharType="separate"/>
      </w:r>
      <w:r>
        <w:rPr>
          <w:noProof/>
        </w:rPr>
        <w:t>189</w:t>
      </w:r>
      <w:r>
        <w:rPr>
          <w:noProof/>
        </w:rPr>
        <w:fldChar w:fldCharType="end"/>
      </w:r>
    </w:p>
    <w:p w14:paraId="66F01652" w14:textId="7E88E6D6" w:rsidR="00440D6B" w:rsidRDefault="00440D6B">
      <w:pPr>
        <w:pStyle w:val="TOC3"/>
        <w:rPr>
          <w:rFonts w:eastAsiaTheme="minorEastAsia"/>
          <w:noProof/>
          <w:kern w:val="2"/>
          <w:sz w:val="24"/>
          <w:szCs w:val="24"/>
          <w:lang w:val="en-US"/>
          <w14:ligatures w14:val="standardContextual"/>
        </w:rPr>
      </w:pPr>
      <w:r>
        <w:rPr>
          <w:noProof/>
        </w:rPr>
        <w:t>6.7.6</w:t>
      </w:r>
      <w:r>
        <w:rPr>
          <w:rFonts w:eastAsiaTheme="minorEastAsia"/>
          <w:noProof/>
          <w:kern w:val="2"/>
          <w:sz w:val="24"/>
          <w:szCs w:val="24"/>
          <w:lang w:val="en-US"/>
          <w14:ligatures w14:val="standardContextual"/>
        </w:rPr>
        <w:tab/>
      </w:r>
      <w:r>
        <w:rPr>
          <w:noProof/>
        </w:rPr>
        <w:t>Category-specific planned improvements</w:t>
      </w:r>
      <w:r>
        <w:rPr>
          <w:noProof/>
        </w:rPr>
        <w:tab/>
      </w:r>
      <w:r>
        <w:rPr>
          <w:noProof/>
        </w:rPr>
        <w:fldChar w:fldCharType="begin"/>
      </w:r>
      <w:r>
        <w:rPr>
          <w:noProof/>
        </w:rPr>
        <w:instrText xml:space="preserve"> PAGEREF _Toc184808323 \h </w:instrText>
      </w:r>
      <w:r>
        <w:rPr>
          <w:noProof/>
        </w:rPr>
      </w:r>
      <w:r>
        <w:rPr>
          <w:noProof/>
        </w:rPr>
        <w:fldChar w:fldCharType="separate"/>
      </w:r>
      <w:r>
        <w:rPr>
          <w:noProof/>
        </w:rPr>
        <w:t>189</w:t>
      </w:r>
      <w:r>
        <w:rPr>
          <w:noProof/>
        </w:rPr>
        <w:fldChar w:fldCharType="end"/>
      </w:r>
    </w:p>
    <w:p w14:paraId="239522FB" w14:textId="5F27EFF5"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6.8</w:t>
      </w:r>
      <w:r>
        <w:rPr>
          <w:rFonts w:eastAsiaTheme="minorEastAsia"/>
          <w:noProof/>
          <w:kern w:val="2"/>
          <w:sz w:val="24"/>
          <w:szCs w:val="24"/>
          <w:lang w:val="en-US"/>
          <w14:ligatures w14:val="standardContextual"/>
        </w:rPr>
        <w:tab/>
      </w:r>
      <w:r>
        <w:rPr>
          <w:noProof/>
        </w:rPr>
        <w:t>Wetlands (CRT 4D)</w:t>
      </w:r>
      <w:r>
        <w:rPr>
          <w:noProof/>
        </w:rPr>
        <w:tab/>
      </w:r>
      <w:r>
        <w:rPr>
          <w:noProof/>
        </w:rPr>
        <w:fldChar w:fldCharType="begin"/>
      </w:r>
      <w:r>
        <w:rPr>
          <w:noProof/>
        </w:rPr>
        <w:instrText xml:space="preserve"> PAGEREF _Toc184808324 \h </w:instrText>
      </w:r>
      <w:r>
        <w:rPr>
          <w:noProof/>
        </w:rPr>
      </w:r>
      <w:r>
        <w:rPr>
          <w:noProof/>
        </w:rPr>
        <w:fldChar w:fldCharType="separate"/>
      </w:r>
      <w:r>
        <w:rPr>
          <w:noProof/>
        </w:rPr>
        <w:t>189</w:t>
      </w:r>
      <w:r>
        <w:rPr>
          <w:noProof/>
        </w:rPr>
        <w:fldChar w:fldCharType="end"/>
      </w:r>
    </w:p>
    <w:p w14:paraId="2B6BACD5" w14:textId="7866C8D1" w:rsidR="00440D6B" w:rsidRDefault="00440D6B">
      <w:pPr>
        <w:pStyle w:val="TOC3"/>
        <w:rPr>
          <w:rFonts w:eastAsiaTheme="minorEastAsia"/>
          <w:noProof/>
          <w:kern w:val="2"/>
          <w:sz w:val="24"/>
          <w:szCs w:val="24"/>
          <w:lang w:val="en-US"/>
          <w14:ligatures w14:val="standardContextual"/>
        </w:rPr>
      </w:pPr>
      <w:r>
        <w:rPr>
          <w:noProof/>
        </w:rPr>
        <w:t>6.8.1</w:t>
      </w:r>
      <w:r>
        <w:rPr>
          <w:rFonts w:eastAsiaTheme="minorEastAsia"/>
          <w:noProof/>
          <w:kern w:val="2"/>
          <w:sz w:val="24"/>
          <w:szCs w:val="24"/>
          <w:lang w:val="en-US"/>
          <w14:ligatures w14:val="standardContextual"/>
        </w:rPr>
        <w:tab/>
      </w:r>
      <w:r>
        <w:rPr>
          <w:noProof/>
        </w:rPr>
        <w:t>Description</w:t>
      </w:r>
      <w:r>
        <w:rPr>
          <w:noProof/>
        </w:rPr>
        <w:tab/>
      </w:r>
      <w:r>
        <w:rPr>
          <w:noProof/>
        </w:rPr>
        <w:fldChar w:fldCharType="begin"/>
      </w:r>
      <w:r>
        <w:rPr>
          <w:noProof/>
        </w:rPr>
        <w:instrText xml:space="preserve"> PAGEREF _Toc184808325 \h </w:instrText>
      </w:r>
      <w:r>
        <w:rPr>
          <w:noProof/>
        </w:rPr>
      </w:r>
      <w:r>
        <w:rPr>
          <w:noProof/>
        </w:rPr>
        <w:fldChar w:fldCharType="separate"/>
      </w:r>
      <w:r>
        <w:rPr>
          <w:noProof/>
        </w:rPr>
        <w:t>189</w:t>
      </w:r>
      <w:r>
        <w:rPr>
          <w:noProof/>
        </w:rPr>
        <w:fldChar w:fldCharType="end"/>
      </w:r>
    </w:p>
    <w:p w14:paraId="5CD24351" w14:textId="3C323D34" w:rsidR="00440D6B" w:rsidRDefault="00440D6B">
      <w:pPr>
        <w:pStyle w:val="TOC3"/>
        <w:rPr>
          <w:rFonts w:eastAsiaTheme="minorEastAsia"/>
          <w:noProof/>
          <w:kern w:val="2"/>
          <w:sz w:val="24"/>
          <w:szCs w:val="24"/>
          <w:lang w:val="en-US"/>
          <w14:ligatures w14:val="standardContextual"/>
        </w:rPr>
      </w:pPr>
      <w:r>
        <w:rPr>
          <w:noProof/>
        </w:rPr>
        <w:t>6.8.2</w:t>
      </w:r>
      <w:r>
        <w:rPr>
          <w:rFonts w:eastAsiaTheme="minorEastAsia"/>
          <w:noProof/>
          <w:kern w:val="2"/>
          <w:sz w:val="24"/>
          <w:szCs w:val="24"/>
          <w:lang w:val="en-US"/>
          <w14:ligatures w14:val="standardContextual"/>
        </w:rPr>
        <w:tab/>
      </w:r>
      <w:r>
        <w:rPr>
          <w:noProof/>
        </w:rPr>
        <w:t>Methodological issues</w:t>
      </w:r>
      <w:r>
        <w:rPr>
          <w:noProof/>
        </w:rPr>
        <w:tab/>
      </w:r>
      <w:r>
        <w:rPr>
          <w:noProof/>
        </w:rPr>
        <w:fldChar w:fldCharType="begin"/>
      </w:r>
      <w:r>
        <w:rPr>
          <w:noProof/>
        </w:rPr>
        <w:instrText xml:space="preserve"> PAGEREF _Toc184808326 \h </w:instrText>
      </w:r>
      <w:r>
        <w:rPr>
          <w:noProof/>
        </w:rPr>
      </w:r>
      <w:r>
        <w:rPr>
          <w:noProof/>
        </w:rPr>
        <w:fldChar w:fldCharType="separate"/>
      </w:r>
      <w:r>
        <w:rPr>
          <w:noProof/>
        </w:rPr>
        <w:t>190</w:t>
      </w:r>
      <w:r>
        <w:rPr>
          <w:noProof/>
        </w:rPr>
        <w:fldChar w:fldCharType="end"/>
      </w:r>
    </w:p>
    <w:p w14:paraId="096D4F66" w14:textId="0B41AD0A" w:rsidR="00440D6B" w:rsidRDefault="00440D6B">
      <w:pPr>
        <w:pStyle w:val="TOC3"/>
        <w:rPr>
          <w:rFonts w:eastAsiaTheme="minorEastAsia"/>
          <w:noProof/>
          <w:kern w:val="2"/>
          <w:sz w:val="24"/>
          <w:szCs w:val="24"/>
          <w:lang w:val="en-US"/>
          <w14:ligatures w14:val="standardContextual"/>
        </w:rPr>
      </w:pPr>
      <w:r>
        <w:rPr>
          <w:noProof/>
        </w:rPr>
        <w:t>6.8.3</w:t>
      </w:r>
      <w:r>
        <w:rPr>
          <w:rFonts w:eastAsiaTheme="minorEastAsia"/>
          <w:noProof/>
          <w:kern w:val="2"/>
          <w:sz w:val="24"/>
          <w:szCs w:val="24"/>
          <w:lang w:val="en-US"/>
          <w14:ligatures w14:val="standardContextual"/>
        </w:rPr>
        <w:tab/>
      </w:r>
      <w:r>
        <w:rPr>
          <w:noProof/>
        </w:rPr>
        <w:t>Uncertainties and time-series consistency</w:t>
      </w:r>
      <w:r>
        <w:rPr>
          <w:noProof/>
        </w:rPr>
        <w:tab/>
      </w:r>
      <w:r>
        <w:rPr>
          <w:noProof/>
        </w:rPr>
        <w:fldChar w:fldCharType="begin"/>
      </w:r>
      <w:r>
        <w:rPr>
          <w:noProof/>
        </w:rPr>
        <w:instrText xml:space="preserve"> PAGEREF _Toc184808327 \h </w:instrText>
      </w:r>
      <w:r>
        <w:rPr>
          <w:noProof/>
        </w:rPr>
      </w:r>
      <w:r>
        <w:rPr>
          <w:noProof/>
        </w:rPr>
        <w:fldChar w:fldCharType="separate"/>
      </w:r>
      <w:r>
        <w:rPr>
          <w:noProof/>
        </w:rPr>
        <w:t>192</w:t>
      </w:r>
      <w:r>
        <w:rPr>
          <w:noProof/>
        </w:rPr>
        <w:fldChar w:fldCharType="end"/>
      </w:r>
    </w:p>
    <w:p w14:paraId="418BAEC8" w14:textId="6D47DC9D" w:rsidR="00440D6B" w:rsidRDefault="00440D6B">
      <w:pPr>
        <w:pStyle w:val="TOC3"/>
        <w:rPr>
          <w:rFonts w:eastAsiaTheme="minorEastAsia"/>
          <w:noProof/>
          <w:kern w:val="2"/>
          <w:sz w:val="24"/>
          <w:szCs w:val="24"/>
          <w:lang w:val="en-US"/>
          <w14:ligatures w14:val="standardContextual"/>
        </w:rPr>
      </w:pPr>
      <w:r>
        <w:rPr>
          <w:noProof/>
        </w:rPr>
        <w:t>6.8.4</w:t>
      </w:r>
      <w:r>
        <w:rPr>
          <w:rFonts w:eastAsiaTheme="minorEastAsia"/>
          <w:noProof/>
          <w:kern w:val="2"/>
          <w:sz w:val="24"/>
          <w:szCs w:val="24"/>
          <w:lang w:val="en-US"/>
          <w14:ligatures w14:val="standardContextual"/>
        </w:rPr>
        <w:tab/>
      </w:r>
      <w:r>
        <w:rPr>
          <w:noProof/>
        </w:rPr>
        <w:t>Category-specific QA/QC and verification</w:t>
      </w:r>
      <w:r>
        <w:rPr>
          <w:noProof/>
        </w:rPr>
        <w:tab/>
      </w:r>
      <w:r>
        <w:rPr>
          <w:noProof/>
        </w:rPr>
        <w:fldChar w:fldCharType="begin"/>
      </w:r>
      <w:r>
        <w:rPr>
          <w:noProof/>
        </w:rPr>
        <w:instrText xml:space="preserve"> PAGEREF _Toc184808328 \h </w:instrText>
      </w:r>
      <w:r>
        <w:rPr>
          <w:noProof/>
        </w:rPr>
      </w:r>
      <w:r>
        <w:rPr>
          <w:noProof/>
        </w:rPr>
        <w:fldChar w:fldCharType="separate"/>
      </w:r>
      <w:r>
        <w:rPr>
          <w:noProof/>
        </w:rPr>
        <w:t>192</w:t>
      </w:r>
      <w:r>
        <w:rPr>
          <w:noProof/>
        </w:rPr>
        <w:fldChar w:fldCharType="end"/>
      </w:r>
    </w:p>
    <w:p w14:paraId="26BD0760" w14:textId="381705BC" w:rsidR="00440D6B" w:rsidRDefault="00440D6B">
      <w:pPr>
        <w:pStyle w:val="TOC3"/>
        <w:rPr>
          <w:rFonts w:eastAsiaTheme="minorEastAsia"/>
          <w:noProof/>
          <w:kern w:val="2"/>
          <w:sz w:val="24"/>
          <w:szCs w:val="24"/>
          <w:lang w:val="en-US"/>
          <w14:ligatures w14:val="standardContextual"/>
        </w:rPr>
      </w:pPr>
      <w:r>
        <w:rPr>
          <w:noProof/>
        </w:rPr>
        <w:t>6.8.5</w:t>
      </w:r>
      <w:r>
        <w:rPr>
          <w:rFonts w:eastAsiaTheme="minorEastAsia"/>
          <w:noProof/>
          <w:kern w:val="2"/>
          <w:sz w:val="24"/>
          <w:szCs w:val="24"/>
          <w:lang w:val="en-US"/>
          <w14:ligatures w14:val="standardContextual"/>
        </w:rPr>
        <w:tab/>
      </w:r>
      <w:r>
        <w:rPr>
          <w:noProof/>
        </w:rPr>
        <w:t>Category-specific recalculations</w:t>
      </w:r>
      <w:r>
        <w:rPr>
          <w:noProof/>
        </w:rPr>
        <w:tab/>
      </w:r>
      <w:r>
        <w:rPr>
          <w:noProof/>
        </w:rPr>
        <w:fldChar w:fldCharType="begin"/>
      </w:r>
      <w:r>
        <w:rPr>
          <w:noProof/>
        </w:rPr>
        <w:instrText xml:space="preserve"> PAGEREF _Toc184808329 \h </w:instrText>
      </w:r>
      <w:r>
        <w:rPr>
          <w:noProof/>
        </w:rPr>
      </w:r>
      <w:r>
        <w:rPr>
          <w:noProof/>
        </w:rPr>
        <w:fldChar w:fldCharType="separate"/>
      </w:r>
      <w:r>
        <w:rPr>
          <w:noProof/>
        </w:rPr>
        <w:t>192</w:t>
      </w:r>
      <w:r>
        <w:rPr>
          <w:noProof/>
        </w:rPr>
        <w:fldChar w:fldCharType="end"/>
      </w:r>
    </w:p>
    <w:p w14:paraId="3CD0A3C0" w14:textId="3602AA4E" w:rsidR="00440D6B" w:rsidRDefault="00440D6B">
      <w:pPr>
        <w:pStyle w:val="TOC3"/>
        <w:rPr>
          <w:rFonts w:eastAsiaTheme="minorEastAsia"/>
          <w:noProof/>
          <w:kern w:val="2"/>
          <w:sz w:val="24"/>
          <w:szCs w:val="24"/>
          <w:lang w:val="en-US"/>
          <w14:ligatures w14:val="standardContextual"/>
        </w:rPr>
      </w:pPr>
      <w:r>
        <w:rPr>
          <w:noProof/>
        </w:rPr>
        <w:t>6.8.6</w:t>
      </w:r>
      <w:r>
        <w:rPr>
          <w:rFonts w:eastAsiaTheme="minorEastAsia"/>
          <w:noProof/>
          <w:kern w:val="2"/>
          <w:sz w:val="24"/>
          <w:szCs w:val="24"/>
          <w:lang w:val="en-US"/>
          <w14:ligatures w14:val="standardContextual"/>
        </w:rPr>
        <w:tab/>
      </w:r>
      <w:r>
        <w:rPr>
          <w:noProof/>
        </w:rPr>
        <w:t>Category-specific planned improvements</w:t>
      </w:r>
      <w:r>
        <w:rPr>
          <w:noProof/>
        </w:rPr>
        <w:tab/>
      </w:r>
      <w:r>
        <w:rPr>
          <w:noProof/>
        </w:rPr>
        <w:fldChar w:fldCharType="begin"/>
      </w:r>
      <w:r>
        <w:rPr>
          <w:noProof/>
        </w:rPr>
        <w:instrText xml:space="preserve"> PAGEREF _Toc184808330 \h </w:instrText>
      </w:r>
      <w:r>
        <w:rPr>
          <w:noProof/>
        </w:rPr>
      </w:r>
      <w:r>
        <w:rPr>
          <w:noProof/>
        </w:rPr>
        <w:fldChar w:fldCharType="separate"/>
      </w:r>
      <w:r>
        <w:rPr>
          <w:noProof/>
        </w:rPr>
        <w:t>192</w:t>
      </w:r>
      <w:r>
        <w:rPr>
          <w:noProof/>
        </w:rPr>
        <w:fldChar w:fldCharType="end"/>
      </w:r>
    </w:p>
    <w:p w14:paraId="2B26C73B" w14:textId="3C980BEC"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6.9</w:t>
      </w:r>
      <w:r>
        <w:rPr>
          <w:rFonts w:eastAsiaTheme="minorEastAsia"/>
          <w:noProof/>
          <w:kern w:val="2"/>
          <w:sz w:val="24"/>
          <w:szCs w:val="24"/>
          <w:lang w:val="en-US"/>
          <w14:ligatures w14:val="standardContextual"/>
        </w:rPr>
        <w:tab/>
      </w:r>
      <w:r>
        <w:rPr>
          <w:noProof/>
        </w:rPr>
        <w:t>Settlements (CRT 4E)</w:t>
      </w:r>
      <w:r>
        <w:rPr>
          <w:noProof/>
        </w:rPr>
        <w:tab/>
      </w:r>
      <w:r>
        <w:rPr>
          <w:noProof/>
        </w:rPr>
        <w:fldChar w:fldCharType="begin"/>
      </w:r>
      <w:r>
        <w:rPr>
          <w:noProof/>
        </w:rPr>
        <w:instrText xml:space="preserve"> PAGEREF _Toc184808331 \h </w:instrText>
      </w:r>
      <w:r>
        <w:rPr>
          <w:noProof/>
        </w:rPr>
      </w:r>
      <w:r>
        <w:rPr>
          <w:noProof/>
        </w:rPr>
        <w:fldChar w:fldCharType="separate"/>
      </w:r>
      <w:r>
        <w:rPr>
          <w:noProof/>
        </w:rPr>
        <w:t>192</w:t>
      </w:r>
      <w:r>
        <w:rPr>
          <w:noProof/>
        </w:rPr>
        <w:fldChar w:fldCharType="end"/>
      </w:r>
    </w:p>
    <w:p w14:paraId="09B5EB0B" w14:textId="5B5FE9D5" w:rsidR="00440D6B" w:rsidRDefault="00440D6B">
      <w:pPr>
        <w:pStyle w:val="TOC3"/>
        <w:rPr>
          <w:rFonts w:eastAsiaTheme="minorEastAsia"/>
          <w:noProof/>
          <w:kern w:val="2"/>
          <w:sz w:val="24"/>
          <w:szCs w:val="24"/>
          <w:lang w:val="en-US"/>
          <w14:ligatures w14:val="standardContextual"/>
        </w:rPr>
      </w:pPr>
      <w:r>
        <w:rPr>
          <w:noProof/>
        </w:rPr>
        <w:t>6.9.1</w:t>
      </w:r>
      <w:r>
        <w:rPr>
          <w:rFonts w:eastAsiaTheme="minorEastAsia"/>
          <w:noProof/>
          <w:kern w:val="2"/>
          <w:sz w:val="24"/>
          <w:szCs w:val="24"/>
          <w:lang w:val="en-US"/>
          <w14:ligatures w14:val="standardContextual"/>
        </w:rPr>
        <w:tab/>
      </w:r>
      <w:r>
        <w:rPr>
          <w:noProof/>
        </w:rPr>
        <w:t>Description</w:t>
      </w:r>
      <w:r>
        <w:rPr>
          <w:noProof/>
        </w:rPr>
        <w:tab/>
      </w:r>
      <w:r>
        <w:rPr>
          <w:noProof/>
        </w:rPr>
        <w:fldChar w:fldCharType="begin"/>
      </w:r>
      <w:r>
        <w:rPr>
          <w:noProof/>
        </w:rPr>
        <w:instrText xml:space="preserve"> PAGEREF _Toc184808332 \h </w:instrText>
      </w:r>
      <w:r>
        <w:rPr>
          <w:noProof/>
        </w:rPr>
      </w:r>
      <w:r>
        <w:rPr>
          <w:noProof/>
        </w:rPr>
        <w:fldChar w:fldCharType="separate"/>
      </w:r>
      <w:r>
        <w:rPr>
          <w:noProof/>
        </w:rPr>
        <w:t>192</w:t>
      </w:r>
      <w:r>
        <w:rPr>
          <w:noProof/>
        </w:rPr>
        <w:fldChar w:fldCharType="end"/>
      </w:r>
    </w:p>
    <w:p w14:paraId="2306B8D9" w14:textId="1861AC8A" w:rsidR="00440D6B" w:rsidRDefault="00440D6B">
      <w:pPr>
        <w:pStyle w:val="TOC3"/>
        <w:rPr>
          <w:rFonts w:eastAsiaTheme="minorEastAsia"/>
          <w:noProof/>
          <w:kern w:val="2"/>
          <w:sz w:val="24"/>
          <w:szCs w:val="24"/>
          <w:lang w:val="en-US"/>
          <w14:ligatures w14:val="standardContextual"/>
        </w:rPr>
      </w:pPr>
      <w:r>
        <w:rPr>
          <w:noProof/>
        </w:rPr>
        <w:lastRenderedPageBreak/>
        <w:t>6.9.2</w:t>
      </w:r>
      <w:r>
        <w:rPr>
          <w:rFonts w:eastAsiaTheme="minorEastAsia"/>
          <w:noProof/>
          <w:kern w:val="2"/>
          <w:sz w:val="24"/>
          <w:szCs w:val="24"/>
          <w:lang w:val="en-US"/>
          <w14:ligatures w14:val="standardContextual"/>
        </w:rPr>
        <w:tab/>
      </w:r>
      <w:r>
        <w:rPr>
          <w:noProof/>
        </w:rPr>
        <w:t>Methodological issues</w:t>
      </w:r>
      <w:r>
        <w:rPr>
          <w:noProof/>
        </w:rPr>
        <w:tab/>
      </w:r>
      <w:r>
        <w:rPr>
          <w:noProof/>
        </w:rPr>
        <w:fldChar w:fldCharType="begin"/>
      </w:r>
      <w:r>
        <w:rPr>
          <w:noProof/>
        </w:rPr>
        <w:instrText xml:space="preserve"> PAGEREF _Toc184808333 \h </w:instrText>
      </w:r>
      <w:r>
        <w:rPr>
          <w:noProof/>
        </w:rPr>
      </w:r>
      <w:r>
        <w:rPr>
          <w:noProof/>
        </w:rPr>
        <w:fldChar w:fldCharType="separate"/>
      </w:r>
      <w:r>
        <w:rPr>
          <w:noProof/>
        </w:rPr>
        <w:t>194</w:t>
      </w:r>
      <w:r>
        <w:rPr>
          <w:noProof/>
        </w:rPr>
        <w:fldChar w:fldCharType="end"/>
      </w:r>
    </w:p>
    <w:p w14:paraId="53EE2AFB" w14:textId="42DEBBD6" w:rsidR="00440D6B" w:rsidRDefault="00440D6B">
      <w:pPr>
        <w:pStyle w:val="TOC3"/>
        <w:rPr>
          <w:rFonts w:eastAsiaTheme="minorEastAsia"/>
          <w:noProof/>
          <w:kern w:val="2"/>
          <w:sz w:val="24"/>
          <w:szCs w:val="24"/>
          <w:lang w:val="en-US"/>
          <w14:ligatures w14:val="standardContextual"/>
        </w:rPr>
      </w:pPr>
      <w:r>
        <w:rPr>
          <w:noProof/>
        </w:rPr>
        <w:t>6.9.3</w:t>
      </w:r>
      <w:r>
        <w:rPr>
          <w:rFonts w:eastAsiaTheme="minorEastAsia"/>
          <w:noProof/>
          <w:kern w:val="2"/>
          <w:sz w:val="24"/>
          <w:szCs w:val="24"/>
          <w:lang w:val="en-US"/>
          <w14:ligatures w14:val="standardContextual"/>
        </w:rPr>
        <w:tab/>
      </w:r>
      <w:r>
        <w:rPr>
          <w:noProof/>
        </w:rPr>
        <w:t>Uncertainties and time-series consistency</w:t>
      </w:r>
      <w:r>
        <w:rPr>
          <w:noProof/>
        </w:rPr>
        <w:tab/>
      </w:r>
      <w:r>
        <w:rPr>
          <w:noProof/>
        </w:rPr>
        <w:fldChar w:fldCharType="begin"/>
      </w:r>
      <w:r>
        <w:rPr>
          <w:noProof/>
        </w:rPr>
        <w:instrText xml:space="preserve"> PAGEREF _Toc184808334 \h </w:instrText>
      </w:r>
      <w:r>
        <w:rPr>
          <w:noProof/>
        </w:rPr>
      </w:r>
      <w:r>
        <w:rPr>
          <w:noProof/>
        </w:rPr>
        <w:fldChar w:fldCharType="separate"/>
      </w:r>
      <w:r>
        <w:rPr>
          <w:noProof/>
        </w:rPr>
        <w:t>195</w:t>
      </w:r>
      <w:r>
        <w:rPr>
          <w:noProof/>
        </w:rPr>
        <w:fldChar w:fldCharType="end"/>
      </w:r>
    </w:p>
    <w:p w14:paraId="72F3CA54" w14:textId="6804B8E6" w:rsidR="00440D6B" w:rsidRDefault="00440D6B">
      <w:pPr>
        <w:pStyle w:val="TOC3"/>
        <w:rPr>
          <w:rFonts w:eastAsiaTheme="minorEastAsia"/>
          <w:noProof/>
          <w:kern w:val="2"/>
          <w:sz w:val="24"/>
          <w:szCs w:val="24"/>
          <w:lang w:val="en-US"/>
          <w14:ligatures w14:val="standardContextual"/>
        </w:rPr>
      </w:pPr>
      <w:r>
        <w:rPr>
          <w:noProof/>
        </w:rPr>
        <w:t>6.9.4</w:t>
      </w:r>
      <w:r>
        <w:rPr>
          <w:rFonts w:eastAsiaTheme="minorEastAsia"/>
          <w:noProof/>
          <w:kern w:val="2"/>
          <w:sz w:val="24"/>
          <w:szCs w:val="24"/>
          <w:lang w:val="en-US"/>
          <w14:ligatures w14:val="standardContextual"/>
        </w:rPr>
        <w:tab/>
      </w:r>
      <w:r>
        <w:rPr>
          <w:noProof/>
        </w:rPr>
        <w:t>Category-specific QA/QC and verification</w:t>
      </w:r>
      <w:r>
        <w:rPr>
          <w:noProof/>
        </w:rPr>
        <w:tab/>
      </w:r>
      <w:r>
        <w:rPr>
          <w:noProof/>
        </w:rPr>
        <w:fldChar w:fldCharType="begin"/>
      </w:r>
      <w:r>
        <w:rPr>
          <w:noProof/>
        </w:rPr>
        <w:instrText xml:space="preserve"> PAGEREF _Toc184808335 \h </w:instrText>
      </w:r>
      <w:r>
        <w:rPr>
          <w:noProof/>
        </w:rPr>
      </w:r>
      <w:r>
        <w:rPr>
          <w:noProof/>
        </w:rPr>
        <w:fldChar w:fldCharType="separate"/>
      </w:r>
      <w:r>
        <w:rPr>
          <w:noProof/>
        </w:rPr>
        <w:t>195</w:t>
      </w:r>
      <w:r>
        <w:rPr>
          <w:noProof/>
        </w:rPr>
        <w:fldChar w:fldCharType="end"/>
      </w:r>
    </w:p>
    <w:p w14:paraId="0DA5EEFB" w14:textId="4B81A89A" w:rsidR="00440D6B" w:rsidRDefault="00440D6B">
      <w:pPr>
        <w:pStyle w:val="TOC3"/>
        <w:rPr>
          <w:rFonts w:eastAsiaTheme="minorEastAsia"/>
          <w:noProof/>
          <w:kern w:val="2"/>
          <w:sz w:val="24"/>
          <w:szCs w:val="24"/>
          <w:lang w:val="en-US"/>
          <w14:ligatures w14:val="standardContextual"/>
        </w:rPr>
      </w:pPr>
      <w:r>
        <w:rPr>
          <w:noProof/>
        </w:rPr>
        <w:t>6.9.5</w:t>
      </w:r>
      <w:r>
        <w:rPr>
          <w:rFonts w:eastAsiaTheme="minorEastAsia"/>
          <w:noProof/>
          <w:kern w:val="2"/>
          <w:sz w:val="24"/>
          <w:szCs w:val="24"/>
          <w:lang w:val="en-US"/>
          <w14:ligatures w14:val="standardContextual"/>
        </w:rPr>
        <w:tab/>
      </w:r>
      <w:r>
        <w:rPr>
          <w:noProof/>
        </w:rPr>
        <w:t>Category-specific recalculations</w:t>
      </w:r>
      <w:r>
        <w:rPr>
          <w:noProof/>
        </w:rPr>
        <w:tab/>
      </w:r>
      <w:r>
        <w:rPr>
          <w:noProof/>
        </w:rPr>
        <w:fldChar w:fldCharType="begin"/>
      </w:r>
      <w:r>
        <w:rPr>
          <w:noProof/>
        </w:rPr>
        <w:instrText xml:space="preserve"> PAGEREF _Toc184808336 \h </w:instrText>
      </w:r>
      <w:r>
        <w:rPr>
          <w:noProof/>
        </w:rPr>
      </w:r>
      <w:r>
        <w:rPr>
          <w:noProof/>
        </w:rPr>
        <w:fldChar w:fldCharType="separate"/>
      </w:r>
      <w:r>
        <w:rPr>
          <w:noProof/>
        </w:rPr>
        <w:t>195</w:t>
      </w:r>
      <w:r>
        <w:rPr>
          <w:noProof/>
        </w:rPr>
        <w:fldChar w:fldCharType="end"/>
      </w:r>
    </w:p>
    <w:p w14:paraId="31CDCD67" w14:textId="750D3BC2" w:rsidR="00440D6B" w:rsidRDefault="00440D6B">
      <w:pPr>
        <w:pStyle w:val="TOC3"/>
        <w:rPr>
          <w:rFonts w:eastAsiaTheme="minorEastAsia"/>
          <w:noProof/>
          <w:kern w:val="2"/>
          <w:sz w:val="24"/>
          <w:szCs w:val="24"/>
          <w:lang w:val="en-US"/>
          <w14:ligatures w14:val="standardContextual"/>
        </w:rPr>
      </w:pPr>
      <w:r>
        <w:rPr>
          <w:noProof/>
        </w:rPr>
        <w:t>6.9.6</w:t>
      </w:r>
      <w:r>
        <w:rPr>
          <w:rFonts w:eastAsiaTheme="minorEastAsia"/>
          <w:noProof/>
          <w:kern w:val="2"/>
          <w:sz w:val="24"/>
          <w:szCs w:val="24"/>
          <w:lang w:val="en-US"/>
          <w14:ligatures w14:val="standardContextual"/>
        </w:rPr>
        <w:tab/>
      </w:r>
      <w:r>
        <w:rPr>
          <w:noProof/>
        </w:rPr>
        <w:t>Category-specific planned improvements</w:t>
      </w:r>
      <w:r>
        <w:rPr>
          <w:noProof/>
        </w:rPr>
        <w:tab/>
      </w:r>
      <w:r>
        <w:rPr>
          <w:noProof/>
        </w:rPr>
        <w:fldChar w:fldCharType="begin"/>
      </w:r>
      <w:r>
        <w:rPr>
          <w:noProof/>
        </w:rPr>
        <w:instrText xml:space="preserve"> PAGEREF _Toc184808337 \h </w:instrText>
      </w:r>
      <w:r>
        <w:rPr>
          <w:noProof/>
        </w:rPr>
      </w:r>
      <w:r>
        <w:rPr>
          <w:noProof/>
        </w:rPr>
        <w:fldChar w:fldCharType="separate"/>
      </w:r>
      <w:r>
        <w:rPr>
          <w:noProof/>
        </w:rPr>
        <w:t>195</w:t>
      </w:r>
      <w:r>
        <w:rPr>
          <w:noProof/>
        </w:rPr>
        <w:fldChar w:fldCharType="end"/>
      </w:r>
    </w:p>
    <w:p w14:paraId="3F4DC76D" w14:textId="0319B2C2" w:rsidR="00440D6B" w:rsidRDefault="00440D6B">
      <w:pPr>
        <w:pStyle w:val="TOC2"/>
        <w:tabs>
          <w:tab w:val="left" w:pos="11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6.10</w:t>
      </w:r>
      <w:r>
        <w:rPr>
          <w:rFonts w:eastAsiaTheme="minorEastAsia"/>
          <w:noProof/>
          <w:kern w:val="2"/>
          <w:sz w:val="24"/>
          <w:szCs w:val="24"/>
          <w:lang w:val="en-US"/>
          <w14:ligatures w14:val="standardContextual"/>
        </w:rPr>
        <w:tab/>
      </w:r>
      <w:r>
        <w:rPr>
          <w:noProof/>
        </w:rPr>
        <w:t>Other lands (CRT 4F)</w:t>
      </w:r>
      <w:r>
        <w:rPr>
          <w:noProof/>
        </w:rPr>
        <w:tab/>
      </w:r>
      <w:r>
        <w:rPr>
          <w:noProof/>
        </w:rPr>
        <w:fldChar w:fldCharType="begin"/>
      </w:r>
      <w:r>
        <w:rPr>
          <w:noProof/>
        </w:rPr>
        <w:instrText xml:space="preserve"> PAGEREF _Toc184808338 \h </w:instrText>
      </w:r>
      <w:r>
        <w:rPr>
          <w:noProof/>
        </w:rPr>
      </w:r>
      <w:r>
        <w:rPr>
          <w:noProof/>
        </w:rPr>
        <w:fldChar w:fldCharType="separate"/>
      </w:r>
      <w:r>
        <w:rPr>
          <w:noProof/>
        </w:rPr>
        <w:t>196</w:t>
      </w:r>
      <w:r>
        <w:rPr>
          <w:noProof/>
        </w:rPr>
        <w:fldChar w:fldCharType="end"/>
      </w:r>
    </w:p>
    <w:p w14:paraId="25E886BA" w14:textId="16F1B0BC" w:rsidR="00440D6B" w:rsidRDefault="00440D6B">
      <w:pPr>
        <w:pStyle w:val="TOC3"/>
        <w:rPr>
          <w:rFonts w:eastAsiaTheme="minorEastAsia"/>
          <w:noProof/>
          <w:kern w:val="2"/>
          <w:sz w:val="24"/>
          <w:szCs w:val="24"/>
          <w:lang w:val="en-US"/>
          <w14:ligatures w14:val="standardContextual"/>
        </w:rPr>
      </w:pPr>
      <w:r>
        <w:rPr>
          <w:noProof/>
        </w:rPr>
        <w:t>6.10.1</w:t>
      </w:r>
      <w:r>
        <w:rPr>
          <w:rFonts w:eastAsiaTheme="minorEastAsia"/>
          <w:noProof/>
          <w:kern w:val="2"/>
          <w:sz w:val="24"/>
          <w:szCs w:val="24"/>
          <w:lang w:val="en-US"/>
          <w14:ligatures w14:val="standardContextual"/>
        </w:rPr>
        <w:tab/>
      </w:r>
      <w:r>
        <w:rPr>
          <w:noProof/>
        </w:rPr>
        <w:t>Description</w:t>
      </w:r>
      <w:r>
        <w:rPr>
          <w:noProof/>
        </w:rPr>
        <w:tab/>
      </w:r>
      <w:r>
        <w:rPr>
          <w:noProof/>
        </w:rPr>
        <w:fldChar w:fldCharType="begin"/>
      </w:r>
      <w:r>
        <w:rPr>
          <w:noProof/>
        </w:rPr>
        <w:instrText xml:space="preserve"> PAGEREF _Toc184808339 \h </w:instrText>
      </w:r>
      <w:r>
        <w:rPr>
          <w:noProof/>
        </w:rPr>
      </w:r>
      <w:r>
        <w:rPr>
          <w:noProof/>
        </w:rPr>
        <w:fldChar w:fldCharType="separate"/>
      </w:r>
      <w:r>
        <w:rPr>
          <w:noProof/>
        </w:rPr>
        <w:t>196</w:t>
      </w:r>
      <w:r>
        <w:rPr>
          <w:noProof/>
        </w:rPr>
        <w:fldChar w:fldCharType="end"/>
      </w:r>
    </w:p>
    <w:p w14:paraId="64855726" w14:textId="23D85D41" w:rsidR="00440D6B" w:rsidRDefault="00440D6B">
      <w:pPr>
        <w:pStyle w:val="TOC3"/>
        <w:rPr>
          <w:rFonts w:eastAsiaTheme="minorEastAsia"/>
          <w:noProof/>
          <w:kern w:val="2"/>
          <w:sz w:val="24"/>
          <w:szCs w:val="24"/>
          <w:lang w:val="en-US"/>
          <w14:ligatures w14:val="standardContextual"/>
        </w:rPr>
      </w:pPr>
      <w:r>
        <w:rPr>
          <w:noProof/>
        </w:rPr>
        <w:t>6.10.2</w:t>
      </w:r>
      <w:r>
        <w:rPr>
          <w:rFonts w:eastAsiaTheme="minorEastAsia"/>
          <w:noProof/>
          <w:kern w:val="2"/>
          <w:sz w:val="24"/>
          <w:szCs w:val="24"/>
          <w:lang w:val="en-US"/>
          <w14:ligatures w14:val="standardContextual"/>
        </w:rPr>
        <w:tab/>
      </w:r>
      <w:r>
        <w:rPr>
          <w:noProof/>
        </w:rPr>
        <w:t>Methodological issues</w:t>
      </w:r>
      <w:r>
        <w:rPr>
          <w:noProof/>
        </w:rPr>
        <w:tab/>
      </w:r>
      <w:r>
        <w:rPr>
          <w:noProof/>
        </w:rPr>
        <w:fldChar w:fldCharType="begin"/>
      </w:r>
      <w:r>
        <w:rPr>
          <w:noProof/>
        </w:rPr>
        <w:instrText xml:space="preserve"> PAGEREF _Toc184808340 \h </w:instrText>
      </w:r>
      <w:r>
        <w:rPr>
          <w:noProof/>
        </w:rPr>
      </w:r>
      <w:r>
        <w:rPr>
          <w:noProof/>
        </w:rPr>
        <w:fldChar w:fldCharType="separate"/>
      </w:r>
      <w:r>
        <w:rPr>
          <w:noProof/>
        </w:rPr>
        <w:t>197</w:t>
      </w:r>
      <w:r>
        <w:rPr>
          <w:noProof/>
        </w:rPr>
        <w:fldChar w:fldCharType="end"/>
      </w:r>
    </w:p>
    <w:p w14:paraId="6A6D34E1" w14:textId="4588F66F" w:rsidR="00440D6B" w:rsidRDefault="00440D6B">
      <w:pPr>
        <w:pStyle w:val="TOC3"/>
        <w:rPr>
          <w:rFonts w:eastAsiaTheme="minorEastAsia"/>
          <w:noProof/>
          <w:kern w:val="2"/>
          <w:sz w:val="24"/>
          <w:szCs w:val="24"/>
          <w:lang w:val="en-US"/>
          <w14:ligatures w14:val="standardContextual"/>
        </w:rPr>
      </w:pPr>
      <w:r>
        <w:rPr>
          <w:noProof/>
        </w:rPr>
        <w:t>6.10.3</w:t>
      </w:r>
      <w:r>
        <w:rPr>
          <w:rFonts w:eastAsiaTheme="minorEastAsia"/>
          <w:noProof/>
          <w:kern w:val="2"/>
          <w:sz w:val="24"/>
          <w:szCs w:val="24"/>
          <w:lang w:val="en-US"/>
          <w14:ligatures w14:val="standardContextual"/>
        </w:rPr>
        <w:tab/>
      </w:r>
      <w:r>
        <w:rPr>
          <w:noProof/>
        </w:rPr>
        <w:t>Uncertainties and time-series consistency</w:t>
      </w:r>
      <w:r>
        <w:rPr>
          <w:noProof/>
        </w:rPr>
        <w:tab/>
      </w:r>
      <w:r>
        <w:rPr>
          <w:noProof/>
        </w:rPr>
        <w:fldChar w:fldCharType="begin"/>
      </w:r>
      <w:r>
        <w:rPr>
          <w:noProof/>
        </w:rPr>
        <w:instrText xml:space="preserve"> PAGEREF _Toc184808341 \h </w:instrText>
      </w:r>
      <w:r>
        <w:rPr>
          <w:noProof/>
        </w:rPr>
      </w:r>
      <w:r>
        <w:rPr>
          <w:noProof/>
        </w:rPr>
        <w:fldChar w:fldCharType="separate"/>
      </w:r>
      <w:r>
        <w:rPr>
          <w:noProof/>
        </w:rPr>
        <w:t>198</w:t>
      </w:r>
      <w:r>
        <w:rPr>
          <w:noProof/>
        </w:rPr>
        <w:fldChar w:fldCharType="end"/>
      </w:r>
    </w:p>
    <w:p w14:paraId="7A92810A" w14:textId="71A7B93A" w:rsidR="00440D6B" w:rsidRDefault="00440D6B">
      <w:pPr>
        <w:pStyle w:val="TOC3"/>
        <w:rPr>
          <w:rFonts w:eastAsiaTheme="minorEastAsia"/>
          <w:noProof/>
          <w:kern w:val="2"/>
          <w:sz w:val="24"/>
          <w:szCs w:val="24"/>
          <w:lang w:val="en-US"/>
          <w14:ligatures w14:val="standardContextual"/>
        </w:rPr>
      </w:pPr>
      <w:r>
        <w:rPr>
          <w:noProof/>
        </w:rPr>
        <w:t>6.10.4</w:t>
      </w:r>
      <w:r>
        <w:rPr>
          <w:rFonts w:eastAsiaTheme="minorEastAsia"/>
          <w:noProof/>
          <w:kern w:val="2"/>
          <w:sz w:val="24"/>
          <w:szCs w:val="24"/>
          <w:lang w:val="en-US"/>
          <w14:ligatures w14:val="standardContextual"/>
        </w:rPr>
        <w:tab/>
      </w:r>
      <w:r>
        <w:rPr>
          <w:noProof/>
        </w:rPr>
        <w:t>Category-specific QA/QC and verification</w:t>
      </w:r>
      <w:r>
        <w:rPr>
          <w:noProof/>
        </w:rPr>
        <w:tab/>
      </w:r>
      <w:r>
        <w:rPr>
          <w:noProof/>
        </w:rPr>
        <w:fldChar w:fldCharType="begin"/>
      </w:r>
      <w:r>
        <w:rPr>
          <w:noProof/>
        </w:rPr>
        <w:instrText xml:space="preserve"> PAGEREF _Toc184808342 \h </w:instrText>
      </w:r>
      <w:r>
        <w:rPr>
          <w:noProof/>
        </w:rPr>
      </w:r>
      <w:r>
        <w:rPr>
          <w:noProof/>
        </w:rPr>
        <w:fldChar w:fldCharType="separate"/>
      </w:r>
      <w:r>
        <w:rPr>
          <w:noProof/>
        </w:rPr>
        <w:t>198</w:t>
      </w:r>
      <w:r>
        <w:rPr>
          <w:noProof/>
        </w:rPr>
        <w:fldChar w:fldCharType="end"/>
      </w:r>
    </w:p>
    <w:p w14:paraId="616D4CA6" w14:textId="0A5A7FAC" w:rsidR="00440D6B" w:rsidRDefault="00440D6B">
      <w:pPr>
        <w:pStyle w:val="TOC3"/>
        <w:rPr>
          <w:rFonts w:eastAsiaTheme="minorEastAsia"/>
          <w:noProof/>
          <w:kern w:val="2"/>
          <w:sz w:val="24"/>
          <w:szCs w:val="24"/>
          <w:lang w:val="en-US"/>
          <w14:ligatures w14:val="standardContextual"/>
        </w:rPr>
      </w:pPr>
      <w:r>
        <w:rPr>
          <w:noProof/>
        </w:rPr>
        <w:t>6.10.5</w:t>
      </w:r>
      <w:r>
        <w:rPr>
          <w:rFonts w:eastAsiaTheme="minorEastAsia"/>
          <w:noProof/>
          <w:kern w:val="2"/>
          <w:sz w:val="24"/>
          <w:szCs w:val="24"/>
          <w:lang w:val="en-US"/>
          <w14:ligatures w14:val="standardContextual"/>
        </w:rPr>
        <w:tab/>
      </w:r>
      <w:r>
        <w:rPr>
          <w:noProof/>
        </w:rPr>
        <w:t>Category-specific recalculations</w:t>
      </w:r>
      <w:r>
        <w:rPr>
          <w:noProof/>
        </w:rPr>
        <w:tab/>
      </w:r>
      <w:r>
        <w:rPr>
          <w:noProof/>
        </w:rPr>
        <w:fldChar w:fldCharType="begin"/>
      </w:r>
      <w:r>
        <w:rPr>
          <w:noProof/>
        </w:rPr>
        <w:instrText xml:space="preserve"> PAGEREF _Toc184808343 \h </w:instrText>
      </w:r>
      <w:r>
        <w:rPr>
          <w:noProof/>
        </w:rPr>
      </w:r>
      <w:r>
        <w:rPr>
          <w:noProof/>
        </w:rPr>
        <w:fldChar w:fldCharType="separate"/>
      </w:r>
      <w:r>
        <w:rPr>
          <w:noProof/>
        </w:rPr>
        <w:t>198</w:t>
      </w:r>
      <w:r>
        <w:rPr>
          <w:noProof/>
        </w:rPr>
        <w:fldChar w:fldCharType="end"/>
      </w:r>
    </w:p>
    <w:p w14:paraId="39226B6D" w14:textId="6C0BDA1B" w:rsidR="00440D6B" w:rsidRDefault="00440D6B">
      <w:pPr>
        <w:pStyle w:val="TOC3"/>
        <w:rPr>
          <w:rFonts w:eastAsiaTheme="minorEastAsia"/>
          <w:noProof/>
          <w:kern w:val="2"/>
          <w:sz w:val="24"/>
          <w:szCs w:val="24"/>
          <w:lang w:val="en-US"/>
          <w14:ligatures w14:val="standardContextual"/>
        </w:rPr>
      </w:pPr>
      <w:r>
        <w:rPr>
          <w:noProof/>
        </w:rPr>
        <w:t>6.10.6</w:t>
      </w:r>
      <w:r>
        <w:rPr>
          <w:rFonts w:eastAsiaTheme="minorEastAsia"/>
          <w:noProof/>
          <w:kern w:val="2"/>
          <w:sz w:val="24"/>
          <w:szCs w:val="24"/>
          <w:lang w:val="en-US"/>
          <w14:ligatures w14:val="standardContextual"/>
        </w:rPr>
        <w:tab/>
      </w:r>
      <w:r>
        <w:rPr>
          <w:noProof/>
        </w:rPr>
        <w:t>Category-specific planned improvements</w:t>
      </w:r>
      <w:r>
        <w:rPr>
          <w:noProof/>
        </w:rPr>
        <w:tab/>
      </w:r>
      <w:r>
        <w:rPr>
          <w:noProof/>
        </w:rPr>
        <w:fldChar w:fldCharType="begin"/>
      </w:r>
      <w:r>
        <w:rPr>
          <w:noProof/>
        </w:rPr>
        <w:instrText xml:space="preserve"> PAGEREF _Toc184808344 \h </w:instrText>
      </w:r>
      <w:r>
        <w:rPr>
          <w:noProof/>
        </w:rPr>
      </w:r>
      <w:r>
        <w:rPr>
          <w:noProof/>
        </w:rPr>
        <w:fldChar w:fldCharType="separate"/>
      </w:r>
      <w:r>
        <w:rPr>
          <w:noProof/>
        </w:rPr>
        <w:t>198</w:t>
      </w:r>
      <w:r>
        <w:rPr>
          <w:noProof/>
        </w:rPr>
        <w:fldChar w:fldCharType="end"/>
      </w:r>
    </w:p>
    <w:p w14:paraId="787FF662" w14:textId="011AE164" w:rsidR="00440D6B" w:rsidRDefault="00440D6B">
      <w:pPr>
        <w:pStyle w:val="TOC2"/>
        <w:tabs>
          <w:tab w:val="left" w:pos="11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6.11</w:t>
      </w:r>
      <w:r>
        <w:rPr>
          <w:rFonts w:eastAsiaTheme="minorEastAsia"/>
          <w:noProof/>
          <w:kern w:val="2"/>
          <w:sz w:val="24"/>
          <w:szCs w:val="24"/>
          <w:lang w:val="en-US"/>
          <w14:ligatures w14:val="standardContextual"/>
        </w:rPr>
        <w:tab/>
      </w:r>
      <w:r>
        <w:rPr>
          <w:noProof/>
        </w:rPr>
        <w:t>Harvested wood products (CRT 4G)</w:t>
      </w:r>
      <w:r>
        <w:rPr>
          <w:noProof/>
        </w:rPr>
        <w:tab/>
      </w:r>
      <w:r>
        <w:rPr>
          <w:noProof/>
        </w:rPr>
        <w:fldChar w:fldCharType="begin"/>
      </w:r>
      <w:r>
        <w:rPr>
          <w:noProof/>
        </w:rPr>
        <w:instrText xml:space="preserve"> PAGEREF _Toc184808345 \h </w:instrText>
      </w:r>
      <w:r>
        <w:rPr>
          <w:noProof/>
        </w:rPr>
      </w:r>
      <w:r>
        <w:rPr>
          <w:noProof/>
        </w:rPr>
        <w:fldChar w:fldCharType="separate"/>
      </w:r>
      <w:r>
        <w:rPr>
          <w:noProof/>
        </w:rPr>
        <w:t>199</w:t>
      </w:r>
      <w:r>
        <w:rPr>
          <w:noProof/>
        </w:rPr>
        <w:fldChar w:fldCharType="end"/>
      </w:r>
    </w:p>
    <w:p w14:paraId="601BF9DF" w14:textId="7B37723F" w:rsidR="00440D6B" w:rsidRDefault="00440D6B">
      <w:pPr>
        <w:pStyle w:val="TOC3"/>
        <w:rPr>
          <w:rFonts w:eastAsiaTheme="minorEastAsia"/>
          <w:noProof/>
          <w:kern w:val="2"/>
          <w:sz w:val="24"/>
          <w:szCs w:val="24"/>
          <w:lang w:val="en-US"/>
          <w14:ligatures w14:val="standardContextual"/>
        </w:rPr>
      </w:pPr>
      <w:r>
        <w:rPr>
          <w:noProof/>
        </w:rPr>
        <w:t>6.11.1</w:t>
      </w:r>
      <w:r>
        <w:rPr>
          <w:rFonts w:eastAsiaTheme="minorEastAsia"/>
          <w:noProof/>
          <w:kern w:val="2"/>
          <w:sz w:val="24"/>
          <w:szCs w:val="24"/>
          <w:lang w:val="en-US"/>
          <w14:ligatures w14:val="standardContextual"/>
        </w:rPr>
        <w:tab/>
      </w:r>
      <w:r>
        <w:rPr>
          <w:noProof/>
        </w:rPr>
        <w:t>Description</w:t>
      </w:r>
      <w:r>
        <w:rPr>
          <w:noProof/>
        </w:rPr>
        <w:tab/>
      </w:r>
      <w:r>
        <w:rPr>
          <w:noProof/>
        </w:rPr>
        <w:fldChar w:fldCharType="begin"/>
      </w:r>
      <w:r>
        <w:rPr>
          <w:noProof/>
        </w:rPr>
        <w:instrText xml:space="preserve"> PAGEREF _Toc184808346 \h </w:instrText>
      </w:r>
      <w:r>
        <w:rPr>
          <w:noProof/>
        </w:rPr>
      </w:r>
      <w:r>
        <w:rPr>
          <w:noProof/>
        </w:rPr>
        <w:fldChar w:fldCharType="separate"/>
      </w:r>
      <w:r>
        <w:rPr>
          <w:noProof/>
        </w:rPr>
        <w:t>199</w:t>
      </w:r>
      <w:r>
        <w:rPr>
          <w:noProof/>
        </w:rPr>
        <w:fldChar w:fldCharType="end"/>
      </w:r>
    </w:p>
    <w:p w14:paraId="2C4DCBFC" w14:textId="300753E4" w:rsidR="00440D6B" w:rsidRDefault="00440D6B">
      <w:pPr>
        <w:pStyle w:val="TOC3"/>
        <w:rPr>
          <w:rFonts w:eastAsiaTheme="minorEastAsia"/>
          <w:noProof/>
          <w:kern w:val="2"/>
          <w:sz w:val="24"/>
          <w:szCs w:val="24"/>
          <w:lang w:val="en-US"/>
          <w14:ligatures w14:val="standardContextual"/>
        </w:rPr>
      </w:pPr>
      <w:r>
        <w:rPr>
          <w:noProof/>
        </w:rPr>
        <w:t>6.11.2</w:t>
      </w:r>
      <w:r>
        <w:rPr>
          <w:rFonts w:eastAsiaTheme="minorEastAsia"/>
          <w:noProof/>
          <w:kern w:val="2"/>
          <w:sz w:val="24"/>
          <w:szCs w:val="24"/>
          <w:lang w:val="en-US"/>
          <w14:ligatures w14:val="standardContextual"/>
        </w:rPr>
        <w:tab/>
      </w:r>
      <w:r>
        <w:rPr>
          <w:noProof/>
        </w:rPr>
        <w:t>Methodological issues</w:t>
      </w:r>
      <w:r>
        <w:rPr>
          <w:noProof/>
        </w:rPr>
        <w:tab/>
      </w:r>
      <w:r>
        <w:rPr>
          <w:noProof/>
        </w:rPr>
        <w:fldChar w:fldCharType="begin"/>
      </w:r>
      <w:r>
        <w:rPr>
          <w:noProof/>
        </w:rPr>
        <w:instrText xml:space="preserve"> PAGEREF _Toc184808347 \h </w:instrText>
      </w:r>
      <w:r>
        <w:rPr>
          <w:noProof/>
        </w:rPr>
      </w:r>
      <w:r>
        <w:rPr>
          <w:noProof/>
        </w:rPr>
        <w:fldChar w:fldCharType="separate"/>
      </w:r>
      <w:r>
        <w:rPr>
          <w:noProof/>
        </w:rPr>
        <w:t>200</w:t>
      </w:r>
      <w:r>
        <w:rPr>
          <w:noProof/>
        </w:rPr>
        <w:fldChar w:fldCharType="end"/>
      </w:r>
    </w:p>
    <w:p w14:paraId="3F975292" w14:textId="003412DA" w:rsidR="00440D6B" w:rsidRDefault="00440D6B">
      <w:pPr>
        <w:pStyle w:val="TOC3"/>
        <w:rPr>
          <w:rFonts w:eastAsiaTheme="minorEastAsia"/>
          <w:noProof/>
          <w:kern w:val="2"/>
          <w:sz w:val="24"/>
          <w:szCs w:val="24"/>
          <w:lang w:val="en-US"/>
          <w14:ligatures w14:val="standardContextual"/>
        </w:rPr>
      </w:pPr>
      <w:r>
        <w:rPr>
          <w:noProof/>
        </w:rPr>
        <w:t>6.11.3</w:t>
      </w:r>
      <w:r>
        <w:rPr>
          <w:rFonts w:eastAsiaTheme="minorEastAsia"/>
          <w:noProof/>
          <w:kern w:val="2"/>
          <w:sz w:val="24"/>
          <w:szCs w:val="24"/>
          <w:lang w:val="en-US"/>
          <w14:ligatures w14:val="standardContextual"/>
        </w:rPr>
        <w:tab/>
      </w:r>
      <w:r>
        <w:rPr>
          <w:noProof/>
        </w:rPr>
        <w:t>Uncertainties and time-series consistency</w:t>
      </w:r>
      <w:r>
        <w:rPr>
          <w:noProof/>
        </w:rPr>
        <w:tab/>
      </w:r>
      <w:r>
        <w:rPr>
          <w:noProof/>
        </w:rPr>
        <w:fldChar w:fldCharType="begin"/>
      </w:r>
      <w:r>
        <w:rPr>
          <w:noProof/>
        </w:rPr>
        <w:instrText xml:space="preserve"> PAGEREF _Toc184808348 \h </w:instrText>
      </w:r>
      <w:r>
        <w:rPr>
          <w:noProof/>
        </w:rPr>
      </w:r>
      <w:r>
        <w:rPr>
          <w:noProof/>
        </w:rPr>
        <w:fldChar w:fldCharType="separate"/>
      </w:r>
      <w:r>
        <w:rPr>
          <w:noProof/>
        </w:rPr>
        <w:t>200</w:t>
      </w:r>
      <w:r>
        <w:rPr>
          <w:noProof/>
        </w:rPr>
        <w:fldChar w:fldCharType="end"/>
      </w:r>
    </w:p>
    <w:p w14:paraId="2B478494" w14:textId="074217C0" w:rsidR="00440D6B" w:rsidRDefault="00440D6B">
      <w:pPr>
        <w:pStyle w:val="TOC3"/>
        <w:rPr>
          <w:rFonts w:eastAsiaTheme="minorEastAsia"/>
          <w:noProof/>
          <w:kern w:val="2"/>
          <w:sz w:val="24"/>
          <w:szCs w:val="24"/>
          <w:lang w:val="en-US"/>
          <w14:ligatures w14:val="standardContextual"/>
        </w:rPr>
      </w:pPr>
      <w:r>
        <w:rPr>
          <w:noProof/>
        </w:rPr>
        <w:t>6.11.4</w:t>
      </w:r>
      <w:r>
        <w:rPr>
          <w:rFonts w:eastAsiaTheme="minorEastAsia"/>
          <w:noProof/>
          <w:kern w:val="2"/>
          <w:sz w:val="24"/>
          <w:szCs w:val="24"/>
          <w:lang w:val="en-US"/>
          <w14:ligatures w14:val="standardContextual"/>
        </w:rPr>
        <w:tab/>
      </w:r>
      <w:r>
        <w:rPr>
          <w:noProof/>
        </w:rPr>
        <w:t>Category-specific QA/QC and verification</w:t>
      </w:r>
      <w:r>
        <w:rPr>
          <w:noProof/>
        </w:rPr>
        <w:tab/>
      </w:r>
      <w:r>
        <w:rPr>
          <w:noProof/>
        </w:rPr>
        <w:fldChar w:fldCharType="begin"/>
      </w:r>
      <w:r>
        <w:rPr>
          <w:noProof/>
        </w:rPr>
        <w:instrText xml:space="preserve"> PAGEREF _Toc184808349 \h </w:instrText>
      </w:r>
      <w:r>
        <w:rPr>
          <w:noProof/>
        </w:rPr>
      </w:r>
      <w:r>
        <w:rPr>
          <w:noProof/>
        </w:rPr>
        <w:fldChar w:fldCharType="separate"/>
      </w:r>
      <w:r>
        <w:rPr>
          <w:noProof/>
        </w:rPr>
        <w:t>200</w:t>
      </w:r>
      <w:r>
        <w:rPr>
          <w:noProof/>
        </w:rPr>
        <w:fldChar w:fldCharType="end"/>
      </w:r>
    </w:p>
    <w:p w14:paraId="71B5FDED" w14:textId="7BB4818E" w:rsidR="00440D6B" w:rsidRDefault="00440D6B">
      <w:pPr>
        <w:pStyle w:val="TOC3"/>
        <w:rPr>
          <w:rFonts w:eastAsiaTheme="minorEastAsia"/>
          <w:noProof/>
          <w:kern w:val="2"/>
          <w:sz w:val="24"/>
          <w:szCs w:val="24"/>
          <w:lang w:val="en-US"/>
          <w14:ligatures w14:val="standardContextual"/>
        </w:rPr>
      </w:pPr>
      <w:r>
        <w:rPr>
          <w:noProof/>
        </w:rPr>
        <w:t>6.11.5</w:t>
      </w:r>
      <w:r>
        <w:rPr>
          <w:rFonts w:eastAsiaTheme="minorEastAsia"/>
          <w:noProof/>
          <w:kern w:val="2"/>
          <w:sz w:val="24"/>
          <w:szCs w:val="24"/>
          <w:lang w:val="en-US"/>
          <w14:ligatures w14:val="standardContextual"/>
        </w:rPr>
        <w:tab/>
      </w:r>
      <w:r>
        <w:rPr>
          <w:noProof/>
        </w:rPr>
        <w:t>Category-specific recalculations</w:t>
      </w:r>
      <w:r>
        <w:rPr>
          <w:noProof/>
        </w:rPr>
        <w:tab/>
      </w:r>
      <w:r>
        <w:rPr>
          <w:noProof/>
        </w:rPr>
        <w:fldChar w:fldCharType="begin"/>
      </w:r>
      <w:r>
        <w:rPr>
          <w:noProof/>
        </w:rPr>
        <w:instrText xml:space="preserve"> PAGEREF _Toc184808350 \h </w:instrText>
      </w:r>
      <w:r>
        <w:rPr>
          <w:noProof/>
        </w:rPr>
      </w:r>
      <w:r>
        <w:rPr>
          <w:noProof/>
        </w:rPr>
        <w:fldChar w:fldCharType="separate"/>
      </w:r>
      <w:r>
        <w:rPr>
          <w:noProof/>
        </w:rPr>
        <w:t>200</w:t>
      </w:r>
      <w:r>
        <w:rPr>
          <w:noProof/>
        </w:rPr>
        <w:fldChar w:fldCharType="end"/>
      </w:r>
    </w:p>
    <w:p w14:paraId="6DDB56F8" w14:textId="5AB611FE" w:rsidR="00440D6B" w:rsidRDefault="00440D6B">
      <w:pPr>
        <w:pStyle w:val="TOC3"/>
        <w:rPr>
          <w:rFonts w:eastAsiaTheme="minorEastAsia"/>
          <w:noProof/>
          <w:kern w:val="2"/>
          <w:sz w:val="24"/>
          <w:szCs w:val="24"/>
          <w:lang w:val="en-US"/>
          <w14:ligatures w14:val="standardContextual"/>
        </w:rPr>
      </w:pPr>
      <w:r>
        <w:rPr>
          <w:noProof/>
        </w:rPr>
        <w:t>6.11.6</w:t>
      </w:r>
      <w:r>
        <w:rPr>
          <w:rFonts w:eastAsiaTheme="minorEastAsia"/>
          <w:noProof/>
          <w:kern w:val="2"/>
          <w:sz w:val="24"/>
          <w:szCs w:val="24"/>
          <w:lang w:val="en-US"/>
          <w14:ligatures w14:val="standardContextual"/>
        </w:rPr>
        <w:tab/>
      </w:r>
      <w:r>
        <w:rPr>
          <w:noProof/>
        </w:rPr>
        <w:t>Category-specific planned improvements</w:t>
      </w:r>
      <w:r>
        <w:rPr>
          <w:noProof/>
        </w:rPr>
        <w:tab/>
      </w:r>
      <w:r>
        <w:rPr>
          <w:noProof/>
        </w:rPr>
        <w:fldChar w:fldCharType="begin"/>
      </w:r>
      <w:r>
        <w:rPr>
          <w:noProof/>
        </w:rPr>
        <w:instrText xml:space="preserve"> PAGEREF _Toc184808351 \h </w:instrText>
      </w:r>
      <w:r>
        <w:rPr>
          <w:noProof/>
        </w:rPr>
      </w:r>
      <w:r>
        <w:rPr>
          <w:noProof/>
        </w:rPr>
        <w:fldChar w:fldCharType="separate"/>
      </w:r>
      <w:r>
        <w:rPr>
          <w:noProof/>
        </w:rPr>
        <w:t>200</w:t>
      </w:r>
      <w:r>
        <w:rPr>
          <w:noProof/>
        </w:rPr>
        <w:fldChar w:fldCharType="end"/>
      </w:r>
    </w:p>
    <w:p w14:paraId="12A45B43" w14:textId="6E85B9E4"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Chapter 7: Waste (CRT sector 5)</w:t>
      </w:r>
      <w:r>
        <w:rPr>
          <w:noProof/>
        </w:rPr>
        <w:tab/>
      </w:r>
      <w:r>
        <w:rPr>
          <w:noProof/>
        </w:rPr>
        <w:fldChar w:fldCharType="begin"/>
      </w:r>
      <w:r>
        <w:rPr>
          <w:noProof/>
        </w:rPr>
        <w:instrText xml:space="preserve"> PAGEREF _Toc184808352 \h </w:instrText>
      </w:r>
      <w:r>
        <w:rPr>
          <w:noProof/>
        </w:rPr>
      </w:r>
      <w:r>
        <w:rPr>
          <w:noProof/>
        </w:rPr>
        <w:fldChar w:fldCharType="separate"/>
      </w:r>
      <w:r>
        <w:rPr>
          <w:noProof/>
        </w:rPr>
        <w:t>201</w:t>
      </w:r>
      <w:r>
        <w:rPr>
          <w:noProof/>
        </w:rPr>
        <w:fldChar w:fldCharType="end"/>
      </w:r>
    </w:p>
    <w:p w14:paraId="464DD3DC" w14:textId="111DD55C"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lang w:eastAsia="fr-FR"/>
          <w14:scene3d>
            <w14:camera w14:prst="orthographicFront"/>
            <w14:lightRig w14:rig="threePt" w14:dir="t">
              <w14:rot w14:lat="0" w14:lon="0" w14:rev="0"/>
            </w14:lightRig>
          </w14:scene3d>
        </w:rPr>
        <w:t>7.1</w:t>
      </w:r>
      <w:r>
        <w:rPr>
          <w:rFonts w:eastAsiaTheme="minorEastAsia"/>
          <w:noProof/>
          <w:kern w:val="2"/>
          <w:sz w:val="24"/>
          <w:szCs w:val="24"/>
          <w:lang w:val="en-US"/>
          <w14:ligatures w14:val="standardContextual"/>
        </w:rPr>
        <w:tab/>
      </w:r>
      <w:r w:rsidRPr="00293C44">
        <w:rPr>
          <w:noProof/>
        </w:rPr>
        <w:t>Overview of sector</w:t>
      </w:r>
      <w:r>
        <w:rPr>
          <w:noProof/>
        </w:rPr>
        <w:tab/>
      </w:r>
      <w:r>
        <w:rPr>
          <w:noProof/>
        </w:rPr>
        <w:fldChar w:fldCharType="begin"/>
      </w:r>
      <w:r>
        <w:rPr>
          <w:noProof/>
        </w:rPr>
        <w:instrText xml:space="preserve"> PAGEREF _Toc184808354 \h </w:instrText>
      </w:r>
      <w:r>
        <w:rPr>
          <w:noProof/>
        </w:rPr>
      </w:r>
      <w:r>
        <w:rPr>
          <w:noProof/>
        </w:rPr>
        <w:fldChar w:fldCharType="separate"/>
      </w:r>
      <w:r>
        <w:rPr>
          <w:noProof/>
        </w:rPr>
        <w:t>201</w:t>
      </w:r>
      <w:r>
        <w:rPr>
          <w:noProof/>
        </w:rPr>
        <w:fldChar w:fldCharType="end"/>
      </w:r>
    </w:p>
    <w:p w14:paraId="32C57371" w14:textId="4EEC9AB9"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7.2</w:t>
      </w:r>
      <w:r>
        <w:rPr>
          <w:rFonts w:eastAsiaTheme="minorEastAsia"/>
          <w:noProof/>
          <w:kern w:val="2"/>
          <w:sz w:val="24"/>
          <w:szCs w:val="24"/>
          <w:lang w:val="en-US"/>
          <w14:ligatures w14:val="standardContextual"/>
        </w:rPr>
        <w:tab/>
      </w:r>
      <w:r w:rsidRPr="00293C44">
        <w:rPr>
          <w:noProof/>
        </w:rPr>
        <w:t>Managed waste disposal sites (CRFT 5A1)</w:t>
      </w:r>
      <w:r>
        <w:rPr>
          <w:noProof/>
        </w:rPr>
        <w:tab/>
      </w:r>
      <w:r>
        <w:rPr>
          <w:noProof/>
        </w:rPr>
        <w:fldChar w:fldCharType="begin"/>
      </w:r>
      <w:r>
        <w:rPr>
          <w:noProof/>
        </w:rPr>
        <w:instrText xml:space="preserve"> PAGEREF _Toc184808355 \h </w:instrText>
      </w:r>
      <w:r>
        <w:rPr>
          <w:noProof/>
        </w:rPr>
      </w:r>
      <w:r>
        <w:rPr>
          <w:noProof/>
        </w:rPr>
        <w:fldChar w:fldCharType="separate"/>
      </w:r>
      <w:r>
        <w:rPr>
          <w:noProof/>
        </w:rPr>
        <w:t>202</w:t>
      </w:r>
      <w:r>
        <w:rPr>
          <w:noProof/>
        </w:rPr>
        <w:fldChar w:fldCharType="end"/>
      </w:r>
    </w:p>
    <w:p w14:paraId="5BEA8BB1" w14:textId="2099DCE7" w:rsidR="00440D6B" w:rsidRDefault="00440D6B">
      <w:pPr>
        <w:pStyle w:val="TOC3"/>
        <w:rPr>
          <w:rFonts w:eastAsiaTheme="minorEastAsia"/>
          <w:noProof/>
          <w:kern w:val="2"/>
          <w:sz w:val="24"/>
          <w:szCs w:val="24"/>
          <w:lang w:val="en-US"/>
          <w14:ligatures w14:val="standardContextual"/>
        </w:rPr>
      </w:pPr>
      <w:r w:rsidRPr="00293C44">
        <w:rPr>
          <w:noProof/>
          <w:lang w:eastAsia="fr-FR"/>
        </w:rPr>
        <w:t>7.2.1</w:t>
      </w:r>
      <w:r>
        <w:rPr>
          <w:rFonts w:eastAsiaTheme="minorEastAsia"/>
          <w:noProof/>
          <w:kern w:val="2"/>
          <w:sz w:val="24"/>
          <w:szCs w:val="24"/>
          <w:lang w:val="en-US"/>
          <w14:ligatures w14:val="standardContextual"/>
        </w:rPr>
        <w:tab/>
      </w:r>
      <w:r w:rsidRPr="00293C44">
        <w:rPr>
          <w:noProof/>
          <w:lang w:eastAsia="fr-FR"/>
        </w:rPr>
        <w:t>Category description</w:t>
      </w:r>
      <w:r>
        <w:rPr>
          <w:noProof/>
        </w:rPr>
        <w:tab/>
      </w:r>
      <w:r>
        <w:rPr>
          <w:noProof/>
        </w:rPr>
        <w:fldChar w:fldCharType="begin"/>
      </w:r>
      <w:r>
        <w:rPr>
          <w:noProof/>
        </w:rPr>
        <w:instrText xml:space="preserve"> PAGEREF _Toc184808356 \h </w:instrText>
      </w:r>
      <w:r>
        <w:rPr>
          <w:noProof/>
        </w:rPr>
      </w:r>
      <w:r>
        <w:rPr>
          <w:noProof/>
        </w:rPr>
        <w:fldChar w:fldCharType="separate"/>
      </w:r>
      <w:r>
        <w:rPr>
          <w:noProof/>
        </w:rPr>
        <w:t>202</w:t>
      </w:r>
      <w:r>
        <w:rPr>
          <w:noProof/>
        </w:rPr>
        <w:fldChar w:fldCharType="end"/>
      </w:r>
    </w:p>
    <w:p w14:paraId="4FFDF6BE" w14:textId="5F58991A" w:rsidR="00440D6B" w:rsidRDefault="00440D6B">
      <w:pPr>
        <w:pStyle w:val="TOC3"/>
        <w:rPr>
          <w:rFonts w:eastAsiaTheme="minorEastAsia"/>
          <w:noProof/>
          <w:kern w:val="2"/>
          <w:sz w:val="24"/>
          <w:szCs w:val="24"/>
          <w:lang w:val="en-US"/>
          <w14:ligatures w14:val="standardContextual"/>
        </w:rPr>
      </w:pPr>
      <w:r w:rsidRPr="00293C44">
        <w:rPr>
          <w:noProof/>
          <w:lang w:eastAsia="fr-FR"/>
        </w:rPr>
        <w:t>7.2.2</w:t>
      </w:r>
      <w:r>
        <w:rPr>
          <w:rFonts w:eastAsiaTheme="minorEastAsia"/>
          <w:noProof/>
          <w:kern w:val="2"/>
          <w:sz w:val="24"/>
          <w:szCs w:val="24"/>
          <w:lang w:val="en-US"/>
          <w14:ligatures w14:val="standardContextual"/>
        </w:rPr>
        <w:tab/>
      </w:r>
      <w:r w:rsidRPr="00293C44">
        <w:rPr>
          <w:noProof/>
          <w:lang w:eastAsia="fr-FR"/>
        </w:rPr>
        <w:t>Methodological issues</w:t>
      </w:r>
      <w:r>
        <w:rPr>
          <w:noProof/>
        </w:rPr>
        <w:tab/>
      </w:r>
      <w:r>
        <w:rPr>
          <w:noProof/>
        </w:rPr>
        <w:fldChar w:fldCharType="begin"/>
      </w:r>
      <w:r>
        <w:rPr>
          <w:noProof/>
        </w:rPr>
        <w:instrText xml:space="preserve"> PAGEREF _Toc184808357 \h </w:instrText>
      </w:r>
      <w:r>
        <w:rPr>
          <w:noProof/>
        </w:rPr>
      </w:r>
      <w:r>
        <w:rPr>
          <w:noProof/>
        </w:rPr>
        <w:fldChar w:fldCharType="separate"/>
      </w:r>
      <w:r>
        <w:rPr>
          <w:noProof/>
        </w:rPr>
        <w:t>203</w:t>
      </w:r>
      <w:r>
        <w:rPr>
          <w:noProof/>
        </w:rPr>
        <w:fldChar w:fldCharType="end"/>
      </w:r>
    </w:p>
    <w:p w14:paraId="5CEFB103" w14:textId="69A61CC4" w:rsidR="00440D6B" w:rsidRDefault="00440D6B">
      <w:pPr>
        <w:pStyle w:val="TOC3"/>
        <w:rPr>
          <w:rFonts w:eastAsiaTheme="minorEastAsia"/>
          <w:noProof/>
          <w:kern w:val="2"/>
          <w:sz w:val="24"/>
          <w:szCs w:val="24"/>
          <w:lang w:val="en-US"/>
          <w14:ligatures w14:val="standardContextual"/>
        </w:rPr>
      </w:pPr>
      <w:r>
        <w:rPr>
          <w:noProof/>
          <w:lang w:eastAsia="fr-FR"/>
        </w:rPr>
        <w:t>7.2.3</w:t>
      </w:r>
      <w:r>
        <w:rPr>
          <w:rFonts w:eastAsiaTheme="minorEastAsia"/>
          <w:noProof/>
          <w:kern w:val="2"/>
          <w:sz w:val="24"/>
          <w:szCs w:val="24"/>
          <w:lang w:val="en-US"/>
          <w14:ligatures w14:val="standardContextual"/>
        </w:rPr>
        <w:tab/>
      </w:r>
      <w:r>
        <w:rPr>
          <w:noProof/>
          <w:lang w:eastAsia="fr-FR"/>
        </w:rPr>
        <w:t>Uncertainties and time-series consistency</w:t>
      </w:r>
      <w:r>
        <w:rPr>
          <w:noProof/>
        </w:rPr>
        <w:tab/>
      </w:r>
      <w:r>
        <w:rPr>
          <w:noProof/>
        </w:rPr>
        <w:fldChar w:fldCharType="begin"/>
      </w:r>
      <w:r>
        <w:rPr>
          <w:noProof/>
        </w:rPr>
        <w:instrText xml:space="preserve"> PAGEREF _Toc184808358 \h </w:instrText>
      </w:r>
      <w:r>
        <w:rPr>
          <w:noProof/>
        </w:rPr>
      </w:r>
      <w:r>
        <w:rPr>
          <w:noProof/>
        </w:rPr>
        <w:fldChar w:fldCharType="separate"/>
      </w:r>
      <w:r>
        <w:rPr>
          <w:noProof/>
        </w:rPr>
        <w:t>209</w:t>
      </w:r>
      <w:r>
        <w:rPr>
          <w:noProof/>
        </w:rPr>
        <w:fldChar w:fldCharType="end"/>
      </w:r>
    </w:p>
    <w:p w14:paraId="72669FB2" w14:textId="48E90049" w:rsidR="00440D6B" w:rsidRDefault="00440D6B">
      <w:pPr>
        <w:pStyle w:val="TOC3"/>
        <w:rPr>
          <w:rFonts w:eastAsiaTheme="minorEastAsia"/>
          <w:noProof/>
          <w:kern w:val="2"/>
          <w:sz w:val="24"/>
          <w:szCs w:val="24"/>
          <w:lang w:val="en-US"/>
          <w14:ligatures w14:val="standardContextual"/>
        </w:rPr>
      </w:pPr>
      <w:r>
        <w:rPr>
          <w:noProof/>
          <w:lang w:eastAsia="fr-FR"/>
        </w:rPr>
        <w:t>7.2.4</w:t>
      </w:r>
      <w:r>
        <w:rPr>
          <w:rFonts w:eastAsiaTheme="minorEastAsia"/>
          <w:noProof/>
          <w:kern w:val="2"/>
          <w:sz w:val="24"/>
          <w:szCs w:val="24"/>
          <w:lang w:val="en-US"/>
          <w14:ligatures w14:val="standardContextual"/>
        </w:rPr>
        <w:tab/>
      </w:r>
      <w:r>
        <w:rPr>
          <w:noProof/>
          <w:lang w:eastAsia="fr-FR"/>
        </w:rPr>
        <w:t>Category-specific QA/QC and verification</w:t>
      </w:r>
      <w:r>
        <w:rPr>
          <w:noProof/>
        </w:rPr>
        <w:tab/>
      </w:r>
      <w:r>
        <w:rPr>
          <w:noProof/>
        </w:rPr>
        <w:fldChar w:fldCharType="begin"/>
      </w:r>
      <w:r>
        <w:rPr>
          <w:noProof/>
        </w:rPr>
        <w:instrText xml:space="preserve"> PAGEREF _Toc184808359 \h </w:instrText>
      </w:r>
      <w:r>
        <w:rPr>
          <w:noProof/>
        </w:rPr>
      </w:r>
      <w:r>
        <w:rPr>
          <w:noProof/>
        </w:rPr>
        <w:fldChar w:fldCharType="separate"/>
      </w:r>
      <w:r>
        <w:rPr>
          <w:noProof/>
        </w:rPr>
        <w:t>209</w:t>
      </w:r>
      <w:r>
        <w:rPr>
          <w:noProof/>
        </w:rPr>
        <w:fldChar w:fldCharType="end"/>
      </w:r>
    </w:p>
    <w:p w14:paraId="6609672C" w14:textId="5540A7E4" w:rsidR="00440D6B" w:rsidRDefault="00440D6B">
      <w:pPr>
        <w:pStyle w:val="TOC3"/>
        <w:rPr>
          <w:rFonts w:eastAsiaTheme="minorEastAsia"/>
          <w:noProof/>
          <w:kern w:val="2"/>
          <w:sz w:val="24"/>
          <w:szCs w:val="24"/>
          <w:lang w:val="en-US"/>
          <w14:ligatures w14:val="standardContextual"/>
        </w:rPr>
      </w:pPr>
      <w:r>
        <w:rPr>
          <w:noProof/>
          <w:lang w:eastAsia="fr-FR"/>
        </w:rPr>
        <w:t>7.2.5</w:t>
      </w:r>
      <w:r>
        <w:rPr>
          <w:rFonts w:eastAsiaTheme="minorEastAsia"/>
          <w:noProof/>
          <w:kern w:val="2"/>
          <w:sz w:val="24"/>
          <w:szCs w:val="24"/>
          <w:lang w:val="en-US"/>
          <w14:ligatures w14:val="standardContextual"/>
        </w:rPr>
        <w:tab/>
      </w:r>
      <w:r>
        <w:rPr>
          <w:noProof/>
          <w:lang w:eastAsia="fr-FR"/>
        </w:rPr>
        <w:t>Category-specific recalculations</w:t>
      </w:r>
      <w:r>
        <w:rPr>
          <w:noProof/>
        </w:rPr>
        <w:tab/>
      </w:r>
      <w:r>
        <w:rPr>
          <w:noProof/>
        </w:rPr>
        <w:fldChar w:fldCharType="begin"/>
      </w:r>
      <w:r>
        <w:rPr>
          <w:noProof/>
        </w:rPr>
        <w:instrText xml:space="preserve"> PAGEREF _Toc184808360 \h </w:instrText>
      </w:r>
      <w:r>
        <w:rPr>
          <w:noProof/>
        </w:rPr>
      </w:r>
      <w:r>
        <w:rPr>
          <w:noProof/>
        </w:rPr>
        <w:fldChar w:fldCharType="separate"/>
      </w:r>
      <w:r>
        <w:rPr>
          <w:noProof/>
        </w:rPr>
        <w:t>209</w:t>
      </w:r>
      <w:r>
        <w:rPr>
          <w:noProof/>
        </w:rPr>
        <w:fldChar w:fldCharType="end"/>
      </w:r>
    </w:p>
    <w:p w14:paraId="11C7F866" w14:textId="6AA41C00" w:rsidR="00440D6B" w:rsidRDefault="00440D6B">
      <w:pPr>
        <w:pStyle w:val="TOC3"/>
        <w:rPr>
          <w:rFonts w:eastAsiaTheme="minorEastAsia"/>
          <w:noProof/>
          <w:kern w:val="2"/>
          <w:sz w:val="24"/>
          <w:szCs w:val="24"/>
          <w:lang w:val="en-US"/>
          <w14:ligatures w14:val="standardContextual"/>
        </w:rPr>
      </w:pPr>
      <w:r>
        <w:rPr>
          <w:noProof/>
          <w:lang w:eastAsia="fr-FR"/>
        </w:rPr>
        <w:t>7.2.6</w:t>
      </w:r>
      <w:r>
        <w:rPr>
          <w:rFonts w:eastAsiaTheme="minorEastAsia"/>
          <w:noProof/>
          <w:kern w:val="2"/>
          <w:sz w:val="24"/>
          <w:szCs w:val="24"/>
          <w:lang w:val="en-US"/>
          <w14:ligatures w14:val="standardContextual"/>
        </w:rPr>
        <w:tab/>
      </w:r>
      <w:r>
        <w:rPr>
          <w:noProof/>
          <w:lang w:eastAsia="fr-FR"/>
        </w:rPr>
        <w:t>Category-specific planned improvements</w:t>
      </w:r>
      <w:r>
        <w:rPr>
          <w:noProof/>
        </w:rPr>
        <w:tab/>
      </w:r>
      <w:r>
        <w:rPr>
          <w:noProof/>
        </w:rPr>
        <w:fldChar w:fldCharType="begin"/>
      </w:r>
      <w:r>
        <w:rPr>
          <w:noProof/>
        </w:rPr>
        <w:instrText xml:space="preserve"> PAGEREF _Toc184808361 \h </w:instrText>
      </w:r>
      <w:r>
        <w:rPr>
          <w:noProof/>
        </w:rPr>
      </w:r>
      <w:r>
        <w:rPr>
          <w:noProof/>
        </w:rPr>
        <w:fldChar w:fldCharType="separate"/>
      </w:r>
      <w:r>
        <w:rPr>
          <w:noProof/>
        </w:rPr>
        <w:t>209</w:t>
      </w:r>
      <w:r>
        <w:rPr>
          <w:noProof/>
        </w:rPr>
        <w:fldChar w:fldCharType="end"/>
      </w:r>
    </w:p>
    <w:p w14:paraId="3F912CBC" w14:textId="4272E6F1" w:rsidR="00440D6B" w:rsidRDefault="00440D6B">
      <w:pPr>
        <w:pStyle w:val="TOC2"/>
        <w:tabs>
          <w:tab w:val="left" w:pos="800"/>
          <w:tab w:val="right" w:leader="dot" w:pos="9062"/>
        </w:tabs>
        <w:rPr>
          <w:rFonts w:eastAsiaTheme="minorEastAsia"/>
          <w:noProof/>
          <w:kern w:val="2"/>
          <w:sz w:val="24"/>
          <w:szCs w:val="24"/>
          <w:lang w:val="en-US"/>
          <w14:ligatures w14:val="standardContextual"/>
        </w:rPr>
      </w:pPr>
      <w:r w:rsidRPr="00293C44">
        <w:rPr>
          <w:bCs/>
          <w:noProof/>
          <w14:scene3d>
            <w14:camera w14:prst="orthographicFront"/>
            <w14:lightRig w14:rig="threePt" w14:dir="t">
              <w14:rot w14:lat="0" w14:lon="0" w14:rev="0"/>
            </w14:lightRig>
          </w14:scene3d>
        </w:rPr>
        <w:t>7.3</w:t>
      </w:r>
      <w:r>
        <w:rPr>
          <w:rFonts w:eastAsiaTheme="minorEastAsia"/>
          <w:noProof/>
          <w:kern w:val="2"/>
          <w:sz w:val="24"/>
          <w:szCs w:val="24"/>
          <w:lang w:val="en-US"/>
          <w14:ligatures w14:val="standardContextual"/>
        </w:rPr>
        <w:tab/>
      </w:r>
      <w:r w:rsidRPr="00293C44">
        <w:rPr>
          <w:noProof/>
        </w:rPr>
        <w:t>Wastewater treatment and discharge (CRT 5D)</w:t>
      </w:r>
      <w:r>
        <w:rPr>
          <w:noProof/>
        </w:rPr>
        <w:tab/>
      </w:r>
      <w:r>
        <w:rPr>
          <w:noProof/>
        </w:rPr>
        <w:fldChar w:fldCharType="begin"/>
      </w:r>
      <w:r>
        <w:rPr>
          <w:noProof/>
        </w:rPr>
        <w:instrText xml:space="preserve"> PAGEREF _Toc184808362 \h </w:instrText>
      </w:r>
      <w:r>
        <w:rPr>
          <w:noProof/>
        </w:rPr>
      </w:r>
      <w:r>
        <w:rPr>
          <w:noProof/>
        </w:rPr>
        <w:fldChar w:fldCharType="separate"/>
      </w:r>
      <w:r>
        <w:rPr>
          <w:noProof/>
        </w:rPr>
        <w:t>210</w:t>
      </w:r>
      <w:r>
        <w:rPr>
          <w:noProof/>
        </w:rPr>
        <w:fldChar w:fldCharType="end"/>
      </w:r>
    </w:p>
    <w:p w14:paraId="3F6DED4E" w14:textId="1F3A9D97" w:rsidR="00440D6B" w:rsidRDefault="00440D6B">
      <w:pPr>
        <w:pStyle w:val="TOC3"/>
        <w:rPr>
          <w:rFonts w:eastAsiaTheme="minorEastAsia"/>
          <w:noProof/>
          <w:kern w:val="2"/>
          <w:sz w:val="24"/>
          <w:szCs w:val="24"/>
          <w:lang w:val="en-US"/>
          <w14:ligatures w14:val="standardContextual"/>
        </w:rPr>
      </w:pPr>
      <w:r w:rsidRPr="00293C44">
        <w:rPr>
          <w:noProof/>
          <w:lang w:eastAsia="fr-FR"/>
        </w:rPr>
        <w:t>7.3.1</w:t>
      </w:r>
      <w:r>
        <w:rPr>
          <w:rFonts w:eastAsiaTheme="minorEastAsia"/>
          <w:noProof/>
          <w:kern w:val="2"/>
          <w:sz w:val="24"/>
          <w:szCs w:val="24"/>
          <w:lang w:val="en-US"/>
          <w14:ligatures w14:val="standardContextual"/>
        </w:rPr>
        <w:tab/>
      </w:r>
      <w:r w:rsidRPr="00293C44">
        <w:rPr>
          <w:noProof/>
          <w:lang w:eastAsia="fr-FR"/>
        </w:rPr>
        <w:t>Category description</w:t>
      </w:r>
      <w:r>
        <w:rPr>
          <w:noProof/>
        </w:rPr>
        <w:tab/>
      </w:r>
      <w:r>
        <w:rPr>
          <w:noProof/>
        </w:rPr>
        <w:fldChar w:fldCharType="begin"/>
      </w:r>
      <w:r>
        <w:rPr>
          <w:noProof/>
        </w:rPr>
        <w:instrText xml:space="preserve"> PAGEREF _Toc184808363 \h </w:instrText>
      </w:r>
      <w:r>
        <w:rPr>
          <w:noProof/>
        </w:rPr>
      </w:r>
      <w:r>
        <w:rPr>
          <w:noProof/>
        </w:rPr>
        <w:fldChar w:fldCharType="separate"/>
      </w:r>
      <w:r>
        <w:rPr>
          <w:noProof/>
        </w:rPr>
        <w:t>210</w:t>
      </w:r>
      <w:r>
        <w:rPr>
          <w:noProof/>
        </w:rPr>
        <w:fldChar w:fldCharType="end"/>
      </w:r>
    </w:p>
    <w:p w14:paraId="7735AE56" w14:textId="0FE88E97" w:rsidR="00440D6B" w:rsidRDefault="00440D6B">
      <w:pPr>
        <w:pStyle w:val="TOC3"/>
        <w:rPr>
          <w:rFonts w:eastAsiaTheme="minorEastAsia"/>
          <w:noProof/>
          <w:kern w:val="2"/>
          <w:sz w:val="24"/>
          <w:szCs w:val="24"/>
          <w:lang w:val="en-US"/>
          <w14:ligatures w14:val="standardContextual"/>
        </w:rPr>
      </w:pPr>
      <w:r w:rsidRPr="00293C44">
        <w:rPr>
          <w:noProof/>
          <w:lang w:eastAsia="fr-FR"/>
        </w:rPr>
        <w:t>7.3.2</w:t>
      </w:r>
      <w:r>
        <w:rPr>
          <w:rFonts w:eastAsiaTheme="minorEastAsia"/>
          <w:noProof/>
          <w:kern w:val="2"/>
          <w:sz w:val="24"/>
          <w:szCs w:val="24"/>
          <w:lang w:val="en-US"/>
          <w14:ligatures w14:val="standardContextual"/>
        </w:rPr>
        <w:tab/>
      </w:r>
      <w:r w:rsidRPr="00293C44">
        <w:rPr>
          <w:noProof/>
          <w:lang w:eastAsia="fr-FR"/>
        </w:rPr>
        <w:t>Methodological issues</w:t>
      </w:r>
      <w:r>
        <w:rPr>
          <w:noProof/>
        </w:rPr>
        <w:tab/>
      </w:r>
      <w:r>
        <w:rPr>
          <w:noProof/>
        </w:rPr>
        <w:fldChar w:fldCharType="begin"/>
      </w:r>
      <w:r>
        <w:rPr>
          <w:noProof/>
        </w:rPr>
        <w:instrText xml:space="preserve"> PAGEREF _Toc184808364 \h </w:instrText>
      </w:r>
      <w:r>
        <w:rPr>
          <w:noProof/>
        </w:rPr>
      </w:r>
      <w:r>
        <w:rPr>
          <w:noProof/>
        </w:rPr>
        <w:fldChar w:fldCharType="separate"/>
      </w:r>
      <w:r>
        <w:rPr>
          <w:noProof/>
        </w:rPr>
        <w:t>211</w:t>
      </w:r>
      <w:r>
        <w:rPr>
          <w:noProof/>
        </w:rPr>
        <w:fldChar w:fldCharType="end"/>
      </w:r>
    </w:p>
    <w:p w14:paraId="616E13C0" w14:textId="4890426B" w:rsidR="00440D6B" w:rsidRDefault="00440D6B">
      <w:pPr>
        <w:pStyle w:val="TOC3"/>
        <w:rPr>
          <w:rFonts w:eastAsiaTheme="minorEastAsia"/>
          <w:noProof/>
          <w:kern w:val="2"/>
          <w:sz w:val="24"/>
          <w:szCs w:val="24"/>
          <w:lang w:val="en-US"/>
          <w14:ligatures w14:val="standardContextual"/>
        </w:rPr>
      </w:pPr>
      <w:r>
        <w:rPr>
          <w:noProof/>
          <w:lang w:eastAsia="fr-FR"/>
        </w:rPr>
        <w:t>7.3.3</w:t>
      </w:r>
      <w:r>
        <w:rPr>
          <w:rFonts w:eastAsiaTheme="minorEastAsia"/>
          <w:noProof/>
          <w:kern w:val="2"/>
          <w:sz w:val="24"/>
          <w:szCs w:val="24"/>
          <w:lang w:val="en-US"/>
          <w14:ligatures w14:val="standardContextual"/>
        </w:rPr>
        <w:tab/>
      </w:r>
      <w:r>
        <w:rPr>
          <w:noProof/>
          <w:lang w:eastAsia="fr-FR"/>
        </w:rPr>
        <w:t>Uncertainties and time-series consistency</w:t>
      </w:r>
      <w:r>
        <w:rPr>
          <w:noProof/>
        </w:rPr>
        <w:tab/>
      </w:r>
      <w:r>
        <w:rPr>
          <w:noProof/>
        </w:rPr>
        <w:fldChar w:fldCharType="begin"/>
      </w:r>
      <w:r>
        <w:rPr>
          <w:noProof/>
        </w:rPr>
        <w:instrText xml:space="preserve"> PAGEREF _Toc184808365 \h </w:instrText>
      </w:r>
      <w:r>
        <w:rPr>
          <w:noProof/>
        </w:rPr>
      </w:r>
      <w:r>
        <w:rPr>
          <w:noProof/>
        </w:rPr>
        <w:fldChar w:fldCharType="separate"/>
      </w:r>
      <w:r>
        <w:rPr>
          <w:noProof/>
        </w:rPr>
        <w:t>219</w:t>
      </w:r>
      <w:r>
        <w:rPr>
          <w:noProof/>
        </w:rPr>
        <w:fldChar w:fldCharType="end"/>
      </w:r>
    </w:p>
    <w:p w14:paraId="56F885FD" w14:textId="05F25FB5" w:rsidR="00440D6B" w:rsidRDefault="00440D6B">
      <w:pPr>
        <w:pStyle w:val="TOC3"/>
        <w:rPr>
          <w:rFonts w:eastAsiaTheme="minorEastAsia"/>
          <w:noProof/>
          <w:kern w:val="2"/>
          <w:sz w:val="24"/>
          <w:szCs w:val="24"/>
          <w:lang w:val="en-US"/>
          <w14:ligatures w14:val="standardContextual"/>
        </w:rPr>
      </w:pPr>
      <w:r>
        <w:rPr>
          <w:noProof/>
          <w:lang w:eastAsia="fr-FR"/>
        </w:rPr>
        <w:t>7.3.4</w:t>
      </w:r>
      <w:r>
        <w:rPr>
          <w:rFonts w:eastAsiaTheme="minorEastAsia"/>
          <w:noProof/>
          <w:kern w:val="2"/>
          <w:sz w:val="24"/>
          <w:szCs w:val="24"/>
          <w:lang w:val="en-US"/>
          <w14:ligatures w14:val="standardContextual"/>
        </w:rPr>
        <w:tab/>
      </w:r>
      <w:r>
        <w:rPr>
          <w:noProof/>
          <w:lang w:eastAsia="fr-FR"/>
        </w:rPr>
        <w:t>Category-specific QA/QC and verification</w:t>
      </w:r>
      <w:r>
        <w:rPr>
          <w:noProof/>
        </w:rPr>
        <w:tab/>
      </w:r>
      <w:r>
        <w:rPr>
          <w:noProof/>
        </w:rPr>
        <w:fldChar w:fldCharType="begin"/>
      </w:r>
      <w:r>
        <w:rPr>
          <w:noProof/>
        </w:rPr>
        <w:instrText xml:space="preserve"> PAGEREF _Toc184808366 \h </w:instrText>
      </w:r>
      <w:r>
        <w:rPr>
          <w:noProof/>
        </w:rPr>
      </w:r>
      <w:r>
        <w:rPr>
          <w:noProof/>
        </w:rPr>
        <w:fldChar w:fldCharType="separate"/>
      </w:r>
      <w:r>
        <w:rPr>
          <w:noProof/>
        </w:rPr>
        <w:t>219</w:t>
      </w:r>
      <w:r>
        <w:rPr>
          <w:noProof/>
        </w:rPr>
        <w:fldChar w:fldCharType="end"/>
      </w:r>
    </w:p>
    <w:p w14:paraId="17392191" w14:textId="1DC57EBC" w:rsidR="00440D6B" w:rsidRDefault="00440D6B">
      <w:pPr>
        <w:pStyle w:val="TOC3"/>
        <w:rPr>
          <w:rFonts w:eastAsiaTheme="minorEastAsia"/>
          <w:noProof/>
          <w:kern w:val="2"/>
          <w:sz w:val="24"/>
          <w:szCs w:val="24"/>
          <w:lang w:val="en-US"/>
          <w14:ligatures w14:val="standardContextual"/>
        </w:rPr>
      </w:pPr>
      <w:r>
        <w:rPr>
          <w:noProof/>
          <w:lang w:eastAsia="fr-FR"/>
        </w:rPr>
        <w:t>7.3.5</w:t>
      </w:r>
      <w:r>
        <w:rPr>
          <w:rFonts w:eastAsiaTheme="minorEastAsia"/>
          <w:noProof/>
          <w:kern w:val="2"/>
          <w:sz w:val="24"/>
          <w:szCs w:val="24"/>
          <w:lang w:val="en-US"/>
          <w14:ligatures w14:val="standardContextual"/>
        </w:rPr>
        <w:tab/>
      </w:r>
      <w:r>
        <w:rPr>
          <w:noProof/>
          <w:lang w:eastAsia="fr-FR"/>
        </w:rPr>
        <w:t>Category-specific recalculations</w:t>
      </w:r>
      <w:r>
        <w:rPr>
          <w:noProof/>
        </w:rPr>
        <w:tab/>
      </w:r>
      <w:r>
        <w:rPr>
          <w:noProof/>
        </w:rPr>
        <w:fldChar w:fldCharType="begin"/>
      </w:r>
      <w:r>
        <w:rPr>
          <w:noProof/>
        </w:rPr>
        <w:instrText xml:space="preserve"> PAGEREF _Toc184808367 \h </w:instrText>
      </w:r>
      <w:r>
        <w:rPr>
          <w:noProof/>
        </w:rPr>
      </w:r>
      <w:r>
        <w:rPr>
          <w:noProof/>
        </w:rPr>
        <w:fldChar w:fldCharType="separate"/>
      </w:r>
      <w:r>
        <w:rPr>
          <w:noProof/>
        </w:rPr>
        <w:t>219</w:t>
      </w:r>
      <w:r>
        <w:rPr>
          <w:noProof/>
        </w:rPr>
        <w:fldChar w:fldCharType="end"/>
      </w:r>
    </w:p>
    <w:p w14:paraId="05C96550" w14:textId="4E482EF2" w:rsidR="00440D6B" w:rsidRDefault="00440D6B">
      <w:pPr>
        <w:pStyle w:val="TOC3"/>
        <w:rPr>
          <w:rFonts w:eastAsiaTheme="minorEastAsia"/>
          <w:noProof/>
          <w:kern w:val="2"/>
          <w:sz w:val="24"/>
          <w:szCs w:val="24"/>
          <w:lang w:val="en-US"/>
          <w14:ligatures w14:val="standardContextual"/>
        </w:rPr>
      </w:pPr>
      <w:r>
        <w:rPr>
          <w:noProof/>
          <w:lang w:eastAsia="fr-FR"/>
        </w:rPr>
        <w:t>7.3.6</w:t>
      </w:r>
      <w:r>
        <w:rPr>
          <w:rFonts w:eastAsiaTheme="minorEastAsia"/>
          <w:noProof/>
          <w:kern w:val="2"/>
          <w:sz w:val="24"/>
          <w:szCs w:val="24"/>
          <w:lang w:val="en-US"/>
          <w14:ligatures w14:val="standardContextual"/>
        </w:rPr>
        <w:tab/>
      </w:r>
      <w:r>
        <w:rPr>
          <w:noProof/>
          <w:lang w:eastAsia="fr-FR"/>
        </w:rPr>
        <w:t>Category-specific planned improvements</w:t>
      </w:r>
      <w:r>
        <w:rPr>
          <w:noProof/>
        </w:rPr>
        <w:tab/>
      </w:r>
      <w:r>
        <w:rPr>
          <w:noProof/>
        </w:rPr>
        <w:fldChar w:fldCharType="begin"/>
      </w:r>
      <w:r>
        <w:rPr>
          <w:noProof/>
        </w:rPr>
        <w:instrText xml:space="preserve"> PAGEREF _Toc184808368 \h </w:instrText>
      </w:r>
      <w:r>
        <w:rPr>
          <w:noProof/>
        </w:rPr>
      </w:r>
      <w:r>
        <w:rPr>
          <w:noProof/>
        </w:rPr>
        <w:fldChar w:fldCharType="separate"/>
      </w:r>
      <w:r>
        <w:rPr>
          <w:noProof/>
        </w:rPr>
        <w:t>219</w:t>
      </w:r>
      <w:r>
        <w:rPr>
          <w:noProof/>
        </w:rPr>
        <w:fldChar w:fldCharType="end"/>
      </w:r>
    </w:p>
    <w:p w14:paraId="1A4052EE" w14:textId="17B8A96D"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Chapter 8: Other</w:t>
      </w:r>
      <w:r>
        <w:rPr>
          <w:noProof/>
        </w:rPr>
        <w:tab/>
      </w:r>
      <w:r>
        <w:rPr>
          <w:noProof/>
        </w:rPr>
        <w:fldChar w:fldCharType="begin"/>
      </w:r>
      <w:r>
        <w:rPr>
          <w:noProof/>
        </w:rPr>
        <w:instrText xml:space="preserve"> PAGEREF _Toc184808369 \h </w:instrText>
      </w:r>
      <w:r>
        <w:rPr>
          <w:noProof/>
        </w:rPr>
      </w:r>
      <w:r>
        <w:rPr>
          <w:noProof/>
        </w:rPr>
        <w:fldChar w:fldCharType="separate"/>
      </w:r>
      <w:r>
        <w:rPr>
          <w:noProof/>
        </w:rPr>
        <w:t>220</w:t>
      </w:r>
      <w:r>
        <w:rPr>
          <w:noProof/>
        </w:rPr>
        <w:fldChar w:fldCharType="end"/>
      </w:r>
    </w:p>
    <w:p w14:paraId="30BA3606" w14:textId="061C5CBF"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Chapter 9: Indirect CO</w:t>
      </w:r>
      <w:r w:rsidRPr="00293C44">
        <w:rPr>
          <w:noProof/>
          <w:vertAlign w:val="subscript"/>
          <w:lang w:eastAsia="fr-FR"/>
        </w:rPr>
        <w:t>2</w:t>
      </w:r>
      <w:r>
        <w:rPr>
          <w:noProof/>
          <w:lang w:eastAsia="fr-FR"/>
        </w:rPr>
        <w:t xml:space="preserve"> and N</w:t>
      </w:r>
      <w:r w:rsidRPr="00293C44">
        <w:rPr>
          <w:noProof/>
          <w:vertAlign w:val="subscript"/>
          <w:lang w:eastAsia="fr-FR"/>
        </w:rPr>
        <w:t>2</w:t>
      </w:r>
      <w:r>
        <w:rPr>
          <w:noProof/>
          <w:lang w:eastAsia="fr-FR"/>
        </w:rPr>
        <w:t>O emissions</w:t>
      </w:r>
      <w:r>
        <w:rPr>
          <w:noProof/>
        </w:rPr>
        <w:tab/>
      </w:r>
      <w:r>
        <w:rPr>
          <w:noProof/>
        </w:rPr>
        <w:fldChar w:fldCharType="begin"/>
      </w:r>
      <w:r>
        <w:rPr>
          <w:noProof/>
        </w:rPr>
        <w:instrText xml:space="preserve"> PAGEREF _Toc184808370 \h </w:instrText>
      </w:r>
      <w:r>
        <w:rPr>
          <w:noProof/>
        </w:rPr>
      </w:r>
      <w:r>
        <w:rPr>
          <w:noProof/>
        </w:rPr>
        <w:fldChar w:fldCharType="separate"/>
      </w:r>
      <w:r>
        <w:rPr>
          <w:noProof/>
        </w:rPr>
        <w:t>221</w:t>
      </w:r>
      <w:r>
        <w:rPr>
          <w:noProof/>
        </w:rPr>
        <w:fldChar w:fldCharType="end"/>
      </w:r>
    </w:p>
    <w:p w14:paraId="72B75B8B" w14:textId="32D0081C" w:rsidR="00440D6B" w:rsidRDefault="00440D6B">
      <w:pPr>
        <w:pStyle w:val="TOC2"/>
        <w:tabs>
          <w:tab w:val="right" w:leader="dot" w:pos="9062"/>
        </w:tabs>
        <w:rPr>
          <w:rFonts w:eastAsiaTheme="minorEastAsia"/>
          <w:noProof/>
          <w:kern w:val="2"/>
          <w:sz w:val="24"/>
          <w:szCs w:val="24"/>
          <w:lang w:val="en-US"/>
          <w14:ligatures w14:val="standardContextual"/>
        </w:rPr>
      </w:pPr>
      <w:r w:rsidRPr="00293C44">
        <w:rPr>
          <w:noProof/>
        </w:rPr>
        <w:lastRenderedPageBreak/>
        <w:t>9.1. Description of sources of indirect emissions in GHG inventory</w:t>
      </w:r>
      <w:r>
        <w:rPr>
          <w:noProof/>
        </w:rPr>
        <w:tab/>
      </w:r>
      <w:r>
        <w:rPr>
          <w:noProof/>
        </w:rPr>
        <w:fldChar w:fldCharType="begin"/>
      </w:r>
      <w:r>
        <w:rPr>
          <w:noProof/>
        </w:rPr>
        <w:instrText xml:space="preserve"> PAGEREF _Toc184808371 \h </w:instrText>
      </w:r>
      <w:r>
        <w:rPr>
          <w:noProof/>
        </w:rPr>
      </w:r>
      <w:r>
        <w:rPr>
          <w:noProof/>
        </w:rPr>
        <w:fldChar w:fldCharType="separate"/>
      </w:r>
      <w:r>
        <w:rPr>
          <w:noProof/>
        </w:rPr>
        <w:t>221</w:t>
      </w:r>
      <w:r>
        <w:rPr>
          <w:noProof/>
        </w:rPr>
        <w:fldChar w:fldCharType="end"/>
      </w:r>
    </w:p>
    <w:p w14:paraId="7F3FDBC1" w14:textId="7153C0CF" w:rsidR="00440D6B" w:rsidRDefault="00440D6B">
      <w:pPr>
        <w:pStyle w:val="TOC2"/>
        <w:tabs>
          <w:tab w:val="right" w:leader="dot" w:pos="9062"/>
        </w:tabs>
        <w:rPr>
          <w:rFonts w:eastAsiaTheme="minorEastAsia"/>
          <w:noProof/>
          <w:kern w:val="2"/>
          <w:sz w:val="24"/>
          <w:szCs w:val="24"/>
          <w:lang w:val="en-US"/>
          <w14:ligatures w14:val="standardContextual"/>
        </w:rPr>
      </w:pPr>
      <w:r w:rsidRPr="00293C44">
        <w:rPr>
          <w:noProof/>
        </w:rPr>
        <w:t>9.2. Methodological issues</w:t>
      </w:r>
      <w:r>
        <w:rPr>
          <w:noProof/>
        </w:rPr>
        <w:tab/>
      </w:r>
      <w:r>
        <w:rPr>
          <w:noProof/>
        </w:rPr>
        <w:fldChar w:fldCharType="begin"/>
      </w:r>
      <w:r>
        <w:rPr>
          <w:noProof/>
        </w:rPr>
        <w:instrText xml:space="preserve"> PAGEREF _Toc184808372 \h </w:instrText>
      </w:r>
      <w:r>
        <w:rPr>
          <w:noProof/>
        </w:rPr>
      </w:r>
      <w:r>
        <w:rPr>
          <w:noProof/>
        </w:rPr>
        <w:fldChar w:fldCharType="separate"/>
      </w:r>
      <w:r>
        <w:rPr>
          <w:noProof/>
        </w:rPr>
        <w:t>221</w:t>
      </w:r>
      <w:r>
        <w:rPr>
          <w:noProof/>
        </w:rPr>
        <w:fldChar w:fldCharType="end"/>
      </w:r>
    </w:p>
    <w:p w14:paraId="4FDE697B" w14:textId="34B4F048" w:rsidR="00440D6B" w:rsidRDefault="00440D6B">
      <w:pPr>
        <w:pStyle w:val="TOC2"/>
        <w:tabs>
          <w:tab w:val="right" w:leader="dot" w:pos="9062"/>
        </w:tabs>
        <w:rPr>
          <w:rFonts w:eastAsiaTheme="minorEastAsia"/>
          <w:noProof/>
          <w:kern w:val="2"/>
          <w:sz w:val="24"/>
          <w:szCs w:val="24"/>
          <w:lang w:val="en-US"/>
          <w14:ligatures w14:val="standardContextual"/>
        </w:rPr>
      </w:pPr>
      <w:r w:rsidRPr="00293C44">
        <w:rPr>
          <w:noProof/>
        </w:rPr>
        <w:t>9.3. Uncertainties and time-series consistency</w:t>
      </w:r>
      <w:r>
        <w:rPr>
          <w:noProof/>
        </w:rPr>
        <w:tab/>
      </w:r>
      <w:r>
        <w:rPr>
          <w:noProof/>
        </w:rPr>
        <w:fldChar w:fldCharType="begin"/>
      </w:r>
      <w:r>
        <w:rPr>
          <w:noProof/>
        </w:rPr>
        <w:instrText xml:space="preserve"> PAGEREF _Toc184808373 \h </w:instrText>
      </w:r>
      <w:r>
        <w:rPr>
          <w:noProof/>
        </w:rPr>
      </w:r>
      <w:r>
        <w:rPr>
          <w:noProof/>
        </w:rPr>
        <w:fldChar w:fldCharType="separate"/>
      </w:r>
      <w:r>
        <w:rPr>
          <w:noProof/>
        </w:rPr>
        <w:t>221</w:t>
      </w:r>
      <w:r>
        <w:rPr>
          <w:noProof/>
        </w:rPr>
        <w:fldChar w:fldCharType="end"/>
      </w:r>
    </w:p>
    <w:p w14:paraId="228182F4" w14:textId="7FC9740A" w:rsidR="00440D6B" w:rsidRDefault="00440D6B">
      <w:pPr>
        <w:pStyle w:val="TOC2"/>
        <w:tabs>
          <w:tab w:val="right" w:leader="dot" w:pos="9062"/>
        </w:tabs>
        <w:rPr>
          <w:rFonts w:eastAsiaTheme="minorEastAsia"/>
          <w:noProof/>
          <w:kern w:val="2"/>
          <w:sz w:val="24"/>
          <w:szCs w:val="24"/>
          <w:lang w:val="en-US"/>
          <w14:ligatures w14:val="standardContextual"/>
        </w:rPr>
      </w:pPr>
      <w:r w:rsidRPr="00293C44">
        <w:rPr>
          <w:noProof/>
        </w:rPr>
        <w:t>9.4. Category-specific QA/QC and verification</w:t>
      </w:r>
      <w:r>
        <w:rPr>
          <w:noProof/>
        </w:rPr>
        <w:tab/>
      </w:r>
      <w:r>
        <w:rPr>
          <w:noProof/>
        </w:rPr>
        <w:fldChar w:fldCharType="begin"/>
      </w:r>
      <w:r>
        <w:rPr>
          <w:noProof/>
        </w:rPr>
        <w:instrText xml:space="preserve"> PAGEREF _Toc184808374 \h </w:instrText>
      </w:r>
      <w:r>
        <w:rPr>
          <w:noProof/>
        </w:rPr>
      </w:r>
      <w:r>
        <w:rPr>
          <w:noProof/>
        </w:rPr>
        <w:fldChar w:fldCharType="separate"/>
      </w:r>
      <w:r>
        <w:rPr>
          <w:noProof/>
        </w:rPr>
        <w:t>221</w:t>
      </w:r>
      <w:r>
        <w:rPr>
          <w:noProof/>
        </w:rPr>
        <w:fldChar w:fldCharType="end"/>
      </w:r>
    </w:p>
    <w:p w14:paraId="5D899A5D" w14:textId="34F06F8A" w:rsidR="00440D6B" w:rsidRDefault="00440D6B">
      <w:pPr>
        <w:pStyle w:val="TOC2"/>
        <w:tabs>
          <w:tab w:val="right" w:leader="dot" w:pos="9062"/>
        </w:tabs>
        <w:rPr>
          <w:rFonts w:eastAsiaTheme="minorEastAsia"/>
          <w:noProof/>
          <w:kern w:val="2"/>
          <w:sz w:val="24"/>
          <w:szCs w:val="24"/>
          <w:lang w:val="en-US"/>
          <w14:ligatures w14:val="standardContextual"/>
        </w:rPr>
      </w:pPr>
      <w:r w:rsidRPr="00293C44">
        <w:rPr>
          <w:noProof/>
        </w:rPr>
        <w:t>9.5 Category-specific recalculations</w:t>
      </w:r>
      <w:r>
        <w:rPr>
          <w:noProof/>
        </w:rPr>
        <w:tab/>
      </w:r>
      <w:r>
        <w:rPr>
          <w:noProof/>
        </w:rPr>
        <w:fldChar w:fldCharType="begin"/>
      </w:r>
      <w:r>
        <w:rPr>
          <w:noProof/>
        </w:rPr>
        <w:instrText xml:space="preserve"> PAGEREF _Toc184808375 \h </w:instrText>
      </w:r>
      <w:r>
        <w:rPr>
          <w:noProof/>
        </w:rPr>
      </w:r>
      <w:r>
        <w:rPr>
          <w:noProof/>
        </w:rPr>
        <w:fldChar w:fldCharType="separate"/>
      </w:r>
      <w:r>
        <w:rPr>
          <w:noProof/>
        </w:rPr>
        <w:t>221</w:t>
      </w:r>
      <w:r>
        <w:rPr>
          <w:noProof/>
        </w:rPr>
        <w:fldChar w:fldCharType="end"/>
      </w:r>
    </w:p>
    <w:p w14:paraId="02F3C5D2" w14:textId="7174429B" w:rsidR="00440D6B" w:rsidRDefault="00440D6B">
      <w:pPr>
        <w:pStyle w:val="TOC2"/>
        <w:tabs>
          <w:tab w:val="right" w:leader="dot" w:pos="9062"/>
        </w:tabs>
        <w:rPr>
          <w:rFonts w:eastAsiaTheme="minorEastAsia"/>
          <w:noProof/>
          <w:kern w:val="2"/>
          <w:sz w:val="24"/>
          <w:szCs w:val="24"/>
          <w:lang w:val="en-US"/>
          <w14:ligatures w14:val="standardContextual"/>
        </w:rPr>
      </w:pPr>
      <w:r w:rsidRPr="00293C44">
        <w:rPr>
          <w:noProof/>
        </w:rPr>
        <w:t>9.6. Category-specific planned improvements</w:t>
      </w:r>
      <w:r>
        <w:rPr>
          <w:noProof/>
        </w:rPr>
        <w:tab/>
      </w:r>
      <w:r>
        <w:rPr>
          <w:noProof/>
        </w:rPr>
        <w:fldChar w:fldCharType="begin"/>
      </w:r>
      <w:r>
        <w:rPr>
          <w:noProof/>
        </w:rPr>
        <w:instrText xml:space="preserve"> PAGEREF _Toc184808376 \h </w:instrText>
      </w:r>
      <w:r>
        <w:rPr>
          <w:noProof/>
        </w:rPr>
      </w:r>
      <w:r>
        <w:rPr>
          <w:noProof/>
        </w:rPr>
        <w:fldChar w:fldCharType="separate"/>
      </w:r>
      <w:r>
        <w:rPr>
          <w:noProof/>
        </w:rPr>
        <w:t>221</w:t>
      </w:r>
      <w:r>
        <w:rPr>
          <w:noProof/>
        </w:rPr>
        <w:fldChar w:fldCharType="end"/>
      </w:r>
    </w:p>
    <w:p w14:paraId="5CF8A935" w14:textId="37D7C9B7"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Chapter 10: Recalculations and improvements</w:t>
      </w:r>
      <w:r>
        <w:rPr>
          <w:noProof/>
        </w:rPr>
        <w:tab/>
      </w:r>
      <w:r>
        <w:rPr>
          <w:noProof/>
        </w:rPr>
        <w:fldChar w:fldCharType="begin"/>
      </w:r>
      <w:r>
        <w:rPr>
          <w:noProof/>
        </w:rPr>
        <w:instrText xml:space="preserve"> PAGEREF _Toc184808377 \h </w:instrText>
      </w:r>
      <w:r>
        <w:rPr>
          <w:noProof/>
        </w:rPr>
      </w:r>
      <w:r>
        <w:rPr>
          <w:noProof/>
        </w:rPr>
        <w:fldChar w:fldCharType="separate"/>
      </w:r>
      <w:r>
        <w:rPr>
          <w:noProof/>
        </w:rPr>
        <w:t>222</w:t>
      </w:r>
      <w:r>
        <w:rPr>
          <w:noProof/>
        </w:rPr>
        <w:fldChar w:fldCharType="end"/>
      </w:r>
    </w:p>
    <w:p w14:paraId="4A803EA2" w14:textId="34FFA0C9" w:rsidR="00440D6B" w:rsidRDefault="00440D6B">
      <w:pPr>
        <w:pStyle w:val="TOC2"/>
        <w:tabs>
          <w:tab w:val="right" w:leader="dot" w:pos="9062"/>
        </w:tabs>
        <w:rPr>
          <w:rFonts w:eastAsiaTheme="minorEastAsia"/>
          <w:noProof/>
          <w:kern w:val="2"/>
          <w:sz w:val="24"/>
          <w:szCs w:val="24"/>
          <w:lang w:val="en-US"/>
          <w14:ligatures w14:val="standardContextual"/>
        </w:rPr>
      </w:pPr>
      <w:r w:rsidRPr="00293C44">
        <w:rPr>
          <w:noProof/>
        </w:rPr>
        <w:t>10.1. Explanations and justifications for recalculations, including in response to the review process</w:t>
      </w:r>
      <w:r>
        <w:rPr>
          <w:noProof/>
        </w:rPr>
        <w:tab/>
      </w:r>
      <w:r>
        <w:rPr>
          <w:noProof/>
        </w:rPr>
        <w:fldChar w:fldCharType="begin"/>
      </w:r>
      <w:r>
        <w:rPr>
          <w:noProof/>
        </w:rPr>
        <w:instrText xml:space="preserve"> PAGEREF _Toc184808378 \h </w:instrText>
      </w:r>
      <w:r>
        <w:rPr>
          <w:noProof/>
        </w:rPr>
      </w:r>
      <w:r>
        <w:rPr>
          <w:noProof/>
        </w:rPr>
        <w:fldChar w:fldCharType="separate"/>
      </w:r>
      <w:r>
        <w:rPr>
          <w:noProof/>
        </w:rPr>
        <w:t>222</w:t>
      </w:r>
      <w:r>
        <w:rPr>
          <w:noProof/>
        </w:rPr>
        <w:fldChar w:fldCharType="end"/>
      </w:r>
    </w:p>
    <w:p w14:paraId="34EF984E" w14:textId="51278817" w:rsidR="00440D6B" w:rsidRDefault="00440D6B">
      <w:pPr>
        <w:pStyle w:val="TOC2"/>
        <w:tabs>
          <w:tab w:val="right" w:leader="dot" w:pos="9062"/>
        </w:tabs>
        <w:rPr>
          <w:rFonts w:eastAsiaTheme="minorEastAsia"/>
          <w:noProof/>
          <w:kern w:val="2"/>
          <w:sz w:val="24"/>
          <w:szCs w:val="24"/>
          <w:lang w:val="en-US"/>
          <w14:ligatures w14:val="standardContextual"/>
        </w:rPr>
      </w:pPr>
      <w:r w:rsidRPr="00293C44">
        <w:rPr>
          <w:noProof/>
        </w:rPr>
        <w:t>10.2. Implications for emission and removal levels</w:t>
      </w:r>
      <w:r>
        <w:rPr>
          <w:noProof/>
        </w:rPr>
        <w:tab/>
      </w:r>
      <w:r>
        <w:rPr>
          <w:noProof/>
        </w:rPr>
        <w:fldChar w:fldCharType="begin"/>
      </w:r>
      <w:r>
        <w:rPr>
          <w:noProof/>
        </w:rPr>
        <w:instrText xml:space="preserve"> PAGEREF _Toc184808379 \h </w:instrText>
      </w:r>
      <w:r>
        <w:rPr>
          <w:noProof/>
        </w:rPr>
      </w:r>
      <w:r>
        <w:rPr>
          <w:noProof/>
        </w:rPr>
        <w:fldChar w:fldCharType="separate"/>
      </w:r>
      <w:r>
        <w:rPr>
          <w:noProof/>
        </w:rPr>
        <w:t>222</w:t>
      </w:r>
      <w:r>
        <w:rPr>
          <w:noProof/>
        </w:rPr>
        <w:fldChar w:fldCharType="end"/>
      </w:r>
    </w:p>
    <w:p w14:paraId="66B2BECD" w14:textId="7B03D1A9" w:rsidR="00440D6B" w:rsidRDefault="00440D6B">
      <w:pPr>
        <w:pStyle w:val="TOC2"/>
        <w:tabs>
          <w:tab w:val="right" w:leader="dot" w:pos="9062"/>
        </w:tabs>
        <w:rPr>
          <w:rFonts w:eastAsiaTheme="minorEastAsia"/>
          <w:noProof/>
          <w:kern w:val="2"/>
          <w:sz w:val="24"/>
          <w:szCs w:val="24"/>
          <w:lang w:val="en-US"/>
          <w14:ligatures w14:val="standardContextual"/>
        </w:rPr>
      </w:pPr>
      <w:r w:rsidRPr="00293C44">
        <w:rPr>
          <w:noProof/>
        </w:rPr>
        <w:t>10.3. Implications for emission and removal trends, including time-series consistency</w:t>
      </w:r>
      <w:r>
        <w:rPr>
          <w:noProof/>
        </w:rPr>
        <w:tab/>
      </w:r>
      <w:r>
        <w:rPr>
          <w:noProof/>
        </w:rPr>
        <w:fldChar w:fldCharType="begin"/>
      </w:r>
      <w:r>
        <w:rPr>
          <w:noProof/>
        </w:rPr>
        <w:instrText xml:space="preserve"> PAGEREF _Toc184808380 \h </w:instrText>
      </w:r>
      <w:r>
        <w:rPr>
          <w:noProof/>
        </w:rPr>
      </w:r>
      <w:r>
        <w:rPr>
          <w:noProof/>
        </w:rPr>
        <w:fldChar w:fldCharType="separate"/>
      </w:r>
      <w:r>
        <w:rPr>
          <w:noProof/>
        </w:rPr>
        <w:t>222</w:t>
      </w:r>
      <w:r>
        <w:rPr>
          <w:noProof/>
        </w:rPr>
        <w:fldChar w:fldCharType="end"/>
      </w:r>
    </w:p>
    <w:p w14:paraId="724EAFD6" w14:textId="16159939" w:rsidR="00440D6B" w:rsidRDefault="00440D6B">
      <w:pPr>
        <w:pStyle w:val="TOC2"/>
        <w:tabs>
          <w:tab w:val="right" w:leader="dot" w:pos="9062"/>
        </w:tabs>
        <w:rPr>
          <w:rFonts w:eastAsiaTheme="minorEastAsia"/>
          <w:noProof/>
          <w:kern w:val="2"/>
          <w:sz w:val="24"/>
          <w:szCs w:val="24"/>
          <w:lang w:val="en-US"/>
          <w14:ligatures w14:val="standardContextual"/>
        </w:rPr>
      </w:pPr>
      <w:r w:rsidRPr="00293C44">
        <w:rPr>
          <w:noProof/>
        </w:rPr>
        <w:t>10.4. Areas of improvement and/or capacity building in response to the review process</w:t>
      </w:r>
      <w:r>
        <w:rPr>
          <w:noProof/>
        </w:rPr>
        <w:tab/>
      </w:r>
      <w:r>
        <w:rPr>
          <w:noProof/>
        </w:rPr>
        <w:fldChar w:fldCharType="begin"/>
      </w:r>
      <w:r>
        <w:rPr>
          <w:noProof/>
        </w:rPr>
        <w:instrText xml:space="preserve"> PAGEREF _Toc184808381 \h </w:instrText>
      </w:r>
      <w:r>
        <w:rPr>
          <w:noProof/>
        </w:rPr>
      </w:r>
      <w:r>
        <w:rPr>
          <w:noProof/>
        </w:rPr>
        <w:fldChar w:fldCharType="separate"/>
      </w:r>
      <w:r>
        <w:rPr>
          <w:noProof/>
        </w:rPr>
        <w:t>222</w:t>
      </w:r>
      <w:r>
        <w:rPr>
          <w:noProof/>
        </w:rPr>
        <w:fldChar w:fldCharType="end"/>
      </w:r>
    </w:p>
    <w:p w14:paraId="4FBC9E20" w14:textId="0724BBF9"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Annex 1: Key categories from CRT Reporter</w:t>
      </w:r>
      <w:r>
        <w:rPr>
          <w:noProof/>
        </w:rPr>
        <w:tab/>
      </w:r>
      <w:r>
        <w:rPr>
          <w:noProof/>
        </w:rPr>
        <w:fldChar w:fldCharType="begin"/>
      </w:r>
      <w:r>
        <w:rPr>
          <w:noProof/>
        </w:rPr>
        <w:instrText xml:space="preserve"> PAGEREF _Toc184808382 \h </w:instrText>
      </w:r>
      <w:r>
        <w:rPr>
          <w:noProof/>
        </w:rPr>
      </w:r>
      <w:r>
        <w:rPr>
          <w:noProof/>
        </w:rPr>
        <w:fldChar w:fldCharType="separate"/>
      </w:r>
      <w:r>
        <w:rPr>
          <w:noProof/>
        </w:rPr>
        <w:t>223</w:t>
      </w:r>
      <w:r>
        <w:rPr>
          <w:noProof/>
        </w:rPr>
        <w:fldChar w:fldCharType="end"/>
      </w:r>
    </w:p>
    <w:p w14:paraId="120B155C" w14:textId="79333569"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Annex 2: Assessment of uncertainty</w:t>
      </w:r>
      <w:r>
        <w:rPr>
          <w:noProof/>
        </w:rPr>
        <w:tab/>
      </w:r>
      <w:r>
        <w:rPr>
          <w:noProof/>
        </w:rPr>
        <w:fldChar w:fldCharType="begin"/>
      </w:r>
      <w:r>
        <w:rPr>
          <w:noProof/>
        </w:rPr>
        <w:instrText xml:space="preserve"> PAGEREF _Toc184808383 \h </w:instrText>
      </w:r>
      <w:r>
        <w:rPr>
          <w:noProof/>
        </w:rPr>
      </w:r>
      <w:r>
        <w:rPr>
          <w:noProof/>
        </w:rPr>
        <w:fldChar w:fldCharType="separate"/>
      </w:r>
      <w:r>
        <w:rPr>
          <w:noProof/>
        </w:rPr>
        <w:t>224</w:t>
      </w:r>
      <w:r>
        <w:rPr>
          <w:noProof/>
        </w:rPr>
        <w:fldChar w:fldCharType="end"/>
      </w:r>
    </w:p>
    <w:p w14:paraId="4E3F14D5" w14:textId="67CD0F04"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Annex 3: Detailed description of the reference approach (including inputs to the reference approach such as the national energy balance) and the results of the comparison of national estimates of emissions with those obtained using the reference approach</w:t>
      </w:r>
      <w:r>
        <w:rPr>
          <w:noProof/>
        </w:rPr>
        <w:tab/>
      </w:r>
      <w:r>
        <w:rPr>
          <w:noProof/>
        </w:rPr>
        <w:fldChar w:fldCharType="begin"/>
      </w:r>
      <w:r>
        <w:rPr>
          <w:noProof/>
        </w:rPr>
        <w:instrText xml:space="preserve"> PAGEREF _Toc184808384 \h </w:instrText>
      </w:r>
      <w:r>
        <w:rPr>
          <w:noProof/>
        </w:rPr>
      </w:r>
      <w:r>
        <w:rPr>
          <w:noProof/>
        </w:rPr>
        <w:fldChar w:fldCharType="separate"/>
      </w:r>
      <w:r>
        <w:rPr>
          <w:noProof/>
        </w:rPr>
        <w:t>230</w:t>
      </w:r>
      <w:r>
        <w:rPr>
          <w:noProof/>
        </w:rPr>
        <w:fldChar w:fldCharType="end"/>
      </w:r>
    </w:p>
    <w:p w14:paraId="650F01DF" w14:textId="106A0BC8"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Annex 4: QA/QC procedures.</w:t>
      </w:r>
      <w:r>
        <w:rPr>
          <w:noProof/>
        </w:rPr>
        <w:tab/>
      </w:r>
      <w:r>
        <w:rPr>
          <w:noProof/>
        </w:rPr>
        <w:fldChar w:fldCharType="begin"/>
      </w:r>
      <w:r>
        <w:rPr>
          <w:noProof/>
        </w:rPr>
        <w:instrText xml:space="preserve"> PAGEREF _Toc184808385 \h </w:instrText>
      </w:r>
      <w:r>
        <w:rPr>
          <w:noProof/>
        </w:rPr>
      </w:r>
      <w:r>
        <w:rPr>
          <w:noProof/>
        </w:rPr>
        <w:fldChar w:fldCharType="separate"/>
      </w:r>
      <w:r>
        <w:rPr>
          <w:noProof/>
        </w:rPr>
        <w:t>231</w:t>
      </w:r>
      <w:r>
        <w:rPr>
          <w:noProof/>
        </w:rPr>
        <w:fldChar w:fldCharType="end"/>
      </w:r>
    </w:p>
    <w:p w14:paraId="0BC7C7B1" w14:textId="6EA05285"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Annex 5: Any additional information, as applicable, including detailed methodological descriptions of source or sink categories and the national emission balance</w:t>
      </w:r>
      <w:r>
        <w:rPr>
          <w:noProof/>
        </w:rPr>
        <w:tab/>
      </w:r>
      <w:r>
        <w:rPr>
          <w:noProof/>
        </w:rPr>
        <w:fldChar w:fldCharType="begin"/>
      </w:r>
      <w:r>
        <w:rPr>
          <w:noProof/>
        </w:rPr>
        <w:instrText xml:space="preserve"> PAGEREF _Toc184808386 \h </w:instrText>
      </w:r>
      <w:r>
        <w:rPr>
          <w:noProof/>
        </w:rPr>
      </w:r>
      <w:r>
        <w:rPr>
          <w:noProof/>
        </w:rPr>
        <w:fldChar w:fldCharType="separate"/>
      </w:r>
      <w:r>
        <w:rPr>
          <w:noProof/>
        </w:rPr>
        <w:t>236</w:t>
      </w:r>
      <w:r>
        <w:rPr>
          <w:noProof/>
        </w:rPr>
        <w:fldChar w:fldCharType="end"/>
      </w:r>
    </w:p>
    <w:p w14:paraId="0A449890" w14:textId="6C77E6E3" w:rsidR="00440D6B" w:rsidRDefault="00440D6B">
      <w:pPr>
        <w:pStyle w:val="TOC1"/>
        <w:tabs>
          <w:tab w:val="right" w:leader="dot" w:pos="9062"/>
        </w:tabs>
        <w:rPr>
          <w:rFonts w:eastAsiaTheme="minorEastAsia"/>
          <w:noProof/>
          <w:kern w:val="2"/>
          <w:sz w:val="24"/>
          <w:szCs w:val="24"/>
          <w:lang w:val="en-US"/>
          <w14:ligatures w14:val="standardContextual"/>
        </w:rPr>
      </w:pPr>
      <w:r>
        <w:rPr>
          <w:noProof/>
          <w:lang w:eastAsia="fr-FR"/>
        </w:rPr>
        <w:t>References</w:t>
      </w:r>
      <w:r>
        <w:rPr>
          <w:noProof/>
        </w:rPr>
        <w:tab/>
      </w:r>
      <w:r>
        <w:rPr>
          <w:noProof/>
        </w:rPr>
        <w:fldChar w:fldCharType="begin"/>
      </w:r>
      <w:r>
        <w:rPr>
          <w:noProof/>
        </w:rPr>
        <w:instrText xml:space="preserve"> PAGEREF _Toc184808387 \h </w:instrText>
      </w:r>
      <w:r>
        <w:rPr>
          <w:noProof/>
        </w:rPr>
      </w:r>
      <w:r>
        <w:rPr>
          <w:noProof/>
        </w:rPr>
        <w:fldChar w:fldCharType="separate"/>
      </w:r>
      <w:r>
        <w:rPr>
          <w:noProof/>
        </w:rPr>
        <w:t>237</w:t>
      </w:r>
      <w:r>
        <w:rPr>
          <w:noProof/>
        </w:rPr>
        <w:fldChar w:fldCharType="end"/>
      </w:r>
    </w:p>
    <w:p w14:paraId="2706108D" w14:textId="7B263149" w:rsidR="00E62962" w:rsidRPr="002462F0" w:rsidRDefault="00771B5A" w:rsidP="00771B5A">
      <w:pPr>
        <w:spacing w:after="0"/>
        <w:rPr>
          <w:color w:val="698EC2"/>
          <w:sz w:val="40"/>
          <w:highlight w:val="yellow"/>
        </w:rPr>
      </w:pPr>
      <w:r>
        <w:rPr>
          <w:highlight w:val="yellow"/>
        </w:rPr>
        <w:fldChar w:fldCharType="end"/>
      </w:r>
      <w:r w:rsidR="00E62962" w:rsidRPr="002462F0">
        <w:rPr>
          <w:highlight w:val="yellow"/>
        </w:rPr>
        <w:br w:type="page"/>
      </w:r>
    </w:p>
    <w:p w14:paraId="2EB5C06C" w14:textId="410D1097" w:rsidR="00E62962" w:rsidRPr="00771B5A" w:rsidRDefault="00771B5A" w:rsidP="00771B5A">
      <w:pPr>
        <w:pStyle w:val="BodyText"/>
        <w:rPr>
          <w:b/>
          <w:bCs/>
          <w:color w:val="548DD4" w:themeColor="text2" w:themeTint="99"/>
          <w:sz w:val="40"/>
          <w:szCs w:val="40"/>
        </w:rPr>
      </w:pPr>
      <w:bookmarkStart w:id="2" w:name="_Toc496101010"/>
      <w:bookmarkStart w:id="3" w:name="_Toc182327695"/>
      <w:r w:rsidRPr="00771B5A">
        <w:rPr>
          <w:b/>
          <w:bCs/>
          <w:color w:val="548DD4" w:themeColor="text2" w:themeTint="99"/>
          <w:sz w:val="40"/>
          <w:szCs w:val="40"/>
        </w:rPr>
        <w:lastRenderedPageBreak/>
        <w:t xml:space="preserve">List </w:t>
      </w:r>
      <w:r w:rsidR="00DD70A2" w:rsidRPr="00771B5A">
        <w:rPr>
          <w:b/>
          <w:bCs/>
          <w:color w:val="548DD4" w:themeColor="text2" w:themeTint="99"/>
          <w:sz w:val="40"/>
          <w:szCs w:val="40"/>
        </w:rPr>
        <w:t>of</w:t>
      </w:r>
      <w:r w:rsidR="00E62962" w:rsidRPr="00771B5A">
        <w:rPr>
          <w:b/>
          <w:bCs/>
          <w:color w:val="548DD4" w:themeColor="text2" w:themeTint="99"/>
          <w:sz w:val="40"/>
          <w:szCs w:val="40"/>
        </w:rPr>
        <w:t xml:space="preserve"> figures</w:t>
      </w:r>
      <w:bookmarkEnd w:id="2"/>
      <w:bookmarkEnd w:id="3"/>
    </w:p>
    <w:p w14:paraId="49EF1488" w14:textId="620D14AE" w:rsidR="00440D6B" w:rsidRDefault="00A833BA">
      <w:pPr>
        <w:pStyle w:val="TableofFigures"/>
        <w:tabs>
          <w:tab w:val="right" w:leader="dot" w:pos="9062"/>
        </w:tabs>
        <w:rPr>
          <w:rFonts w:eastAsiaTheme="minorEastAsia"/>
          <w:noProof/>
          <w:kern w:val="2"/>
          <w:sz w:val="24"/>
          <w:szCs w:val="24"/>
          <w:lang w:val="en-US"/>
          <w14:ligatures w14:val="standardContextual"/>
        </w:rPr>
      </w:pPr>
      <w:r w:rsidRPr="002462F0">
        <w:rPr>
          <w:highlight w:val="yellow"/>
        </w:rPr>
        <w:fldChar w:fldCharType="begin"/>
      </w:r>
      <w:r w:rsidR="00B00396" w:rsidRPr="002462F0">
        <w:rPr>
          <w:highlight w:val="yellow"/>
          <w:lang w:val="fr-FR"/>
        </w:rPr>
        <w:instrText xml:space="preserve"> TOC \h \z \c "Figure" </w:instrText>
      </w:r>
      <w:r w:rsidRPr="002462F0">
        <w:rPr>
          <w:highlight w:val="yellow"/>
        </w:rPr>
        <w:fldChar w:fldCharType="separate"/>
      </w:r>
      <w:hyperlink w:anchor="_Toc184808388" w:history="1">
        <w:r w:rsidR="00440D6B" w:rsidRPr="008A65FC">
          <w:rPr>
            <w:rStyle w:val="Hyperlink"/>
            <w:noProof/>
          </w:rPr>
          <w:t xml:space="preserve">Figure 1: </w:t>
        </w:r>
        <w:r w:rsidR="00440D6B" w:rsidRPr="008A65FC">
          <w:rPr>
            <w:rStyle w:val="Hyperlink"/>
            <w:noProof/>
            <w:lang w:val="en-US"/>
          </w:rPr>
          <w:t>General process diagram for the preparation of the national emission inventory, with QA/QC procedures</w:t>
        </w:r>
        <w:r w:rsidR="00440D6B">
          <w:rPr>
            <w:noProof/>
            <w:webHidden/>
          </w:rPr>
          <w:tab/>
        </w:r>
        <w:r w:rsidR="00440D6B">
          <w:rPr>
            <w:noProof/>
            <w:webHidden/>
          </w:rPr>
          <w:fldChar w:fldCharType="begin"/>
        </w:r>
        <w:r w:rsidR="00440D6B">
          <w:rPr>
            <w:noProof/>
            <w:webHidden/>
          </w:rPr>
          <w:instrText xml:space="preserve"> PAGEREF _Toc184808388 \h </w:instrText>
        </w:r>
        <w:r w:rsidR="00440D6B">
          <w:rPr>
            <w:noProof/>
            <w:webHidden/>
          </w:rPr>
        </w:r>
        <w:r w:rsidR="00440D6B">
          <w:rPr>
            <w:noProof/>
            <w:webHidden/>
          </w:rPr>
          <w:fldChar w:fldCharType="separate"/>
        </w:r>
        <w:r w:rsidR="00440D6B">
          <w:rPr>
            <w:noProof/>
            <w:webHidden/>
          </w:rPr>
          <w:t>28</w:t>
        </w:r>
        <w:r w:rsidR="00440D6B">
          <w:rPr>
            <w:noProof/>
            <w:webHidden/>
          </w:rPr>
          <w:fldChar w:fldCharType="end"/>
        </w:r>
      </w:hyperlink>
    </w:p>
    <w:p w14:paraId="73F38310" w14:textId="6387C7A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389" w:history="1">
        <w:r w:rsidRPr="008A65FC">
          <w:rPr>
            <w:rStyle w:val="Hyperlink"/>
            <w:noProof/>
          </w:rPr>
          <w:t>Figure 2: Total GHG emissions, including LULUCF, in the Republic of Serbia (in kt CO</w:t>
        </w:r>
        <w:r w:rsidRPr="008A65FC">
          <w:rPr>
            <w:rStyle w:val="Hyperlink"/>
            <w:noProof/>
            <w:vertAlign w:val="subscript"/>
          </w:rPr>
          <w:t>2</w:t>
        </w:r>
        <w:r w:rsidRPr="008A65FC">
          <w:rPr>
            <w:rStyle w:val="Hyperlink"/>
            <w:noProof/>
          </w:rPr>
          <w:t>e), with CRT main sector contributions, over the period 1990-2022</w:t>
        </w:r>
        <w:r>
          <w:rPr>
            <w:noProof/>
            <w:webHidden/>
          </w:rPr>
          <w:tab/>
        </w:r>
        <w:r>
          <w:rPr>
            <w:noProof/>
            <w:webHidden/>
          </w:rPr>
          <w:fldChar w:fldCharType="begin"/>
        </w:r>
        <w:r>
          <w:rPr>
            <w:noProof/>
            <w:webHidden/>
          </w:rPr>
          <w:instrText xml:space="preserve"> PAGEREF _Toc184808389 \h </w:instrText>
        </w:r>
        <w:r>
          <w:rPr>
            <w:noProof/>
            <w:webHidden/>
          </w:rPr>
        </w:r>
        <w:r>
          <w:rPr>
            <w:noProof/>
            <w:webHidden/>
          </w:rPr>
          <w:fldChar w:fldCharType="separate"/>
        </w:r>
        <w:r>
          <w:rPr>
            <w:noProof/>
            <w:webHidden/>
          </w:rPr>
          <w:t>46</w:t>
        </w:r>
        <w:r>
          <w:rPr>
            <w:noProof/>
            <w:webHidden/>
          </w:rPr>
          <w:fldChar w:fldCharType="end"/>
        </w:r>
      </w:hyperlink>
    </w:p>
    <w:p w14:paraId="5FF7FEF6" w14:textId="51ABCF2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390" w:history="1">
        <w:r w:rsidRPr="008A65FC">
          <w:rPr>
            <w:rStyle w:val="Hyperlink"/>
            <w:noProof/>
          </w:rPr>
          <w:t>Figure 3: Contributions of each gas on the Republic of Serbia aggregated GHG emissions, excluding LULUCF, in 1990 and 2022</w:t>
        </w:r>
        <w:r>
          <w:rPr>
            <w:noProof/>
            <w:webHidden/>
          </w:rPr>
          <w:tab/>
        </w:r>
        <w:r>
          <w:rPr>
            <w:noProof/>
            <w:webHidden/>
          </w:rPr>
          <w:fldChar w:fldCharType="begin"/>
        </w:r>
        <w:r>
          <w:rPr>
            <w:noProof/>
            <w:webHidden/>
          </w:rPr>
          <w:instrText xml:space="preserve"> PAGEREF _Toc184808390 \h </w:instrText>
        </w:r>
        <w:r>
          <w:rPr>
            <w:noProof/>
            <w:webHidden/>
          </w:rPr>
        </w:r>
        <w:r>
          <w:rPr>
            <w:noProof/>
            <w:webHidden/>
          </w:rPr>
          <w:fldChar w:fldCharType="separate"/>
        </w:r>
        <w:r>
          <w:rPr>
            <w:noProof/>
            <w:webHidden/>
          </w:rPr>
          <w:t>46</w:t>
        </w:r>
        <w:r>
          <w:rPr>
            <w:noProof/>
            <w:webHidden/>
          </w:rPr>
          <w:fldChar w:fldCharType="end"/>
        </w:r>
      </w:hyperlink>
    </w:p>
    <w:p w14:paraId="47FD10D6" w14:textId="62C5A7C8"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391" w:history="1">
        <w:r w:rsidRPr="008A65FC">
          <w:rPr>
            <w:rStyle w:val="Hyperlink"/>
            <w:noProof/>
          </w:rPr>
          <w:t>Figure 4: Total aggregated fuel consumptions in the Republic of Serbia, for the period 1990-2022, per fuel type (in PJ)</w:t>
        </w:r>
        <w:r>
          <w:rPr>
            <w:noProof/>
            <w:webHidden/>
          </w:rPr>
          <w:tab/>
        </w:r>
        <w:r>
          <w:rPr>
            <w:noProof/>
            <w:webHidden/>
          </w:rPr>
          <w:fldChar w:fldCharType="begin"/>
        </w:r>
        <w:r>
          <w:rPr>
            <w:noProof/>
            <w:webHidden/>
          </w:rPr>
          <w:instrText xml:space="preserve"> PAGEREF _Toc184808391 \h </w:instrText>
        </w:r>
        <w:r>
          <w:rPr>
            <w:noProof/>
            <w:webHidden/>
          </w:rPr>
        </w:r>
        <w:r>
          <w:rPr>
            <w:noProof/>
            <w:webHidden/>
          </w:rPr>
          <w:fldChar w:fldCharType="separate"/>
        </w:r>
        <w:r>
          <w:rPr>
            <w:noProof/>
            <w:webHidden/>
          </w:rPr>
          <w:t>56</w:t>
        </w:r>
        <w:r>
          <w:rPr>
            <w:noProof/>
            <w:webHidden/>
          </w:rPr>
          <w:fldChar w:fldCharType="end"/>
        </w:r>
      </w:hyperlink>
    </w:p>
    <w:p w14:paraId="527BCA0B" w14:textId="2184C4C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392" w:history="1">
        <w:r w:rsidRPr="008A65FC">
          <w:rPr>
            <w:rStyle w:val="Hyperlink"/>
            <w:noProof/>
          </w:rPr>
          <w:t>Figure 5: GHG emission trends for the Energy sector (CRT 1), per main subsector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_Toc184808392 \h </w:instrText>
        </w:r>
        <w:r>
          <w:rPr>
            <w:noProof/>
            <w:webHidden/>
          </w:rPr>
        </w:r>
        <w:r>
          <w:rPr>
            <w:noProof/>
            <w:webHidden/>
          </w:rPr>
          <w:fldChar w:fldCharType="separate"/>
        </w:r>
        <w:r>
          <w:rPr>
            <w:noProof/>
            <w:webHidden/>
          </w:rPr>
          <w:t>56</w:t>
        </w:r>
        <w:r>
          <w:rPr>
            <w:noProof/>
            <w:webHidden/>
          </w:rPr>
          <w:fldChar w:fldCharType="end"/>
        </w:r>
      </w:hyperlink>
    </w:p>
    <w:p w14:paraId="7202DBD7" w14:textId="4511419F"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393" w:history="1">
        <w:r w:rsidRPr="008A65FC">
          <w:rPr>
            <w:rStyle w:val="Hyperlink"/>
            <w:noProof/>
          </w:rPr>
          <w:t>Figure 6 : Fuel consumptions in Public electricity and heat production (CRT 1A1a), for the period 1990-2022 (in TJ)</w:t>
        </w:r>
        <w:r>
          <w:rPr>
            <w:noProof/>
            <w:webHidden/>
          </w:rPr>
          <w:tab/>
        </w:r>
        <w:r>
          <w:rPr>
            <w:noProof/>
            <w:webHidden/>
          </w:rPr>
          <w:fldChar w:fldCharType="begin"/>
        </w:r>
        <w:r>
          <w:rPr>
            <w:noProof/>
            <w:webHidden/>
          </w:rPr>
          <w:instrText xml:space="preserve"> PAGEREF _Toc184808393 \h </w:instrText>
        </w:r>
        <w:r>
          <w:rPr>
            <w:noProof/>
            <w:webHidden/>
          </w:rPr>
        </w:r>
        <w:r>
          <w:rPr>
            <w:noProof/>
            <w:webHidden/>
          </w:rPr>
          <w:fldChar w:fldCharType="separate"/>
        </w:r>
        <w:r>
          <w:rPr>
            <w:noProof/>
            <w:webHidden/>
          </w:rPr>
          <w:t>66</w:t>
        </w:r>
        <w:r>
          <w:rPr>
            <w:noProof/>
            <w:webHidden/>
          </w:rPr>
          <w:fldChar w:fldCharType="end"/>
        </w:r>
      </w:hyperlink>
    </w:p>
    <w:p w14:paraId="72B8AAC2" w14:textId="30E7D67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394" w:history="1">
        <w:r w:rsidRPr="008A65FC">
          <w:rPr>
            <w:rStyle w:val="Hyperlink"/>
            <w:noProof/>
          </w:rPr>
          <w:t>Figure 7: GHG emissions for Public Electricity and Heat production (CRT 1A)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_Toc184808394 \h </w:instrText>
        </w:r>
        <w:r>
          <w:rPr>
            <w:noProof/>
            <w:webHidden/>
          </w:rPr>
        </w:r>
        <w:r>
          <w:rPr>
            <w:noProof/>
            <w:webHidden/>
          </w:rPr>
          <w:fldChar w:fldCharType="separate"/>
        </w:r>
        <w:r>
          <w:rPr>
            <w:noProof/>
            <w:webHidden/>
          </w:rPr>
          <w:t>66</w:t>
        </w:r>
        <w:r>
          <w:rPr>
            <w:noProof/>
            <w:webHidden/>
          </w:rPr>
          <w:fldChar w:fldCharType="end"/>
        </w:r>
      </w:hyperlink>
    </w:p>
    <w:p w14:paraId="317BC4CC" w14:textId="40A2CC6E"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395" w:history="1">
        <w:r w:rsidRPr="008A65FC">
          <w:rPr>
            <w:rStyle w:val="Hyperlink"/>
            <w:noProof/>
          </w:rPr>
          <w:t>Figure 8: Evolution of the amounts of crude oil treated in petroleum refining for the period 1990-2022</w:t>
        </w:r>
        <w:r>
          <w:rPr>
            <w:noProof/>
            <w:webHidden/>
          </w:rPr>
          <w:tab/>
        </w:r>
        <w:r>
          <w:rPr>
            <w:noProof/>
            <w:webHidden/>
          </w:rPr>
          <w:fldChar w:fldCharType="begin"/>
        </w:r>
        <w:r>
          <w:rPr>
            <w:noProof/>
            <w:webHidden/>
          </w:rPr>
          <w:instrText xml:space="preserve"> PAGEREF _Toc184808395 \h </w:instrText>
        </w:r>
        <w:r>
          <w:rPr>
            <w:noProof/>
            <w:webHidden/>
          </w:rPr>
        </w:r>
        <w:r>
          <w:rPr>
            <w:noProof/>
            <w:webHidden/>
          </w:rPr>
          <w:fldChar w:fldCharType="separate"/>
        </w:r>
        <w:r>
          <w:rPr>
            <w:noProof/>
            <w:webHidden/>
          </w:rPr>
          <w:t>68</w:t>
        </w:r>
        <w:r>
          <w:rPr>
            <w:noProof/>
            <w:webHidden/>
          </w:rPr>
          <w:fldChar w:fldCharType="end"/>
        </w:r>
      </w:hyperlink>
    </w:p>
    <w:p w14:paraId="7439845F" w14:textId="6C0C7EBA"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396" w:history="1">
        <w:r w:rsidRPr="008A65FC">
          <w:rPr>
            <w:rStyle w:val="Hyperlink"/>
            <w:noProof/>
          </w:rPr>
          <w:t>Figure 9: GHG emissions for the petroleum refining (CRT 1A1b),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_Toc184808396 \h </w:instrText>
        </w:r>
        <w:r>
          <w:rPr>
            <w:noProof/>
            <w:webHidden/>
          </w:rPr>
        </w:r>
        <w:r>
          <w:rPr>
            <w:noProof/>
            <w:webHidden/>
          </w:rPr>
          <w:fldChar w:fldCharType="separate"/>
        </w:r>
        <w:r>
          <w:rPr>
            <w:noProof/>
            <w:webHidden/>
          </w:rPr>
          <w:t>68</w:t>
        </w:r>
        <w:r>
          <w:rPr>
            <w:noProof/>
            <w:webHidden/>
          </w:rPr>
          <w:fldChar w:fldCharType="end"/>
        </w:r>
      </w:hyperlink>
    </w:p>
    <w:p w14:paraId="5D982E8A" w14:textId="4E87DA9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397" w:history="1">
        <w:r w:rsidRPr="008A65FC">
          <w:rPr>
            <w:rStyle w:val="Hyperlink"/>
            <w:noProof/>
          </w:rPr>
          <w:t>Figure 10: GHG emissions for the Manufacture of solid fuels (CRT 1A1c),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_Toc184808397 \h </w:instrText>
        </w:r>
        <w:r>
          <w:rPr>
            <w:noProof/>
            <w:webHidden/>
          </w:rPr>
        </w:r>
        <w:r>
          <w:rPr>
            <w:noProof/>
            <w:webHidden/>
          </w:rPr>
          <w:fldChar w:fldCharType="separate"/>
        </w:r>
        <w:r>
          <w:rPr>
            <w:noProof/>
            <w:webHidden/>
          </w:rPr>
          <w:t>70</w:t>
        </w:r>
        <w:r>
          <w:rPr>
            <w:noProof/>
            <w:webHidden/>
          </w:rPr>
          <w:fldChar w:fldCharType="end"/>
        </w:r>
      </w:hyperlink>
    </w:p>
    <w:p w14:paraId="323E520E" w14:textId="4587965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398" w:history="1">
        <w:r w:rsidRPr="008A65FC">
          <w:rPr>
            <w:rStyle w:val="Hyperlink"/>
            <w:noProof/>
          </w:rPr>
          <w:t>Figure 11: Fuel consumptions in the Manufacturing industries and Construction (CRT 1A2), per fuel type, for the period 1990-2022 (in TJ)</w:t>
        </w:r>
        <w:r>
          <w:rPr>
            <w:noProof/>
            <w:webHidden/>
          </w:rPr>
          <w:tab/>
        </w:r>
        <w:r>
          <w:rPr>
            <w:noProof/>
            <w:webHidden/>
          </w:rPr>
          <w:fldChar w:fldCharType="begin"/>
        </w:r>
        <w:r>
          <w:rPr>
            <w:noProof/>
            <w:webHidden/>
          </w:rPr>
          <w:instrText xml:space="preserve"> PAGEREF _Toc184808398 \h </w:instrText>
        </w:r>
        <w:r>
          <w:rPr>
            <w:noProof/>
            <w:webHidden/>
          </w:rPr>
        </w:r>
        <w:r>
          <w:rPr>
            <w:noProof/>
            <w:webHidden/>
          </w:rPr>
          <w:fldChar w:fldCharType="separate"/>
        </w:r>
        <w:r>
          <w:rPr>
            <w:noProof/>
            <w:webHidden/>
          </w:rPr>
          <w:t>73</w:t>
        </w:r>
        <w:r>
          <w:rPr>
            <w:noProof/>
            <w:webHidden/>
          </w:rPr>
          <w:fldChar w:fldCharType="end"/>
        </w:r>
      </w:hyperlink>
    </w:p>
    <w:p w14:paraId="1BDEA879" w14:textId="64BA9BBA"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399" w:history="1">
        <w:r w:rsidRPr="008A65FC">
          <w:rPr>
            <w:rStyle w:val="Hyperlink"/>
            <w:noProof/>
          </w:rPr>
          <w:t>Figure 12: Fuel consumptions in the Manufacturing industries and Construction (CRT 1A2), per subsector, for the period 1990-2022 (in TJ)</w:t>
        </w:r>
        <w:r>
          <w:rPr>
            <w:noProof/>
            <w:webHidden/>
          </w:rPr>
          <w:tab/>
        </w:r>
        <w:r>
          <w:rPr>
            <w:noProof/>
            <w:webHidden/>
          </w:rPr>
          <w:fldChar w:fldCharType="begin"/>
        </w:r>
        <w:r>
          <w:rPr>
            <w:noProof/>
            <w:webHidden/>
          </w:rPr>
          <w:instrText xml:space="preserve"> PAGEREF _Toc184808399 \h </w:instrText>
        </w:r>
        <w:r>
          <w:rPr>
            <w:noProof/>
            <w:webHidden/>
          </w:rPr>
        </w:r>
        <w:r>
          <w:rPr>
            <w:noProof/>
            <w:webHidden/>
          </w:rPr>
          <w:fldChar w:fldCharType="separate"/>
        </w:r>
        <w:r>
          <w:rPr>
            <w:noProof/>
            <w:webHidden/>
          </w:rPr>
          <w:t>74</w:t>
        </w:r>
        <w:r>
          <w:rPr>
            <w:noProof/>
            <w:webHidden/>
          </w:rPr>
          <w:fldChar w:fldCharType="end"/>
        </w:r>
      </w:hyperlink>
    </w:p>
    <w:p w14:paraId="47F1E513" w14:textId="4AD969F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00" w:history="1">
        <w:r w:rsidRPr="008A65FC">
          <w:rPr>
            <w:rStyle w:val="Hyperlink"/>
            <w:noProof/>
          </w:rPr>
          <w:t>Figure 13: GHG emissions in the Manufacturing industry and construction (CRT 1A2),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_Toc184808400 \h </w:instrText>
        </w:r>
        <w:r>
          <w:rPr>
            <w:noProof/>
            <w:webHidden/>
          </w:rPr>
        </w:r>
        <w:r>
          <w:rPr>
            <w:noProof/>
            <w:webHidden/>
          </w:rPr>
          <w:fldChar w:fldCharType="separate"/>
        </w:r>
        <w:r>
          <w:rPr>
            <w:noProof/>
            <w:webHidden/>
          </w:rPr>
          <w:t>74</w:t>
        </w:r>
        <w:r>
          <w:rPr>
            <w:noProof/>
            <w:webHidden/>
          </w:rPr>
          <w:fldChar w:fldCharType="end"/>
        </w:r>
      </w:hyperlink>
    </w:p>
    <w:p w14:paraId="25EDEFCF" w14:textId="08E362A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01" w:history="1">
        <w:r w:rsidRPr="008A65FC">
          <w:rPr>
            <w:rStyle w:val="Hyperlink"/>
            <w:noProof/>
          </w:rPr>
          <w:t>Figure 14: Fuel consumptions in the Transport sector (CRT 1A3), per fuel type, for the period 1990-2022 (in TJ)</w:t>
        </w:r>
        <w:r>
          <w:rPr>
            <w:noProof/>
            <w:webHidden/>
          </w:rPr>
          <w:tab/>
        </w:r>
        <w:r>
          <w:rPr>
            <w:noProof/>
            <w:webHidden/>
          </w:rPr>
          <w:fldChar w:fldCharType="begin"/>
        </w:r>
        <w:r>
          <w:rPr>
            <w:noProof/>
            <w:webHidden/>
          </w:rPr>
          <w:instrText xml:space="preserve"> PAGEREF _Toc184808401 \h </w:instrText>
        </w:r>
        <w:r>
          <w:rPr>
            <w:noProof/>
            <w:webHidden/>
          </w:rPr>
        </w:r>
        <w:r>
          <w:rPr>
            <w:noProof/>
            <w:webHidden/>
          </w:rPr>
          <w:fldChar w:fldCharType="separate"/>
        </w:r>
        <w:r>
          <w:rPr>
            <w:noProof/>
            <w:webHidden/>
          </w:rPr>
          <w:t>77</w:t>
        </w:r>
        <w:r>
          <w:rPr>
            <w:noProof/>
            <w:webHidden/>
          </w:rPr>
          <w:fldChar w:fldCharType="end"/>
        </w:r>
      </w:hyperlink>
    </w:p>
    <w:p w14:paraId="34158CE0" w14:textId="1F067F82"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02" w:history="1">
        <w:r w:rsidRPr="008A65FC">
          <w:rPr>
            <w:rStyle w:val="Hyperlink"/>
            <w:noProof/>
          </w:rPr>
          <w:t>Figure 15 : GHG emissions for road transportation (CRT 1A3b),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_Toc184808402 \h </w:instrText>
        </w:r>
        <w:r>
          <w:rPr>
            <w:noProof/>
            <w:webHidden/>
          </w:rPr>
        </w:r>
        <w:r>
          <w:rPr>
            <w:noProof/>
            <w:webHidden/>
          </w:rPr>
          <w:fldChar w:fldCharType="separate"/>
        </w:r>
        <w:r>
          <w:rPr>
            <w:noProof/>
            <w:webHidden/>
          </w:rPr>
          <w:t>79</w:t>
        </w:r>
        <w:r>
          <w:rPr>
            <w:noProof/>
            <w:webHidden/>
          </w:rPr>
          <w:fldChar w:fldCharType="end"/>
        </w:r>
      </w:hyperlink>
    </w:p>
    <w:p w14:paraId="39CA3B73" w14:textId="7E7A172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03" w:history="1">
        <w:r w:rsidRPr="008A65FC">
          <w:rPr>
            <w:rStyle w:val="Hyperlink"/>
            <w:noProof/>
          </w:rPr>
          <w:t>Figure 16 : GHG emissions for railways (CRT 1A3c), for the period 1990-2022 (in kt CO2e)</w:t>
        </w:r>
        <w:r>
          <w:rPr>
            <w:noProof/>
            <w:webHidden/>
          </w:rPr>
          <w:tab/>
        </w:r>
        <w:r>
          <w:rPr>
            <w:noProof/>
            <w:webHidden/>
          </w:rPr>
          <w:fldChar w:fldCharType="begin"/>
        </w:r>
        <w:r>
          <w:rPr>
            <w:noProof/>
            <w:webHidden/>
          </w:rPr>
          <w:instrText xml:space="preserve"> PAGEREF _Toc184808403 \h </w:instrText>
        </w:r>
        <w:r>
          <w:rPr>
            <w:noProof/>
            <w:webHidden/>
          </w:rPr>
        </w:r>
        <w:r>
          <w:rPr>
            <w:noProof/>
            <w:webHidden/>
          </w:rPr>
          <w:fldChar w:fldCharType="separate"/>
        </w:r>
        <w:r>
          <w:rPr>
            <w:noProof/>
            <w:webHidden/>
          </w:rPr>
          <w:t>80</w:t>
        </w:r>
        <w:r>
          <w:rPr>
            <w:noProof/>
            <w:webHidden/>
          </w:rPr>
          <w:fldChar w:fldCharType="end"/>
        </w:r>
      </w:hyperlink>
    </w:p>
    <w:p w14:paraId="1E578EF5" w14:textId="74944818"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04" w:history="1">
        <w:r w:rsidRPr="008A65FC">
          <w:rPr>
            <w:rStyle w:val="Hyperlink"/>
            <w:noProof/>
          </w:rPr>
          <w:t>Figure 17 : GHG emissions for domestic navigation (CRT 1A3d),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_Toc184808404 \h </w:instrText>
        </w:r>
        <w:r>
          <w:rPr>
            <w:noProof/>
            <w:webHidden/>
          </w:rPr>
        </w:r>
        <w:r>
          <w:rPr>
            <w:noProof/>
            <w:webHidden/>
          </w:rPr>
          <w:fldChar w:fldCharType="separate"/>
        </w:r>
        <w:r>
          <w:rPr>
            <w:noProof/>
            <w:webHidden/>
          </w:rPr>
          <w:t>81</w:t>
        </w:r>
        <w:r>
          <w:rPr>
            <w:noProof/>
            <w:webHidden/>
          </w:rPr>
          <w:fldChar w:fldCharType="end"/>
        </w:r>
      </w:hyperlink>
    </w:p>
    <w:p w14:paraId="2014213A" w14:textId="459426DA"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05" w:history="1">
        <w:r w:rsidRPr="008A65FC">
          <w:rPr>
            <w:rStyle w:val="Hyperlink"/>
            <w:noProof/>
          </w:rPr>
          <w:t>Figure 18: Fuel consumptions in the Other sectors (CRT 1A4), per fuel type, for the period 1990-2022 (in TJ)</w:t>
        </w:r>
        <w:r>
          <w:rPr>
            <w:noProof/>
            <w:webHidden/>
          </w:rPr>
          <w:tab/>
        </w:r>
        <w:r>
          <w:rPr>
            <w:noProof/>
            <w:webHidden/>
          </w:rPr>
          <w:fldChar w:fldCharType="begin"/>
        </w:r>
        <w:r>
          <w:rPr>
            <w:noProof/>
            <w:webHidden/>
          </w:rPr>
          <w:instrText xml:space="preserve"> PAGEREF _Toc184808405 \h </w:instrText>
        </w:r>
        <w:r>
          <w:rPr>
            <w:noProof/>
            <w:webHidden/>
          </w:rPr>
        </w:r>
        <w:r>
          <w:rPr>
            <w:noProof/>
            <w:webHidden/>
          </w:rPr>
          <w:fldChar w:fldCharType="separate"/>
        </w:r>
        <w:r>
          <w:rPr>
            <w:noProof/>
            <w:webHidden/>
          </w:rPr>
          <w:t>83</w:t>
        </w:r>
        <w:r>
          <w:rPr>
            <w:noProof/>
            <w:webHidden/>
          </w:rPr>
          <w:fldChar w:fldCharType="end"/>
        </w:r>
      </w:hyperlink>
    </w:p>
    <w:p w14:paraId="3F4B67D7" w14:textId="411F367F"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06" w:history="1">
        <w:r w:rsidRPr="008A65FC">
          <w:rPr>
            <w:rStyle w:val="Hyperlink"/>
            <w:noProof/>
          </w:rPr>
          <w:t>Figure 19: Fuel consumptions in the Other sectors (CRT 1A4), per subsector, for the period 1990-2022 (in TJ)</w:t>
        </w:r>
        <w:r>
          <w:rPr>
            <w:noProof/>
            <w:webHidden/>
          </w:rPr>
          <w:tab/>
        </w:r>
        <w:r>
          <w:rPr>
            <w:noProof/>
            <w:webHidden/>
          </w:rPr>
          <w:fldChar w:fldCharType="begin"/>
        </w:r>
        <w:r>
          <w:rPr>
            <w:noProof/>
            <w:webHidden/>
          </w:rPr>
          <w:instrText xml:space="preserve"> PAGEREF _Toc184808406 \h </w:instrText>
        </w:r>
        <w:r>
          <w:rPr>
            <w:noProof/>
            <w:webHidden/>
          </w:rPr>
        </w:r>
        <w:r>
          <w:rPr>
            <w:noProof/>
            <w:webHidden/>
          </w:rPr>
          <w:fldChar w:fldCharType="separate"/>
        </w:r>
        <w:r>
          <w:rPr>
            <w:noProof/>
            <w:webHidden/>
          </w:rPr>
          <w:t>83</w:t>
        </w:r>
        <w:r>
          <w:rPr>
            <w:noProof/>
            <w:webHidden/>
          </w:rPr>
          <w:fldChar w:fldCharType="end"/>
        </w:r>
      </w:hyperlink>
    </w:p>
    <w:p w14:paraId="4ADB7EAB" w14:textId="0DEC09D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07" w:history="1">
        <w:r w:rsidRPr="008A65FC">
          <w:rPr>
            <w:rStyle w:val="Hyperlink"/>
            <w:noProof/>
          </w:rPr>
          <w:t>Figure 20: GHG emissions for Other sectors (CRT 1A4),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_Toc184808407 \h </w:instrText>
        </w:r>
        <w:r>
          <w:rPr>
            <w:noProof/>
            <w:webHidden/>
          </w:rPr>
        </w:r>
        <w:r>
          <w:rPr>
            <w:noProof/>
            <w:webHidden/>
          </w:rPr>
          <w:fldChar w:fldCharType="separate"/>
        </w:r>
        <w:r>
          <w:rPr>
            <w:noProof/>
            <w:webHidden/>
          </w:rPr>
          <w:t>84</w:t>
        </w:r>
        <w:r>
          <w:rPr>
            <w:noProof/>
            <w:webHidden/>
          </w:rPr>
          <w:fldChar w:fldCharType="end"/>
        </w:r>
      </w:hyperlink>
    </w:p>
    <w:p w14:paraId="61973E9C" w14:textId="3A07E45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08" w:history="1">
        <w:r w:rsidRPr="008A65FC">
          <w:rPr>
            <w:rStyle w:val="Hyperlink"/>
            <w:noProof/>
          </w:rPr>
          <w:t>Figure 21: GHG emissions for commercial and institutional (CRT 1A4a),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_Toc184808408 \h </w:instrText>
        </w:r>
        <w:r>
          <w:rPr>
            <w:noProof/>
            <w:webHidden/>
          </w:rPr>
        </w:r>
        <w:r>
          <w:rPr>
            <w:noProof/>
            <w:webHidden/>
          </w:rPr>
          <w:fldChar w:fldCharType="separate"/>
        </w:r>
        <w:r>
          <w:rPr>
            <w:noProof/>
            <w:webHidden/>
          </w:rPr>
          <w:t>85</w:t>
        </w:r>
        <w:r>
          <w:rPr>
            <w:noProof/>
            <w:webHidden/>
          </w:rPr>
          <w:fldChar w:fldCharType="end"/>
        </w:r>
      </w:hyperlink>
    </w:p>
    <w:p w14:paraId="0249D45F" w14:textId="1B8E694A"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09" w:history="1">
        <w:r w:rsidRPr="008A65FC">
          <w:rPr>
            <w:rStyle w:val="Hyperlink"/>
            <w:noProof/>
          </w:rPr>
          <w:t>Figure 22 : GHG emissions for residential (CRT 1A4b) activities,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_Toc184808409 \h </w:instrText>
        </w:r>
        <w:r>
          <w:rPr>
            <w:noProof/>
            <w:webHidden/>
          </w:rPr>
        </w:r>
        <w:r>
          <w:rPr>
            <w:noProof/>
            <w:webHidden/>
          </w:rPr>
          <w:fldChar w:fldCharType="separate"/>
        </w:r>
        <w:r>
          <w:rPr>
            <w:noProof/>
            <w:webHidden/>
          </w:rPr>
          <w:t>86</w:t>
        </w:r>
        <w:r>
          <w:rPr>
            <w:noProof/>
            <w:webHidden/>
          </w:rPr>
          <w:fldChar w:fldCharType="end"/>
        </w:r>
      </w:hyperlink>
    </w:p>
    <w:p w14:paraId="6564F0FD" w14:textId="434A649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10" w:history="1">
        <w:r w:rsidRPr="008A65FC">
          <w:rPr>
            <w:rStyle w:val="Hyperlink"/>
            <w:noProof/>
          </w:rPr>
          <w:t>Figure 23 : GHG emissions for agriculture/forestry/fishing activities - stationary combustion (CRT 1A4ci),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_Toc184808410 \h </w:instrText>
        </w:r>
        <w:r>
          <w:rPr>
            <w:noProof/>
            <w:webHidden/>
          </w:rPr>
        </w:r>
        <w:r>
          <w:rPr>
            <w:noProof/>
            <w:webHidden/>
          </w:rPr>
          <w:fldChar w:fldCharType="separate"/>
        </w:r>
        <w:r>
          <w:rPr>
            <w:noProof/>
            <w:webHidden/>
          </w:rPr>
          <w:t>87</w:t>
        </w:r>
        <w:r>
          <w:rPr>
            <w:noProof/>
            <w:webHidden/>
          </w:rPr>
          <w:fldChar w:fldCharType="end"/>
        </w:r>
      </w:hyperlink>
    </w:p>
    <w:p w14:paraId="6C7E07C1" w14:textId="5F7EDA0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11" w:history="1">
        <w:r w:rsidRPr="008A65FC">
          <w:rPr>
            <w:rStyle w:val="Hyperlink"/>
            <w:noProof/>
          </w:rPr>
          <w:t>Figure 24 : GHG emissions for agriculture/forestry/fishing activities – mobile combustion (CRT 1A4cii),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_Toc184808411 \h </w:instrText>
        </w:r>
        <w:r>
          <w:rPr>
            <w:noProof/>
            <w:webHidden/>
          </w:rPr>
        </w:r>
        <w:r>
          <w:rPr>
            <w:noProof/>
            <w:webHidden/>
          </w:rPr>
          <w:fldChar w:fldCharType="separate"/>
        </w:r>
        <w:r>
          <w:rPr>
            <w:noProof/>
            <w:webHidden/>
          </w:rPr>
          <w:t>88</w:t>
        </w:r>
        <w:r>
          <w:rPr>
            <w:noProof/>
            <w:webHidden/>
          </w:rPr>
          <w:fldChar w:fldCharType="end"/>
        </w:r>
      </w:hyperlink>
    </w:p>
    <w:p w14:paraId="39FC72E5" w14:textId="162E05B3"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12" w:history="1">
        <w:r w:rsidRPr="008A65FC">
          <w:rPr>
            <w:rStyle w:val="Hyperlink"/>
            <w:noProof/>
          </w:rPr>
          <w:t>Figure 25: Evolution of the solid fuel production in Serbia, distinguished with underground and surface mining, for the period 1990-2022 (in kt)</w:t>
        </w:r>
        <w:r>
          <w:rPr>
            <w:noProof/>
            <w:webHidden/>
          </w:rPr>
          <w:tab/>
        </w:r>
        <w:r>
          <w:rPr>
            <w:noProof/>
            <w:webHidden/>
          </w:rPr>
          <w:fldChar w:fldCharType="begin"/>
        </w:r>
        <w:r>
          <w:rPr>
            <w:noProof/>
            <w:webHidden/>
          </w:rPr>
          <w:instrText xml:space="preserve"> PAGEREF _Toc184808412 \h </w:instrText>
        </w:r>
        <w:r>
          <w:rPr>
            <w:noProof/>
            <w:webHidden/>
          </w:rPr>
        </w:r>
        <w:r>
          <w:rPr>
            <w:noProof/>
            <w:webHidden/>
          </w:rPr>
          <w:fldChar w:fldCharType="separate"/>
        </w:r>
        <w:r>
          <w:rPr>
            <w:noProof/>
            <w:webHidden/>
          </w:rPr>
          <w:t>90</w:t>
        </w:r>
        <w:r>
          <w:rPr>
            <w:noProof/>
            <w:webHidden/>
          </w:rPr>
          <w:fldChar w:fldCharType="end"/>
        </w:r>
      </w:hyperlink>
    </w:p>
    <w:p w14:paraId="24D097BB" w14:textId="56DCE240"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13" w:history="1">
        <w:r w:rsidRPr="008A65FC">
          <w:rPr>
            <w:rStyle w:val="Hyperlink"/>
            <w:noProof/>
          </w:rPr>
          <w:t>Figure 26: Evolution of the amounts of crude oil produced and transported, for the period 1990-2022 (in 000 m</w:t>
        </w:r>
        <w:r w:rsidRPr="008A65FC">
          <w:rPr>
            <w:rStyle w:val="Hyperlink"/>
            <w:noProof/>
            <w:vertAlign w:val="superscript"/>
          </w:rPr>
          <w:t>3</w:t>
        </w:r>
        <w:r w:rsidRPr="008A65FC">
          <w:rPr>
            <w:rStyle w:val="Hyperlink"/>
            <w:noProof/>
          </w:rPr>
          <w:t>)</w:t>
        </w:r>
        <w:r>
          <w:rPr>
            <w:noProof/>
            <w:webHidden/>
          </w:rPr>
          <w:tab/>
        </w:r>
        <w:r>
          <w:rPr>
            <w:noProof/>
            <w:webHidden/>
          </w:rPr>
          <w:fldChar w:fldCharType="begin"/>
        </w:r>
        <w:r>
          <w:rPr>
            <w:noProof/>
            <w:webHidden/>
          </w:rPr>
          <w:instrText xml:space="preserve"> PAGEREF _Toc184808413 \h </w:instrText>
        </w:r>
        <w:r>
          <w:rPr>
            <w:noProof/>
            <w:webHidden/>
          </w:rPr>
        </w:r>
        <w:r>
          <w:rPr>
            <w:noProof/>
            <w:webHidden/>
          </w:rPr>
          <w:fldChar w:fldCharType="separate"/>
        </w:r>
        <w:r>
          <w:rPr>
            <w:noProof/>
            <w:webHidden/>
          </w:rPr>
          <w:t>91</w:t>
        </w:r>
        <w:r>
          <w:rPr>
            <w:noProof/>
            <w:webHidden/>
          </w:rPr>
          <w:fldChar w:fldCharType="end"/>
        </w:r>
      </w:hyperlink>
    </w:p>
    <w:p w14:paraId="7159A0EB" w14:textId="5CADC66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14" w:history="1">
        <w:r w:rsidRPr="008A65FC">
          <w:rPr>
            <w:rStyle w:val="Hyperlink"/>
            <w:noProof/>
          </w:rPr>
          <w:t>Figure 27: Evolution of the amounts of gas produced, transported and distributed, for the period 1990-2022 (in Mio m</w:t>
        </w:r>
        <w:r w:rsidRPr="008A65FC">
          <w:rPr>
            <w:rStyle w:val="Hyperlink"/>
            <w:noProof/>
            <w:vertAlign w:val="superscript"/>
          </w:rPr>
          <w:t>3</w:t>
        </w:r>
        <w:r w:rsidRPr="008A65FC">
          <w:rPr>
            <w:rStyle w:val="Hyperlink"/>
            <w:noProof/>
          </w:rPr>
          <w:t>)</w:t>
        </w:r>
        <w:r>
          <w:rPr>
            <w:noProof/>
            <w:webHidden/>
          </w:rPr>
          <w:tab/>
        </w:r>
        <w:r>
          <w:rPr>
            <w:noProof/>
            <w:webHidden/>
          </w:rPr>
          <w:fldChar w:fldCharType="begin"/>
        </w:r>
        <w:r>
          <w:rPr>
            <w:noProof/>
            <w:webHidden/>
          </w:rPr>
          <w:instrText xml:space="preserve"> PAGEREF _Toc184808414 \h </w:instrText>
        </w:r>
        <w:r>
          <w:rPr>
            <w:noProof/>
            <w:webHidden/>
          </w:rPr>
        </w:r>
        <w:r>
          <w:rPr>
            <w:noProof/>
            <w:webHidden/>
          </w:rPr>
          <w:fldChar w:fldCharType="separate"/>
        </w:r>
        <w:r>
          <w:rPr>
            <w:noProof/>
            <w:webHidden/>
          </w:rPr>
          <w:t>91</w:t>
        </w:r>
        <w:r>
          <w:rPr>
            <w:noProof/>
            <w:webHidden/>
          </w:rPr>
          <w:fldChar w:fldCharType="end"/>
        </w:r>
      </w:hyperlink>
    </w:p>
    <w:p w14:paraId="167F5C39" w14:textId="1FD11AD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15" w:history="1">
        <w:r w:rsidRPr="008A65FC">
          <w:rPr>
            <w:rStyle w:val="Hyperlink"/>
            <w:noProof/>
          </w:rPr>
          <w:t>Figure 28 : GHG emissions from mining in underground mines – COAL (CRT 1B1ai1)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_Toc184808415 \h </w:instrText>
        </w:r>
        <w:r>
          <w:rPr>
            <w:noProof/>
            <w:webHidden/>
          </w:rPr>
        </w:r>
        <w:r>
          <w:rPr>
            <w:noProof/>
            <w:webHidden/>
          </w:rPr>
          <w:fldChar w:fldCharType="separate"/>
        </w:r>
        <w:r>
          <w:rPr>
            <w:noProof/>
            <w:webHidden/>
          </w:rPr>
          <w:t>92</w:t>
        </w:r>
        <w:r>
          <w:rPr>
            <w:noProof/>
            <w:webHidden/>
          </w:rPr>
          <w:fldChar w:fldCharType="end"/>
        </w:r>
      </w:hyperlink>
    </w:p>
    <w:p w14:paraId="2F01AC22" w14:textId="186B60A0"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16" w:history="1">
        <w:r w:rsidRPr="008A65FC">
          <w:rPr>
            <w:rStyle w:val="Hyperlink"/>
            <w:noProof/>
          </w:rPr>
          <w:t>Figure 29 : GHG emissions from post-mining in underground mines - COAL (CRT 1B1ai2)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_Toc184808416 \h </w:instrText>
        </w:r>
        <w:r>
          <w:rPr>
            <w:noProof/>
            <w:webHidden/>
          </w:rPr>
        </w:r>
        <w:r>
          <w:rPr>
            <w:noProof/>
            <w:webHidden/>
          </w:rPr>
          <w:fldChar w:fldCharType="separate"/>
        </w:r>
        <w:r>
          <w:rPr>
            <w:noProof/>
            <w:webHidden/>
          </w:rPr>
          <w:t>93</w:t>
        </w:r>
        <w:r>
          <w:rPr>
            <w:noProof/>
            <w:webHidden/>
          </w:rPr>
          <w:fldChar w:fldCharType="end"/>
        </w:r>
      </w:hyperlink>
    </w:p>
    <w:p w14:paraId="6E355B62" w14:textId="08E2FBD2"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17" w:history="1">
        <w:r w:rsidRPr="008A65FC">
          <w:rPr>
            <w:rStyle w:val="Hyperlink"/>
            <w:noProof/>
          </w:rPr>
          <w:t>Figure 30 : GHG emissions from abandoned underground mines - COAL (CRT 1B1ai3)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_Toc184808417 \h </w:instrText>
        </w:r>
        <w:r>
          <w:rPr>
            <w:noProof/>
            <w:webHidden/>
          </w:rPr>
        </w:r>
        <w:r>
          <w:rPr>
            <w:noProof/>
            <w:webHidden/>
          </w:rPr>
          <w:fldChar w:fldCharType="separate"/>
        </w:r>
        <w:r>
          <w:rPr>
            <w:noProof/>
            <w:webHidden/>
          </w:rPr>
          <w:t>93</w:t>
        </w:r>
        <w:r>
          <w:rPr>
            <w:noProof/>
            <w:webHidden/>
          </w:rPr>
          <w:fldChar w:fldCharType="end"/>
        </w:r>
      </w:hyperlink>
    </w:p>
    <w:p w14:paraId="0FFF9FF0" w14:textId="087FAE9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18" w:history="1">
        <w:r w:rsidRPr="008A65FC">
          <w:rPr>
            <w:rStyle w:val="Hyperlink"/>
            <w:noProof/>
          </w:rPr>
          <w:t>Figure 31 : GHG emissions from mining in surface mines - COAL (CRT 1B1aii1)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_Toc184808418 \h </w:instrText>
        </w:r>
        <w:r>
          <w:rPr>
            <w:noProof/>
            <w:webHidden/>
          </w:rPr>
        </w:r>
        <w:r>
          <w:rPr>
            <w:noProof/>
            <w:webHidden/>
          </w:rPr>
          <w:fldChar w:fldCharType="separate"/>
        </w:r>
        <w:r>
          <w:rPr>
            <w:noProof/>
            <w:webHidden/>
          </w:rPr>
          <w:t>93</w:t>
        </w:r>
        <w:r>
          <w:rPr>
            <w:noProof/>
            <w:webHidden/>
          </w:rPr>
          <w:fldChar w:fldCharType="end"/>
        </w:r>
      </w:hyperlink>
    </w:p>
    <w:p w14:paraId="5CA76BDD" w14:textId="37F70EA3"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19" w:history="1">
        <w:r w:rsidRPr="008A65FC">
          <w:rPr>
            <w:rStyle w:val="Hyperlink"/>
            <w:noProof/>
          </w:rPr>
          <w:t>Figure 32 : GHG emissions from post-mining in surface mines - COAL (CRT 1B1aii2)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_Toc184808419 \h </w:instrText>
        </w:r>
        <w:r>
          <w:rPr>
            <w:noProof/>
            <w:webHidden/>
          </w:rPr>
        </w:r>
        <w:r>
          <w:rPr>
            <w:noProof/>
            <w:webHidden/>
          </w:rPr>
          <w:fldChar w:fldCharType="separate"/>
        </w:r>
        <w:r>
          <w:rPr>
            <w:noProof/>
            <w:webHidden/>
          </w:rPr>
          <w:t>94</w:t>
        </w:r>
        <w:r>
          <w:rPr>
            <w:noProof/>
            <w:webHidden/>
          </w:rPr>
          <w:fldChar w:fldCharType="end"/>
        </w:r>
      </w:hyperlink>
    </w:p>
    <w:p w14:paraId="1DE1E789" w14:textId="0274CDA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20" w:history="1">
        <w:r w:rsidRPr="008A65FC">
          <w:rPr>
            <w:rStyle w:val="Hyperlink"/>
            <w:noProof/>
          </w:rPr>
          <w:t>Figure 33 : GHG emissions from production and upgrading of OIL (CRT 1B2aii)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_Toc184808420 \h </w:instrText>
        </w:r>
        <w:r>
          <w:rPr>
            <w:noProof/>
            <w:webHidden/>
          </w:rPr>
        </w:r>
        <w:r>
          <w:rPr>
            <w:noProof/>
            <w:webHidden/>
          </w:rPr>
          <w:fldChar w:fldCharType="separate"/>
        </w:r>
        <w:r>
          <w:rPr>
            <w:noProof/>
            <w:webHidden/>
          </w:rPr>
          <w:t>94</w:t>
        </w:r>
        <w:r>
          <w:rPr>
            <w:noProof/>
            <w:webHidden/>
          </w:rPr>
          <w:fldChar w:fldCharType="end"/>
        </w:r>
      </w:hyperlink>
    </w:p>
    <w:p w14:paraId="7E7C3BF9" w14:textId="0C5C8610"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21" w:history="1">
        <w:r w:rsidRPr="008A65FC">
          <w:rPr>
            <w:rStyle w:val="Hyperlink"/>
            <w:noProof/>
          </w:rPr>
          <w:t>Figure 34 : GHG emissions from transport of OIL (CRT 1B2aiii)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_Toc184808421 \h </w:instrText>
        </w:r>
        <w:r>
          <w:rPr>
            <w:noProof/>
            <w:webHidden/>
          </w:rPr>
        </w:r>
        <w:r>
          <w:rPr>
            <w:noProof/>
            <w:webHidden/>
          </w:rPr>
          <w:fldChar w:fldCharType="separate"/>
        </w:r>
        <w:r>
          <w:rPr>
            <w:noProof/>
            <w:webHidden/>
          </w:rPr>
          <w:t>94</w:t>
        </w:r>
        <w:r>
          <w:rPr>
            <w:noProof/>
            <w:webHidden/>
          </w:rPr>
          <w:fldChar w:fldCharType="end"/>
        </w:r>
      </w:hyperlink>
    </w:p>
    <w:p w14:paraId="7F15AB0D" w14:textId="0E59E34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22" w:history="1">
        <w:r w:rsidRPr="008A65FC">
          <w:rPr>
            <w:rStyle w:val="Hyperlink"/>
            <w:noProof/>
          </w:rPr>
          <w:t>Figure 35 : GHG emissions from production of NATURAL GAS (CRT 1B2bii)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_Toc184808422 \h </w:instrText>
        </w:r>
        <w:r>
          <w:rPr>
            <w:noProof/>
            <w:webHidden/>
          </w:rPr>
        </w:r>
        <w:r>
          <w:rPr>
            <w:noProof/>
            <w:webHidden/>
          </w:rPr>
          <w:fldChar w:fldCharType="separate"/>
        </w:r>
        <w:r>
          <w:rPr>
            <w:noProof/>
            <w:webHidden/>
          </w:rPr>
          <w:t>95</w:t>
        </w:r>
        <w:r>
          <w:rPr>
            <w:noProof/>
            <w:webHidden/>
          </w:rPr>
          <w:fldChar w:fldCharType="end"/>
        </w:r>
      </w:hyperlink>
    </w:p>
    <w:p w14:paraId="7D500BA1" w14:textId="735D3D38"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23" w:history="1">
        <w:r w:rsidRPr="008A65FC">
          <w:rPr>
            <w:rStyle w:val="Hyperlink"/>
            <w:noProof/>
          </w:rPr>
          <w:t>Figure 36 : GHG emissions from processing of NATURAL GAS (CRT 1B2biii)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_Toc184808423 \h </w:instrText>
        </w:r>
        <w:r>
          <w:rPr>
            <w:noProof/>
            <w:webHidden/>
          </w:rPr>
        </w:r>
        <w:r>
          <w:rPr>
            <w:noProof/>
            <w:webHidden/>
          </w:rPr>
          <w:fldChar w:fldCharType="separate"/>
        </w:r>
        <w:r>
          <w:rPr>
            <w:noProof/>
            <w:webHidden/>
          </w:rPr>
          <w:t>95</w:t>
        </w:r>
        <w:r>
          <w:rPr>
            <w:noProof/>
            <w:webHidden/>
          </w:rPr>
          <w:fldChar w:fldCharType="end"/>
        </w:r>
      </w:hyperlink>
    </w:p>
    <w:p w14:paraId="02DB0DB6" w14:textId="695586E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24" w:history="1">
        <w:r w:rsidRPr="008A65FC">
          <w:rPr>
            <w:rStyle w:val="Hyperlink"/>
            <w:noProof/>
          </w:rPr>
          <w:t>Figure 37 : GHG emissions from transmission and storage of NATURAL GAS (CRT 1B2biv)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_Toc184808424 \h </w:instrText>
        </w:r>
        <w:r>
          <w:rPr>
            <w:noProof/>
            <w:webHidden/>
          </w:rPr>
        </w:r>
        <w:r>
          <w:rPr>
            <w:noProof/>
            <w:webHidden/>
          </w:rPr>
          <w:fldChar w:fldCharType="separate"/>
        </w:r>
        <w:r>
          <w:rPr>
            <w:noProof/>
            <w:webHidden/>
          </w:rPr>
          <w:t>95</w:t>
        </w:r>
        <w:r>
          <w:rPr>
            <w:noProof/>
            <w:webHidden/>
          </w:rPr>
          <w:fldChar w:fldCharType="end"/>
        </w:r>
      </w:hyperlink>
    </w:p>
    <w:p w14:paraId="28A9BA16" w14:textId="7182AFEF"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25" w:history="1">
        <w:r w:rsidRPr="008A65FC">
          <w:rPr>
            <w:rStyle w:val="Hyperlink"/>
            <w:noProof/>
          </w:rPr>
          <w:t>Figure 38 : GHG emissions from distribution of NATURAL GAS (CRT 1B2bv)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_Toc184808425 \h </w:instrText>
        </w:r>
        <w:r>
          <w:rPr>
            <w:noProof/>
            <w:webHidden/>
          </w:rPr>
        </w:r>
        <w:r>
          <w:rPr>
            <w:noProof/>
            <w:webHidden/>
          </w:rPr>
          <w:fldChar w:fldCharType="separate"/>
        </w:r>
        <w:r>
          <w:rPr>
            <w:noProof/>
            <w:webHidden/>
          </w:rPr>
          <w:t>96</w:t>
        </w:r>
        <w:r>
          <w:rPr>
            <w:noProof/>
            <w:webHidden/>
          </w:rPr>
          <w:fldChar w:fldCharType="end"/>
        </w:r>
      </w:hyperlink>
    </w:p>
    <w:p w14:paraId="1254B5F7" w14:textId="681D06F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26" w:history="1">
        <w:r w:rsidRPr="008A65FC">
          <w:rPr>
            <w:rStyle w:val="Hyperlink"/>
            <w:noProof/>
          </w:rPr>
          <w:t>Figure 39 : GHG emissions from venting in OIL systems (CRT 1B2ci1)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_Toc184808426 \h </w:instrText>
        </w:r>
        <w:r>
          <w:rPr>
            <w:noProof/>
            <w:webHidden/>
          </w:rPr>
        </w:r>
        <w:r>
          <w:rPr>
            <w:noProof/>
            <w:webHidden/>
          </w:rPr>
          <w:fldChar w:fldCharType="separate"/>
        </w:r>
        <w:r>
          <w:rPr>
            <w:noProof/>
            <w:webHidden/>
          </w:rPr>
          <w:t>96</w:t>
        </w:r>
        <w:r>
          <w:rPr>
            <w:noProof/>
            <w:webHidden/>
          </w:rPr>
          <w:fldChar w:fldCharType="end"/>
        </w:r>
      </w:hyperlink>
    </w:p>
    <w:p w14:paraId="56D57249" w14:textId="77197CC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27" w:history="1">
        <w:r w:rsidRPr="008A65FC">
          <w:rPr>
            <w:rStyle w:val="Hyperlink"/>
            <w:noProof/>
          </w:rPr>
          <w:t>Figure 40</w:t>
        </w:r>
        <w:r w:rsidRPr="008A65FC">
          <w:rPr>
            <w:rStyle w:val="Hyperlink"/>
            <w:i/>
            <w:iCs/>
            <w:noProof/>
          </w:rPr>
          <w:t xml:space="preserve"> : GHG emissions from venting in NATURAL GAS systems</w:t>
        </w:r>
        <w:r w:rsidRPr="008A65FC">
          <w:rPr>
            <w:rStyle w:val="Hyperlink"/>
            <w:noProof/>
          </w:rPr>
          <w:t xml:space="preserve"> (CRT 1B2ci2)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_Toc184808427 \h </w:instrText>
        </w:r>
        <w:r>
          <w:rPr>
            <w:noProof/>
            <w:webHidden/>
          </w:rPr>
        </w:r>
        <w:r>
          <w:rPr>
            <w:noProof/>
            <w:webHidden/>
          </w:rPr>
          <w:fldChar w:fldCharType="separate"/>
        </w:r>
        <w:r>
          <w:rPr>
            <w:noProof/>
            <w:webHidden/>
          </w:rPr>
          <w:t>96</w:t>
        </w:r>
        <w:r>
          <w:rPr>
            <w:noProof/>
            <w:webHidden/>
          </w:rPr>
          <w:fldChar w:fldCharType="end"/>
        </w:r>
      </w:hyperlink>
    </w:p>
    <w:p w14:paraId="558E4524" w14:textId="4FC985BA"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28" w:history="1">
        <w:r w:rsidRPr="008A65FC">
          <w:rPr>
            <w:rStyle w:val="Hyperlink"/>
            <w:noProof/>
          </w:rPr>
          <w:t>Figure 41 : GHG emissions from flaring in OIL systems (CRT 1B2cii1)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_Toc184808428 \h </w:instrText>
        </w:r>
        <w:r>
          <w:rPr>
            <w:noProof/>
            <w:webHidden/>
          </w:rPr>
        </w:r>
        <w:r>
          <w:rPr>
            <w:noProof/>
            <w:webHidden/>
          </w:rPr>
          <w:fldChar w:fldCharType="separate"/>
        </w:r>
        <w:r>
          <w:rPr>
            <w:noProof/>
            <w:webHidden/>
          </w:rPr>
          <w:t>97</w:t>
        </w:r>
        <w:r>
          <w:rPr>
            <w:noProof/>
            <w:webHidden/>
          </w:rPr>
          <w:fldChar w:fldCharType="end"/>
        </w:r>
      </w:hyperlink>
    </w:p>
    <w:p w14:paraId="4DFF6220" w14:textId="6E706F1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29" w:history="1">
        <w:r w:rsidRPr="008A65FC">
          <w:rPr>
            <w:rStyle w:val="Hyperlink"/>
            <w:noProof/>
          </w:rPr>
          <w:t>Figure 42 : GHG emissions from flaring in NATURAL GAS systems (CRT 1B2cii2)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_Toc184808429 \h </w:instrText>
        </w:r>
        <w:r>
          <w:rPr>
            <w:noProof/>
            <w:webHidden/>
          </w:rPr>
        </w:r>
        <w:r>
          <w:rPr>
            <w:noProof/>
            <w:webHidden/>
          </w:rPr>
          <w:fldChar w:fldCharType="separate"/>
        </w:r>
        <w:r>
          <w:rPr>
            <w:noProof/>
            <w:webHidden/>
          </w:rPr>
          <w:t>97</w:t>
        </w:r>
        <w:r>
          <w:rPr>
            <w:noProof/>
            <w:webHidden/>
          </w:rPr>
          <w:fldChar w:fldCharType="end"/>
        </w:r>
      </w:hyperlink>
    </w:p>
    <w:p w14:paraId="59643C9E" w14:textId="682ECA3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30" w:history="1">
        <w:r w:rsidRPr="008A65FC">
          <w:rPr>
            <w:rStyle w:val="Hyperlink"/>
            <w:noProof/>
          </w:rPr>
          <w:t>Figure 43: GHG emissions trends for industrial processes and product use (CRT 2), for the period 1990-2022, per subcategory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_Toc184808430 \h </w:instrText>
        </w:r>
        <w:r>
          <w:rPr>
            <w:noProof/>
            <w:webHidden/>
          </w:rPr>
        </w:r>
        <w:r>
          <w:rPr>
            <w:noProof/>
            <w:webHidden/>
          </w:rPr>
          <w:fldChar w:fldCharType="separate"/>
        </w:r>
        <w:r>
          <w:rPr>
            <w:noProof/>
            <w:webHidden/>
          </w:rPr>
          <w:t>100</w:t>
        </w:r>
        <w:r>
          <w:rPr>
            <w:noProof/>
            <w:webHidden/>
          </w:rPr>
          <w:fldChar w:fldCharType="end"/>
        </w:r>
      </w:hyperlink>
    </w:p>
    <w:p w14:paraId="75764ED0" w14:textId="33E3F57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31" w:history="1">
        <w:r w:rsidRPr="008A65FC">
          <w:rPr>
            <w:rStyle w:val="Hyperlink"/>
            <w:noProof/>
          </w:rPr>
          <w:t>Figure 44: GHG emissions trends for the mineral industries (CRT 2A), for the period 1990-2022, per subcategory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_Toc184808431 \h </w:instrText>
        </w:r>
        <w:r>
          <w:rPr>
            <w:noProof/>
            <w:webHidden/>
          </w:rPr>
        </w:r>
        <w:r>
          <w:rPr>
            <w:noProof/>
            <w:webHidden/>
          </w:rPr>
          <w:fldChar w:fldCharType="separate"/>
        </w:r>
        <w:r>
          <w:rPr>
            <w:noProof/>
            <w:webHidden/>
          </w:rPr>
          <w:t>102</w:t>
        </w:r>
        <w:r>
          <w:rPr>
            <w:noProof/>
            <w:webHidden/>
          </w:rPr>
          <w:fldChar w:fldCharType="end"/>
        </w:r>
      </w:hyperlink>
    </w:p>
    <w:p w14:paraId="56BA8476" w14:textId="52783E6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32" w:history="1">
        <w:r w:rsidRPr="008A65FC">
          <w:rPr>
            <w:rStyle w:val="Hyperlink"/>
            <w:noProof/>
          </w:rPr>
          <w:t>Figure 45: GHG emission distribution for mineral industries (CRT 2A), for the years 1990 and 2022, per subcategory (in %)</w:t>
        </w:r>
        <w:r>
          <w:rPr>
            <w:noProof/>
            <w:webHidden/>
          </w:rPr>
          <w:tab/>
        </w:r>
        <w:r>
          <w:rPr>
            <w:noProof/>
            <w:webHidden/>
          </w:rPr>
          <w:fldChar w:fldCharType="begin"/>
        </w:r>
        <w:r>
          <w:rPr>
            <w:noProof/>
            <w:webHidden/>
          </w:rPr>
          <w:instrText xml:space="preserve"> PAGEREF _Toc184808432 \h </w:instrText>
        </w:r>
        <w:r>
          <w:rPr>
            <w:noProof/>
            <w:webHidden/>
          </w:rPr>
        </w:r>
        <w:r>
          <w:rPr>
            <w:noProof/>
            <w:webHidden/>
          </w:rPr>
          <w:fldChar w:fldCharType="separate"/>
        </w:r>
        <w:r>
          <w:rPr>
            <w:noProof/>
            <w:webHidden/>
          </w:rPr>
          <w:t>103</w:t>
        </w:r>
        <w:r>
          <w:rPr>
            <w:noProof/>
            <w:webHidden/>
          </w:rPr>
          <w:fldChar w:fldCharType="end"/>
        </w:r>
      </w:hyperlink>
    </w:p>
    <w:p w14:paraId="4C78894B" w14:textId="5E76B512"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33" w:history="1">
        <w:r w:rsidRPr="008A65FC">
          <w:rPr>
            <w:rStyle w:val="Hyperlink"/>
            <w:noProof/>
          </w:rPr>
          <w:t>Figure 46: GHG emissions for the cement production (kt GHG)</w:t>
        </w:r>
        <w:r>
          <w:rPr>
            <w:noProof/>
            <w:webHidden/>
          </w:rPr>
          <w:tab/>
        </w:r>
        <w:r>
          <w:rPr>
            <w:noProof/>
            <w:webHidden/>
          </w:rPr>
          <w:fldChar w:fldCharType="begin"/>
        </w:r>
        <w:r>
          <w:rPr>
            <w:noProof/>
            <w:webHidden/>
          </w:rPr>
          <w:instrText xml:space="preserve"> PAGEREF _Toc184808433 \h </w:instrText>
        </w:r>
        <w:r>
          <w:rPr>
            <w:noProof/>
            <w:webHidden/>
          </w:rPr>
        </w:r>
        <w:r>
          <w:rPr>
            <w:noProof/>
            <w:webHidden/>
          </w:rPr>
          <w:fldChar w:fldCharType="separate"/>
        </w:r>
        <w:r>
          <w:rPr>
            <w:noProof/>
            <w:webHidden/>
          </w:rPr>
          <w:t>103</w:t>
        </w:r>
        <w:r>
          <w:rPr>
            <w:noProof/>
            <w:webHidden/>
          </w:rPr>
          <w:fldChar w:fldCharType="end"/>
        </w:r>
      </w:hyperlink>
    </w:p>
    <w:p w14:paraId="4737E7B3" w14:textId="6D508F0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34" w:history="1">
        <w:r w:rsidRPr="008A65FC">
          <w:rPr>
            <w:rStyle w:val="Hyperlink"/>
            <w:noProof/>
          </w:rPr>
          <w:t>Figure 47: CO</w:t>
        </w:r>
        <w:r w:rsidRPr="008A65FC">
          <w:rPr>
            <w:rStyle w:val="Hyperlink"/>
            <w:noProof/>
            <w:vertAlign w:val="subscript"/>
          </w:rPr>
          <w:t>2</w:t>
        </w:r>
        <w:r w:rsidRPr="008A65FC">
          <w:rPr>
            <w:rStyle w:val="Hyperlink"/>
            <w:noProof/>
          </w:rPr>
          <w:t xml:space="preserve"> emissions for the lime production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_Toc184808434 \h </w:instrText>
        </w:r>
        <w:r>
          <w:rPr>
            <w:noProof/>
            <w:webHidden/>
          </w:rPr>
        </w:r>
        <w:r>
          <w:rPr>
            <w:noProof/>
            <w:webHidden/>
          </w:rPr>
          <w:fldChar w:fldCharType="separate"/>
        </w:r>
        <w:r>
          <w:rPr>
            <w:noProof/>
            <w:webHidden/>
          </w:rPr>
          <w:t>104</w:t>
        </w:r>
        <w:r>
          <w:rPr>
            <w:noProof/>
            <w:webHidden/>
          </w:rPr>
          <w:fldChar w:fldCharType="end"/>
        </w:r>
      </w:hyperlink>
    </w:p>
    <w:p w14:paraId="46C0959E" w14:textId="0AABFB9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35" w:history="1">
        <w:r w:rsidRPr="008A65FC">
          <w:rPr>
            <w:rStyle w:val="Hyperlink"/>
            <w:noProof/>
          </w:rPr>
          <w:t>Figure 48: CO</w:t>
        </w:r>
        <w:r w:rsidRPr="008A65FC">
          <w:rPr>
            <w:rStyle w:val="Hyperlink"/>
            <w:noProof/>
            <w:vertAlign w:val="subscript"/>
          </w:rPr>
          <w:t>2</w:t>
        </w:r>
        <w:r w:rsidRPr="008A65FC">
          <w:rPr>
            <w:rStyle w:val="Hyperlink"/>
            <w:noProof/>
          </w:rPr>
          <w:t xml:space="preserve"> emissions for Glass production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_Toc184808435 \h </w:instrText>
        </w:r>
        <w:r>
          <w:rPr>
            <w:noProof/>
            <w:webHidden/>
          </w:rPr>
        </w:r>
        <w:r>
          <w:rPr>
            <w:noProof/>
            <w:webHidden/>
          </w:rPr>
          <w:fldChar w:fldCharType="separate"/>
        </w:r>
        <w:r>
          <w:rPr>
            <w:noProof/>
            <w:webHidden/>
          </w:rPr>
          <w:t>105</w:t>
        </w:r>
        <w:r>
          <w:rPr>
            <w:noProof/>
            <w:webHidden/>
          </w:rPr>
          <w:fldChar w:fldCharType="end"/>
        </w:r>
      </w:hyperlink>
    </w:p>
    <w:p w14:paraId="6538B533" w14:textId="6359653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36" w:history="1">
        <w:r w:rsidRPr="008A65FC">
          <w:rPr>
            <w:rStyle w:val="Hyperlink"/>
            <w:noProof/>
          </w:rPr>
          <w:t>Figure 49: GHG emissions for the ceramics production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_Toc184808436 \h </w:instrText>
        </w:r>
        <w:r>
          <w:rPr>
            <w:noProof/>
            <w:webHidden/>
          </w:rPr>
        </w:r>
        <w:r>
          <w:rPr>
            <w:noProof/>
            <w:webHidden/>
          </w:rPr>
          <w:fldChar w:fldCharType="separate"/>
        </w:r>
        <w:r>
          <w:rPr>
            <w:noProof/>
            <w:webHidden/>
          </w:rPr>
          <w:t>106</w:t>
        </w:r>
        <w:r>
          <w:rPr>
            <w:noProof/>
            <w:webHidden/>
          </w:rPr>
          <w:fldChar w:fldCharType="end"/>
        </w:r>
      </w:hyperlink>
    </w:p>
    <w:p w14:paraId="4B8C4775" w14:textId="2E44512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37" w:history="1">
        <w:r w:rsidRPr="008A65FC">
          <w:rPr>
            <w:rStyle w:val="Hyperlink"/>
            <w:noProof/>
          </w:rPr>
          <w:t>Figure 50: GHG emissions for the other use of soda ash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_Toc184808437 \h </w:instrText>
        </w:r>
        <w:r>
          <w:rPr>
            <w:noProof/>
            <w:webHidden/>
          </w:rPr>
        </w:r>
        <w:r>
          <w:rPr>
            <w:noProof/>
            <w:webHidden/>
          </w:rPr>
          <w:fldChar w:fldCharType="separate"/>
        </w:r>
        <w:r>
          <w:rPr>
            <w:noProof/>
            <w:webHidden/>
          </w:rPr>
          <w:t>107</w:t>
        </w:r>
        <w:r>
          <w:rPr>
            <w:noProof/>
            <w:webHidden/>
          </w:rPr>
          <w:fldChar w:fldCharType="end"/>
        </w:r>
      </w:hyperlink>
    </w:p>
    <w:p w14:paraId="5F9E3CDA" w14:textId="20B43BA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38" w:history="1">
        <w:r w:rsidRPr="008A65FC">
          <w:rPr>
            <w:rStyle w:val="Hyperlink"/>
            <w:noProof/>
          </w:rPr>
          <w:t>Figure 51: GHG emissions trends for the chemical industries (CRT 2B), for the period 1990-2022, per subcategory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_Toc184808438 \h </w:instrText>
        </w:r>
        <w:r>
          <w:rPr>
            <w:noProof/>
            <w:webHidden/>
          </w:rPr>
        </w:r>
        <w:r>
          <w:rPr>
            <w:noProof/>
            <w:webHidden/>
          </w:rPr>
          <w:fldChar w:fldCharType="separate"/>
        </w:r>
        <w:r>
          <w:rPr>
            <w:noProof/>
            <w:webHidden/>
          </w:rPr>
          <w:t>108</w:t>
        </w:r>
        <w:r>
          <w:rPr>
            <w:noProof/>
            <w:webHidden/>
          </w:rPr>
          <w:fldChar w:fldCharType="end"/>
        </w:r>
      </w:hyperlink>
    </w:p>
    <w:p w14:paraId="54915FDF" w14:textId="0B6B9BFF"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39" w:history="1">
        <w:r w:rsidRPr="008A65FC">
          <w:rPr>
            <w:rStyle w:val="Hyperlink"/>
            <w:noProof/>
          </w:rPr>
          <w:t>Figure 52: GHG emission distribution for chemical industries (CRT 2B), for the years 1990 and 2022, per subcategory (in %)</w:t>
        </w:r>
        <w:r>
          <w:rPr>
            <w:noProof/>
            <w:webHidden/>
          </w:rPr>
          <w:tab/>
        </w:r>
        <w:r>
          <w:rPr>
            <w:noProof/>
            <w:webHidden/>
          </w:rPr>
          <w:fldChar w:fldCharType="begin"/>
        </w:r>
        <w:r>
          <w:rPr>
            <w:noProof/>
            <w:webHidden/>
          </w:rPr>
          <w:instrText xml:space="preserve"> PAGEREF _Toc184808439 \h </w:instrText>
        </w:r>
        <w:r>
          <w:rPr>
            <w:noProof/>
            <w:webHidden/>
          </w:rPr>
        </w:r>
        <w:r>
          <w:rPr>
            <w:noProof/>
            <w:webHidden/>
          </w:rPr>
          <w:fldChar w:fldCharType="separate"/>
        </w:r>
        <w:r>
          <w:rPr>
            <w:noProof/>
            <w:webHidden/>
          </w:rPr>
          <w:t>109</w:t>
        </w:r>
        <w:r>
          <w:rPr>
            <w:noProof/>
            <w:webHidden/>
          </w:rPr>
          <w:fldChar w:fldCharType="end"/>
        </w:r>
      </w:hyperlink>
    </w:p>
    <w:p w14:paraId="6817BE55" w14:textId="5DDD993A"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40" w:history="1">
        <w:r w:rsidRPr="008A65FC">
          <w:rPr>
            <w:rStyle w:val="Hyperlink"/>
            <w:noProof/>
          </w:rPr>
          <w:t>Figure 53 : GHG emissions for ammonia production (CRT 2B1),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_Toc184808440 \h </w:instrText>
        </w:r>
        <w:r>
          <w:rPr>
            <w:noProof/>
            <w:webHidden/>
          </w:rPr>
        </w:r>
        <w:r>
          <w:rPr>
            <w:noProof/>
            <w:webHidden/>
          </w:rPr>
          <w:fldChar w:fldCharType="separate"/>
        </w:r>
        <w:r>
          <w:rPr>
            <w:noProof/>
            <w:webHidden/>
          </w:rPr>
          <w:t>109</w:t>
        </w:r>
        <w:r>
          <w:rPr>
            <w:noProof/>
            <w:webHidden/>
          </w:rPr>
          <w:fldChar w:fldCharType="end"/>
        </w:r>
      </w:hyperlink>
    </w:p>
    <w:p w14:paraId="71EDB84A" w14:textId="7877B4A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41" w:history="1">
        <w:r w:rsidRPr="008A65FC">
          <w:rPr>
            <w:rStyle w:val="Hyperlink"/>
            <w:noProof/>
          </w:rPr>
          <w:t>Figure 54 : GHG emissions for nitric acid production (CRT 2B2),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_Toc184808441 \h </w:instrText>
        </w:r>
        <w:r>
          <w:rPr>
            <w:noProof/>
            <w:webHidden/>
          </w:rPr>
        </w:r>
        <w:r>
          <w:rPr>
            <w:noProof/>
            <w:webHidden/>
          </w:rPr>
          <w:fldChar w:fldCharType="separate"/>
        </w:r>
        <w:r>
          <w:rPr>
            <w:noProof/>
            <w:webHidden/>
          </w:rPr>
          <w:t>110</w:t>
        </w:r>
        <w:r>
          <w:rPr>
            <w:noProof/>
            <w:webHidden/>
          </w:rPr>
          <w:fldChar w:fldCharType="end"/>
        </w:r>
      </w:hyperlink>
    </w:p>
    <w:p w14:paraId="47C3E0EC" w14:textId="48A9EBF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42" w:history="1">
        <w:r w:rsidRPr="008A65FC">
          <w:rPr>
            <w:rStyle w:val="Hyperlink"/>
            <w:noProof/>
          </w:rPr>
          <w:t>Figure 55 : GHG emissions for methanol production (CRT 2B8a),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_Toc184808442 \h </w:instrText>
        </w:r>
        <w:r>
          <w:rPr>
            <w:noProof/>
            <w:webHidden/>
          </w:rPr>
        </w:r>
        <w:r>
          <w:rPr>
            <w:noProof/>
            <w:webHidden/>
          </w:rPr>
          <w:fldChar w:fldCharType="separate"/>
        </w:r>
        <w:r>
          <w:rPr>
            <w:noProof/>
            <w:webHidden/>
          </w:rPr>
          <w:t>111</w:t>
        </w:r>
        <w:r>
          <w:rPr>
            <w:noProof/>
            <w:webHidden/>
          </w:rPr>
          <w:fldChar w:fldCharType="end"/>
        </w:r>
      </w:hyperlink>
    </w:p>
    <w:p w14:paraId="4098A942" w14:textId="5C904C1A"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43" w:history="1">
        <w:r w:rsidRPr="008A65FC">
          <w:rPr>
            <w:rStyle w:val="Hyperlink"/>
            <w:noProof/>
          </w:rPr>
          <w:t>Figure 56 : GHG emissions for ethylene production (CRT 2B8b),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_Toc184808443 \h </w:instrText>
        </w:r>
        <w:r>
          <w:rPr>
            <w:noProof/>
            <w:webHidden/>
          </w:rPr>
        </w:r>
        <w:r>
          <w:rPr>
            <w:noProof/>
            <w:webHidden/>
          </w:rPr>
          <w:fldChar w:fldCharType="separate"/>
        </w:r>
        <w:r>
          <w:rPr>
            <w:noProof/>
            <w:webHidden/>
          </w:rPr>
          <w:t>112</w:t>
        </w:r>
        <w:r>
          <w:rPr>
            <w:noProof/>
            <w:webHidden/>
          </w:rPr>
          <w:fldChar w:fldCharType="end"/>
        </w:r>
      </w:hyperlink>
    </w:p>
    <w:p w14:paraId="3BA2158E" w14:textId="16A2424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44" w:history="1">
        <w:r w:rsidRPr="008A65FC">
          <w:rPr>
            <w:rStyle w:val="Hyperlink"/>
            <w:noProof/>
          </w:rPr>
          <w:t>Figure 57 : GHG emissions for ethylene dichloride and vinyl chloride monomer production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_Toc184808444 \h </w:instrText>
        </w:r>
        <w:r>
          <w:rPr>
            <w:noProof/>
            <w:webHidden/>
          </w:rPr>
        </w:r>
        <w:r>
          <w:rPr>
            <w:noProof/>
            <w:webHidden/>
          </w:rPr>
          <w:fldChar w:fldCharType="separate"/>
        </w:r>
        <w:r>
          <w:rPr>
            <w:noProof/>
            <w:webHidden/>
          </w:rPr>
          <w:t>113</w:t>
        </w:r>
        <w:r>
          <w:rPr>
            <w:noProof/>
            <w:webHidden/>
          </w:rPr>
          <w:fldChar w:fldCharType="end"/>
        </w:r>
      </w:hyperlink>
    </w:p>
    <w:p w14:paraId="5421B47D" w14:textId="29351C5E"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45" w:history="1">
        <w:r w:rsidRPr="008A65FC">
          <w:rPr>
            <w:rStyle w:val="Hyperlink"/>
            <w:noProof/>
          </w:rPr>
          <w:t>Figure 58 : GHG emissions for other chemical production (CRT 2B10)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_Toc184808445 \h </w:instrText>
        </w:r>
        <w:r>
          <w:rPr>
            <w:noProof/>
            <w:webHidden/>
          </w:rPr>
        </w:r>
        <w:r>
          <w:rPr>
            <w:noProof/>
            <w:webHidden/>
          </w:rPr>
          <w:fldChar w:fldCharType="separate"/>
        </w:r>
        <w:r>
          <w:rPr>
            <w:noProof/>
            <w:webHidden/>
          </w:rPr>
          <w:t>113</w:t>
        </w:r>
        <w:r>
          <w:rPr>
            <w:noProof/>
            <w:webHidden/>
          </w:rPr>
          <w:fldChar w:fldCharType="end"/>
        </w:r>
      </w:hyperlink>
    </w:p>
    <w:p w14:paraId="2C15F953" w14:textId="4109B740"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46" w:history="1">
        <w:r w:rsidRPr="008A65FC">
          <w:rPr>
            <w:rStyle w:val="Hyperlink"/>
            <w:noProof/>
          </w:rPr>
          <w:t>Figure 59: GHG emissions trends for the metal industries (CRT 2C), for the period 1990-2022, per subcategory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_Toc184808446 \h </w:instrText>
        </w:r>
        <w:r>
          <w:rPr>
            <w:noProof/>
            <w:webHidden/>
          </w:rPr>
        </w:r>
        <w:r>
          <w:rPr>
            <w:noProof/>
            <w:webHidden/>
          </w:rPr>
          <w:fldChar w:fldCharType="separate"/>
        </w:r>
        <w:r>
          <w:rPr>
            <w:noProof/>
            <w:webHidden/>
          </w:rPr>
          <w:t>116</w:t>
        </w:r>
        <w:r>
          <w:rPr>
            <w:noProof/>
            <w:webHidden/>
          </w:rPr>
          <w:fldChar w:fldCharType="end"/>
        </w:r>
      </w:hyperlink>
    </w:p>
    <w:p w14:paraId="620ABDCA" w14:textId="148A671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47" w:history="1">
        <w:r w:rsidRPr="008A65FC">
          <w:rPr>
            <w:rStyle w:val="Hyperlink"/>
            <w:noProof/>
          </w:rPr>
          <w:t>Figure 60: GHG emission distribution for metal industries (CRT 2C), for the years 1990 and 2022, per subcategory (in %)</w:t>
        </w:r>
        <w:r>
          <w:rPr>
            <w:noProof/>
            <w:webHidden/>
          </w:rPr>
          <w:tab/>
        </w:r>
        <w:r>
          <w:rPr>
            <w:noProof/>
            <w:webHidden/>
          </w:rPr>
          <w:fldChar w:fldCharType="begin"/>
        </w:r>
        <w:r>
          <w:rPr>
            <w:noProof/>
            <w:webHidden/>
          </w:rPr>
          <w:instrText xml:space="preserve"> PAGEREF _Toc184808447 \h </w:instrText>
        </w:r>
        <w:r>
          <w:rPr>
            <w:noProof/>
            <w:webHidden/>
          </w:rPr>
        </w:r>
        <w:r>
          <w:rPr>
            <w:noProof/>
            <w:webHidden/>
          </w:rPr>
          <w:fldChar w:fldCharType="separate"/>
        </w:r>
        <w:r>
          <w:rPr>
            <w:noProof/>
            <w:webHidden/>
          </w:rPr>
          <w:t>116</w:t>
        </w:r>
        <w:r>
          <w:rPr>
            <w:noProof/>
            <w:webHidden/>
          </w:rPr>
          <w:fldChar w:fldCharType="end"/>
        </w:r>
      </w:hyperlink>
    </w:p>
    <w:p w14:paraId="511FEA04" w14:textId="5ACF95B8"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48" w:history="1">
        <w:r w:rsidRPr="008A65FC">
          <w:rPr>
            <w:rStyle w:val="Hyperlink"/>
            <w:noProof/>
          </w:rPr>
          <w:t>Figure 61: Overview of the integrated steel production</w:t>
        </w:r>
        <w:r>
          <w:rPr>
            <w:noProof/>
            <w:webHidden/>
          </w:rPr>
          <w:tab/>
        </w:r>
        <w:r>
          <w:rPr>
            <w:noProof/>
            <w:webHidden/>
          </w:rPr>
          <w:fldChar w:fldCharType="begin"/>
        </w:r>
        <w:r>
          <w:rPr>
            <w:noProof/>
            <w:webHidden/>
          </w:rPr>
          <w:instrText xml:space="preserve"> PAGEREF _Toc184808448 \h </w:instrText>
        </w:r>
        <w:r>
          <w:rPr>
            <w:noProof/>
            <w:webHidden/>
          </w:rPr>
        </w:r>
        <w:r>
          <w:rPr>
            <w:noProof/>
            <w:webHidden/>
          </w:rPr>
          <w:fldChar w:fldCharType="separate"/>
        </w:r>
        <w:r>
          <w:rPr>
            <w:noProof/>
            <w:webHidden/>
          </w:rPr>
          <w:t>117</w:t>
        </w:r>
        <w:r>
          <w:rPr>
            <w:noProof/>
            <w:webHidden/>
          </w:rPr>
          <w:fldChar w:fldCharType="end"/>
        </w:r>
      </w:hyperlink>
    </w:p>
    <w:p w14:paraId="50616A0D" w14:textId="47A3C66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49" w:history="1">
        <w:r w:rsidRPr="008A65FC">
          <w:rPr>
            <w:rStyle w:val="Hyperlink"/>
            <w:noProof/>
          </w:rPr>
          <w:t>Figure 62: GHG emissions for steel production,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_Toc184808449 \h </w:instrText>
        </w:r>
        <w:r>
          <w:rPr>
            <w:noProof/>
            <w:webHidden/>
          </w:rPr>
        </w:r>
        <w:r>
          <w:rPr>
            <w:noProof/>
            <w:webHidden/>
          </w:rPr>
          <w:fldChar w:fldCharType="separate"/>
        </w:r>
        <w:r>
          <w:rPr>
            <w:noProof/>
            <w:webHidden/>
          </w:rPr>
          <w:t>117</w:t>
        </w:r>
        <w:r>
          <w:rPr>
            <w:noProof/>
            <w:webHidden/>
          </w:rPr>
          <w:fldChar w:fldCharType="end"/>
        </w:r>
      </w:hyperlink>
    </w:p>
    <w:p w14:paraId="442E6351" w14:textId="4CA3755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50" w:history="1">
        <w:r w:rsidRPr="008A65FC">
          <w:rPr>
            <w:rStyle w:val="Hyperlink"/>
            <w:noProof/>
          </w:rPr>
          <w:t>Figure 63: GHG emissions for sinter production,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_Toc184808450 \h </w:instrText>
        </w:r>
        <w:r>
          <w:rPr>
            <w:noProof/>
            <w:webHidden/>
          </w:rPr>
        </w:r>
        <w:r>
          <w:rPr>
            <w:noProof/>
            <w:webHidden/>
          </w:rPr>
          <w:fldChar w:fldCharType="separate"/>
        </w:r>
        <w:r>
          <w:rPr>
            <w:noProof/>
            <w:webHidden/>
          </w:rPr>
          <w:t>118</w:t>
        </w:r>
        <w:r>
          <w:rPr>
            <w:noProof/>
            <w:webHidden/>
          </w:rPr>
          <w:fldChar w:fldCharType="end"/>
        </w:r>
      </w:hyperlink>
    </w:p>
    <w:p w14:paraId="42A4F829" w14:textId="3442792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51" w:history="1">
        <w:r w:rsidRPr="008A65FC">
          <w:rPr>
            <w:rStyle w:val="Hyperlink"/>
            <w:noProof/>
          </w:rPr>
          <w:t>Figure 64: GHG emissions for pellet production,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_Toc184808451 \h </w:instrText>
        </w:r>
        <w:r>
          <w:rPr>
            <w:noProof/>
            <w:webHidden/>
          </w:rPr>
        </w:r>
        <w:r>
          <w:rPr>
            <w:noProof/>
            <w:webHidden/>
          </w:rPr>
          <w:fldChar w:fldCharType="separate"/>
        </w:r>
        <w:r>
          <w:rPr>
            <w:noProof/>
            <w:webHidden/>
          </w:rPr>
          <w:t>118</w:t>
        </w:r>
        <w:r>
          <w:rPr>
            <w:noProof/>
            <w:webHidden/>
          </w:rPr>
          <w:fldChar w:fldCharType="end"/>
        </w:r>
      </w:hyperlink>
    </w:p>
    <w:p w14:paraId="4DD11FA6" w14:textId="0696F9C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52" w:history="1">
        <w:r w:rsidRPr="008A65FC">
          <w:rPr>
            <w:rStyle w:val="Hyperlink"/>
            <w:noProof/>
          </w:rPr>
          <w:t>Figure 65 : GHG emissions for magnesium production,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_Toc184808452 \h </w:instrText>
        </w:r>
        <w:r>
          <w:rPr>
            <w:noProof/>
            <w:webHidden/>
          </w:rPr>
        </w:r>
        <w:r>
          <w:rPr>
            <w:noProof/>
            <w:webHidden/>
          </w:rPr>
          <w:fldChar w:fldCharType="separate"/>
        </w:r>
        <w:r>
          <w:rPr>
            <w:noProof/>
            <w:webHidden/>
          </w:rPr>
          <w:t>119</w:t>
        </w:r>
        <w:r>
          <w:rPr>
            <w:noProof/>
            <w:webHidden/>
          </w:rPr>
          <w:fldChar w:fldCharType="end"/>
        </w:r>
      </w:hyperlink>
    </w:p>
    <w:p w14:paraId="6AB80C94" w14:textId="000FCAB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53" w:history="1">
        <w:r w:rsidRPr="008A65FC">
          <w:rPr>
            <w:rStyle w:val="Hyperlink"/>
            <w:noProof/>
          </w:rPr>
          <w:t>Figure 66 : GHG emissions for lead production,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_Toc184808453 \h </w:instrText>
        </w:r>
        <w:r>
          <w:rPr>
            <w:noProof/>
            <w:webHidden/>
          </w:rPr>
        </w:r>
        <w:r>
          <w:rPr>
            <w:noProof/>
            <w:webHidden/>
          </w:rPr>
          <w:fldChar w:fldCharType="separate"/>
        </w:r>
        <w:r>
          <w:rPr>
            <w:noProof/>
            <w:webHidden/>
          </w:rPr>
          <w:t>120</w:t>
        </w:r>
        <w:r>
          <w:rPr>
            <w:noProof/>
            <w:webHidden/>
          </w:rPr>
          <w:fldChar w:fldCharType="end"/>
        </w:r>
      </w:hyperlink>
    </w:p>
    <w:p w14:paraId="31C76B79" w14:textId="21A6682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54" w:history="1">
        <w:r w:rsidRPr="008A65FC">
          <w:rPr>
            <w:rStyle w:val="Hyperlink"/>
            <w:noProof/>
          </w:rPr>
          <w:t>Figure 67 : GHG emissions for zinc production,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_Toc184808454 \h </w:instrText>
        </w:r>
        <w:r>
          <w:rPr>
            <w:noProof/>
            <w:webHidden/>
          </w:rPr>
        </w:r>
        <w:r>
          <w:rPr>
            <w:noProof/>
            <w:webHidden/>
          </w:rPr>
          <w:fldChar w:fldCharType="separate"/>
        </w:r>
        <w:r>
          <w:rPr>
            <w:noProof/>
            <w:webHidden/>
          </w:rPr>
          <w:t>121</w:t>
        </w:r>
        <w:r>
          <w:rPr>
            <w:noProof/>
            <w:webHidden/>
          </w:rPr>
          <w:fldChar w:fldCharType="end"/>
        </w:r>
      </w:hyperlink>
    </w:p>
    <w:p w14:paraId="4A72D567" w14:textId="1C65865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55" w:history="1">
        <w:r w:rsidRPr="008A65FC">
          <w:rPr>
            <w:rStyle w:val="Hyperlink"/>
            <w:noProof/>
          </w:rPr>
          <w:t>Figure 68: GHG emissions trends for the non-energy product uses (CRT 2D), for the period 1990-2022, per subcategory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_Toc184808455 \h </w:instrText>
        </w:r>
        <w:r>
          <w:rPr>
            <w:noProof/>
            <w:webHidden/>
          </w:rPr>
        </w:r>
        <w:r>
          <w:rPr>
            <w:noProof/>
            <w:webHidden/>
          </w:rPr>
          <w:fldChar w:fldCharType="separate"/>
        </w:r>
        <w:r>
          <w:rPr>
            <w:noProof/>
            <w:webHidden/>
          </w:rPr>
          <w:t>123</w:t>
        </w:r>
        <w:r>
          <w:rPr>
            <w:noProof/>
            <w:webHidden/>
          </w:rPr>
          <w:fldChar w:fldCharType="end"/>
        </w:r>
      </w:hyperlink>
    </w:p>
    <w:p w14:paraId="32719F18" w14:textId="467B077F"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56" w:history="1">
        <w:r w:rsidRPr="008A65FC">
          <w:rPr>
            <w:rStyle w:val="Hyperlink"/>
            <w:noProof/>
          </w:rPr>
          <w:t>Figure 69: CO</w:t>
        </w:r>
        <w:r w:rsidRPr="008A65FC">
          <w:rPr>
            <w:rStyle w:val="Hyperlink"/>
            <w:noProof/>
            <w:vertAlign w:val="subscript"/>
          </w:rPr>
          <w:t>2</w:t>
        </w:r>
        <w:r w:rsidRPr="008A65FC">
          <w:rPr>
            <w:rStyle w:val="Hyperlink"/>
            <w:noProof/>
          </w:rPr>
          <w:t xml:space="preserve"> emissions for lubricant use,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_Toc184808456 \h </w:instrText>
        </w:r>
        <w:r>
          <w:rPr>
            <w:noProof/>
            <w:webHidden/>
          </w:rPr>
        </w:r>
        <w:r>
          <w:rPr>
            <w:noProof/>
            <w:webHidden/>
          </w:rPr>
          <w:fldChar w:fldCharType="separate"/>
        </w:r>
        <w:r>
          <w:rPr>
            <w:noProof/>
            <w:webHidden/>
          </w:rPr>
          <w:t>123</w:t>
        </w:r>
        <w:r>
          <w:rPr>
            <w:noProof/>
            <w:webHidden/>
          </w:rPr>
          <w:fldChar w:fldCharType="end"/>
        </w:r>
      </w:hyperlink>
    </w:p>
    <w:p w14:paraId="4BF12AEB" w14:textId="73B940A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57" w:history="1">
        <w:r w:rsidRPr="008A65FC">
          <w:rPr>
            <w:rStyle w:val="Hyperlink"/>
            <w:noProof/>
          </w:rPr>
          <w:t>Figure 70: CO</w:t>
        </w:r>
        <w:r w:rsidRPr="008A65FC">
          <w:rPr>
            <w:rStyle w:val="Hyperlink"/>
            <w:noProof/>
            <w:vertAlign w:val="subscript"/>
          </w:rPr>
          <w:t>2</w:t>
        </w:r>
        <w:r w:rsidRPr="008A65FC">
          <w:rPr>
            <w:rStyle w:val="Hyperlink"/>
            <w:noProof/>
          </w:rPr>
          <w:t xml:space="preserve"> emissions for paraffin wax use,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_Toc184808457 \h </w:instrText>
        </w:r>
        <w:r>
          <w:rPr>
            <w:noProof/>
            <w:webHidden/>
          </w:rPr>
        </w:r>
        <w:r>
          <w:rPr>
            <w:noProof/>
            <w:webHidden/>
          </w:rPr>
          <w:fldChar w:fldCharType="separate"/>
        </w:r>
        <w:r>
          <w:rPr>
            <w:noProof/>
            <w:webHidden/>
          </w:rPr>
          <w:t>124</w:t>
        </w:r>
        <w:r>
          <w:rPr>
            <w:noProof/>
            <w:webHidden/>
          </w:rPr>
          <w:fldChar w:fldCharType="end"/>
        </w:r>
      </w:hyperlink>
    </w:p>
    <w:p w14:paraId="7E0852FB" w14:textId="79AFCEE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58" w:history="1">
        <w:r w:rsidRPr="008A65FC">
          <w:rPr>
            <w:rStyle w:val="Hyperlink"/>
            <w:noProof/>
          </w:rPr>
          <w:t>Figure 71: CO</w:t>
        </w:r>
        <w:r w:rsidRPr="008A65FC">
          <w:rPr>
            <w:rStyle w:val="Hyperlink"/>
            <w:noProof/>
            <w:vertAlign w:val="subscript"/>
          </w:rPr>
          <w:t>2</w:t>
        </w:r>
        <w:r w:rsidRPr="008A65FC">
          <w:rPr>
            <w:rStyle w:val="Hyperlink"/>
            <w:noProof/>
          </w:rPr>
          <w:t xml:space="preserve"> emissions for solvent use,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_Toc184808458 \h </w:instrText>
        </w:r>
        <w:r>
          <w:rPr>
            <w:noProof/>
            <w:webHidden/>
          </w:rPr>
        </w:r>
        <w:r>
          <w:rPr>
            <w:noProof/>
            <w:webHidden/>
          </w:rPr>
          <w:fldChar w:fldCharType="separate"/>
        </w:r>
        <w:r>
          <w:rPr>
            <w:noProof/>
            <w:webHidden/>
          </w:rPr>
          <w:t>125</w:t>
        </w:r>
        <w:r>
          <w:rPr>
            <w:noProof/>
            <w:webHidden/>
          </w:rPr>
          <w:fldChar w:fldCharType="end"/>
        </w:r>
      </w:hyperlink>
    </w:p>
    <w:p w14:paraId="206470AE" w14:textId="29BA186E"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59" w:history="1">
        <w:r w:rsidRPr="008A65FC">
          <w:rPr>
            <w:rStyle w:val="Hyperlink"/>
            <w:noProof/>
          </w:rPr>
          <w:t>Figure 72: GHG emissions trends for the product uses as substitutes for ODS (CRT 2F), for the period 1990-2022, per subcategory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_Toc184808459 \h </w:instrText>
        </w:r>
        <w:r>
          <w:rPr>
            <w:noProof/>
            <w:webHidden/>
          </w:rPr>
        </w:r>
        <w:r>
          <w:rPr>
            <w:noProof/>
            <w:webHidden/>
          </w:rPr>
          <w:fldChar w:fldCharType="separate"/>
        </w:r>
        <w:r>
          <w:rPr>
            <w:noProof/>
            <w:webHidden/>
          </w:rPr>
          <w:t>127</w:t>
        </w:r>
        <w:r>
          <w:rPr>
            <w:noProof/>
            <w:webHidden/>
          </w:rPr>
          <w:fldChar w:fldCharType="end"/>
        </w:r>
      </w:hyperlink>
    </w:p>
    <w:p w14:paraId="484382AD" w14:textId="50C3E51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60" w:history="1">
        <w:r w:rsidRPr="008A65FC">
          <w:rPr>
            <w:rStyle w:val="Hyperlink"/>
            <w:noProof/>
          </w:rPr>
          <w:t>Figure 73: GHG emissions for domestic refrigeration,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_Toc184808460 \h </w:instrText>
        </w:r>
        <w:r>
          <w:rPr>
            <w:noProof/>
            <w:webHidden/>
          </w:rPr>
        </w:r>
        <w:r>
          <w:rPr>
            <w:noProof/>
            <w:webHidden/>
          </w:rPr>
          <w:fldChar w:fldCharType="separate"/>
        </w:r>
        <w:r>
          <w:rPr>
            <w:noProof/>
            <w:webHidden/>
          </w:rPr>
          <w:t>128</w:t>
        </w:r>
        <w:r>
          <w:rPr>
            <w:noProof/>
            <w:webHidden/>
          </w:rPr>
          <w:fldChar w:fldCharType="end"/>
        </w:r>
      </w:hyperlink>
    </w:p>
    <w:p w14:paraId="60F8FAEA" w14:textId="5F7677F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61" w:history="1">
        <w:r w:rsidRPr="008A65FC">
          <w:rPr>
            <w:rStyle w:val="Hyperlink"/>
            <w:noProof/>
          </w:rPr>
          <w:t>Figure 74: GHG emissions for mobile air-conditioning,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_Toc184808461 \h </w:instrText>
        </w:r>
        <w:r>
          <w:rPr>
            <w:noProof/>
            <w:webHidden/>
          </w:rPr>
        </w:r>
        <w:r>
          <w:rPr>
            <w:noProof/>
            <w:webHidden/>
          </w:rPr>
          <w:fldChar w:fldCharType="separate"/>
        </w:r>
        <w:r>
          <w:rPr>
            <w:noProof/>
            <w:webHidden/>
          </w:rPr>
          <w:t>128</w:t>
        </w:r>
        <w:r>
          <w:rPr>
            <w:noProof/>
            <w:webHidden/>
          </w:rPr>
          <w:fldChar w:fldCharType="end"/>
        </w:r>
      </w:hyperlink>
    </w:p>
    <w:p w14:paraId="4ABEDB91" w14:textId="2A7FA45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62" w:history="1">
        <w:r w:rsidRPr="008A65FC">
          <w:rPr>
            <w:rStyle w:val="Hyperlink"/>
            <w:noProof/>
          </w:rPr>
          <w:t>Figure 75: GHG emissions for commercial refrigeration, industrial refrigeration and stationary air-conditioning,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_Toc184808462 \h </w:instrText>
        </w:r>
        <w:r>
          <w:rPr>
            <w:noProof/>
            <w:webHidden/>
          </w:rPr>
        </w:r>
        <w:r>
          <w:rPr>
            <w:noProof/>
            <w:webHidden/>
          </w:rPr>
          <w:fldChar w:fldCharType="separate"/>
        </w:r>
        <w:r>
          <w:rPr>
            <w:noProof/>
            <w:webHidden/>
          </w:rPr>
          <w:t>128</w:t>
        </w:r>
        <w:r>
          <w:rPr>
            <w:noProof/>
            <w:webHidden/>
          </w:rPr>
          <w:fldChar w:fldCharType="end"/>
        </w:r>
      </w:hyperlink>
    </w:p>
    <w:p w14:paraId="16FA2D7C" w14:textId="766DA7BA"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63" w:history="1">
        <w:r w:rsidRPr="008A65FC">
          <w:rPr>
            <w:rStyle w:val="Hyperlink"/>
            <w:noProof/>
          </w:rPr>
          <w:t>Figure 76: GHG emissions for pharmaceutical aerosols,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_Toc184808463 \h </w:instrText>
        </w:r>
        <w:r>
          <w:rPr>
            <w:noProof/>
            <w:webHidden/>
          </w:rPr>
        </w:r>
        <w:r>
          <w:rPr>
            <w:noProof/>
            <w:webHidden/>
          </w:rPr>
          <w:fldChar w:fldCharType="separate"/>
        </w:r>
        <w:r>
          <w:rPr>
            <w:noProof/>
            <w:webHidden/>
          </w:rPr>
          <w:t>131</w:t>
        </w:r>
        <w:r>
          <w:rPr>
            <w:noProof/>
            <w:webHidden/>
          </w:rPr>
          <w:fldChar w:fldCharType="end"/>
        </w:r>
      </w:hyperlink>
    </w:p>
    <w:p w14:paraId="16AF9F6D" w14:textId="07E7555E"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64" w:history="1">
        <w:r w:rsidRPr="008A65FC">
          <w:rPr>
            <w:rStyle w:val="Hyperlink"/>
            <w:noProof/>
          </w:rPr>
          <w:t>Figure 77: GHG emissions for electrical equipment,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_Toc184808464 \h </w:instrText>
        </w:r>
        <w:r>
          <w:rPr>
            <w:noProof/>
            <w:webHidden/>
          </w:rPr>
        </w:r>
        <w:r>
          <w:rPr>
            <w:noProof/>
            <w:webHidden/>
          </w:rPr>
          <w:fldChar w:fldCharType="separate"/>
        </w:r>
        <w:r>
          <w:rPr>
            <w:noProof/>
            <w:webHidden/>
          </w:rPr>
          <w:t>133</w:t>
        </w:r>
        <w:r>
          <w:rPr>
            <w:noProof/>
            <w:webHidden/>
          </w:rPr>
          <w:fldChar w:fldCharType="end"/>
        </w:r>
      </w:hyperlink>
    </w:p>
    <w:p w14:paraId="6A83E6F8" w14:textId="20ADD9FA"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65" w:history="1">
        <w:r w:rsidRPr="008A65FC">
          <w:rPr>
            <w:rStyle w:val="Hyperlink"/>
            <w:noProof/>
          </w:rPr>
          <w:t>Figure 78: GHG emission trends for agriculture (CRT 3), for the period 1990-2022, per subcategory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_Toc184808465 \h </w:instrText>
        </w:r>
        <w:r>
          <w:rPr>
            <w:noProof/>
            <w:webHidden/>
          </w:rPr>
        </w:r>
        <w:r>
          <w:rPr>
            <w:noProof/>
            <w:webHidden/>
          </w:rPr>
          <w:fldChar w:fldCharType="separate"/>
        </w:r>
        <w:r>
          <w:rPr>
            <w:noProof/>
            <w:webHidden/>
          </w:rPr>
          <w:t>136</w:t>
        </w:r>
        <w:r>
          <w:rPr>
            <w:noProof/>
            <w:webHidden/>
          </w:rPr>
          <w:fldChar w:fldCharType="end"/>
        </w:r>
      </w:hyperlink>
    </w:p>
    <w:p w14:paraId="6140B825" w14:textId="71EB41D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66" w:history="1">
        <w:r w:rsidRPr="008A65FC">
          <w:rPr>
            <w:rStyle w:val="Hyperlink"/>
            <w:noProof/>
          </w:rPr>
          <w:t>Figure 79: GHG emission trends for the enteric fermentation (CRT 3A), for the period 1990-2022, per subcategory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_Toc184808466 \h </w:instrText>
        </w:r>
        <w:r>
          <w:rPr>
            <w:noProof/>
            <w:webHidden/>
          </w:rPr>
        </w:r>
        <w:r>
          <w:rPr>
            <w:noProof/>
            <w:webHidden/>
          </w:rPr>
          <w:fldChar w:fldCharType="separate"/>
        </w:r>
        <w:r>
          <w:rPr>
            <w:noProof/>
            <w:webHidden/>
          </w:rPr>
          <w:t>137</w:t>
        </w:r>
        <w:r>
          <w:rPr>
            <w:noProof/>
            <w:webHidden/>
          </w:rPr>
          <w:fldChar w:fldCharType="end"/>
        </w:r>
      </w:hyperlink>
    </w:p>
    <w:p w14:paraId="0AE54D8B" w14:textId="44D2DD4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67" w:history="1">
        <w:r w:rsidRPr="008A65FC">
          <w:rPr>
            <w:rStyle w:val="Hyperlink"/>
            <w:noProof/>
          </w:rPr>
          <w:t>Figure 80: GHG emission distribution for enteric fermentation (CRT 3A), for the period 1990-2022, per subcategory (in %)</w:t>
        </w:r>
        <w:r>
          <w:rPr>
            <w:noProof/>
            <w:webHidden/>
          </w:rPr>
          <w:tab/>
        </w:r>
        <w:r>
          <w:rPr>
            <w:noProof/>
            <w:webHidden/>
          </w:rPr>
          <w:fldChar w:fldCharType="begin"/>
        </w:r>
        <w:r>
          <w:rPr>
            <w:noProof/>
            <w:webHidden/>
          </w:rPr>
          <w:instrText xml:space="preserve"> PAGEREF _Toc184808467 \h </w:instrText>
        </w:r>
        <w:r>
          <w:rPr>
            <w:noProof/>
            <w:webHidden/>
          </w:rPr>
        </w:r>
        <w:r>
          <w:rPr>
            <w:noProof/>
            <w:webHidden/>
          </w:rPr>
          <w:fldChar w:fldCharType="separate"/>
        </w:r>
        <w:r>
          <w:rPr>
            <w:noProof/>
            <w:webHidden/>
          </w:rPr>
          <w:t>138</w:t>
        </w:r>
        <w:r>
          <w:rPr>
            <w:noProof/>
            <w:webHidden/>
          </w:rPr>
          <w:fldChar w:fldCharType="end"/>
        </w:r>
      </w:hyperlink>
    </w:p>
    <w:p w14:paraId="19DC88C4" w14:textId="17C9233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68" w:history="1">
        <w:r w:rsidRPr="008A65FC">
          <w:rPr>
            <w:rStyle w:val="Hyperlink"/>
            <w:noProof/>
          </w:rPr>
          <w:t>Figure 81 : Livestock evolution for cattle, in number of heads, for the period 1990-2022</w:t>
        </w:r>
        <w:r>
          <w:rPr>
            <w:noProof/>
            <w:webHidden/>
          </w:rPr>
          <w:tab/>
        </w:r>
        <w:r>
          <w:rPr>
            <w:noProof/>
            <w:webHidden/>
          </w:rPr>
          <w:fldChar w:fldCharType="begin"/>
        </w:r>
        <w:r>
          <w:rPr>
            <w:noProof/>
            <w:webHidden/>
          </w:rPr>
          <w:instrText xml:space="preserve"> PAGEREF _Toc184808468 \h </w:instrText>
        </w:r>
        <w:r>
          <w:rPr>
            <w:noProof/>
            <w:webHidden/>
          </w:rPr>
        </w:r>
        <w:r>
          <w:rPr>
            <w:noProof/>
            <w:webHidden/>
          </w:rPr>
          <w:fldChar w:fldCharType="separate"/>
        </w:r>
        <w:r>
          <w:rPr>
            <w:noProof/>
            <w:webHidden/>
          </w:rPr>
          <w:t>138</w:t>
        </w:r>
        <w:r>
          <w:rPr>
            <w:noProof/>
            <w:webHidden/>
          </w:rPr>
          <w:fldChar w:fldCharType="end"/>
        </w:r>
      </w:hyperlink>
    </w:p>
    <w:p w14:paraId="3C7794AE" w14:textId="73CFD0B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69" w:history="1">
        <w:r w:rsidRPr="008A65FC">
          <w:rPr>
            <w:rStyle w:val="Hyperlink"/>
            <w:noProof/>
          </w:rPr>
          <w:t>Figure 82 : GHG emissions for enteric fermentation of dairy cattle (CRT 3A1a)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_Toc184808469 \h </w:instrText>
        </w:r>
        <w:r>
          <w:rPr>
            <w:noProof/>
            <w:webHidden/>
          </w:rPr>
        </w:r>
        <w:r>
          <w:rPr>
            <w:noProof/>
            <w:webHidden/>
          </w:rPr>
          <w:fldChar w:fldCharType="separate"/>
        </w:r>
        <w:r>
          <w:rPr>
            <w:noProof/>
            <w:webHidden/>
          </w:rPr>
          <w:t>139</w:t>
        </w:r>
        <w:r>
          <w:rPr>
            <w:noProof/>
            <w:webHidden/>
          </w:rPr>
          <w:fldChar w:fldCharType="end"/>
        </w:r>
      </w:hyperlink>
    </w:p>
    <w:p w14:paraId="528FAA02" w14:textId="266A3E7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70" w:history="1">
        <w:r w:rsidRPr="008A65FC">
          <w:rPr>
            <w:rStyle w:val="Hyperlink"/>
            <w:noProof/>
          </w:rPr>
          <w:t>Figure 83 : GHG emissions for enteric fermentation of non-dairy cattle (CRT 3A1b)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_Toc184808470 \h </w:instrText>
        </w:r>
        <w:r>
          <w:rPr>
            <w:noProof/>
            <w:webHidden/>
          </w:rPr>
        </w:r>
        <w:r>
          <w:rPr>
            <w:noProof/>
            <w:webHidden/>
          </w:rPr>
          <w:fldChar w:fldCharType="separate"/>
        </w:r>
        <w:r>
          <w:rPr>
            <w:noProof/>
            <w:webHidden/>
          </w:rPr>
          <w:t>139</w:t>
        </w:r>
        <w:r>
          <w:rPr>
            <w:noProof/>
            <w:webHidden/>
          </w:rPr>
          <w:fldChar w:fldCharType="end"/>
        </w:r>
      </w:hyperlink>
    </w:p>
    <w:p w14:paraId="6C79DD8C" w14:textId="178DF418"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71" w:history="1">
        <w:r w:rsidRPr="008A65FC">
          <w:rPr>
            <w:rStyle w:val="Hyperlink"/>
            <w:noProof/>
          </w:rPr>
          <w:t>Figure 84 : Livestock evolution for sheep, in number of heads, for the period 1990-2022</w:t>
        </w:r>
        <w:r>
          <w:rPr>
            <w:noProof/>
            <w:webHidden/>
          </w:rPr>
          <w:tab/>
        </w:r>
        <w:r>
          <w:rPr>
            <w:noProof/>
            <w:webHidden/>
          </w:rPr>
          <w:fldChar w:fldCharType="begin"/>
        </w:r>
        <w:r>
          <w:rPr>
            <w:noProof/>
            <w:webHidden/>
          </w:rPr>
          <w:instrText xml:space="preserve"> PAGEREF _Toc184808471 \h </w:instrText>
        </w:r>
        <w:r>
          <w:rPr>
            <w:noProof/>
            <w:webHidden/>
          </w:rPr>
        </w:r>
        <w:r>
          <w:rPr>
            <w:noProof/>
            <w:webHidden/>
          </w:rPr>
          <w:fldChar w:fldCharType="separate"/>
        </w:r>
        <w:r>
          <w:rPr>
            <w:noProof/>
            <w:webHidden/>
          </w:rPr>
          <w:t>140</w:t>
        </w:r>
        <w:r>
          <w:rPr>
            <w:noProof/>
            <w:webHidden/>
          </w:rPr>
          <w:fldChar w:fldCharType="end"/>
        </w:r>
      </w:hyperlink>
    </w:p>
    <w:p w14:paraId="1A35475C" w14:textId="39A08392"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72" w:history="1">
        <w:r w:rsidRPr="008A65FC">
          <w:rPr>
            <w:rStyle w:val="Hyperlink"/>
            <w:noProof/>
          </w:rPr>
          <w:t>Figure 85 : GHG emissions for enteric fermentation of sheep (CRT 3A2)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_Toc184808472 \h </w:instrText>
        </w:r>
        <w:r>
          <w:rPr>
            <w:noProof/>
            <w:webHidden/>
          </w:rPr>
        </w:r>
        <w:r>
          <w:rPr>
            <w:noProof/>
            <w:webHidden/>
          </w:rPr>
          <w:fldChar w:fldCharType="separate"/>
        </w:r>
        <w:r>
          <w:rPr>
            <w:noProof/>
            <w:webHidden/>
          </w:rPr>
          <w:t>140</w:t>
        </w:r>
        <w:r>
          <w:rPr>
            <w:noProof/>
            <w:webHidden/>
          </w:rPr>
          <w:fldChar w:fldCharType="end"/>
        </w:r>
      </w:hyperlink>
    </w:p>
    <w:p w14:paraId="08FF65DF" w14:textId="32B3019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73" w:history="1">
        <w:r w:rsidRPr="008A65FC">
          <w:rPr>
            <w:rStyle w:val="Hyperlink"/>
            <w:noProof/>
          </w:rPr>
          <w:t>Figure 86 : GHG emissions for enteric fermentation of swine (CRT 3A3)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_Toc184808473 \h </w:instrText>
        </w:r>
        <w:r>
          <w:rPr>
            <w:noProof/>
            <w:webHidden/>
          </w:rPr>
        </w:r>
        <w:r>
          <w:rPr>
            <w:noProof/>
            <w:webHidden/>
          </w:rPr>
          <w:fldChar w:fldCharType="separate"/>
        </w:r>
        <w:r>
          <w:rPr>
            <w:noProof/>
            <w:webHidden/>
          </w:rPr>
          <w:t>141</w:t>
        </w:r>
        <w:r>
          <w:rPr>
            <w:noProof/>
            <w:webHidden/>
          </w:rPr>
          <w:fldChar w:fldCharType="end"/>
        </w:r>
      </w:hyperlink>
    </w:p>
    <w:p w14:paraId="48F3E07F" w14:textId="52C80AD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74" w:history="1">
        <w:r w:rsidRPr="008A65FC">
          <w:rPr>
            <w:rStyle w:val="Hyperlink"/>
            <w:noProof/>
          </w:rPr>
          <w:t>Figure 87 : Livestock evolution for other livestock, in number of heads, for the period 1990-2022</w:t>
        </w:r>
        <w:r>
          <w:rPr>
            <w:noProof/>
            <w:webHidden/>
          </w:rPr>
          <w:tab/>
        </w:r>
        <w:r>
          <w:rPr>
            <w:noProof/>
            <w:webHidden/>
          </w:rPr>
          <w:fldChar w:fldCharType="begin"/>
        </w:r>
        <w:r>
          <w:rPr>
            <w:noProof/>
            <w:webHidden/>
          </w:rPr>
          <w:instrText xml:space="preserve"> PAGEREF _Toc184808474 \h </w:instrText>
        </w:r>
        <w:r>
          <w:rPr>
            <w:noProof/>
            <w:webHidden/>
          </w:rPr>
        </w:r>
        <w:r>
          <w:rPr>
            <w:noProof/>
            <w:webHidden/>
          </w:rPr>
          <w:fldChar w:fldCharType="separate"/>
        </w:r>
        <w:r>
          <w:rPr>
            <w:noProof/>
            <w:webHidden/>
          </w:rPr>
          <w:t>142</w:t>
        </w:r>
        <w:r>
          <w:rPr>
            <w:noProof/>
            <w:webHidden/>
          </w:rPr>
          <w:fldChar w:fldCharType="end"/>
        </w:r>
      </w:hyperlink>
    </w:p>
    <w:p w14:paraId="4EF842B9" w14:textId="37A8B94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75" w:history="1">
        <w:r w:rsidRPr="008A65FC">
          <w:rPr>
            <w:rStyle w:val="Hyperlink"/>
            <w:noProof/>
          </w:rPr>
          <w:t>Figure 88 : GHG emissions for enteric fermentation of other livestock (CRT 3A4)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_Toc184808475 \h </w:instrText>
        </w:r>
        <w:r>
          <w:rPr>
            <w:noProof/>
            <w:webHidden/>
          </w:rPr>
        </w:r>
        <w:r>
          <w:rPr>
            <w:noProof/>
            <w:webHidden/>
          </w:rPr>
          <w:fldChar w:fldCharType="separate"/>
        </w:r>
        <w:r>
          <w:rPr>
            <w:noProof/>
            <w:webHidden/>
          </w:rPr>
          <w:t>142</w:t>
        </w:r>
        <w:r>
          <w:rPr>
            <w:noProof/>
            <w:webHidden/>
          </w:rPr>
          <w:fldChar w:fldCharType="end"/>
        </w:r>
      </w:hyperlink>
    </w:p>
    <w:p w14:paraId="2524A433" w14:textId="03F72B5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76" w:history="1">
        <w:r w:rsidRPr="008A65FC">
          <w:rPr>
            <w:rStyle w:val="Hyperlink"/>
            <w:noProof/>
          </w:rPr>
          <w:t>Figure 89: GHG emission trends for manure management (CRT 3B), for the period 1990-2022, per subcategory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_Toc184808476 \h </w:instrText>
        </w:r>
        <w:r>
          <w:rPr>
            <w:noProof/>
            <w:webHidden/>
          </w:rPr>
        </w:r>
        <w:r>
          <w:rPr>
            <w:noProof/>
            <w:webHidden/>
          </w:rPr>
          <w:fldChar w:fldCharType="separate"/>
        </w:r>
        <w:r>
          <w:rPr>
            <w:noProof/>
            <w:webHidden/>
          </w:rPr>
          <w:t>144</w:t>
        </w:r>
        <w:r>
          <w:rPr>
            <w:noProof/>
            <w:webHidden/>
          </w:rPr>
          <w:fldChar w:fldCharType="end"/>
        </w:r>
      </w:hyperlink>
    </w:p>
    <w:p w14:paraId="09BC0F13" w14:textId="2E01EDA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77" w:history="1">
        <w:r w:rsidRPr="008A65FC">
          <w:rPr>
            <w:rStyle w:val="Hyperlink"/>
            <w:noProof/>
          </w:rPr>
          <w:t>Figure 90: GHG emission distribution for manure management (CRT 3B), for the period 1990-2022, per subcategory (in %)</w:t>
        </w:r>
        <w:r>
          <w:rPr>
            <w:noProof/>
            <w:webHidden/>
          </w:rPr>
          <w:tab/>
        </w:r>
        <w:r>
          <w:rPr>
            <w:noProof/>
            <w:webHidden/>
          </w:rPr>
          <w:fldChar w:fldCharType="begin"/>
        </w:r>
        <w:r>
          <w:rPr>
            <w:noProof/>
            <w:webHidden/>
          </w:rPr>
          <w:instrText xml:space="preserve"> PAGEREF _Toc184808477 \h </w:instrText>
        </w:r>
        <w:r>
          <w:rPr>
            <w:noProof/>
            <w:webHidden/>
          </w:rPr>
        </w:r>
        <w:r>
          <w:rPr>
            <w:noProof/>
            <w:webHidden/>
          </w:rPr>
          <w:fldChar w:fldCharType="separate"/>
        </w:r>
        <w:r>
          <w:rPr>
            <w:noProof/>
            <w:webHidden/>
          </w:rPr>
          <w:t>145</w:t>
        </w:r>
        <w:r>
          <w:rPr>
            <w:noProof/>
            <w:webHidden/>
          </w:rPr>
          <w:fldChar w:fldCharType="end"/>
        </w:r>
      </w:hyperlink>
    </w:p>
    <w:p w14:paraId="0E9AF784" w14:textId="571700D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78" w:history="1">
        <w:r w:rsidRPr="008A65FC">
          <w:rPr>
            <w:rStyle w:val="Hyperlink"/>
            <w:noProof/>
          </w:rPr>
          <w:t>Figure 91 : Livestock evolution for poultry, in number of heads, for the period 1990-2022, per different animal species</w:t>
        </w:r>
        <w:r>
          <w:rPr>
            <w:noProof/>
            <w:webHidden/>
          </w:rPr>
          <w:tab/>
        </w:r>
        <w:r>
          <w:rPr>
            <w:noProof/>
            <w:webHidden/>
          </w:rPr>
          <w:fldChar w:fldCharType="begin"/>
        </w:r>
        <w:r>
          <w:rPr>
            <w:noProof/>
            <w:webHidden/>
          </w:rPr>
          <w:instrText xml:space="preserve"> PAGEREF _Toc184808478 \h </w:instrText>
        </w:r>
        <w:r>
          <w:rPr>
            <w:noProof/>
            <w:webHidden/>
          </w:rPr>
        </w:r>
        <w:r>
          <w:rPr>
            <w:noProof/>
            <w:webHidden/>
          </w:rPr>
          <w:fldChar w:fldCharType="separate"/>
        </w:r>
        <w:r>
          <w:rPr>
            <w:noProof/>
            <w:webHidden/>
          </w:rPr>
          <w:t>146</w:t>
        </w:r>
        <w:r>
          <w:rPr>
            <w:noProof/>
            <w:webHidden/>
          </w:rPr>
          <w:fldChar w:fldCharType="end"/>
        </w:r>
      </w:hyperlink>
    </w:p>
    <w:p w14:paraId="6A162B7D" w14:textId="1D79E7D0"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79" w:history="1">
        <w:r w:rsidRPr="008A65FC">
          <w:rPr>
            <w:rStyle w:val="Hyperlink"/>
            <w:noProof/>
          </w:rPr>
          <w:t>Figure 92 : CH</w:t>
        </w:r>
        <w:r w:rsidRPr="008A65FC">
          <w:rPr>
            <w:rStyle w:val="Hyperlink"/>
            <w:noProof/>
            <w:vertAlign w:val="subscript"/>
          </w:rPr>
          <w:t>4</w:t>
        </w:r>
        <w:r w:rsidRPr="008A65FC">
          <w:rPr>
            <w:rStyle w:val="Hyperlink"/>
            <w:noProof/>
          </w:rPr>
          <w:t xml:space="preserve"> emissions for manure management of dairy cattle (CRT 3B11a)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_Toc184808479 \h </w:instrText>
        </w:r>
        <w:r>
          <w:rPr>
            <w:noProof/>
            <w:webHidden/>
          </w:rPr>
        </w:r>
        <w:r>
          <w:rPr>
            <w:noProof/>
            <w:webHidden/>
          </w:rPr>
          <w:fldChar w:fldCharType="separate"/>
        </w:r>
        <w:r>
          <w:rPr>
            <w:noProof/>
            <w:webHidden/>
          </w:rPr>
          <w:t>146</w:t>
        </w:r>
        <w:r>
          <w:rPr>
            <w:noProof/>
            <w:webHidden/>
          </w:rPr>
          <w:fldChar w:fldCharType="end"/>
        </w:r>
      </w:hyperlink>
    </w:p>
    <w:p w14:paraId="6F8F3E83" w14:textId="5C59ACA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80" w:history="1">
        <w:r w:rsidRPr="008A65FC">
          <w:rPr>
            <w:rStyle w:val="Hyperlink"/>
            <w:noProof/>
          </w:rPr>
          <w:t>Figure 93 : CH</w:t>
        </w:r>
        <w:r w:rsidRPr="008A65FC">
          <w:rPr>
            <w:rStyle w:val="Hyperlink"/>
            <w:noProof/>
            <w:vertAlign w:val="subscript"/>
          </w:rPr>
          <w:t>4</w:t>
        </w:r>
        <w:r w:rsidRPr="008A65FC">
          <w:rPr>
            <w:rStyle w:val="Hyperlink"/>
            <w:noProof/>
          </w:rPr>
          <w:t xml:space="preserve"> emissions for manure management of non-dairy cattle (CRT 3B11b)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_Toc184808480 \h </w:instrText>
        </w:r>
        <w:r>
          <w:rPr>
            <w:noProof/>
            <w:webHidden/>
          </w:rPr>
        </w:r>
        <w:r>
          <w:rPr>
            <w:noProof/>
            <w:webHidden/>
          </w:rPr>
          <w:fldChar w:fldCharType="separate"/>
        </w:r>
        <w:r>
          <w:rPr>
            <w:noProof/>
            <w:webHidden/>
          </w:rPr>
          <w:t>146</w:t>
        </w:r>
        <w:r>
          <w:rPr>
            <w:noProof/>
            <w:webHidden/>
          </w:rPr>
          <w:fldChar w:fldCharType="end"/>
        </w:r>
      </w:hyperlink>
    </w:p>
    <w:p w14:paraId="655E1B34" w14:textId="0F0D598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81" w:history="1">
        <w:r w:rsidRPr="008A65FC">
          <w:rPr>
            <w:rStyle w:val="Hyperlink"/>
            <w:noProof/>
          </w:rPr>
          <w:t>Figure 94 : CH</w:t>
        </w:r>
        <w:r w:rsidRPr="008A65FC">
          <w:rPr>
            <w:rStyle w:val="Hyperlink"/>
            <w:noProof/>
            <w:vertAlign w:val="subscript"/>
          </w:rPr>
          <w:t>4</w:t>
        </w:r>
        <w:r w:rsidRPr="008A65FC">
          <w:rPr>
            <w:rStyle w:val="Hyperlink"/>
            <w:noProof/>
          </w:rPr>
          <w:t xml:space="preserve"> emissions for manure management of sheep (CRT 3B12)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_Toc184808481 \h </w:instrText>
        </w:r>
        <w:r>
          <w:rPr>
            <w:noProof/>
            <w:webHidden/>
          </w:rPr>
        </w:r>
        <w:r>
          <w:rPr>
            <w:noProof/>
            <w:webHidden/>
          </w:rPr>
          <w:fldChar w:fldCharType="separate"/>
        </w:r>
        <w:r>
          <w:rPr>
            <w:noProof/>
            <w:webHidden/>
          </w:rPr>
          <w:t>147</w:t>
        </w:r>
        <w:r>
          <w:rPr>
            <w:noProof/>
            <w:webHidden/>
          </w:rPr>
          <w:fldChar w:fldCharType="end"/>
        </w:r>
      </w:hyperlink>
    </w:p>
    <w:p w14:paraId="66467E38" w14:textId="175036E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82" w:history="1">
        <w:r w:rsidRPr="008A65FC">
          <w:rPr>
            <w:rStyle w:val="Hyperlink"/>
            <w:noProof/>
          </w:rPr>
          <w:t>Figure 95 : CH4 emissions for manure management of swine (CRT 3B13)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_Toc184808482 \h </w:instrText>
        </w:r>
        <w:r>
          <w:rPr>
            <w:noProof/>
            <w:webHidden/>
          </w:rPr>
        </w:r>
        <w:r>
          <w:rPr>
            <w:noProof/>
            <w:webHidden/>
          </w:rPr>
          <w:fldChar w:fldCharType="separate"/>
        </w:r>
        <w:r>
          <w:rPr>
            <w:noProof/>
            <w:webHidden/>
          </w:rPr>
          <w:t>147</w:t>
        </w:r>
        <w:r>
          <w:rPr>
            <w:noProof/>
            <w:webHidden/>
          </w:rPr>
          <w:fldChar w:fldCharType="end"/>
        </w:r>
      </w:hyperlink>
    </w:p>
    <w:p w14:paraId="39650C80" w14:textId="5F949B52"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83" w:history="1">
        <w:r w:rsidRPr="008A65FC">
          <w:rPr>
            <w:rStyle w:val="Hyperlink"/>
            <w:noProof/>
          </w:rPr>
          <w:t>Figure 96 : CH4 emissions for manure management of other livestock (CRT 3B14)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_Toc184808483 \h </w:instrText>
        </w:r>
        <w:r>
          <w:rPr>
            <w:noProof/>
            <w:webHidden/>
          </w:rPr>
        </w:r>
        <w:r>
          <w:rPr>
            <w:noProof/>
            <w:webHidden/>
          </w:rPr>
          <w:fldChar w:fldCharType="separate"/>
        </w:r>
        <w:r>
          <w:rPr>
            <w:noProof/>
            <w:webHidden/>
          </w:rPr>
          <w:t>147</w:t>
        </w:r>
        <w:r>
          <w:rPr>
            <w:noProof/>
            <w:webHidden/>
          </w:rPr>
          <w:fldChar w:fldCharType="end"/>
        </w:r>
      </w:hyperlink>
    </w:p>
    <w:p w14:paraId="749D6263" w14:textId="2D53A7E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84" w:history="1">
        <w:r w:rsidRPr="008A65FC">
          <w:rPr>
            <w:rStyle w:val="Hyperlink"/>
            <w:noProof/>
          </w:rPr>
          <w:t>Figure 97 : Evolution of the average annual temperature, in the Republic of Serbia, for the period 1990-2022 (in °C)</w:t>
        </w:r>
        <w:r>
          <w:rPr>
            <w:noProof/>
            <w:webHidden/>
          </w:rPr>
          <w:tab/>
        </w:r>
        <w:r>
          <w:rPr>
            <w:noProof/>
            <w:webHidden/>
          </w:rPr>
          <w:fldChar w:fldCharType="begin"/>
        </w:r>
        <w:r>
          <w:rPr>
            <w:noProof/>
            <w:webHidden/>
          </w:rPr>
          <w:instrText xml:space="preserve"> PAGEREF _Toc184808484 \h </w:instrText>
        </w:r>
        <w:r>
          <w:rPr>
            <w:noProof/>
            <w:webHidden/>
          </w:rPr>
        </w:r>
        <w:r>
          <w:rPr>
            <w:noProof/>
            <w:webHidden/>
          </w:rPr>
          <w:fldChar w:fldCharType="separate"/>
        </w:r>
        <w:r>
          <w:rPr>
            <w:noProof/>
            <w:webHidden/>
          </w:rPr>
          <w:t>148</w:t>
        </w:r>
        <w:r>
          <w:rPr>
            <w:noProof/>
            <w:webHidden/>
          </w:rPr>
          <w:fldChar w:fldCharType="end"/>
        </w:r>
      </w:hyperlink>
    </w:p>
    <w:p w14:paraId="54D472A4" w14:textId="2DC19858"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85" w:history="1">
        <w:r w:rsidRPr="008A65FC">
          <w:rPr>
            <w:rStyle w:val="Hyperlink"/>
            <w:noProof/>
          </w:rPr>
          <w:t>Figure 98 : N</w:t>
        </w:r>
        <w:r w:rsidRPr="008A65FC">
          <w:rPr>
            <w:rStyle w:val="Hyperlink"/>
            <w:noProof/>
            <w:vertAlign w:val="subscript"/>
          </w:rPr>
          <w:t>2</w:t>
        </w:r>
        <w:r w:rsidRPr="008A65FC">
          <w:rPr>
            <w:rStyle w:val="Hyperlink"/>
            <w:noProof/>
          </w:rPr>
          <w:t>O emissions for manure management of dairy cattle (CRT 3B21a)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_Toc184808485 \h </w:instrText>
        </w:r>
        <w:r>
          <w:rPr>
            <w:noProof/>
            <w:webHidden/>
          </w:rPr>
        </w:r>
        <w:r>
          <w:rPr>
            <w:noProof/>
            <w:webHidden/>
          </w:rPr>
          <w:fldChar w:fldCharType="separate"/>
        </w:r>
        <w:r>
          <w:rPr>
            <w:noProof/>
            <w:webHidden/>
          </w:rPr>
          <w:t>152</w:t>
        </w:r>
        <w:r>
          <w:rPr>
            <w:noProof/>
            <w:webHidden/>
          </w:rPr>
          <w:fldChar w:fldCharType="end"/>
        </w:r>
      </w:hyperlink>
    </w:p>
    <w:p w14:paraId="753ECF06" w14:textId="0F45EB0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86" w:history="1">
        <w:r w:rsidRPr="008A65FC">
          <w:rPr>
            <w:rStyle w:val="Hyperlink"/>
            <w:noProof/>
          </w:rPr>
          <w:t>Figure 99 : N</w:t>
        </w:r>
        <w:r w:rsidRPr="008A65FC">
          <w:rPr>
            <w:rStyle w:val="Hyperlink"/>
            <w:noProof/>
            <w:vertAlign w:val="subscript"/>
          </w:rPr>
          <w:t>2</w:t>
        </w:r>
        <w:r w:rsidRPr="008A65FC">
          <w:rPr>
            <w:rStyle w:val="Hyperlink"/>
            <w:noProof/>
          </w:rPr>
          <w:t>O emissions for manure management of non-dairy cattle (CRT 3B21b)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_Toc184808486 \h </w:instrText>
        </w:r>
        <w:r>
          <w:rPr>
            <w:noProof/>
            <w:webHidden/>
          </w:rPr>
        </w:r>
        <w:r>
          <w:rPr>
            <w:noProof/>
            <w:webHidden/>
          </w:rPr>
          <w:fldChar w:fldCharType="separate"/>
        </w:r>
        <w:r>
          <w:rPr>
            <w:noProof/>
            <w:webHidden/>
          </w:rPr>
          <w:t>152</w:t>
        </w:r>
        <w:r>
          <w:rPr>
            <w:noProof/>
            <w:webHidden/>
          </w:rPr>
          <w:fldChar w:fldCharType="end"/>
        </w:r>
      </w:hyperlink>
    </w:p>
    <w:p w14:paraId="05990408" w14:textId="1C5240FF"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87" w:history="1">
        <w:r w:rsidRPr="008A65FC">
          <w:rPr>
            <w:rStyle w:val="Hyperlink"/>
            <w:noProof/>
          </w:rPr>
          <w:t>Figure 100 : N</w:t>
        </w:r>
        <w:r w:rsidRPr="008A65FC">
          <w:rPr>
            <w:rStyle w:val="Hyperlink"/>
            <w:noProof/>
            <w:vertAlign w:val="subscript"/>
          </w:rPr>
          <w:t>2</w:t>
        </w:r>
        <w:r w:rsidRPr="008A65FC">
          <w:rPr>
            <w:rStyle w:val="Hyperlink"/>
            <w:noProof/>
          </w:rPr>
          <w:t>O emissions for manure management of sheep (CRT 3B22)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_Toc184808487 \h </w:instrText>
        </w:r>
        <w:r>
          <w:rPr>
            <w:noProof/>
            <w:webHidden/>
          </w:rPr>
        </w:r>
        <w:r>
          <w:rPr>
            <w:noProof/>
            <w:webHidden/>
          </w:rPr>
          <w:fldChar w:fldCharType="separate"/>
        </w:r>
        <w:r>
          <w:rPr>
            <w:noProof/>
            <w:webHidden/>
          </w:rPr>
          <w:t>152</w:t>
        </w:r>
        <w:r>
          <w:rPr>
            <w:noProof/>
            <w:webHidden/>
          </w:rPr>
          <w:fldChar w:fldCharType="end"/>
        </w:r>
      </w:hyperlink>
    </w:p>
    <w:p w14:paraId="5A3C5B48" w14:textId="4B16CA2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88" w:history="1">
        <w:r w:rsidRPr="008A65FC">
          <w:rPr>
            <w:rStyle w:val="Hyperlink"/>
            <w:noProof/>
          </w:rPr>
          <w:t>Figure 101 : N</w:t>
        </w:r>
        <w:r w:rsidRPr="008A65FC">
          <w:rPr>
            <w:rStyle w:val="Hyperlink"/>
            <w:noProof/>
            <w:vertAlign w:val="subscript"/>
          </w:rPr>
          <w:t>2</w:t>
        </w:r>
        <w:r w:rsidRPr="008A65FC">
          <w:rPr>
            <w:rStyle w:val="Hyperlink"/>
            <w:noProof/>
          </w:rPr>
          <w:t>O emissions for manure management of swine (CRT 3B23)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_Toc184808488 \h </w:instrText>
        </w:r>
        <w:r>
          <w:rPr>
            <w:noProof/>
            <w:webHidden/>
          </w:rPr>
        </w:r>
        <w:r>
          <w:rPr>
            <w:noProof/>
            <w:webHidden/>
          </w:rPr>
          <w:fldChar w:fldCharType="separate"/>
        </w:r>
        <w:r>
          <w:rPr>
            <w:noProof/>
            <w:webHidden/>
          </w:rPr>
          <w:t>152</w:t>
        </w:r>
        <w:r>
          <w:rPr>
            <w:noProof/>
            <w:webHidden/>
          </w:rPr>
          <w:fldChar w:fldCharType="end"/>
        </w:r>
      </w:hyperlink>
    </w:p>
    <w:p w14:paraId="5886B1B8" w14:textId="3761E0D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89" w:history="1">
        <w:r w:rsidRPr="008A65FC">
          <w:rPr>
            <w:rStyle w:val="Hyperlink"/>
            <w:noProof/>
          </w:rPr>
          <w:t>Figure 102 : N</w:t>
        </w:r>
        <w:r w:rsidRPr="008A65FC">
          <w:rPr>
            <w:rStyle w:val="Hyperlink"/>
            <w:noProof/>
            <w:vertAlign w:val="subscript"/>
          </w:rPr>
          <w:t>2</w:t>
        </w:r>
        <w:r w:rsidRPr="008A65FC">
          <w:rPr>
            <w:rStyle w:val="Hyperlink"/>
            <w:noProof/>
          </w:rPr>
          <w:t>O emissions for manure management of other livestocks (CRT 3B24)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_Toc184808489 \h </w:instrText>
        </w:r>
        <w:r>
          <w:rPr>
            <w:noProof/>
            <w:webHidden/>
          </w:rPr>
        </w:r>
        <w:r>
          <w:rPr>
            <w:noProof/>
            <w:webHidden/>
          </w:rPr>
          <w:fldChar w:fldCharType="separate"/>
        </w:r>
        <w:r>
          <w:rPr>
            <w:noProof/>
            <w:webHidden/>
          </w:rPr>
          <w:t>153</w:t>
        </w:r>
        <w:r>
          <w:rPr>
            <w:noProof/>
            <w:webHidden/>
          </w:rPr>
          <w:fldChar w:fldCharType="end"/>
        </w:r>
      </w:hyperlink>
    </w:p>
    <w:p w14:paraId="425CD482" w14:textId="4439FF22"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90" w:history="1">
        <w:r w:rsidRPr="008A65FC">
          <w:rPr>
            <w:rStyle w:val="Hyperlink"/>
            <w:noProof/>
          </w:rPr>
          <w:t>Figure 103 : Indirect N</w:t>
        </w:r>
        <w:r w:rsidRPr="008A65FC">
          <w:rPr>
            <w:rStyle w:val="Hyperlink"/>
            <w:noProof/>
            <w:vertAlign w:val="subscript"/>
          </w:rPr>
          <w:t>2</w:t>
        </w:r>
        <w:r w:rsidRPr="008A65FC">
          <w:rPr>
            <w:rStyle w:val="Hyperlink"/>
            <w:noProof/>
          </w:rPr>
          <w:t>O emissions from volatilisation and leaching in manure management (CRT 3B25)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_Toc184808490 \h </w:instrText>
        </w:r>
        <w:r>
          <w:rPr>
            <w:noProof/>
            <w:webHidden/>
          </w:rPr>
        </w:r>
        <w:r>
          <w:rPr>
            <w:noProof/>
            <w:webHidden/>
          </w:rPr>
          <w:fldChar w:fldCharType="separate"/>
        </w:r>
        <w:r>
          <w:rPr>
            <w:noProof/>
            <w:webHidden/>
          </w:rPr>
          <w:t>153</w:t>
        </w:r>
        <w:r>
          <w:rPr>
            <w:noProof/>
            <w:webHidden/>
          </w:rPr>
          <w:fldChar w:fldCharType="end"/>
        </w:r>
      </w:hyperlink>
    </w:p>
    <w:p w14:paraId="7E5151F2" w14:textId="4DDB167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91" w:history="1">
        <w:r w:rsidRPr="008A65FC">
          <w:rPr>
            <w:rStyle w:val="Hyperlink"/>
            <w:noProof/>
          </w:rPr>
          <w:t>Figure 104: GHG emission trends for agricultural soils (CRT 3D), for the period 1990-2022, per subcategory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_Toc184808491 \h </w:instrText>
        </w:r>
        <w:r>
          <w:rPr>
            <w:noProof/>
            <w:webHidden/>
          </w:rPr>
        </w:r>
        <w:r>
          <w:rPr>
            <w:noProof/>
            <w:webHidden/>
          </w:rPr>
          <w:fldChar w:fldCharType="separate"/>
        </w:r>
        <w:r>
          <w:rPr>
            <w:noProof/>
            <w:webHidden/>
          </w:rPr>
          <w:t>157</w:t>
        </w:r>
        <w:r>
          <w:rPr>
            <w:noProof/>
            <w:webHidden/>
          </w:rPr>
          <w:fldChar w:fldCharType="end"/>
        </w:r>
      </w:hyperlink>
    </w:p>
    <w:p w14:paraId="10C19F23" w14:textId="5FF0FA0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92" w:history="1">
        <w:r w:rsidRPr="008A65FC">
          <w:rPr>
            <w:rStyle w:val="Hyperlink"/>
            <w:noProof/>
          </w:rPr>
          <w:t>Figure 105: GHG emission distribution for agricultural soils (CRT 3D), for the period 1990-2022, per subcategory (in %)</w:t>
        </w:r>
        <w:r>
          <w:rPr>
            <w:noProof/>
            <w:webHidden/>
          </w:rPr>
          <w:tab/>
        </w:r>
        <w:r>
          <w:rPr>
            <w:noProof/>
            <w:webHidden/>
          </w:rPr>
          <w:fldChar w:fldCharType="begin"/>
        </w:r>
        <w:r>
          <w:rPr>
            <w:noProof/>
            <w:webHidden/>
          </w:rPr>
          <w:instrText xml:space="preserve"> PAGEREF _Toc184808492 \h </w:instrText>
        </w:r>
        <w:r>
          <w:rPr>
            <w:noProof/>
            <w:webHidden/>
          </w:rPr>
        </w:r>
        <w:r>
          <w:rPr>
            <w:noProof/>
            <w:webHidden/>
          </w:rPr>
          <w:fldChar w:fldCharType="separate"/>
        </w:r>
        <w:r>
          <w:rPr>
            <w:noProof/>
            <w:webHidden/>
          </w:rPr>
          <w:t>157</w:t>
        </w:r>
        <w:r>
          <w:rPr>
            <w:noProof/>
            <w:webHidden/>
          </w:rPr>
          <w:fldChar w:fldCharType="end"/>
        </w:r>
      </w:hyperlink>
    </w:p>
    <w:p w14:paraId="6F02BCAE" w14:textId="0DDE06D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93" w:history="1">
        <w:r w:rsidRPr="008A65FC">
          <w:rPr>
            <w:rStyle w:val="Hyperlink"/>
            <w:noProof/>
            <w:lang w:val="pt-BR"/>
          </w:rPr>
          <w:t>Figure 106 : N</w:t>
        </w:r>
        <w:r w:rsidRPr="008A65FC">
          <w:rPr>
            <w:rStyle w:val="Hyperlink"/>
            <w:noProof/>
            <w:vertAlign w:val="subscript"/>
            <w:lang w:val="pt-BR"/>
          </w:rPr>
          <w:t>2</w:t>
        </w:r>
        <w:r w:rsidRPr="008A65FC">
          <w:rPr>
            <w:rStyle w:val="Hyperlink"/>
            <w:noProof/>
            <w:lang w:val="pt-BR"/>
          </w:rPr>
          <w:t>O emissions from inorganic N fertilisers (CRT 3D1.1) (kt CO</w:t>
        </w:r>
        <w:r w:rsidRPr="008A65FC">
          <w:rPr>
            <w:rStyle w:val="Hyperlink"/>
            <w:noProof/>
            <w:vertAlign w:val="subscript"/>
            <w:lang w:val="pt-BR"/>
          </w:rPr>
          <w:t>2</w:t>
        </w:r>
        <w:r w:rsidRPr="008A65FC">
          <w:rPr>
            <w:rStyle w:val="Hyperlink"/>
            <w:noProof/>
            <w:lang w:val="pt-BR"/>
          </w:rPr>
          <w:t>e)</w:t>
        </w:r>
        <w:r>
          <w:rPr>
            <w:noProof/>
            <w:webHidden/>
          </w:rPr>
          <w:tab/>
        </w:r>
        <w:r>
          <w:rPr>
            <w:noProof/>
            <w:webHidden/>
          </w:rPr>
          <w:fldChar w:fldCharType="begin"/>
        </w:r>
        <w:r>
          <w:rPr>
            <w:noProof/>
            <w:webHidden/>
          </w:rPr>
          <w:instrText xml:space="preserve"> PAGEREF _Toc184808493 \h </w:instrText>
        </w:r>
        <w:r>
          <w:rPr>
            <w:noProof/>
            <w:webHidden/>
          </w:rPr>
        </w:r>
        <w:r>
          <w:rPr>
            <w:noProof/>
            <w:webHidden/>
          </w:rPr>
          <w:fldChar w:fldCharType="separate"/>
        </w:r>
        <w:r>
          <w:rPr>
            <w:noProof/>
            <w:webHidden/>
          </w:rPr>
          <w:t>159</w:t>
        </w:r>
        <w:r>
          <w:rPr>
            <w:noProof/>
            <w:webHidden/>
          </w:rPr>
          <w:fldChar w:fldCharType="end"/>
        </w:r>
      </w:hyperlink>
    </w:p>
    <w:p w14:paraId="570D5D8A" w14:textId="3A646DD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94" w:history="1">
        <w:r w:rsidRPr="008A65FC">
          <w:rPr>
            <w:rStyle w:val="Hyperlink"/>
            <w:noProof/>
            <w:lang w:val="pt-BR"/>
          </w:rPr>
          <w:t>Figure 107 : N</w:t>
        </w:r>
        <w:r w:rsidRPr="008A65FC">
          <w:rPr>
            <w:rStyle w:val="Hyperlink"/>
            <w:noProof/>
            <w:vertAlign w:val="subscript"/>
            <w:lang w:val="pt-BR"/>
          </w:rPr>
          <w:t>2</w:t>
        </w:r>
        <w:r w:rsidRPr="008A65FC">
          <w:rPr>
            <w:rStyle w:val="Hyperlink"/>
            <w:noProof/>
            <w:lang w:val="pt-BR"/>
          </w:rPr>
          <w:t>O emissions from organic N fertilisers (CRT 3D1.2.a) (kt CO</w:t>
        </w:r>
        <w:r w:rsidRPr="008A65FC">
          <w:rPr>
            <w:rStyle w:val="Hyperlink"/>
            <w:noProof/>
            <w:vertAlign w:val="subscript"/>
            <w:lang w:val="pt-BR"/>
          </w:rPr>
          <w:t>2</w:t>
        </w:r>
        <w:r w:rsidRPr="008A65FC">
          <w:rPr>
            <w:rStyle w:val="Hyperlink"/>
            <w:noProof/>
            <w:lang w:val="pt-BR"/>
          </w:rPr>
          <w:t>e)</w:t>
        </w:r>
        <w:r>
          <w:rPr>
            <w:noProof/>
            <w:webHidden/>
          </w:rPr>
          <w:tab/>
        </w:r>
        <w:r>
          <w:rPr>
            <w:noProof/>
            <w:webHidden/>
          </w:rPr>
          <w:fldChar w:fldCharType="begin"/>
        </w:r>
        <w:r>
          <w:rPr>
            <w:noProof/>
            <w:webHidden/>
          </w:rPr>
          <w:instrText xml:space="preserve"> PAGEREF _Toc184808494 \h </w:instrText>
        </w:r>
        <w:r>
          <w:rPr>
            <w:noProof/>
            <w:webHidden/>
          </w:rPr>
        </w:r>
        <w:r>
          <w:rPr>
            <w:noProof/>
            <w:webHidden/>
          </w:rPr>
          <w:fldChar w:fldCharType="separate"/>
        </w:r>
        <w:r>
          <w:rPr>
            <w:noProof/>
            <w:webHidden/>
          </w:rPr>
          <w:t>159</w:t>
        </w:r>
        <w:r>
          <w:rPr>
            <w:noProof/>
            <w:webHidden/>
          </w:rPr>
          <w:fldChar w:fldCharType="end"/>
        </w:r>
      </w:hyperlink>
    </w:p>
    <w:p w14:paraId="36CA5A90" w14:textId="2781D48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95" w:history="1">
        <w:r w:rsidRPr="008A65FC">
          <w:rPr>
            <w:rStyle w:val="Hyperlink"/>
            <w:noProof/>
          </w:rPr>
          <w:t>Figure 108 : N</w:t>
        </w:r>
        <w:r w:rsidRPr="008A65FC">
          <w:rPr>
            <w:rStyle w:val="Hyperlink"/>
            <w:noProof/>
            <w:vertAlign w:val="subscript"/>
          </w:rPr>
          <w:t>2</w:t>
        </w:r>
        <w:r w:rsidRPr="008A65FC">
          <w:rPr>
            <w:rStyle w:val="Hyperlink"/>
            <w:noProof/>
          </w:rPr>
          <w:t>O emissions from urine and dung deposited by grazing animals (CRT 3D1.3)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_Toc184808495 \h </w:instrText>
        </w:r>
        <w:r>
          <w:rPr>
            <w:noProof/>
            <w:webHidden/>
          </w:rPr>
        </w:r>
        <w:r>
          <w:rPr>
            <w:noProof/>
            <w:webHidden/>
          </w:rPr>
          <w:fldChar w:fldCharType="separate"/>
        </w:r>
        <w:r>
          <w:rPr>
            <w:noProof/>
            <w:webHidden/>
          </w:rPr>
          <w:t>159</w:t>
        </w:r>
        <w:r>
          <w:rPr>
            <w:noProof/>
            <w:webHidden/>
          </w:rPr>
          <w:fldChar w:fldCharType="end"/>
        </w:r>
      </w:hyperlink>
    </w:p>
    <w:p w14:paraId="0C012194" w14:textId="2299E6A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96" w:history="1">
        <w:r w:rsidRPr="008A65FC">
          <w:rPr>
            <w:rStyle w:val="Hyperlink"/>
            <w:noProof/>
          </w:rPr>
          <w:t>Figure 109 : N</w:t>
        </w:r>
        <w:r w:rsidRPr="008A65FC">
          <w:rPr>
            <w:rStyle w:val="Hyperlink"/>
            <w:noProof/>
            <w:vertAlign w:val="subscript"/>
          </w:rPr>
          <w:t>2</w:t>
        </w:r>
        <w:r w:rsidRPr="008A65FC">
          <w:rPr>
            <w:rStyle w:val="Hyperlink"/>
            <w:noProof/>
          </w:rPr>
          <w:t>O emissions from crop residues (CRT 3D1.4)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_Toc184808496 \h </w:instrText>
        </w:r>
        <w:r>
          <w:rPr>
            <w:noProof/>
            <w:webHidden/>
          </w:rPr>
        </w:r>
        <w:r>
          <w:rPr>
            <w:noProof/>
            <w:webHidden/>
          </w:rPr>
          <w:fldChar w:fldCharType="separate"/>
        </w:r>
        <w:r>
          <w:rPr>
            <w:noProof/>
            <w:webHidden/>
          </w:rPr>
          <w:t>159</w:t>
        </w:r>
        <w:r>
          <w:rPr>
            <w:noProof/>
            <w:webHidden/>
          </w:rPr>
          <w:fldChar w:fldCharType="end"/>
        </w:r>
      </w:hyperlink>
    </w:p>
    <w:p w14:paraId="2271E762" w14:textId="2806362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97" w:history="1">
        <w:r w:rsidRPr="008A65FC">
          <w:rPr>
            <w:rStyle w:val="Hyperlink"/>
            <w:noProof/>
          </w:rPr>
          <w:t>Figure 110 : N</w:t>
        </w:r>
        <w:r w:rsidRPr="008A65FC">
          <w:rPr>
            <w:rStyle w:val="Hyperlink"/>
            <w:noProof/>
            <w:vertAlign w:val="subscript"/>
          </w:rPr>
          <w:t>2</w:t>
        </w:r>
        <w:r w:rsidRPr="008A65FC">
          <w:rPr>
            <w:rStyle w:val="Hyperlink"/>
            <w:noProof/>
          </w:rPr>
          <w:t>O emissions from cultivation of organic soils (CRT 3D1.6)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_Toc184808497 \h </w:instrText>
        </w:r>
        <w:r>
          <w:rPr>
            <w:noProof/>
            <w:webHidden/>
          </w:rPr>
        </w:r>
        <w:r>
          <w:rPr>
            <w:noProof/>
            <w:webHidden/>
          </w:rPr>
          <w:fldChar w:fldCharType="separate"/>
        </w:r>
        <w:r>
          <w:rPr>
            <w:noProof/>
            <w:webHidden/>
          </w:rPr>
          <w:t>160</w:t>
        </w:r>
        <w:r>
          <w:rPr>
            <w:noProof/>
            <w:webHidden/>
          </w:rPr>
          <w:fldChar w:fldCharType="end"/>
        </w:r>
      </w:hyperlink>
    </w:p>
    <w:p w14:paraId="06C6726C" w14:textId="4BF31553"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98" w:history="1">
        <w:r w:rsidRPr="008A65FC">
          <w:rPr>
            <w:rStyle w:val="Hyperlink"/>
            <w:noProof/>
          </w:rPr>
          <w:t>Figure 111 : Indirect N2O emissions from atmospheric deposition (CRT 3D2.1) (kt CO2e)</w:t>
        </w:r>
        <w:r>
          <w:rPr>
            <w:noProof/>
            <w:webHidden/>
          </w:rPr>
          <w:tab/>
        </w:r>
        <w:r>
          <w:rPr>
            <w:noProof/>
            <w:webHidden/>
          </w:rPr>
          <w:fldChar w:fldCharType="begin"/>
        </w:r>
        <w:r>
          <w:rPr>
            <w:noProof/>
            <w:webHidden/>
          </w:rPr>
          <w:instrText xml:space="preserve"> PAGEREF _Toc184808498 \h </w:instrText>
        </w:r>
        <w:r>
          <w:rPr>
            <w:noProof/>
            <w:webHidden/>
          </w:rPr>
        </w:r>
        <w:r>
          <w:rPr>
            <w:noProof/>
            <w:webHidden/>
          </w:rPr>
          <w:fldChar w:fldCharType="separate"/>
        </w:r>
        <w:r>
          <w:rPr>
            <w:noProof/>
            <w:webHidden/>
          </w:rPr>
          <w:t>161</w:t>
        </w:r>
        <w:r>
          <w:rPr>
            <w:noProof/>
            <w:webHidden/>
          </w:rPr>
          <w:fldChar w:fldCharType="end"/>
        </w:r>
      </w:hyperlink>
    </w:p>
    <w:p w14:paraId="06204838" w14:textId="1E1FC9D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499" w:history="1">
        <w:r w:rsidRPr="008A65FC">
          <w:rPr>
            <w:rStyle w:val="Hyperlink"/>
            <w:noProof/>
          </w:rPr>
          <w:t>Figure 112 : Indirect N2O emissions from nitrogen leaching and run-off (CRT 3D2.2)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_Toc184808499 \h </w:instrText>
        </w:r>
        <w:r>
          <w:rPr>
            <w:noProof/>
            <w:webHidden/>
          </w:rPr>
        </w:r>
        <w:r>
          <w:rPr>
            <w:noProof/>
            <w:webHidden/>
          </w:rPr>
          <w:fldChar w:fldCharType="separate"/>
        </w:r>
        <w:r>
          <w:rPr>
            <w:noProof/>
            <w:webHidden/>
          </w:rPr>
          <w:t>161</w:t>
        </w:r>
        <w:r>
          <w:rPr>
            <w:noProof/>
            <w:webHidden/>
          </w:rPr>
          <w:fldChar w:fldCharType="end"/>
        </w:r>
      </w:hyperlink>
    </w:p>
    <w:p w14:paraId="1F7F3B8D" w14:textId="1C3BCB5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00" w:history="1">
        <w:r w:rsidRPr="008A65FC">
          <w:rPr>
            <w:rStyle w:val="Hyperlink"/>
            <w:noProof/>
          </w:rPr>
          <w:t>Figure 113 : GHG emissions from field burning of wheat (CRT 3F1.1)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_Toc184808500 \h </w:instrText>
        </w:r>
        <w:r>
          <w:rPr>
            <w:noProof/>
            <w:webHidden/>
          </w:rPr>
        </w:r>
        <w:r>
          <w:rPr>
            <w:noProof/>
            <w:webHidden/>
          </w:rPr>
          <w:fldChar w:fldCharType="separate"/>
        </w:r>
        <w:r>
          <w:rPr>
            <w:noProof/>
            <w:webHidden/>
          </w:rPr>
          <w:t>164</w:t>
        </w:r>
        <w:r>
          <w:rPr>
            <w:noProof/>
            <w:webHidden/>
          </w:rPr>
          <w:fldChar w:fldCharType="end"/>
        </w:r>
      </w:hyperlink>
    </w:p>
    <w:p w14:paraId="6F1C5454" w14:textId="4F298FE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01" w:history="1">
        <w:r w:rsidRPr="008A65FC">
          <w:rPr>
            <w:rStyle w:val="Hyperlink"/>
            <w:noProof/>
          </w:rPr>
          <w:t>Figure 114 : GHG emissions from field burning of maize (CRT 3F1.3) (kt CO2e)</w:t>
        </w:r>
        <w:r>
          <w:rPr>
            <w:noProof/>
            <w:webHidden/>
          </w:rPr>
          <w:tab/>
        </w:r>
        <w:r>
          <w:rPr>
            <w:noProof/>
            <w:webHidden/>
          </w:rPr>
          <w:fldChar w:fldCharType="begin"/>
        </w:r>
        <w:r>
          <w:rPr>
            <w:noProof/>
            <w:webHidden/>
          </w:rPr>
          <w:instrText xml:space="preserve"> PAGEREF _Toc184808501 \h </w:instrText>
        </w:r>
        <w:r>
          <w:rPr>
            <w:noProof/>
            <w:webHidden/>
          </w:rPr>
        </w:r>
        <w:r>
          <w:rPr>
            <w:noProof/>
            <w:webHidden/>
          </w:rPr>
          <w:fldChar w:fldCharType="separate"/>
        </w:r>
        <w:r>
          <w:rPr>
            <w:noProof/>
            <w:webHidden/>
          </w:rPr>
          <w:t>164</w:t>
        </w:r>
        <w:r>
          <w:rPr>
            <w:noProof/>
            <w:webHidden/>
          </w:rPr>
          <w:fldChar w:fldCharType="end"/>
        </w:r>
      </w:hyperlink>
    </w:p>
    <w:p w14:paraId="2CDC1EFE" w14:textId="0471B76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02" w:history="1">
        <w:r w:rsidRPr="008A65FC">
          <w:rPr>
            <w:rStyle w:val="Hyperlink"/>
            <w:noProof/>
          </w:rPr>
          <w:t>Figure 115: GHG emission distribution for field burning of agriculture residues (CRT 3F), for the period 1990-2022, per subcategory (in %)</w:t>
        </w:r>
        <w:r>
          <w:rPr>
            <w:noProof/>
            <w:webHidden/>
          </w:rPr>
          <w:tab/>
        </w:r>
        <w:r>
          <w:rPr>
            <w:noProof/>
            <w:webHidden/>
          </w:rPr>
          <w:fldChar w:fldCharType="begin"/>
        </w:r>
        <w:r>
          <w:rPr>
            <w:noProof/>
            <w:webHidden/>
          </w:rPr>
          <w:instrText xml:space="preserve"> PAGEREF _Toc184808502 \h </w:instrText>
        </w:r>
        <w:r>
          <w:rPr>
            <w:noProof/>
            <w:webHidden/>
          </w:rPr>
        </w:r>
        <w:r>
          <w:rPr>
            <w:noProof/>
            <w:webHidden/>
          </w:rPr>
          <w:fldChar w:fldCharType="separate"/>
        </w:r>
        <w:r>
          <w:rPr>
            <w:noProof/>
            <w:webHidden/>
          </w:rPr>
          <w:t>164</w:t>
        </w:r>
        <w:r>
          <w:rPr>
            <w:noProof/>
            <w:webHidden/>
          </w:rPr>
          <w:fldChar w:fldCharType="end"/>
        </w:r>
      </w:hyperlink>
    </w:p>
    <w:p w14:paraId="139DAF26" w14:textId="78B030D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03" w:history="1">
        <w:r w:rsidRPr="008A65FC">
          <w:rPr>
            <w:rStyle w:val="Hyperlink"/>
            <w:noProof/>
          </w:rPr>
          <w:t>Figure 116 : GHG emissions from urea application (CRT 3H)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_Toc184808503 \h </w:instrText>
        </w:r>
        <w:r>
          <w:rPr>
            <w:noProof/>
            <w:webHidden/>
          </w:rPr>
        </w:r>
        <w:r>
          <w:rPr>
            <w:noProof/>
            <w:webHidden/>
          </w:rPr>
          <w:fldChar w:fldCharType="separate"/>
        </w:r>
        <w:r>
          <w:rPr>
            <w:noProof/>
            <w:webHidden/>
          </w:rPr>
          <w:t>166</w:t>
        </w:r>
        <w:r>
          <w:rPr>
            <w:noProof/>
            <w:webHidden/>
          </w:rPr>
          <w:fldChar w:fldCharType="end"/>
        </w:r>
      </w:hyperlink>
    </w:p>
    <w:p w14:paraId="2354F31D" w14:textId="6B5192D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04" w:history="1">
        <w:r w:rsidRPr="008A65FC">
          <w:rPr>
            <w:rStyle w:val="Hyperlink"/>
            <w:noProof/>
          </w:rPr>
          <w:t>Figure 117: GHG emission distribution for LULUCF (CRT 4), for the period 1990-2022, per subsector (in %)</w:t>
        </w:r>
        <w:r>
          <w:rPr>
            <w:noProof/>
            <w:webHidden/>
          </w:rPr>
          <w:tab/>
        </w:r>
        <w:r>
          <w:rPr>
            <w:noProof/>
            <w:webHidden/>
          </w:rPr>
          <w:fldChar w:fldCharType="begin"/>
        </w:r>
        <w:r>
          <w:rPr>
            <w:noProof/>
            <w:webHidden/>
          </w:rPr>
          <w:instrText xml:space="preserve"> PAGEREF _Toc184808504 \h </w:instrText>
        </w:r>
        <w:r>
          <w:rPr>
            <w:noProof/>
            <w:webHidden/>
          </w:rPr>
        </w:r>
        <w:r>
          <w:rPr>
            <w:noProof/>
            <w:webHidden/>
          </w:rPr>
          <w:fldChar w:fldCharType="separate"/>
        </w:r>
        <w:r>
          <w:rPr>
            <w:noProof/>
            <w:webHidden/>
          </w:rPr>
          <w:t>169</w:t>
        </w:r>
        <w:r>
          <w:rPr>
            <w:noProof/>
            <w:webHidden/>
          </w:rPr>
          <w:fldChar w:fldCharType="end"/>
        </w:r>
      </w:hyperlink>
    </w:p>
    <w:p w14:paraId="0CFF5CC1" w14:textId="0429C49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05" w:history="1">
        <w:r w:rsidRPr="008A65FC">
          <w:rPr>
            <w:rStyle w:val="Hyperlink"/>
            <w:noProof/>
          </w:rPr>
          <w:t>Figure 118: GHG emissions trends for LULUCF (CRT 4), for the period 1990-2022, per subcategory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_Toc184808505 \h </w:instrText>
        </w:r>
        <w:r>
          <w:rPr>
            <w:noProof/>
            <w:webHidden/>
          </w:rPr>
        </w:r>
        <w:r>
          <w:rPr>
            <w:noProof/>
            <w:webHidden/>
          </w:rPr>
          <w:fldChar w:fldCharType="separate"/>
        </w:r>
        <w:r>
          <w:rPr>
            <w:noProof/>
            <w:webHidden/>
          </w:rPr>
          <w:t>169</w:t>
        </w:r>
        <w:r>
          <w:rPr>
            <w:noProof/>
            <w:webHidden/>
          </w:rPr>
          <w:fldChar w:fldCharType="end"/>
        </w:r>
      </w:hyperlink>
    </w:p>
    <w:p w14:paraId="3B961AF3" w14:textId="0786043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06" w:history="1">
        <w:r w:rsidRPr="008A65FC">
          <w:rPr>
            <w:rStyle w:val="Hyperlink"/>
            <w:noProof/>
          </w:rPr>
          <w:t>Figure 119: Evolution of the and use areas in the Republic of Serbia since 1990</w:t>
        </w:r>
        <w:r>
          <w:rPr>
            <w:noProof/>
            <w:webHidden/>
          </w:rPr>
          <w:tab/>
        </w:r>
        <w:r>
          <w:rPr>
            <w:noProof/>
            <w:webHidden/>
          </w:rPr>
          <w:fldChar w:fldCharType="begin"/>
        </w:r>
        <w:r>
          <w:rPr>
            <w:noProof/>
            <w:webHidden/>
          </w:rPr>
          <w:instrText xml:space="preserve"> PAGEREF _Toc184808506 \h </w:instrText>
        </w:r>
        <w:r>
          <w:rPr>
            <w:noProof/>
            <w:webHidden/>
          </w:rPr>
        </w:r>
        <w:r>
          <w:rPr>
            <w:noProof/>
            <w:webHidden/>
          </w:rPr>
          <w:fldChar w:fldCharType="separate"/>
        </w:r>
        <w:r>
          <w:rPr>
            <w:noProof/>
            <w:webHidden/>
          </w:rPr>
          <w:t>172</w:t>
        </w:r>
        <w:r>
          <w:rPr>
            <w:noProof/>
            <w:webHidden/>
          </w:rPr>
          <w:fldChar w:fldCharType="end"/>
        </w:r>
      </w:hyperlink>
    </w:p>
    <w:p w14:paraId="0894B705" w14:textId="72EE4B2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07" w:history="1">
        <w:r w:rsidRPr="008A65FC">
          <w:rPr>
            <w:rStyle w:val="Hyperlink"/>
            <w:noProof/>
          </w:rPr>
          <w:t>Figure 120: GHG emissions from Forest land remaining forest land (CRT 4.A.1)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_Toc184808507 \h </w:instrText>
        </w:r>
        <w:r>
          <w:rPr>
            <w:noProof/>
            <w:webHidden/>
          </w:rPr>
        </w:r>
        <w:r>
          <w:rPr>
            <w:noProof/>
            <w:webHidden/>
          </w:rPr>
          <w:fldChar w:fldCharType="separate"/>
        </w:r>
        <w:r>
          <w:rPr>
            <w:noProof/>
            <w:webHidden/>
          </w:rPr>
          <w:t>176</w:t>
        </w:r>
        <w:r>
          <w:rPr>
            <w:noProof/>
            <w:webHidden/>
          </w:rPr>
          <w:fldChar w:fldCharType="end"/>
        </w:r>
      </w:hyperlink>
    </w:p>
    <w:p w14:paraId="4C3DED05" w14:textId="411C5AAA"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08" w:history="1">
        <w:r w:rsidRPr="008A65FC">
          <w:rPr>
            <w:rStyle w:val="Hyperlink"/>
            <w:noProof/>
          </w:rPr>
          <w:t>Figure 121: GHG emissions from cropland converted to forest land (CRT 4.A.2.1)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_Toc184808508 \h </w:instrText>
        </w:r>
        <w:r>
          <w:rPr>
            <w:noProof/>
            <w:webHidden/>
          </w:rPr>
        </w:r>
        <w:r>
          <w:rPr>
            <w:noProof/>
            <w:webHidden/>
          </w:rPr>
          <w:fldChar w:fldCharType="separate"/>
        </w:r>
        <w:r>
          <w:rPr>
            <w:noProof/>
            <w:webHidden/>
          </w:rPr>
          <w:t>177</w:t>
        </w:r>
        <w:r>
          <w:rPr>
            <w:noProof/>
            <w:webHidden/>
          </w:rPr>
          <w:fldChar w:fldCharType="end"/>
        </w:r>
      </w:hyperlink>
    </w:p>
    <w:p w14:paraId="7EBAA71D" w14:textId="35C0603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09" w:history="1">
        <w:r w:rsidRPr="008A65FC">
          <w:rPr>
            <w:rStyle w:val="Hyperlink"/>
            <w:noProof/>
          </w:rPr>
          <w:t>Figure 122: GHG emissions from grassland converted to forest land (CRT 4.A.2.2)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_Toc184808509 \h </w:instrText>
        </w:r>
        <w:r>
          <w:rPr>
            <w:noProof/>
            <w:webHidden/>
          </w:rPr>
        </w:r>
        <w:r>
          <w:rPr>
            <w:noProof/>
            <w:webHidden/>
          </w:rPr>
          <w:fldChar w:fldCharType="separate"/>
        </w:r>
        <w:r>
          <w:rPr>
            <w:noProof/>
            <w:webHidden/>
          </w:rPr>
          <w:t>177</w:t>
        </w:r>
        <w:r>
          <w:rPr>
            <w:noProof/>
            <w:webHidden/>
          </w:rPr>
          <w:fldChar w:fldCharType="end"/>
        </w:r>
      </w:hyperlink>
    </w:p>
    <w:p w14:paraId="59A9FC9E" w14:textId="5F665AA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10" w:history="1">
        <w:r w:rsidRPr="008A65FC">
          <w:rPr>
            <w:rStyle w:val="Hyperlink"/>
            <w:noProof/>
          </w:rPr>
          <w:t>Figure 123: GHG emissions from wetlands converted to forest land (CRT 4.A.2.3)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_Toc184808510 \h </w:instrText>
        </w:r>
        <w:r>
          <w:rPr>
            <w:noProof/>
            <w:webHidden/>
          </w:rPr>
        </w:r>
        <w:r>
          <w:rPr>
            <w:noProof/>
            <w:webHidden/>
          </w:rPr>
          <w:fldChar w:fldCharType="separate"/>
        </w:r>
        <w:r>
          <w:rPr>
            <w:noProof/>
            <w:webHidden/>
          </w:rPr>
          <w:t>177</w:t>
        </w:r>
        <w:r>
          <w:rPr>
            <w:noProof/>
            <w:webHidden/>
          </w:rPr>
          <w:fldChar w:fldCharType="end"/>
        </w:r>
      </w:hyperlink>
    </w:p>
    <w:p w14:paraId="694D279E" w14:textId="0AB4D9A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11" w:history="1">
        <w:r w:rsidRPr="008A65FC">
          <w:rPr>
            <w:rStyle w:val="Hyperlink"/>
            <w:noProof/>
          </w:rPr>
          <w:t>Figure 124: GHG emissions from settlements converted to forest land (CRT 4.A.2.4) (kt CO2e)</w:t>
        </w:r>
        <w:r>
          <w:rPr>
            <w:noProof/>
            <w:webHidden/>
          </w:rPr>
          <w:tab/>
        </w:r>
        <w:r>
          <w:rPr>
            <w:noProof/>
            <w:webHidden/>
          </w:rPr>
          <w:fldChar w:fldCharType="begin"/>
        </w:r>
        <w:r>
          <w:rPr>
            <w:noProof/>
            <w:webHidden/>
          </w:rPr>
          <w:instrText xml:space="preserve"> PAGEREF _Toc184808511 \h </w:instrText>
        </w:r>
        <w:r>
          <w:rPr>
            <w:noProof/>
            <w:webHidden/>
          </w:rPr>
        </w:r>
        <w:r>
          <w:rPr>
            <w:noProof/>
            <w:webHidden/>
          </w:rPr>
          <w:fldChar w:fldCharType="separate"/>
        </w:r>
        <w:r>
          <w:rPr>
            <w:noProof/>
            <w:webHidden/>
          </w:rPr>
          <w:t>177</w:t>
        </w:r>
        <w:r>
          <w:rPr>
            <w:noProof/>
            <w:webHidden/>
          </w:rPr>
          <w:fldChar w:fldCharType="end"/>
        </w:r>
      </w:hyperlink>
    </w:p>
    <w:p w14:paraId="4FF5B9A8" w14:textId="4F251953"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12" w:history="1">
        <w:r w:rsidRPr="008A65FC">
          <w:rPr>
            <w:rStyle w:val="Hyperlink"/>
            <w:noProof/>
          </w:rPr>
          <w:t>Figure 125: GHG emissions from other land converted to forest land (CRT 4.A.2.5)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_Toc184808512 \h </w:instrText>
        </w:r>
        <w:r>
          <w:rPr>
            <w:noProof/>
            <w:webHidden/>
          </w:rPr>
        </w:r>
        <w:r>
          <w:rPr>
            <w:noProof/>
            <w:webHidden/>
          </w:rPr>
          <w:fldChar w:fldCharType="separate"/>
        </w:r>
        <w:r>
          <w:rPr>
            <w:noProof/>
            <w:webHidden/>
          </w:rPr>
          <w:t>178</w:t>
        </w:r>
        <w:r>
          <w:rPr>
            <w:noProof/>
            <w:webHidden/>
          </w:rPr>
          <w:fldChar w:fldCharType="end"/>
        </w:r>
      </w:hyperlink>
    </w:p>
    <w:p w14:paraId="20E03308" w14:textId="5D647060"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13" w:history="1">
        <w:r w:rsidRPr="008A65FC">
          <w:rPr>
            <w:rStyle w:val="Hyperlink"/>
            <w:noProof/>
          </w:rPr>
          <w:t>Figure 126: GHG emissions from forest land converted to cropland (CRT 4.B.2.1)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_Toc184808513 \h </w:instrText>
        </w:r>
        <w:r>
          <w:rPr>
            <w:noProof/>
            <w:webHidden/>
          </w:rPr>
        </w:r>
        <w:r>
          <w:rPr>
            <w:noProof/>
            <w:webHidden/>
          </w:rPr>
          <w:fldChar w:fldCharType="separate"/>
        </w:r>
        <w:r>
          <w:rPr>
            <w:noProof/>
            <w:webHidden/>
          </w:rPr>
          <w:t>182</w:t>
        </w:r>
        <w:r>
          <w:rPr>
            <w:noProof/>
            <w:webHidden/>
          </w:rPr>
          <w:fldChar w:fldCharType="end"/>
        </w:r>
      </w:hyperlink>
    </w:p>
    <w:p w14:paraId="54127AF1" w14:textId="3F53BEE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14" w:history="1">
        <w:r w:rsidRPr="008A65FC">
          <w:rPr>
            <w:rStyle w:val="Hyperlink"/>
            <w:noProof/>
          </w:rPr>
          <w:t>Figure 127: GHG emissions from grassland converted to cropland (CRT 4.B.2.2)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_Toc184808514 \h </w:instrText>
        </w:r>
        <w:r>
          <w:rPr>
            <w:noProof/>
            <w:webHidden/>
          </w:rPr>
        </w:r>
        <w:r>
          <w:rPr>
            <w:noProof/>
            <w:webHidden/>
          </w:rPr>
          <w:fldChar w:fldCharType="separate"/>
        </w:r>
        <w:r>
          <w:rPr>
            <w:noProof/>
            <w:webHidden/>
          </w:rPr>
          <w:t>182</w:t>
        </w:r>
        <w:r>
          <w:rPr>
            <w:noProof/>
            <w:webHidden/>
          </w:rPr>
          <w:fldChar w:fldCharType="end"/>
        </w:r>
      </w:hyperlink>
    </w:p>
    <w:p w14:paraId="640362DD" w14:textId="16E63F5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15" w:history="1">
        <w:r w:rsidRPr="008A65FC">
          <w:rPr>
            <w:rStyle w:val="Hyperlink"/>
            <w:noProof/>
          </w:rPr>
          <w:t>Figure 128: GHG emissions from wetlands converted to cropland (CRT 4.B.2.3)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_Toc184808515 \h </w:instrText>
        </w:r>
        <w:r>
          <w:rPr>
            <w:noProof/>
            <w:webHidden/>
          </w:rPr>
        </w:r>
        <w:r>
          <w:rPr>
            <w:noProof/>
            <w:webHidden/>
          </w:rPr>
          <w:fldChar w:fldCharType="separate"/>
        </w:r>
        <w:r>
          <w:rPr>
            <w:noProof/>
            <w:webHidden/>
          </w:rPr>
          <w:t>183</w:t>
        </w:r>
        <w:r>
          <w:rPr>
            <w:noProof/>
            <w:webHidden/>
          </w:rPr>
          <w:fldChar w:fldCharType="end"/>
        </w:r>
      </w:hyperlink>
    </w:p>
    <w:p w14:paraId="70F4A707" w14:textId="7F9D08D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16" w:history="1">
        <w:r w:rsidRPr="008A65FC">
          <w:rPr>
            <w:rStyle w:val="Hyperlink"/>
            <w:noProof/>
          </w:rPr>
          <w:t>Figure 129: GHG emissions from settlements converted to cropland (CRT 4.B.2.4)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_Toc184808516 \h </w:instrText>
        </w:r>
        <w:r>
          <w:rPr>
            <w:noProof/>
            <w:webHidden/>
          </w:rPr>
        </w:r>
        <w:r>
          <w:rPr>
            <w:noProof/>
            <w:webHidden/>
          </w:rPr>
          <w:fldChar w:fldCharType="separate"/>
        </w:r>
        <w:r>
          <w:rPr>
            <w:noProof/>
            <w:webHidden/>
          </w:rPr>
          <w:t>183</w:t>
        </w:r>
        <w:r>
          <w:rPr>
            <w:noProof/>
            <w:webHidden/>
          </w:rPr>
          <w:fldChar w:fldCharType="end"/>
        </w:r>
      </w:hyperlink>
    </w:p>
    <w:p w14:paraId="74B8A336" w14:textId="18A47D6E"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17" w:history="1">
        <w:r w:rsidRPr="008A65FC">
          <w:rPr>
            <w:rStyle w:val="Hyperlink"/>
            <w:noProof/>
          </w:rPr>
          <w:t>Figure 130: Direct N</w:t>
        </w:r>
        <w:r w:rsidRPr="008A65FC">
          <w:rPr>
            <w:rStyle w:val="Hyperlink"/>
            <w:noProof/>
            <w:vertAlign w:val="subscript"/>
          </w:rPr>
          <w:t>2</w:t>
        </w:r>
        <w:r w:rsidRPr="008A65FC">
          <w:rPr>
            <w:rStyle w:val="Hyperlink"/>
            <w:noProof/>
          </w:rPr>
          <w:t>O emissions from N mineralization/immobilization in cropland (CRT 4.B.2)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_Toc184808517 \h </w:instrText>
        </w:r>
        <w:r>
          <w:rPr>
            <w:noProof/>
            <w:webHidden/>
          </w:rPr>
        </w:r>
        <w:r>
          <w:rPr>
            <w:noProof/>
            <w:webHidden/>
          </w:rPr>
          <w:fldChar w:fldCharType="separate"/>
        </w:r>
        <w:r>
          <w:rPr>
            <w:noProof/>
            <w:webHidden/>
          </w:rPr>
          <w:t>183</w:t>
        </w:r>
        <w:r>
          <w:rPr>
            <w:noProof/>
            <w:webHidden/>
          </w:rPr>
          <w:fldChar w:fldCharType="end"/>
        </w:r>
      </w:hyperlink>
    </w:p>
    <w:p w14:paraId="6A5A4F91" w14:textId="2E0FFD0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18" w:history="1">
        <w:r w:rsidRPr="008A65FC">
          <w:rPr>
            <w:rStyle w:val="Hyperlink"/>
            <w:noProof/>
          </w:rPr>
          <w:t>Figure 131: GHG emissions from wildfires (CRT 4.C.1)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_Toc184808518 \h </w:instrText>
        </w:r>
        <w:r>
          <w:rPr>
            <w:noProof/>
            <w:webHidden/>
          </w:rPr>
        </w:r>
        <w:r>
          <w:rPr>
            <w:noProof/>
            <w:webHidden/>
          </w:rPr>
          <w:fldChar w:fldCharType="separate"/>
        </w:r>
        <w:r>
          <w:rPr>
            <w:noProof/>
            <w:webHidden/>
          </w:rPr>
          <w:t>186</w:t>
        </w:r>
        <w:r>
          <w:rPr>
            <w:noProof/>
            <w:webHidden/>
          </w:rPr>
          <w:fldChar w:fldCharType="end"/>
        </w:r>
      </w:hyperlink>
    </w:p>
    <w:p w14:paraId="25AB5EBF" w14:textId="686DB6E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19" w:history="1">
        <w:r w:rsidRPr="008A65FC">
          <w:rPr>
            <w:rStyle w:val="Hyperlink"/>
            <w:noProof/>
          </w:rPr>
          <w:t>Figure 132: GHG emissions from forest land converted to grassland (CRT 4.C.2.1)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_Toc184808519 \h </w:instrText>
        </w:r>
        <w:r>
          <w:rPr>
            <w:noProof/>
            <w:webHidden/>
          </w:rPr>
        </w:r>
        <w:r>
          <w:rPr>
            <w:noProof/>
            <w:webHidden/>
          </w:rPr>
          <w:fldChar w:fldCharType="separate"/>
        </w:r>
        <w:r>
          <w:rPr>
            <w:noProof/>
            <w:webHidden/>
          </w:rPr>
          <w:t>186</w:t>
        </w:r>
        <w:r>
          <w:rPr>
            <w:noProof/>
            <w:webHidden/>
          </w:rPr>
          <w:fldChar w:fldCharType="end"/>
        </w:r>
      </w:hyperlink>
    </w:p>
    <w:p w14:paraId="3A5E7C89" w14:textId="27112383"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20" w:history="1">
        <w:r w:rsidRPr="008A65FC">
          <w:rPr>
            <w:rStyle w:val="Hyperlink"/>
            <w:noProof/>
          </w:rPr>
          <w:t>Figure 133: GHG emissions from cropland converted to grassland (CRT 4.C.2.2)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_Toc184808520 \h </w:instrText>
        </w:r>
        <w:r>
          <w:rPr>
            <w:noProof/>
            <w:webHidden/>
          </w:rPr>
        </w:r>
        <w:r>
          <w:rPr>
            <w:noProof/>
            <w:webHidden/>
          </w:rPr>
          <w:fldChar w:fldCharType="separate"/>
        </w:r>
        <w:r>
          <w:rPr>
            <w:noProof/>
            <w:webHidden/>
          </w:rPr>
          <w:t>186</w:t>
        </w:r>
        <w:r>
          <w:rPr>
            <w:noProof/>
            <w:webHidden/>
          </w:rPr>
          <w:fldChar w:fldCharType="end"/>
        </w:r>
      </w:hyperlink>
    </w:p>
    <w:p w14:paraId="55DC619E" w14:textId="01F2C40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21" w:history="1">
        <w:r w:rsidRPr="008A65FC">
          <w:rPr>
            <w:rStyle w:val="Hyperlink"/>
            <w:noProof/>
          </w:rPr>
          <w:t>Figure 134: GHG emissions from wetlands converted to grassland (CRT 4.C.2.3)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_Toc184808521 \h </w:instrText>
        </w:r>
        <w:r>
          <w:rPr>
            <w:noProof/>
            <w:webHidden/>
          </w:rPr>
        </w:r>
        <w:r>
          <w:rPr>
            <w:noProof/>
            <w:webHidden/>
          </w:rPr>
          <w:fldChar w:fldCharType="separate"/>
        </w:r>
        <w:r>
          <w:rPr>
            <w:noProof/>
            <w:webHidden/>
          </w:rPr>
          <w:t>186</w:t>
        </w:r>
        <w:r>
          <w:rPr>
            <w:noProof/>
            <w:webHidden/>
          </w:rPr>
          <w:fldChar w:fldCharType="end"/>
        </w:r>
      </w:hyperlink>
    </w:p>
    <w:p w14:paraId="0299E00A" w14:textId="580DDB9E"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22" w:history="1">
        <w:r w:rsidRPr="008A65FC">
          <w:rPr>
            <w:rStyle w:val="Hyperlink"/>
            <w:noProof/>
          </w:rPr>
          <w:t>Figure 135: GHG emissions from settlements converted to grassland (CRT 4.C.2.4)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_Toc184808522 \h </w:instrText>
        </w:r>
        <w:r>
          <w:rPr>
            <w:noProof/>
            <w:webHidden/>
          </w:rPr>
        </w:r>
        <w:r>
          <w:rPr>
            <w:noProof/>
            <w:webHidden/>
          </w:rPr>
          <w:fldChar w:fldCharType="separate"/>
        </w:r>
        <w:r>
          <w:rPr>
            <w:noProof/>
            <w:webHidden/>
          </w:rPr>
          <w:t>187</w:t>
        </w:r>
        <w:r>
          <w:rPr>
            <w:noProof/>
            <w:webHidden/>
          </w:rPr>
          <w:fldChar w:fldCharType="end"/>
        </w:r>
      </w:hyperlink>
    </w:p>
    <w:p w14:paraId="643499DA" w14:textId="6FD9562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23" w:history="1">
        <w:r w:rsidRPr="008A65FC">
          <w:rPr>
            <w:rStyle w:val="Hyperlink"/>
            <w:noProof/>
          </w:rPr>
          <w:t>Figure 136: GHG emissions from other land converted to grassland (CRT 4.C.2.5)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_Toc184808523 \h </w:instrText>
        </w:r>
        <w:r>
          <w:rPr>
            <w:noProof/>
            <w:webHidden/>
          </w:rPr>
        </w:r>
        <w:r>
          <w:rPr>
            <w:noProof/>
            <w:webHidden/>
          </w:rPr>
          <w:fldChar w:fldCharType="separate"/>
        </w:r>
        <w:r>
          <w:rPr>
            <w:noProof/>
            <w:webHidden/>
          </w:rPr>
          <w:t>187</w:t>
        </w:r>
        <w:r>
          <w:rPr>
            <w:noProof/>
            <w:webHidden/>
          </w:rPr>
          <w:fldChar w:fldCharType="end"/>
        </w:r>
      </w:hyperlink>
    </w:p>
    <w:p w14:paraId="50FF1F35" w14:textId="25A83F5F"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24" w:history="1">
        <w:r w:rsidRPr="008A65FC">
          <w:rPr>
            <w:rStyle w:val="Hyperlink"/>
            <w:noProof/>
          </w:rPr>
          <w:t>Figure 137: Direct N2O emissions from N mineralization/immobilization in grassland (CRT 4.C.2)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_Toc184808524 \h </w:instrText>
        </w:r>
        <w:r>
          <w:rPr>
            <w:noProof/>
            <w:webHidden/>
          </w:rPr>
        </w:r>
        <w:r>
          <w:rPr>
            <w:noProof/>
            <w:webHidden/>
          </w:rPr>
          <w:fldChar w:fldCharType="separate"/>
        </w:r>
        <w:r>
          <w:rPr>
            <w:noProof/>
            <w:webHidden/>
          </w:rPr>
          <w:t>187</w:t>
        </w:r>
        <w:r>
          <w:rPr>
            <w:noProof/>
            <w:webHidden/>
          </w:rPr>
          <w:fldChar w:fldCharType="end"/>
        </w:r>
      </w:hyperlink>
    </w:p>
    <w:p w14:paraId="665D0B05" w14:textId="5B41537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25" w:history="1">
        <w:r w:rsidRPr="008A65FC">
          <w:rPr>
            <w:rStyle w:val="Hyperlink"/>
            <w:noProof/>
          </w:rPr>
          <w:t>Figure 138: GHG emissions from land converted to other wetlands (CRT 4.D.2.3)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_Toc184808525 \h </w:instrText>
        </w:r>
        <w:r>
          <w:rPr>
            <w:noProof/>
            <w:webHidden/>
          </w:rPr>
        </w:r>
        <w:r>
          <w:rPr>
            <w:noProof/>
            <w:webHidden/>
          </w:rPr>
          <w:fldChar w:fldCharType="separate"/>
        </w:r>
        <w:r>
          <w:rPr>
            <w:noProof/>
            <w:webHidden/>
          </w:rPr>
          <w:t>190</w:t>
        </w:r>
        <w:r>
          <w:rPr>
            <w:noProof/>
            <w:webHidden/>
          </w:rPr>
          <w:fldChar w:fldCharType="end"/>
        </w:r>
      </w:hyperlink>
    </w:p>
    <w:p w14:paraId="1A7CA5B2" w14:textId="2D45C69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26" w:history="1">
        <w:r w:rsidRPr="008A65FC">
          <w:rPr>
            <w:rStyle w:val="Hyperlink"/>
            <w:noProof/>
          </w:rPr>
          <w:t>Figure 139: Direct N</w:t>
        </w:r>
        <w:r w:rsidRPr="008A65FC">
          <w:rPr>
            <w:rStyle w:val="Hyperlink"/>
            <w:noProof/>
            <w:vertAlign w:val="subscript"/>
          </w:rPr>
          <w:t>2</w:t>
        </w:r>
        <w:r w:rsidRPr="008A65FC">
          <w:rPr>
            <w:rStyle w:val="Hyperlink"/>
            <w:noProof/>
          </w:rPr>
          <w:t>O emissions from N mineralization/immobilization in wetlands (CRT 4.D.2)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_Toc184808526 \h </w:instrText>
        </w:r>
        <w:r>
          <w:rPr>
            <w:noProof/>
            <w:webHidden/>
          </w:rPr>
        </w:r>
        <w:r>
          <w:rPr>
            <w:noProof/>
            <w:webHidden/>
          </w:rPr>
          <w:fldChar w:fldCharType="separate"/>
        </w:r>
        <w:r>
          <w:rPr>
            <w:noProof/>
            <w:webHidden/>
          </w:rPr>
          <w:t>190</w:t>
        </w:r>
        <w:r>
          <w:rPr>
            <w:noProof/>
            <w:webHidden/>
          </w:rPr>
          <w:fldChar w:fldCharType="end"/>
        </w:r>
      </w:hyperlink>
    </w:p>
    <w:p w14:paraId="3AED6033" w14:textId="70B40F2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27" w:history="1">
        <w:r w:rsidRPr="008A65FC">
          <w:rPr>
            <w:rStyle w:val="Hyperlink"/>
            <w:noProof/>
          </w:rPr>
          <w:t>Figure 140: GHG emissions from forest land converted to settlements (CRT 4.E.2.1)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_Toc184808527 \h </w:instrText>
        </w:r>
        <w:r>
          <w:rPr>
            <w:noProof/>
            <w:webHidden/>
          </w:rPr>
        </w:r>
        <w:r>
          <w:rPr>
            <w:noProof/>
            <w:webHidden/>
          </w:rPr>
          <w:fldChar w:fldCharType="separate"/>
        </w:r>
        <w:r>
          <w:rPr>
            <w:noProof/>
            <w:webHidden/>
          </w:rPr>
          <w:t>193</w:t>
        </w:r>
        <w:r>
          <w:rPr>
            <w:noProof/>
            <w:webHidden/>
          </w:rPr>
          <w:fldChar w:fldCharType="end"/>
        </w:r>
      </w:hyperlink>
    </w:p>
    <w:p w14:paraId="3F9069C1" w14:textId="6E3DC66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28" w:history="1">
        <w:r w:rsidRPr="008A65FC">
          <w:rPr>
            <w:rStyle w:val="Hyperlink"/>
            <w:noProof/>
          </w:rPr>
          <w:t>Figure 141: GHG emissions from cropland converted to settlements (CRT 4.E.2.2)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_Toc184808528 \h </w:instrText>
        </w:r>
        <w:r>
          <w:rPr>
            <w:noProof/>
            <w:webHidden/>
          </w:rPr>
        </w:r>
        <w:r>
          <w:rPr>
            <w:noProof/>
            <w:webHidden/>
          </w:rPr>
          <w:fldChar w:fldCharType="separate"/>
        </w:r>
        <w:r>
          <w:rPr>
            <w:noProof/>
            <w:webHidden/>
          </w:rPr>
          <w:t>193</w:t>
        </w:r>
        <w:r>
          <w:rPr>
            <w:noProof/>
            <w:webHidden/>
          </w:rPr>
          <w:fldChar w:fldCharType="end"/>
        </w:r>
      </w:hyperlink>
    </w:p>
    <w:p w14:paraId="2235FA2A" w14:textId="0E6A11F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29" w:history="1">
        <w:r w:rsidRPr="008A65FC">
          <w:rPr>
            <w:rStyle w:val="Hyperlink"/>
            <w:noProof/>
          </w:rPr>
          <w:t>Figure 142: GHG emissions from grassland converted to settlements (CRT 4.E.2.3)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_Toc184808529 \h </w:instrText>
        </w:r>
        <w:r>
          <w:rPr>
            <w:noProof/>
            <w:webHidden/>
          </w:rPr>
        </w:r>
        <w:r>
          <w:rPr>
            <w:noProof/>
            <w:webHidden/>
          </w:rPr>
          <w:fldChar w:fldCharType="separate"/>
        </w:r>
        <w:r>
          <w:rPr>
            <w:noProof/>
            <w:webHidden/>
          </w:rPr>
          <w:t>193</w:t>
        </w:r>
        <w:r>
          <w:rPr>
            <w:noProof/>
            <w:webHidden/>
          </w:rPr>
          <w:fldChar w:fldCharType="end"/>
        </w:r>
      </w:hyperlink>
    </w:p>
    <w:p w14:paraId="0BCAEA10" w14:textId="57FAFFFA"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30" w:history="1">
        <w:r w:rsidRPr="008A65FC">
          <w:rPr>
            <w:rStyle w:val="Hyperlink"/>
            <w:noProof/>
          </w:rPr>
          <w:t>Figure 143: Direct N</w:t>
        </w:r>
        <w:r w:rsidRPr="008A65FC">
          <w:rPr>
            <w:rStyle w:val="Hyperlink"/>
            <w:noProof/>
            <w:vertAlign w:val="subscript"/>
          </w:rPr>
          <w:t>2</w:t>
        </w:r>
        <w:r w:rsidRPr="008A65FC">
          <w:rPr>
            <w:rStyle w:val="Hyperlink"/>
            <w:noProof/>
          </w:rPr>
          <w:t>O emissions from N mineralization/immobilization in settlements (CRT 4.E.2)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_Toc184808530 \h </w:instrText>
        </w:r>
        <w:r>
          <w:rPr>
            <w:noProof/>
            <w:webHidden/>
          </w:rPr>
        </w:r>
        <w:r>
          <w:rPr>
            <w:noProof/>
            <w:webHidden/>
          </w:rPr>
          <w:fldChar w:fldCharType="separate"/>
        </w:r>
        <w:r>
          <w:rPr>
            <w:noProof/>
            <w:webHidden/>
          </w:rPr>
          <w:t>193</w:t>
        </w:r>
        <w:r>
          <w:rPr>
            <w:noProof/>
            <w:webHidden/>
          </w:rPr>
          <w:fldChar w:fldCharType="end"/>
        </w:r>
      </w:hyperlink>
    </w:p>
    <w:p w14:paraId="02822243" w14:textId="6E47926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31" w:history="1">
        <w:r w:rsidRPr="008A65FC">
          <w:rPr>
            <w:rStyle w:val="Hyperlink"/>
            <w:noProof/>
          </w:rPr>
          <w:t>Figure 144: GHG emissions from forest land converted to other land (CRT 4.F.2.1)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_Toc184808531 \h </w:instrText>
        </w:r>
        <w:r>
          <w:rPr>
            <w:noProof/>
            <w:webHidden/>
          </w:rPr>
        </w:r>
        <w:r>
          <w:rPr>
            <w:noProof/>
            <w:webHidden/>
          </w:rPr>
          <w:fldChar w:fldCharType="separate"/>
        </w:r>
        <w:r>
          <w:rPr>
            <w:noProof/>
            <w:webHidden/>
          </w:rPr>
          <w:t>196</w:t>
        </w:r>
        <w:r>
          <w:rPr>
            <w:noProof/>
            <w:webHidden/>
          </w:rPr>
          <w:fldChar w:fldCharType="end"/>
        </w:r>
      </w:hyperlink>
    </w:p>
    <w:p w14:paraId="55690B87" w14:textId="22778CA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32" w:history="1">
        <w:r w:rsidRPr="008A65FC">
          <w:rPr>
            <w:rStyle w:val="Hyperlink"/>
            <w:noProof/>
          </w:rPr>
          <w:t>Figure 145: GHG emissions from grassland converted to other land (CRT 4.F.2.3)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_Toc184808532 \h </w:instrText>
        </w:r>
        <w:r>
          <w:rPr>
            <w:noProof/>
            <w:webHidden/>
          </w:rPr>
        </w:r>
        <w:r>
          <w:rPr>
            <w:noProof/>
            <w:webHidden/>
          </w:rPr>
          <w:fldChar w:fldCharType="separate"/>
        </w:r>
        <w:r>
          <w:rPr>
            <w:noProof/>
            <w:webHidden/>
          </w:rPr>
          <w:t>196</w:t>
        </w:r>
        <w:r>
          <w:rPr>
            <w:noProof/>
            <w:webHidden/>
          </w:rPr>
          <w:fldChar w:fldCharType="end"/>
        </w:r>
      </w:hyperlink>
    </w:p>
    <w:p w14:paraId="39EC13CF" w14:textId="280F5F5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33" w:history="1">
        <w:r w:rsidRPr="008A65FC">
          <w:rPr>
            <w:rStyle w:val="Hyperlink"/>
            <w:noProof/>
          </w:rPr>
          <w:t>Figure 146: Direct N2O emissions from N mineralization/immobilization in other lands (CRT 4.F.2) (kt CO2e)</w:t>
        </w:r>
        <w:r>
          <w:rPr>
            <w:noProof/>
            <w:webHidden/>
          </w:rPr>
          <w:tab/>
        </w:r>
        <w:r>
          <w:rPr>
            <w:noProof/>
            <w:webHidden/>
          </w:rPr>
          <w:fldChar w:fldCharType="begin"/>
        </w:r>
        <w:r>
          <w:rPr>
            <w:noProof/>
            <w:webHidden/>
          </w:rPr>
          <w:instrText xml:space="preserve"> PAGEREF _Toc184808533 \h </w:instrText>
        </w:r>
        <w:r>
          <w:rPr>
            <w:noProof/>
            <w:webHidden/>
          </w:rPr>
        </w:r>
        <w:r>
          <w:rPr>
            <w:noProof/>
            <w:webHidden/>
          </w:rPr>
          <w:fldChar w:fldCharType="separate"/>
        </w:r>
        <w:r>
          <w:rPr>
            <w:noProof/>
            <w:webHidden/>
          </w:rPr>
          <w:t>196</w:t>
        </w:r>
        <w:r>
          <w:rPr>
            <w:noProof/>
            <w:webHidden/>
          </w:rPr>
          <w:fldChar w:fldCharType="end"/>
        </w:r>
      </w:hyperlink>
    </w:p>
    <w:p w14:paraId="30C0CDE8" w14:textId="384ED19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34" w:history="1">
        <w:r w:rsidRPr="008A65FC">
          <w:rPr>
            <w:rStyle w:val="Hyperlink"/>
            <w:noProof/>
          </w:rPr>
          <w:t>Figure 147: Carbon mass produced from domestic harvested wood products (CRT 4G), per product type (in t C)</w:t>
        </w:r>
        <w:r>
          <w:rPr>
            <w:noProof/>
            <w:webHidden/>
          </w:rPr>
          <w:tab/>
        </w:r>
        <w:r>
          <w:rPr>
            <w:noProof/>
            <w:webHidden/>
          </w:rPr>
          <w:fldChar w:fldCharType="begin"/>
        </w:r>
        <w:r>
          <w:rPr>
            <w:noProof/>
            <w:webHidden/>
          </w:rPr>
          <w:instrText xml:space="preserve"> PAGEREF _Toc184808534 \h </w:instrText>
        </w:r>
        <w:r>
          <w:rPr>
            <w:noProof/>
            <w:webHidden/>
          </w:rPr>
        </w:r>
        <w:r>
          <w:rPr>
            <w:noProof/>
            <w:webHidden/>
          </w:rPr>
          <w:fldChar w:fldCharType="separate"/>
        </w:r>
        <w:r>
          <w:rPr>
            <w:noProof/>
            <w:webHidden/>
          </w:rPr>
          <w:t>199</w:t>
        </w:r>
        <w:r>
          <w:rPr>
            <w:noProof/>
            <w:webHidden/>
          </w:rPr>
          <w:fldChar w:fldCharType="end"/>
        </w:r>
      </w:hyperlink>
    </w:p>
    <w:p w14:paraId="6FA811B9" w14:textId="03110DF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35" w:history="1">
        <w:r w:rsidRPr="008A65FC">
          <w:rPr>
            <w:rStyle w:val="Hyperlink"/>
            <w:noProof/>
          </w:rPr>
          <w:t>Figure 148: GHG emissions from harvested wood products (CRT 4G) (kt CO</w:t>
        </w:r>
        <w:r w:rsidRPr="008A65FC">
          <w:rPr>
            <w:rStyle w:val="Hyperlink"/>
            <w:noProof/>
            <w:vertAlign w:val="subscript"/>
          </w:rPr>
          <w:t>2e</w:t>
        </w:r>
        <w:r w:rsidRPr="008A65FC">
          <w:rPr>
            <w:rStyle w:val="Hyperlink"/>
            <w:noProof/>
          </w:rPr>
          <w:t>)</w:t>
        </w:r>
        <w:r>
          <w:rPr>
            <w:noProof/>
            <w:webHidden/>
          </w:rPr>
          <w:tab/>
        </w:r>
        <w:r>
          <w:rPr>
            <w:noProof/>
            <w:webHidden/>
          </w:rPr>
          <w:fldChar w:fldCharType="begin"/>
        </w:r>
        <w:r>
          <w:rPr>
            <w:noProof/>
            <w:webHidden/>
          </w:rPr>
          <w:instrText xml:space="preserve"> PAGEREF _Toc184808535 \h </w:instrText>
        </w:r>
        <w:r>
          <w:rPr>
            <w:noProof/>
            <w:webHidden/>
          </w:rPr>
        </w:r>
        <w:r>
          <w:rPr>
            <w:noProof/>
            <w:webHidden/>
          </w:rPr>
          <w:fldChar w:fldCharType="separate"/>
        </w:r>
        <w:r>
          <w:rPr>
            <w:noProof/>
            <w:webHidden/>
          </w:rPr>
          <w:t>199</w:t>
        </w:r>
        <w:r>
          <w:rPr>
            <w:noProof/>
            <w:webHidden/>
          </w:rPr>
          <w:fldChar w:fldCharType="end"/>
        </w:r>
      </w:hyperlink>
    </w:p>
    <w:p w14:paraId="1DBCDB3F" w14:textId="244D7F72"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36" w:history="1">
        <w:r w:rsidRPr="008A65FC">
          <w:rPr>
            <w:rStyle w:val="Hyperlink"/>
            <w:noProof/>
          </w:rPr>
          <w:t>Figure 149: GHG emission trends for waste (CRT 5), for the period 1990-2022 (in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_Toc184808536 \h </w:instrText>
        </w:r>
        <w:r>
          <w:rPr>
            <w:noProof/>
            <w:webHidden/>
          </w:rPr>
        </w:r>
        <w:r>
          <w:rPr>
            <w:noProof/>
            <w:webHidden/>
          </w:rPr>
          <w:fldChar w:fldCharType="separate"/>
        </w:r>
        <w:r>
          <w:rPr>
            <w:noProof/>
            <w:webHidden/>
          </w:rPr>
          <w:t>201</w:t>
        </w:r>
        <w:r>
          <w:rPr>
            <w:noProof/>
            <w:webHidden/>
          </w:rPr>
          <w:fldChar w:fldCharType="end"/>
        </w:r>
      </w:hyperlink>
    </w:p>
    <w:p w14:paraId="7133CF3C" w14:textId="168BD938"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37" w:history="1">
        <w:r w:rsidRPr="008A65FC">
          <w:rPr>
            <w:rStyle w:val="Hyperlink"/>
            <w:noProof/>
          </w:rPr>
          <w:t>Figure 150: GHG emission distribution for waste sector (CRT 5), for the period 1990-2022, per subcategory (in %)</w:t>
        </w:r>
        <w:r>
          <w:rPr>
            <w:noProof/>
            <w:webHidden/>
          </w:rPr>
          <w:tab/>
        </w:r>
        <w:r>
          <w:rPr>
            <w:noProof/>
            <w:webHidden/>
          </w:rPr>
          <w:fldChar w:fldCharType="begin"/>
        </w:r>
        <w:r>
          <w:rPr>
            <w:noProof/>
            <w:webHidden/>
          </w:rPr>
          <w:instrText xml:space="preserve"> PAGEREF _Toc184808537 \h </w:instrText>
        </w:r>
        <w:r>
          <w:rPr>
            <w:noProof/>
            <w:webHidden/>
          </w:rPr>
        </w:r>
        <w:r>
          <w:rPr>
            <w:noProof/>
            <w:webHidden/>
          </w:rPr>
          <w:fldChar w:fldCharType="separate"/>
        </w:r>
        <w:r>
          <w:rPr>
            <w:noProof/>
            <w:webHidden/>
          </w:rPr>
          <w:t>202</w:t>
        </w:r>
        <w:r>
          <w:rPr>
            <w:noProof/>
            <w:webHidden/>
          </w:rPr>
          <w:fldChar w:fldCharType="end"/>
        </w:r>
      </w:hyperlink>
    </w:p>
    <w:p w14:paraId="6BA21858" w14:textId="6AFCFE5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38" w:history="1">
        <w:r w:rsidRPr="008A65FC">
          <w:rPr>
            <w:rStyle w:val="Hyperlink"/>
            <w:noProof/>
          </w:rPr>
          <w:t>Figure 151: GHG emissions for managed waste disposal sites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_Toc184808538 \h </w:instrText>
        </w:r>
        <w:r>
          <w:rPr>
            <w:noProof/>
            <w:webHidden/>
          </w:rPr>
        </w:r>
        <w:r>
          <w:rPr>
            <w:noProof/>
            <w:webHidden/>
          </w:rPr>
          <w:fldChar w:fldCharType="separate"/>
        </w:r>
        <w:r>
          <w:rPr>
            <w:noProof/>
            <w:webHidden/>
          </w:rPr>
          <w:t>203</w:t>
        </w:r>
        <w:r>
          <w:rPr>
            <w:noProof/>
            <w:webHidden/>
          </w:rPr>
          <w:fldChar w:fldCharType="end"/>
        </w:r>
      </w:hyperlink>
    </w:p>
    <w:p w14:paraId="448CE95F" w14:textId="27FC172F"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39" w:history="1">
        <w:r w:rsidRPr="008A65FC">
          <w:rPr>
            <w:rStyle w:val="Hyperlink"/>
            <w:noProof/>
          </w:rPr>
          <w:t>Figure 152: GHG emissions for domestic wastewater treatment and discharge (CRT 5.D.1)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_Toc184808539 \h </w:instrText>
        </w:r>
        <w:r>
          <w:rPr>
            <w:noProof/>
            <w:webHidden/>
          </w:rPr>
        </w:r>
        <w:r>
          <w:rPr>
            <w:noProof/>
            <w:webHidden/>
          </w:rPr>
          <w:fldChar w:fldCharType="separate"/>
        </w:r>
        <w:r>
          <w:rPr>
            <w:noProof/>
            <w:webHidden/>
          </w:rPr>
          <w:t>211</w:t>
        </w:r>
        <w:r>
          <w:rPr>
            <w:noProof/>
            <w:webHidden/>
          </w:rPr>
          <w:fldChar w:fldCharType="end"/>
        </w:r>
      </w:hyperlink>
    </w:p>
    <w:p w14:paraId="6CE1AFA9" w14:textId="71ACFDA0"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40" w:history="1">
        <w:r w:rsidRPr="008A65FC">
          <w:rPr>
            <w:rStyle w:val="Hyperlink"/>
            <w:noProof/>
          </w:rPr>
          <w:t>Figure 153: GHG emissions for industrial wastewater treatment and discharge (CRT 5.D.2) (kt CO</w:t>
        </w:r>
        <w:r w:rsidRPr="008A65FC">
          <w:rPr>
            <w:rStyle w:val="Hyperlink"/>
            <w:noProof/>
            <w:vertAlign w:val="subscript"/>
          </w:rPr>
          <w:t>2</w:t>
        </w:r>
        <w:r w:rsidRPr="008A65FC">
          <w:rPr>
            <w:rStyle w:val="Hyperlink"/>
            <w:noProof/>
          </w:rPr>
          <w:t>e)</w:t>
        </w:r>
        <w:r>
          <w:rPr>
            <w:noProof/>
            <w:webHidden/>
          </w:rPr>
          <w:tab/>
        </w:r>
        <w:r>
          <w:rPr>
            <w:noProof/>
            <w:webHidden/>
          </w:rPr>
          <w:fldChar w:fldCharType="begin"/>
        </w:r>
        <w:r>
          <w:rPr>
            <w:noProof/>
            <w:webHidden/>
          </w:rPr>
          <w:instrText xml:space="preserve"> PAGEREF _Toc184808540 \h </w:instrText>
        </w:r>
        <w:r>
          <w:rPr>
            <w:noProof/>
            <w:webHidden/>
          </w:rPr>
        </w:r>
        <w:r>
          <w:rPr>
            <w:noProof/>
            <w:webHidden/>
          </w:rPr>
          <w:fldChar w:fldCharType="separate"/>
        </w:r>
        <w:r>
          <w:rPr>
            <w:noProof/>
            <w:webHidden/>
          </w:rPr>
          <w:t>211</w:t>
        </w:r>
        <w:r>
          <w:rPr>
            <w:noProof/>
            <w:webHidden/>
          </w:rPr>
          <w:fldChar w:fldCharType="end"/>
        </w:r>
      </w:hyperlink>
    </w:p>
    <w:p w14:paraId="291CD18B" w14:textId="1D51F8A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41" w:history="1">
        <w:r w:rsidRPr="008A65FC">
          <w:rPr>
            <w:rStyle w:val="Hyperlink"/>
            <w:noProof/>
          </w:rPr>
          <w:t>Figure 154: Evolution of the COD for industrial wastewater, depending on the product type (CRT 5.D.2) (in t)</w:t>
        </w:r>
        <w:r>
          <w:rPr>
            <w:noProof/>
            <w:webHidden/>
          </w:rPr>
          <w:tab/>
        </w:r>
        <w:r>
          <w:rPr>
            <w:noProof/>
            <w:webHidden/>
          </w:rPr>
          <w:fldChar w:fldCharType="begin"/>
        </w:r>
        <w:r>
          <w:rPr>
            <w:noProof/>
            <w:webHidden/>
          </w:rPr>
          <w:instrText xml:space="preserve"> PAGEREF _Toc184808541 \h </w:instrText>
        </w:r>
        <w:r>
          <w:rPr>
            <w:noProof/>
            <w:webHidden/>
          </w:rPr>
        </w:r>
        <w:r>
          <w:rPr>
            <w:noProof/>
            <w:webHidden/>
          </w:rPr>
          <w:fldChar w:fldCharType="separate"/>
        </w:r>
        <w:r>
          <w:rPr>
            <w:noProof/>
            <w:webHidden/>
          </w:rPr>
          <w:t>211</w:t>
        </w:r>
        <w:r>
          <w:rPr>
            <w:noProof/>
            <w:webHidden/>
          </w:rPr>
          <w:fldChar w:fldCharType="end"/>
        </w:r>
      </w:hyperlink>
    </w:p>
    <w:p w14:paraId="519F91BE" w14:textId="3023579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42" w:history="1">
        <w:r w:rsidRPr="008A65FC">
          <w:rPr>
            <w:rStyle w:val="Hyperlink"/>
            <w:noProof/>
          </w:rPr>
          <w:t>Figure 155: Serbia’s treatment systems and pathways for domestic wastewater</w:t>
        </w:r>
        <w:r>
          <w:rPr>
            <w:noProof/>
            <w:webHidden/>
          </w:rPr>
          <w:tab/>
        </w:r>
        <w:r>
          <w:rPr>
            <w:noProof/>
            <w:webHidden/>
          </w:rPr>
          <w:fldChar w:fldCharType="begin"/>
        </w:r>
        <w:r>
          <w:rPr>
            <w:noProof/>
            <w:webHidden/>
          </w:rPr>
          <w:instrText xml:space="preserve"> PAGEREF _Toc184808542 \h </w:instrText>
        </w:r>
        <w:r>
          <w:rPr>
            <w:noProof/>
            <w:webHidden/>
          </w:rPr>
        </w:r>
        <w:r>
          <w:rPr>
            <w:noProof/>
            <w:webHidden/>
          </w:rPr>
          <w:fldChar w:fldCharType="separate"/>
        </w:r>
        <w:r>
          <w:rPr>
            <w:noProof/>
            <w:webHidden/>
          </w:rPr>
          <w:t>212</w:t>
        </w:r>
        <w:r>
          <w:rPr>
            <w:noProof/>
            <w:webHidden/>
          </w:rPr>
          <w:fldChar w:fldCharType="end"/>
        </w:r>
      </w:hyperlink>
    </w:p>
    <w:p w14:paraId="6CF86F77" w14:textId="4D692F6C" w:rsidR="0064776B" w:rsidRDefault="00A833BA" w:rsidP="00EF49A7">
      <w:pPr>
        <w:pStyle w:val="TableofFigures"/>
        <w:tabs>
          <w:tab w:val="right" w:leader="dot" w:pos="9062"/>
        </w:tabs>
        <w:rPr>
          <w:highlight w:val="yellow"/>
        </w:rPr>
      </w:pPr>
      <w:r w:rsidRPr="002462F0">
        <w:rPr>
          <w:highlight w:val="yellow"/>
        </w:rPr>
        <w:fldChar w:fldCharType="end"/>
      </w:r>
      <w:r w:rsidR="0064776B">
        <w:rPr>
          <w:highlight w:val="yellow"/>
        </w:rPr>
        <w:br w:type="page"/>
      </w:r>
    </w:p>
    <w:p w14:paraId="11D9224B" w14:textId="63B056B2" w:rsidR="00E62962" w:rsidRPr="00771B5A" w:rsidRDefault="0064776B" w:rsidP="00771B5A">
      <w:pPr>
        <w:pStyle w:val="BodyText"/>
        <w:rPr>
          <w:b/>
          <w:bCs/>
          <w:color w:val="548DD4" w:themeColor="text2" w:themeTint="99"/>
          <w:sz w:val="40"/>
          <w:szCs w:val="40"/>
        </w:rPr>
      </w:pPr>
      <w:bookmarkStart w:id="4" w:name="_Toc496101011"/>
      <w:bookmarkStart w:id="5" w:name="_Toc182327696"/>
      <w:r w:rsidRPr="00771B5A">
        <w:rPr>
          <w:b/>
          <w:bCs/>
          <w:color w:val="548DD4" w:themeColor="text2" w:themeTint="99"/>
          <w:sz w:val="40"/>
          <w:szCs w:val="40"/>
        </w:rPr>
        <w:lastRenderedPageBreak/>
        <w:t>List</w:t>
      </w:r>
      <w:r w:rsidR="00DD70A2" w:rsidRPr="00771B5A">
        <w:rPr>
          <w:b/>
          <w:bCs/>
          <w:color w:val="548DD4" w:themeColor="text2" w:themeTint="99"/>
          <w:sz w:val="40"/>
          <w:szCs w:val="40"/>
        </w:rPr>
        <w:t xml:space="preserve"> of </w:t>
      </w:r>
      <w:r w:rsidRPr="00771B5A">
        <w:rPr>
          <w:b/>
          <w:bCs/>
          <w:color w:val="548DD4" w:themeColor="text2" w:themeTint="99"/>
          <w:sz w:val="40"/>
          <w:szCs w:val="40"/>
        </w:rPr>
        <w:t>T</w:t>
      </w:r>
      <w:r w:rsidR="00DD70A2" w:rsidRPr="00771B5A">
        <w:rPr>
          <w:b/>
          <w:bCs/>
          <w:color w:val="548DD4" w:themeColor="text2" w:themeTint="99"/>
          <w:sz w:val="40"/>
          <w:szCs w:val="40"/>
        </w:rPr>
        <w:t>able</w:t>
      </w:r>
      <w:r w:rsidR="006059AE" w:rsidRPr="00771B5A">
        <w:rPr>
          <w:b/>
          <w:bCs/>
          <w:color w:val="548DD4" w:themeColor="text2" w:themeTint="99"/>
          <w:sz w:val="40"/>
          <w:szCs w:val="40"/>
        </w:rPr>
        <w:t>s</w:t>
      </w:r>
      <w:bookmarkEnd w:id="4"/>
      <w:bookmarkEnd w:id="5"/>
    </w:p>
    <w:p w14:paraId="4D91E276" w14:textId="43D7498D" w:rsidR="00440D6B" w:rsidRDefault="007D44CC">
      <w:pPr>
        <w:pStyle w:val="TableofFigures"/>
        <w:tabs>
          <w:tab w:val="right" w:leader="dot" w:pos="9062"/>
        </w:tabs>
        <w:rPr>
          <w:rFonts w:eastAsiaTheme="minorEastAsia"/>
          <w:noProof/>
          <w:kern w:val="2"/>
          <w:sz w:val="24"/>
          <w:szCs w:val="24"/>
          <w:lang w:val="en-US"/>
          <w14:ligatures w14:val="standardContextual"/>
        </w:rPr>
      </w:pPr>
      <w:r>
        <w:rPr>
          <w:highlight w:val="yellow"/>
        </w:rPr>
        <w:fldChar w:fldCharType="begin"/>
      </w:r>
      <w:r>
        <w:rPr>
          <w:highlight w:val="yellow"/>
        </w:rPr>
        <w:instrText xml:space="preserve"> TOC \h \z \c "Table" </w:instrText>
      </w:r>
      <w:r>
        <w:rPr>
          <w:highlight w:val="yellow"/>
        </w:rPr>
        <w:fldChar w:fldCharType="separate"/>
      </w:r>
      <w:hyperlink w:anchor="_Toc184808543" w:history="1">
        <w:r w:rsidR="00440D6B" w:rsidRPr="006E1A62">
          <w:rPr>
            <w:rStyle w:val="Hyperlink"/>
            <w:noProof/>
          </w:rPr>
          <w:t>Table 1: Synthetic description of the input and output elements for each activity emission inventories</w:t>
        </w:r>
        <w:r w:rsidR="00440D6B">
          <w:rPr>
            <w:noProof/>
            <w:webHidden/>
          </w:rPr>
          <w:tab/>
        </w:r>
        <w:r w:rsidR="00440D6B">
          <w:rPr>
            <w:noProof/>
            <w:webHidden/>
          </w:rPr>
          <w:fldChar w:fldCharType="begin"/>
        </w:r>
        <w:r w:rsidR="00440D6B">
          <w:rPr>
            <w:noProof/>
            <w:webHidden/>
          </w:rPr>
          <w:instrText xml:space="preserve"> PAGEREF _Toc184808543 \h </w:instrText>
        </w:r>
        <w:r w:rsidR="00440D6B">
          <w:rPr>
            <w:noProof/>
            <w:webHidden/>
          </w:rPr>
        </w:r>
        <w:r w:rsidR="00440D6B">
          <w:rPr>
            <w:noProof/>
            <w:webHidden/>
          </w:rPr>
          <w:fldChar w:fldCharType="separate"/>
        </w:r>
        <w:r w:rsidR="00440D6B">
          <w:rPr>
            <w:noProof/>
            <w:webHidden/>
          </w:rPr>
          <w:t>26</w:t>
        </w:r>
        <w:r w:rsidR="00440D6B">
          <w:rPr>
            <w:noProof/>
            <w:webHidden/>
          </w:rPr>
          <w:fldChar w:fldCharType="end"/>
        </w:r>
      </w:hyperlink>
    </w:p>
    <w:p w14:paraId="70A9A27B" w14:textId="276B122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44" w:history="1">
        <w:r w:rsidRPr="006E1A62">
          <w:rPr>
            <w:rStyle w:val="Hyperlink"/>
            <w:noProof/>
          </w:rPr>
          <w:t>Table 2: Methodology employed by CRT for emission estimate and emission factors used (1/2)</w:t>
        </w:r>
        <w:r>
          <w:rPr>
            <w:noProof/>
            <w:webHidden/>
          </w:rPr>
          <w:tab/>
        </w:r>
        <w:r>
          <w:rPr>
            <w:noProof/>
            <w:webHidden/>
          </w:rPr>
          <w:fldChar w:fldCharType="begin"/>
        </w:r>
        <w:r>
          <w:rPr>
            <w:noProof/>
            <w:webHidden/>
          </w:rPr>
          <w:instrText xml:space="preserve"> PAGEREF _Toc184808544 \h </w:instrText>
        </w:r>
        <w:r>
          <w:rPr>
            <w:noProof/>
            <w:webHidden/>
          </w:rPr>
        </w:r>
        <w:r>
          <w:rPr>
            <w:noProof/>
            <w:webHidden/>
          </w:rPr>
          <w:fldChar w:fldCharType="separate"/>
        </w:r>
        <w:r>
          <w:rPr>
            <w:noProof/>
            <w:webHidden/>
          </w:rPr>
          <w:t>32</w:t>
        </w:r>
        <w:r>
          <w:rPr>
            <w:noProof/>
            <w:webHidden/>
          </w:rPr>
          <w:fldChar w:fldCharType="end"/>
        </w:r>
      </w:hyperlink>
    </w:p>
    <w:p w14:paraId="36CB2BD1" w14:textId="275B7ADE"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45" w:history="1">
        <w:r w:rsidRPr="006E1A62">
          <w:rPr>
            <w:rStyle w:val="Hyperlink"/>
            <w:noProof/>
          </w:rPr>
          <w:t>Table 3: Methodology employed by CRT for emission estimate and emission factors used (2/2)</w:t>
        </w:r>
        <w:r>
          <w:rPr>
            <w:noProof/>
            <w:webHidden/>
          </w:rPr>
          <w:tab/>
        </w:r>
        <w:r>
          <w:rPr>
            <w:noProof/>
            <w:webHidden/>
          </w:rPr>
          <w:fldChar w:fldCharType="begin"/>
        </w:r>
        <w:r>
          <w:rPr>
            <w:noProof/>
            <w:webHidden/>
          </w:rPr>
          <w:instrText xml:space="preserve"> PAGEREF _Toc184808545 \h </w:instrText>
        </w:r>
        <w:r>
          <w:rPr>
            <w:noProof/>
            <w:webHidden/>
          </w:rPr>
        </w:r>
        <w:r>
          <w:rPr>
            <w:noProof/>
            <w:webHidden/>
          </w:rPr>
          <w:fldChar w:fldCharType="separate"/>
        </w:r>
        <w:r>
          <w:rPr>
            <w:noProof/>
            <w:webHidden/>
          </w:rPr>
          <w:t>33</w:t>
        </w:r>
        <w:r>
          <w:rPr>
            <w:noProof/>
            <w:webHidden/>
          </w:rPr>
          <w:fldChar w:fldCharType="end"/>
        </w:r>
      </w:hyperlink>
    </w:p>
    <w:p w14:paraId="2B5CB064" w14:textId="501E1B60"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46" w:history="1">
        <w:r w:rsidRPr="006E1A62">
          <w:rPr>
            <w:rStyle w:val="Hyperlink"/>
            <w:noProof/>
          </w:rPr>
          <w:t>Table 4: Key Category Analysis for the 2022 based on level of emissions (including LULUCF)</w:t>
        </w:r>
        <w:r>
          <w:rPr>
            <w:noProof/>
            <w:webHidden/>
          </w:rPr>
          <w:tab/>
        </w:r>
        <w:r>
          <w:rPr>
            <w:noProof/>
            <w:webHidden/>
          </w:rPr>
          <w:fldChar w:fldCharType="begin"/>
        </w:r>
        <w:r>
          <w:rPr>
            <w:noProof/>
            <w:webHidden/>
          </w:rPr>
          <w:instrText xml:space="preserve"> PAGEREF _Toc184808546 \h </w:instrText>
        </w:r>
        <w:r>
          <w:rPr>
            <w:noProof/>
            <w:webHidden/>
          </w:rPr>
        </w:r>
        <w:r>
          <w:rPr>
            <w:noProof/>
            <w:webHidden/>
          </w:rPr>
          <w:fldChar w:fldCharType="separate"/>
        </w:r>
        <w:r>
          <w:rPr>
            <w:noProof/>
            <w:webHidden/>
          </w:rPr>
          <w:t>36</w:t>
        </w:r>
        <w:r>
          <w:rPr>
            <w:noProof/>
            <w:webHidden/>
          </w:rPr>
          <w:fldChar w:fldCharType="end"/>
        </w:r>
      </w:hyperlink>
    </w:p>
    <w:p w14:paraId="1DE7C066" w14:textId="7B8C15D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47" w:history="1">
        <w:r w:rsidRPr="006E1A62">
          <w:rPr>
            <w:rStyle w:val="Hyperlink"/>
            <w:noProof/>
          </w:rPr>
          <w:t>Table 5: Key Category Analysis for the 2022 year based on level of emissions (excluding LULUCF)</w:t>
        </w:r>
        <w:r>
          <w:rPr>
            <w:noProof/>
            <w:webHidden/>
          </w:rPr>
          <w:tab/>
        </w:r>
        <w:r>
          <w:rPr>
            <w:noProof/>
            <w:webHidden/>
          </w:rPr>
          <w:fldChar w:fldCharType="begin"/>
        </w:r>
        <w:r>
          <w:rPr>
            <w:noProof/>
            <w:webHidden/>
          </w:rPr>
          <w:instrText xml:space="preserve"> PAGEREF _Toc184808547 \h </w:instrText>
        </w:r>
        <w:r>
          <w:rPr>
            <w:noProof/>
            <w:webHidden/>
          </w:rPr>
        </w:r>
        <w:r>
          <w:rPr>
            <w:noProof/>
            <w:webHidden/>
          </w:rPr>
          <w:fldChar w:fldCharType="separate"/>
        </w:r>
        <w:r>
          <w:rPr>
            <w:noProof/>
            <w:webHidden/>
          </w:rPr>
          <w:t>37</w:t>
        </w:r>
        <w:r>
          <w:rPr>
            <w:noProof/>
            <w:webHidden/>
          </w:rPr>
          <w:fldChar w:fldCharType="end"/>
        </w:r>
      </w:hyperlink>
    </w:p>
    <w:p w14:paraId="5ECCDB40" w14:textId="79AE8200"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48" w:history="1">
        <w:r w:rsidRPr="006E1A62">
          <w:rPr>
            <w:rStyle w:val="Hyperlink"/>
            <w:noProof/>
          </w:rPr>
          <w:t>Table 6: Key Category Analysis based on trend in emissions (from base year 1990 to 2022, including LULUCF)</w:t>
        </w:r>
        <w:r>
          <w:rPr>
            <w:noProof/>
            <w:webHidden/>
          </w:rPr>
          <w:tab/>
        </w:r>
        <w:r>
          <w:rPr>
            <w:noProof/>
            <w:webHidden/>
          </w:rPr>
          <w:fldChar w:fldCharType="begin"/>
        </w:r>
        <w:r>
          <w:rPr>
            <w:noProof/>
            <w:webHidden/>
          </w:rPr>
          <w:instrText xml:space="preserve"> PAGEREF _Toc184808548 \h </w:instrText>
        </w:r>
        <w:r>
          <w:rPr>
            <w:noProof/>
            <w:webHidden/>
          </w:rPr>
        </w:r>
        <w:r>
          <w:rPr>
            <w:noProof/>
            <w:webHidden/>
          </w:rPr>
          <w:fldChar w:fldCharType="separate"/>
        </w:r>
        <w:r>
          <w:rPr>
            <w:noProof/>
            <w:webHidden/>
          </w:rPr>
          <w:t>38</w:t>
        </w:r>
        <w:r>
          <w:rPr>
            <w:noProof/>
            <w:webHidden/>
          </w:rPr>
          <w:fldChar w:fldCharType="end"/>
        </w:r>
      </w:hyperlink>
    </w:p>
    <w:p w14:paraId="74040A0D" w14:textId="665C7EF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49" w:history="1">
        <w:r w:rsidRPr="006E1A62">
          <w:rPr>
            <w:rStyle w:val="Hyperlink"/>
            <w:noProof/>
          </w:rPr>
          <w:t>Table 7: Key Category Analysis based on trend in emissions (from base year 1990 to 2022, excluding LULUCF)</w:t>
        </w:r>
        <w:r>
          <w:rPr>
            <w:noProof/>
            <w:webHidden/>
          </w:rPr>
          <w:tab/>
        </w:r>
        <w:r>
          <w:rPr>
            <w:noProof/>
            <w:webHidden/>
          </w:rPr>
          <w:fldChar w:fldCharType="begin"/>
        </w:r>
        <w:r>
          <w:rPr>
            <w:noProof/>
            <w:webHidden/>
          </w:rPr>
          <w:instrText xml:space="preserve"> PAGEREF _Toc184808549 \h </w:instrText>
        </w:r>
        <w:r>
          <w:rPr>
            <w:noProof/>
            <w:webHidden/>
          </w:rPr>
        </w:r>
        <w:r>
          <w:rPr>
            <w:noProof/>
            <w:webHidden/>
          </w:rPr>
          <w:fldChar w:fldCharType="separate"/>
        </w:r>
        <w:r>
          <w:rPr>
            <w:noProof/>
            <w:webHidden/>
          </w:rPr>
          <w:t>39</w:t>
        </w:r>
        <w:r>
          <w:rPr>
            <w:noProof/>
            <w:webHidden/>
          </w:rPr>
          <w:fldChar w:fldCharType="end"/>
        </w:r>
      </w:hyperlink>
    </w:p>
    <w:p w14:paraId="5A0292D3" w14:textId="1EA3B03F"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50" w:history="1">
        <w:r w:rsidRPr="006E1A62">
          <w:rPr>
            <w:rStyle w:val="Hyperlink"/>
            <w:noProof/>
          </w:rPr>
          <w:t>Table 8: Total GHG emissions in the Republic of Serbia for the period 1990-2022 (in kt CO</w:t>
        </w:r>
        <w:r w:rsidRPr="006E1A62">
          <w:rPr>
            <w:rStyle w:val="Hyperlink"/>
            <w:noProof/>
            <w:vertAlign w:val="subscript"/>
          </w:rPr>
          <w:t>2</w:t>
        </w:r>
        <w:r w:rsidRPr="006E1A62">
          <w:rPr>
            <w:rStyle w:val="Hyperlink"/>
            <w:noProof/>
          </w:rPr>
          <w:t>e)</w:t>
        </w:r>
        <w:r>
          <w:rPr>
            <w:noProof/>
            <w:webHidden/>
          </w:rPr>
          <w:tab/>
        </w:r>
        <w:r>
          <w:rPr>
            <w:noProof/>
            <w:webHidden/>
          </w:rPr>
          <w:fldChar w:fldCharType="begin"/>
        </w:r>
        <w:r>
          <w:rPr>
            <w:noProof/>
            <w:webHidden/>
          </w:rPr>
          <w:instrText xml:space="preserve"> PAGEREF _Toc184808550 \h </w:instrText>
        </w:r>
        <w:r>
          <w:rPr>
            <w:noProof/>
            <w:webHidden/>
          </w:rPr>
        </w:r>
        <w:r>
          <w:rPr>
            <w:noProof/>
            <w:webHidden/>
          </w:rPr>
          <w:fldChar w:fldCharType="separate"/>
        </w:r>
        <w:r>
          <w:rPr>
            <w:noProof/>
            <w:webHidden/>
          </w:rPr>
          <w:t>44</w:t>
        </w:r>
        <w:r>
          <w:rPr>
            <w:noProof/>
            <w:webHidden/>
          </w:rPr>
          <w:fldChar w:fldCharType="end"/>
        </w:r>
      </w:hyperlink>
    </w:p>
    <w:p w14:paraId="2FC79D78" w14:textId="3875FAF8"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51" w:history="1">
        <w:r w:rsidRPr="006E1A62">
          <w:rPr>
            <w:rStyle w:val="Hyperlink"/>
            <w:noProof/>
          </w:rPr>
          <w:t>Table 9: Total GHG emissions per GDP (kg CO</w:t>
        </w:r>
        <w:r w:rsidRPr="006E1A62">
          <w:rPr>
            <w:rStyle w:val="Hyperlink"/>
            <w:noProof/>
            <w:vertAlign w:val="subscript"/>
          </w:rPr>
          <w:t>2</w:t>
        </w:r>
        <w:r w:rsidRPr="006E1A62">
          <w:rPr>
            <w:rStyle w:val="Hyperlink"/>
            <w:noProof/>
          </w:rPr>
          <w:t>e/$) and per capita (t CO</w:t>
        </w:r>
        <w:r w:rsidRPr="006E1A62">
          <w:rPr>
            <w:rStyle w:val="Hyperlink"/>
            <w:noProof/>
            <w:vertAlign w:val="subscript"/>
          </w:rPr>
          <w:t>2</w:t>
        </w:r>
        <w:r w:rsidRPr="006E1A62">
          <w:rPr>
            <w:rStyle w:val="Hyperlink"/>
            <w:noProof/>
          </w:rPr>
          <w:t>e/inhabitant), in the Republic of Serbia, for the period 1990-2022</w:t>
        </w:r>
        <w:r>
          <w:rPr>
            <w:noProof/>
            <w:webHidden/>
          </w:rPr>
          <w:tab/>
        </w:r>
        <w:r>
          <w:rPr>
            <w:noProof/>
            <w:webHidden/>
          </w:rPr>
          <w:fldChar w:fldCharType="begin"/>
        </w:r>
        <w:r>
          <w:rPr>
            <w:noProof/>
            <w:webHidden/>
          </w:rPr>
          <w:instrText xml:space="preserve"> PAGEREF _Toc184808551 \h </w:instrText>
        </w:r>
        <w:r>
          <w:rPr>
            <w:noProof/>
            <w:webHidden/>
          </w:rPr>
        </w:r>
        <w:r>
          <w:rPr>
            <w:noProof/>
            <w:webHidden/>
          </w:rPr>
          <w:fldChar w:fldCharType="separate"/>
        </w:r>
        <w:r>
          <w:rPr>
            <w:noProof/>
            <w:webHidden/>
          </w:rPr>
          <w:t>45</w:t>
        </w:r>
        <w:r>
          <w:rPr>
            <w:noProof/>
            <w:webHidden/>
          </w:rPr>
          <w:fldChar w:fldCharType="end"/>
        </w:r>
      </w:hyperlink>
    </w:p>
    <w:p w14:paraId="17F0BEE4" w14:textId="77ACD5A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52" w:history="1">
        <w:r w:rsidRPr="006E1A62">
          <w:rPr>
            <w:rStyle w:val="Hyperlink"/>
            <w:noProof/>
          </w:rPr>
          <w:t>Table 10: GHG emissions in the Republic of Serbia, per substance and per main CRT category, between 1990 and 2022</w:t>
        </w:r>
        <w:r>
          <w:rPr>
            <w:noProof/>
            <w:webHidden/>
          </w:rPr>
          <w:tab/>
        </w:r>
        <w:r>
          <w:rPr>
            <w:noProof/>
            <w:webHidden/>
          </w:rPr>
          <w:fldChar w:fldCharType="begin"/>
        </w:r>
        <w:r>
          <w:rPr>
            <w:noProof/>
            <w:webHidden/>
          </w:rPr>
          <w:instrText xml:space="preserve"> PAGEREF _Toc184808552 \h </w:instrText>
        </w:r>
        <w:r>
          <w:rPr>
            <w:noProof/>
            <w:webHidden/>
          </w:rPr>
        </w:r>
        <w:r>
          <w:rPr>
            <w:noProof/>
            <w:webHidden/>
          </w:rPr>
          <w:fldChar w:fldCharType="separate"/>
        </w:r>
        <w:r>
          <w:rPr>
            <w:noProof/>
            <w:webHidden/>
          </w:rPr>
          <w:t>46</w:t>
        </w:r>
        <w:r>
          <w:rPr>
            <w:noProof/>
            <w:webHidden/>
          </w:rPr>
          <w:fldChar w:fldCharType="end"/>
        </w:r>
      </w:hyperlink>
    </w:p>
    <w:p w14:paraId="09D7F072" w14:textId="55CA2A8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53" w:history="1">
        <w:r w:rsidRPr="006E1A62">
          <w:rPr>
            <w:rStyle w:val="Hyperlink"/>
            <w:noProof/>
          </w:rPr>
          <w:t>Table 11: Mass emissions of the different fluorinated gases in the Republic of Serbia, for the period 1990-2022</w:t>
        </w:r>
        <w:r>
          <w:rPr>
            <w:noProof/>
            <w:webHidden/>
          </w:rPr>
          <w:tab/>
        </w:r>
        <w:r>
          <w:rPr>
            <w:noProof/>
            <w:webHidden/>
          </w:rPr>
          <w:fldChar w:fldCharType="begin"/>
        </w:r>
        <w:r>
          <w:rPr>
            <w:noProof/>
            <w:webHidden/>
          </w:rPr>
          <w:instrText xml:space="preserve"> PAGEREF _Toc184808553 \h </w:instrText>
        </w:r>
        <w:r>
          <w:rPr>
            <w:noProof/>
            <w:webHidden/>
          </w:rPr>
        </w:r>
        <w:r>
          <w:rPr>
            <w:noProof/>
            <w:webHidden/>
          </w:rPr>
          <w:fldChar w:fldCharType="separate"/>
        </w:r>
        <w:r>
          <w:rPr>
            <w:noProof/>
            <w:webHidden/>
          </w:rPr>
          <w:t>48</w:t>
        </w:r>
        <w:r>
          <w:rPr>
            <w:noProof/>
            <w:webHidden/>
          </w:rPr>
          <w:fldChar w:fldCharType="end"/>
        </w:r>
      </w:hyperlink>
    </w:p>
    <w:p w14:paraId="3C30010F" w14:textId="10BE30F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54" w:history="1">
        <w:r w:rsidRPr="006E1A62">
          <w:rPr>
            <w:rStyle w:val="Hyperlink"/>
            <w:noProof/>
          </w:rPr>
          <w:t>Table 12: Aggregated GHG emissions (in kt CO</w:t>
        </w:r>
        <w:r w:rsidRPr="006E1A62">
          <w:rPr>
            <w:rStyle w:val="Hyperlink"/>
            <w:noProof/>
            <w:vertAlign w:val="subscript"/>
          </w:rPr>
          <w:t>2</w:t>
        </w:r>
        <w:r w:rsidRPr="006E1A62">
          <w:rPr>
            <w:rStyle w:val="Hyperlink"/>
            <w:noProof/>
          </w:rPr>
          <w:t>e) in the Republic of Serbia, for each CRT category, between 1990 and 2022</w:t>
        </w:r>
        <w:r>
          <w:rPr>
            <w:noProof/>
            <w:webHidden/>
          </w:rPr>
          <w:tab/>
        </w:r>
        <w:r>
          <w:rPr>
            <w:noProof/>
            <w:webHidden/>
          </w:rPr>
          <w:fldChar w:fldCharType="begin"/>
        </w:r>
        <w:r>
          <w:rPr>
            <w:noProof/>
            <w:webHidden/>
          </w:rPr>
          <w:instrText xml:space="preserve"> PAGEREF _Toc184808554 \h </w:instrText>
        </w:r>
        <w:r>
          <w:rPr>
            <w:noProof/>
            <w:webHidden/>
          </w:rPr>
        </w:r>
        <w:r>
          <w:rPr>
            <w:noProof/>
            <w:webHidden/>
          </w:rPr>
          <w:fldChar w:fldCharType="separate"/>
        </w:r>
        <w:r>
          <w:rPr>
            <w:noProof/>
            <w:webHidden/>
          </w:rPr>
          <w:t>49</w:t>
        </w:r>
        <w:r>
          <w:rPr>
            <w:noProof/>
            <w:webHidden/>
          </w:rPr>
          <w:fldChar w:fldCharType="end"/>
        </w:r>
      </w:hyperlink>
    </w:p>
    <w:p w14:paraId="18A56668" w14:textId="694556D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55" w:history="1">
        <w:r w:rsidRPr="006E1A62">
          <w:rPr>
            <w:rStyle w:val="Hyperlink"/>
            <w:noProof/>
          </w:rPr>
          <w:t>Table 13: Overall comparison of the CO</w:t>
        </w:r>
        <w:r w:rsidRPr="006E1A62">
          <w:rPr>
            <w:rStyle w:val="Hyperlink"/>
            <w:noProof/>
            <w:vertAlign w:val="subscript"/>
          </w:rPr>
          <w:t>2</w:t>
        </w:r>
        <w:r w:rsidRPr="006E1A62">
          <w:rPr>
            <w:rStyle w:val="Hyperlink"/>
            <w:noProof/>
          </w:rPr>
          <w:t xml:space="preserve"> emissions from the reference and sectoral approaches for the Republic of Serbia, for the period 1990-2022</w:t>
        </w:r>
        <w:r>
          <w:rPr>
            <w:noProof/>
            <w:webHidden/>
          </w:rPr>
          <w:tab/>
        </w:r>
        <w:r>
          <w:rPr>
            <w:noProof/>
            <w:webHidden/>
          </w:rPr>
          <w:fldChar w:fldCharType="begin"/>
        </w:r>
        <w:r>
          <w:rPr>
            <w:noProof/>
            <w:webHidden/>
          </w:rPr>
          <w:instrText xml:space="preserve"> PAGEREF _Toc184808555 \h </w:instrText>
        </w:r>
        <w:r>
          <w:rPr>
            <w:noProof/>
            <w:webHidden/>
          </w:rPr>
        </w:r>
        <w:r>
          <w:rPr>
            <w:noProof/>
            <w:webHidden/>
          </w:rPr>
          <w:fldChar w:fldCharType="separate"/>
        </w:r>
        <w:r>
          <w:rPr>
            <w:noProof/>
            <w:webHidden/>
          </w:rPr>
          <w:t>57</w:t>
        </w:r>
        <w:r>
          <w:rPr>
            <w:noProof/>
            <w:webHidden/>
          </w:rPr>
          <w:fldChar w:fldCharType="end"/>
        </w:r>
      </w:hyperlink>
    </w:p>
    <w:p w14:paraId="1C5661F9" w14:textId="055C1FD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56" w:history="1">
        <w:r w:rsidRPr="006E1A62">
          <w:rPr>
            <w:rStyle w:val="Hyperlink"/>
            <w:noProof/>
          </w:rPr>
          <w:t>Table 14: Differences between sectoral and reference approaches (in %) in terms of fuel consumptions and CO</w:t>
        </w:r>
        <w:r w:rsidRPr="006E1A62">
          <w:rPr>
            <w:rStyle w:val="Hyperlink"/>
            <w:noProof/>
            <w:vertAlign w:val="subscript"/>
          </w:rPr>
          <w:t>2</w:t>
        </w:r>
        <w:r w:rsidRPr="006E1A62">
          <w:rPr>
            <w:rStyle w:val="Hyperlink"/>
            <w:noProof/>
          </w:rPr>
          <w:t xml:space="preserve"> emissions, for all different fuel categories, for the Republic of Serbia, for the period 1990-2022</w:t>
        </w:r>
        <w:r>
          <w:rPr>
            <w:noProof/>
            <w:webHidden/>
          </w:rPr>
          <w:tab/>
        </w:r>
        <w:r>
          <w:rPr>
            <w:noProof/>
            <w:webHidden/>
          </w:rPr>
          <w:fldChar w:fldCharType="begin"/>
        </w:r>
        <w:r>
          <w:rPr>
            <w:noProof/>
            <w:webHidden/>
          </w:rPr>
          <w:instrText xml:space="preserve"> PAGEREF _Toc184808556 \h </w:instrText>
        </w:r>
        <w:r>
          <w:rPr>
            <w:noProof/>
            <w:webHidden/>
          </w:rPr>
        </w:r>
        <w:r>
          <w:rPr>
            <w:noProof/>
            <w:webHidden/>
          </w:rPr>
          <w:fldChar w:fldCharType="separate"/>
        </w:r>
        <w:r>
          <w:rPr>
            <w:noProof/>
            <w:webHidden/>
          </w:rPr>
          <w:t>59</w:t>
        </w:r>
        <w:r>
          <w:rPr>
            <w:noProof/>
            <w:webHidden/>
          </w:rPr>
          <w:fldChar w:fldCharType="end"/>
        </w:r>
      </w:hyperlink>
    </w:p>
    <w:p w14:paraId="38F95E28" w14:textId="1F90B7A8"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57" w:history="1">
        <w:r w:rsidRPr="006E1A62">
          <w:rPr>
            <w:rStyle w:val="Hyperlink"/>
            <w:noProof/>
          </w:rPr>
          <w:t>Table 15: Conversions of different energy units into Joules</w:t>
        </w:r>
        <w:r>
          <w:rPr>
            <w:noProof/>
            <w:webHidden/>
          </w:rPr>
          <w:tab/>
        </w:r>
        <w:r>
          <w:rPr>
            <w:noProof/>
            <w:webHidden/>
          </w:rPr>
          <w:fldChar w:fldCharType="begin"/>
        </w:r>
        <w:r>
          <w:rPr>
            <w:noProof/>
            <w:webHidden/>
          </w:rPr>
          <w:instrText xml:space="preserve"> PAGEREF _Toc184808557 \h </w:instrText>
        </w:r>
        <w:r>
          <w:rPr>
            <w:noProof/>
            <w:webHidden/>
          </w:rPr>
        </w:r>
        <w:r>
          <w:rPr>
            <w:noProof/>
            <w:webHidden/>
          </w:rPr>
          <w:fldChar w:fldCharType="separate"/>
        </w:r>
        <w:r>
          <w:rPr>
            <w:noProof/>
            <w:webHidden/>
          </w:rPr>
          <w:t>61</w:t>
        </w:r>
        <w:r>
          <w:rPr>
            <w:noProof/>
            <w:webHidden/>
          </w:rPr>
          <w:fldChar w:fldCharType="end"/>
        </w:r>
      </w:hyperlink>
    </w:p>
    <w:p w14:paraId="519DF00F" w14:textId="6C5A248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58" w:history="1">
        <w:r w:rsidRPr="006E1A62">
          <w:rPr>
            <w:rStyle w:val="Hyperlink"/>
            <w:noProof/>
          </w:rPr>
          <w:t>Table 16: Net calorific values (NCVs) ranges used in the Serbian inventory (source: national energy balances)</w:t>
        </w:r>
        <w:r>
          <w:rPr>
            <w:noProof/>
            <w:webHidden/>
          </w:rPr>
          <w:tab/>
        </w:r>
        <w:r>
          <w:rPr>
            <w:noProof/>
            <w:webHidden/>
          </w:rPr>
          <w:fldChar w:fldCharType="begin"/>
        </w:r>
        <w:r>
          <w:rPr>
            <w:noProof/>
            <w:webHidden/>
          </w:rPr>
          <w:instrText xml:space="preserve"> PAGEREF _Toc184808558 \h </w:instrText>
        </w:r>
        <w:r>
          <w:rPr>
            <w:noProof/>
            <w:webHidden/>
          </w:rPr>
        </w:r>
        <w:r>
          <w:rPr>
            <w:noProof/>
            <w:webHidden/>
          </w:rPr>
          <w:fldChar w:fldCharType="separate"/>
        </w:r>
        <w:r>
          <w:rPr>
            <w:noProof/>
            <w:webHidden/>
          </w:rPr>
          <w:t>61</w:t>
        </w:r>
        <w:r>
          <w:rPr>
            <w:noProof/>
            <w:webHidden/>
          </w:rPr>
          <w:fldChar w:fldCharType="end"/>
        </w:r>
      </w:hyperlink>
    </w:p>
    <w:p w14:paraId="330F4CE3" w14:textId="56E211C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59" w:history="1">
        <w:r w:rsidRPr="006E1A62">
          <w:rPr>
            <w:rStyle w:val="Hyperlink"/>
            <w:noProof/>
          </w:rPr>
          <w:t>Table 17: Net calorific values (NCVs) ranges used in the Serbian inventory</w:t>
        </w:r>
        <w:r>
          <w:rPr>
            <w:noProof/>
            <w:webHidden/>
          </w:rPr>
          <w:tab/>
        </w:r>
        <w:r>
          <w:rPr>
            <w:noProof/>
            <w:webHidden/>
          </w:rPr>
          <w:fldChar w:fldCharType="begin"/>
        </w:r>
        <w:r>
          <w:rPr>
            <w:noProof/>
            <w:webHidden/>
          </w:rPr>
          <w:instrText xml:space="preserve"> PAGEREF _Toc184808559 \h </w:instrText>
        </w:r>
        <w:r>
          <w:rPr>
            <w:noProof/>
            <w:webHidden/>
          </w:rPr>
        </w:r>
        <w:r>
          <w:rPr>
            <w:noProof/>
            <w:webHidden/>
          </w:rPr>
          <w:fldChar w:fldCharType="separate"/>
        </w:r>
        <w:r>
          <w:rPr>
            <w:noProof/>
            <w:webHidden/>
          </w:rPr>
          <w:t>62</w:t>
        </w:r>
        <w:r>
          <w:rPr>
            <w:noProof/>
            <w:webHidden/>
          </w:rPr>
          <w:fldChar w:fldCharType="end"/>
        </w:r>
      </w:hyperlink>
    </w:p>
    <w:p w14:paraId="6D056758" w14:textId="4CF70DE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60" w:history="1">
        <w:r w:rsidRPr="006E1A62">
          <w:rPr>
            <w:rStyle w:val="Hyperlink"/>
            <w:noProof/>
          </w:rPr>
          <w:t>Table 18: Country-specific CO</w:t>
        </w:r>
        <w:r w:rsidRPr="006E1A62">
          <w:rPr>
            <w:rStyle w:val="Hyperlink"/>
            <w:noProof/>
            <w:vertAlign w:val="subscript"/>
          </w:rPr>
          <w:t>2</w:t>
        </w:r>
        <w:r w:rsidRPr="006E1A62">
          <w:rPr>
            <w:rStyle w:val="Hyperlink"/>
            <w:noProof/>
          </w:rPr>
          <w:t xml:space="preserve"> emission factor used in the Serbian inventory for lignite burned in TPPs</w:t>
        </w:r>
        <w:r>
          <w:rPr>
            <w:noProof/>
            <w:webHidden/>
          </w:rPr>
          <w:tab/>
        </w:r>
        <w:r>
          <w:rPr>
            <w:noProof/>
            <w:webHidden/>
          </w:rPr>
          <w:fldChar w:fldCharType="begin"/>
        </w:r>
        <w:r>
          <w:rPr>
            <w:noProof/>
            <w:webHidden/>
          </w:rPr>
          <w:instrText xml:space="preserve"> PAGEREF _Toc184808560 \h </w:instrText>
        </w:r>
        <w:r>
          <w:rPr>
            <w:noProof/>
            <w:webHidden/>
          </w:rPr>
        </w:r>
        <w:r>
          <w:rPr>
            <w:noProof/>
            <w:webHidden/>
          </w:rPr>
          <w:fldChar w:fldCharType="separate"/>
        </w:r>
        <w:r>
          <w:rPr>
            <w:noProof/>
            <w:webHidden/>
          </w:rPr>
          <w:t>63</w:t>
        </w:r>
        <w:r>
          <w:rPr>
            <w:noProof/>
            <w:webHidden/>
          </w:rPr>
          <w:fldChar w:fldCharType="end"/>
        </w:r>
      </w:hyperlink>
    </w:p>
    <w:p w14:paraId="035A94BB" w14:textId="5BBE634E"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61" w:history="1">
        <w:r w:rsidRPr="006E1A62">
          <w:rPr>
            <w:rStyle w:val="Hyperlink"/>
            <w:noProof/>
          </w:rPr>
          <w:t>Table 18: Main public electricity and heat production units with installed capacity and main fuel used</w:t>
        </w:r>
        <w:r>
          <w:rPr>
            <w:noProof/>
            <w:webHidden/>
          </w:rPr>
          <w:tab/>
        </w:r>
        <w:r>
          <w:rPr>
            <w:noProof/>
            <w:webHidden/>
          </w:rPr>
          <w:fldChar w:fldCharType="begin"/>
        </w:r>
        <w:r>
          <w:rPr>
            <w:noProof/>
            <w:webHidden/>
          </w:rPr>
          <w:instrText xml:space="preserve"> PAGEREF _Toc184808561 \h </w:instrText>
        </w:r>
        <w:r>
          <w:rPr>
            <w:noProof/>
            <w:webHidden/>
          </w:rPr>
        </w:r>
        <w:r>
          <w:rPr>
            <w:noProof/>
            <w:webHidden/>
          </w:rPr>
          <w:fldChar w:fldCharType="separate"/>
        </w:r>
        <w:r>
          <w:rPr>
            <w:noProof/>
            <w:webHidden/>
          </w:rPr>
          <w:t>64</w:t>
        </w:r>
        <w:r>
          <w:rPr>
            <w:noProof/>
            <w:webHidden/>
          </w:rPr>
          <w:fldChar w:fldCharType="end"/>
        </w:r>
      </w:hyperlink>
    </w:p>
    <w:p w14:paraId="450883DA" w14:textId="4B2AB918"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62" w:history="1">
        <w:r w:rsidRPr="006E1A62">
          <w:rPr>
            <w:rStyle w:val="Hyperlink"/>
            <w:noProof/>
          </w:rPr>
          <w:t>Table 19: Key categories in level and trend for the Manufacturing industries and construction, in 2022, excluding LULUCF</w:t>
        </w:r>
        <w:r>
          <w:rPr>
            <w:noProof/>
            <w:webHidden/>
          </w:rPr>
          <w:tab/>
        </w:r>
        <w:r>
          <w:rPr>
            <w:noProof/>
            <w:webHidden/>
          </w:rPr>
          <w:fldChar w:fldCharType="begin"/>
        </w:r>
        <w:r>
          <w:rPr>
            <w:noProof/>
            <w:webHidden/>
          </w:rPr>
          <w:instrText xml:space="preserve"> PAGEREF _Toc184808562 \h </w:instrText>
        </w:r>
        <w:r>
          <w:rPr>
            <w:noProof/>
            <w:webHidden/>
          </w:rPr>
        </w:r>
        <w:r>
          <w:rPr>
            <w:noProof/>
            <w:webHidden/>
          </w:rPr>
          <w:fldChar w:fldCharType="separate"/>
        </w:r>
        <w:r>
          <w:rPr>
            <w:noProof/>
            <w:webHidden/>
          </w:rPr>
          <w:t>74</w:t>
        </w:r>
        <w:r>
          <w:rPr>
            <w:noProof/>
            <w:webHidden/>
          </w:rPr>
          <w:fldChar w:fldCharType="end"/>
        </w:r>
      </w:hyperlink>
    </w:p>
    <w:p w14:paraId="72B72BB1" w14:textId="3B5CDC7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63" w:history="1">
        <w:r w:rsidRPr="006E1A62">
          <w:rPr>
            <w:rStyle w:val="Hyperlink"/>
            <w:noProof/>
          </w:rPr>
          <w:t>Table 20: Key categories in level and trend for the Residential combustion, in 2022, excluding LULUCF</w:t>
        </w:r>
        <w:r>
          <w:rPr>
            <w:noProof/>
            <w:webHidden/>
          </w:rPr>
          <w:tab/>
        </w:r>
        <w:r>
          <w:rPr>
            <w:noProof/>
            <w:webHidden/>
          </w:rPr>
          <w:fldChar w:fldCharType="begin"/>
        </w:r>
        <w:r>
          <w:rPr>
            <w:noProof/>
            <w:webHidden/>
          </w:rPr>
          <w:instrText xml:space="preserve"> PAGEREF _Toc184808563 \h </w:instrText>
        </w:r>
        <w:r>
          <w:rPr>
            <w:noProof/>
            <w:webHidden/>
          </w:rPr>
        </w:r>
        <w:r>
          <w:rPr>
            <w:noProof/>
            <w:webHidden/>
          </w:rPr>
          <w:fldChar w:fldCharType="separate"/>
        </w:r>
        <w:r>
          <w:rPr>
            <w:noProof/>
            <w:webHidden/>
          </w:rPr>
          <w:t>85</w:t>
        </w:r>
        <w:r>
          <w:rPr>
            <w:noProof/>
            <w:webHidden/>
          </w:rPr>
          <w:fldChar w:fldCharType="end"/>
        </w:r>
      </w:hyperlink>
    </w:p>
    <w:p w14:paraId="78141BE9" w14:textId="267151A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64" w:history="1">
        <w:r w:rsidRPr="006E1A62">
          <w:rPr>
            <w:rStyle w:val="Hyperlink"/>
            <w:noProof/>
          </w:rPr>
          <w:t>Table 21: Key categories in level and trend for the Fugitive sector (CRT 1B), in 2022, excluding LULUCF</w:t>
        </w:r>
        <w:r>
          <w:rPr>
            <w:noProof/>
            <w:webHidden/>
          </w:rPr>
          <w:tab/>
        </w:r>
        <w:r>
          <w:rPr>
            <w:noProof/>
            <w:webHidden/>
          </w:rPr>
          <w:fldChar w:fldCharType="begin"/>
        </w:r>
        <w:r>
          <w:rPr>
            <w:noProof/>
            <w:webHidden/>
          </w:rPr>
          <w:instrText xml:space="preserve"> PAGEREF _Toc184808564 \h </w:instrText>
        </w:r>
        <w:r>
          <w:rPr>
            <w:noProof/>
            <w:webHidden/>
          </w:rPr>
        </w:r>
        <w:r>
          <w:rPr>
            <w:noProof/>
            <w:webHidden/>
          </w:rPr>
          <w:fldChar w:fldCharType="separate"/>
        </w:r>
        <w:r>
          <w:rPr>
            <w:noProof/>
            <w:webHidden/>
          </w:rPr>
          <w:t>91</w:t>
        </w:r>
        <w:r>
          <w:rPr>
            <w:noProof/>
            <w:webHidden/>
          </w:rPr>
          <w:fldChar w:fldCharType="end"/>
        </w:r>
      </w:hyperlink>
    </w:p>
    <w:p w14:paraId="367FA82A" w14:textId="3FB80542"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65" w:history="1">
        <w:r w:rsidRPr="006E1A62">
          <w:rPr>
            <w:rStyle w:val="Hyperlink"/>
            <w:noProof/>
          </w:rPr>
          <w:t>Table 22: Fraction of livestock category’s manure handled by each manure management system (in %), from 2019 IPCC Guidelines, used in Serbian inventory</w:t>
        </w:r>
        <w:r>
          <w:rPr>
            <w:noProof/>
            <w:webHidden/>
          </w:rPr>
          <w:tab/>
        </w:r>
        <w:r>
          <w:rPr>
            <w:noProof/>
            <w:webHidden/>
          </w:rPr>
          <w:fldChar w:fldCharType="begin"/>
        </w:r>
        <w:r>
          <w:rPr>
            <w:noProof/>
            <w:webHidden/>
          </w:rPr>
          <w:instrText xml:space="preserve"> PAGEREF _Toc184808565 \h </w:instrText>
        </w:r>
        <w:r>
          <w:rPr>
            <w:noProof/>
            <w:webHidden/>
          </w:rPr>
        </w:r>
        <w:r>
          <w:rPr>
            <w:noProof/>
            <w:webHidden/>
          </w:rPr>
          <w:fldChar w:fldCharType="separate"/>
        </w:r>
        <w:r>
          <w:rPr>
            <w:noProof/>
            <w:webHidden/>
          </w:rPr>
          <w:t>147</w:t>
        </w:r>
        <w:r>
          <w:rPr>
            <w:noProof/>
            <w:webHidden/>
          </w:rPr>
          <w:fldChar w:fldCharType="end"/>
        </w:r>
      </w:hyperlink>
    </w:p>
    <w:p w14:paraId="5A632A19" w14:textId="036C8FC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66" w:history="1">
        <w:r w:rsidRPr="006E1A62">
          <w:rPr>
            <w:rStyle w:val="Hyperlink"/>
            <w:noProof/>
          </w:rPr>
          <w:t>Table 23: Methane conversion factors per manure management system (in %), depending on the average annual temperature, from 2006 IPCC Guidelines, used in Serbian inventory</w:t>
        </w:r>
        <w:r>
          <w:rPr>
            <w:noProof/>
            <w:webHidden/>
          </w:rPr>
          <w:tab/>
        </w:r>
        <w:r>
          <w:rPr>
            <w:noProof/>
            <w:webHidden/>
          </w:rPr>
          <w:fldChar w:fldCharType="begin"/>
        </w:r>
        <w:r>
          <w:rPr>
            <w:noProof/>
            <w:webHidden/>
          </w:rPr>
          <w:instrText xml:space="preserve"> PAGEREF _Toc184808566 \h </w:instrText>
        </w:r>
        <w:r>
          <w:rPr>
            <w:noProof/>
            <w:webHidden/>
          </w:rPr>
        </w:r>
        <w:r>
          <w:rPr>
            <w:noProof/>
            <w:webHidden/>
          </w:rPr>
          <w:fldChar w:fldCharType="separate"/>
        </w:r>
        <w:r>
          <w:rPr>
            <w:noProof/>
            <w:webHidden/>
          </w:rPr>
          <w:t>148</w:t>
        </w:r>
        <w:r>
          <w:rPr>
            <w:noProof/>
            <w:webHidden/>
          </w:rPr>
          <w:fldChar w:fldCharType="end"/>
        </w:r>
      </w:hyperlink>
    </w:p>
    <w:p w14:paraId="2952EEEE" w14:textId="5355E2A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67" w:history="1">
        <w:r w:rsidRPr="006E1A62">
          <w:rPr>
            <w:rStyle w:val="Hyperlink"/>
            <w:noProof/>
          </w:rPr>
          <w:t>Table 24: Daily volatile solid excreted VS, for each livestock category (in kg dry matter/animal/day), from 2006 IPCC Guidelines, used in Serbian inventory</w:t>
        </w:r>
        <w:r>
          <w:rPr>
            <w:noProof/>
            <w:webHidden/>
          </w:rPr>
          <w:tab/>
        </w:r>
        <w:r>
          <w:rPr>
            <w:noProof/>
            <w:webHidden/>
          </w:rPr>
          <w:fldChar w:fldCharType="begin"/>
        </w:r>
        <w:r>
          <w:rPr>
            <w:noProof/>
            <w:webHidden/>
          </w:rPr>
          <w:instrText xml:space="preserve"> PAGEREF _Toc184808567 \h </w:instrText>
        </w:r>
        <w:r>
          <w:rPr>
            <w:noProof/>
            <w:webHidden/>
          </w:rPr>
        </w:r>
        <w:r>
          <w:rPr>
            <w:noProof/>
            <w:webHidden/>
          </w:rPr>
          <w:fldChar w:fldCharType="separate"/>
        </w:r>
        <w:r>
          <w:rPr>
            <w:noProof/>
            <w:webHidden/>
          </w:rPr>
          <w:t>148</w:t>
        </w:r>
        <w:r>
          <w:rPr>
            <w:noProof/>
            <w:webHidden/>
          </w:rPr>
          <w:fldChar w:fldCharType="end"/>
        </w:r>
      </w:hyperlink>
    </w:p>
    <w:p w14:paraId="6DA4DEE0" w14:textId="4D812CEE"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68" w:history="1">
        <w:r w:rsidRPr="006E1A62">
          <w:rPr>
            <w:rStyle w:val="Hyperlink"/>
            <w:noProof/>
          </w:rPr>
          <w:t>Table 25: Maximum methane producing capacities for manure produced by each livestock category (“Bo values”) (in m</w:t>
        </w:r>
        <w:r w:rsidRPr="006E1A62">
          <w:rPr>
            <w:rStyle w:val="Hyperlink"/>
            <w:noProof/>
            <w:vertAlign w:val="superscript"/>
          </w:rPr>
          <w:t>3</w:t>
        </w:r>
        <w:r w:rsidRPr="006E1A62">
          <w:rPr>
            <w:rStyle w:val="Hyperlink"/>
            <w:noProof/>
          </w:rPr>
          <w:t xml:space="preserve"> CH</w:t>
        </w:r>
        <w:r w:rsidRPr="006E1A62">
          <w:rPr>
            <w:rStyle w:val="Hyperlink"/>
            <w:noProof/>
            <w:vertAlign w:val="subscript"/>
          </w:rPr>
          <w:t>4</w:t>
        </w:r>
        <w:r w:rsidRPr="006E1A62">
          <w:rPr>
            <w:rStyle w:val="Hyperlink"/>
            <w:noProof/>
          </w:rPr>
          <w:t>/kg of VS excreted), from 2006 IPCC Guidelines, used in Serbian inventory</w:t>
        </w:r>
        <w:r>
          <w:rPr>
            <w:noProof/>
            <w:webHidden/>
          </w:rPr>
          <w:tab/>
        </w:r>
        <w:r>
          <w:rPr>
            <w:noProof/>
            <w:webHidden/>
          </w:rPr>
          <w:fldChar w:fldCharType="begin"/>
        </w:r>
        <w:r>
          <w:rPr>
            <w:noProof/>
            <w:webHidden/>
          </w:rPr>
          <w:instrText xml:space="preserve"> PAGEREF _Toc184808568 \h </w:instrText>
        </w:r>
        <w:r>
          <w:rPr>
            <w:noProof/>
            <w:webHidden/>
          </w:rPr>
        </w:r>
        <w:r>
          <w:rPr>
            <w:noProof/>
            <w:webHidden/>
          </w:rPr>
          <w:fldChar w:fldCharType="separate"/>
        </w:r>
        <w:r>
          <w:rPr>
            <w:noProof/>
            <w:webHidden/>
          </w:rPr>
          <w:t>149</w:t>
        </w:r>
        <w:r>
          <w:rPr>
            <w:noProof/>
            <w:webHidden/>
          </w:rPr>
          <w:fldChar w:fldCharType="end"/>
        </w:r>
      </w:hyperlink>
    </w:p>
    <w:p w14:paraId="69071CFA" w14:textId="7AE9F2BA"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69" w:history="1">
        <w:r w:rsidRPr="006E1A62">
          <w:rPr>
            <w:rStyle w:val="Hyperlink"/>
            <w:noProof/>
          </w:rPr>
          <w:t>Table 26: Manure management CH</w:t>
        </w:r>
        <w:r w:rsidRPr="006E1A62">
          <w:rPr>
            <w:rStyle w:val="Hyperlink"/>
            <w:noProof/>
            <w:vertAlign w:val="subscript"/>
          </w:rPr>
          <w:t>4</w:t>
        </w:r>
        <w:r w:rsidRPr="006E1A62">
          <w:rPr>
            <w:rStyle w:val="Hyperlink"/>
            <w:noProof/>
          </w:rPr>
          <w:t xml:space="preserve"> EF (in kg/head), per livestock category, for the period 1990-2015, every 5 years</w:t>
        </w:r>
        <w:r>
          <w:rPr>
            <w:noProof/>
            <w:webHidden/>
          </w:rPr>
          <w:tab/>
        </w:r>
        <w:r>
          <w:rPr>
            <w:noProof/>
            <w:webHidden/>
          </w:rPr>
          <w:fldChar w:fldCharType="begin"/>
        </w:r>
        <w:r>
          <w:rPr>
            <w:noProof/>
            <w:webHidden/>
          </w:rPr>
          <w:instrText xml:space="preserve"> PAGEREF _Toc184808569 \h </w:instrText>
        </w:r>
        <w:r>
          <w:rPr>
            <w:noProof/>
            <w:webHidden/>
          </w:rPr>
        </w:r>
        <w:r>
          <w:rPr>
            <w:noProof/>
            <w:webHidden/>
          </w:rPr>
          <w:fldChar w:fldCharType="separate"/>
        </w:r>
        <w:r>
          <w:rPr>
            <w:noProof/>
            <w:webHidden/>
          </w:rPr>
          <w:t>149</w:t>
        </w:r>
        <w:r>
          <w:rPr>
            <w:noProof/>
            <w:webHidden/>
          </w:rPr>
          <w:fldChar w:fldCharType="end"/>
        </w:r>
      </w:hyperlink>
    </w:p>
    <w:p w14:paraId="50EF8859" w14:textId="7C201B90"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70" w:history="1">
        <w:r w:rsidRPr="006E1A62">
          <w:rPr>
            <w:rStyle w:val="Hyperlink"/>
            <w:noProof/>
          </w:rPr>
          <w:t>Table 27: Manure management CH</w:t>
        </w:r>
        <w:r w:rsidRPr="006E1A62">
          <w:rPr>
            <w:rStyle w:val="Hyperlink"/>
            <w:noProof/>
            <w:vertAlign w:val="subscript"/>
          </w:rPr>
          <w:t>4</w:t>
        </w:r>
        <w:r w:rsidRPr="006E1A62">
          <w:rPr>
            <w:rStyle w:val="Hyperlink"/>
            <w:noProof/>
          </w:rPr>
          <w:t xml:space="preserve"> EF (in kg/head), per livestock category, for the period 2016-2022</w:t>
        </w:r>
        <w:r>
          <w:rPr>
            <w:noProof/>
            <w:webHidden/>
          </w:rPr>
          <w:tab/>
        </w:r>
        <w:r>
          <w:rPr>
            <w:noProof/>
            <w:webHidden/>
          </w:rPr>
          <w:fldChar w:fldCharType="begin"/>
        </w:r>
        <w:r>
          <w:rPr>
            <w:noProof/>
            <w:webHidden/>
          </w:rPr>
          <w:instrText xml:space="preserve"> PAGEREF _Toc184808570 \h </w:instrText>
        </w:r>
        <w:r>
          <w:rPr>
            <w:noProof/>
            <w:webHidden/>
          </w:rPr>
        </w:r>
        <w:r>
          <w:rPr>
            <w:noProof/>
            <w:webHidden/>
          </w:rPr>
          <w:fldChar w:fldCharType="separate"/>
        </w:r>
        <w:r>
          <w:rPr>
            <w:noProof/>
            <w:webHidden/>
          </w:rPr>
          <w:t>150</w:t>
        </w:r>
        <w:r>
          <w:rPr>
            <w:noProof/>
            <w:webHidden/>
          </w:rPr>
          <w:fldChar w:fldCharType="end"/>
        </w:r>
      </w:hyperlink>
    </w:p>
    <w:p w14:paraId="104E9CE5" w14:textId="4B45543F"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71" w:history="1">
        <w:r w:rsidRPr="006E1A62">
          <w:rPr>
            <w:rStyle w:val="Hyperlink"/>
            <w:noProof/>
          </w:rPr>
          <w:t>Table 28: Typical animal mass per livestock category (in kg/animal), from 2019 IPCC Guidelines, used in Serbian inventory</w:t>
        </w:r>
        <w:r>
          <w:rPr>
            <w:noProof/>
            <w:webHidden/>
          </w:rPr>
          <w:tab/>
        </w:r>
        <w:r>
          <w:rPr>
            <w:noProof/>
            <w:webHidden/>
          </w:rPr>
          <w:fldChar w:fldCharType="begin"/>
        </w:r>
        <w:r>
          <w:rPr>
            <w:noProof/>
            <w:webHidden/>
          </w:rPr>
          <w:instrText xml:space="preserve"> PAGEREF _Toc184808571 \h </w:instrText>
        </w:r>
        <w:r>
          <w:rPr>
            <w:noProof/>
            <w:webHidden/>
          </w:rPr>
        </w:r>
        <w:r>
          <w:rPr>
            <w:noProof/>
            <w:webHidden/>
          </w:rPr>
          <w:fldChar w:fldCharType="separate"/>
        </w:r>
        <w:r>
          <w:rPr>
            <w:noProof/>
            <w:webHidden/>
          </w:rPr>
          <w:t>153</w:t>
        </w:r>
        <w:r>
          <w:rPr>
            <w:noProof/>
            <w:webHidden/>
          </w:rPr>
          <w:fldChar w:fldCharType="end"/>
        </w:r>
      </w:hyperlink>
    </w:p>
    <w:p w14:paraId="32E5B983" w14:textId="36ADCE5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72" w:history="1">
        <w:r w:rsidRPr="006E1A62">
          <w:rPr>
            <w:rStyle w:val="Hyperlink"/>
            <w:noProof/>
          </w:rPr>
          <w:t>Table 29: Daily N excretion rate per animal (in kg N/t animal/day), from 2019 IPCC Guidelines, used in Serbian inventory</w:t>
        </w:r>
        <w:r>
          <w:rPr>
            <w:noProof/>
            <w:webHidden/>
          </w:rPr>
          <w:tab/>
        </w:r>
        <w:r>
          <w:rPr>
            <w:noProof/>
            <w:webHidden/>
          </w:rPr>
          <w:fldChar w:fldCharType="begin"/>
        </w:r>
        <w:r>
          <w:rPr>
            <w:noProof/>
            <w:webHidden/>
          </w:rPr>
          <w:instrText xml:space="preserve"> PAGEREF _Toc184808572 \h </w:instrText>
        </w:r>
        <w:r>
          <w:rPr>
            <w:noProof/>
            <w:webHidden/>
          </w:rPr>
        </w:r>
        <w:r>
          <w:rPr>
            <w:noProof/>
            <w:webHidden/>
          </w:rPr>
          <w:fldChar w:fldCharType="separate"/>
        </w:r>
        <w:r>
          <w:rPr>
            <w:noProof/>
            <w:webHidden/>
          </w:rPr>
          <w:t>153</w:t>
        </w:r>
        <w:r>
          <w:rPr>
            <w:noProof/>
            <w:webHidden/>
          </w:rPr>
          <w:fldChar w:fldCharType="end"/>
        </w:r>
      </w:hyperlink>
    </w:p>
    <w:p w14:paraId="320A9289" w14:textId="791F896A"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73" w:history="1">
        <w:r w:rsidRPr="006E1A62">
          <w:rPr>
            <w:rStyle w:val="Hyperlink"/>
            <w:noProof/>
          </w:rPr>
          <w:t>Table 30: N</w:t>
        </w:r>
        <w:r w:rsidRPr="006E1A62">
          <w:rPr>
            <w:rStyle w:val="Hyperlink"/>
            <w:noProof/>
            <w:vertAlign w:val="subscript"/>
          </w:rPr>
          <w:t>2</w:t>
        </w:r>
        <w:r w:rsidRPr="006E1A62">
          <w:rPr>
            <w:rStyle w:val="Hyperlink"/>
            <w:noProof/>
          </w:rPr>
          <w:t>O EF per manure management system (in kg N</w:t>
        </w:r>
        <w:r w:rsidRPr="006E1A62">
          <w:rPr>
            <w:rStyle w:val="Hyperlink"/>
            <w:noProof/>
            <w:vertAlign w:val="subscript"/>
          </w:rPr>
          <w:t>2</w:t>
        </w:r>
        <w:r w:rsidRPr="006E1A62">
          <w:rPr>
            <w:rStyle w:val="Hyperlink"/>
            <w:noProof/>
          </w:rPr>
          <w:t>O-N/kg Nex) from 2019 IPCC Guidelines, used in Serbian inventory</w:t>
        </w:r>
        <w:r>
          <w:rPr>
            <w:noProof/>
            <w:webHidden/>
          </w:rPr>
          <w:tab/>
        </w:r>
        <w:r>
          <w:rPr>
            <w:noProof/>
            <w:webHidden/>
          </w:rPr>
          <w:fldChar w:fldCharType="begin"/>
        </w:r>
        <w:r>
          <w:rPr>
            <w:noProof/>
            <w:webHidden/>
          </w:rPr>
          <w:instrText xml:space="preserve"> PAGEREF _Toc184808573 \h </w:instrText>
        </w:r>
        <w:r>
          <w:rPr>
            <w:noProof/>
            <w:webHidden/>
          </w:rPr>
        </w:r>
        <w:r>
          <w:rPr>
            <w:noProof/>
            <w:webHidden/>
          </w:rPr>
          <w:fldChar w:fldCharType="separate"/>
        </w:r>
        <w:r>
          <w:rPr>
            <w:noProof/>
            <w:webHidden/>
          </w:rPr>
          <w:t>153</w:t>
        </w:r>
        <w:r>
          <w:rPr>
            <w:noProof/>
            <w:webHidden/>
          </w:rPr>
          <w:fldChar w:fldCharType="end"/>
        </w:r>
      </w:hyperlink>
    </w:p>
    <w:p w14:paraId="5AA4513C" w14:textId="10C90C08"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74" w:history="1">
        <w:r w:rsidRPr="006E1A62">
          <w:rPr>
            <w:rStyle w:val="Hyperlink"/>
            <w:noProof/>
          </w:rPr>
          <w:t>Table 31: N</w:t>
        </w:r>
        <w:r w:rsidRPr="006E1A62">
          <w:rPr>
            <w:rStyle w:val="Hyperlink"/>
            <w:noProof/>
            <w:vertAlign w:val="subscript"/>
          </w:rPr>
          <w:t>2</w:t>
        </w:r>
        <w:r w:rsidRPr="006E1A62">
          <w:rPr>
            <w:rStyle w:val="Hyperlink"/>
            <w:noProof/>
          </w:rPr>
          <w:t>O Emission factor for direct emissions from manure management (CRT 3B2) used in Serbian inventory</w:t>
        </w:r>
        <w:r>
          <w:rPr>
            <w:noProof/>
            <w:webHidden/>
          </w:rPr>
          <w:tab/>
        </w:r>
        <w:r>
          <w:rPr>
            <w:noProof/>
            <w:webHidden/>
          </w:rPr>
          <w:fldChar w:fldCharType="begin"/>
        </w:r>
        <w:r>
          <w:rPr>
            <w:noProof/>
            <w:webHidden/>
          </w:rPr>
          <w:instrText xml:space="preserve"> PAGEREF _Toc184808574 \h </w:instrText>
        </w:r>
        <w:r>
          <w:rPr>
            <w:noProof/>
            <w:webHidden/>
          </w:rPr>
        </w:r>
        <w:r>
          <w:rPr>
            <w:noProof/>
            <w:webHidden/>
          </w:rPr>
          <w:fldChar w:fldCharType="separate"/>
        </w:r>
        <w:r>
          <w:rPr>
            <w:noProof/>
            <w:webHidden/>
          </w:rPr>
          <w:t>154</w:t>
        </w:r>
        <w:r>
          <w:rPr>
            <w:noProof/>
            <w:webHidden/>
          </w:rPr>
          <w:fldChar w:fldCharType="end"/>
        </w:r>
      </w:hyperlink>
    </w:p>
    <w:p w14:paraId="6CCD3EDD" w14:textId="4769811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75" w:history="1">
        <w:r w:rsidRPr="006E1A62">
          <w:rPr>
            <w:rStyle w:val="Hyperlink"/>
            <w:noProof/>
          </w:rPr>
          <w:t>Table 32: Activity data for direct N</w:t>
        </w:r>
        <w:r w:rsidRPr="006E1A62">
          <w:rPr>
            <w:rStyle w:val="Hyperlink"/>
            <w:noProof/>
            <w:vertAlign w:val="subscript"/>
          </w:rPr>
          <w:t>2</w:t>
        </w:r>
        <w:r w:rsidRPr="006E1A62">
          <w:rPr>
            <w:rStyle w:val="Hyperlink"/>
            <w:noProof/>
          </w:rPr>
          <w:t>O emissions from agricultural soils (3D1), for the period 1990-2010, every 5 years</w:t>
        </w:r>
        <w:r>
          <w:rPr>
            <w:noProof/>
            <w:webHidden/>
          </w:rPr>
          <w:tab/>
        </w:r>
        <w:r>
          <w:rPr>
            <w:noProof/>
            <w:webHidden/>
          </w:rPr>
          <w:fldChar w:fldCharType="begin"/>
        </w:r>
        <w:r>
          <w:rPr>
            <w:noProof/>
            <w:webHidden/>
          </w:rPr>
          <w:instrText xml:space="preserve"> PAGEREF _Toc184808575 \h </w:instrText>
        </w:r>
        <w:r>
          <w:rPr>
            <w:noProof/>
            <w:webHidden/>
          </w:rPr>
        </w:r>
        <w:r>
          <w:rPr>
            <w:noProof/>
            <w:webHidden/>
          </w:rPr>
          <w:fldChar w:fldCharType="separate"/>
        </w:r>
        <w:r>
          <w:rPr>
            <w:noProof/>
            <w:webHidden/>
          </w:rPr>
          <w:t>157</w:t>
        </w:r>
        <w:r>
          <w:rPr>
            <w:noProof/>
            <w:webHidden/>
          </w:rPr>
          <w:fldChar w:fldCharType="end"/>
        </w:r>
      </w:hyperlink>
    </w:p>
    <w:p w14:paraId="18F19CD9" w14:textId="3AAF729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76" w:history="1">
        <w:r w:rsidRPr="006E1A62">
          <w:rPr>
            <w:rStyle w:val="Hyperlink"/>
            <w:noProof/>
          </w:rPr>
          <w:t>Table 33: Activity data for direct N</w:t>
        </w:r>
        <w:r w:rsidRPr="006E1A62">
          <w:rPr>
            <w:rStyle w:val="Hyperlink"/>
            <w:noProof/>
            <w:vertAlign w:val="subscript"/>
          </w:rPr>
          <w:t>2</w:t>
        </w:r>
        <w:r w:rsidRPr="006E1A62">
          <w:rPr>
            <w:rStyle w:val="Hyperlink"/>
            <w:noProof/>
          </w:rPr>
          <w:t>O emissions from agricultural soils (3D1), for 2015 and 2019-2022</w:t>
        </w:r>
        <w:r>
          <w:rPr>
            <w:noProof/>
            <w:webHidden/>
          </w:rPr>
          <w:tab/>
        </w:r>
        <w:r>
          <w:rPr>
            <w:noProof/>
            <w:webHidden/>
          </w:rPr>
          <w:fldChar w:fldCharType="begin"/>
        </w:r>
        <w:r>
          <w:rPr>
            <w:noProof/>
            <w:webHidden/>
          </w:rPr>
          <w:instrText xml:space="preserve"> PAGEREF _Toc184808576 \h </w:instrText>
        </w:r>
        <w:r>
          <w:rPr>
            <w:noProof/>
            <w:webHidden/>
          </w:rPr>
        </w:r>
        <w:r>
          <w:rPr>
            <w:noProof/>
            <w:webHidden/>
          </w:rPr>
          <w:fldChar w:fldCharType="separate"/>
        </w:r>
        <w:r>
          <w:rPr>
            <w:noProof/>
            <w:webHidden/>
          </w:rPr>
          <w:t>157</w:t>
        </w:r>
        <w:r>
          <w:rPr>
            <w:noProof/>
            <w:webHidden/>
          </w:rPr>
          <w:fldChar w:fldCharType="end"/>
        </w:r>
      </w:hyperlink>
    </w:p>
    <w:p w14:paraId="081AEE5A" w14:textId="398B128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77" w:history="1">
        <w:r w:rsidRPr="006E1A62">
          <w:rPr>
            <w:rStyle w:val="Hyperlink"/>
            <w:noProof/>
          </w:rPr>
          <w:t>Table 34: N</w:t>
        </w:r>
        <w:r w:rsidRPr="006E1A62">
          <w:rPr>
            <w:rStyle w:val="Hyperlink"/>
            <w:noProof/>
            <w:vertAlign w:val="subscript"/>
          </w:rPr>
          <w:t>2</w:t>
        </w:r>
        <w:r w:rsidRPr="006E1A62">
          <w:rPr>
            <w:rStyle w:val="Hyperlink"/>
            <w:noProof/>
          </w:rPr>
          <w:t>O emission factors for agricultural soils (3D1), per management system, from 2019 IPCC Guidelines and 2013 Wetland supplement, used in Serbian inventory</w:t>
        </w:r>
        <w:r>
          <w:rPr>
            <w:noProof/>
            <w:webHidden/>
          </w:rPr>
          <w:tab/>
        </w:r>
        <w:r>
          <w:rPr>
            <w:noProof/>
            <w:webHidden/>
          </w:rPr>
          <w:fldChar w:fldCharType="begin"/>
        </w:r>
        <w:r>
          <w:rPr>
            <w:noProof/>
            <w:webHidden/>
          </w:rPr>
          <w:instrText xml:space="preserve"> PAGEREF _Toc184808577 \h </w:instrText>
        </w:r>
        <w:r>
          <w:rPr>
            <w:noProof/>
            <w:webHidden/>
          </w:rPr>
        </w:r>
        <w:r>
          <w:rPr>
            <w:noProof/>
            <w:webHidden/>
          </w:rPr>
          <w:fldChar w:fldCharType="separate"/>
        </w:r>
        <w:r>
          <w:rPr>
            <w:noProof/>
            <w:webHidden/>
          </w:rPr>
          <w:t>159</w:t>
        </w:r>
        <w:r>
          <w:rPr>
            <w:noProof/>
            <w:webHidden/>
          </w:rPr>
          <w:fldChar w:fldCharType="end"/>
        </w:r>
      </w:hyperlink>
    </w:p>
    <w:p w14:paraId="0C36AB0B" w14:textId="0ADD7BA0"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78" w:history="1">
        <w:r w:rsidRPr="006E1A62">
          <w:rPr>
            <w:rStyle w:val="Hyperlink"/>
            <w:noProof/>
          </w:rPr>
          <w:t>Table 35: N</w:t>
        </w:r>
        <w:r w:rsidRPr="006E1A62">
          <w:rPr>
            <w:rStyle w:val="Hyperlink"/>
            <w:noProof/>
            <w:vertAlign w:val="subscript"/>
          </w:rPr>
          <w:t>2</w:t>
        </w:r>
        <w:r w:rsidRPr="006E1A62">
          <w:rPr>
            <w:rStyle w:val="Hyperlink"/>
            <w:noProof/>
          </w:rPr>
          <w:t>O emission factors for indirect emissions from agricultural soils (CRT 3D1) from 2019 IPCC Guidelines, used in Serbian inventory</w:t>
        </w:r>
        <w:r>
          <w:rPr>
            <w:noProof/>
            <w:webHidden/>
          </w:rPr>
          <w:tab/>
        </w:r>
        <w:r>
          <w:rPr>
            <w:noProof/>
            <w:webHidden/>
          </w:rPr>
          <w:fldChar w:fldCharType="begin"/>
        </w:r>
        <w:r>
          <w:rPr>
            <w:noProof/>
            <w:webHidden/>
          </w:rPr>
          <w:instrText xml:space="preserve"> PAGEREF _Toc184808578 \h </w:instrText>
        </w:r>
        <w:r>
          <w:rPr>
            <w:noProof/>
            <w:webHidden/>
          </w:rPr>
        </w:r>
        <w:r>
          <w:rPr>
            <w:noProof/>
            <w:webHidden/>
          </w:rPr>
          <w:fldChar w:fldCharType="separate"/>
        </w:r>
        <w:r>
          <w:rPr>
            <w:noProof/>
            <w:webHidden/>
          </w:rPr>
          <w:t>161</w:t>
        </w:r>
        <w:r>
          <w:rPr>
            <w:noProof/>
            <w:webHidden/>
          </w:rPr>
          <w:fldChar w:fldCharType="end"/>
        </w:r>
      </w:hyperlink>
    </w:p>
    <w:p w14:paraId="284C8F40" w14:textId="432039B2"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79" w:history="1">
        <w:r w:rsidRPr="006E1A62">
          <w:rPr>
            <w:rStyle w:val="Hyperlink"/>
            <w:noProof/>
          </w:rPr>
          <w:t>Table 36: N</w:t>
        </w:r>
        <w:r w:rsidRPr="006E1A62">
          <w:rPr>
            <w:rStyle w:val="Hyperlink"/>
            <w:noProof/>
            <w:vertAlign w:val="subscript"/>
          </w:rPr>
          <w:t>2</w:t>
        </w:r>
        <w:r w:rsidRPr="006E1A62">
          <w:rPr>
            <w:rStyle w:val="Hyperlink"/>
            <w:noProof/>
          </w:rPr>
          <w:t>O emission factors for field burning of agricultural residues (CRT 3F), from 2006 IPCC Guidelines, used in Serbian inventory</w:t>
        </w:r>
        <w:r>
          <w:rPr>
            <w:noProof/>
            <w:webHidden/>
          </w:rPr>
          <w:tab/>
        </w:r>
        <w:r>
          <w:rPr>
            <w:noProof/>
            <w:webHidden/>
          </w:rPr>
          <w:fldChar w:fldCharType="begin"/>
        </w:r>
        <w:r>
          <w:rPr>
            <w:noProof/>
            <w:webHidden/>
          </w:rPr>
          <w:instrText xml:space="preserve"> PAGEREF _Toc184808579 \h </w:instrText>
        </w:r>
        <w:r>
          <w:rPr>
            <w:noProof/>
            <w:webHidden/>
          </w:rPr>
        </w:r>
        <w:r>
          <w:rPr>
            <w:noProof/>
            <w:webHidden/>
          </w:rPr>
          <w:fldChar w:fldCharType="separate"/>
        </w:r>
        <w:r>
          <w:rPr>
            <w:noProof/>
            <w:webHidden/>
          </w:rPr>
          <w:t>164</w:t>
        </w:r>
        <w:r>
          <w:rPr>
            <w:noProof/>
            <w:webHidden/>
          </w:rPr>
          <w:fldChar w:fldCharType="end"/>
        </w:r>
      </w:hyperlink>
    </w:p>
    <w:p w14:paraId="1C206451" w14:textId="5782218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80" w:history="1">
        <w:r w:rsidRPr="006E1A62">
          <w:rPr>
            <w:rStyle w:val="Hyperlink"/>
            <w:noProof/>
          </w:rPr>
          <w:t>Table 37: Table of correspondence between CLC and IPCC classes</w:t>
        </w:r>
        <w:r>
          <w:rPr>
            <w:noProof/>
            <w:webHidden/>
          </w:rPr>
          <w:tab/>
        </w:r>
        <w:r>
          <w:rPr>
            <w:noProof/>
            <w:webHidden/>
          </w:rPr>
          <w:fldChar w:fldCharType="begin"/>
        </w:r>
        <w:r>
          <w:rPr>
            <w:noProof/>
            <w:webHidden/>
          </w:rPr>
          <w:instrText xml:space="preserve"> PAGEREF _Toc184808580 \h </w:instrText>
        </w:r>
        <w:r>
          <w:rPr>
            <w:noProof/>
            <w:webHidden/>
          </w:rPr>
        </w:r>
        <w:r>
          <w:rPr>
            <w:noProof/>
            <w:webHidden/>
          </w:rPr>
          <w:fldChar w:fldCharType="separate"/>
        </w:r>
        <w:r>
          <w:rPr>
            <w:noProof/>
            <w:webHidden/>
          </w:rPr>
          <w:t>169</w:t>
        </w:r>
        <w:r>
          <w:rPr>
            <w:noProof/>
            <w:webHidden/>
          </w:rPr>
          <w:fldChar w:fldCharType="end"/>
        </w:r>
      </w:hyperlink>
    </w:p>
    <w:p w14:paraId="21B537A4" w14:textId="188DE11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81" w:history="1">
        <w:r w:rsidRPr="006E1A62">
          <w:rPr>
            <w:rStyle w:val="Hyperlink"/>
            <w:noProof/>
          </w:rPr>
          <w:t>Table 38: Annual land use changes for the period 1990-2000 (ha/year)</w:t>
        </w:r>
        <w:r>
          <w:rPr>
            <w:noProof/>
            <w:webHidden/>
          </w:rPr>
          <w:tab/>
        </w:r>
        <w:r>
          <w:rPr>
            <w:noProof/>
            <w:webHidden/>
          </w:rPr>
          <w:fldChar w:fldCharType="begin"/>
        </w:r>
        <w:r>
          <w:rPr>
            <w:noProof/>
            <w:webHidden/>
          </w:rPr>
          <w:instrText xml:space="preserve"> PAGEREF _Toc184808581 \h </w:instrText>
        </w:r>
        <w:r>
          <w:rPr>
            <w:noProof/>
            <w:webHidden/>
          </w:rPr>
        </w:r>
        <w:r>
          <w:rPr>
            <w:noProof/>
            <w:webHidden/>
          </w:rPr>
          <w:fldChar w:fldCharType="separate"/>
        </w:r>
        <w:r>
          <w:rPr>
            <w:noProof/>
            <w:webHidden/>
          </w:rPr>
          <w:t>170</w:t>
        </w:r>
        <w:r>
          <w:rPr>
            <w:noProof/>
            <w:webHidden/>
          </w:rPr>
          <w:fldChar w:fldCharType="end"/>
        </w:r>
      </w:hyperlink>
    </w:p>
    <w:p w14:paraId="40245B9B" w14:textId="0BEDD8B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82" w:history="1">
        <w:r w:rsidRPr="006E1A62">
          <w:rPr>
            <w:rStyle w:val="Hyperlink"/>
            <w:noProof/>
          </w:rPr>
          <w:t>Table 39: Annual land use changes for the period 2000-2006 (ha/year)</w:t>
        </w:r>
        <w:r>
          <w:rPr>
            <w:noProof/>
            <w:webHidden/>
          </w:rPr>
          <w:tab/>
        </w:r>
        <w:r>
          <w:rPr>
            <w:noProof/>
            <w:webHidden/>
          </w:rPr>
          <w:fldChar w:fldCharType="begin"/>
        </w:r>
        <w:r>
          <w:rPr>
            <w:noProof/>
            <w:webHidden/>
          </w:rPr>
          <w:instrText xml:space="preserve"> PAGEREF _Toc184808582 \h </w:instrText>
        </w:r>
        <w:r>
          <w:rPr>
            <w:noProof/>
            <w:webHidden/>
          </w:rPr>
        </w:r>
        <w:r>
          <w:rPr>
            <w:noProof/>
            <w:webHidden/>
          </w:rPr>
          <w:fldChar w:fldCharType="separate"/>
        </w:r>
        <w:r>
          <w:rPr>
            <w:noProof/>
            <w:webHidden/>
          </w:rPr>
          <w:t>170</w:t>
        </w:r>
        <w:r>
          <w:rPr>
            <w:noProof/>
            <w:webHidden/>
          </w:rPr>
          <w:fldChar w:fldCharType="end"/>
        </w:r>
      </w:hyperlink>
    </w:p>
    <w:p w14:paraId="4DDB18A8" w14:textId="7CEA70A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83" w:history="1">
        <w:r w:rsidRPr="006E1A62">
          <w:rPr>
            <w:rStyle w:val="Hyperlink"/>
            <w:noProof/>
          </w:rPr>
          <w:t>Table 40: Annual land use changes for the period 2006-2012 (ha/year)</w:t>
        </w:r>
        <w:r>
          <w:rPr>
            <w:noProof/>
            <w:webHidden/>
          </w:rPr>
          <w:tab/>
        </w:r>
        <w:r>
          <w:rPr>
            <w:noProof/>
            <w:webHidden/>
          </w:rPr>
          <w:fldChar w:fldCharType="begin"/>
        </w:r>
        <w:r>
          <w:rPr>
            <w:noProof/>
            <w:webHidden/>
          </w:rPr>
          <w:instrText xml:space="preserve"> PAGEREF _Toc184808583 \h </w:instrText>
        </w:r>
        <w:r>
          <w:rPr>
            <w:noProof/>
            <w:webHidden/>
          </w:rPr>
        </w:r>
        <w:r>
          <w:rPr>
            <w:noProof/>
            <w:webHidden/>
          </w:rPr>
          <w:fldChar w:fldCharType="separate"/>
        </w:r>
        <w:r>
          <w:rPr>
            <w:noProof/>
            <w:webHidden/>
          </w:rPr>
          <w:t>170</w:t>
        </w:r>
        <w:r>
          <w:rPr>
            <w:noProof/>
            <w:webHidden/>
          </w:rPr>
          <w:fldChar w:fldCharType="end"/>
        </w:r>
      </w:hyperlink>
    </w:p>
    <w:p w14:paraId="694DCC94" w14:textId="0010FD6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84" w:history="1">
        <w:r w:rsidRPr="006E1A62">
          <w:rPr>
            <w:rStyle w:val="Hyperlink"/>
            <w:noProof/>
          </w:rPr>
          <w:t>Table 41: Example of annual matrix for the year 2022 (ha)</w:t>
        </w:r>
        <w:r>
          <w:rPr>
            <w:noProof/>
            <w:webHidden/>
          </w:rPr>
          <w:tab/>
        </w:r>
        <w:r>
          <w:rPr>
            <w:noProof/>
            <w:webHidden/>
          </w:rPr>
          <w:fldChar w:fldCharType="begin"/>
        </w:r>
        <w:r>
          <w:rPr>
            <w:noProof/>
            <w:webHidden/>
          </w:rPr>
          <w:instrText xml:space="preserve"> PAGEREF _Toc184808584 \h </w:instrText>
        </w:r>
        <w:r>
          <w:rPr>
            <w:noProof/>
            <w:webHidden/>
          </w:rPr>
        </w:r>
        <w:r>
          <w:rPr>
            <w:noProof/>
            <w:webHidden/>
          </w:rPr>
          <w:fldChar w:fldCharType="separate"/>
        </w:r>
        <w:r>
          <w:rPr>
            <w:noProof/>
            <w:webHidden/>
          </w:rPr>
          <w:t>171</w:t>
        </w:r>
        <w:r>
          <w:rPr>
            <w:noProof/>
            <w:webHidden/>
          </w:rPr>
          <w:fldChar w:fldCharType="end"/>
        </w:r>
      </w:hyperlink>
    </w:p>
    <w:p w14:paraId="68AE4B04" w14:textId="6D457D38"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85" w:history="1">
        <w:r w:rsidRPr="006E1A62">
          <w:rPr>
            <w:rStyle w:val="Hyperlink"/>
            <w:noProof/>
          </w:rPr>
          <w:t>Table 42: Example of 20-year matrix for the year 2022 (ha)</w:t>
        </w:r>
        <w:r>
          <w:rPr>
            <w:noProof/>
            <w:webHidden/>
          </w:rPr>
          <w:tab/>
        </w:r>
        <w:r>
          <w:rPr>
            <w:noProof/>
            <w:webHidden/>
          </w:rPr>
          <w:fldChar w:fldCharType="begin"/>
        </w:r>
        <w:r>
          <w:rPr>
            <w:noProof/>
            <w:webHidden/>
          </w:rPr>
          <w:instrText xml:space="preserve"> PAGEREF _Toc184808585 \h </w:instrText>
        </w:r>
        <w:r>
          <w:rPr>
            <w:noProof/>
            <w:webHidden/>
          </w:rPr>
        </w:r>
        <w:r>
          <w:rPr>
            <w:noProof/>
            <w:webHidden/>
          </w:rPr>
          <w:fldChar w:fldCharType="separate"/>
        </w:r>
        <w:r>
          <w:rPr>
            <w:noProof/>
            <w:webHidden/>
          </w:rPr>
          <w:t>171</w:t>
        </w:r>
        <w:r>
          <w:rPr>
            <w:noProof/>
            <w:webHidden/>
          </w:rPr>
          <w:fldChar w:fldCharType="end"/>
        </w:r>
      </w:hyperlink>
    </w:p>
    <w:p w14:paraId="0180BEF6" w14:textId="0699B5B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86" w:history="1">
        <w:r w:rsidRPr="006E1A62">
          <w:rPr>
            <w:rStyle w:val="Hyperlink"/>
            <w:noProof/>
          </w:rPr>
          <w:t>Table 43: Default carbon stocks from 2006 IPCC guidelines</w:t>
        </w:r>
        <w:r>
          <w:rPr>
            <w:noProof/>
            <w:webHidden/>
          </w:rPr>
          <w:tab/>
        </w:r>
        <w:r>
          <w:rPr>
            <w:noProof/>
            <w:webHidden/>
          </w:rPr>
          <w:fldChar w:fldCharType="begin"/>
        </w:r>
        <w:r>
          <w:rPr>
            <w:noProof/>
            <w:webHidden/>
          </w:rPr>
          <w:instrText xml:space="preserve"> PAGEREF _Toc184808586 \h </w:instrText>
        </w:r>
        <w:r>
          <w:rPr>
            <w:noProof/>
            <w:webHidden/>
          </w:rPr>
        </w:r>
        <w:r>
          <w:rPr>
            <w:noProof/>
            <w:webHidden/>
          </w:rPr>
          <w:fldChar w:fldCharType="separate"/>
        </w:r>
        <w:r>
          <w:rPr>
            <w:noProof/>
            <w:webHidden/>
          </w:rPr>
          <w:t>172</w:t>
        </w:r>
        <w:r>
          <w:rPr>
            <w:noProof/>
            <w:webHidden/>
          </w:rPr>
          <w:fldChar w:fldCharType="end"/>
        </w:r>
      </w:hyperlink>
    </w:p>
    <w:p w14:paraId="432A8310" w14:textId="4075264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87" w:history="1">
        <w:r w:rsidRPr="006E1A62">
          <w:rPr>
            <w:rStyle w:val="Hyperlink"/>
            <w:noProof/>
          </w:rPr>
          <w:t>Table 43: Carbon stock parameters used in the Serbian emission inventory, per type of land (in t C/ha)</w:t>
        </w:r>
        <w:r>
          <w:rPr>
            <w:noProof/>
            <w:webHidden/>
          </w:rPr>
          <w:tab/>
        </w:r>
        <w:r>
          <w:rPr>
            <w:noProof/>
            <w:webHidden/>
          </w:rPr>
          <w:fldChar w:fldCharType="begin"/>
        </w:r>
        <w:r>
          <w:rPr>
            <w:noProof/>
            <w:webHidden/>
          </w:rPr>
          <w:instrText xml:space="preserve"> PAGEREF _Toc184808587 \h </w:instrText>
        </w:r>
        <w:r>
          <w:rPr>
            <w:noProof/>
            <w:webHidden/>
          </w:rPr>
        </w:r>
        <w:r>
          <w:rPr>
            <w:noProof/>
            <w:webHidden/>
          </w:rPr>
          <w:fldChar w:fldCharType="separate"/>
        </w:r>
        <w:r>
          <w:rPr>
            <w:noProof/>
            <w:webHidden/>
          </w:rPr>
          <w:t>173</w:t>
        </w:r>
        <w:r>
          <w:rPr>
            <w:noProof/>
            <w:webHidden/>
          </w:rPr>
          <w:fldChar w:fldCharType="end"/>
        </w:r>
      </w:hyperlink>
    </w:p>
    <w:p w14:paraId="50F2D048" w14:textId="3F96FEF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88" w:history="1">
        <w:r w:rsidRPr="006E1A62">
          <w:rPr>
            <w:rStyle w:val="Hyperlink"/>
            <w:noProof/>
          </w:rPr>
          <w:t>Table 44: Default parameters for emission estimation, for harvested wood products (CRT 4G), used in Serbian inventory</w:t>
        </w:r>
        <w:r>
          <w:rPr>
            <w:noProof/>
            <w:webHidden/>
          </w:rPr>
          <w:tab/>
        </w:r>
        <w:r>
          <w:rPr>
            <w:noProof/>
            <w:webHidden/>
          </w:rPr>
          <w:fldChar w:fldCharType="begin"/>
        </w:r>
        <w:r>
          <w:rPr>
            <w:noProof/>
            <w:webHidden/>
          </w:rPr>
          <w:instrText xml:space="preserve"> PAGEREF _Toc184808588 \h </w:instrText>
        </w:r>
        <w:r>
          <w:rPr>
            <w:noProof/>
            <w:webHidden/>
          </w:rPr>
        </w:r>
        <w:r>
          <w:rPr>
            <w:noProof/>
            <w:webHidden/>
          </w:rPr>
          <w:fldChar w:fldCharType="separate"/>
        </w:r>
        <w:r>
          <w:rPr>
            <w:noProof/>
            <w:webHidden/>
          </w:rPr>
          <w:t>199</w:t>
        </w:r>
        <w:r>
          <w:rPr>
            <w:noProof/>
            <w:webHidden/>
          </w:rPr>
          <w:fldChar w:fldCharType="end"/>
        </w:r>
      </w:hyperlink>
    </w:p>
    <w:p w14:paraId="0E2D4CCD" w14:textId="7FDBCC67"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89" w:history="1">
        <w:r w:rsidRPr="006E1A62">
          <w:rPr>
            <w:rStyle w:val="Hyperlink"/>
            <w:noProof/>
          </w:rPr>
          <w:t>Table 45: MSW generation rate, for the period 1990-2022, used in the Serbian inventory (in kg/inhabitant/year)</w:t>
        </w:r>
        <w:r>
          <w:rPr>
            <w:noProof/>
            <w:webHidden/>
          </w:rPr>
          <w:tab/>
        </w:r>
        <w:r>
          <w:rPr>
            <w:noProof/>
            <w:webHidden/>
          </w:rPr>
          <w:fldChar w:fldCharType="begin"/>
        </w:r>
        <w:r>
          <w:rPr>
            <w:noProof/>
            <w:webHidden/>
          </w:rPr>
          <w:instrText xml:space="preserve"> PAGEREF _Toc184808589 \h </w:instrText>
        </w:r>
        <w:r>
          <w:rPr>
            <w:noProof/>
            <w:webHidden/>
          </w:rPr>
        </w:r>
        <w:r>
          <w:rPr>
            <w:noProof/>
            <w:webHidden/>
          </w:rPr>
          <w:fldChar w:fldCharType="separate"/>
        </w:r>
        <w:r>
          <w:rPr>
            <w:noProof/>
            <w:webHidden/>
          </w:rPr>
          <w:t>203</w:t>
        </w:r>
        <w:r>
          <w:rPr>
            <w:noProof/>
            <w:webHidden/>
          </w:rPr>
          <w:fldChar w:fldCharType="end"/>
        </w:r>
      </w:hyperlink>
    </w:p>
    <w:p w14:paraId="7AE80480" w14:textId="78DC29D2"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90" w:history="1">
        <w:r w:rsidRPr="006E1A62">
          <w:rPr>
            <w:rStyle w:val="Hyperlink"/>
            <w:noProof/>
          </w:rPr>
          <w:t>Table 46: Fraction of generated MSW going to landfills, for the period 1990-2022, used in the Serbian inventory (in %)</w:t>
        </w:r>
        <w:r>
          <w:rPr>
            <w:noProof/>
            <w:webHidden/>
          </w:rPr>
          <w:tab/>
        </w:r>
        <w:r>
          <w:rPr>
            <w:noProof/>
            <w:webHidden/>
          </w:rPr>
          <w:fldChar w:fldCharType="begin"/>
        </w:r>
        <w:r>
          <w:rPr>
            <w:noProof/>
            <w:webHidden/>
          </w:rPr>
          <w:instrText xml:space="preserve"> PAGEREF _Toc184808590 \h </w:instrText>
        </w:r>
        <w:r>
          <w:rPr>
            <w:noProof/>
            <w:webHidden/>
          </w:rPr>
        </w:r>
        <w:r>
          <w:rPr>
            <w:noProof/>
            <w:webHidden/>
          </w:rPr>
          <w:fldChar w:fldCharType="separate"/>
        </w:r>
        <w:r>
          <w:rPr>
            <w:noProof/>
            <w:webHidden/>
          </w:rPr>
          <w:t>204</w:t>
        </w:r>
        <w:r>
          <w:rPr>
            <w:noProof/>
            <w:webHidden/>
          </w:rPr>
          <w:fldChar w:fldCharType="end"/>
        </w:r>
      </w:hyperlink>
    </w:p>
    <w:p w14:paraId="32018CE6" w14:textId="4AB5F8E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91" w:history="1">
        <w:r w:rsidRPr="006E1A62">
          <w:rPr>
            <w:rStyle w:val="Hyperlink"/>
            <w:noProof/>
          </w:rPr>
          <w:t>Table 47: Evolution of the amount of MSW disposed in landfills, for the period 1990-2022, in the Republic of Serbia (in kt)</w:t>
        </w:r>
        <w:r>
          <w:rPr>
            <w:noProof/>
            <w:webHidden/>
          </w:rPr>
          <w:tab/>
        </w:r>
        <w:r>
          <w:rPr>
            <w:noProof/>
            <w:webHidden/>
          </w:rPr>
          <w:fldChar w:fldCharType="begin"/>
        </w:r>
        <w:r>
          <w:rPr>
            <w:noProof/>
            <w:webHidden/>
          </w:rPr>
          <w:instrText xml:space="preserve"> PAGEREF _Toc184808591 \h </w:instrText>
        </w:r>
        <w:r>
          <w:rPr>
            <w:noProof/>
            <w:webHidden/>
          </w:rPr>
        </w:r>
        <w:r>
          <w:rPr>
            <w:noProof/>
            <w:webHidden/>
          </w:rPr>
          <w:fldChar w:fldCharType="separate"/>
        </w:r>
        <w:r>
          <w:rPr>
            <w:noProof/>
            <w:webHidden/>
          </w:rPr>
          <w:t>204</w:t>
        </w:r>
        <w:r>
          <w:rPr>
            <w:noProof/>
            <w:webHidden/>
          </w:rPr>
          <w:fldChar w:fldCharType="end"/>
        </w:r>
      </w:hyperlink>
    </w:p>
    <w:p w14:paraId="00872AB3" w14:textId="366DD03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92" w:history="1">
        <w:r w:rsidRPr="006E1A62">
          <w:rPr>
            <w:rStyle w:val="Hyperlink"/>
            <w:noProof/>
          </w:rPr>
          <w:t>Table 48: Municipal solid waste composition used in the Serbian inventory, per waste category (in %)</w:t>
        </w:r>
        <w:r>
          <w:rPr>
            <w:noProof/>
            <w:webHidden/>
          </w:rPr>
          <w:tab/>
        </w:r>
        <w:r>
          <w:rPr>
            <w:noProof/>
            <w:webHidden/>
          </w:rPr>
          <w:fldChar w:fldCharType="begin"/>
        </w:r>
        <w:r>
          <w:rPr>
            <w:noProof/>
            <w:webHidden/>
          </w:rPr>
          <w:instrText xml:space="preserve"> PAGEREF _Toc184808592 \h </w:instrText>
        </w:r>
        <w:r>
          <w:rPr>
            <w:noProof/>
            <w:webHidden/>
          </w:rPr>
        </w:r>
        <w:r>
          <w:rPr>
            <w:noProof/>
            <w:webHidden/>
          </w:rPr>
          <w:fldChar w:fldCharType="separate"/>
        </w:r>
        <w:r>
          <w:rPr>
            <w:noProof/>
            <w:webHidden/>
          </w:rPr>
          <w:t>205</w:t>
        </w:r>
        <w:r>
          <w:rPr>
            <w:noProof/>
            <w:webHidden/>
          </w:rPr>
          <w:fldChar w:fldCharType="end"/>
        </w:r>
      </w:hyperlink>
    </w:p>
    <w:p w14:paraId="5C7DD204" w14:textId="381BA81E"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93" w:history="1">
        <w:r w:rsidRPr="006E1A62">
          <w:rPr>
            <w:rStyle w:val="Hyperlink"/>
            <w:noProof/>
          </w:rPr>
          <w:t>Table 49: Industrial waste generation and destination, for the period 1990-2022, used in the Serbian inventory</w:t>
        </w:r>
        <w:r>
          <w:rPr>
            <w:noProof/>
            <w:webHidden/>
          </w:rPr>
          <w:tab/>
        </w:r>
        <w:r>
          <w:rPr>
            <w:noProof/>
            <w:webHidden/>
          </w:rPr>
          <w:fldChar w:fldCharType="begin"/>
        </w:r>
        <w:r>
          <w:rPr>
            <w:noProof/>
            <w:webHidden/>
          </w:rPr>
          <w:instrText xml:space="preserve"> PAGEREF _Toc184808593 \h </w:instrText>
        </w:r>
        <w:r>
          <w:rPr>
            <w:noProof/>
            <w:webHidden/>
          </w:rPr>
        </w:r>
        <w:r>
          <w:rPr>
            <w:noProof/>
            <w:webHidden/>
          </w:rPr>
          <w:fldChar w:fldCharType="separate"/>
        </w:r>
        <w:r>
          <w:rPr>
            <w:noProof/>
            <w:webHidden/>
          </w:rPr>
          <w:t>205</w:t>
        </w:r>
        <w:r>
          <w:rPr>
            <w:noProof/>
            <w:webHidden/>
          </w:rPr>
          <w:fldChar w:fldCharType="end"/>
        </w:r>
      </w:hyperlink>
    </w:p>
    <w:p w14:paraId="61EEDE1C" w14:textId="674EAF8B"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94" w:history="1">
        <w:r w:rsidRPr="006E1A62">
          <w:rPr>
            <w:rStyle w:val="Hyperlink"/>
            <w:noProof/>
          </w:rPr>
          <w:t>Table 50: Repartition between management practices, used in the Serbian inventory</w:t>
        </w:r>
        <w:r>
          <w:rPr>
            <w:noProof/>
            <w:webHidden/>
          </w:rPr>
          <w:tab/>
        </w:r>
        <w:r>
          <w:rPr>
            <w:noProof/>
            <w:webHidden/>
          </w:rPr>
          <w:fldChar w:fldCharType="begin"/>
        </w:r>
        <w:r>
          <w:rPr>
            <w:noProof/>
            <w:webHidden/>
          </w:rPr>
          <w:instrText xml:space="preserve"> PAGEREF _Toc184808594 \h </w:instrText>
        </w:r>
        <w:r>
          <w:rPr>
            <w:noProof/>
            <w:webHidden/>
          </w:rPr>
        </w:r>
        <w:r>
          <w:rPr>
            <w:noProof/>
            <w:webHidden/>
          </w:rPr>
          <w:fldChar w:fldCharType="separate"/>
        </w:r>
        <w:r>
          <w:rPr>
            <w:noProof/>
            <w:webHidden/>
          </w:rPr>
          <w:t>206</w:t>
        </w:r>
        <w:r>
          <w:rPr>
            <w:noProof/>
            <w:webHidden/>
          </w:rPr>
          <w:fldChar w:fldCharType="end"/>
        </w:r>
      </w:hyperlink>
    </w:p>
    <w:p w14:paraId="23CBCABD" w14:textId="032204C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95" w:history="1">
        <w:r w:rsidRPr="006E1A62">
          <w:rPr>
            <w:rStyle w:val="Hyperlink"/>
            <w:noProof/>
          </w:rPr>
          <w:t>Table 51: Degradable Organic Content (DOC), used in the Serbian inventory, per waste type</w:t>
        </w:r>
        <w:r>
          <w:rPr>
            <w:noProof/>
            <w:webHidden/>
          </w:rPr>
          <w:tab/>
        </w:r>
        <w:r>
          <w:rPr>
            <w:noProof/>
            <w:webHidden/>
          </w:rPr>
          <w:fldChar w:fldCharType="begin"/>
        </w:r>
        <w:r>
          <w:rPr>
            <w:noProof/>
            <w:webHidden/>
          </w:rPr>
          <w:instrText xml:space="preserve"> PAGEREF _Toc184808595 \h </w:instrText>
        </w:r>
        <w:r>
          <w:rPr>
            <w:noProof/>
            <w:webHidden/>
          </w:rPr>
        </w:r>
        <w:r>
          <w:rPr>
            <w:noProof/>
            <w:webHidden/>
          </w:rPr>
          <w:fldChar w:fldCharType="separate"/>
        </w:r>
        <w:r>
          <w:rPr>
            <w:noProof/>
            <w:webHidden/>
          </w:rPr>
          <w:t>206</w:t>
        </w:r>
        <w:r>
          <w:rPr>
            <w:noProof/>
            <w:webHidden/>
          </w:rPr>
          <w:fldChar w:fldCharType="end"/>
        </w:r>
      </w:hyperlink>
    </w:p>
    <w:p w14:paraId="5C2D8415" w14:textId="5373563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96" w:history="1">
        <w:r w:rsidRPr="006E1A62">
          <w:rPr>
            <w:rStyle w:val="Hyperlink"/>
            <w:noProof/>
          </w:rPr>
          <w:t>Table 52: Dissimilated degradable organic content (DOC</w:t>
        </w:r>
        <w:r w:rsidRPr="006E1A62">
          <w:rPr>
            <w:rStyle w:val="Hyperlink"/>
            <w:noProof/>
            <w:vertAlign w:val="subscript"/>
          </w:rPr>
          <w:t>f</w:t>
        </w:r>
        <w:r w:rsidRPr="006E1A62">
          <w:rPr>
            <w:rStyle w:val="Hyperlink"/>
            <w:noProof/>
          </w:rPr>
          <w:t>), used in the Serbian inventory</w:t>
        </w:r>
        <w:r>
          <w:rPr>
            <w:noProof/>
            <w:webHidden/>
          </w:rPr>
          <w:tab/>
        </w:r>
        <w:r>
          <w:rPr>
            <w:noProof/>
            <w:webHidden/>
          </w:rPr>
          <w:fldChar w:fldCharType="begin"/>
        </w:r>
        <w:r>
          <w:rPr>
            <w:noProof/>
            <w:webHidden/>
          </w:rPr>
          <w:instrText xml:space="preserve"> PAGEREF _Toc184808596 \h </w:instrText>
        </w:r>
        <w:r>
          <w:rPr>
            <w:noProof/>
            <w:webHidden/>
          </w:rPr>
        </w:r>
        <w:r>
          <w:rPr>
            <w:noProof/>
            <w:webHidden/>
          </w:rPr>
          <w:fldChar w:fldCharType="separate"/>
        </w:r>
        <w:r>
          <w:rPr>
            <w:noProof/>
            <w:webHidden/>
          </w:rPr>
          <w:t>207</w:t>
        </w:r>
        <w:r>
          <w:rPr>
            <w:noProof/>
            <w:webHidden/>
          </w:rPr>
          <w:fldChar w:fldCharType="end"/>
        </w:r>
      </w:hyperlink>
    </w:p>
    <w:p w14:paraId="59310826" w14:textId="56BA83C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97" w:history="1">
        <w:r w:rsidRPr="006E1A62">
          <w:rPr>
            <w:rStyle w:val="Hyperlink"/>
            <w:noProof/>
          </w:rPr>
          <w:t>Table 53: Methane generation rate constant (k), used in the Serbian inventory, per waste type (in years</w:t>
        </w:r>
        <w:r w:rsidRPr="006E1A62">
          <w:rPr>
            <w:rStyle w:val="Hyperlink"/>
            <w:noProof/>
            <w:vertAlign w:val="superscript"/>
          </w:rPr>
          <w:t>-1</w:t>
        </w:r>
        <w:r w:rsidRPr="006E1A62">
          <w:rPr>
            <w:rStyle w:val="Hyperlink"/>
            <w:noProof/>
          </w:rPr>
          <w:t>)</w:t>
        </w:r>
        <w:r>
          <w:rPr>
            <w:noProof/>
            <w:webHidden/>
          </w:rPr>
          <w:tab/>
        </w:r>
        <w:r>
          <w:rPr>
            <w:noProof/>
            <w:webHidden/>
          </w:rPr>
          <w:fldChar w:fldCharType="begin"/>
        </w:r>
        <w:r>
          <w:rPr>
            <w:noProof/>
            <w:webHidden/>
          </w:rPr>
          <w:instrText xml:space="preserve"> PAGEREF _Toc184808597 \h </w:instrText>
        </w:r>
        <w:r>
          <w:rPr>
            <w:noProof/>
            <w:webHidden/>
          </w:rPr>
        </w:r>
        <w:r>
          <w:rPr>
            <w:noProof/>
            <w:webHidden/>
          </w:rPr>
          <w:fldChar w:fldCharType="separate"/>
        </w:r>
        <w:r>
          <w:rPr>
            <w:noProof/>
            <w:webHidden/>
          </w:rPr>
          <w:t>207</w:t>
        </w:r>
        <w:r>
          <w:rPr>
            <w:noProof/>
            <w:webHidden/>
          </w:rPr>
          <w:fldChar w:fldCharType="end"/>
        </w:r>
      </w:hyperlink>
    </w:p>
    <w:p w14:paraId="49127092" w14:textId="30EB8E4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98" w:history="1">
        <w:r w:rsidRPr="006E1A62">
          <w:rPr>
            <w:rStyle w:val="Hyperlink"/>
            <w:noProof/>
          </w:rPr>
          <w:t>Table 54: Methane correction factor (MCF) , used in the Serbian inventory, per waste management type</w:t>
        </w:r>
        <w:r>
          <w:rPr>
            <w:noProof/>
            <w:webHidden/>
          </w:rPr>
          <w:tab/>
        </w:r>
        <w:r>
          <w:rPr>
            <w:noProof/>
            <w:webHidden/>
          </w:rPr>
          <w:fldChar w:fldCharType="begin"/>
        </w:r>
        <w:r>
          <w:rPr>
            <w:noProof/>
            <w:webHidden/>
          </w:rPr>
          <w:instrText xml:space="preserve"> PAGEREF _Toc184808598 \h </w:instrText>
        </w:r>
        <w:r>
          <w:rPr>
            <w:noProof/>
            <w:webHidden/>
          </w:rPr>
        </w:r>
        <w:r>
          <w:rPr>
            <w:noProof/>
            <w:webHidden/>
          </w:rPr>
          <w:fldChar w:fldCharType="separate"/>
        </w:r>
        <w:r>
          <w:rPr>
            <w:noProof/>
            <w:webHidden/>
          </w:rPr>
          <w:t>207</w:t>
        </w:r>
        <w:r>
          <w:rPr>
            <w:noProof/>
            <w:webHidden/>
          </w:rPr>
          <w:fldChar w:fldCharType="end"/>
        </w:r>
      </w:hyperlink>
    </w:p>
    <w:p w14:paraId="637577EA" w14:textId="017B2428"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599" w:history="1">
        <w:r w:rsidRPr="006E1A62">
          <w:rPr>
            <w:rStyle w:val="Hyperlink"/>
            <w:noProof/>
          </w:rPr>
          <w:t>Table 55: Oxidation factor (F), used in the Serbian inventory, for the period 1990-2022</w:t>
        </w:r>
        <w:r>
          <w:rPr>
            <w:noProof/>
            <w:webHidden/>
          </w:rPr>
          <w:tab/>
        </w:r>
        <w:r>
          <w:rPr>
            <w:noProof/>
            <w:webHidden/>
          </w:rPr>
          <w:fldChar w:fldCharType="begin"/>
        </w:r>
        <w:r>
          <w:rPr>
            <w:noProof/>
            <w:webHidden/>
          </w:rPr>
          <w:instrText xml:space="preserve"> PAGEREF _Toc184808599 \h </w:instrText>
        </w:r>
        <w:r>
          <w:rPr>
            <w:noProof/>
            <w:webHidden/>
          </w:rPr>
        </w:r>
        <w:r>
          <w:rPr>
            <w:noProof/>
            <w:webHidden/>
          </w:rPr>
          <w:fldChar w:fldCharType="separate"/>
        </w:r>
        <w:r>
          <w:rPr>
            <w:noProof/>
            <w:webHidden/>
          </w:rPr>
          <w:t>208</w:t>
        </w:r>
        <w:r>
          <w:rPr>
            <w:noProof/>
            <w:webHidden/>
          </w:rPr>
          <w:fldChar w:fldCharType="end"/>
        </w:r>
      </w:hyperlink>
    </w:p>
    <w:p w14:paraId="2C8634E9" w14:textId="044824C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00" w:history="1">
        <w:r w:rsidRPr="006E1A62">
          <w:rPr>
            <w:rStyle w:val="Hyperlink"/>
            <w:noProof/>
          </w:rPr>
          <w:t>Table 56: Evolution of Serbian population (P), in millions of inhabitants, for the period 1990-2022</w:t>
        </w:r>
        <w:r>
          <w:rPr>
            <w:noProof/>
            <w:webHidden/>
          </w:rPr>
          <w:tab/>
        </w:r>
        <w:r>
          <w:rPr>
            <w:noProof/>
            <w:webHidden/>
          </w:rPr>
          <w:fldChar w:fldCharType="begin"/>
        </w:r>
        <w:r>
          <w:rPr>
            <w:noProof/>
            <w:webHidden/>
          </w:rPr>
          <w:instrText xml:space="preserve"> PAGEREF _Toc184808600 \h </w:instrText>
        </w:r>
        <w:r>
          <w:rPr>
            <w:noProof/>
            <w:webHidden/>
          </w:rPr>
        </w:r>
        <w:r>
          <w:rPr>
            <w:noProof/>
            <w:webHidden/>
          </w:rPr>
          <w:fldChar w:fldCharType="separate"/>
        </w:r>
        <w:r>
          <w:rPr>
            <w:noProof/>
            <w:webHidden/>
          </w:rPr>
          <w:t>211</w:t>
        </w:r>
        <w:r>
          <w:rPr>
            <w:noProof/>
            <w:webHidden/>
          </w:rPr>
          <w:fldChar w:fldCharType="end"/>
        </w:r>
      </w:hyperlink>
    </w:p>
    <w:p w14:paraId="33A88D83" w14:textId="2E6037A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01" w:history="1">
        <w:r w:rsidRPr="006E1A62">
          <w:rPr>
            <w:rStyle w:val="Hyperlink"/>
            <w:noProof/>
          </w:rPr>
          <w:t>Table 57: Degree of utilisation of treatment/discharge pathway or system (Ti,j), used in Serbian inventory</w:t>
        </w:r>
        <w:r>
          <w:rPr>
            <w:noProof/>
            <w:webHidden/>
          </w:rPr>
          <w:tab/>
        </w:r>
        <w:r>
          <w:rPr>
            <w:noProof/>
            <w:webHidden/>
          </w:rPr>
          <w:fldChar w:fldCharType="begin"/>
        </w:r>
        <w:r>
          <w:rPr>
            <w:noProof/>
            <w:webHidden/>
          </w:rPr>
          <w:instrText xml:space="preserve"> PAGEREF _Toc184808601 \h </w:instrText>
        </w:r>
        <w:r>
          <w:rPr>
            <w:noProof/>
            <w:webHidden/>
          </w:rPr>
        </w:r>
        <w:r>
          <w:rPr>
            <w:noProof/>
            <w:webHidden/>
          </w:rPr>
          <w:fldChar w:fldCharType="separate"/>
        </w:r>
        <w:r>
          <w:rPr>
            <w:noProof/>
            <w:webHidden/>
          </w:rPr>
          <w:t>212</w:t>
        </w:r>
        <w:r>
          <w:rPr>
            <w:noProof/>
            <w:webHidden/>
          </w:rPr>
          <w:fldChar w:fldCharType="end"/>
        </w:r>
      </w:hyperlink>
    </w:p>
    <w:p w14:paraId="64499D46" w14:textId="1121C8CD"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02" w:history="1">
        <w:r w:rsidRPr="006E1A62">
          <w:rPr>
            <w:rStyle w:val="Hyperlink"/>
            <w:noProof/>
          </w:rPr>
          <w:t>Table 58: Correction factor for additional Industrial BOD (I), per treatment/discharge system</w:t>
        </w:r>
        <w:r>
          <w:rPr>
            <w:noProof/>
            <w:webHidden/>
          </w:rPr>
          <w:tab/>
        </w:r>
        <w:r>
          <w:rPr>
            <w:noProof/>
            <w:webHidden/>
          </w:rPr>
          <w:fldChar w:fldCharType="begin"/>
        </w:r>
        <w:r>
          <w:rPr>
            <w:noProof/>
            <w:webHidden/>
          </w:rPr>
          <w:instrText xml:space="preserve"> PAGEREF _Toc184808602 \h </w:instrText>
        </w:r>
        <w:r>
          <w:rPr>
            <w:noProof/>
            <w:webHidden/>
          </w:rPr>
        </w:r>
        <w:r>
          <w:rPr>
            <w:noProof/>
            <w:webHidden/>
          </w:rPr>
          <w:fldChar w:fldCharType="separate"/>
        </w:r>
        <w:r>
          <w:rPr>
            <w:noProof/>
            <w:webHidden/>
          </w:rPr>
          <w:t>212</w:t>
        </w:r>
        <w:r>
          <w:rPr>
            <w:noProof/>
            <w:webHidden/>
          </w:rPr>
          <w:fldChar w:fldCharType="end"/>
        </w:r>
      </w:hyperlink>
    </w:p>
    <w:p w14:paraId="77237997" w14:textId="2205BD02"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03" w:history="1">
        <w:r w:rsidRPr="006E1A62">
          <w:rPr>
            <w:rStyle w:val="Hyperlink"/>
            <w:noProof/>
          </w:rPr>
          <w:t>Table 59: Methane correction factor per treatment systems and discharge pathways (MCF)</w:t>
        </w:r>
        <w:r>
          <w:rPr>
            <w:noProof/>
            <w:webHidden/>
          </w:rPr>
          <w:tab/>
        </w:r>
        <w:r>
          <w:rPr>
            <w:noProof/>
            <w:webHidden/>
          </w:rPr>
          <w:fldChar w:fldCharType="begin"/>
        </w:r>
        <w:r>
          <w:rPr>
            <w:noProof/>
            <w:webHidden/>
          </w:rPr>
          <w:instrText xml:space="preserve"> PAGEREF _Toc184808603 \h </w:instrText>
        </w:r>
        <w:r>
          <w:rPr>
            <w:noProof/>
            <w:webHidden/>
          </w:rPr>
        </w:r>
        <w:r>
          <w:rPr>
            <w:noProof/>
            <w:webHidden/>
          </w:rPr>
          <w:fldChar w:fldCharType="separate"/>
        </w:r>
        <w:r>
          <w:rPr>
            <w:noProof/>
            <w:webHidden/>
          </w:rPr>
          <w:t>213</w:t>
        </w:r>
        <w:r>
          <w:rPr>
            <w:noProof/>
            <w:webHidden/>
          </w:rPr>
          <w:fldChar w:fldCharType="end"/>
        </w:r>
      </w:hyperlink>
    </w:p>
    <w:p w14:paraId="26FC9D07" w14:textId="276CBA50"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04" w:history="1">
        <w:r w:rsidRPr="006E1A62">
          <w:rPr>
            <w:rStyle w:val="Hyperlink"/>
            <w:noProof/>
          </w:rPr>
          <w:t>Table 60: Protein consumption per capita (Protein)</w:t>
        </w:r>
        <w:r>
          <w:rPr>
            <w:noProof/>
            <w:webHidden/>
          </w:rPr>
          <w:tab/>
        </w:r>
        <w:r>
          <w:rPr>
            <w:noProof/>
            <w:webHidden/>
          </w:rPr>
          <w:fldChar w:fldCharType="begin"/>
        </w:r>
        <w:r>
          <w:rPr>
            <w:noProof/>
            <w:webHidden/>
          </w:rPr>
          <w:instrText xml:space="preserve"> PAGEREF _Toc184808604 \h </w:instrText>
        </w:r>
        <w:r>
          <w:rPr>
            <w:noProof/>
            <w:webHidden/>
          </w:rPr>
        </w:r>
        <w:r>
          <w:rPr>
            <w:noProof/>
            <w:webHidden/>
          </w:rPr>
          <w:fldChar w:fldCharType="separate"/>
        </w:r>
        <w:r>
          <w:rPr>
            <w:noProof/>
            <w:webHidden/>
          </w:rPr>
          <w:t>213</w:t>
        </w:r>
        <w:r>
          <w:rPr>
            <w:noProof/>
            <w:webHidden/>
          </w:rPr>
          <w:fldChar w:fldCharType="end"/>
        </w:r>
      </w:hyperlink>
    </w:p>
    <w:p w14:paraId="4420E318" w14:textId="4B30E629"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05" w:history="1">
        <w:r w:rsidRPr="006E1A62">
          <w:rPr>
            <w:rStyle w:val="Hyperlink"/>
            <w:noProof/>
          </w:rPr>
          <w:t>Table 61: Fraction of Nitrogen in protein (Fnpr), Factor for non-consumed protein (Fnon-con) and factor for industrial and commercial co-discharged (Find-com)</w:t>
        </w:r>
        <w:r>
          <w:rPr>
            <w:noProof/>
            <w:webHidden/>
          </w:rPr>
          <w:tab/>
        </w:r>
        <w:r>
          <w:rPr>
            <w:noProof/>
            <w:webHidden/>
          </w:rPr>
          <w:fldChar w:fldCharType="begin"/>
        </w:r>
        <w:r>
          <w:rPr>
            <w:noProof/>
            <w:webHidden/>
          </w:rPr>
          <w:instrText xml:space="preserve"> PAGEREF _Toc184808605 \h </w:instrText>
        </w:r>
        <w:r>
          <w:rPr>
            <w:noProof/>
            <w:webHidden/>
          </w:rPr>
        </w:r>
        <w:r>
          <w:rPr>
            <w:noProof/>
            <w:webHidden/>
          </w:rPr>
          <w:fldChar w:fldCharType="separate"/>
        </w:r>
        <w:r>
          <w:rPr>
            <w:noProof/>
            <w:webHidden/>
          </w:rPr>
          <w:t>214</w:t>
        </w:r>
        <w:r>
          <w:rPr>
            <w:noProof/>
            <w:webHidden/>
          </w:rPr>
          <w:fldChar w:fldCharType="end"/>
        </w:r>
      </w:hyperlink>
    </w:p>
    <w:p w14:paraId="3CB4E97C" w14:textId="4ED1800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06" w:history="1">
        <w:r w:rsidRPr="006E1A62">
          <w:rPr>
            <w:rStyle w:val="Hyperlink"/>
            <w:noProof/>
          </w:rPr>
          <w:t>Table 62: Nitrogen removed with sludge (N</w:t>
        </w:r>
        <w:r w:rsidRPr="006E1A62">
          <w:rPr>
            <w:rStyle w:val="Hyperlink"/>
            <w:noProof/>
            <w:vertAlign w:val="subscript"/>
          </w:rPr>
          <w:t>sludge</w:t>
        </w:r>
        <w:r w:rsidRPr="006E1A62">
          <w:rPr>
            <w:rStyle w:val="Hyperlink"/>
            <w:noProof/>
          </w:rPr>
          <w:t>) (in kg N/year)</w:t>
        </w:r>
        <w:r>
          <w:rPr>
            <w:noProof/>
            <w:webHidden/>
          </w:rPr>
          <w:tab/>
        </w:r>
        <w:r>
          <w:rPr>
            <w:noProof/>
            <w:webHidden/>
          </w:rPr>
          <w:fldChar w:fldCharType="begin"/>
        </w:r>
        <w:r>
          <w:rPr>
            <w:noProof/>
            <w:webHidden/>
          </w:rPr>
          <w:instrText xml:space="preserve"> PAGEREF _Toc184808606 \h </w:instrText>
        </w:r>
        <w:r>
          <w:rPr>
            <w:noProof/>
            <w:webHidden/>
          </w:rPr>
        </w:r>
        <w:r>
          <w:rPr>
            <w:noProof/>
            <w:webHidden/>
          </w:rPr>
          <w:fldChar w:fldCharType="separate"/>
        </w:r>
        <w:r>
          <w:rPr>
            <w:noProof/>
            <w:webHidden/>
          </w:rPr>
          <w:t>214</w:t>
        </w:r>
        <w:r>
          <w:rPr>
            <w:noProof/>
            <w:webHidden/>
          </w:rPr>
          <w:fldChar w:fldCharType="end"/>
        </w:r>
      </w:hyperlink>
    </w:p>
    <w:p w14:paraId="036E04C1" w14:textId="751F22C0"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07" w:history="1">
        <w:r w:rsidRPr="006E1A62">
          <w:rPr>
            <w:rStyle w:val="Hyperlink"/>
            <w:noProof/>
          </w:rPr>
          <w:t>Table 63: Total industrial productions (Pi) used in the CRT 5D2, for the period 1990-2022, in the Republic of Serbia (in kt)</w:t>
        </w:r>
        <w:r>
          <w:rPr>
            <w:noProof/>
            <w:webHidden/>
          </w:rPr>
          <w:tab/>
        </w:r>
        <w:r>
          <w:rPr>
            <w:noProof/>
            <w:webHidden/>
          </w:rPr>
          <w:fldChar w:fldCharType="begin"/>
        </w:r>
        <w:r>
          <w:rPr>
            <w:noProof/>
            <w:webHidden/>
          </w:rPr>
          <w:instrText xml:space="preserve"> PAGEREF _Toc184808607 \h </w:instrText>
        </w:r>
        <w:r>
          <w:rPr>
            <w:noProof/>
            <w:webHidden/>
          </w:rPr>
        </w:r>
        <w:r>
          <w:rPr>
            <w:noProof/>
            <w:webHidden/>
          </w:rPr>
          <w:fldChar w:fldCharType="separate"/>
        </w:r>
        <w:r>
          <w:rPr>
            <w:noProof/>
            <w:webHidden/>
          </w:rPr>
          <w:t>215</w:t>
        </w:r>
        <w:r>
          <w:rPr>
            <w:noProof/>
            <w:webHidden/>
          </w:rPr>
          <w:fldChar w:fldCharType="end"/>
        </w:r>
      </w:hyperlink>
    </w:p>
    <w:p w14:paraId="2EB91743" w14:textId="1C6CE0DC"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08" w:history="1">
        <w:r w:rsidRPr="006E1A62">
          <w:rPr>
            <w:rStyle w:val="Hyperlink"/>
            <w:noProof/>
          </w:rPr>
          <w:t>Table 64: Chemical Oxygen Demand (COD</w:t>
        </w:r>
        <w:r w:rsidRPr="006E1A62">
          <w:rPr>
            <w:rStyle w:val="Hyperlink"/>
            <w:noProof/>
            <w:vertAlign w:val="subscript"/>
          </w:rPr>
          <w:t>i</w:t>
        </w:r>
        <w:r w:rsidRPr="006E1A62">
          <w:rPr>
            <w:rStyle w:val="Hyperlink"/>
            <w:noProof/>
          </w:rPr>
          <w:t>) and Wastewater generated (W</w:t>
        </w:r>
        <w:r w:rsidRPr="006E1A62">
          <w:rPr>
            <w:rStyle w:val="Hyperlink"/>
            <w:noProof/>
            <w:vertAlign w:val="subscript"/>
          </w:rPr>
          <w:t>i</w:t>
        </w:r>
        <w:r w:rsidRPr="006E1A62">
          <w:rPr>
            <w:rStyle w:val="Hyperlink"/>
            <w:noProof/>
          </w:rPr>
          <w:t>), per product type</w:t>
        </w:r>
        <w:r>
          <w:rPr>
            <w:noProof/>
            <w:webHidden/>
          </w:rPr>
          <w:tab/>
        </w:r>
        <w:r>
          <w:rPr>
            <w:noProof/>
            <w:webHidden/>
          </w:rPr>
          <w:fldChar w:fldCharType="begin"/>
        </w:r>
        <w:r>
          <w:rPr>
            <w:noProof/>
            <w:webHidden/>
          </w:rPr>
          <w:instrText xml:space="preserve"> PAGEREF _Toc184808608 \h </w:instrText>
        </w:r>
        <w:r>
          <w:rPr>
            <w:noProof/>
            <w:webHidden/>
          </w:rPr>
        </w:r>
        <w:r>
          <w:rPr>
            <w:noProof/>
            <w:webHidden/>
          </w:rPr>
          <w:fldChar w:fldCharType="separate"/>
        </w:r>
        <w:r>
          <w:rPr>
            <w:noProof/>
            <w:webHidden/>
          </w:rPr>
          <w:t>216</w:t>
        </w:r>
        <w:r>
          <w:rPr>
            <w:noProof/>
            <w:webHidden/>
          </w:rPr>
          <w:fldChar w:fldCharType="end"/>
        </w:r>
      </w:hyperlink>
    </w:p>
    <w:p w14:paraId="0DBE3332" w14:textId="72A81D15"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09" w:history="1">
        <w:r w:rsidRPr="006E1A62">
          <w:rPr>
            <w:rStyle w:val="Hyperlink"/>
            <w:noProof/>
          </w:rPr>
          <w:t>Table 65: Correction factor used for additional industrial BOD, per treatment/discharge system</w:t>
        </w:r>
        <w:r>
          <w:rPr>
            <w:noProof/>
            <w:webHidden/>
          </w:rPr>
          <w:tab/>
        </w:r>
        <w:r>
          <w:rPr>
            <w:noProof/>
            <w:webHidden/>
          </w:rPr>
          <w:fldChar w:fldCharType="begin"/>
        </w:r>
        <w:r>
          <w:rPr>
            <w:noProof/>
            <w:webHidden/>
          </w:rPr>
          <w:instrText xml:space="preserve"> PAGEREF _Toc184808609 \h </w:instrText>
        </w:r>
        <w:r>
          <w:rPr>
            <w:noProof/>
            <w:webHidden/>
          </w:rPr>
        </w:r>
        <w:r>
          <w:rPr>
            <w:noProof/>
            <w:webHidden/>
          </w:rPr>
          <w:fldChar w:fldCharType="separate"/>
        </w:r>
        <w:r>
          <w:rPr>
            <w:noProof/>
            <w:webHidden/>
          </w:rPr>
          <w:t>217</w:t>
        </w:r>
        <w:r>
          <w:rPr>
            <w:noProof/>
            <w:webHidden/>
          </w:rPr>
          <w:fldChar w:fldCharType="end"/>
        </w:r>
      </w:hyperlink>
    </w:p>
    <w:p w14:paraId="54BEAE13" w14:textId="55AA81AF"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10" w:history="1">
        <w:r w:rsidRPr="006E1A62">
          <w:rPr>
            <w:rStyle w:val="Hyperlink"/>
            <w:noProof/>
          </w:rPr>
          <w:t>Table 66: Key Source Categories for the latest reported year (including and excluding LULUCF) – CRT Reporter</w:t>
        </w:r>
        <w:r>
          <w:rPr>
            <w:noProof/>
            <w:webHidden/>
          </w:rPr>
          <w:tab/>
        </w:r>
        <w:r>
          <w:rPr>
            <w:noProof/>
            <w:webHidden/>
          </w:rPr>
          <w:fldChar w:fldCharType="begin"/>
        </w:r>
        <w:r>
          <w:rPr>
            <w:noProof/>
            <w:webHidden/>
          </w:rPr>
          <w:instrText xml:space="preserve"> PAGEREF _Toc184808610 \h </w:instrText>
        </w:r>
        <w:r>
          <w:rPr>
            <w:noProof/>
            <w:webHidden/>
          </w:rPr>
        </w:r>
        <w:r>
          <w:rPr>
            <w:noProof/>
            <w:webHidden/>
          </w:rPr>
          <w:fldChar w:fldCharType="separate"/>
        </w:r>
        <w:r>
          <w:rPr>
            <w:noProof/>
            <w:webHidden/>
          </w:rPr>
          <w:t>222</w:t>
        </w:r>
        <w:r>
          <w:rPr>
            <w:noProof/>
            <w:webHidden/>
          </w:rPr>
          <w:fldChar w:fldCharType="end"/>
        </w:r>
      </w:hyperlink>
    </w:p>
    <w:p w14:paraId="3228EF7C" w14:textId="67E82DF4"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11" w:history="1">
        <w:r w:rsidRPr="006E1A62">
          <w:rPr>
            <w:rStyle w:val="Hyperlink"/>
            <w:noProof/>
          </w:rPr>
          <w:t>Table 67: Key Source Categories for the base year (including and excluding LULUCF) – CRT Reporter</w:t>
        </w:r>
        <w:r>
          <w:rPr>
            <w:noProof/>
            <w:webHidden/>
          </w:rPr>
          <w:tab/>
        </w:r>
        <w:r>
          <w:rPr>
            <w:noProof/>
            <w:webHidden/>
          </w:rPr>
          <w:fldChar w:fldCharType="begin"/>
        </w:r>
        <w:r>
          <w:rPr>
            <w:noProof/>
            <w:webHidden/>
          </w:rPr>
          <w:instrText xml:space="preserve"> PAGEREF _Toc184808611 \h </w:instrText>
        </w:r>
        <w:r>
          <w:rPr>
            <w:noProof/>
            <w:webHidden/>
          </w:rPr>
        </w:r>
        <w:r>
          <w:rPr>
            <w:noProof/>
            <w:webHidden/>
          </w:rPr>
          <w:fldChar w:fldCharType="separate"/>
        </w:r>
        <w:r>
          <w:rPr>
            <w:noProof/>
            <w:webHidden/>
          </w:rPr>
          <w:t>222</w:t>
        </w:r>
        <w:r>
          <w:rPr>
            <w:noProof/>
            <w:webHidden/>
          </w:rPr>
          <w:fldChar w:fldCharType="end"/>
        </w:r>
      </w:hyperlink>
    </w:p>
    <w:p w14:paraId="6778470E" w14:textId="5FBE35A1"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12" w:history="1">
        <w:r w:rsidRPr="006E1A62">
          <w:rPr>
            <w:rStyle w:val="Hyperlink"/>
            <w:noProof/>
          </w:rPr>
          <w:t>Table 68: Uncertainty estimates excluding LULUCF, base year to the latest reported year</w:t>
        </w:r>
        <w:r>
          <w:rPr>
            <w:noProof/>
            <w:webHidden/>
          </w:rPr>
          <w:tab/>
        </w:r>
        <w:r>
          <w:rPr>
            <w:noProof/>
            <w:webHidden/>
          </w:rPr>
          <w:fldChar w:fldCharType="begin"/>
        </w:r>
        <w:r>
          <w:rPr>
            <w:noProof/>
            <w:webHidden/>
          </w:rPr>
          <w:instrText xml:space="preserve"> PAGEREF _Toc184808612 \h </w:instrText>
        </w:r>
        <w:r>
          <w:rPr>
            <w:noProof/>
            <w:webHidden/>
          </w:rPr>
        </w:r>
        <w:r>
          <w:rPr>
            <w:noProof/>
            <w:webHidden/>
          </w:rPr>
          <w:fldChar w:fldCharType="separate"/>
        </w:r>
        <w:r>
          <w:rPr>
            <w:noProof/>
            <w:webHidden/>
          </w:rPr>
          <w:t>223</w:t>
        </w:r>
        <w:r>
          <w:rPr>
            <w:noProof/>
            <w:webHidden/>
          </w:rPr>
          <w:fldChar w:fldCharType="end"/>
        </w:r>
      </w:hyperlink>
    </w:p>
    <w:p w14:paraId="0C4ACA37" w14:textId="66624FA6"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13" w:history="1">
        <w:r w:rsidRPr="006E1A62">
          <w:rPr>
            <w:rStyle w:val="Hyperlink"/>
            <w:noProof/>
          </w:rPr>
          <w:t>Table 69: Uncertainty estimates including LULUCF, base year to the latest reported year</w:t>
        </w:r>
        <w:r>
          <w:rPr>
            <w:noProof/>
            <w:webHidden/>
          </w:rPr>
          <w:tab/>
        </w:r>
        <w:r>
          <w:rPr>
            <w:noProof/>
            <w:webHidden/>
          </w:rPr>
          <w:fldChar w:fldCharType="begin"/>
        </w:r>
        <w:r>
          <w:rPr>
            <w:noProof/>
            <w:webHidden/>
          </w:rPr>
          <w:instrText xml:space="preserve"> PAGEREF _Toc184808613 \h </w:instrText>
        </w:r>
        <w:r>
          <w:rPr>
            <w:noProof/>
            <w:webHidden/>
          </w:rPr>
        </w:r>
        <w:r>
          <w:rPr>
            <w:noProof/>
            <w:webHidden/>
          </w:rPr>
          <w:fldChar w:fldCharType="separate"/>
        </w:r>
        <w:r>
          <w:rPr>
            <w:noProof/>
            <w:webHidden/>
          </w:rPr>
          <w:t>225</w:t>
        </w:r>
        <w:r>
          <w:rPr>
            <w:noProof/>
            <w:webHidden/>
          </w:rPr>
          <w:fldChar w:fldCharType="end"/>
        </w:r>
      </w:hyperlink>
    </w:p>
    <w:p w14:paraId="2C3C6990" w14:textId="1B68B3F3" w:rsidR="00440D6B" w:rsidRDefault="00440D6B">
      <w:pPr>
        <w:pStyle w:val="TableofFigures"/>
        <w:tabs>
          <w:tab w:val="right" w:leader="dot" w:pos="9062"/>
        </w:tabs>
        <w:rPr>
          <w:rFonts w:eastAsiaTheme="minorEastAsia"/>
          <w:noProof/>
          <w:kern w:val="2"/>
          <w:sz w:val="24"/>
          <w:szCs w:val="24"/>
          <w:lang w:val="en-US"/>
          <w14:ligatures w14:val="standardContextual"/>
        </w:rPr>
      </w:pPr>
      <w:hyperlink w:anchor="_Toc184808614" w:history="1">
        <w:r w:rsidRPr="006E1A62">
          <w:rPr>
            <w:rStyle w:val="Hyperlink"/>
            <w:noProof/>
          </w:rPr>
          <w:t>Table 70: Uncertainty estimates for the base year (including and excluding LULUCF)</w:t>
        </w:r>
        <w:r>
          <w:rPr>
            <w:noProof/>
            <w:webHidden/>
          </w:rPr>
          <w:tab/>
        </w:r>
        <w:r>
          <w:rPr>
            <w:noProof/>
            <w:webHidden/>
          </w:rPr>
          <w:fldChar w:fldCharType="begin"/>
        </w:r>
        <w:r>
          <w:rPr>
            <w:noProof/>
            <w:webHidden/>
          </w:rPr>
          <w:instrText xml:space="preserve"> PAGEREF _Toc184808614 \h </w:instrText>
        </w:r>
        <w:r>
          <w:rPr>
            <w:noProof/>
            <w:webHidden/>
          </w:rPr>
        </w:r>
        <w:r>
          <w:rPr>
            <w:noProof/>
            <w:webHidden/>
          </w:rPr>
          <w:fldChar w:fldCharType="separate"/>
        </w:r>
        <w:r>
          <w:rPr>
            <w:noProof/>
            <w:webHidden/>
          </w:rPr>
          <w:t>227</w:t>
        </w:r>
        <w:r>
          <w:rPr>
            <w:noProof/>
            <w:webHidden/>
          </w:rPr>
          <w:fldChar w:fldCharType="end"/>
        </w:r>
      </w:hyperlink>
    </w:p>
    <w:p w14:paraId="78B26719" w14:textId="343139CD" w:rsidR="00C44DAB" w:rsidRPr="002462F0" w:rsidRDefault="007D44CC" w:rsidP="0064776B">
      <w:pPr>
        <w:pStyle w:val="TableofFigures"/>
        <w:tabs>
          <w:tab w:val="right" w:leader="dot" w:pos="9062"/>
        </w:tabs>
        <w:rPr>
          <w:b/>
          <w:color w:val="698EC2"/>
          <w:sz w:val="40"/>
          <w:highlight w:val="yellow"/>
        </w:rPr>
      </w:pPr>
      <w:r>
        <w:rPr>
          <w:highlight w:val="yellow"/>
        </w:rPr>
        <w:fldChar w:fldCharType="end"/>
      </w:r>
      <w:r w:rsidR="00E62962" w:rsidRPr="002462F0">
        <w:rPr>
          <w:highlight w:val="yellow"/>
        </w:rPr>
        <w:br w:type="page"/>
      </w:r>
    </w:p>
    <w:p w14:paraId="6F2A1A66" w14:textId="77777777" w:rsidR="00614555" w:rsidRPr="002462F0" w:rsidRDefault="00614555" w:rsidP="00C90380">
      <w:pPr>
        <w:pStyle w:val="Title"/>
        <w:rPr>
          <w:lang w:eastAsia="fr-FR"/>
        </w:rPr>
      </w:pPr>
      <w:bookmarkStart w:id="6" w:name="_Toc496101012"/>
      <w:bookmarkStart w:id="7" w:name="_Toc182327697"/>
      <w:bookmarkStart w:id="8" w:name="_Toc184808141"/>
      <w:bookmarkStart w:id="9" w:name="_Toc433706744"/>
      <w:bookmarkEnd w:id="1"/>
      <w:r w:rsidRPr="002462F0">
        <w:rPr>
          <w:lang w:eastAsia="fr-FR"/>
        </w:rPr>
        <w:lastRenderedPageBreak/>
        <w:t>EXECUTIVE SUMMARY</w:t>
      </w:r>
      <w:bookmarkEnd w:id="6"/>
      <w:bookmarkEnd w:id="7"/>
      <w:bookmarkEnd w:id="8"/>
    </w:p>
    <w:p w14:paraId="6651D450" w14:textId="77777777" w:rsidR="002462F0" w:rsidRDefault="002462F0" w:rsidP="00614555">
      <w:pPr>
        <w:autoSpaceDE w:val="0"/>
        <w:autoSpaceDN w:val="0"/>
        <w:adjustRightInd w:val="0"/>
        <w:spacing w:after="0" w:line="240" w:lineRule="auto"/>
        <w:jc w:val="left"/>
        <w:rPr>
          <w:sz w:val="24"/>
          <w:szCs w:val="24"/>
          <w:lang w:eastAsia="fr-FR"/>
        </w:rPr>
      </w:pPr>
    </w:p>
    <w:p w14:paraId="04430116" w14:textId="158482A2" w:rsidR="00365D0F" w:rsidRPr="00622F40" w:rsidRDefault="00C579F2" w:rsidP="00614555">
      <w:pPr>
        <w:autoSpaceDE w:val="0"/>
        <w:autoSpaceDN w:val="0"/>
        <w:adjustRightInd w:val="0"/>
        <w:spacing w:after="0" w:line="240" w:lineRule="auto"/>
        <w:jc w:val="left"/>
        <w:rPr>
          <w:b/>
          <w:bCs/>
          <w:sz w:val="22"/>
          <w:lang w:eastAsia="fr-FR"/>
        </w:rPr>
      </w:pPr>
      <w:r>
        <w:rPr>
          <w:b/>
          <w:bCs/>
          <w:sz w:val="22"/>
          <w:lang w:eastAsia="fr-FR"/>
        </w:rPr>
        <w:t xml:space="preserve">ES.1. </w:t>
      </w:r>
      <w:r w:rsidR="00365D0F" w:rsidRPr="00622F40">
        <w:rPr>
          <w:b/>
          <w:bCs/>
          <w:sz w:val="22"/>
          <w:lang w:eastAsia="fr-FR"/>
        </w:rPr>
        <w:t xml:space="preserve">Background </w:t>
      </w:r>
      <w:r w:rsidR="00990181">
        <w:rPr>
          <w:b/>
          <w:bCs/>
          <w:sz w:val="22"/>
          <w:lang w:eastAsia="fr-FR"/>
        </w:rPr>
        <w:t>information</w:t>
      </w:r>
    </w:p>
    <w:p w14:paraId="35E4784B" w14:textId="77777777" w:rsidR="00365D0F" w:rsidRDefault="00365D0F" w:rsidP="00614555">
      <w:pPr>
        <w:autoSpaceDE w:val="0"/>
        <w:autoSpaceDN w:val="0"/>
        <w:adjustRightInd w:val="0"/>
        <w:spacing w:after="0" w:line="240" w:lineRule="auto"/>
        <w:jc w:val="left"/>
        <w:rPr>
          <w:sz w:val="24"/>
          <w:szCs w:val="24"/>
          <w:lang w:eastAsia="fr-FR"/>
        </w:rPr>
      </w:pPr>
    </w:p>
    <w:p w14:paraId="0586F563" w14:textId="77777777" w:rsidR="0064776B" w:rsidRDefault="0064776B" w:rsidP="0064776B">
      <w:pPr>
        <w:autoSpaceDE w:val="0"/>
        <w:autoSpaceDN w:val="0"/>
        <w:adjustRightInd w:val="0"/>
        <w:spacing w:after="0" w:line="240" w:lineRule="auto"/>
        <w:rPr>
          <w:szCs w:val="20"/>
          <w:lang w:eastAsia="fr-FR"/>
        </w:rPr>
      </w:pPr>
      <w:r>
        <w:rPr>
          <w:szCs w:val="20"/>
          <w:lang w:eastAsia="fr-FR"/>
        </w:rPr>
        <w:t xml:space="preserve">This national inventory report provides emission data and the associated estimation methodologies for the Republic of Serbia for the period 1990-2022, for all substances which contribute to enhancing the greenhouse effect, required under </w:t>
      </w:r>
      <w:r w:rsidRPr="005C75C8">
        <w:rPr>
          <w:szCs w:val="20"/>
          <w:lang w:eastAsia="fr-FR"/>
        </w:rPr>
        <w:t>the United Nations Framework Convention on Climate Change (UNFCCC)</w:t>
      </w:r>
      <w:r>
        <w:rPr>
          <w:szCs w:val="20"/>
          <w:lang w:eastAsia="fr-FR"/>
        </w:rPr>
        <w:t xml:space="preserve">. </w:t>
      </w:r>
    </w:p>
    <w:p w14:paraId="25807769" w14:textId="77777777" w:rsidR="0064776B" w:rsidRDefault="0064776B" w:rsidP="0064776B">
      <w:pPr>
        <w:autoSpaceDE w:val="0"/>
        <w:autoSpaceDN w:val="0"/>
        <w:adjustRightInd w:val="0"/>
        <w:spacing w:after="0" w:line="240" w:lineRule="auto"/>
        <w:rPr>
          <w:szCs w:val="20"/>
          <w:lang w:eastAsia="fr-FR"/>
        </w:rPr>
      </w:pPr>
    </w:p>
    <w:p w14:paraId="4C71C392" w14:textId="570FCE97" w:rsidR="0064776B" w:rsidRDefault="0064776B" w:rsidP="0064776B">
      <w:pPr>
        <w:autoSpaceDE w:val="0"/>
        <w:autoSpaceDN w:val="0"/>
        <w:adjustRightInd w:val="0"/>
        <w:spacing w:after="0" w:line="240" w:lineRule="auto"/>
        <w:rPr>
          <w:szCs w:val="20"/>
          <w:lang w:eastAsia="fr-FR"/>
        </w:rPr>
      </w:pPr>
      <w:r>
        <w:rPr>
          <w:lang w:eastAsia="fr-FR"/>
        </w:rPr>
        <w:t xml:space="preserve">This 2024 inventory reporting represents the first reporting obligation under the Paris Agreement. The substances covered are the direct greenhouse gases (GHG): </w:t>
      </w:r>
      <w:r w:rsidRPr="0071346F">
        <w:rPr>
          <w:lang w:eastAsia="fr-FR"/>
        </w:rPr>
        <w:t>carbon dioxide (CO</w:t>
      </w:r>
      <w:r w:rsidRPr="009A6575">
        <w:rPr>
          <w:vertAlign w:val="subscript"/>
          <w:lang w:eastAsia="fr-FR"/>
        </w:rPr>
        <w:t>2</w:t>
      </w:r>
      <w:r w:rsidRPr="0071346F">
        <w:rPr>
          <w:lang w:eastAsia="fr-FR"/>
        </w:rPr>
        <w:t>), methane (CH</w:t>
      </w:r>
      <w:r w:rsidRPr="009A6575">
        <w:rPr>
          <w:vertAlign w:val="subscript"/>
          <w:lang w:eastAsia="fr-FR"/>
        </w:rPr>
        <w:t>4</w:t>
      </w:r>
      <w:r w:rsidRPr="0071346F">
        <w:rPr>
          <w:lang w:eastAsia="fr-FR"/>
        </w:rPr>
        <w:t>), nitrous oxide (N</w:t>
      </w:r>
      <w:r w:rsidRPr="009A6575">
        <w:rPr>
          <w:vertAlign w:val="subscript"/>
          <w:lang w:eastAsia="fr-FR"/>
        </w:rPr>
        <w:t>2</w:t>
      </w:r>
      <w:r w:rsidRPr="0071346F">
        <w:rPr>
          <w:lang w:eastAsia="fr-FR"/>
        </w:rPr>
        <w:t xml:space="preserve">O), the two species of </w:t>
      </w:r>
      <w:proofErr w:type="spellStart"/>
      <w:r w:rsidRPr="0071346F">
        <w:rPr>
          <w:lang w:eastAsia="fr-FR"/>
        </w:rPr>
        <w:t>halogenous</w:t>
      </w:r>
      <w:proofErr w:type="spellEnd"/>
      <w:r w:rsidRPr="0071346F">
        <w:rPr>
          <w:lang w:eastAsia="fr-FR"/>
        </w:rPr>
        <w:t xml:space="preserve"> substances, hydrofluorocarbons (HFCs) and perfluorocarbons (PFCs), sulphur hexafluoride (SF</w:t>
      </w:r>
      <w:r w:rsidRPr="009A6575">
        <w:rPr>
          <w:vertAlign w:val="subscript"/>
          <w:lang w:eastAsia="fr-FR"/>
        </w:rPr>
        <w:t>6</w:t>
      </w:r>
      <w:r w:rsidRPr="0071346F">
        <w:rPr>
          <w:lang w:eastAsia="fr-FR"/>
        </w:rPr>
        <w:t>) and nitrogen trifluoride (NF</w:t>
      </w:r>
      <w:r w:rsidRPr="009A6575">
        <w:rPr>
          <w:vertAlign w:val="subscript"/>
          <w:lang w:eastAsia="fr-FR"/>
        </w:rPr>
        <w:t>3</w:t>
      </w:r>
      <w:r w:rsidRPr="0071346F">
        <w:rPr>
          <w:lang w:eastAsia="fr-FR"/>
        </w:rPr>
        <w:t>).</w:t>
      </w:r>
      <w:r>
        <w:rPr>
          <w:lang w:eastAsia="fr-FR"/>
        </w:rPr>
        <w:t xml:space="preserve"> Indirect GHG are also to be reported under the Paris </w:t>
      </w:r>
      <w:r w:rsidR="0023482C">
        <w:rPr>
          <w:lang w:eastAsia="fr-FR"/>
        </w:rPr>
        <w:t>Agreement and</w:t>
      </w:r>
      <w:r>
        <w:rPr>
          <w:lang w:eastAsia="fr-FR"/>
        </w:rPr>
        <w:t xml:space="preserve"> comprise the following substances: </w:t>
      </w:r>
      <w:r w:rsidRPr="004B3484">
        <w:rPr>
          <w:lang w:eastAsia="fr-FR"/>
        </w:rPr>
        <w:t>sulphur dioxide (SO</w:t>
      </w:r>
      <w:r w:rsidRPr="009A6575">
        <w:rPr>
          <w:vertAlign w:val="subscript"/>
          <w:lang w:eastAsia="fr-FR"/>
        </w:rPr>
        <w:t>2</w:t>
      </w:r>
      <w:r w:rsidRPr="004B3484">
        <w:rPr>
          <w:lang w:eastAsia="fr-FR"/>
        </w:rPr>
        <w:t>), nitrogen oxides (NO</w:t>
      </w:r>
      <w:r w:rsidRPr="009A6575">
        <w:rPr>
          <w:vertAlign w:val="subscript"/>
          <w:lang w:eastAsia="fr-FR"/>
        </w:rPr>
        <w:t>x</w:t>
      </w:r>
      <w:r w:rsidRPr="004B3484">
        <w:rPr>
          <w:lang w:eastAsia="fr-FR"/>
        </w:rPr>
        <w:t>), non-methane volatile organic compounds (NMVOCs), and carbon monoxide (CO)</w:t>
      </w:r>
      <w:r>
        <w:rPr>
          <w:lang w:eastAsia="fr-FR"/>
        </w:rPr>
        <w:t>.</w:t>
      </w:r>
    </w:p>
    <w:p w14:paraId="43689C5E" w14:textId="77777777" w:rsidR="0064776B" w:rsidRPr="006B34D0" w:rsidRDefault="0064776B" w:rsidP="0064776B">
      <w:pPr>
        <w:autoSpaceDE w:val="0"/>
        <w:autoSpaceDN w:val="0"/>
        <w:adjustRightInd w:val="0"/>
        <w:spacing w:after="0" w:line="240" w:lineRule="auto"/>
        <w:rPr>
          <w:szCs w:val="20"/>
          <w:lang w:eastAsia="fr-FR"/>
        </w:rPr>
      </w:pPr>
    </w:p>
    <w:p w14:paraId="1F43A44F" w14:textId="77777777" w:rsidR="0064776B" w:rsidRDefault="0064776B" w:rsidP="0064776B">
      <w:pPr>
        <w:rPr>
          <w:lang w:eastAsia="fr-FR"/>
        </w:rPr>
      </w:pPr>
      <w:r>
        <w:rPr>
          <w:lang w:eastAsia="fr-FR"/>
        </w:rPr>
        <w:t xml:space="preserve">Compared with the latest GHG inventory reported in the National Communication from April 2024, for the period 1990-2021, the estimates have been revised and corrected to consider updated statistics, improved knowledge, possible changes in methodology and specifications contained in the guidelines (FCCC/CP/2013/10), as defined by the UNFCCC. </w:t>
      </w:r>
    </w:p>
    <w:p w14:paraId="01031C3B" w14:textId="77777777" w:rsidR="0064776B" w:rsidRDefault="0064776B" w:rsidP="0064776B">
      <w:pPr>
        <w:rPr>
          <w:lang w:eastAsia="fr-FR"/>
        </w:rPr>
      </w:pPr>
      <w:r w:rsidRPr="003F0707">
        <w:rPr>
          <w:lang w:eastAsia="fr-FR"/>
        </w:rPr>
        <w:t xml:space="preserve">Although continuous progress </w:t>
      </w:r>
      <w:r>
        <w:rPr>
          <w:lang w:eastAsia="fr-FR"/>
        </w:rPr>
        <w:t>is realized</w:t>
      </w:r>
      <w:r w:rsidRPr="003F0707">
        <w:rPr>
          <w:lang w:eastAsia="fr-FR"/>
        </w:rPr>
        <w:t xml:space="preserve"> in terms of cover</w:t>
      </w:r>
      <w:r>
        <w:rPr>
          <w:lang w:eastAsia="fr-FR"/>
        </w:rPr>
        <w:t>age of emission</w:t>
      </w:r>
      <w:r w:rsidRPr="003F0707">
        <w:rPr>
          <w:lang w:eastAsia="fr-FR"/>
        </w:rPr>
        <w:t xml:space="preserve"> sources and the quality of estimates, </w:t>
      </w:r>
      <w:r>
        <w:rPr>
          <w:lang w:eastAsia="fr-FR"/>
        </w:rPr>
        <w:t>non-negligible</w:t>
      </w:r>
      <w:r w:rsidRPr="003F0707">
        <w:rPr>
          <w:lang w:eastAsia="fr-FR"/>
        </w:rPr>
        <w:t xml:space="preserve"> uncertainties </w:t>
      </w:r>
      <w:r>
        <w:rPr>
          <w:lang w:eastAsia="fr-FR"/>
        </w:rPr>
        <w:t>remain</w:t>
      </w:r>
      <w:r w:rsidRPr="003F0707">
        <w:rPr>
          <w:lang w:eastAsia="fr-FR"/>
        </w:rPr>
        <w:t xml:space="preserve"> concerning emissions. Th</w:t>
      </w:r>
      <w:r>
        <w:rPr>
          <w:lang w:eastAsia="fr-FR"/>
        </w:rPr>
        <w:t>is</w:t>
      </w:r>
      <w:r w:rsidRPr="003F0707">
        <w:rPr>
          <w:lang w:eastAsia="fr-FR"/>
        </w:rPr>
        <w:t xml:space="preserve"> should be borne in mind when using the data in this report. A table </w:t>
      </w:r>
      <w:r>
        <w:rPr>
          <w:lang w:eastAsia="fr-FR"/>
        </w:rPr>
        <w:t>presenting</w:t>
      </w:r>
      <w:r w:rsidRPr="003F0707">
        <w:rPr>
          <w:lang w:eastAsia="fr-FR"/>
        </w:rPr>
        <w:t xml:space="preserve"> uncertainties </w:t>
      </w:r>
      <w:r>
        <w:rPr>
          <w:lang w:eastAsia="fr-FR"/>
        </w:rPr>
        <w:t>for each subsector and substance</w:t>
      </w:r>
      <w:r w:rsidRPr="003F0707">
        <w:rPr>
          <w:lang w:eastAsia="fr-FR"/>
        </w:rPr>
        <w:t xml:space="preserve"> has been included in the report.</w:t>
      </w:r>
      <w:r>
        <w:rPr>
          <w:lang w:eastAsia="fr-FR"/>
        </w:rPr>
        <w:t xml:space="preserve"> </w:t>
      </w:r>
    </w:p>
    <w:p w14:paraId="6F5EB961" w14:textId="0583FF80" w:rsidR="0064776B" w:rsidRPr="009A6575" w:rsidRDefault="0064776B" w:rsidP="0064776B">
      <w:pPr>
        <w:rPr>
          <w:lang w:eastAsia="fr-FR"/>
        </w:rPr>
      </w:pPr>
      <w:r w:rsidRPr="0036499A">
        <w:rPr>
          <w:lang w:eastAsia="fr-FR"/>
        </w:rPr>
        <w:t xml:space="preserve">Future reviews </w:t>
      </w:r>
      <w:r>
        <w:rPr>
          <w:lang w:eastAsia="fr-FR"/>
        </w:rPr>
        <w:t xml:space="preserve">and updates </w:t>
      </w:r>
      <w:r w:rsidRPr="0036499A">
        <w:rPr>
          <w:lang w:eastAsia="fr-FR"/>
        </w:rPr>
        <w:t xml:space="preserve">of these data are </w:t>
      </w:r>
      <w:r>
        <w:rPr>
          <w:lang w:eastAsia="fr-FR"/>
        </w:rPr>
        <w:t>likely</w:t>
      </w:r>
      <w:r w:rsidRPr="0036499A">
        <w:rPr>
          <w:lang w:eastAsia="fr-FR"/>
        </w:rPr>
        <w:t xml:space="preserve">, </w:t>
      </w:r>
      <w:r>
        <w:rPr>
          <w:lang w:eastAsia="fr-FR"/>
        </w:rPr>
        <w:t xml:space="preserve">in order </w:t>
      </w:r>
      <w:r w:rsidRPr="0036499A">
        <w:rPr>
          <w:lang w:eastAsia="fr-FR"/>
        </w:rPr>
        <w:t xml:space="preserve">to take into </w:t>
      </w:r>
      <w:r w:rsidR="003631EA" w:rsidRPr="0036499A">
        <w:rPr>
          <w:lang w:eastAsia="fr-FR"/>
        </w:rPr>
        <w:t>account,</w:t>
      </w:r>
      <w:r w:rsidRPr="0036499A">
        <w:rPr>
          <w:lang w:eastAsia="fr-FR"/>
        </w:rPr>
        <w:t xml:space="preserve"> </w:t>
      </w:r>
      <w:r>
        <w:rPr>
          <w:lang w:eastAsia="fr-FR"/>
        </w:rPr>
        <w:t xml:space="preserve">the need to estimate key categories using higher tier methods using more detailed activity data and emissions factors, reflect </w:t>
      </w:r>
      <w:r w:rsidRPr="0036499A">
        <w:rPr>
          <w:lang w:eastAsia="fr-FR"/>
        </w:rPr>
        <w:t xml:space="preserve">changes in </w:t>
      </w:r>
      <w:r>
        <w:rPr>
          <w:lang w:eastAsia="fr-FR"/>
        </w:rPr>
        <w:t xml:space="preserve">the </w:t>
      </w:r>
      <w:r w:rsidRPr="0036499A">
        <w:rPr>
          <w:lang w:eastAsia="fr-FR"/>
        </w:rPr>
        <w:t>methodolog</w:t>
      </w:r>
      <w:r>
        <w:rPr>
          <w:lang w:eastAsia="fr-FR"/>
        </w:rPr>
        <w:t xml:space="preserve">ies, </w:t>
      </w:r>
      <w:r w:rsidRPr="0036499A">
        <w:rPr>
          <w:lang w:eastAsia="fr-FR"/>
        </w:rPr>
        <w:t xml:space="preserve">and </w:t>
      </w:r>
      <w:r>
        <w:rPr>
          <w:lang w:eastAsia="fr-FR"/>
        </w:rPr>
        <w:t xml:space="preserve">the ongoing </w:t>
      </w:r>
      <w:r w:rsidRPr="0036499A">
        <w:rPr>
          <w:lang w:eastAsia="fr-FR"/>
        </w:rPr>
        <w:t xml:space="preserve">work at international level </w:t>
      </w:r>
      <w:r>
        <w:rPr>
          <w:lang w:eastAsia="fr-FR"/>
        </w:rPr>
        <w:t>on</w:t>
      </w:r>
      <w:r w:rsidRPr="0036499A">
        <w:rPr>
          <w:lang w:eastAsia="fr-FR"/>
        </w:rPr>
        <w:t xml:space="preserve"> improving </w:t>
      </w:r>
      <w:r>
        <w:rPr>
          <w:lang w:eastAsia="fr-FR"/>
        </w:rPr>
        <w:t>methods for GHG emission estimates and its reporting</w:t>
      </w:r>
      <w:r w:rsidRPr="0036499A">
        <w:rPr>
          <w:lang w:eastAsia="fr-FR"/>
        </w:rPr>
        <w:t>.</w:t>
      </w:r>
    </w:p>
    <w:p w14:paraId="0C2693B1" w14:textId="77777777" w:rsidR="00A475CB" w:rsidRDefault="00A475CB" w:rsidP="00BC45D2">
      <w:pPr>
        <w:autoSpaceDE w:val="0"/>
        <w:autoSpaceDN w:val="0"/>
        <w:adjustRightInd w:val="0"/>
        <w:spacing w:after="0" w:line="240" w:lineRule="auto"/>
        <w:jc w:val="left"/>
        <w:rPr>
          <w:b/>
          <w:bCs/>
          <w:sz w:val="22"/>
          <w:lang w:eastAsia="fr-FR"/>
        </w:rPr>
      </w:pPr>
    </w:p>
    <w:p w14:paraId="60EAA0E5" w14:textId="363B1C22" w:rsidR="00BC45D2" w:rsidRPr="00A10363" w:rsidRDefault="00C579F2" w:rsidP="00BC45D2">
      <w:pPr>
        <w:autoSpaceDE w:val="0"/>
        <w:autoSpaceDN w:val="0"/>
        <w:adjustRightInd w:val="0"/>
        <w:spacing w:after="0" w:line="240" w:lineRule="auto"/>
        <w:jc w:val="left"/>
        <w:rPr>
          <w:b/>
          <w:bCs/>
          <w:sz w:val="22"/>
          <w:lang w:eastAsia="fr-FR"/>
        </w:rPr>
      </w:pPr>
      <w:r>
        <w:rPr>
          <w:b/>
          <w:bCs/>
          <w:sz w:val="22"/>
          <w:lang w:eastAsia="fr-FR"/>
        </w:rPr>
        <w:t xml:space="preserve">ES.2. </w:t>
      </w:r>
      <w:r w:rsidR="00306A9F">
        <w:rPr>
          <w:b/>
          <w:bCs/>
          <w:sz w:val="22"/>
          <w:lang w:eastAsia="fr-FR"/>
        </w:rPr>
        <w:t>Summary of trends related to national emissions and removals</w:t>
      </w:r>
    </w:p>
    <w:p w14:paraId="242B6302" w14:textId="77777777" w:rsidR="00BC45D2" w:rsidRDefault="00BC45D2" w:rsidP="00BC45D2">
      <w:pPr>
        <w:autoSpaceDE w:val="0"/>
        <w:autoSpaceDN w:val="0"/>
        <w:adjustRightInd w:val="0"/>
        <w:spacing w:after="0" w:line="240" w:lineRule="auto"/>
        <w:jc w:val="left"/>
        <w:rPr>
          <w:sz w:val="24"/>
          <w:szCs w:val="24"/>
          <w:lang w:eastAsia="fr-FR"/>
        </w:rPr>
      </w:pPr>
    </w:p>
    <w:p w14:paraId="415AB1ED" w14:textId="77777777" w:rsidR="0064776B" w:rsidRDefault="0064776B" w:rsidP="0064776B">
      <w:pPr>
        <w:rPr>
          <w:lang w:eastAsia="fr-FR"/>
        </w:rPr>
      </w:pPr>
      <w:r w:rsidRPr="009A6575">
        <w:rPr>
          <w:lang w:eastAsia="fr-FR"/>
        </w:rPr>
        <w:t xml:space="preserve">The </w:t>
      </w:r>
      <w:r>
        <w:rPr>
          <w:lang w:eastAsia="fr-FR"/>
        </w:rPr>
        <w:t>emissions of GHG, which contribute directly to the greenhouse effect, expressed in CO</w:t>
      </w:r>
      <w:r w:rsidRPr="009A6575">
        <w:rPr>
          <w:vertAlign w:val="subscript"/>
          <w:lang w:eastAsia="fr-FR"/>
        </w:rPr>
        <w:t>2</w:t>
      </w:r>
      <w:r>
        <w:rPr>
          <w:lang w:eastAsia="fr-FR"/>
        </w:rPr>
        <w:t xml:space="preserve"> equivalent, amount a total of </w:t>
      </w:r>
      <w:r w:rsidRPr="00811345">
        <w:rPr>
          <w:lang w:eastAsia="fr-FR"/>
        </w:rPr>
        <w:t>62.8</w:t>
      </w:r>
      <w:r>
        <w:rPr>
          <w:lang w:eastAsia="fr-FR"/>
        </w:rPr>
        <w:t xml:space="preserve"> Mt CO</w:t>
      </w:r>
      <w:r w:rsidRPr="009A6575">
        <w:rPr>
          <w:vertAlign w:val="subscript"/>
          <w:lang w:eastAsia="fr-FR"/>
        </w:rPr>
        <w:t>2</w:t>
      </w:r>
      <w:r>
        <w:rPr>
          <w:lang w:eastAsia="fr-FR"/>
        </w:rPr>
        <w:t xml:space="preserve">e in the Republic of Serbia in 2022, excluding LULUCF (land use, land-use change and forestry) contribution, which corresponds to a decrease of </w:t>
      </w:r>
      <w:r w:rsidRPr="00811345">
        <w:rPr>
          <w:lang w:eastAsia="fr-FR"/>
        </w:rPr>
        <w:t>23</w:t>
      </w:r>
      <w:r>
        <w:rPr>
          <w:lang w:eastAsia="fr-FR"/>
        </w:rPr>
        <w:t xml:space="preserve">.3% compared with the emission levels of 1990. Since 2009 and the global economic downturn, the national emissions of the Republic of Serbia, excluding LULUCF, have been rather stable, except for </w:t>
      </w:r>
      <w:r w:rsidRPr="008A2DA6">
        <w:rPr>
          <w:lang w:eastAsia="fr-FR"/>
        </w:rPr>
        <w:t xml:space="preserve">2014 </w:t>
      </w:r>
      <w:r w:rsidRPr="009A6575">
        <w:rPr>
          <w:lang w:eastAsia="fr-FR"/>
        </w:rPr>
        <w:t xml:space="preserve">where </w:t>
      </w:r>
      <w:r>
        <w:rPr>
          <w:lang w:eastAsia="fr-FR"/>
        </w:rPr>
        <w:t>significant floods occurred, disrupting the mining activity over the territory of Serbia.</w:t>
      </w:r>
    </w:p>
    <w:p w14:paraId="4F689DAC" w14:textId="77777777" w:rsidR="0064776B" w:rsidRDefault="0064776B" w:rsidP="0064776B">
      <w:pPr>
        <w:rPr>
          <w:lang w:eastAsia="fr-FR"/>
        </w:rPr>
      </w:pPr>
      <w:r>
        <w:rPr>
          <w:noProof/>
          <w:sz w:val="24"/>
          <w:szCs w:val="24"/>
          <w:lang w:val="en-US"/>
        </w:rPr>
        <w:lastRenderedPageBreak/>
        <w:drawing>
          <wp:inline distT="0" distB="0" distL="0" distR="0" wp14:anchorId="4F39129F" wp14:editId="5B8C483C">
            <wp:extent cx="5745113" cy="2837180"/>
            <wp:effectExtent l="0" t="0" r="8255" b="1270"/>
            <wp:docPr id="2037476199" name="Picture 75" descr="A graph of a graph showing the amount of emi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76199" name="Picture 75" descr="A graph of a graph showing the amount of emiss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893" cy="2838059"/>
                    </a:xfrm>
                    <a:prstGeom prst="rect">
                      <a:avLst/>
                    </a:prstGeom>
                    <a:noFill/>
                  </pic:spPr>
                </pic:pic>
              </a:graphicData>
            </a:graphic>
          </wp:inline>
        </w:drawing>
      </w:r>
    </w:p>
    <w:p w14:paraId="7B75C1BF" w14:textId="77777777" w:rsidR="0064776B" w:rsidRPr="009A6575" w:rsidRDefault="0064776B" w:rsidP="0064776B">
      <w:pPr>
        <w:rPr>
          <w:lang w:eastAsia="fr-FR"/>
        </w:rPr>
      </w:pPr>
      <w:r>
        <w:rPr>
          <w:lang w:eastAsia="fr-FR"/>
        </w:rPr>
        <w:t>The national GHG emissions of the Republic of Serbia including the LULUCF contribution amount 58.2 Mt CO</w:t>
      </w:r>
      <w:r w:rsidRPr="009A6575">
        <w:rPr>
          <w:vertAlign w:val="subscript"/>
          <w:lang w:eastAsia="fr-FR"/>
        </w:rPr>
        <w:t>2</w:t>
      </w:r>
      <w:r>
        <w:rPr>
          <w:lang w:eastAsia="fr-FR"/>
        </w:rPr>
        <w:t xml:space="preserve">e in 2022, and decreased of </w:t>
      </w:r>
      <w:r w:rsidRPr="009A6575">
        <w:rPr>
          <w:lang w:eastAsia="fr-FR"/>
        </w:rPr>
        <w:t>27.6</w:t>
      </w:r>
      <w:r w:rsidRPr="004803DC">
        <w:rPr>
          <w:lang w:eastAsia="fr-FR"/>
        </w:rPr>
        <w:t>%</w:t>
      </w:r>
      <w:r>
        <w:rPr>
          <w:lang w:eastAsia="fr-FR"/>
        </w:rPr>
        <w:t xml:space="preserve"> compared with 1990, and follow a similar trend to the emissions including the LULUCF contribution. </w:t>
      </w:r>
      <w:r w:rsidRPr="00BC6FD8">
        <w:rPr>
          <w:lang w:eastAsia="fr-FR"/>
        </w:rPr>
        <w:t xml:space="preserve">This overall trend </w:t>
      </w:r>
      <w:r>
        <w:rPr>
          <w:lang w:eastAsia="fr-FR"/>
        </w:rPr>
        <w:t>does not enable to observe</w:t>
      </w:r>
      <w:r w:rsidRPr="00BC6FD8">
        <w:rPr>
          <w:lang w:eastAsia="fr-FR"/>
        </w:rPr>
        <w:t xml:space="preserve"> </w:t>
      </w:r>
      <w:r>
        <w:rPr>
          <w:lang w:eastAsia="fr-FR"/>
        </w:rPr>
        <w:t>the different</w:t>
      </w:r>
      <w:r w:rsidRPr="00BC6FD8">
        <w:rPr>
          <w:lang w:eastAsia="fr-FR"/>
        </w:rPr>
        <w:t xml:space="preserve"> </w:t>
      </w:r>
      <w:r>
        <w:rPr>
          <w:lang w:eastAsia="fr-FR"/>
        </w:rPr>
        <w:t xml:space="preserve">trends </w:t>
      </w:r>
      <w:r w:rsidRPr="00BC6FD8">
        <w:rPr>
          <w:lang w:eastAsia="fr-FR"/>
        </w:rPr>
        <w:t xml:space="preserve">depending on the </w:t>
      </w:r>
      <w:r>
        <w:rPr>
          <w:lang w:eastAsia="fr-FR"/>
        </w:rPr>
        <w:t xml:space="preserve">GHG </w:t>
      </w:r>
      <w:r w:rsidRPr="00BC6FD8">
        <w:rPr>
          <w:lang w:eastAsia="fr-FR"/>
        </w:rPr>
        <w:t>considered.</w:t>
      </w:r>
      <w:r>
        <w:rPr>
          <w:lang w:eastAsia="fr-FR"/>
        </w:rPr>
        <w:t xml:space="preserve"> Without considering LULUCF, the national CO</w:t>
      </w:r>
      <w:r w:rsidRPr="009A6575">
        <w:rPr>
          <w:vertAlign w:val="subscript"/>
          <w:lang w:eastAsia="fr-FR"/>
        </w:rPr>
        <w:t>2</w:t>
      </w:r>
      <w:r>
        <w:rPr>
          <w:lang w:eastAsia="fr-FR"/>
        </w:rPr>
        <w:t xml:space="preserve"> emissions decreased by 23% in 2022, compared with 1990, whereas CH</w:t>
      </w:r>
      <w:r w:rsidRPr="009A6575">
        <w:rPr>
          <w:vertAlign w:val="subscript"/>
          <w:lang w:eastAsia="fr-FR"/>
        </w:rPr>
        <w:t>4</w:t>
      </w:r>
      <w:r>
        <w:rPr>
          <w:lang w:eastAsia="fr-FR"/>
        </w:rPr>
        <w:t xml:space="preserve"> and N</w:t>
      </w:r>
      <w:r w:rsidRPr="009A6575">
        <w:rPr>
          <w:vertAlign w:val="subscript"/>
          <w:lang w:eastAsia="fr-FR"/>
        </w:rPr>
        <w:t>2</w:t>
      </w:r>
      <w:r>
        <w:rPr>
          <w:lang w:eastAsia="fr-FR"/>
        </w:rPr>
        <w:t>O decreased by 29% and 12%, respectively, over that same period.</w:t>
      </w:r>
    </w:p>
    <w:p w14:paraId="6F96BCA9" w14:textId="77777777" w:rsidR="0064776B" w:rsidRDefault="0064776B" w:rsidP="0064776B">
      <w:pPr>
        <w:autoSpaceDE w:val="0"/>
        <w:autoSpaceDN w:val="0"/>
        <w:adjustRightInd w:val="0"/>
        <w:spacing w:after="0" w:line="240" w:lineRule="auto"/>
        <w:jc w:val="left"/>
        <w:rPr>
          <w:sz w:val="24"/>
          <w:szCs w:val="24"/>
          <w:lang w:eastAsia="fr-FR"/>
        </w:rPr>
      </w:pPr>
    </w:p>
    <w:p w14:paraId="04D09E67" w14:textId="77777777" w:rsidR="0064776B" w:rsidRDefault="0064776B" w:rsidP="0064776B">
      <w:pPr>
        <w:rPr>
          <w:lang w:eastAsia="fr-FR"/>
        </w:rPr>
      </w:pPr>
      <w:r>
        <w:rPr>
          <w:lang w:eastAsia="fr-FR"/>
        </w:rPr>
        <w:t>In 2022, the contributions of the different GHG to the national emissions excluding LULUCF are rather similar to the ones observed in 1990, with CO</w:t>
      </w:r>
      <w:r w:rsidRPr="009A6575">
        <w:rPr>
          <w:vertAlign w:val="subscript"/>
          <w:lang w:eastAsia="fr-FR"/>
        </w:rPr>
        <w:t>2</w:t>
      </w:r>
      <w:r>
        <w:rPr>
          <w:lang w:eastAsia="fr-FR"/>
        </w:rPr>
        <w:t xml:space="preserve"> the most predominant substance with 82,2%, followed by CH</w:t>
      </w:r>
      <w:r w:rsidRPr="009A6575">
        <w:rPr>
          <w:vertAlign w:val="subscript"/>
          <w:lang w:eastAsia="fr-FR"/>
        </w:rPr>
        <w:t>4</w:t>
      </w:r>
      <w:r>
        <w:rPr>
          <w:lang w:eastAsia="fr-FR"/>
        </w:rPr>
        <w:t xml:space="preserve"> (13,9%) and N</w:t>
      </w:r>
      <w:r w:rsidRPr="009A6575">
        <w:rPr>
          <w:vertAlign w:val="subscript"/>
          <w:lang w:eastAsia="fr-FR"/>
        </w:rPr>
        <w:t>2</w:t>
      </w:r>
      <w:r>
        <w:rPr>
          <w:lang w:eastAsia="fr-FR"/>
        </w:rPr>
        <w:t>O (3.5%), whereas the other substances contribute more negligibly with 0.1% for SF</w:t>
      </w:r>
      <w:r w:rsidRPr="009A6575">
        <w:rPr>
          <w:vertAlign w:val="subscript"/>
          <w:lang w:eastAsia="fr-FR"/>
        </w:rPr>
        <w:t>6</w:t>
      </w:r>
      <w:r>
        <w:rPr>
          <w:lang w:eastAsia="fr-FR"/>
        </w:rPr>
        <w:t xml:space="preserve"> and 0.3% for HFCs. Nevertheless, it is important to notice the increasingly HFC emissions, related to the use of refrigerants, which were not occurring in 1990. </w:t>
      </w:r>
    </w:p>
    <w:p w14:paraId="52598466" w14:textId="77777777" w:rsidR="0064776B" w:rsidRDefault="0064776B" w:rsidP="0064776B">
      <w:pPr>
        <w:rPr>
          <w:lang w:eastAsia="fr-FR"/>
        </w:rPr>
      </w:pPr>
      <w:r>
        <w:rPr>
          <w:noProof/>
          <w:sz w:val="24"/>
          <w:szCs w:val="24"/>
          <w:lang w:val="en-US"/>
        </w:rPr>
        <w:drawing>
          <wp:inline distT="0" distB="0" distL="0" distR="0" wp14:anchorId="2FBC03E8" wp14:editId="5AEEBA84">
            <wp:extent cx="5618480" cy="2171393"/>
            <wp:effectExtent l="0" t="0" r="1270" b="635"/>
            <wp:docPr id="1313872518" name="Picture 76"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72518" name="Picture 76" descr="A comparison of a graph&#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2499" cy="2172946"/>
                    </a:xfrm>
                    <a:prstGeom prst="rect">
                      <a:avLst/>
                    </a:prstGeom>
                    <a:noFill/>
                  </pic:spPr>
                </pic:pic>
              </a:graphicData>
            </a:graphic>
          </wp:inline>
        </w:drawing>
      </w:r>
    </w:p>
    <w:p w14:paraId="25B667B4" w14:textId="77777777" w:rsidR="00E46B2E" w:rsidRDefault="00E46B2E">
      <w:pPr>
        <w:jc w:val="left"/>
        <w:rPr>
          <w:b/>
          <w:bCs/>
          <w:sz w:val="22"/>
          <w:lang w:eastAsia="fr-FR"/>
        </w:rPr>
      </w:pPr>
      <w:r>
        <w:rPr>
          <w:b/>
          <w:bCs/>
          <w:sz w:val="22"/>
          <w:lang w:eastAsia="fr-FR"/>
        </w:rPr>
        <w:br w:type="page"/>
      </w:r>
    </w:p>
    <w:p w14:paraId="29FB1298" w14:textId="686FDE70" w:rsidR="001E3E8E" w:rsidRPr="00622F40" w:rsidRDefault="00C579F2" w:rsidP="00097666">
      <w:pPr>
        <w:autoSpaceDE w:val="0"/>
        <w:autoSpaceDN w:val="0"/>
        <w:adjustRightInd w:val="0"/>
        <w:spacing w:after="0" w:line="240" w:lineRule="auto"/>
        <w:jc w:val="left"/>
        <w:rPr>
          <w:b/>
          <w:bCs/>
          <w:sz w:val="22"/>
          <w:lang w:eastAsia="fr-FR"/>
        </w:rPr>
      </w:pPr>
      <w:r>
        <w:rPr>
          <w:b/>
          <w:bCs/>
          <w:sz w:val="22"/>
          <w:lang w:eastAsia="fr-FR"/>
        </w:rPr>
        <w:lastRenderedPageBreak/>
        <w:t xml:space="preserve">ES.3. </w:t>
      </w:r>
      <w:r w:rsidR="00097666" w:rsidRPr="00622F40">
        <w:rPr>
          <w:b/>
          <w:bCs/>
          <w:sz w:val="22"/>
          <w:lang w:eastAsia="fr-FR"/>
        </w:rPr>
        <w:t>Overview of source and sink category emission estimates and trends</w:t>
      </w:r>
    </w:p>
    <w:p w14:paraId="0E93BCC7" w14:textId="77777777" w:rsidR="00023F20" w:rsidRDefault="00023F20" w:rsidP="00614555">
      <w:pPr>
        <w:autoSpaceDE w:val="0"/>
        <w:autoSpaceDN w:val="0"/>
        <w:adjustRightInd w:val="0"/>
        <w:spacing w:after="0" w:line="240" w:lineRule="auto"/>
        <w:jc w:val="left"/>
        <w:rPr>
          <w:b/>
          <w:bCs/>
          <w:sz w:val="22"/>
          <w:lang w:eastAsia="fr-FR"/>
        </w:rPr>
      </w:pPr>
    </w:p>
    <w:p w14:paraId="164A47B8" w14:textId="77777777" w:rsidR="0064776B" w:rsidRDefault="0064776B" w:rsidP="0064776B">
      <w:pPr>
        <w:rPr>
          <w:lang w:eastAsia="fr-FR"/>
        </w:rPr>
      </w:pPr>
      <w:r>
        <w:rPr>
          <w:lang w:eastAsia="fr-FR"/>
        </w:rPr>
        <w:t xml:space="preserve">The energy sector is the predominant source of GHG emissions in 2022 (as well as over the whole period), in the Republic of Serbia, contributing to 78.8% of the national GHG emissions without considering LULUCF contribution. The industrial process and product use, agriculture and waste sectors respectively contribute to </w:t>
      </w:r>
      <w:r w:rsidRPr="008E4584">
        <w:rPr>
          <w:lang w:eastAsia="fr-FR"/>
        </w:rPr>
        <w:t>8.2%, 7.</w:t>
      </w:r>
      <w:r>
        <w:rPr>
          <w:lang w:eastAsia="fr-FR"/>
        </w:rPr>
        <w:t>8</w:t>
      </w:r>
      <w:r w:rsidRPr="008E4584">
        <w:rPr>
          <w:lang w:eastAsia="fr-FR"/>
        </w:rPr>
        <w:t>% and 5.1%</w:t>
      </w:r>
      <w:r>
        <w:rPr>
          <w:lang w:eastAsia="fr-FR"/>
        </w:rPr>
        <w:t xml:space="preserve"> of the national GHG emissions excluding LULUCF, for the year 2022. Since 1990, all contributions have been varying but are rather stable in 2022, compared with 1990. Meanwhile the relative contribution of the energy sector (CRT 1) has slightly decreased, which was of 80.2% in 1990, while the industrial processes and product use (CRT 2) increased </w:t>
      </w:r>
      <w:r w:rsidRPr="001A12FD">
        <w:rPr>
          <w:lang w:eastAsia="fr-FR"/>
        </w:rPr>
        <w:t>from 6.7</w:t>
      </w:r>
      <w:r>
        <w:rPr>
          <w:lang w:eastAsia="fr-FR"/>
        </w:rPr>
        <w:t>%, to 8.2%, over the same period.</w:t>
      </w:r>
    </w:p>
    <w:p w14:paraId="3AAE22EE" w14:textId="77777777" w:rsidR="0064776B" w:rsidRDefault="0064776B" w:rsidP="0064776B">
      <w:pPr>
        <w:rPr>
          <w:lang w:eastAsia="fr-FR"/>
        </w:rPr>
      </w:pPr>
      <w:r>
        <w:rPr>
          <w:noProof/>
          <w:lang w:val="en-US"/>
        </w:rPr>
        <w:drawing>
          <wp:inline distT="0" distB="0" distL="0" distR="0" wp14:anchorId="13F3A411" wp14:editId="39A32D0D">
            <wp:extent cx="5979156" cy="2290428"/>
            <wp:effectExtent l="0" t="0" r="3175" b="0"/>
            <wp:docPr id="1503414073" name="Picture 77" descr="A comparison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14073" name="Picture 77" descr="A comparison of a pi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4075" cy="2299974"/>
                    </a:xfrm>
                    <a:prstGeom prst="rect">
                      <a:avLst/>
                    </a:prstGeom>
                    <a:noFill/>
                  </pic:spPr>
                </pic:pic>
              </a:graphicData>
            </a:graphic>
          </wp:inline>
        </w:drawing>
      </w:r>
    </w:p>
    <w:p w14:paraId="457ECA12" w14:textId="77777777" w:rsidR="0064776B" w:rsidRDefault="0064776B" w:rsidP="0064776B">
      <w:pPr>
        <w:rPr>
          <w:lang w:eastAsia="fr-FR"/>
        </w:rPr>
      </w:pPr>
      <w:r>
        <w:rPr>
          <w:lang w:eastAsia="fr-FR"/>
        </w:rPr>
        <w:t>Key trends between 1990 and 2022 include:</w:t>
      </w:r>
    </w:p>
    <w:p w14:paraId="2C1AE490" w14:textId="77777777" w:rsidR="0064776B" w:rsidRDefault="0064776B" w:rsidP="0064776B">
      <w:pPr>
        <w:pStyle w:val="ListParagraph"/>
        <w:numPr>
          <w:ilvl w:val="0"/>
          <w:numId w:val="58"/>
        </w:numPr>
        <w:rPr>
          <w:lang w:eastAsia="fr-FR"/>
        </w:rPr>
      </w:pPr>
      <w:r w:rsidRPr="00BF0B5F">
        <w:rPr>
          <w:lang w:eastAsia="fr-FR"/>
        </w:rPr>
        <w:t xml:space="preserve">a </w:t>
      </w:r>
      <w:r>
        <w:rPr>
          <w:lang w:eastAsia="fr-FR"/>
        </w:rPr>
        <w:t>significant decrease</w:t>
      </w:r>
      <w:r w:rsidRPr="00BF0B5F">
        <w:rPr>
          <w:lang w:eastAsia="fr-FR"/>
        </w:rPr>
        <w:t xml:space="preserve"> in </w:t>
      </w:r>
      <w:r>
        <w:rPr>
          <w:lang w:eastAsia="fr-FR"/>
        </w:rPr>
        <w:t xml:space="preserve">the fugitive </w:t>
      </w:r>
      <w:r w:rsidRPr="00A10363">
        <w:rPr>
          <w:lang w:eastAsia="fr-FR"/>
        </w:rPr>
        <w:t>GHG emissions</w:t>
      </w:r>
      <w:r>
        <w:rPr>
          <w:lang w:eastAsia="fr-FR"/>
        </w:rPr>
        <w:t xml:space="preserve"> of oil and natural gas systems (CRT 1B2, -62%), in particular due to the downfall of flaring in refineries,</w:t>
      </w:r>
    </w:p>
    <w:p w14:paraId="1EBF41DB" w14:textId="77777777" w:rsidR="0064776B" w:rsidRPr="00162B43" w:rsidRDefault="0064776B" w:rsidP="0064776B">
      <w:pPr>
        <w:pStyle w:val="ListParagraph"/>
        <w:numPr>
          <w:ilvl w:val="0"/>
          <w:numId w:val="58"/>
        </w:numPr>
        <w:rPr>
          <w:lang w:eastAsia="fr-FR"/>
        </w:rPr>
      </w:pPr>
      <w:r>
        <w:rPr>
          <w:lang w:eastAsia="fr-FR"/>
        </w:rPr>
        <w:t>a considerable decrease of CO</w:t>
      </w:r>
      <w:r w:rsidRPr="009A6575">
        <w:rPr>
          <w:vertAlign w:val="subscript"/>
          <w:lang w:eastAsia="fr-FR"/>
        </w:rPr>
        <w:t>2</w:t>
      </w:r>
      <w:r>
        <w:rPr>
          <w:lang w:eastAsia="fr-FR"/>
        </w:rPr>
        <w:t xml:space="preserve"> and N</w:t>
      </w:r>
      <w:r w:rsidRPr="009A6575">
        <w:rPr>
          <w:vertAlign w:val="subscript"/>
          <w:lang w:eastAsia="fr-FR"/>
        </w:rPr>
        <w:t>2</w:t>
      </w:r>
      <w:r>
        <w:rPr>
          <w:lang w:eastAsia="fr-FR"/>
        </w:rPr>
        <w:t>O emissions of the chemical industry (CRT 2B, -78% in CO</w:t>
      </w:r>
      <w:r w:rsidRPr="009A6575">
        <w:rPr>
          <w:vertAlign w:val="subscript"/>
          <w:lang w:eastAsia="fr-FR"/>
        </w:rPr>
        <w:t>2</w:t>
      </w:r>
      <w:r>
        <w:rPr>
          <w:lang w:eastAsia="fr-FR"/>
        </w:rPr>
        <w:t>e), in particular following the shutdown of ammonia and nitric acid plants, compensated by the increase in CO</w:t>
      </w:r>
      <w:r w:rsidRPr="009A6575">
        <w:rPr>
          <w:vertAlign w:val="subscript"/>
          <w:lang w:eastAsia="fr-FR"/>
        </w:rPr>
        <w:t>2</w:t>
      </w:r>
      <w:r>
        <w:rPr>
          <w:lang w:eastAsia="fr-FR"/>
        </w:rPr>
        <w:t xml:space="preserve"> emissions from iron and steel production (CRT 2C1, +81%),</w:t>
      </w:r>
    </w:p>
    <w:p w14:paraId="2A4E245C" w14:textId="77777777" w:rsidR="0064776B" w:rsidRDefault="0064776B" w:rsidP="0064776B">
      <w:pPr>
        <w:pStyle w:val="ListParagraph"/>
        <w:numPr>
          <w:ilvl w:val="0"/>
          <w:numId w:val="58"/>
        </w:numPr>
        <w:rPr>
          <w:lang w:eastAsia="fr-FR"/>
        </w:rPr>
      </w:pPr>
      <w:r>
        <w:rPr>
          <w:lang w:eastAsia="fr-FR"/>
        </w:rPr>
        <w:t>the important increase in CO</w:t>
      </w:r>
      <w:r w:rsidRPr="009A6575">
        <w:rPr>
          <w:vertAlign w:val="subscript"/>
          <w:lang w:eastAsia="fr-FR"/>
        </w:rPr>
        <w:t>2</w:t>
      </w:r>
      <w:r>
        <w:rPr>
          <w:lang w:eastAsia="fr-FR"/>
        </w:rPr>
        <w:t xml:space="preserve"> emissions from the use of urea in agriculture (CRT 3H, +574%), accompanied with the significant increase in direct N</w:t>
      </w:r>
      <w:r w:rsidRPr="009A6575">
        <w:rPr>
          <w:vertAlign w:val="subscript"/>
          <w:lang w:eastAsia="fr-FR"/>
        </w:rPr>
        <w:t>2</w:t>
      </w:r>
      <w:r>
        <w:rPr>
          <w:lang w:eastAsia="fr-FR"/>
        </w:rPr>
        <w:t>O emissions related to application of inorganic fertilizers (CRT 3.D.a.1, +598%), but which do not compensate in CO</w:t>
      </w:r>
      <w:r w:rsidRPr="009A6575">
        <w:rPr>
          <w:vertAlign w:val="subscript"/>
          <w:lang w:eastAsia="fr-FR"/>
        </w:rPr>
        <w:t>2</w:t>
      </w:r>
      <w:r>
        <w:rPr>
          <w:lang w:eastAsia="fr-FR"/>
        </w:rPr>
        <w:t>e the decrease in CH</w:t>
      </w:r>
      <w:r w:rsidRPr="009A6575">
        <w:rPr>
          <w:vertAlign w:val="subscript"/>
          <w:lang w:eastAsia="fr-FR"/>
        </w:rPr>
        <w:t>4</w:t>
      </w:r>
      <w:r>
        <w:rPr>
          <w:lang w:eastAsia="fr-FR"/>
        </w:rPr>
        <w:t xml:space="preserve"> emissions of the enteric fermentation (CRT 3A, -44%) for the global agriculture sector (-24% in CO</w:t>
      </w:r>
      <w:r w:rsidRPr="009A6575">
        <w:rPr>
          <w:vertAlign w:val="subscript"/>
          <w:lang w:eastAsia="fr-FR"/>
        </w:rPr>
        <w:t>2</w:t>
      </w:r>
      <w:r>
        <w:rPr>
          <w:lang w:eastAsia="fr-FR"/>
        </w:rPr>
        <w:t>e),</w:t>
      </w:r>
    </w:p>
    <w:p w14:paraId="12D5A0EF" w14:textId="77777777" w:rsidR="0064776B" w:rsidRDefault="0064776B" w:rsidP="0064776B">
      <w:pPr>
        <w:pStyle w:val="ListParagraph"/>
        <w:numPr>
          <w:ilvl w:val="0"/>
          <w:numId w:val="58"/>
        </w:numPr>
        <w:rPr>
          <w:lang w:eastAsia="fr-FR"/>
        </w:rPr>
      </w:pPr>
      <w:r>
        <w:rPr>
          <w:lang w:eastAsia="fr-FR"/>
        </w:rPr>
        <w:t>the large increase of the negative emissions of CO</w:t>
      </w:r>
      <w:r w:rsidRPr="009A6575">
        <w:rPr>
          <w:vertAlign w:val="subscript"/>
          <w:lang w:eastAsia="fr-FR"/>
        </w:rPr>
        <w:t>2</w:t>
      </w:r>
      <w:r>
        <w:rPr>
          <w:lang w:eastAsia="fr-FR"/>
        </w:rPr>
        <w:t xml:space="preserve"> of the LULUCF sector, which more-than-tripled between 1990 and 2022 (+222%), mostly due to the growing forest (CRT 4A, +133%). </w:t>
      </w:r>
    </w:p>
    <w:p w14:paraId="288BBD8D" w14:textId="77777777" w:rsidR="0064776B" w:rsidRDefault="0064776B" w:rsidP="0064776B">
      <w:pPr>
        <w:rPr>
          <w:lang w:eastAsia="fr-FR"/>
        </w:rPr>
      </w:pPr>
      <w:r>
        <w:rPr>
          <w:lang w:eastAsia="fr-FR"/>
        </w:rPr>
        <w:t>In 2022, the CO</w:t>
      </w:r>
      <w:r w:rsidRPr="009A6575">
        <w:rPr>
          <w:vertAlign w:val="subscript"/>
          <w:lang w:eastAsia="fr-FR"/>
        </w:rPr>
        <w:t>2</w:t>
      </w:r>
      <w:r>
        <w:rPr>
          <w:lang w:eastAsia="fr-FR"/>
        </w:rPr>
        <w:t xml:space="preserve"> balance for LULUCF is a net removal which represents more than 7% of the total GHG emissions without LULUCF contribution, expressed as CO</w:t>
      </w:r>
      <w:r w:rsidRPr="009A6575">
        <w:rPr>
          <w:vertAlign w:val="subscript"/>
          <w:lang w:eastAsia="fr-FR"/>
        </w:rPr>
        <w:t>2</w:t>
      </w:r>
      <w:r>
        <w:rPr>
          <w:lang w:eastAsia="fr-FR"/>
        </w:rPr>
        <w:t xml:space="preserve"> equivalent (i.e., 4.5 Mt CO</w:t>
      </w:r>
      <w:r w:rsidRPr="009A6575">
        <w:rPr>
          <w:vertAlign w:val="subscript"/>
          <w:lang w:eastAsia="fr-FR"/>
        </w:rPr>
        <w:t>2</w:t>
      </w:r>
      <w:r>
        <w:rPr>
          <w:lang w:eastAsia="fr-FR"/>
        </w:rPr>
        <w:t>e).</w:t>
      </w:r>
    </w:p>
    <w:p w14:paraId="227AA4BF" w14:textId="409459EA" w:rsidR="00097666" w:rsidRDefault="00097666" w:rsidP="00622F40">
      <w:pPr>
        <w:spacing w:line="240" w:lineRule="auto"/>
        <w:rPr>
          <w:lang w:eastAsia="fr-FR"/>
        </w:rPr>
      </w:pPr>
    </w:p>
    <w:p w14:paraId="0BAF74C7" w14:textId="5724A639" w:rsidR="00170908" w:rsidRDefault="00C579F2" w:rsidP="00170908">
      <w:pPr>
        <w:autoSpaceDE w:val="0"/>
        <w:autoSpaceDN w:val="0"/>
        <w:adjustRightInd w:val="0"/>
        <w:spacing w:after="0" w:line="240" w:lineRule="auto"/>
        <w:jc w:val="left"/>
        <w:rPr>
          <w:b/>
          <w:bCs/>
          <w:sz w:val="22"/>
          <w:lang w:eastAsia="fr-FR"/>
        </w:rPr>
      </w:pPr>
      <w:r>
        <w:rPr>
          <w:b/>
          <w:bCs/>
          <w:sz w:val="22"/>
          <w:lang w:eastAsia="fr-FR"/>
        </w:rPr>
        <w:t xml:space="preserve">ES.4. </w:t>
      </w:r>
      <w:r w:rsidR="00170908" w:rsidRPr="00170908">
        <w:rPr>
          <w:b/>
          <w:bCs/>
          <w:sz w:val="22"/>
          <w:lang w:eastAsia="fr-FR"/>
        </w:rPr>
        <w:t xml:space="preserve">Other information </w:t>
      </w:r>
      <w:r w:rsidR="004344A5">
        <w:rPr>
          <w:b/>
          <w:bCs/>
          <w:sz w:val="22"/>
          <w:lang w:eastAsia="fr-FR"/>
        </w:rPr>
        <w:t xml:space="preserve">- </w:t>
      </w:r>
      <w:r w:rsidR="00170908" w:rsidRPr="00170908">
        <w:rPr>
          <w:b/>
          <w:bCs/>
          <w:sz w:val="22"/>
          <w:lang w:eastAsia="fr-FR"/>
        </w:rPr>
        <w:t>indirect GHGs</w:t>
      </w:r>
    </w:p>
    <w:p w14:paraId="1844CBA6" w14:textId="77777777" w:rsidR="00170908" w:rsidRDefault="00170908" w:rsidP="00170908">
      <w:pPr>
        <w:autoSpaceDE w:val="0"/>
        <w:autoSpaceDN w:val="0"/>
        <w:adjustRightInd w:val="0"/>
        <w:spacing w:after="0" w:line="240" w:lineRule="auto"/>
        <w:jc w:val="left"/>
        <w:rPr>
          <w:b/>
          <w:bCs/>
          <w:sz w:val="22"/>
          <w:lang w:eastAsia="fr-FR"/>
        </w:rPr>
      </w:pPr>
    </w:p>
    <w:p w14:paraId="5110C739" w14:textId="79F27D32" w:rsidR="0064776B" w:rsidRPr="004A1324" w:rsidRDefault="0064776B" w:rsidP="0064776B">
      <w:pPr>
        <w:autoSpaceDE w:val="0"/>
        <w:autoSpaceDN w:val="0"/>
        <w:adjustRightInd w:val="0"/>
        <w:spacing w:after="0" w:line="240" w:lineRule="auto"/>
        <w:rPr>
          <w:sz w:val="22"/>
          <w:lang w:eastAsia="fr-FR"/>
        </w:rPr>
      </w:pPr>
      <w:r w:rsidRPr="004A1324">
        <w:rPr>
          <w:sz w:val="22"/>
          <w:lang w:eastAsia="fr-FR"/>
        </w:rPr>
        <w:t>For the indirect emissions the SEPA is using inventory system for Air Pollutants established and maintained under the Convention on Long Range transboundary pollution. This system is sharing activity data with GHG Inventory system where applicable and building on EMEP methodology and emission factors.</w:t>
      </w:r>
    </w:p>
    <w:p w14:paraId="0BB7AF40" w14:textId="142A960D" w:rsidR="0064776B" w:rsidRDefault="0064776B" w:rsidP="0064776B">
      <w:pPr>
        <w:autoSpaceDE w:val="0"/>
        <w:autoSpaceDN w:val="0"/>
        <w:adjustRightInd w:val="0"/>
        <w:spacing w:after="0" w:line="240" w:lineRule="auto"/>
        <w:rPr>
          <w:lang w:eastAsia="fr-FR"/>
        </w:rPr>
      </w:pPr>
      <w:r w:rsidRPr="00E02552">
        <w:rPr>
          <w:lang w:eastAsia="fr-FR"/>
        </w:rPr>
        <w:t xml:space="preserve">Between 1990 and 2022, there was a downward trend in mass emissions of the </w:t>
      </w:r>
      <w:r w:rsidR="00555FE5">
        <w:rPr>
          <w:lang w:eastAsia="fr-FR"/>
        </w:rPr>
        <w:t>three</w:t>
      </w:r>
      <w:r w:rsidRPr="00E02552">
        <w:rPr>
          <w:lang w:eastAsia="fr-FR"/>
        </w:rPr>
        <w:t xml:space="preserve"> gases which indirectly contribute to the greenhouse effect: 70.2% for sulphur dioxide, 43.9</w:t>
      </w:r>
      <w:r w:rsidRPr="009A6575">
        <w:rPr>
          <w:lang w:eastAsia="fr-FR"/>
        </w:rPr>
        <w:t>%</w:t>
      </w:r>
      <w:r w:rsidRPr="00E02552">
        <w:rPr>
          <w:lang w:eastAsia="fr-FR"/>
        </w:rPr>
        <w:t xml:space="preserve"> for carbon monoxide and 46.5% for non-methane volatile organic compounds</w:t>
      </w:r>
      <w:r w:rsidR="00555FE5">
        <w:rPr>
          <w:lang w:eastAsia="fr-FR"/>
        </w:rPr>
        <w:t>, while emissions of nitrogen oxides increased for 1%</w:t>
      </w:r>
      <w:r w:rsidRPr="00E02552">
        <w:rPr>
          <w:lang w:eastAsia="fr-FR"/>
        </w:rPr>
        <w:t>.</w:t>
      </w:r>
      <w:r>
        <w:rPr>
          <w:lang w:eastAsia="fr-FR"/>
        </w:rPr>
        <w:t xml:space="preserve"> </w:t>
      </w:r>
    </w:p>
    <w:p w14:paraId="43BE382B" w14:textId="77777777" w:rsidR="00EA311B" w:rsidRDefault="00EA311B">
      <w:pPr>
        <w:autoSpaceDE w:val="0"/>
        <w:autoSpaceDN w:val="0"/>
        <w:adjustRightInd w:val="0"/>
        <w:spacing w:after="0" w:line="240" w:lineRule="auto"/>
        <w:rPr>
          <w:lang w:eastAsia="fr-FR"/>
        </w:rPr>
      </w:pPr>
    </w:p>
    <w:p w14:paraId="1CF50F9D" w14:textId="7276120D" w:rsidR="00170908" w:rsidRDefault="0066799A" w:rsidP="00622F40">
      <w:pPr>
        <w:autoSpaceDE w:val="0"/>
        <w:autoSpaceDN w:val="0"/>
        <w:adjustRightInd w:val="0"/>
        <w:spacing w:after="0" w:line="240" w:lineRule="auto"/>
        <w:rPr>
          <w:lang w:eastAsia="fr-FR"/>
        </w:rPr>
      </w:pPr>
      <w:r w:rsidRPr="00555FE5">
        <w:rPr>
          <w:lang w:eastAsia="fr-FR"/>
        </w:rPr>
        <w:lastRenderedPageBreak/>
        <w:t xml:space="preserve">The emissions of NOx increased mostly due to the </w:t>
      </w:r>
      <w:r w:rsidR="008C7E6A" w:rsidRPr="00555FE5">
        <w:rPr>
          <w:lang w:eastAsia="fr-FR"/>
        </w:rPr>
        <w:t xml:space="preserve">growth </w:t>
      </w:r>
      <w:r w:rsidRPr="00555FE5">
        <w:rPr>
          <w:lang w:eastAsia="fr-FR"/>
        </w:rPr>
        <w:t>in the road transport emissions</w:t>
      </w:r>
      <w:r w:rsidR="008C7E6A" w:rsidRPr="00555FE5">
        <w:rPr>
          <w:lang w:eastAsia="fr-FR"/>
        </w:rPr>
        <w:t xml:space="preserve">, which have gone up </w:t>
      </w:r>
      <w:r w:rsidR="00794507" w:rsidRPr="00555FE5">
        <w:rPr>
          <w:lang w:eastAsia="fr-FR"/>
        </w:rPr>
        <w:t>by 54% over the timeseries</w:t>
      </w:r>
      <w:r w:rsidR="00754916" w:rsidRPr="00555FE5">
        <w:rPr>
          <w:lang w:eastAsia="fr-FR"/>
        </w:rPr>
        <w:t xml:space="preserve"> and now contribute to 41% of the national emissions</w:t>
      </w:r>
      <w:r w:rsidR="00794507" w:rsidRPr="00555FE5">
        <w:rPr>
          <w:lang w:eastAsia="fr-FR"/>
        </w:rPr>
        <w:t>.</w:t>
      </w:r>
      <w:r w:rsidR="00754916">
        <w:rPr>
          <w:lang w:eastAsia="fr-FR"/>
        </w:rPr>
        <w:t xml:space="preserve"> The </w:t>
      </w:r>
      <w:r w:rsidR="00507868">
        <w:rPr>
          <w:lang w:eastAsia="fr-FR"/>
        </w:rPr>
        <w:t>SO</w:t>
      </w:r>
      <w:r w:rsidR="00507868" w:rsidRPr="00622F40">
        <w:rPr>
          <w:vertAlign w:val="subscript"/>
          <w:lang w:eastAsia="fr-FR"/>
        </w:rPr>
        <w:t>2</w:t>
      </w:r>
      <w:r w:rsidR="00507868">
        <w:rPr>
          <w:lang w:eastAsia="fr-FR"/>
        </w:rPr>
        <w:t xml:space="preserve"> emissions have fallen mostly due to the decline in the solid fuel consumption for the public heat and electricity production (CRT 1A1a)</w:t>
      </w:r>
      <w:r w:rsidR="00832ACE">
        <w:rPr>
          <w:lang w:eastAsia="fr-FR"/>
        </w:rPr>
        <w:t xml:space="preserve">, </w:t>
      </w:r>
      <w:r w:rsidR="00825EF5">
        <w:rPr>
          <w:lang w:eastAsia="fr-FR"/>
        </w:rPr>
        <w:t xml:space="preserve">as well as </w:t>
      </w:r>
      <w:r w:rsidR="001D0157">
        <w:rPr>
          <w:lang w:eastAsia="fr-FR"/>
        </w:rPr>
        <w:t xml:space="preserve">due to national regulations, </w:t>
      </w:r>
      <w:r w:rsidR="00832ACE">
        <w:rPr>
          <w:lang w:eastAsia="fr-FR"/>
        </w:rPr>
        <w:t>which have reduced its emi</w:t>
      </w:r>
      <w:r w:rsidR="00CA5BB8">
        <w:rPr>
          <w:lang w:eastAsia="fr-FR"/>
        </w:rPr>
        <w:t>s</w:t>
      </w:r>
      <w:r w:rsidR="00832ACE">
        <w:rPr>
          <w:lang w:eastAsia="fr-FR"/>
        </w:rPr>
        <w:t xml:space="preserve">sions by </w:t>
      </w:r>
      <w:r w:rsidR="00825EF5">
        <w:rPr>
          <w:lang w:eastAsia="fr-FR"/>
        </w:rPr>
        <w:t xml:space="preserve">33% meanwhile it represented more than 90% of the national emissions in 1990. </w:t>
      </w:r>
      <w:r w:rsidR="00EA311B">
        <w:rPr>
          <w:lang w:eastAsia="fr-FR"/>
        </w:rPr>
        <w:t xml:space="preserve">The NMVOC emissions, which are more evenly distributed among subsectors, </w:t>
      </w:r>
      <w:r w:rsidR="001D772D">
        <w:rPr>
          <w:lang w:eastAsia="fr-FR"/>
        </w:rPr>
        <w:t xml:space="preserve">have been reduced due to the drop in the evaporative exhaust from road vehicles, the decline in the coal mining, the fall in the </w:t>
      </w:r>
      <w:r w:rsidR="003A1419">
        <w:rPr>
          <w:lang w:eastAsia="fr-FR"/>
        </w:rPr>
        <w:t xml:space="preserve">livestock of cattle, </w:t>
      </w:r>
      <w:r w:rsidR="00D35F6F">
        <w:rPr>
          <w:lang w:eastAsia="fr-FR"/>
        </w:rPr>
        <w:t>and the decrease in the Serbian population which has a direct impact on solvent consumption</w:t>
      </w:r>
      <w:r w:rsidR="00F842E6">
        <w:rPr>
          <w:lang w:eastAsia="fr-FR"/>
        </w:rPr>
        <w:t xml:space="preserve">. Finally, the CO emissions </w:t>
      </w:r>
      <w:r w:rsidR="00C036AE">
        <w:rPr>
          <w:lang w:eastAsia="fr-FR"/>
        </w:rPr>
        <w:t>have principally decreased due to the improvement of the exhaust emission levels from road vehicle</w:t>
      </w:r>
      <w:r w:rsidR="00223D48">
        <w:rPr>
          <w:lang w:eastAsia="fr-FR"/>
        </w:rPr>
        <w:t xml:space="preserve">, whereas an increase is observed in some </w:t>
      </w:r>
      <w:r w:rsidR="00E64119">
        <w:rPr>
          <w:lang w:eastAsia="fr-FR"/>
        </w:rPr>
        <w:t xml:space="preserve">industrial </w:t>
      </w:r>
      <w:r w:rsidR="00223D48">
        <w:rPr>
          <w:lang w:eastAsia="fr-FR"/>
        </w:rPr>
        <w:t xml:space="preserve">sectors due to increasing </w:t>
      </w:r>
      <w:r w:rsidR="00E64119">
        <w:rPr>
          <w:lang w:eastAsia="fr-FR"/>
        </w:rPr>
        <w:t xml:space="preserve">productions. </w:t>
      </w:r>
      <w:r w:rsidR="00223D48">
        <w:rPr>
          <w:lang w:eastAsia="fr-FR"/>
        </w:rPr>
        <w:t xml:space="preserve"> </w:t>
      </w:r>
    </w:p>
    <w:p w14:paraId="3E92D10C" w14:textId="77777777" w:rsidR="004344A5" w:rsidRDefault="004344A5" w:rsidP="00614555">
      <w:pPr>
        <w:autoSpaceDE w:val="0"/>
        <w:autoSpaceDN w:val="0"/>
        <w:adjustRightInd w:val="0"/>
        <w:spacing w:after="0" w:line="240" w:lineRule="auto"/>
        <w:jc w:val="left"/>
        <w:rPr>
          <w:lang w:eastAsia="fr-FR"/>
        </w:rPr>
      </w:pPr>
    </w:p>
    <w:p w14:paraId="28E009D2" w14:textId="14754934" w:rsidR="004344A5" w:rsidRDefault="00C579F2" w:rsidP="004344A5">
      <w:pPr>
        <w:autoSpaceDE w:val="0"/>
        <w:autoSpaceDN w:val="0"/>
        <w:adjustRightInd w:val="0"/>
        <w:spacing w:after="0" w:line="240" w:lineRule="auto"/>
        <w:jc w:val="left"/>
        <w:rPr>
          <w:b/>
          <w:bCs/>
          <w:sz w:val="22"/>
          <w:lang w:eastAsia="fr-FR"/>
        </w:rPr>
      </w:pPr>
      <w:r>
        <w:rPr>
          <w:b/>
          <w:bCs/>
          <w:sz w:val="22"/>
          <w:lang w:eastAsia="fr-FR"/>
        </w:rPr>
        <w:t>ES.6.</w:t>
      </w:r>
      <w:r w:rsidR="0023482C">
        <w:rPr>
          <w:b/>
          <w:bCs/>
          <w:sz w:val="22"/>
          <w:lang w:eastAsia="fr-FR"/>
        </w:rPr>
        <w:t xml:space="preserve"> </w:t>
      </w:r>
      <w:r w:rsidR="0031637F" w:rsidRPr="0031637F">
        <w:rPr>
          <w:b/>
          <w:bCs/>
          <w:sz w:val="22"/>
          <w:lang w:eastAsia="fr-FR"/>
        </w:rPr>
        <w:t>Key category analysis</w:t>
      </w:r>
    </w:p>
    <w:p w14:paraId="1A5DE599" w14:textId="77777777" w:rsidR="0031637F" w:rsidRDefault="0031637F" w:rsidP="004344A5">
      <w:pPr>
        <w:autoSpaceDE w:val="0"/>
        <w:autoSpaceDN w:val="0"/>
        <w:adjustRightInd w:val="0"/>
        <w:spacing w:after="0" w:line="240" w:lineRule="auto"/>
        <w:jc w:val="left"/>
        <w:rPr>
          <w:b/>
          <w:bCs/>
          <w:sz w:val="22"/>
          <w:lang w:eastAsia="fr-FR"/>
        </w:rPr>
      </w:pPr>
    </w:p>
    <w:p w14:paraId="07842814" w14:textId="35F0FC8F" w:rsidR="0063212A" w:rsidRDefault="00151CCA" w:rsidP="00622F40">
      <w:pPr>
        <w:spacing w:line="240" w:lineRule="auto"/>
        <w:rPr>
          <w:lang w:eastAsia="fr-FR"/>
        </w:rPr>
      </w:pPr>
      <w:r w:rsidRPr="00151CCA">
        <w:rPr>
          <w:lang w:eastAsia="fr-FR"/>
        </w:rPr>
        <w:t>According to the Good Practice Guidance and Uncertainty Management in National Greenhouse Gas Inventories, key categories are those which represent 95% (Tier 1) or 90% (Tier 2) of the total annual emissions in the last reported year or belonging to the total trend, when ranked from contributing the largest to smallest share in annual total and in the trend</w:t>
      </w:r>
      <w:r w:rsidR="00CB4EEB">
        <w:rPr>
          <w:lang w:eastAsia="fr-FR"/>
        </w:rPr>
        <w:t>.</w:t>
      </w:r>
    </w:p>
    <w:p w14:paraId="2D4B6DC5" w14:textId="2B884288" w:rsidR="00CB4EEB" w:rsidRDefault="0063212A" w:rsidP="00622F40">
      <w:pPr>
        <w:spacing w:line="240" w:lineRule="auto"/>
        <w:rPr>
          <w:lang w:eastAsia="fr-FR"/>
        </w:rPr>
      </w:pPr>
      <w:r>
        <w:rPr>
          <w:lang w:eastAsia="fr-FR"/>
        </w:rPr>
        <w:t xml:space="preserve">In 2022, </w:t>
      </w:r>
      <w:r w:rsidR="00C16CF9">
        <w:rPr>
          <w:lang w:eastAsia="fr-FR"/>
        </w:rPr>
        <w:t xml:space="preserve">in terms of emission levels, </w:t>
      </w:r>
      <w:r>
        <w:rPr>
          <w:lang w:eastAsia="fr-FR"/>
        </w:rPr>
        <w:t xml:space="preserve">the </w:t>
      </w:r>
      <w:r w:rsidR="00C16CF9">
        <w:rPr>
          <w:lang w:eastAsia="fr-FR"/>
        </w:rPr>
        <w:t xml:space="preserve">principal </w:t>
      </w:r>
      <w:r>
        <w:rPr>
          <w:lang w:eastAsia="fr-FR"/>
        </w:rPr>
        <w:t xml:space="preserve">key categories in the Republic of Serbia are the </w:t>
      </w:r>
      <w:r w:rsidR="00ED418A">
        <w:rPr>
          <w:lang w:eastAsia="fr-FR"/>
        </w:rPr>
        <w:t>p</w:t>
      </w:r>
      <w:r w:rsidR="00C16CF9">
        <w:rPr>
          <w:lang w:eastAsia="fr-FR"/>
        </w:rPr>
        <w:t xml:space="preserve">ublic </w:t>
      </w:r>
      <w:r>
        <w:rPr>
          <w:lang w:eastAsia="fr-FR"/>
        </w:rPr>
        <w:t xml:space="preserve">electricity </w:t>
      </w:r>
      <w:r w:rsidR="00C16CF9">
        <w:rPr>
          <w:lang w:eastAsia="fr-FR"/>
        </w:rPr>
        <w:t xml:space="preserve">and heat </w:t>
      </w:r>
      <w:r>
        <w:rPr>
          <w:lang w:eastAsia="fr-FR"/>
        </w:rPr>
        <w:t>production</w:t>
      </w:r>
      <w:r w:rsidR="00C16CF9">
        <w:rPr>
          <w:lang w:eastAsia="fr-FR"/>
        </w:rPr>
        <w:t xml:space="preserve"> by solid fuels (</w:t>
      </w:r>
      <w:r w:rsidR="00ED418A">
        <w:rPr>
          <w:lang w:eastAsia="fr-FR"/>
        </w:rPr>
        <w:t>CRT1A1a</w:t>
      </w:r>
      <w:r w:rsidR="00EA71A1">
        <w:rPr>
          <w:lang w:eastAsia="fr-FR"/>
        </w:rPr>
        <w:t>-CO</w:t>
      </w:r>
      <w:r w:rsidR="00EA71A1" w:rsidRPr="00622F40">
        <w:rPr>
          <w:vertAlign w:val="subscript"/>
          <w:lang w:eastAsia="fr-FR"/>
        </w:rPr>
        <w:t>2</w:t>
      </w:r>
      <w:r w:rsidR="00ED418A">
        <w:rPr>
          <w:lang w:eastAsia="fr-FR"/>
        </w:rPr>
        <w:t xml:space="preserve">: </w:t>
      </w:r>
      <w:r w:rsidR="00C16CF9">
        <w:rPr>
          <w:lang w:eastAsia="fr-FR"/>
        </w:rPr>
        <w:t>rank 1, 45.5% contribution), the liquid fuel combustion in</w:t>
      </w:r>
      <w:r w:rsidR="00ED418A">
        <w:rPr>
          <w:lang w:eastAsia="fr-FR"/>
        </w:rPr>
        <w:t xml:space="preserve"> </w:t>
      </w:r>
      <w:r w:rsidR="00C16CF9">
        <w:rPr>
          <w:lang w:eastAsia="fr-FR"/>
        </w:rPr>
        <w:t>road transport</w:t>
      </w:r>
      <w:r w:rsidR="00ED418A">
        <w:rPr>
          <w:lang w:eastAsia="fr-FR"/>
        </w:rPr>
        <w:t xml:space="preserve"> (CRT 1A3b</w:t>
      </w:r>
      <w:r w:rsidR="00EA71A1">
        <w:rPr>
          <w:lang w:eastAsia="fr-FR"/>
        </w:rPr>
        <w:t>-CO</w:t>
      </w:r>
      <w:r w:rsidR="00EA71A1" w:rsidRPr="008977F1">
        <w:rPr>
          <w:vertAlign w:val="subscript"/>
          <w:lang w:eastAsia="fr-FR"/>
        </w:rPr>
        <w:t>2</w:t>
      </w:r>
      <w:r w:rsidR="00ED418A">
        <w:rPr>
          <w:lang w:eastAsia="fr-FR"/>
        </w:rPr>
        <w:t>: rank 2, 12.7</w:t>
      </w:r>
      <w:r w:rsidR="00DE215B">
        <w:rPr>
          <w:lang w:eastAsia="fr-FR"/>
        </w:rPr>
        <w:t>%</w:t>
      </w:r>
      <w:r w:rsidR="00ED418A">
        <w:rPr>
          <w:lang w:eastAsia="fr-FR"/>
        </w:rPr>
        <w:t xml:space="preserve">), the iron and steel </w:t>
      </w:r>
      <w:r w:rsidR="00E96B68">
        <w:rPr>
          <w:lang w:eastAsia="fr-FR"/>
        </w:rPr>
        <w:t>processes (CRT 2C1</w:t>
      </w:r>
      <w:r w:rsidR="00EA71A1">
        <w:rPr>
          <w:lang w:eastAsia="fr-FR"/>
        </w:rPr>
        <w:t>-CO</w:t>
      </w:r>
      <w:r w:rsidR="00EA71A1" w:rsidRPr="008977F1">
        <w:rPr>
          <w:vertAlign w:val="subscript"/>
          <w:lang w:eastAsia="fr-FR"/>
        </w:rPr>
        <w:t>2</w:t>
      </w:r>
      <w:r w:rsidR="00E96B68">
        <w:rPr>
          <w:lang w:eastAsia="fr-FR"/>
        </w:rPr>
        <w:t xml:space="preserve">: rank 3, 4.2%), the </w:t>
      </w:r>
      <w:r w:rsidR="00DE215B">
        <w:rPr>
          <w:lang w:eastAsia="fr-FR"/>
        </w:rPr>
        <w:t>solid waste disposal (CRT 5A1</w:t>
      </w:r>
      <w:r w:rsidR="00EA71A1">
        <w:rPr>
          <w:lang w:eastAsia="fr-FR"/>
        </w:rPr>
        <w:t>-CH</w:t>
      </w:r>
      <w:r w:rsidR="00EA71A1">
        <w:rPr>
          <w:vertAlign w:val="subscript"/>
          <w:lang w:eastAsia="fr-FR"/>
        </w:rPr>
        <w:t>4</w:t>
      </w:r>
      <w:r w:rsidR="00DE215B">
        <w:rPr>
          <w:lang w:eastAsia="fr-FR"/>
        </w:rPr>
        <w:t>: rank 4, 3.9%) and the public electricity and heat production with burning of gaseous fuels (CRT 1A1a</w:t>
      </w:r>
      <w:r w:rsidR="00EA71A1">
        <w:rPr>
          <w:lang w:eastAsia="fr-FR"/>
        </w:rPr>
        <w:t>-CO</w:t>
      </w:r>
      <w:r w:rsidR="00EA71A1" w:rsidRPr="008977F1">
        <w:rPr>
          <w:vertAlign w:val="subscript"/>
          <w:lang w:eastAsia="fr-FR"/>
        </w:rPr>
        <w:t>2</w:t>
      </w:r>
      <w:r w:rsidR="00DE215B">
        <w:rPr>
          <w:lang w:eastAsia="fr-FR"/>
        </w:rPr>
        <w:t xml:space="preserve">: rank 5, </w:t>
      </w:r>
      <w:r w:rsidR="005A23AE">
        <w:rPr>
          <w:lang w:eastAsia="fr-FR"/>
        </w:rPr>
        <w:t xml:space="preserve">3.9%). </w:t>
      </w:r>
      <w:r w:rsidR="00C47768">
        <w:rPr>
          <w:lang w:eastAsia="fr-FR"/>
        </w:rPr>
        <w:t>The</w:t>
      </w:r>
      <w:r w:rsidR="008B6593">
        <w:rPr>
          <w:lang w:eastAsia="fr-FR"/>
        </w:rPr>
        <w:t>y</w:t>
      </w:r>
      <w:r w:rsidR="00C47768">
        <w:rPr>
          <w:lang w:eastAsia="fr-FR"/>
        </w:rPr>
        <w:t xml:space="preserve"> represent more than 70% of the whole national </w:t>
      </w:r>
      <w:r w:rsidR="008B6593">
        <w:rPr>
          <w:lang w:eastAsia="fr-FR"/>
        </w:rPr>
        <w:t xml:space="preserve">GHG emission totals, excluding LULUCF. </w:t>
      </w:r>
      <w:r w:rsidR="00236DF4">
        <w:rPr>
          <w:lang w:eastAsia="fr-FR"/>
        </w:rPr>
        <w:t xml:space="preserve">In overall, 40 </w:t>
      </w:r>
      <w:r w:rsidR="008D142E">
        <w:rPr>
          <w:lang w:eastAsia="fr-FR"/>
        </w:rPr>
        <w:t>emission sources constitute the key categories in emission levels in 2022 in the Republic of Serbia, excluding LULUCF.</w:t>
      </w:r>
    </w:p>
    <w:p w14:paraId="3E511576" w14:textId="6EC4D0B2" w:rsidR="00236DF4" w:rsidRDefault="00236DF4" w:rsidP="00622F40">
      <w:pPr>
        <w:spacing w:line="240" w:lineRule="auto"/>
        <w:rPr>
          <w:lang w:eastAsia="fr-FR"/>
        </w:rPr>
      </w:pPr>
      <w:r>
        <w:rPr>
          <w:lang w:eastAsia="fr-FR"/>
        </w:rPr>
        <w:t xml:space="preserve">While considering the LULUCF emissions, the main key categories are relatively the </w:t>
      </w:r>
      <w:r w:rsidR="00684578">
        <w:rPr>
          <w:lang w:eastAsia="fr-FR"/>
        </w:rPr>
        <w:t>same,</w:t>
      </w:r>
      <w:r>
        <w:rPr>
          <w:lang w:eastAsia="fr-FR"/>
        </w:rPr>
        <w:t xml:space="preserve"> </w:t>
      </w:r>
      <w:r w:rsidR="008D142E">
        <w:rPr>
          <w:lang w:eastAsia="fr-FR"/>
        </w:rPr>
        <w:t xml:space="preserve">but the </w:t>
      </w:r>
      <w:r w:rsidR="0071250D">
        <w:rPr>
          <w:lang w:eastAsia="fr-FR"/>
        </w:rPr>
        <w:t>CO</w:t>
      </w:r>
      <w:r w:rsidR="0071250D" w:rsidRPr="00622F40">
        <w:rPr>
          <w:vertAlign w:val="subscript"/>
          <w:lang w:eastAsia="fr-FR"/>
        </w:rPr>
        <w:t>2</w:t>
      </w:r>
      <w:r w:rsidR="0071250D">
        <w:rPr>
          <w:lang w:eastAsia="fr-FR"/>
        </w:rPr>
        <w:t xml:space="preserve"> emissions related to</w:t>
      </w:r>
      <w:r w:rsidR="002A69C6">
        <w:rPr>
          <w:lang w:eastAsia="fr-FR"/>
        </w:rPr>
        <w:t xml:space="preserve"> the forest land remaining forest land </w:t>
      </w:r>
      <w:r w:rsidR="0071250D">
        <w:rPr>
          <w:lang w:eastAsia="fr-FR"/>
        </w:rPr>
        <w:t>(CRT 4A1) comes in 3</w:t>
      </w:r>
      <w:r w:rsidR="0071250D" w:rsidRPr="00622F40">
        <w:rPr>
          <w:vertAlign w:val="superscript"/>
          <w:lang w:eastAsia="fr-FR"/>
        </w:rPr>
        <w:t>rd</w:t>
      </w:r>
      <w:r w:rsidR="0071250D">
        <w:rPr>
          <w:lang w:eastAsia="fr-FR"/>
        </w:rPr>
        <w:t xml:space="preserve"> position with a contribution of 6.7%</w:t>
      </w:r>
      <w:r w:rsidR="00803F0E">
        <w:rPr>
          <w:lang w:eastAsia="fr-FR"/>
        </w:rPr>
        <w:t xml:space="preserve">. </w:t>
      </w:r>
      <w:r w:rsidR="0079177C">
        <w:rPr>
          <w:lang w:eastAsia="fr-FR"/>
        </w:rPr>
        <w:t xml:space="preserve">Only three LULUCF subcategories </w:t>
      </w:r>
      <w:r w:rsidR="00440E68">
        <w:rPr>
          <w:lang w:eastAsia="fr-FR"/>
        </w:rPr>
        <w:t>are</w:t>
      </w:r>
      <w:r w:rsidR="0079177C">
        <w:rPr>
          <w:lang w:eastAsia="fr-FR"/>
        </w:rPr>
        <w:t xml:space="preserve"> in the emission level key categories analysis while considering LULUCF contribution, and the total number of key categories increases up to 46 emission sources in 2022.</w:t>
      </w:r>
    </w:p>
    <w:p w14:paraId="3D079439" w14:textId="7388D045" w:rsidR="0079177C" w:rsidRDefault="00C06140" w:rsidP="00622F40">
      <w:pPr>
        <w:spacing w:line="240" w:lineRule="auto"/>
        <w:rPr>
          <w:lang w:eastAsia="fr-FR"/>
        </w:rPr>
      </w:pPr>
      <w:r>
        <w:rPr>
          <w:lang w:eastAsia="fr-FR"/>
        </w:rPr>
        <w:t>In terms of emission trend, in 2022, the similar emission sources are responsible for the major changes but in a different order</w:t>
      </w:r>
      <w:r w:rsidR="00B04244">
        <w:rPr>
          <w:lang w:eastAsia="fr-FR"/>
        </w:rPr>
        <w:t>, excluding LULUCF</w:t>
      </w:r>
      <w:r>
        <w:rPr>
          <w:lang w:eastAsia="fr-FR"/>
        </w:rPr>
        <w:t>:</w:t>
      </w:r>
      <w:r w:rsidR="008A5539">
        <w:rPr>
          <w:lang w:eastAsia="fr-FR"/>
        </w:rPr>
        <w:t xml:space="preserve"> CO</w:t>
      </w:r>
      <w:r w:rsidR="008A5539" w:rsidRPr="008977F1">
        <w:rPr>
          <w:vertAlign w:val="subscript"/>
          <w:lang w:eastAsia="fr-FR"/>
        </w:rPr>
        <w:t>2</w:t>
      </w:r>
      <w:r w:rsidR="008A5539">
        <w:rPr>
          <w:lang w:eastAsia="fr-FR"/>
        </w:rPr>
        <w:t xml:space="preserve"> from road transport with liquid fuels (rank 1, 16.6%), due to its large increase, </w:t>
      </w:r>
      <w:r w:rsidR="00B04244">
        <w:rPr>
          <w:lang w:eastAsia="fr-FR"/>
        </w:rPr>
        <w:t>CO</w:t>
      </w:r>
      <w:r w:rsidR="00B04244" w:rsidRPr="008977F1">
        <w:rPr>
          <w:vertAlign w:val="subscript"/>
          <w:lang w:eastAsia="fr-FR"/>
        </w:rPr>
        <w:t>2</w:t>
      </w:r>
      <w:r w:rsidR="00B04244">
        <w:rPr>
          <w:lang w:eastAsia="fr-FR"/>
        </w:rPr>
        <w:t xml:space="preserve"> from public electricity and heat production burning solid fuels (rank 2, 5.9%) and gaseous fuels (rank 3, 5.6%), CO</w:t>
      </w:r>
      <w:r w:rsidR="00B04244" w:rsidRPr="008977F1">
        <w:rPr>
          <w:vertAlign w:val="subscript"/>
          <w:lang w:eastAsia="fr-FR"/>
        </w:rPr>
        <w:t>2</w:t>
      </w:r>
      <w:r w:rsidR="00B04244">
        <w:rPr>
          <w:lang w:eastAsia="fr-FR"/>
        </w:rPr>
        <w:t xml:space="preserve"> from iron and steel processes (rank 4, </w:t>
      </w:r>
      <w:r w:rsidR="002A3886">
        <w:rPr>
          <w:lang w:eastAsia="fr-FR"/>
        </w:rPr>
        <w:t xml:space="preserve">5.1%), and finally the burning of solid fuels in residential sector (CRT 1A4b: rank 5, </w:t>
      </w:r>
      <w:r w:rsidR="00604560">
        <w:rPr>
          <w:lang w:eastAsia="fr-FR"/>
        </w:rPr>
        <w:t xml:space="preserve">4.6%). These five main key categories contribute </w:t>
      </w:r>
      <w:r w:rsidR="000F484F">
        <w:rPr>
          <w:lang w:eastAsia="fr-FR"/>
        </w:rPr>
        <w:t xml:space="preserve">only </w:t>
      </w:r>
      <w:r w:rsidR="00604560">
        <w:rPr>
          <w:lang w:eastAsia="fr-FR"/>
        </w:rPr>
        <w:t xml:space="preserve">to </w:t>
      </w:r>
      <w:r w:rsidR="000F484F">
        <w:rPr>
          <w:lang w:eastAsia="fr-FR"/>
        </w:rPr>
        <w:t xml:space="preserve">38% of the total </w:t>
      </w:r>
      <w:r w:rsidR="002B0BB0">
        <w:rPr>
          <w:lang w:eastAsia="fr-FR"/>
        </w:rPr>
        <w:t xml:space="preserve">trend </w:t>
      </w:r>
      <w:r w:rsidR="000F484F">
        <w:rPr>
          <w:lang w:eastAsia="fr-FR"/>
        </w:rPr>
        <w:t xml:space="preserve">contribution. </w:t>
      </w:r>
      <w:r w:rsidR="002B0BB0">
        <w:rPr>
          <w:lang w:eastAsia="fr-FR"/>
        </w:rPr>
        <w:t xml:space="preserve">Hence, </w:t>
      </w:r>
      <w:r w:rsidR="004E3879">
        <w:rPr>
          <w:lang w:eastAsia="fr-FR"/>
        </w:rPr>
        <w:t>a total of 59 emission sources constitute</w:t>
      </w:r>
      <w:r w:rsidR="002770D3">
        <w:rPr>
          <w:lang w:eastAsia="fr-FR"/>
        </w:rPr>
        <w:t>s</w:t>
      </w:r>
      <w:r w:rsidR="004E3879">
        <w:rPr>
          <w:lang w:eastAsia="fr-FR"/>
        </w:rPr>
        <w:t xml:space="preserve"> the key categories in trend in 2022, in the Republic of Serbia, excluding LULUCF.</w:t>
      </w:r>
    </w:p>
    <w:p w14:paraId="0D43FAEB" w14:textId="47070648" w:rsidR="004E3879" w:rsidRPr="00B04244" w:rsidRDefault="004E3879" w:rsidP="00622F40">
      <w:pPr>
        <w:spacing w:line="240" w:lineRule="auto"/>
        <w:rPr>
          <w:lang w:eastAsia="fr-FR"/>
        </w:rPr>
      </w:pPr>
      <w:r>
        <w:rPr>
          <w:lang w:eastAsia="fr-FR"/>
        </w:rPr>
        <w:t xml:space="preserve">Considering the LULUCF contribution, </w:t>
      </w:r>
      <w:r w:rsidR="00073FA2">
        <w:rPr>
          <w:lang w:eastAsia="fr-FR"/>
        </w:rPr>
        <w:t xml:space="preserve">the five main key categories in terms of trend assessment </w:t>
      </w:r>
      <w:r w:rsidR="0015353A">
        <w:rPr>
          <w:lang w:eastAsia="fr-FR"/>
        </w:rPr>
        <w:t>are relatively the same, except with the forest land remaining forest land which comes in 2</w:t>
      </w:r>
      <w:r w:rsidR="0015353A" w:rsidRPr="00622F40">
        <w:rPr>
          <w:vertAlign w:val="superscript"/>
          <w:lang w:eastAsia="fr-FR"/>
        </w:rPr>
        <w:t>nd</w:t>
      </w:r>
      <w:r w:rsidR="0015353A">
        <w:rPr>
          <w:lang w:eastAsia="fr-FR"/>
        </w:rPr>
        <w:t xml:space="preserve"> position with a contribution of </w:t>
      </w:r>
      <w:r w:rsidR="00CA2461">
        <w:rPr>
          <w:lang w:eastAsia="fr-FR"/>
        </w:rPr>
        <w:t xml:space="preserve">8.2% in 2022. </w:t>
      </w:r>
      <w:r w:rsidR="000E2BD7">
        <w:rPr>
          <w:lang w:eastAsia="fr-FR"/>
        </w:rPr>
        <w:t>11 emission sources from LULUCF represent key categories in trend assessment in 2022</w:t>
      </w:r>
      <w:r w:rsidR="00D75B6C">
        <w:rPr>
          <w:lang w:eastAsia="fr-FR"/>
        </w:rPr>
        <w:t>. In total, considering the LULUCF emissions, a total of 70 emission sources constitute</w:t>
      </w:r>
      <w:r w:rsidR="002770D3">
        <w:rPr>
          <w:lang w:eastAsia="fr-FR"/>
        </w:rPr>
        <w:t>s</w:t>
      </w:r>
      <w:r w:rsidR="00D75B6C">
        <w:rPr>
          <w:lang w:eastAsia="fr-FR"/>
        </w:rPr>
        <w:t xml:space="preserve"> the key categories in trend assessment in 2022, in the Republic of Serbia. </w:t>
      </w:r>
    </w:p>
    <w:p w14:paraId="51F11E52" w14:textId="77777777" w:rsidR="00151CCA" w:rsidRDefault="00151CCA" w:rsidP="004344A5">
      <w:pPr>
        <w:autoSpaceDE w:val="0"/>
        <w:autoSpaceDN w:val="0"/>
        <w:adjustRightInd w:val="0"/>
        <w:spacing w:after="0" w:line="240" w:lineRule="auto"/>
        <w:jc w:val="left"/>
        <w:rPr>
          <w:lang w:eastAsia="fr-FR"/>
        </w:rPr>
      </w:pPr>
    </w:p>
    <w:p w14:paraId="1C8EC7FF" w14:textId="7C2BDCBC" w:rsidR="0031637F" w:rsidRDefault="00C579F2" w:rsidP="0031637F">
      <w:pPr>
        <w:autoSpaceDE w:val="0"/>
        <w:autoSpaceDN w:val="0"/>
        <w:adjustRightInd w:val="0"/>
        <w:spacing w:after="0" w:line="240" w:lineRule="auto"/>
        <w:jc w:val="left"/>
        <w:rPr>
          <w:b/>
          <w:bCs/>
          <w:sz w:val="22"/>
          <w:lang w:eastAsia="fr-FR"/>
        </w:rPr>
      </w:pPr>
      <w:r>
        <w:rPr>
          <w:b/>
          <w:bCs/>
          <w:sz w:val="22"/>
          <w:lang w:eastAsia="fr-FR"/>
        </w:rPr>
        <w:t xml:space="preserve">ES.6. </w:t>
      </w:r>
      <w:r w:rsidR="0061664C" w:rsidRPr="0061664C">
        <w:rPr>
          <w:b/>
          <w:bCs/>
          <w:sz w:val="22"/>
          <w:lang w:eastAsia="fr-FR"/>
        </w:rPr>
        <w:t>Improvements introduced</w:t>
      </w:r>
    </w:p>
    <w:p w14:paraId="10DD3550" w14:textId="77777777" w:rsidR="0061664C" w:rsidRDefault="0061664C" w:rsidP="0031637F">
      <w:pPr>
        <w:autoSpaceDE w:val="0"/>
        <w:autoSpaceDN w:val="0"/>
        <w:adjustRightInd w:val="0"/>
        <w:spacing w:after="0" w:line="240" w:lineRule="auto"/>
        <w:jc w:val="left"/>
        <w:rPr>
          <w:b/>
          <w:bCs/>
          <w:sz w:val="22"/>
          <w:lang w:eastAsia="fr-FR"/>
        </w:rPr>
      </w:pPr>
    </w:p>
    <w:p w14:paraId="259A3349" w14:textId="12C7B869" w:rsidR="00B02AE1" w:rsidRPr="00622F40" w:rsidRDefault="002624C8" w:rsidP="00622F40">
      <w:pPr>
        <w:autoSpaceDE w:val="0"/>
        <w:autoSpaceDN w:val="0"/>
        <w:adjustRightInd w:val="0"/>
        <w:spacing w:after="0" w:line="240" w:lineRule="auto"/>
        <w:rPr>
          <w:lang w:eastAsia="fr-FR"/>
        </w:rPr>
      </w:pPr>
      <w:r w:rsidRPr="00622F40">
        <w:rPr>
          <w:lang w:eastAsia="fr-FR"/>
        </w:rPr>
        <w:t xml:space="preserve">Since the latest </w:t>
      </w:r>
      <w:r w:rsidR="00861DD8">
        <w:rPr>
          <w:lang w:eastAsia="fr-FR"/>
        </w:rPr>
        <w:t>inventory submission</w:t>
      </w:r>
      <w:r w:rsidR="009A35E0" w:rsidRPr="00622F40">
        <w:rPr>
          <w:lang w:eastAsia="fr-FR"/>
        </w:rPr>
        <w:t xml:space="preserve">, </w:t>
      </w:r>
      <w:r w:rsidR="00505CBB" w:rsidRPr="00622F40">
        <w:rPr>
          <w:lang w:eastAsia="fr-FR"/>
        </w:rPr>
        <w:t xml:space="preserve">various improvements have been </w:t>
      </w:r>
      <w:r w:rsidR="009A35E0" w:rsidRPr="00622F40">
        <w:rPr>
          <w:lang w:eastAsia="fr-FR"/>
        </w:rPr>
        <w:t>implemented</w:t>
      </w:r>
      <w:r w:rsidR="005D4211" w:rsidRPr="00622F40">
        <w:rPr>
          <w:lang w:eastAsia="fr-FR"/>
        </w:rPr>
        <w:t xml:space="preserve"> in terms of GHG </w:t>
      </w:r>
      <w:r w:rsidR="008C344F" w:rsidRPr="00622F40">
        <w:rPr>
          <w:lang w:eastAsia="fr-FR"/>
        </w:rPr>
        <w:t xml:space="preserve">emission </w:t>
      </w:r>
      <w:r w:rsidR="005D4211" w:rsidRPr="00622F40">
        <w:rPr>
          <w:lang w:eastAsia="fr-FR"/>
        </w:rPr>
        <w:t>inventory exhaustivity, completeness, accuracy</w:t>
      </w:r>
      <w:r w:rsidR="008C344F" w:rsidRPr="00622F40">
        <w:rPr>
          <w:lang w:eastAsia="fr-FR"/>
        </w:rPr>
        <w:t xml:space="preserve"> and coherence, as well as on the transparency in terms of reporting. Among them, </w:t>
      </w:r>
      <w:r w:rsidR="0065345E" w:rsidRPr="00622F40">
        <w:rPr>
          <w:lang w:eastAsia="fr-FR"/>
        </w:rPr>
        <w:t>remarkable improvements which could be mentioned</w:t>
      </w:r>
      <w:r w:rsidR="009A35E0" w:rsidRPr="00622F40">
        <w:rPr>
          <w:lang w:eastAsia="fr-FR"/>
        </w:rPr>
        <w:t xml:space="preserve">: </w:t>
      </w:r>
    </w:p>
    <w:p w14:paraId="16DC5B2C" w14:textId="77777777" w:rsidR="009A35E0" w:rsidRPr="00622F40" w:rsidRDefault="009A35E0" w:rsidP="00B02AE1">
      <w:pPr>
        <w:autoSpaceDE w:val="0"/>
        <w:autoSpaceDN w:val="0"/>
        <w:adjustRightInd w:val="0"/>
        <w:spacing w:after="0" w:line="240" w:lineRule="auto"/>
        <w:jc w:val="left"/>
        <w:rPr>
          <w:lang w:eastAsia="fr-FR"/>
        </w:rPr>
      </w:pPr>
    </w:p>
    <w:p w14:paraId="5232B24D" w14:textId="5463525E" w:rsidR="009A35E0" w:rsidRPr="00622F40" w:rsidRDefault="009A35E0" w:rsidP="00622F40">
      <w:pPr>
        <w:pStyle w:val="ListParagraph"/>
        <w:numPr>
          <w:ilvl w:val="0"/>
          <w:numId w:val="66"/>
        </w:numPr>
        <w:autoSpaceDE w:val="0"/>
        <w:autoSpaceDN w:val="0"/>
        <w:adjustRightInd w:val="0"/>
        <w:spacing w:after="0" w:line="240" w:lineRule="auto"/>
        <w:rPr>
          <w:lang w:eastAsia="fr-FR"/>
        </w:rPr>
      </w:pPr>
      <w:r w:rsidRPr="00622F40">
        <w:rPr>
          <w:lang w:eastAsia="fr-FR"/>
        </w:rPr>
        <w:t>The executive summary and Chapter 2 about trends have been added</w:t>
      </w:r>
      <w:r w:rsidR="0065345E" w:rsidRPr="00622F40">
        <w:rPr>
          <w:lang w:eastAsia="fr-FR"/>
        </w:rPr>
        <w:t xml:space="preserve"> into the NI</w:t>
      </w:r>
      <w:r w:rsidR="00575848">
        <w:rPr>
          <w:lang w:eastAsia="fr-FR"/>
        </w:rPr>
        <w:t>D</w:t>
      </w:r>
      <w:r w:rsidR="0065345E" w:rsidRPr="00622F40">
        <w:rPr>
          <w:lang w:eastAsia="fr-FR"/>
        </w:rPr>
        <w:t>,</w:t>
      </w:r>
    </w:p>
    <w:p w14:paraId="63561C57" w14:textId="35B33F53" w:rsidR="000A5D2A" w:rsidRPr="00622F40" w:rsidRDefault="000A5D2A" w:rsidP="00622F40">
      <w:pPr>
        <w:pStyle w:val="ListParagraph"/>
        <w:numPr>
          <w:ilvl w:val="0"/>
          <w:numId w:val="66"/>
        </w:numPr>
        <w:autoSpaceDE w:val="0"/>
        <w:autoSpaceDN w:val="0"/>
        <w:adjustRightInd w:val="0"/>
        <w:spacing w:after="0" w:line="240" w:lineRule="auto"/>
        <w:rPr>
          <w:lang w:eastAsia="fr-FR"/>
        </w:rPr>
      </w:pPr>
      <w:r w:rsidRPr="00622F40">
        <w:rPr>
          <w:lang w:eastAsia="fr-FR"/>
        </w:rPr>
        <w:t>The reference approach ha</w:t>
      </w:r>
      <w:r w:rsidR="00861DD8">
        <w:rPr>
          <w:lang w:eastAsia="fr-FR"/>
        </w:rPr>
        <w:t>s</w:t>
      </w:r>
      <w:r w:rsidRPr="00622F40">
        <w:rPr>
          <w:lang w:eastAsia="fr-FR"/>
        </w:rPr>
        <w:t xml:space="preserve"> been further developed and reported in the NI</w:t>
      </w:r>
      <w:r w:rsidR="00575848">
        <w:rPr>
          <w:lang w:eastAsia="fr-FR"/>
        </w:rPr>
        <w:t>D</w:t>
      </w:r>
      <w:r w:rsidRPr="00622F40">
        <w:rPr>
          <w:lang w:eastAsia="fr-FR"/>
        </w:rPr>
        <w:t>,</w:t>
      </w:r>
    </w:p>
    <w:p w14:paraId="7C1AD003" w14:textId="4E7E4697" w:rsidR="0065345E" w:rsidRPr="00622F40" w:rsidRDefault="000A5D2A" w:rsidP="00622F40">
      <w:pPr>
        <w:pStyle w:val="ListParagraph"/>
        <w:numPr>
          <w:ilvl w:val="0"/>
          <w:numId w:val="66"/>
        </w:numPr>
        <w:autoSpaceDE w:val="0"/>
        <w:autoSpaceDN w:val="0"/>
        <w:adjustRightInd w:val="0"/>
        <w:spacing w:after="0" w:line="240" w:lineRule="auto"/>
        <w:rPr>
          <w:lang w:eastAsia="fr-FR"/>
        </w:rPr>
      </w:pPr>
      <w:r w:rsidRPr="00622F40">
        <w:rPr>
          <w:lang w:eastAsia="fr-FR"/>
        </w:rPr>
        <w:t xml:space="preserve">The subsector chapters have been </w:t>
      </w:r>
      <w:r w:rsidR="005306D0" w:rsidRPr="00622F40">
        <w:rPr>
          <w:lang w:eastAsia="fr-FR"/>
        </w:rPr>
        <w:t>completed with further analysis of activity data and reporting of methodologies,</w:t>
      </w:r>
    </w:p>
    <w:p w14:paraId="7E0AB2AB" w14:textId="4CC1FB1A" w:rsidR="00E46B2E" w:rsidRDefault="008B421A">
      <w:pPr>
        <w:jc w:val="left"/>
        <w:rPr>
          <w:b/>
          <w:color w:val="698EC2"/>
          <w:sz w:val="40"/>
          <w:lang w:eastAsia="fr-FR"/>
        </w:rPr>
      </w:pPr>
      <w:r w:rsidRPr="00622F40">
        <w:rPr>
          <w:lang w:eastAsia="fr-FR"/>
        </w:rPr>
        <w:t xml:space="preserve">Some timeseries about the emission calculation have been completed, such as </w:t>
      </w:r>
      <w:r w:rsidR="007E15F0" w:rsidRPr="00622F40">
        <w:rPr>
          <w:lang w:eastAsia="fr-FR"/>
        </w:rPr>
        <w:t>for the CRT</w:t>
      </w:r>
      <w:r w:rsidR="00F87AE4" w:rsidRPr="00622F40">
        <w:rPr>
          <w:lang w:eastAsia="fr-FR"/>
        </w:rPr>
        <w:t xml:space="preserve"> 1A4ci </w:t>
      </w:r>
      <w:r w:rsidR="00B16BE5" w:rsidRPr="00622F40">
        <w:rPr>
          <w:lang w:eastAsia="fr-FR"/>
        </w:rPr>
        <w:t xml:space="preserve">(2005-2006) </w:t>
      </w:r>
      <w:r w:rsidR="00F87AE4" w:rsidRPr="00622F40">
        <w:rPr>
          <w:lang w:eastAsia="fr-FR"/>
        </w:rPr>
        <w:t xml:space="preserve">and </w:t>
      </w:r>
      <w:r w:rsidR="00B16BE5" w:rsidRPr="00622F40">
        <w:rPr>
          <w:lang w:eastAsia="fr-FR"/>
        </w:rPr>
        <w:t>1A4cii (1990-2006)</w:t>
      </w:r>
      <w:r w:rsidR="00045269" w:rsidRPr="00622F40">
        <w:rPr>
          <w:lang w:eastAsia="fr-FR"/>
        </w:rPr>
        <w:t>,</w:t>
      </w:r>
      <w:bookmarkStart w:id="10" w:name="_Toc496101013"/>
      <w:r w:rsidR="00E46B2E">
        <w:rPr>
          <w:lang w:eastAsia="fr-FR"/>
        </w:rPr>
        <w:br w:type="page"/>
      </w:r>
    </w:p>
    <w:p w14:paraId="7FBB679F" w14:textId="61B5299F" w:rsidR="00614555" w:rsidRPr="002462F0" w:rsidRDefault="00614555" w:rsidP="00614555">
      <w:pPr>
        <w:pStyle w:val="Title"/>
        <w:rPr>
          <w:lang w:eastAsia="fr-FR"/>
        </w:rPr>
      </w:pPr>
      <w:bookmarkStart w:id="11" w:name="_Toc182327698"/>
      <w:bookmarkStart w:id="12" w:name="_Toc184808142"/>
      <w:r w:rsidRPr="002462F0">
        <w:rPr>
          <w:lang w:eastAsia="fr-FR"/>
        </w:rPr>
        <w:lastRenderedPageBreak/>
        <w:t>Chapter 1: Introduction</w:t>
      </w:r>
      <w:bookmarkEnd w:id="10"/>
      <w:bookmarkEnd w:id="11"/>
      <w:bookmarkEnd w:id="12"/>
    </w:p>
    <w:p w14:paraId="53832DA8" w14:textId="77777777" w:rsidR="00CB22B5" w:rsidRPr="002462F0" w:rsidRDefault="00614555" w:rsidP="0011444B">
      <w:pPr>
        <w:pStyle w:val="Heading2"/>
        <w:rPr>
          <w:lang w:val="en-GB"/>
        </w:rPr>
      </w:pPr>
      <w:bookmarkStart w:id="13" w:name="_Toc496101014"/>
      <w:bookmarkStart w:id="14" w:name="_Toc182327699"/>
      <w:bookmarkStart w:id="15" w:name="_Toc184808143"/>
      <w:r w:rsidRPr="002462F0">
        <w:rPr>
          <w:lang w:val="en-GB"/>
        </w:rPr>
        <w:t>Background information on GHG inventories and climate</w:t>
      </w:r>
      <w:r w:rsidRPr="002462F0">
        <w:rPr>
          <w:rStyle w:val="Heading2Char"/>
          <w:b/>
          <w:lang w:val="en-GB"/>
        </w:rPr>
        <w:t xml:space="preserve"> change</w:t>
      </w:r>
      <w:bookmarkEnd w:id="13"/>
      <w:bookmarkEnd w:id="14"/>
      <w:bookmarkEnd w:id="15"/>
      <w:r w:rsidRPr="002462F0">
        <w:rPr>
          <w:lang w:val="en-GB"/>
        </w:rPr>
        <w:t xml:space="preserve"> </w:t>
      </w:r>
    </w:p>
    <w:p w14:paraId="6A7B5946" w14:textId="77777777" w:rsidR="00B7602F" w:rsidRPr="002462F0" w:rsidRDefault="00B7602F" w:rsidP="00000439">
      <w:pPr>
        <w:autoSpaceDE w:val="0"/>
        <w:autoSpaceDN w:val="0"/>
        <w:adjustRightInd w:val="0"/>
        <w:spacing w:after="0" w:line="240" w:lineRule="auto"/>
        <w:rPr>
          <w:rFonts w:cs="MyriadPro-Regular"/>
          <w:color w:val="1D1D1B"/>
          <w:szCs w:val="20"/>
          <w:lang w:val="en-US"/>
        </w:rPr>
      </w:pPr>
    </w:p>
    <w:p w14:paraId="191CCB11" w14:textId="77777777" w:rsidR="00B7602F" w:rsidRPr="002462F0" w:rsidRDefault="00B7602F" w:rsidP="00000439">
      <w:pPr>
        <w:autoSpaceDE w:val="0"/>
        <w:autoSpaceDN w:val="0"/>
        <w:adjustRightInd w:val="0"/>
        <w:spacing w:after="0" w:line="240" w:lineRule="auto"/>
        <w:rPr>
          <w:rFonts w:cs="MyriadPro-Regular"/>
          <w:i/>
          <w:color w:val="1D1D1B"/>
          <w:szCs w:val="20"/>
          <w:lang w:val="en-US"/>
        </w:rPr>
      </w:pPr>
      <w:r w:rsidRPr="002462F0">
        <w:rPr>
          <w:rFonts w:cs="MyriadPro-Regular"/>
          <w:i/>
          <w:color w:val="1D1D1B"/>
          <w:szCs w:val="20"/>
          <w:lang w:val="en-US"/>
        </w:rPr>
        <w:t>General framework</w:t>
      </w:r>
    </w:p>
    <w:p w14:paraId="00A70F97" w14:textId="77777777" w:rsidR="00B7602F" w:rsidRPr="002462F0" w:rsidRDefault="00B7602F" w:rsidP="00000439">
      <w:pPr>
        <w:autoSpaceDE w:val="0"/>
        <w:autoSpaceDN w:val="0"/>
        <w:adjustRightInd w:val="0"/>
        <w:spacing w:after="0" w:line="240" w:lineRule="auto"/>
        <w:rPr>
          <w:rFonts w:cs="MyriadPro-Regular"/>
          <w:color w:val="1D1D1B"/>
          <w:szCs w:val="20"/>
          <w:lang w:val="en-US"/>
        </w:rPr>
      </w:pPr>
    </w:p>
    <w:p w14:paraId="240DC11D" w14:textId="77777777" w:rsidR="00000439" w:rsidRPr="002462F0" w:rsidRDefault="00000439" w:rsidP="00000439">
      <w:pPr>
        <w:autoSpaceDE w:val="0"/>
        <w:autoSpaceDN w:val="0"/>
        <w:adjustRightInd w:val="0"/>
        <w:spacing w:after="0" w:line="240" w:lineRule="auto"/>
        <w:rPr>
          <w:rFonts w:cs="MyriadPro-Regular"/>
          <w:color w:val="1D1D1B"/>
          <w:szCs w:val="20"/>
          <w:lang w:val="en-US"/>
        </w:rPr>
      </w:pPr>
      <w:r w:rsidRPr="002462F0">
        <w:rPr>
          <w:rFonts w:cs="MyriadPro-Regular"/>
          <w:color w:val="1D1D1B"/>
          <w:szCs w:val="20"/>
          <w:lang w:val="en-US"/>
        </w:rPr>
        <w:t>The United Nations Framework Convention on Climate Change (hereinafter: the Convention – UNFCCC) was adopted and signed at the Earth Summit in Rio de Janeiro, Brazil, in June 1992. The Convention entered into force in March 1994. The Kyoto Protocol (hereinafter: the Protocol) to the Convention, was adopted at the third session of the Conference of the Parties, held in December 1997 in Kyoto, Japan.</w:t>
      </w:r>
    </w:p>
    <w:p w14:paraId="3EB64449" w14:textId="77777777" w:rsidR="00B7602F" w:rsidRPr="002462F0" w:rsidRDefault="00B7602F" w:rsidP="00000439">
      <w:pPr>
        <w:autoSpaceDE w:val="0"/>
        <w:autoSpaceDN w:val="0"/>
        <w:adjustRightInd w:val="0"/>
        <w:spacing w:after="0" w:line="240" w:lineRule="auto"/>
        <w:rPr>
          <w:rFonts w:cs="MyriadPro-Regular"/>
          <w:color w:val="1D1D1B"/>
          <w:szCs w:val="20"/>
          <w:lang w:val="en-US"/>
        </w:rPr>
      </w:pPr>
    </w:p>
    <w:p w14:paraId="71668630" w14:textId="128D2BE9" w:rsidR="00C017EF" w:rsidRPr="002462F0" w:rsidRDefault="00C017EF" w:rsidP="00C017EF">
      <w:pPr>
        <w:autoSpaceDE w:val="0"/>
        <w:autoSpaceDN w:val="0"/>
        <w:adjustRightInd w:val="0"/>
        <w:spacing w:after="0" w:line="240" w:lineRule="auto"/>
        <w:rPr>
          <w:lang w:val="en-US"/>
        </w:rPr>
      </w:pPr>
      <w:r w:rsidRPr="002462F0">
        <w:rPr>
          <w:rFonts w:cs="MyriadPro-Regular"/>
          <w:color w:val="1D1D1B"/>
          <w:szCs w:val="20"/>
          <w:lang w:val="en-US"/>
        </w:rPr>
        <w:t xml:space="preserve">The Republic of Serbia has been part of the United Nations Framework Convention on Climate Change (UNFCCC) (Convention) since 2001 and the Kyoto Protocol (hereinafter: Protocol) since 2008 as a developing country (non-Annex I country). The Ministry of </w:t>
      </w:r>
      <w:r w:rsidR="00A51E18">
        <w:rPr>
          <w:rFonts w:cs="MyriadPro-Regular"/>
          <w:color w:val="1D1D1B"/>
          <w:szCs w:val="20"/>
          <w:lang w:val="en-US"/>
        </w:rPr>
        <w:t>Environmental Protection (M</w:t>
      </w:r>
      <w:r w:rsidRPr="002462F0">
        <w:rPr>
          <w:rFonts w:cs="MyriadPro-Regular"/>
          <w:color w:val="1D1D1B"/>
          <w:szCs w:val="20"/>
          <w:lang w:val="en-US"/>
        </w:rPr>
        <w:t xml:space="preserve">EP) is </w:t>
      </w:r>
      <w:r>
        <w:rPr>
          <w:rFonts w:cs="MyriadPro-Regular"/>
          <w:color w:val="1D1D1B"/>
          <w:szCs w:val="20"/>
          <w:lang w:val="en-US"/>
        </w:rPr>
        <w:t>the N</w:t>
      </w:r>
      <w:r w:rsidRPr="002462F0">
        <w:rPr>
          <w:rFonts w:cs="MyriadPro-Regular"/>
          <w:color w:val="1D1D1B"/>
          <w:szCs w:val="20"/>
          <w:lang w:val="en-US"/>
        </w:rPr>
        <w:t xml:space="preserve">ational </w:t>
      </w:r>
      <w:r>
        <w:rPr>
          <w:rFonts w:cs="MyriadPro-Regular"/>
          <w:color w:val="1D1D1B"/>
          <w:szCs w:val="20"/>
          <w:lang w:val="en-US"/>
        </w:rPr>
        <w:t>F</w:t>
      </w:r>
      <w:r w:rsidRPr="002462F0">
        <w:rPr>
          <w:rFonts w:cs="MyriadPro-Regular"/>
          <w:color w:val="1D1D1B"/>
          <w:szCs w:val="20"/>
          <w:lang w:val="en-US"/>
        </w:rPr>
        <w:t xml:space="preserve">ocal </w:t>
      </w:r>
      <w:r>
        <w:rPr>
          <w:rFonts w:cs="MyriadPro-Regular"/>
          <w:color w:val="1D1D1B"/>
          <w:szCs w:val="20"/>
          <w:lang w:val="en-US"/>
        </w:rPr>
        <w:t>P</w:t>
      </w:r>
      <w:r w:rsidRPr="002462F0">
        <w:rPr>
          <w:rFonts w:cs="MyriadPro-Regular"/>
          <w:color w:val="1D1D1B"/>
          <w:szCs w:val="20"/>
          <w:lang w:val="en-US"/>
        </w:rPr>
        <w:t xml:space="preserve">oint for the implementation of the Convention and the Protocol. </w:t>
      </w:r>
      <w:r w:rsidRPr="002462F0">
        <w:rPr>
          <w:lang w:val="en-US"/>
        </w:rPr>
        <w:t>The Republic of Serbia, as a non–Annex I state member of the Convention, in line with its capabilities and principles of sustainable development, endeavors to contribute to the fulfilment of the primary goals of the Convention.</w:t>
      </w:r>
    </w:p>
    <w:p w14:paraId="0536C38C" w14:textId="77777777" w:rsidR="00C017EF" w:rsidRPr="002462F0" w:rsidRDefault="00C017EF" w:rsidP="00C017EF">
      <w:pPr>
        <w:autoSpaceDE w:val="0"/>
        <w:autoSpaceDN w:val="0"/>
        <w:adjustRightInd w:val="0"/>
        <w:spacing w:after="0" w:line="240" w:lineRule="auto"/>
        <w:rPr>
          <w:lang w:val="en-US"/>
        </w:rPr>
      </w:pPr>
    </w:p>
    <w:p w14:paraId="773D1BA3" w14:textId="04932C60" w:rsidR="00B7602F" w:rsidRDefault="00713B1B" w:rsidP="00000439">
      <w:pPr>
        <w:autoSpaceDE w:val="0"/>
        <w:autoSpaceDN w:val="0"/>
        <w:adjustRightInd w:val="0"/>
        <w:spacing w:after="0" w:line="240" w:lineRule="auto"/>
        <w:rPr>
          <w:lang w:val="en-US"/>
        </w:rPr>
      </w:pPr>
      <w:r w:rsidRPr="00713B1B">
        <w:rPr>
          <w:lang w:val="en-US"/>
        </w:rPr>
        <w:t>The Republic of Serbia harmonized national legislation with the EU legislation framework in the field of climate change and is continuing with the process of further alignment. This process will also contribute to the improvement of fulfilling the obligations of the Republic of Serbia under the UNFCCC and Paris Agreement, aiming at increasing its capacity to be able to fulfil the Annex I Party reporting requirements. As a result of this process, institutional and legislative structure for monitoring, reporting and verification of GHG emissions from stationary installations – as a prerequisite for EU Emission Trading System, as well as information relevant to climate change was established. Within this structure Serbian Environmental Protection Agency took an important role of technical assessment of Monitoring Plans from stationary installations.</w:t>
      </w:r>
    </w:p>
    <w:p w14:paraId="26B89A70" w14:textId="416542EB" w:rsidR="005B7634" w:rsidRDefault="005B7634" w:rsidP="005B7634">
      <w:pPr>
        <w:autoSpaceDE w:val="0"/>
        <w:autoSpaceDN w:val="0"/>
        <w:adjustRightInd w:val="0"/>
        <w:spacing w:after="0" w:line="240" w:lineRule="auto"/>
        <w:rPr>
          <w:lang w:val="en-US"/>
        </w:rPr>
      </w:pPr>
      <w:r w:rsidRPr="005B7634">
        <w:rPr>
          <w:lang w:val="en-US"/>
        </w:rPr>
        <w:t>The Republic of Serbia has updated National Determined Contribution (NDC), in accordance with the Articles 3 and 4 of the Paris Agreement and paragraphs 22 and 24 of Decision 1 CP/21</w:t>
      </w:r>
      <w:r w:rsidR="001B1937">
        <w:rPr>
          <w:lang w:val="en-US"/>
        </w:rPr>
        <w:t>. This led to i</w:t>
      </w:r>
      <w:r w:rsidRPr="005B7634">
        <w:rPr>
          <w:lang w:val="en-US"/>
        </w:rPr>
        <w:t>ncreasing its ambition to the GHG emission reduction by 13.2% compared to 2010 level (i.e. 33</w:t>
      </w:r>
      <w:r w:rsidR="00087B9D">
        <w:rPr>
          <w:lang w:val="en-US"/>
        </w:rPr>
        <w:t>.</w:t>
      </w:r>
      <w:r w:rsidRPr="005B7634">
        <w:rPr>
          <w:lang w:val="en-US"/>
        </w:rPr>
        <w:t>3% compared to 1990) by 2030</w:t>
      </w:r>
      <w:r w:rsidR="00D3490F">
        <w:rPr>
          <w:lang w:val="en-US"/>
        </w:rPr>
        <w:t>.</w:t>
      </w:r>
    </w:p>
    <w:p w14:paraId="7247B3BD" w14:textId="77777777" w:rsidR="00FB46E1" w:rsidRPr="002462F0" w:rsidRDefault="00FB46E1" w:rsidP="00000439">
      <w:pPr>
        <w:autoSpaceDE w:val="0"/>
        <w:autoSpaceDN w:val="0"/>
        <w:adjustRightInd w:val="0"/>
        <w:spacing w:after="0" w:line="240" w:lineRule="auto"/>
        <w:rPr>
          <w:lang w:val="en-US"/>
        </w:rPr>
      </w:pPr>
    </w:p>
    <w:p w14:paraId="7E5A3DC3" w14:textId="77777777" w:rsidR="00B7602F" w:rsidRPr="002462F0" w:rsidRDefault="00B7602F" w:rsidP="00B7602F">
      <w:pPr>
        <w:autoSpaceDE w:val="0"/>
        <w:autoSpaceDN w:val="0"/>
        <w:adjustRightInd w:val="0"/>
        <w:spacing w:after="0" w:line="240" w:lineRule="auto"/>
        <w:jc w:val="left"/>
        <w:rPr>
          <w:i/>
          <w:lang w:val="en-US"/>
        </w:rPr>
      </w:pPr>
      <w:r w:rsidRPr="002462F0">
        <w:rPr>
          <w:i/>
          <w:lang w:val="en-US"/>
        </w:rPr>
        <w:t>National GHG inventories</w:t>
      </w:r>
    </w:p>
    <w:p w14:paraId="6700644A" w14:textId="77777777" w:rsidR="006E6C45" w:rsidRPr="002462F0" w:rsidRDefault="006E6C45" w:rsidP="00B7602F">
      <w:pPr>
        <w:autoSpaceDE w:val="0"/>
        <w:autoSpaceDN w:val="0"/>
        <w:adjustRightInd w:val="0"/>
        <w:spacing w:after="0" w:line="240" w:lineRule="auto"/>
        <w:jc w:val="left"/>
        <w:rPr>
          <w:lang w:val="en-US"/>
        </w:rPr>
      </w:pPr>
    </w:p>
    <w:p w14:paraId="15144DDE" w14:textId="77777777" w:rsidR="006E6C45" w:rsidRPr="002462F0" w:rsidRDefault="006E6C45" w:rsidP="006E6C45">
      <w:pPr>
        <w:autoSpaceDE w:val="0"/>
        <w:autoSpaceDN w:val="0"/>
        <w:adjustRightInd w:val="0"/>
        <w:spacing w:after="0" w:line="240" w:lineRule="auto"/>
        <w:rPr>
          <w:lang w:val="en-US"/>
        </w:rPr>
      </w:pPr>
      <w:r w:rsidRPr="002462F0">
        <w:rPr>
          <w:lang w:val="en-US"/>
        </w:rPr>
        <w:t xml:space="preserve">In the framework of the Convention, the annual </w:t>
      </w:r>
      <w:r w:rsidR="004A0283" w:rsidRPr="002462F0">
        <w:rPr>
          <w:lang w:val="en-US"/>
        </w:rPr>
        <w:t>greenhouse gases (</w:t>
      </w:r>
      <w:r w:rsidR="004A0283" w:rsidRPr="002462F0">
        <w:rPr>
          <w:rFonts w:cs="MyriadPro-Regular"/>
          <w:color w:val="1D1D1B"/>
          <w:szCs w:val="20"/>
          <w:lang w:val="en-US"/>
        </w:rPr>
        <w:t xml:space="preserve">hereinafter: </w:t>
      </w:r>
      <w:r w:rsidRPr="002462F0">
        <w:rPr>
          <w:lang w:val="en-US"/>
        </w:rPr>
        <w:t>GHG</w:t>
      </w:r>
      <w:r w:rsidR="004A0283" w:rsidRPr="002462F0">
        <w:rPr>
          <w:lang w:val="en-US"/>
        </w:rPr>
        <w:t>)</w:t>
      </w:r>
      <w:r w:rsidRPr="002462F0">
        <w:rPr>
          <w:lang w:val="en-US"/>
        </w:rPr>
        <w:t xml:space="preserve"> inventory should be transparent, consistent, comparable, complete and accurate.</w:t>
      </w:r>
    </w:p>
    <w:p w14:paraId="46FBEF1A" w14:textId="77777777" w:rsidR="006E6C45" w:rsidRPr="002462F0" w:rsidRDefault="006E6C45" w:rsidP="006E6C45">
      <w:pPr>
        <w:autoSpaceDE w:val="0"/>
        <w:autoSpaceDN w:val="0"/>
        <w:adjustRightInd w:val="0"/>
        <w:spacing w:after="0" w:line="240" w:lineRule="auto"/>
        <w:rPr>
          <w:lang w:val="en-US"/>
        </w:rPr>
      </w:pPr>
    </w:p>
    <w:p w14:paraId="4A108DCA" w14:textId="09C674D3" w:rsidR="006E6C45" w:rsidRPr="002462F0" w:rsidRDefault="006E6C45" w:rsidP="00B1419E">
      <w:pPr>
        <w:pStyle w:val="ListParagraph"/>
        <w:numPr>
          <w:ilvl w:val="0"/>
          <w:numId w:val="21"/>
        </w:numPr>
        <w:autoSpaceDE w:val="0"/>
        <w:autoSpaceDN w:val="0"/>
        <w:adjustRightInd w:val="0"/>
        <w:spacing w:after="0" w:line="240" w:lineRule="auto"/>
        <w:rPr>
          <w:lang w:val="en-US"/>
        </w:rPr>
      </w:pPr>
      <w:r w:rsidRPr="002462F0">
        <w:rPr>
          <w:i/>
          <w:iCs/>
          <w:lang w:val="en-US"/>
        </w:rPr>
        <w:t xml:space="preserve">Transparency </w:t>
      </w:r>
      <w:r w:rsidRPr="002462F0">
        <w:rPr>
          <w:lang w:val="en-US"/>
        </w:rPr>
        <w:t>means that the data sources, assumptions and methodologies used for an inventory should be clearly explained, in order to facilitate the replication and assessment of the inventory by users of the reported information. The transparency of inventories is fundamental to the success of the process for the communication and consideration of the information. The use of the common reporting format (</w:t>
      </w:r>
      <w:r w:rsidR="000F6001">
        <w:rPr>
          <w:lang w:val="en-US"/>
        </w:rPr>
        <w:t>CRT</w:t>
      </w:r>
      <w:r w:rsidRPr="002462F0">
        <w:rPr>
          <w:lang w:val="en-US"/>
        </w:rPr>
        <w:t>) tables and the preparation of a structured national inventory report (</w:t>
      </w:r>
      <w:r w:rsidR="000F6001">
        <w:rPr>
          <w:lang w:val="en-US"/>
        </w:rPr>
        <w:t>NID</w:t>
      </w:r>
      <w:r w:rsidRPr="002462F0">
        <w:rPr>
          <w:lang w:val="en-US"/>
        </w:rPr>
        <w:t xml:space="preserve">) contribute to the transparency of the information and facilitate national and international reviews; </w:t>
      </w:r>
    </w:p>
    <w:p w14:paraId="781C53F3" w14:textId="77777777" w:rsidR="006E6C45" w:rsidRPr="002462F0" w:rsidRDefault="006E6C45" w:rsidP="006E6C45">
      <w:pPr>
        <w:pStyle w:val="ListParagraph"/>
        <w:autoSpaceDE w:val="0"/>
        <w:autoSpaceDN w:val="0"/>
        <w:adjustRightInd w:val="0"/>
        <w:spacing w:after="0" w:line="240" w:lineRule="auto"/>
        <w:ind w:left="360"/>
        <w:rPr>
          <w:lang w:val="en-US"/>
        </w:rPr>
      </w:pPr>
    </w:p>
    <w:p w14:paraId="71CD7BBF" w14:textId="77777777" w:rsidR="006E6C45" w:rsidRPr="002462F0" w:rsidRDefault="006E6C45" w:rsidP="00B1419E">
      <w:pPr>
        <w:pStyle w:val="ListParagraph"/>
        <w:numPr>
          <w:ilvl w:val="0"/>
          <w:numId w:val="21"/>
        </w:numPr>
        <w:autoSpaceDE w:val="0"/>
        <w:autoSpaceDN w:val="0"/>
        <w:adjustRightInd w:val="0"/>
        <w:spacing w:after="0" w:line="240" w:lineRule="auto"/>
        <w:rPr>
          <w:lang w:val="en-US"/>
        </w:rPr>
      </w:pPr>
      <w:r w:rsidRPr="002462F0">
        <w:rPr>
          <w:i/>
          <w:iCs/>
          <w:lang w:val="en-US"/>
        </w:rPr>
        <w:t xml:space="preserve">Consistency </w:t>
      </w:r>
      <w:r w:rsidRPr="002462F0">
        <w:rPr>
          <w:lang w:val="en-US"/>
        </w:rPr>
        <w:t xml:space="preserve">means that an annual GHG inventory should be internally consistent for all reported years in all its elements across sectors, categories and gases. An inventory is consistent if the same methodologies are used for the base and all subsequent years and if consistent data sets are used to estimate emissions or removals from sources or sinks. An inventory using different methodologies for different years can be considered to be consistent if it has been recalculated in a transparent manner, in accordance with the </w:t>
      </w:r>
      <w:r w:rsidRPr="002462F0">
        <w:rPr>
          <w:i/>
          <w:iCs/>
          <w:lang w:val="en-US"/>
        </w:rPr>
        <w:t xml:space="preserve">2006 IPCC Guidelines for National Greenhouse Gas Inventories </w:t>
      </w:r>
      <w:r w:rsidRPr="002462F0">
        <w:rPr>
          <w:lang w:val="en-US"/>
        </w:rPr>
        <w:t xml:space="preserve">(hereinafter referred to as the 2006 IPCC Guidelines); </w:t>
      </w:r>
    </w:p>
    <w:p w14:paraId="731152EF" w14:textId="77777777" w:rsidR="006E6C45" w:rsidRPr="002462F0" w:rsidRDefault="006E6C45" w:rsidP="006E6C45">
      <w:pPr>
        <w:pStyle w:val="ListParagraph"/>
        <w:rPr>
          <w:i/>
          <w:iCs/>
          <w:lang w:val="en-US"/>
        </w:rPr>
      </w:pPr>
    </w:p>
    <w:p w14:paraId="7AA78119" w14:textId="1D7C6798" w:rsidR="006E6C45" w:rsidRPr="002462F0" w:rsidRDefault="006E6C45" w:rsidP="00B1419E">
      <w:pPr>
        <w:pStyle w:val="ListParagraph"/>
        <w:numPr>
          <w:ilvl w:val="0"/>
          <w:numId w:val="21"/>
        </w:numPr>
        <w:autoSpaceDE w:val="0"/>
        <w:autoSpaceDN w:val="0"/>
        <w:adjustRightInd w:val="0"/>
        <w:spacing w:after="0" w:line="240" w:lineRule="auto"/>
        <w:rPr>
          <w:lang w:val="en-US"/>
        </w:rPr>
      </w:pPr>
      <w:r w:rsidRPr="002462F0">
        <w:rPr>
          <w:i/>
          <w:iCs/>
          <w:lang w:val="en-US"/>
        </w:rPr>
        <w:t xml:space="preserve">Comparability </w:t>
      </w:r>
      <w:r w:rsidRPr="002462F0">
        <w:rPr>
          <w:lang w:val="en-US"/>
        </w:rPr>
        <w:t xml:space="preserve">means that estimates of emissions and removals reported by Annex I Parties in their inventories should be comparable among Annex I Parties. For that purpose, Annex I Parties should use the methodologies and formats agreed by the COP for making estimations and reporting their inventories. The </w:t>
      </w:r>
      <w:r w:rsidRPr="002462F0">
        <w:rPr>
          <w:lang w:val="en-US"/>
        </w:rPr>
        <w:lastRenderedPageBreak/>
        <w:t xml:space="preserve">allocation of different source/sink categories should follow the </w:t>
      </w:r>
      <w:r w:rsidR="000F6001">
        <w:rPr>
          <w:lang w:val="en-US"/>
        </w:rPr>
        <w:t>CRT</w:t>
      </w:r>
      <w:r w:rsidRPr="002462F0">
        <w:rPr>
          <w:lang w:val="en-US"/>
        </w:rPr>
        <w:t xml:space="preserve"> tables provided in annex II to decision 24/CP.19 at the level of the summary and sectoral tables;</w:t>
      </w:r>
    </w:p>
    <w:p w14:paraId="07109A0A" w14:textId="77777777" w:rsidR="006E6C45" w:rsidRPr="002462F0" w:rsidRDefault="006E6C45" w:rsidP="006E6C45">
      <w:pPr>
        <w:pStyle w:val="ListParagraph"/>
        <w:rPr>
          <w:lang w:val="en-US"/>
        </w:rPr>
      </w:pPr>
    </w:p>
    <w:p w14:paraId="22F23226" w14:textId="489EFAC0" w:rsidR="006E6C45" w:rsidRPr="002462F0" w:rsidRDefault="006E6C45" w:rsidP="00B1419E">
      <w:pPr>
        <w:pStyle w:val="ListParagraph"/>
        <w:numPr>
          <w:ilvl w:val="0"/>
          <w:numId w:val="21"/>
        </w:numPr>
        <w:autoSpaceDE w:val="0"/>
        <w:autoSpaceDN w:val="0"/>
        <w:adjustRightInd w:val="0"/>
        <w:spacing w:after="0" w:line="240" w:lineRule="auto"/>
        <w:rPr>
          <w:lang w:val="en-US"/>
        </w:rPr>
      </w:pPr>
      <w:r w:rsidRPr="002462F0">
        <w:rPr>
          <w:i/>
          <w:iCs/>
          <w:lang w:val="en-US"/>
        </w:rPr>
        <w:t xml:space="preserve">Completeness </w:t>
      </w:r>
      <w:r w:rsidRPr="002462F0">
        <w:rPr>
          <w:lang w:val="en-US"/>
        </w:rPr>
        <w:t>means that an annual GHG inventory covers at least all sources and sinks, as well as all gases, for which methodologies are provided in the 2006 IPCC Guidelines or for which supplementary methodologies have been agreed by the COP. Completeness also means the full geographical coverage of the sources and sinks of an Annex I Party;</w:t>
      </w:r>
    </w:p>
    <w:p w14:paraId="407A9E57" w14:textId="77777777" w:rsidR="006E6C45" w:rsidRPr="002462F0" w:rsidRDefault="006E6C45" w:rsidP="006E6C45">
      <w:pPr>
        <w:pStyle w:val="ListParagraph"/>
        <w:rPr>
          <w:lang w:val="en-US"/>
        </w:rPr>
      </w:pPr>
    </w:p>
    <w:p w14:paraId="3B1954D6" w14:textId="77777777" w:rsidR="006E6C45" w:rsidRPr="002462F0" w:rsidRDefault="006E6C45" w:rsidP="00B1419E">
      <w:pPr>
        <w:pStyle w:val="ListParagraph"/>
        <w:numPr>
          <w:ilvl w:val="0"/>
          <w:numId w:val="21"/>
        </w:numPr>
        <w:autoSpaceDE w:val="0"/>
        <w:autoSpaceDN w:val="0"/>
        <w:adjustRightInd w:val="0"/>
        <w:spacing w:after="0" w:line="240" w:lineRule="auto"/>
        <w:rPr>
          <w:lang w:val="en-US"/>
        </w:rPr>
      </w:pPr>
      <w:r w:rsidRPr="002462F0">
        <w:rPr>
          <w:i/>
          <w:iCs/>
          <w:lang w:val="en-US"/>
        </w:rPr>
        <w:t xml:space="preserve">Accuracy </w:t>
      </w:r>
      <w:r w:rsidRPr="002462F0">
        <w:rPr>
          <w:lang w:val="en-US"/>
        </w:rPr>
        <w:t>means that emission and removal estimates should be accurate in the sense that they are systematically neither over nor under true emissions or removals, as far as can be judged, and that uncertainties are reduced as far as practicable. Appropriate methodologies should be used, in accordance with the 2006 IPCC Guidelines, to promote accuracy in inventories.</w:t>
      </w:r>
    </w:p>
    <w:p w14:paraId="55D8586D" w14:textId="77777777" w:rsidR="00B7602F" w:rsidRPr="002462F0" w:rsidRDefault="00B7602F" w:rsidP="006E6C45">
      <w:pPr>
        <w:autoSpaceDE w:val="0"/>
        <w:autoSpaceDN w:val="0"/>
        <w:adjustRightInd w:val="0"/>
        <w:spacing w:after="0" w:line="240" w:lineRule="auto"/>
        <w:rPr>
          <w:lang w:val="en-US"/>
        </w:rPr>
      </w:pPr>
    </w:p>
    <w:p w14:paraId="67C540C3" w14:textId="77777777" w:rsidR="00963D60" w:rsidRPr="002462F0" w:rsidRDefault="00963D60" w:rsidP="006E6C45">
      <w:pPr>
        <w:autoSpaceDE w:val="0"/>
        <w:autoSpaceDN w:val="0"/>
        <w:adjustRightInd w:val="0"/>
        <w:spacing w:after="0" w:line="240" w:lineRule="auto"/>
        <w:rPr>
          <w:lang w:val="en-US"/>
        </w:rPr>
      </w:pPr>
      <w:r w:rsidRPr="002462F0">
        <w:rPr>
          <w:lang w:val="en-US"/>
        </w:rPr>
        <w:t xml:space="preserve">Under the Convention, the annual GHG emission inventory </w:t>
      </w:r>
      <w:r w:rsidR="004A0283" w:rsidRPr="002462F0">
        <w:rPr>
          <w:lang w:val="en-US"/>
        </w:rPr>
        <w:t>covers:</w:t>
      </w:r>
    </w:p>
    <w:p w14:paraId="155259A6" w14:textId="77777777" w:rsidR="004B5431" w:rsidRPr="002462F0" w:rsidRDefault="004B5431" w:rsidP="006E6C45">
      <w:pPr>
        <w:autoSpaceDE w:val="0"/>
        <w:autoSpaceDN w:val="0"/>
        <w:adjustRightInd w:val="0"/>
        <w:spacing w:after="0" w:line="240" w:lineRule="auto"/>
        <w:rPr>
          <w:lang w:val="en-US"/>
        </w:rPr>
      </w:pPr>
    </w:p>
    <w:p w14:paraId="134602DC" w14:textId="0F438AE9" w:rsidR="00963D60" w:rsidRPr="002462F0" w:rsidRDefault="004A0283" w:rsidP="00B1419E">
      <w:pPr>
        <w:pStyle w:val="ListParagraph"/>
        <w:numPr>
          <w:ilvl w:val="0"/>
          <w:numId w:val="22"/>
        </w:numPr>
        <w:autoSpaceDE w:val="0"/>
        <w:autoSpaceDN w:val="0"/>
        <w:adjustRightInd w:val="0"/>
        <w:spacing w:after="0" w:line="240" w:lineRule="auto"/>
        <w:rPr>
          <w:lang w:val="en-US"/>
        </w:rPr>
      </w:pPr>
      <w:r w:rsidRPr="002462F0">
        <w:rPr>
          <w:lang w:val="en-US"/>
        </w:rPr>
        <w:t>The period 1990-20</w:t>
      </w:r>
      <w:r w:rsidR="00214521">
        <w:rPr>
          <w:lang w:val="en-US"/>
        </w:rPr>
        <w:t>2022</w:t>
      </w:r>
      <w:r w:rsidRPr="002462F0">
        <w:rPr>
          <w:lang w:val="en-US"/>
        </w:rPr>
        <w:t>. Th</w:t>
      </w:r>
      <w:r w:rsidR="00963D60" w:rsidRPr="002462F0">
        <w:rPr>
          <w:lang w:val="en-US"/>
        </w:rPr>
        <w:t>e year 1990 should be the base year for the estimation and reporting of inventories.</w:t>
      </w:r>
    </w:p>
    <w:p w14:paraId="7FE86552" w14:textId="55734C84" w:rsidR="004A0283" w:rsidRPr="002462F0" w:rsidRDefault="004A0283" w:rsidP="00B1419E">
      <w:pPr>
        <w:pStyle w:val="ListParagraph"/>
        <w:numPr>
          <w:ilvl w:val="0"/>
          <w:numId w:val="22"/>
        </w:numPr>
        <w:autoSpaceDE w:val="0"/>
        <w:autoSpaceDN w:val="0"/>
        <w:adjustRightInd w:val="0"/>
        <w:spacing w:after="0" w:line="240" w:lineRule="auto"/>
        <w:rPr>
          <w:lang w:val="en-US"/>
        </w:rPr>
      </w:pPr>
      <w:r w:rsidRPr="002462F0">
        <w:rPr>
          <w:lang w:val="en-US"/>
        </w:rPr>
        <w:t xml:space="preserve">Seven direct GHG: </w:t>
      </w:r>
      <w:r w:rsidR="00A93EA4" w:rsidRPr="002462F0">
        <w:rPr>
          <w:lang w:val="en-US"/>
        </w:rPr>
        <w:t>carbon dioxide (</w:t>
      </w:r>
      <w:r w:rsidRPr="002462F0">
        <w:rPr>
          <w:lang w:val="en-US"/>
        </w:rPr>
        <w:t>CO</w:t>
      </w:r>
      <w:r w:rsidRPr="002462F0">
        <w:rPr>
          <w:vertAlign w:val="subscript"/>
          <w:lang w:val="en-US"/>
        </w:rPr>
        <w:t>2</w:t>
      </w:r>
      <w:r w:rsidR="00A93EA4" w:rsidRPr="002462F0">
        <w:rPr>
          <w:lang w:val="en-US"/>
        </w:rPr>
        <w:t>)</w:t>
      </w:r>
      <w:r w:rsidRPr="002462F0">
        <w:rPr>
          <w:lang w:val="en-US"/>
        </w:rPr>
        <w:t xml:space="preserve">, </w:t>
      </w:r>
      <w:r w:rsidR="00A93EA4" w:rsidRPr="002462F0">
        <w:rPr>
          <w:lang w:val="en-US"/>
        </w:rPr>
        <w:t>methane (</w:t>
      </w:r>
      <w:r w:rsidRPr="002462F0">
        <w:rPr>
          <w:lang w:val="en-US"/>
        </w:rPr>
        <w:t>CH</w:t>
      </w:r>
      <w:r w:rsidRPr="002462F0">
        <w:rPr>
          <w:vertAlign w:val="subscript"/>
          <w:lang w:val="en-US"/>
        </w:rPr>
        <w:t>4</w:t>
      </w:r>
      <w:r w:rsidR="00A93EA4" w:rsidRPr="002462F0">
        <w:rPr>
          <w:lang w:val="en-US"/>
        </w:rPr>
        <w:t>)</w:t>
      </w:r>
      <w:r w:rsidRPr="002462F0">
        <w:rPr>
          <w:lang w:val="en-US"/>
        </w:rPr>
        <w:t xml:space="preserve">, </w:t>
      </w:r>
      <w:r w:rsidR="00A93EA4" w:rsidRPr="002462F0">
        <w:rPr>
          <w:lang w:val="en-US"/>
        </w:rPr>
        <w:t>nitrous oxide (</w:t>
      </w:r>
      <w:r w:rsidRPr="002462F0">
        <w:rPr>
          <w:lang w:val="en-US"/>
        </w:rPr>
        <w:t>N</w:t>
      </w:r>
      <w:r w:rsidRPr="002462F0">
        <w:rPr>
          <w:vertAlign w:val="subscript"/>
          <w:lang w:val="en-US"/>
        </w:rPr>
        <w:t>2</w:t>
      </w:r>
      <w:r w:rsidRPr="002462F0">
        <w:rPr>
          <w:lang w:val="en-US"/>
        </w:rPr>
        <w:t>O</w:t>
      </w:r>
      <w:r w:rsidR="00A93EA4" w:rsidRPr="002462F0">
        <w:rPr>
          <w:lang w:val="en-US"/>
        </w:rPr>
        <w:t>)</w:t>
      </w:r>
      <w:r w:rsidRPr="002462F0">
        <w:rPr>
          <w:lang w:val="en-US"/>
        </w:rPr>
        <w:t xml:space="preserve">, </w:t>
      </w:r>
      <w:r w:rsidR="00A93EA4" w:rsidRPr="002462F0">
        <w:rPr>
          <w:lang w:val="en-US"/>
        </w:rPr>
        <w:t>halogenated carbons (</w:t>
      </w:r>
      <w:r w:rsidRPr="002462F0">
        <w:rPr>
          <w:lang w:val="en-US"/>
        </w:rPr>
        <w:t>HFC, PFC</w:t>
      </w:r>
      <w:r w:rsidR="00A93EA4" w:rsidRPr="002462F0">
        <w:rPr>
          <w:lang w:val="en-US"/>
        </w:rPr>
        <w:t>)</w:t>
      </w:r>
      <w:r w:rsidRPr="002462F0">
        <w:rPr>
          <w:lang w:val="en-US"/>
        </w:rPr>
        <w:t xml:space="preserve">, </w:t>
      </w:r>
      <w:r w:rsidR="00A93EA4" w:rsidRPr="002462F0">
        <w:rPr>
          <w:lang w:val="en-US"/>
        </w:rPr>
        <w:t>sulfur hexafluoride (</w:t>
      </w:r>
      <w:r w:rsidRPr="002462F0">
        <w:rPr>
          <w:lang w:val="en-US"/>
        </w:rPr>
        <w:t>SF</w:t>
      </w:r>
      <w:r w:rsidRPr="002462F0">
        <w:rPr>
          <w:vertAlign w:val="subscript"/>
          <w:lang w:val="en-US"/>
        </w:rPr>
        <w:t>6</w:t>
      </w:r>
      <w:r w:rsidR="00A93EA4" w:rsidRPr="002462F0">
        <w:rPr>
          <w:lang w:val="en-US"/>
        </w:rPr>
        <w:t>)</w:t>
      </w:r>
      <w:r w:rsidRPr="002462F0">
        <w:rPr>
          <w:lang w:val="en-US"/>
        </w:rPr>
        <w:t xml:space="preserve">, </w:t>
      </w:r>
      <w:r w:rsidR="00A93EA4" w:rsidRPr="002462F0">
        <w:rPr>
          <w:lang w:val="en-US"/>
        </w:rPr>
        <w:t>nitrogen fluoride (</w:t>
      </w:r>
      <w:r w:rsidRPr="002462F0">
        <w:rPr>
          <w:lang w:val="en-US"/>
        </w:rPr>
        <w:t>NF</w:t>
      </w:r>
      <w:r w:rsidRPr="002462F0">
        <w:rPr>
          <w:vertAlign w:val="subscript"/>
          <w:lang w:val="en-US"/>
        </w:rPr>
        <w:t>3</w:t>
      </w:r>
      <w:r w:rsidR="00A93EA4" w:rsidRPr="002462F0">
        <w:rPr>
          <w:lang w:val="en-US"/>
        </w:rPr>
        <w:t>)</w:t>
      </w:r>
      <w:r w:rsidR="00033E0A">
        <w:rPr>
          <w:lang w:val="en-US"/>
        </w:rPr>
        <w:t>.</w:t>
      </w:r>
    </w:p>
    <w:p w14:paraId="1183EBDC" w14:textId="7A88ABAA" w:rsidR="004A0283" w:rsidRPr="002462F0" w:rsidRDefault="004A0283" w:rsidP="00B1419E">
      <w:pPr>
        <w:pStyle w:val="ListParagraph"/>
        <w:numPr>
          <w:ilvl w:val="0"/>
          <w:numId w:val="22"/>
        </w:numPr>
        <w:autoSpaceDE w:val="0"/>
        <w:autoSpaceDN w:val="0"/>
        <w:adjustRightInd w:val="0"/>
        <w:spacing w:after="0" w:line="240" w:lineRule="auto"/>
        <w:rPr>
          <w:lang w:val="en-US"/>
        </w:rPr>
      </w:pPr>
      <w:r w:rsidRPr="002462F0">
        <w:rPr>
          <w:lang w:val="en-US"/>
        </w:rPr>
        <w:t xml:space="preserve">Four indirect GHG: </w:t>
      </w:r>
      <w:r w:rsidR="00F358BC" w:rsidRPr="002462F0">
        <w:rPr>
          <w:lang w:val="en-US"/>
        </w:rPr>
        <w:t>Sulphur</w:t>
      </w:r>
      <w:r w:rsidR="000E3937" w:rsidRPr="002462F0">
        <w:rPr>
          <w:lang w:val="en-US"/>
        </w:rPr>
        <w:t xml:space="preserve"> dioxide (</w:t>
      </w:r>
      <w:r w:rsidRPr="002462F0">
        <w:rPr>
          <w:lang w:val="en-US"/>
        </w:rPr>
        <w:t>SO</w:t>
      </w:r>
      <w:r w:rsidRPr="002462F0">
        <w:rPr>
          <w:vertAlign w:val="subscript"/>
          <w:lang w:val="en-US"/>
        </w:rPr>
        <w:t>2</w:t>
      </w:r>
      <w:r w:rsidR="000E3937" w:rsidRPr="002462F0">
        <w:rPr>
          <w:lang w:val="en-US"/>
        </w:rPr>
        <w:t>)</w:t>
      </w:r>
      <w:r w:rsidRPr="002462F0">
        <w:rPr>
          <w:lang w:val="en-US"/>
        </w:rPr>
        <w:t xml:space="preserve">, </w:t>
      </w:r>
      <w:r w:rsidR="000E3937" w:rsidRPr="002462F0">
        <w:rPr>
          <w:lang w:val="en-US"/>
        </w:rPr>
        <w:t>carbon monoxide (</w:t>
      </w:r>
      <w:r w:rsidRPr="002462F0">
        <w:rPr>
          <w:lang w:val="en-US"/>
        </w:rPr>
        <w:t>CO</w:t>
      </w:r>
      <w:r w:rsidR="000E3937" w:rsidRPr="002462F0">
        <w:rPr>
          <w:lang w:val="en-US"/>
        </w:rPr>
        <w:t>)</w:t>
      </w:r>
      <w:r w:rsidRPr="002462F0">
        <w:rPr>
          <w:lang w:val="en-US"/>
        </w:rPr>
        <w:t xml:space="preserve">, </w:t>
      </w:r>
      <w:r w:rsidR="000E3937" w:rsidRPr="002462F0">
        <w:rPr>
          <w:lang w:val="en-US"/>
        </w:rPr>
        <w:t>non-methane volatile organic compounds (</w:t>
      </w:r>
      <w:r w:rsidRPr="002462F0">
        <w:rPr>
          <w:lang w:val="en-US"/>
        </w:rPr>
        <w:t>NMVOC</w:t>
      </w:r>
      <w:r w:rsidR="000E3937" w:rsidRPr="002462F0">
        <w:rPr>
          <w:lang w:val="en-US"/>
        </w:rPr>
        <w:t>)</w:t>
      </w:r>
      <w:r w:rsidRPr="002462F0">
        <w:rPr>
          <w:lang w:val="en-US"/>
        </w:rPr>
        <w:t xml:space="preserve">, </w:t>
      </w:r>
      <w:r w:rsidR="000E3937" w:rsidRPr="002462F0">
        <w:rPr>
          <w:lang w:val="en-US"/>
        </w:rPr>
        <w:t>oxides of nitrogen (</w:t>
      </w:r>
      <w:r w:rsidRPr="002462F0">
        <w:rPr>
          <w:lang w:val="en-US"/>
        </w:rPr>
        <w:t>NO</w:t>
      </w:r>
      <w:r w:rsidRPr="002462F0">
        <w:rPr>
          <w:vertAlign w:val="subscript"/>
          <w:lang w:val="en-US"/>
        </w:rPr>
        <w:t>x</w:t>
      </w:r>
      <w:r w:rsidR="000E3937" w:rsidRPr="002462F0">
        <w:rPr>
          <w:lang w:val="en-US"/>
        </w:rPr>
        <w:t>)</w:t>
      </w:r>
      <w:r w:rsidR="00033E0A">
        <w:rPr>
          <w:lang w:val="en-US"/>
        </w:rPr>
        <w:t>.</w:t>
      </w:r>
    </w:p>
    <w:p w14:paraId="0CFC0E26" w14:textId="78048474" w:rsidR="007A4C94" w:rsidRPr="002462F0" w:rsidRDefault="007A4C94" w:rsidP="00B1419E">
      <w:pPr>
        <w:pStyle w:val="ListParagraph"/>
        <w:numPr>
          <w:ilvl w:val="0"/>
          <w:numId w:val="22"/>
        </w:numPr>
        <w:autoSpaceDE w:val="0"/>
        <w:autoSpaceDN w:val="0"/>
        <w:adjustRightInd w:val="0"/>
        <w:spacing w:after="0" w:line="240" w:lineRule="auto"/>
        <w:rPr>
          <w:lang w:val="en-US"/>
        </w:rPr>
      </w:pPr>
      <w:r w:rsidRPr="002462F0">
        <w:rPr>
          <w:lang w:val="en-US"/>
        </w:rPr>
        <w:t xml:space="preserve">Five main activity sectors: Energy, Industrial Processes and Product Use, Agriculture, Land Use, Land-Use Change and Forestry, </w:t>
      </w:r>
      <w:r w:rsidR="00033E0A">
        <w:rPr>
          <w:lang w:val="en-US"/>
        </w:rPr>
        <w:t xml:space="preserve">and </w:t>
      </w:r>
      <w:r w:rsidRPr="002462F0">
        <w:rPr>
          <w:lang w:val="en-US"/>
        </w:rPr>
        <w:t>Waste.</w:t>
      </w:r>
    </w:p>
    <w:p w14:paraId="3CB77643" w14:textId="77777777" w:rsidR="004B5431" w:rsidRDefault="004B5431" w:rsidP="004B5431">
      <w:pPr>
        <w:autoSpaceDE w:val="0"/>
        <w:autoSpaceDN w:val="0"/>
        <w:adjustRightInd w:val="0"/>
        <w:spacing w:after="0" w:line="240" w:lineRule="auto"/>
        <w:rPr>
          <w:lang w:val="en-US"/>
        </w:rPr>
      </w:pPr>
    </w:p>
    <w:p w14:paraId="675A7A43" w14:textId="69B6A581" w:rsidR="002C7F3F" w:rsidRDefault="002C7F3F" w:rsidP="004B5431">
      <w:pPr>
        <w:autoSpaceDE w:val="0"/>
        <w:autoSpaceDN w:val="0"/>
        <w:adjustRightInd w:val="0"/>
        <w:spacing w:after="0" w:line="240" w:lineRule="auto"/>
        <w:rPr>
          <w:lang w:val="en-US"/>
        </w:rPr>
      </w:pPr>
      <w:r>
        <w:rPr>
          <w:lang w:val="en-US"/>
        </w:rPr>
        <w:t>The Republic of Serbia</w:t>
      </w:r>
      <w:r w:rsidRPr="002C7F3F">
        <w:rPr>
          <w:lang w:val="en-US"/>
        </w:rPr>
        <w:t xml:space="preserve"> has examined whether there are activities </w:t>
      </w:r>
      <w:r w:rsidR="003C65E8">
        <w:rPr>
          <w:lang w:val="en-US"/>
        </w:rPr>
        <w:t>which</w:t>
      </w:r>
      <w:r w:rsidRPr="002C7F3F">
        <w:rPr>
          <w:lang w:val="en-US"/>
        </w:rPr>
        <w:t xml:space="preserve"> would result in emissions of </w:t>
      </w:r>
      <w:proofErr w:type="spellStart"/>
      <w:r w:rsidRPr="002C7F3F">
        <w:rPr>
          <w:lang w:val="en-US"/>
        </w:rPr>
        <w:t>trinitrogenfluoride</w:t>
      </w:r>
      <w:proofErr w:type="spellEnd"/>
      <w:r w:rsidRPr="002C7F3F">
        <w:rPr>
          <w:lang w:val="en-US"/>
        </w:rPr>
        <w:t xml:space="preserve"> (NF</w:t>
      </w:r>
      <w:r w:rsidRPr="00622F40">
        <w:rPr>
          <w:vertAlign w:val="subscript"/>
          <w:lang w:val="en-US"/>
        </w:rPr>
        <w:t>3</w:t>
      </w:r>
      <w:r w:rsidRPr="002C7F3F">
        <w:rPr>
          <w:lang w:val="en-US"/>
        </w:rPr>
        <w:t>)</w:t>
      </w:r>
      <w:r w:rsidR="00C46F92">
        <w:rPr>
          <w:lang w:val="en-US"/>
        </w:rPr>
        <w:t xml:space="preserve"> and </w:t>
      </w:r>
      <w:r w:rsidR="008A130F">
        <w:rPr>
          <w:lang w:val="en-US"/>
        </w:rPr>
        <w:t>perfluorocarbons (PFCs)</w:t>
      </w:r>
      <w:r w:rsidRPr="002C7F3F">
        <w:rPr>
          <w:lang w:val="en-US"/>
        </w:rPr>
        <w:t xml:space="preserve">, and our assessment is that there are no emissions of </w:t>
      </w:r>
      <w:r w:rsidR="008A130F">
        <w:rPr>
          <w:lang w:val="en-US"/>
        </w:rPr>
        <w:t>these two substances</w:t>
      </w:r>
      <w:r w:rsidRPr="002C7F3F">
        <w:rPr>
          <w:lang w:val="en-US"/>
        </w:rPr>
        <w:t xml:space="preserve"> </w:t>
      </w:r>
      <w:r w:rsidR="008A130F">
        <w:rPr>
          <w:lang w:val="en-US"/>
        </w:rPr>
        <w:t>on the territory for the covered period</w:t>
      </w:r>
      <w:r w:rsidRPr="002C7F3F">
        <w:rPr>
          <w:lang w:val="en-US"/>
        </w:rPr>
        <w:t>.</w:t>
      </w:r>
    </w:p>
    <w:p w14:paraId="14AA6C97" w14:textId="77777777" w:rsidR="002C7F3F" w:rsidRPr="002462F0" w:rsidRDefault="002C7F3F" w:rsidP="004B5431">
      <w:pPr>
        <w:autoSpaceDE w:val="0"/>
        <w:autoSpaceDN w:val="0"/>
        <w:adjustRightInd w:val="0"/>
        <w:spacing w:after="0" w:line="240" w:lineRule="auto"/>
        <w:rPr>
          <w:lang w:val="en-US"/>
        </w:rPr>
      </w:pPr>
    </w:p>
    <w:p w14:paraId="08539BD5" w14:textId="1EC2F55C" w:rsidR="00FA6027" w:rsidRPr="002462F0" w:rsidRDefault="00FA6027" w:rsidP="00FA6027">
      <w:pPr>
        <w:autoSpaceDE w:val="0"/>
        <w:autoSpaceDN w:val="0"/>
        <w:adjustRightInd w:val="0"/>
        <w:spacing w:after="0" w:line="240" w:lineRule="auto"/>
        <w:jc w:val="left"/>
        <w:rPr>
          <w:i/>
          <w:lang w:val="en-US"/>
        </w:rPr>
      </w:pPr>
      <w:r>
        <w:rPr>
          <w:i/>
          <w:lang w:val="en-US"/>
        </w:rPr>
        <w:t>Global warming potentials (GWP)</w:t>
      </w:r>
    </w:p>
    <w:p w14:paraId="0A8DECE2" w14:textId="77777777" w:rsidR="00FA6027" w:rsidRPr="002462F0" w:rsidRDefault="00FA6027" w:rsidP="00FA6027">
      <w:pPr>
        <w:autoSpaceDE w:val="0"/>
        <w:autoSpaceDN w:val="0"/>
        <w:adjustRightInd w:val="0"/>
        <w:spacing w:after="0" w:line="240" w:lineRule="auto"/>
        <w:jc w:val="left"/>
        <w:rPr>
          <w:lang w:val="en-US"/>
        </w:rPr>
      </w:pPr>
    </w:p>
    <w:p w14:paraId="6540B37E" w14:textId="76C326EA" w:rsidR="004B5431" w:rsidRPr="002462F0" w:rsidRDefault="00FA6027" w:rsidP="00401F7F">
      <w:pPr>
        <w:autoSpaceDE w:val="0"/>
        <w:autoSpaceDN w:val="0"/>
        <w:adjustRightInd w:val="0"/>
        <w:spacing w:after="0" w:line="240" w:lineRule="auto"/>
        <w:rPr>
          <w:lang w:val="en-US"/>
        </w:rPr>
      </w:pPr>
      <w:r w:rsidRPr="002462F0">
        <w:rPr>
          <w:lang w:val="en-US"/>
        </w:rPr>
        <w:t xml:space="preserve">In </w:t>
      </w:r>
      <w:r>
        <w:rPr>
          <w:lang w:val="en-US"/>
        </w:rPr>
        <w:t xml:space="preserve">order to assess the relative impact of each GHG on climate change, </w:t>
      </w:r>
      <w:r w:rsidR="00B97545">
        <w:rPr>
          <w:lang w:val="en-US"/>
        </w:rPr>
        <w:t xml:space="preserve">the global warming potential (GWP) has been defined. It corresponds to </w:t>
      </w:r>
      <w:r w:rsidR="00F35AAC">
        <w:rPr>
          <w:lang w:val="en-US"/>
        </w:rPr>
        <w:t xml:space="preserve">the radiative effect that one GHG </w:t>
      </w:r>
      <w:r w:rsidR="00397F18">
        <w:rPr>
          <w:lang w:val="en-US"/>
        </w:rPr>
        <w:t>can exert over a period of a hundred years</w:t>
      </w:r>
      <w:r w:rsidR="00DE737B">
        <w:rPr>
          <w:lang w:val="en-US"/>
        </w:rPr>
        <w:t>, in comparison with CO</w:t>
      </w:r>
      <w:r w:rsidR="00DE737B" w:rsidRPr="00622F40">
        <w:rPr>
          <w:vertAlign w:val="subscript"/>
          <w:lang w:val="en-US"/>
        </w:rPr>
        <w:t>2</w:t>
      </w:r>
      <w:r w:rsidR="00DE737B">
        <w:rPr>
          <w:lang w:val="en-US"/>
        </w:rPr>
        <w:t xml:space="preserve"> for which the GWP is determined as 1.</w:t>
      </w:r>
      <w:r w:rsidR="00BE3289">
        <w:rPr>
          <w:lang w:val="en-US"/>
        </w:rPr>
        <w:t xml:space="preserve"> The GWP applied are the values provided by the UNFCCC, which currently </w:t>
      </w:r>
      <w:r w:rsidR="00F358BC">
        <w:rPr>
          <w:lang w:val="en-US"/>
        </w:rPr>
        <w:t>corresponds</w:t>
      </w:r>
      <w:r w:rsidR="00BE3289">
        <w:rPr>
          <w:lang w:val="en-US"/>
        </w:rPr>
        <w:t xml:space="preserve"> to the </w:t>
      </w:r>
      <w:r w:rsidR="00401F7F">
        <w:rPr>
          <w:lang w:val="en-US"/>
        </w:rPr>
        <w:t>values from the 2019 IPCC 5</w:t>
      </w:r>
      <w:r w:rsidR="00401F7F" w:rsidRPr="00622F40">
        <w:rPr>
          <w:vertAlign w:val="superscript"/>
          <w:lang w:val="en-US"/>
        </w:rPr>
        <w:t>th</w:t>
      </w:r>
      <w:r w:rsidR="00401F7F">
        <w:rPr>
          <w:lang w:val="en-US"/>
        </w:rPr>
        <w:t xml:space="preserve"> Assessment Report (AR5), which are as follows:</w:t>
      </w:r>
    </w:p>
    <w:p w14:paraId="7E32C9BA" w14:textId="77777777" w:rsidR="00333FD6" w:rsidRPr="002462F0" w:rsidRDefault="00333FD6" w:rsidP="004B5431">
      <w:pPr>
        <w:autoSpaceDE w:val="0"/>
        <w:autoSpaceDN w:val="0"/>
        <w:adjustRightInd w:val="0"/>
        <w:spacing w:after="0" w:line="240" w:lineRule="auto"/>
        <w:rPr>
          <w:lang w:val="en-US"/>
        </w:rPr>
      </w:pPr>
    </w:p>
    <w:tbl>
      <w:tblPr>
        <w:tblStyle w:val="Trameclaire-Accent11"/>
        <w:tblW w:w="0" w:type="auto"/>
        <w:jc w:val="center"/>
        <w:tblLook w:val="04A0" w:firstRow="1" w:lastRow="0" w:firstColumn="1" w:lastColumn="0" w:noHBand="0" w:noVBand="1"/>
      </w:tblPr>
      <w:tblGrid>
        <w:gridCol w:w="1132"/>
        <w:gridCol w:w="1132"/>
        <w:gridCol w:w="1133"/>
        <w:gridCol w:w="1133"/>
        <w:gridCol w:w="1133"/>
      </w:tblGrid>
      <w:tr w:rsidR="00333FD6" w:rsidRPr="002462F0" w14:paraId="2B190FD3" w14:textId="77777777" w:rsidTr="00333F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2" w:type="dxa"/>
          </w:tcPr>
          <w:p w14:paraId="7D71E66B" w14:textId="77777777" w:rsidR="00333FD6" w:rsidRPr="002462F0" w:rsidRDefault="00333FD6" w:rsidP="004B5431">
            <w:pPr>
              <w:autoSpaceDE w:val="0"/>
              <w:autoSpaceDN w:val="0"/>
              <w:adjustRightInd w:val="0"/>
              <w:rPr>
                <w:lang w:val="en-US"/>
              </w:rPr>
            </w:pPr>
            <w:r w:rsidRPr="002462F0">
              <w:rPr>
                <w:lang w:val="en-US"/>
              </w:rPr>
              <w:t>GWP CO</w:t>
            </w:r>
            <w:r w:rsidRPr="002462F0">
              <w:rPr>
                <w:vertAlign w:val="subscript"/>
                <w:lang w:val="en-US"/>
              </w:rPr>
              <w:t>2</w:t>
            </w:r>
          </w:p>
        </w:tc>
        <w:tc>
          <w:tcPr>
            <w:tcW w:w="1132" w:type="dxa"/>
          </w:tcPr>
          <w:p w14:paraId="15A18ED6" w14:textId="77777777" w:rsidR="00333FD6" w:rsidRPr="002462F0" w:rsidRDefault="00333FD6" w:rsidP="004B5431">
            <w:pPr>
              <w:autoSpaceDE w:val="0"/>
              <w:autoSpaceDN w:val="0"/>
              <w:adjustRightInd w:val="0"/>
              <w:cnfStyle w:val="100000000000" w:firstRow="1" w:lastRow="0" w:firstColumn="0" w:lastColumn="0" w:oddVBand="0" w:evenVBand="0" w:oddHBand="0" w:evenHBand="0" w:firstRowFirstColumn="0" w:firstRowLastColumn="0" w:lastRowFirstColumn="0" w:lastRowLastColumn="0"/>
              <w:rPr>
                <w:lang w:val="en-US"/>
              </w:rPr>
            </w:pPr>
            <w:r w:rsidRPr="002462F0">
              <w:rPr>
                <w:lang w:val="en-US"/>
              </w:rPr>
              <w:t>GWP CH</w:t>
            </w:r>
            <w:r w:rsidRPr="002462F0">
              <w:rPr>
                <w:vertAlign w:val="subscript"/>
                <w:lang w:val="en-US"/>
              </w:rPr>
              <w:t>4</w:t>
            </w:r>
          </w:p>
        </w:tc>
        <w:tc>
          <w:tcPr>
            <w:tcW w:w="1133" w:type="dxa"/>
          </w:tcPr>
          <w:p w14:paraId="71F153DF" w14:textId="77777777" w:rsidR="00333FD6" w:rsidRPr="002462F0" w:rsidRDefault="00333FD6" w:rsidP="004B5431">
            <w:pPr>
              <w:autoSpaceDE w:val="0"/>
              <w:autoSpaceDN w:val="0"/>
              <w:adjustRightInd w:val="0"/>
              <w:cnfStyle w:val="100000000000" w:firstRow="1" w:lastRow="0" w:firstColumn="0" w:lastColumn="0" w:oddVBand="0" w:evenVBand="0" w:oddHBand="0" w:evenHBand="0" w:firstRowFirstColumn="0" w:firstRowLastColumn="0" w:lastRowFirstColumn="0" w:lastRowLastColumn="0"/>
              <w:rPr>
                <w:lang w:val="en-US"/>
              </w:rPr>
            </w:pPr>
            <w:r w:rsidRPr="002462F0">
              <w:rPr>
                <w:lang w:val="en-US"/>
              </w:rPr>
              <w:t>GWP N</w:t>
            </w:r>
            <w:r w:rsidRPr="002462F0">
              <w:rPr>
                <w:vertAlign w:val="subscript"/>
                <w:lang w:val="en-US"/>
              </w:rPr>
              <w:t>2</w:t>
            </w:r>
            <w:r w:rsidRPr="002462F0">
              <w:rPr>
                <w:lang w:val="en-US"/>
              </w:rPr>
              <w:t>0</w:t>
            </w:r>
          </w:p>
        </w:tc>
        <w:tc>
          <w:tcPr>
            <w:tcW w:w="1133" w:type="dxa"/>
          </w:tcPr>
          <w:p w14:paraId="522B91B0" w14:textId="77777777" w:rsidR="00333FD6" w:rsidRPr="002462F0" w:rsidRDefault="00333FD6" w:rsidP="004B5431">
            <w:pPr>
              <w:autoSpaceDE w:val="0"/>
              <w:autoSpaceDN w:val="0"/>
              <w:adjustRightInd w:val="0"/>
              <w:cnfStyle w:val="100000000000" w:firstRow="1" w:lastRow="0" w:firstColumn="0" w:lastColumn="0" w:oddVBand="0" w:evenVBand="0" w:oddHBand="0" w:evenHBand="0" w:firstRowFirstColumn="0" w:firstRowLastColumn="0" w:lastRowFirstColumn="0" w:lastRowLastColumn="0"/>
              <w:rPr>
                <w:lang w:val="en-US"/>
              </w:rPr>
            </w:pPr>
            <w:r w:rsidRPr="002462F0">
              <w:rPr>
                <w:lang w:val="en-US"/>
              </w:rPr>
              <w:t>GWP SF</w:t>
            </w:r>
            <w:r w:rsidRPr="002462F0">
              <w:rPr>
                <w:vertAlign w:val="subscript"/>
                <w:lang w:val="en-US"/>
              </w:rPr>
              <w:t>6</w:t>
            </w:r>
          </w:p>
        </w:tc>
        <w:tc>
          <w:tcPr>
            <w:tcW w:w="1133" w:type="dxa"/>
          </w:tcPr>
          <w:p w14:paraId="6C80FA8E" w14:textId="77777777" w:rsidR="00333FD6" w:rsidRPr="002462F0" w:rsidRDefault="00333FD6" w:rsidP="00333FD6">
            <w:pPr>
              <w:autoSpaceDE w:val="0"/>
              <w:autoSpaceDN w:val="0"/>
              <w:adjustRightInd w:val="0"/>
              <w:cnfStyle w:val="100000000000" w:firstRow="1" w:lastRow="0" w:firstColumn="0" w:lastColumn="0" w:oddVBand="0" w:evenVBand="0" w:oddHBand="0" w:evenHBand="0" w:firstRowFirstColumn="0" w:firstRowLastColumn="0" w:lastRowFirstColumn="0" w:lastRowLastColumn="0"/>
              <w:rPr>
                <w:lang w:val="en-US"/>
              </w:rPr>
            </w:pPr>
            <w:r w:rsidRPr="002462F0">
              <w:rPr>
                <w:lang w:val="en-US"/>
              </w:rPr>
              <w:t>GWP NF</w:t>
            </w:r>
            <w:r w:rsidRPr="002462F0">
              <w:rPr>
                <w:vertAlign w:val="subscript"/>
                <w:lang w:val="en-US"/>
              </w:rPr>
              <w:t>3</w:t>
            </w:r>
          </w:p>
        </w:tc>
      </w:tr>
      <w:tr w:rsidR="00333FD6" w:rsidRPr="002462F0" w14:paraId="49C9FEA6" w14:textId="77777777" w:rsidTr="00333F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2" w:type="dxa"/>
          </w:tcPr>
          <w:p w14:paraId="7B80DD67" w14:textId="77777777" w:rsidR="00333FD6" w:rsidRPr="002462F0" w:rsidRDefault="00333FD6" w:rsidP="00333FD6">
            <w:pPr>
              <w:autoSpaceDE w:val="0"/>
              <w:autoSpaceDN w:val="0"/>
              <w:adjustRightInd w:val="0"/>
              <w:jc w:val="center"/>
              <w:rPr>
                <w:lang w:val="en-US"/>
              </w:rPr>
            </w:pPr>
            <w:r w:rsidRPr="002462F0">
              <w:rPr>
                <w:lang w:val="en-US"/>
              </w:rPr>
              <w:t>1</w:t>
            </w:r>
          </w:p>
        </w:tc>
        <w:tc>
          <w:tcPr>
            <w:tcW w:w="1132" w:type="dxa"/>
          </w:tcPr>
          <w:p w14:paraId="19BAAAC3" w14:textId="7305BA24" w:rsidR="00333FD6" w:rsidRPr="002462F0" w:rsidRDefault="00333FD6" w:rsidP="00333F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n-US"/>
              </w:rPr>
            </w:pPr>
            <w:r w:rsidRPr="002462F0">
              <w:rPr>
                <w:lang w:val="en-US"/>
              </w:rPr>
              <w:t>2</w:t>
            </w:r>
            <w:r w:rsidR="004D0E21">
              <w:rPr>
                <w:lang w:val="en-US"/>
              </w:rPr>
              <w:t>8</w:t>
            </w:r>
          </w:p>
        </w:tc>
        <w:tc>
          <w:tcPr>
            <w:tcW w:w="1133" w:type="dxa"/>
          </w:tcPr>
          <w:p w14:paraId="2935B583" w14:textId="3DC2DE41" w:rsidR="00333FD6" w:rsidRPr="002462F0" w:rsidRDefault="00333FD6" w:rsidP="00333F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n-US"/>
              </w:rPr>
            </w:pPr>
            <w:r w:rsidRPr="002462F0">
              <w:rPr>
                <w:lang w:val="en-US"/>
              </w:rPr>
              <w:t>2</w:t>
            </w:r>
            <w:r w:rsidR="004D0E21">
              <w:rPr>
                <w:lang w:val="en-US"/>
              </w:rPr>
              <w:t>65</w:t>
            </w:r>
          </w:p>
        </w:tc>
        <w:tc>
          <w:tcPr>
            <w:tcW w:w="1133" w:type="dxa"/>
          </w:tcPr>
          <w:p w14:paraId="0C811EB0" w14:textId="4B5594CB" w:rsidR="00333FD6" w:rsidRPr="002462F0" w:rsidRDefault="00333FD6" w:rsidP="00333F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n-US"/>
              </w:rPr>
            </w:pPr>
            <w:r w:rsidRPr="002462F0">
              <w:rPr>
                <w:lang w:val="en-US"/>
              </w:rPr>
              <w:t>2</w:t>
            </w:r>
            <w:r w:rsidR="00096FBD">
              <w:rPr>
                <w:lang w:val="en-US"/>
              </w:rPr>
              <w:t>3</w:t>
            </w:r>
            <w:r w:rsidRPr="002462F0">
              <w:rPr>
                <w:lang w:val="en-US"/>
              </w:rPr>
              <w:t xml:space="preserve"> </w:t>
            </w:r>
            <w:r w:rsidR="00096FBD">
              <w:rPr>
                <w:lang w:val="en-US"/>
              </w:rPr>
              <w:t>5</w:t>
            </w:r>
            <w:r w:rsidRPr="002462F0">
              <w:rPr>
                <w:lang w:val="en-US"/>
              </w:rPr>
              <w:t>00</w:t>
            </w:r>
          </w:p>
        </w:tc>
        <w:tc>
          <w:tcPr>
            <w:tcW w:w="1133" w:type="dxa"/>
          </w:tcPr>
          <w:p w14:paraId="5082ECF9" w14:textId="28717B70" w:rsidR="00333FD6" w:rsidRPr="002462F0" w:rsidRDefault="00333FD6" w:rsidP="00333FD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n-US"/>
              </w:rPr>
            </w:pPr>
            <w:r w:rsidRPr="002462F0">
              <w:rPr>
                <w:lang w:val="en-US"/>
              </w:rPr>
              <w:t>1</w:t>
            </w:r>
            <w:r w:rsidR="00096FBD">
              <w:rPr>
                <w:lang w:val="en-US"/>
              </w:rPr>
              <w:t>6</w:t>
            </w:r>
            <w:r w:rsidRPr="002462F0">
              <w:rPr>
                <w:lang w:val="en-US"/>
              </w:rPr>
              <w:t xml:space="preserve"> </w:t>
            </w:r>
            <w:r w:rsidR="00096FBD">
              <w:rPr>
                <w:lang w:val="en-US"/>
              </w:rPr>
              <w:t>1</w:t>
            </w:r>
            <w:r w:rsidRPr="002462F0">
              <w:rPr>
                <w:lang w:val="en-US"/>
              </w:rPr>
              <w:t>00</w:t>
            </w:r>
          </w:p>
        </w:tc>
      </w:tr>
    </w:tbl>
    <w:p w14:paraId="653AF940" w14:textId="77777777" w:rsidR="00333FD6" w:rsidRPr="002462F0" w:rsidRDefault="00333FD6" w:rsidP="004B5431">
      <w:pPr>
        <w:autoSpaceDE w:val="0"/>
        <w:autoSpaceDN w:val="0"/>
        <w:adjustRightInd w:val="0"/>
        <w:spacing w:after="0" w:line="240" w:lineRule="auto"/>
        <w:rPr>
          <w:lang w:val="en-US"/>
        </w:rPr>
      </w:pPr>
    </w:p>
    <w:tbl>
      <w:tblPr>
        <w:tblStyle w:val="Trameclaire-Accent11"/>
        <w:tblW w:w="0" w:type="auto"/>
        <w:jc w:val="center"/>
        <w:tblLook w:val="04A0" w:firstRow="1" w:lastRow="0" w:firstColumn="1" w:lastColumn="0" w:noHBand="0" w:noVBand="1"/>
      </w:tblPr>
      <w:tblGrid>
        <w:gridCol w:w="910"/>
        <w:gridCol w:w="911"/>
        <w:gridCol w:w="911"/>
        <w:gridCol w:w="911"/>
        <w:gridCol w:w="965"/>
        <w:gridCol w:w="1025"/>
        <w:gridCol w:w="909"/>
        <w:gridCol w:w="1020"/>
        <w:gridCol w:w="751"/>
        <w:gridCol w:w="759"/>
      </w:tblGrid>
      <w:tr w:rsidR="00333FD6" w:rsidRPr="002462F0" w14:paraId="138FECFD" w14:textId="77777777" w:rsidTr="00A93E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10"/>
          </w:tcPr>
          <w:p w14:paraId="2278E903" w14:textId="77777777" w:rsidR="00333FD6" w:rsidRPr="002462F0" w:rsidRDefault="00333FD6" w:rsidP="00333FD6">
            <w:pPr>
              <w:autoSpaceDE w:val="0"/>
              <w:autoSpaceDN w:val="0"/>
              <w:adjustRightInd w:val="0"/>
              <w:jc w:val="center"/>
              <w:rPr>
                <w:lang w:val="en-US"/>
              </w:rPr>
            </w:pPr>
            <w:r w:rsidRPr="002462F0">
              <w:rPr>
                <w:lang w:val="en-US"/>
              </w:rPr>
              <w:t>GWP</w:t>
            </w:r>
          </w:p>
        </w:tc>
      </w:tr>
      <w:tr w:rsidR="00333FD6" w:rsidRPr="002462F0" w14:paraId="1D7B1DD0" w14:textId="77777777" w:rsidTr="00333F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0" w:type="dxa"/>
          </w:tcPr>
          <w:p w14:paraId="138351AC" w14:textId="77777777" w:rsidR="00333FD6" w:rsidRPr="002462F0" w:rsidRDefault="00333FD6" w:rsidP="006C5E45">
            <w:pPr>
              <w:autoSpaceDE w:val="0"/>
              <w:autoSpaceDN w:val="0"/>
              <w:adjustRightInd w:val="0"/>
              <w:jc w:val="center"/>
              <w:rPr>
                <w:lang w:val="en-US"/>
              </w:rPr>
            </w:pPr>
            <w:r w:rsidRPr="002462F0">
              <w:rPr>
                <w:lang w:val="en-US"/>
              </w:rPr>
              <w:t>HFC-125</w:t>
            </w:r>
          </w:p>
        </w:tc>
        <w:tc>
          <w:tcPr>
            <w:tcW w:w="911" w:type="dxa"/>
          </w:tcPr>
          <w:p w14:paraId="2FE0E9F5" w14:textId="77777777" w:rsidR="00333FD6" w:rsidRPr="002462F0" w:rsidRDefault="00333FD6" w:rsidP="006C5E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HFC-134a</w:t>
            </w:r>
          </w:p>
        </w:tc>
        <w:tc>
          <w:tcPr>
            <w:tcW w:w="911" w:type="dxa"/>
          </w:tcPr>
          <w:p w14:paraId="627C37DD" w14:textId="77777777" w:rsidR="00333FD6" w:rsidRPr="002462F0" w:rsidRDefault="00333FD6" w:rsidP="006C5E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HFC-143a</w:t>
            </w:r>
          </w:p>
        </w:tc>
        <w:tc>
          <w:tcPr>
            <w:tcW w:w="911" w:type="dxa"/>
          </w:tcPr>
          <w:p w14:paraId="52780DA6" w14:textId="77777777" w:rsidR="00333FD6" w:rsidRPr="002462F0" w:rsidRDefault="00333FD6" w:rsidP="006C5E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HFC-152a</w:t>
            </w:r>
          </w:p>
        </w:tc>
        <w:tc>
          <w:tcPr>
            <w:tcW w:w="965" w:type="dxa"/>
          </w:tcPr>
          <w:p w14:paraId="62B07684" w14:textId="77777777" w:rsidR="00333FD6" w:rsidRPr="002462F0" w:rsidRDefault="00333FD6" w:rsidP="006C5E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HFC-227ea</w:t>
            </w:r>
          </w:p>
        </w:tc>
        <w:tc>
          <w:tcPr>
            <w:tcW w:w="1025" w:type="dxa"/>
          </w:tcPr>
          <w:p w14:paraId="26BF7E4C" w14:textId="77777777" w:rsidR="00333FD6" w:rsidRPr="002462F0" w:rsidRDefault="00333FD6" w:rsidP="006C5E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HFC-365mfc</w:t>
            </w:r>
          </w:p>
        </w:tc>
        <w:tc>
          <w:tcPr>
            <w:tcW w:w="909" w:type="dxa"/>
          </w:tcPr>
          <w:p w14:paraId="1B5CE302" w14:textId="77777777" w:rsidR="00333FD6" w:rsidRPr="002462F0" w:rsidRDefault="00333FD6" w:rsidP="006C5E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HFC-23</w:t>
            </w:r>
          </w:p>
        </w:tc>
        <w:tc>
          <w:tcPr>
            <w:tcW w:w="1020" w:type="dxa"/>
          </w:tcPr>
          <w:p w14:paraId="557D7C72" w14:textId="77777777" w:rsidR="00333FD6" w:rsidRPr="002462F0" w:rsidRDefault="00333FD6" w:rsidP="006C5E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HFC-4310mee</w:t>
            </w:r>
          </w:p>
        </w:tc>
        <w:tc>
          <w:tcPr>
            <w:tcW w:w="751" w:type="dxa"/>
          </w:tcPr>
          <w:p w14:paraId="4A1C0E82" w14:textId="77777777" w:rsidR="00333FD6" w:rsidRPr="002462F0" w:rsidRDefault="00333FD6" w:rsidP="006C5E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HFC-32</w:t>
            </w:r>
          </w:p>
        </w:tc>
        <w:tc>
          <w:tcPr>
            <w:tcW w:w="759" w:type="dxa"/>
          </w:tcPr>
          <w:p w14:paraId="31657D0D" w14:textId="77777777" w:rsidR="00333FD6" w:rsidRPr="002462F0" w:rsidRDefault="00333FD6" w:rsidP="006C5E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HFC-245fa</w:t>
            </w:r>
          </w:p>
        </w:tc>
      </w:tr>
      <w:tr w:rsidR="00333FD6" w:rsidRPr="002462F0" w14:paraId="57187EA3" w14:textId="77777777" w:rsidTr="00333FD6">
        <w:trPr>
          <w:jc w:val="center"/>
        </w:trPr>
        <w:tc>
          <w:tcPr>
            <w:cnfStyle w:val="001000000000" w:firstRow="0" w:lastRow="0" w:firstColumn="1" w:lastColumn="0" w:oddVBand="0" w:evenVBand="0" w:oddHBand="0" w:evenHBand="0" w:firstRowFirstColumn="0" w:firstRowLastColumn="0" w:lastRowFirstColumn="0" w:lastRowLastColumn="0"/>
            <w:tcW w:w="910" w:type="dxa"/>
          </w:tcPr>
          <w:p w14:paraId="17336FFC" w14:textId="24994F48" w:rsidR="00333FD6" w:rsidRPr="002462F0" w:rsidRDefault="006C5E45" w:rsidP="006C5E45">
            <w:pPr>
              <w:autoSpaceDE w:val="0"/>
              <w:autoSpaceDN w:val="0"/>
              <w:adjustRightInd w:val="0"/>
              <w:jc w:val="center"/>
              <w:rPr>
                <w:b w:val="0"/>
                <w:lang w:val="en-US"/>
              </w:rPr>
            </w:pPr>
            <w:r w:rsidRPr="002462F0">
              <w:rPr>
                <w:b w:val="0"/>
                <w:lang w:val="en-US"/>
              </w:rPr>
              <w:t xml:space="preserve">3 </w:t>
            </w:r>
            <w:r w:rsidR="00697581">
              <w:rPr>
                <w:b w:val="0"/>
                <w:lang w:val="en-US"/>
              </w:rPr>
              <w:t>170</w:t>
            </w:r>
          </w:p>
        </w:tc>
        <w:tc>
          <w:tcPr>
            <w:tcW w:w="911" w:type="dxa"/>
          </w:tcPr>
          <w:p w14:paraId="2B5BCB99" w14:textId="28833D99" w:rsidR="00333FD6" w:rsidRPr="002462F0" w:rsidRDefault="006C5E45" w:rsidP="006C5E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sidRPr="002462F0">
              <w:rPr>
                <w:lang w:val="en-US"/>
              </w:rPr>
              <w:t xml:space="preserve">1 </w:t>
            </w:r>
            <w:r w:rsidR="00697581">
              <w:rPr>
                <w:lang w:val="en-US"/>
              </w:rPr>
              <w:t>300</w:t>
            </w:r>
          </w:p>
        </w:tc>
        <w:tc>
          <w:tcPr>
            <w:tcW w:w="911" w:type="dxa"/>
          </w:tcPr>
          <w:p w14:paraId="7B9E7722" w14:textId="4DDED226" w:rsidR="00333FD6" w:rsidRPr="002462F0" w:rsidRDefault="006C5E45" w:rsidP="006C5E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sidRPr="002462F0">
              <w:rPr>
                <w:lang w:val="en-US"/>
              </w:rPr>
              <w:t xml:space="preserve">4 </w:t>
            </w:r>
            <w:r w:rsidR="00697581">
              <w:rPr>
                <w:lang w:val="en-US"/>
              </w:rPr>
              <w:t>800</w:t>
            </w:r>
          </w:p>
        </w:tc>
        <w:tc>
          <w:tcPr>
            <w:tcW w:w="911" w:type="dxa"/>
          </w:tcPr>
          <w:p w14:paraId="094D494B" w14:textId="7830E527" w:rsidR="00333FD6" w:rsidRPr="002462F0" w:rsidRDefault="006C5E45" w:rsidP="006C5E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sidRPr="002462F0">
              <w:rPr>
                <w:lang w:val="en-US"/>
              </w:rPr>
              <w:t>1</w:t>
            </w:r>
            <w:r w:rsidR="00697581">
              <w:rPr>
                <w:lang w:val="en-US"/>
              </w:rPr>
              <w:t>38</w:t>
            </w:r>
          </w:p>
        </w:tc>
        <w:tc>
          <w:tcPr>
            <w:tcW w:w="965" w:type="dxa"/>
          </w:tcPr>
          <w:p w14:paraId="7501721F" w14:textId="06D3F1D9" w:rsidR="00333FD6" w:rsidRPr="002462F0" w:rsidRDefault="006C5E45" w:rsidP="006C5E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sidRPr="002462F0">
              <w:rPr>
                <w:lang w:val="en-US"/>
              </w:rPr>
              <w:t xml:space="preserve">3 </w:t>
            </w:r>
            <w:r w:rsidR="00480CE7">
              <w:rPr>
                <w:lang w:val="en-US"/>
              </w:rPr>
              <w:t>350</w:t>
            </w:r>
          </w:p>
        </w:tc>
        <w:tc>
          <w:tcPr>
            <w:tcW w:w="1025" w:type="dxa"/>
          </w:tcPr>
          <w:p w14:paraId="53841216" w14:textId="0BF1BBDF" w:rsidR="00333FD6" w:rsidRPr="002462F0" w:rsidRDefault="00480CE7" w:rsidP="006C5E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804</w:t>
            </w:r>
          </w:p>
        </w:tc>
        <w:tc>
          <w:tcPr>
            <w:tcW w:w="909" w:type="dxa"/>
          </w:tcPr>
          <w:p w14:paraId="0CB6B587" w14:textId="2F9CACAE" w:rsidR="00333FD6" w:rsidRPr="002462F0" w:rsidRDefault="006C5E45" w:rsidP="006C5E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sidRPr="002462F0">
              <w:rPr>
                <w:lang w:val="en-US"/>
              </w:rPr>
              <w:t>1</w:t>
            </w:r>
            <w:r w:rsidR="00480CE7">
              <w:rPr>
                <w:lang w:val="en-US"/>
              </w:rPr>
              <w:t>2</w:t>
            </w:r>
            <w:r w:rsidRPr="002462F0">
              <w:rPr>
                <w:lang w:val="en-US"/>
              </w:rPr>
              <w:t xml:space="preserve"> </w:t>
            </w:r>
            <w:r w:rsidR="00480CE7">
              <w:rPr>
                <w:lang w:val="en-US"/>
              </w:rPr>
              <w:t>400</w:t>
            </w:r>
          </w:p>
        </w:tc>
        <w:tc>
          <w:tcPr>
            <w:tcW w:w="1020" w:type="dxa"/>
          </w:tcPr>
          <w:p w14:paraId="585EC639" w14:textId="28995499" w:rsidR="00333FD6" w:rsidRPr="002462F0" w:rsidRDefault="006C5E45" w:rsidP="006C5E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sidRPr="002462F0">
              <w:rPr>
                <w:lang w:val="en-US"/>
              </w:rPr>
              <w:t>1 6</w:t>
            </w:r>
            <w:r w:rsidR="00480CE7">
              <w:rPr>
                <w:lang w:val="en-US"/>
              </w:rPr>
              <w:t>50</w:t>
            </w:r>
          </w:p>
        </w:tc>
        <w:tc>
          <w:tcPr>
            <w:tcW w:w="751" w:type="dxa"/>
          </w:tcPr>
          <w:p w14:paraId="46E74BCD" w14:textId="1D4F2CB4" w:rsidR="00333FD6" w:rsidRPr="002462F0" w:rsidRDefault="006C5E45" w:rsidP="006C5E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sidRPr="002462F0">
              <w:rPr>
                <w:lang w:val="en-US"/>
              </w:rPr>
              <w:t>67</w:t>
            </w:r>
            <w:r w:rsidR="00480CE7">
              <w:rPr>
                <w:lang w:val="en-US"/>
              </w:rPr>
              <w:t>7</w:t>
            </w:r>
          </w:p>
        </w:tc>
        <w:tc>
          <w:tcPr>
            <w:tcW w:w="759" w:type="dxa"/>
          </w:tcPr>
          <w:p w14:paraId="3253E22C" w14:textId="0172B4EF" w:rsidR="00333FD6" w:rsidRPr="002462F0" w:rsidRDefault="00480CE7" w:rsidP="006C5E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858</w:t>
            </w:r>
          </w:p>
        </w:tc>
      </w:tr>
    </w:tbl>
    <w:p w14:paraId="61BF0615" w14:textId="77777777" w:rsidR="00333FD6" w:rsidRPr="002462F0" w:rsidRDefault="00333FD6" w:rsidP="004B5431">
      <w:pPr>
        <w:autoSpaceDE w:val="0"/>
        <w:autoSpaceDN w:val="0"/>
        <w:adjustRightInd w:val="0"/>
        <w:spacing w:after="0" w:line="240" w:lineRule="auto"/>
        <w:rPr>
          <w:lang w:val="en-US"/>
        </w:rPr>
      </w:pPr>
    </w:p>
    <w:tbl>
      <w:tblPr>
        <w:tblStyle w:val="Trameclaire-Accent11"/>
        <w:tblW w:w="0" w:type="auto"/>
        <w:jc w:val="center"/>
        <w:tblLook w:val="04A0" w:firstRow="1" w:lastRow="0" w:firstColumn="1" w:lastColumn="0" w:noHBand="0" w:noVBand="1"/>
      </w:tblPr>
      <w:tblGrid>
        <w:gridCol w:w="1132"/>
        <w:gridCol w:w="1132"/>
        <w:gridCol w:w="1133"/>
        <w:gridCol w:w="1133"/>
        <w:gridCol w:w="1133"/>
        <w:gridCol w:w="1133"/>
        <w:gridCol w:w="1133"/>
        <w:gridCol w:w="1133"/>
      </w:tblGrid>
      <w:tr w:rsidR="006C5E45" w:rsidRPr="002462F0" w14:paraId="1556AB0A" w14:textId="77777777" w:rsidTr="00A93E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2" w:type="dxa"/>
            <w:gridSpan w:val="8"/>
          </w:tcPr>
          <w:p w14:paraId="78594FC8" w14:textId="77777777" w:rsidR="006C5E45" w:rsidRPr="002462F0" w:rsidRDefault="006C5E45" w:rsidP="006C5E45">
            <w:pPr>
              <w:autoSpaceDE w:val="0"/>
              <w:autoSpaceDN w:val="0"/>
              <w:adjustRightInd w:val="0"/>
              <w:jc w:val="center"/>
              <w:rPr>
                <w:lang w:val="en-US"/>
              </w:rPr>
            </w:pPr>
            <w:r w:rsidRPr="002462F0">
              <w:rPr>
                <w:lang w:val="en-US"/>
              </w:rPr>
              <w:t>GWP</w:t>
            </w:r>
          </w:p>
        </w:tc>
      </w:tr>
      <w:tr w:rsidR="006C5E45" w:rsidRPr="002462F0" w14:paraId="487FF5BD" w14:textId="77777777" w:rsidTr="00A93E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2" w:type="dxa"/>
          </w:tcPr>
          <w:p w14:paraId="38EC4A04" w14:textId="77777777" w:rsidR="006C5E45" w:rsidRPr="002462F0" w:rsidRDefault="006C5E45" w:rsidP="00A93EA4">
            <w:pPr>
              <w:autoSpaceDE w:val="0"/>
              <w:autoSpaceDN w:val="0"/>
              <w:adjustRightInd w:val="0"/>
              <w:jc w:val="center"/>
              <w:rPr>
                <w:lang w:val="en-US"/>
              </w:rPr>
            </w:pPr>
            <w:r w:rsidRPr="002462F0">
              <w:rPr>
                <w:lang w:val="en-US"/>
              </w:rPr>
              <w:t>PFC-14</w:t>
            </w:r>
          </w:p>
        </w:tc>
        <w:tc>
          <w:tcPr>
            <w:tcW w:w="1132" w:type="dxa"/>
          </w:tcPr>
          <w:p w14:paraId="5BE05BCF" w14:textId="77777777" w:rsidR="006C5E45" w:rsidRPr="002462F0" w:rsidRDefault="006C5E45" w:rsidP="00A93E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PFC-116</w:t>
            </w:r>
          </w:p>
        </w:tc>
        <w:tc>
          <w:tcPr>
            <w:tcW w:w="1133" w:type="dxa"/>
          </w:tcPr>
          <w:p w14:paraId="492F04AB" w14:textId="77777777" w:rsidR="006C5E45" w:rsidRPr="002462F0" w:rsidRDefault="006C5E45" w:rsidP="00A93E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C</w:t>
            </w:r>
            <w:r w:rsidRPr="002462F0">
              <w:rPr>
                <w:b/>
                <w:vertAlign w:val="subscript"/>
                <w:lang w:val="en-US"/>
              </w:rPr>
              <w:t>3</w:t>
            </w:r>
            <w:r w:rsidRPr="002462F0">
              <w:rPr>
                <w:b/>
                <w:lang w:val="en-US"/>
              </w:rPr>
              <w:t>F</w:t>
            </w:r>
            <w:r w:rsidRPr="002462F0">
              <w:rPr>
                <w:b/>
                <w:vertAlign w:val="subscript"/>
                <w:lang w:val="en-US"/>
              </w:rPr>
              <w:t>8</w:t>
            </w:r>
          </w:p>
        </w:tc>
        <w:tc>
          <w:tcPr>
            <w:tcW w:w="1133" w:type="dxa"/>
          </w:tcPr>
          <w:p w14:paraId="2BD2E040" w14:textId="77777777" w:rsidR="006C5E45" w:rsidRPr="002462F0" w:rsidRDefault="006C5E45" w:rsidP="00A93E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c-C</w:t>
            </w:r>
            <w:r w:rsidRPr="002462F0">
              <w:rPr>
                <w:b/>
                <w:vertAlign w:val="subscript"/>
                <w:lang w:val="en-US"/>
              </w:rPr>
              <w:t>4</w:t>
            </w:r>
            <w:r w:rsidRPr="002462F0">
              <w:rPr>
                <w:b/>
                <w:lang w:val="en-US"/>
              </w:rPr>
              <w:t>F</w:t>
            </w:r>
            <w:r w:rsidRPr="002462F0">
              <w:rPr>
                <w:b/>
                <w:vertAlign w:val="subscript"/>
                <w:lang w:val="en-US"/>
              </w:rPr>
              <w:t>8</w:t>
            </w:r>
          </w:p>
        </w:tc>
        <w:tc>
          <w:tcPr>
            <w:tcW w:w="1133" w:type="dxa"/>
          </w:tcPr>
          <w:p w14:paraId="53F1BFB4" w14:textId="77777777" w:rsidR="006C5E45" w:rsidRPr="002462F0" w:rsidRDefault="006C5E45" w:rsidP="00A93E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C</w:t>
            </w:r>
            <w:r w:rsidRPr="002462F0">
              <w:rPr>
                <w:b/>
                <w:vertAlign w:val="subscript"/>
                <w:lang w:val="en-US"/>
              </w:rPr>
              <w:t>4</w:t>
            </w:r>
            <w:r w:rsidRPr="002462F0">
              <w:rPr>
                <w:b/>
                <w:lang w:val="en-US"/>
              </w:rPr>
              <w:t>F</w:t>
            </w:r>
            <w:r w:rsidRPr="002462F0">
              <w:rPr>
                <w:b/>
                <w:vertAlign w:val="subscript"/>
                <w:lang w:val="en-US"/>
              </w:rPr>
              <w:t>10</w:t>
            </w:r>
          </w:p>
        </w:tc>
        <w:tc>
          <w:tcPr>
            <w:tcW w:w="1133" w:type="dxa"/>
          </w:tcPr>
          <w:p w14:paraId="7C544F07" w14:textId="77777777" w:rsidR="006C5E45" w:rsidRPr="002462F0" w:rsidRDefault="006C5E45" w:rsidP="00A93E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C</w:t>
            </w:r>
            <w:r w:rsidRPr="002462F0">
              <w:rPr>
                <w:b/>
                <w:vertAlign w:val="subscript"/>
                <w:lang w:val="en-US"/>
              </w:rPr>
              <w:t>5</w:t>
            </w:r>
            <w:r w:rsidRPr="002462F0">
              <w:rPr>
                <w:b/>
                <w:lang w:val="en-US"/>
              </w:rPr>
              <w:t>F</w:t>
            </w:r>
            <w:r w:rsidRPr="002462F0">
              <w:rPr>
                <w:b/>
                <w:vertAlign w:val="subscript"/>
                <w:lang w:val="en-US"/>
              </w:rPr>
              <w:t>12</w:t>
            </w:r>
          </w:p>
        </w:tc>
        <w:tc>
          <w:tcPr>
            <w:tcW w:w="1133" w:type="dxa"/>
          </w:tcPr>
          <w:p w14:paraId="4968BC4C" w14:textId="77777777" w:rsidR="006C5E45" w:rsidRPr="002462F0" w:rsidRDefault="006C5E45" w:rsidP="00A93E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C</w:t>
            </w:r>
            <w:r w:rsidRPr="002462F0">
              <w:rPr>
                <w:b/>
                <w:vertAlign w:val="subscript"/>
                <w:lang w:val="en-US"/>
              </w:rPr>
              <w:t>6</w:t>
            </w:r>
            <w:r w:rsidRPr="002462F0">
              <w:rPr>
                <w:b/>
                <w:lang w:val="en-US"/>
              </w:rPr>
              <w:t>F</w:t>
            </w:r>
            <w:r w:rsidRPr="002462F0">
              <w:rPr>
                <w:b/>
                <w:vertAlign w:val="subscript"/>
                <w:lang w:val="en-US"/>
              </w:rPr>
              <w:t>14</w:t>
            </w:r>
          </w:p>
        </w:tc>
        <w:tc>
          <w:tcPr>
            <w:tcW w:w="1133" w:type="dxa"/>
          </w:tcPr>
          <w:p w14:paraId="520C9A15" w14:textId="12BE815B" w:rsidR="006C5E45" w:rsidRPr="002462F0" w:rsidRDefault="006C5E45" w:rsidP="00A93E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n-US"/>
              </w:rPr>
            </w:pPr>
            <w:r w:rsidRPr="002462F0">
              <w:rPr>
                <w:b/>
                <w:lang w:val="en-US"/>
              </w:rPr>
              <w:t>C</w:t>
            </w:r>
            <w:r w:rsidRPr="002462F0">
              <w:rPr>
                <w:b/>
                <w:vertAlign w:val="subscript"/>
                <w:lang w:val="en-US"/>
              </w:rPr>
              <w:t>10</w:t>
            </w:r>
            <w:r w:rsidRPr="002462F0">
              <w:rPr>
                <w:b/>
                <w:lang w:val="en-US"/>
              </w:rPr>
              <w:t>F</w:t>
            </w:r>
            <w:r w:rsidRPr="002462F0">
              <w:rPr>
                <w:b/>
                <w:vertAlign w:val="subscript"/>
                <w:lang w:val="en-US"/>
              </w:rPr>
              <w:t>18</w:t>
            </w:r>
            <w:r w:rsidR="00CB0C32" w:rsidRPr="00622F40">
              <w:rPr>
                <w:b/>
                <w:vertAlign w:val="superscript"/>
                <w:lang w:val="en-US"/>
              </w:rPr>
              <w:t>*</w:t>
            </w:r>
          </w:p>
        </w:tc>
      </w:tr>
      <w:tr w:rsidR="006C5E45" w:rsidRPr="002462F0" w14:paraId="3384D3F5" w14:textId="77777777" w:rsidTr="00A93EA4">
        <w:trPr>
          <w:jc w:val="center"/>
        </w:trPr>
        <w:tc>
          <w:tcPr>
            <w:cnfStyle w:val="001000000000" w:firstRow="0" w:lastRow="0" w:firstColumn="1" w:lastColumn="0" w:oddVBand="0" w:evenVBand="0" w:oddHBand="0" w:evenHBand="0" w:firstRowFirstColumn="0" w:firstRowLastColumn="0" w:lastRowFirstColumn="0" w:lastRowLastColumn="0"/>
            <w:tcW w:w="1132" w:type="dxa"/>
          </w:tcPr>
          <w:p w14:paraId="700332E4" w14:textId="2893E980" w:rsidR="006C5E45" w:rsidRPr="00622F40" w:rsidRDefault="00F03B93" w:rsidP="00A93EA4">
            <w:pPr>
              <w:autoSpaceDE w:val="0"/>
              <w:autoSpaceDN w:val="0"/>
              <w:adjustRightInd w:val="0"/>
              <w:jc w:val="center"/>
              <w:rPr>
                <w:b w:val="0"/>
                <w:bCs w:val="0"/>
                <w:lang w:val="en-US"/>
              </w:rPr>
            </w:pPr>
            <w:r>
              <w:rPr>
                <w:b w:val="0"/>
                <w:bCs w:val="0"/>
                <w:lang w:val="en-US"/>
              </w:rPr>
              <w:t>6 630</w:t>
            </w:r>
          </w:p>
        </w:tc>
        <w:tc>
          <w:tcPr>
            <w:tcW w:w="1132" w:type="dxa"/>
          </w:tcPr>
          <w:p w14:paraId="45C44FDC" w14:textId="1B507416" w:rsidR="006C5E45" w:rsidRPr="002462F0" w:rsidRDefault="006C5E45" w:rsidP="00A93EA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sidRPr="002462F0">
              <w:rPr>
                <w:lang w:val="en-US"/>
              </w:rPr>
              <w:t>1</w:t>
            </w:r>
            <w:r w:rsidR="00F03B93">
              <w:rPr>
                <w:lang w:val="en-US"/>
              </w:rPr>
              <w:t>1</w:t>
            </w:r>
            <w:r w:rsidRPr="002462F0">
              <w:rPr>
                <w:lang w:val="en-US"/>
              </w:rPr>
              <w:t xml:space="preserve"> </w:t>
            </w:r>
            <w:r w:rsidR="00F03B93">
              <w:rPr>
                <w:lang w:val="en-US"/>
              </w:rPr>
              <w:t>100</w:t>
            </w:r>
          </w:p>
        </w:tc>
        <w:tc>
          <w:tcPr>
            <w:tcW w:w="1133" w:type="dxa"/>
          </w:tcPr>
          <w:p w14:paraId="17388EA7" w14:textId="34F3549E" w:rsidR="006C5E45" w:rsidRPr="002462F0" w:rsidRDefault="006C5E45" w:rsidP="00A93EA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sidRPr="002462F0">
              <w:rPr>
                <w:lang w:val="en-US"/>
              </w:rPr>
              <w:t xml:space="preserve">8 </w:t>
            </w:r>
            <w:r w:rsidR="00F03B93">
              <w:rPr>
                <w:lang w:val="en-US"/>
              </w:rPr>
              <w:t>900</w:t>
            </w:r>
          </w:p>
        </w:tc>
        <w:tc>
          <w:tcPr>
            <w:tcW w:w="1133" w:type="dxa"/>
          </w:tcPr>
          <w:p w14:paraId="6FC56D70" w14:textId="76020AEF" w:rsidR="006C5E45" w:rsidRPr="002462F0" w:rsidRDefault="00F03B93" w:rsidP="00A93EA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9 540</w:t>
            </w:r>
          </w:p>
        </w:tc>
        <w:tc>
          <w:tcPr>
            <w:tcW w:w="1133" w:type="dxa"/>
          </w:tcPr>
          <w:p w14:paraId="04045A8D" w14:textId="476A7559" w:rsidR="006C5E45" w:rsidRPr="002462F0" w:rsidRDefault="00F03B93" w:rsidP="00A93EA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9 200</w:t>
            </w:r>
          </w:p>
        </w:tc>
        <w:tc>
          <w:tcPr>
            <w:tcW w:w="1133" w:type="dxa"/>
          </w:tcPr>
          <w:p w14:paraId="36128640" w14:textId="5A24C15B" w:rsidR="006C5E45" w:rsidRPr="002462F0" w:rsidRDefault="00F03B93" w:rsidP="00A93EA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8 550</w:t>
            </w:r>
          </w:p>
        </w:tc>
        <w:tc>
          <w:tcPr>
            <w:tcW w:w="1133" w:type="dxa"/>
          </w:tcPr>
          <w:p w14:paraId="7FB51379" w14:textId="4F1A9AB9" w:rsidR="006C5E45" w:rsidRPr="002462F0" w:rsidRDefault="00F03B93" w:rsidP="00A93EA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7 910</w:t>
            </w:r>
          </w:p>
        </w:tc>
        <w:tc>
          <w:tcPr>
            <w:tcW w:w="1133" w:type="dxa"/>
          </w:tcPr>
          <w:p w14:paraId="60B8FB12" w14:textId="4AAE7CCE" w:rsidR="006C5E45" w:rsidRPr="002462F0" w:rsidRDefault="006C5E45" w:rsidP="00A93EA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n-US"/>
              </w:rPr>
            </w:pPr>
            <w:r w:rsidRPr="002462F0">
              <w:rPr>
                <w:lang w:val="en-US"/>
              </w:rPr>
              <w:t xml:space="preserve">7 </w:t>
            </w:r>
            <w:r w:rsidR="00F03B93">
              <w:rPr>
                <w:lang w:val="en-US"/>
              </w:rPr>
              <w:t>190</w:t>
            </w:r>
          </w:p>
        </w:tc>
      </w:tr>
    </w:tbl>
    <w:p w14:paraId="09C41F7F" w14:textId="5B6D34EE" w:rsidR="00333FD6" w:rsidRDefault="009D7284" w:rsidP="004B5431">
      <w:pPr>
        <w:autoSpaceDE w:val="0"/>
        <w:autoSpaceDN w:val="0"/>
        <w:adjustRightInd w:val="0"/>
        <w:spacing w:after="0" w:line="240" w:lineRule="auto"/>
        <w:rPr>
          <w:lang w:val="en-US"/>
        </w:rPr>
      </w:pPr>
      <w:r w:rsidRPr="00622F40">
        <w:rPr>
          <w:vertAlign w:val="superscript"/>
          <w:lang w:val="en-US"/>
        </w:rPr>
        <w:t>*</w:t>
      </w:r>
      <w:r>
        <w:rPr>
          <w:vertAlign w:val="superscript"/>
          <w:lang w:val="en-US"/>
        </w:rPr>
        <w:t xml:space="preserve"> </w:t>
      </w:r>
      <w:r w:rsidRPr="00622F40">
        <w:rPr>
          <w:lang w:val="en-US"/>
        </w:rPr>
        <w:t xml:space="preserve">the </w:t>
      </w:r>
      <w:r>
        <w:rPr>
          <w:lang w:val="en-US"/>
        </w:rPr>
        <w:t xml:space="preserve">GWP </w:t>
      </w:r>
      <w:r w:rsidR="00CE1A6A">
        <w:rPr>
          <w:lang w:val="en-US"/>
        </w:rPr>
        <w:t>for C</w:t>
      </w:r>
      <w:r w:rsidR="00CE1A6A" w:rsidRPr="00622F40">
        <w:rPr>
          <w:vertAlign w:val="subscript"/>
          <w:lang w:val="en-US"/>
        </w:rPr>
        <w:t>10</w:t>
      </w:r>
      <w:r w:rsidR="00CE1A6A">
        <w:rPr>
          <w:lang w:val="en-US"/>
        </w:rPr>
        <w:t>F</w:t>
      </w:r>
      <w:r w:rsidR="00CE1A6A" w:rsidRPr="00622F40">
        <w:rPr>
          <w:vertAlign w:val="subscript"/>
          <w:lang w:val="en-US"/>
        </w:rPr>
        <w:t>18</w:t>
      </w:r>
      <w:r w:rsidR="00CE1A6A">
        <w:rPr>
          <w:lang w:val="en-US"/>
        </w:rPr>
        <w:t xml:space="preserve"> is taken as 7 190, but is indicated </w:t>
      </w:r>
      <w:r w:rsidR="00DC6590">
        <w:rPr>
          <w:lang w:val="en-US"/>
        </w:rPr>
        <w:t xml:space="preserve">as </w:t>
      </w:r>
      <w:r w:rsidR="00CE1A6A">
        <w:rPr>
          <w:lang w:val="en-US"/>
        </w:rPr>
        <w:t>“</w:t>
      </w:r>
      <w:r w:rsidR="00DC6590">
        <w:rPr>
          <w:lang w:val="en-US"/>
        </w:rPr>
        <w:t>&gt; 7 190” in the IPCC AR5)</w:t>
      </w:r>
    </w:p>
    <w:p w14:paraId="3BFDEF66" w14:textId="77777777" w:rsidR="001676D4" w:rsidRDefault="001676D4" w:rsidP="004B5431">
      <w:pPr>
        <w:autoSpaceDE w:val="0"/>
        <w:autoSpaceDN w:val="0"/>
        <w:adjustRightInd w:val="0"/>
        <w:spacing w:after="0" w:line="240" w:lineRule="auto"/>
        <w:rPr>
          <w:lang w:val="en-US"/>
        </w:rPr>
      </w:pPr>
    </w:p>
    <w:p w14:paraId="068205B3" w14:textId="58021589" w:rsidR="001676D4" w:rsidRDefault="00417C8F" w:rsidP="004B5431">
      <w:pPr>
        <w:autoSpaceDE w:val="0"/>
        <w:autoSpaceDN w:val="0"/>
        <w:adjustRightInd w:val="0"/>
        <w:spacing w:after="0" w:line="240" w:lineRule="auto"/>
        <w:rPr>
          <w:lang w:val="en-US"/>
        </w:rPr>
      </w:pPr>
      <w:r w:rsidRPr="00622F40">
        <w:rPr>
          <w:lang w:val="en-US"/>
        </w:rPr>
        <w:t xml:space="preserve">The four </w:t>
      </w:r>
      <w:r w:rsidR="00B73B52">
        <w:rPr>
          <w:lang w:val="en-US"/>
        </w:rPr>
        <w:t xml:space="preserve">other substances which have an indirect impact on </w:t>
      </w:r>
      <w:r w:rsidR="00F358BC">
        <w:rPr>
          <w:lang w:val="en-US"/>
        </w:rPr>
        <w:t>the greenhouse</w:t>
      </w:r>
      <w:r w:rsidR="00B73B52">
        <w:rPr>
          <w:lang w:val="en-US"/>
        </w:rPr>
        <w:t xml:space="preserve"> </w:t>
      </w:r>
      <w:r w:rsidR="00F614EE">
        <w:rPr>
          <w:lang w:val="en-US"/>
        </w:rPr>
        <w:t>effect as primary substances acting on the formation of secondary pollutants such as ozone (O</w:t>
      </w:r>
      <w:r w:rsidR="00F614EE" w:rsidRPr="00622F40">
        <w:rPr>
          <w:vertAlign w:val="subscript"/>
          <w:lang w:val="en-US"/>
        </w:rPr>
        <w:t>3</w:t>
      </w:r>
      <w:r w:rsidR="00F614EE">
        <w:rPr>
          <w:lang w:val="en-US"/>
        </w:rPr>
        <w:t>) or aerosols</w:t>
      </w:r>
      <w:r w:rsidR="00B92B0C">
        <w:rPr>
          <w:lang w:val="en-US"/>
        </w:rPr>
        <w:t xml:space="preserve"> are:</w:t>
      </w:r>
    </w:p>
    <w:p w14:paraId="1BC55482" w14:textId="77777777" w:rsidR="00B92B0C" w:rsidRDefault="00B92B0C" w:rsidP="004B5431">
      <w:pPr>
        <w:autoSpaceDE w:val="0"/>
        <w:autoSpaceDN w:val="0"/>
        <w:adjustRightInd w:val="0"/>
        <w:spacing w:after="0" w:line="240" w:lineRule="auto"/>
        <w:rPr>
          <w:lang w:val="en-US"/>
        </w:rPr>
      </w:pPr>
    </w:p>
    <w:p w14:paraId="04B6E64F" w14:textId="4A344C5D" w:rsidR="00B92B0C" w:rsidRDefault="00C72E1F" w:rsidP="00B92B0C">
      <w:pPr>
        <w:pStyle w:val="ListParagraph"/>
        <w:numPr>
          <w:ilvl w:val="0"/>
          <w:numId w:val="59"/>
        </w:numPr>
        <w:autoSpaceDE w:val="0"/>
        <w:autoSpaceDN w:val="0"/>
        <w:adjustRightInd w:val="0"/>
        <w:spacing w:after="0" w:line="240" w:lineRule="auto"/>
        <w:rPr>
          <w:lang w:val="en-US"/>
        </w:rPr>
      </w:pPr>
      <w:r>
        <w:rPr>
          <w:lang w:val="en-US"/>
        </w:rPr>
        <w:t>CO, which can get oxidized in the atmosphere into CO</w:t>
      </w:r>
      <w:r w:rsidRPr="00622F40">
        <w:rPr>
          <w:vertAlign w:val="subscript"/>
          <w:lang w:val="en-US"/>
        </w:rPr>
        <w:t>2</w:t>
      </w:r>
      <w:r>
        <w:rPr>
          <w:lang w:val="en-US"/>
        </w:rPr>
        <w:t>,</w:t>
      </w:r>
    </w:p>
    <w:p w14:paraId="44BBAC0D" w14:textId="137FA7DC" w:rsidR="00C72E1F" w:rsidRDefault="00C72E1F" w:rsidP="00B92B0C">
      <w:pPr>
        <w:pStyle w:val="ListParagraph"/>
        <w:numPr>
          <w:ilvl w:val="0"/>
          <w:numId w:val="59"/>
        </w:numPr>
        <w:autoSpaceDE w:val="0"/>
        <w:autoSpaceDN w:val="0"/>
        <w:adjustRightInd w:val="0"/>
        <w:spacing w:after="0" w:line="240" w:lineRule="auto"/>
        <w:rPr>
          <w:lang w:val="en-US"/>
        </w:rPr>
      </w:pPr>
      <w:r>
        <w:rPr>
          <w:lang w:val="en-US"/>
        </w:rPr>
        <w:t>NMVOC</w:t>
      </w:r>
      <w:r w:rsidR="00E01F21">
        <w:rPr>
          <w:lang w:val="en-US"/>
        </w:rPr>
        <w:t xml:space="preserve"> and NO</w:t>
      </w:r>
      <w:r w:rsidR="00E01F21" w:rsidRPr="00622F40">
        <w:rPr>
          <w:vertAlign w:val="subscript"/>
          <w:lang w:val="en-US"/>
        </w:rPr>
        <w:t>x</w:t>
      </w:r>
      <w:r w:rsidR="00E01F21">
        <w:rPr>
          <w:lang w:val="en-US"/>
        </w:rPr>
        <w:t xml:space="preserve"> (expressed in </w:t>
      </w:r>
      <w:r w:rsidR="007524C3">
        <w:rPr>
          <w:lang w:val="en-US"/>
        </w:rPr>
        <w:t xml:space="preserve">equivalent </w:t>
      </w:r>
      <w:r w:rsidR="00E01F21">
        <w:rPr>
          <w:lang w:val="en-US"/>
        </w:rPr>
        <w:t>NO</w:t>
      </w:r>
      <w:r w:rsidR="00E01F21" w:rsidRPr="00622F40">
        <w:rPr>
          <w:vertAlign w:val="subscript"/>
          <w:lang w:val="en-US"/>
        </w:rPr>
        <w:t>2</w:t>
      </w:r>
      <w:r w:rsidR="00E01F21">
        <w:rPr>
          <w:lang w:val="en-US"/>
        </w:rPr>
        <w:t xml:space="preserve">), </w:t>
      </w:r>
      <w:r w:rsidR="00760840">
        <w:rPr>
          <w:lang w:val="en-US"/>
        </w:rPr>
        <w:t>which can interact in complex chemical reactions into the atmosphere to form ozone, which contributes to the greenhouse effect,</w:t>
      </w:r>
    </w:p>
    <w:p w14:paraId="369384D1" w14:textId="40FB1742" w:rsidR="00760840" w:rsidRDefault="007524C3">
      <w:pPr>
        <w:pStyle w:val="ListParagraph"/>
        <w:numPr>
          <w:ilvl w:val="0"/>
          <w:numId w:val="59"/>
        </w:numPr>
        <w:autoSpaceDE w:val="0"/>
        <w:autoSpaceDN w:val="0"/>
        <w:adjustRightInd w:val="0"/>
        <w:spacing w:after="0" w:line="240" w:lineRule="auto"/>
        <w:rPr>
          <w:lang w:val="en-US"/>
        </w:rPr>
      </w:pPr>
      <w:proofErr w:type="spellStart"/>
      <w:r>
        <w:rPr>
          <w:lang w:val="en-US"/>
        </w:rPr>
        <w:t>SO</w:t>
      </w:r>
      <w:r w:rsidRPr="00622F40">
        <w:rPr>
          <w:vertAlign w:val="subscript"/>
          <w:lang w:val="en-US"/>
        </w:rPr>
        <w:t>x</w:t>
      </w:r>
      <w:proofErr w:type="spellEnd"/>
      <w:r>
        <w:rPr>
          <w:lang w:val="en-US"/>
        </w:rPr>
        <w:t xml:space="preserve"> (expressed in equivalent SO</w:t>
      </w:r>
      <w:r w:rsidRPr="00622F40">
        <w:rPr>
          <w:vertAlign w:val="subscript"/>
          <w:lang w:val="en-US"/>
        </w:rPr>
        <w:t>2</w:t>
      </w:r>
      <w:r>
        <w:rPr>
          <w:lang w:val="en-US"/>
        </w:rPr>
        <w:t xml:space="preserve">), which </w:t>
      </w:r>
      <w:r w:rsidR="00CF5B56">
        <w:rPr>
          <w:lang w:val="en-US"/>
        </w:rPr>
        <w:t xml:space="preserve">have an indirect cooling </w:t>
      </w:r>
      <w:r w:rsidR="007E569A">
        <w:rPr>
          <w:lang w:val="en-US"/>
        </w:rPr>
        <w:t xml:space="preserve">action on the climate through the </w:t>
      </w:r>
      <w:r w:rsidR="00874853">
        <w:rPr>
          <w:lang w:val="en-US"/>
        </w:rPr>
        <w:t xml:space="preserve">contribution to </w:t>
      </w:r>
      <w:r w:rsidR="007E569A">
        <w:rPr>
          <w:lang w:val="en-US"/>
        </w:rPr>
        <w:t xml:space="preserve">aerosol formation </w:t>
      </w:r>
      <w:r w:rsidR="00874853">
        <w:rPr>
          <w:lang w:val="en-US"/>
        </w:rPr>
        <w:t>with a relatively high albedo.</w:t>
      </w:r>
    </w:p>
    <w:p w14:paraId="7B184AFA" w14:textId="77777777" w:rsidR="00CF7554" w:rsidRDefault="00CF7554" w:rsidP="00CF7554">
      <w:pPr>
        <w:autoSpaceDE w:val="0"/>
        <w:autoSpaceDN w:val="0"/>
        <w:adjustRightInd w:val="0"/>
        <w:spacing w:after="0" w:line="240" w:lineRule="auto"/>
        <w:rPr>
          <w:lang w:val="en-US"/>
        </w:rPr>
      </w:pPr>
    </w:p>
    <w:p w14:paraId="3B5632E1" w14:textId="2C81FE47" w:rsidR="00CF7554" w:rsidRDefault="00CF7554" w:rsidP="00CF7554">
      <w:pPr>
        <w:autoSpaceDE w:val="0"/>
        <w:autoSpaceDN w:val="0"/>
        <w:adjustRightInd w:val="0"/>
        <w:spacing w:after="0" w:line="240" w:lineRule="auto"/>
        <w:jc w:val="left"/>
        <w:rPr>
          <w:i/>
          <w:lang w:val="en-US"/>
        </w:rPr>
      </w:pPr>
      <w:r w:rsidRPr="00622F40">
        <w:rPr>
          <w:i/>
          <w:lang w:val="en-US"/>
        </w:rPr>
        <w:t xml:space="preserve">Changes in the national inventory arrangements since </w:t>
      </w:r>
      <w:r w:rsidR="00F358BC" w:rsidRPr="00622F40">
        <w:rPr>
          <w:i/>
          <w:lang w:val="en-US"/>
        </w:rPr>
        <w:t>the previous</w:t>
      </w:r>
      <w:r w:rsidRPr="00622F40">
        <w:rPr>
          <w:i/>
          <w:lang w:val="en-US"/>
        </w:rPr>
        <w:t xml:space="preserve"> annual GHG</w:t>
      </w:r>
    </w:p>
    <w:p w14:paraId="22C67A16" w14:textId="77777777" w:rsidR="00CF7554" w:rsidRPr="00622F40" w:rsidRDefault="00CF7554" w:rsidP="00622F40">
      <w:pPr>
        <w:autoSpaceDE w:val="0"/>
        <w:autoSpaceDN w:val="0"/>
        <w:adjustRightInd w:val="0"/>
        <w:spacing w:after="0" w:line="240" w:lineRule="auto"/>
        <w:jc w:val="left"/>
        <w:rPr>
          <w:i/>
          <w:lang w:val="en-US"/>
        </w:rPr>
      </w:pPr>
    </w:p>
    <w:p w14:paraId="5DA7A5E1" w14:textId="1795C092" w:rsidR="00CF7554" w:rsidRPr="00CF7554" w:rsidRDefault="00F358BC" w:rsidP="00CF7554">
      <w:pPr>
        <w:autoSpaceDE w:val="0"/>
        <w:autoSpaceDN w:val="0"/>
        <w:adjustRightInd w:val="0"/>
        <w:spacing w:after="0" w:line="240" w:lineRule="auto"/>
        <w:rPr>
          <w:lang w:val="en-US"/>
        </w:rPr>
      </w:pPr>
      <w:r w:rsidRPr="005C0A8A">
        <w:rPr>
          <w:lang w:eastAsia="fr-FR"/>
        </w:rPr>
        <w:t xml:space="preserve">This </w:t>
      </w:r>
      <w:r>
        <w:rPr>
          <w:lang w:eastAsia="fr-FR"/>
        </w:rPr>
        <w:t>N</w:t>
      </w:r>
      <w:r w:rsidRPr="005C0A8A">
        <w:rPr>
          <w:lang w:eastAsia="fr-FR"/>
        </w:rPr>
        <w:t xml:space="preserve">ational </w:t>
      </w:r>
      <w:r>
        <w:rPr>
          <w:lang w:eastAsia="fr-FR"/>
        </w:rPr>
        <w:t>I</w:t>
      </w:r>
      <w:r w:rsidRPr="005C0A8A">
        <w:rPr>
          <w:lang w:eastAsia="fr-FR"/>
        </w:rPr>
        <w:t xml:space="preserve">nventory </w:t>
      </w:r>
      <w:r>
        <w:rPr>
          <w:lang w:eastAsia="fr-FR"/>
        </w:rPr>
        <w:t xml:space="preserve">Document under the BTR1 report </w:t>
      </w:r>
      <w:r w:rsidRPr="005C0A8A">
        <w:rPr>
          <w:lang w:eastAsia="fr-FR"/>
        </w:rPr>
        <w:t xml:space="preserve">is the first one </w:t>
      </w:r>
      <w:r>
        <w:rPr>
          <w:lang w:eastAsia="fr-FR"/>
        </w:rPr>
        <w:t xml:space="preserve">reported </w:t>
      </w:r>
      <w:r w:rsidRPr="005C0A8A">
        <w:rPr>
          <w:lang w:eastAsia="fr-FR"/>
        </w:rPr>
        <w:t xml:space="preserve">in the format </w:t>
      </w:r>
      <w:r>
        <w:rPr>
          <w:lang w:eastAsia="fr-FR"/>
        </w:rPr>
        <w:t>as requested by Decision 18.CMA.1 in format detailed by the Decision 5/CMA.3. In addition to the preparation of the National Inventory Report Serbia adjusted its GHG inventory compilation structure in order to be ready to upload the CRT Tables for the whole timeseries between 1990.2022.</w:t>
      </w:r>
    </w:p>
    <w:p w14:paraId="43F8F52C" w14:textId="73DDD239" w:rsidR="00614555" w:rsidRDefault="00614555" w:rsidP="0011444B">
      <w:pPr>
        <w:pStyle w:val="Heading2"/>
        <w:rPr>
          <w:rStyle w:val="Heading2Char"/>
          <w:b/>
          <w:lang w:val="en-GB"/>
        </w:rPr>
      </w:pPr>
      <w:bookmarkStart w:id="16" w:name="_Toc496101015"/>
      <w:bookmarkStart w:id="17" w:name="_Toc182327700"/>
      <w:bookmarkStart w:id="18" w:name="_Toc184808144"/>
      <w:r w:rsidRPr="002462F0">
        <w:rPr>
          <w:rStyle w:val="Heading2Char"/>
          <w:b/>
          <w:lang w:val="en-GB"/>
        </w:rPr>
        <w:t xml:space="preserve">A description of the national </w:t>
      </w:r>
      <w:r w:rsidR="0054355F">
        <w:rPr>
          <w:rStyle w:val="Heading2Char"/>
          <w:b/>
          <w:lang w:val="en-GB"/>
        </w:rPr>
        <w:t>circumst</w:t>
      </w:r>
      <w:r w:rsidR="001874B6">
        <w:rPr>
          <w:rStyle w:val="Heading2Char"/>
          <w:b/>
          <w:lang w:val="en-GB"/>
        </w:rPr>
        <w:t xml:space="preserve">ances and institutional </w:t>
      </w:r>
      <w:r w:rsidRPr="002462F0">
        <w:rPr>
          <w:rStyle w:val="Heading2Char"/>
          <w:b/>
          <w:lang w:val="en-GB"/>
        </w:rPr>
        <w:t>arrangements</w:t>
      </w:r>
      <w:bookmarkEnd w:id="16"/>
      <w:bookmarkEnd w:id="17"/>
      <w:bookmarkEnd w:id="18"/>
    </w:p>
    <w:p w14:paraId="3906C073" w14:textId="5291F066" w:rsidR="001874B6" w:rsidRDefault="007A798C" w:rsidP="001874B6">
      <w:pPr>
        <w:pStyle w:val="Heading3"/>
      </w:pPr>
      <w:bookmarkStart w:id="19" w:name="_Toc182327702"/>
      <w:bookmarkStart w:id="20" w:name="_Toc184808145"/>
      <w:r>
        <w:t>National entity or national focal point</w:t>
      </w:r>
      <w:bookmarkEnd w:id="19"/>
      <w:bookmarkEnd w:id="20"/>
    </w:p>
    <w:p w14:paraId="65F1CF92" w14:textId="77777777" w:rsidR="00F358BC" w:rsidRPr="004A1324" w:rsidRDefault="00F358BC" w:rsidP="00F358BC">
      <w:pPr>
        <w:spacing w:before="240"/>
        <w:rPr>
          <w:rFonts w:cstheme="minorHAnsi"/>
          <w:b/>
          <w:bCs/>
          <w:i/>
          <w:color w:val="000000"/>
          <w:sz w:val="22"/>
          <w:u w:val="single"/>
        </w:rPr>
      </w:pPr>
      <w:bookmarkStart w:id="21" w:name="_Toc182327703"/>
      <w:r w:rsidRPr="004A1324">
        <w:rPr>
          <w:rFonts w:cstheme="minorHAnsi"/>
          <w:b/>
          <w:bCs/>
          <w:i/>
          <w:color w:val="000000"/>
          <w:sz w:val="22"/>
          <w:u w:val="single"/>
        </w:rPr>
        <w:t>Legal framework</w:t>
      </w:r>
    </w:p>
    <w:p w14:paraId="08B4FAC5" w14:textId="77777777" w:rsidR="00F358BC" w:rsidRPr="00617422" w:rsidRDefault="00F358BC" w:rsidP="00F358BC">
      <w:pPr>
        <w:spacing w:before="240" w:line="240" w:lineRule="auto"/>
        <w:rPr>
          <w:rFonts w:cstheme="minorHAnsi"/>
          <w:color w:val="000000"/>
          <w:sz w:val="22"/>
        </w:rPr>
      </w:pPr>
      <w:r w:rsidRPr="00617422">
        <w:rPr>
          <w:rFonts w:cstheme="minorHAnsi"/>
          <w:color w:val="000000"/>
          <w:sz w:val="22"/>
        </w:rPr>
        <w:t>The current Serbian legal framework contains different laws and legal texts which can be useful for the preparation of the national GHG inventory (not exhaustive):</w:t>
      </w:r>
    </w:p>
    <w:p w14:paraId="22050C2B" w14:textId="77777777" w:rsidR="00F358BC" w:rsidRPr="00617422" w:rsidRDefault="00F358BC" w:rsidP="00F358BC">
      <w:pPr>
        <w:pStyle w:val="ListParagraph"/>
        <w:numPr>
          <w:ilvl w:val="0"/>
          <w:numId w:val="23"/>
        </w:numPr>
        <w:spacing w:before="240" w:line="240" w:lineRule="auto"/>
        <w:rPr>
          <w:rFonts w:cstheme="minorHAnsi"/>
          <w:color w:val="000000"/>
          <w:sz w:val="22"/>
        </w:rPr>
      </w:pPr>
      <w:r w:rsidRPr="00617422">
        <w:rPr>
          <w:rFonts w:cstheme="minorHAnsi"/>
          <w:color w:val="000000"/>
          <w:sz w:val="22"/>
        </w:rPr>
        <w:t>Law on climate change (OJ No 26/21)</w:t>
      </w:r>
    </w:p>
    <w:p w14:paraId="36B094BB" w14:textId="77777777" w:rsidR="00F358BC" w:rsidRPr="00617422" w:rsidRDefault="00F358BC" w:rsidP="00F358BC">
      <w:pPr>
        <w:spacing w:line="210" w:lineRule="atLeast"/>
        <w:rPr>
          <w:rFonts w:cstheme="minorHAnsi"/>
          <w:sz w:val="22"/>
        </w:rPr>
      </w:pPr>
      <w:r w:rsidRPr="00617422">
        <w:rPr>
          <w:rFonts w:eastAsia="Verdana" w:cstheme="minorHAnsi"/>
          <w:sz w:val="22"/>
        </w:rPr>
        <w:t>This Law regulates the system for the limitation of greenhouse gas emissions (hereinafter: GHG) and for adaptation to changed climatic conditions, monitoring and reporting on the low-carbon development strategy and its improvement, the program of adaptation to changed climatic conditions, the adoption of the low-carbon development strategy and the program of adaptation to changed climatic conditions, the issuance of permits for GHG emissions to the operator of the installations,  Issuance of approvals for the aircraft operator's monitoring plan, monitoring, reporting, verification and accreditation of verifiers, administrative fees, oversight and other issues relevant to the limitation of GHG emissions and adaptation to changed climatic conditions.</w:t>
      </w:r>
    </w:p>
    <w:p w14:paraId="2F468BDF" w14:textId="77777777" w:rsidR="00F358BC" w:rsidRPr="00617422" w:rsidRDefault="00F358BC" w:rsidP="00F358BC">
      <w:pPr>
        <w:spacing w:before="240" w:line="240" w:lineRule="auto"/>
        <w:rPr>
          <w:rFonts w:cstheme="minorHAnsi"/>
          <w:color w:val="000000"/>
          <w:sz w:val="22"/>
        </w:rPr>
      </w:pPr>
      <w:r w:rsidRPr="00617422">
        <w:rPr>
          <w:rFonts w:cstheme="minorHAnsi"/>
          <w:color w:val="000000"/>
          <w:sz w:val="22"/>
        </w:rPr>
        <w:t xml:space="preserve">Chapter V the law defines National GHG inventory system </w:t>
      </w:r>
      <w:r w:rsidRPr="00617422">
        <w:rPr>
          <w:rFonts w:cstheme="minorHAnsi"/>
          <w:sz w:val="22"/>
        </w:rPr>
        <w:t>for monitoring and reporting national GHG emissions in Serbia and establishes a comprehensive framework for managing and reporting greenhouse gas emissions.</w:t>
      </w:r>
    </w:p>
    <w:p w14:paraId="4070BDDB" w14:textId="77777777" w:rsidR="00F358BC" w:rsidRPr="00617422" w:rsidRDefault="00F358BC" w:rsidP="00F358BC">
      <w:pPr>
        <w:spacing w:line="210" w:lineRule="atLeast"/>
        <w:rPr>
          <w:rFonts w:cstheme="minorHAnsi"/>
          <w:b/>
          <w:bCs/>
          <w:color w:val="000000"/>
          <w:sz w:val="22"/>
          <w:u w:val="single"/>
        </w:rPr>
      </w:pPr>
      <w:r w:rsidRPr="00617422">
        <w:rPr>
          <w:rFonts w:cstheme="minorHAnsi"/>
          <w:b/>
          <w:bCs/>
          <w:color w:val="000000"/>
          <w:sz w:val="22"/>
          <w:u w:val="single"/>
        </w:rPr>
        <w:t xml:space="preserve">National Entity </w:t>
      </w:r>
    </w:p>
    <w:p w14:paraId="40305E37" w14:textId="77777777" w:rsidR="00F358BC" w:rsidRPr="00617422" w:rsidRDefault="00F358BC" w:rsidP="00F358BC">
      <w:pPr>
        <w:spacing w:line="210" w:lineRule="atLeast"/>
        <w:rPr>
          <w:rFonts w:cstheme="minorHAnsi"/>
          <w:color w:val="000000"/>
          <w:sz w:val="22"/>
        </w:rPr>
      </w:pPr>
      <w:r w:rsidRPr="00617422">
        <w:rPr>
          <w:rFonts w:cstheme="minorHAnsi"/>
          <w:color w:val="000000"/>
          <w:sz w:val="22"/>
        </w:rPr>
        <w:t xml:space="preserve">Article 58 of the Law on Climate Change mandate Environmental Protection Agency as national entity for to establishes and maintains a GHG Inventory system and prepares a relevant GHG Inventory Reports. </w:t>
      </w:r>
    </w:p>
    <w:p w14:paraId="1A9B2DCA" w14:textId="77777777" w:rsidR="00F358BC" w:rsidRPr="00617422" w:rsidRDefault="00F358BC" w:rsidP="00F358BC">
      <w:pPr>
        <w:pStyle w:val="BodyText"/>
        <w:spacing w:after="0"/>
        <w:rPr>
          <w:rFonts w:cstheme="minorHAnsi"/>
          <w:sz w:val="22"/>
          <w:lang w:val="en-US"/>
        </w:rPr>
      </w:pPr>
      <w:r w:rsidRPr="00617422">
        <w:rPr>
          <w:rStyle w:val="Strong"/>
          <w:rFonts w:cstheme="minorHAnsi"/>
          <w:b w:val="0"/>
          <w:bCs w:val="0"/>
          <w:sz w:val="22"/>
        </w:rPr>
        <w:t>ENVIRONMENTAL PROTECTION AGENCY</w:t>
      </w:r>
    </w:p>
    <w:p w14:paraId="4E384EA3" w14:textId="77777777" w:rsidR="00F358BC" w:rsidRPr="00617422" w:rsidRDefault="00F358BC" w:rsidP="00F358BC">
      <w:pPr>
        <w:pStyle w:val="BodyText"/>
        <w:spacing w:after="0"/>
        <w:rPr>
          <w:rFonts w:cstheme="minorHAnsi"/>
          <w:sz w:val="22"/>
        </w:rPr>
      </w:pPr>
      <w:proofErr w:type="spellStart"/>
      <w:r w:rsidRPr="00617422">
        <w:rPr>
          <w:rFonts w:cstheme="minorHAnsi"/>
          <w:sz w:val="22"/>
        </w:rPr>
        <w:t>Žabljačka</w:t>
      </w:r>
      <w:proofErr w:type="spellEnd"/>
      <w:r w:rsidRPr="00617422">
        <w:rPr>
          <w:rFonts w:cstheme="minorHAnsi"/>
          <w:sz w:val="22"/>
        </w:rPr>
        <w:t xml:space="preserve"> 10a, 11160 Belgrade, Republic of Serbia</w:t>
      </w:r>
    </w:p>
    <w:p w14:paraId="612D9C27" w14:textId="77777777" w:rsidR="00F358BC" w:rsidRPr="00617422" w:rsidRDefault="00F358BC" w:rsidP="00F358BC">
      <w:pPr>
        <w:pStyle w:val="BodyText"/>
        <w:spacing w:after="0"/>
        <w:rPr>
          <w:rFonts w:cstheme="minorHAnsi"/>
          <w:sz w:val="22"/>
        </w:rPr>
      </w:pPr>
      <w:r w:rsidRPr="00617422">
        <w:rPr>
          <w:rFonts w:cstheme="minorHAnsi"/>
          <w:sz w:val="22"/>
        </w:rPr>
        <w:t>+381(0)11 6356788</w:t>
      </w:r>
    </w:p>
    <w:p w14:paraId="2DCC7550" w14:textId="77777777" w:rsidR="00F358BC" w:rsidRPr="00617422" w:rsidRDefault="00F358BC" w:rsidP="00F358BC">
      <w:pPr>
        <w:pStyle w:val="BodyText"/>
        <w:spacing w:after="0"/>
        <w:rPr>
          <w:rFonts w:cstheme="minorHAnsi"/>
          <w:sz w:val="22"/>
        </w:rPr>
      </w:pPr>
      <w:r w:rsidRPr="00617422">
        <w:rPr>
          <w:rFonts w:cstheme="minorHAnsi"/>
          <w:sz w:val="22"/>
        </w:rPr>
        <w:t>+381(0)11 6356793</w:t>
      </w:r>
    </w:p>
    <w:p w14:paraId="17BD3C2E" w14:textId="77777777" w:rsidR="00F358BC" w:rsidRPr="00617422" w:rsidRDefault="00F358BC" w:rsidP="00F358BC">
      <w:pPr>
        <w:pStyle w:val="BodyText"/>
        <w:spacing w:after="0"/>
        <w:rPr>
          <w:rFonts w:cstheme="minorHAnsi"/>
          <w:sz w:val="22"/>
        </w:rPr>
      </w:pPr>
      <w:hyperlink r:id="rId23" w:history="1">
        <w:r w:rsidRPr="00617422">
          <w:rPr>
            <w:rStyle w:val="Hyperlink"/>
            <w:rFonts w:cstheme="minorHAnsi"/>
            <w:i/>
            <w:iCs/>
            <w:sz w:val="22"/>
          </w:rPr>
          <w:t>office@sepa.gov.rs</w:t>
        </w:r>
      </w:hyperlink>
    </w:p>
    <w:p w14:paraId="51BA7A71" w14:textId="77777777" w:rsidR="00F358BC" w:rsidRPr="00617422" w:rsidRDefault="00F358BC" w:rsidP="00F358BC">
      <w:pPr>
        <w:pStyle w:val="BodyText"/>
        <w:spacing w:after="0"/>
        <w:rPr>
          <w:rFonts w:cstheme="minorHAnsi"/>
          <w:color w:val="000000"/>
          <w:sz w:val="22"/>
        </w:rPr>
      </w:pPr>
      <w:r w:rsidRPr="00617422">
        <w:rPr>
          <w:rFonts w:cstheme="minorHAnsi"/>
          <w:color w:val="000000"/>
          <w:sz w:val="22"/>
        </w:rPr>
        <w:t>https://sepa.gov.rs/</w:t>
      </w:r>
    </w:p>
    <w:p w14:paraId="79F810B2" w14:textId="77777777" w:rsidR="00F358BC" w:rsidRDefault="00F358BC" w:rsidP="00F358BC">
      <w:pPr>
        <w:rPr>
          <w:rFonts w:cstheme="minorHAnsi"/>
          <w:color w:val="000000"/>
          <w:sz w:val="22"/>
        </w:rPr>
      </w:pPr>
    </w:p>
    <w:p w14:paraId="3CA58017" w14:textId="77777777" w:rsidR="00F358BC" w:rsidRPr="00617422" w:rsidRDefault="00F358BC" w:rsidP="00F358BC">
      <w:pPr>
        <w:rPr>
          <w:rFonts w:cstheme="minorHAnsi"/>
          <w:color w:val="000000"/>
          <w:sz w:val="22"/>
        </w:rPr>
      </w:pPr>
      <w:r w:rsidRPr="00617422">
        <w:rPr>
          <w:rFonts w:cstheme="minorHAnsi"/>
          <w:color w:val="000000"/>
          <w:sz w:val="22"/>
        </w:rPr>
        <w:t xml:space="preserve">In addition to the Law on climate change Serbia developed relevant sub- laws for implementation of the provisions of the Law such as: </w:t>
      </w:r>
    </w:p>
    <w:p w14:paraId="342FBCE9" w14:textId="77777777" w:rsidR="00F358BC" w:rsidRPr="00617422" w:rsidRDefault="00F358BC" w:rsidP="00F358BC">
      <w:pPr>
        <w:pStyle w:val="ListParagraph"/>
        <w:numPr>
          <w:ilvl w:val="0"/>
          <w:numId w:val="23"/>
        </w:numPr>
        <w:spacing w:before="240" w:line="240" w:lineRule="auto"/>
        <w:rPr>
          <w:rFonts w:cstheme="minorHAnsi"/>
          <w:color w:val="000000"/>
          <w:sz w:val="22"/>
        </w:rPr>
      </w:pPr>
      <w:r w:rsidRPr="00617422">
        <w:rPr>
          <w:rFonts w:cstheme="minorHAnsi"/>
          <w:color w:val="000000"/>
          <w:sz w:val="22"/>
        </w:rPr>
        <w:lastRenderedPageBreak/>
        <w:t>Rulebook on the contents of the national GHG inventory and national report on GHG inventory (OJ No 55/23)</w:t>
      </w:r>
    </w:p>
    <w:p w14:paraId="266F0638" w14:textId="77777777" w:rsidR="00F358BC" w:rsidRPr="00617422" w:rsidRDefault="00F358BC" w:rsidP="00F358BC">
      <w:pPr>
        <w:pStyle w:val="ListParagraph"/>
        <w:numPr>
          <w:ilvl w:val="0"/>
          <w:numId w:val="23"/>
        </w:numPr>
        <w:spacing w:before="240" w:line="240" w:lineRule="auto"/>
        <w:rPr>
          <w:rFonts w:cstheme="minorHAnsi"/>
          <w:color w:val="000000"/>
          <w:sz w:val="22"/>
        </w:rPr>
      </w:pPr>
      <w:r w:rsidRPr="00617422">
        <w:rPr>
          <w:rFonts w:cstheme="minorHAnsi"/>
          <w:color w:val="000000"/>
          <w:sz w:val="22"/>
        </w:rPr>
        <w:t>Regulation on types of data, bodies and organizations and other natural and legal persons submitting data for the creation of the national GHG inventory (OJ No 43/23)</w:t>
      </w:r>
    </w:p>
    <w:p w14:paraId="0C4E6871" w14:textId="77777777" w:rsidR="00F358BC" w:rsidRPr="00617422" w:rsidRDefault="00F358BC" w:rsidP="00F358BC">
      <w:pPr>
        <w:pStyle w:val="ListParagraph"/>
        <w:numPr>
          <w:ilvl w:val="0"/>
          <w:numId w:val="23"/>
        </w:numPr>
        <w:spacing w:before="240" w:line="240" w:lineRule="auto"/>
        <w:rPr>
          <w:rFonts w:cstheme="minorHAnsi"/>
          <w:color w:val="000000"/>
          <w:sz w:val="22"/>
        </w:rPr>
      </w:pPr>
      <w:r w:rsidRPr="00617422">
        <w:rPr>
          <w:rFonts w:cstheme="minorHAnsi"/>
          <w:color w:val="000000"/>
          <w:sz w:val="22"/>
        </w:rPr>
        <w:t>Rulebook on monitoring and reporting of GHG (OJ No 118/23)</w:t>
      </w:r>
    </w:p>
    <w:p w14:paraId="37095F37" w14:textId="77777777" w:rsidR="00F358BC" w:rsidRPr="00617422" w:rsidRDefault="00F358BC" w:rsidP="00F358BC">
      <w:pPr>
        <w:spacing w:before="240" w:line="240" w:lineRule="auto"/>
        <w:ind w:left="360"/>
        <w:rPr>
          <w:rFonts w:cstheme="minorHAnsi"/>
          <w:color w:val="000000"/>
          <w:sz w:val="22"/>
        </w:rPr>
      </w:pPr>
      <w:r w:rsidRPr="00617422">
        <w:rPr>
          <w:rFonts w:cstheme="minorHAnsi"/>
          <w:color w:val="000000"/>
          <w:sz w:val="22"/>
        </w:rPr>
        <w:t xml:space="preserve">Those sub-laws are complemented by additional legal framework established in the context of the Law on Air Protection such as: </w:t>
      </w:r>
    </w:p>
    <w:p w14:paraId="7D96823D" w14:textId="77777777" w:rsidR="00F358BC" w:rsidRPr="00617422" w:rsidRDefault="00F358BC" w:rsidP="00F358BC">
      <w:pPr>
        <w:pStyle w:val="ListParagraph"/>
        <w:numPr>
          <w:ilvl w:val="0"/>
          <w:numId w:val="23"/>
        </w:numPr>
        <w:spacing w:before="240" w:line="240" w:lineRule="auto"/>
        <w:rPr>
          <w:rFonts w:cstheme="minorHAnsi"/>
          <w:color w:val="000000"/>
          <w:sz w:val="22"/>
        </w:rPr>
      </w:pPr>
      <w:r w:rsidRPr="00617422">
        <w:rPr>
          <w:rFonts w:cstheme="minorHAnsi"/>
          <w:color w:val="000000"/>
          <w:sz w:val="22"/>
        </w:rPr>
        <w:t>Ordinance on the methodology for the development of national and local register of pollution sources and on the methodology and deadlines for data collection (OJ No 91/10, 10/13)</w:t>
      </w:r>
    </w:p>
    <w:p w14:paraId="120F6662" w14:textId="77777777" w:rsidR="00F358BC" w:rsidRPr="009A6575" w:rsidRDefault="00F358BC" w:rsidP="00F358BC">
      <w:pPr>
        <w:pStyle w:val="ListParagraph"/>
        <w:numPr>
          <w:ilvl w:val="0"/>
          <w:numId w:val="23"/>
        </w:numPr>
        <w:rPr>
          <w:rFonts w:cstheme="minorHAnsi"/>
          <w:sz w:val="22"/>
        </w:rPr>
      </w:pPr>
      <w:r w:rsidRPr="00617422">
        <w:rPr>
          <w:rFonts w:cstheme="minorHAnsi"/>
          <w:sz w:val="22"/>
        </w:rPr>
        <w:t>Regulation on fluorinated greenhouse gases management, as well as on conditions for license issuance to import and export of such gases (OJ No 120/13),</w:t>
      </w:r>
    </w:p>
    <w:p w14:paraId="73D779C4" w14:textId="77777777" w:rsidR="00F358BC" w:rsidRPr="00617422" w:rsidRDefault="00F358BC" w:rsidP="00F358BC">
      <w:pPr>
        <w:spacing w:before="240"/>
        <w:rPr>
          <w:rFonts w:cstheme="minorHAnsi"/>
          <w:b/>
          <w:bCs/>
          <w:i/>
          <w:color w:val="000000"/>
          <w:sz w:val="22"/>
        </w:rPr>
      </w:pPr>
      <w:r w:rsidRPr="00617422">
        <w:rPr>
          <w:rFonts w:cstheme="minorHAnsi"/>
          <w:b/>
          <w:bCs/>
          <w:i/>
          <w:color w:val="000000"/>
          <w:sz w:val="22"/>
        </w:rPr>
        <w:t>Institutional and procedural arrangements</w:t>
      </w:r>
    </w:p>
    <w:p w14:paraId="2C674EF0" w14:textId="77777777" w:rsidR="00F358BC" w:rsidRPr="00617422" w:rsidRDefault="00F358BC" w:rsidP="00F358BC">
      <w:pPr>
        <w:spacing w:before="240" w:line="240" w:lineRule="auto"/>
        <w:rPr>
          <w:rFonts w:cstheme="minorHAnsi"/>
          <w:sz w:val="22"/>
          <w:lang w:val="en-US" w:eastAsia="fr-FR"/>
        </w:rPr>
      </w:pPr>
      <w:r w:rsidRPr="00617422">
        <w:rPr>
          <w:rFonts w:cstheme="minorHAnsi"/>
          <w:color w:val="000000"/>
          <w:sz w:val="22"/>
        </w:rPr>
        <w:t xml:space="preserve">In terms of organizational arrangements, a centralized model has been applied in the Republic of Serbia. From an </w:t>
      </w:r>
      <w:r w:rsidRPr="00617422">
        <w:rPr>
          <w:rFonts w:cstheme="minorHAnsi"/>
          <w:sz w:val="22"/>
        </w:rPr>
        <w:t>institutional point of view, the Ministry of Environmental Protection (MEP) is the National Focal Point for the UNFCCC Convention.</w:t>
      </w:r>
    </w:p>
    <w:p w14:paraId="124C150C" w14:textId="2F6E724D" w:rsidR="00F358BC" w:rsidRPr="00617422" w:rsidRDefault="00F358BC" w:rsidP="00F358BC">
      <w:pPr>
        <w:spacing w:before="240" w:line="240" w:lineRule="auto"/>
        <w:rPr>
          <w:rFonts w:cstheme="minorHAnsi"/>
          <w:sz w:val="22"/>
          <w:lang w:eastAsia="fr-FR"/>
        </w:rPr>
      </w:pPr>
      <w:r w:rsidRPr="00617422">
        <w:rPr>
          <w:rFonts w:cstheme="minorHAnsi"/>
          <w:sz w:val="22"/>
          <w:lang w:eastAsia="fr-FR"/>
        </w:rPr>
        <w:t>As the UNFCCC National Focal Point and responsible of the National GHG Inventory, the MEP /</w:t>
      </w:r>
      <w:r w:rsidR="00DF7D82">
        <w:rPr>
          <w:rFonts w:cstheme="minorHAnsi"/>
          <w:sz w:val="22"/>
          <w:lang w:eastAsia="fr-FR"/>
        </w:rPr>
        <w:t xml:space="preserve">Sector for International Cooperation, Projects and </w:t>
      </w:r>
      <w:r w:rsidRPr="00617422">
        <w:rPr>
          <w:rFonts w:cstheme="minorHAnsi"/>
          <w:sz w:val="22"/>
          <w:lang w:eastAsia="fr-FR"/>
        </w:rPr>
        <w:t>Climate Change proceeds at the relevant frequency to:</w:t>
      </w:r>
    </w:p>
    <w:p w14:paraId="0BD02842" w14:textId="77777777" w:rsidR="00F358BC" w:rsidRPr="00617422" w:rsidRDefault="00F358BC" w:rsidP="00F358BC">
      <w:pPr>
        <w:pStyle w:val="ListParagraph"/>
        <w:numPr>
          <w:ilvl w:val="0"/>
          <w:numId w:val="24"/>
        </w:numPr>
        <w:spacing w:before="240" w:line="240" w:lineRule="auto"/>
        <w:rPr>
          <w:rFonts w:cstheme="minorHAnsi"/>
          <w:sz w:val="22"/>
          <w:lang w:eastAsia="fr-FR"/>
        </w:rPr>
      </w:pPr>
      <w:r w:rsidRPr="00617422">
        <w:rPr>
          <w:rFonts w:cstheme="minorHAnsi"/>
          <w:sz w:val="22"/>
          <w:lang w:eastAsia="fr-FR"/>
        </w:rPr>
        <w:t>the official approval of the national emission inventory and the national inventory report prepared by the Inventory Agency;</w:t>
      </w:r>
    </w:p>
    <w:p w14:paraId="4BA5169C" w14:textId="77777777" w:rsidR="00F358BC" w:rsidRPr="00617422" w:rsidRDefault="00F358BC" w:rsidP="00F358BC">
      <w:pPr>
        <w:pStyle w:val="ListParagraph"/>
        <w:numPr>
          <w:ilvl w:val="0"/>
          <w:numId w:val="24"/>
        </w:numPr>
        <w:spacing w:before="240" w:line="240" w:lineRule="auto"/>
        <w:rPr>
          <w:rFonts w:cstheme="minorHAnsi"/>
          <w:sz w:val="22"/>
          <w:lang w:eastAsia="fr-FR"/>
        </w:rPr>
      </w:pPr>
      <w:r w:rsidRPr="00617422">
        <w:rPr>
          <w:rFonts w:cstheme="minorHAnsi"/>
          <w:sz w:val="22"/>
          <w:lang w:eastAsia="fr-FR"/>
        </w:rPr>
        <w:t xml:space="preserve">the official communications and reporting of the national inventory to the UNFCCC. </w:t>
      </w:r>
    </w:p>
    <w:p w14:paraId="17614613" w14:textId="343C258D" w:rsidR="00F358BC" w:rsidRPr="00617422" w:rsidRDefault="00F358BC" w:rsidP="00F358BC">
      <w:pPr>
        <w:spacing w:before="240" w:line="240" w:lineRule="auto"/>
        <w:rPr>
          <w:rFonts w:cstheme="minorHAnsi"/>
          <w:sz w:val="22"/>
          <w:lang w:val="en-US" w:eastAsia="fr-FR"/>
        </w:rPr>
      </w:pPr>
      <w:r w:rsidRPr="00617422">
        <w:rPr>
          <w:rFonts w:cstheme="minorHAnsi"/>
          <w:sz w:val="22"/>
          <w:lang w:val="en-US" w:eastAsia="fr-FR"/>
        </w:rPr>
        <w:t>The inventory preparation is under the responsibility of Serbian Environment Protection Agency (SEPA). SEPA undertakes all activities such as data collection and preparation of emission reporting, according to CRT nomenclature, and the national GHG inventory report. All data which are necessary for the preparation of these products are collected by SEPA.</w:t>
      </w:r>
    </w:p>
    <w:p w14:paraId="09CA13DB" w14:textId="7AD63E3D" w:rsidR="00F358BC" w:rsidRDefault="00F358BC" w:rsidP="00F358BC">
      <w:pPr>
        <w:spacing w:before="240" w:line="240" w:lineRule="auto"/>
        <w:rPr>
          <w:rFonts w:eastAsia="Verdana" w:cstheme="minorHAnsi"/>
          <w:sz w:val="22"/>
        </w:rPr>
      </w:pPr>
      <w:r w:rsidRPr="00617422">
        <w:rPr>
          <w:rFonts w:cstheme="minorHAnsi"/>
          <w:sz w:val="22"/>
          <w:lang w:val="en-US" w:eastAsia="fr-FR"/>
        </w:rPr>
        <w:t xml:space="preserve">Law on Climate change mandates SEPA to </w:t>
      </w:r>
      <w:r w:rsidRPr="00617422">
        <w:rPr>
          <w:rFonts w:eastAsia="Verdana" w:cstheme="minorHAnsi"/>
          <w:sz w:val="22"/>
        </w:rPr>
        <w:t xml:space="preserve">conclude an agreement with the </w:t>
      </w:r>
      <w:r>
        <w:rPr>
          <w:rFonts w:eastAsia="Verdana" w:cstheme="minorHAnsi"/>
          <w:sz w:val="22"/>
        </w:rPr>
        <w:t>institutions</w:t>
      </w:r>
      <w:r w:rsidRPr="00617422">
        <w:rPr>
          <w:rFonts w:eastAsia="Verdana" w:cstheme="minorHAnsi"/>
          <w:sz w:val="22"/>
        </w:rPr>
        <w:t xml:space="preserve"> and organizations responsible for the management or management of information systems and databases containing the data necessary for the preparation of the GHG Inventory, which shall determine the obligations of these </w:t>
      </w:r>
      <w:r>
        <w:rPr>
          <w:rFonts w:eastAsia="Verdana" w:cstheme="minorHAnsi"/>
          <w:sz w:val="22"/>
        </w:rPr>
        <w:t>institutions</w:t>
      </w:r>
      <w:r w:rsidRPr="00617422">
        <w:rPr>
          <w:rFonts w:eastAsia="Verdana" w:cstheme="minorHAnsi"/>
          <w:sz w:val="22"/>
        </w:rPr>
        <w:t xml:space="preserve"> and organizations, in particular the data, deadlines, form and manner of their submission to the Agency.</w:t>
      </w:r>
    </w:p>
    <w:p w14:paraId="286880F1" w14:textId="77777777" w:rsidR="00F358BC" w:rsidRPr="00BB20AE" w:rsidRDefault="00F358BC" w:rsidP="00F358BC">
      <w:pPr>
        <w:spacing w:before="240" w:line="240" w:lineRule="auto"/>
        <w:rPr>
          <w:rFonts w:cstheme="minorHAnsi"/>
          <w:color w:val="000000"/>
          <w:sz w:val="22"/>
        </w:rPr>
      </w:pPr>
      <w:r w:rsidRPr="00BB20AE">
        <w:rPr>
          <w:rFonts w:eastAsia="Verdana" w:cstheme="minorHAnsi"/>
          <w:sz w:val="22"/>
        </w:rPr>
        <w:t xml:space="preserve">The institutions and scope of data are to be reported are in detail defined by the </w:t>
      </w:r>
      <w:r w:rsidRPr="00BB20AE">
        <w:rPr>
          <w:rFonts w:cstheme="minorHAnsi"/>
          <w:color w:val="000000"/>
          <w:sz w:val="22"/>
        </w:rPr>
        <w:t xml:space="preserve">Regulation on types of data, </w:t>
      </w:r>
      <w:r>
        <w:rPr>
          <w:rFonts w:cstheme="minorHAnsi"/>
          <w:color w:val="000000"/>
          <w:sz w:val="22"/>
        </w:rPr>
        <w:t>institutions</w:t>
      </w:r>
      <w:r w:rsidRPr="00BB20AE">
        <w:rPr>
          <w:rFonts w:cstheme="minorHAnsi"/>
          <w:color w:val="000000"/>
          <w:sz w:val="22"/>
        </w:rPr>
        <w:t xml:space="preserve"> and organizations and other natural and legal persons submitting data for the creation of the national GHG inventory (OJ No 43/23).</w:t>
      </w:r>
    </w:p>
    <w:p w14:paraId="4C2762DC" w14:textId="77777777" w:rsidR="00F358BC" w:rsidRPr="00BB20AE" w:rsidRDefault="00F358BC" w:rsidP="00F358BC">
      <w:pPr>
        <w:spacing w:line="210" w:lineRule="atLeast"/>
        <w:rPr>
          <w:rFonts w:cstheme="minorHAnsi"/>
        </w:rPr>
      </w:pPr>
      <w:r w:rsidRPr="00BB20AE">
        <w:rPr>
          <w:rFonts w:cstheme="minorHAnsi"/>
          <w:sz w:val="22"/>
          <w:lang w:val="en-US" w:eastAsia="fr-FR"/>
        </w:rPr>
        <w:t xml:space="preserve">In addition, the Law requires from SEPA to </w:t>
      </w:r>
      <w:r w:rsidRPr="00BB20AE">
        <w:rPr>
          <w:rFonts w:eastAsia="Verdana" w:cstheme="minorHAnsi"/>
          <w:sz w:val="22"/>
        </w:rPr>
        <w:t>develop and implement the Quality Assurance and Data Quality Control (QA/QC) Plan for the purpose of developing and improving the quality of the GHG Inventory. Furthermore,</w:t>
      </w:r>
      <w:r>
        <w:rPr>
          <w:rFonts w:eastAsia="Verdana" w:cstheme="minorHAnsi"/>
          <w:sz w:val="22"/>
        </w:rPr>
        <w:t xml:space="preserve"> the law requires that </w:t>
      </w:r>
      <w:r w:rsidRPr="00BB20AE">
        <w:rPr>
          <w:rFonts w:eastAsia="Verdana" w:cstheme="minorHAnsi"/>
          <w:sz w:val="22"/>
        </w:rPr>
        <w:t>the Agency coordinate activities with the authorities and organizations in order to ensure the quality and ensure data quality control in accordance with the plan.</w:t>
      </w:r>
    </w:p>
    <w:p w14:paraId="1E086C70" w14:textId="77777777" w:rsidR="00F358BC" w:rsidRPr="00BB20AE" w:rsidRDefault="00F358BC" w:rsidP="00F358BC">
      <w:pPr>
        <w:spacing w:line="210" w:lineRule="atLeast"/>
        <w:rPr>
          <w:rFonts w:cstheme="minorHAnsi"/>
        </w:rPr>
      </w:pPr>
      <w:r>
        <w:rPr>
          <w:rFonts w:eastAsia="Verdana" w:cstheme="minorHAnsi"/>
          <w:sz w:val="22"/>
        </w:rPr>
        <w:t>In addition, the laws also requires that t</w:t>
      </w:r>
      <w:r w:rsidRPr="00BB20AE">
        <w:rPr>
          <w:rFonts w:eastAsia="Verdana" w:cstheme="minorHAnsi"/>
          <w:sz w:val="22"/>
        </w:rPr>
        <w:t>he bodies and organizations act in accordance with the procedures referred to in the plan and shall inform the Agency of all implemented and planned changes, accompanied by an explanation.</w:t>
      </w:r>
    </w:p>
    <w:p w14:paraId="075519F9" w14:textId="03210CA8" w:rsidR="007A798C" w:rsidRDefault="007A798C" w:rsidP="007A798C">
      <w:pPr>
        <w:pStyle w:val="Heading3"/>
      </w:pPr>
      <w:bookmarkStart w:id="22" w:name="_Toc184808146"/>
      <w:r>
        <w:lastRenderedPageBreak/>
        <w:t>Inventory preparation process</w:t>
      </w:r>
      <w:bookmarkEnd w:id="21"/>
      <w:bookmarkEnd w:id="22"/>
    </w:p>
    <w:p w14:paraId="4192509D" w14:textId="02E749F0" w:rsidR="008725EB" w:rsidRPr="00C175F7" w:rsidRDefault="008725EB" w:rsidP="008725EB">
      <w:pPr>
        <w:spacing w:line="240" w:lineRule="auto"/>
        <w:rPr>
          <w:szCs w:val="24"/>
          <w:lang w:eastAsia="fr-FR"/>
        </w:rPr>
      </w:pPr>
      <w:r w:rsidRPr="00C175F7">
        <w:rPr>
          <w:szCs w:val="24"/>
          <w:lang w:eastAsia="fr-FR"/>
        </w:rPr>
        <w:t>Process of inventory preparation involves several steps starting with activity data collection and followed by emission estimation</w:t>
      </w:r>
      <w:r w:rsidR="00341A50">
        <w:rPr>
          <w:szCs w:val="24"/>
          <w:lang w:eastAsia="fr-FR"/>
        </w:rPr>
        <w:t>s</w:t>
      </w:r>
      <w:r w:rsidR="006E6753">
        <w:rPr>
          <w:szCs w:val="24"/>
          <w:lang w:eastAsia="fr-FR"/>
        </w:rPr>
        <w:t xml:space="preserve"> and recalculations</w:t>
      </w:r>
      <w:r w:rsidRPr="00C175F7">
        <w:rPr>
          <w:szCs w:val="24"/>
          <w:lang w:eastAsia="fr-FR"/>
        </w:rPr>
        <w:t xml:space="preserve">, compilation of inventory including the </w:t>
      </w:r>
      <w:r w:rsidR="000F6001">
        <w:rPr>
          <w:szCs w:val="24"/>
          <w:lang w:eastAsia="fr-FR"/>
        </w:rPr>
        <w:t>NID</w:t>
      </w:r>
      <w:r w:rsidRPr="00C175F7">
        <w:rPr>
          <w:szCs w:val="24"/>
          <w:lang w:eastAsia="fr-FR"/>
        </w:rPr>
        <w:t xml:space="preserve"> and the CR</w:t>
      </w:r>
      <w:r w:rsidR="00526CDB">
        <w:rPr>
          <w:szCs w:val="24"/>
          <w:lang w:eastAsia="fr-FR"/>
        </w:rPr>
        <w:t>T</w:t>
      </w:r>
      <w:r w:rsidRPr="00C175F7">
        <w:rPr>
          <w:szCs w:val="24"/>
          <w:lang w:eastAsia="fr-FR"/>
        </w:rPr>
        <w:t xml:space="preserve"> and</w:t>
      </w:r>
      <w:r w:rsidR="00526CDB">
        <w:rPr>
          <w:szCs w:val="24"/>
          <w:lang w:eastAsia="fr-FR"/>
        </w:rPr>
        <w:t>,</w:t>
      </w:r>
      <w:r w:rsidRPr="00C175F7">
        <w:rPr>
          <w:szCs w:val="24"/>
          <w:lang w:eastAsia="fr-FR"/>
        </w:rPr>
        <w:t xml:space="preserve"> in parallel</w:t>
      </w:r>
      <w:r w:rsidR="00526CDB">
        <w:rPr>
          <w:szCs w:val="24"/>
          <w:lang w:eastAsia="fr-FR"/>
        </w:rPr>
        <w:t>,</w:t>
      </w:r>
      <w:r w:rsidRPr="00C175F7">
        <w:rPr>
          <w:szCs w:val="24"/>
          <w:lang w:eastAsia="fr-FR"/>
        </w:rPr>
        <w:t xml:space="preserve"> implementation of general and source-category specific quality control procedures. </w:t>
      </w:r>
    </w:p>
    <w:p w14:paraId="0F736918" w14:textId="77777777" w:rsidR="008725EB" w:rsidRPr="00C175F7" w:rsidRDefault="008725EB" w:rsidP="008725EB">
      <w:pPr>
        <w:spacing w:line="240" w:lineRule="auto"/>
        <w:rPr>
          <w:szCs w:val="24"/>
          <w:lang w:eastAsia="fr-FR"/>
        </w:rPr>
      </w:pPr>
      <w:r w:rsidRPr="00C175F7">
        <w:rPr>
          <w:szCs w:val="24"/>
          <w:lang w:eastAsia="fr-FR"/>
        </w:rPr>
        <w:t>Process of preparation of the GHG inventory represents significant works because it includes many of national institutions and experts, and it requires different databases and/or data sets.</w:t>
      </w:r>
    </w:p>
    <w:p w14:paraId="59936654" w14:textId="77777777" w:rsidR="008725EB" w:rsidRPr="00C175F7" w:rsidRDefault="008725EB" w:rsidP="008725EB">
      <w:pPr>
        <w:spacing w:line="240" w:lineRule="auto"/>
        <w:rPr>
          <w:szCs w:val="24"/>
          <w:lang w:eastAsia="fr-FR"/>
        </w:rPr>
      </w:pPr>
      <w:r w:rsidRPr="00C175F7">
        <w:rPr>
          <w:szCs w:val="24"/>
          <w:lang w:eastAsia="fr-FR"/>
        </w:rPr>
        <w:t>A synthetic description of the input elements, output elements for each activity of emission inventories is presented in the table below.</w:t>
      </w:r>
    </w:p>
    <w:p w14:paraId="6A321FCD" w14:textId="37F479AC" w:rsidR="007D44CC" w:rsidRDefault="007D44CC" w:rsidP="007D44CC">
      <w:pPr>
        <w:pStyle w:val="Caption"/>
        <w:keepNext/>
        <w:jc w:val="both"/>
      </w:pPr>
      <w:bookmarkStart w:id="23" w:name="_Toc184808543"/>
      <w:r>
        <w:t xml:space="preserve">Table </w:t>
      </w:r>
      <w:r>
        <w:fldChar w:fldCharType="begin"/>
      </w:r>
      <w:r>
        <w:instrText xml:space="preserve"> SEQ Table \* ARABIC </w:instrText>
      </w:r>
      <w:r>
        <w:fldChar w:fldCharType="separate"/>
      </w:r>
      <w:r w:rsidR="00F14C78">
        <w:rPr>
          <w:noProof/>
        </w:rPr>
        <w:t>1</w:t>
      </w:r>
      <w:r>
        <w:fldChar w:fldCharType="end"/>
      </w:r>
      <w:r>
        <w:t>:</w:t>
      </w:r>
      <w:r w:rsidRPr="007D44CC">
        <w:t xml:space="preserve"> </w:t>
      </w:r>
      <w:r>
        <w:t>S</w:t>
      </w:r>
      <w:r w:rsidRPr="002462F0">
        <w:t>ynthetic description of the input and output elements for each activity emission inventories</w:t>
      </w:r>
      <w:bookmarkEnd w:id="23"/>
    </w:p>
    <w:p w14:paraId="7D965CFB" w14:textId="3B23BB28" w:rsidR="008725EB" w:rsidRPr="002462F0" w:rsidRDefault="00DF7D82" w:rsidP="008725EB">
      <w:pPr>
        <w:spacing w:line="240" w:lineRule="auto"/>
        <w:rPr>
          <w:sz w:val="24"/>
          <w:szCs w:val="24"/>
          <w:lang w:eastAsia="fr-FR"/>
        </w:rPr>
      </w:pPr>
      <w:r w:rsidRPr="002462F0">
        <w:rPr>
          <w:noProof/>
          <w:lang w:val="en-US"/>
        </w:rPr>
        <w:drawing>
          <wp:inline distT="0" distB="0" distL="0" distR="0" wp14:anchorId="1C346B03" wp14:editId="21FA220A">
            <wp:extent cx="5591175" cy="5522148"/>
            <wp:effectExtent l="0" t="0" r="0" b="2540"/>
            <wp:docPr id="2102271762" name="Image 9159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6250" b="2991"/>
                    <a:stretch/>
                  </pic:blipFill>
                  <pic:spPr bwMode="auto">
                    <a:xfrm>
                      <a:off x="0" y="0"/>
                      <a:ext cx="5593327" cy="5524273"/>
                    </a:xfrm>
                    <a:prstGeom prst="rect">
                      <a:avLst/>
                    </a:prstGeom>
                    <a:noFill/>
                    <a:ln>
                      <a:noFill/>
                    </a:ln>
                    <a:extLst>
                      <a:ext uri="{53640926-AAD7-44D8-BBD7-CCE9431645EC}">
                        <a14:shadowObscured xmlns:a14="http://schemas.microsoft.com/office/drawing/2010/main"/>
                      </a:ext>
                    </a:extLst>
                  </pic:spPr>
                </pic:pic>
              </a:graphicData>
            </a:graphic>
          </wp:inline>
        </w:drawing>
      </w:r>
    </w:p>
    <w:p w14:paraId="0C7A142E" w14:textId="77777777" w:rsidR="008725EB" w:rsidRDefault="008725EB" w:rsidP="008725EB">
      <w:pPr>
        <w:jc w:val="left"/>
        <w:rPr>
          <w:b/>
          <w:bCs/>
          <w:color w:val="4F81BD" w:themeColor="accent1"/>
          <w:sz w:val="18"/>
          <w:szCs w:val="18"/>
        </w:rPr>
      </w:pPr>
      <w:r>
        <w:br w:type="page"/>
      </w:r>
    </w:p>
    <w:p w14:paraId="4264DA17" w14:textId="6E4AD0E0" w:rsidR="008725EB" w:rsidRDefault="008725EB" w:rsidP="008725EB">
      <w:pPr>
        <w:pStyle w:val="Caption"/>
        <w:jc w:val="both"/>
        <w:rPr>
          <w:lang w:val="en-US"/>
        </w:rPr>
      </w:pPr>
      <w:bookmarkStart w:id="24" w:name="_Ref496690170"/>
      <w:bookmarkStart w:id="25" w:name="_Ref496690163"/>
      <w:bookmarkStart w:id="26" w:name="_Toc184808388"/>
      <w:r w:rsidRPr="004E1EA4">
        <w:lastRenderedPageBreak/>
        <w:t xml:space="preserve">Figure </w:t>
      </w:r>
      <w:r w:rsidRPr="004E1EA4">
        <w:fldChar w:fldCharType="begin"/>
      </w:r>
      <w:r w:rsidRPr="004E1EA4">
        <w:instrText xml:space="preserve"> SEQ Figure \* ARABIC </w:instrText>
      </w:r>
      <w:r w:rsidRPr="004E1EA4">
        <w:fldChar w:fldCharType="separate"/>
      </w:r>
      <w:r w:rsidR="00F14C78">
        <w:rPr>
          <w:noProof/>
        </w:rPr>
        <w:t>1</w:t>
      </w:r>
      <w:r w:rsidRPr="004E1EA4">
        <w:fldChar w:fldCharType="end"/>
      </w:r>
      <w:bookmarkEnd w:id="24"/>
      <w:r w:rsidRPr="004E1EA4">
        <w:t xml:space="preserve">: </w:t>
      </w:r>
      <w:r w:rsidRPr="004E1EA4">
        <w:rPr>
          <w:lang w:val="en-US"/>
        </w:rPr>
        <w:t>General process diagram for the preparation of the national emission inventory, with QA/QC procedures</w:t>
      </w:r>
      <w:bookmarkEnd w:id="25"/>
      <w:bookmarkEnd w:id="26"/>
    </w:p>
    <w:p w14:paraId="320F72BB" w14:textId="6FDE06D3" w:rsidR="008725EB" w:rsidRPr="00860B8B" w:rsidRDefault="008725EB" w:rsidP="008725EB">
      <w:pPr>
        <w:rPr>
          <w:lang w:val="en-US"/>
        </w:rPr>
      </w:pPr>
      <w:r w:rsidRPr="00860B8B">
        <w:rPr>
          <w:i/>
          <w:lang w:val="en-US"/>
        </w:rPr>
        <w:t xml:space="preserve">For details on QA/QC procedures, see annex </w:t>
      </w:r>
      <w:r w:rsidR="003B6C2E">
        <w:rPr>
          <w:i/>
          <w:lang w:val="en-US"/>
        </w:rPr>
        <w:t>4</w:t>
      </w:r>
      <w:r>
        <w:rPr>
          <w:lang w:val="en-US"/>
        </w:rPr>
        <w:t>.</w:t>
      </w:r>
    </w:p>
    <w:p w14:paraId="15B149A0" w14:textId="051BAF2A" w:rsidR="008725EB" w:rsidRDefault="000C70AD" w:rsidP="008725EB">
      <w:pPr>
        <w:spacing w:after="0" w:line="240" w:lineRule="auto"/>
        <w:rPr>
          <w:sz w:val="24"/>
          <w:szCs w:val="24"/>
          <w:lang w:eastAsia="fr-FR"/>
        </w:rPr>
      </w:pPr>
      <w:r>
        <w:rPr>
          <w:noProof/>
          <w:sz w:val="24"/>
          <w:szCs w:val="24"/>
          <w:lang w:val="en-US"/>
        </w:rPr>
        <w:drawing>
          <wp:inline distT="0" distB="0" distL="0" distR="0" wp14:anchorId="666C3211" wp14:editId="7F4F935B">
            <wp:extent cx="6120000" cy="3490007"/>
            <wp:effectExtent l="0" t="0" r="0" b="0"/>
            <wp:docPr id="1408233788"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3490007"/>
                    </a:xfrm>
                    <a:prstGeom prst="rect">
                      <a:avLst/>
                    </a:prstGeom>
                    <a:noFill/>
                  </pic:spPr>
                </pic:pic>
              </a:graphicData>
            </a:graphic>
          </wp:inline>
        </w:drawing>
      </w:r>
    </w:p>
    <w:p w14:paraId="4DABD38E" w14:textId="33B8D2ED" w:rsidR="008725EB" w:rsidRDefault="008725EB" w:rsidP="008725EB">
      <w:pPr>
        <w:jc w:val="left"/>
        <w:rPr>
          <w:sz w:val="24"/>
          <w:szCs w:val="24"/>
          <w:lang w:eastAsia="fr-FR"/>
        </w:rPr>
      </w:pPr>
    </w:p>
    <w:p w14:paraId="53DFBC10" w14:textId="77777777" w:rsidR="008725EB" w:rsidRPr="00C175F7" w:rsidRDefault="008725EB" w:rsidP="008725EB">
      <w:pPr>
        <w:spacing w:line="240" w:lineRule="auto"/>
        <w:rPr>
          <w:szCs w:val="24"/>
          <w:lang w:eastAsia="fr-FR"/>
        </w:rPr>
      </w:pPr>
      <w:r w:rsidRPr="00C175F7">
        <w:rPr>
          <w:szCs w:val="24"/>
          <w:lang w:eastAsia="fr-FR"/>
        </w:rPr>
        <w:t>With the aim of ensuring the sustainability of the process, the data bases produced during the process of preparation of the GHG inventory are located in the Environmental Protection Agency of the Republic of Serbia.</w:t>
      </w:r>
    </w:p>
    <w:p w14:paraId="493E849C" w14:textId="77777777" w:rsidR="008725EB" w:rsidRDefault="008725EB" w:rsidP="008725EB">
      <w:pPr>
        <w:spacing w:line="240" w:lineRule="auto"/>
        <w:rPr>
          <w:szCs w:val="24"/>
          <w:lang w:eastAsia="fr-FR"/>
        </w:rPr>
      </w:pPr>
      <w:r w:rsidRPr="00C175F7">
        <w:rPr>
          <w:szCs w:val="24"/>
          <w:lang w:eastAsia="fr-FR"/>
        </w:rPr>
        <w:t xml:space="preserve">Activity data collection is under responsibility of SEPA, which represents a hub between governmental and public institutions responsible for providing activity data and Authorised Institution responsible for inventory preparation. </w:t>
      </w:r>
    </w:p>
    <w:p w14:paraId="7E72237E" w14:textId="63D794F7" w:rsidR="008725EB" w:rsidRDefault="008725EB" w:rsidP="008725EB">
      <w:pPr>
        <w:spacing w:line="240" w:lineRule="auto"/>
        <w:rPr>
          <w:szCs w:val="24"/>
          <w:lang w:eastAsia="fr-FR"/>
        </w:rPr>
      </w:pPr>
      <w:r>
        <w:rPr>
          <w:szCs w:val="24"/>
          <w:lang w:eastAsia="fr-FR"/>
        </w:rPr>
        <w:t xml:space="preserve">For this submission, </w:t>
      </w:r>
      <w:r w:rsidR="005617A2">
        <w:rPr>
          <w:szCs w:val="24"/>
          <w:lang w:eastAsia="fr-FR"/>
        </w:rPr>
        <w:t xml:space="preserve">some confidential data are used and cannot be reported. </w:t>
      </w:r>
      <w:r w:rsidR="008A38B9">
        <w:rPr>
          <w:szCs w:val="24"/>
          <w:lang w:eastAsia="fr-FR"/>
        </w:rPr>
        <w:t xml:space="preserve">This concerns mostly </w:t>
      </w:r>
      <w:r w:rsidR="006744A6">
        <w:rPr>
          <w:szCs w:val="24"/>
          <w:lang w:eastAsia="fr-FR"/>
        </w:rPr>
        <w:t>industrial sectors where only one plant constitutes the whole subsector. CR</w:t>
      </w:r>
      <w:r w:rsidR="006C526A">
        <w:rPr>
          <w:szCs w:val="24"/>
          <w:lang w:eastAsia="fr-FR"/>
        </w:rPr>
        <w:t>T</w:t>
      </w:r>
      <w:r w:rsidR="006744A6">
        <w:rPr>
          <w:szCs w:val="24"/>
          <w:lang w:eastAsia="fr-FR"/>
        </w:rPr>
        <w:t xml:space="preserve"> sectors </w:t>
      </w:r>
      <w:r w:rsidR="00D61721">
        <w:rPr>
          <w:szCs w:val="24"/>
          <w:lang w:eastAsia="fr-FR"/>
        </w:rPr>
        <w:t>where confidential data are</w:t>
      </w:r>
      <w:r w:rsidR="004F49EB">
        <w:rPr>
          <w:szCs w:val="24"/>
          <w:lang w:eastAsia="fr-FR"/>
        </w:rPr>
        <w:t xml:space="preserve"> used are the CRT categories 2B1 (ammonia), 2B2 (nitric acid), 2C1 (iron and steel) and 2C4 (magnesium). </w:t>
      </w:r>
    </w:p>
    <w:p w14:paraId="7BC89C45" w14:textId="77777777" w:rsidR="008725EB" w:rsidRPr="00C175F7" w:rsidRDefault="008725EB" w:rsidP="008725EB">
      <w:pPr>
        <w:spacing w:line="240" w:lineRule="auto"/>
        <w:rPr>
          <w:szCs w:val="24"/>
          <w:lang w:eastAsia="fr-FR"/>
        </w:rPr>
      </w:pPr>
      <w:r w:rsidRPr="00C175F7">
        <w:rPr>
          <w:szCs w:val="24"/>
          <w:lang w:eastAsia="fr-FR"/>
        </w:rPr>
        <w:t>The scope and due dates for delivering activity data to SEPA are defined within the national inventory system.</w:t>
      </w:r>
    </w:p>
    <w:p w14:paraId="3C3A2361" w14:textId="42A8C625" w:rsidR="00A23342" w:rsidRPr="00914D66" w:rsidRDefault="00E65E2E" w:rsidP="00A23342">
      <w:pPr>
        <w:rPr>
          <w:b/>
          <w:bCs/>
          <w:i/>
          <w:u w:val="single"/>
          <w:lang w:eastAsia="fr-FR"/>
        </w:rPr>
      </w:pPr>
      <w:r w:rsidRPr="00914D66">
        <w:rPr>
          <w:b/>
          <w:bCs/>
          <w:color w:val="FF0000"/>
          <w:szCs w:val="24"/>
          <w:u w:val="single"/>
          <w:lang w:eastAsia="fr-FR"/>
        </w:rPr>
        <w:t xml:space="preserve"> </w:t>
      </w:r>
      <w:r w:rsidR="00A23342" w:rsidRPr="00914D66">
        <w:rPr>
          <w:b/>
          <w:bCs/>
          <w:i/>
          <w:u w:val="single"/>
          <w:lang w:eastAsia="fr-FR"/>
        </w:rPr>
        <w:t>Planning</w:t>
      </w:r>
    </w:p>
    <w:p w14:paraId="1D6C13B6" w14:textId="77777777" w:rsidR="00A23342" w:rsidRPr="002462F0" w:rsidRDefault="00A23342" w:rsidP="00A23342">
      <w:pPr>
        <w:spacing w:line="240" w:lineRule="auto"/>
        <w:rPr>
          <w:lang w:eastAsia="fr-FR"/>
        </w:rPr>
      </w:pPr>
      <w:r w:rsidRPr="002462F0">
        <w:rPr>
          <w:lang w:eastAsia="fr-FR"/>
        </w:rPr>
        <w:t xml:space="preserve">A detailed and operational inventory planning is prepared by the Inventory Manager for the internal coordination of the works within the SEPA. In the framework of the preparation of the national emission inventory, the inventory manager prepares an internal schedule for the inventory team to follow the UNFCCC reporting deadlines. </w:t>
      </w:r>
    </w:p>
    <w:p w14:paraId="7A80A1DE" w14:textId="77777777" w:rsidR="00A23342" w:rsidRPr="00914D66" w:rsidRDefault="00A23342" w:rsidP="00A23342">
      <w:pPr>
        <w:rPr>
          <w:b/>
          <w:bCs/>
          <w:i/>
          <w:u w:val="single"/>
          <w:lang w:eastAsia="fr-FR"/>
        </w:rPr>
      </w:pPr>
      <w:r w:rsidRPr="00914D66">
        <w:rPr>
          <w:b/>
          <w:bCs/>
          <w:i/>
          <w:u w:val="single"/>
          <w:lang w:eastAsia="fr-FR"/>
        </w:rPr>
        <w:t>Management</w:t>
      </w:r>
    </w:p>
    <w:p w14:paraId="2135DF07" w14:textId="7DA12823" w:rsidR="00A23342" w:rsidRDefault="00AA4AA2" w:rsidP="00A23342">
      <w:pPr>
        <w:spacing w:after="0" w:line="240" w:lineRule="auto"/>
        <w:rPr>
          <w:lang w:eastAsia="fr-FR"/>
        </w:rPr>
      </w:pPr>
      <w:r>
        <w:rPr>
          <w:lang w:eastAsia="fr-FR"/>
        </w:rPr>
        <w:t>The following schema</w:t>
      </w:r>
      <w:r w:rsidR="00027BBE">
        <w:rPr>
          <w:lang w:eastAsia="fr-FR"/>
        </w:rPr>
        <w:t xml:space="preserve"> </w:t>
      </w:r>
      <w:r w:rsidR="00F85AFE">
        <w:rPr>
          <w:lang w:eastAsia="fr-FR"/>
        </w:rPr>
        <w:t>presents the emission inventory management system in the Republic of Serbia.</w:t>
      </w:r>
    </w:p>
    <w:p w14:paraId="2AB9C20C" w14:textId="77777777" w:rsidR="00A23342" w:rsidRPr="002462F0" w:rsidRDefault="00A23342" w:rsidP="00A23342">
      <w:pPr>
        <w:spacing w:after="0" w:line="240" w:lineRule="auto"/>
        <w:rPr>
          <w:lang w:eastAsia="fr-FR"/>
        </w:rPr>
      </w:pPr>
    </w:p>
    <w:p w14:paraId="33560A2C" w14:textId="025E152A" w:rsidR="00A23342" w:rsidRDefault="00640195" w:rsidP="00A23342">
      <w:pPr>
        <w:rPr>
          <w:i/>
          <w:lang w:eastAsia="fr-FR"/>
        </w:rPr>
      </w:pPr>
      <w:r>
        <w:rPr>
          <w:rFonts w:ascii="Arial" w:hAnsi="Arial" w:cs="Arial"/>
          <w:noProof/>
          <w:szCs w:val="20"/>
          <w:lang w:val="en-US"/>
        </w:rPr>
        <w:lastRenderedPageBreak/>
        <w:drawing>
          <wp:inline distT="0" distB="0" distL="0" distR="0" wp14:anchorId="3F1C697F" wp14:editId="156D6102">
            <wp:extent cx="5882640" cy="3471722"/>
            <wp:effectExtent l="0" t="0" r="3810" b="0"/>
            <wp:docPr id="831329884" name="Image 1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5794" cy="3473583"/>
                    </a:xfrm>
                    <a:prstGeom prst="rect">
                      <a:avLst/>
                    </a:prstGeom>
                    <a:noFill/>
                    <a:ln>
                      <a:noFill/>
                    </a:ln>
                  </pic:spPr>
                </pic:pic>
              </a:graphicData>
            </a:graphic>
          </wp:inline>
        </w:drawing>
      </w:r>
    </w:p>
    <w:p w14:paraId="01EE37E5" w14:textId="77777777" w:rsidR="00640195" w:rsidRDefault="00640195" w:rsidP="00A23342">
      <w:pPr>
        <w:rPr>
          <w:i/>
          <w:lang w:eastAsia="fr-FR"/>
        </w:rPr>
      </w:pPr>
    </w:p>
    <w:p w14:paraId="06D0FC3A" w14:textId="77777777" w:rsidR="00A23342" w:rsidRPr="00914D66" w:rsidRDefault="00A23342" w:rsidP="00A23342">
      <w:pPr>
        <w:spacing w:line="240" w:lineRule="auto"/>
        <w:rPr>
          <w:b/>
          <w:bCs/>
          <w:i/>
          <w:u w:val="single"/>
          <w:lang w:eastAsia="fr-FR"/>
        </w:rPr>
      </w:pPr>
      <w:r w:rsidRPr="00914D66">
        <w:rPr>
          <w:b/>
          <w:bCs/>
          <w:i/>
          <w:u w:val="single"/>
          <w:lang w:eastAsia="fr-FR"/>
        </w:rPr>
        <w:t>Preparation</w:t>
      </w:r>
    </w:p>
    <w:p w14:paraId="49331C74" w14:textId="77777777" w:rsidR="00914D66" w:rsidRPr="002462F0" w:rsidRDefault="00914D66" w:rsidP="00914D66">
      <w:pPr>
        <w:spacing w:line="240" w:lineRule="auto"/>
        <w:rPr>
          <w:lang w:eastAsia="fr-FR"/>
        </w:rPr>
      </w:pPr>
      <w:r w:rsidRPr="002462F0">
        <w:rPr>
          <w:lang w:eastAsia="fr-FR"/>
        </w:rPr>
        <w:t>The elaboration of the national inventory is realized by sectoral experts in SEPA.</w:t>
      </w:r>
    </w:p>
    <w:p w14:paraId="48D76103" w14:textId="77777777" w:rsidR="00914D66" w:rsidRPr="00242AC9" w:rsidRDefault="00914D66" w:rsidP="00914D66">
      <w:pPr>
        <w:pStyle w:val="NormalWeb"/>
        <w:jc w:val="both"/>
        <w:rPr>
          <w:rFonts w:asciiTheme="minorHAnsi" w:hAnsiTheme="minorHAnsi" w:cstheme="minorHAnsi"/>
          <w:sz w:val="22"/>
          <w:szCs w:val="22"/>
          <w:lang w:val="en-US"/>
        </w:rPr>
      </w:pPr>
      <w:r w:rsidRPr="00242AC9">
        <w:rPr>
          <w:rFonts w:asciiTheme="minorHAnsi" w:hAnsiTheme="minorHAnsi" w:cstheme="minorHAnsi"/>
          <w:sz w:val="22"/>
          <w:szCs w:val="22"/>
        </w:rPr>
        <w:t xml:space="preserve">The process of Greenhouse Gas (GHG) inventory preparation involves several stages to ensure accurate reporting of a country's emissions. </w:t>
      </w:r>
      <w:r>
        <w:rPr>
          <w:rFonts w:asciiTheme="minorHAnsi" w:hAnsiTheme="minorHAnsi" w:cstheme="minorHAnsi"/>
          <w:sz w:val="22"/>
          <w:szCs w:val="22"/>
        </w:rPr>
        <w:t>Serbia’s GHG</w:t>
      </w:r>
      <w:r w:rsidRPr="00242AC9">
        <w:rPr>
          <w:rFonts w:asciiTheme="minorHAnsi" w:hAnsiTheme="minorHAnsi" w:cstheme="minorHAnsi"/>
          <w:sz w:val="22"/>
          <w:szCs w:val="22"/>
        </w:rPr>
        <w:t xml:space="preserve"> inventory is compiled annually</w:t>
      </w:r>
      <w:r>
        <w:rPr>
          <w:rFonts w:asciiTheme="minorHAnsi" w:hAnsiTheme="minorHAnsi" w:cstheme="minorHAnsi"/>
          <w:sz w:val="22"/>
          <w:szCs w:val="22"/>
        </w:rPr>
        <w:t xml:space="preserve"> to ensure proper tracking of its NDC target</w:t>
      </w:r>
      <w:r w:rsidRPr="00242AC9">
        <w:rPr>
          <w:rFonts w:asciiTheme="minorHAnsi" w:hAnsiTheme="minorHAnsi" w:cstheme="minorHAnsi"/>
          <w:sz w:val="22"/>
          <w:szCs w:val="22"/>
        </w:rPr>
        <w:t xml:space="preserve"> and </w:t>
      </w:r>
      <w:r>
        <w:rPr>
          <w:rFonts w:asciiTheme="minorHAnsi" w:hAnsiTheme="minorHAnsi" w:cstheme="minorHAnsi"/>
          <w:sz w:val="22"/>
          <w:szCs w:val="22"/>
        </w:rPr>
        <w:t xml:space="preserve">is biennially </w:t>
      </w:r>
      <w:r w:rsidRPr="00242AC9">
        <w:rPr>
          <w:rFonts w:asciiTheme="minorHAnsi" w:hAnsiTheme="minorHAnsi" w:cstheme="minorHAnsi"/>
          <w:sz w:val="22"/>
          <w:szCs w:val="22"/>
        </w:rPr>
        <w:t xml:space="preserve">submitted to </w:t>
      </w:r>
      <w:r>
        <w:rPr>
          <w:rFonts w:asciiTheme="minorHAnsi" w:hAnsiTheme="minorHAnsi" w:cstheme="minorHAnsi"/>
          <w:sz w:val="22"/>
          <w:szCs w:val="22"/>
        </w:rPr>
        <w:t xml:space="preserve">the </w:t>
      </w:r>
      <w:r w:rsidRPr="00242AC9">
        <w:rPr>
          <w:rFonts w:asciiTheme="minorHAnsi" w:hAnsiTheme="minorHAnsi" w:cstheme="minorHAnsi"/>
          <w:sz w:val="22"/>
          <w:szCs w:val="22"/>
        </w:rPr>
        <w:t>UNFCCC. The preparation process can be broken down into the following key steps</w:t>
      </w:r>
      <w:r>
        <w:rPr>
          <w:rFonts w:asciiTheme="minorHAnsi" w:hAnsiTheme="minorHAnsi" w:cstheme="minorHAnsi"/>
          <w:sz w:val="22"/>
          <w:szCs w:val="22"/>
        </w:rPr>
        <w:t xml:space="preserve"> taking into account the regulatory framework is in place</w:t>
      </w:r>
      <w:r w:rsidRPr="00242AC9">
        <w:rPr>
          <w:rFonts w:asciiTheme="minorHAnsi" w:hAnsiTheme="minorHAnsi" w:cstheme="minorHAnsi"/>
          <w:sz w:val="22"/>
          <w:szCs w:val="22"/>
        </w:rPr>
        <w:t>:</w:t>
      </w:r>
    </w:p>
    <w:p w14:paraId="09B185E3" w14:textId="77777777" w:rsidR="00914D66" w:rsidRPr="00242AC9" w:rsidRDefault="00914D66" w:rsidP="00914D66">
      <w:pPr>
        <w:pStyle w:val="BodyText"/>
        <w:rPr>
          <w:rFonts w:cstheme="minorHAnsi"/>
          <w:sz w:val="22"/>
        </w:rPr>
      </w:pPr>
    </w:p>
    <w:p w14:paraId="7A6A081D" w14:textId="77777777" w:rsidR="00914D66" w:rsidRPr="004B440B" w:rsidRDefault="00914D66" w:rsidP="00914D66">
      <w:pPr>
        <w:pStyle w:val="BodyText"/>
        <w:rPr>
          <w:rFonts w:cstheme="minorHAnsi"/>
          <w:i/>
          <w:iCs/>
          <w:sz w:val="22"/>
        </w:rPr>
      </w:pPr>
      <w:r w:rsidRPr="004B440B">
        <w:rPr>
          <w:rFonts w:cstheme="minorHAnsi"/>
          <w:i/>
          <w:iCs/>
          <w:sz w:val="22"/>
        </w:rPr>
        <w:t xml:space="preserve">1. </w:t>
      </w:r>
      <w:r w:rsidRPr="004B440B">
        <w:rPr>
          <w:rStyle w:val="Strong"/>
          <w:rFonts w:cstheme="minorHAnsi"/>
          <w:b w:val="0"/>
          <w:bCs w:val="0"/>
          <w:i/>
          <w:iCs/>
          <w:sz w:val="22"/>
        </w:rPr>
        <w:t>Identification of Emission Sources</w:t>
      </w:r>
    </w:p>
    <w:p w14:paraId="50C638A5" w14:textId="77777777" w:rsidR="00914D66" w:rsidRPr="00242AC9" w:rsidRDefault="00914D66" w:rsidP="00914D66">
      <w:pPr>
        <w:pStyle w:val="NormalWeb"/>
        <w:jc w:val="both"/>
        <w:rPr>
          <w:rFonts w:asciiTheme="minorHAnsi" w:hAnsiTheme="minorHAnsi" w:cstheme="minorHAnsi"/>
          <w:sz w:val="22"/>
          <w:szCs w:val="22"/>
        </w:rPr>
      </w:pPr>
      <w:r>
        <w:rPr>
          <w:rFonts w:asciiTheme="minorHAnsi" w:hAnsiTheme="minorHAnsi" w:cstheme="minorHAnsi"/>
          <w:sz w:val="22"/>
          <w:szCs w:val="22"/>
        </w:rPr>
        <w:t xml:space="preserve">SEPA experts </w:t>
      </w:r>
      <w:r w:rsidRPr="00242AC9">
        <w:rPr>
          <w:rFonts w:asciiTheme="minorHAnsi" w:hAnsiTheme="minorHAnsi" w:cstheme="minorHAnsi"/>
          <w:sz w:val="22"/>
          <w:szCs w:val="22"/>
        </w:rPr>
        <w:t>ident</w:t>
      </w:r>
      <w:r>
        <w:rPr>
          <w:rFonts w:asciiTheme="minorHAnsi" w:hAnsiTheme="minorHAnsi" w:cstheme="minorHAnsi"/>
          <w:sz w:val="22"/>
          <w:szCs w:val="22"/>
        </w:rPr>
        <w:t>ifies</w:t>
      </w:r>
      <w:r w:rsidRPr="00242AC9">
        <w:rPr>
          <w:rFonts w:asciiTheme="minorHAnsi" w:hAnsiTheme="minorHAnsi" w:cstheme="minorHAnsi"/>
          <w:sz w:val="22"/>
          <w:szCs w:val="22"/>
        </w:rPr>
        <w:t xml:space="preserve"> all relevant sectors contributing to GHG emissions, which include:</w:t>
      </w:r>
    </w:p>
    <w:p w14:paraId="5F77F25F" w14:textId="77777777" w:rsidR="00914D66" w:rsidRPr="00242AC9" w:rsidRDefault="00914D66" w:rsidP="00914D66">
      <w:pPr>
        <w:numPr>
          <w:ilvl w:val="0"/>
          <w:numId w:val="78"/>
        </w:numPr>
        <w:spacing w:before="100" w:beforeAutospacing="1" w:after="100" w:afterAutospacing="1" w:line="240" w:lineRule="auto"/>
        <w:rPr>
          <w:rFonts w:cstheme="minorHAnsi"/>
          <w:sz w:val="22"/>
        </w:rPr>
      </w:pPr>
      <w:r w:rsidRPr="00242AC9">
        <w:rPr>
          <w:rStyle w:val="Strong"/>
          <w:rFonts w:cstheme="minorHAnsi"/>
          <w:b w:val="0"/>
          <w:bCs w:val="0"/>
          <w:sz w:val="22"/>
        </w:rPr>
        <w:t>Energy</w:t>
      </w:r>
      <w:r w:rsidRPr="00242AC9">
        <w:rPr>
          <w:rFonts w:cstheme="minorHAnsi"/>
          <w:sz w:val="22"/>
        </w:rPr>
        <w:t xml:space="preserve"> ( e.g. fossil fuel combustion, electricity generation, etc…)</w:t>
      </w:r>
    </w:p>
    <w:p w14:paraId="179A1DF3" w14:textId="77777777" w:rsidR="00914D66" w:rsidRPr="00242AC9" w:rsidRDefault="00914D66" w:rsidP="00914D66">
      <w:pPr>
        <w:numPr>
          <w:ilvl w:val="0"/>
          <w:numId w:val="78"/>
        </w:numPr>
        <w:spacing w:before="100" w:beforeAutospacing="1" w:after="100" w:afterAutospacing="1" w:line="240" w:lineRule="auto"/>
        <w:rPr>
          <w:rFonts w:cstheme="minorHAnsi"/>
          <w:sz w:val="22"/>
        </w:rPr>
      </w:pPr>
      <w:r w:rsidRPr="00242AC9">
        <w:rPr>
          <w:rStyle w:val="Strong"/>
          <w:rFonts w:cstheme="minorHAnsi"/>
          <w:b w:val="0"/>
          <w:bCs w:val="0"/>
          <w:sz w:val="22"/>
        </w:rPr>
        <w:t>Industrial Processes</w:t>
      </w:r>
      <w:r w:rsidRPr="00242AC9">
        <w:rPr>
          <w:rFonts w:cstheme="minorHAnsi"/>
          <w:sz w:val="22"/>
        </w:rPr>
        <w:t xml:space="preserve"> (e.g. cement production, iron and steel production, F gasses consumption, etc…)</w:t>
      </w:r>
    </w:p>
    <w:p w14:paraId="0E7BBB49" w14:textId="77777777" w:rsidR="00914D66" w:rsidRPr="00242AC9" w:rsidRDefault="00914D66" w:rsidP="00914D66">
      <w:pPr>
        <w:numPr>
          <w:ilvl w:val="0"/>
          <w:numId w:val="78"/>
        </w:numPr>
        <w:spacing w:before="100" w:beforeAutospacing="1" w:after="100" w:afterAutospacing="1" w:line="240" w:lineRule="auto"/>
        <w:rPr>
          <w:rFonts w:cstheme="minorHAnsi"/>
          <w:sz w:val="22"/>
        </w:rPr>
      </w:pPr>
      <w:r w:rsidRPr="00242AC9">
        <w:rPr>
          <w:rStyle w:val="Strong"/>
          <w:rFonts w:cstheme="minorHAnsi"/>
          <w:b w:val="0"/>
          <w:bCs w:val="0"/>
          <w:sz w:val="22"/>
        </w:rPr>
        <w:t>Agriculture</w:t>
      </w:r>
      <w:r w:rsidRPr="00242AC9">
        <w:rPr>
          <w:rFonts w:cstheme="minorHAnsi"/>
          <w:sz w:val="22"/>
        </w:rPr>
        <w:t xml:space="preserve"> (e.g. livestock emissions, fertilizer use, etc…)</w:t>
      </w:r>
    </w:p>
    <w:p w14:paraId="3BCCA85A" w14:textId="77777777" w:rsidR="00914D66" w:rsidRPr="00242AC9" w:rsidRDefault="00914D66" w:rsidP="00914D66">
      <w:pPr>
        <w:numPr>
          <w:ilvl w:val="0"/>
          <w:numId w:val="78"/>
        </w:numPr>
        <w:spacing w:before="100" w:beforeAutospacing="1" w:after="100" w:afterAutospacing="1" w:line="240" w:lineRule="auto"/>
        <w:rPr>
          <w:rFonts w:cstheme="minorHAnsi"/>
          <w:sz w:val="22"/>
        </w:rPr>
      </w:pPr>
      <w:r w:rsidRPr="00242AC9">
        <w:rPr>
          <w:rStyle w:val="Strong"/>
          <w:rFonts w:cstheme="minorHAnsi"/>
          <w:b w:val="0"/>
          <w:bCs w:val="0"/>
          <w:sz w:val="22"/>
        </w:rPr>
        <w:t>Land-Use and Forestry</w:t>
      </w:r>
      <w:r w:rsidRPr="00242AC9">
        <w:rPr>
          <w:rFonts w:cstheme="minorHAnsi"/>
          <w:sz w:val="22"/>
        </w:rPr>
        <w:t xml:space="preserve"> (e.g. change in land uses, forest gains and losses, etc…)</w:t>
      </w:r>
    </w:p>
    <w:p w14:paraId="35634D74" w14:textId="77777777" w:rsidR="00914D66" w:rsidRDefault="00914D66" w:rsidP="00914D66">
      <w:pPr>
        <w:numPr>
          <w:ilvl w:val="0"/>
          <w:numId w:val="78"/>
        </w:numPr>
        <w:spacing w:before="100" w:beforeAutospacing="1" w:after="100" w:afterAutospacing="1" w:line="240" w:lineRule="auto"/>
        <w:rPr>
          <w:rFonts w:cstheme="minorHAnsi"/>
          <w:sz w:val="22"/>
        </w:rPr>
      </w:pPr>
      <w:r w:rsidRPr="00242AC9">
        <w:rPr>
          <w:rStyle w:val="Strong"/>
          <w:rFonts w:cstheme="minorHAnsi"/>
          <w:b w:val="0"/>
          <w:bCs w:val="0"/>
          <w:sz w:val="22"/>
        </w:rPr>
        <w:t>Waste</w:t>
      </w:r>
      <w:r w:rsidRPr="00242AC9">
        <w:rPr>
          <w:rFonts w:cstheme="minorHAnsi"/>
          <w:sz w:val="22"/>
        </w:rPr>
        <w:t xml:space="preserve"> (e.g. solid waste disposal, wastewater treatment, etc…)</w:t>
      </w:r>
    </w:p>
    <w:p w14:paraId="3D9F1CEE" w14:textId="77777777" w:rsidR="00914D66" w:rsidRPr="00AD38EA" w:rsidRDefault="00914D66" w:rsidP="00914D66">
      <w:pPr>
        <w:spacing w:line="210" w:lineRule="atLeast"/>
        <w:rPr>
          <w:rFonts w:cstheme="minorHAnsi"/>
        </w:rPr>
      </w:pPr>
      <w:r>
        <w:rPr>
          <w:rFonts w:cstheme="minorHAnsi"/>
          <w:sz w:val="22"/>
        </w:rPr>
        <w:t xml:space="preserve">It Has to be noted that the pool of available data is improving because of adoption and implementation of relevant MRV related legislation. In year 2025 Republic of Serbia is expecting to  start using the information from the verified emission reports installations are preparing in accordance with the approved monitoring plans, as additional source of information for preparation of the GHG estimates from Energy industries, Manufacturing industries and for </w:t>
      </w:r>
      <w:r w:rsidRPr="00AD38EA">
        <w:rPr>
          <w:rFonts w:cstheme="minorHAnsi"/>
          <w:sz w:val="22"/>
        </w:rPr>
        <w:t xml:space="preserve">preparation of the emission estimates from selected industrial process falling under the scope of  the </w:t>
      </w:r>
      <w:r w:rsidRPr="00AD38EA">
        <w:rPr>
          <w:rFonts w:eastAsia="Verdana" w:cstheme="minorHAnsi"/>
          <w:bCs/>
          <w:sz w:val="22"/>
        </w:rPr>
        <w:t>R</w:t>
      </w:r>
      <w:r>
        <w:rPr>
          <w:rFonts w:eastAsia="Verdana" w:cstheme="minorHAnsi"/>
          <w:bCs/>
          <w:sz w:val="22"/>
        </w:rPr>
        <w:t>egulation</w:t>
      </w:r>
      <w:r w:rsidRPr="00AD38EA">
        <w:rPr>
          <w:rFonts w:eastAsia="Verdana" w:cstheme="minorHAnsi"/>
          <w:bCs/>
          <w:sz w:val="22"/>
        </w:rPr>
        <w:t xml:space="preserve"> on types of activities and greenhouse gases</w:t>
      </w:r>
      <w:r w:rsidRPr="00AD38EA">
        <w:rPr>
          <w:rFonts w:eastAsia="Verdana" w:cstheme="minorHAnsi"/>
          <w:b/>
          <w:sz w:val="22"/>
        </w:rPr>
        <w:t xml:space="preserve"> </w:t>
      </w:r>
      <w:r w:rsidRPr="00AD38EA">
        <w:rPr>
          <w:rFonts w:eastAsia="Verdana" w:cstheme="minorHAnsi"/>
          <w:sz w:val="22"/>
        </w:rPr>
        <w:t>"Official Gazette of RS", No 13 of 4 February 2022.</w:t>
      </w:r>
    </w:p>
    <w:p w14:paraId="1C259C5F" w14:textId="77777777" w:rsidR="00914D66" w:rsidRDefault="00914D66" w:rsidP="00914D66">
      <w:pPr>
        <w:pStyle w:val="BodyText"/>
        <w:rPr>
          <w:rFonts w:cstheme="minorHAnsi"/>
          <w:sz w:val="22"/>
        </w:rPr>
      </w:pPr>
    </w:p>
    <w:p w14:paraId="69ECAE0B" w14:textId="77777777" w:rsidR="00914D66" w:rsidRPr="004B440B" w:rsidRDefault="00914D66" w:rsidP="00914D66">
      <w:pPr>
        <w:pStyle w:val="BodyText"/>
        <w:rPr>
          <w:rFonts w:cstheme="minorHAnsi"/>
          <w:i/>
          <w:iCs/>
          <w:sz w:val="22"/>
        </w:rPr>
      </w:pPr>
      <w:r w:rsidRPr="004B440B">
        <w:rPr>
          <w:rFonts w:cstheme="minorHAnsi"/>
          <w:i/>
          <w:iCs/>
          <w:sz w:val="22"/>
        </w:rPr>
        <w:lastRenderedPageBreak/>
        <w:t>2. Data Collection</w:t>
      </w:r>
    </w:p>
    <w:p w14:paraId="37DDCB6A" w14:textId="4FCFBE12" w:rsidR="00914D66" w:rsidRPr="00242AC9" w:rsidRDefault="00914D66" w:rsidP="00914D66">
      <w:pPr>
        <w:pStyle w:val="NormalWeb"/>
        <w:jc w:val="both"/>
        <w:rPr>
          <w:rFonts w:asciiTheme="minorHAnsi" w:hAnsiTheme="minorHAnsi" w:cstheme="minorHAnsi"/>
          <w:sz w:val="22"/>
          <w:szCs w:val="22"/>
        </w:rPr>
      </w:pPr>
      <w:r w:rsidRPr="00242AC9">
        <w:rPr>
          <w:rFonts w:asciiTheme="minorHAnsi" w:hAnsiTheme="minorHAnsi" w:cstheme="minorHAnsi"/>
          <w:sz w:val="22"/>
          <w:szCs w:val="22"/>
        </w:rPr>
        <w:t xml:space="preserve">The core of GHG inventory preparation is the collection of activity data, such as fuel consumption, industrial output, or agricultural practices. This data can </w:t>
      </w:r>
      <w:r w:rsidR="00440E68">
        <w:rPr>
          <w:rFonts w:asciiTheme="minorHAnsi" w:hAnsiTheme="minorHAnsi" w:cstheme="minorHAnsi"/>
          <w:sz w:val="22"/>
          <w:szCs w:val="22"/>
        </w:rPr>
        <w:t>are sourced</w:t>
      </w:r>
      <w:r w:rsidRPr="00242AC9">
        <w:rPr>
          <w:rFonts w:asciiTheme="minorHAnsi" w:hAnsiTheme="minorHAnsi" w:cstheme="minorHAnsi"/>
          <w:sz w:val="22"/>
          <w:szCs w:val="22"/>
        </w:rPr>
        <w:t xml:space="preserve"> from various sources, including government reports, industry statistics, or specialized surveys.</w:t>
      </w:r>
      <w:r>
        <w:rPr>
          <w:rFonts w:asciiTheme="minorHAnsi" w:hAnsiTheme="minorHAnsi" w:cstheme="minorHAnsi"/>
          <w:sz w:val="22"/>
          <w:szCs w:val="22"/>
        </w:rPr>
        <w:t xml:space="preserve"> Law on Climate change is mandating SEPA to request from institutions and organisations any data it might need annually for the compilation of GHG Inventory.  </w:t>
      </w:r>
    </w:p>
    <w:p w14:paraId="52D17F2B" w14:textId="77777777" w:rsidR="00914D66" w:rsidRDefault="00914D66" w:rsidP="00914D66">
      <w:pPr>
        <w:pStyle w:val="BodyText"/>
        <w:rPr>
          <w:rFonts w:cstheme="minorHAnsi"/>
          <w:sz w:val="22"/>
        </w:rPr>
      </w:pPr>
    </w:p>
    <w:p w14:paraId="4A087068" w14:textId="77777777" w:rsidR="00914D66" w:rsidRPr="004B440B" w:rsidRDefault="00914D66" w:rsidP="00914D66">
      <w:pPr>
        <w:pStyle w:val="BodyText"/>
        <w:rPr>
          <w:rFonts w:cstheme="minorHAnsi"/>
          <w:i/>
          <w:iCs/>
          <w:sz w:val="22"/>
        </w:rPr>
      </w:pPr>
      <w:r w:rsidRPr="004B440B">
        <w:rPr>
          <w:rFonts w:cstheme="minorHAnsi"/>
          <w:i/>
          <w:iCs/>
          <w:sz w:val="22"/>
        </w:rPr>
        <w:t>3. Application of appropriate IPCC methodology</w:t>
      </w:r>
    </w:p>
    <w:p w14:paraId="40CD332D" w14:textId="77777777" w:rsidR="00914D66" w:rsidRPr="00242AC9" w:rsidRDefault="00914D66" w:rsidP="00914D66">
      <w:pPr>
        <w:pStyle w:val="NormalWeb"/>
        <w:jc w:val="both"/>
        <w:rPr>
          <w:rFonts w:asciiTheme="minorHAnsi" w:hAnsiTheme="minorHAnsi" w:cstheme="minorHAnsi"/>
          <w:sz w:val="22"/>
          <w:szCs w:val="22"/>
        </w:rPr>
      </w:pPr>
      <w:r w:rsidRPr="00242AC9">
        <w:rPr>
          <w:rFonts w:asciiTheme="minorHAnsi" w:hAnsiTheme="minorHAnsi" w:cstheme="minorHAnsi"/>
          <w:sz w:val="22"/>
          <w:szCs w:val="22"/>
        </w:rPr>
        <w:t xml:space="preserve">The </w:t>
      </w:r>
      <w:r w:rsidRPr="00AD38EA">
        <w:rPr>
          <w:rStyle w:val="Strong"/>
          <w:rFonts w:asciiTheme="minorHAnsi" w:hAnsiTheme="minorHAnsi" w:cstheme="minorHAnsi"/>
          <w:b w:val="0"/>
          <w:bCs w:val="0"/>
          <w:sz w:val="22"/>
          <w:szCs w:val="22"/>
        </w:rPr>
        <w:t>IPCC Guidelines</w:t>
      </w:r>
      <w:r w:rsidRPr="00242AC9">
        <w:rPr>
          <w:rFonts w:asciiTheme="minorHAnsi" w:hAnsiTheme="minorHAnsi" w:cstheme="minorHAnsi"/>
          <w:sz w:val="22"/>
          <w:szCs w:val="22"/>
        </w:rPr>
        <w:t xml:space="preserve"> provide the international standard for calculating GHG emissions. </w:t>
      </w:r>
      <w:r>
        <w:rPr>
          <w:rFonts w:asciiTheme="minorHAnsi" w:hAnsiTheme="minorHAnsi" w:cstheme="minorHAnsi"/>
          <w:sz w:val="22"/>
          <w:szCs w:val="22"/>
        </w:rPr>
        <w:t>Serbia</w:t>
      </w:r>
      <w:r w:rsidRPr="00242AC9">
        <w:rPr>
          <w:rFonts w:asciiTheme="minorHAnsi" w:hAnsiTheme="minorHAnsi" w:cstheme="minorHAnsi"/>
          <w:sz w:val="22"/>
          <w:szCs w:val="22"/>
        </w:rPr>
        <w:t xml:space="preserve"> uses either:</w:t>
      </w:r>
    </w:p>
    <w:p w14:paraId="1B3126AF" w14:textId="77777777" w:rsidR="00914D66" w:rsidRPr="00242AC9" w:rsidRDefault="00914D66" w:rsidP="00914D66">
      <w:pPr>
        <w:numPr>
          <w:ilvl w:val="0"/>
          <w:numId w:val="79"/>
        </w:numPr>
        <w:spacing w:before="100" w:beforeAutospacing="1" w:after="100" w:afterAutospacing="1" w:line="240" w:lineRule="auto"/>
        <w:rPr>
          <w:rFonts w:cstheme="minorHAnsi"/>
          <w:sz w:val="22"/>
        </w:rPr>
      </w:pPr>
      <w:r w:rsidRPr="00AD38EA">
        <w:rPr>
          <w:rStyle w:val="Strong"/>
          <w:rFonts w:cstheme="minorHAnsi"/>
          <w:b w:val="0"/>
          <w:bCs w:val="0"/>
          <w:sz w:val="22"/>
        </w:rPr>
        <w:t>Tier 1 methods</w:t>
      </w:r>
      <w:r w:rsidRPr="00242AC9">
        <w:rPr>
          <w:rFonts w:cstheme="minorHAnsi"/>
          <w:sz w:val="22"/>
        </w:rPr>
        <w:t>, which are simple and rely on default emission factors.</w:t>
      </w:r>
    </w:p>
    <w:p w14:paraId="47A5B92D" w14:textId="77777777" w:rsidR="00914D66" w:rsidRDefault="00914D66" w:rsidP="00914D66">
      <w:pPr>
        <w:numPr>
          <w:ilvl w:val="0"/>
          <w:numId w:val="79"/>
        </w:numPr>
        <w:spacing w:before="100" w:beforeAutospacing="1" w:after="100" w:afterAutospacing="1" w:line="240" w:lineRule="auto"/>
        <w:rPr>
          <w:rFonts w:cstheme="minorHAnsi"/>
          <w:sz w:val="22"/>
        </w:rPr>
      </w:pPr>
      <w:r w:rsidRPr="00AD38EA">
        <w:rPr>
          <w:rStyle w:val="Strong"/>
          <w:rFonts w:cstheme="minorHAnsi"/>
          <w:b w:val="0"/>
          <w:bCs w:val="0"/>
          <w:sz w:val="22"/>
        </w:rPr>
        <w:t>Tier 2 or 3 methods</w:t>
      </w:r>
      <w:r w:rsidRPr="00242AC9">
        <w:rPr>
          <w:rFonts w:cstheme="minorHAnsi"/>
          <w:sz w:val="22"/>
        </w:rPr>
        <w:t>, which involve more detailed calculations using country-specific data or direct measurements.</w:t>
      </w:r>
    </w:p>
    <w:p w14:paraId="3BBDD6A1" w14:textId="77777777" w:rsidR="00914D66" w:rsidRPr="004B440B" w:rsidRDefault="00914D66" w:rsidP="00914D66">
      <w:pPr>
        <w:pStyle w:val="BodyText"/>
        <w:rPr>
          <w:rFonts w:cstheme="minorHAnsi"/>
          <w:i/>
          <w:iCs/>
          <w:sz w:val="22"/>
        </w:rPr>
      </w:pPr>
      <w:r w:rsidRPr="004B440B">
        <w:rPr>
          <w:rFonts w:cstheme="minorHAnsi"/>
          <w:i/>
          <w:iCs/>
          <w:sz w:val="22"/>
        </w:rPr>
        <w:t>4. Emission Factors</w:t>
      </w:r>
    </w:p>
    <w:p w14:paraId="7CDFABD0" w14:textId="77777777" w:rsidR="00914D66" w:rsidRPr="00242AC9" w:rsidRDefault="00914D66" w:rsidP="00914D66">
      <w:pPr>
        <w:pStyle w:val="NormalWeb"/>
        <w:jc w:val="both"/>
        <w:rPr>
          <w:rFonts w:asciiTheme="minorHAnsi" w:hAnsiTheme="minorHAnsi" w:cstheme="minorHAnsi"/>
          <w:sz w:val="22"/>
          <w:szCs w:val="22"/>
        </w:rPr>
      </w:pPr>
      <w:r>
        <w:rPr>
          <w:rFonts w:asciiTheme="minorHAnsi" w:hAnsiTheme="minorHAnsi" w:cstheme="minorHAnsi"/>
          <w:sz w:val="22"/>
          <w:szCs w:val="22"/>
        </w:rPr>
        <w:t xml:space="preserve">Selections of appropriate emissions factors is driven by the IPCC decision trees applicable for every category. Serbia in many sectors still </w:t>
      </w:r>
      <w:r w:rsidRPr="00242AC9">
        <w:rPr>
          <w:rFonts w:asciiTheme="minorHAnsi" w:hAnsiTheme="minorHAnsi" w:cstheme="minorHAnsi"/>
          <w:sz w:val="22"/>
          <w:szCs w:val="22"/>
        </w:rPr>
        <w:t xml:space="preserve">rely on default values </w:t>
      </w:r>
      <w:r>
        <w:rPr>
          <w:rFonts w:asciiTheme="minorHAnsi" w:hAnsiTheme="minorHAnsi" w:cstheme="minorHAnsi"/>
          <w:sz w:val="22"/>
          <w:szCs w:val="22"/>
        </w:rPr>
        <w:t xml:space="preserve">as contained in the 2006 IPCC </w:t>
      </w:r>
      <w:proofErr w:type="spellStart"/>
      <w:r>
        <w:rPr>
          <w:rFonts w:asciiTheme="minorHAnsi" w:hAnsiTheme="minorHAnsi" w:cstheme="minorHAnsi"/>
          <w:sz w:val="22"/>
          <w:szCs w:val="22"/>
        </w:rPr>
        <w:t>Gudelines</w:t>
      </w:r>
      <w:proofErr w:type="spellEnd"/>
      <w:r>
        <w:rPr>
          <w:rFonts w:asciiTheme="minorHAnsi" w:hAnsiTheme="minorHAnsi" w:cstheme="minorHAnsi"/>
          <w:sz w:val="22"/>
          <w:szCs w:val="22"/>
        </w:rPr>
        <w:t xml:space="preserve"> for preparation of GHG Inventory ( where appropriate SEPA uses 2019 Refinement of the IPCC guidelines) </w:t>
      </w:r>
      <w:r w:rsidRPr="00242AC9">
        <w:rPr>
          <w:rFonts w:asciiTheme="minorHAnsi" w:hAnsiTheme="minorHAnsi" w:cstheme="minorHAnsi"/>
          <w:sz w:val="22"/>
          <w:szCs w:val="22"/>
        </w:rPr>
        <w:t>or develop country-specific emission factors that reflect local conditions</w:t>
      </w:r>
      <w:r>
        <w:rPr>
          <w:rFonts w:asciiTheme="minorHAnsi" w:hAnsiTheme="minorHAnsi" w:cstheme="minorHAnsi"/>
          <w:sz w:val="22"/>
          <w:szCs w:val="22"/>
        </w:rPr>
        <w:t xml:space="preserve"> for most significant fuels such as domestic lignite</w:t>
      </w:r>
      <w:r w:rsidRPr="00242AC9">
        <w:rPr>
          <w:rFonts w:asciiTheme="minorHAnsi" w:hAnsiTheme="minorHAnsi" w:cstheme="minorHAnsi"/>
          <w:sz w:val="22"/>
          <w:szCs w:val="22"/>
        </w:rPr>
        <w:t>.</w:t>
      </w:r>
    </w:p>
    <w:p w14:paraId="2BCF35C9" w14:textId="77777777" w:rsidR="00914D66" w:rsidRDefault="00914D66" w:rsidP="00914D66">
      <w:pPr>
        <w:pStyle w:val="BodyText"/>
        <w:rPr>
          <w:rFonts w:cstheme="minorHAnsi"/>
          <w:sz w:val="22"/>
        </w:rPr>
      </w:pPr>
    </w:p>
    <w:p w14:paraId="474F3729" w14:textId="77777777" w:rsidR="00914D66" w:rsidRPr="004B440B" w:rsidRDefault="00914D66" w:rsidP="00914D66">
      <w:pPr>
        <w:pStyle w:val="BodyText"/>
        <w:rPr>
          <w:rFonts w:cstheme="minorHAnsi"/>
          <w:i/>
          <w:iCs/>
          <w:sz w:val="22"/>
        </w:rPr>
      </w:pPr>
      <w:r w:rsidRPr="004B440B">
        <w:rPr>
          <w:rFonts w:cstheme="minorHAnsi"/>
          <w:i/>
          <w:iCs/>
          <w:sz w:val="22"/>
        </w:rPr>
        <w:t>5. Compilation and QA/QC</w:t>
      </w:r>
    </w:p>
    <w:p w14:paraId="45040340" w14:textId="77777777" w:rsidR="00914D66" w:rsidRPr="00242AC9" w:rsidRDefault="00914D66" w:rsidP="00914D66">
      <w:pPr>
        <w:pStyle w:val="NormalWeb"/>
        <w:jc w:val="both"/>
        <w:rPr>
          <w:rFonts w:asciiTheme="minorHAnsi" w:hAnsiTheme="minorHAnsi" w:cstheme="minorHAnsi"/>
          <w:sz w:val="22"/>
          <w:szCs w:val="22"/>
        </w:rPr>
      </w:pPr>
      <w:r w:rsidRPr="00242AC9">
        <w:rPr>
          <w:rFonts w:asciiTheme="minorHAnsi" w:hAnsiTheme="minorHAnsi" w:cstheme="minorHAnsi"/>
          <w:sz w:val="22"/>
          <w:szCs w:val="22"/>
        </w:rPr>
        <w:t xml:space="preserve">After calculating emissions from each sector, the data is compiled into a national GHG inventory. This process includes </w:t>
      </w:r>
      <w:r w:rsidRPr="009D4EEF">
        <w:rPr>
          <w:rStyle w:val="Strong"/>
          <w:rFonts w:asciiTheme="minorHAnsi" w:hAnsiTheme="minorHAnsi" w:cstheme="minorHAnsi"/>
          <w:b w:val="0"/>
          <w:bCs w:val="0"/>
          <w:sz w:val="22"/>
          <w:szCs w:val="22"/>
        </w:rPr>
        <w:t>quality assurance/quality control (QA/QC)</w:t>
      </w:r>
      <w:r w:rsidRPr="00242AC9">
        <w:rPr>
          <w:rFonts w:asciiTheme="minorHAnsi" w:hAnsiTheme="minorHAnsi" w:cstheme="minorHAnsi"/>
          <w:sz w:val="22"/>
          <w:szCs w:val="22"/>
        </w:rPr>
        <w:t xml:space="preserve"> measures to check for errors, inconsistencies, or gaps in the data. External reviews or independent audits might be conducted as part of this process.</w:t>
      </w:r>
    </w:p>
    <w:p w14:paraId="45FD828B" w14:textId="77777777" w:rsidR="00914D66" w:rsidRPr="00242AC9" w:rsidRDefault="00914D66" w:rsidP="00914D66">
      <w:pPr>
        <w:pStyle w:val="BodyText"/>
        <w:rPr>
          <w:rFonts w:cstheme="minorHAnsi"/>
          <w:sz w:val="22"/>
        </w:rPr>
      </w:pPr>
    </w:p>
    <w:p w14:paraId="2985F599" w14:textId="77777777" w:rsidR="00914D66" w:rsidRPr="004B440B" w:rsidRDefault="00914D66" w:rsidP="00914D66">
      <w:pPr>
        <w:pStyle w:val="BodyText"/>
        <w:rPr>
          <w:rFonts w:cstheme="minorHAnsi"/>
          <w:i/>
          <w:iCs/>
          <w:sz w:val="22"/>
        </w:rPr>
      </w:pPr>
      <w:r w:rsidRPr="004B440B">
        <w:rPr>
          <w:rFonts w:cstheme="minorHAnsi"/>
          <w:i/>
          <w:iCs/>
          <w:sz w:val="22"/>
        </w:rPr>
        <w:t>6. Uncertainty and key source analysis</w:t>
      </w:r>
    </w:p>
    <w:p w14:paraId="132BC607" w14:textId="77777777" w:rsidR="00914D66" w:rsidRPr="00242AC9" w:rsidRDefault="00914D66" w:rsidP="00914D66">
      <w:pPr>
        <w:pStyle w:val="NormalWeb"/>
        <w:jc w:val="both"/>
        <w:rPr>
          <w:rFonts w:asciiTheme="minorHAnsi" w:hAnsiTheme="minorHAnsi" w:cstheme="minorHAnsi"/>
          <w:sz w:val="22"/>
          <w:szCs w:val="22"/>
        </w:rPr>
      </w:pPr>
      <w:r w:rsidRPr="00242AC9">
        <w:rPr>
          <w:rFonts w:asciiTheme="minorHAnsi" w:hAnsiTheme="minorHAnsi" w:cstheme="minorHAnsi"/>
          <w:sz w:val="22"/>
          <w:szCs w:val="22"/>
        </w:rPr>
        <w:t xml:space="preserve">Since all inventories are based on estimates, </w:t>
      </w:r>
      <w:r>
        <w:rPr>
          <w:rFonts w:asciiTheme="minorHAnsi" w:hAnsiTheme="minorHAnsi" w:cstheme="minorHAnsi"/>
          <w:sz w:val="22"/>
          <w:szCs w:val="22"/>
        </w:rPr>
        <w:t>SEPA experts</w:t>
      </w:r>
      <w:r w:rsidRPr="00242AC9">
        <w:rPr>
          <w:rFonts w:asciiTheme="minorHAnsi" w:hAnsiTheme="minorHAnsi" w:cstheme="minorHAnsi"/>
          <w:sz w:val="22"/>
          <w:szCs w:val="22"/>
        </w:rPr>
        <w:t xml:space="preserve"> assess the uncertainty of their data and methods. Uncertainty analysis helps in identifying the most uncertain areas of the inventory, guiding improvements for future submissions.</w:t>
      </w:r>
      <w:r>
        <w:rPr>
          <w:rFonts w:asciiTheme="minorHAnsi" w:hAnsiTheme="minorHAnsi" w:cstheme="minorHAnsi"/>
          <w:sz w:val="22"/>
          <w:szCs w:val="22"/>
        </w:rPr>
        <w:t xml:space="preserve"> Alongside with uncertainty analysis </w:t>
      </w:r>
      <w:proofErr w:type="spellStart"/>
      <w:r>
        <w:rPr>
          <w:rFonts w:asciiTheme="minorHAnsi" w:hAnsiTheme="minorHAnsi" w:cstheme="minorHAnsi"/>
          <w:sz w:val="22"/>
          <w:szCs w:val="22"/>
        </w:rPr>
        <w:t>SEPa</w:t>
      </w:r>
      <w:proofErr w:type="spellEnd"/>
      <w:r>
        <w:rPr>
          <w:rFonts w:asciiTheme="minorHAnsi" w:hAnsiTheme="minorHAnsi" w:cstheme="minorHAnsi"/>
          <w:sz w:val="22"/>
          <w:szCs w:val="22"/>
        </w:rPr>
        <w:t xml:space="preserve"> experts performs the key source assessment and check if emissions from specific gas and category fall under or falls out of the 95% of most significant lever/trend categories.  </w:t>
      </w:r>
    </w:p>
    <w:p w14:paraId="1158AD0C" w14:textId="77777777" w:rsidR="00914D66" w:rsidRPr="00242AC9" w:rsidRDefault="00914D66" w:rsidP="00914D66">
      <w:pPr>
        <w:pStyle w:val="BodyText"/>
        <w:rPr>
          <w:rFonts w:cstheme="minorHAnsi"/>
          <w:sz w:val="22"/>
        </w:rPr>
      </w:pPr>
    </w:p>
    <w:p w14:paraId="11F3692C" w14:textId="77777777" w:rsidR="00914D66" w:rsidRPr="004B440B" w:rsidRDefault="00914D66" w:rsidP="00914D66">
      <w:pPr>
        <w:pStyle w:val="BodyText"/>
        <w:rPr>
          <w:rFonts w:cstheme="minorHAnsi"/>
          <w:i/>
          <w:iCs/>
          <w:sz w:val="22"/>
        </w:rPr>
      </w:pPr>
      <w:r w:rsidRPr="004B440B">
        <w:rPr>
          <w:rFonts w:cstheme="minorHAnsi"/>
          <w:i/>
          <w:iCs/>
          <w:sz w:val="22"/>
        </w:rPr>
        <w:t>7. Approval and reporting</w:t>
      </w:r>
    </w:p>
    <w:p w14:paraId="42167F39" w14:textId="77777777" w:rsidR="00914D66" w:rsidRPr="00242AC9" w:rsidRDefault="00914D66" w:rsidP="00914D66">
      <w:pPr>
        <w:pStyle w:val="NormalWeb"/>
        <w:jc w:val="both"/>
        <w:rPr>
          <w:rFonts w:asciiTheme="minorHAnsi" w:hAnsiTheme="minorHAnsi" w:cstheme="minorHAnsi"/>
          <w:sz w:val="22"/>
          <w:szCs w:val="22"/>
        </w:rPr>
      </w:pPr>
      <w:r w:rsidRPr="00242AC9">
        <w:rPr>
          <w:rFonts w:asciiTheme="minorHAnsi" w:hAnsiTheme="minorHAnsi" w:cstheme="minorHAnsi"/>
          <w:sz w:val="22"/>
          <w:szCs w:val="22"/>
        </w:rPr>
        <w:t>Once the inventory is complete, SEPA must submit to MEP for consideration and approval.  Report it using a standardized format, while numerical information is submitted via</w:t>
      </w:r>
      <w:r>
        <w:rPr>
          <w:rFonts w:asciiTheme="minorHAnsi" w:hAnsiTheme="minorHAnsi" w:cstheme="minorHAnsi"/>
          <w:sz w:val="22"/>
          <w:szCs w:val="22"/>
        </w:rPr>
        <w:t xml:space="preserve"> </w:t>
      </w:r>
      <w:r w:rsidRPr="00242AC9">
        <w:rPr>
          <w:rFonts w:asciiTheme="minorHAnsi" w:hAnsiTheme="minorHAnsi" w:cstheme="minorHAnsi"/>
          <w:sz w:val="22"/>
          <w:szCs w:val="22"/>
        </w:rPr>
        <w:t>ETF Reporting tool</w:t>
      </w:r>
      <w:r>
        <w:rPr>
          <w:rFonts w:asciiTheme="minorHAnsi" w:hAnsiTheme="minorHAnsi" w:cstheme="minorHAnsi"/>
          <w:sz w:val="22"/>
          <w:szCs w:val="22"/>
        </w:rPr>
        <w:t xml:space="preserve"> which is </w:t>
      </w:r>
      <w:r w:rsidRPr="00242AC9">
        <w:rPr>
          <w:rFonts w:asciiTheme="minorHAnsi" w:hAnsiTheme="minorHAnsi" w:cstheme="minorHAnsi"/>
          <w:sz w:val="22"/>
          <w:szCs w:val="22"/>
        </w:rPr>
        <w:t>ensur</w:t>
      </w:r>
      <w:r>
        <w:rPr>
          <w:rFonts w:asciiTheme="minorHAnsi" w:hAnsiTheme="minorHAnsi" w:cstheme="minorHAnsi"/>
          <w:sz w:val="22"/>
          <w:szCs w:val="22"/>
        </w:rPr>
        <w:t>ing</w:t>
      </w:r>
      <w:r w:rsidRPr="00242AC9">
        <w:rPr>
          <w:rFonts w:asciiTheme="minorHAnsi" w:hAnsiTheme="minorHAnsi" w:cstheme="minorHAnsi"/>
          <w:sz w:val="22"/>
          <w:szCs w:val="22"/>
        </w:rPr>
        <w:t xml:space="preserve"> transparency and comparability of emissions data between countries</w:t>
      </w:r>
      <w:r>
        <w:rPr>
          <w:rFonts w:asciiTheme="minorHAnsi" w:hAnsiTheme="minorHAnsi" w:cstheme="minorHAnsi"/>
          <w:sz w:val="22"/>
          <w:szCs w:val="22"/>
        </w:rPr>
        <w:t>. The NID is submitted through conventional UNFCCC submission channels as annex to the BTR.</w:t>
      </w:r>
      <w:r w:rsidRPr="00242AC9">
        <w:rPr>
          <w:rFonts w:asciiTheme="minorHAnsi" w:hAnsiTheme="minorHAnsi" w:cstheme="minorHAnsi"/>
          <w:sz w:val="22"/>
          <w:szCs w:val="22"/>
        </w:rPr>
        <w:t xml:space="preserve"> </w:t>
      </w:r>
    </w:p>
    <w:p w14:paraId="741B770F" w14:textId="77777777" w:rsidR="00914D66" w:rsidRPr="00242AC9" w:rsidRDefault="00914D66" w:rsidP="00914D66">
      <w:pPr>
        <w:pStyle w:val="BodyText"/>
        <w:rPr>
          <w:rFonts w:cstheme="minorHAnsi"/>
          <w:sz w:val="22"/>
        </w:rPr>
      </w:pPr>
    </w:p>
    <w:p w14:paraId="5CB373FB" w14:textId="77777777" w:rsidR="00914D66" w:rsidRPr="004B440B" w:rsidRDefault="00914D66" w:rsidP="00914D66">
      <w:pPr>
        <w:pStyle w:val="BodyText"/>
        <w:rPr>
          <w:rFonts w:cstheme="minorHAnsi"/>
          <w:i/>
          <w:iCs/>
          <w:sz w:val="22"/>
        </w:rPr>
      </w:pPr>
      <w:r w:rsidRPr="004B440B">
        <w:rPr>
          <w:rFonts w:cstheme="minorHAnsi"/>
          <w:i/>
          <w:iCs/>
          <w:sz w:val="22"/>
        </w:rPr>
        <w:t>8. Continuous Improvement</w:t>
      </w:r>
    </w:p>
    <w:p w14:paraId="6B7555FF" w14:textId="77777777" w:rsidR="00914D66" w:rsidRPr="00242AC9" w:rsidRDefault="00914D66" w:rsidP="00914D66">
      <w:pPr>
        <w:pStyle w:val="NormalWeb"/>
        <w:jc w:val="both"/>
        <w:rPr>
          <w:rFonts w:asciiTheme="minorHAnsi" w:hAnsiTheme="minorHAnsi" w:cstheme="minorHAnsi"/>
          <w:sz w:val="22"/>
          <w:szCs w:val="22"/>
        </w:rPr>
      </w:pPr>
      <w:r w:rsidRPr="00242AC9">
        <w:rPr>
          <w:rFonts w:asciiTheme="minorHAnsi" w:hAnsiTheme="minorHAnsi" w:cstheme="minorHAnsi"/>
          <w:sz w:val="22"/>
          <w:szCs w:val="22"/>
        </w:rPr>
        <w:t xml:space="preserve">Serbia is committed to continuously improve their GHG inventories by refining their data collection, methods, and reporting procedures. This iterative process where the UNFCCC review process play an important role is supported by Serbia’s international collaboration, capacity-building initiatives, and </w:t>
      </w:r>
      <w:r w:rsidRPr="00242AC9">
        <w:rPr>
          <w:rFonts w:asciiTheme="minorHAnsi" w:hAnsiTheme="minorHAnsi" w:cstheme="minorHAnsi"/>
          <w:sz w:val="22"/>
          <w:szCs w:val="22"/>
        </w:rPr>
        <w:lastRenderedPageBreak/>
        <w:t>significant technical support pipelines Serbia can use as EU candidate country.</w:t>
      </w:r>
    </w:p>
    <w:p w14:paraId="3BD042BD" w14:textId="321952AC" w:rsidR="007A798C" w:rsidRDefault="004B440B" w:rsidP="007A798C">
      <w:pPr>
        <w:pStyle w:val="Heading3"/>
      </w:pPr>
      <w:bookmarkStart w:id="27" w:name="_Toc182327704"/>
      <w:bookmarkStart w:id="28" w:name="_Toc184808147"/>
      <w:r>
        <w:t>Archiving</w:t>
      </w:r>
      <w:r w:rsidR="007A798C">
        <w:t xml:space="preserve"> information</w:t>
      </w:r>
      <w:bookmarkEnd w:id="27"/>
      <w:bookmarkEnd w:id="28"/>
    </w:p>
    <w:p w14:paraId="72A6FA07" w14:textId="77777777" w:rsidR="00E85410" w:rsidRDefault="002D5EE9" w:rsidP="00E85410">
      <w:pPr>
        <w:spacing w:line="240" w:lineRule="auto"/>
        <w:rPr>
          <w:lang w:val="en-US"/>
        </w:rPr>
      </w:pPr>
      <w:r w:rsidRPr="002D5EE9">
        <w:rPr>
          <w:lang w:val="en-US"/>
        </w:rPr>
        <w:t>The reporting guidelines in decision 24/CP.19 identify what a Party should archive:</w:t>
      </w:r>
      <w:r w:rsidR="00E85410">
        <w:rPr>
          <w:lang w:val="en-US"/>
        </w:rPr>
        <w:t xml:space="preserve"> </w:t>
      </w:r>
    </w:p>
    <w:p w14:paraId="30F7157F" w14:textId="5B881D7A" w:rsidR="002D5EE9" w:rsidRDefault="002D5EE9" w:rsidP="00E85410">
      <w:pPr>
        <w:pStyle w:val="ListParagraph"/>
        <w:numPr>
          <w:ilvl w:val="0"/>
          <w:numId w:val="63"/>
        </w:numPr>
        <w:spacing w:line="240" w:lineRule="auto"/>
        <w:rPr>
          <w:lang w:val="en-US"/>
        </w:rPr>
      </w:pPr>
      <w:r w:rsidRPr="00E85410">
        <w:rPr>
          <w:lang w:val="en-US"/>
        </w:rPr>
        <w:t>Disaggregated emission factors and activity data</w:t>
      </w:r>
      <w:r w:rsidR="00E85410">
        <w:rPr>
          <w:lang w:val="en-US"/>
        </w:rPr>
        <w:t>,</w:t>
      </w:r>
    </w:p>
    <w:p w14:paraId="00B9F83E" w14:textId="019FAA0A" w:rsidR="00E85410" w:rsidRDefault="00E85410" w:rsidP="00E85410">
      <w:pPr>
        <w:pStyle w:val="ListParagraph"/>
        <w:numPr>
          <w:ilvl w:val="0"/>
          <w:numId w:val="63"/>
        </w:numPr>
        <w:spacing w:line="240" w:lineRule="auto"/>
        <w:rPr>
          <w:lang w:val="en-US"/>
        </w:rPr>
      </w:pPr>
      <w:r w:rsidRPr="002D5EE9">
        <w:rPr>
          <w:lang w:val="en-US"/>
        </w:rPr>
        <w:t>Documentation of data collection, assumption, and aggregation</w:t>
      </w:r>
      <w:r>
        <w:rPr>
          <w:lang w:val="en-US"/>
        </w:rPr>
        <w:t>,</w:t>
      </w:r>
    </w:p>
    <w:p w14:paraId="10B04B81" w14:textId="49D431DA" w:rsidR="00E85410" w:rsidRDefault="00E85410" w:rsidP="00E85410">
      <w:pPr>
        <w:pStyle w:val="ListParagraph"/>
        <w:numPr>
          <w:ilvl w:val="0"/>
          <w:numId w:val="63"/>
        </w:numPr>
        <w:spacing w:line="240" w:lineRule="auto"/>
        <w:rPr>
          <w:lang w:val="en-US"/>
        </w:rPr>
      </w:pPr>
      <w:r w:rsidRPr="002D5EE9">
        <w:rPr>
          <w:lang w:val="en-US"/>
        </w:rPr>
        <w:t>Internal documentation on QA/QC procedures</w:t>
      </w:r>
      <w:r>
        <w:rPr>
          <w:lang w:val="en-US"/>
        </w:rPr>
        <w:t>,</w:t>
      </w:r>
    </w:p>
    <w:p w14:paraId="2DAD93B3" w14:textId="2629AF84" w:rsidR="00E85410" w:rsidRDefault="00E85410" w:rsidP="00E85410">
      <w:pPr>
        <w:pStyle w:val="ListParagraph"/>
        <w:numPr>
          <w:ilvl w:val="0"/>
          <w:numId w:val="63"/>
        </w:numPr>
        <w:spacing w:line="240" w:lineRule="auto"/>
        <w:rPr>
          <w:lang w:val="en-US"/>
        </w:rPr>
      </w:pPr>
      <w:r w:rsidRPr="002D5EE9">
        <w:rPr>
          <w:lang w:val="en-US"/>
        </w:rPr>
        <w:t>External and internal reviews</w:t>
      </w:r>
      <w:r>
        <w:rPr>
          <w:lang w:val="en-US"/>
        </w:rPr>
        <w:t>,</w:t>
      </w:r>
    </w:p>
    <w:p w14:paraId="7CF09C28" w14:textId="6DDDAD99" w:rsidR="00E85410" w:rsidRDefault="00E85410" w:rsidP="00E85410">
      <w:pPr>
        <w:pStyle w:val="ListParagraph"/>
        <w:numPr>
          <w:ilvl w:val="0"/>
          <w:numId w:val="63"/>
        </w:numPr>
        <w:spacing w:line="240" w:lineRule="auto"/>
        <w:rPr>
          <w:lang w:val="en-US"/>
        </w:rPr>
      </w:pPr>
      <w:r w:rsidRPr="002D5EE9">
        <w:rPr>
          <w:lang w:val="en-US"/>
        </w:rPr>
        <w:t>Documentation on annual key sources</w:t>
      </w:r>
      <w:r>
        <w:rPr>
          <w:lang w:val="en-US"/>
        </w:rPr>
        <w:t>,</w:t>
      </w:r>
    </w:p>
    <w:p w14:paraId="2F17A7D4" w14:textId="7C802B52" w:rsidR="00E85410" w:rsidRPr="00E85410" w:rsidRDefault="00E85410" w:rsidP="00622F40">
      <w:pPr>
        <w:pStyle w:val="ListParagraph"/>
        <w:numPr>
          <w:ilvl w:val="0"/>
          <w:numId w:val="63"/>
        </w:numPr>
        <w:spacing w:line="240" w:lineRule="auto"/>
        <w:rPr>
          <w:lang w:val="en-US"/>
        </w:rPr>
      </w:pPr>
      <w:r w:rsidRPr="002D5EE9">
        <w:rPr>
          <w:lang w:val="en-US"/>
        </w:rPr>
        <w:t>Planned inventory improvements.</w:t>
      </w:r>
    </w:p>
    <w:p w14:paraId="664A667B" w14:textId="7B6EE2AD" w:rsidR="004B440B" w:rsidRPr="004B440B" w:rsidRDefault="004B440B" w:rsidP="004B440B">
      <w:pPr>
        <w:spacing w:line="240" w:lineRule="auto"/>
        <w:rPr>
          <w:lang w:val="en-US"/>
        </w:rPr>
      </w:pPr>
      <w:bookmarkStart w:id="29" w:name="_Toc182327705"/>
      <w:r w:rsidRPr="004B440B">
        <w:rPr>
          <w:lang w:val="en-US"/>
        </w:rPr>
        <w:t xml:space="preserve">In order to ensure transparency about the emission calculation and the archiving of data, the inventory team annually prepares and updates emission inventory Excel sheets, which contain several information about the process of emission estimation. In each file, divided by CRT category, all details can be found on the person and organization responsible, the major changes throughout different reporting, the references used for activity data and the applied emission factors, the methodologies of calculation applied, eventual data gaps, suggestions for future improvement and other relevant bibliographic references. The information provided in these files is available for each source category and for the entire time-series. All files and data related to these emission inventory sheets are archived by SEPA for each submission. That includes achieving all emission factors and activity data along with all relevant references, which are clearly numbered in every calculation sheet. References itself are contained in every category folder under subfolder “References”. Calculation files also include the segment dedicated to QC activities with information on who and when performed those activities and what is the outcome and if appropriate what kind of corrective actions are needed. Where appropriate all assumptions are documented and archived together with calculation files. The results of the External and internal reviews are also archived. It has to be noted that Serbia benefited from the QA activities performed by the UNFCCC and prepared a separate document on the necessary improvements and its priority levels. Special attention and priority is given to improvements affecting accuracy and completeness of emission estimates since these principles affect the processes related to future target setting the most.   </w:t>
      </w:r>
    </w:p>
    <w:p w14:paraId="6DB1C739" w14:textId="5D7EA821" w:rsidR="007A798C" w:rsidRDefault="007A798C" w:rsidP="007A798C">
      <w:pPr>
        <w:pStyle w:val="Heading3"/>
      </w:pPr>
      <w:bookmarkStart w:id="30" w:name="_Toc184808148"/>
      <w:r>
        <w:t>Processes for official consideration and approval of inventory</w:t>
      </w:r>
      <w:bookmarkEnd w:id="29"/>
      <w:bookmarkEnd w:id="30"/>
    </w:p>
    <w:p w14:paraId="3F5A273B" w14:textId="77777777" w:rsidR="004B440B" w:rsidRPr="003C3A61" w:rsidRDefault="004B440B" w:rsidP="004B440B">
      <w:pPr>
        <w:autoSpaceDE w:val="0"/>
        <w:autoSpaceDN w:val="0"/>
        <w:adjustRightInd w:val="0"/>
        <w:spacing w:after="0" w:line="240" w:lineRule="auto"/>
        <w:rPr>
          <w:iCs/>
          <w:szCs w:val="20"/>
          <w:lang w:eastAsia="fr-FR"/>
        </w:rPr>
      </w:pPr>
      <w:r w:rsidRPr="003C3A61">
        <w:rPr>
          <w:iCs/>
          <w:szCs w:val="20"/>
          <w:lang w:eastAsia="fr-FR"/>
        </w:rPr>
        <w:t xml:space="preserve">During the preparation of the </w:t>
      </w:r>
      <w:r>
        <w:rPr>
          <w:iCs/>
          <w:szCs w:val="20"/>
          <w:lang w:eastAsia="fr-FR"/>
        </w:rPr>
        <w:t>inventory</w:t>
      </w:r>
      <w:r w:rsidRPr="003C3A61">
        <w:rPr>
          <w:iCs/>
          <w:szCs w:val="20"/>
          <w:lang w:eastAsia="fr-FR"/>
        </w:rPr>
        <w:t xml:space="preserve">, </w:t>
      </w:r>
      <w:r>
        <w:rPr>
          <w:iCs/>
          <w:szCs w:val="20"/>
          <w:lang w:eastAsia="fr-FR"/>
        </w:rPr>
        <w:t>several checks</w:t>
      </w:r>
      <w:r w:rsidRPr="003C3A61">
        <w:rPr>
          <w:iCs/>
          <w:szCs w:val="20"/>
          <w:lang w:eastAsia="fr-FR"/>
        </w:rPr>
        <w:t xml:space="preserve"> </w:t>
      </w:r>
      <w:r>
        <w:rPr>
          <w:iCs/>
          <w:szCs w:val="20"/>
          <w:lang w:eastAsia="fr-FR"/>
        </w:rPr>
        <w:t>are</w:t>
      </w:r>
      <w:r w:rsidRPr="003C3A61">
        <w:rPr>
          <w:iCs/>
          <w:szCs w:val="20"/>
          <w:lang w:eastAsia="fr-FR"/>
        </w:rPr>
        <w:t xml:space="preserve"> </w:t>
      </w:r>
      <w:r>
        <w:rPr>
          <w:iCs/>
          <w:szCs w:val="20"/>
          <w:lang w:eastAsia="fr-FR"/>
        </w:rPr>
        <w:t>performed</w:t>
      </w:r>
      <w:r w:rsidRPr="003C3A61">
        <w:rPr>
          <w:iCs/>
          <w:szCs w:val="20"/>
          <w:lang w:eastAsia="fr-FR"/>
        </w:rPr>
        <w:t xml:space="preserve"> by sector experts</w:t>
      </w:r>
      <w:r>
        <w:rPr>
          <w:iCs/>
          <w:szCs w:val="20"/>
          <w:lang w:eastAsia="fr-FR"/>
        </w:rPr>
        <w:t xml:space="preserve"> from SEPA</w:t>
      </w:r>
      <w:r w:rsidRPr="003C3A61">
        <w:rPr>
          <w:iCs/>
          <w:szCs w:val="20"/>
          <w:lang w:eastAsia="fr-FR"/>
        </w:rPr>
        <w:t xml:space="preserve"> </w:t>
      </w:r>
      <w:r>
        <w:rPr>
          <w:iCs/>
          <w:szCs w:val="20"/>
          <w:lang w:eastAsia="fr-FR"/>
        </w:rPr>
        <w:t xml:space="preserve">to avoid miscalculations, and in order to ensure </w:t>
      </w:r>
      <w:r w:rsidRPr="003C3A61">
        <w:rPr>
          <w:iCs/>
          <w:szCs w:val="20"/>
          <w:lang w:eastAsia="fr-FR"/>
        </w:rPr>
        <w:t>completeness, consistency</w:t>
      </w:r>
      <w:r>
        <w:rPr>
          <w:iCs/>
          <w:szCs w:val="20"/>
          <w:lang w:eastAsia="fr-FR"/>
        </w:rPr>
        <w:t xml:space="preserve"> and</w:t>
      </w:r>
      <w:r w:rsidRPr="003C3A61">
        <w:rPr>
          <w:iCs/>
          <w:szCs w:val="20"/>
          <w:lang w:eastAsia="fr-FR"/>
        </w:rPr>
        <w:t xml:space="preserve"> comparability</w:t>
      </w:r>
      <w:r>
        <w:rPr>
          <w:iCs/>
          <w:szCs w:val="20"/>
          <w:lang w:eastAsia="fr-FR"/>
        </w:rPr>
        <w:t xml:space="preserve"> of the emission inventory.</w:t>
      </w:r>
      <w:r w:rsidRPr="003C3A61">
        <w:rPr>
          <w:iCs/>
          <w:szCs w:val="20"/>
          <w:lang w:eastAsia="fr-FR"/>
        </w:rPr>
        <w:t xml:space="preserve"> </w:t>
      </w:r>
      <w:r>
        <w:rPr>
          <w:iCs/>
          <w:szCs w:val="20"/>
          <w:lang w:eastAsia="fr-FR"/>
        </w:rPr>
        <w:t>In addition,</w:t>
      </w:r>
      <w:r w:rsidRPr="003C3A61">
        <w:rPr>
          <w:iCs/>
          <w:szCs w:val="20"/>
          <w:lang w:eastAsia="fr-FR"/>
        </w:rPr>
        <w:t xml:space="preserve"> </w:t>
      </w:r>
      <w:r>
        <w:rPr>
          <w:iCs/>
          <w:szCs w:val="20"/>
          <w:lang w:eastAsia="fr-FR"/>
        </w:rPr>
        <w:t xml:space="preserve">methodological changes and recalculations, as well as </w:t>
      </w:r>
      <w:r w:rsidRPr="003C3A61">
        <w:rPr>
          <w:iCs/>
          <w:szCs w:val="20"/>
          <w:lang w:eastAsia="fr-FR"/>
        </w:rPr>
        <w:t>uncertaint</w:t>
      </w:r>
      <w:r>
        <w:rPr>
          <w:iCs/>
          <w:szCs w:val="20"/>
          <w:lang w:eastAsia="fr-FR"/>
        </w:rPr>
        <w:t>ies</w:t>
      </w:r>
      <w:r w:rsidRPr="003C3A61">
        <w:rPr>
          <w:iCs/>
          <w:szCs w:val="20"/>
          <w:lang w:eastAsia="fr-FR"/>
        </w:rPr>
        <w:t xml:space="preserve"> </w:t>
      </w:r>
      <w:r>
        <w:rPr>
          <w:iCs/>
          <w:szCs w:val="20"/>
          <w:lang w:eastAsia="fr-FR"/>
        </w:rPr>
        <w:t>on</w:t>
      </w:r>
      <w:r w:rsidRPr="003C3A61">
        <w:rPr>
          <w:iCs/>
          <w:szCs w:val="20"/>
          <w:lang w:eastAsia="fr-FR"/>
        </w:rPr>
        <w:t xml:space="preserve"> activity data, emission factors and emission estimates</w:t>
      </w:r>
      <w:r>
        <w:rPr>
          <w:iCs/>
          <w:szCs w:val="20"/>
          <w:lang w:eastAsia="fr-FR"/>
        </w:rPr>
        <w:t xml:space="preserve"> are analysed during the NIR preparation</w:t>
      </w:r>
      <w:r w:rsidRPr="003C3A61">
        <w:rPr>
          <w:iCs/>
          <w:szCs w:val="20"/>
          <w:lang w:eastAsia="fr-FR"/>
        </w:rPr>
        <w:t>.</w:t>
      </w:r>
      <w:r>
        <w:rPr>
          <w:iCs/>
          <w:szCs w:val="20"/>
          <w:lang w:eastAsia="fr-FR"/>
        </w:rPr>
        <w:t xml:space="preserve"> All </w:t>
      </w:r>
      <w:r w:rsidRPr="003C3A61">
        <w:rPr>
          <w:iCs/>
          <w:szCs w:val="20"/>
          <w:lang w:eastAsia="fr-FR"/>
        </w:rPr>
        <w:t xml:space="preserve">details on these issues are elaborated in the NIR </w:t>
      </w:r>
      <w:r>
        <w:rPr>
          <w:iCs/>
          <w:szCs w:val="20"/>
          <w:lang w:eastAsia="fr-FR"/>
        </w:rPr>
        <w:t>for</w:t>
      </w:r>
      <w:r w:rsidRPr="003C3A61">
        <w:rPr>
          <w:iCs/>
          <w:szCs w:val="20"/>
          <w:lang w:eastAsia="fr-FR"/>
        </w:rPr>
        <w:t xml:space="preserve"> each sector, subsector and corresponding CR</w:t>
      </w:r>
      <w:r>
        <w:rPr>
          <w:iCs/>
          <w:szCs w:val="20"/>
          <w:lang w:eastAsia="fr-FR"/>
        </w:rPr>
        <w:t>T</w:t>
      </w:r>
      <w:r w:rsidRPr="003C3A61">
        <w:rPr>
          <w:iCs/>
          <w:szCs w:val="20"/>
          <w:lang w:eastAsia="fr-FR"/>
        </w:rPr>
        <w:t>.</w:t>
      </w:r>
    </w:p>
    <w:p w14:paraId="009FD383" w14:textId="77777777" w:rsidR="004B440B" w:rsidRDefault="004B440B" w:rsidP="004B440B">
      <w:pPr>
        <w:autoSpaceDE w:val="0"/>
        <w:autoSpaceDN w:val="0"/>
        <w:adjustRightInd w:val="0"/>
        <w:spacing w:after="0" w:line="240" w:lineRule="auto"/>
        <w:rPr>
          <w:iCs/>
          <w:szCs w:val="20"/>
          <w:lang w:eastAsia="fr-FR"/>
        </w:rPr>
      </w:pPr>
    </w:p>
    <w:p w14:paraId="0E81EA3C" w14:textId="77777777" w:rsidR="004B440B" w:rsidRPr="003C3A61" w:rsidRDefault="004B440B" w:rsidP="004B440B">
      <w:pPr>
        <w:autoSpaceDE w:val="0"/>
        <w:autoSpaceDN w:val="0"/>
        <w:adjustRightInd w:val="0"/>
        <w:spacing w:after="0" w:line="240" w:lineRule="auto"/>
        <w:rPr>
          <w:iCs/>
          <w:szCs w:val="20"/>
          <w:lang w:eastAsia="fr-FR"/>
        </w:rPr>
      </w:pPr>
      <w:r w:rsidRPr="003C3A61">
        <w:rPr>
          <w:iCs/>
          <w:szCs w:val="20"/>
          <w:lang w:eastAsia="fr-FR"/>
        </w:rPr>
        <w:t xml:space="preserve">Before </w:t>
      </w:r>
      <w:r>
        <w:rPr>
          <w:iCs/>
          <w:szCs w:val="20"/>
          <w:lang w:eastAsia="fr-FR"/>
        </w:rPr>
        <w:t xml:space="preserve">SEPA </w:t>
      </w:r>
      <w:r w:rsidRPr="003C3A61">
        <w:rPr>
          <w:iCs/>
          <w:szCs w:val="20"/>
          <w:lang w:eastAsia="fr-FR"/>
        </w:rPr>
        <w:t xml:space="preserve">submits the NIR to </w:t>
      </w:r>
      <w:r>
        <w:rPr>
          <w:iCs/>
          <w:szCs w:val="20"/>
          <w:lang w:eastAsia="fr-FR"/>
        </w:rPr>
        <w:t>MEP</w:t>
      </w:r>
      <w:r w:rsidRPr="003C3A61">
        <w:rPr>
          <w:iCs/>
          <w:szCs w:val="20"/>
          <w:lang w:eastAsia="fr-FR"/>
        </w:rPr>
        <w:t>, QA/QC manager carried out an audit which covers selected IPCC source categories, as outlined in the QA/QC plan, with purpose to check which</w:t>
      </w:r>
      <w:r>
        <w:rPr>
          <w:iCs/>
          <w:szCs w:val="20"/>
          <w:lang w:eastAsia="fr-FR"/>
        </w:rPr>
        <w:t xml:space="preserve"> </w:t>
      </w:r>
      <w:r w:rsidRPr="003C3A61">
        <w:rPr>
          <w:iCs/>
          <w:szCs w:val="20"/>
          <w:lang w:eastAsia="fr-FR"/>
        </w:rPr>
        <w:t xml:space="preserve">quality control elements, both general (Tier 1) and specific (Tier 2), as defined in the IPCC Good Practice Guidance, are already implemented by sector experts and which improvements and corrective actions should be carried out in the future submissions. </w:t>
      </w:r>
      <w:r>
        <w:rPr>
          <w:iCs/>
          <w:szCs w:val="20"/>
          <w:lang w:eastAsia="fr-FR"/>
        </w:rPr>
        <w:t>CRT</w:t>
      </w:r>
      <w:r w:rsidRPr="003C3A61">
        <w:rPr>
          <w:iCs/>
          <w:szCs w:val="20"/>
          <w:lang w:eastAsia="fr-FR"/>
        </w:rPr>
        <w:t xml:space="preserve"> tables for each sector are reviewed in accordance with the Quality Management Standard (ISO 9001) and Environmental Management Standard (ISO 14001) implemented within the Authorized institution. Audit results are registered in control lists as well as performed correction activities.</w:t>
      </w:r>
    </w:p>
    <w:p w14:paraId="2903C8A1" w14:textId="77777777" w:rsidR="004B440B" w:rsidRPr="003C3A61" w:rsidRDefault="004B440B" w:rsidP="004B440B">
      <w:pPr>
        <w:autoSpaceDE w:val="0"/>
        <w:autoSpaceDN w:val="0"/>
        <w:adjustRightInd w:val="0"/>
        <w:spacing w:after="0" w:line="240" w:lineRule="auto"/>
        <w:rPr>
          <w:iCs/>
          <w:szCs w:val="20"/>
          <w:lang w:eastAsia="fr-FR"/>
        </w:rPr>
      </w:pPr>
      <w:r>
        <w:rPr>
          <w:iCs/>
          <w:szCs w:val="20"/>
          <w:lang w:eastAsia="fr-FR"/>
        </w:rPr>
        <w:t xml:space="preserve">In addition, the </w:t>
      </w:r>
      <w:r w:rsidRPr="00C23D64">
        <w:rPr>
          <w:iCs/>
          <w:szCs w:val="20"/>
          <w:lang w:eastAsia="fr-FR"/>
        </w:rPr>
        <w:t xml:space="preserve">coordination group of national inventories </w:t>
      </w:r>
      <w:r w:rsidRPr="003C3A61">
        <w:rPr>
          <w:iCs/>
          <w:szCs w:val="20"/>
          <w:lang w:eastAsia="fr-FR"/>
        </w:rPr>
        <w:t xml:space="preserve">is </w:t>
      </w:r>
      <w:r>
        <w:rPr>
          <w:iCs/>
          <w:szCs w:val="20"/>
          <w:lang w:eastAsia="fr-FR"/>
        </w:rPr>
        <w:t>also part of</w:t>
      </w:r>
      <w:r w:rsidRPr="003C3A61">
        <w:rPr>
          <w:iCs/>
          <w:szCs w:val="20"/>
          <w:lang w:eastAsia="fr-FR"/>
        </w:rPr>
        <w:t xml:space="preserve"> the approval process</w:t>
      </w:r>
      <w:r>
        <w:rPr>
          <w:iCs/>
          <w:szCs w:val="20"/>
          <w:lang w:eastAsia="fr-FR"/>
        </w:rPr>
        <w:t xml:space="preserve">, as mentioned in </w:t>
      </w:r>
      <w:r w:rsidRPr="00A96EA1">
        <w:rPr>
          <w:iCs/>
          <w:szCs w:val="20"/>
          <w:lang w:eastAsia="fr-FR"/>
        </w:rPr>
        <w:t xml:space="preserve">the </w:t>
      </w:r>
      <w:r w:rsidRPr="007759DA">
        <w:rPr>
          <w:iCs/>
          <w:szCs w:val="20"/>
          <w:lang w:eastAsia="fr-FR"/>
        </w:rPr>
        <w:t>Chapter 1.5 on QA/QC</w:t>
      </w:r>
      <w:r w:rsidRPr="00A96EA1">
        <w:rPr>
          <w:iCs/>
          <w:szCs w:val="20"/>
          <w:lang w:eastAsia="fr-FR"/>
        </w:rPr>
        <w:t>. Thus</w:t>
      </w:r>
      <w:r>
        <w:rPr>
          <w:iCs/>
          <w:szCs w:val="20"/>
          <w:lang w:eastAsia="fr-FR"/>
        </w:rPr>
        <w:t>, i</w:t>
      </w:r>
      <w:r w:rsidRPr="003C3A61">
        <w:rPr>
          <w:iCs/>
          <w:szCs w:val="20"/>
          <w:lang w:eastAsia="fr-FR"/>
        </w:rPr>
        <w:t>ts members provide their opinion on certain parts of the Inventory within the frame of their speciality</w:t>
      </w:r>
      <w:r>
        <w:rPr>
          <w:iCs/>
          <w:szCs w:val="20"/>
          <w:lang w:eastAsia="fr-FR"/>
        </w:rPr>
        <w:t xml:space="preserve"> and approve the methodological changes implemented</w:t>
      </w:r>
      <w:r w:rsidRPr="003C3A61">
        <w:rPr>
          <w:iCs/>
          <w:szCs w:val="20"/>
          <w:lang w:eastAsia="fr-FR"/>
        </w:rPr>
        <w:t xml:space="preserve">. </w:t>
      </w:r>
    </w:p>
    <w:p w14:paraId="11349CC0" w14:textId="77777777" w:rsidR="004B440B" w:rsidRDefault="004B440B" w:rsidP="004B440B">
      <w:pPr>
        <w:autoSpaceDE w:val="0"/>
        <w:autoSpaceDN w:val="0"/>
        <w:adjustRightInd w:val="0"/>
        <w:spacing w:after="0" w:line="240" w:lineRule="auto"/>
        <w:rPr>
          <w:iCs/>
          <w:szCs w:val="20"/>
          <w:lang w:eastAsia="fr-FR"/>
        </w:rPr>
      </w:pPr>
    </w:p>
    <w:p w14:paraId="1EA687CF" w14:textId="5B5F1A0A" w:rsidR="00614555" w:rsidRDefault="004B440B" w:rsidP="004B440B">
      <w:pPr>
        <w:autoSpaceDE w:val="0"/>
        <w:autoSpaceDN w:val="0"/>
        <w:adjustRightInd w:val="0"/>
        <w:spacing w:after="0" w:line="240" w:lineRule="auto"/>
        <w:rPr>
          <w:iCs/>
          <w:szCs w:val="20"/>
          <w:lang w:eastAsia="fr-FR"/>
        </w:rPr>
      </w:pPr>
      <w:r>
        <w:rPr>
          <w:iCs/>
          <w:szCs w:val="20"/>
          <w:lang w:eastAsia="fr-FR"/>
        </w:rPr>
        <w:t xml:space="preserve">Finally, the </w:t>
      </w:r>
      <w:r w:rsidRPr="00314B02">
        <w:rPr>
          <w:iCs/>
          <w:szCs w:val="20"/>
          <w:lang w:eastAsia="fr-FR"/>
        </w:rPr>
        <w:t>Ministry of Environmental Protection</w:t>
      </w:r>
      <w:r>
        <w:rPr>
          <w:iCs/>
          <w:szCs w:val="20"/>
          <w:lang w:eastAsia="fr-FR"/>
        </w:rPr>
        <w:t>,</w:t>
      </w:r>
      <w:r w:rsidRPr="00314B02">
        <w:rPr>
          <w:iCs/>
          <w:szCs w:val="20"/>
          <w:lang w:eastAsia="fr-FR"/>
        </w:rPr>
        <w:t xml:space="preserve"> </w:t>
      </w:r>
      <w:r w:rsidRPr="009B2D40">
        <w:rPr>
          <w:iCs/>
          <w:szCs w:val="20"/>
          <w:lang w:eastAsia="fr-FR"/>
        </w:rPr>
        <w:t xml:space="preserve">as </w:t>
      </w:r>
      <w:r>
        <w:rPr>
          <w:iCs/>
          <w:szCs w:val="20"/>
          <w:lang w:eastAsia="fr-FR"/>
        </w:rPr>
        <w:t>UNFCCC focal point,</w:t>
      </w:r>
      <w:r w:rsidRPr="009B2D40">
        <w:rPr>
          <w:iCs/>
          <w:szCs w:val="20"/>
          <w:lang w:eastAsia="fr-FR"/>
        </w:rPr>
        <w:t xml:space="preserve"> approves the inventory before official submission to the UNFCCC. As a basis for approving the inventory, the </w:t>
      </w:r>
      <w:r>
        <w:rPr>
          <w:iCs/>
          <w:szCs w:val="20"/>
          <w:lang w:eastAsia="fr-FR"/>
        </w:rPr>
        <w:t>MEP</w:t>
      </w:r>
      <w:r w:rsidRPr="009B2D40">
        <w:rPr>
          <w:iCs/>
          <w:szCs w:val="20"/>
          <w:lang w:eastAsia="fr-FR"/>
        </w:rPr>
        <w:t xml:space="preserve"> will </w:t>
      </w:r>
      <w:r>
        <w:rPr>
          <w:iCs/>
          <w:szCs w:val="20"/>
          <w:lang w:eastAsia="fr-FR"/>
        </w:rPr>
        <w:t>assess</w:t>
      </w:r>
      <w:r w:rsidRPr="009B2D40">
        <w:rPr>
          <w:iCs/>
          <w:szCs w:val="20"/>
          <w:lang w:eastAsia="fr-FR"/>
        </w:rPr>
        <w:t xml:space="preserve"> the completion of the </w:t>
      </w:r>
      <w:r>
        <w:rPr>
          <w:iCs/>
          <w:szCs w:val="20"/>
          <w:lang w:eastAsia="fr-FR"/>
        </w:rPr>
        <w:t>GHG I</w:t>
      </w:r>
      <w:r w:rsidRPr="009B2D40">
        <w:rPr>
          <w:iCs/>
          <w:szCs w:val="20"/>
          <w:lang w:eastAsia="fr-FR"/>
        </w:rPr>
        <w:t xml:space="preserve">nventory and the </w:t>
      </w:r>
      <w:r>
        <w:rPr>
          <w:iCs/>
          <w:szCs w:val="20"/>
          <w:lang w:eastAsia="fr-FR"/>
        </w:rPr>
        <w:t>NID</w:t>
      </w:r>
      <w:r w:rsidRPr="009B2D40">
        <w:rPr>
          <w:iCs/>
          <w:szCs w:val="20"/>
          <w:lang w:eastAsia="fr-FR"/>
        </w:rPr>
        <w:t xml:space="preserve">. </w:t>
      </w:r>
    </w:p>
    <w:p w14:paraId="6BD8A213" w14:textId="77777777" w:rsidR="004B440B" w:rsidRPr="002462F0" w:rsidRDefault="004B440B" w:rsidP="004B440B">
      <w:pPr>
        <w:autoSpaceDE w:val="0"/>
        <w:autoSpaceDN w:val="0"/>
        <w:adjustRightInd w:val="0"/>
        <w:spacing w:after="0" w:line="240" w:lineRule="auto"/>
        <w:rPr>
          <w:lang w:eastAsia="fr-FR"/>
        </w:rPr>
      </w:pPr>
    </w:p>
    <w:p w14:paraId="08ABBB2C" w14:textId="3FB97D6C" w:rsidR="00C90380" w:rsidRPr="009C1CF3" w:rsidRDefault="00614555" w:rsidP="009C1CF3">
      <w:pPr>
        <w:pStyle w:val="Heading2"/>
        <w:rPr>
          <w:rStyle w:val="Heading2Char"/>
          <w:b/>
        </w:rPr>
      </w:pPr>
      <w:bookmarkStart w:id="31" w:name="_Toc496101021"/>
      <w:bookmarkStart w:id="32" w:name="_Toc182327706"/>
      <w:bookmarkStart w:id="33" w:name="_Toc184808149"/>
      <w:r w:rsidRPr="009C1CF3">
        <w:rPr>
          <w:rStyle w:val="Heading2Char"/>
          <w:b/>
        </w:rPr>
        <w:lastRenderedPageBreak/>
        <w:t>Brief general description of methodologies</w:t>
      </w:r>
      <w:bookmarkEnd w:id="31"/>
      <w:r w:rsidR="00870B2A" w:rsidRPr="009C1CF3">
        <w:rPr>
          <w:rStyle w:val="Heading2Char"/>
          <w:b/>
        </w:rPr>
        <w:t xml:space="preserve"> (including tiers used) and data sources used</w:t>
      </w:r>
      <w:bookmarkEnd w:id="32"/>
      <w:bookmarkEnd w:id="33"/>
    </w:p>
    <w:p w14:paraId="6EBD162D" w14:textId="77777777" w:rsidR="00362558" w:rsidRDefault="00362558" w:rsidP="00267868">
      <w:pPr>
        <w:spacing w:line="240" w:lineRule="auto"/>
        <w:rPr>
          <w:b/>
          <w:sz w:val="24"/>
          <w:szCs w:val="24"/>
          <w:lang w:eastAsia="fr-FR"/>
        </w:rPr>
      </w:pPr>
    </w:p>
    <w:p w14:paraId="3F382E2C" w14:textId="1F2F2577" w:rsidR="00267868" w:rsidRPr="002462F0" w:rsidRDefault="00267868" w:rsidP="00267868">
      <w:pPr>
        <w:spacing w:line="240" w:lineRule="auto"/>
        <w:rPr>
          <w:b/>
          <w:sz w:val="24"/>
          <w:szCs w:val="24"/>
          <w:lang w:eastAsia="fr-FR"/>
        </w:rPr>
      </w:pPr>
      <w:r w:rsidRPr="002462F0">
        <w:rPr>
          <w:b/>
          <w:sz w:val="24"/>
          <w:szCs w:val="24"/>
          <w:lang w:eastAsia="fr-FR"/>
        </w:rPr>
        <w:t>Methodology</w:t>
      </w:r>
    </w:p>
    <w:p w14:paraId="695027BF" w14:textId="79D335C0" w:rsidR="00CA1CE3" w:rsidRPr="00F40BD6" w:rsidRDefault="00CA1CE3" w:rsidP="00CA1CE3">
      <w:pPr>
        <w:spacing w:line="240" w:lineRule="auto"/>
        <w:rPr>
          <w:szCs w:val="24"/>
          <w:lang w:eastAsia="fr-FR"/>
        </w:rPr>
      </w:pPr>
      <w:r w:rsidRPr="00F40BD6">
        <w:rPr>
          <w:szCs w:val="24"/>
          <w:lang w:eastAsia="fr-FR"/>
        </w:rPr>
        <w:t>The GHG inventory for the Republic of Serbia was prepared according to the 2006 IPCC Guidelines for National Greenhouse Gas Inventories</w:t>
      </w:r>
      <w:r w:rsidR="00F368C1">
        <w:rPr>
          <w:szCs w:val="24"/>
          <w:lang w:eastAsia="fr-FR"/>
        </w:rPr>
        <w:t>,</w:t>
      </w:r>
      <w:r w:rsidR="008240EB">
        <w:rPr>
          <w:szCs w:val="24"/>
          <w:lang w:eastAsia="fr-FR"/>
        </w:rPr>
        <w:t xml:space="preserve"> </w:t>
      </w:r>
      <w:r w:rsidR="00D807AC">
        <w:rPr>
          <w:szCs w:val="24"/>
          <w:lang w:eastAsia="fr-FR"/>
        </w:rPr>
        <w:t>as well as the 2019 IPCC refinement</w:t>
      </w:r>
      <w:r w:rsidR="00662EAA">
        <w:rPr>
          <w:szCs w:val="24"/>
          <w:lang w:eastAsia="fr-FR"/>
        </w:rPr>
        <w:t xml:space="preserve"> for some emission sources,</w:t>
      </w:r>
      <w:r w:rsidRPr="00F40BD6">
        <w:rPr>
          <w:szCs w:val="24"/>
          <w:lang w:eastAsia="fr-FR"/>
        </w:rPr>
        <w:t xml:space="preserve"> for emission estimations of greenhouse gases which result </w:t>
      </w:r>
      <w:r w:rsidR="009C04F6">
        <w:rPr>
          <w:szCs w:val="24"/>
          <w:lang w:eastAsia="fr-FR"/>
        </w:rPr>
        <w:t>from</w:t>
      </w:r>
      <w:r w:rsidR="009C04F6" w:rsidRPr="00F40BD6">
        <w:rPr>
          <w:szCs w:val="24"/>
          <w:lang w:eastAsia="fr-FR"/>
        </w:rPr>
        <w:t xml:space="preserve"> </w:t>
      </w:r>
      <w:r w:rsidRPr="00F40BD6">
        <w:rPr>
          <w:szCs w:val="24"/>
          <w:lang w:eastAsia="fr-FR"/>
        </w:rPr>
        <w:t>anthropogenic activities: CO</w:t>
      </w:r>
      <w:r w:rsidRPr="00F40BD6">
        <w:rPr>
          <w:szCs w:val="24"/>
          <w:vertAlign w:val="subscript"/>
          <w:lang w:eastAsia="fr-FR"/>
        </w:rPr>
        <w:t>2</w:t>
      </w:r>
      <w:r w:rsidRPr="00F40BD6">
        <w:rPr>
          <w:szCs w:val="24"/>
          <w:lang w:eastAsia="fr-FR"/>
        </w:rPr>
        <w:t>, CH</w:t>
      </w:r>
      <w:r w:rsidRPr="00F40BD6">
        <w:rPr>
          <w:szCs w:val="24"/>
          <w:vertAlign w:val="subscript"/>
          <w:lang w:eastAsia="fr-FR"/>
        </w:rPr>
        <w:t>4</w:t>
      </w:r>
      <w:r w:rsidRPr="00F40BD6">
        <w:rPr>
          <w:szCs w:val="24"/>
          <w:lang w:eastAsia="fr-FR"/>
        </w:rPr>
        <w:t>, N</w:t>
      </w:r>
      <w:r w:rsidRPr="00F40BD6">
        <w:rPr>
          <w:szCs w:val="24"/>
          <w:vertAlign w:val="subscript"/>
          <w:lang w:eastAsia="fr-FR"/>
        </w:rPr>
        <w:t>2</w:t>
      </w:r>
      <w:r w:rsidRPr="00F40BD6">
        <w:rPr>
          <w:szCs w:val="24"/>
          <w:lang w:eastAsia="fr-FR"/>
        </w:rPr>
        <w:t>O, HFCs, PFCs, SF</w:t>
      </w:r>
      <w:r w:rsidRPr="00F40BD6">
        <w:rPr>
          <w:szCs w:val="24"/>
          <w:vertAlign w:val="subscript"/>
          <w:lang w:eastAsia="fr-FR"/>
        </w:rPr>
        <w:t>6</w:t>
      </w:r>
      <w:r w:rsidRPr="00F40BD6">
        <w:rPr>
          <w:szCs w:val="24"/>
          <w:lang w:eastAsia="fr-FR"/>
        </w:rPr>
        <w:t xml:space="preserve"> and NF</w:t>
      </w:r>
      <w:r w:rsidRPr="00F40BD6">
        <w:rPr>
          <w:szCs w:val="24"/>
          <w:vertAlign w:val="subscript"/>
          <w:lang w:eastAsia="fr-FR"/>
        </w:rPr>
        <w:t>3</w:t>
      </w:r>
      <w:r w:rsidRPr="00F40BD6">
        <w:rPr>
          <w:szCs w:val="24"/>
          <w:lang w:eastAsia="fr-FR"/>
        </w:rPr>
        <w:t>.</w:t>
      </w:r>
      <w:r w:rsidR="004B717C">
        <w:rPr>
          <w:szCs w:val="24"/>
          <w:lang w:eastAsia="fr-FR"/>
        </w:rPr>
        <w:t xml:space="preserve"> For some subsectors</w:t>
      </w:r>
      <w:r w:rsidR="00572CC8">
        <w:rPr>
          <w:szCs w:val="24"/>
          <w:lang w:eastAsia="fr-FR"/>
        </w:rPr>
        <w:t xml:space="preserve">, the IPCC 2019 refinements </w:t>
      </w:r>
      <w:r w:rsidR="00323FBA">
        <w:rPr>
          <w:szCs w:val="24"/>
          <w:lang w:eastAsia="fr-FR"/>
        </w:rPr>
        <w:t>have been implemented but this is not the case for all subsectors concerned yet.</w:t>
      </w:r>
      <w:r w:rsidR="00502330">
        <w:rPr>
          <w:szCs w:val="24"/>
          <w:lang w:eastAsia="fr-FR"/>
        </w:rPr>
        <w:t xml:space="preserve"> The emission calculations are </w:t>
      </w:r>
      <w:r w:rsidR="00EB4FA0">
        <w:rPr>
          <w:szCs w:val="24"/>
          <w:lang w:eastAsia="fr-FR"/>
        </w:rPr>
        <w:t xml:space="preserve">developed for each emission source according to the CRT nomenclature. </w:t>
      </w:r>
    </w:p>
    <w:p w14:paraId="65A8DC57" w14:textId="1CCF5FA7" w:rsidR="00063392" w:rsidRDefault="00A04CCA" w:rsidP="00CA1CE3">
      <w:pPr>
        <w:spacing w:line="240" w:lineRule="auto"/>
        <w:rPr>
          <w:szCs w:val="24"/>
          <w:lang w:eastAsia="fr-FR"/>
        </w:rPr>
      </w:pPr>
      <w:r>
        <w:rPr>
          <w:szCs w:val="24"/>
          <w:lang w:eastAsia="fr-FR"/>
        </w:rPr>
        <w:t xml:space="preserve">The emissions for one specific activity data are estimated </w:t>
      </w:r>
      <w:r w:rsidR="0041262F">
        <w:rPr>
          <w:szCs w:val="24"/>
          <w:lang w:eastAsia="fr-FR"/>
        </w:rPr>
        <w:t>through the generic formula and following mechanism:</w:t>
      </w:r>
    </w:p>
    <w:tbl>
      <w:tblPr>
        <w:tblStyle w:val="TableGrid"/>
        <w:tblW w:w="0" w:type="auto"/>
        <w:tblInd w:w="2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403"/>
      </w:tblGrid>
      <w:tr w:rsidR="00C7602C" w:rsidRPr="00A169FE" w14:paraId="5DD7EA6F" w14:textId="77777777" w:rsidTr="002A67F1">
        <w:trPr>
          <w:trHeight w:val="534"/>
        </w:trPr>
        <w:tc>
          <w:tcPr>
            <w:tcW w:w="3545" w:type="dxa"/>
            <w:vAlign w:val="center"/>
          </w:tcPr>
          <w:p w14:paraId="76CE24D0" w14:textId="52D8645F" w:rsidR="00C7602C" w:rsidRPr="00A169FE" w:rsidRDefault="00000000">
            <w:pPr>
              <w:jc w:val="left"/>
            </w:pPr>
            <m:oMathPara>
              <m:oMath>
                <m:sSub>
                  <m:sSubPr>
                    <m:ctrlPr>
                      <w:rPr>
                        <w:rFonts w:ascii="Cambria Math" w:hAnsi="Cambria Math"/>
                        <w:i/>
                        <w:sz w:val="28"/>
                      </w:rPr>
                    </m:ctrlPr>
                  </m:sSubPr>
                  <m:e>
                    <m:r>
                      <w:rPr>
                        <w:rFonts w:ascii="Cambria Math" w:hAnsi="Cambria Math"/>
                        <w:sz w:val="28"/>
                      </w:rPr>
                      <m:t>E</m:t>
                    </m:r>
                  </m:e>
                  <m:sub>
                    <m:r>
                      <w:rPr>
                        <w:rFonts w:ascii="Cambria Math" w:hAnsi="Cambria Math"/>
                        <w:sz w:val="28"/>
                      </w:rPr>
                      <m:t>s,a,t</m:t>
                    </m:r>
                  </m:sub>
                </m:sSub>
                <m:r>
                  <w:rPr>
                    <w:rFonts w:ascii="Cambria Math" w:hAnsi="Cambria Math"/>
                    <w:sz w:val="28"/>
                  </w:rPr>
                  <m:t>=</m:t>
                </m:r>
                <m:sSub>
                  <m:sSubPr>
                    <m:ctrlPr>
                      <w:rPr>
                        <w:rFonts w:ascii="Cambria Math" w:hAnsi="Cambria Math"/>
                        <w:i/>
                        <w:sz w:val="28"/>
                      </w:rPr>
                    </m:ctrlPr>
                  </m:sSubPr>
                  <m:e>
                    <m:r>
                      <w:rPr>
                        <w:rFonts w:ascii="Cambria Math" w:hAnsi="Cambria Math"/>
                        <w:sz w:val="28"/>
                      </w:rPr>
                      <m:t>A</m:t>
                    </m:r>
                  </m:e>
                  <m:sub>
                    <m:r>
                      <w:rPr>
                        <w:rFonts w:ascii="Cambria Math" w:hAnsi="Cambria Math"/>
                        <w:sz w:val="28"/>
                      </w:rPr>
                      <m:t>a,t</m:t>
                    </m:r>
                  </m:sub>
                </m:sSub>
                <m:r>
                  <w:rPr>
                    <w:rFonts w:ascii="Cambria Math" w:hAnsi="Cambria Math"/>
                    <w:sz w:val="28"/>
                  </w:rPr>
                  <m:t>×</m:t>
                </m:r>
                <m:sSub>
                  <m:sSubPr>
                    <m:ctrlPr>
                      <w:rPr>
                        <w:rFonts w:ascii="Cambria Math" w:hAnsi="Cambria Math"/>
                        <w:i/>
                        <w:sz w:val="28"/>
                      </w:rPr>
                    </m:ctrlPr>
                  </m:sSubPr>
                  <m:e>
                    <m:r>
                      <w:rPr>
                        <w:rFonts w:ascii="Cambria Math" w:hAnsi="Cambria Math"/>
                        <w:sz w:val="28"/>
                      </w:rPr>
                      <m:t>EF</m:t>
                    </m:r>
                  </m:e>
                  <m:sub>
                    <m:r>
                      <w:rPr>
                        <w:rFonts w:ascii="Cambria Math" w:hAnsi="Cambria Math"/>
                        <w:sz w:val="28"/>
                      </w:rPr>
                      <m:t>s,a</m:t>
                    </m:r>
                  </m:sub>
                </m:sSub>
              </m:oMath>
            </m:oMathPara>
          </w:p>
        </w:tc>
        <w:tc>
          <w:tcPr>
            <w:tcW w:w="3403" w:type="dxa"/>
            <w:vAlign w:val="center"/>
          </w:tcPr>
          <w:p w14:paraId="5D67453C" w14:textId="77777777" w:rsidR="00C7602C" w:rsidRPr="00A169FE" w:rsidRDefault="00C7602C">
            <w:pPr>
              <w:jc w:val="left"/>
              <w:rPr>
                <w:sz w:val="28"/>
                <w:szCs w:val="28"/>
              </w:rPr>
            </w:pPr>
            <w:r w:rsidRPr="00A169FE">
              <w:rPr>
                <w:sz w:val="24"/>
                <w:szCs w:val="28"/>
              </w:rPr>
              <w:t>(1)</w:t>
            </w:r>
          </w:p>
        </w:tc>
      </w:tr>
    </w:tbl>
    <w:p w14:paraId="44016DC6" w14:textId="4C3352D4" w:rsidR="002A67F1" w:rsidRPr="002A67F1" w:rsidRDefault="002A67F1" w:rsidP="002A67F1">
      <w:pPr>
        <w:spacing w:after="0"/>
      </w:pPr>
      <w:r w:rsidRPr="00622F40">
        <w:t>with</w:t>
      </w:r>
      <w:r w:rsidRPr="002A67F1">
        <w:t xml:space="preserve"> </w:t>
      </w:r>
      <w:r w:rsidRPr="002A67F1">
        <w:tab/>
        <w:t xml:space="preserve">E: </w:t>
      </w:r>
      <w:r w:rsidRPr="00622F40">
        <w:t>e</w:t>
      </w:r>
      <w:r w:rsidRPr="002A67F1">
        <w:t>mission relat</w:t>
      </w:r>
      <w:r w:rsidR="000C7CBB">
        <w:t>ed</w:t>
      </w:r>
      <w:r w:rsidRPr="002A67F1">
        <w:t xml:space="preserve"> </w:t>
      </w:r>
      <w:r w:rsidRPr="00622F40">
        <w:t xml:space="preserve">to the </w:t>
      </w:r>
      <w:r w:rsidRPr="002A67F1">
        <w:t xml:space="preserve">substance "s" </w:t>
      </w:r>
      <w:r w:rsidRPr="00622F40">
        <w:t>and the activity</w:t>
      </w:r>
      <w:r w:rsidRPr="002A67F1">
        <w:t xml:space="preserve"> "a" </w:t>
      </w:r>
      <w:r>
        <w:t>during the time</w:t>
      </w:r>
      <w:r w:rsidR="009C3BC4">
        <w:t xml:space="preserve"> </w:t>
      </w:r>
      <w:r>
        <w:t xml:space="preserve">period </w:t>
      </w:r>
      <w:r w:rsidRPr="002A67F1">
        <w:t>"t"</w:t>
      </w:r>
      <w:r w:rsidR="00B8426B">
        <w:t>,</w:t>
      </w:r>
    </w:p>
    <w:p w14:paraId="05DD1149" w14:textId="5E6F97E5" w:rsidR="002A67F1" w:rsidRPr="00B8426B" w:rsidRDefault="002A67F1" w:rsidP="002A67F1">
      <w:pPr>
        <w:spacing w:after="0"/>
      </w:pPr>
      <w:r w:rsidRPr="002A67F1">
        <w:tab/>
      </w:r>
      <w:r w:rsidRPr="00B8426B">
        <w:t xml:space="preserve">A: </w:t>
      </w:r>
      <w:r w:rsidR="00B8426B" w:rsidRPr="00622F40">
        <w:t>activity data</w:t>
      </w:r>
      <w:r w:rsidRPr="00B8426B">
        <w:t xml:space="preserve"> </w:t>
      </w:r>
      <w:r w:rsidR="000C7CBB">
        <w:t>related</w:t>
      </w:r>
      <w:r w:rsidRPr="00B8426B">
        <w:t xml:space="preserve"> </w:t>
      </w:r>
      <w:r w:rsidR="00B8426B" w:rsidRPr="00622F40">
        <w:t>to activity</w:t>
      </w:r>
      <w:r w:rsidRPr="00B8426B">
        <w:t xml:space="preserve"> "a" </w:t>
      </w:r>
      <w:r w:rsidR="00B8426B" w:rsidRPr="00622F40">
        <w:t>during the time period</w:t>
      </w:r>
      <w:r w:rsidRPr="00B8426B">
        <w:t xml:space="preserve"> "t"</w:t>
      </w:r>
      <w:r w:rsidR="00B8426B">
        <w:t>,</w:t>
      </w:r>
    </w:p>
    <w:p w14:paraId="0CECD485" w14:textId="27C07E9B" w:rsidR="002A67F1" w:rsidRPr="00085780" w:rsidRDefault="002A67F1" w:rsidP="002A67F1">
      <w:pPr>
        <w:spacing w:after="0"/>
      </w:pPr>
      <w:r w:rsidRPr="00B8426B">
        <w:tab/>
      </w:r>
      <w:r w:rsidR="007011F2" w:rsidRPr="00085780">
        <w:t>E</w:t>
      </w:r>
      <w:r w:rsidRPr="00085780">
        <w:t xml:space="preserve">F: </w:t>
      </w:r>
      <w:r w:rsidR="007011F2" w:rsidRPr="00622F40">
        <w:t>emission factor</w:t>
      </w:r>
      <w:r w:rsidRPr="00085780">
        <w:t xml:space="preserve"> </w:t>
      </w:r>
      <w:r w:rsidR="007011F2" w:rsidRPr="00622F40">
        <w:t>related</w:t>
      </w:r>
      <w:r w:rsidRPr="00085780">
        <w:t xml:space="preserve"> </w:t>
      </w:r>
      <w:r w:rsidR="000C7CBB" w:rsidRPr="00622F40">
        <w:t xml:space="preserve">to </w:t>
      </w:r>
      <w:r w:rsidRPr="00085780">
        <w:t xml:space="preserve">substance "s" </w:t>
      </w:r>
      <w:r w:rsidR="000C7CBB" w:rsidRPr="00622F40">
        <w:t xml:space="preserve">to the activity </w:t>
      </w:r>
      <w:r w:rsidRPr="00085780">
        <w:t>"a".</w:t>
      </w:r>
    </w:p>
    <w:p w14:paraId="44323D23" w14:textId="390BCCF7" w:rsidR="00820611" w:rsidRDefault="00820611" w:rsidP="00622F40">
      <w:pPr>
        <w:tabs>
          <w:tab w:val="left" w:pos="910"/>
        </w:tabs>
        <w:spacing w:line="240" w:lineRule="auto"/>
        <w:rPr>
          <w:szCs w:val="24"/>
          <w:lang w:eastAsia="fr-FR"/>
        </w:rPr>
      </w:pPr>
      <w:r>
        <w:rPr>
          <w:szCs w:val="24"/>
          <w:lang w:eastAsia="fr-FR"/>
        </w:rPr>
        <w:t xml:space="preserve">The associated emissions from one subsector are equal to the sum of the different </w:t>
      </w:r>
      <w:r w:rsidR="00D17E16">
        <w:rPr>
          <w:szCs w:val="24"/>
          <w:lang w:eastAsia="fr-FR"/>
        </w:rPr>
        <w:t xml:space="preserve">emissions for the activities included in the subsector. </w:t>
      </w:r>
    </w:p>
    <w:p w14:paraId="4311BB74" w14:textId="60B1B2B8" w:rsidR="00CA1CE3" w:rsidRPr="00F40BD6" w:rsidRDefault="00B6222D" w:rsidP="00CA1CE3">
      <w:pPr>
        <w:spacing w:line="240" w:lineRule="auto"/>
        <w:rPr>
          <w:szCs w:val="24"/>
          <w:lang w:eastAsia="fr-FR"/>
        </w:rPr>
      </w:pPr>
      <w:r>
        <w:rPr>
          <w:szCs w:val="24"/>
          <w:lang w:eastAsia="fr-FR"/>
        </w:rPr>
        <w:t>The major part of the</w:t>
      </w:r>
      <w:r w:rsidR="00CA1CE3" w:rsidRPr="00F40BD6">
        <w:rPr>
          <w:szCs w:val="24"/>
          <w:lang w:eastAsia="fr-FR"/>
        </w:rPr>
        <w:t xml:space="preserve"> methodolog</w:t>
      </w:r>
      <w:r w:rsidR="00E13A35">
        <w:rPr>
          <w:szCs w:val="24"/>
          <w:lang w:eastAsia="fr-FR"/>
        </w:rPr>
        <w:t>ies</w:t>
      </w:r>
      <w:r w:rsidR="00CA1CE3" w:rsidRPr="00F40BD6">
        <w:rPr>
          <w:szCs w:val="24"/>
          <w:lang w:eastAsia="fr-FR"/>
        </w:rPr>
        <w:t xml:space="preserve"> applied to estimate emissions is Tier 1 and relates to the multiplication of activity data (e.g. fuel consumption, manufacture</w:t>
      </w:r>
      <w:r w:rsidR="00D926E0">
        <w:rPr>
          <w:szCs w:val="24"/>
          <w:lang w:eastAsia="fr-FR"/>
        </w:rPr>
        <w:t>d product</w:t>
      </w:r>
      <w:r w:rsidR="00CA1CE3" w:rsidRPr="00F40BD6">
        <w:rPr>
          <w:szCs w:val="24"/>
          <w:lang w:eastAsia="fr-FR"/>
        </w:rPr>
        <w:t xml:space="preserve"> production, etc.) </w:t>
      </w:r>
      <w:r w:rsidR="00D926E0">
        <w:rPr>
          <w:szCs w:val="24"/>
          <w:lang w:eastAsia="fr-FR"/>
        </w:rPr>
        <w:t>with</w:t>
      </w:r>
      <w:r w:rsidR="00D926E0" w:rsidRPr="00F40BD6">
        <w:rPr>
          <w:szCs w:val="24"/>
          <w:lang w:eastAsia="fr-FR"/>
        </w:rPr>
        <w:t xml:space="preserve"> </w:t>
      </w:r>
      <w:r w:rsidR="00CA1CE3" w:rsidRPr="00F40BD6">
        <w:rPr>
          <w:szCs w:val="24"/>
          <w:lang w:eastAsia="fr-FR"/>
        </w:rPr>
        <w:t>default emission factor</w:t>
      </w:r>
      <w:r w:rsidR="00D926E0">
        <w:rPr>
          <w:szCs w:val="24"/>
          <w:lang w:eastAsia="fr-FR"/>
        </w:rPr>
        <w:t>s</w:t>
      </w:r>
      <w:r w:rsidR="00387F71">
        <w:rPr>
          <w:szCs w:val="24"/>
          <w:lang w:eastAsia="fr-FR"/>
        </w:rPr>
        <w:t xml:space="preserve"> from the</w:t>
      </w:r>
      <w:r w:rsidR="00CA1CE3" w:rsidRPr="00F40BD6">
        <w:rPr>
          <w:szCs w:val="24"/>
          <w:lang w:eastAsia="fr-FR"/>
        </w:rPr>
        <w:t xml:space="preserve"> IPCC Guidelines. In some cases, a Tier 2 methodology is applied </w:t>
      </w:r>
      <w:r w:rsidR="00CA1CE3" w:rsidRPr="00AD4381">
        <w:rPr>
          <w:szCs w:val="24"/>
          <w:lang w:eastAsia="fr-FR"/>
        </w:rPr>
        <w:t>when already possible for this inventory according</w:t>
      </w:r>
      <w:r w:rsidR="00CA1CE3" w:rsidRPr="00F40BD6">
        <w:rPr>
          <w:szCs w:val="24"/>
          <w:lang w:eastAsia="fr-FR"/>
        </w:rPr>
        <w:t xml:space="preserve"> to IPCC 2006 (e.g. </w:t>
      </w:r>
      <w:r w:rsidR="0060618E">
        <w:rPr>
          <w:szCs w:val="24"/>
          <w:lang w:eastAsia="fr-FR"/>
        </w:rPr>
        <w:t xml:space="preserve">lignite combustion </w:t>
      </w:r>
      <w:r w:rsidR="00E40BF4">
        <w:rPr>
          <w:szCs w:val="24"/>
          <w:lang w:eastAsia="fr-FR"/>
        </w:rPr>
        <w:t>in</w:t>
      </w:r>
      <w:r w:rsidR="0060618E">
        <w:rPr>
          <w:szCs w:val="24"/>
          <w:lang w:eastAsia="fr-FR"/>
        </w:rPr>
        <w:t xml:space="preserve"> thermal power plants, </w:t>
      </w:r>
      <w:r w:rsidR="00CA1CE3" w:rsidRPr="00F40BD6">
        <w:rPr>
          <w:szCs w:val="24"/>
          <w:lang w:eastAsia="fr-FR"/>
        </w:rPr>
        <w:t>product use as ODS substitutes, manure management).</w:t>
      </w:r>
    </w:p>
    <w:p w14:paraId="1A512EA7" w14:textId="54C0AD6C" w:rsidR="00CA1CE3" w:rsidRPr="00F40BD6" w:rsidRDefault="00CA1CE3" w:rsidP="00CA1CE3">
      <w:pPr>
        <w:spacing w:line="240" w:lineRule="auto"/>
        <w:rPr>
          <w:szCs w:val="24"/>
          <w:lang w:eastAsia="fr-FR"/>
        </w:rPr>
      </w:pPr>
      <w:r w:rsidRPr="00F40BD6">
        <w:rPr>
          <w:szCs w:val="24"/>
          <w:lang w:eastAsia="fr-FR"/>
        </w:rPr>
        <w:t>Under the framework of the Tier 1 Method, the internationally recommended values for emission factors for all fossil fuels (solid, liquid and gaseous)</w:t>
      </w:r>
      <w:r w:rsidR="000C73D7">
        <w:rPr>
          <w:szCs w:val="24"/>
          <w:lang w:eastAsia="fr-FR"/>
        </w:rPr>
        <w:t xml:space="preserve"> and biomass</w:t>
      </w:r>
      <w:r w:rsidRPr="00F40BD6">
        <w:rPr>
          <w:szCs w:val="24"/>
          <w:lang w:eastAsia="fr-FR"/>
        </w:rPr>
        <w:t xml:space="preserve"> were used, except for</w:t>
      </w:r>
      <w:r w:rsidR="003A72BE">
        <w:rPr>
          <w:szCs w:val="24"/>
          <w:lang w:eastAsia="fr-FR"/>
        </w:rPr>
        <w:t xml:space="preserve"> </w:t>
      </w:r>
      <w:r w:rsidRPr="00F40BD6">
        <w:rPr>
          <w:szCs w:val="24"/>
          <w:lang w:eastAsia="fr-FR"/>
        </w:rPr>
        <w:t>open pit mined lignite</w:t>
      </w:r>
      <w:r w:rsidR="003A72BE">
        <w:rPr>
          <w:szCs w:val="24"/>
          <w:lang w:eastAsia="fr-FR"/>
        </w:rPr>
        <w:t xml:space="preserve"> used in thermal power plants where a national </w:t>
      </w:r>
      <w:r w:rsidR="00FE627F">
        <w:rPr>
          <w:szCs w:val="24"/>
          <w:lang w:eastAsia="fr-FR"/>
        </w:rPr>
        <w:t>emission factor is applied</w:t>
      </w:r>
      <w:r w:rsidRPr="00F40BD6">
        <w:rPr>
          <w:szCs w:val="24"/>
          <w:lang w:eastAsia="fr-FR"/>
        </w:rPr>
        <w:t xml:space="preserve">. </w:t>
      </w:r>
      <w:r w:rsidR="00454126">
        <w:rPr>
          <w:szCs w:val="24"/>
          <w:lang w:eastAsia="fr-FR"/>
        </w:rPr>
        <w:t xml:space="preserve">The </w:t>
      </w:r>
      <w:r w:rsidRPr="00F40BD6">
        <w:rPr>
          <w:szCs w:val="24"/>
          <w:lang w:eastAsia="fr-FR"/>
        </w:rPr>
        <w:t>lignite</w:t>
      </w:r>
      <w:r w:rsidR="00454126">
        <w:rPr>
          <w:szCs w:val="24"/>
          <w:lang w:eastAsia="fr-FR"/>
        </w:rPr>
        <w:t xml:space="preserve"> </w:t>
      </w:r>
      <w:r w:rsidR="008F74F5">
        <w:rPr>
          <w:szCs w:val="24"/>
          <w:lang w:eastAsia="fr-FR"/>
        </w:rPr>
        <w:t xml:space="preserve">produced and </w:t>
      </w:r>
      <w:r w:rsidR="00454126">
        <w:rPr>
          <w:szCs w:val="24"/>
          <w:lang w:eastAsia="fr-FR"/>
        </w:rPr>
        <w:t>used in the Republic of Serbia</w:t>
      </w:r>
      <w:r w:rsidRPr="00F40BD6">
        <w:rPr>
          <w:szCs w:val="24"/>
          <w:lang w:eastAsia="fr-FR"/>
        </w:rPr>
        <w:t>, due to its characteristics, has a significantly lower net calorific value and a higher emission factor value than the default IPCC values.</w:t>
      </w:r>
      <w:r w:rsidR="00AA2059">
        <w:rPr>
          <w:szCs w:val="24"/>
          <w:lang w:eastAsia="fr-FR"/>
        </w:rPr>
        <w:t xml:space="preserve"> </w:t>
      </w:r>
      <w:r w:rsidR="00FB25BB">
        <w:rPr>
          <w:szCs w:val="24"/>
          <w:lang w:eastAsia="fr-FR"/>
        </w:rPr>
        <w:t xml:space="preserve">In addition, the net calorific values </w:t>
      </w:r>
      <w:r w:rsidR="00003BF5">
        <w:rPr>
          <w:szCs w:val="24"/>
          <w:lang w:eastAsia="fr-FR"/>
        </w:rPr>
        <w:t xml:space="preserve">used in the Serbian inventory are country-specific values taken from the national energy balances. </w:t>
      </w:r>
    </w:p>
    <w:p w14:paraId="0AE67517" w14:textId="5A381F12" w:rsidR="00860B8B" w:rsidRDefault="00DF7D82">
      <w:pPr>
        <w:jc w:val="left"/>
        <w:rPr>
          <w:b/>
          <w:bCs/>
          <w:color w:val="4F81BD" w:themeColor="accent1"/>
          <w:sz w:val="18"/>
          <w:szCs w:val="18"/>
        </w:rPr>
      </w:pPr>
      <w:r>
        <w:t xml:space="preserve">The methodologies applied into the GHG emission inventory are summarized in the following </w:t>
      </w:r>
      <w:r>
        <w:fldChar w:fldCharType="begin"/>
      </w:r>
      <w:r>
        <w:instrText xml:space="preserve"> REF _Ref184802612 \h </w:instrText>
      </w:r>
      <w:r>
        <w:fldChar w:fldCharType="separate"/>
      </w:r>
      <w:r>
        <w:t xml:space="preserve">Table </w:t>
      </w:r>
      <w:r>
        <w:rPr>
          <w:noProof/>
        </w:rPr>
        <w:t>2</w:t>
      </w:r>
      <w:r>
        <w:fldChar w:fldCharType="end"/>
      </w:r>
      <w:r>
        <w:t xml:space="preserve"> and </w:t>
      </w:r>
      <w:r>
        <w:fldChar w:fldCharType="begin"/>
      </w:r>
      <w:r>
        <w:instrText xml:space="preserve"> REF _Ref184802624 \h </w:instrText>
      </w:r>
      <w:r>
        <w:fldChar w:fldCharType="separate"/>
      </w:r>
      <w:r>
        <w:t xml:space="preserve">Table </w:t>
      </w:r>
      <w:r>
        <w:rPr>
          <w:noProof/>
        </w:rPr>
        <w:t>3</w:t>
      </w:r>
      <w:r>
        <w:fldChar w:fldCharType="end"/>
      </w:r>
      <w:r>
        <w:t>.</w:t>
      </w:r>
      <w:r w:rsidR="00860B8B">
        <w:br w:type="page"/>
      </w:r>
    </w:p>
    <w:p w14:paraId="32E5367C" w14:textId="63D59907" w:rsidR="007D44CC" w:rsidRPr="002462F0" w:rsidRDefault="007D44CC" w:rsidP="007D44CC">
      <w:pPr>
        <w:pStyle w:val="Caption"/>
        <w:jc w:val="left"/>
      </w:pPr>
      <w:bookmarkStart w:id="34" w:name="_Ref184802612"/>
      <w:bookmarkStart w:id="35" w:name="_Toc184808544"/>
      <w:r>
        <w:lastRenderedPageBreak/>
        <w:t xml:space="preserve">Table </w:t>
      </w:r>
      <w:r>
        <w:fldChar w:fldCharType="begin"/>
      </w:r>
      <w:r>
        <w:instrText xml:space="preserve"> SEQ Table \* ARABIC </w:instrText>
      </w:r>
      <w:r>
        <w:fldChar w:fldCharType="separate"/>
      </w:r>
      <w:r w:rsidR="00F14C78">
        <w:rPr>
          <w:noProof/>
        </w:rPr>
        <w:t>2</w:t>
      </w:r>
      <w:r>
        <w:fldChar w:fldCharType="end"/>
      </w:r>
      <w:bookmarkEnd w:id="34"/>
      <w:r>
        <w:t xml:space="preserve">: </w:t>
      </w:r>
      <w:r w:rsidRPr="002462F0">
        <w:t xml:space="preserve">Methodology employed by </w:t>
      </w:r>
      <w:r>
        <w:t>CRT</w:t>
      </w:r>
      <w:r w:rsidRPr="002462F0">
        <w:t xml:space="preserve"> for emission estim</w:t>
      </w:r>
      <w:r>
        <w:t>ate and emission factors used (1</w:t>
      </w:r>
      <w:r w:rsidRPr="002462F0">
        <w:t>/2)</w:t>
      </w:r>
      <w:bookmarkEnd w:id="35"/>
    </w:p>
    <w:p w14:paraId="15D38471" w14:textId="308F2ADD" w:rsidR="00267868" w:rsidRPr="002462F0" w:rsidRDefault="00DF7D82" w:rsidP="00267868">
      <w:pPr>
        <w:spacing w:line="240" w:lineRule="auto"/>
        <w:jc w:val="center"/>
        <w:rPr>
          <w:sz w:val="24"/>
          <w:szCs w:val="24"/>
          <w:lang w:eastAsia="fr-FR"/>
        </w:rPr>
      </w:pPr>
      <w:r w:rsidRPr="00E04F20">
        <w:rPr>
          <w:noProof/>
          <w:lang w:val="en-US"/>
        </w:rPr>
        <w:drawing>
          <wp:inline distT="0" distB="0" distL="0" distR="0" wp14:anchorId="22A7E6E2" wp14:editId="0E880432">
            <wp:extent cx="8573269" cy="4238234"/>
            <wp:effectExtent l="0" t="4127" r="0" b="0"/>
            <wp:docPr id="76893579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593650" cy="4248310"/>
                    </a:xfrm>
                    <a:prstGeom prst="rect">
                      <a:avLst/>
                    </a:prstGeom>
                    <a:noFill/>
                    <a:ln>
                      <a:noFill/>
                    </a:ln>
                  </pic:spPr>
                </pic:pic>
              </a:graphicData>
            </a:graphic>
          </wp:inline>
        </w:drawing>
      </w:r>
    </w:p>
    <w:p w14:paraId="31EE31E2" w14:textId="3FD75AB1" w:rsidR="007D44CC" w:rsidRDefault="007D44CC" w:rsidP="007D44CC">
      <w:pPr>
        <w:pStyle w:val="Caption"/>
        <w:keepNext/>
      </w:pPr>
      <w:bookmarkStart w:id="36" w:name="_Ref184802624"/>
      <w:bookmarkStart w:id="37" w:name="_Toc184808545"/>
      <w:r>
        <w:lastRenderedPageBreak/>
        <w:t xml:space="preserve">Table </w:t>
      </w:r>
      <w:r>
        <w:fldChar w:fldCharType="begin"/>
      </w:r>
      <w:r>
        <w:instrText xml:space="preserve"> SEQ Table \* ARABIC </w:instrText>
      </w:r>
      <w:r>
        <w:fldChar w:fldCharType="separate"/>
      </w:r>
      <w:r w:rsidR="00F14C78">
        <w:rPr>
          <w:noProof/>
        </w:rPr>
        <w:t>3</w:t>
      </w:r>
      <w:r>
        <w:fldChar w:fldCharType="end"/>
      </w:r>
      <w:bookmarkEnd w:id="36"/>
      <w:r>
        <w:t xml:space="preserve">: </w:t>
      </w:r>
      <w:r w:rsidRPr="002462F0">
        <w:t xml:space="preserve">Methodology employed by </w:t>
      </w:r>
      <w:r>
        <w:t>CRT</w:t>
      </w:r>
      <w:r w:rsidRPr="002462F0">
        <w:t xml:space="preserve"> for emission estimate and emission factors used (2/2)</w:t>
      </w:r>
      <w:bookmarkEnd w:id="37"/>
    </w:p>
    <w:p w14:paraId="233DEF73" w14:textId="7F6C3B2B" w:rsidR="00267868" w:rsidRPr="002462F0" w:rsidRDefault="00DF7D82" w:rsidP="00267868">
      <w:pPr>
        <w:spacing w:line="240" w:lineRule="auto"/>
        <w:jc w:val="center"/>
        <w:rPr>
          <w:b/>
          <w:sz w:val="24"/>
          <w:szCs w:val="24"/>
          <w:lang w:eastAsia="fr-FR"/>
        </w:rPr>
      </w:pPr>
      <w:r w:rsidRPr="00600885">
        <w:rPr>
          <w:noProof/>
          <w:lang w:val="en-US"/>
        </w:rPr>
        <w:drawing>
          <wp:inline distT="0" distB="0" distL="0" distR="0" wp14:anchorId="22909858" wp14:editId="04F3F3FB">
            <wp:extent cx="8392522" cy="5024024"/>
            <wp:effectExtent l="7937" t="0" r="0" b="0"/>
            <wp:docPr id="749093883"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405550" cy="5031823"/>
                    </a:xfrm>
                    <a:prstGeom prst="rect">
                      <a:avLst/>
                    </a:prstGeom>
                    <a:noFill/>
                    <a:ln>
                      <a:noFill/>
                    </a:ln>
                  </pic:spPr>
                </pic:pic>
              </a:graphicData>
            </a:graphic>
          </wp:inline>
        </w:drawing>
      </w:r>
    </w:p>
    <w:p w14:paraId="348F04ED" w14:textId="77777777" w:rsidR="004B440B" w:rsidRDefault="004B440B" w:rsidP="00267868">
      <w:pPr>
        <w:spacing w:line="240" w:lineRule="auto"/>
        <w:rPr>
          <w:b/>
          <w:sz w:val="24"/>
          <w:szCs w:val="24"/>
          <w:lang w:eastAsia="fr-FR"/>
        </w:rPr>
      </w:pPr>
    </w:p>
    <w:p w14:paraId="1A17D2E4" w14:textId="516BEDCF" w:rsidR="00267868" w:rsidRPr="002462F0" w:rsidRDefault="00267868" w:rsidP="00267868">
      <w:pPr>
        <w:spacing w:line="240" w:lineRule="auto"/>
        <w:rPr>
          <w:b/>
          <w:sz w:val="24"/>
          <w:szCs w:val="24"/>
          <w:lang w:eastAsia="fr-FR"/>
        </w:rPr>
      </w:pPr>
      <w:r w:rsidRPr="002462F0">
        <w:rPr>
          <w:b/>
          <w:sz w:val="24"/>
          <w:szCs w:val="24"/>
          <w:lang w:eastAsia="fr-FR"/>
        </w:rPr>
        <w:lastRenderedPageBreak/>
        <w:t>Data sources</w:t>
      </w:r>
    </w:p>
    <w:p w14:paraId="1F022C94" w14:textId="3F94ECC1" w:rsidR="00267868" w:rsidRPr="00F40BD6" w:rsidRDefault="00267868" w:rsidP="00267868">
      <w:pPr>
        <w:spacing w:line="240" w:lineRule="auto"/>
        <w:rPr>
          <w:lang w:eastAsia="fr-FR"/>
        </w:rPr>
      </w:pPr>
      <w:r w:rsidRPr="00F40BD6">
        <w:rPr>
          <w:lang w:eastAsia="fr-FR"/>
        </w:rPr>
        <w:t xml:space="preserve">In the framework of the preparation of the emission inventory, </w:t>
      </w:r>
      <w:r w:rsidR="00674D09">
        <w:rPr>
          <w:lang w:eastAsia="fr-FR"/>
        </w:rPr>
        <w:t>a large amount of data must</w:t>
      </w:r>
      <w:r w:rsidRPr="00F40BD6">
        <w:rPr>
          <w:lang w:eastAsia="fr-FR"/>
        </w:rPr>
        <w:t xml:space="preserve"> be collected. Data sources can be:</w:t>
      </w:r>
    </w:p>
    <w:p w14:paraId="3174E2A3" w14:textId="1F77774C" w:rsidR="00267868" w:rsidRPr="00F40BD6" w:rsidRDefault="00267868" w:rsidP="00B1419E">
      <w:pPr>
        <w:pStyle w:val="ListParagraph"/>
        <w:numPr>
          <w:ilvl w:val="0"/>
          <w:numId w:val="27"/>
        </w:numPr>
        <w:spacing w:line="240" w:lineRule="auto"/>
        <w:rPr>
          <w:lang w:eastAsia="fr-FR"/>
        </w:rPr>
      </w:pPr>
      <w:r w:rsidRPr="00F40BD6">
        <w:rPr>
          <w:lang w:eastAsia="fr-FR"/>
        </w:rPr>
        <w:t xml:space="preserve">Activity data and </w:t>
      </w:r>
      <w:r w:rsidR="00286DC0">
        <w:rPr>
          <w:lang w:eastAsia="fr-FR"/>
        </w:rPr>
        <w:t xml:space="preserve">associated </w:t>
      </w:r>
      <w:r w:rsidR="00306940">
        <w:rPr>
          <w:lang w:eastAsia="fr-FR"/>
        </w:rPr>
        <w:t xml:space="preserve">characteristic values </w:t>
      </w:r>
      <w:r w:rsidRPr="00F40BD6">
        <w:rPr>
          <w:lang w:eastAsia="fr-FR"/>
        </w:rPr>
        <w:t>(such as fuel consumption, raw material consumption, net calorific value, production, etc.)</w:t>
      </w:r>
    </w:p>
    <w:p w14:paraId="6C275BE2" w14:textId="0E869B88" w:rsidR="00267868" w:rsidRPr="00F40BD6" w:rsidRDefault="00267868" w:rsidP="00B1419E">
      <w:pPr>
        <w:pStyle w:val="ListParagraph"/>
        <w:numPr>
          <w:ilvl w:val="1"/>
          <w:numId w:val="27"/>
        </w:numPr>
        <w:spacing w:line="240" w:lineRule="auto"/>
        <w:rPr>
          <w:lang w:eastAsia="fr-FR"/>
        </w:rPr>
      </w:pPr>
      <w:r w:rsidRPr="00F40BD6">
        <w:rPr>
          <w:lang w:eastAsia="fr-FR"/>
        </w:rPr>
        <w:t xml:space="preserve">Examples of sources: international statistics, national statistics, local statistics, governmental agencies, professional bodies, </w:t>
      </w:r>
      <w:r w:rsidR="00306940">
        <w:rPr>
          <w:lang w:eastAsia="fr-FR"/>
        </w:rPr>
        <w:t xml:space="preserve">reporting </w:t>
      </w:r>
      <w:r w:rsidRPr="00F40BD6">
        <w:rPr>
          <w:lang w:eastAsia="fr-FR"/>
        </w:rPr>
        <w:t xml:space="preserve">data from </w:t>
      </w:r>
      <w:r w:rsidR="00306940">
        <w:rPr>
          <w:lang w:eastAsia="fr-FR"/>
        </w:rPr>
        <w:t xml:space="preserve">individual </w:t>
      </w:r>
      <w:r w:rsidRPr="00F40BD6">
        <w:rPr>
          <w:lang w:eastAsia="fr-FR"/>
        </w:rPr>
        <w:t>plants, possible default parameters available in models.</w:t>
      </w:r>
    </w:p>
    <w:p w14:paraId="3CFCD0AF" w14:textId="38C4D1F0" w:rsidR="00267868" w:rsidRPr="00F40BD6" w:rsidRDefault="00267868" w:rsidP="00B1419E">
      <w:pPr>
        <w:pStyle w:val="ListParagraph"/>
        <w:numPr>
          <w:ilvl w:val="0"/>
          <w:numId w:val="27"/>
        </w:numPr>
        <w:spacing w:line="240" w:lineRule="auto"/>
        <w:rPr>
          <w:lang w:eastAsia="fr-FR"/>
        </w:rPr>
      </w:pPr>
      <w:r w:rsidRPr="00F40BD6">
        <w:rPr>
          <w:lang w:eastAsia="fr-FR"/>
        </w:rPr>
        <w:t xml:space="preserve">Emission factors and </w:t>
      </w:r>
      <w:r w:rsidR="00306940">
        <w:rPr>
          <w:lang w:eastAsia="fr-FR"/>
        </w:rPr>
        <w:t>associated</w:t>
      </w:r>
      <w:r w:rsidR="00306940" w:rsidRPr="00F40BD6">
        <w:rPr>
          <w:lang w:eastAsia="fr-FR"/>
        </w:rPr>
        <w:t xml:space="preserve"> </w:t>
      </w:r>
      <w:r w:rsidR="00306940">
        <w:rPr>
          <w:lang w:eastAsia="fr-FR"/>
        </w:rPr>
        <w:t>variables</w:t>
      </w:r>
      <w:r w:rsidR="00306940" w:rsidRPr="00F40BD6">
        <w:rPr>
          <w:lang w:eastAsia="fr-FR"/>
        </w:rPr>
        <w:t xml:space="preserve"> </w:t>
      </w:r>
      <w:r w:rsidRPr="00F40BD6">
        <w:rPr>
          <w:lang w:eastAsia="fr-FR"/>
        </w:rPr>
        <w:t xml:space="preserve">(such as emission factor, oxidation factor, conversion factor, carbon content, biomass content, </w:t>
      </w:r>
      <w:r w:rsidR="00306940">
        <w:rPr>
          <w:lang w:eastAsia="fr-FR"/>
        </w:rPr>
        <w:t xml:space="preserve">sulphur content, </w:t>
      </w:r>
      <w:r w:rsidRPr="00F40BD6">
        <w:rPr>
          <w:lang w:eastAsia="fr-FR"/>
        </w:rPr>
        <w:t>etc.)</w:t>
      </w:r>
    </w:p>
    <w:p w14:paraId="49DE8C7C" w14:textId="77777777" w:rsidR="00267868" w:rsidRPr="00F40BD6" w:rsidRDefault="00267868" w:rsidP="00B1419E">
      <w:pPr>
        <w:pStyle w:val="ListParagraph"/>
        <w:numPr>
          <w:ilvl w:val="1"/>
          <w:numId w:val="27"/>
        </w:numPr>
        <w:spacing w:line="240" w:lineRule="auto"/>
        <w:rPr>
          <w:lang w:eastAsia="fr-FR"/>
        </w:rPr>
      </w:pPr>
      <w:r w:rsidRPr="00F40BD6">
        <w:rPr>
          <w:lang w:eastAsia="fr-FR"/>
        </w:rPr>
        <w:t>Examples of sources: international guidebooks, international web databases, sectoral documents, scientific articles, expert judgments, data within calculations tools / models.</w:t>
      </w:r>
    </w:p>
    <w:p w14:paraId="79C052C0" w14:textId="5C55324D" w:rsidR="00D315D6" w:rsidRPr="00F40BD6" w:rsidRDefault="00D315D6" w:rsidP="001A5201">
      <w:pPr>
        <w:spacing w:line="240" w:lineRule="auto"/>
        <w:rPr>
          <w:szCs w:val="24"/>
          <w:lang w:eastAsia="fr-FR"/>
        </w:rPr>
      </w:pPr>
      <w:r w:rsidRPr="00F40BD6">
        <w:rPr>
          <w:szCs w:val="24"/>
          <w:lang w:eastAsia="fr-FR"/>
        </w:rPr>
        <w:t>A data source has to be available for all reported years (as far as possible, else estimation/extrapolation procedures are needed cf. IPCC 2006), available at a reasonable cost, traceable, transparent, reliable, register</w:t>
      </w:r>
      <w:r w:rsidR="001A5201">
        <w:rPr>
          <w:szCs w:val="24"/>
          <w:lang w:eastAsia="fr-FR"/>
        </w:rPr>
        <w:t>ed</w:t>
      </w:r>
      <w:r w:rsidRPr="00F40BD6">
        <w:rPr>
          <w:szCs w:val="24"/>
          <w:lang w:eastAsia="fr-FR"/>
        </w:rPr>
        <w:t xml:space="preserve"> and archived.</w:t>
      </w:r>
      <w:r w:rsidR="00BB618E">
        <w:rPr>
          <w:szCs w:val="24"/>
          <w:lang w:eastAsia="fr-FR"/>
        </w:rPr>
        <w:t xml:space="preserve"> In addition, to apply higher Tier methods, </w:t>
      </w:r>
      <w:r w:rsidR="00AB202A">
        <w:rPr>
          <w:szCs w:val="24"/>
          <w:lang w:eastAsia="fr-FR"/>
        </w:rPr>
        <w:t xml:space="preserve">activity </w:t>
      </w:r>
      <w:r w:rsidR="00BB618E">
        <w:rPr>
          <w:szCs w:val="24"/>
          <w:lang w:eastAsia="fr-FR"/>
        </w:rPr>
        <w:t xml:space="preserve">data with </w:t>
      </w:r>
      <w:r w:rsidR="004B3C94">
        <w:rPr>
          <w:szCs w:val="24"/>
          <w:lang w:eastAsia="fr-FR"/>
        </w:rPr>
        <w:t xml:space="preserve">higher degree of </w:t>
      </w:r>
      <w:r w:rsidR="002B1797">
        <w:rPr>
          <w:szCs w:val="24"/>
          <w:lang w:eastAsia="fr-FR"/>
        </w:rPr>
        <w:t xml:space="preserve">precision </w:t>
      </w:r>
      <w:r w:rsidR="00AB202A">
        <w:rPr>
          <w:szCs w:val="24"/>
          <w:lang w:eastAsia="fr-FR"/>
        </w:rPr>
        <w:t xml:space="preserve">are </w:t>
      </w:r>
      <w:r w:rsidR="00E01776">
        <w:rPr>
          <w:szCs w:val="24"/>
          <w:lang w:eastAsia="fr-FR"/>
        </w:rPr>
        <w:t>necessary</w:t>
      </w:r>
      <w:r w:rsidR="005B6DEC">
        <w:rPr>
          <w:szCs w:val="24"/>
          <w:lang w:eastAsia="fr-FR"/>
        </w:rPr>
        <w:t xml:space="preserve">, which can be hard </w:t>
      </w:r>
      <w:r w:rsidR="003B116B">
        <w:rPr>
          <w:szCs w:val="24"/>
          <w:lang w:eastAsia="fr-FR"/>
        </w:rPr>
        <w:t xml:space="preserve">to collect. </w:t>
      </w:r>
      <w:r w:rsidR="00AB202A">
        <w:rPr>
          <w:szCs w:val="24"/>
          <w:lang w:eastAsia="fr-FR"/>
        </w:rPr>
        <w:t xml:space="preserve"> </w:t>
      </w:r>
    </w:p>
    <w:p w14:paraId="62338A8E" w14:textId="2FC7D835" w:rsidR="00267868" w:rsidRDefault="00267868" w:rsidP="00267868">
      <w:pPr>
        <w:spacing w:line="240" w:lineRule="auto"/>
        <w:rPr>
          <w:lang w:eastAsia="fr-FR"/>
        </w:rPr>
      </w:pPr>
      <w:r w:rsidRPr="00F40BD6">
        <w:rPr>
          <w:lang w:eastAsia="fr-FR"/>
        </w:rPr>
        <w:t>The primary sources of the activity data for the GHG inventory were provided by the Statistical Office of the Republic of Serbia (e.g. statistical yearbook, energy balance).</w:t>
      </w:r>
      <w:r w:rsidR="00647BCD">
        <w:rPr>
          <w:lang w:eastAsia="fr-FR"/>
        </w:rPr>
        <w:t xml:space="preserve"> In addition, </w:t>
      </w:r>
      <w:r w:rsidR="00730A7B">
        <w:rPr>
          <w:lang w:eastAsia="fr-FR"/>
        </w:rPr>
        <w:t>for CRT subcategories 2C1, 2C4 and 2G</w:t>
      </w:r>
      <w:r w:rsidR="00343E31">
        <w:rPr>
          <w:lang w:eastAsia="fr-FR"/>
        </w:rPr>
        <w:t>1</w:t>
      </w:r>
      <w:r w:rsidR="00730A7B">
        <w:rPr>
          <w:lang w:eastAsia="fr-FR"/>
        </w:rPr>
        <w:t xml:space="preserve">, </w:t>
      </w:r>
      <w:r w:rsidR="00565D51">
        <w:rPr>
          <w:lang w:eastAsia="fr-FR"/>
        </w:rPr>
        <w:t xml:space="preserve">data </w:t>
      </w:r>
      <w:r w:rsidR="006E48D3">
        <w:rPr>
          <w:lang w:eastAsia="fr-FR"/>
        </w:rPr>
        <w:t xml:space="preserve">about activity data and emissions are directly obtained </w:t>
      </w:r>
      <w:r w:rsidR="00565D51">
        <w:rPr>
          <w:lang w:eastAsia="fr-FR"/>
        </w:rPr>
        <w:t xml:space="preserve">from facilities </w:t>
      </w:r>
      <w:r w:rsidR="006E48D3">
        <w:rPr>
          <w:lang w:eastAsia="fr-FR"/>
        </w:rPr>
        <w:t>(bottom-up approach)</w:t>
      </w:r>
      <w:r w:rsidR="00343E31">
        <w:rPr>
          <w:lang w:eastAsia="fr-FR"/>
        </w:rPr>
        <w:t>.</w:t>
      </w:r>
    </w:p>
    <w:p w14:paraId="1412097F" w14:textId="77777777" w:rsidR="001A5201" w:rsidRPr="00F40BD6" w:rsidRDefault="001A5201" w:rsidP="00267868">
      <w:pPr>
        <w:spacing w:line="240" w:lineRule="auto"/>
        <w:rPr>
          <w:lang w:eastAsia="fr-FR"/>
        </w:rPr>
      </w:pPr>
    </w:p>
    <w:p w14:paraId="6E575EB2" w14:textId="77777777" w:rsidR="00267868" w:rsidRPr="00F40BD6" w:rsidRDefault="00267868" w:rsidP="00267868">
      <w:pPr>
        <w:spacing w:line="240" w:lineRule="auto"/>
        <w:rPr>
          <w:szCs w:val="24"/>
          <w:lang w:eastAsia="fr-FR"/>
        </w:rPr>
      </w:pPr>
      <w:r w:rsidRPr="00F40BD6">
        <w:rPr>
          <w:b/>
          <w:szCs w:val="24"/>
          <w:lang w:eastAsia="fr-FR"/>
        </w:rPr>
        <w:t>Emission factors applied are mostly default values provided in 2006 IPCC Guidelines.</w:t>
      </w:r>
      <w:r w:rsidR="00614555" w:rsidRPr="00F40BD6">
        <w:rPr>
          <w:szCs w:val="24"/>
          <w:lang w:eastAsia="fr-FR"/>
        </w:rPr>
        <w:t xml:space="preserve"> </w:t>
      </w:r>
      <w:bookmarkStart w:id="38" w:name="_Toc496101024"/>
    </w:p>
    <w:p w14:paraId="28D8CF32" w14:textId="77777777" w:rsidR="00614555" w:rsidRPr="009C1CF3" w:rsidRDefault="00614555" w:rsidP="009C1CF3">
      <w:pPr>
        <w:pStyle w:val="Heading2"/>
        <w:rPr>
          <w:rStyle w:val="Heading2Char"/>
          <w:b/>
        </w:rPr>
      </w:pPr>
      <w:bookmarkStart w:id="39" w:name="_Toc182327707"/>
      <w:bookmarkStart w:id="40" w:name="_Toc184808150"/>
      <w:r w:rsidRPr="009C1CF3">
        <w:rPr>
          <w:rStyle w:val="Heading2Char"/>
          <w:b/>
        </w:rPr>
        <w:t>Brief description of key categories</w:t>
      </w:r>
      <w:bookmarkEnd w:id="38"/>
      <w:bookmarkEnd w:id="39"/>
      <w:bookmarkEnd w:id="40"/>
    </w:p>
    <w:p w14:paraId="364A3D7D" w14:textId="2245C24C" w:rsidR="007F1C7F" w:rsidRDefault="00643C18" w:rsidP="00D315D6">
      <w:pPr>
        <w:autoSpaceDE w:val="0"/>
        <w:autoSpaceDN w:val="0"/>
        <w:adjustRightInd w:val="0"/>
        <w:spacing w:after="0" w:line="240" w:lineRule="auto"/>
        <w:rPr>
          <w:rFonts w:cs="Arial"/>
          <w:color w:val="000000"/>
        </w:rPr>
      </w:pPr>
      <w:r>
        <w:rPr>
          <w:rFonts w:cs="Arial"/>
          <w:color w:val="000000"/>
          <w:lang w:val="en-US"/>
        </w:rPr>
        <w:t xml:space="preserve">According to IPCC recommendations, a key category analysis </w:t>
      </w:r>
      <w:r w:rsidR="007F1C7F">
        <w:rPr>
          <w:rFonts w:cs="Arial"/>
          <w:color w:val="000000"/>
          <w:lang w:val="en-US"/>
        </w:rPr>
        <w:t xml:space="preserve">(KCA) </w:t>
      </w:r>
      <w:r>
        <w:rPr>
          <w:rFonts w:cs="Arial"/>
          <w:color w:val="000000"/>
          <w:lang w:val="en-US"/>
        </w:rPr>
        <w:t>is developed in this chapter</w:t>
      </w:r>
      <w:r w:rsidR="005308C8">
        <w:rPr>
          <w:rFonts w:cs="Arial"/>
          <w:color w:val="000000"/>
          <w:lang w:val="en-US"/>
        </w:rPr>
        <w:t xml:space="preserve">, based on the contribution of </w:t>
      </w:r>
      <w:r w:rsidR="007C39DD">
        <w:rPr>
          <w:rFonts w:cs="Arial"/>
          <w:color w:val="000000"/>
          <w:lang w:val="en-US"/>
        </w:rPr>
        <w:t>GHG emissions (expressed in CO</w:t>
      </w:r>
      <w:r w:rsidR="007C39DD" w:rsidRPr="00622F40">
        <w:rPr>
          <w:rFonts w:cs="Arial"/>
          <w:color w:val="000000"/>
          <w:vertAlign w:val="subscript"/>
          <w:lang w:val="en-US"/>
        </w:rPr>
        <w:t>2</w:t>
      </w:r>
      <w:r w:rsidR="007C39DD">
        <w:rPr>
          <w:rFonts w:cs="Arial"/>
          <w:color w:val="000000"/>
          <w:lang w:val="en-US"/>
        </w:rPr>
        <w:t>e) for each</w:t>
      </w:r>
      <w:r w:rsidR="005308C8">
        <w:rPr>
          <w:rFonts w:cs="Arial"/>
          <w:color w:val="000000"/>
          <w:lang w:val="en-US"/>
        </w:rPr>
        <w:t xml:space="preserve"> CRT category</w:t>
      </w:r>
      <w:r w:rsidR="00325C38">
        <w:rPr>
          <w:rFonts w:cs="Arial"/>
          <w:color w:val="000000"/>
          <w:lang w:val="en-US"/>
        </w:rPr>
        <w:t xml:space="preserve"> and </w:t>
      </w:r>
      <w:r w:rsidR="005308C8">
        <w:rPr>
          <w:rFonts w:cs="Arial"/>
          <w:color w:val="000000"/>
          <w:lang w:val="en-US"/>
        </w:rPr>
        <w:t>direct GHG</w:t>
      </w:r>
      <w:r w:rsidR="00325C38">
        <w:rPr>
          <w:rFonts w:cs="Arial"/>
          <w:color w:val="000000"/>
          <w:lang w:val="en-US"/>
        </w:rPr>
        <w:t xml:space="preserve">. In addition, for combustion activities (i.e., CRT 1A), </w:t>
      </w:r>
      <w:r w:rsidR="00F21120">
        <w:rPr>
          <w:rFonts w:cs="Arial"/>
          <w:color w:val="000000"/>
          <w:lang w:val="en-US"/>
        </w:rPr>
        <w:t>the key categories are determined per type of fuel</w:t>
      </w:r>
      <w:r w:rsidR="005308C8">
        <w:rPr>
          <w:rFonts w:cs="Arial"/>
          <w:color w:val="000000"/>
          <w:lang w:val="en-US"/>
        </w:rPr>
        <w:t>.</w:t>
      </w:r>
      <w:r>
        <w:rPr>
          <w:rFonts w:cs="Arial"/>
          <w:color w:val="000000"/>
          <w:lang w:val="en-US"/>
        </w:rPr>
        <w:t xml:space="preserve"> </w:t>
      </w:r>
      <w:r w:rsidR="00D315D6" w:rsidRPr="00F40BD6">
        <w:rPr>
          <w:rFonts w:cs="Arial"/>
          <w:color w:val="000000"/>
          <w:lang w:val="en-US"/>
        </w:rPr>
        <w:t xml:space="preserve">Key categories are defined as the sources of emissions </w:t>
      </w:r>
      <w:r w:rsidR="00DD7EED">
        <w:rPr>
          <w:rFonts w:cs="Arial"/>
          <w:color w:val="000000"/>
          <w:lang w:val="en-US"/>
        </w:rPr>
        <w:t>which</w:t>
      </w:r>
      <w:r w:rsidR="00DD7EED" w:rsidRPr="00F40BD6">
        <w:rPr>
          <w:rFonts w:cs="Arial"/>
          <w:color w:val="000000"/>
          <w:lang w:val="en-US"/>
        </w:rPr>
        <w:t xml:space="preserve"> </w:t>
      </w:r>
      <w:r w:rsidR="00D315D6" w:rsidRPr="00F40BD6">
        <w:rPr>
          <w:rFonts w:cs="Arial"/>
          <w:color w:val="000000"/>
          <w:lang w:val="en-US"/>
        </w:rPr>
        <w:t>have a significant influence on the inventory as a whole, in terms of absolute level of emissions, uncertainty or trend. In Approach 1, key categories are identified using a pre-determined cumulative emissions threshold</w:t>
      </w:r>
      <w:r w:rsidR="00F320FD">
        <w:rPr>
          <w:rFonts w:cs="Arial"/>
          <w:color w:val="000000"/>
          <w:lang w:val="en-US"/>
        </w:rPr>
        <w:t>.</w:t>
      </w:r>
    </w:p>
    <w:p w14:paraId="2444883F" w14:textId="77777777" w:rsidR="007F1C7F" w:rsidRDefault="007F1C7F" w:rsidP="00D315D6">
      <w:pPr>
        <w:autoSpaceDE w:val="0"/>
        <w:autoSpaceDN w:val="0"/>
        <w:adjustRightInd w:val="0"/>
        <w:spacing w:after="0" w:line="240" w:lineRule="auto"/>
        <w:rPr>
          <w:rFonts w:cs="Arial"/>
          <w:color w:val="000000"/>
        </w:rPr>
      </w:pPr>
    </w:p>
    <w:p w14:paraId="209186CF" w14:textId="0C22854A" w:rsidR="00D315D6" w:rsidRPr="00F40BD6" w:rsidRDefault="00D315D6" w:rsidP="00D315D6">
      <w:pPr>
        <w:autoSpaceDE w:val="0"/>
        <w:autoSpaceDN w:val="0"/>
        <w:adjustRightInd w:val="0"/>
        <w:spacing w:after="0" w:line="240" w:lineRule="auto"/>
        <w:rPr>
          <w:rFonts w:cs="Arial"/>
          <w:color w:val="000000"/>
          <w:lang w:val="en-US"/>
        </w:rPr>
      </w:pPr>
      <w:r w:rsidRPr="00F40BD6">
        <w:rPr>
          <w:rFonts w:cs="Arial"/>
          <w:color w:val="000000"/>
          <w:lang w:val="en-US"/>
        </w:rPr>
        <w:t>The following tables summari</w:t>
      </w:r>
      <w:r w:rsidR="00573D6A">
        <w:rPr>
          <w:rFonts w:cs="Arial"/>
          <w:color w:val="000000"/>
          <w:lang w:val="en-US"/>
        </w:rPr>
        <w:t>z</w:t>
      </w:r>
      <w:r w:rsidRPr="00F40BD6">
        <w:rPr>
          <w:rFonts w:cs="Arial"/>
          <w:color w:val="000000"/>
          <w:lang w:val="en-US"/>
        </w:rPr>
        <w:t xml:space="preserve">e the key source categories, for the </w:t>
      </w:r>
      <w:r w:rsidR="00573D6A">
        <w:rPr>
          <w:rFonts w:cs="Arial"/>
          <w:color w:val="000000"/>
          <w:lang w:val="en-US"/>
        </w:rPr>
        <w:t>lat</w:t>
      </w:r>
      <w:r w:rsidR="009D0DA1">
        <w:rPr>
          <w:rFonts w:cs="Arial"/>
          <w:color w:val="000000"/>
          <w:lang w:val="en-US"/>
        </w:rPr>
        <w:t>est inventory</w:t>
      </w:r>
      <w:r w:rsidR="00573D6A">
        <w:rPr>
          <w:rFonts w:cs="Arial"/>
          <w:color w:val="000000"/>
          <w:lang w:val="en-US"/>
        </w:rPr>
        <w:t xml:space="preserve"> year</w:t>
      </w:r>
      <w:r w:rsidR="009D0DA1">
        <w:rPr>
          <w:rFonts w:cs="Arial"/>
          <w:color w:val="000000"/>
          <w:lang w:val="en-US"/>
        </w:rPr>
        <w:t xml:space="preserve"> (2022)</w:t>
      </w:r>
      <w:r w:rsidRPr="00F40BD6">
        <w:rPr>
          <w:rFonts w:cs="Arial"/>
          <w:color w:val="000000"/>
          <w:lang w:val="en-US"/>
        </w:rPr>
        <w:t>, and the base year</w:t>
      </w:r>
      <w:r w:rsidR="00573D6A">
        <w:rPr>
          <w:rFonts w:cs="Arial"/>
          <w:color w:val="000000"/>
          <w:lang w:val="en-US"/>
        </w:rPr>
        <w:t xml:space="preserve"> </w:t>
      </w:r>
      <w:r w:rsidR="00E525FA">
        <w:rPr>
          <w:rFonts w:cs="Arial"/>
          <w:color w:val="000000"/>
          <w:lang w:val="en-US"/>
        </w:rPr>
        <w:t>(</w:t>
      </w:r>
      <w:r w:rsidR="00573D6A">
        <w:rPr>
          <w:rFonts w:cs="Arial"/>
          <w:color w:val="000000"/>
          <w:lang w:val="en-US"/>
        </w:rPr>
        <w:t>1990</w:t>
      </w:r>
      <w:r w:rsidR="00E525FA">
        <w:rPr>
          <w:rFonts w:cs="Arial"/>
          <w:color w:val="000000"/>
          <w:lang w:val="en-US"/>
        </w:rPr>
        <w:t>)</w:t>
      </w:r>
      <w:r w:rsidRPr="00F40BD6">
        <w:rPr>
          <w:rFonts w:cs="Arial"/>
          <w:color w:val="000000"/>
          <w:lang w:val="en-US"/>
        </w:rPr>
        <w:t xml:space="preserve">, derived from the IPCC Approach 1 key category analyses (KCA). </w:t>
      </w:r>
      <w:r w:rsidR="00137437">
        <w:rPr>
          <w:rFonts w:cs="Arial"/>
          <w:color w:val="000000"/>
          <w:lang w:val="en-US"/>
        </w:rPr>
        <w:t>Results</w:t>
      </w:r>
      <w:r w:rsidR="00137437" w:rsidRPr="00F40BD6">
        <w:rPr>
          <w:rFonts w:cs="Arial"/>
          <w:color w:val="000000"/>
          <w:lang w:val="en-US"/>
        </w:rPr>
        <w:t xml:space="preserve"> </w:t>
      </w:r>
      <w:r w:rsidRPr="00F40BD6">
        <w:rPr>
          <w:rFonts w:cs="Arial"/>
          <w:color w:val="000000"/>
          <w:lang w:val="en-US"/>
        </w:rPr>
        <w:t xml:space="preserve">are </w:t>
      </w:r>
      <w:r w:rsidR="00137437">
        <w:rPr>
          <w:rFonts w:cs="Arial"/>
          <w:color w:val="000000"/>
          <w:lang w:val="en-US"/>
        </w:rPr>
        <w:t>presented</w:t>
      </w:r>
      <w:r w:rsidR="00137437" w:rsidRPr="00F40BD6">
        <w:rPr>
          <w:rFonts w:cs="Arial"/>
          <w:color w:val="000000"/>
          <w:lang w:val="en-US"/>
        </w:rPr>
        <w:t xml:space="preserve"> </w:t>
      </w:r>
      <w:r w:rsidRPr="00F40BD6">
        <w:rPr>
          <w:rFonts w:cs="Arial"/>
          <w:color w:val="000000"/>
          <w:lang w:val="en-US"/>
        </w:rPr>
        <w:t xml:space="preserve">for the analysis with and without LULUCF </w:t>
      </w:r>
      <w:r w:rsidR="00D832BE">
        <w:rPr>
          <w:rFonts w:cs="Arial"/>
          <w:color w:val="000000"/>
          <w:lang w:val="en-US"/>
        </w:rPr>
        <w:t>contribution</w:t>
      </w:r>
      <w:r w:rsidRPr="00F40BD6">
        <w:rPr>
          <w:rFonts w:cs="Arial"/>
          <w:color w:val="000000"/>
          <w:lang w:val="en-US"/>
        </w:rPr>
        <w:t xml:space="preserve">. </w:t>
      </w:r>
    </w:p>
    <w:p w14:paraId="09ED7E48" w14:textId="77777777" w:rsidR="00D315D6" w:rsidRDefault="00D315D6" w:rsidP="00D315D6">
      <w:pPr>
        <w:autoSpaceDE w:val="0"/>
        <w:autoSpaceDN w:val="0"/>
        <w:adjustRightInd w:val="0"/>
        <w:spacing w:after="0" w:line="240" w:lineRule="auto"/>
        <w:rPr>
          <w:rFonts w:cs="Arial"/>
          <w:color w:val="000000"/>
          <w:lang w:val="en-US"/>
        </w:rPr>
      </w:pPr>
    </w:p>
    <w:p w14:paraId="0CBECB0E" w14:textId="4C6D8E0D" w:rsidR="00AF7577" w:rsidRPr="00622F40" w:rsidRDefault="00AF7577" w:rsidP="00D315D6">
      <w:pPr>
        <w:autoSpaceDE w:val="0"/>
        <w:autoSpaceDN w:val="0"/>
        <w:adjustRightInd w:val="0"/>
        <w:spacing w:after="0" w:line="240" w:lineRule="auto"/>
        <w:rPr>
          <w:rFonts w:cs="Arial"/>
          <w:b/>
          <w:bCs/>
          <w:color w:val="000000"/>
        </w:rPr>
      </w:pPr>
      <w:r w:rsidRPr="00442D3B">
        <w:rPr>
          <w:rFonts w:cs="Arial"/>
          <w:b/>
          <w:bCs/>
          <w:color w:val="000000"/>
        </w:rPr>
        <w:t>Approach</w:t>
      </w:r>
      <w:r w:rsidR="006C2385">
        <w:rPr>
          <w:rFonts w:cs="Arial"/>
          <w:b/>
          <w:bCs/>
          <w:color w:val="000000"/>
        </w:rPr>
        <w:t xml:space="preserve"> Tier</w:t>
      </w:r>
      <w:r w:rsidRPr="00442D3B">
        <w:rPr>
          <w:rFonts w:cs="Arial"/>
          <w:b/>
          <w:bCs/>
          <w:color w:val="000000"/>
        </w:rPr>
        <w:t xml:space="preserve"> 1</w:t>
      </w:r>
    </w:p>
    <w:p w14:paraId="2B8605EA" w14:textId="77777777" w:rsidR="00AF7577" w:rsidRPr="00F40BD6" w:rsidRDefault="00AF7577" w:rsidP="00D315D6">
      <w:pPr>
        <w:autoSpaceDE w:val="0"/>
        <w:autoSpaceDN w:val="0"/>
        <w:adjustRightInd w:val="0"/>
        <w:spacing w:after="0" w:line="240" w:lineRule="auto"/>
        <w:rPr>
          <w:rFonts w:cs="Arial"/>
          <w:color w:val="000000"/>
          <w:lang w:val="en-US"/>
        </w:rPr>
      </w:pPr>
    </w:p>
    <w:p w14:paraId="771243C7" w14:textId="23600C60" w:rsidR="00D315D6" w:rsidRPr="00F40BD6" w:rsidRDefault="00D315D6" w:rsidP="00D315D6">
      <w:pPr>
        <w:autoSpaceDE w:val="0"/>
        <w:autoSpaceDN w:val="0"/>
        <w:adjustRightInd w:val="0"/>
        <w:spacing w:after="0" w:line="240" w:lineRule="auto"/>
        <w:rPr>
          <w:bCs/>
          <w:lang w:eastAsia="fr-FR"/>
        </w:rPr>
      </w:pPr>
      <w:r w:rsidRPr="00F40BD6">
        <w:rPr>
          <w:bCs/>
          <w:lang w:eastAsia="fr-FR"/>
        </w:rPr>
        <w:t xml:space="preserve">According to the 2006 IPCC Guidelines for the Tier 1 approach, </w:t>
      </w:r>
      <w:r w:rsidR="00E525FA">
        <w:rPr>
          <w:bCs/>
          <w:lang w:eastAsia="fr-FR"/>
        </w:rPr>
        <w:t>k</w:t>
      </w:r>
      <w:r w:rsidRPr="00F40BD6">
        <w:rPr>
          <w:bCs/>
          <w:lang w:eastAsia="fr-FR"/>
        </w:rPr>
        <w:t xml:space="preserve">ey categories are those contributing in the accumulative 95% of the total </w:t>
      </w:r>
      <w:r w:rsidR="00F40BD6" w:rsidRPr="00F40BD6">
        <w:rPr>
          <w:bCs/>
          <w:lang w:eastAsia="fr-FR"/>
        </w:rPr>
        <w:t xml:space="preserve">emissions in level </w:t>
      </w:r>
      <w:r w:rsidRPr="00F40BD6">
        <w:rPr>
          <w:bCs/>
          <w:lang w:eastAsia="fr-FR"/>
        </w:rPr>
        <w:t xml:space="preserve">or in trend analysis, when ranking from the largest to smallest </w:t>
      </w:r>
      <w:r w:rsidR="00F40BD6" w:rsidRPr="00F40BD6">
        <w:rPr>
          <w:bCs/>
          <w:lang w:eastAsia="fr-FR"/>
        </w:rPr>
        <w:t>contributions in level</w:t>
      </w:r>
      <w:r w:rsidRPr="00F40BD6">
        <w:rPr>
          <w:bCs/>
          <w:lang w:eastAsia="fr-FR"/>
        </w:rPr>
        <w:t xml:space="preserve"> and in trend. </w:t>
      </w:r>
    </w:p>
    <w:p w14:paraId="12BF2F45" w14:textId="36C783F6" w:rsidR="00D315D6" w:rsidRPr="00F40BD6" w:rsidRDefault="00D315D6" w:rsidP="00D315D6">
      <w:pPr>
        <w:autoSpaceDE w:val="0"/>
        <w:autoSpaceDN w:val="0"/>
        <w:adjustRightInd w:val="0"/>
        <w:spacing w:after="0" w:line="240" w:lineRule="auto"/>
        <w:rPr>
          <w:bCs/>
          <w:lang w:eastAsia="fr-FR"/>
        </w:rPr>
      </w:pPr>
      <w:r w:rsidRPr="00F40BD6">
        <w:rPr>
          <w:bCs/>
          <w:lang w:eastAsia="fr-FR"/>
        </w:rPr>
        <w:t xml:space="preserve">Tier 1 analyses were performed at a detailed level of IPCC source categories and each greenhouse gas from each source category was considered separately with respect to </w:t>
      </w:r>
      <w:r w:rsidR="009155A7">
        <w:rPr>
          <w:bCs/>
          <w:lang w:eastAsia="fr-FR"/>
        </w:rPr>
        <w:t xml:space="preserve">its </w:t>
      </w:r>
      <w:r w:rsidRPr="00F40BD6">
        <w:rPr>
          <w:bCs/>
          <w:lang w:eastAsia="fr-FR"/>
        </w:rPr>
        <w:t xml:space="preserve">total </w:t>
      </w:r>
      <w:r w:rsidR="009155A7">
        <w:rPr>
          <w:bCs/>
          <w:lang w:eastAsia="fr-FR"/>
        </w:rPr>
        <w:t>CO</w:t>
      </w:r>
      <w:r w:rsidR="009155A7" w:rsidRPr="00622F40">
        <w:rPr>
          <w:bCs/>
          <w:vertAlign w:val="subscript"/>
          <w:lang w:eastAsia="fr-FR"/>
        </w:rPr>
        <w:t>2</w:t>
      </w:r>
      <w:r w:rsidR="009155A7">
        <w:rPr>
          <w:bCs/>
          <w:lang w:eastAsia="fr-FR"/>
        </w:rPr>
        <w:t>e</w:t>
      </w:r>
      <w:r w:rsidR="009155A7" w:rsidRPr="00F40BD6">
        <w:rPr>
          <w:bCs/>
          <w:lang w:eastAsia="fr-FR"/>
        </w:rPr>
        <w:t xml:space="preserve"> </w:t>
      </w:r>
      <w:r w:rsidRPr="00F40BD6">
        <w:rPr>
          <w:bCs/>
          <w:lang w:eastAsia="fr-FR"/>
        </w:rPr>
        <w:t>emissions.</w:t>
      </w:r>
    </w:p>
    <w:p w14:paraId="4B8514DA" w14:textId="77777777" w:rsidR="00D315D6" w:rsidRPr="00F40BD6" w:rsidRDefault="00D315D6" w:rsidP="00D315D6">
      <w:pPr>
        <w:autoSpaceDE w:val="0"/>
        <w:autoSpaceDN w:val="0"/>
        <w:adjustRightInd w:val="0"/>
        <w:spacing w:after="0" w:line="240" w:lineRule="auto"/>
        <w:rPr>
          <w:bCs/>
          <w:lang w:eastAsia="fr-FR"/>
        </w:rPr>
      </w:pPr>
    </w:p>
    <w:p w14:paraId="4B7DBE2B" w14:textId="593C4337" w:rsidR="00D315D6" w:rsidRPr="00F40BD6" w:rsidRDefault="00D315D6" w:rsidP="00D315D6">
      <w:pPr>
        <w:autoSpaceDE w:val="0"/>
        <w:autoSpaceDN w:val="0"/>
        <w:adjustRightInd w:val="0"/>
        <w:spacing w:after="0" w:line="240" w:lineRule="auto"/>
        <w:rPr>
          <w:bCs/>
          <w:lang w:eastAsia="fr-FR"/>
        </w:rPr>
      </w:pPr>
      <w:r w:rsidRPr="00F40BD6">
        <w:rPr>
          <w:bCs/>
          <w:lang w:eastAsia="fr-FR"/>
        </w:rPr>
        <w:t xml:space="preserve">The results from the key category analyses </w:t>
      </w:r>
      <w:r w:rsidR="00C4498C">
        <w:rPr>
          <w:bCs/>
          <w:lang w:eastAsia="fr-FR"/>
        </w:rPr>
        <w:t>of the CR</w:t>
      </w:r>
      <w:r w:rsidR="00971C57">
        <w:rPr>
          <w:bCs/>
          <w:lang w:eastAsia="fr-FR"/>
        </w:rPr>
        <w:t>T</w:t>
      </w:r>
      <w:r w:rsidR="00C4498C">
        <w:rPr>
          <w:bCs/>
          <w:lang w:eastAsia="fr-FR"/>
        </w:rPr>
        <w:t xml:space="preserve"> reporter </w:t>
      </w:r>
      <w:r w:rsidRPr="00F40BD6">
        <w:rPr>
          <w:bCs/>
          <w:lang w:eastAsia="fr-FR"/>
        </w:rPr>
        <w:t xml:space="preserve">are </w:t>
      </w:r>
      <w:r w:rsidR="00C4498C">
        <w:rPr>
          <w:bCs/>
          <w:lang w:eastAsia="fr-FR"/>
        </w:rPr>
        <w:t>presented</w:t>
      </w:r>
      <w:r w:rsidRPr="00F40BD6">
        <w:rPr>
          <w:bCs/>
          <w:lang w:eastAsia="fr-FR"/>
        </w:rPr>
        <w:t xml:space="preserve"> in </w:t>
      </w:r>
      <w:r w:rsidRPr="00F40BD6">
        <w:rPr>
          <w:rFonts w:cs="Arial"/>
          <w:b/>
          <w:bCs/>
          <w:color w:val="000000"/>
          <w:lang w:val="en-US"/>
        </w:rPr>
        <w:t>Annex 1</w:t>
      </w:r>
      <w:r w:rsidR="00C4498C" w:rsidRPr="00C4498C">
        <w:rPr>
          <w:rFonts w:cs="Arial"/>
          <w:bCs/>
          <w:color w:val="000000"/>
          <w:lang w:val="en-US"/>
        </w:rPr>
        <w:t>.</w:t>
      </w:r>
      <w:r w:rsidRPr="00C4498C">
        <w:rPr>
          <w:rFonts w:cs="Arial"/>
          <w:bCs/>
          <w:color w:val="000000"/>
          <w:lang w:val="en-US"/>
        </w:rPr>
        <w:t xml:space="preserve"> </w:t>
      </w:r>
      <w:r w:rsidR="00C67D8B">
        <w:rPr>
          <w:rFonts w:cs="Arial"/>
          <w:bCs/>
          <w:color w:val="000000"/>
          <w:lang w:val="en-US"/>
        </w:rPr>
        <w:t xml:space="preserve">The Republic of </w:t>
      </w:r>
      <w:r w:rsidR="00C4498C">
        <w:rPr>
          <w:rFonts w:cs="Arial"/>
          <w:bCs/>
          <w:color w:val="000000"/>
          <w:lang w:val="en-US"/>
        </w:rPr>
        <w:t>Serbia has carried out a key-category analysis on a more</w:t>
      </w:r>
      <w:r w:rsidR="00C67D8B">
        <w:rPr>
          <w:rFonts w:cs="Arial"/>
          <w:bCs/>
          <w:color w:val="000000"/>
          <w:lang w:val="en-US"/>
        </w:rPr>
        <w:t>-</w:t>
      </w:r>
      <w:r w:rsidR="00C4498C">
        <w:rPr>
          <w:rFonts w:cs="Arial"/>
          <w:bCs/>
          <w:color w:val="000000"/>
          <w:lang w:val="en-US"/>
        </w:rPr>
        <w:t xml:space="preserve">detailed category level </w:t>
      </w:r>
      <w:r w:rsidR="00C67D8B">
        <w:rPr>
          <w:rFonts w:cs="Arial"/>
          <w:bCs/>
          <w:color w:val="000000"/>
          <w:lang w:val="en-US"/>
        </w:rPr>
        <w:t xml:space="preserve">than the one recommended, </w:t>
      </w:r>
      <w:r w:rsidR="00C4498C">
        <w:rPr>
          <w:rFonts w:cs="Arial"/>
          <w:bCs/>
          <w:color w:val="000000"/>
          <w:lang w:val="en-US"/>
        </w:rPr>
        <w:t>which is presented in the following tables</w:t>
      </w:r>
      <w:r w:rsidRPr="00F40BD6">
        <w:rPr>
          <w:bCs/>
          <w:lang w:eastAsia="fr-FR"/>
        </w:rPr>
        <w:t xml:space="preserve">. </w:t>
      </w:r>
      <w:r w:rsidR="008F2A7E">
        <w:rPr>
          <w:bCs/>
          <w:lang w:eastAsia="fr-FR"/>
        </w:rPr>
        <w:t>Excluding LULUCF contribution, t</w:t>
      </w:r>
      <w:r w:rsidRPr="00F40BD6">
        <w:rPr>
          <w:bCs/>
          <w:lang w:eastAsia="fr-FR"/>
        </w:rPr>
        <w:t xml:space="preserve">he Tier 1 analysis identified </w:t>
      </w:r>
      <w:r w:rsidR="00874277">
        <w:rPr>
          <w:bCs/>
          <w:lang w:eastAsia="fr-FR"/>
        </w:rPr>
        <w:t>40</w:t>
      </w:r>
      <w:r w:rsidR="00696BBD" w:rsidRPr="00F40BD6">
        <w:rPr>
          <w:bCs/>
          <w:lang w:eastAsia="fr-FR"/>
        </w:rPr>
        <w:t xml:space="preserve"> </w:t>
      </w:r>
      <w:r w:rsidRPr="00F40BD6">
        <w:rPr>
          <w:bCs/>
          <w:lang w:eastAsia="fr-FR"/>
        </w:rPr>
        <w:t>key categories on level of emissions</w:t>
      </w:r>
      <w:r w:rsidR="008F2A7E">
        <w:rPr>
          <w:bCs/>
          <w:lang w:eastAsia="fr-FR"/>
        </w:rPr>
        <w:t>,</w:t>
      </w:r>
      <w:r w:rsidRPr="00F40BD6">
        <w:rPr>
          <w:bCs/>
          <w:lang w:eastAsia="fr-FR"/>
        </w:rPr>
        <w:t xml:space="preserve"> for the year 20</w:t>
      </w:r>
      <w:r w:rsidR="008F2A7E">
        <w:rPr>
          <w:bCs/>
          <w:lang w:eastAsia="fr-FR"/>
        </w:rPr>
        <w:t>22</w:t>
      </w:r>
      <w:r w:rsidR="00D2134E">
        <w:rPr>
          <w:bCs/>
          <w:lang w:eastAsia="fr-FR"/>
        </w:rPr>
        <w:t xml:space="preserve">, and </w:t>
      </w:r>
      <w:r w:rsidR="00BC2BA9">
        <w:rPr>
          <w:bCs/>
          <w:lang w:eastAsia="fr-FR"/>
        </w:rPr>
        <w:t>59</w:t>
      </w:r>
      <w:r w:rsidR="00D2134E">
        <w:rPr>
          <w:bCs/>
          <w:lang w:eastAsia="fr-FR"/>
        </w:rPr>
        <w:t xml:space="preserve"> key categories on trend between 1990 and 2022</w:t>
      </w:r>
      <w:r w:rsidRPr="00F40BD6">
        <w:rPr>
          <w:bCs/>
          <w:lang w:eastAsia="fr-FR"/>
        </w:rPr>
        <w:t xml:space="preserve">. </w:t>
      </w:r>
    </w:p>
    <w:p w14:paraId="31F562B2" w14:textId="77777777" w:rsidR="00D315D6" w:rsidRPr="00F40BD6" w:rsidRDefault="00D315D6" w:rsidP="00D315D6">
      <w:pPr>
        <w:autoSpaceDE w:val="0"/>
        <w:autoSpaceDN w:val="0"/>
        <w:adjustRightInd w:val="0"/>
        <w:spacing w:after="0" w:line="240" w:lineRule="auto"/>
        <w:rPr>
          <w:bCs/>
          <w:lang w:eastAsia="fr-FR"/>
        </w:rPr>
      </w:pPr>
    </w:p>
    <w:p w14:paraId="2DD80FCC" w14:textId="4C0AF4D6" w:rsidR="00D315D6" w:rsidRPr="00F40BD6" w:rsidRDefault="00D315D6" w:rsidP="00D315D6">
      <w:pPr>
        <w:autoSpaceDE w:val="0"/>
        <w:autoSpaceDN w:val="0"/>
        <w:adjustRightInd w:val="0"/>
        <w:spacing w:after="0" w:line="240" w:lineRule="auto"/>
        <w:rPr>
          <w:bCs/>
          <w:lang w:eastAsia="fr-FR"/>
        </w:rPr>
      </w:pPr>
      <w:r w:rsidRPr="00F40BD6">
        <w:rPr>
          <w:rFonts w:cs="Arial"/>
          <w:color w:val="000000"/>
          <w:lang w:val="en-US"/>
        </w:rPr>
        <w:t>A comparison of the key-category analysis carried out within the CR</w:t>
      </w:r>
      <w:r w:rsidR="0081605E">
        <w:rPr>
          <w:rFonts w:cs="Arial"/>
          <w:color w:val="000000"/>
          <w:lang w:val="en-US"/>
        </w:rPr>
        <w:t>T</w:t>
      </w:r>
      <w:r w:rsidRPr="00F40BD6">
        <w:rPr>
          <w:rFonts w:cs="Arial"/>
          <w:color w:val="000000"/>
          <w:lang w:val="en-US"/>
        </w:rPr>
        <w:t xml:space="preserve"> Reporter and Serbia's key-category analysis has found that the two analyses differ because of different choices of definition of category levels for the KCA. </w:t>
      </w:r>
      <w:r w:rsidRPr="00F40BD6">
        <w:rPr>
          <w:rFonts w:cs="Arial"/>
          <w:color w:val="000000"/>
          <w:lang w:val="en-US"/>
        </w:rPr>
        <w:lastRenderedPageBreak/>
        <w:t xml:space="preserve">Indeed, differences of approach are apparent; for example, Serbia divides agricultural or F-gases sectors into sub-categories </w:t>
      </w:r>
      <w:r w:rsidRPr="00F40BD6">
        <w:rPr>
          <w:bCs/>
          <w:lang w:eastAsia="fr-FR"/>
        </w:rPr>
        <w:t>(e.g. 3.D.1.2.a and 3.D.1.4 in Serbia‘s approach vs 3D1 with</w:t>
      </w:r>
      <w:r w:rsidR="007D0B3E">
        <w:rPr>
          <w:bCs/>
          <w:lang w:eastAsia="fr-FR"/>
        </w:rPr>
        <w:t>in the</w:t>
      </w:r>
      <w:r w:rsidRPr="00F40BD6">
        <w:rPr>
          <w:bCs/>
          <w:lang w:eastAsia="fr-FR"/>
        </w:rPr>
        <w:t xml:space="preserve"> CR</w:t>
      </w:r>
      <w:r w:rsidR="007D0B3E">
        <w:rPr>
          <w:bCs/>
          <w:lang w:eastAsia="fr-FR"/>
        </w:rPr>
        <w:t>T</w:t>
      </w:r>
      <w:r w:rsidRPr="00F40BD6">
        <w:rPr>
          <w:bCs/>
          <w:lang w:eastAsia="fr-FR"/>
        </w:rPr>
        <w:t xml:space="preserve"> Reporter approach</w:t>
      </w:r>
      <w:r w:rsidR="007E182D">
        <w:rPr>
          <w:bCs/>
          <w:lang w:eastAsia="fr-FR"/>
        </w:rPr>
        <w:t>,</w:t>
      </w:r>
      <w:r w:rsidRPr="00F40BD6">
        <w:rPr>
          <w:bCs/>
          <w:lang w:eastAsia="fr-FR"/>
        </w:rPr>
        <w:t xml:space="preserve"> or 2.F.1.f for </w:t>
      </w:r>
      <w:r w:rsidRPr="00622F40">
        <w:rPr>
          <w:bCs/>
          <w:szCs w:val="24"/>
          <w:lang w:eastAsia="fr-FR"/>
        </w:rPr>
        <w:t xml:space="preserve">stationary air conditioning in Serbia‘s approach vs 2F1 </w:t>
      </w:r>
      <w:r w:rsidRPr="00F40BD6">
        <w:rPr>
          <w:bCs/>
          <w:lang w:eastAsia="fr-FR"/>
        </w:rPr>
        <w:t>with CR</w:t>
      </w:r>
      <w:r w:rsidR="007D0B3E">
        <w:rPr>
          <w:bCs/>
          <w:lang w:eastAsia="fr-FR"/>
        </w:rPr>
        <w:t>T</w:t>
      </w:r>
      <w:r w:rsidRPr="00F40BD6">
        <w:rPr>
          <w:bCs/>
          <w:lang w:eastAsia="fr-FR"/>
        </w:rPr>
        <w:t xml:space="preserve"> Reporter approach, etc.). </w:t>
      </w:r>
      <w:r w:rsidRPr="00F40BD6">
        <w:rPr>
          <w:rFonts w:cs="Arial"/>
          <w:color w:val="000000"/>
          <w:lang w:val="en-US"/>
        </w:rPr>
        <w:t>The resulting number</w:t>
      </w:r>
      <w:r w:rsidR="007D0B3E">
        <w:rPr>
          <w:rFonts w:cs="Arial"/>
          <w:color w:val="000000"/>
          <w:lang w:val="en-US"/>
        </w:rPr>
        <w:t>s</w:t>
      </w:r>
      <w:r w:rsidRPr="00F40BD6">
        <w:rPr>
          <w:rFonts w:cs="Arial"/>
          <w:color w:val="000000"/>
          <w:lang w:val="en-US"/>
        </w:rPr>
        <w:t xml:space="preserve"> of key categories </w:t>
      </w:r>
      <w:r w:rsidR="007D0B3E">
        <w:rPr>
          <w:rFonts w:cs="Arial"/>
          <w:color w:val="000000"/>
          <w:lang w:val="en-US"/>
        </w:rPr>
        <w:t>are</w:t>
      </w:r>
      <w:r w:rsidR="007D0B3E" w:rsidRPr="00F40BD6">
        <w:rPr>
          <w:rFonts w:cs="Arial"/>
          <w:color w:val="000000"/>
          <w:lang w:val="en-US"/>
        </w:rPr>
        <w:t xml:space="preserve"> </w:t>
      </w:r>
      <w:r w:rsidRPr="00F40BD6">
        <w:rPr>
          <w:rFonts w:cs="Arial"/>
          <w:color w:val="000000"/>
          <w:lang w:val="en-US"/>
        </w:rPr>
        <w:t xml:space="preserve">consequently quite different between these </w:t>
      </w:r>
      <w:r w:rsidR="007D0B3E">
        <w:rPr>
          <w:rFonts w:cs="Arial"/>
          <w:color w:val="000000"/>
          <w:lang w:val="en-US"/>
        </w:rPr>
        <w:t>two</w:t>
      </w:r>
      <w:r w:rsidR="007D0B3E" w:rsidRPr="00F40BD6">
        <w:rPr>
          <w:rFonts w:cs="Arial"/>
          <w:color w:val="000000"/>
          <w:lang w:val="en-US"/>
        </w:rPr>
        <w:t xml:space="preserve"> </w:t>
      </w:r>
      <w:r w:rsidRPr="00F40BD6">
        <w:rPr>
          <w:rFonts w:cs="Arial"/>
          <w:color w:val="000000"/>
          <w:lang w:val="en-US"/>
        </w:rPr>
        <w:t>approaches.</w:t>
      </w:r>
    </w:p>
    <w:p w14:paraId="54E2C360" w14:textId="77777777" w:rsidR="00267868" w:rsidRPr="00F40BD6" w:rsidRDefault="00267868" w:rsidP="00267868">
      <w:pPr>
        <w:autoSpaceDE w:val="0"/>
        <w:autoSpaceDN w:val="0"/>
        <w:adjustRightInd w:val="0"/>
        <w:spacing w:after="0" w:line="240" w:lineRule="auto"/>
        <w:rPr>
          <w:bCs/>
          <w:lang w:eastAsia="fr-FR"/>
        </w:rPr>
      </w:pPr>
    </w:p>
    <w:p w14:paraId="1A6E118B" w14:textId="26DA35A7" w:rsidR="00267868" w:rsidRPr="00D55EF1" w:rsidRDefault="00267868" w:rsidP="00267868">
      <w:pPr>
        <w:autoSpaceDE w:val="0"/>
        <w:autoSpaceDN w:val="0"/>
        <w:adjustRightInd w:val="0"/>
        <w:spacing w:after="0" w:line="240" w:lineRule="auto"/>
        <w:rPr>
          <w:bCs/>
          <w:lang w:eastAsia="fr-FR"/>
        </w:rPr>
      </w:pPr>
      <w:r w:rsidRPr="00D55EF1">
        <w:rPr>
          <w:bCs/>
          <w:lang w:eastAsia="fr-FR"/>
        </w:rPr>
        <w:t>In 20</w:t>
      </w:r>
      <w:r w:rsidR="008E497E">
        <w:rPr>
          <w:bCs/>
          <w:lang w:eastAsia="fr-FR"/>
        </w:rPr>
        <w:t>22</w:t>
      </w:r>
      <w:r w:rsidRPr="00D55EF1">
        <w:rPr>
          <w:bCs/>
          <w:lang w:eastAsia="fr-FR"/>
        </w:rPr>
        <w:t xml:space="preserve">, the </w:t>
      </w:r>
      <w:r w:rsidR="00B94606">
        <w:rPr>
          <w:bCs/>
          <w:lang w:eastAsia="fr-FR"/>
        </w:rPr>
        <w:t>first</w:t>
      </w:r>
      <w:r w:rsidR="003B5583">
        <w:rPr>
          <w:bCs/>
          <w:lang w:eastAsia="fr-FR"/>
        </w:rPr>
        <w:t xml:space="preserve"> key category</w:t>
      </w:r>
      <w:r w:rsidRPr="00D55EF1">
        <w:rPr>
          <w:bCs/>
          <w:lang w:eastAsia="fr-FR"/>
        </w:rPr>
        <w:t xml:space="preserve"> is </w:t>
      </w:r>
      <w:r w:rsidR="00311225">
        <w:rPr>
          <w:bCs/>
          <w:lang w:eastAsia="fr-FR"/>
        </w:rPr>
        <w:t xml:space="preserve">the </w:t>
      </w:r>
      <w:r w:rsidR="0081541F">
        <w:rPr>
          <w:bCs/>
          <w:lang w:eastAsia="fr-FR"/>
        </w:rPr>
        <w:t>CO</w:t>
      </w:r>
      <w:r w:rsidR="0081541F" w:rsidRPr="00622F40">
        <w:rPr>
          <w:bCs/>
          <w:vertAlign w:val="subscript"/>
          <w:lang w:eastAsia="fr-FR"/>
        </w:rPr>
        <w:t>2</w:t>
      </w:r>
      <w:r w:rsidR="0081541F">
        <w:rPr>
          <w:bCs/>
          <w:lang w:eastAsia="fr-FR"/>
        </w:rPr>
        <w:t xml:space="preserve"> emissions from the </w:t>
      </w:r>
      <w:r w:rsidR="00311225">
        <w:rPr>
          <w:bCs/>
          <w:lang w:eastAsia="fr-FR"/>
        </w:rPr>
        <w:t xml:space="preserve">combustion of </w:t>
      </w:r>
      <w:r w:rsidR="00646CB7">
        <w:rPr>
          <w:bCs/>
          <w:lang w:eastAsia="fr-FR"/>
        </w:rPr>
        <w:t xml:space="preserve">solid fuels </w:t>
      </w:r>
      <w:r w:rsidR="0081541F">
        <w:rPr>
          <w:bCs/>
          <w:lang w:eastAsia="fr-FR"/>
        </w:rPr>
        <w:t xml:space="preserve">in public </w:t>
      </w:r>
      <w:r w:rsidRPr="00D55EF1">
        <w:rPr>
          <w:bCs/>
          <w:lang w:eastAsia="fr-FR"/>
        </w:rPr>
        <w:t>electricity and heat production (</w:t>
      </w:r>
      <w:r w:rsidR="000F6001">
        <w:rPr>
          <w:bCs/>
          <w:lang w:eastAsia="fr-FR"/>
        </w:rPr>
        <w:t>CRT</w:t>
      </w:r>
      <w:r w:rsidR="0081541F">
        <w:rPr>
          <w:bCs/>
          <w:lang w:eastAsia="fr-FR"/>
        </w:rPr>
        <w:t xml:space="preserve"> 1A1a</w:t>
      </w:r>
      <w:r w:rsidRPr="00D55EF1">
        <w:rPr>
          <w:bCs/>
          <w:lang w:eastAsia="fr-FR"/>
        </w:rPr>
        <w:t xml:space="preserve">) with </w:t>
      </w:r>
      <w:r w:rsidR="00AC7324" w:rsidRPr="00D55EF1">
        <w:rPr>
          <w:bCs/>
          <w:lang w:eastAsia="fr-FR"/>
        </w:rPr>
        <w:t>almost</w:t>
      </w:r>
      <w:r w:rsidRPr="00D55EF1">
        <w:rPr>
          <w:bCs/>
          <w:lang w:eastAsia="fr-FR"/>
        </w:rPr>
        <w:t xml:space="preserve"> half of the total emissions in </w:t>
      </w:r>
      <w:r w:rsidR="000C4FB9">
        <w:rPr>
          <w:bCs/>
          <w:lang w:eastAsia="fr-FR"/>
        </w:rPr>
        <w:t xml:space="preserve">the Republic of </w:t>
      </w:r>
      <w:r w:rsidRPr="00D55EF1">
        <w:rPr>
          <w:bCs/>
          <w:lang w:eastAsia="fr-FR"/>
        </w:rPr>
        <w:t>Serbia (</w:t>
      </w:r>
      <w:r w:rsidR="00914EA2">
        <w:rPr>
          <w:bCs/>
          <w:lang w:eastAsia="fr-FR"/>
        </w:rPr>
        <w:t>45.5</w:t>
      </w:r>
      <w:r w:rsidRPr="00D55EF1">
        <w:rPr>
          <w:bCs/>
          <w:lang w:eastAsia="fr-FR"/>
        </w:rPr>
        <w:t>%, excluding LULUCF). The emissions of CO</w:t>
      </w:r>
      <w:r w:rsidRPr="00D55EF1">
        <w:rPr>
          <w:bCs/>
          <w:vertAlign w:val="subscript"/>
          <w:lang w:eastAsia="fr-FR"/>
        </w:rPr>
        <w:t>2</w:t>
      </w:r>
      <w:r w:rsidRPr="00D55EF1">
        <w:rPr>
          <w:bCs/>
          <w:lang w:eastAsia="fr-FR"/>
        </w:rPr>
        <w:t xml:space="preserve"> in the road transport sector </w:t>
      </w:r>
      <w:r w:rsidR="00257E68">
        <w:rPr>
          <w:bCs/>
          <w:lang w:eastAsia="fr-FR"/>
        </w:rPr>
        <w:t>(</w:t>
      </w:r>
      <w:r w:rsidR="000F6001">
        <w:rPr>
          <w:bCs/>
          <w:lang w:eastAsia="fr-FR"/>
        </w:rPr>
        <w:t>CRT</w:t>
      </w:r>
      <w:r w:rsidR="00257E68">
        <w:rPr>
          <w:bCs/>
          <w:lang w:eastAsia="fr-FR"/>
        </w:rPr>
        <w:t xml:space="preserve"> 1A3b) </w:t>
      </w:r>
      <w:r w:rsidR="00914EA2">
        <w:rPr>
          <w:bCs/>
          <w:lang w:eastAsia="fr-FR"/>
        </w:rPr>
        <w:t>are the second highest contribution to the national GHG totals</w:t>
      </w:r>
      <w:r w:rsidRPr="00D55EF1">
        <w:rPr>
          <w:bCs/>
          <w:lang w:eastAsia="fr-FR"/>
        </w:rPr>
        <w:t xml:space="preserve"> with </w:t>
      </w:r>
      <w:r w:rsidR="00E13E8D" w:rsidRPr="00D55EF1">
        <w:rPr>
          <w:bCs/>
          <w:lang w:eastAsia="fr-FR"/>
        </w:rPr>
        <w:t>1</w:t>
      </w:r>
      <w:r w:rsidR="00914EA2">
        <w:rPr>
          <w:bCs/>
          <w:lang w:eastAsia="fr-FR"/>
        </w:rPr>
        <w:t>2.</w:t>
      </w:r>
      <w:r w:rsidR="00B65A3F">
        <w:rPr>
          <w:bCs/>
          <w:lang w:eastAsia="fr-FR"/>
        </w:rPr>
        <w:t>7</w:t>
      </w:r>
      <w:r w:rsidRPr="00D55EF1">
        <w:rPr>
          <w:bCs/>
          <w:lang w:eastAsia="fr-FR"/>
        </w:rPr>
        <w:t xml:space="preserve">% of the total emissions. Then, the emissions of </w:t>
      </w:r>
      <w:r w:rsidR="00A30058">
        <w:rPr>
          <w:bCs/>
          <w:lang w:eastAsia="fr-FR"/>
        </w:rPr>
        <w:t>CO</w:t>
      </w:r>
      <w:r w:rsidR="00A30058" w:rsidRPr="00622F40">
        <w:rPr>
          <w:bCs/>
          <w:vertAlign w:val="subscript"/>
          <w:lang w:eastAsia="fr-FR"/>
        </w:rPr>
        <w:t>2</w:t>
      </w:r>
      <w:r w:rsidR="00A30058" w:rsidRPr="00D55EF1">
        <w:rPr>
          <w:bCs/>
          <w:lang w:eastAsia="fr-FR"/>
        </w:rPr>
        <w:t xml:space="preserve"> </w:t>
      </w:r>
      <w:r w:rsidRPr="00D55EF1">
        <w:rPr>
          <w:bCs/>
          <w:lang w:eastAsia="fr-FR"/>
        </w:rPr>
        <w:t xml:space="preserve">from </w:t>
      </w:r>
      <w:r w:rsidR="00A30058">
        <w:rPr>
          <w:bCs/>
          <w:lang w:eastAsia="fr-FR"/>
        </w:rPr>
        <w:t>iron and steel production (</w:t>
      </w:r>
      <w:r w:rsidR="000F6001">
        <w:rPr>
          <w:bCs/>
          <w:lang w:eastAsia="fr-FR"/>
        </w:rPr>
        <w:t>CRT</w:t>
      </w:r>
      <w:r w:rsidR="00A30058">
        <w:rPr>
          <w:bCs/>
          <w:lang w:eastAsia="fr-FR"/>
        </w:rPr>
        <w:t xml:space="preserve"> 2C1a</w:t>
      </w:r>
      <w:r w:rsidR="003C246F">
        <w:rPr>
          <w:bCs/>
          <w:lang w:eastAsia="fr-FR"/>
        </w:rPr>
        <w:t>)</w:t>
      </w:r>
      <w:r w:rsidRPr="00D55EF1">
        <w:rPr>
          <w:bCs/>
          <w:lang w:eastAsia="fr-FR"/>
        </w:rPr>
        <w:t xml:space="preserve"> </w:t>
      </w:r>
      <w:r w:rsidR="003C246F">
        <w:rPr>
          <w:bCs/>
          <w:lang w:eastAsia="fr-FR"/>
        </w:rPr>
        <w:t>constitute</w:t>
      </w:r>
      <w:r w:rsidR="003C246F" w:rsidRPr="00D55EF1">
        <w:rPr>
          <w:bCs/>
          <w:lang w:eastAsia="fr-FR"/>
        </w:rPr>
        <w:t xml:space="preserve"> </w:t>
      </w:r>
      <w:r w:rsidRPr="00D55EF1">
        <w:rPr>
          <w:bCs/>
          <w:lang w:eastAsia="fr-FR"/>
        </w:rPr>
        <w:t xml:space="preserve">the third key category with </w:t>
      </w:r>
      <w:r w:rsidR="003C246F">
        <w:rPr>
          <w:bCs/>
          <w:lang w:eastAsia="fr-FR"/>
        </w:rPr>
        <w:t>4.2</w:t>
      </w:r>
      <w:r w:rsidRPr="00D55EF1">
        <w:rPr>
          <w:bCs/>
          <w:lang w:eastAsia="fr-FR"/>
        </w:rPr>
        <w:t xml:space="preserve">% of the total emissions. </w:t>
      </w:r>
      <w:r w:rsidR="003D6429">
        <w:rPr>
          <w:bCs/>
          <w:lang w:eastAsia="fr-FR"/>
        </w:rPr>
        <w:t xml:space="preserve">Methane emissions from </w:t>
      </w:r>
      <w:r w:rsidR="00FD4529">
        <w:rPr>
          <w:bCs/>
          <w:lang w:eastAsia="fr-FR"/>
        </w:rPr>
        <w:t>managed</w:t>
      </w:r>
      <w:r w:rsidR="003D6429">
        <w:rPr>
          <w:bCs/>
          <w:lang w:eastAsia="fr-FR"/>
        </w:rPr>
        <w:t xml:space="preserve"> waste disposal </w:t>
      </w:r>
      <w:r w:rsidR="00FD4529">
        <w:rPr>
          <w:bCs/>
          <w:lang w:eastAsia="fr-FR"/>
        </w:rPr>
        <w:t>(</w:t>
      </w:r>
      <w:r w:rsidR="000F6001">
        <w:rPr>
          <w:bCs/>
          <w:lang w:eastAsia="fr-FR"/>
        </w:rPr>
        <w:t>CRT</w:t>
      </w:r>
      <w:r w:rsidR="00FD4529">
        <w:rPr>
          <w:bCs/>
          <w:lang w:eastAsia="fr-FR"/>
        </w:rPr>
        <w:t xml:space="preserve"> 5A1) </w:t>
      </w:r>
      <w:r w:rsidR="00C3129A">
        <w:rPr>
          <w:bCs/>
          <w:lang w:eastAsia="fr-FR"/>
        </w:rPr>
        <w:t>is the fourth highest contribution over the territory in 2022 with 3.9%</w:t>
      </w:r>
      <w:r w:rsidR="00FD4529">
        <w:rPr>
          <w:bCs/>
          <w:lang w:eastAsia="fr-FR"/>
        </w:rPr>
        <w:t>, followed by CO</w:t>
      </w:r>
      <w:r w:rsidR="00FD4529" w:rsidRPr="00622F40">
        <w:rPr>
          <w:bCs/>
          <w:vertAlign w:val="subscript"/>
          <w:lang w:eastAsia="fr-FR"/>
        </w:rPr>
        <w:t>2</w:t>
      </w:r>
      <w:r w:rsidR="00FD4529">
        <w:rPr>
          <w:bCs/>
          <w:lang w:eastAsia="fr-FR"/>
        </w:rPr>
        <w:t xml:space="preserve"> emissions from gaseous fuel combustion in public electricity and heat production (</w:t>
      </w:r>
      <w:r w:rsidR="000F6001">
        <w:rPr>
          <w:bCs/>
          <w:lang w:eastAsia="fr-FR"/>
        </w:rPr>
        <w:t>CRT</w:t>
      </w:r>
      <w:r w:rsidR="00FD4529">
        <w:rPr>
          <w:bCs/>
          <w:lang w:eastAsia="fr-FR"/>
        </w:rPr>
        <w:t xml:space="preserve"> 1A1a) with 3.9% as well. </w:t>
      </w:r>
    </w:p>
    <w:p w14:paraId="0BA3C8E8" w14:textId="4BD00EC7" w:rsidR="00267868" w:rsidRDefault="00267868" w:rsidP="00267868">
      <w:pPr>
        <w:autoSpaceDE w:val="0"/>
        <w:autoSpaceDN w:val="0"/>
        <w:adjustRightInd w:val="0"/>
        <w:spacing w:after="0" w:line="240" w:lineRule="auto"/>
        <w:rPr>
          <w:bCs/>
          <w:lang w:eastAsia="fr-FR"/>
        </w:rPr>
      </w:pPr>
      <w:r w:rsidRPr="00D55EF1">
        <w:rPr>
          <w:bCs/>
          <w:lang w:eastAsia="fr-FR"/>
        </w:rPr>
        <w:t xml:space="preserve">Among the </w:t>
      </w:r>
      <w:r w:rsidR="00831D31" w:rsidRPr="00D55EF1">
        <w:rPr>
          <w:bCs/>
          <w:lang w:eastAsia="fr-FR"/>
        </w:rPr>
        <w:t>4</w:t>
      </w:r>
      <w:r w:rsidR="00EF467C">
        <w:rPr>
          <w:bCs/>
          <w:lang w:eastAsia="fr-FR"/>
        </w:rPr>
        <w:t>0</w:t>
      </w:r>
      <w:r w:rsidRPr="00D55EF1">
        <w:rPr>
          <w:bCs/>
          <w:lang w:eastAsia="fr-FR"/>
        </w:rPr>
        <w:t xml:space="preserve"> key categories (95% of total emissions), CO</w:t>
      </w:r>
      <w:r w:rsidRPr="00D55EF1">
        <w:rPr>
          <w:bCs/>
          <w:vertAlign w:val="subscript"/>
          <w:lang w:eastAsia="fr-FR"/>
        </w:rPr>
        <w:t>2</w:t>
      </w:r>
      <w:r w:rsidRPr="00D55EF1">
        <w:rPr>
          <w:bCs/>
          <w:lang w:eastAsia="fr-FR"/>
        </w:rPr>
        <w:t xml:space="preserve"> represents </w:t>
      </w:r>
      <w:r w:rsidR="002542AE">
        <w:rPr>
          <w:bCs/>
          <w:lang w:eastAsia="fr-FR"/>
        </w:rPr>
        <w:t>80.7</w:t>
      </w:r>
      <w:r w:rsidRPr="00D55EF1">
        <w:rPr>
          <w:bCs/>
          <w:lang w:eastAsia="fr-FR"/>
        </w:rPr>
        <w:t xml:space="preserve">% of total </w:t>
      </w:r>
      <w:r w:rsidR="002542AE">
        <w:rPr>
          <w:bCs/>
          <w:lang w:eastAsia="fr-FR"/>
        </w:rPr>
        <w:t xml:space="preserve">GHG </w:t>
      </w:r>
      <w:r w:rsidRPr="00D55EF1">
        <w:rPr>
          <w:bCs/>
          <w:lang w:eastAsia="fr-FR"/>
        </w:rPr>
        <w:t>emissions excluding LULUCF.</w:t>
      </w:r>
    </w:p>
    <w:p w14:paraId="72FCA543" w14:textId="77777777" w:rsidR="00AB2F62" w:rsidRDefault="00AB2F62" w:rsidP="00267868">
      <w:pPr>
        <w:autoSpaceDE w:val="0"/>
        <w:autoSpaceDN w:val="0"/>
        <w:adjustRightInd w:val="0"/>
        <w:spacing w:after="0" w:line="240" w:lineRule="auto"/>
        <w:rPr>
          <w:bCs/>
          <w:lang w:eastAsia="fr-FR"/>
        </w:rPr>
      </w:pPr>
    </w:p>
    <w:p w14:paraId="10EB6027" w14:textId="20A6DAB8" w:rsidR="00AB2F62" w:rsidRDefault="004D338F" w:rsidP="00267868">
      <w:pPr>
        <w:autoSpaceDE w:val="0"/>
        <w:autoSpaceDN w:val="0"/>
        <w:adjustRightInd w:val="0"/>
        <w:spacing w:after="0" w:line="240" w:lineRule="auto"/>
        <w:rPr>
          <w:bCs/>
          <w:lang w:eastAsia="fr-FR"/>
        </w:rPr>
      </w:pPr>
      <w:r>
        <w:rPr>
          <w:bCs/>
          <w:lang w:eastAsia="fr-FR"/>
        </w:rPr>
        <w:t>In terms of trend of emissions</w:t>
      </w:r>
      <w:r w:rsidR="007927F7">
        <w:rPr>
          <w:bCs/>
          <w:lang w:eastAsia="fr-FR"/>
        </w:rPr>
        <w:t xml:space="preserve"> between 1990 and 2022</w:t>
      </w:r>
      <w:r>
        <w:rPr>
          <w:bCs/>
          <w:lang w:eastAsia="fr-FR"/>
        </w:rPr>
        <w:t xml:space="preserve">, </w:t>
      </w:r>
      <w:r w:rsidR="007927F7">
        <w:rPr>
          <w:bCs/>
          <w:lang w:eastAsia="fr-FR"/>
        </w:rPr>
        <w:t xml:space="preserve">excluding LULUCF contribution, </w:t>
      </w:r>
      <w:r w:rsidR="00BD6C27">
        <w:rPr>
          <w:bCs/>
          <w:lang w:eastAsia="fr-FR"/>
        </w:rPr>
        <w:t>similar emission source</w:t>
      </w:r>
      <w:r w:rsidR="00B16AF4">
        <w:rPr>
          <w:bCs/>
          <w:lang w:eastAsia="fr-FR"/>
        </w:rPr>
        <w:t xml:space="preserve">s </w:t>
      </w:r>
      <w:r w:rsidR="00BA5EA1">
        <w:rPr>
          <w:bCs/>
          <w:lang w:eastAsia="fr-FR"/>
        </w:rPr>
        <w:t>as in the level assessment analysis constitute the principal key categories.</w:t>
      </w:r>
      <w:r w:rsidR="00BD6C27">
        <w:rPr>
          <w:bCs/>
          <w:lang w:eastAsia="fr-FR"/>
        </w:rPr>
        <w:t xml:space="preserve"> </w:t>
      </w:r>
      <w:r w:rsidR="00BA5EA1">
        <w:rPr>
          <w:bCs/>
          <w:lang w:eastAsia="fr-FR"/>
        </w:rPr>
        <w:t>T</w:t>
      </w:r>
      <w:r w:rsidR="00257E68">
        <w:rPr>
          <w:bCs/>
          <w:lang w:eastAsia="fr-FR"/>
        </w:rPr>
        <w:t>he CO</w:t>
      </w:r>
      <w:r w:rsidR="00257E68" w:rsidRPr="00622F40">
        <w:rPr>
          <w:bCs/>
          <w:vertAlign w:val="subscript"/>
          <w:lang w:eastAsia="fr-FR"/>
        </w:rPr>
        <w:t>2</w:t>
      </w:r>
      <w:r w:rsidR="00257E68">
        <w:rPr>
          <w:bCs/>
          <w:lang w:eastAsia="fr-FR"/>
        </w:rPr>
        <w:t xml:space="preserve"> emissions from road transport (</w:t>
      </w:r>
      <w:r w:rsidR="000F6001">
        <w:rPr>
          <w:bCs/>
          <w:lang w:eastAsia="fr-FR"/>
        </w:rPr>
        <w:t>CRT</w:t>
      </w:r>
      <w:r w:rsidR="00257E68">
        <w:rPr>
          <w:bCs/>
          <w:lang w:eastAsia="fr-FR"/>
        </w:rPr>
        <w:t xml:space="preserve"> 1A3b)</w:t>
      </w:r>
      <w:r w:rsidR="007927F7">
        <w:rPr>
          <w:bCs/>
          <w:lang w:eastAsia="fr-FR"/>
        </w:rPr>
        <w:t xml:space="preserve"> is the first key category with 1</w:t>
      </w:r>
      <w:r w:rsidR="00BD6C27">
        <w:rPr>
          <w:bCs/>
          <w:lang w:eastAsia="fr-FR"/>
        </w:rPr>
        <w:t>6.6</w:t>
      </w:r>
      <w:r w:rsidR="007927F7">
        <w:rPr>
          <w:bCs/>
          <w:lang w:eastAsia="fr-FR"/>
        </w:rPr>
        <w:t>%</w:t>
      </w:r>
      <w:r w:rsidR="00BD6C27">
        <w:rPr>
          <w:bCs/>
          <w:lang w:eastAsia="fr-FR"/>
        </w:rPr>
        <w:t>, due to the large increase in emissions</w:t>
      </w:r>
      <w:r w:rsidR="00C10200">
        <w:rPr>
          <w:bCs/>
          <w:lang w:eastAsia="fr-FR"/>
        </w:rPr>
        <w:t xml:space="preserve"> and its significant level contribution</w:t>
      </w:r>
      <w:r w:rsidR="00BD6C27">
        <w:rPr>
          <w:bCs/>
          <w:lang w:eastAsia="fr-FR"/>
        </w:rPr>
        <w:t xml:space="preserve">. </w:t>
      </w:r>
      <w:r w:rsidR="00CE0C54">
        <w:rPr>
          <w:bCs/>
          <w:lang w:eastAsia="fr-FR"/>
        </w:rPr>
        <w:t>Then, the public electricity and heat production (</w:t>
      </w:r>
      <w:r w:rsidR="000F6001">
        <w:rPr>
          <w:bCs/>
          <w:lang w:eastAsia="fr-FR"/>
        </w:rPr>
        <w:t>CRT</w:t>
      </w:r>
      <w:r w:rsidR="00CE0C54">
        <w:rPr>
          <w:bCs/>
          <w:lang w:eastAsia="fr-FR"/>
        </w:rPr>
        <w:t xml:space="preserve"> 1A1a) follows </w:t>
      </w:r>
      <w:r w:rsidR="00C52474">
        <w:rPr>
          <w:bCs/>
          <w:lang w:eastAsia="fr-FR"/>
        </w:rPr>
        <w:t>in second and third position</w:t>
      </w:r>
      <w:r w:rsidR="00C10200">
        <w:rPr>
          <w:bCs/>
          <w:lang w:eastAsia="fr-FR"/>
        </w:rPr>
        <w:t>s</w:t>
      </w:r>
      <w:r w:rsidR="00C52474">
        <w:rPr>
          <w:bCs/>
          <w:lang w:eastAsia="fr-FR"/>
        </w:rPr>
        <w:t xml:space="preserve">, </w:t>
      </w:r>
      <w:r w:rsidR="00CE0C54">
        <w:rPr>
          <w:bCs/>
          <w:lang w:eastAsia="fr-FR"/>
        </w:rPr>
        <w:t>with the CO</w:t>
      </w:r>
      <w:r w:rsidR="00CE0C54" w:rsidRPr="00622F40">
        <w:rPr>
          <w:bCs/>
          <w:vertAlign w:val="subscript"/>
          <w:lang w:eastAsia="fr-FR"/>
        </w:rPr>
        <w:t>2</w:t>
      </w:r>
      <w:r w:rsidR="00CE0C54">
        <w:rPr>
          <w:bCs/>
          <w:lang w:eastAsia="fr-FR"/>
        </w:rPr>
        <w:t xml:space="preserve"> emissions related to the combustion of </w:t>
      </w:r>
      <w:r w:rsidR="00C52474">
        <w:rPr>
          <w:bCs/>
          <w:lang w:eastAsia="fr-FR"/>
        </w:rPr>
        <w:t xml:space="preserve">solid and gaseous fuels, respectively. </w:t>
      </w:r>
      <w:r w:rsidR="0053028B">
        <w:rPr>
          <w:bCs/>
          <w:lang w:eastAsia="fr-FR"/>
        </w:rPr>
        <w:t xml:space="preserve">Nevertheless, contrary to the key category in level in 2022, 9 key categories in trend assessment </w:t>
      </w:r>
      <w:r w:rsidR="0038250D">
        <w:rPr>
          <w:bCs/>
          <w:lang w:eastAsia="fr-FR"/>
        </w:rPr>
        <w:t xml:space="preserve">are necessary to </w:t>
      </w:r>
      <w:r w:rsidR="0053028B">
        <w:rPr>
          <w:bCs/>
          <w:lang w:eastAsia="fr-FR"/>
        </w:rPr>
        <w:t>represent more than 50% of the national contribution</w:t>
      </w:r>
      <w:r w:rsidR="0038250D">
        <w:rPr>
          <w:bCs/>
          <w:lang w:eastAsia="fr-FR"/>
        </w:rPr>
        <w:t xml:space="preserve">, meanwhile </w:t>
      </w:r>
      <w:r w:rsidR="00E86EE5">
        <w:rPr>
          <w:bCs/>
          <w:lang w:eastAsia="fr-FR"/>
        </w:rPr>
        <w:t>only 2 would contribute to 58% in level assessment</w:t>
      </w:r>
      <w:r w:rsidR="0053028B">
        <w:rPr>
          <w:bCs/>
          <w:lang w:eastAsia="fr-FR"/>
        </w:rPr>
        <w:t xml:space="preserve">. </w:t>
      </w:r>
    </w:p>
    <w:p w14:paraId="2D72D89A" w14:textId="77777777" w:rsidR="00640744" w:rsidRDefault="00640744" w:rsidP="00267868">
      <w:pPr>
        <w:autoSpaceDE w:val="0"/>
        <w:autoSpaceDN w:val="0"/>
        <w:adjustRightInd w:val="0"/>
        <w:spacing w:after="0" w:line="240" w:lineRule="auto"/>
        <w:rPr>
          <w:bCs/>
          <w:lang w:eastAsia="fr-FR"/>
        </w:rPr>
      </w:pPr>
    </w:p>
    <w:p w14:paraId="255F23BB" w14:textId="7FDDD136" w:rsidR="00267868" w:rsidRPr="00F40BD6" w:rsidRDefault="00640744" w:rsidP="00267868">
      <w:pPr>
        <w:autoSpaceDE w:val="0"/>
        <w:autoSpaceDN w:val="0"/>
        <w:adjustRightInd w:val="0"/>
        <w:spacing w:after="0" w:line="240" w:lineRule="auto"/>
        <w:rPr>
          <w:rFonts w:cs="Arial"/>
          <w:color w:val="000000"/>
          <w:lang w:val="en-US"/>
        </w:rPr>
      </w:pPr>
      <w:r>
        <w:rPr>
          <w:bCs/>
          <w:lang w:eastAsia="fr-FR"/>
        </w:rPr>
        <w:t>Considering LULUCF</w:t>
      </w:r>
      <w:r w:rsidR="00E86EE5">
        <w:rPr>
          <w:bCs/>
          <w:lang w:eastAsia="fr-FR"/>
        </w:rPr>
        <w:t xml:space="preserve"> emission sources </w:t>
      </w:r>
      <w:r w:rsidR="00ED7BAE">
        <w:rPr>
          <w:bCs/>
          <w:lang w:eastAsia="fr-FR"/>
        </w:rPr>
        <w:t xml:space="preserve">and removals </w:t>
      </w:r>
      <w:r w:rsidR="00E86EE5">
        <w:rPr>
          <w:bCs/>
          <w:lang w:eastAsia="fr-FR"/>
        </w:rPr>
        <w:t xml:space="preserve">in </w:t>
      </w:r>
      <w:r w:rsidR="00EE2A81">
        <w:rPr>
          <w:bCs/>
          <w:lang w:eastAsia="fr-FR"/>
        </w:rPr>
        <w:t xml:space="preserve">absolute </w:t>
      </w:r>
      <w:r w:rsidR="00ED7BAE">
        <w:rPr>
          <w:bCs/>
          <w:lang w:eastAsia="fr-FR"/>
        </w:rPr>
        <w:t xml:space="preserve">values, </w:t>
      </w:r>
      <w:r w:rsidR="000842D1">
        <w:rPr>
          <w:bCs/>
          <w:lang w:eastAsia="fr-FR"/>
        </w:rPr>
        <w:t xml:space="preserve">46 key categories represent 95% of the national GHG emissions </w:t>
      </w:r>
      <w:r w:rsidR="00804B6F">
        <w:rPr>
          <w:bCs/>
          <w:lang w:eastAsia="fr-FR"/>
        </w:rPr>
        <w:t xml:space="preserve">in level in 2022 whereas there are 70 key categories in </w:t>
      </w:r>
      <w:r w:rsidR="00C618FE">
        <w:rPr>
          <w:bCs/>
          <w:lang w:eastAsia="fr-FR"/>
        </w:rPr>
        <w:t>trend</w:t>
      </w:r>
      <w:r w:rsidR="00804B6F">
        <w:rPr>
          <w:bCs/>
          <w:lang w:eastAsia="fr-FR"/>
        </w:rPr>
        <w:t xml:space="preserve"> assessment </w:t>
      </w:r>
      <w:r w:rsidR="00C618FE">
        <w:rPr>
          <w:bCs/>
          <w:lang w:eastAsia="fr-FR"/>
        </w:rPr>
        <w:t xml:space="preserve">between 1990 and 2022. </w:t>
      </w:r>
      <w:r w:rsidR="00253D7A">
        <w:rPr>
          <w:bCs/>
          <w:lang w:eastAsia="fr-FR"/>
        </w:rPr>
        <w:t xml:space="preserve">Three LULUCF sectors </w:t>
      </w:r>
      <w:r w:rsidR="00F2454C">
        <w:rPr>
          <w:bCs/>
          <w:lang w:eastAsia="fr-FR"/>
        </w:rPr>
        <w:t>are among the key categories while considering LULUCF contribution</w:t>
      </w:r>
      <w:r w:rsidR="00502772">
        <w:rPr>
          <w:bCs/>
          <w:lang w:eastAsia="fr-FR"/>
        </w:rPr>
        <w:t>, and the most predominant is the forest land remaining forest land (</w:t>
      </w:r>
      <w:r w:rsidR="000F6001">
        <w:rPr>
          <w:bCs/>
          <w:lang w:eastAsia="fr-FR"/>
        </w:rPr>
        <w:t>CRT</w:t>
      </w:r>
      <w:r w:rsidR="00502772">
        <w:rPr>
          <w:bCs/>
          <w:lang w:eastAsia="fr-FR"/>
        </w:rPr>
        <w:t xml:space="preserve"> 4A1), which is a sink, and is the third key category in level assessment with LULUCF in 2022 with a contribution of 6.7%. </w:t>
      </w:r>
      <w:r w:rsidR="005F646C">
        <w:rPr>
          <w:bCs/>
          <w:lang w:eastAsia="fr-FR"/>
        </w:rPr>
        <w:t>The other two subsectors which are key categories are the harvested wood products (</w:t>
      </w:r>
      <w:r w:rsidR="000F6001">
        <w:rPr>
          <w:bCs/>
          <w:lang w:eastAsia="fr-FR"/>
        </w:rPr>
        <w:t>CRT</w:t>
      </w:r>
      <w:r w:rsidR="005F646C">
        <w:rPr>
          <w:bCs/>
          <w:lang w:eastAsia="fr-FR"/>
        </w:rPr>
        <w:t xml:space="preserve"> 4G) and the forest land converted to settlements (</w:t>
      </w:r>
      <w:r w:rsidR="000F6001">
        <w:rPr>
          <w:bCs/>
          <w:lang w:eastAsia="fr-FR"/>
        </w:rPr>
        <w:t>CRT</w:t>
      </w:r>
      <w:r w:rsidR="005F646C">
        <w:rPr>
          <w:bCs/>
          <w:lang w:eastAsia="fr-FR"/>
        </w:rPr>
        <w:t xml:space="preserve"> 4E21), but with less significant contributions, </w:t>
      </w:r>
      <w:r w:rsidR="00D01911">
        <w:rPr>
          <w:bCs/>
          <w:lang w:eastAsia="fr-FR"/>
        </w:rPr>
        <w:t>at the 30</w:t>
      </w:r>
      <w:r w:rsidR="00D01911" w:rsidRPr="00622F40">
        <w:rPr>
          <w:bCs/>
          <w:vertAlign w:val="superscript"/>
          <w:lang w:eastAsia="fr-FR"/>
        </w:rPr>
        <w:t>th</w:t>
      </w:r>
      <w:r w:rsidR="00D01911">
        <w:rPr>
          <w:bCs/>
          <w:lang w:eastAsia="fr-FR"/>
        </w:rPr>
        <w:t xml:space="preserve"> and 46</w:t>
      </w:r>
      <w:r w:rsidR="00D01911" w:rsidRPr="00622F40">
        <w:rPr>
          <w:bCs/>
          <w:vertAlign w:val="superscript"/>
          <w:lang w:eastAsia="fr-FR"/>
        </w:rPr>
        <w:t>th</w:t>
      </w:r>
      <w:r w:rsidR="00D01911">
        <w:rPr>
          <w:bCs/>
          <w:lang w:eastAsia="fr-FR"/>
        </w:rPr>
        <w:t xml:space="preserve"> positions. </w:t>
      </w:r>
    </w:p>
    <w:p w14:paraId="4D764A5D" w14:textId="77777777" w:rsidR="003E34D3" w:rsidRDefault="003E34D3" w:rsidP="00267868">
      <w:pPr>
        <w:autoSpaceDE w:val="0"/>
        <w:autoSpaceDN w:val="0"/>
        <w:adjustRightInd w:val="0"/>
        <w:spacing w:after="0" w:line="240" w:lineRule="auto"/>
        <w:rPr>
          <w:rFonts w:cs="Arial"/>
          <w:b/>
          <w:bCs/>
          <w:color w:val="000000"/>
        </w:rPr>
      </w:pPr>
    </w:p>
    <w:p w14:paraId="491597DC" w14:textId="77777777" w:rsidR="003E34D3" w:rsidRDefault="003E34D3" w:rsidP="00267868">
      <w:pPr>
        <w:autoSpaceDE w:val="0"/>
        <w:autoSpaceDN w:val="0"/>
        <w:adjustRightInd w:val="0"/>
        <w:spacing w:after="0" w:line="240" w:lineRule="auto"/>
        <w:rPr>
          <w:rFonts w:cs="Arial"/>
          <w:b/>
          <w:bCs/>
          <w:color w:val="000000"/>
        </w:rPr>
      </w:pPr>
    </w:p>
    <w:p w14:paraId="64FA7807" w14:textId="4E0FA40E" w:rsidR="0064284F" w:rsidRPr="00622F40" w:rsidRDefault="0064284F" w:rsidP="00267868">
      <w:pPr>
        <w:autoSpaceDE w:val="0"/>
        <w:autoSpaceDN w:val="0"/>
        <w:adjustRightInd w:val="0"/>
        <w:spacing w:after="0" w:line="240" w:lineRule="auto"/>
        <w:rPr>
          <w:rFonts w:cs="Arial"/>
          <w:b/>
          <w:bCs/>
          <w:color w:val="000000"/>
        </w:rPr>
      </w:pPr>
      <w:r w:rsidRPr="00442D3B">
        <w:rPr>
          <w:rFonts w:cs="Arial"/>
          <w:b/>
          <w:bCs/>
          <w:color w:val="000000"/>
        </w:rPr>
        <w:t>Approach</w:t>
      </w:r>
      <w:r>
        <w:rPr>
          <w:rFonts w:cs="Arial"/>
          <w:b/>
          <w:bCs/>
          <w:color w:val="000000"/>
        </w:rPr>
        <w:t xml:space="preserve"> Tier</w:t>
      </w:r>
      <w:r w:rsidRPr="00442D3B">
        <w:rPr>
          <w:rFonts w:cs="Arial"/>
          <w:b/>
          <w:bCs/>
          <w:color w:val="000000"/>
        </w:rPr>
        <w:t xml:space="preserve"> </w:t>
      </w:r>
      <w:r>
        <w:rPr>
          <w:rFonts w:cs="Arial"/>
          <w:b/>
          <w:bCs/>
          <w:color w:val="000000"/>
        </w:rPr>
        <w:t>2</w:t>
      </w:r>
    </w:p>
    <w:p w14:paraId="4E78BB88" w14:textId="77777777" w:rsidR="0064284F" w:rsidRDefault="0064284F" w:rsidP="00267868">
      <w:pPr>
        <w:autoSpaceDE w:val="0"/>
        <w:autoSpaceDN w:val="0"/>
        <w:adjustRightInd w:val="0"/>
        <w:spacing w:after="0" w:line="240" w:lineRule="auto"/>
        <w:rPr>
          <w:rFonts w:cs="Arial"/>
          <w:color w:val="000000"/>
          <w:lang w:val="en-US"/>
        </w:rPr>
      </w:pPr>
    </w:p>
    <w:p w14:paraId="4DEA804B" w14:textId="78935C3E" w:rsidR="00267868" w:rsidRDefault="00267868" w:rsidP="00267868">
      <w:pPr>
        <w:autoSpaceDE w:val="0"/>
        <w:autoSpaceDN w:val="0"/>
        <w:adjustRightInd w:val="0"/>
        <w:spacing w:after="0" w:line="240" w:lineRule="auto"/>
        <w:rPr>
          <w:rFonts w:cs="Arial"/>
          <w:color w:val="000000"/>
          <w:lang w:val="en-US"/>
        </w:rPr>
      </w:pPr>
      <w:r w:rsidRPr="00F40BD6">
        <w:rPr>
          <w:rFonts w:cs="Arial"/>
          <w:color w:val="000000"/>
          <w:lang w:val="en-US"/>
        </w:rPr>
        <w:t xml:space="preserve">For the next submission, </w:t>
      </w:r>
      <w:r w:rsidR="004B440B" w:rsidRPr="00F40BD6">
        <w:rPr>
          <w:rFonts w:cs="Arial"/>
          <w:color w:val="000000"/>
          <w:lang w:val="en-US"/>
        </w:rPr>
        <w:t>implementation</w:t>
      </w:r>
      <w:r w:rsidR="00C4498C">
        <w:rPr>
          <w:rFonts w:cs="Arial"/>
          <w:color w:val="000000"/>
          <w:lang w:val="en-US"/>
        </w:rPr>
        <w:t xml:space="preserve"> of the key category</w:t>
      </w:r>
      <w:r w:rsidRPr="00F40BD6">
        <w:rPr>
          <w:rFonts w:cs="Arial"/>
          <w:color w:val="000000"/>
          <w:lang w:val="en-US"/>
        </w:rPr>
        <w:t xml:space="preserve"> analysis on the basis of Tier 2 approach could be carried out. </w:t>
      </w:r>
      <w:r w:rsidR="004B440B">
        <w:rPr>
          <w:rFonts w:cs="Arial"/>
          <w:color w:val="000000"/>
          <w:lang w:val="en-US"/>
        </w:rPr>
        <w:t>Such</w:t>
      </w:r>
      <w:r w:rsidRPr="00F40BD6">
        <w:rPr>
          <w:rFonts w:cs="Arial"/>
          <w:color w:val="000000"/>
          <w:lang w:val="en-US"/>
        </w:rPr>
        <w:t xml:space="preserve"> Tier 2 approach </w:t>
      </w:r>
      <w:r w:rsidR="004B440B">
        <w:rPr>
          <w:rFonts w:cs="Arial"/>
          <w:color w:val="000000"/>
          <w:lang w:val="en-US"/>
        </w:rPr>
        <w:t>will be</w:t>
      </w:r>
      <w:r w:rsidRPr="00F40BD6">
        <w:rPr>
          <w:rFonts w:cs="Arial"/>
          <w:color w:val="000000"/>
          <w:lang w:val="en-US"/>
        </w:rPr>
        <w:t xml:space="preserve"> mixed </w:t>
      </w:r>
      <w:r w:rsidR="00684B44">
        <w:rPr>
          <w:rFonts w:cs="Arial"/>
          <w:color w:val="000000"/>
          <w:lang w:val="en-US"/>
        </w:rPr>
        <w:t>with</w:t>
      </w:r>
      <w:r w:rsidR="00684B44" w:rsidRPr="00F40BD6">
        <w:rPr>
          <w:rFonts w:cs="Arial"/>
          <w:color w:val="000000"/>
          <w:lang w:val="en-US"/>
        </w:rPr>
        <w:t xml:space="preserve"> </w:t>
      </w:r>
      <w:r w:rsidRPr="00F40BD6">
        <w:rPr>
          <w:rFonts w:cs="Arial"/>
          <w:color w:val="000000"/>
          <w:lang w:val="en-US"/>
        </w:rPr>
        <w:t>KCA Tier 1 and uncertainties.</w:t>
      </w:r>
    </w:p>
    <w:p w14:paraId="0E200278" w14:textId="6404F451" w:rsidR="009E2465" w:rsidRDefault="009E2465" w:rsidP="00831D31"/>
    <w:p w14:paraId="7D0B5F53" w14:textId="0F9F9EC4" w:rsidR="009E2465" w:rsidRDefault="009E2465" w:rsidP="009E2465">
      <w:pPr>
        <w:pStyle w:val="Caption"/>
        <w:keepNext/>
        <w:jc w:val="both"/>
      </w:pPr>
      <w:bookmarkStart w:id="41" w:name="_Toc184808546"/>
      <w:r>
        <w:lastRenderedPageBreak/>
        <w:t xml:space="preserve">Table </w:t>
      </w:r>
      <w:r>
        <w:fldChar w:fldCharType="begin"/>
      </w:r>
      <w:r>
        <w:instrText xml:space="preserve"> SEQ Table \* ARABIC </w:instrText>
      </w:r>
      <w:r>
        <w:fldChar w:fldCharType="separate"/>
      </w:r>
      <w:r w:rsidR="00F14C78">
        <w:rPr>
          <w:noProof/>
        </w:rPr>
        <w:t>4</w:t>
      </w:r>
      <w:r>
        <w:fldChar w:fldCharType="end"/>
      </w:r>
      <w:r>
        <w:t xml:space="preserve">: </w:t>
      </w:r>
      <w:r w:rsidRPr="000E5972">
        <w:t xml:space="preserve">Key Category Analysis for the </w:t>
      </w:r>
      <w:r>
        <w:t>2022</w:t>
      </w:r>
      <w:r w:rsidRPr="000E5972">
        <w:t xml:space="preserve"> based on level of emissions (including LULUCF)</w:t>
      </w:r>
      <w:bookmarkEnd w:id="41"/>
    </w:p>
    <w:p w14:paraId="53817233" w14:textId="5D973D85" w:rsidR="00831D31" w:rsidRPr="00831D31" w:rsidRDefault="009B6B03" w:rsidP="00831D31">
      <w:r w:rsidRPr="009B6B03">
        <w:rPr>
          <w:noProof/>
          <w:lang w:val="en-US"/>
        </w:rPr>
        <w:drawing>
          <wp:inline distT="0" distB="0" distL="0" distR="0" wp14:anchorId="69D76318" wp14:editId="696F4A88">
            <wp:extent cx="5760720" cy="5255895"/>
            <wp:effectExtent l="0" t="0" r="0" b="1905"/>
            <wp:docPr id="13477883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5255895"/>
                    </a:xfrm>
                    <a:prstGeom prst="rect">
                      <a:avLst/>
                    </a:prstGeom>
                    <a:noFill/>
                    <a:ln>
                      <a:noFill/>
                    </a:ln>
                  </pic:spPr>
                </pic:pic>
              </a:graphicData>
            </a:graphic>
          </wp:inline>
        </w:drawing>
      </w:r>
    </w:p>
    <w:p w14:paraId="4BD6D380" w14:textId="77777777" w:rsidR="00C4498C" w:rsidRDefault="00C4498C">
      <w:pPr>
        <w:jc w:val="left"/>
        <w:rPr>
          <w:b/>
          <w:bCs/>
          <w:color w:val="4F81BD" w:themeColor="accent1"/>
          <w:sz w:val="18"/>
          <w:szCs w:val="18"/>
        </w:rPr>
      </w:pPr>
      <w:r>
        <w:br w:type="page"/>
      </w:r>
    </w:p>
    <w:p w14:paraId="49371893" w14:textId="0847EE3A" w:rsidR="009E2465" w:rsidRDefault="009E2465" w:rsidP="009E2465">
      <w:pPr>
        <w:pStyle w:val="Caption"/>
        <w:keepNext/>
        <w:jc w:val="both"/>
      </w:pPr>
      <w:bookmarkStart w:id="42" w:name="_Toc184808547"/>
      <w:r>
        <w:lastRenderedPageBreak/>
        <w:t xml:space="preserve">Table </w:t>
      </w:r>
      <w:r>
        <w:fldChar w:fldCharType="begin"/>
      </w:r>
      <w:r>
        <w:instrText xml:space="preserve"> SEQ Table \* ARABIC </w:instrText>
      </w:r>
      <w:r>
        <w:fldChar w:fldCharType="separate"/>
      </w:r>
      <w:r w:rsidR="00F14C78">
        <w:rPr>
          <w:noProof/>
        </w:rPr>
        <w:t>5</w:t>
      </w:r>
      <w:r>
        <w:fldChar w:fldCharType="end"/>
      </w:r>
      <w:r>
        <w:t xml:space="preserve">: </w:t>
      </w:r>
      <w:r w:rsidRPr="000E5972">
        <w:t xml:space="preserve">Key Category Analysis for the </w:t>
      </w:r>
      <w:r>
        <w:t>2022</w:t>
      </w:r>
      <w:r w:rsidRPr="000E5972">
        <w:t xml:space="preserve"> year based on level of emissions (excluding LULUCF)</w:t>
      </w:r>
      <w:bookmarkEnd w:id="42"/>
    </w:p>
    <w:p w14:paraId="12126C93" w14:textId="217BF3EF" w:rsidR="00C4498C" w:rsidRPr="002462F0" w:rsidRDefault="003E42D5" w:rsidP="00C4498C">
      <w:r w:rsidRPr="003E42D5">
        <w:rPr>
          <w:noProof/>
          <w:lang w:val="en-US"/>
        </w:rPr>
        <w:drawing>
          <wp:inline distT="0" distB="0" distL="0" distR="0" wp14:anchorId="77655D3C" wp14:editId="183C1DFB">
            <wp:extent cx="5760720" cy="4362450"/>
            <wp:effectExtent l="0" t="0" r="0" b="0"/>
            <wp:docPr id="5201409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62450"/>
                    </a:xfrm>
                    <a:prstGeom prst="rect">
                      <a:avLst/>
                    </a:prstGeom>
                    <a:noFill/>
                    <a:ln>
                      <a:noFill/>
                    </a:ln>
                  </pic:spPr>
                </pic:pic>
              </a:graphicData>
            </a:graphic>
          </wp:inline>
        </w:drawing>
      </w:r>
    </w:p>
    <w:p w14:paraId="7E0BE072" w14:textId="77777777" w:rsidR="00C4498C" w:rsidRDefault="00C4498C">
      <w:pPr>
        <w:jc w:val="left"/>
        <w:rPr>
          <w:b/>
          <w:bCs/>
          <w:color w:val="4F81BD" w:themeColor="accent1"/>
          <w:sz w:val="18"/>
          <w:szCs w:val="18"/>
        </w:rPr>
      </w:pPr>
      <w:r>
        <w:br w:type="page"/>
      </w:r>
    </w:p>
    <w:p w14:paraId="7F714C56" w14:textId="07F77099" w:rsidR="009E2465" w:rsidRDefault="009E2465" w:rsidP="009E2465">
      <w:pPr>
        <w:pStyle w:val="Caption"/>
        <w:jc w:val="left"/>
      </w:pPr>
      <w:bookmarkStart w:id="43" w:name="_Toc184808548"/>
      <w:r>
        <w:lastRenderedPageBreak/>
        <w:t xml:space="preserve">Table </w:t>
      </w:r>
      <w:r>
        <w:fldChar w:fldCharType="begin"/>
      </w:r>
      <w:r>
        <w:instrText xml:space="preserve"> SEQ Table \* ARABIC </w:instrText>
      </w:r>
      <w:r>
        <w:fldChar w:fldCharType="separate"/>
      </w:r>
      <w:r w:rsidR="00F14C78">
        <w:rPr>
          <w:noProof/>
        </w:rPr>
        <w:t>6</w:t>
      </w:r>
      <w:r>
        <w:fldChar w:fldCharType="end"/>
      </w:r>
      <w:r>
        <w:t>:</w:t>
      </w:r>
      <w:r w:rsidRPr="009E2465">
        <w:t xml:space="preserve"> </w:t>
      </w:r>
      <w:r w:rsidRPr="004D4AB4">
        <w:t xml:space="preserve">Key Category Analysis based on trend in emissions (from base year </w:t>
      </w:r>
      <w:r>
        <w:t xml:space="preserve">1990 </w:t>
      </w:r>
      <w:r w:rsidRPr="004D4AB4">
        <w:t>to 20</w:t>
      </w:r>
      <w:r>
        <w:t>22,</w:t>
      </w:r>
      <w:r w:rsidRPr="004D4AB4">
        <w:t xml:space="preserve"> including LULUCF)</w:t>
      </w:r>
      <w:bookmarkEnd w:id="43"/>
    </w:p>
    <w:p w14:paraId="2FF33C21" w14:textId="5FD854D7" w:rsidR="004D4AB4" w:rsidRPr="004D4AB4" w:rsidRDefault="009171BF" w:rsidP="004D4AB4">
      <w:r w:rsidRPr="009171BF">
        <w:rPr>
          <w:noProof/>
          <w:lang w:val="en-US"/>
        </w:rPr>
        <w:drawing>
          <wp:inline distT="0" distB="0" distL="0" distR="0" wp14:anchorId="63319D68" wp14:editId="7316A6FF">
            <wp:extent cx="5760720" cy="7762875"/>
            <wp:effectExtent l="0" t="0" r="0" b="9525"/>
            <wp:docPr id="79447087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762875"/>
                    </a:xfrm>
                    <a:prstGeom prst="rect">
                      <a:avLst/>
                    </a:prstGeom>
                    <a:noFill/>
                    <a:ln>
                      <a:noFill/>
                    </a:ln>
                  </pic:spPr>
                </pic:pic>
              </a:graphicData>
            </a:graphic>
          </wp:inline>
        </w:drawing>
      </w:r>
    </w:p>
    <w:p w14:paraId="27A26B89" w14:textId="77777777" w:rsidR="00C4498C" w:rsidRDefault="00C4498C">
      <w:pPr>
        <w:jc w:val="left"/>
        <w:rPr>
          <w:b/>
          <w:bCs/>
          <w:color w:val="4F81BD" w:themeColor="accent1"/>
          <w:sz w:val="18"/>
          <w:szCs w:val="18"/>
        </w:rPr>
      </w:pPr>
      <w:r>
        <w:br w:type="page"/>
      </w:r>
    </w:p>
    <w:p w14:paraId="5A1796EF" w14:textId="4B581297" w:rsidR="00DD70A2" w:rsidRDefault="00DD70A2" w:rsidP="00DD70A2">
      <w:pPr>
        <w:pStyle w:val="Caption"/>
        <w:keepNext/>
        <w:jc w:val="both"/>
      </w:pPr>
      <w:bookmarkStart w:id="44" w:name="_Toc184808549"/>
      <w:r>
        <w:lastRenderedPageBreak/>
        <w:t xml:space="preserve">Table </w:t>
      </w:r>
      <w:r>
        <w:fldChar w:fldCharType="begin"/>
      </w:r>
      <w:r>
        <w:instrText xml:space="preserve"> SEQ Table \* ARABIC </w:instrText>
      </w:r>
      <w:r>
        <w:fldChar w:fldCharType="separate"/>
      </w:r>
      <w:r w:rsidR="00F14C78">
        <w:rPr>
          <w:noProof/>
        </w:rPr>
        <w:t>7</w:t>
      </w:r>
      <w:r>
        <w:fldChar w:fldCharType="end"/>
      </w:r>
      <w:r>
        <w:t>:</w:t>
      </w:r>
      <w:r w:rsidRPr="00DD70A2">
        <w:t xml:space="preserve"> </w:t>
      </w:r>
      <w:r w:rsidRPr="004D4AB4">
        <w:t>Key Category Analysis based on trend in emissions (from base year</w:t>
      </w:r>
      <w:r>
        <w:t xml:space="preserve"> 1990</w:t>
      </w:r>
      <w:r w:rsidRPr="004D4AB4">
        <w:t xml:space="preserve"> to </w:t>
      </w:r>
      <w:r>
        <w:t xml:space="preserve">2022, </w:t>
      </w:r>
      <w:r w:rsidRPr="004D4AB4">
        <w:t>excluding LULUCF)</w:t>
      </w:r>
      <w:bookmarkEnd w:id="44"/>
    </w:p>
    <w:p w14:paraId="2FADE9A1" w14:textId="2E882980" w:rsidR="00C4498C" w:rsidRPr="002462F0" w:rsidRDefault="002D2C21" w:rsidP="00C4498C">
      <w:r w:rsidRPr="00742DE9">
        <w:rPr>
          <w:noProof/>
          <w:lang w:val="en-US"/>
        </w:rPr>
        <w:drawing>
          <wp:inline distT="0" distB="0" distL="0" distR="0" wp14:anchorId="506B30B4" wp14:editId="4403E378">
            <wp:extent cx="5760720" cy="5426075"/>
            <wp:effectExtent l="0" t="0" r="0" b="3175"/>
            <wp:docPr id="103643010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5426075"/>
                    </a:xfrm>
                    <a:prstGeom prst="rect">
                      <a:avLst/>
                    </a:prstGeom>
                    <a:noFill/>
                    <a:ln>
                      <a:noFill/>
                    </a:ln>
                  </pic:spPr>
                </pic:pic>
              </a:graphicData>
            </a:graphic>
          </wp:inline>
        </w:drawing>
      </w:r>
    </w:p>
    <w:p w14:paraId="2507F982" w14:textId="09A8C4F9" w:rsidR="005C3E31" w:rsidRPr="009C1CF3" w:rsidRDefault="00A75D44" w:rsidP="009C1CF3">
      <w:pPr>
        <w:pStyle w:val="Heading2"/>
        <w:rPr>
          <w:rStyle w:val="Heading2Char"/>
          <w:b/>
        </w:rPr>
      </w:pPr>
      <w:bookmarkStart w:id="45" w:name="_Toc182327708"/>
      <w:bookmarkStart w:id="46" w:name="_Toc184808151"/>
      <w:bookmarkStart w:id="47" w:name="_Toc495655010"/>
      <w:r w:rsidRPr="009C1CF3">
        <w:rPr>
          <w:rStyle w:val="Heading2Char"/>
          <w:b/>
        </w:rPr>
        <w:t>Brief general description of QA/QC plan and implementation</w:t>
      </w:r>
      <w:bookmarkEnd w:id="45"/>
      <w:bookmarkEnd w:id="46"/>
    </w:p>
    <w:p w14:paraId="48EEE65A" w14:textId="77777777" w:rsidR="003C3E63" w:rsidRPr="00C175F7" w:rsidRDefault="003C3E63" w:rsidP="003C3E63">
      <w:pPr>
        <w:autoSpaceDE w:val="0"/>
        <w:autoSpaceDN w:val="0"/>
        <w:adjustRightInd w:val="0"/>
        <w:spacing w:after="0" w:line="240" w:lineRule="auto"/>
        <w:rPr>
          <w:iCs/>
          <w:szCs w:val="20"/>
          <w:lang w:eastAsia="fr-FR"/>
        </w:rPr>
      </w:pPr>
      <w:r w:rsidRPr="00C175F7">
        <w:rPr>
          <w:iCs/>
          <w:szCs w:val="20"/>
          <w:lang w:eastAsia="fr-FR"/>
        </w:rPr>
        <w:t>The development of an emission inventory is a complex task in the light of:</w:t>
      </w:r>
    </w:p>
    <w:p w14:paraId="1007D447" w14:textId="77777777" w:rsidR="003C3E63" w:rsidRPr="00C175F7" w:rsidRDefault="003C3E63" w:rsidP="003C3E63">
      <w:pPr>
        <w:pStyle w:val="ListParagraph"/>
        <w:numPr>
          <w:ilvl w:val="0"/>
          <w:numId w:val="46"/>
        </w:numPr>
        <w:autoSpaceDE w:val="0"/>
        <w:autoSpaceDN w:val="0"/>
        <w:adjustRightInd w:val="0"/>
        <w:spacing w:after="0" w:line="240" w:lineRule="auto"/>
        <w:rPr>
          <w:iCs/>
          <w:szCs w:val="20"/>
          <w:lang w:eastAsia="fr-FR"/>
        </w:rPr>
      </w:pPr>
      <w:r w:rsidRPr="00C175F7">
        <w:rPr>
          <w:iCs/>
          <w:szCs w:val="20"/>
          <w:lang w:eastAsia="fr-FR"/>
        </w:rPr>
        <w:t>The large number of data to manipulate,</w:t>
      </w:r>
    </w:p>
    <w:p w14:paraId="17676982" w14:textId="77777777" w:rsidR="003C3E63" w:rsidRPr="00C175F7" w:rsidRDefault="003C3E63" w:rsidP="003C3E63">
      <w:pPr>
        <w:pStyle w:val="ListParagraph"/>
        <w:numPr>
          <w:ilvl w:val="0"/>
          <w:numId w:val="46"/>
        </w:numPr>
        <w:autoSpaceDE w:val="0"/>
        <w:autoSpaceDN w:val="0"/>
        <w:adjustRightInd w:val="0"/>
        <w:spacing w:after="0" w:line="240" w:lineRule="auto"/>
        <w:rPr>
          <w:iCs/>
          <w:szCs w:val="20"/>
          <w:lang w:eastAsia="fr-FR"/>
        </w:rPr>
      </w:pPr>
      <w:r w:rsidRPr="00C175F7">
        <w:rPr>
          <w:iCs/>
          <w:szCs w:val="20"/>
          <w:lang w:eastAsia="fr-FR"/>
        </w:rPr>
        <w:t>The great diversity of quantitative and qualitative sources of information,</w:t>
      </w:r>
    </w:p>
    <w:p w14:paraId="75475F2A" w14:textId="77777777" w:rsidR="003C3E63" w:rsidRPr="00C175F7" w:rsidRDefault="003C3E63" w:rsidP="003C3E63">
      <w:pPr>
        <w:pStyle w:val="ListParagraph"/>
        <w:numPr>
          <w:ilvl w:val="0"/>
          <w:numId w:val="46"/>
        </w:numPr>
        <w:autoSpaceDE w:val="0"/>
        <w:autoSpaceDN w:val="0"/>
        <w:adjustRightInd w:val="0"/>
        <w:spacing w:after="0" w:line="240" w:lineRule="auto"/>
        <w:rPr>
          <w:iCs/>
          <w:szCs w:val="20"/>
          <w:lang w:eastAsia="fr-FR"/>
        </w:rPr>
      </w:pPr>
      <w:r w:rsidRPr="00C175F7">
        <w:rPr>
          <w:iCs/>
          <w:szCs w:val="20"/>
          <w:lang w:eastAsia="fr-FR"/>
        </w:rPr>
        <w:t>Methodologies to be implemented to best quantify each activity,</w:t>
      </w:r>
    </w:p>
    <w:p w14:paraId="4E1ABE46" w14:textId="77777777" w:rsidR="003C3E63" w:rsidRPr="00C175F7" w:rsidRDefault="003C3E63" w:rsidP="003C3E63">
      <w:pPr>
        <w:pStyle w:val="ListParagraph"/>
        <w:numPr>
          <w:ilvl w:val="0"/>
          <w:numId w:val="46"/>
        </w:numPr>
        <w:autoSpaceDE w:val="0"/>
        <w:autoSpaceDN w:val="0"/>
        <w:adjustRightInd w:val="0"/>
        <w:spacing w:after="0" w:line="240" w:lineRule="auto"/>
        <w:rPr>
          <w:iCs/>
          <w:szCs w:val="20"/>
          <w:lang w:eastAsia="fr-FR"/>
        </w:rPr>
      </w:pPr>
      <w:r w:rsidRPr="00C175F7">
        <w:rPr>
          <w:iCs/>
          <w:szCs w:val="20"/>
          <w:lang w:eastAsia="fr-FR"/>
        </w:rPr>
        <w:t>The need to provide information as relevant and accurate as possible while respecting the constraints of resources and deadlines,</w:t>
      </w:r>
    </w:p>
    <w:p w14:paraId="7302728C" w14:textId="77777777" w:rsidR="003C3E63" w:rsidRPr="00C175F7" w:rsidRDefault="003C3E63" w:rsidP="003C3E63">
      <w:pPr>
        <w:pStyle w:val="ListParagraph"/>
        <w:numPr>
          <w:ilvl w:val="0"/>
          <w:numId w:val="46"/>
        </w:numPr>
        <w:autoSpaceDE w:val="0"/>
        <w:autoSpaceDN w:val="0"/>
        <w:adjustRightInd w:val="0"/>
        <w:spacing w:after="0" w:line="240" w:lineRule="auto"/>
        <w:rPr>
          <w:iCs/>
          <w:szCs w:val="20"/>
          <w:lang w:eastAsia="fr-FR"/>
        </w:rPr>
      </w:pPr>
      <w:r w:rsidRPr="00C175F7">
        <w:rPr>
          <w:iCs/>
          <w:szCs w:val="20"/>
          <w:lang w:eastAsia="fr-FR"/>
        </w:rPr>
        <w:t>Ensuring respect of the fundamental qualities of inventories (TACCC principle: Transparency, Accuracy, Consistency, Comparability, Completeness).</w:t>
      </w:r>
    </w:p>
    <w:p w14:paraId="3FF14D03" w14:textId="77777777" w:rsidR="003C3E63" w:rsidRPr="00C175F7" w:rsidRDefault="003C3E63" w:rsidP="003C3E63">
      <w:pPr>
        <w:autoSpaceDE w:val="0"/>
        <w:autoSpaceDN w:val="0"/>
        <w:adjustRightInd w:val="0"/>
        <w:spacing w:after="0" w:line="240" w:lineRule="auto"/>
        <w:rPr>
          <w:iCs/>
          <w:szCs w:val="20"/>
          <w:lang w:eastAsia="fr-FR"/>
        </w:rPr>
      </w:pPr>
      <w:r w:rsidRPr="00C175F7">
        <w:rPr>
          <w:iCs/>
          <w:szCs w:val="20"/>
          <w:lang w:eastAsia="fr-FR"/>
        </w:rPr>
        <w:t>A quality control and quality assurance system is essential to achieve these tasks.</w:t>
      </w:r>
    </w:p>
    <w:p w14:paraId="27243226" w14:textId="77777777" w:rsidR="003C3E63" w:rsidRPr="00C175F7" w:rsidRDefault="003C3E63" w:rsidP="003C3E63">
      <w:pPr>
        <w:autoSpaceDE w:val="0"/>
        <w:autoSpaceDN w:val="0"/>
        <w:adjustRightInd w:val="0"/>
        <w:spacing w:after="0" w:line="240" w:lineRule="auto"/>
        <w:rPr>
          <w:iCs/>
          <w:szCs w:val="20"/>
          <w:lang w:eastAsia="fr-FR"/>
        </w:rPr>
      </w:pPr>
    </w:p>
    <w:p w14:paraId="32A4AF47" w14:textId="10018CFE" w:rsidR="003C3E63" w:rsidRPr="00C175F7" w:rsidRDefault="003C3E63" w:rsidP="003C3E63">
      <w:pPr>
        <w:autoSpaceDE w:val="0"/>
        <w:autoSpaceDN w:val="0"/>
        <w:adjustRightInd w:val="0"/>
        <w:spacing w:after="0" w:line="240" w:lineRule="auto"/>
        <w:rPr>
          <w:iCs/>
          <w:szCs w:val="20"/>
          <w:lang w:eastAsia="fr-FR"/>
        </w:rPr>
      </w:pPr>
      <w:r w:rsidRPr="00C175F7">
        <w:rPr>
          <w:iCs/>
          <w:szCs w:val="20"/>
          <w:lang w:eastAsia="fr-FR"/>
        </w:rPr>
        <w:t xml:space="preserve">QA/QC procedures have been defined by listing a set of tasks to be carried out depending on the function of the inventory </w:t>
      </w:r>
      <w:r w:rsidRPr="0023482C">
        <w:rPr>
          <w:iCs/>
          <w:szCs w:val="20"/>
          <w:lang w:eastAsia="fr-FR"/>
        </w:rPr>
        <w:t xml:space="preserve">actor (see </w:t>
      </w:r>
      <w:r w:rsidR="0023482C" w:rsidRPr="0023482C">
        <w:rPr>
          <w:iCs/>
          <w:szCs w:val="20"/>
          <w:lang w:eastAsia="fr-FR"/>
        </w:rPr>
        <w:t>A</w:t>
      </w:r>
      <w:r w:rsidRPr="0023482C">
        <w:rPr>
          <w:iCs/>
          <w:szCs w:val="20"/>
          <w:lang w:eastAsia="fr-FR"/>
        </w:rPr>
        <w:t xml:space="preserve">nnex </w:t>
      </w:r>
      <w:r w:rsidR="0023482C" w:rsidRPr="0023482C">
        <w:rPr>
          <w:iCs/>
          <w:szCs w:val="20"/>
          <w:lang w:eastAsia="fr-FR"/>
        </w:rPr>
        <w:t>4</w:t>
      </w:r>
      <w:r w:rsidRPr="00C175F7">
        <w:rPr>
          <w:iCs/>
          <w:szCs w:val="20"/>
          <w:lang w:eastAsia="fr-FR"/>
        </w:rPr>
        <w:t>) and the type of QA/QC activities. Nevertheless, it has to be mentioned that the Serbian Inventory system is under construction to fully answer EU and UNFCCC Annex I requirements in that field. Thus</w:t>
      </w:r>
      <w:r>
        <w:rPr>
          <w:iCs/>
          <w:szCs w:val="20"/>
          <w:lang w:eastAsia="fr-FR"/>
        </w:rPr>
        <w:t>,</w:t>
      </w:r>
      <w:r w:rsidRPr="00C175F7">
        <w:rPr>
          <w:iCs/>
          <w:szCs w:val="20"/>
          <w:lang w:eastAsia="fr-FR"/>
        </w:rPr>
        <w:t xml:space="preserve"> all tasks listed for the QA/QC activities are not yet carried out. They can be applied, partially applied or not applied.</w:t>
      </w:r>
    </w:p>
    <w:p w14:paraId="72E4F79A" w14:textId="77777777" w:rsidR="003C3E63" w:rsidRPr="00C175F7" w:rsidRDefault="003C3E63" w:rsidP="003C3E63">
      <w:pPr>
        <w:autoSpaceDE w:val="0"/>
        <w:autoSpaceDN w:val="0"/>
        <w:adjustRightInd w:val="0"/>
        <w:spacing w:after="0" w:line="240" w:lineRule="auto"/>
        <w:jc w:val="left"/>
        <w:rPr>
          <w:iCs/>
          <w:szCs w:val="20"/>
          <w:lang w:eastAsia="fr-FR"/>
        </w:rPr>
      </w:pPr>
    </w:p>
    <w:p w14:paraId="54FBD3B8" w14:textId="4E41B785" w:rsidR="003C3E63" w:rsidRDefault="003C3E63" w:rsidP="003C3E63">
      <w:pPr>
        <w:autoSpaceDE w:val="0"/>
        <w:autoSpaceDN w:val="0"/>
        <w:adjustRightInd w:val="0"/>
        <w:spacing w:after="0" w:line="240" w:lineRule="auto"/>
        <w:jc w:val="left"/>
        <w:rPr>
          <w:iCs/>
          <w:szCs w:val="20"/>
          <w:lang w:eastAsia="fr-FR"/>
        </w:rPr>
      </w:pPr>
      <w:r w:rsidRPr="00C175F7">
        <w:rPr>
          <w:iCs/>
          <w:szCs w:val="20"/>
          <w:lang w:eastAsia="fr-FR"/>
        </w:rPr>
        <w:lastRenderedPageBreak/>
        <w:t>In</w:t>
      </w:r>
      <w:r w:rsidR="00F16CA6">
        <w:rPr>
          <w:iCs/>
          <w:szCs w:val="20"/>
          <w:lang w:eastAsia="fr-FR"/>
        </w:rPr>
        <w:t xml:space="preserve"> </w:t>
      </w:r>
      <w:r w:rsidR="00F16CA6" w:rsidRPr="0023482C">
        <w:rPr>
          <w:iCs/>
          <w:szCs w:val="20"/>
          <w:lang w:eastAsia="fr-FR"/>
        </w:rPr>
        <w:t>Annex 4</w:t>
      </w:r>
      <w:r w:rsidRPr="0023482C">
        <w:rPr>
          <w:iCs/>
          <w:szCs w:val="20"/>
          <w:lang w:eastAsia="fr-FR"/>
        </w:rPr>
        <w:t>, QA/</w:t>
      </w:r>
      <w:r>
        <w:rPr>
          <w:iCs/>
          <w:szCs w:val="20"/>
          <w:lang w:eastAsia="fr-FR"/>
        </w:rPr>
        <w:t>QC procedures are positioned along with the inventory process. The QA/QC activities concerned different steps of the inventory and different actors:</w:t>
      </w:r>
    </w:p>
    <w:p w14:paraId="5BF60E96" w14:textId="77777777" w:rsidR="003C3E63" w:rsidRDefault="003C3E63" w:rsidP="003C3E63">
      <w:pPr>
        <w:autoSpaceDE w:val="0"/>
        <w:autoSpaceDN w:val="0"/>
        <w:adjustRightInd w:val="0"/>
        <w:spacing w:after="0" w:line="240" w:lineRule="auto"/>
        <w:jc w:val="left"/>
        <w:rPr>
          <w:iCs/>
          <w:szCs w:val="20"/>
          <w:lang w:eastAsia="fr-FR"/>
        </w:rPr>
      </w:pPr>
      <w:r>
        <w:rPr>
          <w:iCs/>
          <w:szCs w:val="20"/>
          <w:lang w:eastAsia="fr-FR"/>
        </w:rPr>
        <w:tab/>
      </w:r>
    </w:p>
    <w:tbl>
      <w:tblPr>
        <w:tblStyle w:val="TableGrid"/>
        <w:tblW w:w="0" w:type="auto"/>
        <w:tblLook w:val="04A0" w:firstRow="1" w:lastRow="0" w:firstColumn="1" w:lastColumn="0" w:noHBand="0" w:noVBand="1"/>
      </w:tblPr>
      <w:tblGrid>
        <w:gridCol w:w="4531"/>
        <w:gridCol w:w="4531"/>
      </w:tblGrid>
      <w:tr w:rsidR="003C3E63" w14:paraId="6E54083A" w14:textId="77777777">
        <w:tc>
          <w:tcPr>
            <w:tcW w:w="4531" w:type="dxa"/>
          </w:tcPr>
          <w:p w14:paraId="099A7B0B" w14:textId="77777777" w:rsidR="003C3E63" w:rsidRDefault="003C3E63">
            <w:pPr>
              <w:autoSpaceDE w:val="0"/>
              <w:autoSpaceDN w:val="0"/>
              <w:adjustRightInd w:val="0"/>
              <w:jc w:val="center"/>
              <w:rPr>
                <w:iCs/>
                <w:szCs w:val="20"/>
                <w:lang w:eastAsia="fr-FR"/>
              </w:rPr>
            </w:pPr>
            <w:r>
              <w:rPr>
                <w:iCs/>
                <w:szCs w:val="20"/>
                <w:lang w:eastAsia="fr-FR"/>
              </w:rPr>
              <w:t>QA/QC Activities</w:t>
            </w:r>
          </w:p>
        </w:tc>
        <w:tc>
          <w:tcPr>
            <w:tcW w:w="4531" w:type="dxa"/>
          </w:tcPr>
          <w:p w14:paraId="066F13B7" w14:textId="77777777" w:rsidR="003C3E63" w:rsidRDefault="003C3E63">
            <w:pPr>
              <w:autoSpaceDE w:val="0"/>
              <w:autoSpaceDN w:val="0"/>
              <w:adjustRightInd w:val="0"/>
              <w:jc w:val="center"/>
              <w:rPr>
                <w:iCs/>
                <w:szCs w:val="20"/>
                <w:lang w:eastAsia="fr-FR"/>
              </w:rPr>
            </w:pPr>
            <w:r>
              <w:rPr>
                <w:iCs/>
                <w:szCs w:val="20"/>
                <w:lang w:eastAsia="fr-FR"/>
              </w:rPr>
              <w:t>Actors / Function</w:t>
            </w:r>
          </w:p>
        </w:tc>
      </w:tr>
      <w:tr w:rsidR="003C3E63" w14:paraId="1343F9B5" w14:textId="77777777">
        <w:tc>
          <w:tcPr>
            <w:tcW w:w="4531" w:type="dxa"/>
          </w:tcPr>
          <w:p w14:paraId="28CC947B" w14:textId="77777777" w:rsidR="003C3E63" w:rsidRDefault="003C3E63">
            <w:pPr>
              <w:autoSpaceDE w:val="0"/>
              <w:autoSpaceDN w:val="0"/>
              <w:adjustRightInd w:val="0"/>
              <w:jc w:val="left"/>
              <w:rPr>
                <w:iCs/>
                <w:szCs w:val="20"/>
                <w:lang w:eastAsia="fr-FR"/>
              </w:rPr>
            </w:pPr>
            <w:r>
              <w:rPr>
                <w:iCs/>
                <w:szCs w:val="20"/>
                <w:lang w:eastAsia="fr-FR"/>
              </w:rPr>
              <w:t>Q1: coordination and planning</w:t>
            </w:r>
          </w:p>
        </w:tc>
        <w:tc>
          <w:tcPr>
            <w:tcW w:w="4531" w:type="dxa"/>
          </w:tcPr>
          <w:p w14:paraId="4B68EC74" w14:textId="77777777" w:rsidR="003C3E63" w:rsidRDefault="003C3E63">
            <w:pPr>
              <w:autoSpaceDE w:val="0"/>
              <w:autoSpaceDN w:val="0"/>
              <w:adjustRightInd w:val="0"/>
              <w:jc w:val="left"/>
              <w:rPr>
                <w:iCs/>
                <w:szCs w:val="20"/>
                <w:lang w:eastAsia="fr-FR"/>
              </w:rPr>
            </w:pPr>
            <w:r>
              <w:rPr>
                <w:iCs/>
                <w:szCs w:val="20"/>
                <w:lang w:eastAsia="fr-FR"/>
              </w:rPr>
              <w:t>(1) sectoral expert</w:t>
            </w:r>
          </w:p>
        </w:tc>
      </w:tr>
      <w:tr w:rsidR="003C3E63" w14:paraId="43F9602B" w14:textId="77777777">
        <w:tc>
          <w:tcPr>
            <w:tcW w:w="4531" w:type="dxa"/>
          </w:tcPr>
          <w:p w14:paraId="31CF46E2" w14:textId="77777777" w:rsidR="003C3E63" w:rsidRDefault="003C3E63">
            <w:pPr>
              <w:autoSpaceDE w:val="0"/>
              <w:autoSpaceDN w:val="0"/>
              <w:adjustRightInd w:val="0"/>
              <w:jc w:val="left"/>
              <w:rPr>
                <w:iCs/>
                <w:szCs w:val="20"/>
                <w:lang w:eastAsia="fr-FR"/>
              </w:rPr>
            </w:pPr>
            <w:r>
              <w:rPr>
                <w:iCs/>
                <w:szCs w:val="20"/>
                <w:lang w:eastAsia="fr-FR"/>
              </w:rPr>
              <w:t>Q2: data sources</w:t>
            </w:r>
          </w:p>
        </w:tc>
        <w:tc>
          <w:tcPr>
            <w:tcW w:w="4531" w:type="dxa"/>
          </w:tcPr>
          <w:p w14:paraId="77DF136E" w14:textId="77777777" w:rsidR="003C3E63" w:rsidRDefault="003C3E63">
            <w:pPr>
              <w:autoSpaceDE w:val="0"/>
              <w:autoSpaceDN w:val="0"/>
              <w:adjustRightInd w:val="0"/>
              <w:jc w:val="left"/>
              <w:rPr>
                <w:iCs/>
                <w:szCs w:val="20"/>
                <w:lang w:eastAsia="fr-FR"/>
              </w:rPr>
            </w:pPr>
            <w:r>
              <w:rPr>
                <w:iCs/>
                <w:szCs w:val="20"/>
                <w:lang w:eastAsia="fr-FR"/>
              </w:rPr>
              <w:t>(2) inventory manager</w:t>
            </w:r>
          </w:p>
        </w:tc>
      </w:tr>
      <w:tr w:rsidR="003C3E63" w14:paraId="1D7CDD34" w14:textId="77777777">
        <w:tc>
          <w:tcPr>
            <w:tcW w:w="4531" w:type="dxa"/>
          </w:tcPr>
          <w:p w14:paraId="50EB192D" w14:textId="77777777" w:rsidR="003C3E63" w:rsidRDefault="003C3E63">
            <w:pPr>
              <w:autoSpaceDE w:val="0"/>
              <w:autoSpaceDN w:val="0"/>
              <w:adjustRightInd w:val="0"/>
              <w:jc w:val="left"/>
              <w:rPr>
                <w:iCs/>
                <w:szCs w:val="20"/>
                <w:lang w:eastAsia="fr-FR"/>
              </w:rPr>
            </w:pPr>
            <w:r>
              <w:rPr>
                <w:iCs/>
                <w:szCs w:val="20"/>
                <w:lang w:eastAsia="fr-FR"/>
              </w:rPr>
              <w:t>Q3: emissions calculations</w:t>
            </w:r>
          </w:p>
        </w:tc>
        <w:tc>
          <w:tcPr>
            <w:tcW w:w="4531" w:type="dxa"/>
          </w:tcPr>
          <w:p w14:paraId="6631BF18" w14:textId="77777777" w:rsidR="003C3E63" w:rsidRDefault="003C3E63">
            <w:pPr>
              <w:autoSpaceDE w:val="0"/>
              <w:autoSpaceDN w:val="0"/>
              <w:adjustRightInd w:val="0"/>
              <w:jc w:val="left"/>
              <w:rPr>
                <w:iCs/>
                <w:szCs w:val="20"/>
                <w:lang w:eastAsia="fr-FR"/>
              </w:rPr>
            </w:pPr>
            <w:r>
              <w:rPr>
                <w:iCs/>
                <w:szCs w:val="20"/>
                <w:lang w:eastAsia="fr-FR"/>
              </w:rPr>
              <w:t>(3) coordination group of national inventories</w:t>
            </w:r>
          </w:p>
        </w:tc>
      </w:tr>
      <w:tr w:rsidR="003C3E63" w14:paraId="79BA1412" w14:textId="77777777">
        <w:tc>
          <w:tcPr>
            <w:tcW w:w="4531" w:type="dxa"/>
          </w:tcPr>
          <w:p w14:paraId="5A3ED36E" w14:textId="77777777" w:rsidR="003C3E63" w:rsidRDefault="003C3E63">
            <w:pPr>
              <w:autoSpaceDE w:val="0"/>
              <w:autoSpaceDN w:val="0"/>
              <w:adjustRightInd w:val="0"/>
              <w:jc w:val="left"/>
              <w:rPr>
                <w:iCs/>
                <w:szCs w:val="20"/>
                <w:lang w:eastAsia="fr-FR"/>
              </w:rPr>
            </w:pPr>
            <w:r>
              <w:rPr>
                <w:iCs/>
                <w:szCs w:val="20"/>
                <w:lang w:eastAsia="fr-FR"/>
              </w:rPr>
              <w:t>Q4/Q5: data reporting</w:t>
            </w:r>
          </w:p>
        </w:tc>
        <w:tc>
          <w:tcPr>
            <w:tcW w:w="4531" w:type="dxa"/>
          </w:tcPr>
          <w:p w14:paraId="3741FE00" w14:textId="77777777" w:rsidR="003C3E63" w:rsidRDefault="003C3E63">
            <w:pPr>
              <w:autoSpaceDE w:val="0"/>
              <w:autoSpaceDN w:val="0"/>
              <w:adjustRightInd w:val="0"/>
              <w:jc w:val="left"/>
              <w:rPr>
                <w:iCs/>
                <w:szCs w:val="20"/>
                <w:lang w:eastAsia="fr-FR"/>
              </w:rPr>
            </w:pPr>
            <w:r>
              <w:rPr>
                <w:iCs/>
                <w:szCs w:val="20"/>
                <w:lang w:eastAsia="fr-FR"/>
              </w:rPr>
              <w:t>(4) ETS expert</w:t>
            </w:r>
          </w:p>
        </w:tc>
      </w:tr>
      <w:tr w:rsidR="003C3E63" w14:paraId="6C1A82E9" w14:textId="77777777">
        <w:tc>
          <w:tcPr>
            <w:tcW w:w="4531" w:type="dxa"/>
          </w:tcPr>
          <w:p w14:paraId="72A10114" w14:textId="77777777" w:rsidR="003C3E63" w:rsidRDefault="003C3E63">
            <w:pPr>
              <w:autoSpaceDE w:val="0"/>
              <w:autoSpaceDN w:val="0"/>
              <w:adjustRightInd w:val="0"/>
              <w:jc w:val="left"/>
              <w:rPr>
                <w:iCs/>
                <w:szCs w:val="20"/>
                <w:lang w:eastAsia="fr-FR"/>
              </w:rPr>
            </w:pPr>
            <w:r>
              <w:rPr>
                <w:iCs/>
                <w:szCs w:val="20"/>
                <w:lang w:eastAsia="fr-FR"/>
              </w:rPr>
              <w:t>Q6/Q7: National Inventory Report</w:t>
            </w:r>
          </w:p>
        </w:tc>
        <w:tc>
          <w:tcPr>
            <w:tcW w:w="4531" w:type="dxa"/>
          </w:tcPr>
          <w:p w14:paraId="25B356ED" w14:textId="77777777" w:rsidR="003C3E63" w:rsidRDefault="003C3E63">
            <w:pPr>
              <w:autoSpaceDE w:val="0"/>
              <w:autoSpaceDN w:val="0"/>
              <w:adjustRightInd w:val="0"/>
              <w:jc w:val="left"/>
              <w:rPr>
                <w:iCs/>
                <w:szCs w:val="20"/>
                <w:lang w:eastAsia="fr-FR"/>
              </w:rPr>
            </w:pPr>
            <w:r>
              <w:rPr>
                <w:iCs/>
                <w:szCs w:val="20"/>
                <w:lang w:eastAsia="fr-FR"/>
              </w:rPr>
              <w:t>(5) Inventory manager or sectoral experts</w:t>
            </w:r>
          </w:p>
        </w:tc>
      </w:tr>
      <w:tr w:rsidR="003C3E63" w:rsidRPr="00F73988" w14:paraId="35C52391" w14:textId="77777777">
        <w:tc>
          <w:tcPr>
            <w:tcW w:w="4531" w:type="dxa"/>
            <w:tcBorders>
              <w:bottom w:val="single" w:sz="4" w:space="0" w:color="auto"/>
            </w:tcBorders>
          </w:tcPr>
          <w:p w14:paraId="501D030E" w14:textId="77777777" w:rsidR="003C3E63" w:rsidRPr="00F73988" w:rsidRDefault="003C3E63">
            <w:pPr>
              <w:autoSpaceDE w:val="0"/>
              <w:autoSpaceDN w:val="0"/>
              <w:adjustRightInd w:val="0"/>
              <w:jc w:val="left"/>
              <w:rPr>
                <w:iCs/>
                <w:szCs w:val="20"/>
                <w:lang w:val="fr-FR" w:eastAsia="fr-FR"/>
              </w:rPr>
            </w:pPr>
            <w:r w:rsidRPr="00B57D9F">
              <w:rPr>
                <w:iCs/>
                <w:szCs w:val="20"/>
                <w:lang w:val="fr-FR" w:eastAsia="fr-FR"/>
              </w:rPr>
              <w:t xml:space="preserve">Q8/Q9/Q10: Proxy GHG inventories </w:t>
            </w:r>
            <w:r>
              <w:rPr>
                <w:iCs/>
                <w:szCs w:val="20"/>
                <w:lang w:val="fr-FR" w:eastAsia="fr-FR"/>
              </w:rPr>
              <w:t>(X-1)</w:t>
            </w:r>
          </w:p>
        </w:tc>
        <w:tc>
          <w:tcPr>
            <w:tcW w:w="4531" w:type="dxa"/>
          </w:tcPr>
          <w:p w14:paraId="040B04D5" w14:textId="0E8C5BFB" w:rsidR="003C3E63" w:rsidRPr="00F73988" w:rsidRDefault="003C3E63">
            <w:pPr>
              <w:autoSpaceDE w:val="0"/>
              <w:autoSpaceDN w:val="0"/>
              <w:adjustRightInd w:val="0"/>
              <w:jc w:val="left"/>
              <w:rPr>
                <w:iCs/>
                <w:szCs w:val="20"/>
                <w:lang w:val="fr-FR" w:eastAsia="fr-FR"/>
              </w:rPr>
            </w:pPr>
            <w:r>
              <w:rPr>
                <w:iCs/>
                <w:szCs w:val="20"/>
                <w:lang w:val="fr-FR" w:eastAsia="fr-FR"/>
              </w:rPr>
              <w:t xml:space="preserve">(6) </w:t>
            </w:r>
            <w:r w:rsidR="000F6001">
              <w:rPr>
                <w:iCs/>
                <w:szCs w:val="20"/>
                <w:lang w:val="fr-FR" w:eastAsia="fr-FR"/>
              </w:rPr>
              <w:t>CRT</w:t>
            </w:r>
            <w:r>
              <w:rPr>
                <w:iCs/>
                <w:szCs w:val="20"/>
                <w:lang w:val="fr-FR" w:eastAsia="fr-FR"/>
              </w:rPr>
              <w:t xml:space="preserve"> reporter expert</w:t>
            </w:r>
          </w:p>
        </w:tc>
      </w:tr>
      <w:tr w:rsidR="003C3E63" w:rsidRPr="00F73988" w14:paraId="07BC8F19" w14:textId="77777777">
        <w:tc>
          <w:tcPr>
            <w:tcW w:w="4531" w:type="dxa"/>
            <w:tcBorders>
              <w:left w:val="nil"/>
              <w:bottom w:val="nil"/>
            </w:tcBorders>
          </w:tcPr>
          <w:p w14:paraId="66F23064" w14:textId="77777777" w:rsidR="003C3E63" w:rsidRPr="00F73988" w:rsidRDefault="003C3E63">
            <w:pPr>
              <w:autoSpaceDE w:val="0"/>
              <w:autoSpaceDN w:val="0"/>
              <w:adjustRightInd w:val="0"/>
              <w:jc w:val="left"/>
              <w:rPr>
                <w:iCs/>
                <w:szCs w:val="20"/>
                <w:lang w:val="fr-FR" w:eastAsia="fr-FR"/>
              </w:rPr>
            </w:pPr>
          </w:p>
        </w:tc>
        <w:tc>
          <w:tcPr>
            <w:tcW w:w="4531" w:type="dxa"/>
          </w:tcPr>
          <w:p w14:paraId="74374770" w14:textId="77777777" w:rsidR="003C3E63" w:rsidRPr="00F73988" w:rsidRDefault="003C3E63">
            <w:pPr>
              <w:autoSpaceDE w:val="0"/>
              <w:autoSpaceDN w:val="0"/>
              <w:adjustRightInd w:val="0"/>
              <w:jc w:val="left"/>
              <w:rPr>
                <w:iCs/>
                <w:szCs w:val="20"/>
                <w:lang w:val="en-US" w:eastAsia="fr-FR"/>
              </w:rPr>
            </w:pPr>
            <w:r w:rsidRPr="00F73988">
              <w:rPr>
                <w:iCs/>
                <w:szCs w:val="20"/>
                <w:lang w:val="en-US" w:eastAsia="fr-FR"/>
              </w:rPr>
              <w:t>(7) Ministry in charge of Environme</w:t>
            </w:r>
            <w:r>
              <w:rPr>
                <w:iCs/>
                <w:szCs w:val="20"/>
                <w:lang w:val="en-US" w:eastAsia="fr-FR"/>
              </w:rPr>
              <w:t>nt</w:t>
            </w:r>
          </w:p>
        </w:tc>
      </w:tr>
      <w:tr w:rsidR="003C3E63" w:rsidRPr="00F73988" w14:paraId="00849BF9" w14:textId="77777777">
        <w:tc>
          <w:tcPr>
            <w:tcW w:w="4531" w:type="dxa"/>
            <w:tcBorders>
              <w:top w:val="nil"/>
              <w:left w:val="nil"/>
              <w:bottom w:val="nil"/>
            </w:tcBorders>
          </w:tcPr>
          <w:p w14:paraId="67CA6BDA" w14:textId="77777777" w:rsidR="003C3E63" w:rsidRPr="00F40BD6" w:rsidRDefault="003C3E63">
            <w:pPr>
              <w:autoSpaceDE w:val="0"/>
              <w:autoSpaceDN w:val="0"/>
              <w:adjustRightInd w:val="0"/>
              <w:jc w:val="left"/>
              <w:rPr>
                <w:iCs/>
                <w:szCs w:val="20"/>
                <w:lang w:val="en-US" w:eastAsia="fr-FR"/>
              </w:rPr>
            </w:pPr>
          </w:p>
        </w:tc>
        <w:tc>
          <w:tcPr>
            <w:tcW w:w="4531" w:type="dxa"/>
          </w:tcPr>
          <w:p w14:paraId="5B9865C2" w14:textId="0133374B" w:rsidR="003C3E63" w:rsidRPr="00F73988" w:rsidRDefault="003C3E63">
            <w:pPr>
              <w:autoSpaceDE w:val="0"/>
              <w:autoSpaceDN w:val="0"/>
              <w:adjustRightInd w:val="0"/>
              <w:jc w:val="left"/>
              <w:rPr>
                <w:iCs/>
                <w:szCs w:val="20"/>
                <w:lang w:val="en-US" w:eastAsia="fr-FR"/>
              </w:rPr>
            </w:pPr>
            <w:r>
              <w:rPr>
                <w:iCs/>
                <w:szCs w:val="20"/>
                <w:lang w:val="en-US" w:eastAsia="fr-FR"/>
              </w:rPr>
              <w:t xml:space="preserve">(8) </w:t>
            </w:r>
            <w:r w:rsidR="000F6001">
              <w:rPr>
                <w:iCs/>
                <w:szCs w:val="20"/>
                <w:lang w:val="en-US" w:eastAsia="fr-FR"/>
              </w:rPr>
              <w:t>NID</w:t>
            </w:r>
            <w:r>
              <w:rPr>
                <w:iCs/>
                <w:szCs w:val="20"/>
                <w:lang w:val="en-US" w:eastAsia="fr-FR"/>
              </w:rPr>
              <w:t xml:space="preserve"> expert</w:t>
            </w:r>
          </w:p>
        </w:tc>
      </w:tr>
      <w:tr w:rsidR="003C3E63" w:rsidRPr="00F73988" w14:paraId="2E10FE26" w14:textId="77777777">
        <w:tc>
          <w:tcPr>
            <w:tcW w:w="4531" w:type="dxa"/>
            <w:tcBorders>
              <w:top w:val="nil"/>
              <w:left w:val="nil"/>
              <w:bottom w:val="nil"/>
            </w:tcBorders>
          </w:tcPr>
          <w:p w14:paraId="7A60406C" w14:textId="77777777" w:rsidR="003C3E63" w:rsidRPr="00F73988" w:rsidRDefault="003C3E63">
            <w:pPr>
              <w:autoSpaceDE w:val="0"/>
              <w:autoSpaceDN w:val="0"/>
              <w:adjustRightInd w:val="0"/>
              <w:jc w:val="left"/>
              <w:rPr>
                <w:iCs/>
                <w:szCs w:val="20"/>
                <w:lang w:val="fr-FR" w:eastAsia="fr-FR"/>
              </w:rPr>
            </w:pPr>
          </w:p>
        </w:tc>
        <w:tc>
          <w:tcPr>
            <w:tcW w:w="4531" w:type="dxa"/>
          </w:tcPr>
          <w:p w14:paraId="59946C71" w14:textId="77777777" w:rsidR="003C3E63" w:rsidRDefault="003C3E63">
            <w:pPr>
              <w:autoSpaceDE w:val="0"/>
              <w:autoSpaceDN w:val="0"/>
              <w:adjustRightInd w:val="0"/>
              <w:jc w:val="left"/>
              <w:rPr>
                <w:iCs/>
                <w:szCs w:val="20"/>
                <w:lang w:val="en-US" w:eastAsia="fr-FR"/>
              </w:rPr>
            </w:pPr>
            <w:r>
              <w:rPr>
                <w:iCs/>
                <w:szCs w:val="20"/>
                <w:lang w:val="en-US" w:eastAsia="fr-FR"/>
              </w:rPr>
              <w:t>(9) Proxy expert</w:t>
            </w:r>
          </w:p>
        </w:tc>
      </w:tr>
    </w:tbl>
    <w:p w14:paraId="5CF2BC23" w14:textId="77777777" w:rsidR="003C3E63" w:rsidRDefault="003C3E63" w:rsidP="003C3E63">
      <w:pPr>
        <w:rPr>
          <w:lang w:val="en-US"/>
        </w:rPr>
      </w:pPr>
    </w:p>
    <w:p w14:paraId="42C9733F" w14:textId="12AA2988" w:rsidR="00267868" w:rsidRPr="009C1CF3" w:rsidRDefault="00267868" w:rsidP="009C1CF3">
      <w:pPr>
        <w:pStyle w:val="Heading2"/>
        <w:rPr>
          <w:rStyle w:val="Heading2Char"/>
          <w:b/>
        </w:rPr>
      </w:pPr>
      <w:bookmarkStart w:id="48" w:name="_Toc182327709"/>
      <w:bookmarkStart w:id="49" w:name="_Toc184808152"/>
      <w:r w:rsidRPr="009C1CF3">
        <w:rPr>
          <w:rStyle w:val="Heading2Char"/>
          <w:b/>
        </w:rPr>
        <w:t>General uncertainty evaluation</w:t>
      </w:r>
      <w:bookmarkEnd w:id="47"/>
      <w:bookmarkEnd w:id="48"/>
      <w:bookmarkEnd w:id="49"/>
    </w:p>
    <w:p w14:paraId="455700B8" w14:textId="44EDC4D1" w:rsidR="00D315D6" w:rsidRPr="00F40BD6" w:rsidRDefault="00D315D6" w:rsidP="00D315D6">
      <w:pPr>
        <w:autoSpaceDE w:val="0"/>
        <w:autoSpaceDN w:val="0"/>
        <w:adjustRightInd w:val="0"/>
        <w:spacing w:after="0" w:line="240" w:lineRule="auto"/>
        <w:rPr>
          <w:rFonts w:cs="Cambria"/>
          <w:lang w:val="en-US"/>
        </w:rPr>
      </w:pPr>
      <w:r w:rsidRPr="00F40BD6">
        <w:rPr>
          <w:rFonts w:cs="Cambria"/>
          <w:lang w:val="en-US"/>
        </w:rPr>
        <w:t xml:space="preserve">The 2006 IPCC Guidelines characterize determination of uncertainties as a key element of any complete inventory. As a result of the need to continually improve the inventories, </w:t>
      </w:r>
      <w:r w:rsidR="002F2AE6">
        <w:rPr>
          <w:rFonts w:cs="Cambria"/>
          <w:lang w:val="en-US"/>
        </w:rPr>
        <w:t xml:space="preserve">the </w:t>
      </w:r>
      <w:r w:rsidRPr="00F40BD6">
        <w:rPr>
          <w:rFonts w:cs="Cambria"/>
          <w:lang w:val="en-US"/>
        </w:rPr>
        <w:t xml:space="preserve">uncertainty analysis plays an important role. </w:t>
      </w:r>
      <w:r w:rsidR="002F2AE6">
        <w:rPr>
          <w:rFonts w:cs="Cambria"/>
          <w:lang w:val="en-US"/>
        </w:rPr>
        <w:t>The u</w:t>
      </w:r>
      <w:r w:rsidRPr="00F40BD6">
        <w:rPr>
          <w:rFonts w:cs="Cambria"/>
          <w:lang w:val="en-US"/>
        </w:rPr>
        <w:t xml:space="preserve">ncertainty analysis is used primarily to define priorities for improving the precision of </w:t>
      </w:r>
      <w:r w:rsidR="009864D7">
        <w:rPr>
          <w:rFonts w:cs="Cambria"/>
          <w:lang w:val="en-US"/>
        </w:rPr>
        <w:t xml:space="preserve">emission </w:t>
      </w:r>
      <w:r w:rsidRPr="00F40BD6">
        <w:rPr>
          <w:rFonts w:cs="Cambria"/>
          <w:lang w:val="en-US"/>
        </w:rPr>
        <w:t xml:space="preserve">inventories, as well as for selecting methods and carrying out recalculations for inventories. </w:t>
      </w:r>
    </w:p>
    <w:p w14:paraId="35C35B9A" w14:textId="77777777" w:rsidR="00D315D6" w:rsidRPr="00F40BD6" w:rsidRDefault="00D315D6" w:rsidP="00D315D6">
      <w:pPr>
        <w:autoSpaceDE w:val="0"/>
        <w:autoSpaceDN w:val="0"/>
        <w:adjustRightInd w:val="0"/>
        <w:spacing w:after="0" w:line="240" w:lineRule="auto"/>
        <w:rPr>
          <w:rFonts w:cs="Cambria"/>
          <w:lang w:val="en-US"/>
        </w:rPr>
      </w:pPr>
    </w:p>
    <w:p w14:paraId="229DE4BC" w14:textId="7753A8A8" w:rsidR="00D315D6" w:rsidRPr="00F40BD6" w:rsidRDefault="00D315D6" w:rsidP="00D315D6">
      <w:pPr>
        <w:autoSpaceDE w:val="0"/>
        <w:autoSpaceDN w:val="0"/>
        <w:adjustRightInd w:val="0"/>
        <w:spacing w:after="0" w:line="240" w:lineRule="auto"/>
        <w:rPr>
          <w:rFonts w:cs="Cambria"/>
          <w:lang w:val="en-US"/>
        </w:rPr>
      </w:pPr>
      <w:r w:rsidRPr="00F40BD6">
        <w:rPr>
          <w:rFonts w:cs="Cambria"/>
          <w:lang w:val="en-US"/>
        </w:rPr>
        <w:t>Uncertainties are quantified for emission factors and activity data, then combined uncertainties</w:t>
      </w:r>
      <w:r w:rsidR="00CD20D6">
        <w:rPr>
          <w:rFonts w:cs="Cambria"/>
          <w:lang w:val="en-US"/>
        </w:rPr>
        <w:t xml:space="preserve"> for emission estimations</w:t>
      </w:r>
      <w:r w:rsidRPr="00F40BD6">
        <w:rPr>
          <w:rFonts w:cs="Cambria"/>
          <w:lang w:val="en-US"/>
        </w:rPr>
        <w:t xml:space="preserve"> are estimated</w:t>
      </w:r>
      <w:r w:rsidR="00CD20D6">
        <w:rPr>
          <w:rFonts w:cs="Cambria"/>
          <w:lang w:val="en-US"/>
        </w:rPr>
        <w:t xml:space="preserve"> according to IPCC guidelines</w:t>
      </w:r>
      <w:r w:rsidRPr="00F40BD6">
        <w:rPr>
          <w:rFonts w:cs="Cambria"/>
          <w:lang w:val="en-US"/>
        </w:rPr>
        <w:t>.</w:t>
      </w:r>
    </w:p>
    <w:p w14:paraId="1E5CC635" w14:textId="77777777" w:rsidR="00D315D6" w:rsidRPr="00F40BD6" w:rsidRDefault="00D315D6" w:rsidP="00D315D6">
      <w:pPr>
        <w:autoSpaceDE w:val="0"/>
        <w:autoSpaceDN w:val="0"/>
        <w:adjustRightInd w:val="0"/>
        <w:spacing w:after="0" w:line="240" w:lineRule="auto"/>
        <w:rPr>
          <w:rFonts w:cs="Cambria"/>
          <w:lang w:val="en-US"/>
        </w:rPr>
      </w:pPr>
    </w:p>
    <w:p w14:paraId="682CA4C9" w14:textId="6D622F38" w:rsidR="00D315D6" w:rsidRPr="00F40BD6" w:rsidRDefault="00D315D6" w:rsidP="00D315D6">
      <w:pPr>
        <w:autoSpaceDE w:val="0"/>
        <w:autoSpaceDN w:val="0"/>
        <w:adjustRightInd w:val="0"/>
        <w:spacing w:after="0" w:line="240" w:lineRule="auto"/>
        <w:rPr>
          <w:rFonts w:cs="Cambria"/>
          <w:lang w:val="en-US"/>
        </w:rPr>
      </w:pPr>
      <w:r w:rsidRPr="00F40BD6">
        <w:rPr>
          <w:rFonts w:cs="Cambria"/>
          <w:lang w:val="en-US"/>
        </w:rPr>
        <w:t xml:space="preserve">In general, two methods for determining uncertainties are </w:t>
      </w:r>
      <w:r w:rsidR="00922217">
        <w:rPr>
          <w:rFonts w:cs="Cambria"/>
          <w:lang w:val="en-US"/>
        </w:rPr>
        <w:t>distinguished</w:t>
      </w:r>
      <w:r w:rsidRPr="00F40BD6">
        <w:rPr>
          <w:rFonts w:cs="Cambria"/>
          <w:lang w:val="en-US"/>
        </w:rPr>
        <w:t>. The Tier 1 method combines, in a simple way, the uncertainties in activity data and emission factors, for each category and greenhouse gas, and then aggregates these uncertainties, for all categories and greenhouse gas</w:t>
      </w:r>
      <w:r w:rsidR="00922217">
        <w:rPr>
          <w:rFonts w:cs="Cambria"/>
          <w:lang w:val="en-US"/>
        </w:rPr>
        <w:t>es</w:t>
      </w:r>
      <w:r w:rsidRPr="00F40BD6">
        <w:rPr>
          <w:rFonts w:cs="Cambria"/>
          <w:lang w:val="en-US"/>
        </w:rPr>
        <w:t xml:space="preserve">, to obtain the total uncertainty for the </w:t>
      </w:r>
      <w:r w:rsidR="00922217">
        <w:rPr>
          <w:rFonts w:cs="Cambria"/>
          <w:lang w:val="en-US"/>
        </w:rPr>
        <w:t xml:space="preserve">GHG emission </w:t>
      </w:r>
      <w:r w:rsidRPr="00F40BD6">
        <w:rPr>
          <w:rFonts w:cs="Cambria"/>
          <w:lang w:val="en-US"/>
        </w:rPr>
        <w:t>inventory. The Tier 2 method for uncertainties determination and aggregation is based on Monte Carlo simulation processes considering the distribution functions for the different parameters and variables of emissions calculations.</w:t>
      </w:r>
    </w:p>
    <w:p w14:paraId="13BAA271" w14:textId="77777777" w:rsidR="00D315D6" w:rsidRPr="00F40BD6" w:rsidRDefault="00D315D6" w:rsidP="00D315D6">
      <w:pPr>
        <w:autoSpaceDE w:val="0"/>
        <w:autoSpaceDN w:val="0"/>
        <w:adjustRightInd w:val="0"/>
        <w:spacing w:after="0" w:line="240" w:lineRule="auto"/>
        <w:rPr>
          <w:rFonts w:cs="Cambria"/>
          <w:lang w:val="en-US"/>
        </w:rPr>
      </w:pPr>
    </w:p>
    <w:p w14:paraId="79F68058" w14:textId="6ABA55FA" w:rsidR="00D315D6" w:rsidRPr="00F40BD6" w:rsidRDefault="00D315D6" w:rsidP="00D315D6">
      <w:pPr>
        <w:autoSpaceDE w:val="0"/>
        <w:autoSpaceDN w:val="0"/>
        <w:adjustRightInd w:val="0"/>
        <w:spacing w:after="0" w:line="240" w:lineRule="auto"/>
        <w:rPr>
          <w:rFonts w:cs="Cambria"/>
          <w:lang w:val="en-US"/>
        </w:rPr>
      </w:pPr>
      <w:r w:rsidRPr="00F40BD6">
        <w:rPr>
          <w:rFonts w:cs="Cambria"/>
          <w:lang w:val="en-US"/>
        </w:rPr>
        <w:t xml:space="preserve">In the present </w:t>
      </w:r>
      <w:r w:rsidR="000F6001">
        <w:rPr>
          <w:rFonts w:cs="Cambria"/>
          <w:lang w:val="en-US"/>
        </w:rPr>
        <w:t>NID</w:t>
      </w:r>
      <w:r w:rsidRPr="00F40BD6">
        <w:rPr>
          <w:rFonts w:cs="Cambria"/>
          <w:lang w:val="en-US"/>
        </w:rPr>
        <w:t xml:space="preserve">, Serbia reports uncertainties that have been calculated pursuant to the </w:t>
      </w:r>
      <w:r w:rsidRPr="00F40BD6">
        <w:rPr>
          <w:rFonts w:cs="Cambria"/>
          <w:u w:val="single"/>
          <w:lang w:val="en-US"/>
        </w:rPr>
        <w:t>Tier 1 method</w:t>
      </w:r>
      <w:r w:rsidRPr="00F40BD6">
        <w:rPr>
          <w:rFonts w:cs="Cambria"/>
          <w:lang w:val="en-US"/>
        </w:rPr>
        <w:t>. The uncertainties for the activity data and emission factors used were taken from expert judgments and literature.</w:t>
      </w:r>
    </w:p>
    <w:p w14:paraId="00A6B220" w14:textId="77777777" w:rsidR="00D315D6" w:rsidRPr="00F40BD6" w:rsidRDefault="00D315D6" w:rsidP="00D315D6">
      <w:pPr>
        <w:autoSpaceDE w:val="0"/>
        <w:autoSpaceDN w:val="0"/>
        <w:adjustRightInd w:val="0"/>
        <w:spacing w:after="0" w:line="240" w:lineRule="auto"/>
        <w:rPr>
          <w:rFonts w:cs="Cambria"/>
          <w:lang w:val="en-US"/>
        </w:rPr>
      </w:pPr>
    </w:p>
    <w:p w14:paraId="160C165F" w14:textId="77777777" w:rsidR="00D315D6" w:rsidRPr="00F40BD6" w:rsidRDefault="00D315D6" w:rsidP="00D315D6">
      <w:pPr>
        <w:autoSpaceDE w:val="0"/>
        <w:autoSpaceDN w:val="0"/>
        <w:adjustRightInd w:val="0"/>
        <w:spacing w:after="0" w:line="240" w:lineRule="auto"/>
        <w:rPr>
          <w:bCs/>
          <w:lang w:eastAsia="fr-FR"/>
        </w:rPr>
      </w:pPr>
      <w:r w:rsidRPr="00F40BD6">
        <w:rPr>
          <w:bCs/>
          <w:lang w:eastAsia="fr-FR"/>
        </w:rPr>
        <w:t xml:space="preserve">The results from the uncertainties are </w:t>
      </w:r>
      <w:r w:rsidRPr="0023482C">
        <w:rPr>
          <w:bCs/>
          <w:lang w:eastAsia="fr-FR"/>
        </w:rPr>
        <w:t xml:space="preserve">summarized in </w:t>
      </w:r>
      <w:r w:rsidRPr="0023482C">
        <w:rPr>
          <w:rFonts w:cs="Arial"/>
          <w:b/>
          <w:bCs/>
          <w:color w:val="000000"/>
          <w:lang w:val="en-US"/>
        </w:rPr>
        <w:t>Annex 2</w:t>
      </w:r>
      <w:r w:rsidRPr="0023482C">
        <w:rPr>
          <w:bCs/>
          <w:lang w:eastAsia="fr-FR"/>
        </w:rPr>
        <w:t>.</w:t>
      </w:r>
    </w:p>
    <w:p w14:paraId="68C2FC73" w14:textId="77777777" w:rsidR="00D315D6" w:rsidRPr="00F40BD6" w:rsidRDefault="00D315D6" w:rsidP="00D315D6">
      <w:pPr>
        <w:autoSpaceDE w:val="0"/>
        <w:autoSpaceDN w:val="0"/>
        <w:adjustRightInd w:val="0"/>
        <w:spacing w:after="0" w:line="240" w:lineRule="auto"/>
        <w:rPr>
          <w:bCs/>
          <w:lang w:eastAsia="fr-FR"/>
        </w:rPr>
      </w:pPr>
    </w:p>
    <w:p w14:paraId="38A2E589" w14:textId="7A616DD3" w:rsidR="00AC215D" w:rsidRDefault="00D315D6" w:rsidP="00D315D6">
      <w:pPr>
        <w:autoSpaceDE w:val="0"/>
        <w:autoSpaceDN w:val="0"/>
        <w:adjustRightInd w:val="0"/>
        <w:spacing w:after="0" w:line="240" w:lineRule="auto"/>
        <w:rPr>
          <w:rFonts w:cs="Cambria"/>
          <w:lang w:val="en-US"/>
        </w:rPr>
      </w:pPr>
      <w:r w:rsidRPr="00F40BD6">
        <w:rPr>
          <w:rFonts w:cs="Cambria"/>
          <w:lang w:val="en-US"/>
        </w:rPr>
        <w:t>The total national emissions of GHG</w:t>
      </w:r>
      <w:r w:rsidR="00561385">
        <w:rPr>
          <w:rFonts w:cs="Cambria"/>
          <w:lang w:val="en-US"/>
        </w:rPr>
        <w:t>,</w:t>
      </w:r>
      <w:r w:rsidRPr="00F40BD6">
        <w:rPr>
          <w:rFonts w:cs="Cambria"/>
          <w:lang w:val="en-US"/>
        </w:rPr>
        <w:t xml:space="preserve"> including LULUCF</w:t>
      </w:r>
      <w:r w:rsidR="00561385">
        <w:rPr>
          <w:rFonts w:cs="Cambria"/>
          <w:lang w:val="en-US"/>
        </w:rPr>
        <w:t>,</w:t>
      </w:r>
      <w:r w:rsidRPr="00F40BD6">
        <w:rPr>
          <w:rFonts w:cs="Cambria"/>
          <w:lang w:val="en-US"/>
        </w:rPr>
        <w:t xml:space="preserve"> in </w:t>
      </w:r>
      <w:r w:rsidR="00561385">
        <w:rPr>
          <w:rFonts w:cs="Cambria"/>
          <w:lang w:val="en-US"/>
        </w:rPr>
        <w:t>2022</w:t>
      </w:r>
      <w:r w:rsidR="00561385" w:rsidRPr="00F40BD6">
        <w:rPr>
          <w:rFonts w:cs="Cambria"/>
          <w:lang w:val="en-US"/>
        </w:rPr>
        <w:t xml:space="preserve"> </w:t>
      </w:r>
      <w:r w:rsidRPr="00F40BD6">
        <w:rPr>
          <w:rFonts w:cs="Cambria"/>
          <w:lang w:val="en-US"/>
        </w:rPr>
        <w:t xml:space="preserve">are estimated with an uncertainty of </w:t>
      </w:r>
      <w:r w:rsidR="00ED10CB">
        <w:rPr>
          <w:rFonts w:cs="Cambria"/>
          <w:lang w:val="en-US"/>
        </w:rPr>
        <w:t>8.</w:t>
      </w:r>
      <w:r w:rsidR="0033788F">
        <w:rPr>
          <w:rFonts w:cs="Cambria"/>
          <w:lang w:val="en-US"/>
        </w:rPr>
        <w:t>4</w:t>
      </w:r>
      <w:r w:rsidR="00ED10CB">
        <w:rPr>
          <w:rFonts w:cs="Cambria"/>
          <w:lang w:val="en-US"/>
        </w:rPr>
        <w:t>%</w:t>
      </w:r>
      <w:r w:rsidRPr="00F40BD6">
        <w:rPr>
          <w:rFonts w:cs="Cambria"/>
          <w:lang w:val="en-US"/>
        </w:rPr>
        <w:t xml:space="preserve">. </w:t>
      </w:r>
      <w:r w:rsidR="00C8031E">
        <w:rPr>
          <w:rFonts w:cs="Cambria"/>
          <w:lang w:val="en-US"/>
        </w:rPr>
        <w:t xml:space="preserve">In 2022, the sector contributing the most to the </w:t>
      </w:r>
      <w:r w:rsidR="000A7C84">
        <w:rPr>
          <w:rFonts w:cs="Cambria"/>
          <w:lang w:val="en-US"/>
        </w:rPr>
        <w:t xml:space="preserve">overall </w:t>
      </w:r>
      <w:r w:rsidR="005B5146">
        <w:rPr>
          <w:rFonts w:cs="Cambria"/>
          <w:lang w:val="en-US"/>
        </w:rPr>
        <w:t>inventory uncertainty including LULUCF is the CH</w:t>
      </w:r>
      <w:r w:rsidR="005B5146" w:rsidRPr="00622F40">
        <w:rPr>
          <w:rFonts w:cs="Cambria"/>
          <w:vertAlign w:val="subscript"/>
          <w:lang w:val="en-US"/>
        </w:rPr>
        <w:t>4</w:t>
      </w:r>
      <w:r w:rsidR="005B5146">
        <w:rPr>
          <w:rFonts w:cs="Cambria"/>
          <w:lang w:val="en-US"/>
        </w:rPr>
        <w:t xml:space="preserve"> emissions of the solid waste disposal (CRT 5A) with </w:t>
      </w:r>
      <w:r w:rsidR="00B5250D">
        <w:rPr>
          <w:rFonts w:cs="Cambria"/>
          <w:lang w:val="en-US"/>
        </w:rPr>
        <w:t>a combined uncertainty of 7.</w:t>
      </w:r>
      <w:r w:rsidR="00B277CC">
        <w:rPr>
          <w:rFonts w:cs="Cambria"/>
          <w:lang w:val="en-US"/>
        </w:rPr>
        <w:t>4</w:t>
      </w:r>
      <w:r w:rsidR="00B5250D">
        <w:rPr>
          <w:rFonts w:cs="Cambria"/>
          <w:lang w:val="en-US"/>
        </w:rPr>
        <w:t>%</w:t>
      </w:r>
      <w:r w:rsidR="00691466">
        <w:rPr>
          <w:rFonts w:cs="Cambria"/>
          <w:lang w:val="en-US"/>
        </w:rPr>
        <w:t xml:space="preserve"> of the national total</w:t>
      </w:r>
      <w:r w:rsidR="00B5250D">
        <w:rPr>
          <w:rFonts w:cs="Cambria"/>
          <w:lang w:val="en-US"/>
        </w:rPr>
        <w:t xml:space="preserve">. </w:t>
      </w:r>
      <w:r w:rsidR="00711F54">
        <w:rPr>
          <w:rFonts w:cs="Cambria"/>
          <w:lang w:val="en-US"/>
        </w:rPr>
        <w:t xml:space="preserve">The </w:t>
      </w:r>
      <w:r w:rsidR="000A7C84">
        <w:rPr>
          <w:rFonts w:cs="Cambria"/>
          <w:lang w:val="en-US"/>
        </w:rPr>
        <w:t xml:space="preserve">major emission source </w:t>
      </w:r>
      <w:r w:rsidR="00566AA9">
        <w:rPr>
          <w:rFonts w:cs="Cambria"/>
          <w:lang w:val="en-US"/>
        </w:rPr>
        <w:t>of the inventory, the CO</w:t>
      </w:r>
      <w:r w:rsidR="00566AA9" w:rsidRPr="00622F40">
        <w:rPr>
          <w:rFonts w:cs="Cambria"/>
          <w:vertAlign w:val="subscript"/>
          <w:lang w:val="en-US"/>
        </w:rPr>
        <w:t>2</w:t>
      </w:r>
      <w:r w:rsidR="00566AA9">
        <w:rPr>
          <w:rFonts w:cs="Cambria"/>
          <w:lang w:val="en-US"/>
        </w:rPr>
        <w:t xml:space="preserve"> emissions from the solid fuel combustion of </w:t>
      </w:r>
      <w:r w:rsidR="000A776B">
        <w:rPr>
          <w:rFonts w:cs="Cambria"/>
          <w:lang w:val="en-US"/>
        </w:rPr>
        <w:t>public electricity and heat production (CRT 1A1a)</w:t>
      </w:r>
      <w:r w:rsidR="00A03197">
        <w:rPr>
          <w:rFonts w:cs="Cambria"/>
          <w:lang w:val="en-US"/>
        </w:rPr>
        <w:t>,</w:t>
      </w:r>
      <w:r w:rsidR="000A776B">
        <w:rPr>
          <w:rFonts w:cs="Cambria"/>
          <w:lang w:val="en-US"/>
        </w:rPr>
        <w:t xml:space="preserve"> </w:t>
      </w:r>
      <w:r w:rsidR="00A03197">
        <w:rPr>
          <w:rFonts w:cs="Cambria"/>
          <w:lang w:val="en-US"/>
        </w:rPr>
        <w:t>has a</w:t>
      </w:r>
      <w:r w:rsidR="00691466">
        <w:rPr>
          <w:rFonts w:cs="Cambria"/>
          <w:lang w:val="en-US"/>
        </w:rPr>
        <w:t xml:space="preserve"> combined uncertainty of 1.</w:t>
      </w:r>
      <w:r w:rsidR="00C3064E">
        <w:rPr>
          <w:rFonts w:cs="Cambria"/>
          <w:lang w:val="en-US"/>
        </w:rPr>
        <w:t>5</w:t>
      </w:r>
      <w:r w:rsidR="00691466">
        <w:rPr>
          <w:rFonts w:cs="Cambria"/>
          <w:lang w:val="en-US"/>
        </w:rPr>
        <w:t xml:space="preserve">% </w:t>
      </w:r>
      <w:r w:rsidR="003F4053">
        <w:rPr>
          <w:rFonts w:cs="Cambria"/>
          <w:lang w:val="en-US"/>
        </w:rPr>
        <w:t>in</w:t>
      </w:r>
      <w:r w:rsidR="00691466">
        <w:rPr>
          <w:rFonts w:cs="Cambria"/>
          <w:lang w:val="en-US"/>
        </w:rPr>
        <w:t xml:space="preserve"> the national GHG total</w:t>
      </w:r>
      <w:r w:rsidR="00566AA9">
        <w:rPr>
          <w:rFonts w:cs="Cambria"/>
          <w:lang w:val="en-US"/>
        </w:rPr>
        <w:t>.</w:t>
      </w:r>
      <w:r w:rsidR="00654ABD">
        <w:rPr>
          <w:rFonts w:cs="Cambria"/>
          <w:lang w:val="en-US"/>
        </w:rPr>
        <w:t xml:space="preserve"> </w:t>
      </w:r>
      <w:r w:rsidR="008C6C03">
        <w:rPr>
          <w:rFonts w:cs="Cambria"/>
          <w:lang w:val="en-US"/>
        </w:rPr>
        <w:t xml:space="preserve">Another significant </w:t>
      </w:r>
      <w:r w:rsidR="00424618">
        <w:rPr>
          <w:rFonts w:cs="Cambria"/>
          <w:lang w:val="en-US"/>
        </w:rPr>
        <w:t>contributor to the overall emission inventory uncertainty in 2022 is the methane emissions of the enteric fermentation (CRT 3A)</w:t>
      </w:r>
      <w:r w:rsidR="000306B1">
        <w:rPr>
          <w:rFonts w:cs="Cambria"/>
          <w:lang w:val="en-US"/>
        </w:rPr>
        <w:t xml:space="preserve"> with an uncertainty of 1.</w:t>
      </w:r>
      <w:r w:rsidR="002F7C3D">
        <w:rPr>
          <w:rFonts w:cs="Cambria"/>
          <w:lang w:val="en-US"/>
        </w:rPr>
        <w:t>7</w:t>
      </w:r>
      <w:r w:rsidR="000306B1">
        <w:rPr>
          <w:rFonts w:cs="Cambria"/>
          <w:lang w:val="en-US"/>
        </w:rPr>
        <w:t>%.</w:t>
      </w:r>
      <w:r w:rsidR="00424618">
        <w:rPr>
          <w:rFonts w:cs="Cambria"/>
          <w:lang w:val="en-US"/>
        </w:rPr>
        <w:t xml:space="preserve"> </w:t>
      </w:r>
      <w:r w:rsidR="00654ABD">
        <w:rPr>
          <w:rFonts w:cs="Cambria"/>
          <w:lang w:val="en-US"/>
        </w:rPr>
        <w:t xml:space="preserve">The </w:t>
      </w:r>
      <w:r w:rsidR="0046670E">
        <w:rPr>
          <w:rFonts w:cs="Cambria"/>
          <w:lang w:val="en-US"/>
        </w:rPr>
        <w:t xml:space="preserve">uncertainty associated with the GHG emissions in the Republic of Serbia </w:t>
      </w:r>
      <w:r w:rsidR="008D0816">
        <w:rPr>
          <w:rFonts w:cs="Cambria"/>
          <w:lang w:val="en-US"/>
        </w:rPr>
        <w:t xml:space="preserve">excluding the LULUCF contribution </w:t>
      </w:r>
      <w:r w:rsidR="008E20BE">
        <w:rPr>
          <w:rFonts w:cs="Cambria"/>
          <w:lang w:val="en-US"/>
        </w:rPr>
        <w:t xml:space="preserve">is of </w:t>
      </w:r>
      <w:r w:rsidR="00B74BB7">
        <w:rPr>
          <w:rFonts w:cs="Cambria"/>
          <w:lang w:val="en-US"/>
        </w:rPr>
        <w:t>7.</w:t>
      </w:r>
      <w:r w:rsidR="007C7D0C">
        <w:rPr>
          <w:rFonts w:cs="Cambria"/>
          <w:lang w:val="en-US"/>
        </w:rPr>
        <w:t>6</w:t>
      </w:r>
      <w:r w:rsidR="008E20BE">
        <w:rPr>
          <w:rFonts w:cs="Cambria"/>
          <w:lang w:val="en-US"/>
        </w:rPr>
        <w:t xml:space="preserve">% in 2022, </w:t>
      </w:r>
      <w:r w:rsidR="00A2241D">
        <w:rPr>
          <w:rFonts w:cs="Cambria"/>
          <w:lang w:val="en-US"/>
        </w:rPr>
        <w:t>implying the national total</w:t>
      </w:r>
      <w:r w:rsidR="008E20BE">
        <w:rPr>
          <w:rFonts w:cs="Cambria"/>
          <w:lang w:val="en-US"/>
        </w:rPr>
        <w:t xml:space="preserve"> </w:t>
      </w:r>
      <w:r w:rsidR="00A2241D">
        <w:rPr>
          <w:rFonts w:cs="Cambria"/>
          <w:lang w:val="en-US"/>
        </w:rPr>
        <w:t xml:space="preserve">is of </w:t>
      </w:r>
      <w:r w:rsidR="008E20BE">
        <w:rPr>
          <w:rFonts w:cs="Cambria"/>
          <w:lang w:val="en-US"/>
        </w:rPr>
        <w:t>6</w:t>
      </w:r>
      <w:r w:rsidR="00081119">
        <w:rPr>
          <w:rFonts w:cs="Cambria"/>
          <w:lang w:val="en-US"/>
        </w:rPr>
        <w:t>2.6</w:t>
      </w:r>
      <w:r w:rsidR="008E20BE">
        <w:rPr>
          <w:rFonts w:cs="Cambria"/>
          <w:lang w:val="en-US"/>
        </w:rPr>
        <w:t xml:space="preserve"> </w:t>
      </w:r>
      <w:r w:rsidR="00A2485A" w:rsidRPr="00A2485A">
        <w:rPr>
          <w:rFonts w:cs="Cambria"/>
          <w:lang w:val="en-US"/>
        </w:rPr>
        <w:t>+/</w:t>
      </w:r>
      <w:r w:rsidR="00A2485A">
        <w:rPr>
          <w:rFonts w:cs="Cambria"/>
          <w:lang w:val="en-US"/>
        </w:rPr>
        <w:t xml:space="preserve">- </w:t>
      </w:r>
      <w:r w:rsidR="00A2241D">
        <w:rPr>
          <w:rFonts w:cs="Cambria"/>
          <w:lang w:val="en-US"/>
        </w:rPr>
        <w:t>4.</w:t>
      </w:r>
      <w:r w:rsidR="00081119">
        <w:rPr>
          <w:rFonts w:cs="Cambria"/>
          <w:lang w:val="en-US"/>
        </w:rPr>
        <w:t>8</w:t>
      </w:r>
      <w:r w:rsidR="00A2241D">
        <w:rPr>
          <w:rFonts w:cs="Cambria"/>
          <w:lang w:val="en-US"/>
        </w:rPr>
        <w:t xml:space="preserve"> Mt CO</w:t>
      </w:r>
      <w:r w:rsidR="00A2241D" w:rsidRPr="001F222D">
        <w:rPr>
          <w:rFonts w:cs="Cambria"/>
          <w:vertAlign w:val="subscript"/>
          <w:lang w:val="en-US"/>
        </w:rPr>
        <w:t>2</w:t>
      </w:r>
      <w:r w:rsidR="00A2241D">
        <w:rPr>
          <w:rFonts w:cs="Cambria"/>
          <w:lang w:val="en-US"/>
        </w:rPr>
        <w:t xml:space="preserve">e. </w:t>
      </w:r>
    </w:p>
    <w:p w14:paraId="23BF3877" w14:textId="77777777" w:rsidR="0083140D" w:rsidRDefault="0083140D" w:rsidP="00D315D6">
      <w:pPr>
        <w:autoSpaceDE w:val="0"/>
        <w:autoSpaceDN w:val="0"/>
        <w:adjustRightInd w:val="0"/>
        <w:spacing w:after="0" w:line="240" w:lineRule="auto"/>
        <w:rPr>
          <w:rFonts w:cs="Cambria"/>
          <w:lang w:val="en-US"/>
        </w:rPr>
      </w:pPr>
    </w:p>
    <w:p w14:paraId="6F6A7421" w14:textId="5187B871" w:rsidR="0083140D" w:rsidRDefault="00ED01DA" w:rsidP="00D315D6">
      <w:pPr>
        <w:autoSpaceDE w:val="0"/>
        <w:autoSpaceDN w:val="0"/>
        <w:adjustRightInd w:val="0"/>
        <w:spacing w:after="0" w:line="240" w:lineRule="auto"/>
        <w:rPr>
          <w:rFonts w:cs="Cambria"/>
          <w:lang w:val="en-US"/>
        </w:rPr>
      </w:pPr>
      <w:r>
        <w:rPr>
          <w:rFonts w:cs="Cambria"/>
          <w:lang w:val="en-US"/>
        </w:rPr>
        <w:t>For the reference year (1990), t</w:t>
      </w:r>
      <w:r w:rsidRPr="00F40BD6">
        <w:rPr>
          <w:rFonts w:cs="Cambria"/>
          <w:lang w:val="en-US"/>
        </w:rPr>
        <w:t>he total uncertainty level was 7.</w:t>
      </w:r>
      <w:r w:rsidR="004B6CF9">
        <w:rPr>
          <w:rFonts w:cs="Cambria"/>
          <w:lang w:val="en-US"/>
        </w:rPr>
        <w:t>6</w:t>
      </w:r>
      <w:r w:rsidRPr="00F40BD6">
        <w:rPr>
          <w:rFonts w:cs="Cambria"/>
          <w:lang w:val="en-US"/>
        </w:rPr>
        <w:t>% including LULUCF</w:t>
      </w:r>
      <w:r>
        <w:rPr>
          <w:rFonts w:cs="Cambria"/>
          <w:lang w:val="en-US"/>
        </w:rPr>
        <w:t xml:space="preserve"> and </w:t>
      </w:r>
      <w:r w:rsidR="00C265B4">
        <w:rPr>
          <w:rFonts w:cs="Cambria"/>
          <w:lang w:val="en-US"/>
        </w:rPr>
        <w:t>8.</w:t>
      </w:r>
      <w:r w:rsidR="004B6CF9">
        <w:rPr>
          <w:rFonts w:cs="Cambria"/>
          <w:lang w:val="en-US"/>
        </w:rPr>
        <w:t>8</w:t>
      </w:r>
      <w:r w:rsidR="00C265B4">
        <w:rPr>
          <w:rFonts w:cs="Cambria"/>
          <w:lang w:val="en-US"/>
        </w:rPr>
        <w:t>% excluding LULUCF contribution</w:t>
      </w:r>
      <w:r w:rsidRPr="00F40BD6">
        <w:rPr>
          <w:rFonts w:cs="Cambria"/>
          <w:lang w:val="en-US"/>
        </w:rPr>
        <w:t>.</w:t>
      </w:r>
      <w:r w:rsidR="00C265B4">
        <w:rPr>
          <w:rFonts w:cs="Cambria"/>
          <w:lang w:val="en-US"/>
        </w:rPr>
        <w:t xml:space="preserve"> </w:t>
      </w:r>
      <w:r w:rsidR="00595F87">
        <w:rPr>
          <w:rFonts w:cs="Cambria"/>
          <w:lang w:val="en-US"/>
        </w:rPr>
        <w:t>As for the latest inventory year, the biggest contributor to the overall uncertainty</w:t>
      </w:r>
      <w:r w:rsidR="00314D23">
        <w:rPr>
          <w:rFonts w:cs="Cambria"/>
          <w:lang w:val="en-US"/>
        </w:rPr>
        <w:t>, including LULUCF contribution,</w:t>
      </w:r>
      <w:r w:rsidR="007460A9">
        <w:rPr>
          <w:rFonts w:cs="Cambria"/>
          <w:lang w:val="en-US"/>
        </w:rPr>
        <w:t xml:space="preserve"> is the solid waste disposal (</w:t>
      </w:r>
      <w:r w:rsidR="00E06201">
        <w:rPr>
          <w:rFonts w:cs="Cambria"/>
          <w:lang w:val="en-US"/>
        </w:rPr>
        <w:t>CH</w:t>
      </w:r>
      <w:r w:rsidR="00E06201" w:rsidRPr="00622F40">
        <w:rPr>
          <w:rFonts w:cs="Cambria"/>
          <w:vertAlign w:val="subscript"/>
          <w:lang w:val="en-US"/>
        </w:rPr>
        <w:t>4</w:t>
      </w:r>
      <w:r w:rsidR="00E06201">
        <w:rPr>
          <w:rFonts w:cs="Cambria"/>
          <w:lang w:val="en-US"/>
        </w:rPr>
        <w:t xml:space="preserve">, </w:t>
      </w:r>
      <w:r w:rsidR="007460A9">
        <w:rPr>
          <w:rFonts w:cs="Cambria"/>
          <w:lang w:val="en-US"/>
        </w:rPr>
        <w:t>CRT 5A) with 6.7%, followed by the enteric fermentation (</w:t>
      </w:r>
      <w:r w:rsidR="00E06201">
        <w:rPr>
          <w:rFonts w:cs="Cambria"/>
          <w:lang w:val="en-US"/>
        </w:rPr>
        <w:t>CH</w:t>
      </w:r>
      <w:r w:rsidR="00E06201" w:rsidRPr="001F222D">
        <w:rPr>
          <w:rFonts w:cs="Cambria"/>
          <w:vertAlign w:val="subscript"/>
          <w:lang w:val="en-US"/>
        </w:rPr>
        <w:t>4</w:t>
      </w:r>
      <w:r w:rsidR="00E06201">
        <w:rPr>
          <w:rFonts w:cs="Cambria"/>
          <w:lang w:val="en-US"/>
        </w:rPr>
        <w:t xml:space="preserve">, </w:t>
      </w:r>
      <w:r w:rsidR="007460A9">
        <w:rPr>
          <w:rFonts w:cs="Cambria"/>
          <w:lang w:val="en-US"/>
        </w:rPr>
        <w:t>CRT 3A) with 2.3% and by the solid fuel combustion in public electricity and heat production (</w:t>
      </w:r>
      <w:r w:rsidR="00E06201">
        <w:rPr>
          <w:rFonts w:cs="Cambria"/>
          <w:lang w:val="en-US"/>
        </w:rPr>
        <w:t>CO</w:t>
      </w:r>
      <w:r w:rsidR="00E06201">
        <w:rPr>
          <w:rFonts w:cs="Cambria"/>
          <w:vertAlign w:val="subscript"/>
          <w:lang w:val="en-US"/>
        </w:rPr>
        <w:t>2</w:t>
      </w:r>
      <w:r w:rsidR="00E06201">
        <w:rPr>
          <w:rFonts w:cs="Cambria"/>
          <w:lang w:val="en-US"/>
        </w:rPr>
        <w:t xml:space="preserve">, </w:t>
      </w:r>
      <w:r w:rsidR="007460A9">
        <w:rPr>
          <w:rFonts w:cs="Cambria"/>
          <w:lang w:val="en-US"/>
        </w:rPr>
        <w:t xml:space="preserve">CRT 1A1a) with </w:t>
      </w:r>
      <w:r w:rsidR="00E06201">
        <w:rPr>
          <w:rFonts w:cs="Cambria"/>
          <w:lang w:val="en-US"/>
        </w:rPr>
        <w:t>1.</w:t>
      </w:r>
      <w:r w:rsidR="002668AD">
        <w:rPr>
          <w:rFonts w:cs="Cambria"/>
          <w:lang w:val="en-US"/>
        </w:rPr>
        <w:t>3</w:t>
      </w:r>
      <w:r w:rsidR="00D06D5C">
        <w:rPr>
          <w:rFonts w:cs="Cambria"/>
          <w:lang w:val="en-US"/>
        </w:rPr>
        <w:t>%</w:t>
      </w:r>
      <w:r w:rsidR="00381C7E">
        <w:rPr>
          <w:rFonts w:cs="Cambria"/>
          <w:lang w:val="en-US"/>
        </w:rPr>
        <w:t xml:space="preserve">, including LULUCF. </w:t>
      </w:r>
    </w:p>
    <w:p w14:paraId="3ED1CC5E" w14:textId="77777777" w:rsidR="001E575B" w:rsidRDefault="001E575B" w:rsidP="00D315D6">
      <w:pPr>
        <w:autoSpaceDE w:val="0"/>
        <w:autoSpaceDN w:val="0"/>
        <w:adjustRightInd w:val="0"/>
        <w:spacing w:after="0" w:line="240" w:lineRule="auto"/>
        <w:rPr>
          <w:rFonts w:cs="Cambria"/>
          <w:lang w:val="en-US"/>
        </w:rPr>
      </w:pPr>
    </w:p>
    <w:p w14:paraId="51312BFD" w14:textId="321EB055" w:rsidR="001E575B" w:rsidRDefault="001E575B" w:rsidP="00D315D6">
      <w:pPr>
        <w:autoSpaceDE w:val="0"/>
        <w:autoSpaceDN w:val="0"/>
        <w:adjustRightInd w:val="0"/>
        <w:spacing w:after="0" w:line="240" w:lineRule="auto"/>
        <w:rPr>
          <w:rFonts w:cs="Cambria"/>
          <w:lang w:val="en-US"/>
        </w:rPr>
      </w:pPr>
      <w:r>
        <w:rPr>
          <w:rFonts w:cs="Cambria"/>
          <w:lang w:val="en-US"/>
        </w:rPr>
        <w:t xml:space="preserve">In terms of trend of emissions between 1990 and 2022, the uncertainty </w:t>
      </w:r>
      <w:r w:rsidR="002E57EC">
        <w:rPr>
          <w:rFonts w:cs="Cambria"/>
          <w:lang w:val="en-US"/>
        </w:rPr>
        <w:t xml:space="preserve">for the national GHG emissions </w:t>
      </w:r>
      <w:r>
        <w:rPr>
          <w:rFonts w:cs="Cambria"/>
          <w:lang w:val="en-US"/>
        </w:rPr>
        <w:t xml:space="preserve">is </w:t>
      </w:r>
      <w:r w:rsidR="00D2204E">
        <w:rPr>
          <w:rFonts w:cs="Cambria"/>
          <w:lang w:val="en-US"/>
        </w:rPr>
        <w:t>1.</w:t>
      </w:r>
      <w:r w:rsidR="00C1205A">
        <w:rPr>
          <w:rFonts w:cs="Cambria"/>
          <w:lang w:val="en-US"/>
        </w:rPr>
        <w:t>7</w:t>
      </w:r>
      <w:r w:rsidR="00D2204E">
        <w:rPr>
          <w:rFonts w:cs="Cambria"/>
          <w:lang w:val="en-US"/>
        </w:rPr>
        <w:t>% including LULUCF contribution, and 1.</w:t>
      </w:r>
      <w:r w:rsidR="002574E8">
        <w:rPr>
          <w:rFonts w:cs="Cambria"/>
          <w:lang w:val="en-US"/>
        </w:rPr>
        <w:t>3</w:t>
      </w:r>
      <w:r w:rsidR="00D2204E">
        <w:rPr>
          <w:rFonts w:cs="Cambria"/>
          <w:lang w:val="en-US"/>
        </w:rPr>
        <w:t>% without it</w:t>
      </w:r>
      <w:r w:rsidR="00ED4E4A">
        <w:rPr>
          <w:rFonts w:cs="Cambria"/>
          <w:lang w:val="en-US"/>
        </w:rPr>
        <w:t>, and the CO</w:t>
      </w:r>
      <w:r w:rsidR="00ED4E4A" w:rsidRPr="00622F40">
        <w:rPr>
          <w:rFonts w:cs="Cambria"/>
          <w:vertAlign w:val="subscript"/>
          <w:lang w:val="en-US"/>
        </w:rPr>
        <w:t>2</w:t>
      </w:r>
      <w:r w:rsidR="00ED4E4A">
        <w:rPr>
          <w:rFonts w:cs="Cambria"/>
          <w:lang w:val="en-US"/>
        </w:rPr>
        <w:t xml:space="preserve"> from the metal industry (CRT 2C) and from the </w:t>
      </w:r>
      <w:r w:rsidR="00ED4E4A">
        <w:rPr>
          <w:rFonts w:cs="Cambria"/>
          <w:lang w:val="en-US"/>
        </w:rPr>
        <w:lastRenderedPageBreak/>
        <w:t xml:space="preserve">burning of liquid fuels in transport (1A3) are the main contributors, </w:t>
      </w:r>
      <w:r w:rsidR="002574E8">
        <w:rPr>
          <w:rFonts w:cs="Cambria"/>
          <w:lang w:val="en-US"/>
        </w:rPr>
        <w:t xml:space="preserve">with respectively </w:t>
      </w:r>
      <w:r w:rsidR="004C76ED">
        <w:rPr>
          <w:rFonts w:cs="Cambria"/>
          <w:lang w:val="en-US"/>
        </w:rPr>
        <w:t>0.</w:t>
      </w:r>
      <w:r w:rsidR="00CB33A2">
        <w:rPr>
          <w:rFonts w:cs="Cambria"/>
          <w:lang w:val="en-US"/>
        </w:rPr>
        <w:t>6</w:t>
      </w:r>
      <w:r w:rsidR="004C76ED">
        <w:rPr>
          <w:rFonts w:cs="Cambria"/>
          <w:lang w:val="en-US"/>
        </w:rPr>
        <w:t>% and 0.</w:t>
      </w:r>
      <w:r w:rsidR="00CB33A2">
        <w:rPr>
          <w:rFonts w:cs="Cambria"/>
          <w:lang w:val="en-US"/>
        </w:rPr>
        <w:t>8</w:t>
      </w:r>
      <w:r w:rsidR="004C76ED">
        <w:rPr>
          <w:rFonts w:cs="Cambria"/>
          <w:lang w:val="en-US"/>
        </w:rPr>
        <w:t>%</w:t>
      </w:r>
      <w:r w:rsidR="002574E8">
        <w:rPr>
          <w:rFonts w:cs="Cambria"/>
          <w:lang w:val="en-US"/>
        </w:rPr>
        <w:t xml:space="preserve">, </w:t>
      </w:r>
      <w:r w:rsidR="00ED4E4A">
        <w:rPr>
          <w:rFonts w:cs="Cambria"/>
          <w:lang w:val="en-US"/>
        </w:rPr>
        <w:t>due to their significant increase in emissions over the timeseries</w:t>
      </w:r>
      <w:r w:rsidR="00D2204E">
        <w:rPr>
          <w:rFonts w:cs="Cambria"/>
          <w:lang w:val="en-US"/>
        </w:rPr>
        <w:t xml:space="preserve">. </w:t>
      </w:r>
    </w:p>
    <w:p w14:paraId="7282A567" w14:textId="77777777" w:rsidR="00C048C4" w:rsidRDefault="00C048C4" w:rsidP="00D315D6">
      <w:pPr>
        <w:autoSpaceDE w:val="0"/>
        <w:autoSpaceDN w:val="0"/>
        <w:adjustRightInd w:val="0"/>
        <w:spacing w:after="0" w:line="240" w:lineRule="auto"/>
        <w:rPr>
          <w:rFonts w:cs="Cambria"/>
          <w:lang w:val="en-US"/>
        </w:rPr>
      </w:pPr>
    </w:p>
    <w:p w14:paraId="228B9A34" w14:textId="6FE83A46" w:rsidR="00C048C4" w:rsidRPr="00F40BD6" w:rsidRDefault="00C048C4" w:rsidP="00D315D6">
      <w:pPr>
        <w:autoSpaceDE w:val="0"/>
        <w:autoSpaceDN w:val="0"/>
        <w:adjustRightInd w:val="0"/>
        <w:spacing w:after="0" w:line="240" w:lineRule="auto"/>
        <w:rPr>
          <w:rFonts w:cs="Cambria"/>
          <w:lang w:val="en-US"/>
        </w:rPr>
      </w:pPr>
      <w:r>
        <w:rPr>
          <w:rFonts w:cs="Cambria"/>
          <w:lang w:val="en-US"/>
        </w:rPr>
        <w:t xml:space="preserve">When considering the LULUCF sectors, the most predominant one in terms of uncertainty level is the Forest lands (4A), both in terms of emission levels (1.8% in 2022) than in emission trend (0.9%). </w:t>
      </w:r>
      <w:r w:rsidR="00CA0C8A">
        <w:rPr>
          <w:rFonts w:cs="Cambria"/>
          <w:lang w:val="en-US"/>
        </w:rPr>
        <w:t>The other significant category among LULUCF is the harvested wood products (4G) with uncertainty contributions of 0.4% in emission level and 0.3% in emission trend, due to its important growth over the timeseries.</w:t>
      </w:r>
    </w:p>
    <w:p w14:paraId="2627429B" w14:textId="06BF35FC" w:rsidR="00614555" w:rsidRPr="009C1CF3" w:rsidRDefault="00614555" w:rsidP="009C1CF3">
      <w:pPr>
        <w:pStyle w:val="Heading2"/>
        <w:rPr>
          <w:rStyle w:val="Heading2Char"/>
          <w:b/>
        </w:rPr>
      </w:pPr>
      <w:bookmarkStart w:id="50" w:name="_Toc496101028"/>
      <w:bookmarkStart w:id="51" w:name="_Toc182327710"/>
      <w:bookmarkStart w:id="52" w:name="_Toc184808153"/>
      <w:r w:rsidRPr="009C1CF3">
        <w:rPr>
          <w:rStyle w:val="Heading2Char"/>
          <w:b/>
        </w:rPr>
        <w:t>General assessment of completeness</w:t>
      </w:r>
      <w:bookmarkEnd w:id="50"/>
      <w:r w:rsidR="00610E46" w:rsidRPr="009C1CF3">
        <w:rPr>
          <w:rStyle w:val="Heading2Char"/>
          <w:b/>
        </w:rPr>
        <w:t xml:space="preserve"> (MPGs para 30)</w:t>
      </w:r>
      <w:bookmarkEnd w:id="51"/>
      <w:bookmarkEnd w:id="52"/>
    </w:p>
    <w:p w14:paraId="1B50F3DA" w14:textId="5CFAF428" w:rsidR="0032287A" w:rsidRDefault="0032287A" w:rsidP="00622F40">
      <w:pPr>
        <w:pStyle w:val="Heading3"/>
        <w:rPr>
          <w:lang w:eastAsia="fr-FR"/>
        </w:rPr>
      </w:pPr>
      <w:bookmarkStart w:id="53" w:name="_Toc182327711"/>
      <w:bookmarkStart w:id="54" w:name="_Toc184808154"/>
      <w:r>
        <w:rPr>
          <w:lang w:eastAsia="fr-FR"/>
        </w:rPr>
        <w:t>Information on completeness</w:t>
      </w:r>
      <w:r w:rsidR="00610E46">
        <w:rPr>
          <w:lang w:eastAsia="fr-FR"/>
        </w:rPr>
        <w:t xml:space="preserve"> (MPGs para. 30)</w:t>
      </w:r>
      <w:bookmarkEnd w:id="53"/>
      <w:bookmarkEnd w:id="54"/>
    </w:p>
    <w:p w14:paraId="01E17A84" w14:textId="7556BB00" w:rsidR="008462C5" w:rsidRDefault="008462C5" w:rsidP="008462C5">
      <w:pPr>
        <w:autoSpaceDE w:val="0"/>
        <w:autoSpaceDN w:val="0"/>
        <w:adjustRightInd w:val="0"/>
        <w:spacing w:after="0" w:line="240" w:lineRule="auto"/>
        <w:jc w:val="left"/>
        <w:rPr>
          <w:i/>
          <w:iCs/>
          <w:sz w:val="24"/>
          <w:szCs w:val="24"/>
          <w:lang w:eastAsia="fr-FR"/>
        </w:rPr>
      </w:pPr>
      <w:r>
        <w:rPr>
          <w:i/>
          <w:iCs/>
          <w:sz w:val="24"/>
          <w:szCs w:val="24"/>
          <w:lang w:eastAsia="fr-FR"/>
        </w:rPr>
        <w:t>Temporal coverage</w:t>
      </w:r>
    </w:p>
    <w:p w14:paraId="4225C26A" w14:textId="77777777" w:rsidR="008462C5" w:rsidRPr="00AA045C" w:rsidRDefault="008462C5" w:rsidP="008462C5">
      <w:pPr>
        <w:autoSpaceDE w:val="0"/>
        <w:autoSpaceDN w:val="0"/>
        <w:adjustRightInd w:val="0"/>
        <w:spacing w:after="0" w:line="240" w:lineRule="auto"/>
        <w:jc w:val="left"/>
        <w:rPr>
          <w:i/>
          <w:iCs/>
          <w:sz w:val="24"/>
          <w:szCs w:val="24"/>
          <w:lang w:eastAsia="fr-FR"/>
        </w:rPr>
      </w:pPr>
    </w:p>
    <w:p w14:paraId="5D3E5F7C" w14:textId="77777777" w:rsidR="004B440B" w:rsidRDefault="004B440B" w:rsidP="004B440B">
      <w:pPr>
        <w:autoSpaceDE w:val="0"/>
        <w:autoSpaceDN w:val="0"/>
        <w:adjustRightInd w:val="0"/>
        <w:spacing w:after="0" w:line="240" w:lineRule="auto"/>
        <w:jc w:val="left"/>
        <w:rPr>
          <w:i/>
          <w:iCs/>
          <w:sz w:val="24"/>
          <w:szCs w:val="24"/>
          <w:lang w:eastAsia="fr-FR"/>
        </w:rPr>
      </w:pPr>
      <w:r>
        <w:rPr>
          <w:rFonts w:cs="Cambria"/>
          <w:lang w:val="en-US"/>
        </w:rPr>
        <w:t>The emission inventories reported in the UNFCCC framework in the present document cover the period 1990-2022, with a timestep of one year. The base year for all gases and categories is 2010. Since the NDC target is expressed, both compared to 2010 and 1990, the same approach also applies to 1990.</w:t>
      </w:r>
    </w:p>
    <w:p w14:paraId="7D83D9F2" w14:textId="77777777" w:rsidR="008462C5" w:rsidRDefault="008462C5" w:rsidP="00614555">
      <w:pPr>
        <w:autoSpaceDE w:val="0"/>
        <w:autoSpaceDN w:val="0"/>
        <w:adjustRightInd w:val="0"/>
        <w:spacing w:after="0" w:line="240" w:lineRule="auto"/>
        <w:jc w:val="left"/>
        <w:rPr>
          <w:i/>
          <w:iCs/>
          <w:sz w:val="24"/>
          <w:szCs w:val="24"/>
          <w:lang w:eastAsia="fr-FR"/>
        </w:rPr>
      </w:pPr>
    </w:p>
    <w:p w14:paraId="5E4445F1" w14:textId="7D59EA71" w:rsidR="00AA045C" w:rsidRDefault="00AA045C" w:rsidP="00614555">
      <w:pPr>
        <w:autoSpaceDE w:val="0"/>
        <w:autoSpaceDN w:val="0"/>
        <w:adjustRightInd w:val="0"/>
        <w:spacing w:after="0" w:line="240" w:lineRule="auto"/>
        <w:jc w:val="left"/>
        <w:rPr>
          <w:i/>
          <w:iCs/>
          <w:sz w:val="24"/>
          <w:szCs w:val="24"/>
          <w:lang w:eastAsia="fr-FR"/>
        </w:rPr>
      </w:pPr>
      <w:r w:rsidRPr="00AA045C">
        <w:rPr>
          <w:i/>
          <w:iCs/>
          <w:sz w:val="24"/>
          <w:szCs w:val="24"/>
          <w:lang w:eastAsia="fr-FR"/>
        </w:rPr>
        <w:t>Geographical scope</w:t>
      </w:r>
    </w:p>
    <w:p w14:paraId="132500DD" w14:textId="77777777" w:rsidR="00F506D2" w:rsidRPr="00AA045C" w:rsidRDefault="00F506D2" w:rsidP="00614555">
      <w:pPr>
        <w:autoSpaceDE w:val="0"/>
        <w:autoSpaceDN w:val="0"/>
        <w:adjustRightInd w:val="0"/>
        <w:spacing w:after="0" w:line="240" w:lineRule="auto"/>
        <w:jc w:val="left"/>
        <w:rPr>
          <w:i/>
          <w:iCs/>
          <w:sz w:val="24"/>
          <w:szCs w:val="24"/>
          <w:lang w:eastAsia="fr-FR"/>
        </w:rPr>
      </w:pPr>
    </w:p>
    <w:p w14:paraId="39FC59BF" w14:textId="7B52B727" w:rsidR="00AA045C" w:rsidRDefault="00120A34" w:rsidP="00E02C1C">
      <w:pPr>
        <w:autoSpaceDE w:val="0"/>
        <w:autoSpaceDN w:val="0"/>
        <w:adjustRightInd w:val="0"/>
        <w:spacing w:after="0" w:line="240" w:lineRule="auto"/>
        <w:rPr>
          <w:rFonts w:cs="Cambria"/>
          <w:lang w:val="en-US"/>
        </w:rPr>
      </w:pPr>
      <w:r>
        <w:t xml:space="preserve">Administratively and territorially </w:t>
      </w:r>
      <w:r w:rsidR="00AA045C" w:rsidRPr="00622F40">
        <w:t xml:space="preserve">the Republic of Serbia </w:t>
      </w:r>
      <w:r>
        <w:t xml:space="preserve">is divided into provinces, regions and administrative districts. It consists of two autonomous provinces: </w:t>
      </w:r>
      <w:r w:rsidR="00AA045C" w:rsidRPr="00622F40">
        <w:t>the Autonomous Province of Vojvodina</w:t>
      </w:r>
      <w:r w:rsidR="00F71B55">
        <w:t xml:space="preserve"> </w:t>
      </w:r>
      <w:r w:rsidR="00F71B55" w:rsidRPr="00CF0211">
        <w:t>(21,614 km</w:t>
      </w:r>
      <w:r w:rsidR="00F71B55">
        <w:t>²</w:t>
      </w:r>
      <w:r w:rsidR="00F71B55" w:rsidRPr="00CF0211">
        <w:t>)</w:t>
      </w:r>
      <w:r w:rsidR="00F71B55">
        <w:t>,</w:t>
      </w:r>
      <w:r w:rsidR="00F71B55" w:rsidRPr="00CF0211">
        <w:t xml:space="preserve"> in the north</w:t>
      </w:r>
      <w:r w:rsidR="00F71B55">
        <w:t>,</w:t>
      </w:r>
      <w:r w:rsidR="00F71B55" w:rsidRPr="00CF0211">
        <w:t xml:space="preserve"> </w:t>
      </w:r>
      <w:r w:rsidR="00AA045C" w:rsidRPr="00622F40">
        <w:t xml:space="preserve">and the Autonomous Province of Kosovo and Metohija </w:t>
      </w:r>
      <w:r w:rsidR="00F71B55" w:rsidRPr="00CF0211">
        <w:t>(10,910 km</w:t>
      </w:r>
      <w:r w:rsidR="00F71B55">
        <w:t>²</w:t>
      </w:r>
      <w:r w:rsidR="00F71B55" w:rsidRPr="00CF0211">
        <w:t>)</w:t>
      </w:r>
      <w:r w:rsidR="00F71B55">
        <w:t xml:space="preserve"> in the south.</w:t>
      </w:r>
      <w:r w:rsidR="00AA045C" w:rsidRPr="00622F40">
        <w:t xml:space="preserve"> According to the international standard NUTS</w:t>
      </w:r>
      <w:r w:rsidR="00E02C1C" w:rsidRPr="00622F40">
        <w:t xml:space="preserve"> </w:t>
      </w:r>
      <w:r w:rsidR="00AA045C" w:rsidRPr="00622F40">
        <w:t>(Nomenclature of Territorial Units for Statistics), Serbia is divided into two parts – the North (Vojvodina and</w:t>
      </w:r>
      <w:r w:rsidR="00E02C1C" w:rsidRPr="00622F40">
        <w:t xml:space="preserve"> </w:t>
      </w:r>
      <w:r w:rsidR="00AA045C" w:rsidRPr="00622F40">
        <w:t>Belgrade) and the South (the rest of the country). The country is further divided into five statistical regions:</w:t>
      </w:r>
      <w:r w:rsidR="00E02C1C" w:rsidRPr="00622F40">
        <w:t xml:space="preserve"> </w:t>
      </w:r>
      <w:r w:rsidR="00AA045C" w:rsidRPr="00622F40">
        <w:t xml:space="preserve">Vojvodina, Belgrade, </w:t>
      </w:r>
      <w:proofErr w:type="spellStart"/>
      <w:r w:rsidR="00AA045C" w:rsidRPr="00622F40">
        <w:t>Šumadija</w:t>
      </w:r>
      <w:proofErr w:type="spellEnd"/>
      <w:r w:rsidR="00AA045C" w:rsidRPr="00622F40">
        <w:t xml:space="preserve"> and Western Serbia, Southern and Eastern Serbia, and Kosovo and Metohija.</w:t>
      </w:r>
      <w:r w:rsidR="00E02C1C" w:rsidRPr="00622F40">
        <w:t xml:space="preserve"> </w:t>
      </w:r>
      <w:r w:rsidR="00AA045C" w:rsidRPr="00622F40">
        <w:t>The territory of the Republic of Serbia includes 30 admi</w:t>
      </w:r>
      <w:r w:rsidR="00E02C1C" w:rsidRPr="00622F40">
        <w:t>nistrative districts, 24 cities</w:t>
      </w:r>
      <w:r w:rsidR="00AA045C" w:rsidRPr="00622F40">
        <w:t>, 28 city municipalities</w:t>
      </w:r>
      <w:r w:rsidR="00E02C1C" w:rsidRPr="00622F40">
        <w:t xml:space="preserve"> </w:t>
      </w:r>
      <w:r w:rsidR="00AA045C" w:rsidRPr="00622F40">
        <w:t>and 150 municipalities. The city of Belgrade, as the capital, has a special status as regulated by law and the</w:t>
      </w:r>
      <w:r w:rsidR="00E02C1C" w:rsidRPr="00622F40">
        <w:t xml:space="preserve"> </w:t>
      </w:r>
      <w:r w:rsidR="00AA045C" w:rsidRPr="00622F40">
        <w:t>statute of the capital city of Belgrade. The Republic of Serbia has 6,158 settlements, of which 193 are urban</w:t>
      </w:r>
      <w:r w:rsidR="00E02C1C" w:rsidRPr="00622F40">
        <w:t xml:space="preserve"> </w:t>
      </w:r>
      <w:r w:rsidR="00AA045C" w:rsidRPr="00622F40">
        <w:t>settlements</w:t>
      </w:r>
      <w:r w:rsidR="00AA045C" w:rsidRPr="00AA045C">
        <w:rPr>
          <w:rFonts w:cs="Cambria"/>
          <w:lang w:val="en-US"/>
        </w:rPr>
        <w:t>.</w:t>
      </w:r>
    </w:p>
    <w:p w14:paraId="26C51550" w14:textId="77777777" w:rsidR="00AA045C" w:rsidRPr="00AA045C" w:rsidRDefault="00AA045C" w:rsidP="00AA045C">
      <w:pPr>
        <w:autoSpaceDE w:val="0"/>
        <w:autoSpaceDN w:val="0"/>
        <w:adjustRightInd w:val="0"/>
        <w:spacing w:after="0" w:line="240" w:lineRule="auto"/>
        <w:jc w:val="left"/>
        <w:rPr>
          <w:rFonts w:cs="Cambria"/>
        </w:rPr>
      </w:pPr>
    </w:p>
    <w:p w14:paraId="3031F74F" w14:textId="0C82CBAC" w:rsidR="00AA045C" w:rsidRPr="00AA045C" w:rsidRDefault="00AA045C" w:rsidP="00614555">
      <w:pPr>
        <w:autoSpaceDE w:val="0"/>
        <w:autoSpaceDN w:val="0"/>
        <w:adjustRightInd w:val="0"/>
        <w:spacing w:after="0" w:line="240" w:lineRule="auto"/>
        <w:jc w:val="left"/>
        <w:rPr>
          <w:i/>
          <w:iCs/>
          <w:sz w:val="24"/>
          <w:szCs w:val="24"/>
          <w:lang w:eastAsia="fr-FR"/>
        </w:rPr>
      </w:pPr>
      <w:r w:rsidRPr="00622F40">
        <w:rPr>
          <w:i/>
          <w:iCs/>
          <w:sz w:val="24"/>
          <w:szCs w:val="24"/>
          <w:lang w:eastAsia="fr-FR"/>
        </w:rPr>
        <w:t>Categories included elsewhere (IE)</w:t>
      </w:r>
    </w:p>
    <w:p w14:paraId="008434FA" w14:textId="77777777" w:rsidR="00AA1318" w:rsidRDefault="00AA1318" w:rsidP="00FF1F04">
      <w:pPr>
        <w:autoSpaceDE w:val="0"/>
        <w:autoSpaceDN w:val="0"/>
        <w:adjustRightInd w:val="0"/>
        <w:spacing w:after="0" w:line="240" w:lineRule="auto"/>
        <w:rPr>
          <w:iCs/>
          <w:color w:val="FF0000"/>
          <w:szCs w:val="20"/>
          <w:lang w:eastAsia="fr-FR"/>
        </w:rPr>
      </w:pPr>
      <w:bookmarkStart w:id="55" w:name="_Toc496101029"/>
    </w:p>
    <w:p w14:paraId="14379FEA" w14:textId="28698FD4" w:rsidR="00AA1318" w:rsidRPr="00622F40" w:rsidRDefault="00981895" w:rsidP="00FF1F04">
      <w:pPr>
        <w:autoSpaceDE w:val="0"/>
        <w:autoSpaceDN w:val="0"/>
        <w:adjustRightInd w:val="0"/>
        <w:spacing w:after="0" w:line="240" w:lineRule="auto"/>
        <w:rPr>
          <w:iCs/>
          <w:szCs w:val="20"/>
          <w:lang w:eastAsia="fr-FR"/>
        </w:rPr>
      </w:pPr>
      <w:r w:rsidRPr="00622F40">
        <w:rPr>
          <w:iCs/>
          <w:szCs w:val="20"/>
          <w:lang w:eastAsia="fr-FR"/>
        </w:rPr>
        <w:t xml:space="preserve">Several emission sources are included within the emission estimations of other categories by lack of detail to separate the activity data between </w:t>
      </w:r>
    </w:p>
    <w:p w14:paraId="3BD2B683" w14:textId="5BE20B35" w:rsidR="00F71B55" w:rsidRPr="00F71B55" w:rsidRDefault="00F71B55" w:rsidP="00F71B55">
      <w:pPr>
        <w:pStyle w:val="ListParagraph"/>
        <w:numPr>
          <w:ilvl w:val="0"/>
          <w:numId w:val="64"/>
        </w:numPr>
        <w:autoSpaceDE w:val="0"/>
        <w:autoSpaceDN w:val="0"/>
        <w:adjustRightInd w:val="0"/>
        <w:spacing w:after="0" w:line="240" w:lineRule="auto"/>
        <w:rPr>
          <w:iCs/>
          <w:szCs w:val="20"/>
          <w:lang w:eastAsia="fr-FR"/>
        </w:rPr>
      </w:pPr>
      <w:r w:rsidRPr="00F71B55">
        <w:rPr>
          <w:iCs/>
          <w:szCs w:val="20"/>
          <w:lang w:eastAsia="fr-FR"/>
        </w:rPr>
        <w:t>CRT 1A3a – Domestic aviation (included in international aviation 1D1a)</w:t>
      </w:r>
    </w:p>
    <w:p w14:paraId="2B6666F5" w14:textId="1D9D6FB2" w:rsidR="00981895" w:rsidRPr="00622F40" w:rsidRDefault="00981895" w:rsidP="00AA1318">
      <w:pPr>
        <w:pStyle w:val="ListParagraph"/>
        <w:numPr>
          <w:ilvl w:val="0"/>
          <w:numId w:val="64"/>
        </w:numPr>
        <w:autoSpaceDE w:val="0"/>
        <w:autoSpaceDN w:val="0"/>
        <w:adjustRightInd w:val="0"/>
        <w:spacing w:after="0" w:line="240" w:lineRule="auto"/>
        <w:rPr>
          <w:iCs/>
          <w:szCs w:val="20"/>
          <w:lang w:eastAsia="fr-FR"/>
        </w:rPr>
      </w:pPr>
      <w:r w:rsidRPr="00622F40">
        <w:rPr>
          <w:iCs/>
          <w:szCs w:val="20"/>
          <w:lang w:eastAsia="fr-FR"/>
        </w:rPr>
        <w:t>CRT 1A4aii – Mobile combustion in commercial/institutional activities (included in 1A4ai)</w:t>
      </w:r>
    </w:p>
    <w:p w14:paraId="465EE889" w14:textId="14B1886C" w:rsidR="00981895" w:rsidRPr="00622F40" w:rsidRDefault="00981895" w:rsidP="00AA1318">
      <w:pPr>
        <w:pStyle w:val="ListParagraph"/>
        <w:numPr>
          <w:ilvl w:val="0"/>
          <w:numId w:val="64"/>
        </w:numPr>
        <w:autoSpaceDE w:val="0"/>
        <w:autoSpaceDN w:val="0"/>
        <w:adjustRightInd w:val="0"/>
        <w:spacing w:after="0" w:line="240" w:lineRule="auto"/>
        <w:rPr>
          <w:iCs/>
          <w:szCs w:val="20"/>
          <w:lang w:eastAsia="fr-FR"/>
        </w:rPr>
      </w:pPr>
      <w:r w:rsidRPr="00622F40">
        <w:rPr>
          <w:iCs/>
          <w:szCs w:val="20"/>
          <w:lang w:eastAsia="fr-FR"/>
        </w:rPr>
        <w:t xml:space="preserve">CRT 1A4bii – Mobile combustion in </w:t>
      </w:r>
      <w:r w:rsidR="008B5FF7" w:rsidRPr="00622F40">
        <w:rPr>
          <w:iCs/>
          <w:szCs w:val="20"/>
          <w:lang w:eastAsia="fr-FR"/>
        </w:rPr>
        <w:t>residential</w:t>
      </w:r>
      <w:r w:rsidRPr="00622F40">
        <w:rPr>
          <w:iCs/>
          <w:szCs w:val="20"/>
          <w:lang w:eastAsia="fr-FR"/>
        </w:rPr>
        <w:t xml:space="preserve"> activities (included in 1A4</w:t>
      </w:r>
      <w:r w:rsidR="008B5FF7" w:rsidRPr="00622F40">
        <w:rPr>
          <w:iCs/>
          <w:szCs w:val="20"/>
          <w:lang w:eastAsia="fr-FR"/>
        </w:rPr>
        <w:t>b</w:t>
      </w:r>
      <w:r w:rsidRPr="00622F40">
        <w:rPr>
          <w:iCs/>
          <w:szCs w:val="20"/>
          <w:lang w:eastAsia="fr-FR"/>
        </w:rPr>
        <w:t>i)</w:t>
      </w:r>
    </w:p>
    <w:p w14:paraId="05E95675" w14:textId="287AFA79" w:rsidR="00A75D44" w:rsidRPr="00622F40" w:rsidRDefault="00981895" w:rsidP="00AA1318">
      <w:pPr>
        <w:pStyle w:val="ListParagraph"/>
        <w:numPr>
          <w:ilvl w:val="0"/>
          <w:numId w:val="64"/>
        </w:numPr>
        <w:autoSpaceDE w:val="0"/>
        <w:autoSpaceDN w:val="0"/>
        <w:adjustRightInd w:val="0"/>
        <w:spacing w:after="0" w:line="240" w:lineRule="auto"/>
        <w:rPr>
          <w:iCs/>
          <w:szCs w:val="20"/>
          <w:lang w:eastAsia="fr-FR"/>
        </w:rPr>
      </w:pPr>
      <w:r w:rsidRPr="00622F40">
        <w:rPr>
          <w:iCs/>
          <w:szCs w:val="20"/>
          <w:lang w:eastAsia="fr-FR"/>
        </w:rPr>
        <w:t xml:space="preserve">CRT </w:t>
      </w:r>
      <w:r w:rsidR="00AA1318" w:rsidRPr="00622F40">
        <w:rPr>
          <w:iCs/>
          <w:szCs w:val="20"/>
          <w:lang w:eastAsia="fr-FR"/>
        </w:rPr>
        <w:t>1A4ciii</w:t>
      </w:r>
      <w:r w:rsidRPr="00622F40">
        <w:rPr>
          <w:iCs/>
          <w:szCs w:val="20"/>
          <w:lang w:eastAsia="fr-FR"/>
        </w:rPr>
        <w:t xml:space="preserve"> – Fishing (included in 1A4ci</w:t>
      </w:r>
      <w:r w:rsidR="008B5FF7" w:rsidRPr="00622F40">
        <w:rPr>
          <w:iCs/>
          <w:szCs w:val="20"/>
          <w:lang w:eastAsia="fr-FR"/>
        </w:rPr>
        <w:t xml:space="preserve"> and 1A4cii</w:t>
      </w:r>
      <w:r w:rsidRPr="00622F40">
        <w:rPr>
          <w:iCs/>
          <w:szCs w:val="20"/>
          <w:lang w:eastAsia="fr-FR"/>
        </w:rPr>
        <w:t>)</w:t>
      </w:r>
    </w:p>
    <w:p w14:paraId="6CCC9075" w14:textId="085C096D" w:rsidR="00AA1318" w:rsidRPr="00BB2428" w:rsidRDefault="008B5FF7" w:rsidP="00622F40">
      <w:pPr>
        <w:pStyle w:val="ListParagraph"/>
        <w:numPr>
          <w:ilvl w:val="0"/>
          <w:numId w:val="64"/>
        </w:numPr>
        <w:autoSpaceDE w:val="0"/>
        <w:autoSpaceDN w:val="0"/>
        <w:adjustRightInd w:val="0"/>
        <w:spacing w:after="0" w:line="240" w:lineRule="auto"/>
        <w:rPr>
          <w:iCs/>
          <w:szCs w:val="20"/>
          <w:lang w:eastAsia="fr-FR"/>
        </w:rPr>
      </w:pPr>
      <w:r w:rsidRPr="00622F40">
        <w:rPr>
          <w:iCs/>
          <w:szCs w:val="20"/>
          <w:lang w:eastAsia="fr-FR"/>
        </w:rPr>
        <w:t xml:space="preserve">CRT </w:t>
      </w:r>
      <w:r w:rsidR="00AA1318" w:rsidRPr="00622F40">
        <w:rPr>
          <w:iCs/>
          <w:szCs w:val="20"/>
          <w:lang w:eastAsia="fr-FR"/>
        </w:rPr>
        <w:t>4D2.2</w:t>
      </w:r>
      <w:r w:rsidRPr="00622F40">
        <w:rPr>
          <w:iCs/>
          <w:szCs w:val="20"/>
          <w:lang w:eastAsia="fr-FR"/>
        </w:rPr>
        <w:t xml:space="preserve"> </w:t>
      </w:r>
      <w:r w:rsidR="004C408D" w:rsidRPr="00622F40">
        <w:rPr>
          <w:iCs/>
          <w:szCs w:val="20"/>
          <w:lang w:eastAsia="fr-FR"/>
        </w:rPr>
        <w:t>–</w:t>
      </w:r>
      <w:r w:rsidRPr="00622F40">
        <w:rPr>
          <w:iCs/>
          <w:szCs w:val="20"/>
          <w:lang w:eastAsia="fr-FR"/>
        </w:rPr>
        <w:t xml:space="preserve"> </w:t>
      </w:r>
      <w:r w:rsidR="007E1BC9" w:rsidRPr="00622F40">
        <w:rPr>
          <w:iCs/>
          <w:szCs w:val="20"/>
          <w:lang w:eastAsia="fr-FR"/>
        </w:rPr>
        <w:t>Lan</w:t>
      </w:r>
      <w:r w:rsidR="004C408D" w:rsidRPr="00622F40">
        <w:rPr>
          <w:iCs/>
          <w:szCs w:val="20"/>
          <w:lang w:eastAsia="fr-FR"/>
        </w:rPr>
        <w:t xml:space="preserve">ds converted to Wetlands </w:t>
      </w:r>
    </w:p>
    <w:p w14:paraId="757F51B5" w14:textId="423D0170" w:rsidR="00A50616" w:rsidRDefault="00A50616" w:rsidP="00A50616">
      <w:pPr>
        <w:pStyle w:val="Heading3"/>
        <w:rPr>
          <w:lang w:eastAsia="fr-FR"/>
        </w:rPr>
      </w:pPr>
      <w:bookmarkStart w:id="56" w:name="_Toc182327712"/>
      <w:bookmarkStart w:id="57" w:name="_Toc184808155"/>
      <w:r>
        <w:rPr>
          <w:lang w:eastAsia="fr-FR"/>
        </w:rPr>
        <w:t>Description of insignificant categories (MPGs para. 32)</w:t>
      </w:r>
      <w:bookmarkEnd w:id="56"/>
      <w:bookmarkEnd w:id="57"/>
    </w:p>
    <w:p w14:paraId="34DCC08D" w14:textId="36366A64" w:rsidR="00D4391C" w:rsidRDefault="003F5224" w:rsidP="00622F40">
      <w:pPr>
        <w:autoSpaceDE w:val="0"/>
        <w:autoSpaceDN w:val="0"/>
        <w:adjustRightInd w:val="0"/>
        <w:spacing w:after="0" w:line="240" w:lineRule="auto"/>
        <w:rPr>
          <w:rFonts w:cs="Cambria"/>
        </w:rPr>
      </w:pPr>
      <w:r w:rsidRPr="003F5224">
        <w:rPr>
          <w:rFonts w:cs="Cambria"/>
        </w:rPr>
        <w:t xml:space="preserve">The revised UNFCCC Reporting Guidelines on Annual Inventories as adopted by the COP by its Decision 24/CP.19 specifies that a Party may consider that a disproportionate amount of effort would be required to collect data for a gas from a specific category that would be insignificant in terms of the overall level and trend in national emissions and in such cases use the notation key NE. The Party should in the </w:t>
      </w:r>
      <w:r w:rsidR="000F6001">
        <w:rPr>
          <w:rFonts w:cs="Cambria"/>
        </w:rPr>
        <w:t>NID</w:t>
      </w:r>
      <w:r w:rsidRPr="003F5224">
        <w:rPr>
          <w:rFonts w:cs="Cambria"/>
        </w:rPr>
        <w:t xml:space="preserve"> provide justifications for exclusion in terms of the likely level of emissions. An emission should only be considered insignificant if the likely level of emissions is below 0.05% of the national total GHG emissions (specified in a footnote to total GHG emissions without LULUCF for the latest reported inventory year) and does not exceed 500 kt CO2 equivalents. </w:t>
      </w:r>
      <w:r w:rsidRPr="003F5224">
        <w:rPr>
          <w:rFonts w:cs="Cambria"/>
        </w:rPr>
        <w:lastRenderedPageBreak/>
        <w:t>The total national aggregate of estimated emissions for all gases and categories considered insignificant shall remain below 0.1% of the national total GHG emissions.</w:t>
      </w:r>
    </w:p>
    <w:p w14:paraId="6FE6A9A5" w14:textId="1C0ABE01" w:rsidR="00EB29EE" w:rsidRDefault="00EB29EE" w:rsidP="00EB29EE">
      <w:pPr>
        <w:autoSpaceDE w:val="0"/>
        <w:autoSpaceDN w:val="0"/>
        <w:adjustRightInd w:val="0"/>
        <w:spacing w:after="0" w:line="240" w:lineRule="auto"/>
        <w:rPr>
          <w:rFonts w:cs="Cambria"/>
        </w:rPr>
      </w:pPr>
      <w:r>
        <w:rPr>
          <w:rFonts w:cs="Cambria"/>
        </w:rPr>
        <w:t xml:space="preserve">According to paragraph 32 of the Decision 18/CMA.1 </w:t>
      </w:r>
      <w:r w:rsidRPr="00EB29EE">
        <w:rPr>
          <w:rFonts w:cs="Cambria"/>
        </w:rPr>
        <w:t>Parties should use</w:t>
      </w:r>
      <w:r>
        <w:rPr>
          <w:rFonts w:cs="Cambria"/>
        </w:rPr>
        <w:t xml:space="preserve"> </w:t>
      </w:r>
      <w:r w:rsidRPr="00EB29EE">
        <w:rPr>
          <w:rFonts w:cs="Cambria"/>
        </w:rPr>
        <w:t>approximated activity data and default IPCC emission factors to derive a likely level of</w:t>
      </w:r>
      <w:r>
        <w:rPr>
          <w:rFonts w:cs="Cambria"/>
        </w:rPr>
        <w:t xml:space="preserve"> </w:t>
      </w:r>
      <w:r w:rsidRPr="00EB29EE">
        <w:rPr>
          <w:rFonts w:cs="Cambria"/>
        </w:rPr>
        <w:t>emissions for the respective category. Those developing country Parties that need flexibility</w:t>
      </w:r>
      <w:r>
        <w:rPr>
          <w:rFonts w:cs="Cambria"/>
        </w:rPr>
        <w:t xml:space="preserve"> </w:t>
      </w:r>
      <w:r w:rsidRPr="00EB29EE">
        <w:rPr>
          <w:rFonts w:cs="Cambria"/>
        </w:rPr>
        <w:t>in the light of their capacities with respect to this provision have the flexibility to instead</w:t>
      </w:r>
      <w:r>
        <w:rPr>
          <w:rFonts w:cs="Cambria"/>
        </w:rPr>
        <w:t xml:space="preserve"> </w:t>
      </w:r>
      <w:r w:rsidRPr="00EB29EE">
        <w:rPr>
          <w:rFonts w:cs="Cambria"/>
        </w:rPr>
        <w:t>consider emissions insignificant if the likely level of emissions is below 0.1 per cent of the</w:t>
      </w:r>
      <w:r>
        <w:rPr>
          <w:rFonts w:cs="Cambria"/>
        </w:rPr>
        <w:t xml:space="preserve"> </w:t>
      </w:r>
      <w:r w:rsidRPr="00EB29EE">
        <w:rPr>
          <w:rFonts w:cs="Cambria"/>
        </w:rPr>
        <w:t xml:space="preserve">national total GHG emissions, excluding LULUCF, or 1,000 kt CO2 </w:t>
      </w:r>
      <w:proofErr w:type="spellStart"/>
      <w:r w:rsidRPr="00EB29EE">
        <w:rPr>
          <w:rFonts w:cs="Cambria"/>
        </w:rPr>
        <w:t>eq</w:t>
      </w:r>
      <w:proofErr w:type="spellEnd"/>
      <w:r w:rsidRPr="00EB29EE">
        <w:rPr>
          <w:rFonts w:cs="Cambria"/>
        </w:rPr>
        <w:t>, whichever is lower.</w:t>
      </w:r>
      <w:r>
        <w:rPr>
          <w:rFonts w:cs="Cambria"/>
        </w:rPr>
        <w:t xml:space="preserve"> </w:t>
      </w:r>
      <w:r w:rsidRPr="00EB29EE">
        <w:rPr>
          <w:rFonts w:cs="Cambria"/>
        </w:rPr>
        <w:t>The total national aggregate of estimated emissions for all gases from categories considered insignificant, in this case, shall remain below 0.2 per cent of the national total GHG emissions, excluding LULUCF</w:t>
      </w:r>
      <w:r>
        <w:rPr>
          <w:rFonts w:cs="Cambria"/>
        </w:rPr>
        <w:t>.</w:t>
      </w:r>
    </w:p>
    <w:p w14:paraId="100A3B82" w14:textId="77777777" w:rsidR="00EB29EE" w:rsidRPr="00F506D2" w:rsidRDefault="00EB29EE" w:rsidP="00D4391C">
      <w:pPr>
        <w:autoSpaceDE w:val="0"/>
        <w:autoSpaceDN w:val="0"/>
        <w:adjustRightInd w:val="0"/>
        <w:spacing w:after="0" w:line="240" w:lineRule="auto"/>
        <w:jc w:val="left"/>
        <w:rPr>
          <w:rFonts w:cs="Cambria"/>
        </w:rPr>
      </w:pPr>
    </w:p>
    <w:p w14:paraId="13D3B54C" w14:textId="6D1C5758" w:rsidR="00D4391C" w:rsidRPr="00FE06EC" w:rsidRDefault="00D4391C" w:rsidP="00D4391C">
      <w:pPr>
        <w:autoSpaceDE w:val="0"/>
        <w:autoSpaceDN w:val="0"/>
        <w:adjustRightInd w:val="0"/>
        <w:spacing w:after="0" w:line="240" w:lineRule="auto"/>
        <w:jc w:val="left"/>
        <w:rPr>
          <w:iCs/>
          <w:szCs w:val="24"/>
          <w:lang w:eastAsia="fr-FR"/>
        </w:rPr>
      </w:pPr>
      <w:r w:rsidRPr="00FE06EC">
        <w:rPr>
          <w:iCs/>
          <w:szCs w:val="24"/>
          <w:lang w:eastAsia="fr-FR"/>
        </w:rPr>
        <w:t>In the scope of this submission, several activities remained not estimated (NE)</w:t>
      </w:r>
      <w:r w:rsidR="007D3894">
        <w:rPr>
          <w:iCs/>
          <w:szCs w:val="24"/>
          <w:lang w:eastAsia="fr-FR"/>
        </w:rPr>
        <w:t xml:space="preserve"> for the Republic of Serbia</w:t>
      </w:r>
      <w:r>
        <w:rPr>
          <w:iCs/>
          <w:szCs w:val="24"/>
          <w:lang w:eastAsia="fr-FR"/>
        </w:rPr>
        <w:t>:</w:t>
      </w:r>
    </w:p>
    <w:p w14:paraId="3BDED071" w14:textId="1631D4A3" w:rsidR="00D4391C" w:rsidRPr="001760D0" w:rsidRDefault="000F6001" w:rsidP="00D4391C">
      <w:pPr>
        <w:pStyle w:val="ListParagraph"/>
        <w:numPr>
          <w:ilvl w:val="0"/>
          <w:numId w:val="62"/>
        </w:numPr>
        <w:autoSpaceDE w:val="0"/>
        <w:autoSpaceDN w:val="0"/>
        <w:adjustRightInd w:val="0"/>
        <w:spacing w:after="0" w:line="240" w:lineRule="auto"/>
        <w:rPr>
          <w:iCs/>
          <w:szCs w:val="24"/>
          <w:lang w:eastAsia="fr-FR"/>
        </w:rPr>
      </w:pPr>
      <w:r>
        <w:rPr>
          <w:iCs/>
          <w:szCs w:val="24"/>
          <w:lang w:eastAsia="fr-FR"/>
        </w:rPr>
        <w:t>CRT</w:t>
      </w:r>
      <w:r w:rsidR="00D4391C" w:rsidRPr="001760D0">
        <w:rPr>
          <w:iCs/>
          <w:szCs w:val="24"/>
          <w:lang w:eastAsia="fr-FR"/>
        </w:rPr>
        <w:t xml:space="preserve"> 2F2 – Foam blowing agents: lack of data. Questionnaires were sent to companies and will hopefully be available for next submission.</w:t>
      </w:r>
    </w:p>
    <w:p w14:paraId="6DEF62DA" w14:textId="5E0FE013" w:rsidR="00D4391C" w:rsidRPr="001760D0" w:rsidRDefault="000F6001" w:rsidP="00D4391C">
      <w:pPr>
        <w:pStyle w:val="ListParagraph"/>
        <w:numPr>
          <w:ilvl w:val="0"/>
          <w:numId w:val="62"/>
        </w:numPr>
        <w:autoSpaceDE w:val="0"/>
        <w:autoSpaceDN w:val="0"/>
        <w:adjustRightInd w:val="0"/>
        <w:spacing w:after="0" w:line="240" w:lineRule="auto"/>
        <w:rPr>
          <w:iCs/>
          <w:szCs w:val="24"/>
          <w:lang w:eastAsia="fr-FR"/>
        </w:rPr>
      </w:pPr>
      <w:r>
        <w:rPr>
          <w:iCs/>
          <w:szCs w:val="24"/>
          <w:lang w:eastAsia="fr-FR"/>
        </w:rPr>
        <w:t>CRT</w:t>
      </w:r>
      <w:r w:rsidR="00D4391C" w:rsidRPr="001760D0">
        <w:rPr>
          <w:iCs/>
          <w:szCs w:val="24"/>
          <w:lang w:eastAsia="fr-FR"/>
        </w:rPr>
        <w:t xml:space="preserve"> 2F3 – Fire protection: lack of data. Questionnaires were sent to companies and will hopefully be available for next submission.</w:t>
      </w:r>
    </w:p>
    <w:p w14:paraId="6C12AF6C" w14:textId="77BB0DB5" w:rsidR="00D4391C" w:rsidRDefault="000F6001" w:rsidP="00D4391C">
      <w:pPr>
        <w:pStyle w:val="ListParagraph"/>
        <w:numPr>
          <w:ilvl w:val="0"/>
          <w:numId w:val="62"/>
        </w:numPr>
        <w:autoSpaceDE w:val="0"/>
        <w:autoSpaceDN w:val="0"/>
        <w:adjustRightInd w:val="0"/>
        <w:spacing w:after="0" w:line="240" w:lineRule="auto"/>
        <w:rPr>
          <w:iCs/>
          <w:szCs w:val="24"/>
          <w:lang w:eastAsia="fr-FR"/>
        </w:rPr>
      </w:pPr>
      <w:r>
        <w:rPr>
          <w:iCs/>
          <w:szCs w:val="24"/>
          <w:lang w:eastAsia="fr-FR"/>
        </w:rPr>
        <w:t>CRT</w:t>
      </w:r>
      <w:r w:rsidR="00D4391C" w:rsidRPr="001760D0">
        <w:rPr>
          <w:iCs/>
          <w:szCs w:val="24"/>
          <w:lang w:eastAsia="fr-FR"/>
        </w:rPr>
        <w:t xml:space="preserve"> 3G – Liming: Statistical data on liming activities </w:t>
      </w:r>
      <w:r w:rsidR="00731CAB">
        <w:rPr>
          <w:iCs/>
          <w:szCs w:val="24"/>
          <w:lang w:eastAsia="fr-FR"/>
        </w:rPr>
        <w:t xml:space="preserve">are </w:t>
      </w:r>
      <w:r w:rsidR="00D4391C" w:rsidRPr="001760D0">
        <w:rPr>
          <w:iCs/>
          <w:szCs w:val="24"/>
          <w:lang w:eastAsia="fr-FR"/>
        </w:rPr>
        <w:t>not available.</w:t>
      </w:r>
    </w:p>
    <w:p w14:paraId="23E0A2E5" w14:textId="76747D7A" w:rsidR="00D4391C" w:rsidRDefault="000F6001" w:rsidP="00D4391C">
      <w:pPr>
        <w:pStyle w:val="ListParagraph"/>
        <w:numPr>
          <w:ilvl w:val="0"/>
          <w:numId w:val="62"/>
        </w:numPr>
        <w:autoSpaceDE w:val="0"/>
        <w:autoSpaceDN w:val="0"/>
        <w:adjustRightInd w:val="0"/>
        <w:spacing w:after="0" w:line="240" w:lineRule="auto"/>
        <w:rPr>
          <w:iCs/>
          <w:szCs w:val="24"/>
          <w:lang w:eastAsia="fr-FR"/>
        </w:rPr>
      </w:pPr>
      <w:r>
        <w:rPr>
          <w:iCs/>
          <w:szCs w:val="24"/>
          <w:lang w:eastAsia="fr-FR"/>
        </w:rPr>
        <w:t>CRT</w:t>
      </w:r>
      <w:r w:rsidR="00D4391C" w:rsidRPr="001760D0">
        <w:rPr>
          <w:iCs/>
          <w:szCs w:val="24"/>
          <w:lang w:eastAsia="fr-FR"/>
        </w:rPr>
        <w:t xml:space="preserve"> 5C2 – Open burning</w:t>
      </w:r>
      <w:r w:rsidR="00690CF0">
        <w:rPr>
          <w:iCs/>
          <w:szCs w:val="24"/>
          <w:lang w:eastAsia="fr-FR"/>
        </w:rPr>
        <w:t xml:space="preserve"> of waste</w:t>
      </w:r>
      <w:r w:rsidR="00D4391C" w:rsidRPr="001760D0">
        <w:rPr>
          <w:iCs/>
          <w:szCs w:val="24"/>
          <w:lang w:eastAsia="fr-FR"/>
        </w:rPr>
        <w:t>: no activity data available.</w:t>
      </w:r>
    </w:p>
    <w:p w14:paraId="7E68C87D" w14:textId="77777777" w:rsidR="00D42AD0" w:rsidRDefault="00D42AD0" w:rsidP="00771111">
      <w:pPr>
        <w:autoSpaceDE w:val="0"/>
        <w:autoSpaceDN w:val="0"/>
        <w:adjustRightInd w:val="0"/>
        <w:spacing w:after="0" w:line="240" w:lineRule="auto"/>
        <w:rPr>
          <w:b/>
          <w:bCs/>
          <w:iCs/>
          <w:szCs w:val="24"/>
          <w:lang w:eastAsia="fr-FR"/>
        </w:rPr>
      </w:pPr>
    </w:p>
    <w:p w14:paraId="7F56AD09" w14:textId="2FB3C439" w:rsidR="001206FC" w:rsidRPr="001206FC" w:rsidRDefault="001206FC" w:rsidP="00771111">
      <w:pPr>
        <w:autoSpaceDE w:val="0"/>
        <w:autoSpaceDN w:val="0"/>
        <w:adjustRightInd w:val="0"/>
        <w:spacing w:after="0" w:line="240" w:lineRule="auto"/>
        <w:rPr>
          <w:iCs/>
          <w:szCs w:val="24"/>
          <w:lang w:eastAsia="fr-FR"/>
        </w:rPr>
      </w:pPr>
      <w:r>
        <w:rPr>
          <w:iCs/>
          <w:szCs w:val="24"/>
          <w:lang w:eastAsia="fr-FR"/>
        </w:rPr>
        <w:t>Please note that e</w:t>
      </w:r>
      <w:r w:rsidRPr="001206FC">
        <w:rPr>
          <w:iCs/>
          <w:szCs w:val="24"/>
          <w:lang w:eastAsia="fr-FR"/>
        </w:rPr>
        <w:t>missions from categories where methodology for GHG estimates are not available in the 2006 IPCC guidelines are not listed</w:t>
      </w:r>
      <w:r>
        <w:rPr>
          <w:iCs/>
          <w:szCs w:val="24"/>
          <w:lang w:eastAsia="fr-FR"/>
        </w:rPr>
        <w:t>.</w:t>
      </w:r>
    </w:p>
    <w:p w14:paraId="3087DC5E" w14:textId="77777777" w:rsidR="001206FC" w:rsidRDefault="001206FC" w:rsidP="00771111">
      <w:pPr>
        <w:autoSpaceDE w:val="0"/>
        <w:autoSpaceDN w:val="0"/>
        <w:adjustRightInd w:val="0"/>
        <w:spacing w:after="0" w:line="240" w:lineRule="auto"/>
        <w:rPr>
          <w:b/>
          <w:bCs/>
          <w:iCs/>
          <w:szCs w:val="24"/>
          <w:lang w:eastAsia="fr-FR"/>
        </w:rPr>
      </w:pPr>
    </w:p>
    <w:p w14:paraId="1E1BC4E9" w14:textId="19064C0E" w:rsidR="00771111" w:rsidRPr="00D42AD0" w:rsidRDefault="00D42AD0" w:rsidP="00771111">
      <w:pPr>
        <w:autoSpaceDE w:val="0"/>
        <w:autoSpaceDN w:val="0"/>
        <w:adjustRightInd w:val="0"/>
        <w:spacing w:after="0" w:line="240" w:lineRule="auto"/>
        <w:rPr>
          <w:b/>
          <w:bCs/>
          <w:iCs/>
          <w:szCs w:val="24"/>
          <w:lang w:eastAsia="fr-FR"/>
        </w:rPr>
      </w:pPr>
      <w:r w:rsidRPr="00D42AD0">
        <w:rPr>
          <w:b/>
          <w:bCs/>
          <w:iCs/>
          <w:szCs w:val="24"/>
          <w:lang w:eastAsia="fr-FR"/>
        </w:rPr>
        <w:t xml:space="preserve">Demonstration of </w:t>
      </w:r>
      <w:r w:rsidR="001206FC">
        <w:rPr>
          <w:b/>
          <w:bCs/>
          <w:iCs/>
          <w:szCs w:val="24"/>
          <w:lang w:eastAsia="fr-FR"/>
        </w:rPr>
        <w:t>significance</w:t>
      </w:r>
      <w:r w:rsidRPr="00D42AD0">
        <w:rPr>
          <w:b/>
          <w:bCs/>
          <w:iCs/>
          <w:szCs w:val="24"/>
          <w:lang w:eastAsia="fr-FR"/>
        </w:rPr>
        <w:t xml:space="preserve"> </w:t>
      </w:r>
    </w:p>
    <w:p w14:paraId="25B7E15E" w14:textId="77777777" w:rsidR="001206FC" w:rsidRDefault="001206FC" w:rsidP="00DE2B8E">
      <w:pPr>
        <w:autoSpaceDE w:val="0"/>
        <w:autoSpaceDN w:val="0"/>
        <w:adjustRightInd w:val="0"/>
        <w:spacing w:after="0" w:line="240" w:lineRule="auto"/>
        <w:jc w:val="left"/>
        <w:rPr>
          <w:rFonts w:cs="Cambria"/>
        </w:rPr>
      </w:pPr>
    </w:p>
    <w:p w14:paraId="6763FF88" w14:textId="21A0826A" w:rsidR="00DE2B8E" w:rsidRDefault="00DE2B8E" w:rsidP="00DE2B8E">
      <w:pPr>
        <w:autoSpaceDE w:val="0"/>
        <w:autoSpaceDN w:val="0"/>
        <w:adjustRightInd w:val="0"/>
        <w:spacing w:after="0" w:line="240" w:lineRule="auto"/>
        <w:jc w:val="left"/>
        <w:rPr>
          <w:rFonts w:cs="Cambria"/>
        </w:rPr>
      </w:pPr>
      <w:r>
        <w:rPr>
          <w:rFonts w:cs="Cambria"/>
        </w:rPr>
        <w:t>It has to be noted that in the evaluation process it was assessed based on the existing reports from developed countries ( Slovenia 2023 CRF Tables) taking into account the number of inhabitants ( approximately 3.5 times more than in Slovenia) that bot CRT 2F2 and CFR 2F3 are below the materiality threshold (5kt CO</w:t>
      </w:r>
      <w:r w:rsidRPr="00DE2B8E">
        <w:rPr>
          <w:rFonts w:cs="Cambria"/>
          <w:vertAlign w:val="subscript"/>
        </w:rPr>
        <w:t>2e</w:t>
      </w:r>
      <w:r>
        <w:rPr>
          <w:rFonts w:cs="Cambria"/>
        </w:rPr>
        <w:t xml:space="preserve"> or </w:t>
      </w:r>
      <w:r w:rsidR="00D42AD0">
        <w:rPr>
          <w:rFonts w:cs="Cambria"/>
        </w:rPr>
        <w:t>0,008% of national GHG emissions</w:t>
      </w:r>
      <w:r>
        <w:rPr>
          <w:rFonts w:cs="Cambria"/>
        </w:rPr>
        <w:t>), however the questionnaires were submitted to relevant companies and more detailed</w:t>
      </w:r>
      <w:r w:rsidR="00D42AD0">
        <w:rPr>
          <w:rFonts w:cs="Cambria"/>
        </w:rPr>
        <w:t>.</w:t>
      </w:r>
    </w:p>
    <w:p w14:paraId="76EFFA62" w14:textId="102BD9BB" w:rsidR="00DE2B8E" w:rsidRDefault="00D42AD0" w:rsidP="00771111">
      <w:pPr>
        <w:autoSpaceDE w:val="0"/>
        <w:autoSpaceDN w:val="0"/>
        <w:adjustRightInd w:val="0"/>
        <w:spacing w:after="0" w:line="240" w:lineRule="auto"/>
        <w:rPr>
          <w:iCs/>
          <w:szCs w:val="24"/>
          <w:lang w:eastAsia="fr-FR"/>
        </w:rPr>
      </w:pPr>
      <w:r>
        <w:rPr>
          <w:iCs/>
          <w:szCs w:val="24"/>
          <w:lang w:eastAsia="fr-FR"/>
        </w:rPr>
        <w:t xml:space="preserve">Regarding the Liming the activity data is not available, while the views of the experts </w:t>
      </w:r>
      <w:r w:rsidR="00126A81">
        <w:rPr>
          <w:iCs/>
          <w:szCs w:val="24"/>
          <w:lang w:eastAsia="fr-FR"/>
        </w:rPr>
        <w:t>whether</w:t>
      </w:r>
      <w:r>
        <w:rPr>
          <w:iCs/>
          <w:szCs w:val="24"/>
          <w:lang w:eastAsia="fr-FR"/>
        </w:rPr>
        <w:t xml:space="preserve"> the liming is even occurring in Serbia are diverge. However, using the same approach, due to geographical circumstances of the agriculture land the comparison was made with Croatia</w:t>
      </w:r>
      <w:r w:rsidR="009B1603">
        <w:rPr>
          <w:iCs/>
          <w:szCs w:val="24"/>
          <w:lang w:eastAsia="fr-FR"/>
        </w:rPr>
        <w:t>. Since Serbia has 2,1 times more agriculture land the approximated CO2 emissions from liming would account to 39ktCO</w:t>
      </w:r>
      <w:r w:rsidR="009B1603" w:rsidRPr="00063FDE">
        <w:rPr>
          <w:iCs/>
          <w:szCs w:val="24"/>
          <w:vertAlign w:val="subscript"/>
          <w:lang w:eastAsia="fr-FR"/>
        </w:rPr>
        <w:t xml:space="preserve">2e </w:t>
      </w:r>
      <w:r w:rsidR="009B1603">
        <w:rPr>
          <w:iCs/>
          <w:szCs w:val="24"/>
          <w:lang w:eastAsia="fr-FR"/>
        </w:rPr>
        <w:t>or 0,063% of national GHG emissions which</w:t>
      </w:r>
      <w:r w:rsidR="00D16A48">
        <w:rPr>
          <w:iCs/>
          <w:szCs w:val="24"/>
          <w:lang w:eastAsia="fr-FR"/>
        </w:rPr>
        <w:t xml:space="preserve"> is slightly above the threshold not considering the flexibility available to Serbia as developing country. Due to lack of capacity and available time for the preparation of the BTR1, Serbia will for its subsequent submission investigate further the activity data needed for estimating GHG emissions from liming.</w:t>
      </w:r>
    </w:p>
    <w:p w14:paraId="214ECEE6" w14:textId="77777777" w:rsidR="00DE2B8E" w:rsidRDefault="00DE2B8E" w:rsidP="00771111">
      <w:pPr>
        <w:autoSpaceDE w:val="0"/>
        <w:autoSpaceDN w:val="0"/>
        <w:adjustRightInd w:val="0"/>
        <w:spacing w:after="0" w:line="240" w:lineRule="auto"/>
        <w:rPr>
          <w:iCs/>
          <w:szCs w:val="24"/>
          <w:lang w:eastAsia="fr-FR"/>
        </w:rPr>
      </w:pPr>
    </w:p>
    <w:p w14:paraId="26FE5051" w14:textId="0AF0522A" w:rsidR="00030A7A" w:rsidRDefault="00D16A48" w:rsidP="00771111">
      <w:pPr>
        <w:autoSpaceDE w:val="0"/>
        <w:autoSpaceDN w:val="0"/>
        <w:adjustRightInd w:val="0"/>
        <w:spacing w:after="0" w:line="240" w:lineRule="auto"/>
        <w:rPr>
          <w:iCs/>
          <w:szCs w:val="24"/>
          <w:lang w:eastAsia="fr-FR"/>
        </w:rPr>
      </w:pPr>
      <w:r>
        <w:rPr>
          <w:iCs/>
          <w:szCs w:val="24"/>
          <w:lang w:eastAsia="fr-FR"/>
        </w:rPr>
        <w:t>Open burning of waste is potentially occurring in some isolated rural areas where</w:t>
      </w:r>
      <w:r w:rsidR="00030A7A">
        <w:rPr>
          <w:iCs/>
          <w:szCs w:val="24"/>
          <w:lang w:eastAsia="fr-FR"/>
        </w:rPr>
        <w:t xml:space="preserve"> municipal solid</w:t>
      </w:r>
      <w:r>
        <w:rPr>
          <w:iCs/>
          <w:szCs w:val="24"/>
          <w:lang w:eastAsia="fr-FR"/>
        </w:rPr>
        <w:t xml:space="preserve"> waste management system and landfill capacities are not catching up with the spatial development plans.</w:t>
      </w:r>
      <w:r w:rsidR="00030A7A">
        <w:rPr>
          <w:iCs/>
          <w:szCs w:val="24"/>
          <w:lang w:eastAsia="fr-FR"/>
        </w:rPr>
        <w:t xml:space="preserve"> Assuming </w:t>
      </w:r>
      <w:r w:rsidR="00440869">
        <w:rPr>
          <w:iCs/>
          <w:szCs w:val="24"/>
          <w:lang w:eastAsia="fr-FR"/>
        </w:rPr>
        <w:t>that from an average composition of municipal solid waste 70% of the plastic is recovered (due to commercial value) and that up to 1</w:t>
      </w:r>
      <w:r w:rsidR="00030A7A">
        <w:rPr>
          <w:iCs/>
          <w:szCs w:val="24"/>
          <w:lang w:eastAsia="fr-FR"/>
        </w:rPr>
        <w:t>% of the municipal solid waste is openly burned</w:t>
      </w:r>
      <w:r w:rsidR="00440869">
        <w:rPr>
          <w:iCs/>
          <w:szCs w:val="24"/>
          <w:lang w:eastAsia="fr-FR"/>
        </w:rPr>
        <w:t>, the estimate GHG emissions for open burning would account to 84ktCO</w:t>
      </w:r>
      <w:r w:rsidR="00440869" w:rsidRPr="0077664F">
        <w:rPr>
          <w:iCs/>
          <w:szCs w:val="24"/>
          <w:vertAlign w:val="subscript"/>
          <w:lang w:eastAsia="fr-FR"/>
        </w:rPr>
        <w:t>2e</w:t>
      </w:r>
      <w:r w:rsidR="00440869">
        <w:rPr>
          <w:iCs/>
          <w:szCs w:val="24"/>
          <w:lang w:eastAsia="fr-FR"/>
        </w:rPr>
        <w:t xml:space="preserve"> or 0,13% of national GHG emissions </w:t>
      </w:r>
    </w:p>
    <w:p w14:paraId="561DE218" w14:textId="781F8E50" w:rsidR="00A50616" w:rsidRDefault="00A50616" w:rsidP="00A50616">
      <w:pPr>
        <w:pStyle w:val="Heading3"/>
        <w:rPr>
          <w:lang w:eastAsia="fr-FR"/>
        </w:rPr>
      </w:pPr>
      <w:bookmarkStart w:id="58" w:name="_Toc182327713"/>
      <w:bookmarkStart w:id="59" w:name="_Toc184808156"/>
      <w:r>
        <w:rPr>
          <w:lang w:eastAsia="fr-FR"/>
        </w:rPr>
        <w:t>Total aggregate emissions considered insignificant (MPGs para. 32)</w:t>
      </w:r>
      <w:bookmarkEnd w:id="58"/>
      <w:bookmarkEnd w:id="59"/>
    </w:p>
    <w:p w14:paraId="14EDB5FE" w14:textId="263D738A" w:rsidR="00A50616" w:rsidRDefault="00126A81" w:rsidP="00A50616">
      <w:pPr>
        <w:rPr>
          <w:lang w:val="en-US" w:eastAsia="fr-FR"/>
        </w:rPr>
      </w:pPr>
      <w:r>
        <w:t>The total aggregate emissions considered insignificant in this NID amount to 128 kt CO₂ equivalent, representing 0.21% of total emissions</w:t>
      </w:r>
      <w:r w:rsidR="0077664F">
        <w:t xml:space="preserve"> not including LULUCF</w:t>
      </w:r>
      <w:r>
        <w:t xml:space="preserve">. This </w:t>
      </w:r>
      <w:r w:rsidR="0077664F">
        <w:t xml:space="preserve">percentage </w:t>
      </w:r>
      <w:r>
        <w:t>exceeds the threshold established by Decision 18/CMA.1. Consequently, Serbia will, subject to the availability of resources, enhance its efforts to estimate GHG emissions mainly from categories 5.C.2 (Open Burning of Municipal Waste) and 3.G (Liming).</w:t>
      </w:r>
    </w:p>
    <w:p w14:paraId="70B7E518" w14:textId="294B7F4E" w:rsidR="00A50616" w:rsidRDefault="00A50616" w:rsidP="00A50616">
      <w:pPr>
        <w:pStyle w:val="Heading2"/>
        <w:rPr>
          <w:lang w:eastAsia="fr-FR"/>
        </w:rPr>
      </w:pPr>
      <w:bookmarkStart w:id="60" w:name="_Toc182327714"/>
      <w:bookmarkStart w:id="61" w:name="_Toc184808157"/>
      <w:r>
        <w:rPr>
          <w:lang w:eastAsia="fr-FR"/>
        </w:rPr>
        <w:t>Metrics (MPGs para. 37)</w:t>
      </w:r>
      <w:bookmarkEnd w:id="60"/>
      <w:bookmarkEnd w:id="61"/>
    </w:p>
    <w:p w14:paraId="53826C86" w14:textId="51F219F4" w:rsidR="004708C0" w:rsidRPr="00992A39" w:rsidRDefault="004708C0" w:rsidP="00622F40">
      <w:pPr>
        <w:spacing w:line="240" w:lineRule="auto"/>
        <w:rPr>
          <w:lang w:eastAsia="fr-FR"/>
        </w:rPr>
      </w:pPr>
      <w:r w:rsidRPr="004708C0">
        <w:rPr>
          <w:lang w:val="en-US" w:eastAsia="fr-FR"/>
        </w:rPr>
        <w:t xml:space="preserve">In accordance with decisions 6/CP.27, the emissions and removals </w:t>
      </w:r>
      <w:r w:rsidR="00080346">
        <w:rPr>
          <w:lang w:val="en-US" w:eastAsia="fr-FR"/>
        </w:rPr>
        <w:t xml:space="preserve">of all GHG </w:t>
      </w:r>
      <w:r w:rsidRPr="004708C0">
        <w:rPr>
          <w:lang w:val="en-US" w:eastAsia="fr-FR"/>
        </w:rPr>
        <w:t>are expressed in CO</w:t>
      </w:r>
      <w:r w:rsidRPr="00622F40">
        <w:rPr>
          <w:vertAlign w:val="subscript"/>
          <w:lang w:val="en-US" w:eastAsia="fr-FR"/>
        </w:rPr>
        <w:t>2</w:t>
      </w:r>
      <w:r w:rsidRPr="004708C0">
        <w:rPr>
          <w:lang w:val="en-US" w:eastAsia="fr-FR"/>
        </w:rPr>
        <w:t xml:space="preserve"> equivalent</w:t>
      </w:r>
      <w:r w:rsidR="00491213">
        <w:rPr>
          <w:lang w:val="en-US" w:eastAsia="fr-FR"/>
        </w:rPr>
        <w:t xml:space="preserve">. </w:t>
      </w:r>
      <w:r w:rsidRPr="004708C0">
        <w:rPr>
          <w:lang w:val="en-US" w:eastAsia="fr-FR"/>
        </w:rPr>
        <w:t xml:space="preserve"> </w:t>
      </w:r>
      <w:r w:rsidR="00491213" w:rsidRPr="00491213">
        <w:rPr>
          <w:lang w:val="en-US" w:eastAsia="fr-FR"/>
        </w:rPr>
        <w:t xml:space="preserve">Since </w:t>
      </w:r>
      <w:r w:rsidR="00491213">
        <w:rPr>
          <w:lang w:val="en-US" w:eastAsia="fr-FR"/>
        </w:rPr>
        <w:t>the GHG</w:t>
      </w:r>
      <w:r w:rsidR="00491213" w:rsidRPr="00491213">
        <w:rPr>
          <w:lang w:val="en-US" w:eastAsia="fr-FR"/>
        </w:rPr>
        <w:t xml:space="preserve"> have different irradiation properties</w:t>
      </w:r>
      <w:r w:rsidR="00491213">
        <w:rPr>
          <w:lang w:val="en-US" w:eastAsia="fr-FR"/>
        </w:rPr>
        <w:t>,</w:t>
      </w:r>
      <w:r w:rsidR="00491213" w:rsidRPr="00491213">
        <w:rPr>
          <w:lang w:val="en-US" w:eastAsia="fr-FR"/>
        </w:rPr>
        <w:t xml:space="preserve"> </w:t>
      </w:r>
      <w:r w:rsidR="00491213">
        <w:rPr>
          <w:lang w:val="en-US" w:eastAsia="fr-FR"/>
        </w:rPr>
        <w:t xml:space="preserve">hence </w:t>
      </w:r>
      <w:r w:rsidR="00491213" w:rsidRPr="00491213">
        <w:rPr>
          <w:lang w:val="en-US" w:eastAsia="fr-FR"/>
        </w:rPr>
        <w:t xml:space="preserve">different contribution to the greenhouse effect, it is </w:t>
      </w:r>
      <w:r w:rsidR="00491213" w:rsidRPr="00491213">
        <w:rPr>
          <w:lang w:val="en-US" w:eastAsia="fr-FR"/>
        </w:rPr>
        <w:lastRenderedPageBreak/>
        <w:t>necessary to multiply the emission of every gas with proper Global Warming Potential (GWP)</w:t>
      </w:r>
      <w:r w:rsidR="002D3783">
        <w:rPr>
          <w:lang w:val="en-US" w:eastAsia="fr-FR"/>
        </w:rPr>
        <w:t>,</w:t>
      </w:r>
      <w:r w:rsidR="00491213">
        <w:rPr>
          <w:lang w:val="en-US" w:eastAsia="fr-FR"/>
        </w:rPr>
        <w:t xml:space="preserve"> </w:t>
      </w:r>
      <w:r w:rsidRPr="004708C0">
        <w:rPr>
          <w:lang w:val="en-US" w:eastAsia="fr-FR"/>
        </w:rPr>
        <w:t xml:space="preserve">excluding the value for fossil methane, over a 100-year time horizon </w:t>
      </w:r>
      <w:r w:rsidR="002D3783">
        <w:rPr>
          <w:lang w:val="en-US" w:eastAsia="fr-FR"/>
        </w:rPr>
        <w:t xml:space="preserve">as </w:t>
      </w:r>
      <w:r w:rsidRPr="004708C0">
        <w:rPr>
          <w:lang w:val="en-US" w:eastAsia="fr-FR"/>
        </w:rPr>
        <w:t xml:space="preserve">listed in table 8.A.1 of the contribution of Working Group I to the Fifth Assessment Report </w:t>
      </w:r>
      <w:r w:rsidR="002D3783">
        <w:rPr>
          <w:lang w:val="en-US" w:eastAsia="fr-FR"/>
        </w:rPr>
        <w:t xml:space="preserve">(AR5) </w:t>
      </w:r>
      <w:r w:rsidRPr="004708C0">
        <w:rPr>
          <w:lang w:val="en-US" w:eastAsia="fr-FR"/>
        </w:rPr>
        <w:t>of the Intergovernmental Panel on Climate Change</w:t>
      </w:r>
      <w:r w:rsidR="002D3783">
        <w:rPr>
          <w:lang w:val="en-US" w:eastAsia="fr-FR"/>
        </w:rPr>
        <w:t xml:space="preserve"> (IPCC)</w:t>
      </w:r>
      <w:r w:rsidRPr="004708C0">
        <w:rPr>
          <w:lang w:val="en-US" w:eastAsia="fr-FR"/>
        </w:rPr>
        <w:t>.</w:t>
      </w:r>
    </w:p>
    <w:p w14:paraId="74648504" w14:textId="098AB69E" w:rsidR="00A50616" w:rsidRPr="00A50616" w:rsidRDefault="00A50616" w:rsidP="00622F40">
      <w:pPr>
        <w:pStyle w:val="Heading2"/>
        <w:rPr>
          <w:lang w:eastAsia="fr-FR"/>
        </w:rPr>
      </w:pPr>
      <w:bookmarkStart w:id="62" w:name="_Toc182327715"/>
      <w:bookmarkStart w:id="63" w:name="_Toc184808158"/>
      <w:r>
        <w:rPr>
          <w:lang w:eastAsia="fr-FR"/>
        </w:rPr>
        <w:t>Summary of any flexibility applied (</w:t>
      </w:r>
      <w:r w:rsidR="000A680C">
        <w:rPr>
          <w:lang w:eastAsia="fr-FR"/>
        </w:rPr>
        <w:t>MPGs paras. 4-6)</w:t>
      </w:r>
      <w:bookmarkEnd w:id="62"/>
      <w:bookmarkEnd w:id="63"/>
    </w:p>
    <w:p w14:paraId="77D3FFF1" w14:textId="77777777" w:rsidR="00063FDE" w:rsidRDefault="00063FDE" w:rsidP="00C545A5">
      <w:pPr>
        <w:autoSpaceDE w:val="0"/>
        <w:autoSpaceDN w:val="0"/>
        <w:adjustRightInd w:val="0"/>
        <w:spacing w:after="0" w:line="240" w:lineRule="auto"/>
        <w:rPr>
          <w:lang w:eastAsia="fr-FR"/>
        </w:rPr>
      </w:pPr>
    </w:p>
    <w:p w14:paraId="5E450B03" w14:textId="77777777" w:rsidR="00063FDE" w:rsidRDefault="00063FDE" w:rsidP="00063FDE">
      <w:pPr>
        <w:autoSpaceDE w:val="0"/>
        <w:autoSpaceDN w:val="0"/>
        <w:adjustRightInd w:val="0"/>
        <w:spacing w:after="0" w:line="240" w:lineRule="auto"/>
        <w:rPr>
          <w:lang w:eastAsia="fr-FR"/>
        </w:rPr>
      </w:pPr>
      <w:r>
        <w:rPr>
          <w:lang w:eastAsia="fr-FR"/>
        </w:rPr>
        <w:t xml:space="preserve">GHG Inventory related Flexibilities as contained in the MPG (Decision 18/CMA.1):  </w:t>
      </w:r>
    </w:p>
    <w:p w14:paraId="19C461A9" w14:textId="77777777" w:rsidR="00063FDE" w:rsidRDefault="00063FDE" w:rsidP="00063FDE">
      <w:pPr>
        <w:autoSpaceDE w:val="0"/>
        <w:autoSpaceDN w:val="0"/>
        <w:adjustRightInd w:val="0"/>
        <w:spacing w:after="0" w:line="240" w:lineRule="auto"/>
        <w:rPr>
          <w:lang w:eastAsia="fr-FR"/>
        </w:rPr>
      </w:pPr>
    </w:p>
    <w:p w14:paraId="1DE355A1" w14:textId="77777777" w:rsidR="00063FDE" w:rsidRDefault="00063FDE" w:rsidP="00063FDE">
      <w:pPr>
        <w:autoSpaceDE w:val="0"/>
        <w:autoSpaceDN w:val="0"/>
        <w:adjustRightInd w:val="0"/>
        <w:spacing w:after="0" w:line="240" w:lineRule="auto"/>
        <w:rPr>
          <w:lang w:eastAsia="fr-FR"/>
        </w:rPr>
      </w:pPr>
      <w:r>
        <w:rPr>
          <w:lang w:eastAsia="fr-FR"/>
        </w:rPr>
        <w:t>Para 25 – Flexibility concerning Key Source analysis – NOT USED</w:t>
      </w:r>
    </w:p>
    <w:p w14:paraId="3558D509" w14:textId="77777777" w:rsidR="00063FDE" w:rsidRDefault="00063FDE" w:rsidP="00063FDE">
      <w:pPr>
        <w:autoSpaceDE w:val="0"/>
        <w:autoSpaceDN w:val="0"/>
        <w:adjustRightInd w:val="0"/>
        <w:spacing w:after="0" w:line="240" w:lineRule="auto"/>
        <w:rPr>
          <w:lang w:eastAsia="fr-FR"/>
        </w:rPr>
      </w:pPr>
      <w:r>
        <w:rPr>
          <w:lang w:eastAsia="fr-FR"/>
        </w:rPr>
        <w:t>Para 29 – Flexibility to provide qualitative discussion on uncertainty – NOT USED</w:t>
      </w:r>
    </w:p>
    <w:p w14:paraId="2BF1820D" w14:textId="77777777" w:rsidR="00063FDE" w:rsidRDefault="00063FDE" w:rsidP="00063FDE">
      <w:pPr>
        <w:autoSpaceDE w:val="0"/>
        <w:autoSpaceDN w:val="0"/>
        <w:adjustRightInd w:val="0"/>
        <w:spacing w:after="0" w:line="240" w:lineRule="auto"/>
        <w:rPr>
          <w:lang w:eastAsia="fr-FR"/>
        </w:rPr>
      </w:pPr>
      <w:r>
        <w:rPr>
          <w:lang w:eastAsia="fr-FR"/>
        </w:rPr>
        <w:t>Para 32 – Flexibility regarding the significance levels - NOT USED</w:t>
      </w:r>
    </w:p>
    <w:p w14:paraId="6B170702" w14:textId="77777777" w:rsidR="00063FDE" w:rsidRDefault="00063FDE" w:rsidP="00063FDE">
      <w:pPr>
        <w:autoSpaceDE w:val="0"/>
        <w:autoSpaceDN w:val="0"/>
        <w:adjustRightInd w:val="0"/>
        <w:spacing w:after="0" w:line="240" w:lineRule="auto"/>
        <w:rPr>
          <w:lang w:eastAsia="fr-FR"/>
        </w:rPr>
      </w:pPr>
      <w:r>
        <w:rPr>
          <w:lang w:eastAsia="fr-FR"/>
        </w:rPr>
        <w:t>Para 34 – Flexibility regarding the elaboration of the QA/QC plan – NOT USED</w:t>
      </w:r>
    </w:p>
    <w:p w14:paraId="6D74D335" w14:textId="7E4AD13B" w:rsidR="00063FDE" w:rsidRDefault="00063FDE" w:rsidP="00063FDE">
      <w:pPr>
        <w:autoSpaceDE w:val="0"/>
        <w:autoSpaceDN w:val="0"/>
        <w:adjustRightInd w:val="0"/>
        <w:spacing w:after="0" w:line="240" w:lineRule="auto"/>
        <w:rPr>
          <w:lang w:eastAsia="fr-FR"/>
        </w:rPr>
      </w:pPr>
      <w:r>
        <w:rPr>
          <w:lang w:eastAsia="fr-FR"/>
        </w:rPr>
        <w:t xml:space="preserve">Para 35 – Flexibility regarding the requirement for Parties to </w:t>
      </w:r>
      <w:r w:rsidRPr="005A3820">
        <w:rPr>
          <w:lang w:eastAsia="fr-FR"/>
        </w:rPr>
        <w:t>implement</w:t>
      </w:r>
      <w:r>
        <w:rPr>
          <w:lang w:eastAsia="fr-FR"/>
        </w:rPr>
        <w:t xml:space="preserve"> and provide information on general QA/QC plan  - NOT USED</w:t>
      </w:r>
    </w:p>
    <w:p w14:paraId="35D77F48" w14:textId="77777777" w:rsidR="00063FDE" w:rsidRDefault="00063FDE" w:rsidP="00063FDE">
      <w:pPr>
        <w:autoSpaceDE w:val="0"/>
        <w:autoSpaceDN w:val="0"/>
        <w:adjustRightInd w:val="0"/>
        <w:spacing w:after="0" w:line="240" w:lineRule="auto"/>
        <w:rPr>
          <w:lang w:eastAsia="fr-FR"/>
        </w:rPr>
      </w:pPr>
      <w:r>
        <w:rPr>
          <w:lang w:eastAsia="fr-FR"/>
        </w:rPr>
        <w:t>Para 48 – Flexibility regarding reporting emissions from F gases – NOT USED</w:t>
      </w:r>
    </w:p>
    <w:p w14:paraId="273ABDB5" w14:textId="77777777" w:rsidR="00063FDE" w:rsidRDefault="00063FDE" w:rsidP="00063FDE">
      <w:pPr>
        <w:autoSpaceDE w:val="0"/>
        <w:autoSpaceDN w:val="0"/>
        <w:adjustRightInd w:val="0"/>
        <w:spacing w:after="0" w:line="240" w:lineRule="auto"/>
        <w:rPr>
          <w:lang w:eastAsia="fr-FR"/>
        </w:rPr>
      </w:pPr>
      <w:r>
        <w:rPr>
          <w:lang w:eastAsia="fr-FR"/>
        </w:rPr>
        <w:t>Para 57 – Flexibility regarding reporting time-series – NOT USED</w:t>
      </w:r>
    </w:p>
    <w:p w14:paraId="138C8659" w14:textId="77777777" w:rsidR="00063FDE" w:rsidRDefault="00063FDE" w:rsidP="00063FDE">
      <w:pPr>
        <w:autoSpaceDE w:val="0"/>
        <w:autoSpaceDN w:val="0"/>
        <w:adjustRightInd w:val="0"/>
        <w:spacing w:after="0" w:line="240" w:lineRule="auto"/>
        <w:rPr>
          <w:lang w:eastAsia="fr-FR"/>
        </w:rPr>
      </w:pPr>
    </w:p>
    <w:p w14:paraId="5ED90C20" w14:textId="237C9AC9" w:rsidR="00063FDE" w:rsidRDefault="00063FDE" w:rsidP="00063FDE">
      <w:pPr>
        <w:autoSpaceDE w:val="0"/>
        <w:autoSpaceDN w:val="0"/>
        <w:adjustRightInd w:val="0"/>
        <w:spacing w:after="0" w:line="240" w:lineRule="auto"/>
        <w:rPr>
          <w:lang w:eastAsia="fr-FR"/>
        </w:rPr>
      </w:pPr>
      <w:r>
        <w:rPr>
          <w:lang w:eastAsia="fr-FR"/>
        </w:rPr>
        <w:t>It has to be noted that in accordance with the IPCC guidelines Parties need to use higher Tiers for all Key source categories or provide an explanation why they are not in capacity to do so. Serbia would like to note that for all key source categories where Tier 1 is used the main constrain it lack human capacity and other resources to moving to higher Tiers since in the main focus of the past years was on establishing the sustainable GHG Inventory system allowing for yearly preparation of GHG emission estimates, tracking the implementation of the NDC and are reporting to the UNFCCC.</w:t>
      </w:r>
    </w:p>
    <w:p w14:paraId="24D75D5B" w14:textId="593309C2" w:rsidR="00D315D6" w:rsidRDefault="00D315D6" w:rsidP="00622F40">
      <w:pPr>
        <w:autoSpaceDE w:val="0"/>
        <w:autoSpaceDN w:val="0"/>
        <w:adjustRightInd w:val="0"/>
        <w:spacing w:after="0" w:line="240" w:lineRule="auto"/>
        <w:rPr>
          <w:b/>
          <w:color w:val="698EC2"/>
          <w:sz w:val="40"/>
          <w:lang w:eastAsia="fr-FR"/>
        </w:rPr>
      </w:pPr>
      <w:r>
        <w:rPr>
          <w:lang w:eastAsia="fr-FR"/>
        </w:rPr>
        <w:br w:type="page"/>
      </w:r>
    </w:p>
    <w:p w14:paraId="7525212E" w14:textId="77777777" w:rsidR="00614555" w:rsidRPr="002462F0" w:rsidRDefault="00614555" w:rsidP="006225BE">
      <w:pPr>
        <w:pStyle w:val="Title"/>
        <w:spacing w:after="240"/>
        <w:rPr>
          <w:lang w:eastAsia="fr-FR"/>
        </w:rPr>
      </w:pPr>
      <w:bookmarkStart w:id="64" w:name="_Toc182327716"/>
      <w:bookmarkStart w:id="65" w:name="_Toc184808159"/>
      <w:r w:rsidRPr="002462F0">
        <w:rPr>
          <w:lang w:eastAsia="fr-FR"/>
        </w:rPr>
        <w:lastRenderedPageBreak/>
        <w:t>Chapter 2: Trends in greenhouse gas emissions</w:t>
      </w:r>
      <w:bookmarkEnd w:id="55"/>
      <w:bookmarkEnd w:id="64"/>
      <w:bookmarkEnd w:id="65"/>
    </w:p>
    <w:p w14:paraId="2C76D999" w14:textId="77777777" w:rsidR="00C90380" w:rsidRPr="00D315D6" w:rsidRDefault="00C90380" w:rsidP="006225BE">
      <w:pPr>
        <w:pStyle w:val="ListParagraph"/>
        <w:widowControl w:val="0"/>
        <w:numPr>
          <w:ilvl w:val="0"/>
          <w:numId w:val="1"/>
        </w:numPr>
        <w:spacing w:after="0" w:line="240" w:lineRule="auto"/>
        <w:ind w:left="431" w:hanging="431"/>
        <w:contextualSpacing w:val="0"/>
        <w:outlineLvl w:val="0"/>
        <w:rPr>
          <w:rStyle w:val="Heading2Char"/>
          <w:b w:val="0"/>
          <w:vanish/>
          <w:color w:val="FFFFFF" w:themeColor="background1"/>
          <w:lang w:val="en-GB"/>
        </w:rPr>
      </w:pPr>
      <w:bookmarkStart w:id="66" w:name="_Toc496101340"/>
      <w:bookmarkStart w:id="67" w:name="_Toc496216992"/>
      <w:bookmarkStart w:id="68" w:name="_Toc496269066"/>
      <w:bookmarkStart w:id="69" w:name="_Toc496617564"/>
      <w:bookmarkStart w:id="70" w:name="_Toc496617861"/>
      <w:bookmarkStart w:id="71" w:name="_Toc496627785"/>
      <w:bookmarkStart w:id="72" w:name="_Toc496628170"/>
      <w:bookmarkStart w:id="73" w:name="_Toc496631759"/>
      <w:bookmarkStart w:id="74" w:name="_Toc496687703"/>
      <w:bookmarkStart w:id="75" w:name="_Toc496691981"/>
      <w:bookmarkStart w:id="76" w:name="_Toc496785338"/>
      <w:bookmarkStart w:id="77" w:name="_Toc496786546"/>
      <w:bookmarkStart w:id="78" w:name="_Toc496787276"/>
      <w:bookmarkStart w:id="79" w:name="_Toc496868783"/>
      <w:bookmarkStart w:id="80" w:name="_Toc180742417"/>
      <w:bookmarkStart w:id="81" w:name="_Toc181897312"/>
      <w:bookmarkStart w:id="82" w:name="_Toc182314192"/>
      <w:bookmarkStart w:id="83" w:name="_Toc182315696"/>
      <w:bookmarkStart w:id="84" w:name="_Toc182319000"/>
      <w:bookmarkStart w:id="85" w:name="_Toc182323145"/>
      <w:bookmarkStart w:id="86" w:name="_Toc182324430"/>
      <w:bookmarkStart w:id="87" w:name="_Toc182325668"/>
      <w:bookmarkStart w:id="88" w:name="_Toc182326351"/>
      <w:bookmarkStart w:id="89" w:name="_Toc182327259"/>
      <w:bookmarkStart w:id="90" w:name="_Toc182327717"/>
      <w:bookmarkStart w:id="91" w:name="_Toc183737425"/>
      <w:bookmarkStart w:id="92" w:name="_Toc183737924"/>
      <w:bookmarkStart w:id="93" w:name="_Toc183738168"/>
      <w:bookmarkStart w:id="94" w:name="_Toc183738410"/>
      <w:bookmarkStart w:id="95" w:name="_Toc184804713"/>
      <w:bookmarkStart w:id="96" w:name="_Toc184806260"/>
      <w:bookmarkStart w:id="97" w:name="_Toc184808160"/>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66868E08" w14:textId="3570B408" w:rsidR="00614555" w:rsidRPr="009C1CF3" w:rsidRDefault="00614555" w:rsidP="009C1CF3">
      <w:pPr>
        <w:pStyle w:val="Heading2"/>
        <w:rPr>
          <w:rStyle w:val="Heading2Char"/>
          <w:b/>
        </w:rPr>
      </w:pPr>
      <w:bookmarkStart w:id="98" w:name="_Toc496101030"/>
      <w:bookmarkStart w:id="99" w:name="_Toc182327718"/>
      <w:bookmarkStart w:id="100" w:name="_Toc184808161"/>
      <w:r w:rsidRPr="009C1CF3">
        <w:rPr>
          <w:rStyle w:val="Heading2Char"/>
          <w:b/>
        </w:rPr>
        <w:t>Description of emission</w:t>
      </w:r>
      <w:r w:rsidR="00B62C26" w:rsidRPr="009C1CF3">
        <w:rPr>
          <w:rStyle w:val="Heading2Char"/>
          <w:b/>
        </w:rPr>
        <w:t xml:space="preserve"> and removal</w:t>
      </w:r>
      <w:r w:rsidRPr="009C1CF3">
        <w:rPr>
          <w:rStyle w:val="Heading2Char"/>
          <w:b/>
        </w:rPr>
        <w:t xml:space="preserve"> trends for aggregated GHG emissions</w:t>
      </w:r>
      <w:bookmarkEnd w:id="98"/>
      <w:r w:rsidR="004455F0" w:rsidRPr="009C1CF3">
        <w:rPr>
          <w:rStyle w:val="Heading2Char"/>
          <w:b/>
        </w:rPr>
        <w:t xml:space="preserve"> and removals</w:t>
      </w:r>
      <w:bookmarkEnd w:id="99"/>
      <w:bookmarkEnd w:id="100"/>
    </w:p>
    <w:p w14:paraId="7F9C0A1A" w14:textId="3F2E1855" w:rsidR="00E85D88" w:rsidRDefault="005777B2" w:rsidP="00622F40">
      <w:pPr>
        <w:rPr>
          <w:lang w:val="en-US"/>
        </w:rPr>
      </w:pPr>
      <w:r w:rsidRPr="00622F40">
        <w:rPr>
          <w:lang w:val="en-US"/>
        </w:rPr>
        <w:t>The</w:t>
      </w:r>
      <w:r w:rsidR="00097EFC" w:rsidRPr="00622F40">
        <w:rPr>
          <w:lang w:val="en-US"/>
        </w:rPr>
        <w:t xml:space="preserve"> </w:t>
      </w:r>
      <w:r w:rsidR="00276E89" w:rsidRPr="00622F40">
        <w:rPr>
          <w:lang w:val="en-US"/>
        </w:rPr>
        <w:t xml:space="preserve">observed trend for the </w:t>
      </w:r>
      <w:r w:rsidR="00A0367A" w:rsidRPr="00622F40">
        <w:rPr>
          <w:lang w:val="en-US"/>
        </w:rPr>
        <w:t>aggregated GHG emissions</w:t>
      </w:r>
      <w:r w:rsidR="00276E89" w:rsidRPr="00622F40">
        <w:rPr>
          <w:lang w:val="en-US"/>
        </w:rPr>
        <w:t xml:space="preserve"> in the Republic of Serbia is a </w:t>
      </w:r>
      <w:r w:rsidR="00BF38AF">
        <w:rPr>
          <w:lang w:val="en-US"/>
        </w:rPr>
        <w:t>reduction</w:t>
      </w:r>
      <w:r w:rsidR="00276E89" w:rsidRPr="00622F40">
        <w:rPr>
          <w:lang w:val="en-US"/>
        </w:rPr>
        <w:t xml:space="preserve"> of </w:t>
      </w:r>
      <w:r w:rsidR="0048710F">
        <w:rPr>
          <w:lang w:val="en-US"/>
        </w:rPr>
        <w:t>24.3</w:t>
      </w:r>
      <w:r w:rsidR="0040358E" w:rsidRPr="00622F40">
        <w:rPr>
          <w:lang w:val="en-US"/>
        </w:rPr>
        <w:t>%, excluding the LULUCF contribution</w:t>
      </w:r>
      <w:r w:rsidR="00B83602" w:rsidRPr="00622F40">
        <w:rPr>
          <w:lang w:val="en-US"/>
        </w:rPr>
        <w:t xml:space="preserve">, </w:t>
      </w:r>
      <w:r w:rsidR="00F41E2D" w:rsidRPr="00622F40">
        <w:rPr>
          <w:lang w:val="en-US"/>
        </w:rPr>
        <w:t xml:space="preserve">between 1990 and 2022. Considering the contribution of the </w:t>
      </w:r>
      <w:r w:rsidR="00F41E2D">
        <w:rPr>
          <w:lang w:val="en-US"/>
        </w:rPr>
        <w:t>LULUCF sector, the total national GHG emissions, expressed in CO</w:t>
      </w:r>
      <w:r w:rsidR="00F41E2D" w:rsidRPr="00622F40">
        <w:rPr>
          <w:vertAlign w:val="subscript"/>
          <w:lang w:val="en-US"/>
        </w:rPr>
        <w:t>2</w:t>
      </w:r>
      <w:r w:rsidR="00F41E2D">
        <w:rPr>
          <w:lang w:val="en-US"/>
        </w:rPr>
        <w:t xml:space="preserve">e, </w:t>
      </w:r>
      <w:r w:rsidR="00BF38AF">
        <w:rPr>
          <w:lang w:val="en-US"/>
        </w:rPr>
        <w:t>decreased by 2</w:t>
      </w:r>
      <w:r w:rsidR="0048710F">
        <w:rPr>
          <w:lang w:val="en-US"/>
        </w:rPr>
        <w:t>8.6</w:t>
      </w:r>
      <w:r w:rsidR="00BF38AF">
        <w:rPr>
          <w:lang w:val="en-US"/>
        </w:rPr>
        <w:t>%</w:t>
      </w:r>
      <w:r w:rsidR="00C55AB9">
        <w:rPr>
          <w:lang w:val="en-US"/>
        </w:rPr>
        <w:t xml:space="preserve"> over the same period. </w:t>
      </w:r>
      <w:r w:rsidR="009A57B1">
        <w:rPr>
          <w:lang w:val="en-US"/>
        </w:rPr>
        <w:t xml:space="preserve">This overall </w:t>
      </w:r>
      <w:r w:rsidR="002E4269">
        <w:rPr>
          <w:lang w:val="en-US"/>
        </w:rPr>
        <w:t>decrease</w:t>
      </w:r>
      <w:r w:rsidR="009A57B1">
        <w:rPr>
          <w:lang w:val="en-US"/>
        </w:rPr>
        <w:t xml:space="preserve"> is </w:t>
      </w:r>
      <w:r w:rsidR="009F0027">
        <w:rPr>
          <w:lang w:val="en-US"/>
        </w:rPr>
        <w:t xml:space="preserve">the result of </w:t>
      </w:r>
      <w:r w:rsidR="00B218EF">
        <w:rPr>
          <w:lang w:val="en-US"/>
        </w:rPr>
        <w:t xml:space="preserve">the respective </w:t>
      </w:r>
      <w:r w:rsidR="002E4269">
        <w:rPr>
          <w:lang w:val="en-US"/>
        </w:rPr>
        <w:t>reduction</w:t>
      </w:r>
      <w:r w:rsidR="00B218EF">
        <w:rPr>
          <w:lang w:val="en-US"/>
        </w:rPr>
        <w:t xml:space="preserve">s in the emissions of all substances compared with 1990, excepted for HFC emissions which were not occurring by the time. The observed trend of emissions is also </w:t>
      </w:r>
      <w:r w:rsidR="00DD769D">
        <w:rPr>
          <w:lang w:val="en-US"/>
        </w:rPr>
        <w:t xml:space="preserve">the result of the </w:t>
      </w:r>
      <w:r w:rsidR="00397B3E">
        <w:rPr>
          <w:lang w:val="en-US"/>
        </w:rPr>
        <w:t xml:space="preserve">changes in the </w:t>
      </w:r>
      <w:r w:rsidR="00AA54E5">
        <w:rPr>
          <w:lang w:val="en-US"/>
        </w:rPr>
        <w:t xml:space="preserve">climate severity depending on the </w:t>
      </w:r>
      <w:r w:rsidR="00FB1712">
        <w:rPr>
          <w:lang w:val="en-US"/>
        </w:rPr>
        <w:t xml:space="preserve">years, as well as the economic and </w:t>
      </w:r>
      <w:r w:rsidR="00BE7090">
        <w:rPr>
          <w:lang w:val="en-US"/>
        </w:rPr>
        <w:t>conjunctural situations.</w:t>
      </w:r>
      <w:r w:rsidR="0077664F">
        <w:rPr>
          <w:lang w:val="en-US"/>
        </w:rPr>
        <w:t xml:space="preserve"> After the collapse of Socialistic Federal Republic of Yugoslavia (SFRJ) in 1991, The </w:t>
      </w:r>
      <w:r w:rsidR="00D93B91">
        <w:rPr>
          <w:lang w:val="en-US"/>
        </w:rPr>
        <w:t>Federal Republic of Y</w:t>
      </w:r>
      <w:r w:rsidR="00AC4576">
        <w:rPr>
          <w:lang w:val="en-US"/>
        </w:rPr>
        <w:t>ugoslavia</w:t>
      </w:r>
      <w:r w:rsidR="0077664F">
        <w:rPr>
          <w:lang w:val="en-US"/>
        </w:rPr>
        <w:t xml:space="preserve"> (FRJ)</w:t>
      </w:r>
      <w:r w:rsidR="00AC4576">
        <w:rPr>
          <w:lang w:val="en-US"/>
        </w:rPr>
        <w:t>, of which the Republic of Serbia was part of,</w:t>
      </w:r>
      <w:r w:rsidR="00E06248">
        <w:rPr>
          <w:lang w:val="en-US"/>
        </w:rPr>
        <w:t xml:space="preserve"> between 1992 and 1995, the </w:t>
      </w:r>
      <w:r w:rsidR="00845B0A">
        <w:rPr>
          <w:lang w:val="en-US"/>
        </w:rPr>
        <w:t xml:space="preserve">experienced </w:t>
      </w:r>
      <w:r w:rsidR="00884807">
        <w:rPr>
          <w:lang w:val="en-US"/>
        </w:rPr>
        <w:t>a long period of hyperinflation</w:t>
      </w:r>
      <w:r w:rsidR="0077664F">
        <w:rPr>
          <w:lang w:val="en-US"/>
        </w:rPr>
        <w:t xml:space="preserve"> and </w:t>
      </w:r>
      <w:r w:rsidR="00E06248">
        <w:rPr>
          <w:lang w:val="en-US"/>
        </w:rPr>
        <w:t xml:space="preserve">was affected by the </w:t>
      </w:r>
      <w:r w:rsidR="0077664F">
        <w:rPr>
          <w:lang w:val="en-US"/>
        </w:rPr>
        <w:t>war in the Balkan</w:t>
      </w:r>
      <w:r w:rsidR="00884807">
        <w:rPr>
          <w:lang w:val="en-US"/>
        </w:rPr>
        <w:t xml:space="preserve">, </w:t>
      </w:r>
      <w:r w:rsidR="002F57EC">
        <w:rPr>
          <w:lang w:val="en-US"/>
        </w:rPr>
        <w:t xml:space="preserve">resulting in a drastic deterioration of the economy, and consequently of the GHG emissions. </w:t>
      </w:r>
      <w:r w:rsidR="00791D90">
        <w:rPr>
          <w:lang w:val="en-US"/>
        </w:rPr>
        <w:t xml:space="preserve">Moreover, </w:t>
      </w:r>
      <w:r w:rsidR="00624252">
        <w:rPr>
          <w:lang w:val="en-US"/>
        </w:rPr>
        <w:t xml:space="preserve">another event which led to a change in the GHG emission trend </w:t>
      </w:r>
      <w:r w:rsidR="00E06248">
        <w:rPr>
          <w:lang w:val="en-US"/>
        </w:rPr>
        <w:t>was</w:t>
      </w:r>
      <w:r w:rsidR="002D7862">
        <w:rPr>
          <w:lang w:val="en-US"/>
        </w:rPr>
        <w:t xml:space="preserve"> the </w:t>
      </w:r>
      <w:r w:rsidR="0077664F">
        <w:rPr>
          <w:lang w:val="en-US"/>
        </w:rPr>
        <w:t xml:space="preserve">NATO </w:t>
      </w:r>
      <w:r w:rsidR="002D7862">
        <w:rPr>
          <w:lang w:val="en-US"/>
        </w:rPr>
        <w:t>bombing in 1999</w:t>
      </w:r>
      <w:r w:rsidR="00791D90">
        <w:rPr>
          <w:lang w:val="en-US"/>
        </w:rPr>
        <w:t xml:space="preserve">. </w:t>
      </w:r>
      <w:r w:rsidR="00E06248">
        <w:rPr>
          <w:lang w:val="en-US"/>
        </w:rPr>
        <w:t>After the slow recovery at the beginning of the millennia, t</w:t>
      </w:r>
      <w:r w:rsidR="00837202">
        <w:rPr>
          <w:lang w:val="en-US"/>
        </w:rPr>
        <w:t>he year 2009</w:t>
      </w:r>
      <w:r w:rsidR="00EE3EEA">
        <w:rPr>
          <w:lang w:val="en-US"/>
        </w:rPr>
        <w:t xml:space="preserve"> was marked by a global economic downturn</w:t>
      </w:r>
      <w:r w:rsidR="00E06248">
        <w:rPr>
          <w:lang w:val="en-US"/>
        </w:rPr>
        <w:t>.</w:t>
      </w:r>
      <w:r w:rsidR="00EE3EEA">
        <w:rPr>
          <w:lang w:val="en-US"/>
        </w:rPr>
        <w:t xml:space="preserve"> </w:t>
      </w:r>
      <w:r w:rsidR="00E06248">
        <w:rPr>
          <w:lang w:val="en-US"/>
        </w:rPr>
        <w:t xml:space="preserve">In addition, </w:t>
      </w:r>
      <w:r w:rsidR="00B773DF">
        <w:rPr>
          <w:lang w:val="en-US"/>
        </w:rPr>
        <w:t xml:space="preserve">some </w:t>
      </w:r>
      <w:r w:rsidR="00E06248">
        <w:rPr>
          <w:lang w:val="en-US"/>
        </w:rPr>
        <w:t>extensive</w:t>
      </w:r>
      <w:r w:rsidR="00270AC9">
        <w:rPr>
          <w:lang w:val="en-US"/>
        </w:rPr>
        <w:t xml:space="preserve"> floodings </w:t>
      </w:r>
      <w:r w:rsidR="00B773DF">
        <w:rPr>
          <w:lang w:val="en-US"/>
        </w:rPr>
        <w:t>occurred in</w:t>
      </w:r>
      <w:r w:rsidR="00EE3EEA">
        <w:rPr>
          <w:lang w:val="en-US"/>
        </w:rPr>
        <w:t xml:space="preserve"> 2014</w:t>
      </w:r>
      <w:r w:rsidR="00890F46">
        <w:rPr>
          <w:lang w:val="en-US"/>
        </w:rPr>
        <w:t>,</w:t>
      </w:r>
      <w:r w:rsidR="00B773DF">
        <w:rPr>
          <w:lang w:val="en-US"/>
        </w:rPr>
        <w:t xml:space="preserve"> leading to </w:t>
      </w:r>
      <w:r w:rsidR="005A7B17">
        <w:rPr>
          <w:lang w:val="en-US"/>
        </w:rPr>
        <w:t>a least exploitation</w:t>
      </w:r>
      <w:r w:rsidR="00890F46">
        <w:rPr>
          <w:lang w:val="en-US"/>
        </w:rPr>
        <w:t xml:space="preserve"> </w:t>
      </w:r>
      <w:r w:rsidR="005A7B17">
        <w:rPr>
          <w:lang w:val="en-US"/>
        </w:rPr>
        <w:t xml:space="preserve">of </w:t>
      </w:r>
      <w:r w:rsidR="00E06248">
        <w:rPr>
          <w:lang w:val="en-US"/>
        </w:rPr>
        <w:t xml:space="preserve">surface coal </w:t>
      </w:r>
      <w:r w:rsidR="005A7B17">
        <w:rPr>
          <w:lang w:val="en-US"/>
        </w:rPr>
        <w:t xml:space="preserve">mines, </w:t>
      </w:r>
      <w:r w:rsidR="00E06248">
        <w:rPr>
          <w:lang w:val="en-US"/>
        </w:rPr>
        <w:t xml:space="preserve">which can be observed in </w:t>
      </w:r>
      <w:r w:rsidR="00697906">
        <w:rPr>
          <w:lang w:val="en-US"/>
        </w:rPr>
        <w:t xml:space="preserve">the drop in emissions for these two years. </w:t>
      </w:r>
      <w:r w:rsidR="00246CF9">
        <w:rPr>
          <w:lang w:val="en-US"/>
        </w:rPr>
        <w:t>During the year 202</w:t>
      </w:r>
      <w:r w:rsidR="00A00452">
        <w:rPr>
          <w:lang w:val="en-US"/>
        </w:rPr>
        <w:t>0</w:t>
      </w:r>
      <w:r w:rsidR="00246CF9">
        <w:rPr>
          <w:lang w:val="en-US"/>
        </w:rPr>
        <w:t xml:space="preserve">, </w:t>
      </w:r>
      <w:r w:rsidR="00100259">
        <w:rPr>
          <w:lang w:val="en-US"/>
        </w:rPr>
        <w:t>the</w:t>
      </w:r>
      <w:r w:rsidR="005061FC">
        <w:rPr>
          <w:lang w:val="en-US"/>
        </w:rPr>
        <w:t xml:space="preserve"> </w:t>
      </w:r>
      <w:r w:rsidR="00246CF9">
        <w:rPr>
          <w:lang w:val="en-US"/>
        </w:rPr>
        <w:t>global</w:t>
      </w:r>
      <w:r w:rsidR="005061FC">
        <w:rPr>
          <w:lang w:val="en-US"/>
        </w:rPr>
        <w:t xml:space="preserve"> pandemic related to C</w:t>
      </w:r>
      <w:r w:rsidR="00E06248">
        <w:rPr>
          <w:lang w:val="en-US"/>
        </w:rPr>
        <w:t>OVID</w:t>
      </w:r>
      <w:r w:rsidR="005061FC">
        <w:rPr>
          <w:lang w:val="en-US"/>
        </w:rPr>
        <w:t xml:space="preserve"> virus </w:t>
      </w:r>
      <w:r w:rsidR="00AC0866">
        <w:rPr>
          <w:lang w:val="en-US"/>
        </w:rPr>
        <w:t>is observed</w:t>
      </w:r>
      <w:r w:rsidR="005061FC">
        <w:rPr>
          <w:lang w:val="en-US"/>
        </w:rPr>
        <w:t xml:space="preserve"> </w:t>
      </w:r>
      <w:r w:rsidR="00A00452">
        <w:rPr>
          <w:lang w:val="en-US"/>
        </w:rPr>
        <w:t xml:space="preserve">to have a relatively moderate </w:t>
      </w:r>
      <w:r w:rsidR="00124F16">
        <w:rPr>
          <w:lang w:val="en-US"/>
        </w:rPr>
        <w:t>impact on the Serbian GHG emissions</w:t>
      </w:r>
      <w:r w:rsidR="00100259">
        <w:rPr>
          <w:lang w:val="en-US"/>
        </w:rPr>
        <w:t xml:space="preserve">. </w:t>
      </w:r>
    </w:p>
    <w:p w14:paraId="5F83D8BE" w14:textId="5E5D79E4" w:rsidR="00960DBE" w:rsidRPr="00622F40" w:rsidRDefault="00960DBE" w:rsidP="0048710F">
      <w:pPr>
        <w:rPr>
          <w:lang w:val="en-US"/>
        </w:rPr>
      </w:pPr>
      <w:r>
        <w:rPr>
          <w:lang w:val="en-US"/>
        </w:rPr>
        <w:t xml:space="preserve">The following table </w:t>
      </w:r>
      <w:r w:rsidR="00110E46">
        <w:rPr>
          <w:lang w:val="en-US"/>
        </w:rPr>
        <w:t xml:space="preserve">and graph </w:t>
      </w:r>
      <w:r>
        <w:rPr>
          <w:lang w:val="en-US"/>
        </w:rPr>
        <w:t>present the evolution of the national GHG emissions</w:t>
      </w:r>
      <w:r w:rsidR="00110E46">
        <w:rPr>
          <w:lang w:val="en-US"/>
        </w:rPr>
        <w:t xml:space="preserve"> for the Republic of Serbia</w:t>
      </w:r>
      <w:r>
        <w:rPr>
          <w:lang w:val="en-US"/>
        </w:rPr>
        <w:t xml:space="preserve">, per </w:t>
      </w:r>
      <w:r w:rsidR="000F6001">
        <w:rPr>
          <w:lang w:val="en-US"/>
        </w:rPr>
        <w:t>CRT</w:t>
      </w:r>
      <w:r>
        <w:rPr>
          <w:lang w:val="en-US"/>
        </w:rPr>
        <w:t xml:space="preserve"> sector, between 1990 and 2022.</w:t>
      </w:r>
      <w:r w:rsidR="00110E46">
        <w:rPr>
          <w:lang w:val="en-US"/>
        </w:rPr>
        <w:t xml:space="preserve"> </w:t>
      </w:r>
    </w:p>
    <w:p w14:paraId="1958629B" w14:textId="79712717" w:rsidR="00DD70A2" w:rsidRDefault="00DD70A2" w:rsidP="00DD70A2">
      <w:pPr>
        <w:pStyle w:val="Caption"/>
        <w:keepNext/>
        <w:jc w:val="both"/>
      </w:pPr>
      <w:bookmarkStart w:id="101" w:name="_Toc184808550"/>
      <w:r>
        <w:t xml:space="preserve">Table </w:t>
      </w:r>
      <w:r>
        <w:fldChar w:fldCharType="begin"/>
      </w:r>
      <w:r>
        <w:instrText xml:space="preserve"> SEQ Table \* ARABIC </w:instrText>
      </w:r>
      <w:r>
        <w:fldChar w:fldCharType="separate"/>
      </w:r>
      <w:r w:rsidR="00F14C78">
        <w:rPr>
          <w:noProof/>
        </w:rPr>
        <w:t>8</w:t>
      </w:r>
      <w:r>
        <w:fldChar w:fldCharType="end"/>
      </w:r>
      <w:r>
        <w:t xml:space="preserve">: </w:t>
      </w:r>
      <w:r w:rsidRPr="00622F40">
        <w:t>Total GHG emissions in the Republic of Serbia for the period 1990-2022 (in kt CO</w:t>
      </w:r>
      <w:r w:rsidRPr="00622F40">
        <w:rPr>
          <w:vertAlign w:val="subscript"/>
        </w:rPr>
        <w:t>2</w:t>
      </w:r>
      <w:r w:rsidRPr="00622F40">
        <w:t>e)</w:t>
      </w:r>
      <w:bookmarkEnd w:id="101"/>
    </w:p>
    <w:p w14:paraId="52C5AEAA" w14:textId="08BA9B17" w:rsidR="00D315D6" w:rsidRDefault="00E82591" w:rsidP="00D315D6">
      <w:r w:rsidRPr="00E82591">
        <w:rPr>
          <w:noProof/>
          <w:lang w:val="en-US"/>
        </w:rPr>
        <w:drawing>
          <wp:inline distT="0" distB="0" distL="0" distR="0" wp14:anchorId="23C0ADA2" wp14:editId="50769F93">
            <wp:extent cx="6102111" cy="1895475"/>
            <wp:effectExtent l="0" t="0" r="0" b="0"/>
            <wp:docPr id="2090600686"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2535" cy="1895607"/>
                    </a:xfrm>
                    <a:prstGeom prst="rect">
                      <a:avLst/>
                    </a:prstGeom>
                    <a:noFill/>
                    <a:ln>
                      <a:noFill/>
                    </a:ln>
                  </pic:spPr>
                </pic:pic>
              </a:graphicData>
            </a:graphic>
          </wp:inline>
        </w:drawing>
      </w:r>
    </w:p>
    <w:p w14:paraId="16DA18D2" w14:textId="77777777" w:rsidR="00E06248" w:rsidRPr="00E06248" w:rsidRDefault="00E06248" w:rsidP="00E06248">
      <w:pPr>
        <w:spacing w:before="100" w:beforeAutospacing="1" w:after="100" w:afterAutospacing="1" w:line="240" w:lineRule="auto"/>
        <w:rPr>
          <w:rFonts w:eastAsia="Times New Roman" w:cstheme="minorHAnsi"/>
          <w:szCs w:val="20"/>
          <w:lang w:val="en-US"/>
        </w:rPr>
      </w:pPr>
      <w:r w:rsidRPr="00E06248">
        <w:rPr>
          <w:rFonts w:eastAsia="Times New Roman" w:cstheme="minorHAnsi"/>
          <w:szCs w:val="20"/>
          <w:lang w:val="en-US"/>
        </w:rPr>
        <w:t xml:space="preserve">Per capita GHG emissions (excluding LULUCF) increased by 8% between 1990 and 2022, rising from 8.5 to 9.2 kg </w:t>
      </w:r>
      <w:proofErr w:type="spellStart"/>
      <w:r w:rsidRPr="00E06248">
        <w:rPr>
          <w:rFonts w:eastAsia="Times New Roman" w:cstheme="minorHAnsi"/>
          <w:szCs w:val="20"/>
          <w:lang w:val="en-US"/>
        </w:rPr>
        <w:t>CO₂e</w:t>
      </w:r>
      <w:proofErr w:type="spellEnd"/>
      <w:r w:rsidRPr="00E06248">
        <w:rPr>
          <w:rFonts w:eastAsia="Times New Roman" w:cstheme="minorHAnsi"/>
          <w:szCs w:val="20"/>
          <w:lang w:val="en-US"/>
        </w:rPr>
        <w:t xml:space="preserve"> per inhabitant. This increase reflects a faster population decline (-30%) compared to the reduction in GHG emissions (excluding LULUCF) of -24%. When considering the LULUCF contribution, per capita emissions remained nearly stable over the same period.</w:t>
      </w:r>
    </w:p>
    <w:p w14:paraId="47F6FD2A" w14:textId="77777777" w:rsidR="00E06248" w:rsidRPr="00E06248" w:rsidRDefault="00E06248" w:rsidP="00E06248">
      <w:pPr>
        <w:spacing w:before="100" w:beforeAutospacing="1" w:after="100" w:afterAutospacing="1" w:line="240" w:lineRule="auto"/>
        <w:rPr>
          <w:rFonts w:eastAsia="Times New Roman" w:cstheme="minorHAnsi"/>
          <w:szCs w:val="20"/>
          <w:lang w:val="en-US"/>
        </w:rPr>
      </w:pPr>
      <w:r w:rsidRPr="00E06248">
        <w:rPr>
          <w:rFonts w:eastAsia="Times New Roman" w:cstheme="minorHAnsi"/>
          <w:szCs w:val="20"/>
          <w:lang w:val="en-US"/>
        </w:rPr>
        <w:t>From an economic perspective, GHG emissions per unit of GDP decreased significantly by 52% over the entire time series (excluding LULUCF), driven by a 57% increase in GDP alongside a decline in overall GHG emissions</w:t>
      </w:r>
    </w:p>
    <w:p w14:paraId="5D625FC9" w14:textId="1BEAB979" w:rsidR="00375465" w:rsidRDefault="00375465" w:rsidP="0048710F"/>
    <w:p w14:paraId="5E2B5871" w14:textId="4D1CB082" w:rsidR="00F05FA1" w:rsidRDefault="00DD70A2" w:rsidP="00DD70A2">
      <w:pPr>
        <w:pStyle w:val="Caption"/>
        <w:keepNext/>
        <w:jc w:val="both"/>
      </w:pPr>
      <w:bookmarkStart w:id="102" w:name="_Toc184808551"/>
      <w:r>
        <w:lastRenderedPageBreak/>
        <w:t xml:space="preserve">Table </w:t>
      </w:r>
      <w:r>
        <w:fldChar w:fldCharType="begin"/>
      </w:r>
      <w:r>
        <w:instrText xml:space="preserve"> SEQ Table \* ARABIC </w:instrText>
      </w:r>
      <w:r>
        <w:fldChar w:fldCharType="separate"/>
      </w:r>
      <w:r w:rsidR="00F14C78">
        <w:rPr>
          <w:noProof/>
        </w:rPr>
        <w:t>9</w:t>
      </w:r>
      <w:r>
        <w:fldChar w:fldCharType="end"/>
      </w:r>
      <w:r>
        <w:t xml:space="preserve">: </w:t>
      </w:r>
      <w:r w:rsidRPr="00622F40">
        <w:t>Total GHG emissions per GDP (kg CO</w:t>
      </w:r>
      <w:r w:rsidRPr="00622F40">
        <w:rPr>
          <w:vertAlign w:val="subscript"/>
        </w:rPr>
        <w:t>2</w:t>
      </w:r>
      <w:r w:rsidRPr="00622F40">
        <w:t>e/$) and per capita (t CO</w:t>
      </w:r>
      <w:r w:rsidRPr="00622F40">
        <w:rPr>
          <w:vertAlign w:val="subscript"/>
        </w:rPr>
        <w:t>2</w:t>
      </w:r>
      <w:r w:rsidRPr="00622F40">
        <w:t>e/inhabitant), in the Republic of Serbia, for the period 1990-2022</w:t>
      </w:r>
      <w:bookmarkEnd w:id="102"/>
    </w:p>
    <w:p w14:paraId="48F29381" w14:textId="728E74FF" w:rsidR="00946FB5" w:rsidRDefault="00946FB5" w:rsidP="003631EA">
      <w:pPr>
        <w:pStyle w:val="Caption"/>
        <w:keepNext/>
        <w:spacing w:before="0"/>
        <w:jc w:val="both"/>
      </w:pPr>
      <w:r w:rsidRPr="00946FB5">
        <w:rPr>
          <w:noProof/>
          <w:lang w:val="en-US"/>
        </w:rPr>
        <w:drawing>
          <wp:inline distT="0" distB="0" distL="0" distR="0" wp14:anchorId="27FAEF0C" wp14:editId="37149E3C">
            <wp:extent cx="5760720" cy="935355"/>
            <wp:effectExtent l="0" t="0" r="0" b="0"/>
            <wp:docPr id="277533438"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935355"/>
                    </a:xfrm>
                    <a:prstGeom prst="rect">
                      <a:avLst/>
                    </a:prstGeom>
                    <a:noFill/>
                    <a:ln>
                      <a:noFill/>
                    </a:ln>
                  </pic:spPr>
                </pic:pic>
              </a:graphicData>
            </a:graphic>
          </wp:inline>
        </w:drawing>
      </w:r>
    </w:p>
    <w:p w14:paraId="4F5A9D96" w14:textId="77777777" w:rsidR="003631EA" w:rsidRPr="003631EA" w:rsidRDefault="003631EA" w:rsidP="003631EA"/>
    <w:p w14:paraId="04CA82C8" w14:textId="0A565839" w:rsidR="00D315D6" w:rsidRPr="002462F0" w:rsidRDefault="00967AF9" w:rsidP="003631EA">
      <w:pPr>
        <w:spacing w:after="0"/>
      </w:pPr>
      <w:r>
        <w:rPr>
          <w:noProof/>
          <w:lang w:val="en-US"/>
        </w:rPr>
        <w:drawing>
          <wp:inline distT="0" distB="0" distL="0" distR="0" wp14:anchorId="72A71708" wp14:editId="0D6F8AB0">
            <wp:extent cx="5940958" cy="2858077"/>
            <wp:effectExtent l="0" t="0" r="3175" b="0"/>
            <wp:docPr id="1056734381"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49" cy="2861200"/>
                    </a:xfrm>
                    <a:prstGeom prst="rect">
                      <a:avLst/>
                    </a:prstGeom>
                    <a:noFill/>
                  </pic:spPr>
                </pic:pic>
              </a:graphicData>
            </a:graphic>
          </wp:inline>
        </w:drawing>
      </w:r>
    </w:p>
    <w:p w14:paraId="23C1A269" w14:textId="77777777" w:rsidR="003631EA" w:rsidRPr="002462F0" w:rsidRDefault="003631EA" w:rsidP="003631EA">
      <w:pPr>
        <w:pStyle w:val="Caption"/>
        <w:spacing w:before="0" w:after="0"/>
        <w:jc w:val="both"/>
        <w:rPr>
          <w:sz w:val="22"/>
          <w:lang w:eastAsia="fr-FR"/>
        </w:rPr>
      </w:pPr>
      <w:bookmarkStart w:id="103" w:name="_Toc184808389"/>
      <w:r w:rsidRPr="007759DA">
        <w:t xml:space="preserve">Figure </w:t>
      </w:r>
      <w:r w:rsidRPr="007759DA">
        <w:fldChar w:fldCharType="begin"/>
      </w:r>
      <w:r w:rsidRPr="007759DA">
        <w:instrText xml:space="preserve"> SEQ Figure \* ARABIC </w:instrText>
      </w:r>
      <w:r w:rsidRPr="007759DA">
        <w:fldChar w:fldCharType="separate"/>
      </w:r>
      <w:r w:rsidRPr="007759DA">
        <w:rPr>
          <w:noProof/>
        </w:rPr>
        <w:t>2</w:t>
      </w:r>
      <w:r w:rsidRPr="007759DA">
        <w:fldChar w:fldCharType="end"/>
      </w:r>
      <w:r w:rsidRPr="007759DA">
        <w:t>: Total GHG emissions, including LULUCF, in the Republic of Serbia (in kt CO</w:t>
      </w:r>
      <w:r w:rsidRPr="007759DA">
        <w:rPr>
          <w:vertAlign w:val="subscript"/>
        </w:rPr>
        <w:t>2</w:t>
      </w:r>
      <w:r w:rsidRPr="007759DA">
        <w:t>e), with CRT main sector contributions, over the period 1990-2022</w:t>
      </w:r>
      <w:bookmarkEnd w:id="103"/>
    </w:p>
    <w:p w14:paraId="38EAD387" w14:textId="77777777" w:rsidR="003631EA" w:rsidRDefault="003631EA" w:rsidP="00612252">
      <w:pPr>
        <w:autoSpaceDE w:val="0"/>
        <w:autoSpaceDN w:val="0"/>
        <w:adjustRightInd w:val="0"/>
        <w:spacing w:after="0" w:line="240" w:lineRule="auto"/>
        <w:jc w:val="left"/>
        <w:rPr>
          <w:rFonts w:cs="Cambria"/>
          <w:lang w:val="en-US"/>
        </w:rPr>
      </w:pPr>
    </w:p>
    <w:p w14:paraId="557C84A5" w14:textId="7ED47DCB" w:rsidR="0031650F" w:rsidRDefault="0031650F" w:rsidP="00612252">
      <w:pPr>
        <w:autoSpaceDE w:val="0"/>
        <w:autoSpaceDN w:val="0"/>
        <w:adjustRightInd w:val="0"/>
        <w:spacing w:after="0" w:line="240" w:lineRule="auto"/>
        <w:jc w:val="left"/>
        <w:rPr>
          <w:rFonts w:cs="Cambria"/>
          <w:lang w:val="en-US"/>
        </w:rPr>
      </w:pPr>
      <w:r>
        <w:rPr>
          <w:rFonts w:cs="Cambria"/>
          <w:lang w:val="en-US"/>
        </w:rPr>
        <w:t xml:space="preserve">The relative contributions of each GHG </w:t>
      </w:r>
      <w:r w:rsidR="000C3AC5">
        <w:rPr>
          <w:rFonts w:cs="Cambria"/>
          <w:lang w:val="en-US"/>
        </w:rPr>
        <w:t>on the national aggregated GHG emissions</w:t>
      </w:r>
      <w:r w:rsidR="00215D96">
        <w:rPr>
          <w:rFonts w:cs="Cambria"/>
          <w:lang w:val="en-US"/>
        </w:rPr>
        <w:t>, excluding LULUCF</w:t>
      </w:r>
      <w:r w:rsidR="000C3AC5">
        <w:rPr>
          <w:rFonts w:cs="Cambria"/>
          <w:lang w:val="en-US"/>
        </w:rPr>
        <w:t>, between 1990 and 2022, evolve as follows:</w:t>
      </w:r>
    </w:p>
    <w:p w14:paraId="614182CC" w14:textId="77777777" w:rsidR="000C3AC5" w:rsidRDefault="000C3AC5" w:rsidP="00612252">
      <w:pPr>
        <w:autoSpaceDE w:val="0"/>
        <w:autoSpaceDN w:val="0"/>
        <w:adjustRightInd w:val="0"/>
        <w:spacing w:after="0" w:line="240" w:lineRule="auto"/>
        <w:jc w:val="left"/>
        <w:rPr>
          <w:rFonts w:cs="Cambria"/>
          <w:lang w:val="en-US"/>
        </w:rPr>
      </w:pPr>
    </w:p>
    <w:p w14:paraId="000CCDEA" w14:textId="3E5BC8BD" w:rsidR="00BB3A29" w:rsidRDefault="00EA3D77" w:rsidP="00622F40">
      <w:pPr>
        <w:keepNext/>
        <w:autoSpaceDE w:val="0"/>
        <w:autoSpaceDN w:val="0"/>
        <w:adjustRightInd w:val="0"/>
        <w:spacing w:after="0" w:line="240" w:lineRule="auto"/>
        <w:jc w:val="left"/>
      </w:pPr>
      <w:r>
        <w:rPr>
          <w:noProof/>
          <w:lang w:val="en-US"/>
        </w:rPr>
        <w:drawing>
          <wp:inline distT="0" distB="0" distL="0" distR="0" wp14:anchorId="3D6E1A16" wp14:editId="30A2A0EA">
            <wp:extent cx="2880000" cy="1731191"/>
            <wp:effectExtent l="0" t="0" r="0" b="2540"/>
            <wp:docPr id="21202721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731191"/>
                    </a:xfrm>
                    <a:prstGeom prst="rect">
                      <a:avLst/>
                    </a:prstGeom>
                    <a:noFill/>
                  </pic:spPr>
                </pic:pic>
              </a:graphicData>
            </a:graphic>
          </wp:inline>
        </w:drawing>
      </w:r>
      <w:r w:rsidR="00FC6D36">
        <w:rPr>
          <w:noProof/>
          <w:lang w:val="en-US"/>
        </w:rPr>
        <w:drawing>
          <wp:inline distT="0" distB="0" distL="0" distR="0" wp14:anchorId="42BA1934" wp14:editId="03A373EB">
            <wp:extent cx="2880000" cy="1690680"/>
            <wp:effectExtent l="0" t="0" r="0" b="5080"/>
            <wp:docPr id="2037387877"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690680"/>
                    </a:xfrm>
                    <a:prstGeom prst="rect">
                      <a:avLst/>
                    </a:prstGeom>
                    <a:noFill/>
                  </pic:spPr>
                </pic:pic>
              </a:graphicData>
            </a:graphic>
          </wp:inline>
        </w:drawing>
      </w:r>
    </w:p>
    <w:p w14:paraId="35AC3A1F" w14:textId="23BE09E3" w:rsidR="000C3AC5" w:rsidRPr="00622F40" w:rsidRDefault="00BB3A29" w:rsidP="00622F40">
      <w:pPr>
        <w:pStyle w:val="Caption"/>
        <w:jc w:val="left"/>
        <w:rPr>
          <w:rFonts w:cs="Cambria"/>
          <w:color w:val="auto"/>
          <w:sz w:val="20"/>
          <w:szCs w:val="22"/>
          <w:lang w:val="en-US"/>
        </w:rPr>
      </w:pPr>
      <w:bookmarkStart w:id="104" w:name="_Toc184808390"/>
      <w:r>
        <w:t xml:space="preserve">Figure </w:t>
      </w:r>
      <w:r>
        <w:fldChar w:fldCharType="begin"/>
      </w:r>
      <w:r>
        <w:instrText xml:space="preserve"> SEQ Figure \* ARABIC </w:instrText>
      </w:r>
      <w:r>
        <w:fldChar w:fldCharType="separate"/>
      </w:r>
      <w:r w:rsidR="00F14C78">
        <w:rPr>
          <w:noProof/>
        </w:rPr>
        <w:t>3</w:t>
      </w:r>
      <w:r>
        <w:fldChar w:fldCharType="end"/>
      </w:r>
      <w:r>
        <w:t>:</w:t>
      </w:r>
      <w:r w:rsidR="00B34D10">
        <w:t xml:space="preserve"> </w:t>
      </w:r>
      <w:r w:rsidR="00215D96">
        <w:t>Contributions of each gas on the Republic of Serbia aggregated GHG emissions, excluding LULUCF, in 1990 and 2022</w:t>
      </w:r>
      <w:bookmarkEnd w:id="104"/>
    </w:p>
    <w:p w14:paraId="70BFE960" w14:textId="03C6FAB6" w:rsidR="0031650F" w:rsidRDefault="00B07822" w:rsidP="00B60B92">
      <w:pPr>
        <w:autoSpaceDE w:val="0"/>
        <w:autoSpaceDN w:val="0"/>
        <w:adjustRightInd w:val="0"/>
        <w:spacing w:after="0" w:line="240" w:lineRule="auto"/>
        <w:rPr>
          <w:rFonts w:cs="Cambria"/>
          <w:lang w:val="en-US"/>
        </w:rPr>
      </w:pPr>
      <w:r>
        <w:rPr>
          <w:rFonts w:cs="Cambria"/>
          <w:lang w:val="en-US"/>
        </w:rPr>
        <w:t xml:space="preserve">Despite some </w:t>
      </w:r>
      <w:r w:rsidR="0012097D">
        <w:rPr>
          <w:rFonts w:cs="Cambria"/>
          <w:lang w:val="en-US"/>
        </w:rPr>
        <w:t>inter-annual variations, for the years 1990 and 2022, t</w:t>
      </w:r>
      <w:r>
        <w:rPr>
          <w:rFonts w:cs="Cambria"/>
          <w:lang w:val="en-US"/>
        </w:rPr>
        <w:t>he relative contribution of the CO</w:t>
      </w:r>
      <w:r w:rsidRPr="00622F40">
        <w:rPr>
          <w:rFonts w:cs="Cambria"/>
          <w:vertAlign w:val="subscript"/>
          <w:lang w:val="en-US"/>
        </w:rPr>
        <w:t>2</w:t>
      </w:r>
      <w:r>
        <w:rPr>
          <w:rFonts w:cs="Cambria"/>
          <w:lang w:val="en-US"/>
        </w:rPr>
        <w:t xml:space="preserve"> </w:t>
      </w:r>
      <w:r w:rsidR="0012097D">
        <w:rPr>
          <w:rFonts w:cs="Cambria"/>
          <w:lang w:val="en-US"/>
        </w:rPr>
        <w:t xml:space="preserve">to the total GHG emissions excluding LULUCF </w:t>
      </w:r>
      <w:r>
        <w:rPr>
          <w:rFonts w:cs="Cambria"/>
          <w:lang w:val="en-US"/>
        </w:rPr>
        <w:t xml:space="preserve">is </w:t>
      </w:r>
      <w:r w:rsidR="0012097D">
        <w:rPr>
          <w:rFonts w:cs="Cambria"/>
          <w:lang w:val="en-US"/>
        </w:rPr>
        <w:t>quite stable at 8</w:t>
      </w:r>
      <w:r w:rsidR="00251EE3">
        <w:rPr>
          <w:rFonts w:cs="Cambria"/>
          <w:lang w:val="en-US"/>
        </w:rPr>
        <w:t>2</w:t>
      </w:r>
      <w:r w:rsidR="0012097D">
        <w:rPr>
          <w:rFonts w:cs="Cambria"/>
          <w:lang w:val="en-US"/>
        </w:rPr>
        <w:t xml:space="preserve">%. </w:t>
      </w:r>
      <w:r w:rsidR="00A95D56">
        <w:rPr>
          <w:rFonts w:cs="Cambria"/>
          <w:lang w:val="en-US"/>
        </w:rPr>
        <w:t>However, over the whole period, the CO</w:t>
      </w:r>
      <w:r w:rsidR="00A95D56" w:rsidRPr="00622F40">
        <w:rPr>
          <w:rFonts w:cs="Cambria"/>
          <w:vertAlign w:val="subscript"/>
          <w:lang w:val="en-US"/>
        </w:rPr>
        <w:t>2</w:t>
      </w:r>
      <w:r w:rsidR="00A95D56">
        <w:rPr>
          <w:rFonts w:cs="Cambria"/>
          <w:lang w:val="en-US"/>
        </w:rPr>
        <w:t xml:space="preserve"> contribution varies between 7</w:t>
      </w:r>
      <w:r w:rsidR="00251EE3">
        <w:rPr>
          <w:rFonts w:cs="Cambria"/>
          <w:lang w:val="en-US"/>
        </w:rPr>
        <w:t>7</w:t>
      </w:r>
      <w:r w:rsidR="00A95D56">
        <w:rPr>
          <w:rFonts w:cs="Cambria"/>
          <w:lang w:val="en-US"/>
        </w:rPr>
        <w:t>% and 8</w:t>
      </w:r>
      <w:r w:rsidR="00251EE3">
        <w:rPr>
          <w:rFonts w:cs="Cambria"/>
          <w:lang w:val="en-US"/>
        </w:rPr>
        <w:t>3</w:t>
      </w:r>
      <w:r w:rsidR="00A95D56">
        <w:rPr>
          <w:rFonts w:cs="Cambria"/>
          <w:lang w:val="en-US"/>
        </w:rPr>
        <w:t xml:space="preserve">%, and </w:t>
      </w:r>
      <w:r w:rsidR="00B60B92">
        <w:rPr>
          <w:rFonts w:cs="Cambria"/>
          <w:lang w:val="en-US"/>
        </w:rPr>
        <w:t>has a mean value of 8</w:t>
      </w:r>
      <w:r w:rsidR="00251EE3">
        <w:rPr>
          <w:rFonts w:cs="Cambria"/>
          <w:lang w:val="en-US"/>
        </w:rPr>
        <w:t>1</w:t>
      </w:r>
      <w:r w:rsidR="00B60B92">
        <w:rPr>
          <w:rFonts w:cs="Cambria"/>
          <w:lang w:val="en-US"/>
        </w:rPr>
        <w:t xml:space="preserve">%. </w:t>
      </w:r>
      <w:r w:rsidR="00D3588F">
        <w:rPr>
          <w:rFonts w:cs="Cambria"/>
          <w:lang w:val="en-US"/>
        </w:rPr>
        <w:t>T</w:t>
      </w:r>
      <w:r w:rsidR="00DE0179">
        <w:rPr>
          <w:rFonts w:cs="Cambria"/>
          <w:lang w:val="en-US"/>
        </w:rPr>
        <w:t>he CH</w:t>
      </w:r>
      <w:r w:rsidR="00DE0179" w:rsidRPr="00622F40">
        <w:rPr>
          <w:rFonts w:cs="Cambria"/>
          <w:vertAlign w:val="subscript"/>
          <w:lang w:val="en-US"/>
        </w:rPr>
        <w:t>4</w:t>
      </w:r>
      <w:r w:rsidR="00DE0179">
        <w:rPr>
          <w:rFonts w:cs="Cambria"/>
          <w:lang w:val="en-US"/>
        </w:rPr>
        <w:t xml:space="preserve"> and N</w:t>
      </w:r>
      <w:r w:rsidR="00DE0179" w:rsidRPr="00622F40">
        <w:rPr>
          <w:rFonts w:cs="Cambria"/>
          <w:vertAlign w:val="subscript"/>
          <w:lang w:val="en-US"/>
        </w:rPr>
        <w:t>2</w:t>
      </w:r>
      <w:r w:rsidR="00DE0179">
        <w:rPr>
          <w:rFonts w:cs="Cambria"/>
          <w:lang w:val="en-US"/>
        </w:rPr>
        <w:t>O</w:t>
      </w:r>
      <w:r w:rsidR="00E24E99">
        <w:rPr>
          <w:rFonts w:cs="Cambria"/>
          <w:lang w:val="en-US"/>
        </w:rPr>
        <w:t xml:space="preserve"> </w:t>
      </w:r>
      <w:r w:rsidR="00D3588F">
        <w:rPr>
          <w:rFonts w:cs="Cambria"/>
          <w:lang w:val="en-US"/>
        </w:rPr>
        <w:t>emission contributions are also rather stable between 1990 and 2022</w:t>
      </w:r>
      <w:r w:rsidR="00072F6B">
        <w:rPr>
          <w:rFonts w:cs="Cambria"/>
          <w:lang w:val="en-US"/>
        </w:rPr>
        <w:t>, with a slightly decreasing contribution for CH</w:t>
      </w:r>
      <w:r w:rsidR="00072F6B" w:rsidRPr="00622F40">
        <w:rPr>
          <w:rFonts w:cs="Cambria"/>
          <w:vertAlign w:val="subscript"/>
          <w:lang w:val="en-US"/>
        </w:rPr>
        <w:t>4</w:t>
      </w:r>
      <w:r w:rsidR="00072F6B">
        <w:rPr>
          <w:rFonts w:cs="Cambria"/>
          <w:lang w:val="en-US"/>
        </w:rPr>
        <w:t xml:space="preserve"> </w:t>
      </w:r>
      <w:r w:rsidR="00F37A86">
        <w:rPr>
          <w:rFonts w:cs="Cambria"/>
          <w:lang w:val="en-US"/>
        </w:rPr>
        <w:t>(from 1</w:t>
      </w:r>
      <w:r w:rsidR="00E06248">
        <w:rPr>
          <w:rFonts w:cs="Cambria"/>
          <w:lang w:val="en-US"/>
        </w:rPr>
        <w:t>4.9</w:t>
      </w:r>
      <w:r w:rsidR="00F37A86">
        <w:rPr>
          <w:rFonts w:cs="Cambria"/>
          <w:lang w:val="en-US"/>
        </w:rPr>
        <w:t>% to 1</w:t>
      </w:r>
      <w:r w:rsidR="00E06248">
        <w:rPr>
          <w:rFonts w:cs="Cambria"/>
          <w:lang w:val="en-US"/>
        </w:rPr>
        <w:t>3.9</w:t>
      </w:r>
      <w:r w:rsidR="00F37A86">
        <w:rPr>
          <w:rFonts w:cs="Cambria"/>
          <w:lang w:val="en-US"/>
        </w:rPr>
        <w:t xml:space="preserve">%) </w:t>
      </w:r>
      <w:r w:rsidR="00072F6B">
        <w:rPr>
          <w:rFonts w:cs="Cambria"/>
          <w:lang w:val="en-US"/>
        </w:rPr>
        <w:t>whereas N</w:t>
      </w:r>
      <w:r w:rsidR="00072F6B" w:rsidRPr="00622F40">
        <w:rPr>
          <w:rFonts w:cs="Cambria"/>
          <w:vertAlign w:val="subscript"/>
          <w:lang w:val="en-US"/>
        </w:rPr>
        <w:t>2</w:t>
      </w:r>
      <w:r w:rsidR="00072F6B">
        <w:rPr>
          <w:rFonts w:cs="Cambria"/>
          <w:lang w:val="en-US"/>
        </w:rPr>
        <w:t>O increases</w:t>
      </w:r>
      <w:r w:rsidR="000126CC">
        <w:rPr>
          <w:rFonts w:cs="Cambria"/>
          <w:lang w:val="en-US"/>
        </w:rPr>
        <w:t xml:space="preserve"> slightly in consequence</w:t>
      </w:r>
      <w:r w:rsidR="00F37A86">
        <w:rPr>
          <w:rFonts w:cs="Cambria"/>
          <w:lang w:val="en-US"/>
        </w:rPr>
        <w:t xml:space="preserve"> (from 3.0% to 3.5%)</w:t>
      </w:r>
      <w:r w:rsidR="00072F6B">
        <w:rPr>
          <w:rFonts w:cs="Cambria"/>
          <w:lang w:val="en-US"/>
        </w:rPr>
        <w:t>.</w:t>
      </w:r>
      <w:r w:rsidR="000126CC">
        <w:rPr>
          <w:rFonts w:cs="Cambria"/>
          <w:lang w:val="en-US"/>
        </w:rPr>
        <w:t xml:space="preserve"> Meanwhile SF</w:t>
      </w:r>
      <w:r w:rsidR="000126CC" w:rsidRPr="00622F40">
        <w:rPr>
          <w:rFonts w:cs="Cambria"/>
          <w:vertAlign w:val="subscript"/>
          <w:lang w:val="en-US"/>
        </w:rPr>
        <w:t>6</w:t>
      </w:r>
      <w:r w:rsidR="000126CC">
        <w:rPr>
          <w:rFonts w:cs="Cambria"/>
          <w:lang w:val="en-US"/>
        </w:rPr>
        <w:t xml:space="preserve"> emissions are less prominent in the national GHG emissions</w:t>
      </w:r>
      <w:r w:rsidR="00F64663">
        <w:rPr>
          <w:rFonts w:cs="Cambria"/>
          <w:lang w:val="en-US"/>
        </w:rPr>
        <w:t>,</w:t>
      </w:r>
      <w:r w:rsidR="000126CC">
        <w:rPr>
          <w:rFonts w:cs="Cambria"/>
          <w:lang w:val="en-US"/>
        </w:rPr>
        <w:t xml:space="preserve"> without LULUCF contribution, </w:t>
      </w:r>
      <w:r w:rsidR="00F64663">
        <w:rPr>
          <w:rFonts w:cs="Cambria"/>
          <w:lang w:val="en-US"/>
        </w:rPr>
        <w:t>going from 0.2% in 1990 to 0.1% in 2022</w:t>
      </w:r>
      <w:r w:rsidR="00B757F0">
        <w:rPr>
          <w:rFonts w:cs="Cambria"/>
          <w:lang w:val="en-US"/>
        </w:rPr>
        <w:t xml:space="preserve">, HFC emissions, which were not occurring in 1990, increased their contribution in 2022 at 0.3%. </w:t>
      </w:r>
    </w:p>
    <w:p w14:paraId="4DA75E5D" w14:textId="77777777" w:rsidR="008A4B9F" w:rsidRDefault="008A4B9F" w:rsidP="00B60B92">
      <w:pPr>
        <w:autoSpaceDE w:val="0"/>
        <w:autoSpaceDN w:val="0"/>
        <w:adjustRightInd w:val="0"/>
        <w:spacing w:after="0" w:line="240" w:lineRule="auto"/>
        <w:rPr>
          <w:rFonts w:cs="Cambria"/>
          <w:lang w:val="en-US"/>
        </w:rPr>
      </w:pPr>
    </w:p>
    <w:p w14:paraId="51AF47FD" w14:textId="77777777" w:rsidR="008A4B9F" w:rsidRDefault="008A4B9F" w:rsidP="00622F40">
      <w:pPr>
        <w:autoSpaceDE w:val="0"/>
        <w:autoSpaceDN w:val="0"/>
        <w:adjustRightInd w:val="0"/>
        <w:spacing w:after="0" w:line="240" w:lineRule="auto"/>
        <w:rPr>
          <w:rFonts w:cs="Cambria"/>
          <w:lang w:val="en-US"/>
        </w:rPr>
      </w:pPr>
    </w:p>
    <w:p w14:paraId="3A643B34" w14:textId="2182B60F" w:rsidR="009C1CF3" w:rsidRDefault="009C1CF3" w:rsidP="009C1CF3">
      <w:pPr>
        <w:pStyle w:val="Heading2"/>
        <w:rPr>
          <w:lang w:eastAsia="fr-FR"/>
        </w:rPr>
      </w:pPr>
      <w:bookmarkStart w:id="105" w:name="_Toc182327719"/>
      <w:bookmarkStart w:id="106" w:name="_Toc184808162"/>
      <w:r>
        <w:rPr>
          <w:lang w:eastAsia="fr-FR"/>
        </w:rPr>
        <w:t>Description of emission and removal trends by sector and by gas</w:t>
      </w:r>
      <w:bookmarkEnd w:id="105"/>
      <w:bookmarkEnd w:id="106"/>
    </w:p>
    <w:p w14:paraId="00197A0E" w14:textId="02FCE184" w:rsidR="00BE4C39" w:rsidRDefault="00CB32B3" w:rsidP="00BE4C39">
      <w:pPr>
        <w:spacing w:line="240" w:lineRule="auto"/>
        <w:rPr>
          <w:lang w:eastAsia="fr-FR"/>
        </w:rPr>
      </w:pPr>
      <w:r>
        <w:rPr>
          <w:i/>
          <w:iCs/>
          <w:sz w:val="24"/>
          <w:szCs w:val="24"/>
          <w:lang w:eastAsia="fr-FR"/>
        </w:rPr>
        <w:fldChar w:fldCharType="begin"/>
      </w:r>
      <w:r>
        <w:rPr>
          <w:lang w:eastAsia="fr-FR"/>
        </w:rPr>
        <w:instrText xml:space="preserve"> REF _Ref182316148 \h </w:instrText>
      </w:r>
      <w:r>
        <w:rPr>
          <w:i/>
          <w:iCs/>
          <w:sz w:val="24"/>
          <w:szCs w:val="24"/>
          <w:lang w:eastAsia="fr-FR"/>
        </w:rPr>
      </w:r>
      <w:r>
        <w:rPr>
          <w:i/>
          <w:iCs/>
          <w:sz w:val="24"/>
          <w:szCs w:val="24"/>
          <w:lang w:eastAsia="fr-FR"/>
        </w:rPr>
        <w:fldChar w:fldCharType="separate"/>
      </w:r>
      <w:r w:rsidR="00F14C78">
        <w:t xml:space="preserve">Table </w:t>
      </w:r>
      <w:r w:rsidR="00F14C78">
        <w:rPr>
          <w:noProof/>
        </w:rPr>
        <w:t>10</w:t>
      </w:r>
      <w:r>
        <w:rPr>
          <w:i/>
          <w:iCs/>
          <w:sz w:val="24"/>
          <w:szCs w:val="24"/>
          <w:lang w:eastAsia="fr-FR"/>
        </w:rPr>
        <w:fldChar w:fldCharType="end"/>
      </w:r>
      <w:r>
        <w:rPr>
          <w:i/>
          <w:iCs/>
          <w:sz w:val="24"/>
          <w:szCs w:val="24"/>
          <w:lang w:eastAsia="fr-FR"/>
        </w:rPr>
        <w:t xml:space="preserve"> </w:t>
      </w:r>
      <w:r w:rsidR="00CA3719">
        <w:rPr>
          <w:lang w:eastAsia="fr-FR"/>
        </w:rPr>
        <w:t>presents the national GHG emission</w:t>
      </w:r>
      <w:r w:rsidR="00C7031B">
        <w:rPr>
          <w:lang w:eastAsia="fr-FR"/>
        </w:rPr>
        <w:t xml:space="preserve"> </w:t>
      </w:r>
      <w:r w:rsidR="00AA63CC">
        <w:rPr>
          <w:lang w:eastAsia="fr-FR"/>
        </w:rPr>
        <w:t xml:space="preserve">and removal </w:t>
      </w:r>
      <w:r w:rsidR="00C7031B">
        <w:rPr>
          <w:lang w:eastAsia="fr-FR"/>
        </w:rPr>
        <w:t xml:space="preserve">trends for each </w:t>
      </w:r>
      <w:r w:rsidR="00AA63CC">
        <w:rPr>
          <w:lang w:eastAsia="fr-FR"/>
        </w:rPr>
        <w:t>gas, in the Republic of Serbia, for the period 1990-2022.</w:t>
      </w:r>
      <w:r w:rsidR="0099114E">
        <w:rPr>
          <w:lang w:eastAsia="fr-FR"/>
        </w:rPr>
        <w:t xml:space="preserve"> </w:t>
      </w:r>
    </w:p>
    <w:p w14:paraId="672AEAD6" w14:textId="3D2C06FB" w:rsidR="00DD70A2" w:rsidRDefault="00DD70A2" w:rsidP="00DD70A2">
      <w:pPr>
        <w:pStyle w:val="Caption"/>
        <w:keepNext/>
        <w:jc w:val="both"/>
      </w:pPr>
      <w:bookmarkStart w:id="107" w:name="_Ref182316148"/>
      <w:bookmarkStart w:id="108" w:name="_Toc184808552"/>
      <w:r>
        <w:t xml:space="preserve">Table </w:t>
      </w:r>
      <w:r>
        <w:fldChar w:fldCharType="begin"/>
      </w:r>
      <w:r>
        <w:instrText xml:space="preserve"> SEQ Table \* ARABIC </w:instrText>
      </w:r>
      <w:r>
        <w:fldChar w:fldCharType="separate"/>
      </w:r>
      <w:r w:rsidR="00F14C78">
        <w:rPr>
          <w:noProof/>
        </w:rPr>
        <w:t>10</w:t>
      </w:r>
      <w:r>
        <w:fldChar w:fldCharType="end"/>
      </w:r>
      <w:bookmarkEnd w:id="107"/>
      <w:r>
        <w:t>: GHG emissions in the Republic of Serbia, per substance and per main CRT category, between 1990 and 2022</w:t>
      </w:r>
      <w:bookmarkEnd w:id="108"/>
    </w:p>
    <w:p w14:paraId="4C2F59A1" w14:textId="188F38C6" w:rsidR="001F7171" w:rsidRDefault="001E3171" w:rsidP="00BE4C39">
      <w:pPr>
        <w:spacing w:line="240" w:lineRule="auto"/>
        <w:rPr>
          <w:lang w:eastAsia="fr-FR"/>
        </w:rPr>
      </w:pPr>
      <w:r w:rsidRPr="001E3171">
        <w:rPr>
          <w:noProof/>
          <w:lang w:val="en-US"/>
        </w:rPr>
        <w:drawing>
          <wp:inline distT="0" distB="0" distL="0" distR="0" wp14:anchorId="10E1A63C" wp14:editId="1D06AF74">
            <wp:extent cx="5760720" cy="4621530"/>
            <wp:effectExtent l="0" t="0" r="0" b="7620"/>
            <wp:docPr id="154709127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621530"/>
                    </a:xfrm>
                    <a:prstGeom prst="rect">
                      <a:avLst/>
                    </a:prstGeom>
                    <a:noFill/>
                    <a:ln>
                      <a:noFill/>
                    </a:ln>
                  </pic:spPr>
                </pic:pic>
              </a:graphicData>
            </a:graphic>
          </wp:inline>
        </w:drawing>
      </w:r>
    </w:p>
    <w:p w14:paraId="0292C300" w14:textId="25FC0353" w:rsidR="00354B14" w:rsidRPr="00622F40" w:rsidRDefault="00BC7DB7" w:rsidP="00BE4C39">
      <w:pPr>
        <w:spacing w:line="240" w:lineRule="auto"/>
        <w:rPr>
          <w:b/>
          <w:bCs/>
          <w:lang w:eastAsia="fr-FR"/>
        </w:rPr>
      </w:pPr>
      <w:r w:rsidRPr="00622F40">
        <w:rPr>
          <w:b/>
          <w:bCs/>
          <w:lang w:eastAsia="fr-FR"/>
        </w:rPr>
        <w:t>CO</w:t>
      </w:r>
      <w:r w:rsidRPr="00622F40">
        <w:rPr>
          <w:b/>
          <w:bCs/>
          <w:vertAlign w:val="subscript"/>
          <w:lang w:eastAsia="fr-FR"/>
        </w:rPr>
        <w:t>2</w:t>
      </w:r>
    </w:p>
    <w:p w14:paraId="10141CB9" w14:textId="731F7E76" w:rsidR="005A4815" w:rsidRDefault="00BC7DB7" w:rsidP="00BE4C39">
      <w:pPr>
        <w:spacing w:line="240" w:lineRule="auto"/>
        <w:rPr>
          <w:lang w:eastAsia="fr-FR"/>
        </w:rPr>
      </w:pPr>
      <w:r>
        <w:rPr>
          <w:lang w:eastAsia="fr-FR"/>
        </w:rPr>
        <w:t>The national CO</w:t>
      </w:r>
      <w:r w:rsidRPr="00622F40">
        <w:rPr>
          <w:vertAlign w:val="subscript"/>
          <w:lang w:eastAsia="fr-FR"/>
        </w:rPr>
        <w:t>2</w:t>
      </w:r>
      <w:r>
        <w:rPr>
          <w:lang w:eastAsia="fr-FR"/>
        </w:rPr>
        <w:t xml:space="preserve"> emissions</w:t>
      </w:r>
      <w:r w:rsidR="00EE7641">
        <w:rPr>
          <w:lang w:eastAsia="fr-FR"/>
        </w:rPr>
        <w:t xml:space="preserve"> from the Republic of Serbia</w:t>
      </w:r>
      <w:r>
        <w:rPr>
          <w:lang w:eastAsia="fr-FR"/>
        </w:rPr>
        <w:t xml:space="preserve">, excluding LULUCF </w:t>
      </w:r>
      <w:r w:rsidR="00EE7641">
        <w:rPr>
          <w:lang w:eastAsia="fr-FR"/>
        </w:rPr>
        <w:t>contribution, decrease</w:t>
      </w:r>
      <w:r w:rsidR="002773A0">
        <w:rPr>
          <w:lang w:eastAsia="fr-FR"/>
        </w:rPr>
        <w:t>d</w:t>
      </w:r>
      <w:r w:rsidR="00EE7641">
        <w:rPr>
          <w:lang w:eastAsia="fr-FR"/>
        </w:rPr>
        <w:t xml:space="preserve"> by 2</w:t>
      </w:r>
      <w:r w:rsidR="002C4ED0">
        <w:rPr>
          <w:lang w:eastAsia="fr-FR"/>
        </w:rPr>
        <w:t>4.1</w:t>
      </w:r>
      <w:r w:rsidR="00EE7641">
        <w:rPr>
          <w:lang w:eastAsia="fr-FR"/>
        </w:rPr>
        <w:t xml:space="preserve">% over the period 1990-2022. </w:t>
      </w:r>
      <w:r w:rsidR="000B773A">
        <w:rPr>
          <w:lang w:eastAsia="fr-FR"/>
        </w:rPr>
        <w:t>This reduction goes up to 2</w:t>
      </w:r>
      <w:r w:rsidR="002C4ED0">
        <w:rPr>
          <w:lang w:eastAsia="fr-FR"/>
        </w:rPr>
        <w:t>9.3</w:t>
      </w:r>
      <w:r w:rsidR="000B773A">
        <w:rPr>
          <w:lang w:eastAsia="fr-FR"/>
        </w:rPr>
        <w:t xml:space="preserve">% when LULUCF contribution is included. </w:t>
      </w:r>
      <w:r w:rsidR="009A550F">
        <w:rPr>
          <w:lang w:eastAsia="fr-FR"/>
        </w:rPr>
        <w:t>CO</w:t>
      </w:r>
      <w:r w:rsidR="009A550F" w:rsidRPr="00622F40">
        <w:rPr>
          <w:vertAlign w:val="subscript"/>
          <w:lang w:eastAsia="fr-FR"/>
        </w:rPr>
        <w:t>2</w:t>
      </w:r>
      <w:r w:rsidR="009A550F">
        <w:rPr>
          <w:lang w:eastAsia="fr-FR"/>
        </w:rPr>
        <w:t xml:space="preserve"> emissions are mainly related to f</w:t>
      </w:r>
      <w:r w:rsidR="00D265D0">
        <w:rPr>
          <w:lang w:eastAsia="fr-FR"/>
        </w:rPr>
        <w:t>ossil fuel combustion activities (</w:t>
      </w:r>
      <w:r w:rsidR="000F6001">
        <w:rPr>
          <w:lang w:eastAsia="fr-FR"/>
        </w:rPr>
        <w:t>CRT</w:t>
      </w:r>
      <w:r w:rsidR="00D265D0">
        <w:rPr>
          <w:lang w:eastAsia="fr-FR"/>
        </w:rPr>
        <w:t xml:space="preserve"> 1A)</w:t>
      </w:r>
      <w:r w:rsidR="002F1625">
        <w:rPr>
          <w:lang w:eastAsia="fr-FR"/>
        </w:rPr>
        <w:t xml:space="preserve"> and, in 2022, </w:t>
      </w:r>
      <w:r w:rsidR="002C4ED0">
        <w:rPr>
          <w:lang w:eastAsia="fr-FR"/>
        </w:rPr>
        <w:t>around</w:t>
      </w:r>
      <w:r w:rsidR="002F1625">
        <w:rPr>
          <w:lang w:eastAsia="fr-FR"/>
        </w:rPr>
        <w:t xml:space="preserve"> 9</w:t>
      </w:r>
      <w:r w:rsidR="002C4ED0">
        <w:rPr>
          <w:lang w:eastAsia="fr-FR"/>
        </w:rPr>
        <w:t>1</w:t>
      </w:r>
      <w:r w:rsidR="002F1625">
        <w:rPr>
          <w:lang w:eastAsia="fr-FR"/>
        </w:rPr>
        <w:t xml:space="preserve">% of the national emissions without LULUCF are </w:t>
      </w:r>
      <w:r w:rsidR="00FE37B4">
        <w:rPr>
          <w:lang w:eastAsia="fr-FR"/>
        </w:rPr>
        <w:t xml:space="preserve">originated from fuel combustion. </w:t>
      </w:r>
      <w:r w:rsidR="00F67D31">
        <w:rPr>
          <w:lang w:eastAsia="fr-FR"/>
        </w:rPr>
        <w:t>In 2022, t</w:t>
      </w:r>
      <w:r w:rsidR="008124C3">
        <w:rPr>
          <w:lang w:eastAsia="fr-FR"/>
        </w:rPr>
        <w:t>he energy industries (</w:t>
      </w:r>
      <w:r w:rsidR="000F6001">
        <w:rPr>
          <w:lang w:eastAsia="fr-FR"/>
        </w:rPr>
        <w:t>CRT</w:t>
      </w:r>
      <w:r w:rsidR="008124C3">
        <w:rPr>
          <w:lang w:eastAsia="fr-FR"/>
        </w:rPr>
        <w:t xml:space="preserve"> 1A1) contribute to 6</w:t>
      </w:r>
      <w:r w:rsidR="002A2D1B">
        <w:rPr>
          <w:lang w:eastAsia="fr-FR"/>
        </w:rPr>
        <w:t>2</w:t>
      </w:r>
      <w:r w:rsidR="008124C3">
        <w:rPr>
          <w:lang w:eastAsia="fr-FR"/>
        </w:rPr>
        <w:t xml:space="preserve">% </w:t>
      </w:r>
      <w:r w:rsidR="006770FE">
        <w:rPr>
          <w:lang w:eastAsia="fr-FR"/>
        </w:rPr>
        <w:t xml:space="preserve">of the national </w:t>
      </w:r>
      <w:r w:rsidR="00E81C99">
        <w:rPr>
          <w:lang w:eastAsia="fr-FR"/>
        </w:rPr>
        <w:t>CO</w:t>
      </w:r>
      <w:r w:rsidR="00E81C99" w:rsidRPr="00622F40">
        <w:rPr>
          <w:vertAlign w:val="subscript"/>
          <w:lang w:eastAsia="fr-FR"/>
        </w:rPr>
        <w:t>2</w:t>
      </w:r>
      <w:r w:rsidR="00E81C99">
        <w:rPr>
          <w:lang w:eastAsia="fr-FR"/>
        </w:rPr>
        <w:t xml:space="preserve"> </w:t>
      </w:r>
      <w:r w:rsidR="006770FE">
        <w:rPr>
          <w:lang w:eastAsia="fr-FR"/>
        </w:rPr>
        <w:t>emissions excluding LULUCF</w:t>
      </w:r>
      <w:r w:rsidR="00E81C99">
        <w:rPr>
          <w:lang w:eastAsia="fr-FR"/>
        </w:rPr>
        <w:t xml:space="preserve">, </w:t>
      </w:r>
      <w:r w:rsidR="006026B7">
        <w:rPr>
          <w:lang w:eastAsia="fr-FR"/>
        </w:rPr>
        <w:t xml:space="preserve">meanwhile </w:t>
      </w:r>
      <w:r w:rsidR="00E81C99">
        <w:rPr>
          <w:lang w:eastAsia="fr-FR"/>
        </w:rPr>
        <w:t>the transport (</w:t>
      </w:r>
      <w:r w:rsidR="000F6001">
        <w:rPr>
          <w:lang w:eastAsia="fr-FR"/>
        </w:rPr>
        <w:t>CRT</w:t>
      </w:r>
      <w:r w:rsidR="00E81C99">
        <w:rPr>
          <w:lang w:eastAsia="fr-FR"/>
        </w:rPr>
        <w:t xml:space="preserve"> 1A3) contribution is of 1</w:t>
      </w:r>
      <w:r w:rsidR="002A2D1B">
        <w:rPr>
          <w:lang w:eastAsia="fr-FR"/>
        </w:rPr>
        <w:t>6</w:t>
      </w:r>
      <w:r w:rsidR="00E81C99">
        <w:rPr>
          <w:lang w:eastAsia="fr-FR"/>
        </w:rPr>
        <w:t>%</w:t>
      </w:r>
      <w:r w:rsidR="00B646C7">
        <w:rPr>
          <w:lang w:eastAsia="fr-FR"/>
        </w:rPr>
        <w:t>,</w:t>
      </w:r>
      <w:r w:rsidR="00E81C99">
        <w:rPr>
          <w:lang w:eastAsia="fr-FR"/>
        </w:rPr>
        <w:t xml:space="preserve"> </w:t>
      </w:r>
      <w:r w:rsidR="006026B7">
        <w:rPr>
          <w:lang w:eastAsia="fr-FR"/>
        </w:rPr>
        <w:t xml:space="preserve">the one of </w:t>
      </w:r>
      <w:r w:rsidR="009856C6">
        <w:rPr>
          <w:lang w:eastAsia="fr-FR"/>
        </w:rPr>
        <w:t xml:space="preserve">the manufacturing industries is of </w:t>
      </w:r>
      <w:r w:rsidR="002A2D1B">
        <w:rPr>
          <w:lang w:eastAsia="fr-FR"/>
        </w:rPr>
        <w:t>7</w:t>
      </w:r>
      <w:r w:rsidR="009856C6">
        <w:rPr>
          <w:lang w:eastAsia="fr-FR"/>
        </w:rPr>
        <w:t>%</w:t>
      </w:r>
      <w:r w:rsidR="00B646C7">
        <w:rPr>
          <w:lang w:eastAsia="fr-FR"/>
        </w:rPr>
        <w:t xml:space="preserve"> and the residential-tertiary-agriculture subsector contributes to 5%</w:t>
      </w:r>
      <w:r w:rsidR="009856C6">
        <w:rPr>
          <w:lang w:eastAsia="fr-FR"/>
        </w:rPr>
        <w:t>.</w:t>
      </w:r>
      <w:r w:rsidR="00B646C7">
        <w:rPr>
          <w:lang w:eastAsia="fr-FR"/>
        </w:rPr>
        <w:t xml:space="preserve"> </w:t>
      </w:r>
      <w:r w:rsidR="00E36324">
        <w:rPr>
          <w:lang w:eastAsia="fr-FR"/>
        </w:rPr>
        <w:t>T</w:t>
      </w:r>
      <w:r w:rsidR="00DD08B5">
        <w:rPr>
          <w:lang w:eastAsia="fr-FR"/>
        </w:rPr>
        <w:t xml:space="preserve">he </w:t>
      </w:r>
      <w:r w:rsidR="00824658">
        <w:rPr>
          <w:lang w:eastAsia="fr-FR"/>
        </w:rPr>
        <w:t xml:space="preserve">sector of </w:t>
      </w:r>
      <w:r w:rsidR="00F809F1">
        <w:rPr>
          <w:lang w:eastAsia="fr-FR"/>
        </w:rPr>
        <w:t>industry process</w:t>
      </w:r>
      <w:r w:rsidR="00824658">
        <w:rPr>
          <w:lang w:eastAsia="fr-FR"/>
        </w:rPr>
        <w:t xml:space="preserve">es </w:t>
      </w:r>
      <w:r w:rsidR="00E36324">
        <w:rPr>
          <w:lang w:eastAsia="fr-FR"/>
        </w:rPr>
        <w:t xml:space="preserve">is the other main contributor </w:t>
      </w:r>
      <w:r w:rsidR="0076445F">
        <w:rPr>
          <w:lang w:eastAsia="fr-FR"/>
        </w:rPr>
        <w:t>about 10</w:t>
      </w:r>
      <w:r w:rsidR="00FE69DE">
        <w:rPr>
          <w:lang w:eastAsia="fr-FR"/>
        </w:rPr>
        <w:t>% in 2022</w:t>
      </w:r>
      <w:r w:rsidR="00824658">
        <w:rPr>
          <w:lang w:eastAsia="fr-FR"/>
        </w:rPr>
        <w:t>,</w:t>
      </w:r>
      <w:r w:rsidR="0058201F">
        <w:rPr>
          <w:lang w:eastAsia="fr-FR"/>
        </w:rPr>
        <w:t xml:space="preserve"> </w:t>
      </w:r>
      <w:r w:rsidR="00DD08B5">
        <w:rPr>
          <w:lang w:eastAsia="fr-FR"/>
        </w:rPr>
        <w:t xml:space="preserve">and </w:t>
      </w:r>
      <w:r w:rsidR="004F0AA5">
        <w:rPr>
          <w:lang w:eastAsia="fr-FR"/>
        </w:rPr>
        <w:t>the metal industry (</w:t>
      </w:r>
      <w:r w:rsidR="000F6001">
        <w:rPr>
          <w:lang w:eastAsia="fr-FR"/>
        </w:rPr>
        <w:t>CRT</w:t>
      </w:r>
      <w:r w:rsidR="004F0AA5">
        <w:rPr>
          <w:lang w:eastAsia="fr-FR"/>
        </w:rPr>
        <w:t xml:space="preserve"> 2C) </w:t>
      </w:r>
      <w:r w:rsidR="00DD08B5">
        <w:rPr>
          <w:lang w:eastAsia="fr-FR"/>
        </w:rPr>
        <w:t xml:space="preserve">is the </w:t>
      </w:r>
      <w:r w:rsidR="00FE69DE">
        <w:rPr>
          <w:lang w:eastAsia="fr-FR"/>
        </w:rPr>
        <w:t>predominant</w:t>
      </w:r>
      <w:r w:rsidR="00DD08B5">
        <w:rPr>
          <w:lang w:eastAsia="fr-FR"/>
        </w:rPr>
        <w:t xml:space="preserve"> emission source </w:t>
      </w:r>
      <w:r w:rsidR="00FE69DE">
        <w:rPr>
          <w:lang w:eastAsia="fr-FR"/>
        </w:rPr>
        <w:t xml:space="preserve">of this sector </w:t>
      </w:r>
      <w:r w:rsidR="00DD08B5">
        <w:rPr>
          <w:lang w:eastAsia="fr-FR"/>
        </w:rPr>
        <w:t xml:space="preserve">with </w:t>
      </w:r>
      <w:r w:rsidR="004F0AA5">
        <w:rPr>
          <w:lang w:eastAsia="fr-FR"/>
        </w:rPr>
        <w:t xml:space="preserve">6% </w:t>
      </w:r>
      <w:r w:rsidR="00DD08B5">
        <w:rPr>
          <w:lang w:eastAsia="fr-FR"/>
        </w:rPr>
        <w:t xml:space="preserve">of </w:t>
      </w:r>
      <w:r w:rsidR="004F0AA5">
        <w:rPr>
          <w:lang w:eastAsia="fr-FR"/>
        </w:rPr>
        <w:t>the national emissions without considering LULUCF</w:t>
      </w:r>
      <w:r w:rsidR="00FE69DE">
        <w:rPr>
          <w:lang w:eastAsia="fr-FR"/>
        </w:rPr>
        <w:t xml:space="preserve"> in 2022</w:t>
      </w:r>
      <w:r w:rsidR="004F0AA5">
        <w:rPr>
          <w:lang w:eastAsia="fr-FR"/>
        </w:rPr>
        <w:t xml:space="preserve">. </w:t>
      </w:r>
    </w:p>
    <w:p w14:paraId="163CBB42" w14:textId="30C8D4F1" w:rsidR="0098205F" w:rsidRDefault="00396B13" w:rsidP="000D264D">
      <w:pPr>
        <w:spacing w:after="0" w:line="240" w:lineRule="auto"/>
        <w:rPr>
          <w:lang w:eastAsia="fr-FR"/>
        </w:rPr>
      </w:pPr>
      <w:r>
        <w:rPr>
          <w:lang w:eastAsia="fr-FR"/>
        </w:rPr>
        <w:t>Most of the biggest CO</w:t>
      </w:r>
      <w:r w:rsidRPr="00622F40">
        <w:rPr>
          <w:vertAlign w:val="subscript"/>
          <w:lang w:eastAsia="fr-FR"/>
        </w:rPr>
        <w:t>2</w:t>
      </w:r>
      <w:r>
        <w:rPr>
          <w:lang w:eastAsia="fr-FR"/>
        </w:rPr>
        <w:t xml:space="preserve"> emission sources </w:t>
      </w:r>
      <w:r w:rsidR="00143966">
        <w:rPr>
          <w:lang w:eastAsia="fr-FR"/>
        </w:rPr>
        <w:t>follow</w:t>
      </w:r>
      <w:r w:rsidR="00E060FD">
        <w:rPr>
          <w:lang w:eastAsia="fr-FR"/>
        </w:rPr>
        <w:t xml:space="preserve"> a downward trend between 1990 and 2022</w:t>
      </w:r>
      <w:r w:rsidR="00143966">
        <w:rPr>
          <w:lang w:eastAsia="fr-FR"/>
        </w:rPr>
        <w:t>, except for the transport (</w:t>
      </w:r>
      <w:r w:rsidR="00A57DD4">
        <w:rPr>
          <w:lang w:eastAsia="fr-FR"/>
        </w:rPr>
        <w:t xml:space="preserve">+79%) and the metal industry (+73%). </w:t>
      </w:r>
      <w:r w:rsidR="007768CC">
        <w:rPr>
          <w:lang w:eastAsia="fr-FR"/>
        </w:rPr>
        <w:t xml:space="preserve">The </w:t>
      </w:r>
      <w:r w:rsidR="00742B53">
        <w:rPr>
          <w:lang w:eastAsia="fr-FR"/>
        </w:rPr>
        <w:t>CO</w:t>
      </w:r>
      <w:r w:rsidR="00742B53" w:rsidRPr="00622F40">
        <w:rPr>
          <w:vertAlign w:val="subscript"/>
          <w:lang w:eastAsia="fr-FR"/>
        </w:rPr>
        <w:t>2</w:t>
      </w:r>
      <w:r w:rsidR="00742B53">
        <w:rPr>
          <w:lang w:eastAsia="fr-FR"/>
        </w:rPr>
        <w:t xml:space="preserve"> </w:t>
      </w:r>
      <w:r w:rsidR="007768CC">
        <w:rPr>
          <w:lang w:eastAsia="fr-FR"/>
        </w:rPr>
        <w:t>e</w:t>
      </w:r>
      <w:r w:rsidR="007652BF">
        <w:rPr>
          <w:lang w:eastAsia="fr-FR"/>
        </w:rPr>
        <w:t xml:space="preserve">mission reductions </w:t>
      </w:r>
      <w:r w:rsidR="00742B53">
        <w:rPr>
          <w:lang w:eastAsia="fr-FR"/>
        </w:rPr>
        <w:t>observed between 1990 and 2022</w:t>
      </w:r>
      <w:r w:rsidR="007652BF">
        <w:rPr>
          <w:lang w:eastAsia="fr-FR"/>
        </w:rPr>
        <w:t xml:space="preserve"> </w:t>
      </w:r>
      <w:r w:rsidR="00742B53">
        <w:rPr>
          <w:lang w:eastAsia="fr-FR"/>
        </w:rPr>
        <w:t>contributing the most to the overall reduction are for the sectors of the energy industries (</w:t>
      </w:r>
      <w:r w:rsidR="000F6001">
        <w:rPr>
          <w:lang w:eastAsia="fr-FR"/>
        </w:rPr>
        <w:t>CRT</w:t>
      </w:r>
      <w:r w:rsidR="00B259A1">
        <w:rPr>
          <w:lang w:eastAsia="fr-FR"/>
        </w:rPr>
        <w:t xml:space="preserve"> 1A1, </w:t>
      </w:r>
      <w:r w:rsidR="007D1401">
        <w:rPr>
          <w:lang w:eastAsia="fr-FR"/>
        </w:rPr>
        <w:t xml:space="preserve">-25%), </w:t>
      </w:r>
      <w:r w:rsidR="00B259A1">
        <w:rPr>
          <w:lang w:eastAsia="fr-FR"/>
        </w:rPr>
        <w:t>the manufacturing industries (</w:t>
      </w:r>
      <w:r w:rsidR="000F6001">
        <w:rPr>
          <w:lang w:eastAsia="fr-FR"/>
        </w:rPr>
        <w:t>CRT</w:t>
      </w:r>
      <w:r w:rsidR="00B259A1">
        <w:rPr>
          <w:lang w:eastAsia="fr-FR"/>
        </w:rPr>
        <w:t xml:space="preserve"> 1A2, -</w:t>
      </w:r>
      <w:r w:rsidR="00997B94">
        <w:rPr>
          <w:lang w:eastAsia="fr-FR"/>
        </w:rPr>
        <w:t>54</w:t>
      </w:r>
      <w:r w:rsidR="00B259A1">
        <w:rPr>
          <w:lang w:eastAsia="fr-FR"/>
        </w:rPr>
        <w:t>%), the other sector (</w:t>
      </w:r>
      <w:r w:rsidR="000F6001">
        <w:rPr>
          <w:lang w:eastAsia="fr-FR"/>
        </w:rPr>
        <w:t>CRT</w:t>
      </w:r>
      <w:r w:rsidR="00B259A1">
        <w:rPr>
          <w:lang w:eastAsia="fr-FR"/>
        </w:rPr>
        <w:t xml:space="preserve"> 1A4, -59%), the fugitive emissions of the oil and </w:t>
      </w:r>
      <w:r w:rsidR="00B259A1">
        <w:rPr>
          <w:lang w:eastAsia="fr-FR"/>
        </w:rPr>
        <w:lastRenderedPageBreak/>
        <w:t xml:space="preserve">natural gas </w:t>
      </w:r>
      <w:r w:rsidR="004C6DA4">
        <w:rPr>
          <w:lang w:eastAsia="fr-FR"/>
        </w:rPr>
        <w:t>(</w:t>
      </w:r>
      <w:r w:rsidR="000F6001">
        <w:rPr>
          <w:lang w:eastAsia="fr-FR"/>
        </w:rPr>
        <w:t>CRT</w:t>
      </w:r>
      <w:r w:rsidR="004C6DA4">
        <w:rPr>
          <w:lang w:eastAsia="fr-FR"/>
        </w:rPr>
        <w:t xml:space="preserve"> 1B2, - 98%)</w:t>
      </w:r>
      <w:r w:rsidR="00B5724D">
        <w:rPr>
          <w:lang w:eastAsia="fr-FR"/>
        </w:rPr>
        <w:t xml:space="preserve"> and the mineral industry (</w:t>
      </w:r>
      <w:r w:rsidR="000F6001">
        <w:rPr>
          <w:lang w:eastAsia="fr-FR"/>
        </w:rPr>
        <w:t>CRT</w:t>
      </w:r>
      <w:r w:rsidR="00B5724D">
        <w:rPr>
          <w:lang w:eastAsia="fr-FR"/>
        </w:rPr>
        <w:t xml:space="preserve"> 2A, -24%)</w:t>
      </w:r>
      <w:r w:rsidR="00655ACA">
        <w:rPr>
          <w:lang w:eastAsia="fr-FR"/>
        </w:rPr>
        <w:t>.</w:t>
      </w:r>
      <w:r w:rsidR="00186D49">
        <w:rPr>
          <w:lang w:eastAsia="fr-FR"/>
        </w:rPr>
        <w:t xml:space="preserve"> Since the year 2009, t</w:t>
      </w:r>
      <w:r w:rsidR="0098205F">
        <w:rPr>
          <w:lang w:eastAsia="fr-FR"/>
        </w:rPr>
        <w:t>he national CO</w:t>
      </w:r>
      <w:r w:rsidR="0098205F" w:rsidRPr="00622F40">
        <w:rPr>
          <w:vertAlign w:val="subscript"/>
          <w:lang w:eastAsia="fr-FR"/>
        </w:rPr>
        <w:t>2</w:t>
      </w:r>
      <w:r w:rsidR="0098205F">
        <w:rPr>
          <w:lang w:eastAsia="fr-FR"/>
        </w:rPr>
        <w:t xml:space="preserve"> emissions are rather stable, except for some years </w:t>
      </w:r>
      <w:r w:rsidR="002A58E1">
        <w:rPr>
          <w:lang w:eastAsia="fr-FR"/>
        </w:rPr>
        <w:t xml:space="preserve">where the emission levels were either particularly high, such as in 2011, or very low, such as in 2014. </w:t>
      </w:r>
      <w:r w:rsidR="00A744B7">
        <w:rPr>
          <w:lang w:eastAsia="fr-FR"/>
        </w:rPr>
        <w:t>The national emissions between 1990 and 2002 undergo several significant interannual variations</w:t>
      </w:r>
      <w:r w:rsidR="006D52E1">
        <w:rPr>
          <w:lang w:eastAsia="fr-FR"/>
        </w:rPr>
        <w:t xml:space="preserve"> due to the </w:t>
      </w:r>
      <w:r w:rsidR="00F10F88">
        <w:rPr>
          <w:lang w:eastAsia="fr-FR"/>
        </w:rPr>
        <w:t xml:space="preserve">war context around the Balkan and ex-Yugoslavia regions. </w:t>
      </w:r>
    </w:p>
    <w:p w14:paraId="5641673A" w14:textId="77777777" w:rsidR="000D264D" w:rsidRDefault="000D264D" w:rsidP="000D264D">
      <w:pPr>
        <w:spacing w:after="0" w:line="240" w:lineRule="auto"/>
        <w:rPr>
          <w:rFonts w:eastAsia="Times New Roman" w:cstheme="minorHAnsi"/>
          <w:szCs w:val="20"/>
          <w:lang w:val="en-US"/>
        </w:rPr>
      </w:pPr>
    </w:p>
    <w:p w14:paraId="29C0DBCD" w14:textId="769F3F04" w:rsidR="000D264D" w:rsidRPr="000D264D" w:rsidRDefault="000D264D" w:rsidP="000D264D">
      <w:pPr>
        <w:spacing w:after="0" w:line="240" w:lineRule="auto"/>
        <w:rPr>
          <w:rFonts w:eastAsia="Times New Roman" w:cstheme="minorHAnsi"/>
          <w:szCs w:val="20"/>
          <w:lang w:val="en-US"/>
        </w:rPr>
      </w:pPr>
      <w:r w:rsidRPr="000D264D">
        <w:rPr>
          <w:rFonts w:eastAsia="Times New Roman" w:cstheme="minorHAnsi"/>
          <w:szCs w:val="20"/>
          <w:lang w:val="en-US"/>
        </w:rPr>
        <w:t>CO₂ emissions from the residential-tertiary sector (CRF 1A4) and the production of heat and electricity (CRF 1A1a) are heavily influenced by climatic conditions. Notably, in recent years, 2011 experienced a particularly cold winter, while 2014 was relatively warm. Conversely, during extremely hot summers with heatwaves, CO₂ emissions from electricity production tend to increase due to higher demand for air conditioning.</w:t>
      </w:r>
    </w:p>
    <w:p w14:paraId="7EF807EB" w14:textId="77777777" w:rsidR="000D264D" w:rsidRDefault="000D264D" w:rsidP="000D264D">
      <w:pPr>
        <w:spacing w:after="0" w:line="240" w:lineRule="auto"/>
        <w:rPr>
          <w:rFonts w:eastAsia="Times New Roman" w:cstheme="minorHAnsi"/>
          <w:szCs w:val="20"/>
          <w:lang w:val="en-US"/>
        </w:rPr>
      </w:pPr>
    </w:p>
    <w:p w14:paraId="66BD0716" w14:textId="0C54BAC9" w:rsidR="000D264D" w:rsidRPr="000D264D" w:rsidRDefault="000D264D" w:rsidP="000D264D">
      <w:pPr>
        <w:spacing w:after="0" w:line="240" w:lineRule="auto"/>
        <w:rPr>
          <w:rFonts w:eastAsia="Times New Roman" w:cstheme="minorHAnsi"/>
          <w:szCs w:val="20"/>
          <w:lang w:val="en-US"/>
        </w:rPr>
      </w:pPr>
      <w:r w:rsidRPr="000D264D">
        <w:rPr>
          <w:rFonts w:eastAsia="Times New Roman" w:cstheme="minorHAnsi"/>
          <w:szCs w:val="20"/>
          <w:lang w:val="en-US"/>
        </w:rPr>
        <w:t>Additionally, overall CO₂ emissions are significantly affected by electricity imports and exports, although the balance has remained relatively stable in the Republic of Serbia</w:t>
      </w:r>
      <w:r>
        <w:rPr>
          <w:rFonts w:eastAsia="Times New Roman" w:cstheme="minorHAnsi"/>
          <w:szCs w:val="20"/>
          <w:lang w:val="en-US"/>
        </w:rPr>
        <w:t>.</w:t>
      </w:r>
    </w:p>
    <w:p w14:paraId="6B74EB6B" w14:textId="77777777" w:rsidR="000D264D" w:rsidRDefault="000D264D" w:rsidP="000D264D">
      <w:pPr>
        <w:spacing w:after="0" w:line="240" w:lineRule="auto"/>
        <w:rPr>
          <w:lang w:eastAsia="fr-FR"/>
        </w:rPr>
      </w:pPr>
    </w:p>
    <w:p w14:paraId="053507D9" w14:textId="561CB488" w:rsidR="00BC7DB7" w:rsidRDefault="00FC5281" w:rsidP="000D264D">
      <w:pPr>
        <w:spacing w:after="0" w:line="240" w:lineRule="auto"/>
        <w:rPr>
          <w:lang w:eastAsia="fr-FR"/>
        </w:rPr>
      </w:pPr>
      <w:r>
        <w:rPr>
          <w:lang w:eastAsia="fr-FR"/>
        </w:rPr>
        <w:t xml:space="preserve">Other structural parameters can also influence the interannual </w:t>
      </w:r>
      <w:r w:rsidR="0083325E">
        <w:rPr>
          <w:lang w:eastAsia="fr-FR"/>
        </w:rPr>
        <w:t>CO</w:t>
      </w:r>
      <w:r w:rsidR="0083325E" w:rsidRPr="001E3171">
        <w:rPr>
          <w:vertAlign w:val="subscript"/>
          <w:lang w:eastAsia="fr-FR"/>
        </w:rPr>
        <w:t>2</w:t>
      </w:r>
      <w:r w:rsidR="0083325E">
        <w:rPr>
          <w:lang w:eastAsia="fr-FR"/>
        </w:rPr>
        <w:t xml:space="preserve"> </w:t>
      </w:r>
      <w:r>
        <w:rPr>
          <w:lang w:eastAsia="fr-FR"/>
        </w:rPr>
        <w:t>emission variations</w:t>
      </w:r>
      <w:r w:rsidR="0083325E">
        <w:rPr>
          <w:lang w:eastAsia="fr-FR"/>
        </w:rPr>
        <w:t>:</w:t>
      </w:r>
      <w:r>
        <w:rPr>
          <w:lang w:eastAsia="fr-FR"/>
        </w:rPr>
        <w:t xml:space="preserve"> </w:t>
      </w:r>
      <w:r w:rsidR="00742614">
        <w:rPr>
          <w:lang w:eastAsia="fr-FR"/>
        </w:rPr>
        <w:t xml:space="preserve">the </w:t>
      </w:r>
      <w:r>
        <w:rPr>
          <w:lang w:eastAsia="fr-FR"/>
        </w:rPr>
        <w:t xml:space="preserve">economic </w:t>
      </w:r>
      <w:r w:rsidR="0083325E">
        <w:rPr>
          <w:lang w:eastAsia="fr-FR"/>
        </w:rPr>
        <w:t xml:space="preserve">context such as the global economic downturn in 2009, </w:t>
      </w:r>
      <w:r w:rsidR="00C20CF8">
        <w:rPr>
          <w:lang w:eastAsia="fr-FR"/>
        </w:rPr>
        <w:t xml:space="preserve">energy crisis </w:t>
      </w:r>
      <w:r w:rsidR="005A648F">
        <w:rPr>
          <w:lang w:eastAsia="fr-FR"/>
        </w:rPr>
        <w:t>in 202</w:t>
      </w:r>
      <w:r w:rsidR="000D264D">
        <w:rPr>
          <w:lang w:eastAsia="fr-FR"/>
        </w:rPr>
        <w:t>2</w:t>
      </w:r>
      <w:r w:rsidR="005A648F">
        <w:rPr>
          <w:lang w:eastAsia="fr-FR"/>
        </w:rPr>
        <w:t xml:space="preserve"> on natural gas supply</w:t>
      </w:r>
      <w:r w:rsidR="00C20CF8">
        <w:rPr>
          <w:lang w:eastAsia="fr-FR"/>
        </w:rPr>
        <w:t xml:space="preserve"> following the </w:t>
      </w:r>
      <w:r w:rsidR="005A648F">
        <w:rPr>
          <w:lang w:eastAsia="fr-FR"/>
        </w:rPr>
        <w:t>Ukrainian</w:t>
      </w:r>
      <w:r w:rsidR="00C20CF8">
        <w:rPr>
          <w:lang w:eastAsia="fr-FR"/>
        </w:rPr>
        <w:t xml:space="preserve"> and </w:t>
      </w:r>
      <w:r w:rsidR="005A648F">
        <w:rPr>
          <w:lang w:eastAsia="fr-FR"/>
        </w:rPr>
        <w:t>Russian</w:t>
      </w:r>
      <w:r w:rsidR="00C20CF8">
        <w:rPr>
          <w:lang w:eastAsia="fr-FR"/>
        </w:rPr>
        <w:t xml:space="preserve"> conflict</w:t>
      </w:r>
      <w:r w:rsidR="005A648F">
        <w:rPr>
          <w:lang w:eastAsia="fr-FR"/>
        </w:rPr>
        <w:t xml:space="preserve">, or other </w:t>
      </w:r>
      <w:r w:rsidR="00D05EB5">
        <w:rPr>
          <w:lang w:eastAsia="fr-FR"/>
        </w:rPr>
        <w:t>conditions such as the sanitary crisis related to the Covid virus</w:t>
      </w:r>
      <w:r w:rsidR="00716CA9">
        <w:rPr>
          <w:lang w:eastAsia="fr-FR"/>
        </w:rPr>
        <w:t xml:space="preserve"> or the impact of </w:t>
      </w:r>
      <w:r w:rsidR="00EB063A">
        <w:rPr>
          <w:lang w:eastAsia="fr-FR"/>
        </w:rPr>
        <w:t>policies and measures implemented by governments and administrations.</w:t>
      </w:r>
      <w:r w:rsidR="000265B9">
        <w:rPr>
          <w:lang w:eastAsia="fr-FR"/>
        </w:rPr>
        <w:t xml:space="preserve"> </w:t>
      </w:r>
    </w:p>
    <w:p w14:paraId="01A51F8A" w14:textId="77777777" w:rsidR="000D264D" w:rsidRDefault="000D264D" w:rsidP="000D264D">
      <w:pPr>
        <w:spacing w:after="0" w:line="240" w:lineRule="auto"/>
        <w:rPr>
          <w:lang w:eastAsia="fr-FR"/>
        </w:rPr>
      </w:pPr>
    </w:p>
    <w:p w14:paraId="5548E28F" w14:textId="2F8B5E1A" w:rsidR="00D34D33" w:rsidRDefault="00BA4ED8" w:rsidP="000D264D">
      <w:pPr>
        <w:spacing w:after="0" w:line="240" w:lineRule="auto"/>
        <w:rPr>
          <w:lang w:eastAsia="fr-FR"/>
        </w:rPr>
      </w:pPr>
      <w:r>
        <w:rPr>
          <w:lang w:eastAsia="fr-FR"/>
        </w:rPr>
        <w:t xml:space="preserve">The national </w:t>
      </w:r>
      <w:r w:rsidR="00447D95">
        <w:rPr>
          <w:lang w:eastAsia="fr-FR"/>
        </w:rPr>
        <w:t>CO</w:t>
      </w:r>
      <w:r w:rsidR="00447D95" w:rsidRPr="00622F40">
        <w:rPr>
          <w:vertAlign w:val="subscript"/>
          <w:lang w:eastAsia="fr-FR"/>
        </w:rPr>
        <w:t>2</w:t>
      </w:r>
      <w:r w:rsidR="00447D95">
        <w:rPr>
          <w:lang w:eastAsia="fr-FR"/>
        </w:rPr>
        <w:t xml:space="preserve"> emissions including the LULUCF contribution decrease</w:t>
      </w:r>
      <w:r w:rsidR="00D43FC0">
        <w:rPr>
          <w:lang w:eastAsia="fr-FR"/>
        </w:rPr>
        <w:t>d</w:t>
      </w:r>
      <w:r w:rsidR="00447D95">
        <w:rPr>
          <w:lang w:eastAsia="fr-FR"/>
        </w:rPr>
        <w:t xml:space="preserve"> </w:t>
      </w:r>
      <w:r w:rsidR="00756FA7">
        <w:rPr>
          <w:lang w:eastAsia="fr-FR"/>
        </w:rPr>
        <w:t xml:space="preserve">by </w:t>
      </w:r>
      <w:r w:rsidR="002D6FEF">
        <w:rPr>
          <w:lang w:eastAsia="fr-FR"/>
        </w:rPr>
        <w:t>2</w:t>
      </w:r>
      <w:r w:rsidR="00065ABF">
        <w:rPr>
          <w:lang w:eastAsia="fr-FR"/>
        </w:rPr>
        <w:t>9</w:t>
      </w:r>
      <w:r w:rsidR="002D6FEF">
        <w:rPr>
          <w:lang w:eastAsia="fr-FR"/>
        </w:rPr>
        <w:t xml:space="preserve">% between 1990 and 2022, </w:t>
      </w:r>
      <w:r w:rsidR="008E1A26">
        <w:rPr>
          <w:lang w:eastAsia="fr-FR"/>
        </w:rPr>
        <w:t>which is higher than the observed reduction without LULUCF</w:t>
      </w:r>
      <w:r w:rsidR="002D6FEF">
        <w:rPr>
          <w:lang w:eastAsia="fr-FR"/>
        </w:rPr>
        <w:t xml:space="preserve">. </w:t>
      </w:r>
      <w:r w:rsidR="00A74B28">
        <w:rPr>
          <w:lang w:eastAsia="fr-FR"/>
        </w:rPr>
        <w:t>In the Republic of Serbia, the net balance of the LULUCF sector is a net removal</w:t>
      </w:r>
      <w:r w:rsidR="00C26656">
        <w:rPr>
          <w:lang w:eastAsia="fr-FR"/>
        </w:rPr>
        <w:t>, which means that the CO</w:t>
      </w:r>
      <w:r w:rsidR="00C26656" w:rsidRPr="00622F40">
        <w:rPr>
          <w:vertAlign w:val="subscript"/>
          <w:lang w:eastAsia="fr-FR"/>
        </w:rPr>
        <w:t>2</w:t>
      </w:r>
      <w:r w:rsidR="00C26656">
        <w:rPr>
          <w:lang w:eastAsia="fr-FR"/>
        </w:rPr>
        <w:t xml:space="preserve"> absorptions </w:t>
      </w:r>
      <w:r w:rsidR="009F3CE7">
        <w:rPr>
          <w:lang w:eastAsia="fr-FR"/>
        </w:rPr>
        <w:t xml:space="preserve">(tree growth, reforestation) </w:t>
      </w:r>
      <w:r w:rsidR="00C26656">
        <w:rPr>
          <w:lang w:eastAsia="fr-FR"/>
        </w:rPr>
        <w:t>overcompensate the CO</w:t>
      </w:r>
      <w:r w:rsidR="00C26656" w:rsidRPr="00622F40">
        <w:rPr>
          <w:vertAlign w:val="subscript"/>
          <w:lang w:eastAsia="fr-FR"/>
        </w:rPr>
        <w:t>2</w:t>
      </w:r>
      <w:r w:rsidR="00C26656">
        <w:rPr>
          <w:lang w:eastAsia="fr-FR"/>
        </w:rPr>
        <w:t xml:space="preserve"> emissions (</w:t>
      </w:r>
      <w:r w:rsidR="009F3CE7">
        <w:rPr>
          <w:lang w:eastAsia="fr-FR"/>
        </w:rPr>
        <w:t xml:space="preserve">e.g., </w:t>
      </w:r>
      <w:r w:rsidR="00210A81">
        <w:rPr>
          <w:lang w:eastAsia="fr-FR"/>
        </w:rPr>
        <w:t xml:space="preserve">tree mortality, </w:t>
      </w:r>
      <w:r w:rsidR="00313835">
        <w:rPr>
          <w:lang w:eastAsia="fr-FR"/>
        </w:rPr>
        <w:t>deforestation</w:t>
      </w:r>
      <w:r w:rsidR="009F3CE7">
        <w:rPr>
          <w:lang w:eastAsia="fr-FR"/>
        </w:rPr>
        <w:t>, artificialisation</w:t>
      </w:r>
      <w:r w:rsidR="00C26656">
        <w:rPr>
          <w:lang w:eastAsia="fr-FR"/>
        </w:rPr>
        <w:t>)</w:t>
      </w:r>
      <w:r w:rsidR="00975BAB">
        <w:rPr>
          <w:lang w:eastAsia="fr-FR"/>
        </w:rPr>
        <w:t xml:space="preserve"> and, in addition, an increasing net removal from this sector</w:t>
      </w:r>
      <w:r w:rsidR="0032040B">
        <w:rPr>
          <w:lang w:eastAsia="fr-FR"/>
        </w:rPr>
        <w:t xml:space="preserve"> is observed</w:t>
      </w:r>
      <w:r w:rsidR="00C26656">
        <w:rPr>
          <w:lang w:eastAsia="fr-FR"/>
        </w:rPr>
        <w:t xml:space="preserve">. </w:t>
      </w:r>
      <w:r w:rsidR="002D6FEF">
        <w:rPr>
          <w:lang w:eastAsia="fr-FR"/>
        </w:rPr>
        <w:t xml:space="preserve">Indeed, </w:t>
      </w:r>
      <w:r w:rsidR="0032040B">
        <w:rPr>
          <w:lang w:eastAsia="fr-FR"/>
        </w:rPr>
        <w:t>for the period 1990-2022</w:t>
      </w:r>
      <w:r w:rsidR="00AC0D39">
        <w:rPr>
          <w:lang w:eastAsia="fr-FR"/>
        </w:rPr>
        <w:t xml:space="preserve"> the net CO</w:t>
      </w:r>
      <w:r w:rsidR="00AC0D39" w:rsidRPr="00622F40">
        <w:rPr>
          <w:vertAlign w:val="subscript"/>
          <w:lang w:eastAsia="fr-FR"/>
        </w:rPr>
        <w:t>2</w:t>
      </w:r>
      <w:r w:rsidR="00AC0D39">
        <w:rPr>
          <w:lang w:eastAsia="fr-FR"/>
        </w:rPr>
        <w:t xml:space="preserve"> removals</w:t>
      </w:r>
      <w:r w:rsidR="002D6FEF">
        <w:rPr>
          <w:lang w:eastAsia="fr-FR"/>
        </w:rPr>
        <w:t xml:space="preserve"> </w:t>
      </w:r>
      <w:r w:rsidR="00AC0D39">
        <w:rPr>
          <w:lang w:eastAsia="fr-FR"/>
        </w:rPr>
        <w:t xml:space="preserve">increased by </w:t>
      </w:r>
      <w:r w:rsidR="00A24663">
        <w:rPr>
          <w:lang w:eastAsia="fr-FR"/>
        </w:rPr>
        <w:t>215%</w:t>
      </w:r>
      <w:r w:rsidR="00A55E88">
        <w:rPr>
          <w:lang w:eastAsia="fr-FR"/>
        </w:rPr>
        <w:t>, mostly due to the forest lands (</w:t>
      </w:r>
      <w:r w:rsidR="000F6001">
        <w:rPr>
          <w:lang w:eastAsia="fr-FR"/>
        </w:rPr>
        <w:t>CRT</w:t>
      </w:r>
      <w:r w:rsidR="00A55E88">
        <w:rPr>
          <w:lang w:eastAsia="fr-FR"/>
        </w:rPr>
        <w:t xml:space="preserve"> 4A) which contribute to </w:t>
      </w:r>
      <w:r w:rsidR="002913DC">
        <w:rPr>
          <w:lang w:eastAsia="fr-FR"/>
        </w:rPr>
        <w:t xml:space="preserve">88% of the emissions and removals </w:t>
      </w:r>
      <w:r w:rsidR="007963F2">
        <w:rPr>
          <w:lang w:eastAsia="fr-FR"/>
        </w:rPr>
        <w:t xml:space="preserve">in </w:t>
      </w:r>
      <w:r w:rsidR="007958D5">
        <w:rPr>
          <w:lang w:eastAsia="fr-FR"/>
        </w:rPr>
        <w:t>2022 and</w:t>
      </w:r>
      <w:r w:rsidR="007963F2">
        <w:rPr>
          <w:lang w:eastAsia="fr-FR"/>
        </w:rPr>
        <w:t xml:space="preserve"> increase</w:t>
      </w:r>
      <w:r w:rsidR="00544CD5">
        <w:rPr>
          <w:lang w:eastAsia="fr-FR"/>
        </w:rPr>
        <w:t>d</w:t>
      </w:r>
      <w:r w:rsidR="007963F2">
        <w:rPr>
          <w:lang w:eastAsia="fr-FR"/>
        </w:rPr>
        <w:t xml:space="preserve"> by </w:t>
      </w:r>
      <w:r w:rsidR="004D3729">
        <w:rPr>
          <w:lang w:eastAsia="fr-FR"/>
        </w:rPr>
        <w:t xml:space="preserve">132% </w:t>
      </w:r>
      <w:r w:rsidR="0032040B">
        <w:rPr>
          <w:lang w:eastAsia="fr-FR"/>
        </w:rPr>
        <w:t>over the same period</w:t>
      </w:r>
      <w:r w:rsidR="00A55E88">
        <w:rPr>
          <w:lang w:eastAsia="fr-FR"/>
        </w:rPr>
        <w:t xml:space="preserve">. </w:t>
      </w:r>
      <w:r w:rsidR="00614D0C">
        <w:rPr>
          <w:lang w:eastAsia="fr-FR"/>
        </w:rPr>
        <w:t xml:space="preserve">This is </w:t>
      </w:r>
      <w:r w:rsidR="00070353">
        <w:rPr>
          <w:lang w:eastAsia="fr-FR"/>
        </w:rPr>
        <w:t xml:space="preserve">partly </w:t>
      </w:r>
      <w:r w:rsidR="00614D0C">
        <w:rPr>
          <w:lang w:eastAsia="fr-FR"/>
        </w:rPr>
        <w:t xml:space="preserve">due to the fact that </w:t>
      </w:r>
      <w:r w:rsidR="003E0845">
        <w:rPr>
          <w:lang w:eastAsia="fr-FR"/>
        </w:rPr>
        <w:t xml:space="preserve">heavy commercial logging and industrial technical wood use for the pulp and paper industry were very present in the </w:t>
      </w:r>
      <w:r w:rsidR="00F061AC">
        <w:rPr>
          <w:lang w:eastAsia="fr-FR"/>
        </w:rPr>
        <w:t xml:space="preserve">country </w:t>
      </w:r>
      <w:r w:rsidR="00070353">
        <w:rPr>
          <w:lang w:eastAsia="fr-FR"/>
        </w:rPr>
        <w:t>in 1990</w:t>
      </w:r>
      <w:r w:rsidR="007958D5">
        <w:rPr>
          <w:lang w:eastAsia="fr-FR"/>
        </w:rPr>
        <w:t xml:space="preserve"> which later collapsed and never recover</w:t>
      </w:r>
      <w:r w:rsidR="00070353">
        <w:rPr>
          <w:lang w:eastAsia="fr-FR"/>
        </w:rPr>
        <w:t>.</w:t>
      </w:r>
      <w:r w:rsidR="00243F20">
        <w:rPr>
          <w:lang w:eastAsia="fr-FR"/>
        </w:rPr>
        <w:t xml:space="preserve"> Although there has been a huge increase of the net removal of this subcategory over the whole period, the sink decreased </w:t>
      </w:r>
      <w:r w:rsidR="00665AEE">
        <w:rPr>
          <w:lang w:eastAsia="fr-FR"/>
        </w:rPr>
        <w:t xml:space="preserve">significantly </w:t>
      </w:r>
      <w:r w:rsidR="00243F20">
        <w:rPr>
          <w:lang w:eastAsia="fr-FR"/>
        </w:rPr>
        <w:t>since 20</w:t>
      </w:r>
      <w:r w:rsidR="00985FE7">
        <w:rPr>
          <w:lang w:eastAsia="fr-FR"/>
        </w:rPr>
        <w:t>07</w:t>
      </w:r>
      <w:r w:rsidR="00243F20">
        <w:rPr>
          <w:lang w:eastAsia="fr-FR"/>
        </w:rPr>
        <w:t xml:space="preserve"> (</w:t>
      </w:r>
      <w:r w:rsidR="00985FE7">
        <w:rPr>
          <w:lang w:eastAsia="fr-FR"/>
        </w:rPr>
        <w:t>-31%)</w:t>
      </w:r>
      <w:r w:rsidR="00DF2B5E">
        <w:rPr>
          <w:lang w:eastAsia="fr-FR"/>
        </w:rPr>
        <w:t xml:space="preserve"> due to the increased use of biomass as a fuel and natural </w:t>
      </w:r>
      <w:r w:rsidR="007958D5">
        <w:rPr>
          <w:lang w:eastAsia="fr-FR"/>
        </w:rPr>
        <w:t>disturbances</w:t>
      </w:r>
      <w:r w:rsidR="00DF2B5E">
        <w:rPr>
          <w:lang w:eastAsia="fr-FR"/>
        </w:rPr>
        <w:t>.</w:t>
      </w:r>
      <w:r w:rsidR="00070353">
        <w:rPr>
          <w:lang w:eastAsia="fr-FR"/>
        </w:rPr>
        <w:t xml:space="preserve"> </w:t>
      </w:r>
      <w:r w:rsidR="00E616BC">
        <w:rPr>
          <w:lang w:eastAsia="fr-FR"/>
        </w:rPr>
        <w:t>Among the other categories, the grass</w:t>
      </w:r>
      <w:r w:rsidR="00966C72">
        <w:rPr>
          <w:lang w:eastAsia="fr-FR"/>
        </w:rPr>
        <w:t>land category (</w:t>
      </w:r>
      <w:r w:rsidR="000F6001">
        <w:rPr>
          <w:lang w:eastAsia="fr-FR"/>
        </w:rPr>
        <w:t>CRT</w:t>
      </w:r>
      <w:r w:rsidR="00966C72">
        <w:rPr>
          <w:lang w:eastAsia="fr-FR"/>
        </w:rPr>
        <w:t xml:space="preserve"> 4C) reduced its CO</w:t>
      </w:r>
      <w:r w:rsidR="00966C72" w:rsidRPr="00622F40">
        <w:rPr>
          <w:vertAlign w:val="subscript"/>
          <w:lang w:eastAsia="fr-FR"/>
        </w:rPr>
        <w:t>2</w:t>
      </w:r>
      <w:r w:rsidR="00966C72">
        <w:rPr>
          <w:lang w:eastAsia="fr-FR"/>
        </w:rPr>
        <w:t xml:space="preserve"> emissions by </w:t>
      </w:r>
      <w:r w:rsidR="006412BD">
        <w:rPr>
          <w:lang w:eastAsia="fr-FR"/>
        </w:rPr>
        <w:t>almost 100%, whereas the net removals from harvested wood products (</w:t>
      </w:r>
      <w:r w:rsidR="000F6001">
        <w:rPr>
          <w:lang w:eastAsia="fr-FR"/>
        </w:rPr>
        <w:t>CRT</w:t>
      </w:r>
      <w:r w:rsidR="006412BD">
        <w:rPr>
          <w:lang w:eastAsia="fr-FR"/>
        </w:rPr>
        <w:t xml:space="preserve"> 4G)</w:t>
      </w:r>
      <w:r w:rsidR="00867399">
        <w:rPr>
          <w:lang w:eastAsia="fr-FR"/>
        </w:rPr>
        <w:t xml:space="preserve"> increased by </w:t>
      </w:r>
      <w:r w:rsidR="00544CD5">
        <w:rPr>
          <w:lang w:eastAsia="fr-FR"/>
        </w:rPr>
        <w:t xml:space="preserve">391%, </w:t>
      </w:r>
      <w:r w:rsidR="0032040B">
        <w:rPr>
          <w:lang w:eastAsia="fr-FR"/>
        </w:rPr>
        <w:t>between 1990 and 2022</w:t>
      </w:r>
      <w:r w:rsidR="00544CD5">
        <w:rPr>
          <w:lang w:eastAsia="fr-FR"/>
        </w:rPr>
        <w:t xml:space="preserve">. </w:t>
      </w:r>
    </w:p>
    <w:p w14:paraId="449713AD" w14:textId="77777777" w:rsidR="0049584F" w:rsidRDefault="0049584F" w:rsidP="00DD251E">
      <w:pPr>
        <w:spacing w:line="240" w:lineRule="auto"/>
        <w:rPr>
          <w:b/>
          <w:bCs/>
          <w:lang w:eastAsia="fr-FR"/>
        </w:rPr>
      </w:pPr>
    </w:p>
    <w:p w14:paraId="550EC1BC" w14:textId="0BAB4587" w:rsidR="00DD251E" w:rsidRPr="00C22495" w:rsidRDefault="00DD251E" w:rsidP="00DD251E">
      <w:pPr>
        <w:spacing w:line="240" w:lineRule="auto"/>
        <w:rPr>
          <w:b/>
          <w:bCs/>
          <w:lang w:eastAsia="fr-FR"/>
        </w:rPr>
      </w:pPr>
      <w:r w:rsidRPr="00C22495">
        <w:rPr>
          <w:b/>
          <w:bCs/>
          <w:lang w:eastAsia="fr-FR"/>
        </w:rPr>
        <w:t>C</w:t>
      </w:r>
      <w:r>
        <w:rPr>
          <w:b/>
          <w:bCs/>
          <w:lang w:eastAsia="fr-FR"/>
        </w:rPr>
        <w:t>H</w:t>
      </w:r>
      <w:r>
        <w:rPr>
          <w:b/>
          <w:bCs/>
          <w:vertAlign w:val="subscript"/>
          <w:lang w:eastAsia="fr-FR"/>
        </w:rPr>
        <w:t>4</w:t>
      </w:r>
    </w:p>
    <w:p w14:paraId="7B613F2D" w14:textId="2526319A" w:rsidR="005704FC" w:rsidRDefault="00DD251E" w:rsidP="00DD251E">
      <w:pPr>
        <w:spacing w:line="240" w:lineRule="auto"/>
        <w:rPr>
          <w:lang w:eastAsia="fr-FR"/>
        </w:rPr>
      </w:pPr>
      <w:r>
        <w:rPr>
          <w:lang w:eastAsia="fr-FR"/>
        </w:rPr>
        <w:t>The national C</w:t>
      </w:r>
      <w:r w:rsidR="00860B68">
        <w:rPr>
          <w:lang w:eastAsia="fr-FR"/>
        </w:rPr>
        <w:t>H</w:t>
      </w:r>
      <w:r w:rsidR="00860B68">
        <w:rPr>
          <w:vertAlign w:val="subscript"/>
          <w:lang w:eastAsia="fr-FR"/>
        </w:rPr>
        <w:t>4</w:t>
      </w:r>
      <w:r>
        <w:rPr>
          <w:lang w:eastAsia="fr-FR"/>
        </w:rPr>
        <w:t xml:space="preserve"> emissions from the Republic of Serbia, decrease</w:t>
      </w:r>
      <w:r w:rsidR="00D43FC0">
        <w:rPr>
          <w:lang w:eastAsia="fr-FR"/>
        </w:rPr>
        <w:t>d</w:t>
      </w:r>
      <w:r>
        <w:rPr>
          <w:lang w:eastAsia="fr-FR"/>
        </w:rPr>
        <w:t xml:space="preserve"> by 2</w:t>
      </w:r>
      <w:r w:rsidR="00835C83">
        <w:rPr>
          <w:lang w:eastAsia="fr-FR"/>
        </w:rPr>
        <w:t>9</w:t>
      </w:r>
      <w:r>
        <w:rPr>
          <w:lang w:eastAsia="fr-FR"/>
        </w:rPr>
        <w:t xml:space="preserve">% </w:t>
      </w:r>
      <w:r w:rsidR="00835C83">
        <w:rPr>
          <w:lang w:eastAsia="fr-FR"/>
        </w:rPr>
        <w:t>for</w:t>
      </w:r>
      <w:r>
        <w:rPr>
          <w:lang w:eastAsia="fr-FR"/>
        </w:rPr>
        <w:t xml:space="preserve"> the period 1990-2022</w:t>
      </w:r>
      <w:r w:rsidR="004B5EA4">
        <w:rPr>
          <w:lang w:eastAsia="fr-FR"/>
        </w:rPr>
        <w:t>, with or without considering the LULUCF contribution</w:t>
      </w:r>
      <w:r>
        <w:rPr>
          <w:lang w:eastAsia="fr-FR"/>
        </w:rPr>
        <w:t xml:space="preserve">. </w:t>
      </w:r>
      <w:r w:rsidR="00CF04B2">
        <w:rPr>
          <w:lang w:eastAsia="fr-FR"/>
        </w:rPr>
        <w:t>Different emission sources contribut</w:t>
      </w:r>
      <w:r w:rsidR="00434430">
        <w:rPr>
          <w:lang w:eastAsia="fr-FR"/>
        </w:rPr>
        <w:t>e significantly</w:t>
      </w:r>
      <w:r w:rsidR="00CF04B2">
        <w:rPr>
          <w:lang w:eastAsia="fr-FR"/>
        </w:rPr>
        <w:t xml:space="preserve"> </w:t>
      </w:r>
      <w:r w:rsidR="00434430">
        <w:rPr>
          <w:lang w:eastAsia="fr-FR"/>
        </w:rPr>
        <w:t xml:space="preserve">to the national </w:t>
      </w:r>
      <w:r>
        <w:rPr>
          <w:lang w:eastAsia="fr-FR"/>
        </w:rPr>
        <w:t>C</w:t>
      </w:r>
      <w:r w:rsidR="004B5EA4">
        <w:rPr>
          <w:lang w:eastAsia="fr-FR"/>
        </w:rPr>
        <w:t>H</w:t>
      </w:r>
      <w:r w:rsidR="004B5EA4">
        <w:rPr>
          <w:vertAlign w:val="subscript"/>
          <w:lang w:eastAsia="fr-FR"/>
        </w:rPr>
        <w:t>4</w:t>
      </w:r>
      <w:r>
        <w:rPr>
          <w:lang w:eastAsia="fr-FR"/>
        </w:rPr>
        <w:t xml:space="preserve"> emissions</w:t>
      </w:r>
      <w:r w:rsidR="003A1BBC">
        <w:rPr>
          <w:lang w:eastAsia="fr-FR"/>
        </w:rPr>
        <w:t xml:space="preserve">. In 1990, </w:t>
      </w:r>
      <w:r w:rsidR="00AE39B7">
        <w:rPr>
          <w:lang w:eastAsia="fr-FR"/>
        </w:rPr>
        <w:t xml:space="preserve">the predominant source is </w:t>
      </w:r>
      <w:r w:rsidR="00434430">
        <w:rPr>
          <w:lang w:eastAsia="fr-FR"/>
        </w:rPr>
        <w:t xml:space="preserve">the </w:t>
      </w:r>
      <w:r w:rsidR="004E192C">
        <w:rPr>
          <w:lang w:eastAsia="fr-FR"/>
        </w:rPr>
        <w:t>agricul</w:t>
      </w:r>
      <w:r w:rsidR="00601264">
        <w:rPr>
          <w:lang w:eastAsia="fr-FR"/>
        </w:rPr>
        <w:t>ture</w:t>
      </w:r>
      <w:r w:rsidR="00434430">
        <w:rPr>
          <w:lang w:eastAsia="fr-FR"/>
        </w:rPr>
        <w:t xml:space="preserve"> sector</w:t>
      </w:r>
      <w:r w:rsidR="00601264">
        <w:rPr>
          <w:lang w:eastAsia="fr-FR"/>
        </w:rPr>
        <w:t xml:space="preserve"> (</w:t>
      </w:r>
      <w:r w:rsidR="000F6001">
        <w:rPr>
          <w:lang w:eastAsia="fr-FR"/>
        </w:rPr>
        <w:t>CRT</w:t>
      </w:r>
      <w:r w:rsidR="00601264">
        <w:rPr>
          <w:lang w:eastAsia="fr-FR"/>
        </w:rPr>
        <w:t xml:space="preserve"> 3)</w:t>
      </w:r>
      <w:r w:rsidR="00AE39B7">
        <w:rPr>
          <w:lang w:eastAsia="fr-FR"/>
        </w:rPr>
        <w:t>, which</w:t>
      </w:r>
      <w:r w:rsidR="00434430">
        <w:rPr>
          <w:lang w:eastAsia="fr-FR"/>
        </w:rPr>
        <w:t xml:space="preserve"> represented </w:t>
      </w:r>
      <w:r w:rsidR="00601264">
        <w:rPr>
          <w:lang w:eastAsia="fr-FR"/>
        </w:rPr>
        <w:t>41</w:t>
      </w:r>
      <w:r w:rsidR="00434430">
        <w:rPr>
          <w:lang w:eastAsia="fr-FR"/>
        </w:rPr>
        <w:t xml:space="preserve">% of the Republic of Serbia </w:t>
      </w:r>
      <w:r w:rsidR="00601264">
        <w:rPr>
          <w:lang w:eastAsia="fr-FR"/>
        </w:rPr>
        <w:t xml:space="preserve">methane </w:t>
      </w:r>
      <w:r w:rsidR="00434430">
        <w:rPr>
          <w:lang w:eastAsia="fr-FR"/>
        </w:rPr>
        <w:t xml:space="preserve">emissions </w:t>
      </w:r>
      <w:r w:rsidR="00DD36EB">
        <w:rPr>
          <w:lang w:eastAsia="fr-FR"/>
        </w:rPr>
        <w:t>and</w:t>
      </w:r>
      <w:r>
        <w:rPr>
          <w:lang w:eastAsia="fr-FR"/>
        </w:rPr>
        <w:t>, in 2022,</w:t>
      </w:r>
      <w:r w:rsidR="00DD36EB">
        <w:rPr>
          <w:lang w:eastAsia="fr-FR"/>
        </w:rPr>
        <w:t xml:space="preserve"> </w:t>
      </w:r>
      <w:r w:rsidR="00C170AA">
        <w:rPr>
          <w:lang w:eastAsia="fr-FR"/>
        </w:rPr>
        <w:t xml:space="preserve">had a </w:t>
      </w:r>
      <w:r w:rsidR="00DD36EB">
        <w:rPr>
          <w:lang w:eastAsia="fr-FR"/>
        </w:rPr>
        <w:t xml:space="preserve">contribution </w:t>
      </w:r>
      <w:r w:rsidR="00C170AA">
        <w:rPr>
          <w:lang w:eastAsia="fr-FR"/>
        </w:rPr>
        <w:t xml:space="preserve">of </w:t>
      </w:r>
      <w:r w:rsidR="00AE39B7">
        <w:rPr>
          <w:lang w:eastAsia="fr-FR"/>
        </w:rPr>
        <w:t>33</w:t>
      </w:r>
      <w:r w:rsidR="005C26C4">
        <w:rPr>
          <w:lang w:eastAsia="fr-FR"/>
        </w:rPr>
        <w:t>%</w:t>
      </w:r>
      <w:r>
        <w:rPr>
          <w:lang w:eastAsia="fr-FR"/>
        </w:rPr>
        <w:t>.</w:t>
      </w:r>
      <w:r w:rsidR="005C26C4">
        <w:rPr>
          <w:lang w:eastAsia="fr-FR"/>
        </w:rPr>
        <w:t xml:space="preserve"> </w:t>
      </w:r>
      <w:r w:rsidR="00C170AA">
        <w:rPr>
          <w:lang w:eastAsia="fr-FR"/>
        </w:rPr>
        <w:t xml:space="preserve">The other </w:t>
      </w:r>
      <w:r w:rsidR="003E12A2">
        <w:rPr>
          <w:lang w:eastAsia="fr-FR"/>
        </w:rPr>
        <w:t>major emission source is the waste sector (</w:t>
      </w:r>
      <w:r w:rsidR="000F6001">
        <w:rPr>
          <w:lang w:eastAsia="fr-FR"/>
        </w:rPr>
        <w:t>CRT</w:t>
      </w:r>
      <w:r w:rsidR="003E12A2">
        <w:rPr>
          <w:lang w:eastAsia="fr-FR"/>
        </w:rPr>
        <w:t xml:space="preserve"> 5), which contributed to 3</w:t>
      </w:r>
      <w:r w:rsidR="00EC79E6">
        <w:rPr>
          <w:lang w:eastAsia="fr-FR"/>
        </w:rPr>
        <w:t>4</w:t>
      </w:r>
      <w:r w:rsidR="003E12A2">
        <w:rPr>
          <w:lang w:eastAsia="fr-FR"/>
        </w:rPr>
        <w:t xml:space="preserve">% in 1990 and increased its share up to </w:t>
      </w:r>
      <w:r w:rsidR="00EC79E6">
        <w:rPr>
          <w:lang w:eastAsia="fr-FR"/>
        </w:rPr>
        <w:t>36% in 2022. T</w:t>
      </w:r>
      <w:r w:rsidR="00691A1C">
        <w:rPr>
          <w:lang w:eastAsia="fr-FR"/>
        </w:rPr>
        <w:t>he CH</w:t>
      </w:r>
      <w:r w:rsidR="00691A1C" w:rsidRPr="00622F40">
        <w:rPr>
          <w:vertAlign w:val="subscript"/>
          <w:lang w:eastAsia="fr-FR"/>
        </w:rPr>
        <w:t>4</w:t>
      </w:r>
      <w:r w:rsidR="00691A1C">
        <w:rPr>
          <w:lang w:eastAsia="fr-FR"/>
        </w:rPr>
        <w:t xml:space="preserve"> emissions of these</w:t>
      </w:r>
      <w:r>
        <w:rPr>
          <w:lang w:eastAsia="fr-FR"/>
        </w:rPr>
        <w:t xml:space="preserve"> </w:t>
      </w:r>
      <w:r w:rsidR="00691A1C">
        <w:rPr>
          <w:lang w:eastAsia="fr-FR"/>
        </w:rPr>
        <w:t xml:space="preserve">two sectors decreased </w:t>
      </w:r>
      <w:r w:rsidR="007F11AB">
        <w:rPr>
          <w:lang w:eastAsia="fr-FR"/>
        </w:rPr>
        <w:t xml:space="preserve">considerably </w:t>
      </w:r>
      <w:r w:rsidR="00691A1C">
        <w:rPr>
          <w:lang w:eastAsia="fr-FR"/>
        </w:rPr>
        <w:t xml:space="preserve">for the period 1990-2022, </w:t>
      </w:r>
      <w:r w:rsidR="00EC79E6">
        <w:rPr>
          <w:lang w:eastAsia="fr-FR"/>
        </w:rPr>
        <w:t>with</w:t>
      </w:r>
      <w:r w:rsidR="00691A1C">
        <w:rPr>
          <w:lang w:eastAsia="fr-FR"/>
        </w:rPr>
        <w:t xml:space="preserve"> a faster rate for agriculture (-</w:t>
      </w:r>
      <w:r w:rsidR="005704FC">
        <w:rPr>
          <w:lang w:eastAsia="fr-FR"/>
        </w:rPr>
        <w:t>4</w:t>
      </w:r>
      <w:r w:rsidR="00F14880">
        <w:rPr>
          <w:lang w:eastAsia="fr-FR"/>
        </w:rPr>
        <w:t>3</w:t>
      </w:r>
      <w:r w:rsidR="005704FC">
        <w:rPr>
          <w:lang w:eastAsia="fr-FR"/>
        </w:rPr>
        <w:t xml:space="preserve">%) than for the waste (-25%). In addition, the fugitive emissions </w:t>
      </w:r>
      <w:r w:rsidR="00E823E7">
        <w:rPr>
          <w:lang w:eastAsia="fr-FR"/>
        </w:rPr>
        <w:t>(</w:t>
      </w:r>
      <w:r w:rsidR="000F6001">
        <w:rPr>
          <w:lang w:eastAsia="fr-FR"/>
        </w:rPr>
        <w:t>CRT</w:t>
      </w:r>
      <w:r w:rsidR="00E823E7">
        <w:rPr>
          <w:lang w:eastAsia="fr-FR"/>
        </w:rPr>
        <w:t xml:space="preserve"> 1B) </w:t>
      </w:r>
      <w:r w:rsidR="00300AEA">
        <w:rPr>
          <w:lang w:eastAsia="fr-FR"/>
        </w:rPr>
        <w:t>are</w:t>
      </w:r>
      <w:r w:rsidR="00E823E7">
        <w:rPr>
          <w:lang w:eastAsia="fr-FR"/>
        </w:rPr>
        <w:t xml:space="preserve"> also a significant contributor to the national emissions </w:t>
      </w:r>
      <w:r w:rsidR="00550BAD">
        <w:rPr>
          <w:lang w:eastAsia="fr-FR"/>
        </w:rPr>
        <w:t xml:space="preserve">excluding LULUCF </w:t>
      </w:r>
      <w:r w:rsidR="00E823E7">
        <w:rPr>
          <w:lang w:eastAsia="fr-FR"/>
        </w:rPr>
        <w:t xml:space="preserve">with </w:t>
      </w:r>
      <w:r w:rsidR="00313850">
        <w:rPr>
          <w:lang w:eastAsia="fr-FR"/>
        </w:rPr>
        <w:t>31</w:t>
      </w:r>
      <w:r w:rsidR="00A429B7">
        <w:rPr>
          <w:lang w:eastAsia="fr-FR"/>
        </w:rPr>
        <w:t>% in 2022</w:t>
      </w:r>
      <w:r w:rsidR="007F11AB">
        <w:rPr>
          <w:lang w:eastAsia="fr-FR"/>
        </w:rPr>
        <w:t xml:space="preserve">, </w:t>
      </w:r>
      <w:r w:rsidR="00313850">
        <w:rPr>
          <w:lang w:eastAsia="fr-FR"/>
        </w:rPr>
        <w:t>despite</w:t>
      </w:r>
      <w:r w:rsidR="007F11AB">
        <w:rPr>
          <w:lang w:eastAsia="fr-FR"/>
        </w:rPr>
        <w:t xml:space="preserve"> ha</w:t>
      </w:r>
      <w:r w:rsidR="00300AEA">
        <w:rPr>
          <w:lang w:eastAsia="fr-FR"/>
        </w:rPr>
        <w:t>v</w:t>
      </w:r>
      <w:r w:rsidR="00313850">
        <w:rPr>
          <w:lang w:eastAsia="fr-FR"/>
        </w:rPr>
        <w:t>ing</w:t>
      </w:r>
      <w:r w:rsidR="007F11AB">
        <w:rPr>
          <w:lang w:eastAsia="fr-FR"/>
        </w:rPr>
        <w:t xml:space="preserve"> reduced </w:t>
      </w:r>
      <w:r w:rsidR="00300AEA">
        <w:rPr>
          <w:lang w:eastAsia="fr-FR"/>
        </w:rPr>
        <w:t>the</w:t>
      </w:r>
      <w:r w:rsidR="00887ABF">
        <w:rPr>
          <w:lang w:eastAsia="fr-FR"/>
        </w:rPr>
        <w:t>ir</w:t>
      </w:r>
      <w:r w:rsidR="007F11AB">
        <w:rPr>
          <w:lang w:eastAsia="fr-FR"/>
        </w:rPr>
        <w:t xml:space="preserve"> emissions by </w:t>
      </w:r>
      <w:r w:rsidR="00550BAD">
        <w:rPr>
          <w:lang w:eastAsia="fr-FR"/>
        </w:rPr>
        <w:t>19% for the period 1990-2022</w:t>
      </w:r>
      <w:r w:rsidR="00A429B7">
        <w:rPr>
          <w:lang w:eastAsia="fr-FR"/>
        </w:rPr>
        <w:t>.</w:t>
      </w:r>
      <w:r w:rsidR="00550BAD">
        <w:rPr>
          <w:lang w:eastAsia="fr-FR"/>
        </w:rPr>
        <w:t xml:space="preserve"> </w:t>
      </w:r>
      <w:r w:rsidR="00EA2E14">
        <w:rPr>
          <w:lang w:eastAsia="fr-FR"/>
        </w:rPr>
        <w:t>The fall in the fugitive CH</w:t>
      </w:r>
      <w:r w:rsidR="00EA2E14" w:rsidRPr="00622F40">
        <w:rPr>
          <w:vertAlign w:val="subscript"/>
          <w:lang w:eastAsia="fr-FR"/>
        </w:rPr>
        <w:t>4</w:t>
      </w:r>
      <w:r w:rsidR="00EA2E14">
        <w:rPr>
          <w:lang w:eastAsia="fr-FR"/>
        </w:rPr>
        <w:t xml:space="preserve"> emissions of this sector is related to the drops in coal and oil productions, respectively of 19% and 25% between 1990 and 2022</w:t>
      </w:r>
      <w:r w:rsidR="00583B57">
        <w:rPr>
          <w:lang w:eastAsia="fr-FR"/>
        </w:rPr>
        <w:t>.</w:t>
      </w:r>
      <w:r w:rsidR="00A429B7">
        <w:rPr>
          <w:lang w:eastAsia="fr-FR"/>
        </w:rPr>
        <w:t xml:space="preserve"> </w:t>
      </w:r>
      <w:r w:rsidR="00E84BA1">
        <w:rPr>
          <w:lang w:eastAsia="fr-FR"/>
        </w:rPr>
        <w:t xml:space="preserve">The reduction in the emissions of the agriculture is mainly related to the </w:t>
      </w:r>
      <w:r w:rsidR="007958D5">
        <w:rPr>
          <w:lang w:eastAsia="fr-FR"/>
        </w:rPr>
        <w:t>decrease</w:t>
      </w:r>
      <w:r w:rsidR="002D6830">
        <w:rPr>
          <w:lang w:eastAsia="fr-FR"/>
        </w:rPr>
        <w:t xml:space="preserve"> in the </w:t>
      </w:r>
      <w:r w:rsidR="000E6227">
        <w:rPr>
          <w:lang w:eastAsia="fr-FR"/>
        </w:rPr>
        <w:t>livestock</w:t>
      </w:r>
      <w:r w:rsidR="00A166EB">
        <w:rPr>
          <w:lang w:eastAsia="fr-FR"/>
        </w:rPr>
        <w:t xml:space="preserve">, which impact </w:t>
      </w:r>
      <w:r w:rsidR="00BE5BE3">
        <w:rPr>
          <w:lang w:eastAsia="fr-FR"/>
        </w:rPr>
        <w:t>enteric fermentation (</w:t>
      </w:r>
      <w:r w:rsidR="000F6001">
        <w:rPr>
          <w:lang w:eastAsia="fr-FR"/>
        </w:rPr>
        <w:t>CRT</w:t>
      </w:r>
      <w:r w:rsidR="00583B57">
        <w:rPr>
          <w:lang w:eastAsia="fr-FR"/>
        </w:rPr>
        <w:t xml:space="preserve"> 3A, </w:t>
      </w:r>
      <w:r w:rsidR="00DF41A7">
        <w:rPr>
          <w:lang w:eastAsia="fr-FR"/>
        </w:rPr>
        <w:t>- </w:t>
      </w:r>
      <w:r w:rsidR="00583B57">
        <w:rPr>
          <w:lang w:eastAsia="fr-FR"/>
        </w:rPr>
        <w:t>44%)</w:t>
      </w:r>
      <w:r w:rsidR="00BE5BE3">
        <w:rPr>
          <w:lang w:eastAsia="fr-FR"/>
        </w:rPr>
        <w:t>, the main emission source, and manure management (</w:t>
      </w:r>
      <w:r w:rsidR="000F6001">
        <w:rPr>
          <w:lang w:eastAsia="fr-FR"/>
        </w:rPr>
        <w:t>CRT</w:t>
      </w:r>
      <w:r w:rsidR="00BE5BE3">
        <w:rPr>
          <w:lang w:eastAsia="fr-FR"/>
        </w:rPr>
        <w:t xml:space="preserve"> 3B, -</w:t>
      </w:r>
      <w:r w:rsidR="00BC6E84">
        <w:rPr>
          <w:lang w:eastAsia="fr-FR"/>
        </w:rPr>
        <w:t>38%).</w:t>
      </w:r>
      <w:r w:rsidR="000E6227">
        <w:rPr>
          <w:lang w:eastAsia="fr-FR"/>
        </w:rPr>
        <w:t xml:space="preserve"> </w:t>
      </w:r>
      <w:r w:rsidR="00BC6E84">
        <w:rPr>
          <w:lang w:eastAsia="fr-FR"/>
        </w:rPr>
        <w:t>F</w:t>
      </w:r>
      <w:r w:rsidR="00930368">
        <w:rPr>
          <w:lang w:eastAsia="fr-FR"/>
        </w:rPr>
        <w:t xml:space="preserve">or the waste sector, </w:t>
      </w:r>
      <w:r w:rsidR="00E66A2B">
        <w:rPr>
          <w:lang w:eastAsia="fr-FR"/>
        </w:rPr>
        <w:t xml:space="preserve">the </w:t>
      </w:r>
      <w:r w:rsidR="00DD42B2">
        <w:rPr>
          <w:lang w:eastAsia="fr-FR"/>
        </w:rPr>
        <w:t xml:space="preserve">drop in the </w:t>
      </w:r>
      <w:r w:rsidR="00E66A2B">
        <w:rPr>
          <w:lang w:eastAsia="fr-FR"/>
        </w:rPr>
        <w:t>solid waste disposal (</w:t>
      </w:r>
      <w:r w:rsidR="000F6001">
        <w:rPr>
          <w:lang w:eastAsia="fr-FR"/>
        </w:rPr>
        <w:t>CRT</w:t>
      </w:r>
      <w:r w:rsidR="00E66A2B">
        <w:rPr>
          <w:lang w:eastAsia="fr-FR"/>
        </w:rPr>
        <w:t xml:space="preserve"> </w:t>
      </w:r>
      <w:r w:rsidR="00DF41A7">
        <w:rPr>
          <w:lang w:eastAsia="fr-FR"/>
        </w:rPr>
        <w:t>5A, -20%)</w:t>
      </w:r>
      <w:r w:rsidR="00E5593C">
        <w:rPr>
          <w:lang w:eastAsia="fr-FR"/>
        </w:rPr>
        <w:t>, due to smaller amounts being disposed,</w:t>
      </w:r>
      <w:r w:rsidR="00DF41A7">
        <w:rPr>
          <w:lang w:eastAsia="fr-FR"/>
        </w:rPr>
        <w:t xml:space="preserve"> and </w:t>
      </w:r>
      <w:r w:rsidR="00E5593C">
        <w:rPr>
          <w:lang w:eastAsia="fr-FR"/>
        </w:rPr>
        <w:t xml:space="preserve">the </w:t>
      </w:r>
      <w:r w:rsidR="00DF41A7">
        <w:rPr>
          <w:lang w:eastAsia="fr-FR"/>
        </w:rPr>
        <w:t xml:space="preserve">wastewater treatment </w:t>
      </w:r>
      <w:r w:rsidR="00E5593C">
        <w:rPr>
          <w:lang w:eastAsia="fr-FR"/>
        </w:rPr>
        <w:t>(</w:t>
      </w:r>
      <w:r w:rsidR="000F6001">
        <w:rPr>
          <w:lang w:eastAsia="fr-FR"/>
        </w:rPr>
        <w:t>CRT</w:t>
      </w:r>
      <w:r w:rsidR="00E5593C">
        <w:rPr>
          <w:lang w:eastAsia="fr-FR"/>
        </w:rPr>
        <w:t xml:space="preserve"> 5D, -</w:t>
      </w:r>
      <w:r w:rsidR="00C0683F">
        <w:rPr>
          <w:lang w:eastAsia="fr-FR"/>
        </w:rPr>
        <w:t xml:space="preserve">37%), due to a decreasing population, can explain the observed </w:t>
      </w:r>
      <w:r w:rsidR="00096F91">
        <w:rPr>
          <w:lang w:eastAsia="fr-FR"/>
        </w:rPr>
        <w:t>trends</w:t>
      </w:r>
      <w:r w:rsidR="00C0683F">
        <w:rPr>
          <w:lang w:eastAsia="fr-FR"/>
        </w:rPr>
        <w:t xml:space="preserve">. </w:t>
      </w:r>
      <w:r w:rsidR="00C43AF6">
        <w:rPr>
          <w:lang w:eastAsia="fr-FR"/>
        </w:rPr>
        <w:t>For the waste sector, the solid waste disposal is the main source of methane emissions with a contribution of 77% to the sector total in 2022.</w:t>
      </w:r>
    </w:p>
    <w:p w14:paraId="39BCCFF5" w14:textId="249F6444" w:rsidR="008B0C96" w:rsidRDefault="008B0C96" w:rsidP="00DD251E">
      <w:pPr>
        <w:spacing w:line="240" w:lineRule="auto"/>
        <w:rPr>
          <w:lang w:eastAsia="fr-FR"/>
        </w:rPr>
      </w:pPr>
      <w:r>
        <w:rPr>
          <w:lang w:eastAsia="fr-FR"/>
        </w:rPr>
        <w:t>Contrarily to the CO</w:t>
      </w:r>
      <w:r w:rsidRPr="00622F40">
        <w:rPr>
          <w:vertAlign w:val="subscript"/>
          <w:lang w:eastAsia="fr-FR"/>
        </w:rPr>
        <w:t>2</w:t>
      </w:r>
      <w:r>
        <w:rPr>
          <w:lang w:eastAsia="fr-FR"/>
        </w:rPr>
        <w:t xml:space="preserve"> emissions, the fuel combustion activities (</w:t>
      </w:r>
      <w:r w:rsidR="000F6001">
        <w:rPr>
          <w:lang w:eastAsia="fr-FR"/>
        </w:rPr>
        <w:t>CRT</w:t>
      </w:r>
      <w:r>
        <w:rPr>
          <w:lang w:eastAsia="fr-FR"/>
        </w:rPr>
        <w:t xml:space="preserve"> 1A) represent a rather smaller share of the national total</w:t>
      </w:r>
      <w:r w:rsidR="009579BF">
        <w:rPr>
          <w:lang w:eastAsia="fr-FR"/>
        </w:rPr>
        <w:t>s</w:t>
      </w:r>
      <w:r>
        <w:rPr>
          <w:lang w:eastAsia="fr-FR"/>
        </w:rPr>
        <w:t xml:space="preserve"> </w:t>
      </w:r>
      <w:r w:rsidR="00A57C9C">
        <w:rPr>
          <w:lang w:eastAsia="fr-FR"/>
        </w:rPr>
        <w:t>for CH</w:t>
      </w:r>
      <w:r w:rsidR="00A57C9C" w:rsidRPr="00622F40">
        <w:rPr>
          <w:vertAlign w:val="subscript"/>
          <w:lang w:eastAsia="fr-FR"/>
        </w:rPr>
        <w:t>4</w:t>
      </w:r>
      <w:r w:rsidR="00A57C9C">
        <w:rPr>
          <w:lang w:eastAsia="fr-FR"/>
        </w:rPr>
        <w:t xml:space="preserve"> with only 7% in </w:t>
      </w:r>
      <w:r w:rsidR="009579BF">
        <w:rPr>
          <w:lang w:eastAsia="fr-FR"/>
        </w:rPr>
        <w:t>2022. However, the contribution of the sector was less significant in 1990 (4%), as the emissions of this sector can be observed to increase from 20% over the period 1990-2022. This is mainly due to the residential-tertiary sector (</w:t>
      </w:r>
      <w:r w:rsidR="000F6001">
        <w:rPr>
          <w:lang w:eastAsia="fr-FR"/>
        </w:rPr>
        <w:t>CRT</w:t>
      </w:r>
      <w:r w:rsidR="009579BF">
        <w:rPr>
          <w:lang w:eastAsia="fr-FR"/>
        </w:rPr>
        <w:t xml:space="preserve"> 1A4, +20%), </w:t>
      </w:r>
      <w:r w:rsidR="00210238">
        <w:rPr>
          <w:lang w:eastAsia="fr-FR"/>
        </w:rPr>
        <w:t>related</w:t>
      </w:r>
      <w:r w:rsidR="009579BF">
        <w:rPr>
          <w:lang w:eastAsia="fr-FR"/>
        </w:rPr>
        <w:t xml:space="preserve"> </w:t>
      </w:r>
      <w:r w:rsidR="00794360">
        <w:rPr>
          <w:lang w:eastAsia="fr-FR"/>
        </w:rPr>
        <w:t xml:space="preserve">to an increase in the residential wood consumptions. </w:t>
      </w:r>
      <w:r w:rsidR="009579BF">
        <w:rPr>
          <w:lang w:eastAsia="fr-FR"/>
        </w:rPr>
        <w:t xml:space="preserve"> </w:t>
      </w:r>
    </w:p>
    <w:p w14:paraId="7BC47214" w14:textId="77777777" w:rsidR="00DD251E" w:rsidRDefault="00DD251E" w:rsidP="00EE4C2F">
      <w:pPr>
        <w:spacing w:line="240" w:lineRule="auto"/>
        <w:rPr>
          <w:b/>
          <w:bCs/>
          <w:lang w:eastAsia="fr-FR"/>
        </w:rPr>
      </w:pPr>
    </w:p>
    <w:p w14:paraId="67B1E2B9" w14:textId="264337E7" w:rsidR="00EE4C2F" w:rsidRPr="00C22495" w:rsidRDefault="00DD251E" w:rsidP="00EE4C2F">
      <w:pPr>
        <w:spacing w:line="240" w:lineRule="auto"/>
        <w:rPr>
          <w:b/>
          <w:bCs/>
          <w:lang w:eastAsia="fr-FR"/>
        </w:rPr>
      </w:pPr>
      <w:r>
        <w:rPr>
          <w:b/>
          <w:bCs/>
          <w:lang w:eastAsia="fr-FR"/>
        </w:rPr>
        <w:lastRenderedPageBreak/>
        <w:t>N</w:t>
      </w:r>
      <w:r w:rsidRPr="00622F40">
        <w:rPr>
          <w:b/>
          <w:bCs/>
          <w:vertAlign w:val="subscript"/>
          <w:lang w:eastAsia="fr-FR"/>
        </w:rPr>
        <w:t>2</w:t>
      </w:r>
      <w:r w:rsidR="00EE4C2F" w:rsidRPr="00C22495">
        <w:rPr>
          <w:b/>
          <w:bCs/>
          <w:lang w:eastAsia="fr-FR"/>
        </w:rPr>
        <w:t>O</w:t>
      </w:r>
    </w:p>
    <w:p w14:paraId="163BEF89" w14:textId="200733B6" w:rsidR="008C67E0" w:rsidRDefault="005F0020" w:rsidP="005F0020">
      <w:pPr>
        <w:spacing w:line="240" w:lineRule="auto"/>
        <w:rPr>
          <w:lang w:eastAsia="fr-FR"/>
        </w:rPr>
      </w:pPr>
      <w:r>
        <w:rPr>
          <w:lang w:eastAsia="fr-FR"/>
        </w:rPr>
        <w:t xml:space="preserve">The national </w:t>
      </w:r>
      <w:r w:rsidR="00E26E86">
        <w:rPr>
          <w:lang w:eastAsia="fr-FR"/>
        </w:rPr>
        <w:t>N</w:t>
      </w:r>
      <w:r w:rsidR="00E26E86">
        <w:rPr>
          <w:vertAlign w:val="subscript"/>
          <w:lang w:eastAsia="fr-FR"/>
        </w:rPr>
        <w:t>2</w:t>
      </w:r>
      <w:r w:rsidR="00E26E86" w:rsidRPr="00622F40">
        <w:rPr>
          <w:lang w:eastAsia="fr-FR"/>
        </w:rPr>
        <w:t>O</w:t>
      </w:r>
      <w:r>
        <w:rPr>
          <w:lang w:eastAsia="fr-FR"/>
        </w:rPr>
        <w:t xml:space="preserve"> emissions </w:t>
      </w:r>
      <w:r w:rsidR="00E26E86">
        <w:rPr>
          <w:lang w:eastAsia="fr-FR"/>
        </w:rPr>
        <w:t>have been reduced</w:t>
      </w:r>
      <w:r>
        <w:rPr>
          <w:lang w:eastAsia="fr-FR"/>
        </w:rPr>
        <w:t xml:space="preserve"> by </w:t>
      </w:r>
      <w:r w:rsidR="00E26E86">
        <w:rPr>
          <w:lang w:eastAsia="fr-FR"/>
        </w:rPr>
        <w:t>12</w:t>
      </w:r>
      <w:r>
        <w:rPr>
          <w:lang w:eastAsia="fr-FR"/>
        </w:rPr>
        <w:t xml:space="preserve">% </w:t>
      </w:r>
      <w:r w:rsidR="00E26E86">
        <w:rPr>
          <w:lang w:eastAsia="fr-FR"/>
        </w:rPr>
        <w:t xml:space="preserve">in the Republic of Serbia, </w:t>
      </w:r>
      <w:r>
        <w:rPr>
          <w:lang w:eastAsia="fr-FR"/>
        </w:rPr>
        <w:t xml:space="preserve">for the period 1990-2022, with or without considering the LULUCF contribution. </w:t>
      </w:r>
      <w:r w:rsidR="008C67E0">
        <w:rPr>
          <w:lang w:eastAsia="fr-FR"/>
        </w:rPr>
        <w:t>The agriculture sector is the most predominant N</w:t>
      </w:r>
      <w:r w:rsidR="008C67E0" w:rsidRPr="00622F40">
        <w:rPr>
          <w:vertAlign w:val="subscript"/>
          <w:lang w:eastAsia="fr-FR"/>
        </w:rPr>
        <w:t>2</w:t>
      </w:r>
      <w:r w:rsidR="008C67E0">
        <w:rPr>
          <w:lang w:eastAsia="fr-FR"/>
        </w:rPr>
        <w:t xml:space="preserve">O emission sources on the territory, with more than </w:t>
      </w:r>
      <w:r w:rsidR="00A376E4">
        <w:rPr>
          <w:lang w:eastAsia="fr-FR"/>
        </w:rPr>
        <w:t xml:space="preserve">82% of the national emissions in 2022. </w:t>
      </w:r>
      <w:r w:rsidR="008215CF">
        <w:rPr>
          <w:lang w:eastAsia="fr-FR"/>
        </w:rPr>
        <w:t xml:space="preserve">Actually, the emissions of this sector are observed to have increased over the period 1990-2022, by 19%, and its contribution was of 61% in 1990. The </w:t>
      </w:r>
      <w:r w:rsidR="00D33C8D">
        <w:rPr>
          <w:lang w:eastAsia="fr-FR"/>
        </w:rPr>
        <w:t>growing share of this sector</w:t>
      </w:r>
      <w:r w:rsidR="008215CF">
        <w:rPr>
          <w:lang w:eastAsia="fr-FR"/>
        </w:rPr>
        <w:t xml:space="preserve"> </w:t>
      </w:r>
      <w:r w:rsidR="00940E20">
        <w:rPr>
          <w:lang w:eastAsia="fr-FR"/>
        </w:rPr>
        <w:t>is only due to the increase in the emissions of the agricultural soils (</w:t>
      </w:r>
      <w:r w:rsidR="000F6001">
        <w:rPr>
          <w:lang w:eastAsia="fr-FR"/>
        </w:rPr>
        <w:t>CRT</w:t>
      </w:r>
      <w:r w:rsidR="00940E20">
        <w:rPr>
          <w:lang w:eastAsia="fr-FR"/>
        </w:rPr>
        <w:t xml:space="preserve"> 3D, +71%)</w:t>
      </w:r>
      <w:r w:rsidR="002A103E">
        <w:rPr>
          <w:lang w:eastAsia="fr-FR"/>
        </w:rPr>
        <w:t>; i</w:t>
      </w:r>
      <w:r w:rsidR="00940E20">
        <w:rPr>
          <w:lang w:eastAsia="fr-FR"/>
        </w:rPr>
        <w:t>n particular</w:t>
      </w:r>
      <w:r w:rsidR="002A103E">
        <w:rPr>
          <w:lang w:eastAsia="fr-FR"/>
        </w:rPr>
        <w:t>,</w:t>
      </w:r>
      <w:r w:rsidR="00940E20">
        <w:rPr>
          <w:lang w:eastAsia="fr-FR"/>
        </w:rPr>
        <w:t xml:space="preserve"> </w:t>
      </w:r>
      <w:r w:rsidR="00337103">
        <w:rPr>
          <w:lang w:eastAsia="fr-FR"/>
        </w:rPr>
        <w:t xml:space="preserve">the increase in </w:t>
      </w:r>
      <w:r w:rsidR="00E23AD8">
        <w:rPr>
          <w:lang w:eastAsia="fr-FR"/>
        </w:rPr>
        <w:t xml:space="preserve">inorganic </w:t>
      </w:r>
      <w:r w:rsidR="00DC1655">
        <w:rPr>
          <w:lang w:eastAsia="fr-FR"/>
        </w:rPr>
        <w:t>N-</w:t>
      </w:r>
      <w:r w:rsidR="00E23AD8">
        <w:rPr>
          <w:lang w:eastAsia="fr-FR"/>
        </w:rPr>
        <w:t>fertili</w:t>
      </w:r>
      <w:r w:rsidR="002476CD">
        <w:rPr>
          <w:lang w:eastAsia="fr-FR"/>
        </w:rPr>
        <w:t>s</w:t>
      </w:r>
      <w:r w:rsidR="00E23AD8">
        <w:rPr>
          <w:lang w:eastAsia="fr-FR"/>
        </w:rPr>
        <w:t>er application (</w:t>
      </w:r>
      <w:r w:rsidR="000F6001">
        <w:rPr>
          <w:lang w:eastAsia="fr-FR"/>
        </w:rPr>
        <w:t>CRT</w:t>
      </w:r>
      <w:r w:rsidR="00E23AD8">
        <w:rPr>
          <w:lang w:eastAsia="fr-FR"/>
        </w:rPr>
        <w:t xml:space="preserve"> 3D</w:t>
      </w:r>
      <w:r w:rsidR="00DC1655">
        <w:rPr>
          <w:lang w:eastAsia="fr-FR"/>
        </w:rPr>
        <w:t>a1</w:t>
      </w:r>
      <w:r w:rsidR="00DF15D1">
        <w:rPr>
          <w:lang w:eastAsia="fr-FR"/>
        </w:rPr>
        <w:t xml:space="preserve">, +598% in emissions), partly in substitution of the </w:t>
      </w:r>
      <w:r w:rsidR="00AA73D8">
        <w:rPr>
          <w:lang w:eastAsia="fr-FR"/>
        </w:rPr>
        <w:t>organic N-fertili</w:t>
      </w:r>
      <w:r w:rsidR="002476CD">
        <w:rPr>
          <w:lang w:eastAsia="fr-FR"/>
        </w:rPr>
        <w:t>s</w:t>
      </w:r>
      <w:r w:rsidR="00AA73D8">
        <w:rPr>
          <w:lang w:eastAsia="fr-FR"/>
        </w:rPr>
        <w:t xml:space="preserve">ers, </w:t>
      </w:r>
      <w:r w:rsidR="002A103E">
        <w:rPr>
          <w:lang w:eastAsia="fr-FR"/>
        </w:rPr>
        <w:t>and, to another extent, to</w:t>
      </w:r>
      <w:r w:rsidR="00AA73D8">
        <w:rPr>
          <w:lang w:eastAsia="fr-FR"/>
        </w:rPr>
        <w:t xml:space="preserve"> the </w:t>
      </w:r>
      <w:r w:rsidR="003C13E0">
        <w:rPr>
          <w:lang w:eastAsia="fr-FR"/>
        </w:rPr>
        <w:t>growth in the indirect N</w:t>
      </w:r>
      <w:r w:rsidR="003C13E0" w:rsidRPr="00622F40">
        <w:rPr>
          <w:vertAlign w:val="subscript"/>
          <w:lang w:eastAsia="fr-FR"/>
        </w:rPr>
        <w:t>2</w:t>
      </w:r>
      <w:r w:rsidR="003C13E0">
        <w:rPr>
          <w:lang w:eastAsia="fr-FR"/>
        </w:rPr>
        <w:t xml:space="preserve">O </w:t>
      </w:r>
      <w:r w:rsidR="005E70C8">
        <w:rPr>
          <w:lang w:eastAsia="fr-FR"/>
        </w:rPr>
        <w:t>from managed soils (</w:t>
      </w:r>
      <w:r w:rsidR="000F6001">
        <w:rPr>
          <w:lang w:eastAsia="fr-FR"/>
        </w:rPr>
        <w:t>CRT</w:t>
      </w:r>
      <w:r w:rsidR="005E70C8">
        <w:rPr>
          <w:lang w:eastAsia="fr-FR"/>
        </w:rPr>
        <w:t xml:space="preserve"> 3Db, +56%).</w:t>
      </w:r>
      <w:r w:rsidR="00F71B55" w:rsidRPr="00F71B55">
        <w:rPr>
          <w:lang w:eastAsia="fr-FR"/>
        </w:rPr>
        <w:t xml:space="preserve"> </w:t>
      </w:r>
      <w:r w:rsidR="00F71B55">
        <w:rPr>
          <w:lang w:eastAsia="fr-FR"/>
        </w:rPr>
        <w:t>This trend is also the consequence of a lack of consistency in the activity data, which are better managed by the SORS from 2013 onwards.</w:t>
      </w:r>
      <w:r w:rsidR="005E70C8">
        <w:rPr>
          <w:lang w:eastAsia="fr-FR"/>
        </w:rPr>
        <w:t xml:space="preserve"> </w:t>
      </w:r>
      <w:r w:rsidR="00497D4F">
        <w:rPr>
          <w:lang w:eastAsia="fr-FR"/>
        </w:rPr>
        <w:t>In contrast, the N</w:t>
      </w:r>
      <w:r w:rsidR="00497D4F" w:rsidRPr="007958D5">
        <w:rPr>
          <w:vertAlign w:val="subscript"/>
          <w:lang w:eastAsia="fr-FR"/>
        </w:rPr>
        <w:t>2</w:t>
      </w:r>
      <w:r w:rsidR="00497D4F">
        <w:rPr>
          <w:lang w:eastAsia="fr-FR"/>
        </w:rPr>
        <w:t xml:space="preserve">O emissions related to manure management, which contributed to </w:t>
      </w:r>
      <w:r w:rsidR="00413F0A">
        <w:rPr>
          <w:lang w:eastAsia="fr-FR"/>
        </w:rPr>
        <w:t>43% of the emissions of the agricultural sector in 1990 and 26% of the national emissions without LULUCF,</w:t>
      </w:r>
      <w:r w:rsidR="00497D4F">
        <w:rPr>
          <w:lang w:eastAsia="fr-FR"/>
        </w:rPr>
        <w:t xml:space="preserve"> have decreased by</w:t>
      </w:r>
      <w:r w:rsidR="00413F0A">
        <w:rPr>
          <w:lang w:eastAsia="fr-FR"/>
        </w:rPr>
        <w:t xml:space="preserve"> 47% due to the </w:t>
      </w:r>
      <w:r w:rsidR="007958D5">
        <w:rPr>
          <w:lang w:eastAsia="fr-FR"/>
        </w:rPr>
        <w:t>decrease</w:t>
      </w:r>
      <w:r w:rsidR="00413F0A">
        <w:rPr>
          <w:lang w:eastAsia="fr-FR"/>
        </w:rPr>
        <w:t xml:space="preserve"> in the livestock</w:t>
      </w:r>
      <w:r w:rsidR="007958D5">
        <w:rPr>
          <w:lang w:eastAsia="fr-FR"/>
        </w:rPr>
        <w:t xml:space="preserve"> category</w:t>
      </w:r>
      <w:r w:rsidR="00413F0A">
        <w:rPr>
          <w:lang w:eastAsia="fr-FR"/>
        </w:rPr>
        <w:t>.</w:t>
      </w:r>
    </w:p>
    <w:p w14:paraId="434DB7EE" w14:textId="03A506A5" w:rsidR="008422E1" w:rsidRDefault="005F0020" w:rsidP="005F0020">
      <w:pPr>
        <w:spacing w:line="240" w:lineRule="auto"/>
        <w:rPr>
          <w:lang w:eastAsia="fr-FR"/>
        </w:rPr>
      </w:pPr>
      <w:r>
        <w:rPr>
          <w:lang w:eastAsia="fr-FR"/>
        </w:rPr>
        <w:t xml:space="preserve">In </w:t>
      </w:r>
      <w:r w:rsidR="00D12040">
        <w:rPr>
          <w:lang w:eastAsia="fr-FR"/>
        </w:rPr>
        <w:t>addition</w:t>
      </w:r>
      <w:r>
        <w:rPr>
          <w:lang w:eastAsia="fr-FR"/>
        </w:rPr>
        <w:t xml:space="preserve">, the </w:t>
      </w:r>
      <w:r w:rsidR="00BC4FD3">
        <w:rPr>
          <w:lang w:eastAsia="fr-FR"/>
        </w:rPr>
        <w:t>fuel combustion activities (</w:t>
      </w:r>
      <w:r w:rsidR="000F6001">
        <w:rPr>
          <w:lang w:eastAsia="fr-FR"/>
        </w:rPr>
        <w:t>CRT</w:t>
      </w:r>
      <w:r w:rsidR="00BC4FD3">
        <w:rPr>
          <w:lang w:eastAsia="fr-FR"/>
        </w:rPr>
        <w:t xml:space="preserve"> 1A)</w:t>
      </w:r>
      <w:r>
        <w:rPr>
          <w:lang w:eastAsia="fr-FR"/>
        </w:rPr>
        <w:t xml:space="preserve"> </w:t>
      </w:r>
      <w:r w:rsidR="00BC4FD3">
        <w:rPr>
          <w:lang w:eastAsia="fr-FR"/>
        </w:rPr>
        <w:t>also contribute</w:t>
      </w:r>
      <w:r>
        <w:rPr>
          <w:lang w:eastAsia="fr-FR"/>
        </w:rPr>
        <w:t xml:space="preserve"> </w:t>
      </w:r>
      <w:r w:rsidR="00BC4FD3">
        <w:rPr>
          <w:lang w:eastAsia="fr-FR"/>
        </w:rPr>
        <w:t xml:space="preserve">in a non-negligible way with 15% </w:t>
      </w:r>
      <w:r>
        <w:rPr>
          <w:lang w:eastAsia="fr-FR"/>
        </w:rPr>
        <w:t xml:space="preserve">of the Republic of Serbia emissions </w:t>
      </w:r>
      <w:r w:rsidR="00BC4FD3">
        <w:rPr>
          <w:lang w:eastAsia="fr-FR"/>
        </w:rPr>
        <w:t xml:space="preserve">in 2022. </w:t>
      </w:r>
      <w:r w:rsidR="0074080C">
        <w:rPr>
          <w:lang w:eastAsia="fr-FR"/>
        </w:rPr>
        <w:t>The N</w:t>
      </w:r>
      <w:r w:rsidR="0074080C" w:rsidRPr="00622F40">
        <w:rPr>
          <w:vertAlign w:val="subscript"/>
          <w:lang w:eastAsia="fr-FR"/>
        </w:rPr>
        <w:t>2</w:t>
      </w:r>
      <w:r w:rsidR="0074080C">
        <w:rPr>
          <w:lang w:eastAsia="fr-FR"/>
        </w:rPr>
        <w:t xml:space="preserve">O emissions of this sector </w:t>
      </w:r>
      <w:r w:rsidR="00C73AC9">
        <w:rPr>
          <w:lang w:eastAsia="fr-FR"/>
        </w:rPr>
        <w:t>are rather stable over time and slightly increased by 11% between 1990 and 2022</w:t>
      </w:r>
      <w:r w:rsidR="00180ABC">
        <w:rPr>
          <w:lang w:eastAsia="fr-FR"/>
        </w:rPr>
        <w:t>, mostly due to the growth in road transport</w:t>
      </w:r>
      <w:r w:rsidR="00C73AC9">
        <w:rPr>
          <w:lang w:eastAsia="fr-FR"/>
        </w:rPr>
        <w:t>.</w:t>
      </w:r>
      <w:r w:rsidR="00375E33">
        <w:rPr>
          <w:lang w:eastAsia="fr-FR"/>
        </w:rPr>
        <w:t xml:space="preserve"> In addition, its contribution to the national total was rather similar in 1990 with 12%</w:t>
      </w:r>
      <w:r w:rsidR="000B75F1">
        <w:rPr>
          <w:lang w:eastAsia="fr-FR"/>
        </w:rPr>
        <w:t xml:space="preserve">, and the </w:t>
      </w:r>
      <w:r w:rsidR="006B4156">
        <w:rPr>
          <w:lang w:eastAsia="fr-FR"/>
        </w:rPr>
        <w:t>shares</w:t>
      </w:r>
      <w:r w:rsidR="000B75F1">
        <w:rPr>
          <w:lang w:eastAsia="fr-FR"/>
        </w:rPr>
        <w:t xml:space="preserve"> </w:t>
      </w:r>
      <w:r w:rsidR="006B4156">
        <w:rPr>
          <w:lang w:eastAsia="fr-FR"/>
        </w:rPr>
        <w:t>between</w:t>
      </w:r>
      <w:r w:rsidR="000B75F1">
        <w:rPr>
          <w:lang w:eastAsia="fr-FR"/>
        </w:rPr>
        <w:t xml:space="preserve"> the subsectors </w:t>
      </w:r>
      <w:r w:rsidR="006B4156">
        <w:rPr>
          <w:lang w:eastAsia="fr-FR"/>
        </w:rPr>
        <w:t xml:space="preserve">are rather </w:t>
      </w:r>
      <w:r w:rsidR="00CC357A">
        <w:rPr>
          <w:lang w:eastAsia="fr-FR"/>
        </w:rPr>
        <w:t>equal</w:t>
      </w:r>
      <w:r w:rsidR="006B4156">
        <w:rPr>
          <w:lang w:eastAsia="fr-FR"/>
        </w:rPr>
        <w:t xml:space="preserve"> in 2022: </w:t>
      </w:r>
      <w:r w:rsidR="000B75F1">
        <w:rPr>
          <w:lang w:eastAsia="fr-FR"/>
        </w:rPr>
        <w:t>the energy industries (</w:t>
      </w:r>
      <w:r w:rsidR="000F6001">
        <w:rPr>
          <w:lang w:eastAsia="fr-FR"/>
        </w:rPr>
        <w:t>CRT</w:t>
      </w:r>
      <w:r w:rsidR="000B75F1">
        <w:rPr>
          <w:lang w:eastAsia="fr-FR"/>
        </w:rPr>
        <w:t xml:space="preserve"> 1A1, 5%</w:t>
      </w:r>
      <w:r w:rsidR="00BE4A3D">
        <w:rPr>
          <w:lang w:eastAsia="fr-FR"/>
        </w:rPr>
        <w:t>), the transport (</w:t>
      </w:r>
      <w:r w:rsidR="000F6001">
        <w:rPr>
          <w:lang w:eastAsia="fr-FR"/>
        </w:rPr>
        <w:t>CRT</w:t>
      </w:r>
      <w:r w:rsidR="00BE4A3D">
        <w:rPr>
          <w:lang w:eastAsia="fr-FR"/>
        </w:rPr>
        <w:t xml:space="preserve"> 1A3, 5%) and the other sectors (</w:t>
      </w:r>
      <w:r w:rsidR="000F6001">
        <w:rPr>
          <w:lang w:eastAsia="fr-FR"/>
        </w:rPr>
        <w:t>CRT</w:t>
      </w:r>
      <w:r w:rsidR="00BE4A3D">
        <w:rPr>
          <w:lang w:eastAsia="fr-FR"/>
        </w:rPr>
        <w:t xml:space="preserve"> 1A4, 4%)</w:t>
      </w:r>
      <w:r w:rsidR="00375E33">
        <w:rPr>
          <w:lang w:eastAsia="fr-FR"/>
        </w:rPr>
        <w:t xml:space="preserve">. </w:t>
      </w:r>
      <w:r w:rsidR="000E3124">
        <w:rPr>
          <w:lang w:eastAsia="fr-FR"/>
        </w:rPr>
        <w:t xml:space="preserve">The </w:t>
      </w:r>
      <w:r w:rsidR="006D3A15">
        <w:rPr>
          <w:lang w:eastAsia="fr-FR"/>
        </w:rPr>
        <w:t>chemical industry (</w:t>
      </w:r>
      <w:r w:rsidR="000F6001">
        <w:rPr>
          <w:lang w:eastAsia="fr-FR"/>
        </w:rPr>
        <w:t>CRT</w:t>
      </w:r>
      <w:r w:rsidR="006D3A15">
        <w:rPr>
          <w:lang w:eastAsia="fr-FR"/>
        </w:rPr>
        <w:t xml:space="preserve"> 2B) was also an important contributor the national N</w:t>
      </w:r>
      <w:r w:rsidR="006D3A15" w:rsidRPr="00622F40">
        <w:rPr>
          <w:vertAlign w:val="subscript"/>
          <w:lang w:eastAsia="fr-FR"/>
        </w:rPr>
        <w:t>2</w:t>
      </w:r>
      <w:r w:rsidR="006D3A15">
        <w:rPr>
          <w:lang w:eastAsia="fr-FR"/>
        </w:rPr>
        <w:t xml:space="preserve">O emissions in 1990 with </w:t>
      </w:r>
      <w:r w:rsidR="00100E46">
        <w:rPr>
          <w:lang w:eastAsia="fr-FR"/>
        </w:rPr>
        <w:t xml:space="preserve">23% of the </w:t>
      </w:r>
      <w:r w:rsidR="007958D5">
        <w:rPr>
          <w:lang w:eastAsia="fr-FR"/>
        </w:rPr>
        <w:t>share but</w:t>
      </w:r>
      <w:r w:rsidR="00100E46">
        <w:rPr>
          <w:lang w:eastAsia="fr-FR"/>
        </w:rPr>
        <w:t xml:space="preserve"> has suppressed its emissions due to the </w:t>
      </w:r>
      <w:r w:rsidR="007958D5">
        <w:rPr>
          <w:lang w:eastAsia="fr-FR"/>
        </w:rPr>
        <w:t>discontinuation</w:t>
      </w:r>
      <w:r w:rsidR="00100E46">
        <w:rPr>
          <w:lang w:eastAsia="fr-FR"/>
        </w:rPr>
        <w:t xml:space="preserve"> </w:t>
      </w:r>
      <w:r w:rsidR="007958D5">
        <w:rPr>
          <w:lang w:eastAsia="fr-FR"/>
        </w:rPr>
        <w:t xml:space="preserve">of </w:t>
      </w:r>
      <w:r w:rsidR="00100E46">
        <w:rPr>
          <w:lang w:eastAsia="fr-FR"/>
        </w:rPr>
        <w:t>the acid nitric production</w:t>
      </w:r>
      <w:r w:rsidR="001821AD">
        <w:rPr>
          <w:lang w:eastAsia="fr-FR"/>
        </w:rPr>
        <w:t xml:space="preserve"> in 2019, contributing significantly to the overall national emission reduction</w:t>
      </w:r>
      <w:r w:rsidR="00100E46">
        <w:rPr>
          <w:lang w:eastAsia="fr-FR"/>
        </w:rPr>
        <w:t>.</w:t>
      </w:r>
      <w:r w:rsidR="004D72E0">
        <w:rPr>
          <w:lang w:eastAsia="fr-FR"/>
        </w:rPr>
        <w:t xml:space="preserve"> Finally, the N</w:t>
      </w:r>
      <w:r w:rsidR="004D72E0" w:rsidRPr="00622F40">
        <w:rPr>
          <w:vertAlign w:val="subscript"/>
          <w:lang w:eastAsia="fr-FR"/>
        </w:rPr>
        <w:t>2</w:t>
      </w:r>
      <w:r w:rsidR="004D72E0">
        <w:rPr>
          <w:lang w:eastAsia="fr-FR"/>
        </w:rPr>
        <w:t xml:space="preserve">O emissions of the </w:t>
      </w:r>
      <w:r w:rsidR="0092622C">
        <w:rPr>
          <w:lang w:eastAsia="fr-FR"/>
        </w:rPr>
        <w:t>wastewater treatment</w:t>
      </w:r>
      <w:r w:rsidR="000057AC">
        <w:rPr>
          <w:lang w:eastAsia="fr-FR"/>
        </w:rPr>
        <w:t xml:space="preserve"> have been reduced by 32% over the period 1990-2022, </w:t>
      </w:r>
      <w:r w:rsidR="004C48DA">
        <w:rPr>
          <w:lang w:eastAsia="fr-FR"/>
        </w:rPr>
        <w:t xml:space="preserve">and now contributes to 4% to the national emissions. </w:t>
      </w:r>
    </w:p>
    <w:p w14:paraId="1E227C5C" w14:textId="77777777" w:rsidR="00B65268" w:rsidRDefault="00B65268" w:rsidP="005F0020">
      <w:pPr>
        <w:spacing w:line="240" w:lineRule="auto"/>
        <w:rPr>
          <w:lang w:eastAsia="fr-FR"/>
        </w:rPr>
      </w:pPr>
    </w:p>
    <w:p w14:paraId="160652C6" w14:textId="3DD89AE9" w:rsidR="004C48DA" w:rsidRPr="00C22495" w:rsidRDefault="004C48DA" w:rsidP="004C48DA">
      <w:pPr>
        <w:spacing w:line="240" w:lineRule="auto"/>
        <w:rPr>
          <w:b/>
          <w:bCs/>
          <w:lang w:eastAsia="fr-FR"/>
        </w:rPr>
      </w:pPr>
      <w:r>
        <w:rPr>
          <w:b/>
          <w:bCs/>
          <w:lang w:eastAsia="fr-FR"/>
        </w:rPr>
        <w:t>SF</w:t>
      </w:r>
      <w:r>
        <w:rPr>
          <w:b/>
          <w:bCs/>
          <w:vertAlign w:val="subscript"/>
          <w:lang w:eastAsia="fr-FR"/>
        </w:rPr>
        <w:t>6</w:t>
      </w:r>
    </w:p>
    <w:p w14:paraId="0BA22031" w14:textId="60B2E47F" w:rsidR="004C48DA" w:rsidRDefault="004C48DA" w:rsidP="004C48DA">
      <w:pPr>
        <w:spacing w:line="240" w:lineRule="auto"/>
        <w:rPr>
          <w:lang w:eastAsia="fr-FR"/>
        </w:rPr>
      </w:pPr>
      <w:r>
        <w:rPr>
          <w:lang w:eastAsia="fr-FR"/>
        </w:rPr>
        <w:t xml:space="preserve">The national </w:t>
      </w:r>
      <w:r w:rsidR="00FE3AD2">
        <w:rPr>
          <w:lang w:eastAsia="fr-FR"/>
        </w:rPr>
        <w:t>SF</w:t>
      </w:r>
      <w:r w:rsidR="00FE3AD2">
        <w:rPr>
          <w:vertAlign w:val="subscript"/>
          <w:lang w:eastAsia="fr-FR"/>
        </w:rPr>
        <w:t>6</w:t>
      </w:r>
      <w:r>
        <w:rPr>
          <w:lang w:eastAsia="fr-FR"/>
        </w:rPr>
        <w:t xml:space="preserve"> emissions from the Republic of Serbia </w:t>
      </w:r>
      <w:r w:rsidR="00FE3AD2">
        <w:rPr>
          <w:lang w:eastAsia="fr-FR"/>
        </w:rPr>
        <w:t xml:space="preserve">have been reduced </w:t>
      </w:r>
      <w:r>
        <w:rPr>
          <w:lang w:eastAsia="fr-FR"/>
        </w:rPr>
        <w:t xml:space="preserve">by </w:t>
      </w:r>
      <w:r w:rsidR="00FE3AD2">
        <w:rPr>
          <w:lang w:eastAsia="fr-FR"/>
        </w:rPr>
        <w:t>62</w:t>
      </w:r>
      <w:r>
        <w:rPr>
          <w:lang w:eastAsia="fr-FR"/>
        </w:rPr>
        <w:t xml:space="preserve">% for the period 1990-2022. </w:t>
      </w:r>
      <w:r w:rsidR="00FE3AD2">
        <w:rPr>
          <w:lang w:eastAsia="fr-FR"/>
        </w:rPr>
        <w:t xml:space="preserve">The </w:t>
      </w:r>
      <w:r w:rsidR="00B72D09">
        <w:rPr>
          <w:lang w:eastAsia="fr-FR"/>
        </w:rPr>
        <w:t>industrial processes (</w:t>
      </w:r>
      <w:r w:rsidR="000F6001">
        <w:rPr>
          <w:lang w:eastAsia="fr-FR"/>
        </w:rPr>
        <w:t>CRT</w:t>
      </w:r>
      <w:r w:rsidR="00B72D09">
        <w:rPr>
          <w:lang w:eastAsia="fr-FR"/>
        </w:rPr>
        <w:t xml:space="preserve"> 2) are the only emitting sector of SF</w:t>
      </w:r>
      <w:r w:rsidR="00B72D09" w:rsidRPr="00622F40">
        <w:rPr>
          <w:vertAlign w:val="subscript"/>
          <w:lang w:eastAsia="fr-FR"/>
        </w:rPr>
        <w:t>6</w:t>
      </w:r>
      <w:r w:rsidR="00B72D09">
        <w:rPr>
          <w:lang w:eastAsia="fr-FR"/>
        </w:rPr>
        <w:t xml:space="preserve"> over the territory</w:t>
      </w:r>
      <w:r w:rsidR="00F67827">
        <w:rPr>
          <w:lang w:eastAsia="fr-FR"/>
        </w:rPr>
        <w:t xml:space="preserve">. Among it, the metal industry </w:t>
      </w:r>
      <w:r w:rsidR="00F720B6">
        <w:rPr>
          <w:lang w:eastAsia="fr-FR"/>
        </w:rPr>
        <w:t>with the production of magnesium was for long the only SF</w:t>
      </w:r>
      <w:r w:rsidR="00F720B6" w:rsidRPr="00622F40">
        <w:rPr>
          <w:vertAlign w:val="subscript"/>
          <w:lang w:eastAsia="fr-FR"/>
        </w:rPr>
        <w:t>6</w:t>
      </w:r>
      <w:r w:rsidR="00F720B6">
        <w:rPr>
          <w:lang w:eastAsia="fr-FR"/>
        </w:rPr>
        <w:t xml:space="preserve"> emission source</w:t>
      </w:r>
      <w:r w:rsidR="00EF4E95">
        <w:rPr>
          <w:lang w:eastAsia="fr-FR"/>
        </w:rPr>
        <w:t xml:space="preserve"> but, since 2000, </w:t>
      </w:r>
      <w:r w:rsidR="007050D7">
        <w:rPr>
          <w:lang w:eastAsia="fr-FR"/>
        </w:rPr>
        <w:t>emissions from the</w:t>
      </w:r>
      <w:r w:rsidR="00ED19B4">
        <w:rPr>
          <w:lang w:eastAsia="fr-FR"/>
        </w:rPr>
        <w:t xml:space="preserve"> use of SF</w:t>
      </w:r>
      <w:r w:rsidR="00ED19B4" w:rsidRPr="00622F40">
        <w:rPr>
          <w:vertAlign w:val="subscript"/>
          <w:lang w:eastAsia="fr-FR"/>
        </w:rPr>
        <w:t>6</w:t>
      </w:r>
      <w:r w:rsidR="00ED19B4">
        <w:rPr>
          <w:lang w:eastAsia="fr-FR"/>
        </w:rPr>
        <w:t xml:space="preserve"> in electrical equipment for insulation (</w:t>
      </w:r>
      <w:r w:rsidR="000F6001">
        <w:rPr>
          <w:lang w:eastAsia="fr-FR"/>
        </w:rPr>
        <w:t>CRT</w:t>
      </w:r>
      <w:r w:rsidR="00ED19B4">
        <w:rPr>
          <w:lang w:eastAsia="fr-FR"/>
        </w:rPr>
        <w:t xml:space="preserve"> 2G1) have arisen.</w:t>
      </w:r>
      <w:r w:rsidR="00F720B6">
        <w:rPr>
          <w:lang w:eastAsia="fr-FR"/>
        </w:rPr>
        <w:t xml:space="preserve"> </w:t>
      </w:r>
      <w:r w:rsidR="00ED19B4">
        <w:rPr>
          <w:lang w:eastAsia="fr-FR"/>
        </w:rPr>
        <w:t xml:space="preserve">In 2022, </w:t>
      </w:r>
      <w:r w:rsidR="00B65268">
        <w:rPr>
          <w:lang w:eastAsia="fr-FR"/>
        </w:rPr>
        <w:t>the magnesium production represents 83% of the national SF</w:t>
      </w:r>
      <w:r w:rsidR="00B65268" w:rsidRPr="00622F40">
        <w:rPr>
          <w:vertAlign w:val="subscript"/>
          <w:lang w:eastAsia="fr-FR"/>
        </w:rPr>
        <w:t>6</w:t>
      </w:r>
      <w:r w:rsidR="00B65268">
        <w:rPr>
          <w:lang w:eastAsia="fr-FR"/>
        </w:rPr>
        <w:t xml:space="preserve"> emissions. This subsector ha</w:t>
      </w:r>
      <w:r w:rsidR="00814E47">
        <w:rPr>
          <w:lang w:eastAsia="fr-FR"/>
        </w:rPr>
        <w:t>s</w:t>
      </w:r>
      <w:r w:rsidR="00B65268">
        <w:rPr>
          <w:lang w:eastAsia="fr-FR"/>
        </w:rPr>
        <w:t xml:space="preserve"> decreased its emissions by 69%</w:t>
      </w:r>
      <w:r w:rsidR="00932A0F">
        <w:rPr>
          <w:lang w:eastAsia="fr-FR"/>
        </w:rPr>
        <w:t xml:space="preserve"> between 1990 and 2022</w:t>
      </w:r>
      <w:r w:rsidR="00B65268">
        <w:rPr>
          <w:lang w:eastAsia="fr-FR"/>
        </w:rPr>
        <w:t>, explaining most of the observed downward trend</w:t>
      </w:r>
      <w:r w:rsidR="00932A0F">
        <w:rPr>
          <w:lang w:eastAsia="fr-FR"/>
        </w:rPr>
        <w:t>, due to the drop in the production of magnesium</w:t>
      </w:r>
      <w:r w:rsidR="00B65268">
        <w:rPr>
          <w:lang w:eastAsia="fr-FR"/>
        </w:rPr>
        <w:t>.</w:t>
      </w:r>
    </w:p>
    <w:p w14:paraId="06D30579" w14:textId="77777777" w:rsidR="00B65268" w:rsidRDefault="00B65268" w:rsidP="004C48DA">
      <w:pPr>
        <w:spacing w:line="240" w:lineRule="auto"/>
        <w:rPr>
          <w:lang w:eastAsia="fr-FR"/>
        </w:rPr>
      </w:pPr>
    </w:p>
    <w:p w14:paraId="744E3121" w14:textId="73C3E5A8" w:rsidR="00B65268" w:rsidRPr="00C22495" w:rsidRDefault="00B65268" w:rsidP="00B65268">
      <w:pPr>
        <w:spacing w:line="240" w:lineRule="auto"/>
        <w:rPr>
          <w:b/>
          <w:bCs/>
          <w:lang w:eastAsia="fr-FR"/>
        </w:rPr>
      </w:pPr>
      <w:r>
        <w:rPr>
          <w:b/>
          <w:bCs/>
          <w:lang w:eastAsia="fr-FR"/>
        </w:rPr>
        <w:t>HFCs</w:t>
      </w:r>
    </w:p>
    <w:p w14:paraId="69B0A91B" w14:textId="0EFC4EEB" w:rsidR="00B65268" w:rsidRDefault="00B65268" w:rsidP="00B65268">
      <w:pPr>
        <w:spacing w:line="240" w:lineRule="auto"/>
        <w:rPr>
          <w:lang w:eastAsia="fr-FR"/>
        </w:rPr>
      </w:pPr>
      <w:r>
        <w:rPr>
          <w:lang w:eastAsia="fr-FR"/>
        </w:rPr>
        <w:t xml:space="preserve">The national </w:t>
      </w:r>
      <w:r w:rsidR="00814E47">
        <w:rPr>
          <w:lang w:eastAsia="fr-FR"/>
        </w:rPr>
        <w:t xml:space="preserve">HFC emissions in the Republic of Serbia </w:t>
      </w:r>
      <w:r w:rsidR="009D3DD7">
        <w:rPr>
          <w:lang w:eastAsia="fr-FR"/>
        </w:rPr>
        <w:t xml:space="preserve">occurred from 1997, and </w:t>
      </w:r>
      <w:r w:rsidR="007958D5">
        <w:rPr>
          <w:lang w:eastAsia="fr-FR"/>
        </w:rPr>
        <w:t>in 2022</w:t>
      </w:r>
      <w:r w:rsidR="00A8735B">
        <w:rPr>
          <w:lang w:eastAsia="fr-FR"/>
        </w:rPr>
        <w:t xml:space="preserve"> contribute to 0.3% of the national GHG emissions excluding LULUCF contribution. </w:t>
      </w:r>
      <w:r w:rsidR="00120A8A">
        <w:rPr>
          <w:lang w:eastAsia="fr-FR"/>
        </w:rPr>
        <w:t xml:space="preserve">Several HFC can be emitted and the evolution of the mass emissions depending on the HFC are presented in </w:t>
      </w:r>
      <w:r w:rsidR="00120A8A">
        <w:rPr>
          <w:lang w:eastAsia="fr-FR"/>
        </w:rPr>
        <w:fldChar w:fldCharType="begin"/>
      </w:r>
      <w:r w:rsidR="00120A8A">
        <w:rPr>
          <w:lang w:eastAsia="fr-FR"/>
        </w:rPr>
        <w:instrText xml:space="preserve"> REF _Ref164096277 \h </w:instrText>
      </w:r>
      <w:r w:rsidR="00120A8A">
        <w:rPr>
          <w:lang w:eastAsia="fr-FR"/>
        </w:rPr>
      </w:r>
      <w:r w:rsidR="00120A8A">
        <w:rPr>
          <w:lang w:eastAsia="fr-FR"/>
        </w:rPr>
        <w:fldChar w:fldCharType="separate"/>
      </w:r>
      <w:r w:rsidR="00F14C78">
        <w:t xml:space="preserve">Table </w:t>
      </w:r>
      <w:r w:rsidR="00F14C78">
        <w:rPr>
          <w:noProof/>
        </w:rPr>
        <w:t>11</w:t>
      </w:r>
      <w:r w:rsidR="00120A8A">
        <w:rPr>
          <w:lang w:eastAsia="fr-FR"/>
        </w:rPr>
        <w:fldChar w:fldCharType="end"/>
      </w:r>
      <w:r w:rsidR="00120A8A">
        <w:rPr>
          <w:lang w:eastAsia="fr-FR"/>
        </w:rPr>
        <w:t xml:space="preserve">. </w:t>
      </w:r>
      <w:r w:rsidR="00D335A6">
        <w:t>The national trend in HFC emissions, expressed in CO₂ equivalent, showed a consistent increase until 2014, when emissions peaked. Since then, emissions have steadily declined, with an average annual decrease of 12% between 2014 and 2022. This reduction is largely attributed to the implementation of regulations governing the use of refrigerants, such as the Regulation on the Treatment of Fluorinated Gases with a Greenhouse Effect and the conditions for issuing permits for their import and export (Official Gazette No. 120/13).</w:t>
      </w:r>
    </w:p>
    <w:p w14:paraId="05204755" w14:textId="3016ED2F" w:rsidR="00E97B5A" w:rsidRDefault="00E97B5A" w:rsidP="00622F40">
      <w:pPr>
        <w:pStyle w:val="Caption"/>
        <w:keepNext/>
        <w:jc w:val="both"/>
      </w:pPr>
      <w:bookmarkStart w:id="109" w:name="_Ref164096277"/>
      <w:bookmarkStart w:id="110" w:name="_Toc184808553"/>
      <w:r>
        <w:t xml:space="preserve">Table </w:t>
      </w:r>
      <w:r>
        <w:fldChar w:fldCharType="begin"/>
      </w:r>
      <w:r>
        <w:instrText xml:space="preserve"> SEQ Table \* ARABIC </w:instrText>
      </w:r>
      <w:r>
        <w:fldChar w:fldCharType="separate"/>
      </w:r>
      <w:r w:rsidR="00F14C78">
        <w:rPr>
          <w:noProof/>
        </w:rPr>
        <w:t>11</w:t>
      </w:r>
      <w:r>
        <w:fldChar w:fldCharType="end"/>
      </w:r>
      <w:bookmarkEnd w:id="109"/>
      <w:r>
        <w:t>:</w:t>
      </w:r>
      <w:r w:rsidR="00E46E15">
        <w:t xml:space="preserve"> </w:t>
      </w:r>
      <w:r w:rsidR="00583740">
        <w:t>Mass e</w:t>
      </w:r>
      <w:r w:rsidR="00C77EF1">
        <w:t>missions of the different fluorinated gases</w:t>
      </w:r>
      <w:r w:rsidR="00583740">
        <w:t xml:space="preserve"> in the Republic of Serbia, for the period 1990-2022</w:t>
      </w:r>
      <w:bookmarkEnd w:id="110"/>
      <w:r w:rsidR="00583740">
        <w:t xml:space="preserve"> </w:t>
      </w:r>
    </w:p>
    <w:p w14:paraId="1E80572F" w14:textId="3A2A86DC" w:rsidR="00396A7F" w:rsidRDefault="00EF19F5">
      <w:pPr>
        <w:spacing w:line="240" w:lineRule="auto"/>
        <w:rPr>
          <w:lang w:eastAsia="fr-FR"/>
        </w:rPr>
      </w:pPr>
      <w:r w:rsidRPr="00EF19F5">
        <w:rPr>
          <w:noProof/>
          <w:lang w:val="en-US"/>
        </w:rPr>
        <w:drawing>
          <wp:inline distT="0" distB="0" distL="0" distR="0" wp14:anchorId="2E13DBD3" wp14:editId="3F0BE081">
            <wp:extent cx="6038215" cy="1207698"/>
            <wp:effectExtent l="0" t="0" r="635" b="0"/>
            <wp:docPr id="205792577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2639" cy="1228584"/>
                    </a:xfrm>
                    <a:prstGeom prst="rect">
                      <a:avLst/>
                    </a:prstGeom>
                    <a:noFill/>
                    <a:ln>
                      <a:noFill/>
                    </a:ln>
                  </pic:spPr>
                </pic:pic>
              </a:graphicData>
            </a:graphic>
          </wp:inline>
        </w:drawing>
      </w:r>
    </w:p>
    <w:p w14:paraId="0C97FF5B" w14:textId="2C1B0D89" w:rsidR="00DA5064" w:rsidRDefault="00121FCD">
      <w:pPr>
        <w:spacing w:line="240" w:lineRule="auto"/>
        <w:rPr>
          <w:lang w:eastAsia="fr-FR"/>
        </w:rPr>
      </w:pPr>
      <w:r>
        <w:rPr>
          <w:lang w:eastAsia="fr-FR"/>
        </w:rPr>
        <w:lastRenderedPageBreak/>
        <w:fldChar w:fldCharType="begin"/>
      </w:r>
      <w:r>
        <w:rPr>
          <w:lang w:eastAsia="fr-FR"/>
        </w:rPr>
        <w:instrText xml:space="preserve"> REF _Ref182316318 \h </w:instrText>
      </w:r>
      <w:r>
        <w:rPr>
          <w:lang w:eastAsia="fr-FR"/>
        </w:rPr>
      </w:r>
      <w:r>
        <w:rPr>
          <w:lang w:eastAsia="fr-FR"/>
        </w:rPr>
        <w:fldChar w:fldCharType="separate"/>
      </w:r>
      <w:r w:rsidR="00F14C78">
        <w:t xml:space="preserve">Table </w:t>
      </w:r>
      <w:r w:rsidR="00F14C78">
        <w:rPr>
          <w:noProof/>
        </w:rPr>
        <w:t>12</w:t>
      </w:r>
      <w:r>
        <w:rPr>
          <w:lang w:eastAsia="fr-FR"/>
        </w:rPr>
        <w:fldChar w:fldCharType="end"/>
      </w:r>
      <w:r w:rsidR="00A85118">
        <w:rPr>
          <w:lang w:eastAsia="fr-FR"/>
        </w:rPr>
        <w:t xml:space="preserve"> presents the evolution of the aggregated GHG emissions for each </w:t>
      </w:r>
      <w:r w:rsidR="000F6001">
        <w:rPr>
          <w:lang w:eastAsia="fr-FR"/>
        </w:rPr>
        <w:t>CRT</w:t>
      </w:r>
      <w:r w:rsidR="00A85118">
        <w:rPr>
          <w:lang w:eastAsia="fr-FR"/>
        </w:rPr>
        <w:t xml:space="preserve"> category, with more details than before, in the Republic of Serbia, for the period 1990-2022. </w:t>
      </w:r>
    </w:p>
    <w:p w14:paraId="2CCA4CE1" w14:textId="289CB3F8" w:rsidR="00121FCD" w:rsidRDefault="00121FCD" w:rsidP="00121FCD">
      <w:pPr>
        <w:pStyle w:val="Caption"/>
        <w:keepNext/>
        <w:jc w:val="both"/>
      </w:pPr>
      <w:bookmarkStart w:id="111" w:name="_Ref182316318"/>
      <w:bookmarkStart w:id="112" w:name="_Toc184808554"/>
      <w:r>
        <w:t xml:space="preserve">Table </w:t>
      </w:r>
      <w:r>
        <w:fldChar w:fldCharType="begin"/>
      </w:r>
      <w:r>
        <w:instrText xml:space="preserve"> SEQ Table \* ARABIC </w:instrText>
      </w:r>
      <w:r>
        <w:fldChar w:fldCharType="separate"/>
      </w:r>
      <w:r w:rsidR="00F14C78">
        <w:rPr>
          <w:noProof/>
        </w:rPr>
        <w:t>12</w:t>
      </w:r>
      <w:r>
        <w:fldChar w:fldCharType="end"/>
      </w:r>
      <w:bookmarkEnd w:id="111"/>
      <w:r>
        <w:t>: Aggregated GHG emissions (in kt CO</w:t>
      </w:r>
      <w:r w:rsidRPr="00113256">
        <w:rPr>
          <w:vertAlign w:val="subscript"/>
        </w:rPr>
        <w:t>2</w:t>
      </w:r>
      <w:r>
        <w:t>e) in the Republic of Serbia, for each CRT category, between 1990 and 2022</w:t>
      </w:r>
      <w:bookmarkEnd w:id="112"/>
    </w:p>
    <w:p w14:paraId="67F42675" w14:textId="77777777" w:rsidR="00121FCD" w:rsidRPr="002462F0" w:rsidRDefault="00121FCD" w:rsidP="003631EA">
      <w:pPr>
        <w:pStyle w:val="Caption"/>
        <w:keepNext/>
        <w:spacing w:before="0"/>
        <w:jc w:val="both"/>
        <w:rPr>
          <w:i/>
          <w:iCs/>
          <w:sz w:val="24"/>
          <w:szCs w:val="24"/>
          <w:lang w:eastAsia="fr-FR"/>
        </w:rPr>
      </w:pPr>
      <w:r w:rsidRPr="00D50132">
        <w:rPr>
          <w:noProof/>
          <w:lang w:val="en-US"/>
        </w:rPr>
        <w:drawing>
          <wp:inline distT="0" distB="0" distL="0" distR="0" wp14:anchorId="1C7444BA" wp14:editId="337D4E77">
            <wp:extent cx="6022763" cy="5429250"/>
            <wp:effectExtent l="0" t="0" r="0" b="0"/>
            <wp:docPr id="137933078"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8891" cy="5434775"/>
                    </a:xfrm>
                    <a:prstGeom prst="rect">
                      <a:avLst/>
                    </a:prstGeom>
                    <a:noFill/>
                    <a:ln>
                      <a:noFill/>
                    </a:ln>
                  </pic:spPr>
                </pic:pic>
              </a:graphicData>
            </a:graphic>
          </wp:inline>
        </w:drawing>
      </w:r>
    </w:p>
    <w:p w14:paraId="639D5005" w14:textId="77777777" w:rsidR="00121FCD" w:rsidRDefault="00121FCD">
      <w:pPr>
        <w:spacing w:line="240" w:lineRule="auto"/>
        <w:rPr>
          <w:lang w:eastAsia="fr-FR"/>
        </w:rPr>
      </w:pPr>
    </w:p>
    <w:p w14:paraId="46CED9C9" w14:textId="1DFCD8AD" w:rsidR="00DA5064" w:rsidRDefault="00DA5064">
      <w:pPr>
        <w:spacing w:line="240" w:lineRule="auto"/>
        <w:rPr>
          <w:lang w:eastAsia="fr-FR"/>
        </w:rPr>
      </w:pPr>
      <w:r w:rsidRPr="00622F40">
        <w:rPr>
          <w:b/>
          <w:bCs/>
          <w:lang w:eastAsia="fr-FR"/>
        </w:rPr>
        <w:t>Energy</w:t>
      </w:r>
      <w:r w:rsidR="00374246">
        <w:rPr>
          <w:b/>
          <w:bCs/>
          <w:lang w:eastAsia="fr-FR"/>
        </w:rPr>
        <w:t xml:space="preserve"> (</w:t>
      </w:r>
      <w:r w:rsidR="000F6001">
        <w:rPr>
          <w:b/>
          <w:bCs/>
          <w:lang w:eastAsia="fr-FR"/>
        </w:rPr>
        <w:t>CRT</w:t>
      </w:r>
      <w:r w:rsidR="00374246">
        <w:rPr>
          <w:b/>
          <w:bCs/>
          <w:lang w:eastAsia="fr-FR"/>
        </w:rPr>
        <w:t xml:space="preserve"> 1)</w:t>
      </w:r>
    </w:p>
    <w:p w14:paraId="76E78D72" w14:textId="3AD53170" w:rsidR="00DA5064" w:rsidRDefault="00CA4966">
      <w:pPr>
        <w:spacing w:line="240" w:lineRule="auto"/>
        <w:rPr>
          <w:lang w:eastAsia="fr-FR"/>
        </w:rPr>
      </w:pPr>
      <w:r>
        <w:rPr>
          <w:lang w:eastAsia="fr-FR"/>
        </w:rPr>
        <w:t>The energy sector</w:t>
      </w:r>
      <w:r w:rsidR="00AA70A0">
        <w:rPr>
          <w:lang w:eastAsia="fr-FR"/>
        </w:rPr>
        <w:t xml:space="preserve"> represents </w:t>
      </w:r>
      <w:r w:rsidR="00A9671F">
        <w:rPr>
          <w:lang w:eastAsia="fr-FR"/>
        </w:rPr>
        <w:t>79</w:t>
      </w:r>
      <w:r w:rsidR="00374246">
        <w:rPr>
          <w:lang w:eastAsia="fr-FR"/>
        </w:rPr>
        <w:t>% of the national GHG emissions, in CO</w:t>
      </w:r>
      <w:r w:rsidR="00374246" w:rsidRPr="00622F40">
        <w:rPr>
          <w:vertAlign w:val="subscript"/>
          <w:lang w:eastAsia="fr-FR"/>
        </w:rPr>
        <w:t>2</w:t>
      </w:r>
      <w:r w:rsidR="00374246">
        <w:rPr>
          <w:lang w:eastAsia="fr-FR"/>
        </w:rPr>
        <w:t xml:space="preserve"> equivalent, excluding LULUCF contribution, in the Republic of Serbia, in 2022. </w:t>
      </w:r>
      <w:r w:rsidR="00946262">
        <w:rPr>
          <w:lang w:eastAsia="fr-FR"/>
        </w:rPr>
        <w:t>Its contribution was slightly more important in 1990 with 8</w:t>
      </w:r>
      <w:r w:rsidR="00FB1D68">
        <w:rPr>
          <w:lang w:eastAsia="fr-FR"/>
        </w:rPr>
        <w:t>0</w:t>
      </w:r>
      <w:r w:rsidR="00946262">
        <w:rPr>
          <w:lang w:eastAsia="fr-FR"/>
        </w:rPr>
        <w:t>% of the national totals</w:t>
      </w:r>
      <w:r w:rsidR="00A85DCF">
        <w:rPr>
          <w:lang w:eastAsia="fr-FR"/>
        </w:rPr>
        <w:t>, but is rather stable and has a mean value over the period 1990-2022 of 80%</w:t>
      </w:r>
      <w:r w:rsidR="00946262">
        <w:rPr>
          <w:lang w:eastAsia="fr-FR"/>
        </w:rPr>
        <w:t xml:space="preserve">. </w:t>
      </w:r>
      <w:r w:rsidR="000F15A1" w:rsidRPr="000F15A1">
        <w:rPr>
          <w:lang w:eastAsia="fr-FR"/>
        </w:rPr>
        <w:t>This is mainly due to the energy indu</w:t>
      </w:r>
      <w:r w:rsidR="000F15A1" w:rsidRPr="00622F40">
        <w:rPr>
          <w:lang w:eastAsia="fr-FR"/>
        </w:rPr>
        <w:t>stries</w:t>
      </w:r>
      <w:r w:rsidR="009B65F7">
        <w:rPr>
          <w:lang w:eastAsia="fr-FR"/>
        </w:rPr>
        <w:t xml:space="preserve"> (</w:t>
      </w:r>
      <w:r w:rsidR="000F6001">
        <w:rPr>
          <w:lang w:eastAsia="fr-FR"/>
        </w:rPr>
        <w:t>CRT</w:t>
      </w:r>
      <w:r w:rsidR="009B65F7">
        <w:rPr>
          <w:lang w:eastAsia="fr-FR"/>
        </w:rPr>
        <w:t xml:space="preserve"> 1A1)</w:t>
      </w:r>
      <w:r w:rsidR="000F15A1" w:rsidRPr="00622F40">
        <w:rPr>
          <w:lang w:eastAsia="fr-FR"/>
        </w:rPr>
        <w:t xml:space="preserve">, which is the </w:t>
      </w:r>
      <w:r w:rsidR="00D37C68">
        <w:rPr>
          <w:lang w:eastAsia="fr-FR"/>
        </w:rPr>
        <w:t>major</w:t>
      </w:r>
      <w:r w:rsidR="000F15A1" w:rsidRPr="00622F40">
        <w:rPr>
          <w:lang w:eastAsia="fr-FR"/>
        </w:rPr>
        <w:t xml:space="preserve"> emitting source </w:t>
      </w:r>
      <w:r w:rsidR="00D37C68">
        <w:rPr>
          <w:lang w:eastAsia="fr-FR"/>
        </w:rPr>
        <w:t>contributing up to 5</w:t>
      </w:r>
      <w:r w:rsidR="003A2870">
        <w:rPr>
          <w:lang w:eastAsia="fr-FR"/>
        </w:rPr>
        <w:t>2</w:t>
      </w:r>
      <w:r w:rsidR="00D37C68">
        <w:rPr>
          <w:lang w:eastAsia="fr-FR"/>
        </w:rPr>
        <w:t xml:space="preserve">% of the national GHG emissions </w:t>
      </w:r>
      <w:r w:rsidR="009B65F7">
        <w:rPr>
          <w:lang w:eastAsia="fr-FR"/>
        </w:rPr>
        <w:t>without LULUCF</w:t>
      </w:r>
      <w:r w:rsidR="003A2870">
        <w:rPr>
          <w:lang w:eastAsia="fr-FR"/>
        </w:rPr>
        <w:t xml:space="preserve"> in 2022</w:t>
      </w:r>
      <w:r w:rsidR="009B65F7">
        <w:rPr>
          <w:lang w:eastAsia="fr-FR"/>
        </w:rPr>
        <w:t>, in particular due to the production of electricity (</w:t>
      </w:r>
      <w:r w:rsidR="000F6001">
        <w:rPr>
          <w:lang w:eastAsia="fr-FR"/>
        </w:rPr>
        <w:t>CRT</w:t>
      </w:r>
      <w:r w:rsidR="009B65F7">
        <w:rPr>
          <w:lang w:eastAsia="fr-FR"/>
        </w:rPr>
        <w:t xml:space="preserve"> 1A1a). </w:t>
      </w:r>
      <w:r w:rsidR="00213806">
        <w:rPr>
          <w:lang w:eastAsia="fr-FR"/>
        </w:rPr>
        <w:t>The main substance emitted by this sector is the CO</w:t>
      </w:r>
      <w:r w:rsidR="00213806" w:rsidRPr="00622F40">
        <w:rPr>
          <w:vertAlign w:val="subscript"/>
          <w:lang w:eastAsia="fr-FR"/>
        </w:rPr>
        <w:t>2</w:t>
      </w:r>
      <w:r w:rsidR="00213806">
        <w:rPr>
          <w:lang w:eastAsia="fr-FR"/>
        </w:rPr>
        <w:t xml:space="preserve">, which represents </w:t>
      </w:r>
      <w:r w:rsidR="00BF5F14">
        <w:rPr>
          <w:lang w:eastAsia="fr-FR"/>
        </w:rPr>
        <w:t xml:space="preserve">94% of the sector GHG emissions. </w:t>
      </w:r>
      <w:r w:rsidR="00BA0C58">
        <w:rPr>
          <w:lang w:eastAsia="fr-FR"/>
        </w:rPr>
        <w:t>O</w:t>
      </w:r>
      <w:r w:rsidR="00540454" w:rsidRPr="00540454">
        <w:rPr>
          <w:lang w:eastAsia="fr-FR"/>
        </w:rPr>
        <w:t xml:space="preserve">nly </w:t>
      </w:r>
      <w:r w:rsidR="00540454" w:rsidRPr="00622F40">
        <w:rPr>
          <w:lang w:eastAsia="fr-FR"/>
        </w:rPr>
        <w:t>CO</w:t>
      </w:r>
      <w:r w:rsidR="00540454" w:rsidRPr="00622F40">
        <w:rPr>
          <w:vertAlign w:val="subscript"/>
          <w:lang w:eastAsia="fr-FR"/>
        </w:rPr>
        <w:t>2</w:t>
      </w:r>
      <w:r w:rsidR="00540454" w:rsidRPr="00622F40">
        <w:rPr>
          <w:lang w:eastAsia="fr-FR"/>
        </w:rPr>
        <w:t xml:space="preserve"> emissions</w:t>
      </w:r>
      <w:r w:rsidR="004648D4">
        <w:rPr>
          <w:lang w:eastAsia="fr-FR"/>
        </w:rPr>
        <w:t xml:space="preserve"> from</w:t>
      </w:r>
      <w:r w:rsidR="00540454" w:rsidRPr="00622F40">
        <w:rPr>
          <w:lang w:eastAsia="fr-FR"/>
        </w:rPr>
        <w:t xml:space="preserve"> fuel combustion activities (</w:t>
      </w:r>
      <w:r w:rsidR="000F6001">
        <w:rPr>
          <w:lang w:eastAsia="fr-FR"/>
        </w:rPr>
        <w:t>CRT</w:t>
      </w:r>
      <w:r w:rsidR="00540454" w:rsidRPr="00622F40">
        <w:rPr>
          <w:lang w:eastAsia="fr-FR"/>
        </w:rPr>
        <w:t xml:space="preserve"> 1A1)</w:t>
      </w:r>
      <w:r w:rsidR="002E18AE">
        <w:rPr>
          <w:lang w:eastAsia="fr-FR"/>
        </w:rPr>
        <w:t xml:space="preserve">, </w:t>
      </w:r>
      <w:r w:rsidR="004648D4">
        <w:rPr>
          <w:lang w:eastAsia="fr-FR"/>
        </w:rPr>
        <w:t>excluding</w:t>
      </w:r>
      <w:r w:rsidR="002E18AE">
        <w:rPr>
          <w:lang w:eastAsia="fr-FR"/>
        </w:rPr>
        <w:t xml:space="preserve"> CO</w:t>
      </w:r>
      <w:r w:rsidR="002E18AE" w:rsidRPr="00622F40">
        <w:rPr>
          <w:vertAlign w:val="subscript"/>
          <w:lang w:eastAsia="fr-FR"/>
        </w:rPr>
        <w:t>2</w:t>
      </w:r>
      <w:r w:rsidR="002E18AE">
        <w:rPr>
          <w:lang w:eastAsia="fr-FR"/>
        </w:rPr>
        <w:t xml:space="preserve"> from biomass combustion, </w:t>
      </w:r>
      <w:r w:rsidR="00BA0C58">
        <w:rPr>
          <w:lang w:eastAsia="fr-FR"/>
        </w:rPr>
        <w:t xml:space="preserve">represent </w:t>
      </w:r>
      <w:r w:rsidR="002D439E">
        <w:rPr>
          <w:lang w:eastAsia="fr-FR"/>
        </w:rPr>
        <w:t xml:space="preserve">more than 90% of the </w:t>
      </w:r>
      <w:r w:rsidR="00F835E9">
        <w:rPr>
          <w:lang w:eastAsia="fr-FR"/>
        </w:rPr>
        <w:t>national CO</w:t>
      </w:r>
      <w:r w:rsidR="00F835E9" w:rsidRPr="00622F40">
        <w:rPr>
          <w:vertAlign w:val="subscript"/>
          <w:lang w:eastAsia="fr-FR"/>
        </w:rPr>
        <w:t>2</w:t>
      </w:r>
      <w:r w:rsidR="00F835E9">
        <w:rPr>
          <w:lang w:eastAsia="fr-FR"/>
        </w:rPr>
        <w:t xml:space="preserve"> emissions</w:t>
      </w:r>
      <w:r w:rsidR="002E666A">
        <w:rPr>
          <w:lang w:eastAsia="fr-FR"/>
        </w:rPr>
        <w:t xml:space="preserve"> and 7</w:t>
      </w:r>
      <w:r w:rsidR="006925AD">
        <w:rPr>
          <w:lang w:eastAsia="fr-FR"/>
        </w:rPr>
        <w:t>4</w:t>
      </w:r>
      <w:r w:rsidR="002E666A">
        <w:rPr>
          <w:lang w:eastAsia="fr-FR"/>
        </w:rPr>
        <w:t>% of the national GHG emissions</w:t>
      </w:r>
      <w:r w:rsidR="00BA0C58">
        <w:rPr>
          <w:lang w:eastAsia="fr-FR"/>
        </w:rPr>
        <w:t>,</w:t>
      </w:r>
      <w:r w:rsidR="002E666A">
        <w:rPr>
          <w:lang w:eastAsia="fr-FR"/>
        </w:rPr>
        <w:t xml:space="preserve"> without LULUCF contribution. </w:t>
      </w:r>
    </w:p>
    <w:p w14:paraId="2AD2DBE9" w14:textId="77FFE717" w:rsidR="007B5DB3" w:rsidRDefault="00E3098F">
      <w:pPr>
        <w:spacing w:line="240" w:lineRule="auto"/>
        <w:rPr>
          <w:lang w:eastAsia="fr-FR"/>
        </w:rPr>
      </w:pPr>
      <w:r>
        <w:rPr>
          <w:lang w:eastAsia="fr-FR"/>
        </w:rPr>
        <w:t xml:space="preserve">The energy sector is also responsible for </w:t>
      </w:r>
      <w:r w:rsidR="001344DF">
        <w:rPr>
          <w:lang w:eastAsia="fr-FR"/>
        </w:rPr>
        <w:t>3</w:t>
      </w:r>
      <w:r w:rsidR="0051509C">
        <w:rPr>
          <w:lang w:eastAsia="fr-FR"/>
        </w:rPr>
        <w:t>1</w:t>
      </w:r>
      <w:r w:rsidR="001344DF">
        <w:rPr>
          <w:lang w:eastAsia="fr-FR"/>
        </w:rPr>
        <w:t xml:space="preserve">% of the </w:t>
      </w:r>
      <w:r w:rsidR="00FA03A5">
        <w:rPr>
          <w:lang w:eastAsia="fr-FR"/>
        </w:rPr>
        <w:t>CH</w:t>
      </w:r>
      <w:r w:rsidR="00FA03A5" w:rsidRPr="00622F40">
        <w:rPr>
          <w:vertAlign w:val="subscript"/>
          <w:lang w:eastAsia="fr-FR"/>
        </w:rPr>
        <w:t>4</w:t>
      </w:r>
      <w:r w:rsidR="00FA03A5">
        <w:rPr>
          <w:lang w:eastAsia="fr-FR"/>
        </w:rPr>
        <w:t xml:space="preserve"> national emissions excluding LULUCF</w:t>
      </w:r>
      <w:r w:rsidR="00024291">
        <w:rPr>
          <w:lang w:eastAsia="fr-FR"/>
        </w:rPr>
        <w:t xml:space="preserve"> in 2022</w:t>
      </w:r>
      <w:r w:rsidR="00705CA7">
        <w:rPr>
          <w:lang w:eastAsia="fr-FR"/>
        </w:rPr>
        <w:t xml:space="preserve">, mostly related to fugitive emissions from coal, oil and natural gas production, </w:t>
      </w:r>
      <w:r w:rsidR="00862856">
        <w:rPr>
          <w:lang w:eastAsia="fr-FR"/>
        </w:rPr>
        <w:t>as the</w:t>
      </w:r>
      <w:r w:rsidR="00705CA7">
        <w:rPr>
          <w:lang w:eastAsia="fr-FR"/>
        </w:rPr>
        <w:t xml:space="preserve"> </w:t>
      </w:r>
      <w:r w:rsidR="000F6001">
        <w:rPr>
          <w:lang w:eastAsia="fr-FR"/>
        </w:rPr>
        <w:t>CRT</w:t>
      </w:r>
      <w:r w:rsidR="00705CA7">
        <w:rPr>
          <w:lang w:eastAsia="fr-FR"/>
        </w:rPr>
        <w:t xml:space="preserve"> 1B has a share of </w:t>
      </w:r>
      <w:r w:rsidR="00B15FC8">
        <w:rPr>
          <w:lang w:eastAsia="fr-FR"/>
        </w:rPr>
        <w:t>2</w:t>
      </w:r>
      <w:r w:rsidR="001B0EB6">
        <w:rPr>
          <w:lang w:eastAsia="fr-FR"/>
        </w:rPr>
        <w:t>4</w:t>
      </w:r>
      <w:r w:rsidR="00B15FC8">
        <w:rPr>
          <w:lang w:eastAsia="fr-FR"/>
        </w:rPr>
        <w:t>% of the national totals</w:t>
      </w:r>
      <w:r w:rsidR="00024291">
        <w:rPr>
          <w:lang w:eastAsia="fr-FR"/>
        </w:rPr>
        <w:t xml:space="preserve"> in 2022</w:t>
      </w:r>
      <w:r w:rsidR="00B15FC8">
        <w:rPr>
          <w:lang w:eastAsia="fr-FR"/>
        </w:rPr>
        <w:t xml:space="preserve">. </w:t>
      </w:r>
      <w:r w:rsidR="00024291">
        <w:rPr>
          <w:lang w:eastAsia="fr-FR"/>
        </w:rPr>
        <w:t>The other main methane emission source in the energy industries is the wood combustion in residential appliances (</w:t>
      </w:r>
      <w:r w:rsidR="000F6001">
        <w:rPr>
          <w:lang w:eastAsia="fr-FR"/>
        </w:rPr>
        <w:t>CRT</w:t>
      </w:r>
      <w:r w:rsidR="00024291">
        <w:rPr>
          <w:lang w:eastAsia="fr-FR"/>
        </w:rPr>
        <w:t xml:space="preserve"> 1A4, </w:t>
      </w:r>
      <w:r w:rsidR="00154D04">
        <w:rPr>
          <w:lang w:eastAsia="fr-FR"/>
        </w:rPr>
        <w:t>6</w:t>
      </w:r>
      <w:r w:rsidR="00024291">
        <w:rPr>
          <w:lang w:eastAsia="fr-FR"/>
        </w:rPr>
        <w:t xml:space="preserve">% of the national total in 2022). </w:t>
      </w:r>
      <w:r w:rsidR="00CB4BC3" w:rsidRPr="00CB4BC3">
        <w:rPr>
          <w:lang w:eastAsia="fr-FR"/>
        </w:rPr>
        <w:t xml:space="preserve">Finally, </w:t>
      </w:r>
      <w:r w:rsidR="00CB4BC3" w:rsidRPr="00622F40">
        <w:rPr>
          <w:lang w:eastAsia="fr-FR"/>
        </w:rPr>
        <w:t xml:space="preserve">about its contribution to other direct </w:t>
      </w:r>
      <w:r w:rsidR="00CB4BC3" w:rsidRPr="00622F40">
        <w:rPr>
          <w:lang w:eastAsia="fr-FR"/>
        </w:rPr>
        <w:lastRenderedPageBreak/>
        <w:t xml:space="preserve">GHG, the energy sector </w:t>
      </w:r>
      <w:r w:rsidR="00CB4BC3">
        <w:rPr>
          <w:lang w:eastAsia="fr-FR"/>
        </w:rPr>
        <w:t>represents 15% of the N</w:t>
      </w:r>
      <w:r w:rsidR="00CB4BC3" w:rsidRPr="00622F40">
        <w:rPr>
          <w:vertAlign w:val="subscript"/>
          <w:lang w:eastAsia="fr-FR"/>
        </w:rPr>
        <w:t>2</w:t>
      </w:r>
      <w:r w:rsidR="00CB4BC3">
        <w:rPr>
          <w:lang w:eastAsia="fr-FR"/>
        </w:rPr>
        <w:t>O emissions in the Republic of Serbia, excluding LULUCF contribution</w:t>
      </w:r>
      <w:r w:rsidR="008B43B0">
        <w:rPr>
          <w:lang w:eastAsia="fr-FR"/>
        </w:rPr>
        <w:t xml:space="preserve">, </w:t>
      </w:r>
      <w:r w:rsidR="002245D3">
        <w:rPr>
          <w:lang w:eastAsia="fr-FR"/>
        </w:rPr>
        <w:t>related to</w:t>
      </w:r>
      <w:r w:rsidR="008B43B0">
        <w:rPr>
          <w:lang w:eastAsia="fr-FR"/>
        </w:rPr>
        <w:t xml:space="preserve"> the fuel combustion</w:t>
      </w:r>
      <w:r w:rsidR="00CB4BC3">
        <w:rPr>
          <w:lang w:eastAsia="fr-FR"/>
        </w:rPr>
        <w:t xml:space="preserve">. </w:t>
      </w:r>
    </w:p>
    <w:p w14:paraId="10083631" w14:textId="234D7F80" w:rsidR="00975E29" w:rsidRPr="00CB4BC3" w:rsidRDefault="009B4E45">
      <w:pPr>
        <w:spacing w:line="240" w:lineRule="auto"/>
        <w:rPr>
          <w:lang w:eastAsia="fr-FR"/>
        </w:rPr>
      </w:pPr>
      <w:r>
        <w:rPr>
          <w:lang w:eastAsia="fr-FR"/>
        </w:rPr>
        <w:t xml:space="preserve">The energy </w:t>
      </w:r>
      <w:r w:rsidR="00326F20">
        <w:rPr>
          <w:lang w:eastAsia="fr-FR"/>
        </w:rPr>
        <w:t xml:space="preserve">sector is also </w:t>
      </w:r>
      <w:r w:rsidR="00B906E1">
        <w:rPr>
          <w:lang w:eastAsia="fr-FR"/>
        </w:rPr>
        <w:t xml:space="preserve">a large predominant emission source in terms of indirect GHG emissions (including LULUCF) </w:t>
      </w:r>
      <w:r w:rsidR="00B906E1" w:rsidRPr="00A96EA1">
        <w:rPr>
          <w:lang w:eastAsia="fr-FR"/>
        </w:rPr>
        <w:t xml:space="preserve">with </w:t>
      </w:r>
      <w:r w:rsidR="00B02055" w:rsidRPr="007759DA">
        <w:rPr>
          <w:lang w:eastAsia="fr-FR"/>
        </w:rPr>
        <w:t>99</w:t>
      </w:r>
      <w:r w:rsidR="00924673" w:rsidRPr="007759DA">
        <w:rPr>
          <w:lang w:eastAsia="fr-FR"/>
        </w:rPr>
        <w:t>%</w:t>
      </w:r>
      <w:r w:rsidR="00924673" w:rsidRPr="00A96EA1">
        <w:rPr>
          <w:lang w:eastAsia="fr-FR"/>
        </w:rPr>
        <w:t xml:space="preserve">, </w:t>
      </w:r>
      <w:r w:rsidR="00A80FC5" w:rsidRPr="00A96EA1">
        <w:rPr>
          <w:lang w:eastAsia="fr-FR"/>
        </w:rPr>
        <w:t>96</w:t>
      </w:r>
      <w:r w:rsidR="00924673" w:rsidRPr="00A96EA1">
        <w:rPr>
          <w:lang w:eastAsia="fr-FR"/>
        </w:rPr>
        <w:t xml:space="preserve">% and </w:t>
      </w:r>
      <w:r w:rsidR="006134AC" w:rsidRPr="00A96EA1">
        <w:rPr>
          <w:lang w:eastAsia="fr-FR"/>
        </w:rPr>
        <w:t>97</w:t>
      </w:r>
      <w:r w:rsidR="00924673" w:rsidRPr="00A96EA1">
        <w:rPr>
          <w:lang w:eastAsia="fr-FR"/>
        </w:rPr>
        <w:t>% of the national emissions of SO</w:t>
      </w:r>
      <w:r w:rsidR="00924673" w:rsidRPr="00A96EA1">
        <w:rPr>
          <w:vertAlign w:val="subscript"/>
          <w:lang w:eastAsia="fr-FR"/>
        </w:rPr>
        <w:t>2</w:t>
      </w:r>
      <w:r w:rsidR="00924673" w:rsidRPr="00A96EA1">
        <w:rPr>
          <w:lang w:eastAsia="fr-FR"/>
        </w:rPr>
        <w:t>, NO</w:t>
      </w:r>
      <w:r w:rsidR="00924673" w:rsidRPr="00A96EA1">
        <w:rPr>
          <w:vertAlign w:val="subscript"/>
          <w:lang w:eastAsia="fr-FR"/>
        </w:rPr>
        <w:t>x</w:t>
      </w:r>
      <w:r w:rsidR="00924673" w:rsidRPr="00A96EA1">
        <w:rPr>
          <w:lang w:eastAsia="fr-FR"/>
        </w:rPr>
        <w:t xml:space="preserve"> and CO in 2022. </w:t>
      </w:r>
      <w:r w:rsidR="00A96EA1" w:rsidRPr="00A96EA1">
        <w:rPr>
          <w:lang w:eastAsia="fr-FR"/>
        </w:rPr>
        <w:t xml:space="preserve">It </w:t>
      </w:r>
      <w:r w:rsidR="00924673" w:rsidRPr="00A96EA1">
        <w:rPr>
          <w:lang w:eastAsia="fr-FR"/>
        </w:rPr>
        <w:t xml:space="preserve">also contributes to NMVOC emissions over the territory but to a lesser extent with </w:t>
      </w:r>
      <w:r w:rsidR="00B02055" w:rsidRPr="007759DA">
        <w:rPr>
          <w:lang w:eastAsia="fr-FR"/>
        </w:rPr>
        <w:t>41</w:t>
      </w:r>
      <w:r w:rsidR="00924673" w:rsidRPr="007759DA">
        <w:rPr>
          <w:lang w:eastAsia="fr-FR"/>
        </w:rPr>
        <w:t>%</w:t>
      </w:r>
      <w:r w:rsidR="00924673" w:rsidRPr="00A96EA1">
        <w:rPr>
          <w:lang w:eastAsia="fr-FR"/>
        </w:rPr>
        <w:t xml:space="preserve"> in 2022</w:t>
      </w:r>
      <w:r w:rsidR="00924673">
        <w:rPr>
          <w:lang w:eastAsia="fr-FR"/>
        </w:rPr>
        <w:t>.</w:t>
      </w:r>
    </w:p>
    <w:p w14:paraId="354D7550" w14:textId="1D0C2E08" w:rsidR="00924673" w:rsidRPr="005D66B2" w:rsidRDefault="00621C68" w:rsidP="00D7513A">
      <w:pPr>
        <w:pStyle w:val="OMINEA"/>
      </w:pPr>
      <w:r w:rsidRPr="00DF0B62">
        <w:t xml:space="preserve">In 2022, </w:t>
      </w:r>
      <w:r w:rsidR="009111BC" w:rsidRPr="00622F40">
        <w:t>for CO</w:t>
      </w:r>
      <w:r w:rsidR="009111BC" w:rsidRPr="00622F40">
        <w:rPr>
          <w:vertAlign w:val="subscript"/>
        </w:rPr>
        <w:t>2</w:t>
      </w:r>
      <w:r w:rsidR="009111BC" w:rsidRPr="00622F40">
        <w:t xml:space="preserve"> emissions, the main contributing </w:t>
      </w:r>
      <w:r w:rsidR="00DF0B62">
        <w:t xml:space="preserve">source is the </w:t>
      </w:r>
      <w:r w:rsidR="009B0E99">
        <w:t xml:space="preserve">energy industries </w:t>
      </w:r>
      <w:r w:rsidR="00105885">
        <w:t>(</w:t>
      </w:r>
      <w:r w:rsidR="000F6001">
        <w:t>CRT</w:t>
      </w:r>
      <w:r w:rsidR="00105885">
        <w:t xml:space="preserve"> 1A1) </w:t>
      </w:r>
      <w:r w:rsidR="009B0E99">
        <w:t xml:space="preserve">with </w:t>
      </w:r>
      <w:r w:rsidR="00105885">
        <w:t>a share of 6</w:t>
      </w:r>
      <w:r w:rsidR="00203785">
        <w:t>2</w:t>
      </w:r>
      <w:r w:rsidR="00105885">
        <w:t>% of the national CO</w:t>
      </w:r>
      <w:r w:rsidR="00105885" w:rsidRPr="00622F40">
        <w:rPr>
          <w:vertAlign w:val="subscript"/>
        </w:rPr>
        <w:t>2</w:t>
      </w:r>
      <w:r w:rsidR="00105885">
        <w:t xml:space="preserve"> emissions excluding LULUCF, mainly due to electricity and heat production, followed by the transport sector </w:t>
      </w:r>
      <w:r w:rsidR="007C5FC1">
        <w:t>(</w:t>
      </w:r>
      <w:r w:rsidR="000F6001">
        <w:t>CRT</w:t>
      </w:r>
      <w:r w:rsidR="007C5FC1">
        <w:t xml:space="preserve"> 1A3) </w:t>
      </w:r>
      <w:r w:rsidR="00105885">
        <w:t>with 1</w:t>
      </w:r>
      <w:r w:rsidR="00203785">
        <w:t>6</w:t>
      </w:r>
      <w:r w:rsidR="00105885">
        <w:t>%, mostly related to road transport</w:t>
      </w:r>
      <w:r w:rsidR="007C5FC1">
        <w:t>, the manufacturing industries (</w:t>
      </w:r>
      <w:r w:rsidR="000F6001">
        <w:t>CRT</w:t>
      </w:r>
      <w:r w:rsidR="007C5FC1">
        <w:t xml:space="preserve"> 1A2) with </w:t>
      </w:r>
      <w:r w:rsidR="00203785">
        <w:t>7</w:t>
      </w:r>
      <w:r w:rsidR="007C5FC1">
        <w:t xml:space="preserve">% and </w:t>
      </w:r>
      <w:r w:rsidR="005446E3">
        <w:t>the other sectors (</w:t>
      </w:r>
      <w:r w:rsidR="000F6001">
        <w:t>CRT</w:t>
      </w:r>
      <w:r w:rsidR="005446E3">
        <w:t xml:space="preserve"> 1A4) with 5%. The total sectoral CO</w:t>
      </w:r>
      <w:r w:rsidR="005446E3" w:rsidRPr="00622F40">
        <w:rPr>
          <w:vertAlign w:val="subscript"/>
        </w:rPr>
        <w:t>2</w:t>
      </w:r>
      <w:r w:rsidR="005446E3">
        <w:rPr>
          <w:vertAlign w:val="subscript"/>
        </w:rPr>
        <w:t xml:space="preserve"> </w:t>
      </w:r>
      <w:r w:rsidR="005446E3">
        <w:t>emissions decrease by 25%</w:t>
      </w:r>
      <w:r w:rsidR="003A1588">
        <w:t xml:space="preserve"> for the period 1990-2022, </w:t>
      </w:r>
      <w:r w:rsidR="006F59A2">
        <w:t xml:space="preserve">thanks to the contribution of all sectors except transport </w:t>
      </w:r>
      <w:r w:rsidR="00E255DF">
        <w:t>which</w:t>
      </w:r>
      <w:r w:rsidR="006F59A2">
        <w:t xml:space="preserve"> has increased its emissions by 79%</w:t>
      </w:r>
      <w:r w:rsidR="009202D3">
        <w:t xml:space="preserve"> due to the traffic growth</w:t>
      </w:r>
      <w:r w:rsidR="00CF4F84">
        <w:t xml:space="preserve">. </w:t>
      </w:r>
      <w:r w:rsidR="006814E9" w:rsidRPr="005D66B2">
        <w:t xml:space="preserve">The </w:t>
      </w:r>
      <w:r w:rsidR="002429DD" w:rsidRPr="00622F40">
        <w:t xml:space="preserve">other sectors all contributed to the observed emission reduction, </w:t>
      </w:r>
      <w:r w:rsidR="00760152">
        <w:t xml:space="preserve">in particular the </w:t>
      </w:r>
      <w:r w:rsidR="00254F1A">
        <w:t>highest influence is from the energy industries with</w:t>
      </w:r>
      <w:r w:rsidR="005D66B2">
        <w:t xml:space="preserve"> </w:t>
      </w:r>
      <w:r w:rsidR="00D851F0">
        <w:t>a 25% decrease</w:t>
      </w:r>
      <w:r w:rsidR="00D41BA8">
        <w:t xml:space="preserve">, </w:t>
      </w:r>
      <w:r w:rsidR="00BC1A4F">
        <w:t xml:space="preserve">mostly </w:t>
      </w:r>
      <w:r w:rsidR="00135D2C">
        <w:t>thanks</w:t>
      </w:r>
      <w:r w:rsidR="00BC1A4F">
        <w:t xml:space="preserve"> to the drop</w:t>
      </w:r>
      <w:r w:rsidR="008D0469">
        <w:t xml:space="preserve"> of 25%</w:t>
      </w:r>
      <w:r w:rsidR="00BC1A4F">
        <w:t xml:space="preserve"> in </w:t>
      </w:r>
      <w:r w:rsidR="00135D2C">
        <w:t>the fuel consumption of the production of heat and electricity (</w:t>
      </w:r>
      <w:r w:rsidR="000F6001">
        <w:t>CRT</w:t>
      </w:r>
      <w:r w:rsidR="00135D2C">
        <w:t xml:space="preserve"> 1A1a)</w:t>
      </w:r>
      <w:r w:rsidR="00426484">
        <w:t xml:space="preserve"> </w:t>
      </w:r>
      <w:r w:rsidR="00135D2C">
        <w:t xml:space="preserve">over the period 1990-2022, </w:t>
      </w:r>
      <w:r w:rsidR="008D0469">
        <w:t xml:space="preserve">with the coal consumption which decreased by 31%, </w:t>
      </w:r>
      <w:r w:rsidR="00135D2C">
        <w:t xml:space="preserve">substituting </w:t>
      </w:r>
      <w:r w:rsidR="008D0469">
        <w:t xml:space="preserve">partially by </w:t>
      </w:r>
      <w:r w:rsidR="00426484">
        <w:t>natural gas which doubled</w:t>
      </w:r>
      <w:r w:rsidR="001A256F">
        <w:t>,</w:t>
      </w:r>
      <w:r w:rsidR="00426484">
        <w:t xml:space="preserve"> but also</w:t>
      </w:r>
      <w:r w:rsidR="001A256F">
        <w:t xml:space="preserve"> by increasing</w:t>
      </w:r>
      <w:r w:rsidR="00426484">
        <w:t xml:space="preserve"> renewable energies</w:t>
      </w:r>
      <w:r w:rsidR="00B02055">
        <w:t xml:space="preserve"> and issues with lignite mining</w:t>
      </w:r>
      <w:r w:rsidR="00B03F54">
        <w:t xml:space="preserve"> in most recent years</w:t>
      </w:r>
      <w:r w:rsidR="00426484">
        <w:t xml:space="preserve">. </w:t>
      </w:r>
      <w:r w:rsidR="009202D3">
        <w:t>The CO</w:t>
      </w:r>
      <w:r w:rsidR="009202D3" w:rsidRPr="00622F40">
        <w:rPr>
          <w:vertAlign w:val="subscript"/>
        </w:rPr>
        <w:t>2</w:t>
      </w:r>
      <w:r w:rsidR="009202D3">
        <w:t xml:space="preserve"> emissions of the other subsectors all decrease significantly as well, with -</w:t>
      </w:r>
      <w:r w:rsidR="00E255DF">
        <w:t>54</w:t>
      </w:r>
      <w:r w:rsidR="009202D3">
        <w:t>% for the manufacturing industries (</w:t>
      </w:r>
      <w:r w:rsidR="000F6001">
        <w:t>CRT</w:t>
      </w:r>
      <w:r w:rsidR="009202D3">
        <w:t xml:space="preserve"> 1A2)</w:t>
      </w:r>
      <w:r w:rsidR="005F5B1B">
        <w:t xml:space="preserve"> </w:t>
      </w:r>
      <w:r w:rsidR="00B93802">
        <w:t>and -59% for the other sectors (</w:t>
      </w:r>
      <w:r w:rsidR="000F6001">
        <w:t>CRT</w:t>
      </w:r>
      <w:r w:rsidR="00B93802">
        <w:t xml:space="preserve"> 1A4), related to fossil fuel consumption reductions and the partial substitutions with the development of biomass. Finally, the </w:t>
      </w:r>
      <w:r w:rsidR="00396FA0">
        <w:t xml:space="preserve">fugitive </w:t>
      </w:r>
      <w:r w:rsidR="002E79C5">
        <w:t>CO</w:t>
      </w:r>
      <w:r w:rsidR="002E79C5" w:rsidRPr="00622F40">
        <w:rPr>
          <w:vertAlign w:val="subscript"/>
        </w:rPr>
        <w:t>2</w:t>
      </w:r>
      <w:r w:rsidR="002E79C5">
        <w:t xml:space="preserve"> emissions</w:t>
      </w:r>
      <w:r w:rsidR="00396FA0">
        <w:t>,</w:t>
      </w:r>
      <w:r w:rsidR="002E79C5">
        <w:t xml:space="preserve"> </w:t>
      </w:r>
      <w:r w:rsidR="00396FA0">
        <w:t xml:space="preserve">mainly </w:t>
      </w:r>
      <w:r w:rsidR="002E79C5">
        <w:t>related to flaring in oil refining</w:t>
      </w:r>
      <w:r w:rsidR="00396FA0">
        <w:t>,</w:t>
      </w:r>
      <w:r w:rsidR="002E79C5">
        <w:t xml:space="preserve"> ha</w:t>
      </w:r>
      <w:r w:rsidR="00EF39E7">
        <w:t>ve</w:t>
      </w:r>
      <w:r w:rsidR="002E79C5">
        <w:t xml:space="preserve"> also decreased </w:t>
      </w:r>
      <w:r w:rsidR="00396FA0">
        <w:t xml:space="preserve">by 98% over the period 1990-2022, whereas it had a share of </w:t>
      </w:r>
      <w:r w:rsidR="007109AC">
        <w:t>3% of the CO</w:t>
      </w:r>
      <w:r w:rsidR="007109AC" w:rsidRPr="00622F40">
        <w:rPr>
          <w:vertAlign w:val="subscript"/>
        </w:rPr>
        <w:t>2</w:t>
      </w:r>
      <w:r w:rsidR="007109AC">
        <w:t xml:space="preserve"> emissions of the energy in 1990.</w:t>
      </w:r>
    </w:p>
    <w:p w14:paraId="1ECAECC8" w14:textId="72BC3596" w:rsidR="005446E3" w:rsidRDefault="007109AC" w:rsidP="00D7513A">
      <w:pPr>
        <w:pStyle w:val="OMINEA"/>
      </w:pPr>
      <w:r>
        <w:t xml:space="preserve">The emissions of the energy industries, in particular of the </w:t>
      </w:r>
      <w:r w:rsidR="007A6CE5">
        <w:t xml:space="preserve">power plants for electricity production, and of the residential sector, can vary quite significantly depending on the </w:t>
      </w:r>
      <w:r w:rsidR="005F1459">
        <w:t>climate severity (for winters, mostly, with heating, but also</w:t>
      </w:r>
      <w:r w:rsidR="00B121B6">
        <w:t>,</w:t>
      </w:r>
      <w:r w:rsidR="005F1459">
        <w:t xml:space="preserve"> to another extent</w:t>
      </w:r>
      <w:r w:rsidR="00B121B6">
        <w:t>,</w:t>
      </w:r>
      <w:r w:rsidR="005F1459">
        <w:t xml:space="preserve"> for summers with air conditioning)</w:t>
      </w:r>
      <w:r w:rsidR="00B121B6">
        <w:t xml:space="preserve"> and the eventual imports and exports of electricity. </w:t>
      </w:r>
      <w:r w:rsidR="00AE4600">
        <w:t>Over the most recent years, the year 2011 and 2014 are good examples of extreme climate conditions either leading to a peak of CO</w:t>
      </w:r>
      <w:r w:rsidR="00AE4600" w:rsidRPr="00622F40">
        <w:rPr>
          <w:vertAlign w:val="subscript"/>
        </w:rPr>
        <w:t>2</w:t>
      </w:r>
      <w:r w:rsidR="00AE4600">
        <w:t xml:space="preserve"> emissions such as in 2011, or to a</w:t>
      </w:r>
      <w:r w:rsidR="0066189F">
        <w:t xml:space="preserve"> significant drop in emissions as in 2014</w:t>
      </w:r>
      <w:r w:rsidR="00B03F54">
        <w:t xml:space="preserve"> which was also affected by flooding of some surface lignite mines</w:t>
      </w:r>
      <w:r w:rsidR="0066189F">
        <w:t xml:space="preserve">. </w:t>
      </w:r>
    </w:p>
    <w:p w14:paraId="5E059E5E" w14:textId="1D860D90" w:rsidR="00C60BAF" w:rsidRPr="00622F40" w:rsidRDefault="000C30F3" w:rsidP="00D7513A">
      <w:pPr>
        <w:pStyle w:val="OMINEA"/>
      </w:pPr>
      <w:r>
        <w:t xml:space="preserve">The </w:t>
      </w:r>
      <w:r w:rsidR="005F4D13">
        <w:t xml:space="preserve">methane emissions of the energy </w:t>
      </w:r>
      <w:r w:rsidR="00392960">
        <w:t>sector</w:t>
      </w:r>
      <w:r w:rsidR="005F4D13">
        <w:t xml:space="preserve"> also decrease by 13%</w:t>
      </w:r>
      <w:r w:rsidR="00CF2F97">
        <w:t xml:space="preserve"> between 1990 and 2022</w:t>
      </w:r>
      <w:r w:rsidR="005F4D13">
        <w:t xml:space="preserve">, </w:t>
      </w:r>
      <w:r w:rsidR="00CF2F97">
        <w:t xml:space="preserve">mostly due to the drop in coal and oil productions with -19% </w:t>
      </w:r>
      <w:r w:rsidR="007175CC">
        <w:t>for the fugitive methane production (</w:t>
      </w:r>
      <w:r w:rsidR="000F6001">
        <w:t>CRT</w:t>
      </w:r>
      <w:r w:rsidR="007175CC">
        <w:t xml:space="preserve"> 1B) over this period, meanwhile the emissions related to fuel combustion </w:t>
      </w:r>
      <w:r w:rsidR="00C60BAF">
        <w:t>(</w:t>
      </w:r>
      <w:r w:rsidR="000F6001">
        <w:t>CRT</w:t>
      </w:r>
      <w:r w:rsidR="00C60BAF">
        <w:t xml:space="preserve"> 1A) </w:t>
      </w:r>
      <w:r w:rsidR="007175CC">
        <w:t xml:space="preserve">increased </w:t>
      </w:r>
      <w:r w:rsidR="00410D7B">
        <w:t>by</w:t>
      </w:r>
      <w:r w:rsidR="007175CC">
        <w:t xml:space="preserve"> </w:t>
      </w:r>
      <w:r w:rsidR="00410D7B">
        <w:t>19</w:t>
      </w:r>
      <w:r w:rsidR="007175CC">
        <w:t xml:space="preserve">%, related to the </w:t>
      </w:r>
      <w:r w:rsidR="00C60BAF">
        <w:t>increase in the use of biomass, in particular in small residential appliances. The energy emissions of N</w:t>
      </w:r>
      <w:r w:rsidR="00C60BAF" w:rsidRPr="00622F40">
        <w:rPr>
          <w:vertAlign w:val="subscript"/>
        </w:rPr>
        <w:t>2</w:t>
      </w:r>
      <w:r w:rsidR="00C60BAF">
        <w:t xml:space="preserve">O, </w:t>
      </w:r>
      <w:r w:rsidR="00226355">
        <w:t>mai</w:t>
      </w:r>
      <w:r w:rsidR="00C60BAF">
        <w:t>nly related to fuel combustion</w:t>
      </w:r>
      <w:r w:rsidR="00030ECD">
        <w:t xml:space="preserve"> in 2022</w:t>
      </w:r>
      <w:r w:rsidR="00226355">
        <w:t xml:space="preserve">, </w:t>
      </w:r>
      <w:r w:rsidR="00030ECD">
        <w:t xml:space="preserve">increased by 9% during the period 1990-2022, </w:t>
      </w:r>
      <w:r w:rsidR="003A3CA7">
        <w:t>which is mostly due</w:t>
      </w:r>
      <w:r w:rsidR="0039756B">
        <w:t xml:space="preserve"> to the road transport</w:t>
      </w:r>
      <w:r w:rsidR="003A3CA7">
        <w:t xml:space="preserve"> growth</w:t>
      </w:r>
      <w:r w:rsidR="00047027">
        <w:t xml:space="preserve"> (CR</w:t>
      </w:r>
      <w:r w:rsidR="00FD77FF">
        <w:t>T</w:t>
      </w:r>
      <w:r w:rsidR="00047027">
        <w:t xml:space="preserve"> 1A3, +85% for N</w:t>
      </w:r>
      <w:r w:rsidR="00047027" w:rsidRPr="00622F40">
        <w:rPr>
          <w:vertAlign w:val="subscript"/>
        </w:rPr>
        <w:t>2</w:t>
      </w:r>
      <w:r w:rsidR="00047027">
        <w:t>O)</w:t>
      </w:r>
      <w:r w:rsidR="0039756B">
        <w:t>.</w:t>
      </w:r>
      <w:r w:rsidR="003A3CA7">
        <w:t xml:space="preserve"> </w:t>
      </w:r>
      <w:r w:rsidR="0039756B">
        <w:t xml:space="preserve"> </w:t>
      </w:r>
    </w:p>
    <w:p w14:paraId="0CD6299C" w14:textId="06EAC496" w:rsidR="00C450F0" w:rsidRPr="00622F40" w:rsidRDefault="00C450F0" w:rsidP="00D7513A">
      <w:pPr>
        <w:pStyle w:val="OMINEA"/>
      </w:pPr>
      <w:r w:rsidRPr="00622F40">
        <w:t>In terms of SO</w:t>
      </w:r>
      <w:r w:rsidRPr="00622F40">
        <w:rPr>
          <w:vertAlign w:val="subscript"/>
        </w:rPr>
        <w:t>2</w:t>
      </w:r>
      <w:r w:rsidRPr="00622F40">
        <w:t xml:space="preserve">, the </w:t>
      </w:r>
      <w:r w:rsidR="00522C72" w:rsidRPr="00622F40">
        <w:t xml:space="preserve">emissions are mostly </w:t>
      </w:r>
      <w:r w:rsidR="00785FE1" w:rsidRPr="00622F40">
        <w:t xml:space="preserve">the responsibility of the Public </w:t>
      </w:r>
      <w:r w:rsidR="00B03F54">
        <w:t>E</w:t>
      </w:r>
      <w:r w:rsidR="00785FE1" w:rsidRPr="00622F40">
        <w:t xml:space="preserve">lectricity </w:t>
      </w:r>
      <w:r w:rsidR="00B03F54" w:rsidRPr="00622F40">
        <w:t>and</w:t>
      </w:r>
      <w:r w:rsidR="00B03F54">
        <w:t xml:space="preserve"> H</w:t>
      </w:r>
      <w:r w:rsidR="00B03F54" w:rsidRPr="00622F40">
        <w:t xml:space="preserve">eat </w:t>
      </w:r>
      <w:r w:rsidR="00785FE1" w:rsidRPr="00622F40">
        <w:t>production</w:t>
      </w:r>
      <w:r w:rsidR="00907810">
        <w:t xml:space="preserve"> (1A1a)</w:t>
      </w:r>
      <w:r w:rsidR="00785FE1" w:rsidRPr="00622F40">
        <w:t xml:space="preserve">, which contributes to 92% to the CRT 1 emissions in 2022. </w:t>
      </w:r>
      <w:r w:rsidR="008D5379">
        <w:t>The main reason for the SO</w:t>
      </w:r>
      <w:r w:rsidR="008D5379" w:rsidRPr="00622F40">
        <w:rPr>
          <w:vertAlign w:val="subscript"/>
        </w:rPr>
        <w:t>2</w:t>
      </w:r>
      <w:r w:rsidR="008D5379">
        <w:t xml:space="preserve"> emissions the solid fuel combustion. </w:t>
      </w:r>
      <w:r w:rsidR="007C033F">
        <w:t xml:space="preserve">This emission source is also the </w:t>
      </w:r>
      <w:r w:rsidR="00624234">
        <w:t>responsible to a significant part of the NOx emissions of the Energy sector (38%</w:t>
      </w:r>
      <w:r w:rsidR="00C82ABA">
        <w:t xml:space="preserve"> in 2022), alongside</w:t>
      </w:r>
      <w:r w:rsidR="00555B95">
        <w:t xml:space="preserve"> with</w:t>
      </w:r>
      <w:r w:rsidR="00C82ABA">
        <w:t xml:space="preserve"> the road transport (CRT 1A3</w:t>
      </w:r>
      <w:r w:rsidR="00555B95">
        <w:t>b</w:t>
      </w:r>
      <w:r w:rsidR="00C82ABA">
        <w:t xml:space="preserve">) </w:t>
      </w:r>
      <w:r w:rsidR="00555B95">
        <w:t xml:space="preserve">which is the most predominant source with 43% of the sector emissions. The emissions of NMVOC </w:t>
      </w:r>
      <w:r w:rsidR="00C245F4">
        <w:t xml:space="preserve">from the Energy sector are </w:t>
      </w:r>
      <w:r w:rsidR="009004CB">
        <w:t xml:space="preserve">mainly due to </w:t>
      </w:r>
      <w:r w:rsidR="004239DD">
        <w:t>coal mining and handling (1B1a) with 31% in 2022, as well as the residential heating</w:t>
      </w:r>
      <w:r w:rsidR="00911414">
        <w:t xml:space="preserve"> (1A4bi)</w:t>
      </w:r>
      <w:r w:rsidR="004239DD">
        <w:t xml:space="preserve">, in particular due to </w:t>
      </w:r>
      <w:r w:rsidR="00911414">
        <w:t xml:space="preserve">biomass and solid fuel combustion, with 42%. </w:t>
      </w:r>
      <w:r w:rsidR="00397B96">
        <w:t>Th</w:t>
      </w:r>
      <w:r w:rsidR="006242B1">
        <w:t>e latter contributes also significantly to the CO emissions from the CRT 1, with a share of 75% in 2022, the rest</w:t>
      </w:r>
      <w:r w:rsidR="00457789">
        <w:t xml:space="preserve"> being mostly related to road transport (13%) and to other stationary combustion</w:t>
      </w:r>
      <w:r w:rsidR="00D25400">
        <w:t xml:space="preserve">. </w:t>
      </w:r>
    </w:p>
    <w:p w14:paraId="40766468" w14:textId="39F28E28" w:rsidR="006814E9" w:rsidRDefault="00813DBC" w:rsidP="00D7513A">
      <w:pPr>
        <w:pStyle w:val="OMINEA"/>
      </w:pPr>
      <w:r>
        <w:t>Most of the emissions of indirect GHG from the Energy sector have been reduced si</w:t>
      </w:r>
      <w:r w:rsidR="00AF44DC">
        <w:t xml:space="preserve">gnificantly over the timeseries, with </w:t>
      </w:r>
      <w:r w:rsidR="00D81778">
        <w:t>-34% for SO</w:t>
      </w:r>
      <w:r w:rsidR="00D81778" w:rsidRPr="00622F40">
        <w:rPr>
          <w:vertAlign w:val="subscript"/>
        </w:rPr>
        <w:t>2</w:t>
      </w:r>
      <w:r w:rsidR="00D81778">
        <w:t>, -24% for NMVOC</w:t>
      </w:r>
      <w:r w:rsidR="001F7507">
        <w:t xml:space="preserve"> and -31% for CO. The emissions of NOx are rather stable (-1%</w:t>
      </w:r>
      <w:r w:rsidR="0032239A">
        <w:t xml:space="preserve"> between 1990 and 2022)</w:t>
      </w:r>
      <w:r w:rsidR="001F7507">
        <w:t xml:space="preserve"> due to the road traffic growth</w:t>
      </w:r>
      <w:r w:rsidR="0032239A">
        <w:t xml:space="preserve"> which compensate the emission reduction achieved by the implementation of regulations</w:t>
      </w:r>
      <w:r w:rsidR="003F5478">
        <w:t xml:space="preserve"> and the change in the energy mix</w:t>
      </w:r>
      <w:r w:rsidR="0032239A">
        <w:t xml:space="preserve">. </w:t>
      </w:r>
      <w:r w:rsidR="003F5478">
        <w:t xml:space="preserve">For the other substances, these two factors are the main reasons for the fall in emissions. </w:t>
      </w:r>
    </w:p>
    <w:p w14:paraId="64882D5D" w14:textId="77777777" w:rsidR="005C2C13" w:rsidRDefault="005C2C13" w:rsidP="00D7513A">
      <w:pPr>
        <w:pStyle w:val="OMINEA"/>
        <w:rPr>
          <w:b/>
          <w:bCs/>
        </w:rPr>
      </w:pPr>
    </w:p>
    <w:p w14:paraId="352D51E9" w14:textId="2A0D8A87" w:rsidR="00047027" w:rsidRPr="00622F40" w:rsidRDefault="00047027" w:rsidP="00D7513A">
      <w:pPr>
        <w:pStyle w:val="OMINEA"/>
        <w:rPr>
          <w:b/>
          <w:bCs/>
        </w:rPr>
      </w:pPr>
      <w:r w:rsidRPr="00622F40">
        <w:rPr>
          <w:b/>
          <w:bCs/>
        </w:rPr>
        <w:t>Industrial Processes and Product Use (</w:t>
      </w:r>
      <w:r w:rsidR="000F6001">
        <w:rPr>
          <w:b/>
          <w:bCs/>
        </w:rPr>
        <w:t>CRT</w:t>
      </w:r>
      <w:r w:rsidRPr="00622F40">
        <w:rPr>
          <w:b/>
          <w:bCs/>
        </w:rPr>
        <w:t xml:space="preserve"> 2)</w:t>
      </w:r>
    </w:p>
    <w:p w14:paraId="5F25D830" w14:textId="50FB138A" w:rsidR="00D7513A" w:rsidRDefault="00CE1AEC">
      <w:pPr>
        <w:spacing w:line="240" w:lineRule="auto"/>
        <w:rPr>
          <w:lang w:eastAsia="fr-FR"/>
        </w:rPr>
      </w:pPr>
      <w:r>
        <w:rPr>
          <w:lang w:eastAsia="fr-FR"/>
        </w:rPr>
        <w:t xml:space="preserve">The sector of industrial processes and product use represents 8% of the national GHG emissions, excluding LULUCF contribution, in the Republic of Serbia, in 2022. It has a slightly growing contribution </w:t>
      </w:r>
      <w:r w:rsidR="00A54631">
        <w:rPr>
          <w:lang w:eastAsia="fr-FR"/>
        </w:rPr>
        <w:t>since</w:t>
      </w:r>
      <w:r>
        <w:rPr>
          <w:lang w:eastAsia="fr-FR"/>
        </w:rPr>
        <w:t xml:space="preserve"> </w:t>
      </w:r>
      <w:r w:rsidR="00CD7461">
        <w:rPr>
          <w:lang w:eastAsia="fr-FR"/>
        </w:rPr>
        <w:t xml:space="preserve">1990 where its share was </w:t>
      </w:r>
      <w:r w:rsidR="00D336A1">
        <w:rPr>
          <w:lang w:eastAsia="fr-FR"/>
        </w:rPr>
        <w:t>less than 7%</w:t>
      </w:r>
      <w:r w:rsidR="00D17A1C">
        <w:rPr>
          <w:lang w:eastAsia="fr-FR"/>
        </w:rPr>
        <w:t>, although its GHG emissions ha</w:t>
      </w:r>
      <w:r w:rsidR="00F773EB">
        <w:rPr>
          <w:lang w:eastAsia="fr-FR"/>
        </w:rPr>
        <w:t>ve</w:t>
      </w:r>
      <w:r w:rsidR="00D17A1C">
        <w:rPr>
          <w:lang w:eastAsia="fr-FR"/>
        </w:rPr>
        <w:t xml:space="preserve"> been reduced by </w:t>
      </w:r>
      <w:r w:rsidR="00BE2884">
        <w:rPr>
          <w:lang w:eastAsia="fr-FR"/>
        </w:rPr>
        <w:t>7% in between</w:t>
      </w:r>
      <w:r w:rsidR="00D336A1">
        <w:rPr>
          <w:lang w:eastAsia="fr-FR"/>
        </w:rPr>
        <w:t xml:space="preserve">. </w:t>
      </w:r>
      <w:r w:rsidR="00757ACD">
        <w:rPr>
          <w:lang w:eastAsia="fr-FR"/>
        </w:rPr>
        <w:t>In 2022, t</w:t>
      </w:r>
      <w:r w:rsidR="002F3BAB">
        <w:rPr>
          <w:lang w:eastAsia="fr-FR"/>
        </w:rPr>
        <w:t>he main contributing source is the metal industry (</w:t>
      </w:r>
      <w:r w:rsidR="000F6001">
        <w:rPr>
          <w:lang w:eastAsia="fr-FR"/>
        </w:rPr>
        <w:t>CRT</w:t>
      </w:r>
      <w:r w:rsidR="002F3BAB">
        <w:rPr>
          <w:lang w:eastAsia="fr-FR"/>
        </w:rPr>
        <w:t xml:space="preserve"> 2C), with 5% of the national </w:t>
      </w:r>
      <w:r w:rsidR="00757ACD">
        <w:rPr>
          <w:lang w:eastAsia="fr-FR"/>
        </w:rPr>
        <w:t>GHG emissions excluding LULUCF, followed by the mineral industry (</w:t>
      </w:r>
      <w:r w:rsidR="000F6001">
        <w:rPr>
          <w:lang w:eastAsia="fr-FR"/>
        </w:rPr>
        <w:t>CRT</w:t>
      </w:r>
      <w:r w:rsidR="00757ACD">
        <w:rPr>
          <w:lang w:eastAsia="fr-FR"/>
        </w:rPr>
        <w:t xml:space="preserve"> 2A) with 2.</w:t>
      </w:r>
      <w:r w:rsidR="00AF2B9C">
        <w:rPr>
          <w:lang w:eastAsia="fr-FR"/>
        </w:rPr>
        <w:t>4</w:t>
      </w:r>
      <w:r w:rsidR="00757ACD">
        <w:rPr>
          <w:lang w:eastAsia="fr-FR"/>
        </w:rPr>
        <w:t xml:space="preserve">%. </w:t>
      </w:r>
      <w:r w:rsidR="00D44A66">
        <w:rPr>
          <w:lang w:eastAsia="fr-FR"/>
        </w:rPr>
        <w:t>The main substance emitting by this sector is the CO</w:t>
      </w:r>
      <w:r w:rsidR="00D44A66" w:rsidRPr="00622F40">
        <w:rPr>
          <w:vertAlign w:val="subscript"/>
          <w:lang w:eastAsia="fr-FR"/>
        </w:rPr>
        <w:t>2</w:t>
      </w:r>
      <w:r w:rsidR="00D44A66">
        <w:rPr>
          <w:lang w:eastAsia="fr-FR"/>
        </w:rPr>
        <w:t xml:space="preserve">, which </w:t>
      </w:r>
      <w:r w:rsidR="00D44A66">
        <w:rPr>
          <w:lang w:eastAsia="fr-FR"/>
        </w:rPr>
        <w:lastRenderedPageBreak/>
        <w:t xml:space="preserve">represents almost 96% of the total sectoral GHG emissions in 2022. </w:t>
      </w:r>
      <w:r w:rsidR="0005393F">
        <w:rPr>
          <w:lang w:eastAsia="fr-FR"/>
        </w:rPr>
        <w:t>The industrial processes are the second biggest emission source of CO</w:t>
      </w:r>
      <w:r w:rsidR="0005393F" w:rsidRPr="00622F40">
        <w:rPr>
          <w:vertAlign w:val="subscript"/>
          <w:lang w:eastAsia="fr-FR"/>
        </w:rPr>
        <w:t>2</w:t>
      </w:r>
      <w:r w:rsidR="0005393F">
        <w:rPr>
          <w:lang w:eastAsia="fr-FR"/>
        </w:rPr>
        <w:t xml:space="preserve"> in the Republic of Serbia, preceding by the energy sector, with </w:t>
      </w:r>
      <w:r w:rsidR="001138D8">
        <w:rPr>
          <w:lang w:eastAsia="fr-FR"/>
        </w:rPr>
        <w:t xml:space="preserve">more than </w:t>
      </w:r>
      <w:r w:rsidR="0005393F">
        <w:rPr>
          <w:lang w:eastAsia="fr-FR"/>
        </w:rPr>
        <w:t>9% of the national emissions</w:t>
      </w:r>
      <w:r w:rsidR="001138D8">
        <w:rPr>
          <w:lang w:eastAsia="fr-FR"/>
        </w:rPr>
        <w:t xml:space="preserve"> in 2022,</w:t>
      </w:r>
      <w:r w:rsidR="0005393F">
        <w:rPr>
          <w:lang w:eastAsia="fr-FR"/>
        </w:rPr>
        <w:t xml:space="preserve"> excluding LULUCF contribution.</w:t>
      </w:r>
    </w:p>
    <w:p w14:paraId="3BA0CD83" w14:textId="10210240" w:rsidR="003069EE" w:rsidRDefault="003069EE">
      <w:pPr>
        <w:spacing w:line="240" w:lineRule="auto"/>
        <w:rPr>
          <w:lang w:eastAsia="fr-FR"/>
        </w:rPr>
      </w:pPr>
      <w:r>
        <w:rPr>
          <w:lang w:eastAsia="fr-FR"/>
        </w:rPr>
        <w:t>The industrial processes and product use sector is the only emission source of SF</w:t>
      </w:r>
      <w:r w:rsidRPr="00622F40">
        <w:rPr>
          <w:vertAlign w:val="subscript"/>
          <w:lang w:eastAsia="fr-FR"/>
        </w:rPr>
        <w:t>6</w:t>
      </w:r>
      <w:r>
        <w:rPr>
          <w:lang w:eastAsia="fr-FR"/>
        </w:rPr>
        <w:t xml:space="preserve"> and HFCs in the Republic of Serbia. </w:t>
      </w:r>
      <w:r w:rsidR="00760CD8">
        <w:rPr>
          <w:lang w:eastAsia="fr-FR"/>
        </w:rPr>
        <w:t>On the opposite</w:t>
      </w:r>
      <w:r w:rsidR="00426879">
        <w:rPr>
          <w:lang w:eastAsia="fr-FR"/>
        </w:rPr>
        <w:t>, in 2022, its contribution to the national emissions of CH</w:t>
      </w:r>
      <w:r w:rsidR="00426879" w:rsidRPr="00622F40">
        <w:rPr>
          <w:vertAlign w:val="subscript"/>
          <w:lang w:eastAsia="fr-FR"/>
        </w:rPr>
        <w:t>4</w:t>
      </w:r>
      <w:r w:rsidR="00426879">
        <w:rPr>
          <w:lang w:eastAsia="fr-FR"/>
        </w:rPr>
        <w:t xml:space="preserve"> </w:t>
      </w:r>
      <w:r w:rsidR="00760CD8">
        <w:rPr>
          <w:lang w:eastAsia="fr-FR"/>
        </w:rPr>
        <w:t>is</w:t>
      </w:r>
      <w:r w:rsidR="00426879">
        <w:rPr>
          <w:lang w:eastAsia="fr-FR"/>
        </w:rPr>
        <w:t xml:space="preserve"> relatively marginal with 0.</w:t>
      </w:r>
      <w:r w:rsidR="00BF6E82">
        <w:rPr>
          <w:lang w:eastAsia="fr-FR"/>
        </w:rPr>
        <w:t>1</w:t>
      </w:r>
      <w:r w:rsidR="00426879">
        <w:rPr>
          <w:lang w:eastAsia="fr-FR"/>
        </w:rPr>
        <w:t>%</w:t>
      </w:r>
      <w:r w:rsidR="00760CD8">
        <w:rPr>
          <w:lang w:eastAsia="fr-FR"/>
        </w:rPr>
        <w:t>,</w:t>
      </w:r>
      <w:r w:rsidR="00426879">
        <w:rPr>
          <w:lang w:eastAsia="fr-FR"/>
        </w:rPr>
        <w:t xml:space="preserve"> and </w:t>
      </w:r>
      <w:r w:rsidR="00760CD8">
        <w:rPr>
          <w:lang w:eastAsia="fr-FR"/>
        </w:rPr>
        <w:t>there is no N</w:t>
      </w:r>
      <w:r w:rsidR="00760CD8" w:rsidRPr="00622F40">
        <w:rPr>
          <w:vertAlign w:val="subscript"/>
          <w:lang w:eastAsia="fr-FR"/>
        </w:rPr>
        <w:t>2</w:t>
      </w:r>
      <w:r w:rsidR="00760CD8">
        <w:rPr>
          <w:lang w:eastAsia="fr-FR"/>
        </w:rPr>
        <w:t>O emission related to this category.</w:t>
      </w:r>
      <w:r w:rsidR="00426879">
        <w:rPr>
          <w:lang w:eastAsia="fr-FR"/>
        </w:rPr>
        <w:t xml:space="preserve"> </w:t>
      </w:r>
      <w:r w:rsidR="00AE4F7B">
        <w:rPr>
          <w:lang w:eastAsia="fr-FR"/>
        </w:rPr>
        <w:t xml:space="preserve">In 1990, the </w:t>
      </w:r>
      <w:r w:rsidR="000F6001">
        <w:rPr>
          <w:lang w:eastAsia="fr-FR"/>
        </w:rPr>
        <w:t>CRT</w:t>
      </w:r>
      <w:r w:rsidR="00AE4F7B">
        <w:rPr>
          <w:lang w:eastAsia="fr-FR"/>
        </w:rPr>
        <w:t xml:space="preserve"> category was a relatively high </w:t>
      </w:r>
      <w:r w:rsidR="004551A5">
        <w:rPr>
          <w:lang w:eastAsia="fr-FR"/>
        </w:rPr>
        <w:t>N</w:t>
      </w:r>
      <w:r w:rsidR="004551A5" w:rsidRPr="00622F40">
        <w:rPr>
          <w:vertAlign w:val="subscript"/>
          <w:lang w:eastAsia="fr-FR"/>
        </w:rPr>
        <w:t>2</w:t>
      </w:r>
      <w:r w:rsidR="004551A5">
        <w:rPr>
          <w:lang w:eastAsia="fr-FR"/>
        </w:rPr>
        <w:t xml:space="preserve">O </w:t>
      </w:r>
      <w:r w:rsidR="00AE4F7B">
        <w:rPr>
          <w:lang w:eastAsia="fr-FR"/>
        </w:rPr>
        <w:t xml:space="preserve">emitter </w:t>
      </w:r>
      <w:r w:rsidR="00D04135">
        <w:rPr>
          <w:lang w:eastAsia="fr-FR"/>
        </w:rPr>
        <w:t>due to the chemical industry (</w:t>
      </w:r>
      <w:r w:rsidR="000F6001">
        <w:rPr>
          <w:lang w:eastAsia="fr-FR"/>
        </w:rPr>
        <w:t>CRT</w:t>
      </w:r>
      <w:r w:rsidR="00D04135">
        <w:rPr>
          <w:lang w:eastAsia="fr-FR"/>
        </w:rPr>
        <w:t xml:space="preserve"> 2B), and contributed to 23% of the national emissions without LULUCF, but since 2019, the acid nitric production </w:t>
      </w:r>
      <w:r w:rsidR="00671995">
        <w:rPr>
          <w:lang w:eastAsia="fr-FR"/>
        </w:rPr>
        <w:t>(</w:t>
      </w:r>
      <w:r w:rsidR="000F6001">
        <w:rPr>
          <w:lang w:eastAsia="fr-FR"/>
        </w:rPr>
        <w:t>CRT</w:t>
      </w:r>
      <w:r w:rsidR="00671995">
        <w:rPr>
          <w:lang w:eastAsia="fr-FR"/>
        </w:rPr>
        <w:t xml:space="preserve"> 2B2), the only emission source, </w:t>
      </w:r>
      <w:r w:rsidR="00D04135">
        <w:rPr>
          <w:lang w:eastAsia="fr-FR"/>
        </w:rPr>
        <w:t xml:space="preserve">has </w:t>
      </w:r>
      <w:r w:rsidR="00CD756B">
        <w:rPr>
          <w:lang w:eastAsia="fr-FR"/>
        </w:rPr>
        <w:t xml:space="preserve">ceased. </w:t>
      </w:r>
    </w:p>
    <w:p w14:paraId="63F7850B" w14:textId="5EEBBB9A" w:rsidR="00A176A7" w:rsidRPr="00CB4BC3" w:rsidRDefault="00A176A7" w:rsidP="00A176A7">
      <w:pPr>
        <w:spacing w:line="240" w:lineRule="auto"/>
        <w:rPr>
          <w:lang w:eastAsia="fr-FR"/>
        </w:rPr>
      </w:pPr>
      <w:r>
        <w:rPr>
          <w:lang w:eastAsia="fr-FR"/>
        </w:rPr>
        <w:t xml:space="preserve">The industry sector is </w:t>
      </w:r>
      <w:r w:rsidR="00A77C1B">
        <w:rPr>
          <w:lang w:eastAsia="fr-FR"/>
        </w:rPr>
        <w:t xml:space="preserve">a marginal contributor to the emissions of </w:t>
      </w:r>
      <w:r w:rsidR="007437EA">
        <w:rPr>
          <w:lang w:eastAsia="fr-FR"/>
        </w:rPr>
        <w:t>NO</w:t>
      </w:r>
      <w:r w:rsidR="007437EA" w:rsidRPr="00B75289">
        <w:rPr>
          <w:vertAlign w:val="subscript"/>
          <w:lang w:eastAsia="fr-FR"/>
        </w:rPr>
        <w:t>x</w:t>
      </w:r>
      <w:r>
        <w:rPr>
          <w:lang w:eastAsia="fr-FR"/>
        </w:rPr>
        <w:t xml:space="preserve"> </w:t>
      </w:r>
      <w:r w:rsidR="007437EA">
        <w:rPr>
          <w:lang w:eastAsia="fr-FR"/>
        </w:rPr>
        <w:t>and SO</w:t>
      </w:r>
      <w:r w:rsidR="007437EA" w:rsidRPr="00B75289">
        <w:rPr>
          <w:vertAlign w:val="subscript"/>
          <w:lang w:eastAsia="fr-FR"/>
        </w:rPr>
        <w:t>2</w:t>
      </w:r>
      <w:r w:rsidR="003733C5" w:rsidRPr="00622F40">
        <w:rPr>
          <w:lang w:eastAsia="fr-FR"/>
        </w:rPr>
        <w:t xml:space="preserve"> </w:t>
      </w:r>
      <w:r w:rsidR="003733C5">
        <w:rPr>
          <w:lang w:eastAsia="fr-FR"/>
        </w:rPr>
        <w:t xml:space="preserve">with about 0.4% and 0.3% </w:t>
      </w:r>
      <w:r>
        <w:rPr>
          <w:lang w:eastAsia="fr-FR"/>
        </w:rPr>
        <w:t xml:space="preserve">in 2022. </w:t>
      </w:r>
      <w:r w:rsidR="009F5775">
        <w:rPr>
          <w:lang w:eastAsia="fr-FR"/>
        </w:rPr>
        <w:t xml:space="preserve">Its contribution to the national emissions of CO is also rather small with 3% in 2022. However, it has a non-negligible share in the </w:t>
      </w:r>
      <w:r>
        <w:rPr>
          <w:lang w:eastAsia="fr-FR"/>
        </w:rPr>
        <w:t xml:space="preserve">NMVOC emissions over the territory with </w:t>
      </w:r>
      <w:r w:rsidR="009F5775">
        <w:rPr>
          <w:lang w:eastAsia="fr-FR"/>
        </w:rPr>
        <w:t>1</w:t>
      </w:r>
      <w:r>
        <w:rPr>
          <w:lang w:eastAsia="fr-FR"/>
        </w:rPr>
        <w:t>8% in 2022</w:t>
      </w:r>
      <w:r w:rsidR="00B60D7C">
        <w:rPr>
          <w:lang w:eastAsia="fr-FR"/>
        </w:rPr>
        <w:t>, due principally to the emissions from solvent use</w:t>
      </w:r>
      <w:r w:rsidR="000A0806">
        <w:rPr>
          <w:lang w:eastAsia="fr-FR"/>
        </w:rPr>
        <w:t xml:space="preserve"> (</w:t>
      </w:r>
      <w:r w:rsidR="000F6001">
        <w:rPr>
          <w:lang w:eastAsia="fr-FR"/>
        </w:rPr>
        <w:t>CRT</w:t>
      </w:r>
      <w:r w:rsidR="000A0806">
        <w:rPr>
          <w:lang w:eastAsia="fr-FR"/>
        </w:rPr>
        <w:t xml:space="preserve"> 2D3) and from food and beverage industry (</w:t>
      </w:r>
      <w:r w:rsidR="000F6001">
        <w:rPr>
          <w:lang w:eastAsia="fr-FR"/>
        </w:rPr>
        <w:t>CRT</w:t>
      </w:r>
      <w:r w:rsidR="000A0806">
        <w:rPr>
          <w:lang w:eastAsia="fr-FR"/>
        </w:rPr>
        <w:t xml:space="preserve"> 2H2)</w:t>
      </w:r>
      <w:r>
        <w:rPr>
          <w:lang w:eastAsia="fr-FR"/>
        </w:rPr>
        <w:t>.</w:t>
      </w:r>
    </w:p>
    <w:p w14:paraId="273125A2" w14:textId="16948269" w:rsidR="00B933AB" w:rsidRDefault="00B96BC8" w:rsidP="00B933AB">
      <w:pPr>
        <w:pStyle w:val="OMINEA"/>
      </w:pPr>
      <w:r>
        <w:t>In 2022, the most predominant source of CO</w:t>
      </w:r>
      <w:r w:rsidRPr="00622F40">
        <w:rPr>
          <w:vertAlign w:val="subscript"/>
        </w:rPr>
        <w:t>2</w:t>
      </w:r>
      <w:r>
        <w:t xml:space="preserve"> emissions for the </w:t>
      </w:r>
      <w:r w:rsidR="000F6001">
        <w:t>CRT</w:t>
      </w:r>
      <w:r>
        <w:t xml:space="preserve"> 2 is the metal industry (</w:t>
      </w:r>
      <w:r w:rsidR="000F6001">
        <w:t>CRT</w:t>
      </w:r>
      <w:r>
        <w:t xml:space="preserve"> 2C), which </w:t>
      </w:r>
      <w:r w:rsidR="00084667">
        <w:t>contributes to 6</w:t>
      </w:r>
      <w:r w:rsidR="00496E35">
        <w:t>% to the national CO</w:t>
      </w:r>
      <w:r w:rsidR="00496E35" w:rsidRPr="00622F40">
        <w:rPr>
          <w:vertAlign w:val="subscript"/>
        </w:rPr>
        <w:t>2</w:t>
      </w:r>
      <w:r w:rsidR="00496E35">
        <w:t xml:space="preserve"> emissions excluding LULUCF</w:t>
      </w:r>
      <w:r w:rsidR="00B66F5D">
        <w:t>, principally due to</w:t>
      </w:r>
      <w:r w:rsidR="00496E35">
        <w:t xml:space="preserve"> the </w:t>
      </w:r>
      <w:r w:rsidR="002A2BBE">
        <w:t>iron and steel industry (</w:t>
      </w:r>
      <w:r w:rsidR="000F6001">
        <w:t>CRT</w:t>
      </w:r>
      <w:r w:rsidR="002A2BBE">
        <w:t xml:space="preserve"> 2C1)</w:t>
      </w:r>
      <w:r w:rsidR="00B66F5D">
        <w:t>. The metal industry was less important in 1990</w:t>
      </w:r>
      <w:r w:rsidR="00C756D4">
        <w:t xml:space="preserve"> as</w:t>
      </w:r>
      <w:r w:rsidR="00B66F5D">
        <w:t xml:space="preserve"> its CO</w:t>
      </w:r>
      <w:r w:rsidR="00B66F5D" w:rsidRPr="00622F40">
        <w:rPr>
          <w:vertAlign w:val="subscript"/>
        </w:rPr>
        <w:t>2</w:t>
      </w:r>
      <w:r w:rsidR="00B66F5D">
        <w:t xml:space="preserve"> emissions increased </w:t>
      </w:r>
      <w:r w:rsidR="005630C9">
        <w:t xml:space="preserve">by 73% over the period 1990-2022. The most important </w:t>
      </w:r>
      <w:r w:rsidR="005B7A46">
        <w:t>CO</w:t>
      </w:r>
      <w:r w:rsidR="005B7A46" w:rsidRPr="00622F40">
        <w:rPr>
          <w:vertAlign w:val="subscript"/>
        </w:rPr>
        <w:t>2</w:t>
      </w:r>
      <w:r w:rsidR="005B7A46">
        <w:t xml:space="preserve"> </w:t>
      </w:r>
      <w:r w:rsidR="005630C9">
        <w:t xml:space="preserve">emission source, which is now the second highest, </w:t>
      </w:r>
      <w:r w:rsidR="00C756D4">
        <w:t>was</w:t>
      </w:r>
      <w:r w:rsidR="005B7A46">
        <w:t xml:space="preserve"> the mineral industry (</w:t>
      </w:r>
      <w:r w:rsidR="000F6001">
        <w:t>CRT</w:t>
      </w:r>
      <w:r w:rsidR="005B7A46">
        <w:t xml:space="preserve"> 2A), </w:t>
      </w:r>
      <w:r w:rsidR="00A9168E">
        <w:t>which</w:t>
      </w:r>
      <w:r w:rsidR="00C756D4">
        <w:t xml:space="preserve"> now</w:t>
      </w:r>
      <w:r w:rsidR="00A9168E">
        <w:t xml:space="preserve"> has a share of 3% of the national emissions in 2022 </w:t>
      </w:r>
      <w:r w:rsidR="00E70730">
        <w:t xml:space="preserve">and underwent a reduction of </w:t>
      </w:r>
      <w:r w:rsidR="00E038FA">
        <w:t xml:space="preserve">24% between 1990 and 2022. </w:t>
      </w:r>
      <w:r w:rsidR="00F32548">
        <w:t xml:space="preserve">The cement industry </w:t>
      </w:r>
      <w:r w:rsidR="00E05636">
        <w:t>(</w:t>
      </w:r>
      <w:r w:rsidR="000F6001">
        <w:t>CRT</w:t>
      </w:r>
      <w:r w:rsidR="00E05636">
        <w:t xml:space="preserve"> 2A1) </w:t>
      </w:r>
      <w:r w:rsidR="00F32548">
        <w:t xml:space="preserve">is the most predominant source </w:t>
      </w:r>
      <w:r w:rsidR="00E05636">
        <w:t xml:space="preserve">with 85% of the emissions of this </w:t>
      </w:r>
      <w:r w:rsidR="000F6001">
        <w:t>CRT</w:t>
      </w:r>
      <w:r w:rsidR="00E05636">
        <w:t xml:space="preserve"> category, followed by the lime industry (</w:t>
      </w:r>
      <w:r w:rsidR="000F6001">
        <w:t>CRT</w:t>
      </w:r>
      <w:r w:rsidR="00E05636">
        <w:t xml:space="preserve"> 2A2) and the use of carbonates in other industries (</w:t>
      </w:r>
      <w:r w:rsidR="000F6001">
        <w:t>CRT</w:t>
      </w:r>
      <w:r w:rsidR="00E05636">
        <w:t xml:space="preserve"> 2A4a). </w:t>
      </w:r>
      <w:r w:rsidR="00F40E2C">
        <w:t xml:space="preserve">The emission reduction observed for the mineral industry </w:t>
      </w:r>
      <w:r w:rsidR="00334180">
        <w:t xml:space="preserve">for the period 1990-2022 </w:t>
      </w:r>
      <w:r w:rsidR="00F40E2C">
        <w:t xml:space="preserve">is mainly due to the decrease observed in </w:t>
      </w:r>
      <w:r w:rsidR="00334180">
        <w:t xml:space="preserve">the lime industry (-67%). </w:t>
      </w:r>
      <w:r w:rsidR="00AB5BD6">
        <w:t>The other emissions sources, the chemical industry (</w:t>
      </w:r>
      <w:r w:rsidR="000F6001">
        <w:t>CRT</w:t>
      </w:r>
      <w:r w:rsidR="00AB5BD6">
        <w:t xml:space="preserve"> 2B) and the non-energy products from fuels and solvent use (</w:t>
      </w:r>
      <w:r w:rsidR="000F6001">
        <w:t>CRT</w:t>
      </w:r>
      <w:r w:rsidR="00AB5BD6">
        <w:t xml:space="preserve"> 2D) have both reduced their contributions to the sectoral CO</w:t>
      </w:r>
      <w:r w:rsidR="00AB5BD6" w:rsidRPr="00622F40">
        <w:rPr>
          <w:vertAlign w:val="subscript"/>
        </w:rPr>
        <w:t>2</w:t>
      </w:r>
      <w:r w:rsidR="00AB5BD6">
        <w:t xml:space="preserve"> emissions with reductions of 63% and 6</w:t>
      </w:r>
      <w:r w:rsidR="00393B76">
        <w:t>4%, respectively.</w:t>
      </w:r>
      <w:r w:rsidR="00AB5BD6">
        <w:t xml:space="preserve"> </w:t>
      </w:r>
      <w:r w:rsidR="00E70730">
        <w:t>In overall, the CO</w:t>
      </w:r>
      <w:r w:rsidR="00E70730" w:rsidRPr="00622F40">
        <w:rPr>
          <w:vertAlign w:val="subscript"/>
        </w:rPr>
        <w:t>2</w:t>
      </w:r>
      <w:r w:rsidR="00E70730">
        <w:t xml:space="preserve"> emissions of the </w:t>
      </w:r>
      <w:r w:rsidR="002B655A">
        <w:t xml:space="preserve">whole </w:t>
      </w:r>
      <w:r w:rsidR="000F6001">
        <w:t>CRT</w:t>
      </w:r>
      <w:r w:rsidR="00E70730">
        <w:t xml:space="preserve"> 2 </w:t>
      </w:r>
      <w:r w:rsidR="002B655A">
        <w:t xml:space="preserve">category </w:t>
      </w:r>
      <w:r w:rsidR="00A045A6">
        <w:t>ha</w:t>
      </w:r>
      <w:r w:rsidR="00BE2884">
        <w:t>ve</w:t>
      </w:r>
      <w:r w:rsidR="00A045A6">
        <w:t xml:space="preserve"> gone up by 2.5% between 1990 and 2022.</w:t>
      </w:r>
      <w:r w:rsidR="00E70730">
        <w:t xml:space="preserve"> </w:t>
      </w:r>
    </w:p>
    <w:p w14:paraId="2E1DA7ED" w14:textId="700F7B93" w:rsidR="00D81C90" w:rsidRDefault="00D342E0" w:rsidP="00B933AB">
      <w:pPr>
        <w:pStyle w:val="OMINEA"/>
      </w:pPr>
      <w:r>
        <w:t>As already mentioned before, the N</w:t>
      </w:r>
      <w:r w:rsidRPr="00622F40">
        <w:rPr>
          <w:vertAlign w:val="subscript"/>
        </w:rPr>
        <w:t>2</w:t>
      </w:r>
      <w:r>
        <w:t>O emissions of the industry processes</w:t>
      </w:r>
      <w:r w:rsidR="004B57DC">
        <w:t xml:space="preserve">, which represented </w:t>
      </w:r>
      <w:r w:rsidR="00B5750D">
        <w:t xml:space="preserve">10% of the </w:t>
      </w:r>
      <w:r w:rsidR="00EB3793">
        <w:t>sectoral GHG emissions in 1990,</w:t>
      </w:r>
      <w:r>
        <w:t xml:space="preserve"> have been suppressed </w:t>
      </w:r>
      <w:r w:rsidR="00EB3793">
        <w:t>following</w:t>
      </w:r>
      <w:r>
        <w:t xml:space="preserve"> the </w:t>
      </w:r>
      <w:r w:rsidR="004B57DC">
        <w:t>stop of the acid nitric production</w:t>
      </w:r>
      <w:r w:rsidR="00EB3793">
        <w:t xml:space="preserve"> in 2019. The SF</w:t>
      </w:r>
      <w:r w:rsidR="00EB3793" w:rsidRPr="00622F40">
        <w:rPr>
          <w:vertAlign w:val="subscript"/>
        </w:rPr>
        <w:t>6</w:t>
      </w:r>
      <w:r w:rsidR="00EB3793">
        <w:t xml:space="preserve"> emissions, which </w:t>
      </w:r>
      <w:r w:rsidR="00A23F6E">
        <w:t>originate from the magnesium production (</w:t>
      </w:r>
      <w:r w:rsidR="000F6001">
        <w:t>CRT</w:t>
      </w:r>
      <w:r w:rsidR="00A23F6E">
        <w:t xml:space="preserve"> 2C4) and the use in electrical equipment (</w:t>
      </w:r>
      <w:r w:rsidR="000F6001">
        <w:t>CRT</w:t>
      </w:r>
      <w:r w:rsidR="00A23F6E">
        <w:t xml:space="preserve"> 2G</w:t>
      </w:r>
      <w:r w:rsidR="00186208">
        <w:t>1</w:t>
      </w:r>
      <w:r w:rsidR="00A23F6E">
        <w:t>)</w:t>
      </w:r>
      <w:r w:rsidR="00186208">
        <w:t xml:space="preserve">, have been reduced by 62% </w:t>
      </w:r>
      <w:r w:rsidR="00B60A29">
        <w:t xml:space="preserve">over the period 1990-2022. </w:t>
      </w:r>
      <w:r w:rsidR="000F1335">
        <w:t>This is mainly related to the drop in the magnesium production which</w:t>
      </w:r>
      <w:r w:rsidR="00186208">
        <w:t xml:space="preserve"> </w:t>
      </w:r>
      <w:r w:rsidR="000F1335">
        <w:t xml:space="preserve">is of </w:t>
      </w:r>
      <w:r w:rsidR="00D81C90">
        <w:t>69% for the whole period. Finally, the HFC</w:t>
      </w:r>
      <w:r w:rsidR="00591A04">
        <w:t xml:space="preserve"> emissions, which </w:t>
      </w:r>
      <w:r w:rsidR="004411AC">
        <w:t xml:space="preserve">were not occurring in 1990, appeared in 1997 with the use of refrigerants </w:t>
      </w:r>
      <w:r w:rsidR="00007C1E">
        <w:t xml:space="preserve">and now represent 0.3% of the national GHG emissions excluding LULUCF. </w:t>
      </w:r>
    </w:p>
    <w:p w14:paraId="6AE41A42" w14:textId="612C3E18" w:rsidR="007042E8" w:rsidRPr="00113256" w:rsidRDefault="006607B5" w:rsidP="007042E8">
      <w:pPr>
        <w:pStyle w:val="OMINEA"/>
      </w:pPr>
      <w:r>
        <w:t>In terms of indirect GHG</w:t>
      </w:r>
      <w:r w:rsidR="00AB354E">
        <w:t xml:space="preserve">, </w:t>
      </w:r>
      <w:r w:rsidR="000C028F">
        <w:t>the analysis focus</w:t>
      </w:r>
      <w:r w:rsidR="00A357D7">
        <w:t>es</w:t>
      </w:r>
      <w:r w:rsidR="000C028F">
        <w:t xml:space="preserve"> only on NMVOC, which are </w:t>
      </w:r>
      <w:r w:rsidR="00AB354E">
        <w:t xml:space="preserve">rather </w:t>
      </w:r>
      <w:r>
        <w:t>significant in the Industry sector (CRT 2)</w:t>
      </w:r>
      <w:r w:rsidR="000C028F">
        <w:t xml:space="preserve">, the other substances being rather negligible. </w:t>
      </w:r>
      <w:r w:rsidR="00751293">
        <w:t xml:space="preserve">For NMVOC, the emissions from the CRT 2 are mostly the responsibility of the </w:t>
      </w:r>
      <w:r w:rsidR="005C6BD0">
        <w:t xml:space="preserve">domestic solvent use (CRT 2D3a) with 33%, the food and beverage industry (CRT 2H2) with </w:t>
      </w:r>
      <w:r w:rsidR="00D15D11">
        <w:t>26</w:t>
      </w:r>
      <w:r w:rsidR="005C6BD0">
        <w:t>%</w:t>
      </w:r>
      <w:r w:rsidR="008C3417">
        <w:t>, the use of solvent in printing (2D3h) with 18% and the other solvent use (</w:t>
      </w:r>
      <w:r w:rsidR="00FA3025">
        <w:t xml:space="preserve">2D3i) with 11%. </w:t>
      </w:r>
      <w:r w:rsidR="00353D52">
        <w:t xml:space="preserve">The NMVOC emissions from the </w:t>
      </w:r>
      <w:r w:rsidR="007958D5">
        <w:t xml:space="preserve">Manufacturing </w:t>
      </w:r>
      <w:r w:rsidR="00353D52">
        <w:t xml:space="preserve">Industry sector have been reduced by 37% between 1990 and 2022, mostly due to </w:t>
      </w:r>
      <w:r w:rsidR="00A80263">
        <w:t xml:space="preserve">the drop in the population, in the production of food and beverages, as well as due to national regulation on solvent contents. </w:t>
      </w:r>
    </w:p>
    <w:p w14:paraId="7CFBF634" w14:textId="77777777" w:rsidR="005C2C13" w:rsidRDefault="005C2C13">
      <w:pPr>
        <w:jc w:val="left"/>
        <w:rPr>
          <w:b/>
          <w:bCs/>
          <w:szCs w:val="20"/>
        </w:rPr>
      </w:pPr>
      <w:r>
        <w:rPr>
          <w:b/>
          <w:bCs/>
        </w:rPr>
        <w:br w:type="page"/>
      </w:r>
    </w:p>
    <w:p w14:paraId="1691AEF4" w14:textId="57413E32" w:rsidR="007042E8" w:rsidRPr="00622F40" w:rsidRDefault="007042E8" w:rsidP="00B933AB">
      <w:pPr>
        <w:pStyle w:val="OMINEA"/>
        <w:rPr>
          <w:b/>
          <w:bCs/>
        </w:rPr>
      </w:pPr>
      <w:r w:rsidRPr="00622F40">
        <w:rPr>
          <w:b/>
          <w:bCs/>
        </w:rPr>
        <w:lastRenderedPageBreak/>
        <w:t xml:space="preserve">Agriculture </w:t>
      </w:r>
      <w:r>
        <w:rPr>
          <w:b/>
          <w:bCs/>
        </w:rPr>
        <w:t>(</w:t>
      </w:r>
      <w:r w:rsidR="000F6001">
        <w:rPr>
          <w:b/>
          <w:bCs/>
        </w:rPr>
        <w:t>CRT</w:t>
      </w:r>
      <w:r>
        <w:rPr>
          <w:b/>
          <w:bCs/>
        </w:rPr>
        <w:t xml:space="preserve"> 3)</w:t>
      </w:r>
    </w:p>
    <w:p w14:paraId="4B1C5566" w14:textId="79570033" w:rsidR="00850C59" w:rsidRDefault="00850C59" w:rsidP="00850C59">
      <w:pPr>
        <w:pStyle w:val="OMINEA"/>
      </w:pPr>
      <w:r>
        <w:t>The agriculture sector is the major source of N</w:t>
      </w:r>
      <w:r w:rsidRPr="007D5843">
        <w:rPr>
          <w:vertAlign w:val="subscript"/>
        </w:rPr>
        <w:t>2</w:t>
      </w:r>
      <w:r>
        <w:t>O emissions in the Republic of Serbia in 2022, with a share of 82% of the national emissions excluding LULUCF. In addition, it also contributes significantly to the CH</w:t>
      </w:r>
      <w:r w:rsidRPr="007D5843">
        <w:rPr>
          <w:vertAlign w:val="subscript"/>
        </w:rPr>
        <w:t>4</w:t>
      </w:r>
      <w:r>
        <w:t xml:space="preserve"> emissions with </w:t>
      </w:r>
      <w:r w:rsidR="005E5B73">
        <w:t>33</w:t>
      </w:r>
      <w:r>
        <w:t>% of the national emissions without LULUCF in 2022. However, the agriculture sector has relatively marginal CO</w:t>
      </w:r>
      <w:r w:rsidRPr="007D5843">
        <w:rPr>
          <w:vertAlign w:val="subscript"/>
        </w:rPr>
        <w:t>2</w:t>
      </w:r>
      <w:r>
        <w:t xml:space="preserve"> emissions in the national totals with a total share of 0.4% in 2022 and does not contribute to the emissions of other direct GHG. In overall, the contribution of the </w:t>
      </w:r>
      <w:r w:rsidR="000F6001">
        <w:t>CRT</w:t>
      </w:r>
      <w:r>
        <w:t xml:space="preserve"> 3 to the national GHG emissions excluding LULUCF is of </w:t>
      </w:r>
      <w:r w:rsidR="00527BFE">
        <w:t>8</w:t>
      </w:r>
      <w:r>
        <w:t xml:space="preserve">% in 2022, making it the third most predominant sector. Its contribution is rather stable over time as it was of </w:t>
      </w:r>
      <w:r w:rsidR="00527BFE">
        <w:t>8</w:t>
      </w:r>
      <w:r>
        <w:t xml:space="preserve">% as well in 1990 and has a mean contribution value of </w:t>
      </w:r>
      <w:r w:rsidR="00527BFE">
        <w:t>9</w:t>
      </w:r>
      <w:r>
        <w:t>% over the whole period. In 2022, the main emitted substance of the agriculture sector is CH</w:t>
      </w:r>
      <w:r w:rsidRPr="007D5843">
        <w:rPr>
          <w:vertAlign w:val="subscript"/>
        </w:rPr>
        <w:t>4</w:t>
      </w:r>
      <w:r>
        <w:t>, which represents 5</w:t>
      </w:r>
      <w:r w:rsidR="005E1EE9">
        <w:t>9</w:t>
      </w:r>
      <w:r>
        <w:t>% of the sectoral GHG emissions, followed by N</w:t>
      </w:r>
      <w:r w:rsidRPr="007D5843">
        <w:rPr>
          <w:vertAlign w:val="subscript"/>
        </w:rPr>
        <w:t>2</w:t>
      </w:r>
      <w:r>
        <w:t xml:space="preserve">O with a share of </w:t>
      </w:r>
      <w:r w:rsidR="005E1EE9">
        <w:t>37</w:t>
      </w:r>
      <w:r>
        <w:t>% and CO</w:t>
      </w:r>
      <w:r w:rsidRPr="007D5843">
        <w:rPr>
          <w:vertAlign w:val="subscript"/>
        </w:rPr>
        <w:t>2</w:t>
      </w:r>
      <w:r>
        <w:t xml:space="preserve"> with a share of </w:t>
      </w:r>
      <w:r w:rsidR="005E1EE9">
        <w:t>4</w:t>
      </w:r>
      <w:r>
        <w:t xml:space="preserve">%. </w:t>
      </w:r>
    </w:p>
    <w:p w14:paraId="19051368" w14:textId="343F7A71" w:rsidR="00850C59" w:rsidRDefault="00850C59" w:rsidP="00850C59">
      <w:pPr>
        <w:pStyle w:val="OMINEA"/>
      </w:pPr>
      <w:r>
        <w:t>Enteric fermentation (</w:t>
      </w:r>
      <w:r w:rsidR="000F6001">
        <w:t>CRT</w:t>
      </w:r>
      <w:r>
        <w:t xml:space="preserve"> 3A) is the main CH</w:t>
      </w:r>
      <w:r w:rsidRPr="007D5843">
        <w:rPr>
          <w:vertAlign w:val="subscript"/>
        </w:rPr>
        <w:t>4</w:t>
      </w:r>
      <w:r>
        <w:t xml:space="preserve"> emission source and contributes to 2</w:t>
      </w:r>
      <w:r w:rsidR="00604D56">
        <w:t>6</w:t>
      </w:r>
      <w:r>
        <w:t xml:space="preserve">% of the national emissions of this substance, without considering LULUCF. The methane emissions of this subsector have decreased by 44% between 1990 and 2022, mostly due to the downfall in the livestock, in particular cattle and sheep. </w:t>
      </w:r>
      <w:r w:rsidR="00EC3BDC">
        <w:t xml:space="preserve">Another </w:t>
      </w:r>
      <w:r w:rsidR="00AE6623">
        <w:t xml:space="preserve">important methane </w:t>
      </w:r>
      <w:r w:rsidR="00EC3BDC">
        <w:t>emission</w:t>
      </w:r>
      <w:r w:rsidR="00AE6623">
        <w:t xml:space="preserve"> source from agriculture which has been impacted by the </w:t>
      </w:r>
      <w:r w:rsidR="00B03F54">
        <w:t>decrease</w:t>
      </w:r>
      <w:r w:rsidR="00AE6623">
        <w:t xml:space="preserve"> in the livestock is the manure management (</w:t>
      </w:r>
      <w:r w:rsidR="000F6001">
        <w:t>CRT</w:t>
      </w:r>
      <w:r w:rsidR="00AE6623">
        <w:t xml:space="preserve"> 3B), which </w:t>
      </w:r>
      <w:r w:rsidR="004A78D7">
        <w:t xml:space="preserve">decreased its emissions by 38% for the period 1990-2022, but still </w:t>
      </w:r>
      <w:r w:rsidR="00AE6623">
        <w:t xml:space="preserve">represent </w:t>
      </w:r>
      <w:r w:rsidR="004A78D7">
        <w:t>6% of the national totals.</w:t>
      </w:r>
      <w:r w:rsidR="00AE6623">
        <w:t xml:space="preserve"> </w:t>
      </w:r>
      <w:r>
        <w:t xml:space="preserve">The </w:t>
      </w:r>
      <w:r w:rsidR="00EB766C">
        <w:t>final</w:t>
      </w:r>
      <w:r>
        <w:t xml:space="preserve"> emission source contributing to the agricultural methane emissions is field burning (</w:t>
      </w:r>
      <w:r w:rsidR="000F6001">
        <w:t>CRT</w:t>
      </w:r>
      <w:r>
        <w:t xml:space="preserve"> 3F), with a rather small but stable contribution. </w:t>
      </w:r>
    </w:p>
    <w:p w14:paraId="72C63F17" w14:textId="239D763D" w:rsidR="00850C59" w:rsidRDefault="00850C59" w:rsidP="00850C59">
      <w:pPr>
        <w:pStyle w:val="OMINEA"/>
      </w:pPr>
      <w:r>
        <w:t>The emissions of N</w:t>
      </w:r>
      <w:r w:rsidRPr="007D5843">
        <w:rPr>
          <w:vertAlign w:val="subscript"/>
        </w:rPr>
        <w:t>2</w:t>
      </w:r>
      <w:r>
        <w:t>O in the agriculture are mostly related to the agricultural soils (</w:t>
      </w:r>
      <w:r w:rsidR="000F6001">
        <w:t>CRT</w:t>
      </w:r>
      <w:r>
        <w:t xml:space="preserve"> 3D) which contribute up to 65% to the national emissions excluding LULUCF. This subsector has increased considerably its emissions, by 71% between 1990 and 2022, due to the growth of the application of inorganic N-fertili</w:t>
      </w:r>
      <w:r w:rsidR="00BB2183">
        <w:t>s</w:t>
      </w:r>
      <w:r>
        <w:t>ers (</w:t>
      </w:r>
      <w:r w:rsidR="000F6001">
        <w:t>CRT</w:t>
      </w:r>
      <w:r>
        <w:t xml:space="preserve"> 3Da1, +598%), partly in substitution of manure application (</w:t>
      </w:r>
      <w:r w:rsidR="000F6001">
        <w:t>CRT</w:t>
      </w:r>
      <w:r>
        <w:t xml:space="preserve"> 3Da2a, -42%). The indirect N</w:t>
      </w:r>
      <w:r w:rsidRPr="007D5843">
        <w:rPr>
          <w:vertAlign w:val="subscript"/>
        </w:rPr>
        <w:t>2</w:t>
      </w:r>
      <w:r>
        <w:t>O emissions of the agriculture soils (</w:t>
      </w:r>
      <w:r w:rsidR="000F6001">
        <w:t>CRT</w:t>
      </w:r>
      <w:r>
        <w:t xml:space="preserve"> 3Db) have been impacted by this growth and thus increased by 56% over the period 1990-2022. The other significant emission source is the manure management (</w:t>
      </w:r>
      <w:r w:rsidR="000F6001">
        <w:t>CRT</w:t>
      </w:r>
      <w:r>
        <w:t xml:space="preserve"> 3B), which contribute to almost 16% of the national N</w:t>
      </w:r>
      <w:r w:rsidRPr="007D5843">
        <w:rPr>
          <w:vertAlign w:val="subscript"/>
        </w:rPr>
        <w:t>2</w:t>
      </w:r>
      <w:r>
        <w:t xml:space="preserve">O emissions, without LULUCF, in 2022. This </w:t>
      </w:r>
      <w:r w:rsidR="000F6001">
        <w:t>CRT</w:t>
      </w:r>
      <w:r>
        <w:t xml:space="preserve"> category had a higher share of emissions in 1990 with 26%, but underwent a considerable emission reduction of 47% for the period 1990-2022, due to the decline in the populations of livestock, and in particular cattle, pigs and poultry. As a result of these different variations, the agricultural N</w:t>
      </w:r>
      <w:r w:rsidRPr="007D5843">
        <w:rPr>
          <w:vertAlign w:val="subscript"/>
        </w:rPr>
        <w:t>2</w:t>
      </w:r>
      <w:r>
        <w:t>O emissions have increased by 19% between 1990 and 2022.</w:t>
      </w:r>
    </w:p>
    <w:p w14:paraId="3A6F4C0B" w14:textId="51A1ED23" w:rsidR="00850C59" w:rsidRDefault="00850C59" w:rsidP="00850C59">
      <w:pPr>
        <w:pStyle w:val="OMINEA"/>
      </w:pPr>
      <w:r>
        <w:t>Finally, the CO</w:t>
      </w:r>
      <w:r w:rsidRPr="007D5843">
        <w:rPr>
          <w:vertAlign w:val="subscript"/>
        </w:rPr>
        <w:t>2</w:t>
      </w:r>
      <w:r>
        <w:t xml:space="preserve"> emissions of the agriculture sector are related only to the urea application (</w:t>
      </w:r>
      <w:r w:rsidR="000F6001">
        <w:t>CRT</w:t>
      </w:r>
      <w:r>
        <w:t xml:space="preserve"> 3H) as the emissions and removals from agricultural soils are considered in </w:t>
      </w:r>
      <w:r w:rsidR="000F6001">
        <w:t>CRT</w:t>
      </w:r>
      <w:r>
        <w:t xml:space="preserve"> 4. For the </w:t>
      </w:r>
      <w:r w:rsidR="000F6001">
        <w:t>CRT</w:t>
      </w:r>
      <w:r>
        <w:t xml:space="preserve"> 3H, its emissions increased by 574% for the period 1990-2022, but are still rather marginal compared with the national totals with a contribution of 0.4% to the national totals excluding LULUCF. </w:t>
      </w:r>
    </w:p>
    <w:p w14:paraId="5AC5110B" w14:textId="1691EF92" w:rsidR="00850C59" w:rsidRDefault="00850C59" w:rsidP="00850C59">
      <w:pPr>
        <w:pStyle w:val="OMINEA"/>
      </w:pPr>
      <w:r>
        <w:t>In overall, the GHG emissions of the agriculture sector (</w:t>
      </w:r>
      <w:r w:rsidR="000F6001">
        <w:t>CRT</w:t>
      </w:r>
      <w:r>
        <w:t xml:space="preserve"> 3) decreased by 2</w:t>
      </w:r>
      <w:r w:rsidR="00EB766C">
        <w:t>5</w:t>
      </w:r>
      <w:r>
        <w:t>% for the period 1990-2022.</w:t>
      </w:r>
    </w:p>
    <w:p w14:paraId="13439444" w14:textId="12765B27" w:rsidR="00A357D7" w:rsidRPr="00113256" w:rsidRDefault="00824845" w:rsidP="00850C59">
      <w:pPr>
        <w:pStyle w:val="OMINEA"/>
      </w:pPr>
      <w:r w:rsidRPr="00622F40">
        <w:t>The agriculture sector is a</w:t>
      </w:r>
      <w:r w:rsidR="00A84C75">
        <w:t xml:space="preserve"> negligible</w:t>
      </w:r>
      <w:r w:rsidRPr="00622F40">
        <w:t xml:space="preserve"> emission source for the indirect GHG </w:t>
      </w:r>
      <w:r w:rsidR="00A84C75">
        <w:t xml:space="preserve">emissions </w:t>
      </w:r>
      <w:r w:rsidRPr="00622F40">
        <w:t>of SO</w:t>
      </w:r>
      <w:r w:rsidRPr="00622F40">
        <w:rPr>
          <w:vertAlign w:val="subscript"/>
        </w:rPr>
        <w:t>2</w:t>
      </w:r>
      <w:r w:rsidRPr="00622F40">
        <w:t xml:space="preserve"> and CO</w:t>
      </w:r>
      <w:r w:rsidR="00A84C75">
        <w:t>, as it is only related to field burning of agricultural residues (CRT 3F)</w:t>
      </w:r>
      <w:r w:rsidRPr="00622F40">
        <w:t xml:space="preserve">. </w:t>
      </w:r>
      <w:r w:rsidR="00455420">
        <w:t>However, it has a rather important contribution to the national emissions of N</w:t>
      </w:r>
      <w:r w:rsidR="00830554">
        <w:t>MVOC</w:t>
      </w:r>
      <w:r w:rsidR="00455420">
        <w:t xml:space="preserve"> with 14% in 2022, due mostly to the </w:t>
      </w:r>
      <w:r w:rsidR="00A16BBD">
        <w:t>manure management (CRT 3B). Finally, its contribution to the NOx emissions, mostly due to the use of inorganic N-fertili</w:t>
      </w:r>
      <w:r w:rsidR="006F0982">
        <w:t>s</w:t>
      </w:r>
      <w:r w:rsidR="00A16BBD">
        <w:t>ers (CRT 3D1a)</w:t>
      </w:r>
      <w:r w:rsidR="00BC4587">
        <w:t>, which represents 95% of the emissions from this sector</w:t>
      </w:r>
      <w:r w:rsidR="00A16BBD">
        <w:t xml:space="preserve">, is rather small with </w:t>
      </w:r>
      <w:r w:rsidR="00607C44">
        <w:t xml:space="preserve">3.5% in 2022. </w:t>
      </w:r>
      <w:r w:rsidR="00BC4587">
        <w:t xml:space="preserve">The emissions </w:t>
      </w:r>
      <w:r w:rsidR="006F0982">
        <w:t xml:space="preserve">of NOx have drastically increased for the period 1990-2022, by 433%, in relation with the increasing use of inorganic N-fertilisers. </w:t>
      </w:r>
      <w:r w:rsidR="00F5375F">
        <w:t xml:space="preserve">The emissions of NMVOC of the sector are more evenly </w:t>
      </w:r>
      <w:r w:rsidR="00266BF8">
        <w:t xml:space="preserve">spread out, </w:t>
      </w:r>
      <w:r w:rsidR="00ED1978">
        <w:t xml:space="preserve">with the most emitting sources being the </w:t>
      </w:r>
      <w:r w:rsidR="009C06D1">
        <w:t xml:space="preserve">manure management </w:t>
      </w:r>
      <w:r w:rsidR="00021554">
        <w:t xml:space="preserve">for cattle livestock (3B1) </w:t>
      </w:r>
      <w:r w:rsidR="00274283">
        <w:t xml:space="preserve">with 55%, the </w:t>
      </w:r>
      <w:r w:rsidR="00845E32">
        <w:t>cultivated</w:t>
      </w:r>
      <w:r w:rsidR="00274283">
        <w:t xml:space="preserve"> </w:t>
      </w:r>
      <w:r w:rsidR="00845E32">
        <w:t xml:space="preserve">crops </w:t>
      </w:r>
      <w:r w:rsidR="00274283">
        <w:t>(</w:t>
      </w:r>
      <w:r w:rsidR="00845E32">
        <w:t xml:space="preserve">3D5) with 16%, the </w:t>
      </w:r>
      <w:r w:rsidR="00983DBE">
        <w:t xml:space="preserve">manure management from poultry (3B4g) with 14% and from swine (3B3) with 11%. </w:t>
      </w:r>
    </w:p>
    <w:p w14:paraId="0B32D5A5" w14:textId="77777777" w:rsidR="00850C59" w:rsidRDefault="00850C59" w:rsidP="00850C59">
      <w:pPr>
        <w:pStyle w:val="OMINEA"/>
      </w:pPr>
    </w:p>
    <w:p w14:paraId="383AD995" w14:textId="63D794C6" w:rsidR="00850C59" w:rsidRPr="007D5843" w:rsidRDefault="00850C59" w:rsidP="00850C59">
      <w:pPr>
        <w:pStyle w:val="OMINEA"/>
        <w:rPr>
          <w:b/>
          <w:bCs/>
        </w:rPr>
      </w:pPr>
      <w:r w:rsidRPr="007D5843">
        <w:rPr>
          <w:b/>
          <w:bCs/>
        </w:rPr>
        <w:t>LULUCF (</w:t>
      </w:r>
      <w:r w:rsidR="000F6001">
        <w:rPr>
          <w:b/>
          <w:bCs/>
        </w:rPr>
        <w:t>CRT</w:t>
      </w:r>
      <w:r w:rsidRPr="007D5843">
        <w:rPr>
          <w:b/>
          <w:bCs/>
        </w:rPr>
        <w:t xml:space="preserve"> 4) </w:t>
      </w:r>
    </w:p>
    <w:p w14:paraId="44B9FD46" w14:textId="6C656D97" w:rsidR="00850C59" w:rsidRDefault="00850C59" w:rsidP="00850C59">
      <w:pPr>
        <w:pStyle w:val="OMINEA"/>
      </w:pPr>
      <w:r>
        <w:t>The land use, land-use change and forestry sector is a sink of GHG in the Republic of Serbia, over the whole period 1990-2022, in particular thanks to the growth of the forest lands (</w:t>
      </w:r>
      <w:r w:rsidR="000F6001">
        <w:t>CRT</w:t>
      </w:r>
      <w:r>
        <w:t xml:space="preserve"> 4A), mainly, and the harvested wood products (</w:t>
      </w:r>
      <w:r w:rsidR="000F6001">
        <w:t>CRT</w:t>
      </w:r>
      <w:r>
        <w:t xml:space="preserve"> 4G). The CO</w:t>
      </w:r>
      <w:r w:rsidRPr="007D5843">
        <w:rPr>
          <w:vertAlign w:val="subscript"/>
        </w:rPr>
        <w:t>2</w:t>
      </w:r>
      <w:r>
        <w:t xml:space="preserve"> represents almost 100% of the sectoral GHG emissions of this sector, making CH</w:t>
      </w:r>
      <w:r w:rsidRPr="007D5843">
        <w:rPr>
          <w:vertAlign w:val="subscript"/>
        </w:rPr>
        <w:t>4</w:t>
      </w:r>
      <w:r>
        <w:t xml:space="preserve"> and N</w:t>
      </w:r>
      <w:r w:rsidRPr="007D5843">
        <w:rPr>
          <w:vertAlign w:val="subscript"/>
        </w:rPr>
        <w:t>2</w:t>
      </w:r>
      <w:r>
        <w:t xml:space="preserve">O contributions almost negligible. </w:t>
      </w:r>
    </w:p>
    <w:p w14:paraId="2E363F99" w14:textId="0CB254DC" w:rsidR="00850C59" w:rsidRDefault="00850C59" w:rsidP="00850C59">
      <w:pPr>
        <w:pStyle w:val="OMINEA"/>
      </w:pPr>
      <w:r>
        <w:t>Forest land (</w:t>
      </w:r>
      <w:r w:rsidR="000F6001">
        <w:t>CRT</w:t>
      </w:r>
      <w:r>
        <w:t xml:space="preserve"> 4) is the most predominant emission source with more than 88% of the CO</w:t>
      </w:r>
      <w:r w:rsidRPr="007D5843">
        <w:rPr>
          <w:vertAlign w:val="subscript"/>
        </w:rPr>
        <w:t>2</w:t>
      </w:r>
      <w:r>
        <w:t xml:space="preserve"> emissions of this sector, and represents a net removal of 4.7 Mt CO</w:t>
      </w:r>
      <w:r w:rsidRPr="007D5843">
        <w:rPr>
          <w:vertAlign w:val="subscript"/>
        </w:rPr>
        <w:t>2</w:t>
      </w:r>
      <w:r>
        <w:t xml:space="preserve"> in 2022. The net removal of this subsector has increased by 132% within the period 1990-2022, and now enables to compensate about 9% of the national CO</w:t>
      </w:r>
      <w:r w:rsidRPr="007D5843">
        <w:rPr>
          <w:vertAlign w:val="subscript"/>
        </w:rPr>
        <w:t>2</w:t>
      </w:r>
      <w:r>
        <w:t xml:space="preserve"> emissions excluding LULUCF. </w:t>
      </w:r>
      <w:r w:rsidR="007A08F2">
        <w:t>This is in particular due to the CRT 4A</w:t>
      </w:r>
      <w:r w:rsidR="00C77579">
        <w:t xml:space="preserve">, where a large commercial logging and industrial technical wood </w:t>
      </w:r>
      <w:r w:rsidR="005D4D9E">
        <w:t xml:space="preserve">use </w:t>
      </w:r>
      <w:r w:rsidR="00C77579">
        <w:t xml:space="preserve">for the pulp and paper industry </w:t>
      </w:r>
      <w:r w:rsidR="005D4D9E">
        <w:t xml:space="preserve">were very present </w:t>
      </w:r>
      <w:r w:rsidR="00D075BC">
        <w:t xml:space="preserve">in 1990, and decreased significantly over time. However, since 2007, the increasing trend of the sink observed for the CRT 4A has changed, due to the </w:t>
      </w:r>
      <w:r w:rsidR="00D075BC">
        <w:lastRenderedPageBreak/>
        <w:t>increasing use of wood as a fuel and</w:t>
      </w:r>
      <w:r w:rsidR="00F73EF7">
        <w:t>, to another extent,</w:t>
      </w:r>
      <w:r w:rsidR="00D075BC">
        <w:t xml:space="preserve"> the more frequent natural disasters (e.g., woodfires, breakages due to strong winds, damages caused by insects and diseases, etc.). </w:t>
      </w:r>
    </w:p>
    <w:p w14:paraId="723289E6" w14:textId="36CC726F" w:rsidR="00850C59" w:rsidRDefault="00850C59" w:rsidP="00850C59">
      <w:pPr>
        <w:pStyle w:val="OMINEA"/>
      </w:pPr>
      <w:r>
        <w:t>The land-use changes correspond either to a storage of CO</w:t>
      </w:r>
      <w:r w:rsidRPr="007D5843">
        <w:rPr>
          <w:vertAlign w:val="subscript"/>
        </w:rPr>
        <w:t>2</w:t>
      </w:r>
      <w:r>
        <w:t xml:space="preserve"> (e.g., through conversion of cropland or grassland in forest land) or to an emission of CO</w:t>
      </w:r>
      <w:r w:rsidRPr="007D5843">
        <w:rPr>
          <w:vertAlign w:val="subscript"/>
        </w:rPr>
        <w:t>2</w:t>
      </w:r>
      <w:r>
        <w:t xml:space="preserve"> (e.g., through deforestation). The emissions or removals for the subsectors cropland (</w:t>
      </w:r>
      <w:r w:rsidR="000F6001">
        <w:t>CRT</w:t>
      </w:r>
      <w:r>
        <w:t xml:space="preserve"> 4B) and grassland (</w:t>
      </w:r>
      <w:r w:rsidR="000F6001">
        <w:t>CRT</w:t>
      </w:r>
      <w:r>
        <w:t xml:space="preserve"> 4C) vary significantly for the period 1990-2022. In overall, the land-use changes for </w:t>
      </w:r>
      <w:r w:rsidR="000F6001">
        <w:t>CRT</w:t>
      </w:r>
      <w:r>
        <w:t xml:space="preserve"> 4B to 4F decrease their CO</w:t>
      </w:r>
      <w:r w:rsidRPr="007D5843">
        <w:rPr>
          <w:vertAlign w:val="subscript"/>
        </w:rPr>
        <w:t>2</w:t>
      </w:r>
      <w:r>
        <w:t xml:space="preserve"> emissions over the timeseries by 42%, contributing to the observed increase of the sink for the whole sector. </w:t>
      </w:r>
      <w:r w:rsidR="007A74DB">
        <w:t xml:space="preserve">For the </w:t>
      </w:r>
      <w:r w:rsidR="000F6001">
        <w:t>CRT</w:t>
      </w:r>
      <w:r w:rsidR="007A74DB">
        <w:t xml:space="preserve"> 4C, the observed reduction </w:t>
      </w:r>
      <w:r w:rsidR="00E209A9">
        <w:t xml:space="preserve">in emissions is due </w:t>
      </w:r>
      <w:r w:rsidR="007D74F1">
        <w:t>to a significantly reduced grassland area, which was easily affected by fires, as well as to land use changes</w:t>
      </w:r>
      <w:r w:rsidR="007A74DB">
        <w:t xml:space="preserve">. </w:t>
      </w:r>
      <w:r>
        <w:t>Finally, the harvested wood product category (</w:t>
      </w:r>
      <w:r w:rsidR="000F6001">
        <w:t>CRT</w:t>
      </w:r>
      <w:r>
        <w:t xml:space="preserve"> 4G) has also participated in the growth of the net removal of CO</w:t>
      </w:r>
      <w:r w:rsidRPr="007D5843">
        <w:rPr>
          <w:vertAlign w:val="subscript"/>
        </w:rPr>
        <w:t>2</w:t>
      </w:r>
      <w:r>
        <w:t xml:space="preserve"> as it increased its by 391%</w:t>
      </w:r>
      <w:r w:rsidR="005A3FA0">
        <w:t xml:space="preserve"> due to the increase in the wood products </w:t>
      </w:r>
      <w:r w:rsidR="00D0769F">
        <w:t xml:space="preserve">such as industrial roundwood, </w:t>
      </w:r>
      <w:proofErr w:type="spellStart"/>
      <w:r w:rsidR="00D0769F">
        <w:t>sawnwood</w:t>
      </w:r>
      <w:proofErr w:type="spellEnd"/>
      <w:r w:rsidR="00D0769F">
        <w:t>, wood panels and paperboards</w:t>
      </w:r>
      <w:r>
        <w:t>.</w:t>
      </w:r>
    </w:p>
    <w:p w14:paraId="17E13B09" w14:textId="22CC38D3" w:rsidR="00850C59" w:rsidRDefault="00850C59" w:rsidP="00850C59">
      <w:pPr>
        <w:pStyle w:val="OMINEA"/>
      </w:pPr>
      <w:r>
        <w:t>The emissions of CH</w:t>
      </w:r>
      <w:r w:rsidRPr="007D5843">
        <w:rPr>
          <w:vertAlign w:val="subscript"/>
        </w:rPr>
        <w:t>4</w:t>
      </w:r>
      <w:r>
        <w:t xml:space="preserve"> and N</w:t>
      </w:r>
      <w:r w:rsidRPr="007D5843">
        <w:rPr>
          <w:vertAlign w:val="subscript"/>
        </w:rPr>
        <w:t>2</w:t>
      </w:r>
      <w:r>
        <w:t>O for LULUCF also decline between 1990 and 2022</w:t>
      </w:r>
      <w:r w:rsidR="00920117">
        <w:t>,</w:t>
      </w:r>
      <w:r>
        <w:t xml:space="preserve"> in the Republic of Serbia</w:t>
      </w:r>
      <w:r w:rsidR="00920117">
        <w:t>,</w:t>
      </w:r>
      <w:r>
        <w:t xml:space="preserve"> with respective reductions of 57% and 39%. </w:t>
      </w:r>
    </w:p>
    <w:p w14:paraId="36A29320" w14:textId="77777777" w:rsidR="00850C59" w:rsidRDefault="00850C59" w:rsidP="00850C59">
      <w:pPr>
        <w:pStyle w:val="OMINEA"/>
      </w:pPr>
    </w:p>
    <w:p w14:paraId="15F2F7B6" w14:textId="57206A9D" w:rsidR="00850C59" w:rsidRDefault="00850C59" w:rsidP="00850C59">
      <w:pPr>
        <w:pStyle w:val="OMINEA"/>
        <w:rPr>
          <w:b/>
          <w:bCs/>
        </w:rPr>
      </w:pPr>
      <w:r w:rsidRPr="007D5843">
        <w:rPr>
          <w:b/>
          <w:bCs/>
        </w:rPr>
        <w:t>Waste (</w:t>
      </w:r>
      <w:r w:rsidR="000F6001">
        <w:rPr>
          <w:b/>
          <w:bCs/>
        </w:rPr>
        <w:t>CRT</w:t>
      </w:r>
      <w:r w:rsidRPr="007D5843">
        <w:rPr>
          <w:b/>
          <w:bCs/>
        </w:rPr>
        <w:t xml:space="preserve"> 5)</w:t>
      </w:r>
    </w:p>
    <w:p w14:paraId="5A00F6AF" w14:textId="2540F6B6" w:rsidR="004901B4" w:rsidRDefault="002D5D92">
      <w:pPr>
        <w:pStyle w:val="OMINEA"/>
      </w:pPr>
      <w:r>
        <w:t xml:space="preserve">The waste sector is </w:t>
      </w:r>
      <w:r w:rsidR="00EC6170">
        <w:t>a significant emission source of CH</w:t>
      </w:r>
      <w:r w:rsidR="00EC6170" w:rsidRPr="00622F40">
        <w:rPr>
          <w:vertAlign w:val="subscript"/>
        </w:rPr>
        <w:t>4</w:t>
      </w:r>
      <w:r w:rsidR="00EC6170">
        <w:t xml:space="preserve"> emissions</w:t>
      </w:r>
      <w:r w:rsidR="009F3AC2">
        <w:t xml:space="preserve"> in the Republic of Serbia, with a contribution of 3</w:t>
      </w:r>
      <w:r w:rsidR="00CB6D05">
        <w:t>6</w:t>
      </w:r>
      <w:r w:rsidR="009F3AC2">
        <w:t>% to the national emissions excluding LULUCF, in 2022. Its share in the national emissions is rather stable and was of 3</w:t>
      </w:r>
      <w:r w:rsidR="00A608BA">
        <w:t>4</w:t>
      </w:r>
      <w:r w:rsidR="009F3AC2">
        <w:t xml:space="preserve">% in 1990, although an overall emission reduction of 25% is observed between 1990 and 2022. </w:t>
      </w:r>
      <w:r w:rsidR="004901B4">
        <w:t xml:space="preserve">The emissions sources </w:t>
      </w:r>
      <w:r w:rsidR="009875CC">
        <w:t>contributing to the methane emissions are the solid waste disposal</w:t>
      </w:r>
      <w:r w:rsidR="00F46DF2">
        <w:t xml:space="preserve"> (</w:t>
      </w:r>
      <w:r w:rsidR="000F6001">
        <w:t>CRT</w:t>
      </w:r>
      <w:r w:rsidR="00F46DF2">
        <w:t xml:space="preserve"> 5A)</w:t>
      </w:r>
      <w:r w:rsidR="009875CC">
        <w:t>, with a share of 30% of the national CH</w:t>
      </w:r>
      <w:r w:rsidR="009875CC" w:rsidRPr="00622F40">
        <w:rPr>
          <w:vertAlign w:val="subscript"/>
        </w:rPr>
        <w:t>4</w:t>
      </w:r>
      <w:r w:rsidR="009875CC">
        <w:t xml:space="preserve"> emissions excluding LULUCF in 2022, and</w:t>
      </w:r>
      <w:r w:rsidR="00271BBA">
        <w:t>, to another extent,</w:t>
      </w:r>
      <w:r w:rsidR="009875CC">
        <w:t xml:space="preserve"> the </w:t>
      </w:r>
      <w:r w:rsidR="00271BBA">
        <w:t xml:space="preserve">wastewater treatment </w:t>
      </w:r>
      <w:r w:rsidR="00F46DF2">
        <w:t>(</w:t>
      </w:r>
      <w:r w:rsidR="000F6001">
        <w:t>CRT</w:t>
      </w:r>
      <w:r w:rsidR="00F46DF2">
        <w:t xml:space="preserve"> 5D) </w:t>
      </w:r>
      <w:r w:rsidR="00271BBA">
        <w:t xml:space="preserve">with 9% of the national totals. </w:t>
      </w:r>
      <w:r w:rsidR="00C319E9">
        <w:t>For the period 1990-2022, b</w:t>
      </w:r>
      <w:r w:rsidR="00F46DF2">
        <w:t xml:space="preserve">oth subsectors decreased their methane emissions, by 20% for the </w:t>
      </w:r>
      <w:r w:rsidR="000F6001">
        <w:t>CRT</w:t>
      </w:r>
      <w:r w:rsidR="00F46DF2">
        <w:t xml:space="preserve"> 5A, </w:t>
      </w:r>
      <w:r w:rsidR="00297DAC">
        <w:rPr>
          <w:lang w:eastAsia="fr-FR"/>
        </w:rPr>
        <w:t xml:space="preserve">due to the drop in solid waste amounts being disposed, and </w:t>
      </w:r>
      <w:r w:rsidR="00C319E9">
        <w:rPr>
          <w:lang w:eastAsia="fr-FR"/>
        </w:rPr>
        <w:t xml:space="preserve">for the </w:t>
      </w:r>
      <w:r w:rsidR="000F6001">
        <w:rPr>
          <w:lang w:eastAsia="fr-FR"/>
        </w:rPr>
        <w:t>CRT</w:t>
      </w:r>
      <w:r w:rsidR="00297DAC">
        <w:rPr>
          <w:lang w:eastAsia="fr-FR"/>
        </w:rPr>
        <w:t xml:space="preserve"> 5D by 37%, due to a </w:t>
      </w:r>
      <w:r w:rsidR="00C319E9">
        <w:rPr>
          <w:lang w:eastAsia="fr-FR"/>
        </w:rPr>
        <w:t>downfall in the</w:t>
      </w:r>
      <w:r w:rsidR="00297DAC">
        <w:rPr>
          <w:lang w:eastAsia="fr-FR"/>
        </w:rPr>
        <w:t xml:space="preserve"> population</w:t>
      </w:r>
      <w:r w:rsidR="00C319E9">
        <w:rPr>
          <w:lang w:eastAsia="fr-FR"/>
        </w:rPr>
        <w:t>.</w:t>
      </w:r>
      <w:r w:rsidR="00F64982">
        <w:rPr>
          <w:lang w:eastAsia="fr-FR"/>
        </w:rPr>
        <w:t xml:space="preserve"> </w:t>
      </w:r>
    </w:p>
    <w:p w14:paraId="2EEDE194" w14:textId="28BC82B1" w:rsidR="007042E8" w:rsidRDefault="009F3AC2">
      <w:pPr>
        <w:pStyle w:val="OMINEA"/>
      </w:pPr>
      <w:r>
        <w:t>The waste sector also contributes</w:t>
      </w:r>
      <w:r w:rsidR="00F64982">
        <w:t>, to a lesser extent,</w:t>
      </w:r>
      <w:r>
        <w:t xml:space="preserve"> to N</w:t>
      </w:r>
      <w:r w:rsidRPr="00622F40">
        <w:rPr>
          <w:vertAlign w:val="subscript"/>
        </w:rPr>
        <w:t>2</w:t>
      </w:r>
      <w:r>
        <w:t xml:space="preserve">O emissions with 4% of the national emissions, without LULUCF, </w:t>
      </w:r>
      <w:r w:rsidR="00F64982">
        <w:t xml:space="preserve">in the Republic of Serbia </w:t>
      </w:r>
      <w:r>
        <w:t>in 2022</w:t>
      </w:r>
      <w:r w:rsidR="00F64982">
        <w:t xml:space="preserve">. </w:t>
      </w:r>
      <w:r w:rsidR="006D4203">
        <w:t xml:space="preserve">The emissions of this </w:t>
      </w:r>
      <w:r w:rsidR="0091052B">
        <w:t>substance</w:t>
      </w:r>
      <w:r w:rsidR="006D4203">
        <w:t xml:space="preserve"> are only related to wastewater treatment (</w:t>
      </w:r>
      <w:r w:rsidR="000F6001">
        <w:t>CRT</w:t>
      </w:r>
      <w:r w:rsidR="006D4203">
        <w:t xml:space="preserve"> 5D), and an emission reduction of 32% is observed over the timeseries, corresponding to a decline in the Serbian population.</w:t>
      </w:r>
      <w:r>
        <w:t xml:space="preserve"> </w:t>
      </w:r>
      <w:r w:rsidR="00F64982">
        <w:t>However, the waste sector</w:t>
      </w:r>
      <w:r>
        <w:t xml:space="preserve"> does not contribute to the emissions of other direct GHG over the timeseries. </w:t>
      </w:r>
    </w:p>
    <w:p w14:paraId="0C45F9F5" w14:textId="0786611D" w:rsidR="00D55D62" w:rsidRDefault="00E77DE0">
      <w:pPr>
        <w:pStyle w:val="OMINEA"/>
      </w:pPr>
      <w:r>
        <w:t xml:space="preserve">The methane emissions of the waste sector represent 94% of the total sectoral GHG emissions in 2022, </w:t>
      </w:r>
      <w:r w:rsidR="00FC6393">
        <w:t>explaining the fact that the overall trend of the sector (-25% in GHG emissions between 1990 and 2022) corresponds to the CH</w:t>
      </w:r>
      <w:r w:rsidR="00FC6393" w:rsidRPr="00622F40">
        <w:rPr>
          <w:vertAlign w:val="subscript"/>
        </w:rPr>
        <w:t>4</w:t>
      </w:r>
      <w:r w:rsidR="00FC6393">
        <w:t xml:space="preserve"> emission reduction observed. </w:t>
      </w:r>
      <w:r w:rsidR="000E30A8">
        <w:t>In overall, the waste sector contributes to 5%</w:t>
      </w:r>
      <w:r w:rsidR="00FE0DA5">
        <w:t xml:space="preserve"> of the national GHG emissions from the Republic of Serbia, in 2022, and has a rather stable contribution between 1990 and 2022.</w:t>
      </w:r>
    </w:p>
    <w:p w14:paraId="543598AE" w14:textId="48E176C7" w:rsidR="00121FCD" w:rsidRDefault="00E87761" w:rsidP="00B03F54">
      <w:pPr>
        <w:pStyle w:val="OMINEA"/>
      </w:pPr>
      <w:r>
        <w:t>In terms of indirect GHG emissions, the waste sector</w:t>
      </w:r>
      <w:r w:rsidR="00BF69D5">
        <w:t xml:space="preserve"> is a negligible emission source and contributes to less than 0.01% of the different concerned substances, in 2022, in the Republic of Serbia.</w:t>
      </w:r>
      <w:bookmarkStart w:id="113" w:name="_Ref164153793"/>
    </w:p>
    <w:p w14:paraId="34E7AD1F" w14:textId="77777777" w:rsidR="00D315D6" w:rsidRPr="007759DA" w:rsidRDefault="00D315D6" w:rsidP="007759DA">
      <w:pPr>
        <w:pStyle w:val="BodyText"/>
      </w:pPr>
      <w:bookmarkStart w:id="114" w:name="_Toc496101032"/>
      <w:bookmarkEnd w:id="113"/>
      <w:r w:rsidRPr="007759DA">
        <w:br w:type="page"/>
      </w:r>
    </w:p>
    <w:p w14:paraId="36E95208" w14:textId="49226852" w:rsidR="00614555" w:rsidRPr="002462F0" w:rsidRDefault="00614555" w:rsidP="00612252">
      <w:pPr>
        <w:pStyle w:val="Title"/>
        <w:spacing w:after="240"/>
        <w:rPr>
          <w:lang w:eastAsia="fr-FR"/>
        </w:rPr>
      </w:pPr>
      <w:bookmarkStart w:id="115" w:name="_Toc182327720"/>
      <w:bookmarkStart w:id="116" w:name="_Toc184808163"/>
      <w:r w:rsidRPr="002462F0">
        <w:rPr>
          <w:lang w:eastAsia="fr-FR"/>
        </w:rPr>
        <w:lastRenderedPageBreak/>
        <w:t>Chapter 3: Energy (CR</w:t>
      </w:r>
      <w:r w:rsidR="00C03E88">
        <w:rPr>
          <w:lang w:eastAsia="fr-FR"/>
        </w:rPr>
        <w:t>T</w:t>
      </w:r>
      <w:r w:rsidRPr="002462F0">
        <w:rPr>
          <w:lang w:eastAsia="fr-FR"/>
        </w:rPr>
        <w:t xml:space="preserve"> sector 1)</w:t>
      </w:r>
      <w:bookmarkEnd w:id="114"/>
      <w:bookmarkEnd w:id="115"/>
      <w:bookmarkEnd w:id="116"/>
    </w:p>
    <w:p w14:paraId="2FFCD998" w14:textId="77777777" w:rsidR="00615D47" w:rsidRPr="00612252" w:rsidRDefault="00615D47" w:rsidP="00612252">
      <w:pPr>
        <w:pStyle w:val="ListParagraph"/>
        <w:widowControl w:val="0"/>
        <w:numPr>
          <w:ilvl w:val="0"/>
          <w:numId w:val="1"/>
        </w:numPr>
        <w:spacing w:after="0" w:line="240" w:lineRule="auto"/>
        <w:ind w:left="431" w:hanging="431"/>
        <w:contextualSpacing w:val="0"/>
        <w:outlineLvl w:val="0"/>
        <w:rPr>
          <w:rStyle w:val="Heading2Char"/>
          <w:b w:val="0"/>
          <w:vanish/>
          <w:color w:val="FFFFFF" w:themeColor="background1"/>
          <w:lang w:val="en-GB"/>
        </w:rPr>
      </w:pPr>
      <w:bookmarkStart w:id="117" w:name="_Toc496101344"/>
      <w:bookmarkStart w:id="118" w:name="_Toc496216996"/>
      <w:bookmarkStart w:id="119" w:name="_Toc496269070"/>
      <w:bookmarkStart w:id="120" w:name="_Toc496617568"/>
      <w:bookmarkStart w:id="121" w:name="_Toc496617865"/>
      <w:bookmarkStart w:id="122" w:name="_Toc496627789"/>
      <w:bookmarkStart w:id="123" w:name="_Toc496628174"/>
      <w:bookmarkStart w:id="124" w:name="_Toc496631763"/>
      <w:bookmarkStart w:id="125" w:name="_Toc496687707"/>
      <w:bookmarkStart w:id="126" w:name="_Toc496691985"/>
      <w:bookmarkStart w:id="127" w:name="_Toc496785342"/>
      <w:bookmarkStart w:id="128" w:name="_Toc496786550"/>
      <w:bookmarkStart w:id="129" w:name="_Toc496787280"/>
      <w:bookmarkStart w:id="130" w:name="_Toc496868787"/>
      <w:bookmarkStart w:id="131" w:name="_Toc180742421"/>
      <w:bookmarkStart w:id="132" w:name="_Toc181897316"/>
      <w:bookmarkStart w:id="133" w:name="_Toc182314196"/>
      <w:bookmarkStart w:id="134" w:name="_Toc182315700"/>
      <w:bookmarkStart w:id="135" w:name="_Toc182319004"/>
      <w:bookmarkStart w:id="136" w:name="_Toc182323149"/>
      <w:bookmarkStart w:id="137" w:name="_Toc182324434"/>
      <w:bookmarkStart w:id="138" w:name="_Toc182325672"/>
      <w:bookmarkStart w:id="139" w:name="_Toc182326355"/>
      <w:bookmarkStart w:id="140" w:name="_Toc182327263"/>
      <w:bookmarkStart w:id="141" w:name="_Toc182327721"/>
      <w:bookmarkStart w:id="142" w:name="_Toc183737429"/>
      <w:bookmarkStart w:id="143" w:name="_Toc183737928"/>
      <w:bookmarkStart w:id="144" w:name="_Toc183738172"/>
      <w:bookmarkStart w:id="145" w:name="_Toc183738414"/>
      <w:bookmarkStart w:id="146" w:name="_Toc184804717"/>
      <w:bookmarkStart w:id="147" w:name="_Toc184806264"/>
      <w:bookmarkStart w:id="148" w:name="_Toc184808164"/>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2346A26" w14:textId="77777777" w:rsidR="00DB049A" w:rsidRPr="002462F0" w:rsidRDefault="00614555" w:rsidP="00612252">
      <w:pPr>
        <w:pStyle w:val="Heading2"/>
        <w:spacing w:before="0"/>
        <w:ind w:left="578" w:hanging="578"/>
        <w:rPr>
          <w:rStyle w:val="Heading2Char"/>
          <w:b/>
          <w:lang w:val="en-GB"/>
        </w:rPr>
      </w:pPr>
      <w:r w:rsidRPr="002462F0">
        <w:rPr>
          <w:rStyle w:val="Heading2Char"/>
          <w:b/>
          <w:lang w:val="en-GB"/>
        </w:rPr>
        <w:t xml:space="preserve"> </w:t>
      </w:r>
      <w:bookmarkStart w:id="149" w:name="_Toc496101033"/>
      <w:bookmarkStart w:id="150" w:name="_Ref175128919"/>
      <w:bookmarkStart w:id="151" w:name="_Ref175133695"/>
      <w:bookmarkStart w:id="152" w:name="_Ref175145963"/>
      <w:bookmarkStart w:id="153" w:name="_Ref175233643"/>
      <w:bookmarkStart w:id="154" w:name="_Ref175235211"/>
      <w:bookmarkStart w:id="155" w:name="_Toc182327722"/>
      <w:bookmarkStart w:id="156" w:name="_Toc184808165"/>
      <w:r w:rsidRPr="002462F0">
        <w:rPr>
          <w:rStyle w:val="Heading2Char"/>
          <w:b/>
          <w:lang w:val="en-GB"/>
        </w:rPr>
        <w:t>Overview of sector</w:t>
      </w:r>
      <w:bookmarkEnd w:id="149"/>
      <w:bookmarkEnd w:id="150"/>
      <w:bookmarkEnd w:id="151"/>
      <w:bookmarkEnd w:id="152"/>
      <w:bookmarkEnd w:id="153"/>
      <w:bookmarkEnd w:id="154"/>
      <w:bookmarkEnd w:id="155"/>
      <w:bookmarkEnd w:id="156"/>
      <w:r w:rsidRPr="002462F0">
        <w:rPr>
          <w:rStyle w:val="Heading2Char"/>
          <w:b/>
          <w:lang w:val="en-GB"/>
        </w:rPr>
        <w:t xml:space="preserve"> </w:t>
      </w:r>
    </w:p>
    <w:p w14:paraId="7FD8E3AE" w14:textId="18FC7465" w:rsidR="00917F40" w:rsidRPr="002462F0" w:rsidRDefault="00917F40" w:rsidP="00622F40">
      <w:pPr>
        <w:rPr>
          <w:lang w:eastAsia="fr-FR"/>
        </w:rPr>
      </w:pPr>
      <w:r w:rsidRPr="002462F0">
        <w:rPr>
          <w:lang w:eastAsia="fr-FR"/>
        </w:rPr>
        <w:t>Th</w:t>
      </w:r>
      <w:r w:rsidR="00CF0545">
        <w:rPr>
          <w:lang w:eastAsia="fr-FR"/>
        </w:rPr>
        <w:t>e</w:t>
      </w:r>
      <w:r w:rsidRPr="002462F0">
        <w:rPr>
          <w:lang w:eastAsia="fr-FR"/>
        </w:rPr>
        <w:t xml:space="preserve"> </w:t>
      </w:r>
      <w:r w:rsidR="000F6001">
        <w:rPr>
          <w:lang w:eastAsia="fr-FR"/>
        </w:rPr>
        <w:t>CRT</w:t>
      </w:r>
      <w:r w:rsidRPr="002462F0">
        <w:rPr>
          <w:lang w:eastAsia="fr-FR"/>
        </w:rPr>
        <w:t xml:space="preserve"> 1 category covers the following sectors:</w:t>
      </w:r>
    </w:p>
    <w:p w14:paraId="64411CB9" w14:textId="25C3171C" w:rsidR="00102D3D" w:rsidRPr="002462F0" w:rsidRDefault="00917F40" w:rsidP="00622F40">
      <w:pPr>
        <w:pStyle w:val="ListParagraph"/>
        <w:numPr>
          <w:ilvl w:val="0"/>
          <w:numId w:val="46"/>
        </w:numPr>
        <w:rPr>
          <w:lang w:eastAsia="fr-FR"/>
        </w:rPr>
      </w:pPr>
      <w:r w:rsidRPr="002462F0">
        <w:rPr>
          <w:lang w:eastAsia="fr-FR"/>
        </w:rPr>
        <w:t>Energy industries (1A1),</w:t>
      </w:r>
      <w:r w:rsidR="005F288E">
        <w:rPr>
          <w:lang w:eastAsia="fr-FR"/>
        </w:rPr>
        <w:t xml:space="preserve"> </w:t>
      </w:r>
      <w:r w:rsidR="00AD6BA3">
        <w:rPr>
          <w:lang w:eastAsia="fr-FR"/>
        </w:rPr>
        <w:t xml:space="preserve">including the thermal power plants, the district heating, </w:t>
      </w:r>
      <w:r w:rsidR="00D43CCA">
        <w:rPr>
          <w:lang w:eastAsia="fr-FR"/>
        </w:rPr>
        <w:t xml:space="preserve">the oil refineries and the production of solid and gaseous fuels such as coke ovens, </w:t>
      </w:r>
    </w:p>
    <w:p w14:paraId="3CA8BB31" w14:textId="57950267" w:rsidR="00102D3D" w:rsidRPr="002462F0" w:rsidRDefault="00917F40" w:rsidP="00622F40">
      <w:pPr>
        <w:pStyle w:val="ListParagraph"/>
        <w:numPr>
          <w:ilvl w:val="0"/>
          <w:numId w:val="46"/>
        </w:numPr>
        <w:rPr>
          <w:lang w:eastAsia="fr-FR"/>
        </w:rPr>
      </w:pPr>
      <w:r w:rsidRPr="002462F0">
        <w:rPr>
          <w:lang w:eastAsia="fr-FR"/>
        </w:rPr>
        <w:t>Manufacturing industry (1A2),</w:t>
      </w:r>
    </w:p>
    <w:p w14:paraId="2F1B83C6" w14:textId="5BECAA97" w:rsidR="00102D3D" w:rsidRPr="002462F0" w:rsidRDefault="00917F40" w:rsidP="00622F40">
      <w:pPr>
        <w:pStyle w:val="ListParagraph"/>
        <w:numPr>
          <w:ilvl w:val="0"/>
          <w:numId w:val="46"/>
        </w:numPr>
        <w:rPr>
          <w:lang w:eastAsia="fr-FR"/>
        </w:rPr>
      </w:pPr>
      <w:r w:rsidRPr="002462F0">
        <w:rPr>
          <w:lang w:eastAsia="fr-FR"/>
        </w:rPr>
        <w:t>Transports (1A3),</w:t>
      </w:r>
    </w:p>
    <w:p w14:paraId="29BE2646" w14:textId="6406B5D4" w:rsidR="00102D3D" w:rsidRDefault="00917F40" w:rsidP="00622F40">
      <w:pPr>
        <w:pStyle w:val="ListParagraph"/>
        <w:numPr>
          <w:ilvl w:val="0"/>
          <w:numId w:val="46"/>
        </w:numPr>
        <w:rPr>
          <w:lang w:eastAsia="fr-FR"/>
        </w:rPr>
      </w:pPr>
      <w:r w:rsidRPr="002462F0">
        <w:rPr>
          <w:lang w:eastAsia="fr-FR"/>
        </w:rPr>
        <w:t>Other sectors (1A4),</w:t>
      </w:r>
      <w:r w:rsidR="00D43CCA">
        <w:rPr>
          <w:lang w:eastAsia="fr-FR"/>
        </w:rPr>
        <w:t xml:space="preserve"> including residential heating, as well as the tertiary and agriculture/forestry/fishing subsectors</w:t>
      </w:r>
      <w:r w:rsidR="00102D3D">
        <w:rPr>
          <w:lang w:eastAsia="fr-FR"/>
        </w:rPr>
        <w:t>,</w:t>
      </w:r>
    </w:p>
    <w:p w14:paraId="49643165" w14:textId="7EA4AF9D" w:rsidR="00102D3D" w:rsidRPr="002462F0" w:rsidRDefault="001C2BE7" w:rsidP="00622F40">
      <w:pPr>
        <w:pStyle w:val="ListParagraph"/>
        <w:numPr>
          <w:ilvl w:val="0"/>
          <w:numId w:val="46"/>
        </w:numPr>
        <w:rPr>
          <w:lang w:eastAsia="fr-FR"/>
        </w:rPr>
      </w:pPr>
      <w:r>
        <w:rPr>
          <w:lang w:eastAsia="fr-FR"/>
        </w:rPr>
        <w:t>Non-Specified (1A5),</w:t>
      </w:r>
    </w:p>
    <w:p w14:paraId="67156224" w14:textId="2F8B6E5E" w:rsidR="00102D3D" w:rsidRPr="002462F0" w:rsidRDefault="00917F40" w:rsidP="00622F40">
      <w:pPr>
        <w:pStyle w:val="ListParagraph"/>
        <w:numPr>
          <w:ilvl w:val="0"/>
          <w:numId w:val="46"/>
        </w:numPr>
        <w:rPr>
          <w:lang w:eastAsia="fr-FR"/>
        </w:rPr>
      </w:pPr>
      <w:r w:rsidRPr="002462F0">
        <w:rPr>
          <w:lang w:eastAsia="fr-FR"/>
        </w:rPr>
        <w:t>Fugitive emissions from solid fuels (1B1),</w:t>
      </w:r>
    </w:p>
    <w:p w14:paraId="6FF677E3" w14:textId="77777777" w:rsidR="00917F40" w:rsidRPr="002462F0" w:rsidRDefault="00917F40" w:rsidP="00622F40">
      <w:pPr>
        <w:pStyle w:val="ListParagraph"/>
        <w:numPr>
          <w:ilvl w:val="0"/>
          <w:numId w:val="46"/>
        </w:numPr>
        <w:rPr>
          <w:lang w:eastAsia="fr-FR"/>
        </w:rPr>
      </w:pPr>
      <w:r w:rsidRPr="002462F0">
        <w:rPr>
          <w:lang w:eastAsia="fr-FR"/>
        </w:rPr>
        <w:t>Fugitive emissions from oil and natural gas (1B2).</w:t>
      </w:r>
    </w:p>
    <w:p w14:paraId="1DA16FE7" w14:textId="3A4E81E9" w:rsidR="00917F40" w:rsidRDefault="00102D3D" w:rsidP="00622F40">
      <w:pPr>
        <w:rPr>
          <w:lang w:eastAsia="fr-FR"/>
        </w:rPr>
      </w:pPr>
      <w:r>
        <w:rPr>
          <w:lang w:eastAsia="fr-FR"/>
        </w:rPr>
        <w:t>T</w:t>
      </w:r>
      <w:r w:rsidR="00917F40" w:rsidRPr="002462F0">
        <w:rPr>
          <w:lang w:eastAsia="fr-FR"/>
        </w:rPr>
        <w:t>he CO</w:t>
      </w:r>
      <w:r w:rsidR="00917F40" w:rsidRPr="002462F0">
        <w:rPr>
          <w:vertAlign w:val="subscript"/>
          <w:lang w:eastAsia="fr-FR"/>
        </w:rPr>
        <w:t>2</w:t>
      </w:r>
      <w:r w:rsidR="00917F40" w:rsidRPr="002462F0">
        <w:rPr>
          <w:lang w:eastAsia="fr-FR"/>
        </w:rPr>
        <w:t xml:space="preserve"> transport and storage (1C) does not occur in Serbia.</w:t>
      </w:r>
    </w:p>
    <w:p w14:paraId="4768ADF6" w14:textId="09A3C984" w:rsidR="000366B0" w:rsidRDefault="003A5A9B" w:rsidP="00622F40">
      <w:pPr>
        <w:rPr>
          <w:lang w:eastAsia="fr-FR"/>
        </w:rPr>
      </w:pPr>
      <w:r>
        <w:rPr>
          <w:lang w:eastAsia="fr-FR"/>
        </w:rPr>
        <w:t>The main</w:t>
      </w:r>
      <w:r w:rsidR="001E08F3">
        <w:rPr>
          <w:lang w:eastAsia="fr-FR"/>
        </w:rPr>
        <w:t xml:space="preserve"> reference for the Energy sector is </w:t>
      </w:r>
      <w:r>
        <w:rPr>
          <w:lang w:eastAsia="fr-FR"/>
        </w:rPr>
        <w:t xml:space="preserve">the energy balance, </w:t>
      </w:r>
      <w:r w:rsidR="000424B0">
        <w:rPr>
          <w:lang w:eastAsia="fr-FR"/>
        </w:rPr>
        <w:t>developed and updated</w:t>
      </w:r>
      <w:r>
        <w:rPr>
          <w:lang w:eastAsia="fr-FR"/>
        </w:rPr>
        <w:t xml:space="preserve"> </w:t>
      </w:r>
      <w:r w:rsidR="000424B0">
        <w:rPr>
          <w:lang w:eastAsia="fr-FR"/>
        </w:rPr>
        <w:t xml:space="preserve">each year by the </w:t>
      </w:r>
      <w:r w:rsidR="00C36F60">
        <w:rPr>
          <w:lang w:eastAsia="fr-FR"/>
        </w:rPr>
        <w:t>Ministry of mining and energy</w:t>
      </w:r>
      <w:r w:rsidR="000424B0">
        <w:rPr>
          <w:lang w:eastAsia="fr-FR"/>
        </w:rPr>
        <w:t xml:space="preserve"> </w:t>
      </w:r>
      <w:r w:rsidR="00906996">
        <w:rPr>
          <w:lang w:eastAsia="fr-FR"/>
        </w:rPr>
        <w:t xml:space="preserve">in the </w:t>
      </w:r>
      <w:r w:rsidR="00102D3D">
        <w:rPr>
          <w:lang w:eastAsia="fr-FR"/>
        </w:rPr>
        <w:t>format</w:t>
      </w:r>
      <w:r w:rsidR="00906996">
        <w:rPr>
          <w:lang w:eastAsia="fr-FR"/>
        </w:rPr>
        <w:t xml:space="preserve"> of</w:t>
      </w:r>
      <w:r w:rsidR="000424B0">
        <w:rPr>
          <w:lang w:eastAsia="fr-FR"/>
        </w:rPr>
        <w:t xml:space="preserve"> </w:t>
      </w:r>
      <w:r w:rsidR="00102D3D">
        <w:rPr>
          <w:lang w:eastAsia="fr-FR"/>
        </w:rPr>
        <w:t xml:space="preserve">the </w:t>
      </w:r>
      <w:r w:rsidR="000424B0">
        <w:rPr>
          <w:lang w:eastAsia="fr-FR"/>
        </w:rPr>
        <w:t>IEA questionnaire</w:t>
      </w:r>
      <w:r w:rsidR="00906996">
        <w:rPr>
          <w:lang w:eastAsia="fr-FR"/>
        </w:rPr>
        <w:t>s</w:t>
      </w:r>
      <w:r w:rsidR="000424B0">
        <w:rPr>
          <w:lang w:eastAsia="fr-FR"/>
        </w:rPr>
        <w:t>. The energy flows presented in it are not corrected upon the yearly climate</w:t>
      </w:r>
      <w:r w:rsidR="00D26642">
        <w:rPr>
          <w:lang w:eastAsia="fr-FR"/>
        </w:rPr>
        <w:t>.</w:t>
      </w:r>
      <w:r w:rsidR="00E13997">
        <w:rPr>
          <w:lang w:eastAsia="fr-FR"/>
        </w:rPr>
        <w:t xml:space="preserve"> </w:t>
      </w:r>
      <w:r w:rsidR="000366B0">
        <w:rPr>
          <w:lang w:eastAsia="fr-FR"/>
        </w:rPr>
        <w:t>The same methodology is applied to the energy balance for the whole period from 1990 to 2022.</w:t>
      </w:r>
      <w:r w:rsidR="00D26642">
        <w:rPr>
          <w:lang w:eastAsia="fr-FR"/>
        </w:rPr>
        <w:t xml:space="preserve"> It has to be noted that the complete data for </w:t>
      </w:r>
      <w:r w:rsidR="00D26642" w:rsidRPr="00622F40">
        <w:t>the Autonomous Province of Kosovo</w:t>
      </w:r>
      <w:r w:rsidR="00D26642">
        <w:t xml:space="preserve"> are not available after 2000.</w:t>
      </w:r>
    </w:p>
    <w:p w14:paraId="2BC21694" w14:textId="5C567AEA" w:rsidR="00033C88" w:rsidRDefault="00033C88" w:rsidP="00622F40">
      <w:pPr>
        <w:rPr>
          <w:lang w:eastAsia="fr-FR"/>
        </w:rPr>
      </w:pPr>
      <w:r>
        <w:rPr>
          <w:lang w:eastAsia="fr-FR"/>
        </w:rPr>
        <w:t xml:space="preserve">Energy consumption data from energy balance can be completed with other more-detailed data or </w:t>
      </w:r>
      <w:r w:rsidR="00A92ECE">
        <w:rPr>
          <w:lang w:eastAsia="fr-FR"/>
        </w:rPr>
        <w:t xml:space="preserve">bottom-up data when available, but then a balance on the overall consumptions from the energy balance is operated so that this is the main reference for Energy sector. </w:t>
      </w:r>
    </w:p>
    <w:p w14:paraId="5487102F" w14:textId="3803E4A8" w:rsidR="003B37B6" w:rsidRDefault="00ED33C3" w:rsidP="00622F40">
      <w:pPr>
        <w:rPr>
          <w:lang w:eastAsia="fr-FR"/>
        </w:rPr>
      </w:pPr>
      <w:r>
        <w:rPr>
          <w:lang w:eastAsia="fr-FR"/>
        </w:rPr>
        <w:t>In the following</w:t>
      </w:r>
      <w:r w:rsidR="00D26642">
        <w:rPr>
          <w:lang w:eastAsia="fr-FR"/>
        </w:rPr>
        <w:t xml:space="preserve"> </w:t>
      </w:r>
      <w:r w:rsidR="00D26642">
        <w:rPr>
          <w:lang w:eastAsia="fr-FR"/>
        </w:rPr>
        <w:fldChar w:fldCharType="begin"/>
      </w:r>
      <w:r w:rsidR="00D26642">
        <w:rPr>
          <w:lang w:eastAsia="fr-FR"/>
        </w:rPr>
        <w:instrText xml:space="preserve"> REF _Ref183683929 \h </w:instrText>
      </w:r>
      <w:r w:rsidR="00D26642">
        <w:rPr>
          <w:lang w:eastAsia="fr-FR"/>
        </w:rPr>
      </w:r>
      <w:r w:rsidR="00D26642">
        <w:rPr>
          <w:lang w:eastAsia="fr-FR"/>
        </w:rPr>
        <w:fldChar w:fldCharType="separate"/>
      </w:r>
      <w:r w:rsidR="00D26642">
        <w:t xml:space="preserve">Figure </w:t>
      </w:r>
      <w:r w:rsidR="00D26642">
        <w:rPr>
          <w:noProof/>
        </w:rPr>
        <w:t>4</w:t>
      </w:r>
      <w:r w:rsidR="00D26642">
        <w:rPr>
          <w:lang w:eastAsia="fr-FR"/>
        </w:rPr>
        <w:fldChar w:fldCharType="end"/>
      </w:r>
      <w:r>
        <w:rPr>
          <w:lang w:eastAsia="fr-FR"/>
        </w:rPr>
        <w:t xml:space="preserve">, the total fuel consumptions in the Republic of Serbia, for the whole timeseries, are displayed. </w:t>
      </w:r>
      <w:r w:rsidR="00781EC8">
        <w:rPr>
          <w:lang w:eastAsia="fr-FR"/>
        </w:rPr>
        <w:t xml:space="preserve">This includes all fuel consumptions </w:t>
      </w:r>
      <w:r w:rsidR="007E4550">
        <w:rPr>
          <w:lang w:eastAsia="fr-FR"/>
        </w:rPr>
        <w:t>over the territory, for each year, considering the production, the imports and exports, and the stock variation</w:t>
      </w:r>
      <w:r w:rsidR="001D4587">
        <w:rPr>
          <w:lang w:eastAsia="fr-FR"/>
        </w:rPr>
        <w:t>s</w:t>
      </w:r>
      <w:r w:rsidR="007E4550">
        <w:rPr>
          <w:lang w:eastAsia="fr-FR"/>
        </w:rPr>
        <w:t xml:space="preserve">. </w:t>
      </w:r>
      <w:r w:rsidR="001D4587">
        <w:rPr>
          <w:lang w:eastAsia="fr-FR"/>
        </w:rPr>
        <w:t xml:space="preserve">Hence, </w:t>
      </w:r>
      <w:r w:rsidR="00DA406F">
        <w:rPr>
          <w:lang w:eastAsia="fr-FR"/>
        </w:rPr>
        <w:t>all energy and non-energy fuel consumptions are considered in this analysis</w:t>
      </w:r>
      <w:r w:rsidR="001D4587">
        <w:rPr>
          <w:lang w:eastAsia="fr-FR"/>
        </w:rPr>
        <w:t xml:space="preserve">. </w:t>
      </w:r>
      <w:r w:rsidR="007B7B64">
        <w:rPr>
          <w:lang w:eastAsia="fr-FR"/>
        </w:rPr>
        <w:t xml:space="preserve">Overall, </w:t>
      </w:r>
      <w:r w:rsidR="00B55D2F">
        <w:rPr>
          <w:lang w:eastAsia="fr-FR"/>
        </w:rPr>
        <w:t>a</w:t>
      </w:r>
      <w:r w:rsidR="001D4587">
        <w:rPr>
          <w:lang w:eastAsia="fr-FR"/>
        </w:rPr>
        <w:t xml:space="preserve"> </w:t>
      </w:r>
      <w:r w:rsidR="00781EC8">
        <w:rPr>
          <w:lang w:eastAsia="fr-FR"/>
        </w:rPr>
        <w:t xml:space="preserve">reduction of 24% is observed over the period for the total fuel consumptions in the Republic of Serbia. </w:t>
      </w:r>
      <w:r w:rsidR="00AB48D5">
        <w:rPr>
          <w:lang w:eastAsia="fr-FR"/>
        </w:rPr>
        <w:t xml:space="preserve">All fossil fuels contributed to that </w:t>
      </w:r>
      <w:r w:rsidR="006157E0">
        <w:rPr>
          <w:lang w:eastAsia="fr-FR"/>
        </w:rPr>
        <w:t xml:space="preserve">reduction, meanwhile the biomass consumption increased by </w:t>
      </w:r>
      <w:r w:rsidR="00D10433">
        <w:rPr>
          <w:lang w:eastAsia="fr-FR"/>
        </w:rPr>
        <w:t>41%, and represents 11% of the total fuel consumption</w:t>
      </w:r>
      <w:r w:rsidR="00892A60">
        <w:rPr>
          <w:lang w:eastAsia="fr-FR"/>
        </w:rPr>
        <w:t xml:space="preserve"> in 2022, whereas it contributed to 6% in 1990. </w:t>
      </w:r>
      <w:r w:rsidR="0048320E">
        <w:rPr>
          <w:lang w:eastAsia="fr-FR"/>
        </w:rPr>
        <w:t xml:space="preserve">The solid fuel consumption, which was the biggest contributor to the total fuel consumption in 1990 with </w:t>
      </w:r>
      <w:r w:rsidR="00BF25C5">
        <w:rPr>
          <w:lang w:eastAsia="fr-FR"/>
        </w:rPr>
        <w:t xml:space="preserve">53%, has overgone the highest decrease with 31%, and now represents 45% of the total share. </w:t>
      </w:r>
      <w:r w:rsidR="00914A61">
        <w:rPr>
          <w:lang w:eastAsia="fr-FR"/>
        </w:rPr>
        <w:t xml:space="preserve">The liquid fuel and natural gas consumptions have respectively been reduced by 18% and 11% between 1990 and 2022, </w:t>
      </w:r>
      <w:r w:rsidR="000248EF">
        <w:rPr>
          <w:lang w:eastAsia="fr-FR"/>
        </w:rPr>
        <w:t xml:space="preserve">and their respective share in the total fuel consumptions remained constant for the same period. </w:t>
      </w:r>
      <w:r w:rsidR="00644E05">
        <w:rPr>
          <w:lang w:eastAsia="fr-FR"/>
        </w:rPr>
        <w:t xml:space="preserve">Since 2006, the </w:t>
      </w:r>
      <w:r w:rsidR="00FA7B6B">
        <w:rPr>
          <w:lang w:eastAsia="fr-FR"/>
        </w:rPr>
        <w:t xml:space="preserve">apparition of other solid fossil fuel consumption is to be noted but remains negligible overall. </w:t>
      </w:r>
    </w:p>
    <w:p w14:paraId="15A66D29" w14:textId="3C26EDC3" w:rsidR="00B41837" w:rsidRPr="00DB7C1E" w:rsidRDefault="00661162" w:rsidP="00622F40">
      <w:pPr>
        <w:rPr>
          <w:lang w:eastAsia="fr-FR"/>
        </w:rPr>
      </w:pPr>
      <w:r>
        <w:rPr>
          <w:lang w:eastAsia="fr-FR"/>
        </w:rPr>
        <w:t>Over the period 1990-2022, the total fuel consumption ha</w:t>
      </w:r>
      <w:r w:rsidR="00A26EB5">
        <w:rPr>
          <w:lang w:eastAsia="fr-FR"/>
        </w:rPr>
        <w:t>s</w:t>
      </w:r>
      <w:r>
        <w:rPr>
          <w:lang w:eastAsia="fr-FR"/>
        </w:rPr>
        <w:t xml:space="preserve"> undergone significant variations</w:t>
      </w:r>
      <w:r w:rsidR="005F297B">
        <w:rPr>
          <w:lang w:eastAsia="fr-FR"/>
        </w:rPr>
        <w:t xml:space="preserve">. Between, 1992 and 1994, </w:t>
      </w:r>
      <w:r w:rsidR="003B0233">
        <w:rPr>
          <w:lang w:eastAsia="fr-FR"/>
        </w:rPr>
        <w:t xml:space="preserve">the Federal Republic of Yugoslavia experienced </w:t>
      </w:r>
      <w:r w:rsidR="009465E4">
        <w:rPr>
          <w:lang w:eastAsia="fr-FR"/>
        </w:rPr>
        <w:t>a long, intense period of hyperinflation, which resulted in a drastic deterioration of the economy, explaining the observed dow</w:t>
      </w:r>
      <w:r w:rsidR="006E37C1">
        <w:rPr>
          <w:lang w:eastAsia="fr-FR"/>
        </w:rPr>
        <w:t xml:space="preserve">nward trend in the fuel consumptions. </w:t>
      </w:r>
      <w:r w:rsidR="00AE0417">
        <w:rPr>
          <w:lang w:eastAsia="fr-FR"/>
        </w:rPr>
        <w:t xml:space="preserve">Following that event, the fuel consumption progressively increased, </w:t>
      </w:r>
      <w:r w:rsidR="00A8715C">
        <w:rPr>
          <w:lang w:eastAsia="fr-FR"/>
        </w:rPr>
        <w:t xml:space="preserve">without reaching the pre-crisis levels, before drastically plunging </w:t>
      </w:r>
      <w:r w:rsidR="00EE40AF">
        <w:rPr>
          <w:lang w:eastAsia="fr-FR"/>
        </w:rPr>
        <w:t xml:space="preserve">in </w:t>
      </w:r>
      <w:r w:rsidR="00DB7C1E">
        <w:rPr>
          <w:lang w:eastAsia="fr-FR"/>
        </w:rPr>
        <w:t>1999</w:t>
      </w:r>
      <w:r w:rsidR="00EE40AF">
        <w:rPr>
          <w:lang w:eastAsia="fr-FR"/>
        </w:rPr>
        <w:t xml:space="preserve"> following the</w:t>
      </w:r>
      <w:r w:rsidR="00CB40D7">
        <w:rPr>
          <w:lang w:eastAsia="fr-FR"/>
        </w:rPr>
        <w:t xml:space="preserve"> NATO </w:t>
      </w:r>
      <w:r w:rsidR="00EE40AF">
        <w:rPr>
          <w:lang w:eastAsia="fr-FR"/>
        </w:rPr>
        <w:t>bombing</w:t>
      </w:r>
      <w:r w:rsidR="00B26D4C">
        <w:rPr>
          <w:lang w:eastAsia="fr-FR"/>
        </w:rPr>
        <w:t xml:space="preserve">. </w:t>
      </w:r>
      <w:r w:rsidR="009E05E1">
        <w:rPr>
          <w:lang w:eastAsia="fr-FR"/>
        </w:rPr>
        <w:t xml:space="preserve">Afterwards, all fuel consumptions increased progressively until </w:t>
      </w:r>
      <w:r w:rsidR="00C276F0">
        <w:rPr>
          <w:lang w:eastAsia="fr-FR"/>
        </w:rPr>
        <w:t xml:space="preserve">2004, </w:t>
      </w:r>
      <w:r w:rsidR="0002177B">
        <w:rPr>
          <w:lang w:eastAsia="fr-FR"/>
        </w:rPr>
        <w:t xml:space="preserve">when the solid fuel consumption significantly decreased in 2005. </w:t>
      </w:r>
      <w:r w:rsidR="00C7262B">
        <w:rPr>
          <w:lang w:eastAsia="fr-FR"/>
        </w:rPr>
        <w:t>For the period 200</w:t>
      </w:r>
      <w:r w:rsidR="00F95966">
        <w:rPr>
          <w:lang w:eastAsia="fr-FR"/>
        </w:rPr>
        <w:t>6-2022, an overall decreasing trend is observed, punctuated by some variations following events such as the economic crisis in 2009</w:t>
      </w:r>
      <w:r w:rsidR="00633816">
        <w:rPr>
          <w:lang w:eastAsia="fr-FR"/>
        </w:rPr>
        <w:t>, the large floods in 2014 which hindered the extraction of solid fossil fuels, the sanitary crisis in 2020</w:t>
      </w:r>
      <w:r w:rsidR="00A902C3">
        <w:rPr>
          <w:lang w:eastAsia="fr-FR"/>
        </w:rPr>
        <w:t xml:space="preserve">, but also the variations of the severity of winters which can influence significantly the fuel consumptions in residential heating and electricity production. </w:t>
      </w:r>
    </w:p>
    <w:p w14:paraId="147CAEB2" w14:textId="77777777" w:rsidR="00CA5881" w:rsidRDefault="00CA5881" w:rsidP="00917F40">
      <w:pPr>
        <w:autoSpaceDE w:val="0"/>
        <w:autoSpaceDN w:val="0"/>
        <w:adjustRightInd w:val="0"/>
        <w:spacing w:after="0" w:line="240" w:lineRule="auto"/>
        <w:jc w:val="left"/>
        <w:rPr>
          <w:sz w:val="22"/>
          <w:lang w:eastAsia="fr-FR"/>
        </w:rPr>
      </w:pPr>
    </w:p>
    <w:p w14:paraId="3059ED06" w14:textId="77777777" w:rsidR="000C0E5A" w:rsidRDefault="000C0E5A" w:rsidP="003631EA">
      <w:pPr>
        <w:keepNext/>
        <w:autoSpaceDE w:val="0"/>
        <w:autoSpaceDN w:val="0"/>
        <w:adjustRightInd w:val="0"/>
        <w:spacing w:after="0" w:line="240" w:lineRule="auto"/>
        <w:jc w:val="left"/>
      </w:pPr>
      <w:r>
        <w:rPr>
          <w:noProof/>
          <w:sz w:val="22"/>
          <w:lang w:val="en-US"/>
        </w:rPr>
        <w:drawing>
          <wp:inline distT="0" distB="0" distL="0" distR="0" wp14:anchorId="23F78539" wp14:editId="71BAC574">
            <wp:extent cx="5760000" cy="3798097"/>
            <wp:effectExtent l="0" t="0" r="0" b="0"/>
            <wp:docPr id="604672274"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3798097"/>
                    </a:xfrm>
                    <a:prstGeom prst="rect">
                      <a:avLst/>
                    </a:prstGeom>
                    <a:noFill/>
                  </pic:spPr>
                </pic:pic>
              </a:graphicData>
            </a:graphic>
          </wp:inline>
        </w:drawing>
      </w:r>
    </w:p>
    <w:p w14:paraId="0948545B" w14:textId="7E53366A" w:rsidR="000C0E5A" w:rsidRDefault="000C0E5A" w:rsidP="003631EA">
      <w:pPr>
        <w:pStyle w:val="Caption"/>
        <w:spacing w:before="0" w:after="0"/>
        <w:jc w:val="left"/>
        <w:rPr>
          <w:sz w:val="22"/>
          <w:lang w:eastAsia="fr-FR"/>
        </w:rPr>
      </w:pPr>
      <w:bookmarkStart w:id="157" w:name="_Ref183683929"/>
      <w:bookmarkStart w:id="158" w:name="_Toc184808391"/>
      <w:r>
        <w:t xml:space="preserve">Figure </w:t>
      </w:r>
      <w:r>
        <w:fldChar w:fldCharType="begin"/>
      </w:r>
      <w:r>
        <w:instrText xml:space="preserve"> SEQ Figure \* ARABIC </w:instrText>
      </w:r>
      <w:r>
        <w:fldChar w:fldCharType="separate"/>
      </w:r>
      <w:r w:rsidR="00F14C78">
        <w:rPr>
          <w:noProof/>
        </w:rPr>
        <w:t>4</w:t>
      </w:r>
      <w:r>
        <w:fldChar w:fldCharType="end"/>
      </w:r>
      <w:bookmarkEnd w:id="157"/>
      <w:r>
        <w:t xml:space="preserve">: </w:t>
      </w:r>
      <w:r w:rsidR="009222E3">
        <w:t xml:space="preserve">Total </w:t>
      </w:r>
      <w:r w:rsidR="00B44B9F">
        <w:t xml:space="preserve">aggregated </w:t>
      </w:r>
      <w:r w:rsidR="009222E3">
        <w:t>fuel consumptions in the Republic of Serbia, for the period 1990-2022</w:t>
      </w:r>
      <w:r w:rsidR="00ED33C3">
        <w:t>, per fuel type (in PJ)</w:t>
      </w:r>
      <w:bookmarkEnd w:id="158"/>
    </w:p>
    <w:p w14:paraId="2BBA881F" w14:textId="77777777" w:rsidR="004333C5" w:rsidRDefault="004333C5" w:rsidP="00917F40">
      <w:pPr>
        <w:autoSpaceDE w:val="0"/>
        <w:autoSpaceDN w:val="0"/>
        <w:adjustRightInd w:val="0"/>
        <w:spacing w:after="0" w:line="240" w:lineRule="auto"/>
        <w:jc w:val="left"/>
        <w:rPr>
          <w:sz w:val="22"/>
          <w:lang w:eastAsia="fr-FR"/>
        </w:rPr>
      </w:pPr>
    </w:p>
    <w:p w14:paraId="45F41DA1" w14:textId="77777777" w:rsidR="00917F40" w:rsidRPr="002462F0" w:rsidRDefault="00B84229" w:rsidP="003631EA">
      <w:pPr>
        <w:autoSpaceDE w:val="0"/>
        <w:autoSpaceDN w:val="0"/>
        <w:adjustRightInd w:val="0"/>
        <w:spacing w:after="0" w:line="240" w:lineRule="auto"/>
        <w:jc w:val="left"/>
        <w:rPr>
          <w:b/>
          <w:sz w:val="24"/>
          <w:szCs w:val="24"/>
          <w:lang w:eastAsia="fr-FR"/>
        </w:rPr>
      </w:pPr>
      <w:r>
        <w:rPr>
          <w:b/>
          <w:noProof/>
          <w:sz w:val="24"/>
          <w:szCs w:val="24"/>
          <w:lang w:val="en-US"/>
        </w:rPr>
        <w:drawing>
          <wp:inline distT="0" distB="0" distL="0" distR="0" wp14:anchorId="4DECF76C" wp14:editId="51E2C773">
            <wp:extent cx="5760000" cy="3407099"/>
            <wp:effectExtent l="0" t="0" r="0" b="3175"/>
            <wp:docPr id="1218045120"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3407099"/>
                    </a:xfrm>
                    <a:prstGeom prst="rect">
                      <a:avLst/>
                    </a:prstGeom>
                    <a:noFill/>
                  </pic:spPr>
                </pic:pic>
              </a:graphicData>
            </a:graphic>
          </wp:inline>
        </w:drawing>
      </w:r>
    </w:p>
    <w:p w14:paraId="2E527DB2" w14:textId="77777777" w:rsidR="003631EA" w:rsidRPr="002462F0" w:rsidRDefault="003631EA" w:rsidP="003631EA">
      <w:pPr>
        <w:pStyle w:val="Caption"/>
        <w:spacing w:before="0" w:after="0"/>
        <w:jc w:val="both"/>
        <w:rPr>
          <w:sz w:val="22"/>
          <w:lang w:eastAsia="fr-FR"/>
        </w:rPr>
      </w:pPr>
      <w:bookmarkStart w:id="159" w:name="_Toc184808392"/>
      <w:r w:rsidRPr="00622F40">
        <w:t xml:space="preserve">Figure </w:t>
      </w:r>
      <w:r w:rsidRPr="00622F40">
        <w:fldChar w:fldCharType="begin"/>
      </w:r>
      <w:r w:rsidRPr="00622F40">
        <w:instrText xml:space="preserve"> SEQ Figure \* ARABIC </w:instrText>
      </w:r>
      <w:r w:rsidRPr="00622F40">
        <w:fldChar w:fldCharType="separate"/>
      </w:r>
      <w:r>
        <w:rPr>
          <w:noProof/>
        </w:rPr>
        <w:t>5</w:t>
      </w:r>
      <w:r w:rsidRPr="00622F40">
        <w:fldChar w:fldCharType="end"/>
      </w:r>
      <w:r w:rsidRPr="00622F40">
        <w:t>: GHG emission trends for the Energy sector (CRT 1), per main subsector (in kt CO</w:t>
      </w:r>
      <w:r w:rsidRPr="00622F40">
        <w:rPr>
          <w:vertAlign w:val="subscript"/>
        </w:rPr>
        <w:t>2</w:t>
      </w:r>
      <w:r w:rsidRPr="00622F40">
        <w:t>e)</w:t>
      </w:r>
      <w:bookmarkEnd w:id="159"/>
    </w:p>
    <w:p w14:paraId="4121861A" w14:textId="77777777" w:rsidR="00917F40" w:rsidRPr="002462F0" w:rsidRDefault="00917F40" w:rsidP="00917F40">
      <w:pPr>
        <w:autoSpaceDE w:val="0"/>
        <w:autoSpaceDN w:val="0"/>
        <w:adjustRightInd w:val="0"/>
        <w:spacing w:after="0" w:line="240" w:lineRule="auto"/>
        <w:jc w:val="left"/>
        <w:rPr>
          <w:b/>
          <w:sz w:val="24"/>
          <w:szCs w:val="24"/>
          <w:lang w:eastAsia="fr-FR"/>
        </w:rPr>
      </w:pPr>
    </w:p>
    <w:p w14:paraId="3E225A67" w14:textId="3356B19C" w:rsidR="00632E20" w:rsidRPr="002462F0" w:rsidRDefault="00632E20" w:rsidP="00622F40">
      <w:pPr>
        <w:rPr>
          <w:lang w:eastAsia="fr-FR"/>
        </w:rPr>
      </w:pPr>
      <w:r w:rsidRPr="002462F0">
        <w:rPr>
          <w:lang w:eastAsia="fr-FR"/>
        </w:rPr>
        <w:t xml:space="preserve">The total annual emissions of GHGs from </w:t>
      </w:r>
      <w:r w:rsidR="00436D9E">
        <w:rPr>
          <w:lang w:eastAsia="fr-FR"/>
        </w:rPr>
        <w:t>the</w:t>
      </w:r>
      <w:r w:rsidRPr="002462F0">
        <w:rPr>
          <w:lang w:eastAsia="fr-FR"/>
        </w:rPr>
        <w:t xml:space="preserve"> Energy</w:t>
      </w:r>
      <w:r w:rsidR="00A059F9">
        <w:rPr>
          <w:lang w:eastAsia="fr-FR"/>
        </w:rPr>
        <w:t xml:space="preserve"> sector</w:t>
      </w:r>
      <w:r w:rsidRPr="002462F0">
        <w:rPr>
          <w:lang w:eastAsia="fr-FR"/>
        </w:rPr>
        <w:t>, expressed in CO</w:t>
      </w:r>
      <w:r w:rsidRPr="002462F0">
        <w:rPr>
          <w:vertAlign w:val="subscript"/>
          <w:lang w:eastAsia="fr-FR"/>
        </w:rPr>
        <w:t>2</w:t>
      </w:r>
      <w:r w:rsidRPr="002462F0">
        <w:rPr>
          <w:lang w:eastAsia="fr-FR"/>
        </w:rPr>
        <w:t xml:space="preserve">e, </w:t>
      </w:r>
      <w:r w:rsidR="00A059F9">
        <w:rPr>
          <w:lang w:eastAsia="fr-FR"/>
        </w:rPr>
        <w:t>for</w:t>
      </w:r>
      <w:r w:rsidR="00A059F9" w:rsidRPr="002462F0">
        <w:rPr>
          <w:lang w:eastAsia="fr-FR"/>
        </w:rPr>
        <w:t xml:space="preserve"> </w:t>
      </w:r>
      <w:r w:rsidRPr="002462F0">
        <w:rPr>
          <w:lang w:eastAsia="fr-FR"/>
        </w:rPr>
        <w:t xml:space="preserve">the period </w:t>
      </w:r>
      <w:r w:rsidR="00546C64">
        <w:rPr>
          <w:lang w:eastAsia="fr-FR"/>
        </w:rPr>
        <w:t>1990</w:t>
      </w:r>
      <w:r w:rsidR="00A059F9">
        <w:rPr>
          <w:lang w:eastAsia="fr-FR"/>
        </w:rPr>
        <w:t>–</w:t>
      </w:r>
      <w:r w:rsidR="00546C64">
        <w:rPr>
          <w:lang w:eastAsia="fr-FR"/>
        </w:rPr>
        <w:t>20</w:t>
      </w:r>
      <w:r w:rsidR="00A059F9">
        <w:rPr>
          <w:lang w:eastAsia="fr-FR"/>
        </w:rPr>
        <w:t>22,</w:t>
      </w:r>
      <w:r w:rsidRPr="002462F0">
        <w:rPr>
          <w:lang w:eastAsia="fr-FR"/>
        </w:rPr>
        <w:t xml:space="preserve"> are presented above.</w:t>
      </w:r>
    </w:p>
    <w:p w14:paraId="46F2FBC8" w14:textId="77777777" w:rsidR="00632E20" w:rsidRPr="002462F0" w:rsidRDefault="00632E20" w:rsidP="00632E20">
      <w:pPr>
        <w:autoSpaceDE w:val="0"/>
        <w:autoSpaceDN w:val="0"/>
        <w:adjustRightInd w:val="0"/>
        <w:spacing w:after="0" w:line="240" w:lineRule="auto"/>
        <w:jc w:val="left"/>
        <w:rPr>
          <w:sz w:val="22"/>
          <w:lang w:eastAsia="fr-FR"/>
        </w:rPr>
      </w:pPr>
    </w:p>
    <w:p w14:paraId="346989BF" w14:textId="2026539F" w:rsidR="008B7A12" w:rsidRPr="008B7A12" w:rsidRDefault="00546C64" w:rsidP="008B7A12">
      <w:r>
        <w:rPr>
          <w:lang w:eastAsia="fr-FR"/>
        </w:rPr>
        <w:t>In 20</w:t>
      </w:r>
      <w:r w:rsidR="00543787">
        <w:rPr>
          <w:lang w:eastAsia="fr-FR"/>
        </w:rPr>
        <w:t>22</w:t>
      </w:r>
      <w:r w:rsidR="00632E20" w:rsidRPr="002462F0">
        <w:rPr>
          <w:lang w:eastAsia="fr-FR"/>
        </w:rPr>
        <w:t xml:space="preserve">, GHG emissions from </w:t>
      </w:r>
      <w:r w:rsidR="00543787">
        <w:rPr>
          <w:lang w:eastAsia="fr-FR"/>
        </w:rPr>
        <w:t>CRT 1</w:t>
      </w:r>
      <w:r w:rsidR="00632E20" w:rsidRPr="002462F0">
        <w:rPr>
          <w:lang w:eastAsia="fr-FR"/>
        </w:rPr>
        <w:t xml:space="preserve"> </w:t>
      </w:r>
      <w:r w:rsidR="00543787">
        <w:rPr>
          <w:lang w:eastAsia="fr-FR"/>
        </w:rPr>
        <w:t>are equal to</w:t>
      </w:r>
      <w:r w:rsidR="00632E20" w:rsidRPr="002462F0">
        <w:rPr>
          <w:lang w:eastAsia="fr-FR"/>
        </w:rPr>
        <w:t xml:space="preserve"> </w:t>
      </w:r>
      <w:r>
        <w:rPr>
          <w:lang w:eastAsia="fr-FR"/>
        </w:rPr>
        <w:t>4</w:t>
      </w:r>
      <w:r w:rsidR="00F60F98">
        <w:rPr>
          <w:lang w:eastAsia="fr-FR"/>
        </w:rPr>
        <w:t>9</w:t>
      </w:r>
      <w:r w:rsidR="008B7A12">
        <w:rPr>
          <w:lang w:eastAsia="fr-FR"/>
        </w:rPr>
        <w:t>.</w:t>
      </w:r>
      <w:r w:rsidR="00F60F98">
        <w:rPr>
          <w:lang w:eastAsia="fr-FR"/>
        </w:rPr>
        <w:t>3</w:t>
      </w:r>
      <w:r w:rsidR="00A76D1D">
        <w:rPr>
          <w:lang w:eastAsia="fr-FR"/>
        </w:rPr>
        <w:t>Mt</w:t>
      </w:r>
      <w:r w:rsidR="00632E20" w:rsidRPr="002462F0">
        <w:rPr>
          <w:lang w:eastAsia="fr-FR"/>
        </w:rPr>
        <w:t xml:space="preserve"> CO</w:t>
      </w:r>
      <w:r w:rsidR="00632E20" w:rsidRPr="002462F0">
        <w:rPr>
          <w:vertAlign w:val="subscript"/>
          <w:lang w:eastAsia="fr-FR"/>
        </w:rPr>
        <w:t>2</w:t>
      </w:r>
      <w:r w:rsidR="00632E20" w:rsidRPr="002462F0">
        <w:rPr>
          <w:lang w:eastAsia="fr-FR"/>
        </w:rPr>
        <w:t xml:space="preserve">e, compared to </w:t>
      </w:r>
      <w:r>
        <w:rPr>
          <w:lang w:eastAsia="fr-FR"/>
        </w:rPr>
        <w:t>6</w:t>
      </w:r>
      <w:r w:rsidR="00A76D1D">
        <w:rPr>
          <w:lang w:eastAsia="fr-FR"/>
        </w:rPr>
        <w:t>6</w:t>
      </w:r>
      <w:r w:rsidR="008B7A12">
        <w:rPr>
          <w:lang w:eastAsia="fr-FR"/>
        </w:rPr>
        <w:t>.</w:t>
      </w:r>
      <w:r w:rsidR="00A76D1D">
        <w:rPr>
          <w:lang w:eastAsia="fr-FR"/>
        </w:rPr>
        <w:t>3</w:t>
      </w:r>
      <w:r w:rsidR="00632E20" w:rsidRPr="002462F0">
        <w:rPr>
          <w:lang w:eastAsia="fr-FR"/>
        </w:rPr>
        <w:t xml:space="preserve"> </w:t>
      </w:r>
      <w:r w:rsidR="00A76D1D">
        <w:rPr>
          <w:lang w:eastAsia="fr-FR"/>
        </w:rPr>
        <w:t xml:space="preserve">Mt </w:t>
      </w:r>
      <w:r w:rsidR="00632E20" w:rsidRPr="002462F0">
        <w:rPr>
          <w:lang w:eastAsia="fr-FR"/>
        </w:rPr>
        <w:t>CO</w:t>
      </w:r>
      <w:r w:rsidR="00632E20" w:rsidRPr="002462F0">
        <w:rPr>
          <w:vertAlign w:val="subscript"/>
          <w:lang w:eastAsia="fr-FR"/>
        </w:rPr>
        <w:t>2</w:t>
      </w:r>
      <w:r w:rsidR="00632E20" w:rsidRPr="002462F0">
        <w:rPr>
          <w:lang w:eastAsia="fr-FR"/>
        </w:rPr>
        <w:t>e in 1990</w:t>
      </w:r>
      <w:r w:rsidR="00F60F98">
        <w:rPr>
          <w:lang w:eastAsia="fr-FR"/>
        </w:rPr>
        <w:t xml:space="preserve">, which implies a reduction of </w:t>
      </w:r>
      <w:r w:rsidR="00341CDF">
        <w:rPr>
          <w:lang w:eastAsia="fr-FR"/>
        </w:rPr>
        <w:t>26%</w:t>
      </w:r>
      <w:r w:rsidR="00632E20" w:rsidRPr="002462F0">
        <w:rPr>
          <w:lang w:eastAsia="fr-FR"/>
        </w:rPr>
        <w:t xml:space="preserve">. </w:t>
      </w:r>
      <w:r w:rsidR="00341CDF">
        <w:rPr>
          <w:lang w:eastAsia="fr-FR"/>
        </w:rPr>
        <w:t>The GHG</w:t>
      </w:r>
      <w:r w:rsidR="00341CDF" w:rsidRPr="002462F0">
        <w:rPr>
          <w:lang w:eastAsia="fr-FR"/>
        </w:rPr>
        <w:t xml:space="preserve"> </w:t>
      </w:r>
      <w:r w:rsidR="00632E20" w:rsidRPr="002462F0">
        <w:rPr>
          <w:lang w:eastAsia="fr-FR"/>
        </w:rPr>
        <w:t xml:space="preserve">emissions </w:t>
      </w:r>
      <w:r w:rsidR="00341CDF">
        <w:rPr>
          <w:lang w:eastAsia="fr-FR"/>
        </w:rPr>
        <w:t xml:space="preserve">of the sector contributed to </w:t>
      </w:r>
      <w:r w:rsidR="00E3441D">
        <w:rPr>
          <w:lang w:eastAsia="fr-FR"/>
        </w:rPr>
        <w:t xml:space="preserve">80% </w:t>
      </w:r>
      <w:r w:rsidR="00632E20" w:rsidRPr="002462F0">
        <w:rPr>
          <w:lang w:eastAsia="fr-FR"/>
        </w:rPr>
        <w:t xml:space="preserve">of </w:t>
      </w:r>
      <w:r w:rsidR="00E3441D">
        <w:rPr>
          <w:lang w:eastAsia="fr-FR"/>
        </w:rPr>
        <w:t xml:space="preserve">The Republic of </w:t>
      </w:r>
      <w:r w:rsidR="00632E20" w:rsidRPr="002462F0">
        <w:rPr>
          <w:lang w:eastAsia="fr-FR"/>
        </w:rPr>
        <w:t>Serbia total GHG</w:t>
      </w:r>
      <w:r>
        <w:rPr>
          <w:lang w:eastAsia="fr-FR"/>
        </w:rPr>
        <w:t xml:space="preserve"> </w:t>
      </w:r>
      <w:r>
        <w:rPr>
          <w:lang w:eastAsia="fr-FR"/>
        </w:rPr>
        <w:lastRenderedPageBreak/>
        <w:t>emissions (with</w:t>
      </w:r>
      <w:r w:rsidR="00E3441D">
        <w:rPr>
          <w:lang w:eastAsia="fr-FR"/>
        </w:rPr>
        <w:t>out</w:t>
      </w:r>
      <w:r>
        <w:rPr>
          <w:lang w:eastAsia="fr-FR"/>
        </w:rPr>
        <w:t xml:space="preserve"> LULUCF) in </w:t>
      </w:r>
      <w:r w:rsidR="00E3441D">
        <w:rPr>
          <w:lang w:eastAsia="fr-FR"/>
        </w:rPr>
        <w:t xml:space="preserve">1990, </w:t>
      </w:r>
      <w:r w:rsidR="00632E20" w:rsidRPr="002462F0">
        <w:rPr>
          <w:lang w:eastAsia="fr-FR"/>
        </w:rPr>
        <w:t xml:space="preserve">and </w:t>
      </w:r>
      <w:r w:rsidR="00364036">
        <w:rPr>
          <w:lang w:eastAsia="fr-FR"/>
        </w:rPr>
        <w:t>its share is rather stable and now represents</w:t>
      </w:r>
      <w:r w:rsidR="00E3441D">
        <w:rPr>
          <w:lang w:eastAsia="fr-FR"/>
        </w:rPr>
        <w:t xml:space="preserve"> </w:t>
      </w:r>
      <w:r w:rsidR="0002774A">
        <w:rPr>
          <w:lang w:eastAsia="fr-FR"/>
        </w:rPr>
        <w:t>79</w:t>
      </w:r>
      <w:r w:rsidR="00632E20" w:rsidRPr="002462F0">
        <w:rPr>
          <w:lang w:eastAsia="fr-FR"/>
        </w:rPr>
        <w:t xml:space="preserve">% of total emissions in </w:t>
      </w:r>
      <w:r w:rsidR="0002774A">
        <w:rPr>
          <w:lang w:eastAsia="fr-FR"/>
        </w:rPr>
        <w:t>2022</w:t>
      </w:r>
      <w:r w:rsidR="00632E20" w:rsidRPr="002462F0">
        <w:rPr>
          <w:lang w:eastAsia="fr-FR"/>
        </w:rPr>
        <w:t xml:space="preserve">. </w:t>
      </w:r>
      <w:r w:rsidR="007063C2">
        <w:rPr>
          <w:lang w:eastAsia="fr-FR"/>
        </w:rPr>
        <w:t xml:space="preserve">The GHG emissions vary </w:t>
      </w:r>
      <w:r w:rsidR="002C48FE">
        <w:rPr>
          <w:lang w:eastAsia="fr-FR"/>
        </w:rPr>
        <w:t>significantly</w:t>
      </w:r>
      <w:r w:rsidR="007063C2">
        <w:rPr>
          <w:lang w:eastAsia="fr-FR"/>
        </w:rPr>
        <w:t xml:space="preserve"> during the </w:t>
      </w:r>
      <w:r w:rsidR="00E568E1">
        <w:rPr>
          <w:lang w:eastAsia="fr-FR"/>
        </w:rPr>
        <w:t>studied period</w:t>
      </w:r>
      <w:r w:rsidR="002C48FE">
        <w:rPr>
          <w:lang w:eastAsia="fr-FR"/>
        </w:rPr>
        <w:t>, rather similarly to the total fuel consumption as described previously</w:t>
      </w:r>
      <w:r w:rsidR="00E568E1">
        <w:rPr>
          <w:lang w:eastAsia="fr-FR"/>
        </w:rPr>
        <w:t>.</w:t>
      </w:r>
      <w:r w:rsidR="002F2A22">
        <w:rPr>
          <w:lang w:eastAsia="fr-FR"/>
        </w:rPr>
        <w:t xml:space="preserve"> All subsectors contributed to the overall </w:t>
      </w:r>
      <w:r w:rsidR="00F90D26">
        <w:rPr>
          <w:lang w:eastAsia="fr-FR"/>
        </w:rPr>
        <w:t xml:space="preserve">observed </w:t>
      </w:r>
      <w:r w:rsidR="002F2A22">
        <w:rPr>
          <w:lang w:eastAsia="fr-FR"/>
        </w:rPr>
        <w:t>GHG emission reduction, except the transport sector (CRT 1A3)</w:t>
      </w:r>
      <w:r w:rsidR="00F90D26">
        <w:rPr>
          <w:lang w:eastAsia="fr-FR"/>
        </w:rPr>
        <w:t xml:space="preserve"> which has known an emission increase of </w:t>
      </w:r>
      <w:r w:rsidR="000311CE">
        <w:rPr>
          <w:lang w:eastAsia="fr-FR"/>
        </w:rPr>
        <w:t>79%.</w:t>
      </w:r>
      <w:r w:rsidR="002F2A22">
        <w:rPr>
          <w:lang w:eastAsia="fr-FR"/>
        </w:rPr>
        <w:t xml:space="preserve"> </w:t>
      </w:r>
      <w:r w:rsidR="000C57BF">
        <w:rPr>
          <w:lang w:eastAsia="fr-FR"/>
        </w:rPr>
        <w:t xml:space="preserve"> The Energy industries sector (CRT 1A1), which contributed to 52% of the </w:t>
      </w:r>
      <w:r w:rsidR="00B50BEE">
        <w:rPr>
          <w:lang w:eastAsia="fr-FR"/>
        </w:rPr>
        <w:t>Energy sector GHG emissions in 1990, have reduced its emissions by 25% over the period 1990-2022.</w:t>
      </w:r>
    </w:p>
    <w:p w14:paraId="007ADD75" w14:textId="6866376F" w:rsidR="00DB049A" w:rsidRPr="002462F0" w:rsidRDefault="00B50BEE" w:rsidP="00632E20">
      <w:pPr>
        <w:pStyle w:val="Heading2"/>
        <w:rPr>
          <w:rStyle w:val="Heading2Char"/>
          <w:b/>
          <w:lang w:val="en-GB"/>
        </w:rPr>
      </w:pPr>
      <w:r>
        <w:rPr>
          <w:lang w:eastAsia="fr-FR"/>
        </w:rPr>
        <w:t xml:space="preserve"> </w:t>
      </w:r>
      <w:bookmarkStart w:id="160" w:name="_Toc496101034"/>
      <w:bookmarkStart w:id="161" w:name="_Toc182327723"/>
      <w:bookmarkStart w:id="162" w:name="_Toc184808166"/>
      <w:r w:rsidR="00614555" w:rsidRPr="002462F0">
        <w:rPr>
          <w:rStyle w:val="Heading2Char"/>
          <w:b/>
          <w:lang w:val="en-GB"/>
        </w:rPr>
        <w:t>Fuel combustion (</w:t>
      </w:r>
      <w:r w:rsidR="000F6001">
        <w:rPr>
          <w:rStyle w:val="Heading2Char"/>
          <w:b/>
          <w:lang w:val="en-GB"/>
        </w:rPr>
        <w:t>CRT</w:t>
      </w:r>
      <w:r w:rsidR="00DB049A" w:rsidRPr="002462F0">
        <w:rPr>
          <w:rStyle w:val="Heading2Char"/>
          <w:b/>
          <w:lang w:val="en-GB"/>
        </w:rPr>
        <w:t xml:space="preserve"> 1.A)</w:t>
      </w:r>
      <w:bookmarkEnd w:id="160"/>
      <w:bookmarkEnd w:id="161"/>
      <w:bookmarkEnd w:id="162"/>
    </w:p>
    <w:p w14:paraId="67D5E248" w14:textId="1B1E71EF" w:rsidR="00614555" w:rsidRPr="00622F40" w:rsidRDefault="00614555" w:rsidP="005439A4">
      <w:pPr>
        <w:pStyle w:val="Heading3"/>
        <w:spacing w:before="240"/>
        <w:rPr>
          <w:lang w:val="en-GB" w:eastAsia="fr-FR"/>
        </w:rPr>
      </w:pPr>
      <w:bookmarkStart w:id="163" w:name="_Toc496101035"/>
      <w:bookmarkStart w:id="164" w:name="_Ref180076381"/>
      <w:bookmarkStart w:id="165" w:name="_Toc182327724"/>
      <w:bookmarkStart w:id="166" w:name="_Toc184808167"/>
      <w:r w:rsidRPr="00622F40">
        <w:rPr>
          <w:lang w:val="en-GB" w:eastAsia="fr-FR"/>
        </w:rPr>
        <w:t>Comparison of the sectoral approach with the reference approach</w:t>
      </w:r>
      <w:bookmarkEnd w:id="163"/>
      <w:r w:rsidR="0040204B" w:rsidRPr="00622F40">
        <w:rPr>
          <w:lang w:val="en-GB" w:eastAsia="fr-FR"/>
        </w:rPr>
        <w:t xml:space="preserve"> (RA vs. SA)</w:t>
      </w:r>
      <w:bookmarkEnd w:id="164"/>
      <w:bookmarkEnd w:id="165"/>
      <w:bookmarkEnd w:id="166"/>
    </w:p>
    <w:p w14:paraId="49BDDAAB" w14:textId="60E47F06" w:rsidR="00B70FA1" w:rsidRDefault="004D2F3F" w:rsidP="00622F40">
      <w:pPr>
        <w:rPr>
          <w:lang w:val="en" w:eastAsia="fr-FR"/>
        </w:rPr>
      </w:pPr>
      <w:r w:rsidRPr="004D2F3F">
        <w:rPr>
          <w:lang w:val="en" w:eastAsia="fr-FR"/>
        </w:rPr>
        <w:t>The reference approach is recommended by the IPCC. Th</w:t>
      </w:r>
      <w:r w:rsidR="00B70FA1">
        <w:rPr>
          <w:lang w:val="en" w:eastAsia="fr-FR"/>
        </w:rPr>
        <w:t xml:space="preserve">is </w:t>
      </w:r>
      <w:r w:rsidR="00D36A36">
        <w:rPr>
          <w:lang w:val="en" w:eastAsia="fr-FR"/>
        </w:rPr>
        <w:t xml:space="preserve">consists of the comparison of the </w:t>
      </w:r>
      <w:r w:rsidR="002A5C7B">
        <w:rPr>
          <w:lang w:val="en" w:eastAsia="fr-FR"/>
        </w:rPr>
        <w:t xml:space="preserve">fuel </w:t>
      </w:r>
      <w:r w:rsidR="003F5AB3">
        <w:rPr>
          <w:lang w:val="en" w:eastAsia="fr-FR"/>
        </w:rPr>
        <w:t xml:space="preserve">consumptions </w:t>
      </w:r>
      <w:r w:rsidR="00134943">
        <w:rPr>
          <w:lang w:val="en" w:eastAsia="fr-FR"/>
        </w:rPr>
        <w:t xml:space="preserve">of the Energy sector (CRT 1A) </w:t>
      </w:r>
      <w:r w:rsidR="002A5C7B">
        <w:rPr>
          <w:lang w:val="en" w:eastAsia="fr-FR"/>
        </w:rPr>
        <w:t>from the energy balance</w:t>
      </w:r>
      <w:r w:rsidR="00134943">
        <w:rPr>
          <w:lang w:val="en" w:eastAsia="fr-FR"/>
        </w:rPr>
        <w:t>s,</w:t>
      </w:r>
      <w:r w:rsidR="002A5C7B">
        <w:rPr>
          <w:lang w:val="en" w:eastAsia="fr-FR"/>
        </w:rPr>
        <w:t xml:space="preserve"> based on the production, imports, exports and stock changes (reference approach)</w:t>
      </w:r>
      <w:r w:rsidR="00134943">
        <w:rPr>
          <w:lang w:val="en" w:eastAsia="fr-FR"/>
        </w:rPr>
        <w:t>,</w:t>
      </w:r>
      <w:r w:rsidR="002A5C7B">
        <w:rPr>
          <w:lang w:val="en" w:eastAsia="fr-FR"/>
        </w:rPr>
        <w:t xml:space="preserve"> with the fuel consumptions </w:t>
      </w:r>
      <w:r w:rsidR="008559E7">
        <w:rPr>
          <w:lang w:val="en" w:eastAsia="fr-FR"/>
        </w:rPr>
        <w:t>used in the emission inventory</w:t>
      </w:r>
      <w:r w:rsidR="00134943">
        <w:rPr>
          <w:lang w:val="en" w:eastAsia="fr-FR"/>
        </w:rPr>
        <w:t xml:space="preserve"> (sectoral approach)</w:t>
      </w:r>
      <w:r w:rsidR="008559E7">
        <w:rPr>
          <w:lang w:val="en" w:eastAsia="fr-FR"/>
        </w:rPr>
        <w:t xml:space="preserve">. The </w:t>
      </w:r>
      <w:r w:rsidR="003F5AB3">
        <w:rPr>
          <w:lang w:val="en" w:eastAsia="fr-FR"/>
        </w:rPr>
        <w:t>CO</w:t>
      </w:r>
      <w:r w:rsidR="002A5C7B" w:rsidRPr="00622F40">
        <w:rPr>
          <w:vertAlign w:val="subscript"/>
          <w:lang w:val="en" w:eastAsia="fr-FR"/>
        </w:rPr>
        <w:t>2</w:t>
      </w:r>
      <w:r w:rsidR="003F5AB3">
        <w:rPr>
          <w:lang w:val="en" w:eastAsia="fr-FR"/>
        </w:rPr>
        <w:t xml:space="preserve"> emissions</w:t>
      </w:r>
      <w:r w:rsidR="00B70FA1">
        <w:rPr>
          <w:lang w:val="en" w:eastAsia="fr-FR"/>
        </w:rPr>
        <w:t xml:space="preserve"> </w:t>
      </w:r>
      <w:r w:rsidR="008559E7">
        <w:rPr>
          <w:lang w:val="en" w:eastAsia="fr-FR"/>
        </w:rPr>
        <w:t xml:space="preserve">associated with these two approaches are also compared. The </w:t>
      </w:r>
      <w:r w:rsidR="00992DF3">
        <w:rPr>
          <w:lang w:val="en" w:eastAsia="fr-FR"/>
        </w:rPr>
        <w:t xml:space="preserve">results from the </w:t>
      </w:r>
      <w:r w:rsidR="008559E7">
        <w:rPr>
          <w:lang w:val="en" w:eastAsia="fr-FR"/>
        </w:rPr>
        <w:t xml:space="preserve">comparison of both approaches </w:t>
      </w:r>
      <w:r w:rsidR="00992DF3">
        <w:rPr>
          <w:lang w:val="en" w:eastAsia="fr-FR"/>
        </w:rPr>
        <w:t>are</w:t>
      </w:r>
      <w:r w:rsidR="008559E7">
        <w:rPr>
          <w:lang w:val="en" w:eastAsia="fr-FR"/>
        </w:rPr>
        <w:t xml:space="preserve"> </w:t>
      </w:r>
      <w:r w:rsidR="00992DF3">
        <w:rPr>
          <w:lang w:val="en" w:eastAsia="fr-FR"/>
        </w:rPr>
        <w:t>reported</w:t>
      </w:r>
      <w:r w:rsidR="008559E7">
        <w:rPr>
          <w:lang w:val="en" w:eastAsia="fr-FR"/>
        </w:rPr>
        <w:t xml:space="preserve"> </w:t>
      </w:r>
      <w:r w:rsidR="00B70FA1">
        <w:rPr>
          <w:lang w:val="en" w:eastAsia="fr-FR"/>
        </w:rPr>
        <w:t>in the</w:t>
      </w:r>
      <w:r w:rsidR="00DB6677">
        <w:rPr>
          <w:lang w:val="en" w:eastAsia="fr-FR"/>
        </w:rPr>
        <w:t xml:space="preserve"> CR</w:t>
      </w:r>
      <w:r w:rsidR="008559E7">
        <w:rPr>
          <w:lang w:val="en" w:eastAsia="fr-FR"/>
        </w:rPr>
        <w:t>T</w:t>
      </w:r>
      <w:r w:rsidR="00DB6677">
        <w:rPr>
          <w:lang w:val="en" w:eastAsia="fr-FR"/>
        </w:rPr>
        <w:t xml:space="preserve"> tables</w:t>
      </w:r>
      <w:r w:rsidR="00992DF3">
        <w:rPr>
          <w:lang w:val="en" w:eastAsia="fr-FR"/>
        </w:rPr>
        <w:t>,</w:t>
      </w:r>
      <w:r w:rsidR="00B66C5D">
        <w:rPr>
          <w:lang w:val="en" w:eastAsia="fr-FR"/>
        </w:rPr>
        <w:t xml:space="preserve"> and a brief analysis of the</w:t>
      </w:r>
      <w:r w:rsidR="00DB6677">
        <w:rPr>
          <w:lang w:val="en" w:eastAsia="fr-FR"/>
        </w:rPr>
        <w:t xml:space="preserve"> </w:t>
      </w:r>
      <w:r w:rsidR="00992DF3">
        <w:rPr>
          <w:lang w:val="en" w:eastAsia="fr-FR"/>
        </w:rPr>
        <w:t xml:space="preserve">main observations is </w:t>
      </w:r>
      <w:r w:rsidR="00B70FA1">
        <w:rPr>
          <w:lang w:val="en" w:eastAsia="fr-FR"/>
        </w:rPr>
        <w:t>presented here</w:t>
      </w:r>
      <w:r w:rsidR="00B66C5D">
        <w:rPr>
          <w:lang w:val="en" w:eastAsia="fr-FR"/>
        </w:rPr>
        <w:t>after.</w:t>
      </w:r>
    </w:p>
    <w:p w14:paraId="35DEB43E" w14:textId="3265B63A" w:rsidR="00DD70A2" w:rsidRDefault="00DD70A2" w:rsidP="00DD70A2">
      <w:pPr>
        <w:pStyle w:val="Caption"/>
        <w:keepNext/>
      </w:pPr>
      <w:bookmarkStart w:id="167" w:name="_Toc184808555"/>
      <w:r>
        <w:lastRenderedPageBreak/>
        <w:t xml:space="preserve">Table </w:t>
      </w:r>
      <w:r>
        <w:fldChar w:fldCharType="begin"/>
      </w:r>
      <w:r>
        <w:instrText xml:space="preserve"> SEQ Table \* ARABIC </w:instrText>
      </w:r>
      <w:r>
        <w:fldChar w:fldCharType="separate"/>
      </w:r>
      <w:r w:rsidR="00F14C78">
        <w:rPr>
          <w:noProof/>
        </w:rPr>
        <w:t>13</w:t>
      </w:r>
      <w:r>
        <w:fldChar w:fldCharType="end"/>
      </w:r>
      <w:r>
        <w:t>: Overall comparison of the CO</w:t>
      </w:r>
      <w:r w:rsidRPr="00622F40">
        <w:rPr>
          <w:vertAlign w:val="subscript"/>
        </w:rPr>
        <w:t>2</w:t>
      </w:r>
      <w:r>
        <w:t xml:space="preserve"> emissions from the reference and sectoral approaches for the Republic of Serbia, for the period 1990-2022</w:t>
      </w:r>
      <w:bookmarkEnd w:id="167"/>
    </w:p>
    <w:p w14:paraId="371FF362" w14:textId="7494FE94" w:rsidR="00B70FA1" w:rsidRPr="004D2F3F" w:rsidRDefault="0054296B" w:rsidP="00622F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Cs w:val="20"/>
          <w:lang w:val="en-US" w:eastAsia="fr-FR"/>
        </w:rPr>
      </w:pPr>
      <w:r w:rsidRPr="0054296B">
        <w:rPr>
          <w:noProof/>
          <w:lang w:val="en-US"/>
        </w:rPr>
        <w:drawing>
          <wp:inline distT="0" distB="0" distL="0" distR="0" wp14:anchorId="647D8F1C" wp14:editId="05C63298">
            <wp:extent cx="3057525" cy="7124700"/>
            <wp:effectExtent l="0" t="0" r="9525" b="0"/>
            <wp:docPr id="365935041"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7525" cy="7124700"/>
                    </a:xfrm>
                    <a:prstGeom prst="rect">
                      <a:avLst/>
                    </a:prstGeom>
                    <a:noFill/>
                    <a:ln>
                      <a:noFill/>
                    </a:ln>
                  </pic:spPr>
                </pic:pic>
              </a:graphicData>
            </a:graphic>
          </wp:inline>
        </w:drawing>
      </w:r>
    </w:p>
    <w:p w14:paraId="137A9D6D" w14:textId="7D91FFBD" w:rsidR="004D2F3F" w:rsidRDefault="004D2F3F" w:rsidP="004D2F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212121"/>
          <w:szCs w:val="20"/>
          <w:lang w:val="en-US" w:eastAsia="fr-FR"/>
        </w:rPr>
      </w:pPr>
    </w:p>
    <w:p w14:paraId="15D31454" w14:textId="1E49E7CE" w:rsidR="004B5E89" w:rsidRPr="004B5E89" w:rsidRDefault="002C4AF4" w:rsidP="004B5E89">
      <w:pPr>
        <w:spacing w:before="120" w:after="100" w:afterAutospacing="1" w:line="240" w:lineRule="auto"/>
        <w:rPr>
          <w:rFonts w:eastAsia="Times New Roman" w:cs="Times New Roman"/>
          <w:sz w:val="24"/>
          <w:szCs w:val="24"/>
          <w:lang w:val="en-US" w:eastAsia="fr-FR"/>
        </w:rPr>
      </w:pPr>
      <w:r>
        <w:rPr>
          <w:rFonts w:eastAsia="Times New Roman" w:cs="Courier New"/>
          <w:color w:val="212121"/>
          <w:szCs w:val="20"/>
          <w:lang w:val="en-US" w:eastAsia="fr-FR"/>
        </w:rPr>
        <w:t>In overall (all fuel considered), for the period 1990-2022, the differences between the two approaches are of 2.6%</w:t>
      </w:r>
      <w:r w:rsidR="00E22127">
        <w:rPr>
          <w:rFonts w:eastAsia="Times New Roman" w:cs="Courier New"/>
          <w:color w:val="212121"/>
          <w:szCs w:val="20"/>
          <w:lang w:val="en-US" w:eastAsia="fr-FR"/>
        </w:rPr>
        <w:t xml:space="preserve">. </w:t>
      </w:r>
      <w:r w:rsidR="001F7F51">
        <w:rPr>
          <w:rFonts w:eastAsia="Times New Roman" w:cs="Courier New"/>
          <w:color w:val="212121"/>
          <w:szCs w:val="20"/>
          <w:lang w:val="en-US" w:eastAsia="fr-FR"/>
        </w:rPr>
        <w:t xml:space="preserve">It can be observed that the differences are always negative, </w:t>
      </w:r>
      <w:r w:rsidR="00EF0131">
        <w:rPr>
          <w:rFonts w:eastAsia="Times New Roman" w:cs="Courier New"/>
          <w:color w:val="212121"/>
          <w:szCs w:val="20"/>
          <w:lang w:val="en-US" w:eastAsia="fr-FR"/>
        </w:rPr>
        <w:t>meaning that the CO</w:t>
      </w:r>
      <w:r w:rsidR="00EF0131" w:rsidRPr="00622F40">
        <w:rPr>
          <w:rFonts w:eastAsia="Times New Roman" w:cs="Courier New"/>
          <w:color w:val="212121"/>
          <w:szCs w:val="20"/>
          <w:vertAlign w:val="subscript"/>
          <w:lang w:val="en-US" w:eastAsia="fr-FR"/>
        </w:rPr>
        <w:t>2</w:t>
      </w:r>
      <w:r w:rsidR="00EF0131">
        <w:rPr>
          <w:rFonts w:eastAsia="Times New Roman" w:cs="Courier New"/>
          <w:color w:val="212121"/>
          <w:szCs w:val="20"/>
          <w:lang w:val="en-US" w:eastAsia="fr-FR"/>
        </w:rPr>
        <w:t xml:space="preserve"> emissions related to the fuel consumptions from the reference approach are smaller than the ones from the sectoral approach. The observed gaps are pretty reasonable compared to IPCC recommendations </w:t>
      </w:r>
      <w:r w:rsidR="00575BE5">
        <w:rPr>
          <w:rFonts w:eastAsia="Times New Roman" w:cs="Courier New"/>
          <w:color w:val="212121"/>
          <w:szCs w:val="20"/>
          <w:lang w:val="en-US" w:eastAsia="fr-FR"/>
        </w:rPr>
        <w:t xml:space="preserve">of 5%. </w:t>
      </w:r>
      <w:r w:rsidR="00784519">
        <w:rPr>
          <w:rFonts w:eastAsia="Times New Roman" w:cs="Courier New"/>
          <w:color w:val="212121"/>
          <w:szCs w:val="20"/>
          <w:lang w:val="en-US" w:eastAsia="fr-FR"/>
        </w:rPr>
        <w:t>In the following paragraphs, additional details and explanations are given by fuel categories</w:t>
      </w:r>
      <w:r w:rsidR="009B3103">
        <w:rPr>
          <w:rFonts w:eastAsia="Times New Roman" w:cs="Courier New"/>
          <w:color w:val="212121"/>
          <w:szCs w:val="20"/>
          <w:lang w:val="en-US" w:eastAsia="fr-FR"/>
        </w:rPr>
        <w:t>:</w:t>
      </w:r>
    </w:p>
    <w:p w14:paraId="529E33D5" w14:textId="7E390991" w:rsidR="0040204B" w:rsidRDefault="0040204B" w:rsidP="004F36AC">
      <w:pPr>
        <w:pStyle w:val="ListParagraph"/>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sidRPr="0040204B">
        <w:rPr>
          <w:rFonts w:eastAsia="Times New Roman" w:cs="Courier New"/>
          <w:color w:val="212121"/>
          <w:szCs w:val="20"/>
          <w:lang w:val="en" w:eastAsia="fr-FR"/>
        </w:rPr>
        <w:t xml:space="preserve">Liquid fuels: </w:t>
      </w:r>
      <w:r>
        <w:rPr>
          <w:rFonts w:eastAsia="Times New Roman" w:cs="Courier New"/>
          <w:color w:val="212121"/>
          <w:szCs w:val="20"/>
          <w:lang w:val="en" w:eastAsia="fr-FR"/>
        </w:rPr>
        <w:t>the difference</w:t>
      </w:r>
      <w:r w:rsidR="004A23AF">
        <w:rPr>
          <w:rFonts w:eastAsia="Times New Roman" w:cs="Courier New"/>
          <w:color w:val="212121"/>
          <w:szCs w:val="20"/>
          <w:lang w:val="en" w:eastAsia="fr-FR"/>
        </w:rPr>
        <w:t>s between energy consumptions and CO</w:t>
      </w:r>
      <w:r w:rsidR="004A23AF" w:rsidRPr="00622F40">
        <w:rPr>
          <w:rFonts w:eastAsia="Times New Roman" w:cs="Courier New"/>
          <w:color w:val="212121"/>
          <w:szCs w:val="20"/>
          <w:vertAlign w:val="subscript"/>
          <w:lang w:val="en" w:eastAsia="fr-FR"/>
        </w:rPr>
        <w:t>2</w:t>
      </w:r>
      <w:r w:rsidR="004A23AF">
        <w:rPr>
          <w:rFonts w:eastAsia="Times New Roman" w:cs="Courier New"/>
          <w:color w:val="212121"/>
          <w:szCs w:val="20"/>
          <w:lang w:val="en" w:eastAsia="fr-FR"/>
        </w:rPr>
        <w:t xml:space="preserve"> emissions are rather proportional and, there are some years where </w:t>
      </w:r>
      <w:r w:rsidR="00BC4D5A">
        <w:rPr>
          <w:rFonts w:eastAsia="Times New Roman" w:cs="Courier New"/>
          <w:color w:val="212121"/>
          <w:szCs w:val="20"/>
          <w:lang w:val="en" w:eastAsia="fr-FR"/>
        </w:rPr>
        <w:t>they are</w:t>
      </w:r>
      <w:r w:rsidR="004A23AF">
        <w:rPr>
          <w:rFonts w:eastAsia="Times New Roman" w:cs="Courier New"/>
          <w:color w:val="212121"/>
          <w:szCs w:val="20"/>
          <w:lang w:val="en" w:eastAsia="fr-FR"/>
        </w:rPr>
        <w:t xml:space="preserve"> not negligible.</w:t>
      </w:r>
      <w:r>
        <w:rPr>
          <w:rFonts w:eastAsia="Times New Roman" w:cs="Courier New"/>
          <w:color w:val="212121"/>
          <w:szCs w:val="20"/>
          <w:lang w:val="en" w:eastAsia="fr-FR"/>
        </w:rPr>
        <w:t xml:space="preserve"> </w:t>
      </w:r>
      <w:r w:rsidR="00431BDF">
        <w:rPr>
          <w:rFonts w:eastAsia="Times New Roman" w:cs="Courier New"/>
          <w:color w:val="212121"/>
          <w:szCs w:val="20"/>
          <w:lang w:val="en" w:eastAsia="fr-FR"/>
        </w:rPr>
        <w:t xml:space="preserve">For the period 1990-2000 (in particular in </w:t>
      </w:r>
      <w:r w:rsidR="00431BDF">
        <w:rPr>
          <w:rFonts w:eastAsia="Times New Roman" w:cs="Courier New"/>
          <w:color w:val="212121"/>
          <w:szCs w:val="20"/>
          <w:lang w:val="en" w:eastAsia="fr-FR"/>
        </w:rPr>
        <w:lastRenderedPageBreak/>
        <w:t xml:space="preserve">1999), </w:t>
      </w:r>
      <w:r w:rsidR="00D26642">
        <w:rPr>
          <w:rFonts w:eastAsia="Times New Roman" w:cs="Courier New"/>
          <w:color w:val="212121"/>
          <w:szCs w:val="20"/>
          <w:lang w:val="en" w:eastAsia="fr-FR"/>
        </w:rPr>
        <w:t>the largest</w:t>
      </w:r>
      <w:r w:rsidR="00431BDF">
        <w:rPr>
          <w:rFonts w:eastAsia="Times New Roman" w:cs="Courier New"/>
          <w:color w:val="212121"/>
          <w:szCs w:val="20"/>
          <w:lang w:val="en" w:eastAsia="fr-FR"/>
        </w:rPr>
        <w:t xml:space="preserve"> differences can be explained by the statistical differences</w:t>
      </w:r>
      <w:r w:rsidR="00AE68EA">
        <w:rPr>
          <w:rFonts w:eastAsia="Times New Roman" w:cs="Courier New"/>
          <w:color w:val="212121"/>
          <w:szCs w:val="20"/>
          <w:lang w:val="en" w:eastAsia="fr-FR"/>
        </w:rPr>
        <w:t xml:space="preserve">. For the period 2013-2015, the high discrepancies observed are related to the increases in </w:t>
      </w:r>
      <w:r w:rsidR="0034685D">
        <w:rPr>
          <w:rFonts w:eastAsia="Times New Roman" w:cs="Courier New"/>
          <w:color w:val="212121"/>
          <w:szCs w:val="20"/>
          <w:lang w:val="en" w:eastAsia="fr-FR"/>
        </w:rPr>
        <w:t xml:space="preserve">non-energy uses </w:t>
      </w:r>
      <w:r w:rsidR="00AE68EA">
        <w:rPr>
          <w:rFonts w:eastAsia="Times New Roman" w:cs="Courier New"/>
          <w:color w:val="212121"/>
          <w:szCs w:val="20"/>
          <w:lang w:val="en" w:eastAsia="fr-FR"/>
        </w:rPr>
        <w:t>of naphtha and refinery feedstocks</w:t>
      </w:r>
      <w:r w:rsidR="0034685D">
        <w:rPr>
          <w:rFonts w:eastAsia="Times New Roman" w:cs="Courier New"/>
          <w:color w:val="212121"/>
          <w:szCs w:val="20"/>
          <w:lang w:val="en" w:eastAsia="fr-FR"/>
        </w:rPr>
        <w:t>,</w:t>
      </w:r>
      <w:r w:rsidR="00AE68EA">
        <w:rPr>
          <w:rFonts w:eastAsia="Times New Roman" w:cs="Courier New"/>
          <w:color w:val="212121"/>
          <w:szCs w:val="20"/>
          <w:lang w:val="en" w:eastAsia="fr-FR"/>
        </w:rPr>
        <w:t xml:space="preserve"> which are not compensated</w:t>
      </w:r>
      <w:r w:rsidR="0034685D">
        <w:rPr>
          <w:rFonts w:eastAsia="Times New Roman" w:cs="Courier New"/>
          <w:color w:val="212121"/>
          <w:szCs w:val="20"/>
          <w:lang w:val="en" w:eastAsia="fr-FR"/>
        </w:rPr>
        <w:t xml:space="preserve"> (e.g., by an increase of crude oil consumption), therefore making the reference approach consumptions way lower than the sectoral ones</w:t>
      </w:r>
      <w:r w:rsidR="00AE68EA">
        <w:rPr>
          <w:rFonts w:eastAsia="Times New Roman" w:cs="Courier New"/>
          <w:color w:val="212121"/>
          <w:szCs w:val="20"/>
          <w:lang w:val="en" w:eastAsia="fr-FR"/>
        </w:rPr>
        <w:t xml:space="preserve">. </w:t>
      </w:r>
      <w:r>
        <w:rPr>
          <w:rFonts w:eastAsia="Times New Roman" w:cs="Courier New"/>
          <w:color w:val="212121"/>
          <w:szCs w:val="20"/>
          <w:lang w:val="en" w:eastAsia="fr-FR"/>
        </w:rPr>
        <w:t>It has to be noted that ‘refinery feedstocks’</w:t>
      </w:r>
      <w:r w:rsidR="005545BE">
        <w:rPr>
          <w:rFonts w:eastAsia="Times New Roman" w:cs="Courier New"/>
          <w:color w:val="212121"/>
          <w:szCs w:val="20"/>
          <w:lang w:val="en" w:eastAsia="fr-FR"/>
        </w:rPr>
        <w:t xml:space="preserve"> reported as refinery intakes</w:t>
      </w:r>
      <w:r>
        <w:rPr>
          <w:rFonts w:eastAsia="Times New Roman" w:cs="Courier New"/>
          <w:color w:val="212121"/>
          <w:szCs w:val="20"/>
          <w:lang w:val="en" w:eastAsia="fr-FR"/>
        </w:rPr>
        <w:t xml:space="preserve"> </w:t>
      </w:r>
      <w:r w:rsidR="005545BE">
        <w:rPr>
          <w:rFonts w:eastAsia="Times New Roman" w:cs="Courier New"/>
          <w:color w:val="212121"/>
          <w:szCs w:val="20"/>
          <w:lang w:val="en" w:eastAsia="fr-FR"/>
        </w:rPr>
        <w:t xml:space="preserve">in the IEA questionnaires </w:t>
      </w:r>
      <w:r>
        <w:rPr>
          <w:rFonts w:eastAsia="Times New Roman" w:cs="Courier New"/>
          <w:color w:val="212121"/>
          <w:szCs w:val="20"/>
          <w:lang w:val="en" w:eastAsia="fr-FR"/>
        </w:rPr>
        <w:t>have been considered in the RA as non-energy products to be consistent with the SA.</w:t>
      </w:r>
    </w:p>
    <w:p w14:paraId="5C1975C9" w14:textId="77777777" w:rsidR="009B3103" w:rsidRPr="00622F40" w:rsidRDefault="009B3103" w:rsidP="00622F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p>
    <w:p w14:paraId="3E010F11" w14:textId="1BC69BCA" w:rsidR="0040204B" w:rsidRDefault="0040204B" w:rsidP="004F36AC">
      <w:pPr>
        <w:pStyle w:val="ListParagraph"/>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sidRPr="0040204B">
        <w:rPr>
          <w:rFonts w:eastAsia="Times New Roman" w:cs="Courier New"/>
          <w:color w:val="212121"/>
          <w:szCs w:val="20"/>
          <w:lang w:val="en" w:eastAsia="fr-FR"/>
        </w:rPr>
        <w:t xml:space="preserve">Solid fuels: a </w:t>
      </w:r>
      <w:r w:rsidR="00062D1D">
        <w:rPr>
          <w:rFonts w:eastAsia="Times New Roman" w:cs="Courier New"/>
          <w:color w:val="212121"/>
          <w:szCs w:val="20"/>
          <w:lang w:val="en" w:eastAsia="fr-FR"/>
        </w:rPr>
        <w:t xml:space="preserve">mean discrepancy </w:t>
      </w:r>
      <w:r w:rsidRPr="0040204B">
        <w:rPr>
          <w:rFonts w:eastAsia="Times New Roman" w:cs="Courier New"/>
          <w:color w:val="212121"/>
          <w:szCs w:val="20"/>
          <w:lang w:val="en" w:eastAsia="fr-FR"/>
        </w:rPr>
        <w:t xml:space="preserve">of </w:t>
      </w:r>
      <w:r w:rsidR="00062D1D">
        <w:rPr>
          <w:rFonts w:eastAsia="Times New Roman" w:cs="Courier New"/>
          <w:color w:val="212121"/>
          <w:szCs w:val="20"/>
          <w:lang w:val="en" w:eastAsia="fr-FR"/>
        </w:rPr>
        <w:t>2.8</w:t>
      </w:r>
      <w:r w:rsidRPr="0040204B">
        <w:rPr>
          <w:rFonts w:eastAsia="Times New Roman" w:cs="Courier New"/>
          <w:color w:val="212121"/>
          <w:szCs w:val="20"/>
          <w:lang w:val="en" w:eastAsia="fr-FR"/>
        </w:rPr>
        <w:t xml:space="preserve">% is observed </w:t>
      </w:r>
      <w:r w:rsidR="00062D1D">
        <w:rPr>
          <w:rFonts w:eastAsia="Times New Roman" w:cs="Courier New"/>
          <w:color w:val="212121"/>
          <w:szCs w:val="20"/>
          <w:lang w:val="en" w:eastAsia="fr-FR"/>
        </w:rPr>
        <w:t>for the energy consumptions of the two approaches</w:t>
      </w:r>
      <w:r w:rsidRPr="0040204B">
        <w:rPr>
          <w:rFonts w:eastAsia="Times New Roman" w:cs="Courier New"/>
          <w:color w:val="212121"/>
          <w:szCs w:val="20"/>
          <w:lang w:val="en" w:eastAsia="fr-FR"/>
        </w:rPr>
        <w:t xml:space="preserve">. </w:t>
      </w:r>
      <w:r w:rsidR="00062D1D">
        <w:rPr>
          <w:rFonts w:eastAsia="Times New Roman" w:cs="Courier New"/>
          <w:color w:val="212121"/>
          <w:szCs w:val="20"/>
          <w:lang w:val="en" w:eastAsia="fr-FR"/>
        </w:rPr>
        <w:t>Considering</w:t>
      </w:r>
      <w:r w:rsidR="00062D1D" w:rsidRPr="0040204B">
        <w:rPr>
          <w:rFonts w:eastAsia="Times New Roman" w:cs="Courier New"/>
          <w:color w:val="212121"/>
          <w:szCs w:val="20"/>
          <w:lang w:val="en" w:eastAsia="fr-FR"/>
        </w:rPr>
        <w:t xml:space="preserve"> </w:t>
      </w:r>
      <w:r w:rsidR="00872D68">
        <w:rPr>
          <w:rFonts w:eastAsia="Times New Roman" w:cs="Courier New"/>
          <w:color w:val="212121"/>
          <w:szCs w:val="20"/>
          <w:lang w:val="en" w:eastAsia="fr-FR"/>
        </w:rPr>
        <w:t>the CO</w:t>
      </w:r>
      <w:r w:rsidR="00872D68" w:rsidRPr="00622F40">
        <w:rPr>
          <w:rFonts w:eastAsia="Times New Roman" w:cs="Courier New"/>
          <w:color w:val="212121"/>
          <w:szCs w:val="20"/>
          <w:vertAlign w:val="subscript"/>
          <w:lang w:val="en" w:eastAsia="fr-FR"/>
        </w:rPr>
        <w:t>2</w:t>
      </w:r>
      <w:r w:rsidR="00872D68">
        <w:rPr>
          <w:rFonts w:eastAsia="Times New Roman" w:cs="Courier New"/>
          <w:color w:val="212121"/>
          <w:szCs w:val="20"/>
          <w:lang w:val="en" w:eastAsia="fr-FR"/>
        </w:rPr>
        <w:t xml:space="preserve"> </w:t>
      </w:r>
      <w:r w:rsidRPr="0040204B">
        <w:rPr>
          <w:rFonts w:eastAsia="Times New Roman" w:cs="Courier New"/>
          <w:color w:val="212121"/>
          <w:szCs w:val="20"/>
          <w:lang w:val="en" w:eastAsia="fr-FR"/>
        </w:rPr>
        <w:t xml:space="preserve">emissions, the </w:t>
      </w:r>
      <w:r w:rsidR="00872D68">
        <w:rPr>
          <w:rFonts w:eastAsia="Times New Roman" w:cs="Courier New"/>
          <w:color w:val="212121"/>
          <w:szCs w:val="20"/>
          <w:lang w:val="en" w:eastAsia="fr-FR"/>
        </w:rPr>
        <w:t xml:space="preserve">mean </w:t>
      </w:r>
      <w:r w:rsidRPr="0040204B">
        <w:rPr>
          <w:rFonts w:eastAsia="Times New Roman" w:cs="Courier New"/>
          <w:color w:val="212121"/>
          <w:szCs w:val="20"/>
          <w:lang w:val="en" w:eastAsia="fr-FR"/>
        </w:rPr>
        <w:t xml:space="preserve">difference </w:t>
      </w:r>
      <w:r w:rsidR="00872D68">
        <w:rPr>
          <w:rFonts w:eastAsia="Times New Roman" w:cs="Courier New"/>
          <w:color w:val="212121"/>
          <w:szCs w:val="20"/>
          <w:lang w:val="en" w:eastAsia="fr-FR"/>
        </w:rPr>
        <w:t xml:space="preserve">for the whole period </w:t>
      </w:r>
      <w:r>
        <w:rPr>
          <w:rFonts w:eastAsia="Times New Roman" w:cs="Courier New"/>
          <w:color w:val="212121"/>
          <w:szCs w:val="20"/>
          <w:lang w:val="en" w:eastAsia="fr-FR"/>
        </w:rPr>
        <w:t>is</w:t>
      </w:r>
      <w:r w:rsidRPr="0040204B">
        <w:rPr>
          <w:rFonts w:eastAsia="Times New Roman" w:cs="Courier New"/>
          <w:color w:val="212121"/>
          <w:szCs w:val="20"/>
          <w:lang w:val="en" w:eastAsia="fr-FR"/>
        </w:rPr>
        <w:t xml:space="preserve"> </w:t>
      </w:r>
      <w:r>
        <w:rPr>
          <w:rFonts w:eastAsia="Times New Roman" w:cs="Courier New"/>
          <w:color w:val="212121"/>
          <w:szCs w:val="20"/>
          <w:lang w:val="en" w:eastAsia="fr-FR"/>
        </w:rPr>
        <w:t>-</w:t>
      </w:r>
      <w:r w:rsidR="002E5246">
        <w:rPr>
          <w:rFonts w:eastAsia="Times New Roman" w:cs="Courier New"/>
          <w:color w:val="212121"/>
          <w:szCs w:val="20"/>
          <w:lang w:val="en" w:eastAsia="fr-FR"/>
        </w:rPr>
        <w:t>2.5</w:t>
      </w:r>
      <w:r>
        <w:rPr>
          <w:rFonts w:eastAsia="Times New Roman" w:cs="Courier New"/>
          <w:color w:val="212121"/>
          <w:szCs w:val="20"/>
          <w:lang w:val="en" w:eastAsia="fr-FR"/>
        </w:rPr>
        <w:t>%.</w:t>
      </w:r>
    </w:p>
    <w:p w14:paraId="2180C7C3" w14:textId="3D2B04C6" w:rsidR="0040204B" w:rsidRDefault="004F36AC" w:rsidP="004F36AC">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Pr>
          <w:rFonts w:eastAsia="Times New Roman" w:cs="Courier New"/>
          <w:color w:val="212121"/>
          <w:szCs w:val="20"/>
          <w:lang w:val="en" w:eastAsia="fr-FR"/>
        </w:rPr>
        <w:t>In the sectoral approach, the emissions from the Iron</w:t>
      </w:r>
      <w:r w:rsidR="00D26642">
        <w:rPr>
          <w:rFonts w:eastAsia="Times New Roman" w:cs="Courier New"/>
          <w:color w:val="212121"/>
          <w:szCs w:val="20"/>
          <w:lang w:val="en" w:eastAsia="fr-FR"/>
        </w:rPr>
        <w:t xml:space="preserve"> and S</w:t>
      </w:r>
      <w:r>
        <w:rPr>
          <w:rFonts w:eastAsia="Times New Roman" w:cs="Courier New"/>
          <w:color w:val="212121"/>
          <w:szCs w:val="20"/>
          <w:lang w:val="en" w:eastAsia="fr-FR"/>
        </w:rPr>
        <w:t>teel sector (</w:t>
      </w:r>
      <w:r w:rsidR="000F6001">
        <w:rPr>
          <w:rFonts w:eastAsia="Times New Roman" w:cs="Courier New"/>
          <w:color w:val="212121"/>
          <w:szCs w:val="20"/>
          <w:lang w:val="en" w:eastAsia="fr-FR"/>
        </w:rPr>
        <w:t>CRT</w:t>
      </w:r>
      <w:r>
        <w:rPr>
          <w:rFonts w:eastAsia="Times New Roman" w:cs="Courier New"/>
          <w:color w:val="212121"/>
          <w:szCs w:val="20"/>
          <w:lang w:val="en" w:eastAsia="fr-FR"/>
        </w:rPr>
        <w:t xml:space="preserve"> 2C1) are based on a </w:t>
      </w:r>
      <w:r w:rsidR="005A706C">
        <w:rPr>
          <w:rFonts w:eastAsia="Times New Roman" w:cs="Courier New"/>
          <w:color w:val="212121"/>
          <w:szCs w:val="20"/>
          <w:lang w:val="en" w:eastAsia="fr-FR"/>
        </w:rPr>
        <w:t>T</w:t>
      </w:r>
      <w:r>
        <w:rPr>
          <w:rFonts w:eastAsia="Times New Roman" w:cs="Courier New"/>
          <w:color w:val="212121"/>
          <w:szCs w:val="20"/>
          <w:lang w:val="en" w:eastAsia="fr-FR"/>
        </w:rPr>
        <w:t>ier 1 methodology which do</w:t>
      </w:r>
      <w:r w:rsidR="004B5E89">
        <w:rPr>
          <w:rFonts w:eastAsia="Times New Roman" w:cs="Courier New"/>
          <w:color w:val="212121"/>
          <w:szCs w:val="20"/>
          <w:lang w:val="en" w:eastAsia="fr-FR"/>
        </w:rPr>
        <w:t>es</w:t>
      </w:r>
      <w:r>
        <w:rPr>
          <w:rFonts w:eastAsia="Times New Roman" w:cs="Courier New"/>
          <w:color w:val="212121"/>
          <w:szCs w:val="20"/>
          <w:lang w:val="en" w:eastAsia="fr-FR"/>
        </w:rPr>
        <w:t xml:space="preserve"> not enable the inventory team to estimate fuel quantities used for non-energy purposes. Even if such non-energy quantities are estimated in the IEA questionnaires and reported in the reference approach, a </w:t>
      </w:r>
      <w:r w:rsidR="004872B1">
        <w:rPr>
          <w:rFonts w:eastAsia="Times New Roman" w:cs="Courier New"/>
          <w:color w:val="212121"/>
          <w:szCs w:val="20"/>
          <w:lang w:val="en" w:eastAsia="fr-FR"/>
        </w:rPr>
        <w:t xml:space="preserve">bias </w:t>
      </w:r>
      <w:r w:rsidR="005A706C">
        <w:rPr>
          <w:rFonts w:eastAsia="Times New Roman" w:cs="Courier New"/>
          <w:color w:val="212121"/>
          <w:szCs w:val="20"/>
          <w:lang w:val="en" w:eastAsia="fr-FR"/>
        </w:rPr>
        <w:t xml:space="preserve">could remain </w:t>
      </w:r>
      <w:r>
        <w:rPr>
          <w:rFonts w:eastAsia="Times New Roman" w:cs="Courier New"/>
          <w:color w:val="212121"/>
          <w:szCs w:val="20"/>
          <w:lang w:val="en" w:eastAsia="fr-FR"/>
        </w:rPr>
        <w:t xml:space="preserve">due to the use of the </w:t>
      </w:r>
      <w:r w:rsidR="005A706C">
        <w:rPr>
          <w:rFonts w:eastAsia="Times New Roman" w:cs="Courier New"/>
          <w:color w:val="212121"/>
          <w:szCs w:val="20"/>
          <w:lang w:val="en" w:eastAsia="fr-FR"/>
        </w:rPr>
        <w:t>T</w:t>
      </w:r>
      <w:r>
        <w:rPr>
          <w:rFonts w:eastAsia="Times New Roman" w:cs="Courier New"/>
          <w:color w:val="212121"/>
          <w:szCs w:val="20"/>
          <w:lang w:val="en" w:eastAsia="fr-FR"/>
        </w:rPr>
        <w:t>ier 1 methodology.</w:t>
      </w:r>
    </w:p>
    <w:p w14:paraId="2D5D579C" w14:textId="77777777" w:rsidR="009B3103" w:rsidRPr="00622F40" w:rsidRDefault="009B3103" w:rsidP="00622F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p>
    <w:p w14:paraId="1004584B" w14:textId="3006B567" w:rsidR="004872B1" w:rsidRDefault="0040204B" w:rsidP="004F36AC">
      <w:pPr>
        <w:pStyle w:val="ListParagraph"/>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sidRPr="004F36AC">
        <w:rPr>
          <w:rFonts w:eastAsia="Times New Roman" w:cs="Courier New"/>
          <w:color w:val="212121"/>
          <w:szCs w:val="20"/>
          <w:lang w:val="en" w:eastAsia="fr-FR"/>
        </w:rPr>
        <w:t xml:space="preserve">Gaseous fuels: </w:t>
      </w:r>
      <w:r w:rsidR="008513EE">
        <w:rPr>
          <w:rFonts w:eastAsia="Times New Roman" w:cs="Courier New"/>
          <w:color w:val="212121"/>
          <w:szCs w:val="20"/>
          <w:lang w:val="en" w:eastAsia="fr-FR"/>
        </w:rPr>
        <w:t>the average</w:t>
      </w:r>
      <w:r w:rsidR="009D1610" w:rsidRPr="004F36AC">
        <w:rPr>
          <w:rFonts w:eastAsia="Times New Roman" w:cs="Courier New"/>
          <w:color w:val="212121"/>
          <w:szCs w:val="20"/>
          <w:lang w:val="en" w:eastAsia="fr-FR"/>
        </w:rPr>
        <w:t xml:space="preserve"> </w:t>
      </w:r>
      <w:r w:rsidRPr="004F36AC">
        <w:rPr>
          <w:rFonts w:eastAsia="Times New Roman" w:cs="Courier New"/>
          <w:color w:val="212121"/>
          <w:szCs w:val="20"/>
          <w:lang w:val="en" w:eastAsia="fr-FR"/>
        </w:rPr>
        <w:t>difference</w:t>
      </w:r>
      <w:r w:rsidR="006B1CFD">
        <w:rPr>
          <w:rFonts w:eastAsia="Times New Roman" w:cs="Courier New"/>
          <w:color w:val="212121"/>
          <w:szCs w:val="20"/>
          <w:lang w:val="en" w:eastAsia="fr-FR"/>
        </w:rPr>
        <w:t>s</w:t>
      </w:r>
      <w:r w:rsidR="009D1610" w:rsidRPr="004F36AC">
        <w:rPr>
          <w:rFonts w:eastAsia="Times New Roman" w:cs="Courier New"/>
          <w:color w:val="212121"/>
          <w:szCs w:val="20"/>
          <w:lang w:val="en" w:eastAsia="fr-FR"/>
        </w:rPr>
        <w:t xml:space="preserve"> </w:t>
      </w:r>
      <w:r w:rsidRPr="004F36AC">
        <w:rPr>
          <w:rFonts w:eastAsia="Times New Roman" w:cs="Courier New"/>
          <w:color w:val="212121"/>
          <w:szCs w:val="20"/>
          <w:lang w:val="en" w:eastAsia="fr-FR"/>
        </w:rPr>
        <w:t>observed on the apparent consumption</w:t>
      </w:r>
      <w:r w:rsidR="004F36AC" w:rsidRPr="004F36AC">
        <w:rPr>
          <w:rFonts w:eastAsia="Times New Roman" w:cs="Courier New"/>
          <w:color w:val="212121"/>
          <w:szCs w:val="20"/>
          <w:lang w:val="en" w:eastAsia="fr-FR"/>
        </w:rPr>
        <w:t xml:space="preserve"> </w:t>
      </w:r>
      <w:r w:rsidR="006B1CFD">
        <w:rPr>
          <w:rFonts w:eastAsia="Times New Roman" w:cs="Courier New"/>
          <w:color w:val="212121"/>
          <w:szCs w:val="20"/>
          <w:lang w:val="en" w:eastAsia="fr-FR"/>
        </w:rPr>
        <w:t>and the CO</w:t>
      </w:r>
      <w:r w:rsidR="006B1CFD" w:rsidRPr="00622F40">
        <w:rPr>
          <w:rFonts w:eastAsia="Times New Roman" w:cs="Courier New"/>
          <w:color w:val="212121"/>
          <w:szCs w:val="20"/>
          <w:vertAlign w:val="subscript"/>
          <w:lang w:val="en" w:eastAsia="fr-FR"/>
        </w:rPr>
        <w:t>2</w:t>
      </w:r>
      <w:r w:rsidR="006B1CFD">
        <w:rPr>
          <w:rFonts w:eastAsia="Times New Roman" w:cs="Courier New"/>
          <w:color w:val="212121"/>
          <w:szCs w:val="20"/>
          <w:lang w:val="en" w:eastAsia="fr-FR"/>
        </w:rPr>
        <w:t xml:space="preserve"> emissions are </w:t>
      </w:r>
      <w:r w:rsidR="008513EE">
        <w:rPr>
          <w:rFonts w:eastAsia="Times New Roman" w:cs="Courier New"/>
          <w:color w:val="212121"/>
          <w:szCs w:val="20"/>
          <w:lang w:val="en" w:eastAsia="fr-FR"/>
        </w:rPr>
        <w:t xml:space="preserve">rather acceptable </w:t>
      </w:r>
      <w:r w:rsidR="006B1CFD">
        <w:rPr>
          <w:rFonts w:eastAsia="Times New Roman" w:cs="Courier New"/>
          <w:color w:val="212121"/>
          <w:szCs w:val="20"/>
          <w:lang w:val="en" w:eastAsia="fr-FR"/>
        </w:rPr>
        <w:t xml:space="preserve">with </w:t>
      </w:r>
      <w:r w:rsidR="008513EE">
        <w:rPr>
          <w:rFonts w:eastAsia="Times New Roman" w:cs="Courier New"/>
          <w:color w:val="212121"/>
          <w:szCs w:val="20"/>
          <w:lang w:val="en" w:eastAsia="fr-FR"/>
        </w:rPr>
        <w:t>2.6</w:t>
      </w:r>
      <w:r w:rsidR="004F36AC" w:rsidRPr="004F36AC">
        <w:rPr>
          <w:rFonts w:eastAsia="Times New Roman" w:cs="Courier New"/>
          <w:color w:val="212121"/>
          <w:szCs w:val="20"/>
          <w:lang w:val="en" w:eastAsia="fr-FR"/>
        </w:rPr>
        <w:t>%</w:t>
      </w:r>
      <w:r w:rsidR="006B1CFD">
        <w:rPr>
          <w:rFonts w:eastAsia="Times New Roman" w:cs="Courier New"/>
          <w:color w:val="212121"/>
          <w:szCs w:val="20"/>
          <w:lang w:val="en" w:eastAsia="fr-FR"/>
        </w:rPr>
        <w:t xml:space="preserve"> for both</w:t>
      </w:r>
      <w:r w:rsidRPr="004F36AC">
        <w:rPr>
          <w:rFonts w:eastAsia="Times New Roman" w:cs="Courier New"/>
          <w:color w:val="212121"/>
          <w:szCs w:val="20"/>
          <w:lang w:val="en" w:eastAsia="fr-FR"/>
        </w:rPr>
        <w:t xml:space="preserve">. </w:t>
      </w:r>
    </w:p>
    <w:p w14:paraId="38250F6B" w14:textId="7D29EDF9" w:rsidR="004B5E89" w:rsidRPr="004B5E89" w:rsidRDefault="004872B1" w:rsidP="004B5E89">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Pr>
          <w:rFonts w:eastAsia="Times New Roman" w:cs="Courier New"/>
          <w:color w:val="212121"/>
          <w:szCs w:val="20"/>
          <w:lang w:val="en" w:eastAsia="fr-FR"/>
        </w:rPr>
        <w:t xml:space="preserve">In the reference approach, non-energy uses of natural gas </w:t>
      </w:r>
      <w:r w:rsidR="004B5E89">
        <w:rPr>
          <w:rFonts w:eastAsia="Times New Roman" w:cs="Courier New"/>
          <w:color w:val="212121"/>
          <w:szCs w:val="20"/>
          <w:lang w:val="en" w:eastAsia="fr-FR"/>
        </w:rPr>
        <w:t>are consistent with the sect</w:t>
      </w:r>
      <w:r>
        <w:rPr>
          <w:rFonts w:eastAsia="Times New Roman" w:cs="Courier New"/>
          <w:color w:val="212121"/>
          <w:szCs w:val="20"/>
          <w:lang w:val="en" w:eastAsia="fr-FR"/>
        </w:rPr>
        <w:t>oral approach</w:t>
      </w:r>
      <w:r w:rsidR="004B5E89">
        <w:rPr>
          <w:rFonts w:eastAsia="Times New Roman" w:cs="Courier New"/>
          <w:color w:val="212121"/>
          <w:szCs w:val="20"/>
          <w:lang w:val="en" w:eastAsia="fr-FR"/>
        </w:rPr>
        <w:t>. N</w:t>
      </w:r>
      <w:r>
        <w:rPr>
          <w:rFonts w:eastAsia="Times New Roman" w:cs="Courier New"/>
          <w:color w:val="212121"/>
          <w:szCs w:val="20"/>
          <w:lang w:val="en" w:eastAsia="fr-FR"/>
        </w:rPr>
        <w:t>on-energy uses have been only identified for ammonia (CR</w:t>
      </w:r>
      <w:r w:rsidR="00D56748">
        <w:rPr>
          <w:rFonts w:eastAsia="Times New Roman" w:cs="Courier New"/>
          <w:color w:val="212121"/>
          <w:szCs w:val="20"/>
          <w:lang w:val="en" w:eastAsia="fr-FR"/>
        </w:rPr>
        <w:t>T</w:t>
      </w:r>
      <w:r>
        <w:rPr>
          <w:rFonts w:eastAsia="Times New Roman" w:cs="Courier New"/>
          <w:color w:val="212121"/>
          <w:szCs w:val="20"/>
          <w:lang w:val="en" w:eastAsia="fr-FR"/>
        </w:rPr>
        <w:t xml:space="preserve"> 2B1)</w:t>
      </w:r>
      <w:r w:rsidR="00D56748">
        <w:rPr>
          <w:rFonts w:eastAsia="Times New Roman" w:cs="Courier New"/>
          <w:color w:val="212121"/>
          <w:szCs w:val="20"/>
          <w:lang w:val="en" w:eastAsia="fr-FR"/>
        </w:rPr>
        <w:t xml:space="preserve"> and methanol (CRT 2B8) productions</w:t>
      </w:r>
      <w:r>
        <w:rPr>
          <w:rFonts w:eastAsia="Times New Roman" w:cs="Courier New"/>
          <w:color w:val="212121"/>
          <w:szCs w:val="20"/>
          <w:lang w:val="en" w:eastAsia="fr-FR"/>
        </w:rPr>
        <w:t xml:space="preserve">. </w:t>
      </w:r>
      <w:r w:rsidR="00C01851">
        <w:rPr>
          <w:rFonts w:eastAsia="Times New Roman" w:cs="Courier New"/>
          <w:color w:val="212121"/>
          <w:szCs w:val="20"/>
          <w:lang w:val="en" w:eastAsia="fr-FR"/>
        </w:rPr>
        <w:t xml:space="preserve">The largest discrepancy observed in 2013 is due to a mistake in the energy balance treatment which will be corrected for the next submission. </w:t>
      </w:r>
    </w:p>
    <w:p w14:paraId="40058DD8" w14:textId="33F36D4E" w:rsidR="00CC4F0A" w:rsidRDefault="00CC4F0A" w:rsidP="00CC4F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p>
    <w:p w14:paraId="1D880F5D" w14:textId="76DD9884" w:rsidR="00CC4F0A" w:rsidRDefault="00CC4F0A" w:rsidP="00CC4F0A">
      <w:pPr>
        <w:pStyle w:val="Caption"/>
        <w:keepNext/>
        <w:jc w:val="both"/>
      </w:pPr>
      <w:bookmarkStart w:id="168" w:name="_Toc184808556"/>
      <w:r>
        <w:lastRenderedPageBreak/>
        <w:t xml:space="preserve">Table </w:t>
      </w:r>
      <w:r>
        <w:fldChar w:fldCharType="begin"/>
      </w:r>
      <w:r>
        <w:instrText xml:space="preserve"> SEQ Table \* ARABIC </w:instrText>
      </w:r>
      <w:r>
        <w:fldChar w:fldCharType="separate"/>
      </w:r>
      <w:r w:rsidR="00F14C78">
        <w:rPr>
          <w:noProof/>
        </w:rPr>
        <w:t>14</w:t>
      </w:r>
      <w:r>
        <w:fldChar w:fldCharType="end"/>
      </w:r>
      <w:r>
        <w:t>: Differences between sectoral and reference approaches (in %) in terms of fuel consumptions and CO</w:t>
      </w:r>
      <w:r w:rsidRPr="00622F40">
        <w:rPr>
          <w:vertAlign w:val="subscript"/>
        </w:rPr>
        <w:t>2</w:t>
      </w:r>
      <w:r>
        <w:t xml:space="preserve"> emissions, for all different fuel categories, for the Republic of Serbia, for the period 1990-2022</w:t>
      </w:r>
      <w:bookmarkEnd w:id="168"/>
    </w:p>
    <w:p w14:paraId="07C21F2E" w14:textId="03AF0487" w:rsidR="00CC4F0A" w:rsidRDefault="00CC4F0A" w:rsidP="00CC4F0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sidRPr="00844494">
        <w:rPr>
          <w:rFonts w:eastAsia="Times New Roman" w:cs="Courier New"/>
          <w:color w:val="212121"/>
          <w:szCs w:val="20"/>
          <w:lang w:val="en" w:eastAsia="fr-FR"/>
        </w:rPr>
        <w:t xml:space="preserve"> </w:t>
      </w:r>
      <w:r w:rsidRPr="00C16821">
        <w:rPr>
          <w:noProof/>
          <w:lang w:val="en-US"/>
        </w:rPr>
        <w:drawing>
          <wp:inline distT="0" distB="0" distL="0" distR="0" wp14:anchorId="3D32EA9F" wp14:editId="655FB777">
            <wp:extent cx="1571625" cy="6858000"/>
            <wp:effectExtent l="0" t="0" r="9525" b="0"/>
            <wp:docPr id="1794521403"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1625" cy="6858000"/>
                    </a:xfrm>
                    <a:prstGeom prst="rect">
                      <a:avLst/>
                    </a:prstGeom>
                    <a:noFill/>
                    <a:ln>
                      <a:noFill/>
                    </a:ln>
                  </pic:spPr>
                </pic:pic>
              </a:graphicData>
            </a:graphic>
          </wp:inline>
        </w:drawing>
      </w:r>
      <w:r w:rsidRPr="00C16821">
        <w:rPr>
          <w:rFonts w:eastAsia="Times New Roman" w:cs="Courier New"/>
          <w:color w:val="212121"/>
          <w:szCs w:val="20"/>
          <w:lang w:val="en" w:eastAsia="fr-FR"/>
        </w:rPr>
        <w:t xml:space="preserve"> </w:t>
      </w:r>
      <w:r>
        <w:rPr>
          <w:rFonts w:eastAsia="Times New Roman" w:cs="Courier New"/>
          <w:color w:val="212121"/>
          <w:szCs w:val="20"/>
          <w:lang w:val="en" w:eastAsia="fr-FR"/>
        </w:rPr>
        <w:t xml:space="preserve">   </w:t>
      </w:r>
      <w:r w:rsidR="00242A3E">
        <w:rPr>
          <w:rFonts w:eastAsia="Times New Roman" w:cs="Courier New"/>
          <w:color w:val="212121"/>
          <w:szCs w:val="20"/>
          <w:lang w:val="en" w:eastAsia="fr-FR"/>
        </w:rPr>
        <w:t xml:space="preserve">  </w:t>
      </w:r>
      <w:r>
        <w:rPr>
          <w:rFonts w:eastAsia="Times New Roman" w:cs="Courier New"/>
          <w:color w:val="212121"/>
          <w:szCs w:val="20"/>
          <w:lang w:val="en" w:eastAsia="fr-FR"/>
        </w:rPr>
        <w:t xml:space="preserve"> </w:t>
      </w:r>
      <w:r w:rsidRPr="00C16821">
        <w:rPr>
          <w:noProof/>
          <w:lang w:val="en-US"/>
        </w:rPr>
        <w:drawing>
          <wp:inline distT="0" distB="0" distL="0" distR="0" wp14:anchorId="240E4B0A" wp14:editId="53618D4F">
            <wp:extent cx="1562100" cy="6858000"/>
            <wp:effectExtent l="0" t="0" r="0" b="0"/>
            <wp:docPr id="109290375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2100" cy="6858000"/>
                    </a:xfrm>
                    <a:prstGeom prst="rect">
                      <a:avLst/>
                    </a:prstGeom>
                    <a:noFill/>
                    <a:ln>
                      <a:noFill/>
                    </a:ln>
                  </pic:spPr>
                </pic:pic>
              </a:graphicData>
            </a:graphic>
          </wp:inline>
        </w:drawing>
      </w:r>
      <w:r w:rsidRPr="00C16821">
        <w:rPr>
          <w:rFonts w:eastAsia="Times New Roman" w:cs="Courier New"/>
          <w:color w:val="212121"/>
          <w:szCs w:val="20"/>
          <w:lang w:val="en" w:eastAsia="fr-FR"/>
        </w:rPr>
        <w:t xml:space="preserve"> </w:t>
      </w:r>
      <w:r>
        <w:rPr>
          <w:rFonts w:eastAsia="Times New Roman" w:cs="Courier New"/>
          <w:color w:val="212121"/>
          <w:szCs w:val="20"/>
          <w:lang w:val="en" w:eastAsia="fr-FR"/>
        </w:rPr>
        <w:t xml:space="preserve">     </w:t>
      </w:r>
      <w:r w:rsidRPr="00C16821">
        <w:rPr>
          <w:noProof/>
          <w:lang w:val="en-US"/>
        </w:rPr>
        <w:drawing>
          <wp:inline distT="0" distB="0" distL="0" distR="0" wp14:anchorId="6076DEE6" wp14:editId="4B51F72B">
            <wp:extent cx="1552575" cy="6858000"/>
            <wp:effectExtent l="0" t="0" r="9525" b="0"/>
            <wp:docPr id="21756804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2575" cy="6858000"/>
                    </a:xfrm>
                    <a:prstGeom prst="rect">
                      <a:avLst/>
                    </a:prstGeom>
                    <a:noFill/>
                    <a:ln>
                      <a:noFill/>
                    </a:ln>
                  </pic:spPr>
                </pic:pic>
              </a:graphicData>
            </a:graphic>
          </wp:inline>
        </w:drawing>
      </w:r>
    </w:p>
    <w:p w14:paraId="6BB54142" w14:textId="77777777" w:rsidR="00CC4F0A" w:rsidRPr="00622F40" w:rsidRDefault="00CC4F0A" w:rsidP="00622F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p>
    <w:p w14:paraId="0403D96A" w14:textId="2713C072" w:rsidR="00614555" w:rsidRPr="002462F0" w:rsidRDefault="00614555" w:rsidP="0011444B">
      <w:pPr>
        <w:pStyle w:val="Heading3"/>
        <w:rPr>
          <w:lang w:val="en-GB" w:eastAsia="fr-FR"/>
        </w:rPr>
      </w:pPr>
      <w:bookmarkStart w:id="169" w:name="_Toc496101036"/>
      <w:bookmarkStart w:id="170" w:name="_Toc182327725"/>
      <w:bookmarkStart w:id="171" w:name="_Toc184808168"/>
      <w:r w:rsidRPr="002462F0">
        <w:rPr>
          <w:lang w:val="en-GB" w:eastAsia="fr-FR"/>
        </w:rPr>
        <w:t>International bunker fuels</w:t>
      </w:r>
      <w:bookmarkEnd w:id="169"/>
      <w:bookmarkEnd w:id="170"/>
      <w:bookmarkEnd w:id="171"/>
    </w:p>
    <w:p w14:paraId="2B00B510" w14:textId="166314AA" w:rsidR="005439A4" w:rsidRDefault="005439A4" w:rsidP="00543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sidRPr="005439A4">
        <w:rPr>
          <w:rFonts w:eastAsia="Times New Roman" w:cs="Courier New"/>
          <w:color w:val="212121"/>
          <w:szCs w:val="20"/>
          <w:lang w:val="en" w:eastAsia="fr-FR"/>
        </w:rPr>
        <w:t>In the GHG inventory, emissions re</w:t>
      </w:r>
      <w:r>
        <w:rPr>
          <w:rFonts w:eastAsia="Times New Roman" w:cs="Courier New"/>
          <w:color w:val="212121"/>
          <w:szCs w:val="20"/>
          <w:lang w:val="en" w:eastAsia="fr-FR"/>
        </w:rPr>
        <w:t>ported on international bunkers</w:t>
      </w:r>
      <w:r w:rsidRPr="005439A4">
        <w:rPr>
          <w:rFonts w:eastAsia="Times New Roman" w:cs="Courier New"/>
          <w:color w:val="212121"/>
          <w:szCs w:val="20"/>
          <w:lang w:val="en" w:eastAsia="fr-FR"/>
        </w:rPr>
        <w:t xml:space="preserve"> concern emissions relating to international civil aviation and </w:t>
      </w:r>
      <w:r>
        <w:rPr>
          <w:rFonts w:eastAsia="Times New Roman" w:cs="Courier New"/>
          <w:color w:val="212121"/>
          <w:szCs w:val="20"/>
          <w:lang w:val="en" w:eastAsia="fr-FR"/>
        </w:rPr>
        <w:t xml:space="preserve">international </w:t>
      </w:r>
      <w:r w:rsidRPr="005439A4">
        <w:rPr>
          <w:rFonts w:eastAsia="Times New Roman" w:cs="Courier New"/>
          <w:color w:val="212121"/>
          <w:szCs w:val="20"/>
          <w:lang w:val="en" w:eastAsia="fr-FR"/>
        </w:rPr>
        <w:t>maritime traffic</w:t>
      </w:r>
      <w:r>
        <w:rPr>
          <w:rFonts w:eastAsia="Times New Roman" w:cs="Courier New"/>
          <w:color w:val="212121"/>
          <w:szCs w:val="20"/>
          <w:lang w:val="en" w:eastAsia="fr-FR"/>
        </w:rPr>
        <w:t xml:space="preserve"> </w:t>
      </w:r>
      <w:r w:rsidRPr="005439A4">
        <w:rPr>
          <w:rFonts w:eastAsia="Times New Roman" w:cs="Courier New"/>
          <w:color w:val="212121"/>
          <w:szCs w:val="20"/>
          <w:lang w:val="en" w:eastAsia="fr-FR"/>
        </w:rPr>
        <w:t xml:space="preserve">based on fuel sales in </w:t>
      </w:r>
      <w:r>
        <w:rPr>
          <w:rFonts w:eastAsia="Times New Roman" w:cs="Courier New"/>
          <w:color w:val="212121"/>
          <w:szCs w:val="20"/>
          <w:lang w:val="en" w:eastAsia="fr-FR"/>
        </w:rPr>
        <w:t>Serbia</w:t>
      </w:r>
      <w:r w:rsidRPr="005439A4">
        <w:rPr>
          <w:rFonts w:eastAsia="Times New Roman" w:cs="Courier New"/>
          <w:color w:val="212121"/>
          <w:szCs w:val="20"/>
          <w:lang w:val="en" w:eastAsia="fr-FR"/>
        </w:rPr>
        <w:t>.</w:t>
      </w:r>
    </w:p>
    <w:p w14:paraId="721C78F3" w14:textId="5D19CDF9" w:rsidR="005439A4" w:rsidRDefault="005439A4" w:rsidP="00543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p>
    <w:p w14:paraId="41FFB428" w14:textId="431C3CED" w:rsidR="005439A4" w:rsidRPr="000C1643" w:rsidRDefault="005439A4" w:rsidP="00543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color w:val="212121"/>
          <w:szCs w:val="20"/>
          <w:u w:val="single"/>
          <w:lang w:val="en" w:eastAsia="fr-FR"/>
        </w:rPr>
      </w:pPr>
      <w:r w:rsidRPr="000C1643">
        <w:rPr>
          <w:rFonts w:eastAsia="Times New Roman" w:cs="Courier New"/>
          <w:i/>
          <w:color w:val="212121"/>
          <w:szCs w:val="20"/>
          <w:u w:val="single"/>
          <w:lang w:val="en" w:eastAsia="fr-FR"/>
        </w:rPr>
        <w:t>International aviation bunkers</w:t>
      </w:r>
    </w:p>
    <w:p w14:paraId="517FE337" w14:textId="5F69CA08" w:rsidR="005439A4" w:rsidRDefault="005439A4" w:rsidP="00543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US" w:eastAsia="fr-FR"/>
        </w:rPr>
      </w:pPr>
    </w:p>
    <w:p w14:paraId="120547D5" w14:textId="6EDA2DE7" w:rsidR="005439A4" w:rsidRDefault="005439A4" w:rsidP="00543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US" w:eastAsia="fr-FR"/>
        </w:rPr>
      </w:pPr>
      <w:r>
        <w:rPr>
          <w:rFonts w:eastAsia="Times New Roman" w:cs="Courier New"/>
          <w:color w:val="212121"/>
          <w:szCs w:val="20"/>
          <w:lang w:val="en-US" w:eastAsia="fr-FR"/>
        </w:rPr>
        <w:t>International aviation bunkers concern fuel consumptions of international flights refueling in Serbia.</w:t>
      </w:r>
    </w:p>
    <w:p w14:paraId="787879D5" w14:textId="4D496438" w:rsidR="005439A4" w:rsidRDefault="00046B81" w:rsidP="00543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US" w:eastAsia="fr-FR"/>
        </w:rPr>
      </w:pPr>
      <w:r>
        <w:rPr>
          <w:rFonts w:eastAsia="Times New Roman" w:cs="Courier New"/>
          <w:color w:val="212121"/>
          <w:szCs w:val="20"/>
          <w:lang w:val="en-US" w:eastAsia="fr-FR"/>
        </w:rPr>
        <w:lastRenderedPageBreak/>
        <w:t>There are few airports in</w:t>
      </w:r>
      <w:r w:rsidR="005439A4">
        <w:rPr>
          <w:rFonts w:eastAsia="Times New Roman" w:cs="Courier New"/>
          <w:color w:val="212121"/>
          <w:szCs w:val="20"/>
          <w:lang w:val="en-US" w:eastAsia="fr-FR"/>
        </w:rPr>
        <w:t xml:space="preserve"> Serbia</w:t>
      </w:r>
      <w:r>
        <w:rPr>
          <w:rFonts w:eastAsia="Times New Roman" w:cs="Courier New"/>
          <w:color w:val="212121"/>
          <w:szCs w:val="20"/>
          <w:lang w:val="en-US" w:eastAsia="fr-FR"/>
        </w:rPr>
        <w:t xml:space="preserve"> and the </w:t>
      </w:r>
      <w:r w:rsidR="0084558C">
        <w:rPr>
          <w:rFonts w:eastAsia="Times New Roman" w:cs="Courier New"/>
          <w:color w:val="212121"/>
          <w:szCs w:val="20"/>
          <w:lang w:val="en-US" w:eastAsia="fr-FR"/>
        </w:rPr>
        <w:t>two largest</w:t>
      </w:r>
      <w:r>
        <w:rPr>
          <w:rFonts w:eastAsia="Times New Roman" w:cs="Courier New"/>
          <w:color w:val="212121"/>
          <w:szCs w:val="20"/>
          <w:lang w:val="en-US" w:eastAsia="fr-FR"/>
        </w:rPr>
        <w:t xml:space="preserve"> (Nikola Tesla in Belgrade</w:t>
      </w:r>
      <w:r w:rsidR="0084558C">
        <w:rPr>
          <w:rFonts w:eastAsia="Times New Roman" w:cs="Courier New"/>
          <w:color w:val="212121"/>
          <w:szCs w:val="20"/>
          <w:lang w:val="en-US" w:eastAsia="fr-FR"/>
        </w:rPr>
        <w:t xml:space="preserve"> and Konstantin </w:t>
      </w:r>
      <w:proofErr w:type="spellStart"/>
      <w:r w:rsidR="0084558C">
        <w:rPr>
          <w:rFonts w:eastAsia="Times New Roman" w:cs="Courier New"/>
          <w:color w:val="212121"/>
          <w:szCs w:val="20"/>
          <w:lang w:val="en-US" w:eastAsia="fr-FR"/>
        </w:rPr>
        <w:t>Veliki</w:t>
      </w:r>
      <w:proofErr w:type="spellEnd"/>
      <w:r w:rsidR="0084558C">
        <w:rPr>
          <w:rFonts w:eastAsia="Times New Roman" w:cs="Courier New"/>
          <w:color w:val="212121"/>
          <w:szCs w:val="20"/>
          <w:lang w:val="en-US" w:eastAsia="fr-FR"/>
        </w:rPr>
        <w:t xml:space="preserve"> in </w:t>
      </w:r>
      <w:proofErr w:type="spellStart"/>
      <w:r w:rsidR="0084558C">
        <w:rPr>
          <w:rFonts w:eastAsia="Times New Roman" w:cs="Courier New"/>
          <w:color w:val="212121"/>
          <w:szCs w:val="20"/>
          <w:lang w:val="en-US" w:eastAsia="fr-FR"/>
        </w:rPr>
        <w:t>Ni</w:t>
      </w:r>
      <w:r w:rsidR="00D26642">
        <w:rPr>
          <w:rFonts w:eastAsia="Times New Roman" w:cs="Courier New"/>
          <w:color w:val="212121"/>
          <w:szCs w:val="20"/>
          <w:lang w:val="en-US" w:eastAsia="fr-FR"/>
        </w:rPr>
        <w:t>š</w:t>
      </w:r>
      <w:proofErr w:type="spellEnd"/>
      <w:r>
        <w:rPr>
          <w:rFonts w:eastAsia="Times New Roman" w:cs="Courier New"/>
          <w:color w:val="212121"/>
          <w:szCs w:val="20"/>
          <w:lang w:val="en-US" w:eastAsia="fr-FR"/>
        </w:rPr>
        <w:t xml:space="preserve">) </w:t>
      </w:r>
      <w:r w:rsidR="000C1643">
        <w:rPr>
          <w:rFonts w:eastAsia="Times New Roman" w:cs="Courier New"/>
          <w:color w:val="212121"/>
          <w:szCs w:val="20"/>
          <w:lang w:val="en-US" w:eastAsia="fr-FR"/>
        </w:rPr>
        <w:t xml:space="preserve">which are serving </w:t>
      </w:r>
      <w:r>
        <w:rPr>
          <w:rFonts w:eastAsia="Times New Roman" w:cs="Courier New"/>
          <w:color w:val="212121"/>
          <w:szCs w:val="20"/>
          <w:lang w:val="en-US" w:eastAsia="fr-FR"/>
        </w:rPr>
        <w:t>international flights. Thus, for this submission, all civil aviation is considered as international and is reported as a memo item.</w:t>
      </w:r>
    </w:p>
    <w:p w14:paraId="39300F4F" w14:textId="243BDFD9" w:rsidR="00046B81" w:rsidRDefault="00046B81" w:rsidP="00543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US" w:eastAsia="fr-FR"/>
        </w:rPr>
      </w:pPr>
    </w:p>
    <w:p w14:paraId="7B36B831" w14:textId="40FD5BC5" w:rsidR="00046B81" w:rsidRPr="000C1643" w:rsidRDefault="00046B81" w:rsidP="00046B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color w:val="212121"/>
          <w:szCs w:val="20"/>
          <w:u w:val="single"/>
          <w:lang w:val="en" w:eastAsia="fr-FR"/>
        </w:rPr>
      </w:pPr>
      <w:r w:rsidRPr="000C1643">
        <w:rPr>
          <w:rFonts w:eastAsia="Times New Roman" w:cs="Courier New"/>
          <w:i/>
          <w:color w:val="212121"/>
          <w:szCs w:val="20"/>
          <w:u w:val="single"/>
          <w:lang w:val="en" w:eastAsia="fr-FR"/>
        </w:rPr>
        <w:t>International marine bunkers</w:t>
      </w:r>
    </w:p>
    <w:p w14:paraId="2807571C" w14:textId="743E223C" w:rsidR="00046B81" w:rsidRDefault="00046B81" w:rsidP="00543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US" w:eastAsia="fr-FR"/>
        </w:rPr>
      </w:pPr>
    </w:p>
    <w:p w14:paraId="0EB45621" w14:textId="4D6BA941" w:rsidR="00046B81" w:rsidRDefault="00046B81" w:rsidP="00543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US" w:eastAsia="fr-FR"/>
        </w:rPr>
      </w:pPr>
      <w:r>
        <w:rPr>
          <w:rFonts w:eastAsia="Times New Roman" w:cs="Courier New"/>
          <w:color w:val="212121"/>
          <w:szCs w:val="20"/>
          <w:lang w:val="en-US" w:eastAsia="fr-FR"/>
        </w:rPr>
        <w:t>Regarding international maritime traffic (between a Serbian port and a foreign port), this activity is considered as not occurring in Serbia since the country has no direct access to the sea and fluvial traffic is only considered domestic.</w:t>
      </w:r>
    </w:p>
    <w:p w14:paraId="3648F15D" w14:textId="2629BD91" w:rsidR="00E217AA" w:rsidRPr="005439A4" w:rsidRDefault="00E217AA" w:rsidP="005439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US" w:eastAsia="fr-FR"/>
        </w:rPr>
      </w:pPr>
      <w:r>
        <w:rPr>
          <w:rFonts w:eastAsia="Times New Roman" w:cs="Courier New"/>
          <w:color w:val="212121"/>
          <w:szCs w:val="20"/>
          <w:lang w:val="en-US" w:eastAsia="fr-FR"/>
        </w:rPr>
        <w:t xml:space="preserve">However, when looking at the IEA questionnaires/energy balance for the recent years, </w:t>
      </w:r>
      <w:r w:rsidR="004D2F3F">
        <w:rPr>
          <w:rFonts w:eastAsia="Times New Roman" w:cs="Courier New"/>
          <w:color w:val="212121"/>
          <w:szCs w:val="20"/>
          <w:lang w:val="en-US" w:eastAsia="fr-FR"/>
        </w:rPr>
        <w:t xml:space="preserve">there are </w:t>
      </w:r>
      <w:r>
        <w:rPr>
          <w:rFonts w:eastAsia="Times New Roman" w:cs="Courier New"/>
          <w:color w:val="212121"/>
          <w:szCs w:val="20"/>
          <w:lang w:val="en-US" w:eastAsia="fr-FR"/>
        </w:rPr>
        <w:t>con</w:t>
      </w:r>
      <w:r w:rsidR="004D2F3F">
        <w:rPr>
          <w:rFonts w:eastAsia="Times New Roman" w:cs="Courier New"/>
          <w:color w:val="212121"/>
          <w:szCs w:val="20"/>
          <w:lang w:val="en-US" w:eastAsia="fr-FR"/>
        </w:rPr>
        <w:t>sumptions of gas/diesel oil for international bunkers. This needs to be investigated in order to understand if international fluvial traffic has to be excluded from the national total of the inventory.</w:t>
      </w:r>
    </w:p>
    <w:p w14:paraId="18013651" w14:textId="3BCAA104" w:rsidR="00614555" w:rsidRPr="002462F0" w:rsidRDefault="00614555" w:rsidP="0011444B">
      <w:pPr>
        <w:pStyle w:val="Heading3"/>
        <w:rPr>
          <w:lang w:val="en-GB" w:eastAsia="fr-FR"/>
        </w:rPr>
      </w:pPr>
      <w:bookmarkStart w:id="172" w:name="_Toc496101037"/>
      <w:bookmarkStart w:id="173" w:name="_Toc182327726"/>
      <w:bookmarkStart w:id="174" w:name="_Toc184808169"/>
      <w:r w:rsidRPr="002462F0">
        <w:rPr>
          <w:lang w:val="en-GB" w:eastAsia="fr-FR"/>
        </w:rPr>
        <w:t>Feedstocks and non-energy use of fuels</w:t>
      </w:r>
      <w:bookmarkEnd w:id="172"/>
      <w:bookmarkEnd w:id="173"/>
      <w:bookmarkEnd w:id="174"/>
    </w:p>
    <w:p w14:paraId="6B73C3AF" w14:textId="62AC2C0D" w:rsidR="00DF24ED" w:rsidRDefault="00DF24ED" w:rsidP="0025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sidRPr="00DF24ED">
        <w:rPr>
          <w:rFonts w:eastAsia="Times New Roman" w:cs="Courier New"/>
          <w:color w:val="212121"/>
          <w:szCs w:val="20"/>
          <w:lang w:val="en" w:eastAsia="fr-FR"/>
        </w:rPr>
        <w:t xml:space="preserve">Fossil fuels can be consumed for different uses such as </w:t>
      </w:r>
      <w:r>
        <w:rPr>
          <w:rFonts w:eastAsia="Times New Roman" w:cs="Courier New"/>
          <w:color w:val="212121"/>
          <w:szCs w:val="20"/>
          <w:lang w:val="en" w:eastAsia="fr-FR"/>
        </w:rPr>
        <w:t xml:space="preserve">combustion </w:t>
      </w:r>
      <w:r w:rsidRPr="00DF24ED">
        <w:rPr>
          <w:rFonts w:eastAsia="Times New Roman" w:cs="Courier New"/>
          <w:color w:val="212121"/>
          <w:szCs w:val="20"/>
          <w:lang w:val="en" w:eastAsia="fr-FR"/>
        </w:rPr>
        <w:t>for energy needs or as raw material, intermediate or reducing agent</w:t>
      </w:r>
      <w:r>
        <w:rPr>
          <w:rFonts w:eastAsia="Times New Roman" w:cs="Courier New"/>
          <w:color w:val="212121"/>
          <w:szCs w:val="20"/>
          <w:lang w:val="en" w:eastAsia="fr-FR"/>
        </w:rPr>
        <w:t xml:space="preserve"> </w:t>
      </w:r>
      <w:r w:rsidRPr="00DF24ED">
        <w:rPr>
          <w:rFonts w:eastAsia="Times New Roman" w:cs="Courier New"/>
          <w:color w:val="212121"/>
          <w:szCs w:val="20"/>
          <w:lang w:val="en" w:eastAsia="fr-FR"/>
        </w:rPr>
        <w:t>(non-energy uses).</w:t>
      </w:r>
    </w:p>
    <w:p w14:paraId="0222DD05" w14:textId="77777777" w:rsidR="00DF24ED" w:rsidRPr="00DF24ED" w:rsidRDefault="00DF24ED" w:rsidP="0025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p>
    <w:p w14:paraId="6351DC7B" w14:textId="3E103DB3" w:rsidR="00DF24ED" w:rsidRPr="00DF24ED" w:rsidRDefault="00DF24ED" w:rsidP="0025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sidRPr="00DF24ED">
        <w:rPr>
          <w:rFonts w:eastAsia="Times New Roman" w:cs="Courier New"/>
          <w:color w:val="212121"/>
          <w:szCs w:val="20"/>
          <w:lang w:val="en" w:eastAsia="fr-FR"/>
        </w:rPr>
        <w:t>As defined in Box 1.1 of the Introductory Volume for Industrial Processes</w:t>
      </w:r>
      <w:r>
        <w:rPr>
          <w:rFonts w:eastAsia="Times New Roman" w:cs="Courier New"/>
          <w:color w:val="212121"/>
          <w:szCs w:val="20"/>
          <w:lang w:val="en" w:eastAsia="fr-FR"/>
        </w:rPr>
        <w:t xml:space="preserve"> in </w:t>
      </w:r>
      <w:r w:rsidRPr="00DF24ED">
        <w:rPr>
          <w:rFonts w:eastAsia="Times New Roman" w:cs="Courier New"/>
          <w:color w:val="212121"/>
          <w:szCs w:val="20"/>
          <w:lang w:val="en" w:eastAsia="fr-FR"/>
        </w:rPr>
        <w:t xml:space="preserve">2006 IPCC Guidelines, Fuel Combustion is defined as </w:t>
      </w:r>
      <w:r w:rsidR="00255083">
        <w:rPr>
          <w:rFonts w:eastAsia="Times New Roman" w:cs="Courier New"/>
          <w:color w:val="212121"/>
          <w:szCs w:val="20"/>
          <w:lang w:val="en" w:eastAsia="fr-FR"/>
        </w:rPr>
        <w:t xml:space="preserve">the </w:t>
      </w:r>
      <w:r w:rsidRPr="00DF24ED">
        <w:rPr>
          <w:rFonts w:eastAsia="Times New Roman" w:cs="Courier New"/>
          <w:color w:val="212121"/>
          <w:szCs w:val="20"/>
          <w:lang w:val="en" w:eastAsia="fr-FR"/>
        </w:rPr>
        <w:t>intentional oxidation</w:t>
      </w:r>
      <w:r w:rsidR="00255083">
        <w:rPr>
          <w:rFonts w:eastAsia="Times New Roman" w:cs="Courier New"/>
          <w:color w:val="212121"/>
          <w:szCs w:val="20"/>
          <w:lang w:val="en" w:eastAsia="fr-FR"/>
        </w:rPr>
        <w:t xml:space="preserve"> of</w:t>
      </w:r>
      <w:r>
        <w:rPr>
          <w:rFonts w:eastAsia="Times New Roman" w:cs="Courier New"/>
          <w:color w:val="212121"/>
          <w:szCs w:val="20"/>
          <w:lang w:val="en" w:eastAsia="fr-FR"/>
        </w:rPr>
        <w:t xml:space="preserve"> </w:t>
      </w:r>
      <w:r w:rsidRPr="00DF24ED">
        <w:rPr>
          <w:rFonts w:eastAsia="Times New Roman" w:cs="Courier New"/>
          <w:color w:val="212121"/>
          <w:szCs w:val="20"/>
          <w:lang w:val="en" w:eastAsia="fr-FR"/>
        </w:rPr>
        <w:t>material</w:t>
      </w:r>
      <w:r w:rsidR="00255083">
        <w:rPr>
          <w:rFonts w:eastAsia="Times New Roman" w:cs="Courier New"/>
          <w:color w:val="212121"/>
          <w:szCs w:val="20"/>
          <w:lang w:val="en" w:eastAsia="fr-FR"/>
        </w:rPr>
        <w:t>s within</w:t>
      </w:r>
      <w:r w:rsidRPr="00DF24ED">
        <w:rPr>
          <w:rFonts w:eastAsia="Times New Roman" w:cs="Courier New"/>
          <w:color w:val="212121"/>
          <w:szCs w:val="20"/>
          <w:lang w:val="en" w:eastAsia="fr-FR"/>
        </w:rPr>
        <w:t xml:space="preserve"> </w:t>
      </w:r>
      <w:r w:rsidR="00255083">
        <w:rPr>
          <w:rFonts w:eastAsia="Times New Roman" w:cs="Courier New"/>
          <w:color w:val="212121"/>
          <w:szCs w:val="20"/>
          <w:lang w:val="en" w:eastAsia="fr-FR"/>
        </w:rPr>
        <w:t>an</w:t>
      </w:r>
      <w:r w:rsidRPr="00DF24ED">
        <w:rPr>
          <w:rFonts w:eastAsia="Times New Roman" w:cs="Courier New"/>
          <w:color w:val="212121"/>
          <w:szCs w:val="20"/>
          <w:lang w:val="en" w:eastAsia="fr-FR"/>
        </w:rPr>
        <w:t xml:space="preserve"> apparatus </w:t>
      </w:r>
      <w:r w:rsidR="00255083">
        <w:rPr>
          <w:rFonts w:eastAsia="Times New Roman" w:cs="Courier New"/>
          <w:color w:val="212121"/>
          <w:szCs w:val="20"/>
          <w:lang w:val="en" w:eastAsia="fr-FR"/>
        </w:rPr>
        <w:t xml:space="preserve">that is </w:t>
      </w:r>
      <w:r w:rsidRPr="00DF24ED">
        <w:rPr>
          <w:rFonts w:eastAsia="Times New Roman" w:cs="Courier New"/>
          <w:color w:val="212121"/>
          <w:szCs w:val="20"/>
          <w:lang w:val="en" w:eastAsia="fr-FR"/>
        </w:rPr>
        <w:t>designed to provide heat or mechanical work</w:t>
      </w:r>
      <w:r w:rsidR="00255083">
        <w:rPr>
          <w:rFonts w:eastAsia="Times New Roman" w:cs="Courier New"/>
          <w:color w:val="212121"/>
          <w:szCs w:val="20"/>
          <w:lang w:val="en" w:eastAsia="fr-FR"/>
        </w:rPr>
        <w:t xml:space="preserve"> </w:t>
      </w:r>
      <w:r w:rsidRPr="00DF24ED">
        <w:rPr>
          <w:rFonts w:eastAsia="Times New Roman" w:cs="Courier New"/>
          <w:color w:val="212121"/>
          <w:szCs w:val="20"/>
          <w:lang w:val="en" w:eastAsia="fr-FR"/>
        </w:rPr>
        <w:t xml:space="preserve">to a process, or for use </w:t>
      </w:r>
      <w:r w:rsidR="00255083">
        <w:rPr>
          <w:rFonts w:eastAsia="Times New Roman" w:cs="Courier New"/>
          <w:color w:val="212121"/>
          <w:szCs w:val="20"/>
          <w:lang w:val="en" w:eastAsia="fr-FR"/>
        </w:rPr>
        <w:t>away from</w:t>
      </w:r>
      <w:r w:rsidRPr="00DF24ED">
        <w:rPr>
          <w:rFonts w:eastAsia="Times New Roman" w:cs="Courier New"/>
          <w:color w:val="212121"/>
          <w:szCs w:val="20"/>
          <w:lang w:val="en" w:eastAsia="fr-FR"/>
        </w:rPr>
        <w:t xml:space="preserve"> the apparatus.</w:t>
      </w:r>
    </w:p>
    <w:p w14:paraId="6B11EEBB" w14:textId="1AC5471B" w:rsidR="00DF24ED" w:rsidRDefault="00DF24ED" w:rsidP="0025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sidRPr="00DF24ED">
        <w:rPr>
          <w:rFonts w:eastAsia="Times New Roman" w:cs="Courier New"/>
          <w:color w:val="212121"/>
          <w:szCs w:val="20"/>
          <w:lang w:val="en" w:eastAsia="fr-FR"/>
        </w:rPr>
        <w:t xml:space="preserve">During operations, emissions may occur both at the combustion stage and </w:t>
      </w:r>
      <w:r w:rsidR="00255083">
        <w:rPr>
          <w:rFonts w:eastAsia="Times New Roman" w:cs="Courier New"/>
          <w:color w:val="212121"/>
          <w:szCs w:val="20"/>
          <w:lang w:val="en" w:eastAsia="fr-FR"/>
        </w:rPr>
        <w:t xml:space="preserve">as an </w:t>
      </w:r>
      <w:r w:rsidRPr="00DF24ED">
        <w:rPr>
          <w:rFonts w:eastAsia="Times New Roman" w:cs="Courier New"/>
          <w:color w:val="212121"/>
          <w:szCs w:val="20"/>
          <w:lang w:val="en" w:eastAsia="fr-FR"/>
        </w:rPr>
        <w:t>industrial process. However, it is not always possible, partly for</w:t>
      </w:r>
      <w:r w:rsidR="00255083">
        <w:rPr>
          <w:rFonts w:eastAsia="Times New Roman" w:cs="Courier New"/>
          <w:color w:val="212121"/>
          <w:szCs w:val="20"/>
          <w:lang w:val="en" w:eastAsia="fr-FR"/>
        </w:rPr>
        <w:t xml:space="preserve"> </w:t>
      </w:r>
      <w:r w:rsidRPr="00DF24ED">
        <w:rPr>
          <w:rFonts w:eastAsia="Times New Roman" w:cs="Courier New"/>
          <w:color w:val="212121"/>
          <w:szCs w:val="20"/>
          <w:lang w:val="en" w:eastAsia="fr-FR"/>
        </w:rPr>
        <w:t xml:space="preserve">practical reasons, to report these two types of </w:t>
      </w:r>
      <w:r w:rsidR="00255083">
        <w:rPr>
          <w:rFonts w:eastAsia="Times New Roman" w:cs="Courier New"/>
          <w:color w:val="212121"/>
          <w:szCs w:val="20"/>
          <w:lang w:val="en" w:eastAsia="fr-FR"/>
        </w:rPr>
        <w:t>emissions</w:t>
      </w:r>
      <w:r w:rsidRPr="00DF24ED">
        <w:rPr>
          <w:rFonts w:eastAsia="Times New Roman" w:cs="Courier New"/>
          <w:color w:val="212121"/>
          <w:szCs w:val="20"/>
          <w:lang w:val="en" w:eastAsia="fr-FR"/>
        </w:rPr>
        <w:t xml:space="preserve"> separately.</w:t>
      </w:r>
    </w:p>
    <w:p w14:paraId="52431B73" w14:textId="77777777" w:rsidR="00255083" w:rsidRPr="00255083" w:rsidRDefault="00255083" w:rsidP="0025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212121"/>
          <w:szCs w:val="20"/>
          <w:lang w:val="en" w:eastAsia="fr-FR"/>
        </w:rPr>
      </w:pPr>
    </w:p>
    <w:p w14:paraId="2E162413" w14:textId="3B65FA60" w:rsidR="00255083" w:rsidRPr="00255083" w:rsidRDefault="00255083" w:rsidP="0025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212121"/>
          <w:szCs w:val="20"/>
          <w:lang w:val="en" w:eastAsia="fr-FR"/>
        </w:rPr>
      </w:pPr>
      <w:r w:rsidRPr="00255083">
        <w:rPr>
          <w:rFonts w:eastAsia="Times New Roman" w:cs="Courier New"/>
          <w:color w:val="212121"/>
          <w:szCs w:val="20"/>
          <w:lang w:val="en" w:eastAsia="fr-FR"/>
        </w:rPr>
        <w:t>In the 2006 IPCC Guidelines, the following rule is formulated:</w:t>
      </w:r>
    </w:p>
    <w:p w14:paraId="287963C2" w14:textId="77777777" w:rsidR="00255083" w:rsidRDefault="00255083" w:rsidP="0025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212121"/>
          <w:szCs w:val="20"/>
          <w:lang w:val="en" w:eastAsia="fr-FR"/>
        </w:rPr>
      </w:pPr>
    </w:p>
    <w:p w14:paraId="6FA72EA8" w14:textId="7FF9D31D" w:rsidR="00255083" w:rsidRDefault="00255083" w:rsidP="00255083">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Combustion emissions from fuels obtained directly or indirectly from the feedstock for an IPPU process will normally be allocated to the part of the source category in which the process occurs. These source categories are normally 2B and 2C. However, if the derived fuels are transferred for combustion in another source category, the emissions should be reported in the appropriate part of Energy Sector source categories (normally 1A1 or 1A2).</w:t>
      </w:r>
    </w:p>
    <w:p w14:paraId="7E7BBA2B" w14:textId="77777777" w:rsidR="00255083" w:rsidRPr="00255083" w:rsidRDefault="00255083" w:rsidP="0025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212121"/>
          <w:szCs w:val="20"/>
          <w:lang w:val="en" w:eastAsia="fr-FR"/>
        </w:rPr>
      </w:pPr>
    </w:p>
    <w:p w14:paraId="3BD0FE4B" w14:textId="1CB51564" w:rsidR="00255083" w:rsidRDefault="00255083" w:rsidP="00C50B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sidRPr="00255083">
        <w:rPr>
          <w:rFonts w:eastAsia="Times New Roman" w:cs="Courier New"/>
          <w:color w:val="212121"/>
          <w:szCs w:val="20"/>
          <w:lang w:val="en" w:eastAsia="fr-FR"/>
        </w:rPr>
        <w:t xml:space="preserve">In the </w:t>
      </w:r>
      <w:r>
        <w:rPr>
          <w:rFonts w:eastAsia="Times New Roman" w:cs="Courier New"/>
          <w:color w:val="212121"/>
          <w:szCs w:val="20"/>
          <w:lang w:val="en" w:eastAsia="fr-FR"/>
        </w:rPr>
        <w:t>Serbian</w:t>
      </w:r>
      <w:r w:rsidRPr="00255083">
        <w:rPr>
          <w:rFonts w:eastAsia="Times New Roman" w:cs="Courier New"/>
          <w:color w:val="212121"/>
          <w:szCs w:val="20"/>
          <w:lang w:val="en" w:eastAsia="fr-FR"/>
        </w:rPr>
        <w:t xml:space="preserve"> inventory, this rule of the guidelines is followed </w:t>
      </w:r>
      <w:r w:rsidR="00E160B7">
        <w:rPr>
          <w:rFonts w:eastAsia="Times New Roman" w:cs="Courier New"/>
          <w:color w:val="212121"/>
          <w:szCs w:val="20"/>
          <w:lang w:val="en" w:eastAsia="fr-FR"/>
        </w:rPr>
        <w:t>and f</w:t>
      </w:r>
      <w:r w:rsidRPr="00255083">
        <w:rPr>
          <w:rFonts w:eastAsia="Times New Roman" w:cs="Courier New"/>
          <w:color w:val="212121"/>
          <w:szCs w:val="20"/>
          <w:lang w:val="en" w:eastAsia="fr-FR"/>
        </w:rPr>
        <w:t xml:space="preserve">or each fuel, the distinctions are as follows (see </w:t>
      </w:r>
      <w:r w:rsidR="000F6001">
        <w:rPr>
          <w:rFonts w:eastAsia="Times New Roman" w:cs="Courier New"/>
          <w:color w:val="212121"/>
          <w:szCs w:val="20"/>
          <w:lang w:val="en" w:eastAsia="fr-FR"/>
        </w:rPr>
        <w:t>CRT</w:t>
      </w:r>
      <w:r w:rsidRPr="00255083">
        <w:rPr>
          <w:rFonts w:eastAsia="Times New Roman" w:cs="Courier New"/>
          <w:color w:val="212121"/>
          <w:szCs w:val="20"/>
          <w:lang w:val="en" w:eastAsia="fr-FR"/>
        </w:rPr>
        <w:t xml:space="preserve"> tables "Table 1.A (d)</w:t>
      </w:r>
      <w:r w:rsidR="00E160B7">
        <w:rPr>
          <w:rFonts w:eastAsia="Times New Roman" w:cs="Courier New"/>
          <w:color w:val="212121"/>
          <w:szCs w:val="20"/>
          <w:lang w:val="en" w:eastAsia="fr-FR"/>
        </w:rPr>
        <w:t xml:space="preserve"> </w:t>
      </w:r>
      <w:r w:rsidRPr="00255083">
        <w:rPr>
          <w:rFonts w:eastAsia="Times New Roman" w:cs="Courier New"/>
          <w:color w:val="212121"/>
          <w:szCs w:val="20"/>
          <w:lang w:val="en" w:eastAsia="fr-FR"/>
        </w:rPr>
        <w:t>Sectoral background data for energy - Feedstocks, reductants and other non-energy use of fuels</w:t>
      </w:r>
      <w:r w:rsidR="00E160B7">
        <w:rPr>
          <w:rFonts w:eastAsia="Times New Roman" w:cs="Courier New"/>
          <w:color w:val="212121"/>
          <w:szCs w:val="20"/>
          <w:lang w:val="en" w:eastAsia="fr-FR"/>
        </w:rPr>
        <w:t xml:space="preserve"> for more details)</w:t>
      </w:r>
      <w:r w:rsidRPr="00255083">
        <w:rPr>
          <w:rFonts w:eastAsia="Times New Roman" w:cs="Courier New"/>
          <w:color w:val="212121"/>
          <w:szCs w:val="20"/>
          <w:lang w:val="en" w:eastAsia="fr-FR"/>
        </w:rPr>
        <w:t>:</w:t>
      </w:r>
    </w:p>
    <w:p w14:paraId="5BA85ED7" w14:textId="5E4F1428" w:rsidR="00E160B7" w:rsidRDefault="00E160B7" w:rsidP="00C50BFC">
      <w:pPr>
        <w:pStyle w:val="ListParagraph"/>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Pr>
          <w:rFonts w:eastAsia="Times New Roman" w:cs="Courier New"/>
          <w:color w:val="212121"/>
          <w:szCs w:val="20"/>
          <w:lang w:val="en" w:eastAsia="fr-FR"/>
        </w:rPr>
        <w:t>Solid fuels: in iron</w:t>
      </w:r>
      <w:r w:rsidR="00C638C7">
        <w:rPr>
          <w:rFonts w:eastAsia="Times New Roman" w:cs="Courier New"/>
          <w:color w:val="212121"/>
          <w:szCs w:val="20"/>
          <w:lang w:val="en" w:eastAsia="fr-FR"/>
        </w:rPr>
        <w:t xml:space="preserve"> </w:t>
      </w:r>
      <w:r w:rsidR="000C1643">
        <w:rPr>
          <w:rFonts w:eastAsia="Times New Roman" w:cs="Courier New"/>
          <w:color w:val="212121"/>
          <w:szCs w:val="20"/>
          <w:lang w:val="en" w:eastAsia="fr-FR"/>
        </w:rPr>
        <w:t>and</w:t>
      </w:r>
      <w:r w:rsidR="00C638C7">
        <w:rPr>
          <w:rFonts w:eastAsia="Times New Roman" w:cs="Courier New"/>
          <w:color w:val="212121"/>
          <w:szCs w:val="20"/>
          <w:lang w:val="en" w:eastAsia="fr-FR"/>
        </w:rPr>
        <w:t xml:space="preserve"> </w:t>
      </w:r>
      <w:r>
        <w:rPr>
          <w:rFonts w:eastAsia="Times New Roman" w:cs="Courier New"/>
          <w:color w:val="212121"/>
          <w:szCs w:val="20"/>
          <w:lang w:val="en" w:eastAsia="fr-FR"/>
        </w:rPr>
        <w:t xml:space="preserve">steel production, </w:t>
      </w:r>
      <w:r w:rsidR="00C638C7">
        <w:rPr>
          <w:rFonts w:eastAsia="Times New Roman" w:cs="Courier New"/>
          <w:color w:val="212121"/>
          <w:szCs w:val="20"/>
          <w:lang w:val="en" w:eastAsia="fr-FR"/>
        </w:rPr>
        <w:t xml:space="preserve">energy and non-energy use of solid fuels (coal, coking coal and derivate fuels) are considered </w:t>
      </w:r>
      <w:r w:rsidR="000F6001">
        <w:rPr>
          <w:rFonts w:eastAsia="Times New Roman" w:cs="Courier New"/>
          <w:color w:val="212121"/>
          <w:szCs w:val="20"/>
          <w:lang w:val="en" w:eastAsia="fr-FR"/>
        </w:rPr>
        <w:t>CRT</w:t>
      </w:r>
      <w:r w:rsidR="00C638C7">
        <w:rPr>
          <w:rFonts w:eastAsia="Times New Roman" w:cs="Courier New"/>
          <w:color w:val="212121"/>
          <w:szCs w:val="20"/>
          <w:lang w:val="en" w:eastAsia="fr-FR"/>
        </w:rPr>
        <w:t xml:space="preserve"> 2C1. Indeed, </w:t>
      </w:r>
      <w:r w:rsidR="00C638C7">
        <w:t>blast furnace gas is considered entirely combusted within the Iron and Steel industry and thus the associated emissions are reported in this IPPU subcategory.</w:t>
      </w:r>
    </w:p>
    <w:p w14:paraId="2E76336F" w14:textId="77777777" w:rsidR="00C50BFC" w:rsidRDefault="00E160B7" w:rsidP="00C50BFC">
      <w:pPr>
        <w:pStyle w:val="ListParagraph"/>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sidRPr="00C638C7">
        <w:rPr>
          <w:rFonts w:eastAsia="Times New Roman" w:cs="Courier New"/>
          <w:color w:val="212121"/>
          <w:szCs w:val="20"/>
          <w:lang w:val="en" w:eastAsia="fr-FR"/>
        </w:rPr>
        <w:t>Liquid fuels</w:t>
      </w:r>
      <w:r w:rsidR="00C638C7" w:rsidRPr="00C638C7">
        <w:rPr>
          <w:rFonts w:eastAsia="Times New Roman" w:cs="Courier New"/>
          <w:color w:val="212121"/>
          <w:szCs w:val="20"/>
          <w:lang w:val="en" w:eastAsia="fr-FR"/>
        </w:rPr>
        <w:t xml:space="preserve">: </w:t>
      </w:r>
    </w:p>
    <w:p w14:paraId="7E0E46A1" w14:textId="77FC4852" w:rsidR="00C638C7" w:rsidRDefault="00C638C7" w:rsidP="00AB11C1">
      <w:pPr>
        <w:pStyle w:val="ListParagraph"/>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sidRPr="00C638C7">
        <w:rPr>
          <w:rFonts w:eastAsia="Times New Roman" w:cs="Courier New"/>
          <w:color w:val="212121"/>
          <w:szCs w:val="20"/>
          <w:lang w:val="en" w:eastAsia="fr-FR"/>
        </w:rPr>
        <w:t xml:space="preserve">Non-energy petroleum products are mainly consumed at petrochemical sites. This is the case of </w:t>
      </w:r>
      <w:r w:rsidR="00541498" w:rsidRPr="00C638C7">
        <w:rPr>
          <w:rFonts w:eastAsia="Times New Roman" w:cs="Courier New"/>
          <w:color w:val="212121"/>
          <w:szCs w:val="20"/>
          <w:lang w:val="en" w:eastAsia="fr-FR"/>
        </w:rPr>
        <w:t>naphtha</w:t>
      </w:r>
      <w:r w:rsidRPr="00C638C7">
        <w:rPr>
          <w:rFonts w:eastAsia="Times New Roman" w:cs="Courier New"/>
          <w:color w:val="212121"/>
          <w:szCs w:val="20"/>
          <w:lang w:val="en" w:eastAsia="fr-FR"/>
        </w:rPr>
        <w:t xml:space="preserve"> used for chemical production in steam crackers, some of which is self-consumed (oil and gas</w:t>
      </w:r>
      <w:r>
        <w:rPr>
          <w:rFonts w:eastAsia="Times New Roman" w:cs="Courier New"/>
          <w:color w:val="212121"/>
          <w:szCs w:val="20"/>
          <w:lang w:val="en" w:eastAsia="fr-FR"/>
        </w:rPr>
        <w:t xml:space="preserve"> </w:t>
      </w:r>
      <w:r w:rsidRPr="00C638C7">
        <w:rPr>
          <w:rFonts w:eastAsia="Times New Roman" w:cs="Courier New"/>
          <w:color w:val="212121"/>
          <w:szCs w:val="20"/>
          <w:lang w:val="en" w:eastAsia="fr-FR"/>
        </w:rPr>
        <w:t>from raw materials) for energy purposes.</w:t>
      </w:r>
      <w:r>
        <w:rPr>
          <w:rFonts w:eastAsia="Times New Roman" w:cs="Courier New"/>
          <w:color w:val="212121"/>
          <w:szCs w:val="20"/>
          <w:lang w:val="en" w:eastAsia="fr-FR"/>
        </w:rPr>
        <w:t xml:space="preserve"> The </w:t>
      </w:r>
      <w:r w:rsidR="00BD6851">
        <w:rPr>
          <w:rFonts w:eastAsia="Times New Roman" w:cs="Courier New"/>
          <w:color w:val="212121"/>
          <w:szCs w:val="20"/>
          <w:lang w:val="en" w:eastAsia="fr-FR"/>
        </w:rPr>
        <w:t xml:space="preserve">associated emissions are reported in </w:t>
      </w:r>
      <w:r w:rsidR="000F6001">
        <w:rPr>
          <w:rFonts w:eastAsia="Times New Roman" w:cs="Courier New"/>
          <w:color w:val="212121"/>
          <w:szCs w:val="20"/>
          <w:lang w:val="en" w:eastAsia="fr-FR"/>
        </w:rPr>
        <w:t>CRT</w:t>
      </w:r>
      <w:r w:rsidR="00C50BFC">
        <w:rPr>
          <w:rFonts w:eastAsia="Times New Roman" w:cs="Courier New"/>
          <w:color w:val="212121"/>
          <w:szCs w:val="20"/>
          <w:lang w:val="en" w:eastAsia="fr-FR"/>
        </w:rPr>
        <w:t xml:space="preserve"> 2B8.</w:t>
      </w:r>
    </w:p>
    <w:p w14:paraId="08058574" w14:textId="246F6E2C" w:rsidR="00C50BFC" w:rsidRDefault="00C50BFC" w:rsidP="00AB11C1">
      <w:pPr>
        <w:pStyle w:val="ListParagraph"/>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sidRPr="00C50BFC">
        <w:rPr>
          <w:rFonts w:eastAsia="Times New Roman" w:cs="Courier New"/>
          <w:color w:val="212121"/>
          <w:szCs w:val="20"/>
          <w:lang w:val="en" w:eastAsia="fr-FR"/>
        </w:rPr>
        <w:t xml:space="preserve">Emissions related to the combustion of lubricants for 2-stroke are not considered yet in the </w:t>
      </w:r>
      <w:r>
        <w:rPr>
          <w:rFonts w:eastAsia="Times New Roman" w:cs="Courier New"/>
          <w:color w:val="212121"/>
          <w:szCs w:val="20"/>
          <w:lang w:val="en" w:eastAsia="fr-FR"/>
        </w:rPr>
        <w:t xml:space="preserve">energy category of the </w:t>
      </w:r>
      <w:r w:rsidR="00541498" w:rsidRPr="00C50BFC">
        <w:rPr>
          <w:rFonts w:eastAsia="Times New Roman" w:cs="Courier New"/>
          <w:color w:val="212121"/>
          <w:szCs w:val="20"/>
          <w:lang w:val="en" w:eastAsia="fr-FR"/>
        </w:rPr>
        <w:t>Serbian</w:t>
      </w:r>
      <w:r w:rsidRPr="00C50BFC">
        <w:rPr>
          <w:rFonts w:eastAsia="Times New Roman" w:cs="Courier New"/>
          <w:color w:val="212121"/>
          <w:szCs w:val="20"/>
          <w:lang w:val="en" w:eastAsia="fr-FR"/>
        </w:rPr>
        <w:t xml:space="preserve"> inventory. Thus, emissions related to the use of lubricants are</w:t>
      </w:r>
      <w:r>
        <w:rPr>
          <w:rFonts w:eastAsia="Times New Roman" w:cs="Courier New"/>
          <w:color w:val="212121"/>
          <w:szCs w:val="20"/>
          <w:lang w:val="en" w:eastAsia="fr-FR"/>
        </w:rPr>
        <w:t xml:space="preserve"> all reported in </w:t>
      </w:r>
      <w:r w:rsidR="000F6001">
        <w:rPr>
          <w:rFonts w:eastAsia="Times New Roman" w:cs="Courier New"/>
          <w:color w:val="212121"/>
          <w:szCs w:val="20"/>
          <w:lang w:val="en" w:eastAsia="fr-FR"/>
        </w:rPr>
        <w:t>CRT</w:t>
      </w:r>
      <w:r>
        <w:rPr>
          <w:rFonts w:eastAsia="Times New Roman" w:cs="Courier New"/>
          <w:color w:val="212121"/>
          <w:szCs w:val="20"/>
          <w:lang w:val="en" w:eastAsia="fr-FR"/>
        </w:rPr>
        <w:t xml:space="preserve"> category 2D1.</w:t>
      </w:r>
    </w:p>
    <w:p w14:paraId="5578B6CB" w14:textId="61E2558A" w:rsidR="00E160B7" w:rsidRDefault="00E160B7" w:rsidP="00FB6535">
      <w:pPr>
        <w:pStyle w:val="ListParagraph"/>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r w:rsidRPr="00C50BFC">
        <w:rPr>
          <w:rFonts w:eastAsia="Times New Roman" w:cs="Courier New"/>
          <w:color w:val="212121"/>
          <w:szCs w:val="20"/>
          <w:lang w:val="en" w:eastAsia="fr-FR"/>
        </w:rPr>
        <w:t>Gaseous fuels</w:t>
      </w:r>
      <w:r w:rsidR="00C50BFC" w:rsidRPr="00C50BFC">
        <w:rPr>
          <w:rFonts w:eastAsia="Times New Roman" w:cs="Courier New"/>
          <w:color w:val="212121"/>
          <w:szCs w:val="20"/>
          <w:lang w:val="en" w:eastAsia="fr-FR"/>
        </w:rPr>
        <w:t>: The main non-energy use of natural gas in Serbia is for ammonia production. The associated CO</w:t>
      </w:r>
      <w:r w:rsidR="00C50BFC" w:rsidRPr="00622F40">
        <w:rPr>
          <w:rFonts w:eastAsia="Times New Roman" w:cs="Courier New"/>
          <w:color w:val="212121"/>
          <w:szCs w:val="20"/>
          <w:vertAlign w:val="subscript"/>
          <w:lang w:val="en" w:eastAsia="fr-FR"/>
        </w:rPr>
        <w:t>2</w:t>
      </w:r>
      <w:r w:rsidR="00C50BFC" w:rsidRPr="00C50BFC">
        <w:rPr>
          <w:rFonts w:eastAsia="Times New Roman" w:cs="Courier New"/>
          <w:color w:val="212121"/>
          <w:szCs w:val="20"/>
          <w:lang w:val="en" w:eastAsia="fr-FR"/>
        </w:rPr>
        <w:t xml:space="preserve"> emissions are accounted for in the </w:t>
      </w:r>
      <w:r w:rsidR="000F6001">
        <w:rPr>
          <w:rFonts w:eastAsia="Times New Roman" w:cs="Courier New"/>
          <w:color w:val="212121"/>
          <w:szCs w:val="20"/>
          <w:lang w:val="en" w:eastAsia="fr-FR"/>
        </w:rPr>
        <w:t>CRT</w:t>
      </w:r>
      <w:r w:rsidR="00C50BFC" w:rsidRPr="00C50BFC">
        <w:rPr>
          <w:rFonts w:eastAsia="Times New Roman" w:cs="Courier New"/>
          <w:color w:val="212121"/>
          <w:szCs w:val="20"/>
          <w:lang w:val="en" w:eastAsia="fr-FR"/>
        </w:rPr>
        <w:t xml:space="preserve"> 2B1</w:t>
      </w:r>
      <w:r w:rsidR="00C50BFC">
        <w:rPr>
          <w:rFonts w:eastAsia="Times New Roman" w:cs="Courier New"/>
          <w:color w:val="212121"/>
          <w:szCs w:val="20"/>
          <w:lang w:val="en" w:eastAsia="fr-FR"/>
        </w:rPr>
        <w:t xml:space="preserve"> category.</w:t>
      </w:r>
    </w:p>
    <w:p w14:paraId="1A1FD4AF" w14:textId="77777777" w:rsidR="000C1643" w:rsidRDefault="000C1643" w:rsidP="000C1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p>
    <w:p w14:paraId="18756082" w14:textId="77777777" w:rsidR="000C1643" w:rsidRDefault="000C1643" w:rsidP="000C1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p>
    <w:p w14:paraId="684ECB9B" w14:textId="77777777" w:rsidR="000C1643" w:rsidRDefault="000C1643" w:rsidP="000C1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p>
    <w:p w14:paraId="724FAE6F" w14:textId="77777777" w:rsidR="000C1643" w:rsidRDefault="000C1643" w:rsidP="000C1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p>
    <w:p w14:paraId="422E6C0C" w14:textId="77777777" w:rsidR="000C1643" w:rsidRPr="000C1643" w:rsidRDefault="000C1643" w:rsidP="000C1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val="en" w:eastAsia="fr-FR"/>
        </w:rPr>
      </w:pPr>
    </w:p>
    <w:p w14:paraId="7BDBE866" w14:textId="3B25B98F" w:rsidR="00865990" w:rsidRDefault="00865990" w:rsidP="00D53F8F">
      <w:pPr>
        <w:pStyle w:val="Heading3"/>
        <w:rPr>
          <w:lang w:val="en-GB" w:eastAsia="fr-FR"/>
        </w:rPr>
      </w:pPr>
      <w:bookmarkStart w:id="175" w:name="_Ref175130250"/>
      <w:bookmarkStart w:id="176" w:name="_Toc182327727"/>
      <w:bookmarkStart w:id="177" w:name="_Toc184808170"/>
      <w:bookmarkStart w:id="178" w:name="_Toc496101038"/>
      <w:r>
        <w:rPr>
          <w:lang w:val="en-GB" w:eastAsia="fr-FR"/>
        </w:rPr>
        <w:lastRenderedPageBreak/>
        <w:t>General characteristics for fuel combustion (CRT 1A)</w:t>
      </w:r>
      <w:bookmarkEnd w:id="175"/>
      <w:bookmarkEnd w:id="176"/>
      <w:bookmarkEnd w:id="177"/>
    </w:p>
    <w:p w14:paraId="3AF52E92" w14:textId="77777777" w:rsidR="00DA643B" w:rsidRPr="00BE0316" w:rsidRDefault="00DA643B" w:rsidP="00DA643B">
      <w:pPr>
        <w:rPr>
          <w:b/>
          <w:bCs/>
        </w:rPr>
      </w:pPr>
      <w:r w:rsidRPr="00BE0316">
        <w:rPr>
          <w:b/>
          <w:bCs/>
        </w:rPr>
        <w:t>A – Introduction</w:t>
      </w:r>
    </w:p>
    <w:p w14:paraId="26A28225" w14:textId="3850D504" w:rsidR="00865990" w:rsidRDefault="00C50832" w:rsidP="00DA643B">
      <w:pPr>
        <w:rPr>
          <w:rFonts w:eastAsia="Calibri" w:cs="Times New Roman"/>
          <w:szCs w:val="20"/>
        </w:rPr>
      </w:pPr>
      <w:r>
        <w:rPr>
          <w:rFonts w:eastAsia="Calibri" w:cs="Times New Roman"/>
          <w:szCs w:val="20"/>
        </w:rPr>
        <w:t>The term “fuel” is used in this report to define all type of product which is used in a combustion installation</w:t>
      </w:r>
      <w:r w:rsidR="0098203D">
        <w:rPr>
          <w:rFonts w:eastAsia="Calibri" w:cs="Times New Roman"/>
          <w:szCs w:val="20"/>
        </w:rPr>
        <w:t xml:space="preserve"> (fossil fuels, biomass, other products) in order to produce heat or electricity. </w:t>
      </w:r>
      <w:r w:rsidR="00901A5D">
        <w:rPr>
          <w:rFonts w:eastAsia="Calibri" w:cs="Times New Roman"/>
          <w:szCs w:val="20"/>
        </w:rPr>
        <w:t xml:space="preserve">In order to estimate GHG emissions related to fuel combustion, their different features </w:t>
      </w:r>
      <w:r w:rsidR="00A21410">
        <w:rPr>
          <w:rFonts w:eastAsia="Calibri" w:cs="Times New Roman"/>
          <w:szCs w:val="20"/>
        </w:rPr>
        <w:t xml:space="preserve">such as </w:t>
      </w:r>
      <w:r w:rsidR="0097446B">
        <w:rPr>
          <w:rFonts w:eastAsia="Calibri" w:cs="Times New Roman"/>
          <w:szCs w:val="20"/>
        </w:rPr>
        <w:t xml:space="preserve">chemical composition, calorific value, carbon content, etc. </w:t>
      </w:r>
      <w:r w:rsidR="00901A5D">
        <w:rPr>
          <w:rFonts w:eastAsia="Calibri" w:cs="Times New Roman"/>
          <w:szCs w:val="20"/>
        </w:rPr>
        <w:t xml:space="preserve">need to be known. </w:t>
      </w:r>
      <w:r w:rsidR="008461A2">
        <w:rPr>
          <w:rFonts w:eastAsia="Calibri" w:cs="Times New Roman"/>
          <w:szCs w:val="20"/>
        </w:rPr>
        <w:t>The characteristics vary from one fuel to another, but also for similar fuel type depending on its origin</w:t>
      </w:r>
      <w:r w:rsidR="002F5AC2">
        <w:rPr>
          <w:rFonts w:eastAsia="Calibri" w:cs="Times New Roman"/>
          <w:szCs w:val="20"/>
        </w:rPr>
        <w:t xml:space="preserve"> and eventual regulations applying to it. </w:t>
      </w:r>
    </w:p>
    <w:p w14:paraId="7CE5D36F" w14:textId="27D1DCFA" w:rsidR="00F56769" w:rsidRPr="00BE0316" w:rsidRDefault="00F56769" w:rsidP="00F56769">
      <w:pPr>
        <w:rPr>
          <w:b/>
          <w:bCs/>
        </w:rPr>
      </w:pPr>
      <w:r>
        <w:rPr>
          <w:b/>
          <w:bCs/>
        </w:rPr>
        <w:t>B</w:t>
      </w:r>
      <w:r w:rsidRPr="00BE0316">
        <w:rPr>
          <w:b/>
          <w:bCs/>
        </w:rPr>
        <w:t xml:space="preserve"> – </w:t>
      </w:r>
      <w:r w:rsidR="00024E75">
        <w:rPr>
          <w:b/>
          <w:bCs/>
        </w:rPr>
        <w:t>C</w:t>
      </w:r>
      <w:r>
        <w:rPr>
          <w:b/>
          <w:bCs/>
        </w:rPr>
        <w:t>alorific value</w:t>
      </w:r>
    </w:p>
    <w:p w14:paraId="35EC6C12" w14:textId="2489D725" w:rsidR="00F56769" w:rsidRDefault="00024E75" w:rsidP="00F56769">
      <w:pPr>
        <w:rPr>
          <w:rFonts w:eastAsia="Calibri" w:cs="Times New Roman"/>
          <w:szCs w:val="20"/>
        </w:rPr>
      </w:pPr>
      <w:r>
        <w:rPr>
          <w:rFonts w:eastAsia="Calibri" w:cs="Times New Roman"/>
          <w:szCs w:val="20"/>
        </w:rPr>
        <w:t xml:space="preserve">The calorific value </w:t>
      </w:r>
      <w:r w:rsidR="00C23DE0">
        <w:rPr>
          <w:rFonts w:eastAsia="Calibri" w:cs="Times New Roman"/>
          <w:szCs w:val="20"/>
        </w:rPr>
        <w:t xml:space="preserve">is used to convert the amounts of fuel in mass or volume into energy unit. </w:t>
      </w:r>
      <w:r w:rsidR="007169BD">
        <w:rPr>
          <w:rFonts w:eastAsia="Calibri" w:cs="Times New Roman"/>
          <w:szCs w:val="20"/>
        </w:rPr>
        <w:t xml:space="preserve">Among the most encountered </w:t>
      </w:r>
      <w:r w:rsidR="00335D96">
        <w:rPr>
          <w:rFonts w:eastAsia="Calibri" w:cs="Times New Roman"/>
          <w:szCs w:val="20"/>
        </w:rPr>
        <w:t>energy uni</w:t>
      </w:r>
      <w:r w:rsidR="00B363C5">
        <w:rPr>
          <w:rFonts w:eastAsia="Calibri" w:cs="Times New Roman"/>
          <w:szCs w:val="20"/>
        </w:rPr>
        <w:t>t</w:t>
      </w:r>
      <w:r w:rsidR="00335D96">
        <w:rPr>
          <w:rFonts w:eastAsia="Calibri" w:cs="Times New Roman"/>
          <w:szCs w:val="20"/>
        </w:rPr>
        <w:t>s</w:t>
      </w:r>
      <w:r w:rsidR="007169BD">
        <w:rPr>
          <w:rFonts w:eastAsia="Calibri" w:cs="Times New Roman"/>
          <w:szCs w:val="20"/>
        </w:rPr>
        <w:t xml:space="preserve"> are:</w:t>
      </w:r>
    </w:p>
    <w:p w14:paraId="40270227" w14:textId="4A66D97D" w:rsidR="00D56010" w:rsidRDefault="00D56010" w:rsidP="003631EA">
      <w:pPr>
        <w:pStyle w:val="Caption"/>
        <w:keepNext/>
      </w:pPr>
      <w:bookmarkStart w:id="179" w:name="_Toc184808557"/>
      <w:r>
        <w:t xml:space="preserve">Table </w:t>
      </w:r>
      <w:r>
        <w:fldChar w:fldCharType="begin"/>
      </w:r>
      <w:r>
        <w:instrText xml:space="preserve"> SEQ Table \* ARABIC </w:instrText>
      </w:r>
      <w:r>
        <w:fldChar w:fldCharType="separate"/>
      </w:r>
      <w:r w:rsidR="00F14C78">
        <w:rPr>
          <w:noProof/>
        </w:rPr>
        <w:t>15</w:t>
      </w:r>
      <w:r>
        <w:fldChar w:fldCharType="end"/>
      </w:r>
      <w:r>
        <w:t>: Conversion</w:t>
      </w:r>
      <w:r w:rsidR="00335D96">
        <w:t>s</w:t>
      </w:r>
      <w:r>
        <w:t xml:space="preserve"> </w:t>
      </w:r>
      <w:r w:rsidR="00335D96">
        <w:t>of different energy units into Joules</w:t>
      </w:r>
      <w:bookmarkEnd w:id="17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0"/>
        <w:gridCol w:w="1080"/>
        <w:gridCol w:w="1980"/>
        <w:gridCol w:w="2700"/>
      </w:tblGrid>
      <w:tr w:rsidR="00D56010" w:rsidRPr="00E0073A" w14:paraId="7FBED7BD" w14:textId="77777777">
        <w:tc>
          <w:tcPr>
            <w:tcW w:w="2700" w:type="dxa"/>
            <w:tcBorders>
              <w:top w:val="single" w:sz="12" w:space="0" w:color="auto"/>
              <w:bottom w:val="single" w:sz="12" w:space="0" w:color="auto"/>
            </w:tcBorders>
            <w:shd w:val="clear" w:color="auto" w:fill="95B3D7"/>
          </w:tcPr>
          <w:p w14:paraId="19A1056E" w14:textId="5227AE8C" w:rsidR="00D56010" w:rsidRPr="00E0073A" w:rsidRDefault="00D56010">
            <w:pPr>
              <w:spacing w:after="0" w:line="240" w:lineRule="auto"/>
              <w:jc w:val="center"/>
              <w:rPr>
                <w:rFonts w:eastAsia="Calibri" w:cs="Times New Roman"/>
                <w:szCs w:val="20"/>
              </w:rPr>
            </w:pPr>
            <w:r w:rsidRPr="00E0073A">
              <w:rPr>
                <w:rFonts w:eastAsia="Calibri" w:cs="Times New Roman"/>
                <w:szCs w:val="20"/>
              </w:rPr>
              <w:t>Unit</w:t>
            </w:r>
          </w:p>
        </w:tc>
        <w:tc>
          <w:tcPr>
            <w:tcW w:w="1080" w:type="dxa"/>
            <w:tcBorders>
              <w:top w:val="single" w:sz="12" w:space="0" w:color="auto"/>
              <w:bottom w:val="single" w:sz="12" w:space="0" w:color="auto"/>
            </w:tcBorders>
            <w:shd w:val="clear" w:color="auto" w:fill="95B3D7"/>
          </w:tcPr>
          <w:p w14:paraId="515A0A07" w14:textId="77777777" w:rsidR="00D56010" w:rsidRPr="00E0073A" w:rsidRDefault="00D56010">
            <w:pPr>
              <w:spacing w:after="0" w:line="240" w:lineRule="auto"/>
              <w:jc w:val="center"/>
              <w:rPr>
                <w:rFonts w:eastAsia="Calibri" w:cs="Times New Roman"/>
                <w:szCs w:val="20"/>
              </w:rPr>
            </w:pPr>
            <w:proofErr w:type="spellStart"/>
            <w:r w:rsidRPr="00E0073A">
              <w:rPr>
                <w:rFonts w:eastAsia="Calibri" w:cs="Times New Roman"/>
                <w:szCs w:val="20"/>
              </w:rPr>
              <w:t>Symbole</w:t>
            </w:r>
            <w:proofErr w:type="spellEnd"/>
          </w:p>
        </w:tc>
        <w:tc>
          <w:tcPr>
            <w:tcW w:w="1980" w:type="dxa"/>
            <w:tcBorders>
              <w:top w:val="single" w:sz="12" w:space="0" w:color="auto"/>
              <w:bottom w:val="single" w:sz="12" w:space="0" w:color="auto"/>
            </w:tcBorders>
            <w:shd w:val="clear" w:color="auto" w:fill="95B3D7"/>
          </w:tcPr>
          <w:p w14:paraId="063F89CF" w14:textId="2BEE63C5" w:rsidR="00D56010" w:rsidRPr="00E0073A" w:rsidRDefault="00D56010">
            <w:pPr>
              <w:spacing w:after="0" w:line="240" w:lineRule="auto"/>
              <w:jc w:val="center"/>
              <w:rPr>
                <w:rFonts w:eastAsia="Calibri" w:cs="Times New Roman"/>
                <w:szCs w:val="20"/>
              </w:rPr>
            </w:pPr>
            <w:r w:rsidRPr="00E0073A">
              <w:rPr>
                <w:rFonts w:eastAsia="Calibri" w:cs="Times New Roman"/>
                <w:szCs w:val="20"/>
              </w:rPr>
              <w:t>Equivalence</w:t>
            </w:r>
            <w:r w:rsidR="00B363C5">
              <w:rPr>
                <w:rFonts w:eastAsia="Calibri" w:cs="Times New Roman"/>
                <w:szCs w:val="20"/>
              </w:rPr>
              <w:t xml:space="preserve"> in</w:t>
            </w:r>
            <w:r w:rsidRPr="00E0073A">
              <w:rPr>
                <w:rFonts w:eastAsia="Calibri" w:cs="Times New Roman"/>
                <w:szCs w:val="20"/>
              </w:rPr>
              <w:t xml:space="preserve"> Joules</w:t>
            </w:r>
          </w:p>
        </w:tc>
        <w:tc>
          <w:tcPr>
            <w:tcW w:w="2700" w:type="dxa"/>
            <w:tcBorders>
              <w:top w:val="single" w:sz="12" w:space="0" w:color="auto"/>
              <w:bottom w:val="single" w:sz="12" w:space="0" w:color="auto"/>
            </w:tcBorders>
            <w:shd w:val="clear" w:color="auto" w:fill="95B3D7"/>
          </w:tcPr>
          <w:p w14:paraId="4E9686D1" w14:textId="5095689E" w:rsidR="00D56010" w:rsidRPr="00E0073A" w:rsidRDefault="00B363C5">
            <w:pPr>
              <w:spacing w:after="0" w:line="240" w:lineRule="auto"/>
              <w:jc w:val="center"/>
              <w:rPr>
                <w:rFonts w:eastAsia="Calibri" w:cs="Times New Roman"/>
                <w:szCs w:val="20"/>
              </w:rPr>
            </w:pPr>
            <w:r>
              <w:rPr>
                <w:rFonts w:eastAsia="Calibri" w:cs="Times New Roman"/>
                <w:szCs w:val="20"/>
              </w:rPr>
              <w:t>Other multiples used</w:t>
            </w:r>
          </w:p>
        </w:tc>
      </w:tr>
      <w:tr w:rsidR="00D56010" w:rsidRPr="00E0073A" w14:paraId="70B2C12F" w14:textId="77777777">
        <w:tc>
          <w:tcPr>
            <w:tcW w:w="2700" w:type="dxa"/>
            <w:tcBorders>
              <w:top w:val="single" w:sz="12" w:space="0" w:color="auto"/>
            </w:tcBorders>
          </w:tcPr>
          <w:p w14:paraId="5767695E" w14:textId="6E568C6C" w:rsidR="00D56010" w:rsidRPr="00E0073A" w:rsidRDefault="00D56010">
            <w:pPr>
              <w:spacing w:after="0" w:line="240" w:lineRule="auto"/>
              <w:jc w:val="center"/>
              <w:rPr>
                <w:rFonts w:eastAsia="Calibri" w:cs="Times New Roman"/>
                <w:szCs w:val="20"/>
              </w:rPr>
            </w:pPr>
            <w:r w:rsidRPr="00E0073A">
              <w:rPr>
                <w:rFonts w:eastAsia="Calibri" w:cs="Times New Roman"/>
                <w:szCs w:val="20"/>
              </w:rPr>
              <w:t xml:space="preserve">tonne </w:t>
            </w:r>
            <w:r w:rsidR="00B363C5">
              <w:rPr>
                <w:rFonts w:eastAsia="Calibri" w:cs="Times New Roman"/>
                <w:szCs w:val="20"/>
              </w:rPr>
              <w:t>oil equivalent</w:t>
            </w:r>
          </w:p>
        </w:tc>
        <w:tc>
          <w:tcPr>
            <w:tcW w:w="1080" w:type="dxa"/>
            <w:tcBorders>
              <w:top w:val="single" w:sz="12" w:space="0" w:color="auto"/>
            </w:tcBorders>
          </w:tcPr>
          <w:p w14:paraId="354210CB" w14:textId="68195A07" w:rsidR="00D56010" w:rsidRPr="00E0073A" w:rsidRDefault="00D56010">
            <w:pPr>
              <w:spacing w:after="0" w:line="240" w:lineRule="auto"/>
              <w:jc w:val="center"/>
              <w:rPr>
                <w:rFonts w:eastAsia="Calibri" w:cs="Times New Roman"/>
                <w:szCs w:val="20"/>
              </w:rPr>
            </w:pPr>
            <w:r w:rsidRPr="00E0073A">
              <w:rPr>
                <w:rFonts w:eastAsia="Calibri" w:cs="Times New Roman"/>
                <w:szCs w:val="20"/>
              </w:rPr>
              <w:t>t</w:t>
            </w:r>
            <w:r w:rsidR="00B363C5">
              <w:rPr>
                <w:rFonts w:eastAsia="Calibri" w:cs="Times New Roman"/>
                <w:szCs w:val="20"/>
              </w:rPr>
              <w:t>oe</w:t>
            </w:r>
          </w:p>
        </w:tc>
        <w:tc>
          <w:tcPr>
            <w:tcW w:w="1980" w:type="dxa"/>
            <w:tcBorders>
              <w:top w:val="single" w:sz="12" w:space="0" w:color="auto"/>
            </w:tcBorders>
          </w:tcPr>
          <w:p w14:paraId="428B06D3" w14:textId="63A67256" w:rsidR="00D56010" w:rsidRPr="00E0073A" w:rsidRDefault="00D56010">
            <w:pPr>
              <w:spacing w:after="0" w:line="240" w:lineRule="auto"/>
              <w:jc w:val="center"/>
              <w:rPr>
                <w:rFonts w:eastAsia="Calibri" w:cs="Times New Roman"/>
                <w:szCs w:val="20"/>
              </w:rPr>
            </w:pPr>
            <w:r w:rsidRPr="00E0073A">
              <w:rPr>
                <w:rFonts w:eastAsia="Calibri" w:cs="Times New Roman"/>
                <w:szCs w:val="20"/>
              </w:rPr>
              <w:t>41</w:t>
            </w:r>
            <w:r w:rsidR="00B363C5">
              <w:rPr>
                <w:rFonts w:eastAsia="Calibri" w:cs="Times New Roman"/>
                <w:szCs w:val="20"/>
              </w:rPr>
              <w:t>.</w:t>
            </w:r>
            <w:r w:rsidRPr="00E0073A">
              <w:rPr>
                <w:rFonts w:eastAsia="Calibri" w:cs="Times New Roman"/>
                <w:szCs w:val="20"/>
              </w:rPr>
              <w:t>8</w:t>
            </w:r>
            <w:r w:rsidR="00C75129">
              <w:rPr>
                <w:rFonts w:eastAsia="Calibri" w:cs="Times New Roman"/>
                <w:szCs w:val="20"/>
              </w:rPr>
              <w:t>68</w:t>
            </w:r>
            <w:r w:rsidRPr="00E0073A">
              <w:rPr>
                <w:rFonts w:eastAsia="Calibri" w:cs="Times New Roman"/>
                <w:szCs w:val="20"/>
              </w:rPr>
              <w:t xml:space="preserve"> GJ</w:t>
            </w:r>
          </w:p>
        </w:tc>
        <w:tc>
          <w:tcPr>
            <w:tcW w:w="2700" w:type="dxa"/>
            <w:tcBorders>
              <w:top w:val="single" w:sz="12" w:space="0" w:color="auto"/>
            </w:tcBorders>
          </w:tcPr>
          <w:p w14:paraId="6A91A6A4" w14:textId="4DFB46ED" w:rsidR="00D56010" w:rsidRPr="00E0073A" w:rsidRDefault="00D56010">
            <w:pPr>
              <w:spacing w:after="0" w:line="240" w:lineRule="auto"/>
              <w:jc w:val="center"/>
              <w:rPr>
                <w:rFonts w:eastAsia="Calibri" w:cs="Times New Roman"/>
                <w:szCs w:val="20"/>
              </w:rPr>
            </w:pPr>
            <w:proofErr w:type="spellStart"/>
            <w:r w:rsidRPr="00E0073A">
              <w:rPr>
                <w:rFonts w:eastAsia="Calibri" w:cs="Times New Roman"/>
                <w:szCs w:val="20"/>
              </w:rPr>
              <w:t>kt</w:t>
            </w:r>
            <w:r w:rsidR="00B363C5">
              <w:rPr>
                <w:rFonts w:eastAsia="Calibri" w:cs="Times New Roman"/>
                <w:szCs w:val="20"/>
              </w:rPr>
              <w:t>oe</w:t>
            </w:r>
            <w:proofErr w:type="spellEnd"/>
            <w:r w:rsidRPr="00E0073A">
              <w:rPr>
                <w:rFonts w:eastAsia="Calibri" w:cs="Times New Roman"/>
                <w:szCs w:val="20"/>
              </w:rPr>
              <w:t>, Mt</w:t>
            </w:r>
            <w:r w:rsidR="00B363C5">
              <w:rPr>
                <w:rFonts w:eastAsia="Calibri" w:cs="Times New Roman"/>
                <w:szCs w:val="20"/>
              </w:rPr>
              <w:t>oe</w:t>
            </w:r>
          </w:p>
        </w:tc>
      </w:tr>
      <w:tr w:rsidR="00D56010" w:rsidRPr="00E0073A" w14:paraId="4C3E7B10" w14:textId="77777777">
        <w:tc>
          <w:tcPr>
            <w:tcW w:w="2700" w:type="dxa"/>
          </w:tcPr>
          <w:p w14:paraId="14AA1F96" w14:textId="62B94168" w:rsidR="00D56010" w:rsidRPr="00E0073A" w:rsidRDefault="00D56010">
            <w:pPr>
              <w:spacing w:after="0" w:line="240" w:lineRule="auto"/>
              <w:jc w:val="center"/>
              <w:rPr>
                <w:rFonts w:eastAsia="Calibri" w:cs="Times New Roman"/>
                <w:szCs w:val="20"/>
              </w:rPr>
            </w:pPr>
            <w:r w:rsidRPr="00E0073A">
              <w:rPr>
                <w:rFonts w:eastAsia="Calibri" w:cs="Times New Roman"/>
                <w:szCs w:val="20"/>
              </w:rPr>
              <w:t xml:space="preserve">Watt </w:t>
            </w:r>
            <w:r w:rsidR="00B363C5">
              <w:rPr>
                <w:rFonts w:eastAsia="Calibri" w:cs="Times New Roman"/>
                <w:szCs w:val="20"/>
              </w:rPr>
              <w:t>hou</w:t>
            </w:r>
            <w:r w:rsidR="000C592A">
              <w:rPr>
                <w:rFonts w:eastAsia="Calibri" w:cs="Times New Roman"/>
                <w:szCs w:val="20"/>
              </w:rPr>
              <w:t>r</w:t>
            </w:r>
            <w:r w:rsidRPr="00E0073A">
              <w:rPr>
                <w:rFonts w:eastAsia="Calibri" w:cs="Times New Roman"/>
                <w:szCs w:val="20"/>
              </w:rPr>
              <w:t xml:space="preserve"> </w:t>
            </w:r>
            <w:r w:rsidR="00B363C5">
              <w:rPr>
                <w:rFonts w:eastAsia="Calibri" w:cs="Times New Roman"/>
                <w:szCs w:val="20"/>
              </w:rPr>
              <w:t>NCV</w:t>
            </w:r>
          </w:p>
        </w:tc>
        <w:tc>
          <w:tcPr>
            <w:tcW w:w="1080" w:type="dxa"/>
          </w:tcPr>
          <w:p w14:paraId="5D8A8C8A" w14:textId="77777777" w:rsidR="00D56010" w:rsidRPr="00E0073A" w:rsidRDefault="00D56010">
            <w:pPr>
              <w:spacing w:after="0" w:line="240" w:lineRule="auto"/>
              <w:jc w:val="center"/>
              <w:rPr>
                <w:rFonts w:eastAsia="Calibri" w:cs="Times New Roman"/>
                <w:szCs w:val="20"/>
              </w:rPr>
            </w:pPr>
            <w:proofErr w:type="spellStart"/>
            <w:r w:rsidRPr="00E0073A">
              <w:rPr>
                <w:rFonts w:eastAsia="Calibri" w:cs="Times New Roman"/>
                <w:szCs w:val="20"/>
              </w:rPr>
              <w:t>Wh</w:t>
            </w:r>
            <w:proofErr w:type="spellEnd"/>
          </w:p>
        </w:tc>
        <w:tc>
          <w:tcPr>
            <w:tcW w:w="1980" w:type="dxa"/>
          </w:tcPr>
          <w:p w14:paraId="273E7C2D" w14:textId="679727F2" w:rsidR="00D56010" w:rsidRPr="00E0073A" w:rsidRDefault="00D56010">
            <w:pPr>
              <w:spacing w:after="0" w:line="240" w:lineRule="auto"/>
              <w:jc w:val="center"/>
              <w:rPr>
                <w:rFonts w:eastAsia="Calibri" w:cs="Times New Roman"/>
                <w:szCs w:val="20"/>
              </w:rPr>
            </w:pPr>
            <w:r w:rsidRPr="00E0073A">
              <w:rPr>
                <w:rFonts w:eastAsia="Calibri" w:cs="Times New Roman"/>
                <w:szCs w:val="20"/>
              </w:rPr>
              <w:t>3</w:t>
            </w:r>
            <w:r w:rsidR="00B363C5">
              <w:rPr>
                <w:rFonts w:eastAsia="Calibri" w:cs="Times New Roman"/>
                <w:szCs w:val="20"/>
              </w:rPr>
              <w:t>,</w:t>
            </w:r>
            <w:r w:rsidRPr="00E0073A">
              <w:rPr>
                <w:rFonts w:eastAsia="Calibri" w:cs="Times New Roman"/>
                <w:szCs w:val="20"/>
              </w:rPr>
              <w:t>600 J</w:t>
            </w:r>
          </w:p>
        </w:tc>
        <w:tc>
          <w:tcPr>
            <w:tcW w:w="2700" w:type="dxa"/>
          </w:tcPr>
          <w:p w14:paraId="232E8F5C" w14:textId="4891ED8B" w:rsidR="00D56010" w:rsidRPr="00E0073A" w:rsidRDefault="00D56010">
            <w:pPr>
              <w:spacing w:after="0" w:line="240" w:lineRule="auto"/>
              <w:jc w:val="center"/>
              <w:rPr>
                <w:rFonts w:eastAsia="Calibri" w:cs="Times New Roman"/>
                <w:szCs w:val="20"/>
              </w:rPr>
            </w:pPr>
            <w:r w:rsidRPr="00E0073A">
              <w:rPr>
                <w:rFonts w:eastAsia="Calibri" w:cs="Times New Roman"/>
                <w:szCs w:val="20"/>
              </w:rPr>
              <w:t>kWh, MWh, GWh</w:t>
            </w:r>
            <w:r w:rsidR="00B363C5">
              <w:rPr>
                <w:rFonts w:eastAsia="Calibri" w:cs="Times New Roman"/>
                <w:szCs w:val="20"/>
              </w:rPr>
              <w:t>, TWh</w:t>
            </w:r>
          </w:p>
        </w:tc>
      </w:tr>
      <w:tr w:rsidR="00D56010" w:rsidRPr="00E0073A" w14:paraId="653245DD" w14:textId="77777777">
        <w:tc>
          <w:tcPr>
            <w:tcW w:w="2700" w:type="dxa"/>
          </w:tcPr>
          <w:p w14:paraId="1403E8F6" w14:textId="77777777" w:rsidR="00D56010" w:rsidRPr="00E0073A" w:rsidRDefault="00D56010">
            <w:pPr>
              <w:spacing w:after="0" w:line="240" w:lineRule="auto"/>
              <w:jc w:val="center"/>
              <w:rPr>
                <w:rFonts w:eastAsia="Calibri" w:cs="Times New Roman"/>
                <w:szCs w:val="20"/>
              </w:rPr>
            </w:pPr>
            <w:r w:rsidRPr="00E0073A">
              <w:rPr>
                <w:rFonts w:eastAsia="Calibri" w:cs="Times New Roman"/>
                <w:szCs w:val="20"/>
              </w:rPr>
              <w:t>Joule</w:t>
            </w:r>
          </w:p>
        </w:tc>
        <w:tc>
          <w:tcPr>
            <w:tcW w:w="1080" w:type="dxa"/>
          </w:tcPr>
          <w:p w14:paraId="750CD82A" w14:textId="77777777" w:rsidR="00D56010" w:rsidRPr="00E0073A" w:rsidRDefault="00D56010">
            <w:pPr>
              <w:spacing w:after="0" w:line="240" w:lineRule="auto"/>
              <w:jc w:val="center"/>
              <w:rPr>
                <w:rFonts w:eastAsia="Calibri" w:cs="Times New Roman"/>
                <w:szCs w:val="20"/>
              </w:rPr>
            </w:pPr>
            <w:r w:rsidRPr="00E0073A">
              <w:rPr>
                <w:rFonts w:eastAsia="Calibri" w:cs="Times New Roman"/>
                <w:szCs w:val="20"/>
              </w:rPr>
              <w:t>J</w:t>
            </w:r>
          </w:p>
        </w:tc>
        <w:tc>
          <w:tcPr>
            <w:tcW w:w="1980" w:type="dxa"/>
          </w:tcPr>
          <w:p w14:paraId="08CDC94F" w14:textId="77777777" w:rsidR="00D56010" w:rsidRPr="00E0073A" w:rsidRDefault="00D56010">
            <w:pPr>
              <w:spacing w:after="0" w:line="240" w:lineRule="auto"/>
              <w:jc w:val="center"/>
              <w:rPr>
                <w:rFonts w:eastAsia="Calibri" w:cs="Times New Roman"/>
                <w:szCs w:val="20"/>
              </w:rPr>
            </w:pPr>
            <w:r w:rsidRPr="00E0073A">
              <w:rPr>
                <w:rFonts w:eastAsia="Calibri" w:cs="Times New Roman"/>
                <w:szCs w:val="20"/>
              </w:rPr>
              <w:t>1 J</w:t>
            </w:r>
          </w:p>
        </w:tc>
        <w:tc>
          <w:tcPr>
            <w:tcW w:w="2700" w:type="dxa"/>
          </w:tcPr>
          <w:p w14:paraId="59B08D86" w14:textId="77777777" w:rsidR="00D56010" w:rsidRPr="00E0073A" w:rsidRDefault="00D56010">
            <w:pPr>
              <w:spacing w:after="0" w:line="240" w:lineRule="auto"/>
              <w:jc w:val="center"/>
              <w:rPr>
                <w:rFonts w:eastAsia="Calibri" w:cs="Times New Roman"/>
                <w:szCs w:val="20"/>
                <w:lang w:val="nl-NL"/>
              </w:rPr>
            </w:pPr>
            <w:r w:rsidRPr="00E0073A">
              <w:rPr>
                <w:rFonts w:eastAsia="Calibri" w:cs="Times New Roman"/>
                <w:szCs w:val="20"/>
                <w:lang w:val="nl-NL"/>
              </w:rPr>
              <w:t>MJ, GJ, TJ</w:t>
            </w:r>
          </w:p>
        </w:tc>
      </w:tr>
      <w:tr w:rsidR="00D56010" w:rsidRPr="00E0073A" w14:paraId="0CFE103F" w14:textId="77777777">
        <w:tc>
          <w:tcPr>
            <w:tcW w:w="2700" w:type="dxa"/>
          </w:tcPr>
          <w:p w14:paraId="54AF169C" w14:textId="77777777" w:rsidR="00D56010" w:rsidRPr="00E0073A" w:rsidRDefault="00D56010">
            <w:pPr>
              <w:spacing w:after="0" w:line="240" w:lineRule="auto"/>
              <w:jc w:val="center"/>
              <w:rPr>
                <w:rFonts w:eastAsia="Calibri" w:cs="Times New Roman"/>
                <w:szCs w:val="20"/>
                <w:lang w:val="nl-NL"/>
              </w:rPr>
            </w:pPr>
            <w:r w:rsidRPr="00E0073A">
              <w:rPr>
                <w:rFonts w:eastAsia="Calibri" w:cs="Times New Roman"/>
                <w:szCs w:val="20"/>
                <w:lang w:val="nl-NL"/>
              </w:rPr>
              <w:t>Thermie</w:t>
            </w:r>
          </w:p>
        </w:tc>
        <w:tc>
          <w:tcPr>
            <w:tcW w:w="1080" w:type="dxa"/>
          </w:tcPr>
          <w:p w14:paraId="5C034B04" w14:textId="77777777" w:rsidR="00D56010" w:rsidRPr="00E0073A" w:rsidRDefault="00D56010">
            <w:pPr>
              <w:spacing w:after="0" w:line="240" w:lineRule="auto"/>
              <w:jc w:val="center"/>
              <w:rPr>
                <w:rFonts w:eastAsia="Calibri" w:cs="Times New Roman"/>
                <w:szCs w:val="20"/>
              </w:rPr>
            </w:pPr>
            <w:proofErr w:type="spellStart"/>
            <w:r w:rsidRPr="00E0073A">
              <w:rPr>
                <w:rFonts w:eastAsia="Calibri" w:cs="Times New Roman"/>
                <w:szCs w:val="20"/>
              </w:rPr>
              <w:t>th</w:t>
            </w:r>
            <w:proofErr w:type="spellEnd"/>
          </w:p>
        </w:tc>
        <w:tc>
          <w:tcPr>
            <w:tcW w:w="1980" w:type="dxa"/>
          </w:tcPr>
          <w:p w14:paraId="0561CB52" w14:textId="77777777" w:rsidR="00D56010" w:rsidRPr="00E0073A" w:rsidRDefault="00D56010">
            <w:pPr>
              <w:spacing w:after="0" w:line="240" w:lineRule="auto"/>
              <w:jc w:val="center"/>
              <w:rPr>
                <w:rFonts w:eastAsia="Calibri" w:cs="Times New Roman"/>
                <w:szCs w:val="20"/>
              </w:rPr>
            </w:pPr>
            <w:r w:rsidRPr="00E0073A">
              <w:rPr>
                <w:rFonts w:eastAsia="Calibri" w:cs="Times New Roman"/>
                <w:szCs w:val="20"/>
              </w:rPr>
              <w:t>4,18 MJ</w:t>
            </w:r>
          </w:p>
        </w:tc>
        <w:tc>
          <w:tcPr>
            <w:tcW w:w="2700" w:type="dxa"/>
          </w:tcPr>
          <w:p w14:paraId="13C1CDBA" w14:textId="77777777" w:rsidR="00D56010" w:rsidRPr="00E0073A" w:rsidRDefault="00D56010">
            <w:pPr>
              <w:spacing w:after="0" w:line="240" w:lineRule="auto"/>
              <w:jc w:val="center"/>
              <w:rPr>
                <w:rFonts w:eastAsia="Calibri" w:cs="Times New Roman"/>
                <w:szCs w:val="20"/>
              </w:rPr>
            </w:pPr>
            <w:r w:rsidRPr="00E0073A">
              <w:rPr>
                <w:rFonts w:eastAsia="Calibri" w:cs="Times New Roman"/>
                <w:szCs w:val="20"/>
              </w:rPr>
              <w:t>kth</w:t>
            </w:r>
          </w:p>
        </w:tc>
      </w:tr>
      <w:tr w:rsidR="00D56010" w:rsidRPr="00E0073A" w14:paraId="07EC8EE1" w14:textId="77777777">
        <w:tc>
          <w:tcPr>
            <w:tcW w:w="2700" w:type="dxa"/>
          </w:tcPr>
          <w:p w14:paraId="09C1F2CB" w14:textId="77777777" w:rsidR="00D56010" w:rsidRPr="00E0073A" w:rsidRDefault="00D56010">
            <w:pPr>
              <w:spacing w:after="0" w:line="240" w:lineRule="auto"/>
              <w:jc w:val="center"/>
              <w:rPr>
                <w:rFonts w:eastAsia="Calibri" w:cs="Times New Roman"/>
                <w:szCs w:val="20"/>
              </w:rPr>
            </w:pPr>
            <w:r w:rsidRPr="00E0073A">
              <w:rPr>
                <w:rFonts w:eastAsia="Calibri" w:cs="Times New Roman"/>
                <w:szCs w:val="20"/>
              </w:rPr>
              <w:t>Calorie</w:t>
            </w:r>
          </w:p>
        </w:tc>
        <w:tc>
          <w:tcPr>
            <w:tcW w:w="1080" w:type="dxa"/>
          </w:tcPr>
          <w:p w14:paraId="708C082C" w14:textId="77777777" w:rsidR="00D56010" w:rsidRPr="00E0073A" w:rsidRDefault="00D56010">
            <w:pPr>
              <w:spacing w:after="0" w:line="240" w:lineRule="auto"/>
              <w:jc w:val="center"/>
              <w:rPr>
                <w:rFonts w:eastAsia="Calibri" w:cs="Times New Roman"/>
                <w:szCs w:val="20"/>
              </w:rPr>
            </w:pPr>
            <w:proofErr w:type="spellStart"/>
            <w:r w:rsidRPr="00E0073A">
              <w:rPr>
                <w:rFonts w:eastAsia="Calibri" w:cs="Times New Roman"/>
                <w:szCs w:val="20"/>
              </w:rPr>
              <w:t>cal</w:t>
            </w:r>
            <w:proofErr w:type="spellEnd"/>
          </w:p>
        </w:tc>
        <w:tc>
          <w:tcPr>
            <w:tcW w:w="1980" w:type="dxa"/>
          </w:tcPr>
          <w:p w14:paraId="47226330" w14:textId="77777777" w:rsidR="00D56010" w:rsidRPr="00E0073A" w:rsidRDefault="00D56010">
            <w:pPr>
              <w:spacing w:after="0" w:line="240" w:lineRule="auto"/>
              <w:jc w:val="center"/>
              <w:rPr>
                <w:rFonts w:eastAsia="Calibri" w:cs="Times New Roman"/>
                <w:szCs w:val="20"/>
              </w:rPr>
            </w:pPr>
            <w:r w:rsidRPr="00E0073A">
              <w:rPr>
                <w:rFonts w:eastAsia="Calibri" w:cs="Times New Roman"/>
                <w:szCs w:val="20"/>
              </w:rPr>
              <w:t>4,18 J</w:t>
            </w:r>
          </w:p>
        </w:tc>
        <w:tc>
          <w:tcPr>
            <w:tcW w:w="2700" w:type="dxa"/>
          </w:tcPr>
          <w:p w14:paraId="0D441529" w14:textId="77777777" w:rsidR="00D56010" w:rsidRPr="00E0073A" w:rsidRDefault="00D56010">
            <w:pPr>
              <w:spacing w:after="0" w:line="240" w:lineRule="auto"/>
              <w:jc w:val="center"/>
              <w:rPr>
                <w:rFonts w:eastAsia="Calibri" w:cs="Times New Roman"/>
                <w:szCs w:val="20"/>
              </w:rPr>
            </w:pPr>
            <w:r w:rsidRPr="00E0073A">
              <w:rPr>
                <w:rFonts w:eastAsia="Calibri" w:cs="Times New Roman"/>
                <w:szCs w:val="20"/>
              </w:rPr>
              <w:t>kcal</w:t>
            </w:r>
          </w:p>
        </w:tc>
      </w:tr>
    </w:tbl>
    <w:p w14:paraId="3ED9B558" w14:textId="45AA9008" w:rsidR="007169BD" w:rsidRPr="00622F40" w:rsidRDefault="00CD1F91" w:rsidP="00622F40">
      <w:pPr>
        <w:ind w:left="708" w:firstLine="708"/>
        <w:rPr>
          <w:rFonts w:eastAsia="Calibri" w:cs="Times New Roman"/>
          <w:szCs w:val="20"/>
          <w:lang w:val="es-ES"/>
        </w:rPr>
      </w:pPr>
      <w:r w:rsidRPr="00E0073A">
        <w:rPr>
          <w:rFonts w:eastAsia="Calibri" w:cs="Times New Roman"/>
          <w:szCs w:val="20"/>
          <w:lang w:val="es-CO"/>
        </w:rPr>
        <w:t>k (kilo) = 10</w:t>
      </w:r>
      <w:r w:rsidRPr="00E0073A">
        <w:rPr>
          <w:rFonts w:eastAsia="Calibri" w:cs="Times New Roman"/>
          <w:szCs w:val="20"/>
          <w:vertAlign w:val="superscript"/>
          <w:lang w:val="es-CO"/>
        </w:rPr>
        <w:t>3</w:t>
      </w:r>
      <w:r w:rsidRPr="00E0073A">
        <w:rPr>
          <w:rFonts w:eastAsia="Calibri" w:cs="Times New Roman"/>
          <w:szCs w:val="20"/>
          <w:vertAlign w:val="superscript"/>
          <w:lang w:val="es-CO"/>
        </w:rPr>
        <w:tab/>
      </w:r>
      <w:r w:rsidRPr="00E0073A">
        <w:rPr>
          <w:rFonts w:eastAsia="Calibri" w:cs="Times New Roman"/>
          <w:szCs w:val="20"/>
          <w:lang w:val="es-CO"/>
        </w:rPr>
        <w:t>M (Mega) = 10</w:t>
      </w:r>
      <w:r w:rsidRPr="00E0073A">
        <w:rPr>
          <w:rFonts w:eastAsia="Calibri" w:cs="Times New Roman"/>
          <w:szCs w:val="20"/>
          <w:vertAlign w:val="superscript"/>
          <w:lang w:val="es-CO"/>
        </w:rPr>
        <w:t>6</w:t>
      </w:r>
      <w:r w:rsidRPr="00E0073A">
        <w:rPr>
          <w:rFonts w:eastAsia="Calibri" w:cs="Times New Roman"/>
          <w:szCs w:val="20"/>
          <w:vertAlign w:val="superscript"/>
          <w:lang w:val="es-CO"/>
        </w:rPr>
        <w:tab/>
      </w:r>
      <w:r w:rsidRPr="00E0073A">
        <w:rPr>
          <w:rFonts w:eastAsia="Calibri" w:cs="Times New Roman"/>
          <w:szCs w:val="20"/>
          <w:lang w:val="es-CO"/>
        </w:rPr>
        <w:t>G (Giga) = 10</w:t>
      </w:r>
      <w:r w:rsidRPr="00E0073A">
        <w:rPr>
          <w:rFonts w:eastAsia="Calibri" w:cs="Times New Roman"/>
          <w:szCs w:val="20"/>
          <w:vertAlign w:val="superscript"/>
          <w:lang w:val="es-CO"/>
        </w:rPr>
        <w:t>9</w:t>
      </w:r>
      <w:r w:rsidRPr="00E0073A">
        <w:rPr>
          <w:rFonts w:eastAsia="Calibri" w:cs="Times New Roman"/>
          <w:szCs w:val="20"/>
          <w:vertAlign w:val="superscript"/>
          <w:lang w:val="es-CO"/>
        </w:rPr>
        <w:tab/>
      </w:r>
      <w:r w:rsidRPr="00E0073A">
        <w:rPr>
          <w:rFonts w:eastAsia="Calibri" w:cs="Times New Roman"/>
          <w:szCs w:val="20"/>
          <w:lang w:val="es-CO"/>
        </w:rPr>
        <w:t>T (Tera)</w:t>
      </w:r>
      <w:r w:rsidRPr="00E0073A">
        <w:rPr>
          <w:rFonts w:eastAsia="Calibri" w:cs="Times New Roman"/>
          <w:szCs w:val="20"/>
          <w:vertAlign w:val="superscript"/>
          <w:lang w:val="es-CO"/>
        </w:rPr>
        <w:t xml:space="preserve"> </w:t>
      </w:r>
      <w:r w:rsidRPr="00E0073A">
        <w:rPr>
          <w:rFonts w:eastAsia="Calibri" w:cs="Times New Roman"/>
          <w:szCs w:val="20"/>
          <w:lang w:val="es-CO"/>
        </w:rPr>
        <w:t>= 10</w:t>
      </w:r>
      <w:r w:rsidRPr="00E0073A">
        <w:rPr>
          <w:rFonts w:eastAsia="Calibri" w:cs="Times New Roman"/>
          <w:szCs w:val="20"/>
          <w:vertAlign w:val="superscript"/>
          <w:lang w:val="es-CO"/>
        </w:rPr>
        <w:t>12</w:t>
      </w:r>
    </w:p>
    <w:p w14:paraId="48D535D4" w14:textId="554EA79F" w:rsidR="00F56769" w:rsidRDefault="00A73E26" w:rsidP="00DA643B">
      <w:pPr>
        <w:rPr>
          <w:rFonts w:eastAsia="Calibri" w:cs="Times New Roman"/>
          <w:szCs w:val="20"/>
        </w:rPr>
      </w:pPr>
      <w:r>
        <w:rPr>
          <w:rFonts w:eastAsia="Calibri" w:cs="Times New Roman"/>
          <w:szCs w:val="20"/>
        </w:rPr>
        <w:t>In the emission inventory for the Republic of Serbia, f</w:t>
      </w:r>
      <w:r w:rsidR="005300EF">
        <w:rPr>
          <w:rFonts w:eastAsia="Calibri" w:cs="Times New Roman"/>
          <w:szCs w:val="20"/>
        </w:rPr>
        <w:t>or all fuels</w:t>
      </w:r>
      <w:r>
        <w:rPr>
          <w:rFonts w:eastAsia="Calibri" w:cs="Times New Roman"/>
          <w:szCs w:val="20"/>
        </w:rPr>
        <w:t xml:space="preserve">, </w:t>
      </w:r>
      <w:r w:rsidR="00E7573D">
        <w:rPr>
          <w:rFonts w:eastAsia="Calibri" w:cs="Times New Roman"/>
          <w:szCs w:val="20"/>
        </w:rPr>
        <w:t>the</w:t>
      </w:r>
      <w:r>
        <w:rPr>
          <w:rFonts w:eastAsia="Calibri" w:cs="Times New Roman"/>
          <w:szCs w:val="20"/>
        </w:rPr>
        <w:t xml:space="preserve"> net calorific values </w:t>
      </w:r>
      <w:r w:rsidR="004B2CA6">
        <w:rPr>
          <w:rFonts w:eastAsia="Calibri" w:cs="Times New Roman"/>
          <w:szCs w:val="20"/>
        </w:rPr>
        <w:t xml:space="preserve">given by the energy balances </w:t>
      </w:r>
      <w:r>
        <w:rPr>
          <w:rFonts w:eastAsia="Calibri" w:cs="Times New Roman"/>
          <w:szCs w:val="20"/>
        </w:rPr>
        <w:t>are used</w:t>
      </w:r>
      <w:r w:rsidR="00296145">
        <w:rPr>
          <w:rFonts w:eastAsia="Calibri" w:cs="Times New Roman"/>
          <w:szCs w:val="20"/>
        </w:rPr>
        <w:t>, can vary depending on the year</w:t>
      </w:r>
      <w:r w:rsidR="000D1F0F">
        <w:rPr>
          <w:rFonts w:eastAsia="Calibri" w:cs="Times New Roman"/>
          <w:szCs w:val="20"/>
        </w:rPr>
        <w:t>, its origin (produced or imported) and</w:t>
      </w:r>
      <w:r w:rsidR="004B2CA6">
        <w:rPr>
          <w:rFonts w:eastAsia="Calibri" w:cs="Times New Roman"/>
          <w:szCs w:val="20"/>
        </w:rPr>
        <w:t xml:space="preserve"> </w:t>
      </w:r>
      <w:r w:rsidR="00296145">
        <w:rPr>
          <w:rFonts w:eastAsia="Calibri" w:cs="Times New Roman"/>
          <w:szCs w:val="20"/>
        </w:rPr>
        <w:t>the use</w:t>
      </w:r>
      <w:r w:rsidR="008443AD">
        <w:rPr>
          <w:rFonts w:eastAsia="Calibri" w:cs="Times New Roman"/>
          <w:szCs w:val="20"/>
        </w:rPr>
        <w:t>,</w:t>
      </w:r>
      <w:r w:rsidR="00296145">
        <w:rPr>
          <w:rFonts w:eastAsia="Calibri" w:cs="Times New Roman"/>
          <w:szCs w:val="20"/>
        </w:rPr>
        <w:t xml:space="preserve"> </w:t>
      </w:r>
      <w:r w:rsidR="008443AD">
        <w:rPr>
          <w:rFonts w:eastAsia="Calibri" w:cs="Times New Roman"/>
          <w:szCs w:val="20"/>
        </w:rPr>
        <w:t>in the following ranges</w:t>
      </w:r>
      <w:r w:rsidR="004B2CA6">
        <w:rPr>
          <w:rFonts w:eastAsia="Calibri" w:cs="Times New Roman"/>
          <w:szCs w:val="20"/>
        </w:rPr>
        <w:t xml:space="preserve">: </w:t>
      </w:r>
    </w:p>
    <w:p w14:paraId="2D56F396" w14:textId="26A2FCFD" w:rsidR="001E73DE" w:rsidRDefault="001E73DE" w:rsidP="00622F40">
      <w:pPr>
        <w:pStyle w:val="Caption"/>
        <w:keepNext/>
      </w:pPr>
      <w:bookmarkStart w:id="180" w:name="_Toc184808558"/>
      <w:r>
        <w:t xml:space="preserve">Table </w:t>
      </w:r>
      <w:r>
        <w:fldChar w:fldCharType="begin"/>
      </w:r>
      <w:r>
        <w:instrText xml:space="preserve"> SEQ Table \* ARABIC </w:instrText>
      </w:r>
      <w:r>
        <w:fldChar w:fldCharType="separate"/>
      </w:r>
      <w:r w:rsidR="00F14C78">
        <w:rPr>
          <w:noProof/>
        </w:rPr>
        <w:t>16</w:t>
      </w:r>
      <w:r>
        <w:fldChar w:fldCharType="end"/>
      </w:r>
      <w:r>
        <w:t>: Net calorific values (NCVs) ranges used in the Serbian inventory (source: national energy balances)</w:t>
      </w:r>
      <w:bookmarkEnd w:id="1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11"/>
      </w:tblGrid>
      <w:tr w:rsidR="00320105" w:rsidRPr="00E0073A" w14:paraId="59C56D20" w14:textId="77777777">
        <w:trPr>
          <w:tblHeader/>
          <w:jc w:val="center"/>
        </w:trPr>
        <w:tc>
          <w:tcPr>
            <w:tcW w:w="3686" w:type="dxa"/>
            <w:tcBorders>
              <w:top w:val="single" w:sz="12" w:space="0" w:color="auto"/>
              <w:left w:val="nil"/>
              <w:bottom w:val="single" w:sz="12" w:space="0" w:color="auto"/>
              <w:right w:val="nil"/>
            </w:tcBorders>
            <w:shd w:val="clear" w:color="auto" w:fill="B8CCE4" w:themeFill="accent1" w:themeFillTint="66"/>
            <w:vAlign w:val="center"/>
          </w:tcPr>
          <w:p w14:paraId="7DAA33DC" w14:textId="6C66D631" w:rsidR="00320105" w:rsidRPr="00E0073A" w:rsidRDefault="00320105">
            <w:pPr>
              <w:spacing w:after="0"/>
              <w:jc w:val="left"/>
              <w:rPr>
                <w:rFonts w:eastAsia="Calibri" w:cs="Times New Roman"/>
                <w:color w:val="FFFFFF"/>
                <w:sz w:val="18"/>
                <w:szCs w:val="18"/>
              </w:rPr>
            </w:pPr>
            <w:r>
              <w:rPr>
                <w:rFonts w:eastAsia="Calibri" w:cs="Times New Roman"/>
                <w:b/>
                <w:sz w:val="18"/>
                <w:szCs w:val="18"/>
              </w:rPr>
              <w:t>Fuel</w:t>
            </w:r>
          </w:p>
        </w:tc>
        <w:tc>
          <w:tcPr>
            <w:tcW w:w="1511" w:type="dxa"/>
            <w:tcBorders>
              <w:top w:val="single" w:sz="12" w:space="0" w:color="auto"/>
              <w:left w:val="nil"/>
              <w:bottom w:val="single" w:sz="12" w:space="0" w:color="auto"/>
              <w:right w:val="nil"/>
            </w:tcBorders>
            <w:shd w:val="clear" w:color="auto" w:fill="B8CCE4" w:themeFill="accent1" w:themeFillTint="66"/>
            <w:vAlign w:val="center"/>
          </w:tcPr>
          <w:p w14:paraId="059489EB" w14:textId="38E54FF4" w:rsidR="00320105" w:rsidRPr="00E0073A" w:rsidRDefault="00D1132D">
            <w:pPr>
              <w:spacing w:after="0"/>
              <w:jc w:val="center"/>
              <w:rPr>
                <w:rFonts w:eastAsia="Calibri" w:cs="Times New Roman"/>
                <w:color w:val="FFFFFF"/>
                <w:sz w:val="18"/>
                <w:szCs w:val="18"/>
              </w:rPr>
            </w:pPr>
            <w:r>
              <w:rPr>
                <w:rFonts w:eastAsia="Calibri" w:cs="Times New Roman"/>
                <w:b/>
                <w:sz w:val="18"/>
                <w:szCs w:val="18"/>
              </w:rPr>
              <w:t>NCV (</w:t>
            </w:r>
            <w:r w:rsidR="00320105">
              <w:rPr>
                <w:rFonts w:eastAsia="Calibri" w:cs="Times New Roman"/>
                <w:b/>
                <w:sz w:val="18"/>
                <w:szCs w:val="18"/>
              </w:rPr>
              <w:t>GJ</w:t>
            </w:r>
            <w:r w:rsidR="00320105" w:rsidRPr="00E0073A">
              <w:rPr>
                <w:rFonts w:eastAsia="Calibri" w:cs="Times New Roman"/>
                <w:b/>
                <w:sz w:val="18"/>
                <w:szCs w:val="18"/>
              </w:rPr>
              <w:t>/</w:t>
            </w:r>
            <w:r w:rsidR="00320105">
              <w:rPr>
                <w:rFonts w:eastAsia="Calibri" w:cs="Times New Roman"/>
                <w:b/>
                <w:sz w:val="18"/>
                <w:szCs w:val="18"/>
              </w:rPr>
              <w:t>t</w:t>
            </w:r>
            <w:r>
              <w:rPr>
                <w:rFonts w:eastAsia="Calibri" w:cs="Times New Roman"/>
                <w:b/>
                <w:sz w:val="18"/>
                <w:szCs w:val="18"/>
              </w:rPr>
              <w:t>)</w:t>
            </w:r>
          </w:p>
        </w:tc>
      </w:tr>
      <w:tr w:rsidR="00320105" w:rsidRPr="00E0073A" w14:paraId="063F801E" w14:textId="77777777">
        <w:trPr>
          <w:jc w:val="center"/>
        </w:trPr>
        <w:tc>
          <w:tcPr>
            <w:tcW w:w="3686" w:type="dxa"/>
            <w:tcBorders>
              <w:top w:val="single" w:sz="12" w:space="0" w:color="auto"/>
              <w:left w:val="nil"/>
              <w:bottom w:val="single" w:sz="4" w:space="0" w:color="auto"/>
              <w:right w:val="nil"/>
            </w:tcBorders>
            <w:vAlign w:val="center"/>
          </w:tcPr>
          <w:p w14:paraId="1F7B6D2A" w14:textId="11A0A94C" w:rsidR="00320105" w:rsidRPr="00E0073A" w:rsidRDefault="001D1D26">
            <w:pPr>
              <w:spacing w:after="0"/>
              <w:jc w:val="left"/>
              <w:rPr>
                <w:rFonts w:eastAsia="Calibri" w:cs="Times New Roman"/>
              </w:rPr>
            </w:pPr>
            <w:r>
              <w:rPr>
                <w:rFonts w:eastAsia="Calibri" w:cs="Times New Roman"/>
              </w:rPr>
              <w:t>Anthracite</w:t>
            </w:r>
          </w:p>
        </w:tc>
        <w:tc>
          <w:tcPr>
            <w:tcW w:w="1511" w:type="dxa"/>
            <w:tcBorders>
              <w:top w:val="single" w:sz="12" w:space="0" w:color="auto"/>
              <w:left w:val="nil"/>
              <w:bottom w:val="single" w:sz="4" w:space="0" w:color="auto"/>
              <w:right w:val="nil"/>
            </w:tcBorders>
            <w:vAlign w:val="center"/>
          </w:tcPr>
          <w:p w14:paraId="5D179F86" w14:textId="79AA0A57" w:rsidR="00320105" w:rsidRPr="00E0073A" w:rsidRDefault="00320105">
            <w:pPr>
              <w:spacing w:after="0"/>
              <w:jc w:val="center"/>
              <w:rPr>
                <w:rFonts w:eastAsia="Calibri" w:cs="Times New Roman"/>
              </w:rPr>
            </w:pPr>
            <w:r w:rsidRPr="00E0073A">
              <w:rPr>
                <w:rFonts w:eastAsia="Calibri" w:cs="Times New Roman"/>
              </w:rPr>
              <w:t>2</w:t>
            </w:r>
            <w:r w:rsidR="007A418F">
              <w:rPr>
                <w:rFonts w:eastAsia="Calibri" w:cs="Times New Roman"/>
              </w:rPr>
              <w:t>1.2-26.5</w:t>
            </w:r>
          </w:p>
        </w:tc>
      </w:tr>
      <w:tr w:rsidR="00320105" w:rsidRPr="00E0073A" w14:paraId="43B1BB33" w14:textId="77777777">
        <w:trPr>
          <w:jc w:val="center"/>
        </w:trPr>
        <w:tc>
          <w:tcPr>
            <w:tcW w:w="3686" w:type="dxa"/>
            <w:tcBorders>
              <w:top w:val="single" w:sz="4" w:space="0" w:color="auto"/>
              <w:left w:val="nil"/>
              <w:bottom w:val="single" w:sz="4" w:space="0" w:color="auto"/>
              <w:right w:val="nil"/>
            </w:tcBorders>
            <w:vAlign w:val="center"/>
          </w:tcPr>
          <w:p w14:paraId="457E316E" w14:textId="5948E13D" w:rsidR="00320105" w:rsidRPr="00E0073A" w:rsidRDefault="00324806">
            <w:pPr>
              <w:spacing w:after="0"/>
              <w:jc w:val="left"/>
              <w:rPr>
                <w:rFonts w:eastAsia="Calibri" w:cs="Times New Roman"/>
              </w:rPr>
            </w:pPr>
            <w:r>
              <w:rPr>
                <w:rFonts w:eastAsia="Calibri" w:cs="Times New Roman"/>
              </w:rPr>
              <w:t>Other bituminous coal</w:t>
            </w:r>
          </w:p>
        </w:tc>
        <w:tc>
          <w:tcPr>
            <w:tcW w:w="1511" w:type="dxa"/>
            <w:tcBorders>
              <w:top w:val="single" w:sz="4" w:space="0" w:color="auto"/>
              <w:left w:val="nil"/>
              <w:bottom w:val="single" w:sz="4" w:space="0" w:color="auto"/>
              <w:right w:val="nil"/>
            </w:tcBorders>
            <w:vAlign w:val="center"/>
          </w:tcPr>
          <w:p w14:paraId="153B1637" w14:textId="6BB8C853" w:rsidR="00320105" w:rsidRPr="00E0073A" w:rsidRDefault="00320105">
            <w:pPr>
              <w:spacing w:after="0"/>
              <w:jc w:val="center"/>
              <w:rPr>
                <w:rFonts w:eastAsia="Calibri" w:cs="Times New Roman"/>
              </w:rPr>
            </w:pPr>
            <w:r w:rsidRPr="00E0073A">
              <w:rPr>
                <w:rFonts w:eastAsia="Calibri" w:cs="Times New Roman"/>
              </w:rPr>
              <w:t>2</w:t>
            </w:r>
            <w:r w:rsidR="00324806">
              <w:rPr>
                <w:rFonts w:eastAsia="Calibri" w:cs="Times New Roman"/>
              </w:rPr>
              <w:t>2.0-28.7</w:t>
            </w:r>
          </w:p>
        </w:tc>
      </w:tr>
      <w:tr w:rsidR="00320105" w:rsidRPr="00320105" w14:paraId="50BDD024" w14:textId="77777777">
        <w:trPr>
          <w:jc w:val="center"/>
        </w:trPr>
        <w:tc>
          <w:tcPr>
            <w:tcW w:w="3686" w:type="dxa"/>
            <w:tcBorders>
              <w:top w:val="single" w:sz="4" w:space="0" w:color="auto"/>
              <w:left w:val="nil"/>
              <w:bottom w:val="single" w:sz="4" w:space="0" w:color="auto"/>
              <w:right w:val="nil"/>
            </w:tcBorders>
            <w:vAlign w:val="center"/>
          </w:tcPr>
          <w:p w14:paraId="5F2EDD11" w14:textId="1297D837" w:rsidR="00320105" w:rsidRPr="00E0073A" w:rsidRDefault="00393499">
            <w:pPr>
              <w:spacing w:after="0"/>
              <w:jc w:val="left"/>
              <w:rPr>
                <w:rFonts w:eastAsia="Calibri" w:cs="Times New Roman"/>
              </w:rPr>
            </w:pPr>
            <w:r>
              <w:rPr>
                <w:rFonts w:eastAsia="Calibri" w:cs="Times New Roman"/>
              </w:rPr>
              <w:t>Sub-bituminous coal</w:t>
            </w:r>
          </w:p>
        </w:tc>
        <w:tc>
          <w:tcPr>
            <w:tcW w:w="1511" w:type="dxa"/>
            <w:tcBorders>
              <w:top w:val="single" w:sz="4" w:space="0" w:color="auto"/>
              <w:left w:val="nil"/>
              <w:bottom w:val="single" w:sz="4" w:space="0" w:color="auto"/>
              <w:right w:val="nil"/>
            </w:tcBorders>
            <w:vAlign w:val="center"/>
          </w:tcPr>
          <w:p w14:paraId="23E3D083" w14:textId="2E8D83E0" w:rsidR="00320105" w:rsidRPr="00E0073A" w:rsidRDefault="008A35DF">
            <w:pPr>
              <w:spacing w:after="0"/>
              <w:jc w:val="center"/>
              <w:rPr>
                <w:rFonts w:eastAsia="Calibri" w:cs="Times New Roman"/>
              </w:rPr>
            </w:pPr>
            <w:r>
              <w:rPr>
                <w:rFonts w:eastAsia="Calibri" w:cs="Times New Roman"/>
              </w:rPr>
              <w:t>16.1</w:t>
            </w:r>
            <w:r w:rsidR="00393499">
              <w:rPr>
                <w:rFonts w:eastAsia="Calibri" w:cs="Times New Roman"/>
              </w:rPr>
              <w:t>-23.6</w:t>
            </w:r>
          </w:p>
        </w:tc>
      </w:tr>
      <w:tr w:rsidR="00320105" w:rsidRPr="00E0073A" w14:paraId="26C5DE87" w14:textId="77777777">
        <w:trPr>
          <w:jc w:val="center"/>
        </w:trPr>
        <w:tc>
          <w:tcPr>
            <w:tcW w:w="3686" w:type="dxa"/>
            <w:tcBorders>
              <w:top w:val="single" w:sz="4" w:space="0" w:color="auto"/>
              <w:left w:val="nil"/>
              <w:bottom w:val="single" w:sz="4" w:space="0" w:color="auto"/>
              <w:right w:val="nil"/>
            </w:tcBorders>
            <w:vAlign w:val="center"/>
          </w:tcPr>
          <w:p w14:paraId="2D2B3224" w14:textId="77777777" w:rsidR="00320105" w:rsidRPr="00E0073A" w:rsidRDefault="00320105">
            <w:pPr>
              <w:spacing w:after="0"/>
              <w:jc w:val="left"/>
              <w:rPr>
                <w:rFonts w:eastAsia="Calibri" w:cs="Times New Roman"/>
              </w:rPr>
            </w:pPr>
            <w:r w:rsidRPr="00E0073A">
              <w:rPr>
                <w:rFonts w:eastAsia="Calibri" w:cs="Times New Roman"/>
              </w:rPr>
              <w:t>Lignite</w:t>
            </w:r>
          </w:p>
        </w:tc>
        <w:tc>
          <w:tcPr>
            <w:tcW w:w="1511" w:type="dxa"/>
            <w:tcBorders>
              <w:top w:val="single" w:sz="4" w:space="0" w:color="auto"/>
              <w:left w:val="nil"/>
              <w:bottom w:val="single" w:sz="4" w:space="0" w:color="auto"/>
              <w:right w:val="nil"/>
            </w:tcBorders>
            <w:vAlign w:val="center"/>
          </w:tcPr>
          <w:p w14:paraId="6D2F494C" w14:textId="3275BCFB" w:rsidR="00320105" w:rsidRPr="00E0073A" w:rsidRDefault="000D1F0F">
            <w:pPr>
              <w:spacing w:after="0"/>
              <w:jc w:val="center"/>
              <w:rPr>
                <w:rFonts w:eastAsia="Calibri" w:cs="Times New Roman"/>
              </w:rPr>
            </w:pPr>
            <w:r>
              <w:rPr>
                <w:rFonts w:eastAsia="Calibri" w:cs="Times New Roman"/>
              </w:rPr>
              <w:t>7.1</w:t>
            </w:r>
            <w:r w:rsidR="008A35DF">
              <w:rPr>
                <w:rFonts w:eastAsia="Calibri" w:cs="Times New Roman"/>
              </w:rPr>
              <w:t>-</w:t>
            </w:r>
            <w:r w:rsidR="00320105" w:rsidRPr="00E0073A">
              <w:rPr>
                <w:rFonts w:eastAsia="Calibri" w:cs="Times New Roman"/>
              </w:rPr>
              <w:t>1</w:t>
            </w:r>
            <w:r w:rsidR="008A35DF">
              <w:rPr>
                <w:rFonts w:eastAsia="Calibri" w:cs="Times New Roman"/>
              </w:rPr>
              <w:t>7.0</w:t>
            </w:r>
          </w:p>
        </w:tc>
      </w:tr>
      <w:tr w:rsidR="00320105" w:rsidRPr="00E0073A" w14:paraId="4CDD4022" w14:textId="77777777">
        <w:trPr>
          <w:jc w:val="center"/>
        </w:trPr>
        <w:tc>
          <w:tcPr>
            <w:tcW w:w="3686" w:type="dxa"/>
            <w:tcBorders>
              <w:top w:val="single" w:sz="4" w:space="0" w:color="auto"/>
              <w:left w:val="nil"/>
              <w:bottom w:val="single" w:sz="4" w:space="0" w:color="auto"/>
              <w:right w:val="nil"/>
            </w:tcBorders>
            <w:vAlign w:val="center"/>
          </w:tcPr>
          <w:p w14:paraId="04FC7DD7" w14:textId="20685BCF" w:rsidR="00320105" w:rsidRPr="00E0073A" w:rsidRDefault="003C3B20">
            <w:pPr>
              <w:spacing w:after="0"/>
              <w:jc w:val="left"/>
              <w:rPr>
                <w:rFonts w:eastAsia="Calibri" w:cs="Times New Roman"/>
              </w:rPr>
            </w:pPr>
            <w:r>
              <w:rPr>
                <w:rFonts w:eastAsia="Calibri" w:cs="Times New Roman"/>
              </w:rPr>
              <w:t>Brown coal briquettes (BKB)</w:t>
            </w:r>
          </w:p>
        </w:tc>
        <w:tc>
          <w:tcPr>
            <w:tcW w:w="1511" w:type="dxa"/>
            <w:tcBorders>
              <w:top w:val="single" w:sz="4" w:space="0" w:color="auto"/>
              <w:left w:val="nil"/>
              <w:bottom w:val="single" w:sz="4" w:space="0" w:color="auto"/>
              <w:right w:val="nil"/>
            </w:tcBorders>
            <w:vAlign w:val="center"/>
          </w:tcPr>
          <w:p w14:paraId="6574600B" w14:textId="7FBE64B4" w:rsidR="00320105" w:rsidRPr="00E0073A" w:rsidRDefault="002D4845">
            <w:pPr>
              <w:spacing w:after="0"/>
              <w:jc w:val="center"/>
              <w:rPr>
                <w:rFonts w:eastAsia="Calibri" w:cs="Times New Roman"/>
              </w:rPr>
            </w:pPr>
            <w:r>
              <w:rPr>
                <w:rFonts w:eastAsia="Calibri" w:cs="Times New Roman"/>
              </w:rPr>
              <w:t>15.7</w:t>
            </w:r>
            <w:r w:rsidR="00801B25">
              <w:rPr>
                <w:rFonts w:eastAsia="Calibri" w:cs="Times New Roman"/>
              </w:rPr>
              <w:t>-20.0</w:t>
            </w:r>
          </w:p>
        </w:tc>
      </w:tr>
      <w:tr w:rsidR="00320105" w:rsidRPr="00E0073A" w14:paraId="167371DE" w14:textId="77777777">
        <w:trPr>
          <w:jc w:val="center"/>
        </w:trPr>
        <w:tc>
          <w:tcPr>
            <w:tcW w:w="3686" w:type="dxa"/>
            <w:tcBorders>
              <w:top w:val="single" w:sz="4" w:space="0" w:color="auto"/>
              <w:left w:val="nil"/>
              <w:bottom w:val="single" w:sz="4" w:space="0" w:color="auto"/>
              <w:right w:val="nil"/>
            </w:tcBorders>
            <w:vAlign w:val="center"/>
          </w:tcPr>
          <w:p w14:paraId="0D9606CD" w14:textId="16C276A3" w:rsidR="00320105" w:rsidRPr="00E0073A" w:rsidRDefault="00320105">
            <w:pPr>
              <w:spacing w:after="0"/>
              <w:jc w:val="left"/>
              <w:rPr>
                <w:rFonts w:eastAsia="Calibri" w:cs="Times New Roman"/>
              </w:rPr>
            </w:pPr>
            <w:r w:rsidRPr="00E0073A">
              <w:rPr>
                <w:rFonts w:eastAsia="Calibri" w:cs="Times New Roman"/>
              </w:rPr>
              <w:t>Coke</w:t>
            </w:r>
            <w:r w:rsidR="002D4845">
              <w:rPr>
                <w:rFonts w:eastAsia="Calibri" w:cs="Times New Roman"/>
              </w:rPr>
              <w:t>/Oven Coke</w:t>
            </w:r>
          </w:p>
        </w:tc>
        <w:tc>
          <w:tcPr>
            <w:tcW w:w="1511" w:type="dxa"/>
            <w:tcBorders>
              <w:top w:val="single" w:sz="4" w:space="0" w:color="auto"/>
              <w:left w:val="nil"/>
              <w:bottom w:val="single" w:sz="4" w:space="0" w:color="auto"/>
              <w:right w:val="nil"/>
            </w:tcBorders>
            <w:vAlign w:val="center"/>
          </w:tcPr>
          <w:p w14:paraId="4F8FABA1" w14:textId="7200A0AF" w:rsidR="00320105" w:rsidRPr="00E0073A" w:rsidRDefault="00A60C2D">
            <w:pPr>
              <w:spacing w:after="0"/>
              <w:jc w:val="center"/>
              <w:rPr>
                <w:rFonts w:eastAsia="Calibri" w:cs="Times New Roman"/>
              </w:rPr>
            </w:pPr>
            <w:r>
              <w:rPr>
                <w:rFonts w:eastAsia="Calibri" w:cs="Times New Roman"/>
              </w:rPr>
              <w:t>24.1-30.1</w:t>
            </w:r>
          </w:p>
        </w:tc>
      </w:tr>
      <w:tr w:rsidR="00320105" w:rsidRPr="00E0073A" w14:paraId="4832F4EF" w14:textId="77777777">
        <w:trPr>
          <w:jc w:val="center"/>
        </w:trPr>
        <w:tc>
          <w:tcPr>
            <w:tcW w:w="3686" w:type="dxa"/>
            <w:tcBorders>
              <w:top w:val="single" w:sz="4" w:space="0" w:color="auto"/>
              <w:left w:val="nil"/>
              <w:bottom w:val="single" w:sz="4" w:space="0" w:color="auto"/>
              <w:right w:val="nil"/>
            </w:tcBorders>
            <w:vAlign w:val="center"/>
          </w:tcPr>
          <w:p w14:paraId="77A84E2A" w14:textId="6471AD13" w:rsidR="00320105" w:rsidRPr="00E0073A" w:rsidRDefault="00A60C2D">
            <w:pPr>
              <w:spacing w:after="0"/>
              <w:jc w:val="left"/>
              <w:rPr>
                <w:rFonts w:eastAsia="Calibri" w:cs="Times New Roman"/>
              </w:rPr>
            </w:pPr>
            <w:r>
              <w:rPr>
                <w:rFonts w:eastAsia="Calibri" w:cs="Times New Roman"/>
              </w:rPr>
              <w:t>Coal tar</w:t>
            </w:r>
          </w:p>
        </w:tc>
        <w:tc>
          <w:tcPr>
            <w:tcW w:w="1511" w:type="dxa"/>
            <w:tcBorders>
              <w:top w:val="single" w:sz="4" w:space="0" w:color="auto"/>
              <w:left w:val="nil"/>
              <w:bottom w:val="single" w:sz="4" w:space="0" w:color="auto"/>
              <w:right w:val="nil"/>
            </w:tcBorders>
            <w:vAlign w:val="center"/>
          </w:tcPr>
          <w:p w14:paraId="0ECB9CE5" w14:textId="51BF4C52" w:rsidR="00320105" w:rsidRPr="00E0073A" w:rsidRDefault="00D1132D">
            <w:pPr>
              <w:spacing w:after="0"/>
              <w:jc w:val="center"/>
              <w:rPr>
                <w:rFonts w:eastAsia="Calibri" w:cs="Times New Roman"/>
              </w:rPr>
            </w:pPr>
            <w:r>
              <w:rPr>
                <w:rFonts w:eastAsia="Calibri" w:cs="Times New Roman"/>
              </w:rPr>
              <w:t>37.8-41.3</w:t>
            </w:r>
          </w:p>
        </w:tc>
      </w:tr>
      <w:tr w:rsidR="00320105" w:rsidRPr="00E0073A" w14:paraId="1BE52216" w14:textId="77777777">
        <w:trPr>
          <w:jc w:val="center"/>
        </w:trPr>
        <w:tc>
          <w:tcPr>
            <w:tcW w:w="3686" w:type="dxa"/>
            <w:tcBorders>
              <w:top w:val="single" w:sz="4" w:space="0" w:color="auto"/>
              <w:left w:val="nil"/>
              <w:bottom w:val="single" w:sz="4" w:space="0" w:color="auto"/>
              <w:right w:val="nil"/>
            </w:tcBorders>
            <w:vAlign w:val="center"/>
          </w:tcPr>
          <w:p w14:paraId="0E8EE8EF" w14:textId="2DF7D129" w:rsidR="00320105" w:rsidRPr="00E0073A" w:rsidRDefault="00D1132D">
            <w:pPr>
              <w:spacing w:after="0"/>
              <w:jc w:val="left"/>
              <w:rPr>
                <w:rFonts w:eastAsia="Calibri" w:cs="Times New Roman"/>
              </w:rPr>
            </w:pPr>
            <w:r>
              <w:rPr>
                <w:rFonts w:eastAsia="Calibri" w:cs="Times New Roman"/>
              </w:rPr>
              <w:t>Crude oil</w:t>
            </w:r>
          </w:p>
        </w:tc>
        <w:tc>
          <w:tcPr>
            <w:tcW w:w="1511" w:type="dxa"/>
            <w:tcBorders>
              <w:top w:val="single" w:sz="4" w:space="0" w:color="auto"/>
              <w:left w:val="nil"/>
              <w:bottom w:val="single" w:sz="4" w:space="0" w:color="auto"/>
              <w:right w:val="nil"/>
            </w:tcBorders>
            <w:vAlign w:val="center"/>
          </w:tcPr>
          <w:p w14:paraId="1B8AD4B2" w14:textId="275FF3C8" w:rsidR="00320105" w:rsidRPr="00E0073A" w:rsidRDefault="004B1EA3">
            <w:pPr>
              <w:spacing w:after="0"/>
              <w:jc w:val="center"/>
              <w:rPr>
                <w:rFonts w:eastAsia="Calibri" w:cs="Times New Roman"/>
              </w:rPr>
            </w:pPr>
            <w:r>
              <w:rPr>
                <w:rFonts w:eastAsia="Calibri" w:cs="Times New Roman"/>
              </w:rPr>
              <w:t>42.7-44.2</w:t>
            </w:r>
          </w:p>
        </w:tc>
      </w:tr>
      <w:tr w:rsidR="00320105" w:rsidRPr="00E0073A" w14:paraId="43BA5A1C" w14:textId="77777777">
        <w:trPr>
          <w:jc w:val="center"/>
        </w:trPr>
        <w:tc>
          <w:tcPr>
            <w:tcW w:w="3686" w:type="dxa"/>
            <w:tcBorders>
              <w:top w:val="single" w:sz="4" w:space="0" w:color="auto"/>
              <w:left w:val="nil"/>
              <w:bottom w:val="single" w:sz="4" w:space="0" w:color="auto"/>
              <w:right w:val="nil"/>
            </w:tcBorders>
            <w:vAlign w:val="center"/>
          </w:tcPr>
          <w:p w14:paraId="43564DE4" w14:textId="08389943" w:rsidR="00320105" w:rsidRPr="00E0073A" w:rsidRDefault="00001A81">
            <w:pPr>
              <w:spacing w:after="0"/>
              <w:jc w:val="left"/>
              <w:rPr>
                <w:rFonts w:eastAsia="Calibri" w:cs="Times New Roman"/>
              </w:rPr>
            </w:pPr>
            <w:r>
              <w:rPr>
                <w:rFonts w:eastAsia="Calibri" w:cs="Times New Roman"/>
              </w:rPr>
              <w:t>Natural gas liquids</w:t>
            </w:r>
          </w:p>
        </w:tc>
        <w:tc>
          <w:tcPr>
            <w:tcW w:w="1511" w:type="dxa"/>
            <w:tcBorders>
              <w:top w:val="single" w:sz="4" w:space="0" w:color="auto"/>
              <w:left w:val="nil"/>
              <w:bottom w:val="single" w:sz="4" w:space="0" w:color="auto"/>
              <w:right w:val="nil"/>
            </w:tcBorders>
            <w:vAlign w:val="center"/>
          </w:tcPr>
          <w:p w14:paraId="60F6E9CF" w14:textId="0BECB14D" w:rsidR="00320105" w:rsidRPr="00E0073A" w:rsidRDefault="00001A81">
            <w:pPr>
              <w:spacing w:after="0"/>
              <w:jc w:val="center"/>
              <w:rPr>
                <w:rFonts w:eastAsia="Calibri" w:cs="Times New Roman"/>
              </w:rPr>
            </w:pPr>
            <w:r>
              <w:rPr>
                <w:rFonts w:eastAsia="Calibri" w:cs="Times New Roman"/>
              </w:rPr>
              <w:t>45.2-46.0</w:t>
            </w:r>
          </w:p>
        </w:tc>
      </w:tr>
      <w:tr w:rsidR="00320105" w:rsidRPr="00E0073A" w14:paraId="0BC0C0D0" w14:textId="77777777">
        <w:trPr>
          <w:jc w:val="center"/>
        </w:trPr>
        <w:tc>
          <w:tcPr>
            <w:tcW w:w="3686" w:type="dxa"/>
            <w:tcBorders>
              <w:top w:val="single" w:sz="4" w:space="0" w:color="auto"/>
              <w:left w:val="nil"/>
              <w:bottom w:val="single" w:sz="4" w:space="0" w:color="auto"/>
              <w:right w:val="nil"/>
            </w:tcBorders>
            <w:vAlign w:val="center"/>
          </w:tcPr>
          <w:p w14:paraId="606A4385" w14:textId="39B249F2" w:rsidR="00320105" w:rsidRPr="00E0073A" w:rsidRDefault="00001A81">
            <w:pPr>
              <w:spacing w:after="0"/>
              <w:jc w:val="left"/>
              <w:rPr>
                <w:rFonts w:eastAsia="Calibri" w:cs="Times New Roman"/>
              </w:rPr>
            </w:pPr>
            <w:r>
              <w:rPr>
                <w:rFonts w:eastAsia="Calibri" w:cs="Times New Roman"/>
              </w:rPr>
              <w:t>Gasoline</w:t>
            </w:r>
          </w:p>
        </w:tc>
        <w:tc>
          <w:tcPr>
            <w:tcW w:w="1511" w:type="dxa"/>
            <w:tcBorders>
              <w:top w:val="single" w:sz="4" w:space="0" w:color="auto"/>
              <w:left w:val="nil"/>
              <w:bottom w:val="single" w:sz="4" w:space="0" w:color="auto"/>
              <w:right w:val="nil"/>
            </w:tcBorders>
            <w:vAlign w:val="center"/>
          </w:tcPr>
          <w:p w14:paraId="67AD1E1B" w14:textId="66918F8F" w:rsidR="00320105" w:rsidRPr="00E0073A" w:rsidRDefault="00001A81">
            <w:pPr>
              <w:spacing w:after="0"/>
              <w:jc w:val="center"/>
              <w:rPr>
                <w:rFonts w:eastAsia="Calibri" w:cs="Times New Roman"/>
              </w:rPr>
            </w:pPr>
            <w:r>
              <w:rPr>
                <w:rFonts w:eastAsia="Calibri" w:cs="Times New Roman"/>
              </w:rPr>
              <w:t>44.0-44.8</w:t>
            </w:r>
          </w:p>
        </w:tc>
      </w:tr>
      <w:tr w:rsidR="00320105" w:rsidRPr="00E0073A" w14:paraId="0C1349EB" w14:textId="77777777">
        <w:trPr>
          <w:jc w:val="center"/>
        </w:trPr>
        <w:tc>
          <w:tcPr>
            <w:tcW w:w="3686" w:type="dxa"/>
            <w:tcBorders>
              <w:top w:val="single" w:sz="4" w:space="0" w:color="auto"/>
              <w:left w:val="nil"/>
              <w:bottom w:val="single" w:sz="4" w:space="0" w:color="auto"/>
              <w:right w:val="nil"/>
            </w:tcBorders>
            <w:vAlign w:val="center"/>
          </w:tcPr>
          <w:p w14:paraId="486AEF0F" w14:textId="3FE5AAD9" w:rsidR="00320105" w:rsidRPr="00E0073A" w:rsidRDefault="00B26005">
            <w:pPr>
              <w:spacing w:after="0"/>
              <w:jc w:val="left"/>
              <w:rPr>
                <w:rFonts w:eastAsia="Calibri" w:cs="Times New Roman"/>
              </w:rPr>
            </w:pPr>
            <w:r>
              <w:rPr>
                <w:rFonts w:eastAsia="Calibri" w:cs="Times New Roman"/>
              </w:rPr>
              <w:t>Jet kerosene</w:t>
            </w:r>
          </w:p>
        </w:tc>
        <w:tc>
          <w:tcPr>
            <w:tcW w:w="1511" w:type="dxa"/>
            <w:tcBorders>
              <w:top w:val="single" w:sz="4" w:space="0" w:color="auto"/>
              <w:left w:val="nil"/>
              <w:bottom w:val="single" w:sz="4" w:space="0" w:color="auto"/>
              <w:right w:val="nil"/>
            </w:tcBorders>
            <w:vAlign w:val="center"/>
          </w:tcPr>
          <w:p w14:paraId="4961EE63" w14:textId="6319739C" w:rsidR="00320105" w:rsidRPr="00E0073A" w:rsidRDefault="00B26005">
            <w:pPr>
              <w:spacing w:after="0"/>
              <w:jc w:val="center"/>
              <w:rPr>
                <w:rFonts w:eastAsia="Calibri" w:cs="Times New Roman"/>
              </w:rPr>
            </w:pPr>
            <w:r>
              <w:rPr>
                <w:rFonts w:eastAsia="Calibri" w:cs="Times New Roman"/>
              </w:rPr>
              <w:t>43.0-44.6</w:t>
            </w:r>
          </w:p>
        </w:tc>
      </w:tr>
      <w:tr w:rsidR="00320105" w:rsidRPr="00E0073A" w14:paraId="4B9A4F53" w14:textId="77777777">
        <w:trPr>
          <w:jc w:val="center"/>
        </w:trPr>
        <w:tc>
          <w:tcPr>
            <w:tcW w:w="3686" w:type="dxa"/>
            <w:tcBorders>
              <w:top w:val="single" w:sz="4" w:space="0" w:color="auto"/>
              <w:left w:val="nil"/>
              <w:bottom w:val="single" w:sz="4" w:space="0" w:color="auto"/>
              <w:right w:val="nil"/>
            </w:tcBorders>
            <w:vAlign w:val="center"/>
          </w:tcPr>
          <w:p w14:paraId="472F8B72" w14:textId="1BD1661A" w:rsidR="00320105" w:rsidRPr="00E0073A" w:rsidRDefault="00B26005">
            <w:pPr>
              <w:spacing w:after="0"/>
              <w:jc w:val="left"/>
              <w:rPr>
                <w:rFonts w:eastAsia="Calibri" w:cs="Times New Roman"/>
              </w:rPr>
            </w:pPr>
            <w:r>
              <w:rPr>
                <w:rFonts w:eastAsia="Calibri" w:cs="Times New Roman"/>
              </w:rPr>
              <w:t>Other kerosene</w:t>
            </w:r>
          </w:p>
        </w:tc>
        <w:tc>
          <w:tcPr>
            <w:tcW w:w="1511" w:type="dxa"/>
            <w:tcBorders>
              <w:top w:val="single" w:sz="4" w:space="0" w:color="auto"/>
              <w:left w:val="nil"/>
              <w:bottom w:val="single" w:sz="4" w:space="0" w:color="auto"/>
              <w:right w:val="nil"/>
            </w:tcBorders>
            <w:vAlign w:val="center"/>
          </w:tcPr>
          <w:p w14:paraId="06055EE6" w14:textId="66647E5D" w:rsidR="00320105" w:rsidRPr="00E0073A" w:rsidRDefault="00B26005">
            <w:pPr>
              <w:spacing w:after="0"/>
              <w:jc w:val="center"/>
              <w:rPr>
                <w:rFonts w:eastAsia="Calibri" w:cs="Times New Roman"/>
              </w:rPr>
            </w:pPr>
            <w:r>
              <w:rPr>
                <w:rFonts w:eastAsia="Calibri" w:cs="Times New Roman"/>
              </w:rPr>
              <w:t>42.5-43.8</w:t>
            </w:r>
          </w:p>
        </w:tc>
      </w:tr>
      <w:tr w:rsidR="00320105" w:rsidRPr="00E0073A" w14:paraId="4FEA8227" w14:textId="77777777">
        <w:trPr>
          <w:jc w:val="center"/>
        </w:trPr>
        <w:tc>
          <w:tcPr>
            <w:tcW w:w="3686" w:type="dxa"/>
            <w:tcBorders>
              <w:top w:val="single" w:sz="4" w:space="0" w:color="auto"/>
              <w:left w:val="nil"/>
              <w:bottom w:val="single" w:sz="4" w:space="0" w:color="auto"/>
              <w:right w:val="nil"/>
            </w:tcBorders>
            <w:vAlign w:val="center"/>
          </w:tcPr>
          <w:p w14:paraId="6BF3021E" w14:textId="7DBF6D8B" w:rsidR="00320105" w:rsidRPr="00E0073A" w:rsidRDefault="002B74E9">
            <w:pPr>
              <w:spacing w:after="0"/>
              <w:jc w:val="left"/>
              <w:rPr>
                <w:rFonts w:eastAsia="Calibri" w:cs="Times New Roman"/>
              </w:rPr>
            </w:pPr>
            <w:r>
              <w:rPr>
                <w:rFonts w:eastAsia="Calibri" w:cs="Times New Roman"/>
              </w:rPr>
              <w:t>Gas/Diesel oil</w:t>
            </w:r>
          </w:p>
        </w:tc>
        <w:tc>
          <w:tcPr>
            <w:tcW w:w="1511" w:type="dxa"/>
            <w:tcBorders>
              <w:top w:val="single" w:sz="4" w:space="0" w:color="auto"/>
              <w:left w:val="nil"/>
              <w:bottom w:val="single" w:sz="4" w:space="0" w:color="auto"/>
              <w:right w:val="nil"/>
            </w:tcBorders>
            <w:vAlign w:val="center"/>
          </w:tcPr>
          <w:p w14:paraId="64A52F82" w14:textId="7F9B43CD" w:rsidR="00320105" w:rsidRPr="00E0073A" w:rsidRDefault="002B74E9">
            <w:pPr>
              <w:spacing w:after="0"/>
              <w:jc w:val="center"/>
              <w:rPr>
                <w:rFonts w:eastAsia="Calibri" w:cs="Times New Roman"/>
              </w:rPr>
            </w:pPr>
            <w:r>
              <w:rPr>
                <w:rFonts w:eastAsia="Calibri" w:cs="Times New Roman"/>
              </w:rPr>
              <w:t>42.6-44.0</w:t>
            </w:r>
          </w:p>
        </w:tc>
      </w:tr>
      <w:tr w:rsidR="00320105" w:rsidRPr="00E0073A" w14:paraId="425B2C89" w14:textId="77777777">
        <w:trPr>
          <w:jc w:val="center"/>
        </w:trPr>
        <w:tc>
          <w:tcPr>
            <w:tcW w:w="3686" w:type="dxa"/>
            <w:tcBorders>
              <w:top w:val="single" w:sz="4" w:space="0" w:color="auto"/>
              <w:left w:val="nil"/>
              <w:bottom w:val="single" w:sz="4" w:space="0" w:color="auto"/>
              <w:right w:val="nil"/>
            </w:tcBorders>
            <w:vAlign w:val="center"/>
          </w:tcPr>
          <w:p w14:paraId="185203E6" w14:textId="1FD2955F" w:rsidR="00320105" w:rsidRPr="00E0073A" w:rsidRDefault="002B74E9">
            <w:pPr>
              <w:spacing w:after="0"/>
              <w:jc w:val="left"/>
              <w:rPr>
                <w:rFonts w:eastAsia="Calibri" w:cs="Times New Roman"/>
              </w:rPr>
            </w:pPr>
            <w:r>
              <w:rPr>
                <w:rFonts w:eastAsia="Calibri" w:cs="Times New Roman"/>
              </w:rPr>
              <w:t>Residual fuel oil</w:t>
            </w:r>
          </w:p>
        </w:tc>
        <w:tc>
          <w:tcPr>
            <w:tcW w:w="1511" w:type="dxa"/>
            <w:tcBorders>
              <w:top w:val="single" w:sz="4" w:space="0" w:color="auto"/>
              <w:left w:val="nil"/>
              <w:bottom w:val="single" w:sz="4" w:space="0" w:color="auto"/>
              <w:right w:val="nil"/>
            </w:tcBorders>
            <w:vAlign w:val="center"/>
          </w:tcPr>
          <w:p w14:paraId="1D6C4D6C" w14:textId="69BBCB60" w:rsidR="00320105" w:rsidRPr="00E0073A" w:rsidRDefault="002B74E9">
            <w:pPr>
              <w:spacing w:after="0"/>
              <w:jc w:val="center"/>
              <w:rPr>
                <w:rFonts w:eastAsia="Calibri" w:cs="Times New Roman"/>
              </w:rPr>
            </w:pPr>
            <w:r>
              <w:rPr>
                <w:rFonts w:eastAsia="Calibri" w:cs="Times New Roman"/>
              </w:rPr>
              <w:t>40.0-41.6</w:t>
            </w:r>
          </w:p>
        </w:tc>
      </w:tr>
      <w:tr w:rsidR="00320105" w:rsidRPr="00E0073A" w14:paraId="0980BC61" w14:textId="77777777">
        <w:trPr>
          <w:jc w:val="center"/>
        </w:trPr>
        <w:tc>
          <w:tcPr>
            <w:tcW w:w="3686" w:type="dxa"/>
            <w:tcBorders>
              <w:top w:val="single" w:sz="4" w:space="0" w:color="auto"/>
              <w:left w:val="nil"/>
              <w:bottom w:val="single" w:sz="4" w:space="0" w:color="auto"/>
              <w:right w:val="nil"/>
            </w:tcBorders>
            <w:vAlign w:val="center"/>
          </w:tcPr>
          <w:p w14:paraId="28C74F51" w14:textId="28CB20BD" w:rsidR="00320105" w:rsidRPr="00622F40" w:rsidRDefault="00272BD2">
            <w:pPr>
              <w:spacing w:after="0"/>
              <w:jc w:val="left"/>
              <w:rPr>
                <w:rFonts w:eastAsia="Calibri" w:cs="Times New Roman"/>
                <w:lang w:val="fr-FR"/>
              </w:rPr>
            </w:pPr>
            <w:proofErr w:type="spellStart"/>
            <w:r>
              <w:rPr>
                <w:rFonts w:eastAsia="Calibri" w:cs="Times New Roman"/>
                <w:lang w:val="fr-FR"/>
              </w:rPr>
              <w:t>Liquefied</w:t>
            </w:r>
            <w:proofErr w:type="spellEnd"/>
            <w:r>
              <w:rPr>
                <w:rFonts w:eastAsia="Calibri" w:cs="Times New Roman"/>
                <w:lang w:val="fr-FR"/>
              </w:rPr>
              <w:t xml:space="preserve"> </w:t>
            </w:r>
            <w:proofErr w:type="spellStart"/>
            <w:r>
              <w:rPr>
                <w:rFonts w:eastAsia="Calibri" w:cs="Times New Roman"/>
                <w:lang w:val="fr-FR"/>
              </w:rPr>
              <w:t>petroleum</w:t>
            </w:r>
            <w:proofErr w:type="spellEnd"/>
            <w:r>
              <w:rPr>
                <w:rFonts w:eastAsia="Calibri" w:cs="Times New Roman"/>
                <w:lang w:val="fr-FR"/>
              </w:rPr>
              <w:t xml:space="preserve"> </w:t>
            </w:r>
            <w:proofErr w:type="spellStart"/>
            <w:r>
              <w:rPr>
                <w:rFonts w:eastAsia="Calibri" w:cs="Times New Roman"/>
                <w:lang w:val="fr-FR"/>
              </w:rPr>
              <w:t>gas</w:t>
            </w:r>
            <w:proofErr w:type="spellEnd"/>
            <w:r>
              <w:rPr>
                <w:rFonts w:eastAsia="Calibri" w:cs="Times New Roman"/>
                <w:lang w:val="fr-FR"/>
              </w:rPr>
              <w:t xml:space="preserve"> (LPG)</w:t>
            </w:r>
          </w:p>
        </w:tc>
        <w:tc>
          <w:tcPr>
            <w:tcW w:w="1511" w:type="dxa"/>
            <w:tcBorders>
              <w:top w:val="single" w:sz="4" w:space="0" w:color="auto"/>
              <w:left w:val="nil"/>
              <w:bottom w:val="single" w:sz="4" w:space="0" w:color="auto"/>
              <w:right w:val="nil"/>
            </w:tcBorders>
            <w:vAlign w:val="center"/>
          </w:tcPr>
          <w:p w14:paraId="013AB032" w14:textId="12B43A75" w:rsidR="00320105" w:rsidRPr="00E0073A" w:rsidRDefault="00272BD2">
            <w:pPr>
              <w:spacing w:after="0"/>
              <w:jc w:val="center"/>
              <w:rPr>
                <w:rFonts w:eastAsia="Calibri" w:cs="Times New Roman"/>
              </w:rPr>
            </w:pPr>
            <w:r>
              <w:rPr>
                <w:rFonts w:eastAsia="Calibri" w:cs="Times New Roman"/>
              </w:rPr>
              <w:t>46.0-47.3</w:t>
            </w:r>
          </w:p>
        </w:tc>
      </w:tr>
      <w:tr w:rsidR="00320105" w:rsidRPr="00E0073A" w14:paraId="4136A984" w14:textId="77777777">
        <w:trPr>
          <w:jc w:val="center"/>
        </w:trPr>
        <w:tc>
          <w:tcPr>
            <w:tcW w:w="3686" w:type="dxa"/>
            <w:tcBorders>
              <w:top w:val="single" w:sz="4" w:space="0" w:color="auto"/>
              <w:left w:val="nil"/>
              <w:bottom w:val="single" w:sz="4" w:space="0" w:color="auto"/>
              <w:right w:val="nil"/>
            </w:tcBorders>
            <w:vAlign w:val="center"/>
          </w:tcPr>
          <w:p w14:paraId="43C0870F" w14:textId="626FE4E4" w:rsidR="00320105" w:rsidRPr="00E0073A" w:rsidRDefault="00272BD2">
            <w:pPr>
              <w:spacing w:after="0"/>
              <w:jc w:val="left"/>
              <w:rPr>
                <w:rFonts w:eastAsia="Calibri" w:cs="Times New Roman"/>
              </w:rPr>
            </w:pPr>
            <w:r>
              <w:rPr>
                <w:rFonts w:eastAsia="Calibri" w:cs="Times New Roman"/>
              </w:rPr>
              <w:t>Naphtha</w:t>
            </w:r>
          </w:p>
        </w:tc>
        <w:tc>
          <w:tcPr>
            <w:tcW w:w="1511" w:type="dxa"/>
            <w:tcBorders>
              <w:top w:val="single" w:sz="4" w:space="0" w:color="auto"/>
              <w:left w:val="nil"/>
              <w:bottom w:val="single" w:sz="4" w:space="0" w:color="auto"/>
              <w:right w:val="nil"/>
            </w:tcBorders>
            <w:vAlign w:val="center"/>
          </w:tcPr>
          <w:p w14:paraId="4C0A1A53" w14:textId="14469501" w:rsidR="00320105" w:rsidRPr="00E0073A" w:rsidRDefault="00272BD2">
            <w:pPr>
              <w:spacing w:after="0"/>
              <w:jc w:val="center"/>
              <w:rPr>
                <w:rFonts w:eastAsia="Calibri" w:cs="Times New Roman"/>
              </w:rPr>
            </w:pPr>
            <w:r>
              <w:rPr>
                <w:rFonts w:eastAsia="Calibri" w:cs="Times New Roman"/>
              </w:rPr>
              <w:t>44.0-45.0</w:t>
            </w:r>
          </w:p>
        </w:tc>
      </w:tr>
      <w:tr w:rsidR="00320105" w:rsidRPr="00E0073A" w14:paraId="37D60693" w14:textId="77777777">
        <w:trPr>
          <w:jc w:val="center"/>
        </w:trPr>
        <w:tc>
          <w:tcPr>
            <w:tcW w:w="3686" w:type="dxa"/>
            <w:tcBorders>
              <w:top w:val="single" w:sz="4" w:space="0" w:color="auto"/>
              <w:left w:val="nil"/>
              <w:bottom w:val="single" w:sz="4" w:space="0" w:color="auto"/>
              <w:right w:val="nil"/>
            </w:tcBorders>
            <w:vAlign w:val="center"/>
          </w:tcPr>
          <w:p w14:paraId="75E5D108" w14:textId="2B46F02A" w:rsidR="00320105" w:rsidRPr="00622F40" w:rsidRDefault="009C11BD">
            <w:pPr>
              <w:spacing w:after="0"/>
              <w:jc w:val="left"/>
              <w:rPr>
                <w:rFonts w:eastAsia="Calibri" w:cs="Times New Roman"/>
                <w:lang w:val="fr-FR"/>
              </w:rPr>
            </w:pPr>
            <w:proofErr w:type="spellStart"/>
            <w:r>
              <w:rPr>
                <w:rFonts w:eastAsia="Calibri" w:cs="Times New Roman"/>
                <w:lang w:val="fr-FR"/>
              </w:rPr>
              <w:t>Bitumen</w:t>
            </w:r>
            <w:proofErr w:type="spellEnd"/>
          </w:p>
        </w:tc>
        <w:tc>
          <w:tcPr>
            <w:tcW w:w="1511" w:type="dxa"/>
            <w:tcBorders>
              <w:top w:val="single" w:sz="4" w:space="0" w:color="auto"/>
              <w:left w:val="nil"/>
              <w:bottom w:val="single" w:sz="4" w:space="0" w:color="auto"/>
              <w:right w:val="nil"/>
            </w:tcBorders>
            <w:vAlign w:val="center"/>
          </w:tcPr>
          <w:p w14:paraId="0C9122F6" w14:textId="1A60F148" w:rsidR="00320105" w:rsidRPr="00E0073A" w:rsidRDefault="009C11BD">
            <w:pPr>
              <w:spacing w:after="0"/>
              <w:jc w:val="center"/>
              <w:rPr>
                <w:rFonts w:eastAsia="Calibri" w:cs="Times New Roman"/>
              </w:rPr>
            </w:pPr>
            <w:r>
              <w:rPr>
                <w:rFonts w:eastAsia="Calibri" w:cs="Times New Roman"/>
              </w:rPr>
              <w:t>40.2</w:t>
            </w:r>
          </w:p>
        </w:tc>
      </w:tr>
      <w:tr w:rsidR="00320105" w:rsidRPr="00E0073A" w14:paraId="542BBECE" w14:textId="77777777">
        <w:trPr>
          <w:jc w:val="center"/>
        </w:trPr>
        <w:tc>
          <w:tcPr>
            <w:tcW w:w="3686" w:type="dxa"/>
            <w:tcBorders>
              <w:top w:val="single" w:sz="4" w:space="0" w:color="auto"/>
              <w:left w:val="nil"/>
              <w:bottom w:val="single" w:sz="4" w:space="0" w:color="auto"/>
              <w:right w:val="nil"/>
            </w:tcBorders>
            <w:vAlign w:val="center"/>
          </w:tcPr>
          <w:p w14:paraId="776711C7" w14:textId="235A79A4" w:rsidR="00320105" w:rsidRPr="00E0073A" w:rsidRDefault="009C11BD">
            <w:pPr>
              <w:spacing w:after="0"/>
              <w:jc w:val="left"/>
              <w:rPr>
                <w:rFonts w:eastAsia="Calibri" w:cs="Times New Roman"/>
              </w:rPr>
            </w:pPr>
            <w:r>
              <w:rPr>
                <w:rFonts w:eastAsia="Calibri" w:cs="Times New Roman"/>
              </w:rPr>
              <w:t>Lubricants</w:t>
            </w:r>
          </w:p>
        </w:tc>
        <w:tc>
          <w:tcPr>
            <w:tcW w:w="1511" w:type="dxa"/>
            <w:tcBorders>
              <w:top w:val="single" w:sz="4" w:space="0" w:color="auto"/>
              <w:left w:val="nil"/>
              <w:bottom w:val="single" w:sz="4" w:space="0" w:color="auto"/>
              <w:right w:val="nil"/>
            </w:tcBorders>
            <w:vAlign w:val="center"/>
          </w:tcPr>
          <w:p w14:paraId="482204BD" w14:textId="7C4C7BB9" w:rsidR="00320105" w:rsidRPr="00E0073A" w:rsidRDefault="009C11BD">
            <w:pPr>
              <w:spacing w:after="0"/>
              <w:jc w:val="center"/>
              <w:rPr>
                <w:rFonts w:eastAsia="Calibri" w:cs="Times New Roman"/>
              </w:rPr>
            </w:pPr>
            <w:r>
              <w:rPr>
                <w:rFonts w:eastAsia="Calibri" w:cs="Times New Roman"/>
              </w:rPr>
              <w:t>40.2-42.0</w:t>
            </w:r>
          </w:p>
        </w:tc>
      </w:tr>
      <w:tr w:rsidR="00320105" w:rsidRPr="00E0073A" w14:paraId="5A705C98" w14:textId="77777777">
        <w:trPr>
          <w:jc w:val="center"/>
        </w:trPr>
        <w:tc>
          <w:tcPr>
            <w:tcW w:w="3686" w:type="dxa"/>
            <w:tcBorders>
              <w:top w:val="single" w:sz="4" w:space="0" w:color="auto"/>
              <w:left w:val="nil"/>
              <w:bottom w:val="single" w:sz="4" w:space="0" w:color="auto"/>
              <w:right w:val="nil"/>
            </w:tcBorders>
            <w:vAlign w:val="center"/>
          </w:tcPr>
          <w:p w14:paraId="1C89326B" w14:textId="27D2DBF9" w:rsidR="00320105" w:rsidRPr="00E0073A" w:rsidRDefault="006D3CC5">
            <w:pPr>
              <w:spacing w:after="0"/>
              <w:jc w:val="left"/>
              <w:rPr>
                <w:rFonts w:eastAsia="Calibri" w:cs="Times New Roman"/>
              </w:rPr>
            </w:pPr>
            <w:r>
              <w:rPr>
                <w:rFonts w:eastAsia="Calibri" w:cs="Times New Roman"/>
              </w:rPr>
              <w:t>Petroleum coke</w:t>
            </w:r>
          </w:p>
        </w:tc>
        <w:tc>
          <w:tcPr>
            <w:tcW w:w="1511" w:type="dxa"/>
            <w:tcBorders>
              <w:top w:val="single" w:sz="4" w:space="0" w:color="auto"/>
              <w:left w:val="nil"/>
              <w:bottom w:val="single" w:sz="4" w:space="0" w:color="auto"/>
              <w:right w:val="nil"/>
            </w:tcBorders>
            <w:vAlign w:val="center"/>
          </w:tcPr>
          <w:p w14:paraId="565FE466" w14:textId="1F118BC7" w:rsidR="00320105" w:rsidRPr="00E0073A" w:rsidRDefault="00320D47">
            <w:pPr>
              <w:spacing w:after="0"/>
              <w:jc w:val="center"/>
              <w:rPr>
                <w:rFonts w:eastAsia="Calibri" w:cs="Times New Roman"/>
              </w:rPr>
            </w:pPr>
            <w:r>
              <w:rPr>
                <w:rFonts w:eastAsia="Calibri" w:cs="Times New Roman"/>
              </w:rPr>
              <w:t>17.4-38.0</w:t>
            </w:r>
          </w:p>
        </w:tc>
      </w:tr>
      <w:tr w:rsidR="00320105" w:rsidRPr="00E0073A" w14:paraId="55CBF9B4" w14:textId="77777777">
        <w:trPr>
          <w:jc w:val="center"/>
        </w:trPr>
        <w:tc>
          <w:tcPr>
            <w:tcW w:w="3686" w:type="dxa"/>
            <w:tcBorders>
              <w:top w:val="single" w:sz="4" w:space="0" w:color="auto"/>
              <w:left w:val="nil"/>
              <w:bottom w:val="single" w:sz="4" w:space="0" w:color="auto"/>
              <w:right w:val="nil"/>
            </w:tcBorders>
            <w:vAlign w:val="center"/>
          </w:tcPr>
          <w:p w14:paraId="5D974CC3" w14:textId="44C2A00C" w:rsidR="00320105" w:rsidRPr="00622F40" w:rsidRDefault="00C10402">
            <w:pPr>
              <w:spacing w:after="0"/>
              <w:jc w:val="left"/>
              <w:rPr>
                <w:rFonts w:eastAsia="Calibri" w:cs="Times New Roman"/>
                <w:lang w:val="fr-FR"/>
              </w:rPr>
            </w:pPr>
            <w:proofErr w:type="spellStart"/>
            <w:r>
              <w:rPr>
                <w:rFonts w:eastAsia="Calibri" w:cs="Times New Roman"/>
                <w:lang w:val="fr-FR"/>
              </w:rPr>
              <w:t>Refinery</w:t>
            </w:r>
            <w:proofErr w:type="spellEnd"/>
            <w:r>
              <w:rPr>
                <w:rFonts w:eastAsia="Calibri" w:cs="Times New Roman"/>
                <w:lang w:val="fr-FR"/>
              </w:rPr>
              <w:t xml:space="preserve"> </w:t>
            </w:r>
            <w:proofErr w:type="spellStart"/>
            <w:r>
              <w:rPr>
                <w:rFonts w:eastAsia="Calibri" w:cs="Times New Roman"/>
                <w:lang w:val="fr-FR"/>
              </w:rPr>
              <w:t>feedstocks</w:t>
            </w:r>
            <w:proofErr w:type="spellEnd"/>
          </w:p>
        </w:tc>
        <w:tc>
          <w:tcPr>
            <w:tcW w:w="1511" w:type="dxa"/>
            <w:tcBorders>
              <w:top w:val="single" w:sz="4" w:space="0" w:color="auto"/>
              <w:left w:val="nil"/>
              <w:bottom w:val="single" w:sz="4" w:space="0" w:color="auto"/>
              <w:right w:val="nil"/>
            </w:tcBorders>
            <w:vAlign w:val="center"/>
          </w:tcPr>
          <w:p w14:paraId="1068C5D6" w14:textId="71A23F53" w:rsidR="00320105" w:rsidRPr="00E0073A" w:rsidRDefault="00C10402">
            <w:pPr>
              <w:spacing w:after="0"/>
              <w:jc w:val="center"/>
              <w:rPr>
                <w:rFonts w:eastAsia="Calibri" w:cs="Times New Roman"/>
              </w:rPr>
            </w:pPr>
            <w:r>
              <w:rPr>
                <w:rFonts w:eastAsia="Calibri" w:cs="Times New Roman"/>
              </w:rPr>
              <w:t>40.2-43.9</w:t>
            </w:r>
          </w:p>
        </w:tc>
      </w:tr>
      <w:tr w:rsidR="00320105" w:rsidRPr="00E0073A" w14:paraId="4F59ECEB" w14:textId="77777777">
        <w:trPr>
          <w:jc w:val="center"/>
        </w:trPr>
        <w:tc>
          <w:tcPr>
            <w:tcW w:w="3686" w:type="dxa"/>
            <w:tcBorders>
              <w:top w:val="single" w:sz="4" w:space="0" w:color="auto"/>
              <w:left w:val="nil"/>
              <w:bottom w:val="single" w:sz="4" w:space="0" w:color="auto"/>
              <w:right w:val="nil"/>
            </w:tcBorders>
            <w:vAlign w:val="center"/>
          </w:tcPr>
          <w:p w14:paraId="20F6E1C6" w14:textId="7BD073C0" w:rsidR="00320105" w:rsidRPr="00E0073A" w:rsidRDefault="00DD3DCC">
            <w:pPr>
              <w:spacing w:after="0"/>
              <w:jc w:val="left"/>
              <w:rPr>
                <w:rFonts w:eastAsia="Calibri" w:cs="Times New Roman"/>
              </w:rPr>
            </w:pPr>
            <w:r>
              <w:rPr>
                <w:rFonts w:eastAsia="Calibri" w:cs="Times New Roman"/>
              </w:rPr>
              <w:lastRenderedPageBreak/>
              <w:t xml:space="preserve">White spirit </w:t>
            </w:r>
          </w:p>
        </w:tc>
        <w:tc>
          <w:tcPr>
            <w:tcW w:w="1511" w:type="dxa"/>
            <w:tcBorders>
              <w:top w:val="single" w:sz="4" w:space="0" w:color="auto"/>
              <w:left w:val="nil"/>
              <w:bottom w:val="single" w:sz="4" w:space="0" w:color="auto"/>
              <w:right w:val="nil"/>
            </w:tcBorders>
            <w:vAlign w:val="center"/>
          </w:tcPr>
          <w:p w14:paraId="3A40362E" w14:textId="3894A653" w:rsidR="00DD3DCC" w:rsidRPr="00E0073A" w:rsidRDefault="00DD3DCC" w:rsidP="00DD3DCC">
            <w:pPr>
              <w:spacing w:after="0"/>
              <w:jc w:val="center"/>
              <w:rPr>
                <w:rFonts w:eastAsia="Calibri" w:cs="Times New Roman"/>
              </w:rPr>
            </w:pPr>
            <w:r>
              <w:rPr>
                <w:rFonts w:eastAsia="Calibri" w:cs="Times New Roman"/>
              </w:rPr>
              <w:t>40.2-43.6</w:t>
            </w:r>
          </w:p>
        </w:tc>
      </w:tr>
      <w:tr w:rsidR="00320105" w:rsidRPr="00E0073A" w14:paraId="2306F77D" w14:textId="77777777">
        <w:trPr>
          <w:jc w:val="center"/>
        </w:trPr>
        <w:tc>
          <w:tcPr>
            <w:tcW w:w="3686" w:type="dxa"/>
            <w:tcBorders>
              <w:top w:val="single" w:sz="4" w:space="0" w:color="auto"/>
              <w:left w:val="nil"/>
              <w:bottom w:val="single" w:sz="4" w:space="0" w:color="auto"/>
              <w:right w:val="nil"/>
            </w:tcBorders>
            <w:vAlign w:val="center"/>
          </w:tcPr>
          <w:p w14:paraId="633ABE89" w14:textId="5D4BC86A" w:rsidR="00320105" w:rsidRPr="00E0073A" w:rsidRDefault="00B57753">
            <w:pPr>
              <w:spacing w:after="0"/>
              <w:jc w:val="left"/>
              <w:rPr>
                <w:rFonts w:eastAsia="Calibri" w:cs="Times New Roman"/>
              </w:rPr>
            </w:pPr>
            <w:r>
              <w:rPr>
                <w:rFonts w:eastAsia="Calibri" w:cs="Times New Roman"/>
              </w:rPr>
              <w:t>Paraffin wax</w:t>
            </w:r>
          </w:p>
        </w:tc>
        <w:tc>
          <w:tcPr>
            <w:tcW w:w="1511" w:type="dxa"/>
            <w:tcBorders>
              <w:top w:val="single" w:sz="4" w:space="0" w:color="auto"/>
              <w:left w:val="nil"/>
              <w:bottom w:val="single" w:sz="4" w:space="0" w:color="auto"/>
              <w:right w:val="nil"/>
            </w:tcBorders>
            <w:vAlign w:val="center"/>
          </w:tcPr>
          <w:p w14:paraId="5FAC891A" w14:textId="1CDC7123" w:rsidR="00320105" w:rsidRPr="00E0073A" w:rsidRDefault="00B57753">
            <w:pPr>
              <w:spacing w:after="0"/>
              <w:jc w:val="center"/>
              <w:rPr>
                <w:rFonts w:eastAsia="Calibri" w:cs="Times New Roman"/>
              </w:rPr>
            </w:pPr>
            <w:r>
              <w:rPr>
                <w:rFonts w:eastAsia="Calibri" w:cs="Times New Roman"/>
              </w:rPr>
              <w:t>40.0-40.4</w:t>
            </w:r>
          </w:p>
        </w:tc>
      </w:tr>
      <w:tr w:rsidR="00320105" w:rsidRPr="00E0073A" w14:paraId="416CC1D5" w14:textId="77777777">
        <w:trPr>
          <w:jc w:val="center"/>
        </w:trPr>
        <w:tc>
          <w:tcPr>
            <w:tcW w:w="3686" w:type="dxa"/>
            <w:tcBorders>
              <w:top w:val="single" w:sz="4" w:space="0" w:color="auto"/>
              <w:left w:val="nil"/>
              <w:bottom w:val="single" w:sz="4" w:space="0" w:color="auto"/>
              <w:right w:val="nil"/>
            </w:tcBorders>
            <w:vAlign w:val="center"/>
          </w:tcPr>
          <w:p w14:paraId="0E1CB700" w14:textId="7C7841B3" w:rsidR="00320105" w:rsidRPr="00E0073A" w:rsidRDefault="00B57753">
            <w:pPr>
              <w:spacing w:after="0"/>
              <w:jc w:val="left"/>
              <w:rPr>
                <w:rFonts w:eastAsia="Calibri" w:cs="Times New Roman"/>
              </w:rPr>
            </w:pPr>
            <w:r>
              <w:rPr>
                <w:rFonts w:eastAsia="Calibri" w:cs="Times New Roman"/>
              </w:rPr>
              <w:t>Other oil products</w:t>
            </w:r>
          </w:p>
        </w:tc>
        <w:tc>
          <w:tcPr>
            <w:tcW w:w="1511" w:type="dxa"/>
            <w:tcBorders>
              <w:top w:val="single" w:sz="4" w:space="0" w:color="auto"/>
              <w:left w:val="nil"/>
              <w:bottom w:val="single" w:sz="4" w:space="0" w:color="auto"/>
              <w:right w:val="nil"/>
            </w:tcBorders>
            <w:vAlign w:val="center"/>
          </w:tcPr>
          <w:p w14:paraId="7EA5439A" w14:textId="1AF93572" w:rsidR="00320105" w:rsidRPr="00E0073A" w:rsidRDefault="00B57753">
            <w:pPr>
              <w:spacing w:after="0"/>
              <w:jc w:val="center"/>
              <w:rPr>
                <w:rFonts w:eastAsia="Calibri" w:cs="Times New Roman"/>
              </w:rPr>
            </w:pPr>
            <w:r>
              <w:rPr>
                <w:rFonts w:eastAsia="Calibri" w:cs="Times New Roman"/>
              </w:rPr>
              <w:t>40.0-40.4</w:t>
            </w:r>
          </w:p>
        </w:tc>
      </w:tr>
      <w:tr w:rsidR="00320105" w:rsidRPr="00E0073A" w14:paraId="2D191FBB" w14:textId="77777777">
        <w:trPr>
          <w:jc w:val="center"/>
        </w:trPr>
        <w:tc>
          <w:tcPr>
            <w:tcW w:w="3686" w:type="dxa"/>
            <w:tcBorders>
              <w:top w:val="single" w:sz="4" w:space="0" w:color="auto"/>
              <w:left w:val="nil"/>
              <w:bottom w:val="single" w:sz="4" w:space="0" w:color="auto"/>
              <w:right w:val="nil"/>
            </w:tcBorders>
            <w:vAlign w:val="center"/>
          </w:tcPr>
          <w:p w14:paraId="444F945B" w14:textId="37604975" w:rsidR="00320105" w:rsidRPr="00E0073A" w:rsidRDefault="00767AF9">
            <w:pPr>
              <w:spacing w:after="0"/>
              <w:jc w:val="left"/>
              <w:rPr>
                <w:rFonts w:eastAsia="Calibri" w:cs="Times New Roman"/>
              </w:rPr>
            </w:pPr>
            <w:r>
              <w:rPr>
                <w:rFonts w:eastAsia="Calibri" w:cs="Times New Roman"/>
              </w:rPr>
              <w:t>Natural gas</w:t>
            </w:r>
          </w:p>
        </w:tc>
        <w:tc>
          <w:tcPr>
            <w:tcW w:w="1511" w:type="dxa"/>
            <w:tcBorders>
              <w:top w:val="single" w:sz="4" w:space="0" w:color="auto"/>
              <w:left w:val="nil"/>
              <w:bottom w:val="single" w:sz="4" w:space="0" w:color="auto"/>
              <w:right w:val="nil"/>
            </w:tcBorders>
            <w:vAlign w:val="center"/>
          </w:tcPr>
          <w:p w14:paraId="3BFB4791" w14:textId="3355E830" w:rsidR="00320105" w:rsidRPr="00E0073A" w:rsidRDefault="00767AF9">
            <w:pPr>
              <w:spacing w:after="0"/>
              <w:jc w:val="center"/>
              <w:rPr>
                <w:rFonts w:eastAsia="Calibri" w:cs="Times New Roman"/>
              </w:rPr>
            </w:pPr>
            <w:r>
              <w:rPr>
                <w:rFonts w:eastAsia="Calibri" w:cs="Times New Roman"/>
              </w:rPr>
              <w:t>33.3-33.9</w:t>
            </w:r>
          </w:p>
        </w:tc>
      </w:tr>
      <w:tr w:rsidR="00A618DA" w:rsidRPr="00E0073A" w14:paraId="235861A7" w14:textId="77777777">
        <w:trPr>
          <w:jc w:val="center"/>
        </w:trPr>
        <w:tc>
          <w:tcPr>
            <w:tcW w:w="3686" w:type="dxa"/>
            <w:tcBorders>
              <w:top w:val="single" w:sz="4" w:space="0" w:color="auto"/>
              <w:left w:val="nil"/>
              <w:bottom w:val="single" w:sz="4" w:space="0" w:color="auto"/>
              <w:right w:val="nil"/>
            </w:tcBorders>
            <w:vAlign w:val="center"/>
          </w:tcPr>
          <w:p w14:paraId="76589045" w14:textId="747A3C84" w:rsidR="00A618DA" w:rsidRDefault="00A618DA">
            <w:pPr>
              <w:spacing w:after="0"/>
              <w:jc w:val="left"/>
              <w:rPr>
                <w:rFonts w:eastAsia="Calibri" w:cs="Times New Roman"/>
              </w:rPr>
            </w:pPr>
            <w:r>
              <w:rPr>
                <w:rFonts w:eastAsia="Calibri" w:cs="Times New Roman"/>
              </w:rPr>
              <w:t>Solid Biomass</w:t>
            </w:r>
          </w:p>
        </w:tc>
        <w:tc>
          <w:tcPr>
            <w:tcW w:w="1511" w:type="dxa"/>
            <w:tcBorders>
              <w:top w:val="single" w:sz="4" w:space="0" w:color="auto"/>
              <w:left w:val="nil"/>
              <w:bottom w:val="single" w:sz="4" w:space="0" w:color="auto"/>
              <w:right w:val="nil"/>
            </w:tcBorders>
            <w:vAlign w:val="center"/>
          </w:tcPr>
          <w:p w14:paraId="3EA38CAB" w14:textId="3EFFC03D" w:rsidR="00A618DA" w:rsidRDefault="00A618DA">
            <w:pPr>
              <w:spacing w:after="0"/>
              <w:jc w:val="center"/>
              <w:rPr>
                <w:rFonts w:eastAsia="Calibri" w:cs="Times New Roman"/>
              </w:rPr>
            </w:pPr>
            <w:r>
              <w:rPr>
                <w:rFonts w:eastAsia="Calibri" w:cs="Times New Roman"/>
              </w:rPr>
              <w:t>16-19</w:t>
            </w:r>
          </w:p>
        </w:tc>
      </w:tr>
    </w:tbl>
    <w:p w14:paraId="6E2BA9B4" w14:textId="77777777" w:rsidR="00A632C5" w:rsidRDefault="00A632C5" w:rsidP="00DA643B">
      <w:pPr>
        <w:rPr>
          <w:rFonts w:eastAsia="Calibri" w:cs="Times New Roman"/>
          <w:szCs w:val="20"/>
        </w:rPr>
      </w:pPr>
    </w:p>
    <w:p w14:paraId="6C6A032D" w14:textId="37ACB40A" w:rsidR="002246EB" w:rsidRPr="00BE0316" w:rsidRDefault="002246EB" w:rsidP="002246EB">
      <w:pPr>
        <w:rPr>
          <w:b/>
          <w:bCs/>
        </w:rPr>
      </w:pPr>
      <w:r>
        <w:rPr>
          <w:b/>
          <w:bCs/>
        </w:rPr>
        <w:t>C</w:t>
      </w:r>
      <w:r w:rsidRPr="00BE0316">
        <w:rPr>
          <w:b/>
          <w:bCs/>
        </w:rPr>
        <w:t xml:space="preserve"> –</w:t>
      </w:r>
      <w:r w:rsidR="002A7100">
        <w:rPr>
          <w:b/>
          <w:bCs/>
        </w:rPr>
        <w:t xml:space="preserve"> </w:t>
      </w:r>
      <w:r w:rsidR="005A7B71">
        <w:rPr>
          <w:b/>
          <w:bCs/>
        </w:rPr>
        <w:t>E</w:t>
      </w:r>
      <w:r>
        <w:rPr>
          <w:b/>
          <w:bCs/>
        </w:rPr>
        <w:t>mission factors</w:t>
      </w:r>
    </w:p>
    <w:p w14:paraId="7173D980" w14:textId="28D4685A" w:rsidR="002246EB" w:rsidRDefault="00E01EC7" w:rsidP="00DA643B">
      <w:pPr>
        <w:rPr>
          <w:rFonts w:eastAsia="Calibri" w:cs="Times New Roman"/>
          <w:szCs w:val="20"/>
        </w:rPr>
      </w:pPr>
      <w:r>
        <w:rPr>
          <w:rFonts w:eastAsia="Calibri" w:cs="Times New Roman"/>
          <w:szCs w:val="20"/>
        </w:rPr>
        <w:t xml:space="preserve">In the Serbian emission inventory, all </w:t>
      </w:r>
      <w:r w:rsidR="005A7B71">
        <w:rPr>
          <w:rFonts w:eastAsia="Calibri" w:cs="Times New Roman"/>
          <w:szCs w:val="20"/>
        </w:rPr>
        <w:t xml:space="preserve">GHG </w:t>
      </w:r>
      <w:r>
        <w:rPr>
          <w:rFonts w:eastAsia="Calibri" w:cs="Times New Roman"/>
          <w:szCs w:val="20"/>
        </w:rPr>
        <w:t xml:space="preserve">emissions </w:t>
      </w:r>
      <w:r w:rsidR="005A7B71">
        <w:rPr>
          <w:rFonts w:eastAsia="Calibri" w:cs="Times New Roman"/>
          <w:szCs w:val="20"/>
        </w:rPr>
        <w:t xml:space="preserve">related to fuel combustion </w:t>
      </w:r>
      <w:r>
        <w:rPr>
          <w:rFonts w:eastAsia="Calibri" w:cs="Times New Roman"/>
          <w:szCs w:val="20"/>
        </w:rPr>
        <w:t>are estimated based on the application of emission factors</w:t>
      </w:r>
      <w:r w:rsidR="00D80ED2">
        <w:rPr>
          <w:rFonts w:eastAsia="Calibri" w:cs="Times New Roman"/>
          <w:szCs w:val="20"/>
        </w:rPr>
        <w:t xml:space="preserve"> to the sectoral consumptions given by the energy balances</w:t>
      </w:r>
      <w:r>
        <w:rPr>
          <w:rFonts w:eastAsia="Calibri" w:cs="Times New Roman"/>
          <w:szCs w:val="20"/>
        </w:rPr>
        <w:t xml:space="preserve">. </w:t>
      </w:r>
      <w:r w:rsidR="007A07B6">
        <w:rPr>
          <w:rFonts w:eastAsia="Calibri" w:cs="Times New Roman"/>
          <w:szCs w:val="20"/>
        </w:rPr>
        <w:t>E</w:t>
      </w:r>
      <w:r>
        <w:rPr>
          <w:rFonts w:eastAsia="Calibri" w:cs="Times New Roman"/>
          <w:szCs w:val="20"/>
        </w:rPr>
        <w:t>mission</w:t>
      </w:r>
      <w:r w:rsidR="00D80ED2">
        <w:rPr>
          <w:rFonts w:eastAsia="Calibri" w:cs="Times New Roman"/>
          <w:szCs w:val="20"/>
        </w:rPr>
        <w:t xml:space="preserve"> calculation</w:t>
      </w:r>
      <w:r>
        <w:rPr>
          <w:rFonts w:eastAsia="Calibri" w:cs="Times New Roman"/>
          <w:szCs w:val="20"/>
        </w:rPr>
        <w:t xml:space="preserve">s </w:t>
      </w:r>
      <w:r w:rsidR="007A07B6">
        <w:rPr>
          <w:rFonts w:eastAsia="Calibri" w:cs="Times New Roman"/>
          <w:szCs w:val="20"/>
        </w:rPr>
        <w:t>based on</w:t>
      </w:r>
      <w:r>
        <w:rPr>
          <w:rFonts w:eastAsia="Calibri" w:cs="Times New Roman"/>
          <w:szCs w:val="20"/>
        </w:rPr>
        <w:t xml:space="preserve"> mass balance</w:t>
      </w:r>
      <w:r w:rsidR="00AB0890">
        <w:rPr>
          <w:rFonts w:eastAsia="Calibri" w:cs="Times New Roman"/>
          <w:szCs w:val="20"/>
        </w:rPr>
        <w:t>s</w:t>
      </w:r>
      <w:r>
        <w:rPr>
          <w:rFonts w:eastAsia="Calibri" w:cs="Times New Roman"/>
          <w:szCs w:val="20"/>
        </w:rPr>
        <w:t xml:space="preserve"> or </w:t>
      </w:r>
      <w:r w:rsidR="005A7B71">
        <w:rPr>
          <w:rFonts w:eastAsia="Calibri" w:cs="Times New Roman"/>
          <w:szCs w:val="20"/>
        </w:rPr>
        <w:t xml:space="preserve">direct </w:t>
      </w:r>
      <w:r>
        <w:rPr>
          <w:rFonts w:eastAsia="Calibri" w:cs="Times New Roman"/>
          <w:szCs w:val="20"/>
        </w:rPr>
        <w:t>measurement</w:t>
      </w:r>
      <w:r w:rsidR="00AB0890">
        <w:rPr>
          <w:rFonts w:eastAsia="Calibri" w:cs="Times New Roman"/>
          <w:szCs w:val="20"/>
        </w:rPr>
        <w:t>s</w:t>
      </w:r>
      <w:r>
        <w:rPr>
          <w:rFonts w:eastAsia="Calibri" w:cs="Times New Roman"/>
          <w:szCs w:val="20"/>
        </w:rPr>
        <w:t xml:space="preserve"> are not considered. In</w:t>
      </w:r>
      <w:r w:rsidR="00ED51C8">
        <w:rPr>
          <w:rFonts w:eastAsia="Calibri" w:cs="Times New Roman"/>
          <w:szCs w:val="20"/>
        </w:rPr>
        <w:t xml:space="preserve"> addition, only top-down approaches are used for the fuel combustion emission estimations and no reported emission data are </w:t>
      </w:r>
      <w:r w:rsidR="00E9566B">
        <w:rPr>
          <w:rFonts w:eastAsia="Calibri" w:cs="Times New Roman"/>
          <w:szCs w:val="20"/>
        </w:rPr>
        <w:t xml:space="preserve">considered. </w:t>
      </w:r>
    </w:p>
    <w:p w14:paraId="5EC57656" w14:textId="4B3AA742" w:rsidR="00B37EF4" w:rsidRDefault="002A7100" w:rsidP="00DA643B">
      <w:pPr>
        <w:rPr>
          <w:rFonts w:eastAsia="Calibri" w:cs="Times New Roman"/>
          <w:szCs w:val="20"/>
        </w:rPr>
      </w:pPr>
      <w:r>
        <w:rPr>
          <w:rFonts w:eastAsia="Calibri" w:cs="Times New Roman"/>
          <w:szCs w:val="20"/>
        </w:rPr>
        <w:t>For CO</w:t>
      </w:r>
      <w:r w:rsidRPr="00622F40">
        <w:rPr>
          <w:rFonts w:eastAsia="Calibri" w:cs="Times New Roman"/>
          <w:szCs w:val="20"/>
          <w:vertAlign w:val="subscript"/>
        </w:rPr>
        <w:t>2</w:t>
      </w:r>
      <w:r>
        <w:rPr>
          <w:rFonts w:eastAsia="Calibri" w:cs="Times New Roman"/>
          <w:szCs w:val="20"/>
        </w:rPr>
        <w:t xml:space="preserve"> emission</w:t>
      </w:r>
      <w:r w:rsidR="00181532">
        <w:rPr>
          <w:rFonts w:eastAsia="Calibri" w:cs="Times New Roman"/>
          <w:szCs w:val="20"/>
        </w:rPr>
        <w:t xml:space="preserve"> calculation</w:t>
      </w:r>
      <w:r>
        <w:rPr>
          <w:rFonts w:eastAsia="Calibri" w:cs="Times New Roman"/>
          <w:szCs w:val="20"/>
        </w:rPr>
        <w:t xml:space="preserve">s, only the carbon content for </w:t>
      </w:r>
      <w:r w:rsidR="001F4367">
        <w:rPr>
          <w:rFonts w:eastAsia="Calibri" w:cs="Times New Roman"/>
          <w:szCs w:val="20"/>
        </w:rPr>
        <w:t>lignite used in thermal power plants</w:t>
      </w:r>
      <w:r>
        <w:rPr>
          <w:rFonts w:eastAsia="Calibri" w:cs="Times New Roman"/>
          <w:szCs w:val="20"/>
        </w:rPr>
        <w:t xml:space="preserve"> </w:t>
      </w:r>
      <w:r w:rsidR="0073718C">
        <w:rPr>
          <w:rFonts w:eastAsia="Calibri" w:cs="Times New Roman"/>
          <w:szCs w:val="20"/>
        </w:rPr>
        <w:t xml:space="preserve">(TPP) </w:t>
      </w:r>
      <w:r w:rsidR="00484F00">
        <w:rPr>
          <w:rFonts w:eastAsia="Calibri" w:cs="Times New Roman"/>
          <w:szCs w:val="20"/>
        </w:rPr>
        <w:t xml:space="preserve">since 2008 </w:t>
      </w:r>
      <w:r>
        <w:rPr>
          <w:rFonts w:eastAsia="Calibri" w:cs="Times New Roman"/>
          <w:szCs w:val="20"/>
        </w:rPr>
        <w:t xml:space="preserve">is </w:t>
      </w:r>
      <w:r w:rsidR="00FB3BAA">
        <w:rPr>
          <w:rFonts w:eastAsia="Calibri" w:cs="Times New Roman"/>
          <w:szCs w:val="20"/>
        </w:rPr>
        <w:t xml:space="preserve">based on </w:t>
      </w:r>
      <w:r w:rsidR="00181532">
        <w:rPr>
          <w:rFonts w:eastAsia="Calibri" w:cs="Times New Roman"/>
          <w:szCs w:val="20"/>
        </w:rPr>
        <w:t>measurements</w:t>
      </w:r>
      <w:r w:rsidR="00A618DA">
        <w:rPr>
          <w:rFonts w:eastAsia="Calibri" w:cs="Times New Roman"/>
          <w:szCs w:val="20"/>
        </w:rPr>
        <w:t xml:space="preserve"> of NCV and carbon content by JP-EPS laboratories which are now </w:t>
      </w:r>
      <w:r w:rsidR="00484F00">
        <w:rPr>
          <w:rFonts w:eastAsia="Calibri" w:cs="Times New Roman"/>
          <w:szCs w:val="20"/>
        </w:rPr>
        <w:t xml:space="preserve">also </w:t>
      </w:r>
      <w:r w:rsidR="00A618DA">
        <w:rPr>
          <w:rFonts w:eastAsia="Calibri" w:cs="Times New Roman"/>
          <w:szCs w:val="20"/>
        </w:rPr>
        <w:t>accredited in accordance with ISO 17025 for reference methods needed to determine CO</w:t>
      </w:r>
      <w:r w:rsidR="00A618DA" w:rsidRPr="00484F00">
        <w:rPr>
          <w:rFonts w:eastAsia="Calibri" w:cs="Times New Roman"/>
          <w:szCs w:val="20"/>
          <w:vertAlign w:val="subscript"/>
        </w:rPr>
        <w:t>2</w:t>
      </w:r>
      <w:r w:rsidR="00A618DA">
        <w:rPr>
          <w:rFonts w:eastAsia="Calibri" w:cs="Times New Roman"/>
          <w:szCs w:val="20"/>
        </w:rPr>
        <w:t xml:space="preserve"> Emission factors in accordance with rules applicable for installations included in the EU-ETS. A clear correlation between the NCV and EF has been determined for the lignite consistent with the </w:t>
      </w:r>
      <w:r w:rsidR="00484F00">
        <w:rPr>
          <w:rFonts w:eastAsia="Calibri" w:cs="Times New Roman"/>
          <w:szCs w:val="20"/>
        </w:rPr>
        <w:t>correlations determined by Slovenia and Greece for preparation of their national CO</w:t>
      </w:r>
      <w:r w:rsidR="00484F00" w:rsidRPr="00484F00">
        <w:rPr>
          <w:rFonts w:eastAsia="Calibri" w:cs="Times New Roman"/>
          <w:szCs w:val="20"/>
          <w:vertAlign w:val="subscript"/>
        </w:rPr>
        <w:t>2</w:t>
      </w:r>
      <w:r w:rsidR="00484F00">
        <w:rPr>
          <w:rFonts w:eastAsia="Calibri" w:cs="Times New Roman"/>
          <w:szCs w:val="20"/>
        </w:rPr>
        <w:t xml:space="preserve"> emission factors since they are exploiting same Pliocene lignite deposits in the region. Since the quality of lignite is since 1990 slowly deteriorating the CO</w:t>
      </w:r>
      <w:r w:rsidR="00484F00" w:rsidRPr="00484F00">
        <w:rPr>
          <w:rFonts w:eastAsia="Calibri" w:cs="Times New Roman"/>
          <w:szCs w:val="20"/>
          <w:vertAlign w:val="subscript"/>
        </w:rPr>
        <w:t>2</w:t>
      </w:r>
      <w:r w:rsidR="00484F00">
        <w:rPr>
          <w:rFonts w:eastAsia="Calibri" w:cs="Times New Roman"/>
          <w:szCs w:val="20"/>
        </w:rPr>
        <w:t xml:space="preserve"> EF is gradually increasing. Due to implement</w:t>
      </w:r>
      <w:r w:rsidR="00B37EF4">
        <w:rPr>
          <w:rFonts w:eastAsia="Calibri" w:cs="Times New Roman"/>
          <w:szCs w:val="20"/>
        </w:rPr>
        <w:t xml:space="preserve">ation of national </w:t>
      </w:r>
      <w:r w:rsidR="00484F00">
        <w:rPr>
          <w:rFonts w:eastAsia="Calibri" w:cs="Times New Roman"/>
          <w:szCs w:val="20"/>
        </w:rPr>
        <w:t xml:space="preserve">MRV regulatory framework </w:t>
      </w:r>
      <w:r w:rsidR="00B37EF4">
        <w:rPr>
          <w:rFonts w:eastAsia="Calibri" w:cs="Times New Roman"/>
          <w:szCs w:val="20"/>
        </w:rPr>
        <w:t>it is expected that starting f</w:t>
      </w:r>
      <w:r w:rsidR="00484F00">
        <w:rPr>
          <w:rFonts w:eastAsia="Calibri" w:cs="Times New Roman"/>
          <w:szCs w:val="20"/>
        </w:rPr>
        <w:t>rom 2025</w:t>
      </w:r>
      <w:r w:rsidR="00B37EF4">
        <w:rPr>
          <w:rFonts w:eastAsia="Calibri" w:cs="Times New Roman"/>
          <w:szCs w:val="20"/>
        </w:rPr>
        <w:t>-2006 plant specific (Tier 3) CO</w:t>
      </w:r>
      <w:r w:rsidR="00B37EF4" w:rsidRPr="00B37EF4">
        <w:rPr>
          <w:rFonts w:eastAsia="Calibri" w:cs="Times New Roman"/>
          <w:szCs w:val="20"/>
          <w:vertAlign w:val="subscript"/>
        </w:rPr>
        <w:t>2</w:t>
      </w:r>
      <w:r w:rsidR="00B37EF4">
        <w:rPr>
          <w:rFonts w:eastAsia="Calibri" w:cs="Times New Roman"/>
          <w:szCs w:val="20"/>
        </w:rPr>
        <w:t xml:space="preserve"> emission factors will be available to the GHG inventory team.</w:t>
      </w:r>
    </w:p>
    <w:p w14:paraId="3805519D" w14:textId="61A0B7A9" w:rsidR="002A7100" w:rsidRDefault="00B37EF4" w:rsidP="00DA643B">
      <w:pPr>
        <w:rPr>
          <w:rFonts w:eastAsia="Calibri" w:cs="Times New Roman"/>
          <w:szCs w:val="20"/>
        </w:rPr>
      </w:pPr>
      <w:r>
        <w:rPr>
          <w:rFonts w:eastAsia="Calibri" w:cs="Times New Roman"/>
          <w:szCs w:val="20"/>
        </w:rPr>
        <w:t xml:space="preserve">For other categories </w:t>
      </w:r>
      <w:r w:rsidR="00181532">
        <w:rPr>
          <w:rFonts w:eastAsia="Calibri" w:cs="Times New Roman"/>
          <w:szCs w:val="20"/>
        </w:rPr>
        <w:t>, the default Tier 1 emission factors from IPCC 2006 guidelines are used. In overall, the CO</w:t>
      </w:r>
      <w:r w:rsidR="00181532" w:rsidRPr="00622F40">
        <w:rPr>
          <w:rFonts w:eastAsia="Calibri" w:cs="Times New Roman"/>
          <w:szCs w:val="20"/>
          <w:vertAlign w:val="subscript"/>
        </w:rPr>
        <w:t>2</w:t>
      </w:r>
      <w:r w:rsidR="00181532">
        <w:rPr>
          <w:rFonts w:eastAsia="Calibri" w:cs="Times New Roman"/>
          <w:szCs w:val="20"/>
        </w:rPr>
        <w:t xml:space="preserve"> emission factors are as follows: </w:t>
      </w:r>
    </w:p>
    <w:p w14:paraId="322F34E5" w14:textId="3E22D67F" w:rsidR="00E615A5" w:rsidRDefault="00E615A5" w:rsidP="00E615A5">
      <w:pPr>
        <w:pStyle w:val="Caption"/>
        <w:keepNext/>
      </w:pPr>
      <w:bookmarkStart w:id="181" w:name="_Toc184808559"/>
      <w:r>
        <w:t xml:space="preserve">Table </w:t>
      </w:r>
      <w:r>
        <w:fldChar w:fldCharType="begin"/>
      </w:r>
      <w:r>
        <w:instrText xml:space="preserve"> SEQ Table \* ARABIC </w:instrText>
      </w:r>
      <w:r>
        <w:fldChar w:fldCharType="separate"/>
      </w:r>
      <w:r w:rsidR="00F14C78">
        <w:rPr>
          <w:noProof/>
        </w:rPr>
        <w:t>17</w:t>
      </w:r>
      <w:r>
        <w:fldChar w:fldCharType="end"/>
      </w:r>
      <w:r>
        <w:t>: Net calorific values (NCVs) ranges used in the Serbian inventory</w:t>
      </w:r>
      <w:bookmarkEnd w:id="1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11"/>
        <w:gridCol w:w="1511"/>
      </w:tblGrid>
      <w:tr w:rsidR="00E615A5" w:rsidRPr="00E0073A" w14:paraId="42890F05" w14:textId="298C9E94">
        <w:trPr>
          <w:tblHeader/>
          <w:jc w:val="center"/>
        </w:trPr>
        <w:tc>
          <w:tcPr>
            <w:tcW w:w="3686" w:type="dxa"/>
            <w:tcBorders>
              <w:top w:val="single" w:sz="12" w:space="0" w:color="auto"/>
              <w:left w:val="nil"/>
              <w:bottom w:val="single" w:sz="12" w:space="0" w:color="auto"/>
              <w:right w:val="nil"/>
            </w:tcBorders>
            <w:shd w:val="clear" w:color="auto" w:fill="B8CCE4" w:themeFill="accent1" w:themeFillTint="66"/>
            <w:vAlign w:val="center"/>
          </w:tcPr>
          <w:p w14:paraId="580CFB40" w14:textId="77777777" w:rsidR="00E615A5" w:rsidRPr="00E0073A" w:rsidRDefault="00E615A5">
            <w:pPr>
              <w:spacing w:after="0"/>
              <w:jc w:val="left"/>
              <w:rPr>
                <w:rFonts w:eastAsia="Calibri" w:cs="Times New Roman"/>
                <w:color w:val="FFFFFF"/>
                <w:sz w:val="18"/>
                <w:szCs w:val="18"/>
              </w:rPr>
            </w:pPr>
            <w:r>
              <w:rPr>
                <w:rFonts w:eastAsia="Calibri" w:cs="Times New Roman"/>
                <w:b/>
                <w:sz w:val="18"/>
                <w:szCs w:val="18"/>
              </w:rPr>
              <w:t>Fuel</w:t>
            </w:r>
          </w:p>
        </w:tc>
        <w:tc>
          <w:tcPr>
            <w:tcW w:w="1511" w:type="dxa"/>
            <w:tcBorders>
              <w:top w:val="single" w:sz="12" w:space="0" w:color="auto"/>
              <w:left w:val="nil"/>
              <w:bottom w:val="single" w:sz="12" w:space="0" w:color="auto"/>
              <w:right w:val="nil"/>
            </w:tcBorders>
            <w:shd w:val="clear" w:color="auto" w:fill="B8CCE4" w:themeFill="accent1" w:themeFillTint="66"/>
            <w:vAlign w:val="center"/>
          </w:tcPr>
          <w:p w14:paraId="050F99B9" w14:textId="1CF932DE" w:rsidR="00E615A5" w:rsidRPr="00622F40" w:rsidRDefault="00E615A5">
            <w:pPr>
              <w:spacing w:after="0"/>
              <w:jc w:val="center"/>
              <w:rPr>
                <w:rFonts w:eastAsia="Calibri" w:cs="Times New Roman"/>
                <w:color w:val="FFFFFF"/>
                <w:sz w:val="18"/>
                <w:szCs w:val="18"/>
                <w:lang w:val="fr-FR"/>
              </w:rPr>
            </w:pPr>
            <w:r w:rsidRPr="00622F40">
              <w:rPr>
                <w:rFonts w:eastAsia="Calibri" w:cs="Times New Roman"/>
                <w:b/>
                <w:sz w:val="18"/>
                <w:szCs w:val="18"/>
                <w:lang w:val="fr-FR"/>
              </w:rPr>
              <w:t>Carbon content</w:t>
            </w:r>
            <w:r w:rsidR="00F23049" w:rsidRPr="00622F40">
              <w:rPr>
                <w:rFonts w:eastAsia="Calibri" w:cs="Times New Roman"/>
                <w:b/>
                <w:sz w:val="18"/>
                <w:szCs w:val="18"/>
                <w:lang w:val="fr-FR"/>
              </w:rPr>
              <w:br/>
            </w:r>
            <w:r w:rsidR="00F23049" w:rsidRPr="00B37EF4">
              <w:rPr>
                <w:rFonts w:eastAsia="Calibri" w:cs="Times New Roman"/>
                <w:b/>
                <w:bCs/>
                <w:sz w:val="18"/>
                <w:szCs w:val="18"/>
                <w:lang w:val="fr-FR"/>
              </w:rPr>
              <w:t>(t C/TJ)</w:t>
            </w:r>
          </w:p>
        </w:tc>
        <w:tc>
          <w:tcPr>
            <w:tcW w:w="1511" w:type="dxa"/>
            <w:tcBorders>
              <w:top w:val="single" w:sz="12" w:space="0" w:color="auto"/>
              <w:left w:val="nil"/>
              <w:bottom w:val="single" w:sz="12" w:space="0" w:color="auto"/>
              <w:right w:val="nil"/>
            </w:tcBorders>
            <w:shd w:val="clear" w:color="auto" w:fill="B8CCE4" w:themeFill="accent1" w:themeFillTint="66"/>
          </w:tcPr>
          <w:p w14:paraId="12AC4CDD" w14:textId="3D8506B4" w:rsidR="00E615A5" w:rsidRDefault="00E615A5">
            <w:pPr>
              <w:spacing w:after="0"/>
              <w:jc w:val="center"/>
              <w:rPr>
                <w:rFonts w:eastAsia="Calibri" w:cs="Times New Roman"/>
                <w:b/>
                <w:sz w:val="18"/>
                <w:szCs w:val="18"/>
              </w:rPr>
            </w:pPr>
            <w:r>
              <w:rPr>
                <w:rFonts w:eastAsia="Calibri" w:cs="Times New Roman"/>
                <w:b/>
                <w:sz w:val="18"/>
                <w:szCs w:val="18"/>
              </w:rPr>
              <w:t>CO</w:t>
            </w:r>
            <w:r w:rsidRPr="00622F40">
              <w:rPr>
                <w:rFonts w:eastAsia="Calibri" w:cs="Times New Roman"/>
                <w:b/>
                <w:sz w:val="18"/>
                <w:szCs w:val="18"/>
                <w:vertAlign w:val="subscript"/>
              </w:rPr>
              <w:t>2</w:t>
            </w:r>
            <w:r>
              <w:rPr>
                <w:rFonts w:eastAsia="Calibri" w:cs="Times New Roman"/>
                <w:b/>
                <w:sz w:val="18"/>
                <w:szCs w:val="18"/>
              </w:rPr>
              <w:t xml:space="preserve"> EF </w:t>
            </w:r>
            <w:r w:rsidR="00F23049">
              <w:rPr>
                <w:rFonts w:eastAsia="Calibri" w:cs="Times New Roman"/>
                <w:b/>
                <w:sz w:val="18"/>
                <w:szCs w:val="18"/>
              </w:rPr>
              <w:br/>
            </w:r>
            <w:r>
              <w:rPr>
                <w:rFonts w:eastAsia="Calibri" w:cs="Times New Roman"/>
                <w:b/>
                <w:sz w:val="18"/>
                <w:szCs w:val="18"/>
              </w:rPr>
              <w:t>(kg/GJ)</w:t>
            </w:r>
          </w:p>
        </w:tc>
      </w:tr>
      <w:tr w:rsidR="00E615A5" w:rsidRPr="00E0073A" w14:paraId="0E77C01D" w14:textId="62A88F04">
        <w:trPr>
          <w:jc w:val="center"/>
        </w:trPr>
        <w:tc>
          <w:tcPr>
            <w:tcW w:w="3686" w:type="dxa"/>
            <w:tcBorders>
              <w:top w:val="single" w:sz="12" w:space="0" w:color="auto"/>
              <w:left w:val="nil"/>
              <w:bottom w:val="single" w:sz="4" w:space="0" w:color="auto"/>
              <w:right w:val="nil"/>
            </w:tcBorders>
            <w:vAlign w:val="center"/>
          </w:tcPr>
          <w:p w14:paraId="1F12113A" w14:textId="77777777" w:rsidR="00E615A5" w:rsidRPr="00E0073A" w:rsidRDefault="00E615A5">
            <w:pPr>
              <w:spacing w:after="0"/>
              <w:jc w:val="left"/>
              <w:rPr>
                <w:rFonts w:eastAsia="Calibri" w:cs="Times New Roman"/>
              </w:rPr>
            </w:pPr>
            <w:r>
              <w:rPr>
                <w:rFonts w:eastAsia="Calibri" w:cs="Times New Roman"/>
              </w:rPr>
              <w:t>Anthracite</w:t>
            </w:r>
          </w:p>
        </w:tc>
        <w:tc>
          <w:tcPr>
            <w:tcW w:w="1511" w:type="dxa"/>
            <w:tcBorders>
              <w:top w:val="single" w:sz="12" w:space="0" w:color="auto"/>
              <w:left w:val="nil"/>
              <w:bottom w:val="single" w:sz="4" w:space="0" w:color="auto"/>
              <w:right w:val="nil"/>
            </w:tcBorders>
            <w:vAlign w:val="center"/>
          </w:tcPr>
          <w:p w14:paraId="132BB2D1" w14:textId="37355351" w:rsidR="00E615A5" w:rsidRPr="00E0073A" w:rsidRDefault="00F60D70">
            <w:pPr>
              <w:spacing w:after="0"/>
              <w:jc w:val="center"/>
              <w:rPr>
                <w:rFonts w:eastAsia="Calibri" w:cs="Times New Roman"/>
              </w:rPr>
            </w:pPr>
            <w:r>
              <w:rPr>
                <w:rFonts w:eastAsia="Calibri" w:cs="Times New Roman"/>
              </w:rPr>
              <w:t>26.8</w:t>
            </w:r>
          </w:p>
        </w:tc>
        <w:tc>
          <w:tcPr>
            <w:tcW w:w="1511" w:type="dxa"/>
            <w:tcBorders>
              <w:top w:val="single" w:sz="12" w:space="0" w:color="auto"/>
              <w:left w:val="nil"/>
              <w:bottom w:val="single" w:sz="4" w:space="0" w:color="auto"/>
              <w:right w:val="nil"/>
            </w:tcBorders>
          </w:tcPr>
          <w:p w14:paraId="778382FD" w14:textId="308F86EB" w:rsidR="00E615A5" w:rsidRPr="00E0073A" w:rsidRDefault="00F60D70">
            <w:pPr>
              <w:spacing w:after="0"/>
              <w:jc w:val="center"/>
              <w:rPr>
                <w:rFonts w:eastAsia="Calibri" w:cs="Times New Roman"/>
              </w:rPr>
            </w:pPr>
            <w:r>
              <w:rPr>
                <w:rFonts w:eastAsia="Calibri" w:cs="Times New Roman"/>
              </w:rPr>
              <w:t>98.3</w:t>
            </w:r>
          </w:p>
        </w:tc>
      </w:tr>
      <w:tr w:rsidR="00E615A5" w:rsidRPr="00E0073A" w14:paraId="64EAFDD4" w14:textId="16A8B099">
        <w:trPr>
          <w:jc w:val="center"/>
        </w:trPr>
        <w:tc>
          <w:tcPr>
            <w:tcW w:w="3686" w:type="dxa"/>
            <w:tcBorders>
              <w:top w:val="single" w:sz="4" w:space="0" w:color="auto"/>
              <w:left w:val="nil"/>
              <w:bottom w:val="single" w:sz="4" w:space="0" w:color="auto"/>
              <w:right w:val="nil"/>
            </w:tcBorders>
            <w:vAlign w:val="center"/>
          </w:tcPr>
          <w:p w14:paraId="2311D741" w14:textId="77777777" w:rsidR="00E615A5" w:rsidRPr="00E0073A" w:rsidRDefault="00E615A5">
            <w:pPr>
              <w:spacing w:after="0"/>
              <w:jc w:val="left"/>
              <w:rPr>
                <w:rFonts w:eastAsia="Calibri" w:cs="Times New Roman"/>
              </w:rPr>
            </w:pPr>
            <w:r>
              <w:rPr>
                <w:rFonts w:eastAsia="Calibri" w:cs="Times New Roman"/>
              </w:rPr>
              <w:t>Other bituminous coal</w:t>
            </w:r>
          </w:p>
        </w:tc>
        <w:tc>
          <w:tcPr>
            <w:tcW w:w="1511" w:type="dxa"/>
            <w:tcBorders>
              <w:top w:val="single" w:sz="4" w:space="0" w:color="auto"/>
              <w:left w:val="nil"/>
              <w:bottom w:val="single" w:sz="4" w:space="0" w:color="auto"/>
              <w:right w:val="nil"/>
            </w:tcBorders>
            <w:vAlign w:val="center"/>
          </w:tcPr>
          <w:p w14:paraId="7E7B8D5C" w14:textId="43A30918" w:rsidR="00E615A5" w:rsidRPr="00E0073A" w:rsidRDefault="00F60D70">
            <w:pPr>
              <w:spacing w:after="0"/>
              <w:jc w:val="center"/>
              <w:rPr>
                <w:rFonts w:eastAsia="Calibri" w:cs="Times New Roman"/>
              </w:rPr>
            </w:pPr>
            <w:r>
              <w:rPr>
                <w:rFonts w:eastAsia="Calibri" w:cs="Times New Roman"/>
              </w:rPr>
              <w:t>25.8</w:t>
            </w:r>
          </w:p>
        </w:tc>
        <w:tc>
          <w:tcPr>
            <w:tcW w:w="1511" w:type="dxa"/>
            <w:tcBorders>
              <w:top w:val="single" w:sz="4" w:space="0" w:color="auto"/>
              <w:left w:val="nil"/>
              <w:bottom w:val="single" w:sz="4" w:space="0" w:color="auto"/>
              <w:right w:val="nil"/>
            </w:tcBorders>
          </w:tcPr>
          <w:p w14:paraId="608B9F25" w14:textId="0365C22B" w:rsidR="00E615A5" w:rsidRPr="00E0073A" w:rsidRDefault="005550B6">
            <w:pPr>
              <w:spacing w:after="0"/>
              <w:jc w:val="center"/>
              <w:rPr>
                <w:rFonts w:eastAsia="Calibri" w:cs="Times New Roman"/>
              </w:rPr>
            </w:pPr>
            <w:r>
              <w:rPr>
                <w:rFonts w:eastAsia="Calibri" w:cs="Times New Roman"/>
              </w:rPr>
              <w:t>94.6</w:t>
            </w:r>
          </w:p>
        </w:tc>
      </w:tr>
      <w:tr w:rsidR="00E615A5" w:rsidRPr="00320105" w14:paraId="2DE3A5A4" w14:textId="71A2AF03">
        <w:trPr>
          <w:jc w:val="center"/>
        </w:trPr>
        <w:tc>
          <w:tcPr>
            <w:tcW w:w="3686" w:type="dxa"/>
            <w:tcBorders>
              <w:top w:val="single" w:sz="4" w:space="0" w:color="auto"/>
              <w:left w:val="nil"/>
              <w:bottom w:val="single" w:sz="4" w:space="0" w:color="auto"/>
              <w:right w:val="nil"/>
            </w:tcBorders>
            <w:vAlign w:val="center"/>
          </w:tcPr>
          <w:p w14:paraId="26188E27" w14:textId="77777777" w:rsidR="00E615A5" w:rsidRPr="00E0073A" w:rsidRDefault="00E615A5">
            <w:pPr>
              <w:spacing w:after="0"/>
              <w:jc w:val="left"/>
              <w:rPr>
                <w:rFonts w:eastAsia="Calibri" w:cs="Times New Roman"/>
              </w:rPr>
            </w:pPr>
            <w:r>
              <w:rPr>
                <w:rFonts w:eastAsia="Calibri" w:cs="Times New Roman"/>
              </w:rPr>
              <w:t>Sub-bituminous coal</w:t>
            </w:r>
          </w:p>
        </w:tc>
        <w:tc>
          <w:tcPr>
            <w:tcW w:w="1511" w:type="dxa"/>
            <w:tcBorders>
              <w:top w:val="single" w:sz="4" w:space="0" w:color="auto"/>
              <w:left w:val="nil"/>
              <w:bottom w:val="single" w:sz="4" w:space="0" w:color="auto"/>
              <w:right w:val="nil"/>
            </w:tcBorders>
            <w:vAlign w:val="center"/>
          </w:tcPr>
          <w:p w14:paraId="1712235F" w14:textId="25097F0F" w:rsidR="00E615A5" w:rsidRPr="00E0073A" w:rsidRDefault="00F60D70">
            <w:pPr>
              <w:spacing w:after="0"/>
              <w:jc w:val="center"/>
              <w:rPr>
                <w:rFonts w:eastAsia="Calibri" w:cs="Times New Roman"/>
              </w:rPr>
            </w:pPr>
            <w:r>
              <w:rPr>
                <w:rFonts w:eastAsia="Calibri" w:cs="Times New Roman"/>
              </w:rPr>
              <w:t>26.2</w:t>
            </w:r>
          </w:p>
        </w:tc>
        <w:tc>
          <w:tcPr>
            <w:tcW w:w="1511" w:type="dxa"/>
            <w:tcBorders>
              <w:top w:val="single" w:sz="4" w:space="0" w:color="auto"/>
              <w:left w:val="nil"/>
              <w:bottom w:val="single" w:sz="4" w:space="0" w:color="auto"/>
              <w:right w:val="nil"/>
            </w:tcBorders>
          </w:tcPr>
          <w:p w14:paraId="0920EE52" w14:textId="2E971305" w:rsidR="00E615A5" w:rsidRDefault="005550B6">
            <w:pPr>
              <w:spacing w:after="0"/>
              <w:jc w:val="center"/>
              <w:rPr>
                <w:rFonts w:eastAsia="Calibri" w:cs="Times New Roman"/>
              </w:rPr>
            </w:pPr>
            <w:r>
              <w:rPr>
                <w:rFonts w:eastAsia="Calibri" w:cs="Times New Roman"/>
              </w:rPr>
              <w:t>96.1</w:t>
            </w:r>
          </w:p>
        </w:tc>
      </w:tr>
      <w:tr w:rsidR="00E615A5" w:rsidRPr="00E0073A" w14:paraId="593E82E4" w14:textId="53701C12">
        <w:trPr>
          <w:jc w:val="center"/>
        </w:trPr>
        <w:tc>
          <w:tcPr>
            <w:tcW w:w="3686" w:type="dxa"/>
            <w:tcBorders>
              <w:top w:val="single" w:sz="4" w:space="0" w:color="auto"/>
              <w:left w:val="nil"/>
              <w:bottom w:val="single" w:sz="4" w:space="0" w:color="auto"/>
              <w:right w:val="nil"/>
            </w:tcBorders>
            <w:vAlign w:val="center"/>
          </w:tcPr>
          <w:p w14:paraId="11564BEA" w14:textId="5915E4B6" w:rsidR="00E615A5" w:rsidRPr="00E0073A" w:rsidRDefault="00E615A5">
            <w:pPr>
              <w:spacing w:after="0"/>
              <w:jc w:val="left"/>
              <w:rPr>
                <w:rFonts w:eastAsia="Calibri" w:cs="Times New Roman"/>
              </w:rPr>
            </w:pPr>
            <w:r w:rsidRPr="00E0073A">
              <w:rPr>
                <w:rFonts w:eastAsia="Calibri" w:cs="Times New Roman"/>
              </w:rPr>
              <w:t>Lignite</w:t>
            </w:r>
            <w:r w:rsidR="0073718C">
              <w:rPr>
                <w:rFonts w:eastAsia="Calibri" w:cs="Times New Roman"/>
              </w:rPr>
              <w:t xml:space="preserve"> in TPP</w:t>
            </w:r>
          </w:p>
        </w:tc>
        <w:tc>
          <w:tcPr>
            <w:tcW w:w="1511" w:type="dxa"/>
            <w:tcBorders>
              <w:top w:val="single" w:sz="4" w:space="0" w:color="auto"/>
              <w:left w:val="nil"/>
              <w:bottom w:val="single" w:sz="4" w:space="0" w:color="auto"/>
              <w:right w:val="nil"/>
            </w:tcBorders>
            <w:vAlign w:val="center"/>
          </w:tcPr>
          <w:p w14:paraId="36AB007D" w14:textId="6BA7880D" w:rsidR="00E615A5" w:rsidRPr="00E0073A" w:rsidRDefault="00F60D70">
            <w:pPr>
              <w:spacing w:after="0"/>
              <w:jc w:val="center"/>
              <w:rPr>
                <w:rFonts w:eastAsia="Calibri" w:cs="Times New Roman"/>
              </w:rPr>
            </w:pPr>
            <w:r>
              <w:rPr>
                <w:rFonts w:eastAsia="Calibri" w:cs="Times New Roman"/>
              </w:rPr>
              <w:t>29.</w:t>
            </w:r>
            <w:r w:rsidR="002D21F8">
              <w:rPr>
                <w:rFonts w:eastAsia="Calibri" w:cs="Times New Roman"/>
              </w:rPr>
              <w:t>0</w:t>
            </w:r>
            <w:r w:rsidR="0066572C">
              <w:rPr>
                <w:rFonts w:eastAsia="Calibri" w:cs="Times New Roman"/>
              </w:rPr>
              <w:t>-30.</w:t>
            </w:r>
            <w:r w:rsidR="002D21F8">
              <w:rPr>
                <w:rFonts w:eastAsia="Calibri" w:cs="Times New Roman"/>
              </w:rPr>
              <w:t>4</w:t>
            </w:r>
          </w:p>
        </w:tc>
        <w:tc>
          <w:tcPr>
            <w:tcW w:w="1511" w:type="dxa"/>
            <w:tcBorders>
              <w:top w:val="single" w:sz="4" w:space="0" w:color="auto"/>
              <w:left w:val="nil"/>
              <w:bottom w:val="single" w:sz="4" w:space="0" w:color="auto"/>
              <w:right w:val="nil"/>
            </w:tcBorders>
          </w:tcPr>
          <w:p w14:paraId="0EF1B90E" w14:textId="07E249E0" w:rsidR="00E615A5" w:rsidRDefault="005550B6">
            <w:pPr>
              <w:spacing w:after="0"/>
              <w:jc w:val="center"/>
              <w:rPr>
                <w:rFonts w:eastAsia="Calibri" w:cs="Times New Roman"/>
              </w:rPr>
            </w:pPr>
            <w:r>
              <w:rPr>
                <w:rFonts w:eastAsia="Calibri" w:cs="Times New Roman"/>
              </w:rPr>
              <w:t>10</w:t>
            </w:r>
            <w:r w:rsidR="00500A37">
              <w:rPr>
                <w:rFonts w:eastAsia="Calibri" w:cs="Times New Roman"/>
              </w:rPr>
              <w:t>6.</w:t>
            </w:r>
            <w:r w:rsidR="0066572C">
              <w:rPr>
                <w:rFonts w:eastAsia="Calibri" w:cs="Times New Roman"/>
              </w:rPr>
              <w:t>4-111.3</w:t>
            </w:r>
          </w:p>
        </w:tc>
      </w:tr>
      <w:tr w:rsidR="0073718C" w:rsidRPr="00E0073A" w14:paraId="780404C3" w14:textId="77777777">
        <w:trPr>
          <w:jc w:val="center"/>
        </w:trPr>
        <w:tc>
          <w:tcPr>
            <w:tcW w:w="3686" w:type="dxa"/>
            <w:tcBorders>
              <w:top w:val="single" w:sz="4" w:space="0" w:color="auto"/>
              <w:left w:val="nil"/>
              <w:bottom w:val="single" w:sz="4" w:space="0" w:color="auto"/>
              <w:right w:val="nil"/>
            </w:tcBorders>
            <w:vAlign w:val="center"/>
          </w:tcPr>
          <w:p w14:paraId="414457B9" w14:textId="10957A6F" w:rsidR="0073718C" w:rsidRPr="00E0073A" w:rsidRDefault="0073718C">
            <w:pPr>
              <w:spacing w:after="0"/>
              <w:jc w:val="left"/>
              <w:rPr>
                <w:rFonts w:eastAsia="Calibri" w:cs="Times New Roman"/>
              </w:rPr>
            </w:pPr>
            <w:r>
              <w:rPr>
                <w:rFonts w:eastAsia="Calibri" w:cs="Times New Roman"/>
              </w:rPr>
              <w:t>Lignite for other uses</w:t>
            </w:r>
          </w:p>
        </w:tc>
        <w:tc>
          <w:tcPr>
            <w:tcW w:w="1511" w:type="dxa"/>
            <w:tcBorders>
              <w:top w:val="single" w:sz="4" w:space="0" w:color="auto"/>
              <w:left w:val="nil"/>
              <w:bottom w:val="single" w:sz="4" w:space="0" w:color="auto"/>
              <w:right w:val="nil"/>
            </w:tcBorders>
            <w:vAlign w:val="center"/>
          </w:tcPr>
          <w:p w14:paraId="75E63B88" w14:textId="43A066B3" w:rsidR="0073718C" w:rsidRDefault="00FA122B">
            <w:pPr>
              <w:spacing w:after="0"/>
              <w:jc w:val="center"/>
              <w:rPr>
                <w:rFonts w:eastAsia="Calibri" w:cs="Times New Roman"/>
              </w:rPr>
            </w:pPr>
            <w:r>
              <w:rPr>
                <w:rFonts w:eastAsia="Calibri" w:cs="Times New Roman"/>
              </w:rPr>
              <w:t>27.5</w:t>
            </w:r>
          </w:p>
        </w:tc>
        <w:tc>
          <w:tcPr>
            <w:tcW w:w="1511" w:type="dxa"/>
            <w:tcBorders>
              <w:top w:val="single" w:sz="4" w:space="0" w:color="auto"/>
              <w:left w:val="nil"/>
              <w:bottom w:val="single" w:sz="4" w:space="0" w:color="auto"/>
              <w:right w:val="nil"/>
            </w:tcBorders>
          </w:tcPr>
          <w:p w14:paraId="1C86BCC1" w14:textId="2BCFFF2A" w:rsidR="0073718C" w:rsidRDefault="00FA122B">
            <w:pPr>
              <w:spacing w:after="0"/>
              <w:jc w:val="center"/>
              <w:rPr>
                <w:rFonts w:eastAsia="Calibri" w:cs="Times New Roman"/>
              </w:rPr>
            </w:pPr>
            <w:r>
              <w:rPr>
                <w:rFonts w:eastAsia="Calibri" w:cs="Times New Roman"/>
              </w:rPr>
              <w:t>101.0</w:t>
            </w:r>
          </w:p>
        </w:tc>
      </w:tr>
      <w:tr w:rsidR="00E615A5" w:rsidRPr="00E0073A" w14:paraId="54B7642C" w14:textId="1A936F52">
        <w:trPr>
          <w:jc w:val="center"/>
        </w:trPr>
        <w:tc>
          <w:tcPr>
            <w:tcW w:w="3686" w:type="dxa"/>
            <w:tcBorders>
              <w:top w:val="single" w:sz="4" w:space="0" w:color="auto"/>
              <w:left w:val="nil"/>
              <w:bottom w:val="single" w:sz="4" w:space="0" w:color="auto"/>
              <w:right w:val="nil"/>
            </w:tcBorders>
            <w:vAlign w:val="center"/>
          </w:tcPr>
          <w:p w14:paraId="4E30499B" w14:textId="77777777" w:rsidR="00E615A5" w:rsidRPr="00E0073A" w:rsidRDefault="00E615A5">
            <w:pPr>
              <w:spacing w:after="0"/>
              <w:jc w:val="left"/>
              <w:rPr>
                <w:rFonts w:eastAsia="Calibri" w:cs="Times New Roman"/>
              </w:rPr>
            </w:pPr>
            <w:r>
              <w:rPr>
                <w:rFonts w:eastAsia="Calibri" w:cs="Times New Roman"/>
              </w:rPr>
              <w:t>Brown coal briquettes (BKB)</w:t>
            </w:r>
          </w:p>
        </w:tc>
        <w:tc>
          <w:tcPr>
            <w:tcW w:w="1511" w:type="dxa"/>
            <w:tcBorders>
              <w:top w:val="single" w:sz="4" w:space="0" w:color="auto"/>
              <w:left w:val="nil"/>
              <w:bottom w:val="single" w:sz="4" w:space="0" w:color="auto"/>
              <w:right w:val="nil"/>
            </w:tcBorders>
            <w:vAlign w:val="center"/>
          </w:tcPr>
          <w:p w14:paraId="2D84A4EA" w14:textId="77DEA709" w:rsidR="00E615A5" w:rsidRPr="00E0073A" w:rsidRDefault="00F60D70">
            <w:pPr>
              <w:spacing w:after="0"/>
              <w:jc w:val="center"/>
              <w:rPr>
                <w:rFonts w:eastAsia="Calibri" w:cs="Times New Roman"/>
              </w:rPr>
            </w:pPr>
            <w:r>
              <w:rPr>
                <w:rFonts w:eastAsia="Calibri" w:cs="Times New Roman"/>
              </w:rPr>
              <w:t>26.6</w:t>
            </w:r>
          </w:p>
        </w:tc>
        <w:tc>
          <w:tcPr>
            <w:tcW w:w="1511" w:type="dxa"/>
            <w:tcBorders>
              <w:top w:val="single" w:sz="4" w:space="0" w:color="auto"/>
              <w:left w:val="nil"/>
              <w:bottom w:val="single" w:sz="4" w:space="0" w:color="auto"/>
              <w:right w:val="nil"/>
            </w:tcBorders>
          </w:tcPr>
          <w:p w14:paraId="25226F36" w14:textId="5B174CBC" w:rsidR="00E615A5" w:rsidRDefault="00E5570D">
            <w:pPr>
              <w:spacing w:after="0"/>
              <w:jc w:val="center"/>
              <w:rPr>
                <w:rFonts w:eastAsia="Calibri" w:cs="Times New Roman"/>
              </w:rPr>
            </w:pPr>
            <w:r>
              <w:rPr>
                <w:rFonts w:eastAsia="Calibri" w:cs="Times New Roman"/>
              </w:rPr>
              <w:t>97.5</w:t>
            </w:r>
          </w:p>
        </w:tc>
      </w:tr>
      <w:tr w:rsidR="00E615A5" w:rsidRPr="00E0073A" w14:paraId="7B97B5A6" w14:textId="08B750AD">
        <w:trPr>
          <w:jc w:val="center"/>
        </w:trPr>
        <w:tc>
          <w:tcPr>
            <w:tcW w:w="3686" w:type="dxa"/>
            <w:tcBorders>
              <w:top w:val="single" w:sz="4" w:space="0" w:color="auto"/>
              <w:left w:val="nil"/>
              <w:bottom w:val="single" w:sz="4" w:space="0" w:color="auto"/>
              <w:right w:val="nil"/>
            </w:tcBorders>
            <w:vAlign w:val="center"/>
          </w:tcPr>
          <w:p w14:paraId="1A8ACA8C" w14:textId="77777777" w:rsidR="00E615A5" w:rsidRPr="00E0073A" w:rsidRDefault="00E615A5">
            <w:pPr>
              <w:spacing w:after="0"/>
              <w:jc w:val="left"/>
              <w:rPr>
                <w:rFonts w:eastAsia="Calibri" w:cs="Times New Roman"/>
              </w:rPr>
            </w:pPr>
            <w:r w:rsidRPr="00E0073A">
              <w:rPr>
                <w:rFonts w:eastAsia="Calibri" w:cs="Times New Roman"/>
              </w:rPr>
              <w:t>Coke</w:t>
            </w:r>
            <w:r>
              <w:rPr>
                <w:rFonts w:eastAsia="Calibri" w:cs="Times New Roman"/>
              </w:rPr>
              <w:t>/Oven Coke</w:t>
            </w:r>
          </w:p>
        </w:tc>
        <w:tc>
          <w:tcPr>
            <w:tcW w:w="1511" w:type="dxa"/>
            <w:tcBorders>
              <w:top w:val="single" w:sz="4" w:space="0" w:color="auto"/>
              <w:left w:val="nil"/>
              <w:bottom w:val="single" w:sz="4" w:space="0" w:color="auto"/>
              <w:right w:val="nil"/>
            </w:tcBorders>
            <w:vAlign w:val="center"/>
          </w:tcPr>
          <w:p w14:paraId="5989192D" w14:textId="71375E64" w:rsidR="00E615A5" w:rsidRPr="00E0073A" w:rsidRDefault="00F60D70">
            <w:pPr>
              <w:spacing w:after="0"/>
              <w:jc w:val="center"/>
              <w:rPr>
                <w:rFonts w:eastAsia="Calibri" w:cs="Times New Roman"/>
              </w:rPr>
            </w:pPr>
            <w:r>
              <w:rPr>
                <w:rFonts w:eastAsia="Calibri" w:cs="Times New Roman"/>
              </w:rPr>
              <w:t>29.2</w:t>
            </w:r>
          </w:p>
        </w:tc>
        <w:tc>
          <w:tcPr>
            <w:tcW w:w="1511" w:type="dxa"/>
            <w:tcBorders>
              <w:top w:val="single" w:sz="4" w:space="0" w:color="auto"/>
              <w:left w:val="nil"/>
              <w:bottom w:val="single" w:sz="4" w:space="0" w:color="auto"/>
              <w:right w:val="nil"/>
            </w:tcBorders>
          </w:tcPr>
          <w:p w14:paraId="7B9EA5AE" w14:textId="7FA9DCE6" w:rsidR="00E615A5" w:rsidRDefault="00500A37">
            <w:pPr>
              <w:spacing w:after="0"/>
              <w:jc w:val="center"/>
              <w:rPr>
                <w:rFonts w:eastAsia="Calibri" w:cs="Times New Roman"/>
              </w:rPr>
            </w:pPr>
            <w:r>
              <w:rPr>
                <w:rFonts w:eastAsia="Calibri" w:cs="Times New Roman"/>
              </w:rPr>
              <w:t>107.0</w:t>
            </w:r>
          </w:p>
        </w:tc>
      </w:tr>
      <w:tr w:rsidR="00E615A5" w:rsidRPr="00E0073A" w14:paraId="32B36452" w14:textId="1E1C086E">
        <w:trPr>
          <w:jc w:val="center"/>
        </w:trPr>
        <w:tc>
          <w:tcPr>
            <w:tcW w:w="3686" w:type="dxa"/>
            <w:tcBorders>
              <w:top w:val="single" w:sz="4" w:space="0" w:color="auto"/>
              <w:left w:val="nil"/>
              <w:bottom w:val="single" w:sz="4" w:space="0" w:color="auto"/>
              <w:right w:val="nil"/>
            </w:tcBorders>
            <w:vAlign w:val="center"/>
          </w:tcPr>
          <w:p w14:paraId="0620AD80" w14:textId="77777777" w:rsidR="00E615A5" w:rsidRPr="00E0073A" w:rsidRDefault="00E615A5">
            <w:pPr>
              <w:spacing w:after="0"/>
              <w:jc w:val="left"/>
              <w:rPr>
                <w:rFonts w:eastAsia="Calibri" w:cs="Times New Roman"/>
              </w:rPr>
            </w:pPr>
            <w:r>
              <w:rPr>
                <w:rFonts w:eastAsia="Calibri" w:cs="Times New Roman"/>
              </w:rPr>
              <w:t>Coal tar</w:t>
            </w:r>
          </w:p>
        </w:tc>
        <w:tc>
          <w:tcPr>
            <w:tcW w:w="1511" w:type="dxa"/>
            <w:tcBorders>
              <w:top w:val="single" w:sz="4" w:space="0" w:color="auto"/>
              <w:left w:val="nil"/>
              <w:bottom w:val="single" w:sz="4" w:space="0" w:color="auto"/>
              <w:right w:val="nil"/>
            </w:tcBorders>
            <w:vAlign w:val="center"/>
          </w:tcPr>
          <w:p w14:paraId="2EACB548" w14:textId="328213AC" w:rsidR="00E615A5" w:rsidRPr="00E0073A" w:rsidRDefault="00F60D70">
            <w:pPr>
              <w:spacing w:after="0"/>
              <w:jc w:val="center"/>
              <w:rPr>
                <w:rFonts w:eastAsia="Calibri" w:cs="Times New Roman"/>
              </w:rPr>
            </w:pPr>
            <w:r>
              <w:rPr>
                <w:rFonts w:eastAsia="Calibri" w:cs="Times New Roman"/>
              </w:rPr>
              <w:t>22.0</w:t>
            </w:r>
          </w:p>
        </w:tc>
        <w:tc>
          <w:tcPr>
            <w:tcW w:w="1511" w:type="dxa"/>
            <w:tcBorders>
              <w:top w:val="single" w:sz="4" w:space="0" w:color="auto"/>
              <w:left w:val="nil"/>
              <w:bottom w:val="single" w:sz="4" w:space="0" w:color="auto"/>
              <w:right w:val="nil"/>
            </w:tcBorders>
          </w:tcPr>
          <w:p w14:paraId="347C3110" w14:textId="17A41B15" w:rsidR="00E615A5" w:rsidRDefault="00500A37">
            <w:pPr>
              <w:spacing w:after="0"/>
              <w:jc w:val="center"/>
              <w:rPr>
                <w:rFonts w:eastAsia="Calibri" w:cs="Times New Roman"/>
              </w:rPr>
            </w:pPr>
            <w:r>
              <w:rPr>
                <w:rFonts w:eastAsia="Calibri" w:cs="Times New Roman"/>
              </w:rPr>
              <w:t>80.7</w:t>
            </w:r>
          </w:p>
        </w:tc>
      </w:tr>
      <w:tr w:rsidR="00E615A5" w:rsidRPr="00E0073A" w14:paraId="0F139AC2" w14:textId="482C5622">
        <w:trPr>
          <w:jc w:val="center"/>
        </w:trPr>
        <w:tc>
          <w:tcPr>
            <w:tcW w:w="3686" w:type="dxa"/>
            <w:tcBorders>
              <w:top w:val="single" w:sz="4" w:space="0" w:color="auto"/>
              <w:left w:val="nil"/>
              <w:bottom w:val="single" w:sz="4" w:space="0" w:color="auto"/>
              <w:right w:val="nil"/>
            </w:tcBorders>
            <w:vAlign w:val="center"/>
          </w:tcPr>
          <w:p w14:paraId="271C7D79" w14:textId="77777777" w:rsidR="00E615A5" w:rsidRPr="00E0073A" w:rsidRDefault="00E615A5">
            <w:pPr>
              <w:spacing w:after="0"/>
              <w:jc w:val="left"/>
              <w:rPr>
                <w:rFonts w:eastAsia="Calibri" w:cs="Times New Roman"/>
              </w:rPr>
            </w:pPr>
            <w:r>
              <w:rPr>
                <w:rFonts w:eastAsia="Calibri" w:cs="Times New Roman"/>
              </w:rPr>
              <w:t>Crude oil</w:t>
            </w:r>
          </w:p>
        </w:tc>
        <w:tc>
          <w:tcPr>
            <w:tcW w:w="1511" w:type="dxa"/>
            <w:tcBorders>
              <w:top w:val="single" w:sz="4" w:space="0" w:color="auto"/>
              <w:left w:val="nil"/>
              <w:bottom w:val="single" w:sz="4" w:space="0" w:color="auto"/>
              <w:right w:val="nil"/>
            </w:tcBorders>
            <w:vAlign w:val="center"/>
          </w:tcPr>
          <w:p w14:paraId="0B066314" w14:textId="277D0FCC" w:rsidR="00E615A5" w:rsidRPr="00E0073A" w:rsidRDefault="00500A37">
            <w:pPr>
              <w:spacing w:after="0"/>
              <w:jc w:val="center"/>
              <w:rPr>
                <w:rFonts w:eastAsia="Calibri" w:cs="Times New Roman"/>
              </w:rPr>
            </w:pPr>
            <w:r>
              <w:rPr>
                <w:rFonts w:eastAsia="Calibri" w:cs="Times New Roman"/>
              </w:rPr>
              <w:t>20.0</w:t>
            </w:r>
          </w:p>
        </w:tc>
        <w:tc>
          <w:tcPr>
            <w:tcW w:w="1511" w:type="dxa"/>
            <w:tcBorders>
              <w:top w:val="single" w:sz="4" w:space="0" w:color="auto"/>
              <w:left w:val="nil"/>
              <w:bottom w:val="single" w:sz="4" w:space="0" w:color="auto"/>
              <w:right w:val="nil"/>
            </w:tcBorders>
          </w:tcPr>
          <w:p w14:paraId="67F13954" w14:textId="7E221391" w:rsidR="00E615A5" w:rsidRDefault="00401504">
            <w:pPr>
              <w:spacing w:after="0"/>
              <w:jc w:val="center"/>
              <w:rPr>
                <w:rFonts w:eastAsia="Calibri" w:cs="Times New Roman"/>
              </w:rPr>
            </w:pPr>
            <w:r>
              <w:rPr>
                <w:rFonts w:eastAsia="Calibri" w:cs="Times New Roman"/>
              </w:rPr>
              <w:t>73.3</w:t>
            </w:r>
          </w:p>
        </w:tc>
      </w:tr>
      <w:tr w:rsidR="00E615A5" w:rsidRPr="00E0073A" w14:paraId="3A2753D5" w14:textId="624AAD4B">
        <w:trPr>
          <w:jc w:val="center"/>
        </w:trPr>
        <w:tc>
          <w:tcPr>
            <w:tcW w:w="3686" w:type="dxa"/>
            <w:tcBorders>
              <w:top w:val="single" w:sz="4" w:space="0" w:color="auto"/>
              <w:left w:val="nil"/>
              <w:bottom w:val="single" w:sz="4" w:space="0" w:color="auto"/>
              <w:right w:val="nil"/>
            </w:tcBorders>
            <w:vAlign w:val="center"/>
          </w:tcPr>
          <w:p w14:paraId="7E24C98F" w14:textId="77777777" w:rsidR="00E615A5" w:rsidRPr="00E0073A" w:rsidRDefault="00E615A5">
            <w:pPr>
              <w:spacing w:after="0"/>
              <w:jc w:val="left"/>
              <w:rPr>
                <w:rFonts w:eastAsia="Calibri" w:cs="Times New Roman"/>
              </w:rPr>
            </w:pPr>
            <w:r>
              <w:rPr>
                <w:rFonts w:eastAsia="Calibri" w:cs="Times New Roman"/>
              </w:rPr>
              <w:t>Natural gas liquids</w:t>
            </w:r>
          </w:p>
        </w:tc>
        <w:tc>
          <w:tcPr>
            <w:tcW w:w="1511" w:type="dxa"/>
            <w:tcBorders>
              <w:top w:val="single" w:sz="4" w:space="0" w:color="auto"/>
              <w:left w:val="nil"/>
              <w:bottom w:val="single" w:sz="4" w:space="0" w:color="auto"/>
              <w:right w:val="nil"/>
            </w:tcBorders>
            <w:vAlign w:val="center"/>
          </w:tcPr>
          <w:p w14:paraId="64555EEB" w14:textId="34C62909" w:rsidR="00E615A5" w:rsidRPr="00E0073A" w:rsidRDefault="00500A37">
            <w:pPr>
              <w:spacing w:after="0"/>
              <w:jc w:val="center"/>
              <w:rPr>
                <w:rFonts w:eastAsia="Calibri" w:cs="Times New Roman"/>
              </w:rPr>
            </w:pPr>
            <w:r>
              <w:rPr>
                <w:rFonts w:eastAsia="Calibri" w:cs="Times New Roman"/>
              </w:rPr>
              <w:t>17.5</w:t>
            </w:r>
          </w:p>
        </w:tc>
        <w:tc>
          <w:tcPr>
            <w:tcW w:w="1511" w:type="dxa"/>
            <w:tcBorders>
              <w:top w:val="single" w:sz="4" w:space="0" w:color="auto"/>
              <w:left w:val="nil"/>
              <w:bottom w:val="single" w:sz="4" w:space="0" w:color="auto"/>
              <w:right w:val="nil"/>
            </w:tcBorders>
          </w:tcPr>
          <w:p w14:paraId="65E700DE" w14:textId="2E21055F" w:rsidR="00E615A5" w:rsidRDefault="00401504">
            <w:pPr>
              <w:spacing w:after="0"/>
              <w:jc w:val="center"/>
              <w:rPr>
                <w:rFonts w:eastAsia="Calibri" w:cs="Times New Roman"/>
              </w:rPr>
            </w:pPr>
            <w:r>
              <w:rPr>
                <w:rFonts w:eastAsia="Calibri" w:cs="Times New Roman"/>
              </w:rPr>
              <w:t>64.2</w:t>
            </w:r>
          </w:p>
        </w:tc>
      </w:tr>
      <w:tr w:rsidR="00E615A5" w:rsidRPr="00E0073A" w14:paraId="11752D1D" w14:textId="0C294974">
        <w:trPr>
          <w:jc w:val="center"/>
        </w:trPr>
        <w:tc>
          <w:tcPr>
            <w:tcW w:w="3686" w:type="dxa"/>
            <w:tcBorders>
              <w:top w:val="single" w:sz="4" w:space="0" w:color="auto"/>
              <w:left w:val="nil"/>
              <w:bottom w:val="single" w:sz="4" w:space="0" w:color="auto"/>
              <w:right w:val="nil"/>
            </w:tcBorders>
            <w:vAlign w:val="center"/>
          </w:tcPr>
          <w:p w14:paraId="11C7F2E4" w14:textId="77777777" w:rsidR="00E615A5" w:rsidRPr="00E0073A" w:rsidRDefault="00E615A5">
            <w:pPr>
              <w:spacing w:after="0"/>
              <w:jc w:val="left"/>
              <w:rPr>
                <w:rFonts w:eastAsia="Calibri" w:cs="Times New Roman"/>
              </w:rPr>
            </w:pPr>
            <w:r>
              <w:rPr>
                <w:rFonts w:eastAsia="Calibri" w:cs="Times New Roman"/>
              </w:rPr>
              <w:t>Gasoline</w:t>
            </w:r>
          </w:p>
        </w:tc>
        <w:tc>
          <w:tcPr>
            <w:tcW w:w="1511" w:type="dxa"/>
            <w:tcBorders>
              <w:top w:val="single" w:sz="4" w:space="0" w:color="auto"/>
              <w:left w:val="nil"/>
              <w:bottom w:val="single" w:sz="4" w:space="0" w:color="auto"/>
              <w:right w:val="nil"/>
            </w:tcBorders>
            <w:vAlign w:val="center"/>
          </w:tcPr>
          <w:p w14:paraId="3EBDC682" w14:textId="20E1168C" w:rsidR="00E615A5" w:rsidRPr="00E0073A" w:rsidRDefault="00500A37">
            <w:pPr>
              <w:spacing w:after="0"/>
              <w:jc w:val="center"/>
              <w:rPr>
                <w:rFonts w:eastAsia="Calibri" w:cs="Times New Roman"/>
              </w:rPr>
            </w:pPr>
            <w:r>
              <w:rPr>
                <w:rFonts w:eastAsia="Calibri" w:cs="Times New Roman"/>
              </w:rPr>
              <w:t>18.9</w:t>
            </w:r>
          </w:p>
        </w:tc>
        <w:tc>
          <w:tcPr>
            <w:tcW w:w="1511" w:type="dxa"/>
            <w:tcBorders>
              <w:top w:val="single" w:sz="4" w:space="0" w:color="auto"/>
              <w:left w:val="nil"/>
              <w:bottom w:val="single" w:sz="4" w:space="0" w:color="auto"/>
              <w:right w:val="nil"/>
            </w:tcBorders>
          </w:tcPr>
          <w:p w14:paraId="26F39D51" w14:textId="4748A8D6" w:rsidR="00E615A5" w:rsidRDefault="00401504">
            <w:pPr>
              <w:spacing w:after="0"/>
              <w:jc w:val="center"/>
              <w:rPr>
                <w:rFonts w:eastAsia="Calibri" w:cs="Times New Roman"/>
              </w:rPr>
            </w:pPr>
            <w:r>
              <w:rPr>
                <w:rFonts w:eastAsia="Calibri" w:cs="Times New Roman"/>
              </w:rPr>
              <w:t>69.3</w:t>
            </w:r>
          </w:p>
        </w:tc>
      </w:tr>
      <w:tr w:rsidR="00E615A5" w:rsidRPr="00E0073A" w14:paraId="16880786" w14:textId="38AFF810">
        <w:trPr>
          <w:jc w:val="center"/>
        </w:trPr>
        <w:tc>
          <w:tcPr>
            <w:tcW w:w="3686" w:type="dxa"/>
            <w:tcBorders>
              <w:top w:val="single" w:sz="4" w:space="0" w:color="auto"/>
              <w:left w:val="nil"/>
              <w:bottom w:val="single" w:sz="4" w:space="0" w:color="auto"/>
              <w:right w:val="nil"/>
            </w:tcBorders>
            <w:vAlign w:val="center"/>
          </w:tcPr>
          <w:p w14:paraId="57507ABD" w14:textId="77777777" w:rsidR="00E615A5" w:rsidRPr="00E0073A" w:rsidRDefault="00E615A5">
            <w:pPr>
              <w:spacing w:after="0"/>
              <w:jc w:val="left"/>
              <w:rPr>
                <w:rFonts w:eastAsia="Calibri" w:cs="Times New Roman"/>
              </w:rPr>
            </w:pPr>
            <w:r>
              <w:rPr>
                <w:rFonts w:eastAsia="Calibri" w:cs="Times New Roman"/>
              </w:rPr>
              <w:t>Jet kerosene</w:t>
            </w:r>
          </w:p>
        </w:tc>
        <w:tc>
          <w:tcPr>
            <w:tcW w:w="1511" w:type="dxa"/>
            <w:tcBorders>
              <w:top w:val="single" w:sz="4" w:space="0" w:color="auto"/>
              <w:left w:val="nil"/>
              <w:bottom w:val="single" w:sz="4" w:space="0" w:color="auto"/>
              <w:right w:val="nil"/>
            </w:tcBorders>
            <w:vAlign w:val="center"/>
          </w:tcPr>
          <w:p w14:paraId="45819042" w14:textId="7BF81306" w:rsidR="00E615A5" w:rsidRPr="00E0073A" w:rsidRDefault="00500A37">
            <w:pPr>
              <w:spacing w:after="0"/>
              <w:jc w:val="center"/>
              <w:rPr>
                <w:rFonts w:eastAsia="Calibri" w:cs="Times New Roman"/>
              </w:rPr>
            </w:pPr>
            <w:r>
              <w:rPr>
                <w:rFonts w:eastAsia="Calibri" w:cs="Times New Roman"/>
              </w:rPr>
              <w:t>19.5</w:t>
            </w:r>
          </w:p>
        </w:tc>
        <w:tc>
          <w:tcPr>
            <w:tcW w:w="1511" w:type="dxa"/>
            <w:tcBorders>
              <w:top w:val="single" w:sz="4" w:space="0" w:color="auto"/>
              <w:left w:val="nil"/>
              <w:bottom w:val="single" w:sz="4" w:space="0" w:color="auto"/>
              <w:right w:val="nil"/>
            </w:tcBorders>
          </w:tcPr>
          <w:p w14:paraId="51CC44D8" w14:textId="49D55E19" w:rsidR="00E615A5" w:rsidRDefault="00401504">
            <w:pPr>
              <w:spacing w:after="0"/>
              <w:jc w:val="center"/>
              <w:rPr>
                <w:rFonts w:eastAsia="Calibri" w:cs="Times New Roman"/>
              </w:rPr>
            </w:pPr>
            <w:r>
              <w:rPr>
                <w:rFonts w:eastAsia="Calibri" w:cs="Times New Roman"/>
              </w:rPr>
              <w:t>71.5</w:t>
            </w:r>
          </w:p>
        </w:tc>
      </w:tr>
      <w:tr w:rsidR="00E615A5" w:rsidRPr="00E0073A" w14:paraId="2BD977BA" w14:textId="6A77C6F7">
        <w:trPr>
          <w:jc w:val="center"/>
        </w:trPr>
        <w:tc>
          <w:tcPr>
            <w:tcW w:w="3686" w:type="dxa"/>
            <w:tcBorders>
              <w:top w:val="single" w:sz="4" w:space="0" w:color="auto"/>
              <w:left w:val="nil"/>
              <w:bottom w:val="single" w:sz="4" w:space="0" w:color="auto"/>
              <w:right w:val="nil"/>
            </w:tcBorders>
            <w:vAlign w:val="center"/>
          </w:tcPr>
          <w:p w14:paraId="7B956775" w14:textId="77777777" w:rsidR="00E615A5" w:rsidRPr="00E0073A" w:rsidRDefault="00E615A5">
            <w:pPr>
              <w:spacing w:after="0"/>
              <w:jc w:val="left"/>
              <w:rPr>
                <w:rFonts w:eastAsia="Calibri" w:cs="Times New Roman"/>
              </w:rPr>
            </w:pPr>
            <w:r>
              <w:rPr>
                <w:rFonts w:eastAsia="Calibri" w:cs="Times New Roman"/>
              </w:rPr>
              <w:t>Other kerosene</w:t>
            </w:r>
          </w:p>
        </w:tc>
        <w:tc>
          <w:tcPr>
            <w:tcW w:w="1511" w:type="dxa"/>
            <w:tcBorders>
              <w:top w:val="single" w:sz="4" w:space="0" w:color="auto"/>
              <w:left w:val="nil"/>
              <w:bottom w:val="single" w:sz="4" w:space="0" w:color="auto"/>
              <w:right w:val="nil"/>
            </w:tcBorders>
            <w:vAlign w:val="center"/>
          </w:tcPr>
          <w:p w14:paraId="2DAEF428" w14:textId="4CBB86C2" w:rsidR="00E615A5" w:rsidRPr="00E0073A" w:rsidRDefault="00500A37">
            <w:pPr>
              <w:spacing w:after="0"/>
              <w:jc w:val="center"/>
              <w:rPr>
                <w:rFonts w:eastAsia="Calibri" w:cs="Times New Roman"/>
              </w:rPr>
            </w:pPr>
            <w:r>
              <w:rPr>
                <w:rFonts w:eastAsia="Calibri" w:cs="Times New Roman"/>
              </w:rPr>
              <w:t>19.6</w:t>
            </w:r>
          </w:p>
        </w:tc>
        <w:tc>
          <w:tcPr>
            <w:tcW w:w="1511" w:type="dxa"/>
            <w:tcBorders>
              <w:top w:val="single" w:sz="4" w:space="0" w:color="auto"/>
              <w:left w:val="nil"/>
              <w:bottom w:val="single" w:sz="4" w:space="0" w:color="auto"/>
              <w:right w:val="nil"/>
            </w:tcBorders>
          </w:tcPr>
          <w:p w14:paraId="1018E57F" w14:textId="3AEA85E9" w:rsidR="00E615A5" w:rsidRDefault="00401504">
            <w:pPr>
              <w:spacing w:after="0"/>
              <w:jc w:val="center"/>
              <w:rPr>
                <w:rFonts w:eastAsia="Calibri" w:cs="Times New Roman"/>
              </w:rPr>
            </w:pPr>
            <w:r>
              <w:rPr>
                <w:rFonts w:eastAsia="Calibri" w:cs="Times New Roman"/>
              </w:rPr>
              <w:t>71.9</w:t>
            </w:r>
          </w:p>
        </w:tc>
      </w:tr>
      <w:tr w:rsidR="00E615A5" w:rsidRPr="00E0073A" w14:paraId="446874E2" w14:textId="1C2DAB9D">
        <w:trPr>
          <w:jc w:val="center"/>
        </w:trPr>
        <w:tc>
          <w:tcPr>
            <w:tcW w:w="3686" w:type="dxa"/>
            <w:tcBorders>
              <w:top w:val="single" w:sz="4" w:space="0" w:color="auto"/>
              <w:left w:val="nil"/>
              <w:bottom w:val="single" w:sz="4" w:space="0" w:color="auto"/>
              <w:right w:val="nil"/>
            </w:tcBorders>
            <w:vAlign w:val="center"/>
          </w:tcPr>
          <w:p w14:paraId="50D2E233" w14:textId="77777777" w:rsidR="00E615A5" w:rsidRPr="00E0073A" w:rsidRDefault="00E615A5">
            <w:pPr>
              <w:spacing w:after="0"/>
              <w:jc w:val="left"/>
              <w:rPr>
                <w:rFonts w:eastAsia="Calibri" w:cs="Times New Roman"/>
              </w:rPr>
            </w:pPr>
            <w:r>
              <w:rPr>
                <w:rFonts w:eastAsia="Calibri" w:cs="Times New Roman"/>
              </w:rPr>
              <w:t>Gas/Diesel oil</w:t>
            </w:r>
          </w:p>
        </w:tc>
        <w:tc>
          <w:tcPr>
            <w:tcW w:w="1511" w:type="dxa"/>
            <w:tcBorders>
              <w:top w:val="single" w:sz="4" w:space="0" w:color="auto"/>
              <w:left w:val="nil"/>
              <w:bottom w:val="single" w:sz="4" w:space="0" w:color="auto"/>
              <w:right w:val="nil"/>
            </w:tcBorders>
            <w:vAlign w:val="center"/>
          </w:tcPr>
          <w:p w14:paraId="453CB13E" w14:textId="5E61169B" w:rsidR="00E615A5" w:rsidRPr="00E0073A" w:rsidRDefault="00500A37">
            <w:pPr>
              <w:spacing w:after="0"/>
              <w:jc w:val="center"/>
              <w:rPr>
                <w:rFonts w:eastAsia="Calibri" w:cs="Times New Roman"/>
              </w:rPr>
            </w:pPr>
            <w:r>
              <w:rPr>
                <w:rFonts w:eastAsia="Calibri" w:cs="Times New Roman"/>
              </w:rPr>
              <w:t>20.2</w:t>
            </w:r>
          </w:p>
        </w:tc>
        <w:tc>
          <w:tcPr>
            <w:tcW w:w="1511" w:type="dxa"/>
            <w:tcBorders>
              <w:top w:val="single" w:sz="4" w:space="0" w:color="auto"/>
              <w:left w:val="nil"/>
              <w:bottom w:val="single" w:sz="4" w:space="0" w:color="auto"/>
              <w:right w:val="nil"/>
            </w:tcBorders>
          </w:tcPr>
          <w:p w14:paraId="1F1D5491" w14:textId="0455B17D" w:rsidR="00E615A5" w:rsidRDefault="00401504">
            <w:pPr>
              <w:spacing w:after="0"/>
              <w:jc w:val="center"/>
              <w:rPr>
                <w:rFonts w:eastAsia="Calibri" w:cs="Times New Roman"/>
              </w:rPr>
            </w:pPr>
            <w:r>
              <w:rPr>
                <w:rFonts w:eastAsia="Calibri" w:cs="Times New Roman"/>
              </w:rPr>
              <w:t>74.1</w:t>
            </w:r>
          </w:p>
        </w:tc>
      </w:tr>
      <w:tr w:rsidR="00E615A5" w:rsidRPr="00E0073A" w14:paraId="2B71D3F3" w14:textId="70FAA5C6">
        <w:trPr>
          <w:jc w:val="center"/>
        </w:trPr>
        <w:tc>
          <w:tcPr>
            <w:tcW w:w="3686" w:type="dxa"/>
            <w:tcBorders>
              <w:top w:val="single" w:sz="4" w:space="0" w:color="auto"/>
              <w:left w:val="nil"/>
              <w:bottom w:val="single" w:sz="4" w:space="0" w:color="auto"/>
              <w:right w:val="nil"/>
            </w:tcBorders>
            <w:vAlign w:val="center"/>
          </w:tcPr>
          <w:p w14:paraId="7658E860" w14:textId="77777777" w:rsidR="00E615A5" w:rsidRPr="00E0073A" w:rsidRDefault="00E615A5">
            <w:pPr>
              <w:spacing w:after="0"/>
              <w:jc w:val="left"/>
              <w:rPr>
                <w:rFonts w:eastAsia="Calibri" w:cs="Times New Roman"/>
              </w:rPr>
            </w:pPr>
            <w:r>
              <w:rPr>
                <w:rFonts w:eastAsia="Calibri" w:cs="Times New Roman"/>
              </w:rPr>
              <w:t>Residual fuel oil</w:t>
            </w:r>
          </w:p>
        </w:tc>
        <w:tc>
          <w:tcPr>
            <w:tcW w:w="1511" w:type="dxa"/>
            <w:tcBorders>
              <w:top w:val="single" w:sz="4" w:space="0" w:color="auto"/>
              <w:left w:val="nil"/>
              <w:bottom w:val="single" w:sz="4" w:space="0" w:color="auto"/>
              <w:right w:val="nil"/>
            </w:tcBorders>
            <w:vAlign w:val="center"/>
          </w:tcPr>
          <w:p w14:paraId="4BD7A8C1" w14:textId="48397743" w:rsidR="00E615A5" w:rsidRPr="00E0073A" w:rsidRDefault="00500A37">
            <w:pPr>
              <w:spacing w:after="0"/>
              <w:jc w:val="center"/>
              <w:rPr>
                <w:rFonts w:eastAsia="Calibri" w:cs="Times New Roman"/>
              </w:rPr>
            </w:pPr>
            <w:r>
              <w:rPr>
                <w:rFonts w:eastAsia="Calibri" w:cs="Times New Roman"/>
              </w:rPr>
              <w:t>21.1</w:t>
            </w:r>
          </w:p>
        </w:tc>
        <w:tc>
          <w:tcPr>
            <w:tcW w:w="1511" w:type="dxa"/>
            <w:tcBorders>
              <w:top w:val="single" w:sz="4" w:space="0" w:color="auto"/>
              <w:left w:val="nil"/>
              <w:bottom w:val="single" w:sz="4" w:space="0" w:color="auto"/>
              <w:right w:val="nil"/>
            </w:tcBorders>
          </w:tcPr>
          <w:p w14:paraId="5AB6914B" w14:textId="5EE3CF8E" w:rsidR="00E615A5" w:rsidRDefault="00401504">
            <w:pPr>
              <w:spacing w:after="0"/>
              <w:jc w:val="center"/>
              <w:rPr>
                <w:rFonts w:eastAsia="Calibri" w:cs="Times New Roman"/>
              </w:rPr>
            </w:pPr>
            <w:r>
              <w:rPr>
                <w:rFonts w:eastAsia="Calibri" w:cs="Times New Roman"/>
              </w:rPr>
              <w:t>77.4</w:t>
            </w:r>
          </w:p>
        </w:tc>
      </w:tr>
      <w:tr w:rsidR="00E615A5" w:rsidRPr="00E0073A" w14:paraId="5041F196" w14:textId="46B3C71E">
        <w:trPr>
          <w:jc w:val="center"/>
        </w:trPr>
        <w:tc>
          <w:tcPr>
            <w:tcW w:w="3686" w:type="dxa"/>
            <w:tcBorders>
              <w:top w:val="single" w:sz="4" w:space="0" w:color="auto"/>
              <w:left w:val="nil"/>
              <w:bottom w:val="single" w:sz="4" w:space="0" w:color="auto"/>
              <w:right w:val="nil"/>
            </w:tcBorders>
            <w:vAlign w:val="center"/>
          </w:tcPr>
          <w:p w14:paraId="48DCD0F7" w14:textId="77777777" w:rsidR="00E615A5" w:rsidRPr="008977F1" w:rsidRDefault="00E615A5">
            <w:pPr>
              <w:spacing w:after="0"/>
              <w:jc w:val="left"/>
              <w:rPr>
                <w:rFonts w:eastAsia="Calibri" w:cs="Times New Roman"/>
                <w:lang w:val="fr-FR"/>
              </w:rPr>
            </w:pPr>
            <w:proofErr w:type="spellStart"/>
            <w:r>
              <w:rPr>
                <w:rFonts w:eastAsia="Calibri" w:cs="Times New Roman"/>
                <w:lang w:val="fr-FR"/>
              </w:rPr>
              <w:t>Liquefied</w:t>
            </w:r>
            <w:proofErr w:type="spellEnd"/>
            <w:r>
              <w:rPr>
                <w:rFonts w:eastAsia="Calibri" w:cs="Times New Roman"/>
                <w:lang w:val="fr-FR"/>
              </w:rPr>
              <w:t xml:space="preserve"> </w:t>
            </w:r>
            <w:proofErr w:type="spellStart"/>
            <w:r>
              <w:rPr>
                <w:rFonts w:eastAsia="Calibri" w:cs="Times New Roman"/>
                <w:lang w:val="fr-FR"/>
              </w:rPr>
              <w:t>petroleum</w:t>
            </w:r>
            <w:proofErr w:type="spellEnd"/>
            <w:r>
              <w:rPr>
                <w:rFonts w:eastAsia="Calibri" w:cs="Times New Roman"/>
                <w:lang w:val="fr-FR"/>
              </w:rPr>
              <w:t xml:space="preserve"> </w:t>
            </w:r>
            <w:proofErr w:type="spellStart"/>
            <w:r>
              <w:rPr>
                <w:rFonts w:eastAsia="Calibri" w:cs="Times New Roman"/>
                <w:lang w:val="fr-FR"/>
              </w:rPr>
              <w:t>gas</w:t>
            </w:r>
            <w:proofErr w:type="spellEnd"/>
            <w:r>
              <w:rPr>
                <w:rFonts w:eastAsia="Calibri" w:cs="Times New Roman"/>
                <w:lang w:val="fr-FR"/>
              </w:rPr>
              <w:t xml:space="preserve"> (LPG)</w:t>
            </w:r>
          </w:p>
        </w:tc>
        <w:tc>
          <w:tcPr>
            <w:tcW w:w="1511" w:type="dxa"/>
            <w:tcBorders>
              <w:top w:val="single" w:sz="4" w:space="0" w:color="auto"/>
              <w:left w:val="nil"/>
              <w:bottom w:val="single" w:sz="4" w:space="0" w:color="auto"/>
              <w:right w:val="nil"/>
            </w:tcBorders>
            <w:vAlign w:val="center"/>
          </w:tcPr>
          <w:p w14:paraId="5A497CB4" w14:textId="3C9C45AA" w:rsidR="00E615A5" w:rsidRPr="00E0073A" w:rsidRDefault="00500A37">
            <w:pPr>
              <w:spacing w:after="0"/>
              <w:jc w:val="center"/>
              <w:rPr>
                <w:rFonts w:eastAsia="Calibri" w:cs="Times New Roman"/>
              </w:rPr>
            </w:pPr>
            <w:r>
              <w:rPr>
                <w:rFonts w:eastAsia="Calibri" w:cs="Times New Roman"/>
              </w:rPr>
              <w:t>17.2</w:t>
            </w:r>
          </w:p>
        </w:tc>
        <w:tc>
          <w:tcPr>
            <w:tcW w:w="1511" w:type="dxa"/>
            <w:tcBorders>
              <w:top w:val="single" w:sz="4" w:space="0" w:color="auto"/>
              <w:left w:val="nil"/>
              <w:bottom w:val="single" w:sz="4" w:space="0" w:color="auto"/>
              <w:right w:val="nil"/>
            </w:tcBorders>
          </w:tcPr>
          <w:p w14:paraId="79EAA95B" w14:textId="6628F9CB" w:rsidR="00E615A5" w:rsidRDefault="00401504">
            <w:pPr>
              <w:spacing w:after="0"/>
              <w:jc w:val="center"/>
              <w:rPr>
                <w:rFonts w:eastAsia="Calibri" w:cs="Times New Roman"/>
              </w:rPr>
            </w:pPr>
            <w:r>
              <w:rPr>
                <w:rFonts w:eastAsia="Calibri" w:cs="Times New Roman"/>
              </w:rPr>
              <w:t>63.1</w:t>
            </w:r>
          </w:p>
        </w:tc>
      </w:tr>
      <w:tr w:rsidR="00E615A5" w:rsidRPr="00E0073A" w14:paraId="4786716E" w14:textId="4FD3755E">
        <w:trPr>
          <w:jc w:val="center"/>
        </w:trPr>
        <w:tc>
          <w:tcPr>
            <w:tcW w:w="3686" w:type="dxa"/>
            <w:tcBorders>
              <w:top w:val="single" w:sz="4" w:space="0" w:color="auto"/>
              <w:left w:val="nil"/>
              <w:bottom w:val="single" w:sz="4" w:space="0" w:color="auto"/>
              <w:right w:val="nil"/>
            </w:tcBorders>
            <w:vAlign w:val="center"/>
          </w:tcPr>
          <w:p w14:paraId="0CDDEC6D" w14:textId="77777777" w:rsidR="00E615A5" w:rsidRPr="00E0073A" w:rsidRDefault="00E615A5">
            <w:pPr>
              <w:spacing w:after="0"/>
              <w:jc w:val="left"/>
              <w:rPr>
                <w:rFonts w:eastAsia="Calibri" w:cs="Times New Roman"/>
              </w:rPr>
            </w:pPr>
            <w:r>
              <w:rPr>
                <w:rFonts w:eastAsia="Calibri" w:cs="Times New Roman"/>
              </w:rPr>
              <w:t>Naphtha</w:t>
            </w:r>
          </w:p>
        </w:tc>
        <w:tc>
          <w:tcPr>
            <w:tcW w:w="1511" w:type="dxa"/>
            <w:tcBorders>
              <w:top w:val="single" w:sz="4" w:space="0" w:color="auto"/>
              <w:left w:val="nil"/>
              <w:bottom w:val="single" w:sz="4" w:space="0" w:color="auto"/>
              <w:right w:val="nil"/>
            </w:tcBorders>
            <w:vAlign w:val="center"/>
          </w:tcPr>
          <w:p w14:paraId="38C3B869" w14:textId="2F92C868" w:rsidR="00E615A5" w:rsidRPr="00E0073A" w:rsidRDefault="00401504">
            <w:pPr>
              <w:spacing w:after="0"/>
              <w:jc w:val="center"/>
              <w:rPr>
                <w:rFonts w:eastAsia="Calibri" w:cs="Times New Roman"/>
              </w:rPr>
            </w:pPr>
            <w:r>
              <w:rPr>
                <w:rFonts w:eastAsia="Calibri" w:cs="Times New Roman"/>
              </w:rPr>
              <w:t>20.0</w:t>
            </w:r>
          </w:p>
        </w:tc>
        <w:tc>
          <w:tcPr>
            <w:tcW w:w="1511" w:type="dxa"/>
            <w:tcBorders>
              <w:top w:val="single" w:sz="4" w:space="0" w:color="auto"/>
              <w:left w:val="nil"/>
              <w:bottom w:val="single" w:sz="4" w:space="0" w:color="auto"/>
              <w:right w:val="nil"/>
            </w:tcBorders>
          </w:tcPr>
          <w:p w14:paraId="7E4A898F" w14:textId="1CCDA21E" w:rsidR="00E615A5" w:rsidRDefault="00401504">
            <w:pPr>
              <w:spacing w:after="0"/>
              <w:jc w:val="center"/>
              <w:rPr>
                <w:rFonts w:eastAsia="Calibri" w:cs="Times New Roman"/>
              </w:rPr>
            </w:pPr>
            <w:r>
              <w:rPr>
                <w:rFonts w:eastAsia="Calibri" w:cs="Times New Roman"/>
              </w:rPr>
              <w:t>73.3</w:t>
            </w:r>
          </w:p>
        </w:tc>
      </w:tr>
      <w:tr w:rsidR="00E615A5" w:rsidRPr="00E0073A" w14:paraId="5024AAD9" w14:textId="2C3A9ACB">
        <w:trPr>
          <w:jc w:val="center"/>
        </w:trPr>
        <w:tc>
          <w:tcPr>
            <w:tcW w:w="3686" w:type="dxa"/>
            <w:tcBorders>
              <w:top w:val="single" w:sz="4" w:space="0" w:color="auto"/>
              <w:left w:val="nil"/>
              <w:bottom w:val="single" w:sz="4" w:space="0" w:color="auto"/>
              <w:right w:val="nil"/>
            </w:tcBorders>
            <w:vAlign w:val="center"/>
          </w:tcPr>
          <w:p w14:paraId="0BBA6846" w14:textId="77777777" w:rsidR="00E615A5" w:rsidRPr="008977F1" w:rsidRDefault="00E615A5">
            <w:pPr>
              <w:spacing w:after="0"/>
              <w:jc w:val="left"/>
              <w:rPr>
                <w:rFonts w:eastAsia="Calibri" w:cs="Times New Roman"/>
                <w:lang w:val="fr-FR"/>
              </w:rPr>
            </w:pPr>
            <w:proofErr w:type="spellStart"/>
            <w:r>
              <w:rPr>
                <w:rFonts w:eastAsia="Calibri" w:cs="Times New Roman"/>
                <w:lang w:val="fr-FR"/>
              </w:rPr>
              <w:t>Bitumen</w:t>
            </w:r>
            <w:proofErr w:type="spellEnd"/>
          </w:p>
        </w:tc>
        <w:tc>
          <w:tcPr>
            <w:tcW w:w="1511" w:type="dxa"/>
            <w:tcBorders>
              <w:top w:val="single" w:sz="4" w:space="0" w:color="auto"/>
              <w:left w:val="nil"/>
              <w:bottom w:val="single" w:sz="4" w:space="0" w:color="auto"/>
              <w:right w:val="nil"/>
            </w:tcBorders>
            <w:vAlign w:val="center"/>
          </w:tcPr>
          <w:p w14:paraId="093EFAB5" w14:textId="27F41B3B" w:rsidR="00E615A5" w:rsidRPr="00E0073A" w:rsidRDefault="00401504">
            <w:pPr>
              <w:spacing w:after="0"/>
              <w:jc w:val="center"/>
              <w:rPr>
                <w:rFonts w:eastAsia="Calibri" w:cs="Times New Roman"/>
              </w:rPr>
            </w:pPr>
            <w:r>
              <w:rPr>
                <w:rFonts w:eastAsia="Calibri" w:cs="Times New Roman"/>
              </w:rPr>
              <w:t>22.0</w:t>
            </w:r>
          </w:p>
        </w:tc>
        <w:tc>
          <w:tcPr>
            <w:tcW w:w="1511" w:type="dxa"/>
            <w:tcBorders>
              <w:top w:val="single" w:sz="4" w:space="0" w:color="auto"/>
              <w:left w:val="nil"/>
              <w:bottom w:val="single" w:sz="4" w:space="0" w:color="auto"/>
              <w:right w:val="nil"/>
            </w:tcBorders>
          </w:tcPr>
          <w:p w14:paraId="5F511D35" w14:textId="41A2CAF1" w:rsidR="00E615A5" w:rsidRDefault="00713181">
            <w:pPr>
              <w:spacing w:after="0"/>
              <w:jc w:val="center"/>
              <w:rPr>
                <w:rFonts w:eastAsia="Calibri" w:cs="Times New Roman"/>
              </w:rPr>
            </w:pPr>
            <w:r>
              <w:rPr>
                <w:rFonts w:eastAsia="Calibri" w:cs="Times New Roman"/>
              </w:rPr>
              <w:t>80.7</w:t>
            </w:r>
          </w:p>
        </w:tc>
      </w:tr>
      <w:tr w:rsidR="00E615A5" w:rsidRPr="00E0073A" w14:paraId="72F70CF5" w14:textId="75E43A27">
        <w:trPr>
          <w:jc w:val="center"/>
        </w:trPr>
        <w:tc>
          <w:tcPr>
            <w:tcW w:w="3686" w:type="dxa"/>
            <w:tcBorders>
              <w:top w:val="single" w:sz="4" w:space="0" w:color="auto"/>
              <w:left w:val="nil"/>
              <w:bottom w:val="single" w:sz="4" w:space="0" w:color="auto"/>
              <w:right w:val="nil"/>
            </w:tcBorders>
            <w:vAlign w:val="center"/>
          </w:tcPr>
          <w:p w14:paraId="29BB3068" w14:textId="77777777" w:rsidR="00E615A5" w:rsidRPr="00E0073A" w:rsidRDefault="00E615A5">
            <w:pPr>
              <w:spacing w:after="0"/>
              <w:jc w:val="left"/>
              <w:rPr>
                <w:rFonts w:eastAsia="Calibri" w:cs="Times New Roman"/>
              </w:rPr>
            </w:pPr>
            <w:r>
              <w:rPr>
                <w:rFonts w:eastAsia="Calibri" w:cs="Times New Roman"/>
              </w:rPr>
              <w:t>Lubricants</w:t>
            </w:r>
          </w:p>
        </w:tc>
        <w:tc>
          <w:tcPr>
            <w:tcW w:w="1511" w:type="dxa"/>
            <w:tcBorders>
              <w:top w:val="single" w:sz="4" w:space="0" w:color="auto"/>
              <w:left w:val="nil"/>
              <w:bottom w:val="single" w:sz="4" w:space="0" w:color="auto"/>
              <w:right w:val="nil"/>
            </w:tcBorders>
            <w:vAlign w:val="center"/>
          </w:tcPr>
          <w:p w14:paraId="0D3CDD00" w14:textId="61881927" w:rsidR="00E615A5" w:rsidRPr="00E0073A" w:rsidRDefault="00713181">
            <w:pPr>
              <w:spacing w:after="0"/>
              <w:jc w:val="center"/>
              <w:rPr>
                <w:rFonts w:eastAsia="Calibri" w:cs="Times New Roman"/>
              </w:rPr>
            </w:pPr>
            <w:r>
              <w:rPr>
                <w:rFonts w:eastAsia="Calibri" w:cs="Times New Roman"/>
              </w:rPr>
              <w:t>20.0</w:t>
            </w:r>
          </w:p>
        </w:tc>
        <w:tc>
          <w:tcPr>
            <w:tcW w:w="1511" w:type="dxa"/>
            <w:tcBorders>
              <w:top w:val="single" w:sz="4" w:space="0" w:color="auto"/>
              <w:left w:val="nil"/>
              <w:bottom w:val="single" w:sz="4" w:space="0" w:color="auto"/>
              <w:right w:val="nil"/>
            </w:tcBorders>
          </w:tcPr>
          <w:p w14:paraId="4F97E846" w14:textId="6E8C2BBF" w:rsidR="00E615A5" w:rsidRDefault="0019063E">
            <w:pPr>
              <w:spacing w:after="0"/>
              <w:jc w:val="center"/>
              <w:rPr>
                <w:rFonts w:eastAsia="Calibri" w:cs="Times New Roman"/>
              </w:rPr>
            </w:pPr>
            <w:r>
              <w:rPr>
                <w:rFonts w:eastAsia="Calibri" w:cs="Times New Roman"/>
              </w:rPr>
              <w:t>73</w:t>
            </w:r>
            <w:r w:rsidR="0040262A">
              <w:rPr>
                <w:rFonts w:eastAsia="Calibri" w:cs="Times New Roman"/>
              </w:rPr>
              <w:t>.3</w:t>
            </w:r>
          </w:p>
        </w:tc>
      </w:tr>
      <w:tr w:rsidR="00E615A5" w:rsidRPr="00E0073A" w14:paraId="30682656" w14:textId="4579ABAB">
        <w:trPr>
          <w:jc w:val="center"/>
        </w:trPr>
        <w:tc>
          <w:tcPr>
            <w:tcW w:w="3686" w:type="dxa"/>
            <w:tcBorders>
              <w:top w:val="single" w:sz="4" w:space="0" w:color="auto"/>
              <w:left w:val="nil"/>
              <w:bottom w:val="single" w:sz="4" w:space="0" w:color="auto"/>
              <w:right w:val="nil"/>
            </w:tcBorders>
            <w:vAlign w:val="center"/>
          </w:tcPr>
          <w:p w14:paraId="0AB9098B" w14:textId="77777777" w:rsidR="00E615A5" w:rsidRPr="00E0073A" w:rsidRDefault="00E615A5">
            <w:pPr>
              <w:spacing w:after="0"/>
              <w:jc w:val="left"/>
              <w:rPr>
                <w:rFonts w:eastAsia="Calibri" w:cs="Times New Roman"/>
              </w:rPr>
            </w:pPr>
            <w:r>
              <w:rPr>
                <w:rFonts w:eastAsia="Calibri" w:cs="Times New Roman"/>
              </w:rPr>
              <w:lastRenderedPageBreak/>
              <w:t>Petroleum coke</w:t>
            </w:r>
          </w:p>
        </w:tc>
        <w:tc>
          <w:tcPr>
            <w:tcW w:w="1511" w:type="dxa"/>
            <w:tcBorders>
              <w:top w:val="single" w:sz="4" w:space="0" w:color="auto"/>
              <w:left w:val="nil"/>
              <w:bottom w:val="single" w:sz="4" w:space="0" w:color="auto"/>
              <w:right w:val="nil"/>
            </w:tcBorders>
            <w:vAlign w:val="center"/>
          </w:tcPr>
          <w:p w14:paraId="77AFDAC1" w14:textId="490BC246" w:rsidR="00E615A5" w:rsidRPr="00E0073A" w:rsidRDefault="0019063E">
            <w:pPr>
              <w:spacing w:after="0"/>
              <w:jc w:val="center"/>
              <w:rPr>
                <w:rFonts w:eastAsia="Calibri" w:cs="Times New Roman"/>
              </w:rPr>
            </w:pPr>
            <w:r>
              <w:rPr>
                <w:rFonts w:eastAsia="Calibri" w:cs="Times New Roman"/>
              </w:rPr>
              <w:t>26.6</w:t>
            </w:r>
          </w:p>
        </w:tc>
        <w:tc>
          <w:tcPr>
            <w:tcW w:w="1511" w:type="dxa"/>
            <w:tcBorders>
              <w:top w:val="single" w:sz="4" w:space="0" w:color="auto"/>
              <w:left w:val="nil"/>
              <w:bottom w:val="single" w:sz="4" w:space="0" w:color="auto"/>
              <w:right w:val="nil"/>
            </w:tcBorders>
          </w:tcPr>
          <w:p w14:paraId="67BBA120" w14:textId="28CBB73E" w:rsidR="00E615A5" w:rsidRDefault="0040262A">
            <w:pPr>
              <w:spacing w:after="0"/>
              <w:jc w:val="center"/>
              <w:rPr>
                <w:rFonts w:eastAsia="Calibri" w:cs="Times New Roman"/>
              </w:rPr>
            </w:pPr>
            <w:r>
              <w:rPr>
                <w:rFonts w:eastAsia="Calibri" w:cs="Times New Roman"/>
              </w:rPr>
              <w:t>97.5</w:t>
            </w:r>
          </w:p>
        </w:tc>
      </w:tr>
      <w:tr w:rsidR="00E615A5" w:rsidRPr="00E0073A" w14:paraId="261A74A9" w14:textId="6E978E81">
        <w:trPr>
          <w:jc w:val="center"/>
        </w:trPr>
        <w:tc>
          <w:tcPr>
            <w:tcW w:w="3686" w:type="dxa"/>
            <w:tcBorders>
              <w:top w:val="single" w:sz="4" w:space="0" w:color="auto"/>
              <w:left w:val="nil"/>
              <w:bottom w:val="single" w:sz="4" w:space="0" w:color="auto"/>
              <w:right w:val="nil"/>
            </w:tcBorders>
            <w:vAlign w:val="center"/>
          </w:tcPr>
          <w:p w14:paraId="26936D69" w14:textId="77777777" w:rsidR="00E615A5" w:rsidRPr="008977F1" w:rsidRDefault="00E615A5">
            <w:pPr>
              <w:spacing w:after="0"/>
              <w:jc w:val="left"/>
              <w:rPr>
                <w:rFonts w:eastAsia="Calibri" w:cs="Times New Roman"/>
                <w:lang w:val="fr-FR"/>
              </w:rPr>
            </w:pPr>
            <w:proofErr w:type="spellStart"/>
            <w:r>
              <w:rPr>
                <w:rFonts w:eastAsia="Calibri" w:cs="Times New Roman"/>
                <w:lang w:val="fr-FR"/>
              </w:rPr>
              <w:t>Refinery</w:t>
            </w:r>
            <w:proofErr w:type="spellEnd"/>
            <w:r>
              <w:rPr>
                <w:rFonts w:eastAsia="Calibri" w:cs="Times New Roman"/>
                <w:lang w:val="fr-FR"/>
              </w:rPr>
              <w:t xml:space="preserve"> </w:t>
            </w:r>
            <w:proofErr w:type="spellStart"/>
            <w:r>
              <w:rPr>
                <w:rFonts w:eastAsia="Calibri" w:cs="Times New Roman"/>
                <w:lang w:val="fr-FR"/>
              </w:rPr>
              <w:t>feedstocks</w:t>
            </w:r>
            <w:proofErr w:type="spellEnd"/>
          </w:p>
        </w:tc>
        <w:tc>
          <w:tcPr>
            <w:tcW w:w="1511" w:type="dxa"/>
            <w:tcBorders>
              <w:top w:val="single" w:sz="4" w:space="0" w:color="auto"/>
              <w:left w:val="nil"/>
              <w:bottom w:val="single" w:sz="4" w:space="0" w:color="auto"/>
              <w:right w:val="nil"/>
            </w:tcBorders>
            <w:vAlign w:val="center"/>
          </w:tcPr>
          <w:p w14:paraId="00D92985" w14:textId="18418DC7" w:rsidR="00E615A5" w:rsidRPr="00E0073A" w:rsidRDefault="0019063E">
            <w:pPr>
              <w:spacing w:after="0"/>
              <w:jc w:val="center"/>
              <w:rPr>
                <w:rFonts w:eastAsia="Calibri" w:cs="Times New Roman"/>
              </w:rPr>
            </w:pPr>
            <w:r>
              <w:rPr>
                <w:rFonts w:eastAsia="Calibri" w:cs="Times New Roman"/>
              </w:rPr>
              <w:t>20.0</w:t>
            </w:r>
          </w:p>
        </w:tc>
        <w:tc>
          <w:tcPr>
            <w:tcW w:w="1511" w:type="dxa"/>
            <w:tcBorders>
              <w:top w:val="single" w:sz="4" w:space="0" w:color="auto"/>
              <w:left w:val="nil"/>
              <w:bottom w:val="single" w:sz="4" w:space="0" w:color="auto"/>
              <w:right w:val="nil"/>
            </w:tcBorders>
          </w:tcPr>
          <w:p w14:paraId="4742DCC1" w14:textId="14CBA8BD" w:rsidR="00E615A5" w:rsidRDefault="0040262A">
            <w:pPr>
              <w:spacing w:after="0"/>
              <w:jc w:val="center"/>
              <w:rPr>
                <w:rFonts w:eastAsia="Calibri" w:cs="Times New Roman"/>
              </w:rPr>
            </w:pPr>
            <w:r>
              <w:rPr>
                <w:rFonts w:eastAsia="Calibri" w:cs="Times New Roman"/>
              </w:rPr>
              <w:t>73.3</w:t>
            </w:r>
          </w:p>
        </w:tc>
      </w:tr>
      <w:tr w:rsidR="00E615A5" w:rsidRPr="00E0073A" w14:paraId="4EE6E0AE" w14:textId="1734445B">
        <w:trPr>
          <w:jc w:val="center"/>
        </w:trPr>
        <w:tc>
          <w:tcPr>
            <w:tcW w:w="3686" w:type="dxa"/>
            <w:tcBorders>
              <w:top w:val="single" w:sz="4" w:space="0" w:color="auto"/>
              <w:left w:val="nil"/>
              <w:bottom w:val="single" w:sz="4" w:space="0" w:color="auto"/>
              <w:right w:val="nil"/>
            </w:tcBorders>
            <w:vAlign w:val="center"/>
          </w:tcPr>
          <w:p w14:paraId="5FFA4AB7" w14:textId="77777777" w:rsidR="00E615A5" w:rsidRPr="00E0073A" w:rsidRDefault="00E615A5">
            <w:pPr>
              <w:spacing w:after="0"/>
              <w:jc w:val="left"/>
              <w:rPr>
                <w:rFonts w:eastAsia="Calibri" w:cs="Times New Roman"/>
              </w:rPr>
            </w:pPr>
            <w:r>
              <w:rPr>
                <w:rFonts w:eastAsia="Calibri" w:cs="Times New Roman"/>
              </w:rPr>
              <w:t xml:space="preserve">White spirit </w:t>
            </w:r>
          </w:p>
        </w:tc>
        <w:tc>
          <w:tcPr>
            <w:tcW w:w="1511" w:type="dxa"/>
            <w:tcBorders>
              <w:top w:val="single" w:sz="4" w:space="0" w:color="auto"/>
              <w:left w:val="nil"/>
              <w:bottom w:val="single" w:sz="4" w:space="0" w:color="auto"/>
              <w:right w:val="nil"/>
            </w:tcBorders>
            <w:vAlign w:val="center"/>
          </w:tcPr>
          <w:p w14:paraId="20113339" w14:textId="3E9C5E26" w:rsidR="00E615A5" w:rsidRPr="00E0073A" w:rsidRDefault="0019063E">
            <w:pPr>
              <w:spacing w:after="0"/>
              <w:jc w:val="center"/>
              <w:rPr>
                <w:rFonts w:eastAsia="Calibri" w:cs="Times New Roman"/>
              </w:rPr>
            </w:pPr>
            <w:r>
              <w:rPr>
                <w:rFonts w:eastAsia="Calibri" w:cs="Times New Roman"/>
              </w:rPr>
              <w:t>20.0</w:t>
            </w:r>
          </w:p>
        </w:tc>
        <w:tc>
          <w:tcPr>
            <w:tcW w:w="1511" w:type="dxa"/>
            <w:tcBorders>
              <w:top w:val="single" w:sz="4" w:space="0" w:color="auto"/>
              <w:left w:val="nil"/>
              <w:bottom w:val="single" w:sz="4" w:space="0" w:color="auto"/>
              <w:right w:val="nil"/>
            </w:tcBorders>
          </w:tcPr>
          <w:p w14:paraId="4B2F1ED7" w14:textId="24AA3B41" w:rsidR="00E615A5" w:rsidRDefault="0040262A">
            <w:pPr>
              <w:spacing w:after="0"/>
              <w:jc w:val="center"/>
              <w:rPr>
                <w:rFonts w:eastAsia="Calibri" w:cs="Times New Roman"/>
              </w:rPr>
            </w:pPr>
            <w:r>
              <w:rPr>
                <w:rFonts w:eastAsia="Calibri" w:cs="Times New Roman"/>
              </w:rPr>
              <w:t>73.3</w:t>
            </w:r>
          </w:p>
        </w:tc>
      </w:tr>
      <w:tr w:rsidR="00E615A5" w:rsidRPr="00E0073A" w14:paraId="1EDFC7F0" w14:textId="27075F3A">
        <w:trPr>
          <w:jc w:val="center"/>
        </w:trPr>
        <w:tc>
          <w:tcPr>
            <w:tcW w:w="3686" w:type="dxa"/>
            <w:tcBorders>
              <w:top w:val="single" w:sz="4" w:space="0" w:color="auto"/>
              <w:left w:val="nil"/>
              <w:bottom w:val="single" w:sz="4" w:space="0" w:color="auto"/>
              <w:right w:val="nil"/>
            </w:tcBorders>
            <w:vAlign w:val="center"/>
          </w:tcPr>
          <w:p w14:paraId="0A465E49" w14:textId="77777777" w:rsidR="00E615A5" w:rsidRPr="00E0073A" w:rsidRDefault="00E615A5">
            <w:pPr>
              <w:spacing w:after="0"/>
              <w:jc w:val="left"/>
              <w:rPr>
                <w:rFonts w:eastAsia="Calibri" w:cs="Times New Roman"/>
              </w:rPr>
            </w:pPr>
            <w:r>
              <w:rPr>
                <w:rFonts w:eastAsia="Calibri" w:cs="Times New Roman"/>
              </w:rPr>
              <w:t>Paraffin wax</w:t>
            </w:r>
          </w:p>
        </w:tc>
        <w:tc>
          <w:tcPr>
            <w:tcW w:w="1511" w:type="dxa"/>
            <w:tcBorders>
              <w:top w:val="single" w:sz="4" w:space="0" w:color="auto"/>
              <w:left w:val="nil"/>
              <w:bottom w:val="single" w:sz="4" w:space="0" w:color="auto"/>
              <w:right w:val="nil"/>
            </w:tcBorders>
            <w:vAlign w:val="center"/>
          </w:tcPr>
          <w:p w14:paraId="489BDFA6" w14:textId="2C4D2D45" w:rsidR="00E615A5" w:rsidRPr="00E0073A" w:rsidRDefault="0019063E">
            <w:pPr>
              <w:spacing w:after="0"/>
              <w:jc w:val="center"/>
              <w:rPr>
                <w:rFonts w:eastAsia="Calibri" w:cs="Times New Roman"/>
              </w:rPr>
            </w:pPr>
            <w:r>
              <w:rPr>
                <w:rFonts w:eastAsia="Calibri" w:cs="Times New Roman"/>
              </w:rPr>
              <w:t>20.0</w:t>
            </w:r>
          </w:p>
        </w:tc>
        <w:tc>
          <w:tcPr>
            <w:tcW w:w="1511" w:type="dxa"/>
            <w:tcBorders>
              <w:top w:val="single" w:sz="4" w:space="0" w:color="auto"/>
              <w:left w:val="nil"/>
              <w:bottom w:val="single" w:sz="4" w:space="0" w:color="auto"/>
              <w:right w:val="nil"/>
            </w:tcBorders>
          </w:tcPr>
          <w:p w14:paraId="60DD048B" w14:textId="07FBAFBD" w:rsidR="00E615A5" w:rsidRDefault="0040262A">
            <w:pPr>
              <w:spacing w:after="0"/>
              <w:jc w:val="center"/>
              <w:rPr>
                <w:rFonts w:eastAsia="Calibri" w:cs="Times New Roman"/>
              </w:rPr>
            </w:pPr>
            <w:r>
              <w:rPr>
                <w:rFonts w:eastAsia="Calibri" w:cs="Times New Roman"/>
              </w:rPr>
              <w:t>73.3</w:t>
            </w:r>
          </w:p>
        </w:tc>
      </w:tr>
      <w:tr w:rsidR="00E615A5" w:rsidRPr="00E0073A" w14:paraId="38BCF286" w14:textId="34245FCE">
        <w:trPr>
          <w:jc w:val="center"/>
        </w:trPr>
        <w:tc>
          <w:tcPr>
            <w:tcW w:w="3686" w:type="dxa"/>
            <w:tcBorders>
              <w:top w:val="single" w:sz="4" w:space="0" w:color="auto"/>
              <w:left w:val="nil"/>
              <w:bottom w:val="single" w:sz="4" w:space="0" w:color="auto"/>
              <w:right w:val="nil"/>
            </w:tcBorders>
            <w:vAlign w:val="center"/>
          </w:tcPr>
          <w:p w14:paraId="0A05F37E" w14:textId="77777777" w:rsidR="00E615A5" w:rsidRPr="00E0073A" w:rsidRDefault="00E615A5">
            <w:pPr>
              <w:spacing w:after="0"/>
              <w:jc w:val="left"/>
              <w:rPr>
                <w:rFonts w:eastAsia="Calibri" w:cs="Times New Roman"/>
              </w:rPr>
            </w:pPr>
            <w:r>
              <w:rPr>
                <w:rFonts w:eastAsia="Calibri" w:cs="Times New Roman"/>
              </w:rPr>
              <w:t>Other oil products</w:t>
            </w:r>
          </w:p>
        </w:tc>
        <w:tc>
          <w:tcPr>
            <w:tcW w:w="1511" w:type="dxa"/>
            <w:tcBorders>
              <w:top w:val="single" w:sz="4" w:space="0" w:color="auto"/>
              <w:left w:val="nil"/>
              <w:bottom w:val="single" w:sz="4" w:space="0" w:color="auto"/>
              <w:right w:val="nil"/>
            </w:tcBorders>
            <w:vAlign w:val="center"/>
          </w:tcPr>
          <w:p w14:paraId="215AF02F" w14:textId="5311B295" w:rsidR="00E615A5" w:rsidRPr="00E0073A" w:rsidRDefault="0019063E">
            <w:pPr>
              <w:spacing w:after="0"/>
              <w:jc w:val="center"/>
              <w:rPr>
                <w:rFonts w:eastAsia="Calibri" w:cs="Times New Roman"/>
              </w:rPr>
            </w:pPr>
            <w:r>
              <w:rPr>
                <w:rFonts w:eastAsia="Calibri" w:cs="Times New Roman"/>
              </w:rPr>
              <w:t>20.0</w:t>
            </w:r>
          </w:p>
        </w:tc>
        <w:tc>
          <w:tcPr>
            <w:tcW w:w="1511" w:type="dxa"/>
            <w:tcBorders>
              <w:top w:val="single" w:sz="4" w:space="0" w:color="auto"/>
              <w:left w:val="nil"/>
              <w:bottom w:val="single" w:sz="4" w:space="0" w:color="auto"/>
              <w:right w:val="nil"/>
            </w:tcBorders>
          </w:tcPr>
          <w:p w14:paraId="727C3FCB" w14:textId="63F276BA" w:rsidR="00E615A5" w:rsidRDefault="0040262A">
            <w:pPr>
              <w:spacing w:after="0"/>
              <w:jc w:val="center"/>
              <w:rPr>
                <w:rFonts w:eastAsia="Calibri" w:cs="Times New Roman"/>
              </w:rPr>
            </w:pPr>
            <w:r>
              <w:rPr>
                <w:rFonts w:eastAsia="Calibri" w:cs="Times New Roman"/>
              </w:rPr>
              <w:t>73.3</w:t>
            </w:r>
          </w:p>
        </w:tc>
      </w:tr>
      <w:tr w:rsidR="00E615A5" w:rsidRPr="00E0073A" w14:paraId="753FA719" w14:textId="2238A901">
        <w:trPr>
          <w:jc w:val="center"/>
        </w:trPr>
        <w:tc>
          <w:tcPr>
            <w:tcW w:w="3686" w:type="dxa"/>
            <w:tcBorders>
              <w:top w:val="single" w:sz="4" w:space="0" w:color="auto"/>
              <w:left w:val="nil"/>
              <w:bottom w:val="single" w:sz="4" w:space="0" w:color="auto"/>
              <w:right w:val="nil"/>
            </w:tcBorders>
            <w:vAlign w:val="center"/>
          </w:tcPr>
          <w:p w14:paraId="43B0C20A" w14:textId="77777777" w:rsidR="00E615A5" w:rsidRPr="00E0073A" w:rsidRDefault="00E615A5">
            <w:pPr>
              <w:spacing w:after="0"/>
              <w:jc w:val="left"/>
              <w:rPr>
                <w:rFonts w:eastAsia="Calibri" w:cs="Times New Roman"/>
              </w:rPr>
            </w:pPr>
            <w:r>
              <w:rPr>
                <w:rFonts w:eastAsia="Calibri" w:cs="Times New Roman"/>
              </w:rPr>
              <w:t>Natural gas</w:t>
            </w:r>
          </w:p>
        </w:tc>
        <w:tc>
          <w:tcPr>
            <w:tcW w:w="1511" w:type="dxa"/>
            <w:tcBorders>
              <w:top w:val="single" w:sz="4" w:space="0" w:color="auto"/>
              <w:left w:val="nil"/>
              <w:bottom w:val="single" w:sz="4" w:space="0" w:color="auto"/>
              <w:right w:val="nil"/>
            </w:tcBorders>
            <w:vAlign w:val="center"/>
          </w:tcPr>
          <w:p w14:paraId="6F10DEC9" w14:textId="6D6CD8FE" w:rsidR="00E615A5" w:rsidRPr="00E0073A" w:rsidRDefault="00703D9A">
            <w:pPr>
              <w:spacing w:after="0"/>
              <w:jc w:val="center"/>
              <w:rPr>
                <w:rFonts w:eastAsia="Calibri" w:cs="Times New Roman"/>
              </w:rPr>
            </w:pPr>
            <w:r>
              <w:rPr>
                <w:rFonts w:eastAsia="Calibri" w:cs="Times New Roman"/>
              </w:rPr>
              <w:t>15.3</w:t>
            </w:r>
          </w:p>
        </w:tc>
        <w:tc>
          <w:tcPr>
            <w:tcW w:w="1511" w:type="dxa"/>
            <w:tcBorders>
              <w:top w:val="single" w:sz="4" w:space="0" w:color="auto"/>
              <w:left w:val="nil"/>
              <w:bottom w:val="single" w:sz="4" w:space="0" w:color="auto"/>
              <w:right w:val="nil"/>
            </w:tcBorders>
          </w:tcPr>
          <w:p w14:paraId="72B8511E" w14:textId="0C9A5AF9" w:rsidR="00E615A5" w:rsidRDefault="00703D9A">
            <w:pPr>
              <w:spacing w:after="0"/>
              <w:jc w:val="center"/>
              <w:rPr>
                <w:rFonts w:eastAsia="Calibri" w:cs="Times New Roman"/>
              </w:rPr>
            </w:pPr>
            <w:r>
              <w:rPr>
                <w:rFonts w:eastAsia="Calibri" w:cs="Times New Roman"/>
              </w:rPr>
              <w:t>56.1</w:t>
            </w:r>
          </w:p>
        </w:tc>
      </w:tr>
      <w:tr w:rsidR="00E615A5" w:rsidRPr="00E0073A" w14:paraId="6CEEF5F6" w14:textId="08D59F05">
        <w:trPr>
          <w:jc w:val="center"/>
        </w:trPr>
        <w:tc>
          <w:tcPr>
            <w:tcW w:w="3686" w:type="dxa"/>
            <w:tcBorders>
              <w:top w:val="single" w:sz="4" w:space="0" w:color="auto"/>
              <w:left w:val="nil"/>
              <w:bottom w:val="single" w:sz="4" w:space="0" w:color="auto"/>
              <w:right w:val="nil"/>
            </w:tcBorders>
            <w:vAlign w:val="center"/>
          </w:tcPr>
          <w:p w14:paraId="25FA6172" w14:textId="77777777" w:rsidR="00E615A5" w:rsidRPr="00E0073A" w:rsidRDefault="00E615A5">
            <w:pPr>
              <w:spacing w:after="0"/>
              <w:jc w:val="left"/>
              <w:rPr>
                <w:rFonts w:eastAsia="Calibri" w:cs="Times New Roman"/>
              </w:rPr>
            </w:pPr>
            <w:r>
              <w:rPr>
                <w:rFonts w:eastAsia="Calibri" w:cs="Times New Roman"/>
              </w:rPr>
              <w:t>Solid biomass</w:t>
            </w:r>
          </w:p>
        </w:tc>
        <w:tc>
          <w:tcPr>
            <w:tcW w:w="1511" w:type="dxa"/>
            <w:tcBorders>
              <w:top w:val="single" w:sz="4" w:space="0" w:color="auto"/>
              <w:left w:val="nil"/>
              <w:bottom w:val="single" w:sz="4" w:space="0" w:color="auto"/>
              <w:right w:val="nil"/>
            </w:tcBorders>
            <w:vAlign w:val="center"/>
          </w:tcPr>
          <w:p w14:paraId="11791388" w14:textId="06DE746A" w:rsidR="00E615A5" w:rsidRPr="00E0073A" w:rsidRDefault="002D21F8">
            <w:pPr>
              <w:spacing w:after="0"/>
              <w:jc w:val="center"/>
              <w:rPr>
                <w:rFonts w:eastAsia="Calibri" w:cs="Times New Roman"/>
              </w:rPr>
            </w:pPr>
            <w:r>
              <w:rPr>
                <w:rFonts w:eastAsia="Calibri" w:cs="Times New Roman"/>
              </w:rPr>
              <w:t>30.5</w:t>
            </w:r>
          </w:p>
        </w:tc>
        <w:tc>
          <w:tcPr>
            <w:tcW w:w="1511" w:type="dxa"/>
            <w:tcBorders>
              <w:top w:val="single" w:sz="4" w:space="0" w:color="auto"/>
              <w:left w:val="nil"/>
              <w:bottom w:val="single" w:sz="4" w:space="0" w:color="auto"/>
              <w:right w:val="nil"/>
            </w:tcBorders>
          </w:tcPr>
          <w:p w14:paraId="0642370C" w14:textId="3A4041CD" w:rsidR="00E615A5" w:rsidRPr="008977F1" w:rsidRDefault="002D21F8">
            <w:pPr>
              <w:spacing w:after="0"/>
              <w:jc w:val="center"/>
              <w:rPr>
                <w:rFonts w:eastAsia="Calibri" w:cs="Times New Roman"/>
                <w:highlight w:val="yellow"/>
              </w:rPr>
            </w:pPr>
            <w:r w:rsidRPr="00622F40">
              <w:rPr>
                <w:rFonts w:eastAsia="Calibri" w:cs="Times New Roman"/>
              </w:rPr>
              <w:t>112.0</w:t>
            </w:r>
          </w:p>
        </w:tc>
      </w:tr>
      <w:tr w:rsidR="00E615A5" w:rsidRPr="00E0073A" w14:paraId="7B185F27" w14:textId="707D3A5C">
        <w:trPr>
          <w:jc w:val="center"/>
        </w:trPr>
        <w:tc>
          <w:tcPr>
            <w:tcW w:w="3686" w:type="dxa"/>
            <w:tcBorders>
              <w:top w:val="single" w:sz="4" w:space="0" w:color="auto"/>
              <w:left w:val="nil"/>
              <w:bottom w:val="single" w:sz="4" w:space="0" w:color="auto"/>
              <w:right w:val="nil"/>
            </w:tcBorders>
            <w:vAlign w:val="center"/>
          </w:tcPr>
          <w:p w14:paraId="4AD57B00" w14:textId="77777777" w:rsidR="00E615A5" w:rsidRPr="00E0073A" w:rsidRDefault="00E615A5">
            <w:pPr>
              <w:spacing w:after="0"/>
              <w:jc w:val="left"/>
              <w:rPr>
                <w:rFonts w:eastAsia="Calibri" w:cs="Times New Roman"/>
              </w:rPr>
            </w:pPr>
            <w:proofErr w:type="spellStart"/>
            <w:r>
              <w:rPr>
                <w:rFonts w:eastAsia="Calibri" w:cs="Times New Roman"/>
                <w:lang w:val="fr-FR"/>
              </w:rPr>
              <w:t>Industrial</w:t>
            </w:r>
            <w:proofErr w:type="spellEnd"/>
            <w:r>
              <w:rPr>
                <w:rFonts w:eastAsia="Calibri" w:cs="Times New Roman"/>
                <w:lang w:val="fr-FR"/>
              </w:rPr>
              <w:t xml:space="preserve"> </w:t>
            </w:r>
            <w:proofErr w:type="spellStart"/>
            <w:r>
              <w:rPr>
                <w:rFonts w:eastAsia="Calibri" w:cs="Times New Roman"/>
                <w:lang w:val="fr-FR"/>
              </w:rPr>
              <w:t>waste</w:t>
            </w:r>
            <w:proofErr w:type="spellEnd"/>
          </w:p>
        </w:tc>
        <w:tc>
          <w:tcPr>
            <w:tcW w:w="1511" w:type="dxa"/>
            <w:tcBorders>
              <w:top w:val="single" w:sz="4" w:space="0" w:color="auto"/>
              <w:left w:val="nil"/>
              <w:bottom w:val="single" w:sz="4" w:space="0" w:color="auto"/>
              <w:right w:val="nil"/>
            </w:tcBorders>
            <w:vAlign w:val="center"/>
          </w:tcPr>
          <w:p w14:paraId="7ADC93A0" w14:textId="42441BCF" w:rsidR="00E615A5" w:rsidRPr="00E0073A" w:rsidRDefault="00204B6A">
            <w:pPr>
              <w:spacing w:after="0"/>
              <w:jc w:val="center"/>
              <w:rPr>
                <w:rFonts w:eastAsia="Calibri" w:cs="Times New Roman"/>
              </w:rPr>
            </w:pPr>
            <w:r>
              <w:rPr>
                <w:rFonts w:eastAsia="Calibri" w:cs="Times New Roman"/>
              </w:rPr>
              <w:t>39.0</w:t>
            </w:r>
          </w:p>
        </w:tc>
        <w:tc>
          <w:tcPr>
            <w:tcW w:w="1511" w:type="dxa"/>
            <w:tcBorders>
              <w:top w:val="single" w:sz="4" w:space="0" w:color="auto"/>
              <w:left w:val="nil"/>
              <w:bottom w:val="single" w:sz="4" w:space="0" w:color="auto"/>
              <w:right w:val="nil"/>
            </w:tcBorders>
          </w:tcPr>
          <w:p w14:paraId="0F34DAE1" w14:textId="090C377B" w:rsidR="00E615A5" w:rsidRPr="00E0073A" w:rsidRDefault="00204B6A">
            <w:pPr>
              <w:spacing w:after="0"/>
              <w:jc w:val="center"/>
              <w:rPr>
                <w:rFonts w:eastAsia="Calibri" w:cs="Times New Roman"/>
              </w:rPr>
            </w:pPr>
            <w:r>
              <w:rPr>
                <w:rFonts w:eastAsia="Calibri" w:cs="Times New Roman"/>
              </w:rPr>
              <w:t>143.0</w:t>
            </w:r>
          </w:p>
        </w:tc>
      </w:tr>
    </w:tbl>
    <w:p w14:paraId="2BCADF1E" w14:textId="77777777" w:rsidR="00620065" w:rsidRDefault="00620065" w:rsidP="00DA643B">
      <w:pPr>
        <w:rPr>
          <w:rFonts w:eastAsia="Calibri" w:cs="Times New Roman"/>
          <w:szCs w:val="20"/>
        </w:rPr>
      </w:pPr>
    </w:p>
    <w:p w14:paraId="39D82D22" w14:textId="450859D4" w:rsidR="00F47685" w:rsidRDefault="00F47685" w:rsidP="00DA643B">
      <w:pPr>
        <w:rPr>
          <w:rFonts w:eastAsia="Calibri" w:cs="Times New Roman"/>
          <w:szCs w:val="20"/>
        </w:rPr>
      </w:pPr>
      <w:r>
        <w:rPr>
          <w:rFonts w:eastAsia="Calibri" w:cs="Times New Roman"/>
          <w:szCs w:val="20"/>
        </w:rPr>
        <w:t>For lignite used in thermal power plants, the CO</w:t>
      </w:r>
      <w:r w:rsidRPr="00622F40">
        <w:rPr>
          <w:rFonts w:eastAsia="Calibri" w:cs="Times New Roman"/>
          <w:szCs w:val="20"/>
          <w:vertAlign w:val="subscript"/>
        </w:rPr>
        <w:t>2</w:t>
      </w:r>
      <w:r>
        <w:rPr>
          <w:rFonts w:eastAsia="Calibri" w:cs="Times New Roman"/>
          <w:szCs w:val="20"/>
        </w:rPr>
        <w:t xml:space="preserve"> emission factor evolves as follows:</w:t>
      </w:r>
    </w:p>
    <w:p w14:paraId="5A1D04F4" w14:textId="3A79229E" w:rsidR="00F47685" w:rsidRDefault="00F47685" w:rsidP="00F47685">
      <w:pPr>
        <w:pStyle w:val="Caption"/>
        <w:keepNext/>
      </w:pPr>
      <w:bookmarkStart w:id="182" w:name="_Toc184808560"/>
      <w:r>
        <w:t xml:space="preserve">Table </w:t>
      </w:r>
      <w:r>
        <w:fldChar w:fldCharType="begin"/>
      </w:r>
      <w:r>
        <w:instrText xml:space="preserve"> SEQ Table \* ARABIC </w:instrText>
      </w:r>
      <w:r>
        <w:fldChar w:fldCharType="separate"/>
      </w:r>
      <w:r w:rsidR="00F14C78">
        <w:rPr>
          <w:noProof/>
        </w:rPr>
        <w:t>18</w:t>
      </w:r>
      <w:r>
        <w:fldChar w:fldCharType="end"/>
      </w:r>
      <w:r>
        <w:t>: Country-specific CO</w:t>
      </w:r>
      <w:r w:rsidRPr="00622F40">
        <w:rPr>
          <w:vertAlign w:val="subscript"/>
        </w:rPr>
        <w:t>2</w:t>
      </w:r>
      <w:r>
        <w:t xml:space="preserve"> emission factor used in the Serbian inventory for lignite burned in TPPs</w:t>
      </w:r>
      <w:bookmarkEnd w:id="182"/>
    </w:p>
    <w:tbl>
      <w:tblPr>
        <w:tblW w:w="2400" w:type="dxa"/>
        <w:jc w:val="center"/>
        <w:tblCellMar>
          <w:left w:w="70" w:type="dxa"/>
          <w:right w:w="70" w:type="dxa"/>
        </w:tblCellMar>
        <w:tblLook w:val="04A0" w:firstRow="1" w:lastRow="0" w:firstColumn="1" w:lastColumn="0" w:noHBand="0" w:noVBand="1"/>
      </w:tblPr>
      <w:tblGrid>
        <w:gridCol w:w="1200"/>
        <w:gridCol w:w="1200"/>
      </w:tblGrid>
      <w:tr w:rsidR="00481645" w:rsidRPr="00481645" w14:paraId="2CCBEC80" w14:textId="77777777" w:rsidTr="001C54FC">
        <w:trPr>
          <w:trHeight w:val="450"/>
          <w:jc w:val="center"/>
        </w:trPr>
        <w:tc>
          <w:tcPr>
            <w:tcW w:w="1200" w:type="dxa"/>
            <w:tcBorders>
              <w:top w:val="single" w:sz="4" w:space="0" w:color="auto"/>
              <w:left w:val="single" w:sz="4" w:space="0" w:color="auto"/>
              <w:bottom w:val="single" w:sz="4" w:space="0" w:color="auto"/>
              <w:right w:val="nil"/>
            </w:tcBorders>
            <w:shd w:val="clear" w:color="auto" w:fill="C6D9F1" w:themeFill="text2" w:themeFillTint="33"/>
            <w:noWrap/>
            <w:vAlign w:val="bottom"/>
            <w:hideMark/>
          </w:tcPr>
          <w:p w14:paraId="0BB79235" w14:textId="77777777" w:rsidR="00481645" w:rsidRPr="00622F40" w:rsidRDefault="00481645" w:rsidP="00481645">
            <w:pPr>
              <w:spacing w:after="0" w:line="240" w:lineRule="auto"/>
              <w:jc w:val="left"/>
              <w:rPr>
                <w:rFonts w:eastAsia="Times New Roman" w:cstheme="minorHAnsi"/>
                <w:szCs w:val="20"/>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70C1EA"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EF CO</w:t>
            </w:r>
            <w:r w:rsidRPr="00622F40">
              <w:rPr>
                <w:rFonts w:eastAsia="Times New Roman" w:cstheme="minorHAnsi"/>
                <w:szCs w:val="20"/>
                <w:vertAlign w:val="subscript"/>
                <w:lang w:val="fr-FR" w:eastAsia="fr-FR"/>
              </w:rPr>
              <w:t>2</w:t>
            </w:r>
            <w:r w:rsidRPr="00622F40">
              <w:rPr>
                <w:rFonts w:eastAsia="Times New Roman" w:cstheme="minorHAnsi"/>
                <w:szCs w:val="20"/>
                <w:lang w:val="fr-FR" w:eastAsia="fr-FR"/>
              </w:rPr>
              <w:br/>
              <w:t>(kg/GJ)</w:t>
            </w:r>
          </w:p>
        </w:tc>
      </w:tr>
      <w:tr w:rsidR="00481645" w:rsidRPr="00481645" w14:paraId="0C5790D5" w14:textId="77777777" w:rsidTr="001C54FC">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CB0B6"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1990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153F12A" w14:textId="6D4E1EB8"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57006035"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5BF42E"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1991</w:t>
            </w:r>
          </w:p>
        </w:tc>
        <w:tc>
          <w:tcPr>
            <w:tcW w:w="1200" w:type="dxa"/>
            <w:tcBorders>
              <w:top w:val="nil"/>
              <w:left w:val="nil"/>
              <w:bottom w:val="single" w:sz="4" w:space="0" w:color="auto"/>
              <w:right w:val="single" w:sz="4" w:space="0" w:color="auto"/>
            </w:tcBorders>
            <w:shd w:val="clear" w:color="auto" w:fill="auto"/>
            <w:noWrap/>
            <w:vAlign w:val="center"/>
            <w:hideMark/>
          </w:tcPr>
          <w:p w14:paraId="60B33B8C" w14:textId="5E44DCAD"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5E65664D"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77BA74"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1992</w:t>
            </w:r>
          </w:p>
        </w:tc>
        <w:tc>
          <w:tcPr>
            <w:tcW w:w="1200" w:type="dxa"/>
            <w:tcBorders>
              <w:top w:val="nil"/>
              <w:left w:val="nil"/>
              <w:bottom w:val="single" w:sz="4" w:space="0" w:color="auto"/>
              <w:right w:val="single" w:sz="4" w:space="0" w:color="auto"/>
            </w:tcBorders>
            <w:shd w:val="clear" w:color="auto" w:fill="auto"/>
            <w:noWrap/>
            <w:vAlign w:val="center"/>
            <w:hideMark/>
          </w:tcPr>
          <w:p w14:paraId="4038CEE1" w14:textId="38CD33B9"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7DFE8E0A"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128CA2"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1993</w:t>
            </w:r>
          </w:p>
        </w:tc>
        <w:tc>
          <w:tcPr>
            <w:tcW w:w="1200" w:type="dxa"/>
            <w:tcBorders>
              <w:top w:val="nil"/>
              <w:left w:val="nil"/>
              <w:bottom w:val="single" w:sz="4" w:space="0" w:color="auto"/>
              <w:right w:val="single" w:sz="4" w:space="0" w:color="auto"/>
            </w:tcBorders>
            <w:shd w:val="clear" w:color="auto" w:fill="auto"/>
            <w:noWrap/>
            <w:vAlign w:val="center"/>
            <w:hideMark/>
          </w:tcPr>
          <w:p w14:paraId="29AA1BF0" w14:textId="20235569"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5B6B62D0"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9C1D41"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1994</w:t>
            </w:r>
          </w:p>
        </w:tc>
        <w:tc>
          <w:tcPr>
            <w:tcW w:w="1200" w:type="dxa"/>
            <w:tcBorders>
              <w:top w:val="nil"/>
              <w:left w:val="nil"/>
              <w:bottom w:val="single" w:sz="4" w:space="0" w:color="auto"/>
              <w:right w:val="single" w:sz="4" w:space="0" w:color="auto"/>
            </w:tcBorders>
            <w:shd w:val="clear" w:color="auto" w:fill="auto"/>
            <w:noWrap/>
            <w:vAlign w:val="center"/>
            <w:hideMark/>
          </w:tcPr>
          <w:p w14:paraId="651B17C2" w14:textId="69A2933C"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3D26E299"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BAB0A3"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1995</w:t>
            </w:r>
          </w:p>
        </w:tc>
        <w:tc>
          <w:tcPr>
            <w:tcW w:w="1200" w:type="dxa"/>
            <w:tcBorders>
              <w:top w:val="nil"/>
              <w:left w:val="nil"/>
              <w:bottom w:val="single" w:sz="4" w:space="0" w:color="auto"/>
              <w:right w:val="single" w:sz="4" w:space="0" w:color="auto"/>
            </w:tcBorders>
            <w:shd w:val="clear" w:color="auto" w:fill="auto"/>
            <w:noWrap/>
            <w:vAlign w:val="center"/>
            <w:hideMark/>
          </w:tcPr>
          <w:p w14:paraId="32172659" w14:textId="55195A27"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4F1347D7"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CFDF40"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1996</w:t>
            </w:r>
          </w:p>
        </w:tc>
        <w:tc>
          <w:tcPr>
            <w:tcW w:w="1200" w:type="dxa"/>
            <w:tcBorders>
              <w:top w:val="nil"/>
              <w:left w:val="nil"/>
              <w:bottom w:val="single" w:sz="4" w:space="0" w:color="auto"/>
              <w:right w:val="single" w:sz="4" w:space="0" w:color="auto"/>
            </w:tcBorders>
            <w:shd w:val="clear" w:color="auto" w:fill="auto"/>
            <w:noWrap/>
            <w:vAlign w:val="center"/>
            <w:hideMark/>
          </w:tcPr>
          <w:p w14:paraId="1CB461A9" w14:textId="6607CD9D"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022D61B5"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B7ECD5"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1997</w:t>
            </w:r>
          </w:p>
        </w:tc>
        <w:tc>
          <w:tcPr>
            <w:tcW w:w="1200" w:type="dxa"/>
            <w:tcBorders>
              <w:top w:val="nil"/>
              <w:left w:val="nil"/>
              <w:bottom w:val="single" w:sz="4" w:space="0" w:color="auto"/>
              <w:right w:val="single" w:sz="4" w:space="0" w:color="auto"/>
            </w:tcBorders>
            <w:shd w:val="clear" w:color="auto" w:fill="auto"/>
            <w:noWrap/>
            <w:vAlign w:val="center"/>
            <w:hideMark/>
          </w:tcPr>
          <w:p w14:paraId="7805662A" w14:textId="2F325725"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6C47221A"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0A0764"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1998</w:t>
            </w:r>
          </w:p>
        </w:tc>
        <w:tc>
          <w:tcPr>
            <w:tcW w:w="1200" w:type="dxa"/>
            <w:tcBorders>
              <w:top w:val="nil"/>
              <w:left w:val="nil"/>
              <w:bottom w:val="single" w:sz="4" w:space="0" w:color="auto"/>
              <w:right w:val="single" w:sz="4" w:space="0" w:color="auto"/>
            </w:tcBorders>
            <w:shd w:val="clear" w:color="auto" w:fill="auto"/>
            <w:noWrap/>
            <w:vAlign w:val="center"/>
            <w:hideMark/>
          </w:tcPr>
          <w:p w14:paraId="75CA485E" w14:textId="4921AE65"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39A35AA5"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FF42545"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1999</w:t>
            </w:r>
          </w:p>
        </w:tc>
        <w:tc>
          <w:tcPr>
            <w:tcW w:w="1200" w:type="dxa"/>
            <w:tcBorders>
              <w:top w:val="nil"/>
              <w:left w:val="nil"/>
              <w:bottom w:val="single" w:sz="4" w:space="0" w:color="auto"/>
              <w:right w:val="single" w:sz="4" w:space="0" w:color="auto"/>
            </w:tcBorders>
            <w:shd w:val="clear" w:color="auto" w:fill="auto"/>
            <w:noWrap/>
            <w:vAlign w:val="center"/>
            <w:hideMark/>
          </w:tcPr>
          <w:p w14:paraId="5446C293" w14:textId="368CFDBA"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175DF231"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D92C3B"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2000</w:t>
            </w:r>
          </w:p>
        </w:tc>
        <w:tc>
          <w:tcPr>
            <w:tcW w:w="1200" w:type="dxa"/>
            <w:tcBorders>
              <w:top w:val="nil"/>
              <w:left w:val="nil"/>
              <w:bottom w:val="single" w:sz="4" w:space="0" w:color="auto"/>
              <w:right w:val="single" w:sz="4" w:space="0" w:color="auto"/>
            </w:tcBorders>
            <w:shd w:val="clear" w:color="auto" w:fill="auto"/>
            <w:noWrap/>
            <w:vAlign w:val="center"/>
            <w:hideMark/>
          </w:tcPr>
          <w:p w14:paraId="0882A76F" w14:textId="301EE73E"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7D795010"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21035E"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2001</w:t>
            </w:r>
          </w:p>
        </w:tc>
        <w:tc>
          <w:tcPr>
            <w:tcW w:w="1200" w:type="dxa"/>
            <w:tcBorders>
              <w:top w:val="nil"/>
              <w:left w:val="nil"/>
              <w:bottom w:val="single" w:sz="4" w:space="0" w:color="auto"/>
              <w:right w:val="single" w:sz="4" w:space="0" w:color="auto"/>
            </w:tcBorders>
            <w:shd w:val="clear" w:color="auto" w:fill="auto"/>
            <w:noWrap/>
            <w:vAlign w:val="center"/>
            <w:hideMark/>
          </w:tcPr>
          <w:p w14:paraId="2F8ADE27" w14:textId="2DD34E61"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5A5A4E25"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01641C"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2002</w:t>
            </w:r>
          </w:p>
        </w:tc>
        <w:tc>
          <w:tcPr>
            <w:tcW w:w="1200" w:type="dxa"/>
            <w:tcBorders>
              <w:top w:val="nil"/>
              <w:left w:val="nil"/>
              <w:bottom w:val="single" w:sz="4" w:space="0" w:color="auto"/>
              <w:right w:val="single" w:sz="4" w:space="0" w:color="auto"/>
            </w:tcBorders>
            <w:shd w:val="clear" w:color="auto" w:fill="auto"/>
            <w:noWrap/>
            <w:vAlign w:val="center"/>
            <w:hideMark/>
          </w:tcPr>
          <w:p w14:paraId="7A6A4808" w14:textId="31D9E9F3"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3B2D83DA"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74C95E"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2003</w:t>
            </w:r>
          </w:p>
        </w:tc>
        <w:tc>
          <w:tcPr>
            <w:tcW w:w="1200" w:type="dxa"/>
            <w:tcBorders>
              <w:top w:val="nil"/>
              <w:left w:val="nil"/>
              <w:bottom w:val="single" w:sz="4" w:space="0" w:color="auto"/>
              <w:right w:val="single" w:sz="4" w:space="0" w:color="auto"/>
            </w:tcBorders>
            <w:shd w:val="clear" w:color="auto" w:fill="auto"/>
            <w:noWrap/>
            <w:vAlign w:val="center"/>
            <w:hideMark/>
          </w:tcPr>
          <w:p w14:paraId="7C5DF283" w14:textId="2440C2B5"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6045C2F6"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280A33"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2004</w:t>
            </w:r>
          </w:p>
        </w:tc>
        <w:tc>
          <w:tcPr>
            <w:tcW w:w="1200" w:type="dxa"/>
            <w:tcBorders>
              <w:top w:val="nil"/>
              <w:left w:val="nil"/>
              <w:bottom w:val="single" w:sz="4" w:space="0" w:color="auto"/>
              <w:right w:val="single" w:sz="4" w:space="0" w:color="auto"/>
            </w:tcBorders>
            <w:shd w:val="clear" w:color="auto" w:fill="auto"/>
            <w:noWrap/>
            <w:vAlign w:val="center"/>
            <w:hideMark/>
          </w:tcPr>
          <w:p w14:paraId="071C35BA" w14:textId="68B1E26B"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2B2051AE"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553F84"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2005</w:t>
            </w:r>
          </w:p>
        </w:tc>
        <w:tc>
          <w:tcPr>
            <w:tcW w:w="1200" w:type="dxa"/>
            <w:tcBorders>
              <w:top w:val="nil"/>
              <w:left w:val="nil"/>
              <w:bottom w:val="single" w:sz="4" w:space="0" w:color="auto"/>
              <w:right w:val="single" w:sz="4" w:space="0" w:color="auto"/>
            </w:tcBorders>
            <w:shd w:val="clear" w:color="auto" w:fill="auto"/>
            <w:noWrap/>
            <w:vAlign w:val="center"/>
            <w:hideMark/>
          </w:tcPr>
          <w:p w14:paraId="3472973A" w14:textId="6790976E"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6DFBAA67"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EA503D"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2006</w:t>
            </w:r>
          </w:p>
        </w:tc>
        <w:tc>
          <w:tcPr>
            <w:tcW w:w="1200" w:type="dxa"/>
            <w:tcBorders>
              <w:top w:val="nil"/>
              <w:left w:val="nil"/>
              <w:bottom w:val="single" w:sz="4" w:space="0" w:color="auto"/>
              <w:right w:val="single" w:sz="4" w:space="0" w:color="auto"/>
            </w:tcBorders>
            <w:shd w:val="clear" w:color="auto" w:fill="auto"/>
            <w:noWrap/>
            <w:vAlign w:val="center"/>
            <w:hideMark/>
          </w:tcPr>
          <w:p w14:paraId="6514E756" w14:textId="0944D0B5"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02F7823F"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AC51B4A"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2007</w:t>
            </w:r>
          </w:p>
        </w:tc>
        <w:tc>
          <w:tcPr>
            <w:tcW w:w="1200" w:type="dxa"/>
            <w:tcBorders>
              <w:top w:val="nil"/>
              <w:left w:val="nil"/>
              <w:bottom w:val="single" w:sz="4" w:space="0" w:color="auto"/>
              <w:right w:val="single" w:sz="4" w:space="0" w:color="auto"/>
            </w:tcBorders>
            <w:shd w:val="clear" w:color="auto" w:fill="auto"/>
            <w:noWrap/>
            <w:vAlign w:val="center"/>
            <w:hideMark/>
          </w:tcPr>
          <w:p w14:paraId="26B4D90D" w14:textId="274E3668"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625105A8"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4C590A"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2008</w:t>
            </w:r>
          </w:p>
        </w:tc>
        <w:tc>
          <w:tcPr>
            <w:tcW w:w="1200" w:type="dxa"/>
            <w:tcBorders>
              <w:top w:val="nil"/>
              <w:left w:val="nil"/>
              <w:bottom w:val="single" w:sz="4" w:space="0" w:color="auto"/>
              <w:right w:val="single" w:sz="4" w:space="0" w:color="auto"/>
            </w:tcBorders>
            <w:shd w:val="clear" w:color="auto" w:fill="auto"/>
            <w:noWrap/>
            <w:vAlign w:val="center"/>
            <w:hideMark/>
          </w:tcPr>
          <w:p w14:paraId="4800D0A4" w14:textId="10D4C2F7"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106</w:t>
            </w:r>
            <w:r>
              <w:rPr>
                <w:rFonts w:eastAsia="Times New Roman" w:cstheme="minorHAnsi"/>
                <w:szCs w:val="20"/>
                <w:lang w:val="fr-FR" w:eastAsia="fr-FR"/>
              </w:rPr>
              <w:t>.</w:t>
            </w:r>
            <w:r w:rsidRPr="00622F40">
              <w:rPr>
                <w:rFonts w:eastAsia="Times New Roman" w:cstheme="minorHAnsi"/>
                <w:szCs w:val="20"/>
                <w:lang w:val="fr-FR" w:eastAsia="fr-FR"/>
              </w:rPr>
              <w:t>95</w:t>
            </w:r>
          </w:p>
        </w:tc>
      </w:tr>
      <w:tr w:rsidR="00481645" w:rsidRPr="00481645" w14:paraId="55B93CFE"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52F551"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2009</w:t>
            </w:r>
          </w:p>
        </w:tc>
        <w:tc>
          <w:tcPr>
            <w:tcW w:w="1200" w:type="dxa"/>
            <w:tcBorders>
              <w:top w:val="nil"/>
              <w:left w:val="nil"/>
              <w:bottom w:val="single" w:sz="4" w:space="0" w:color="auto"/>
              <w:right w:val="single" w:sz="4" w:space="0" w:color="auto"/>
            </w:tcBorders>
            <w:shd w:val="clear" w:color="auto" w:fill="auto"/>
            <w:noWrap/>
            <w:vAlign w:val="center"/>
            <w:hideMark/>
          </w:tcPr>
          <w:p w14:paraId="5E9A04DB" w14:textId="6424A07A"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108</w:t>
            </w:r>
            <w:r>
              <w:rPr>
                <w:rFonts w:eastAsia="Times New Roman" w:cstheme="minorHAnsi"/>
                <w:szCs w:val="20"/>
                <w:lang w:val="fr-FR" w:eastAsia="fr-FR"/>
              </w:rPr>
              <w:t>.</w:t>
            </w:r>
            <w:r w:rsidRPr="00622F40">
              <w:rPr>
                <w:rFonts w:eastAsia="Times New Roman" w:cstheme="minorHAnsi"/>
                <w:szCs w:val="20"/>
                <w:lang w:val="fr-FR" w:eastAsia="fr-FR"/>
              </w:rPr>
              <w:t>99</w:t>
            </w:r>
          </w:p>
        </w:tc>
      </w:tr>
      <w:tr w:rsidR="00481645" w:rsidRPr="00481645" w14:paraId="632448AF"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65CAA5"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2010</w:t>
            </w:r>
          </w:p>
        </w:tc>
        <w:tc>
          <w:tcPr>
            <w:tcW w:w="1200" w:type="dxa"/>
            <w:tcBorders>
              <w:top w:val="nil"/>
              <w:left w:val="nil"/>
              <w:bottom w:val="single" w:sz="4" w:space="0" w:color="auto"/>
              <w:right w:val="single" w:sz="4" w:space="0" w:color="auto"/>
            </w:tcBorders>
            <w:shd w:val="clear" w:color="auto" w:fill="auto"/>
            <w:noWrap/>
            <w:vAlign w:val="center"/>
            <w:hideMark/>
          </w:tcPr>
          <w:p w14:paraId="621BE4C5" w14:textId="238E7FAF"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109</w:t>
            </w:r>
            <w:r>
              <w:rPr>
                <w:rFonts w:eastAsia="Times New Roman" w:cstheme="minorHAnsi"/>
                <w:szCs w:val="20"/>
                <w:lang w:val="fr-FR" w:eastAsia="fr-FR"/>
              </w:rPr>
              <w:t>.</w:t>
            </w:r>
            <w:r w:rsidRPr="00622F40">
              <w:rPr>
                <w:rFonts w:eastAsia="Times New Roman" w:cstheme="minorHAnsi"/>
                <w:szCs w:val="20"/>
                <w:lang w:val="fr-FR" w:eastAsia="fr-FR"/>
              </w:rPr>
              <w:t>81</w:t>
            </w:r>
          </w:p>
        </w:tc>
      </w:tr>
      <w:tr w:rsidR="00481645" w:rsidRPr="00481645" w14:paraId="756C7637"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0549BB"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2011</w:t>
            </w:r>
          </w:p>
        </w:tc>
        <w:tc>
          <w:tcPr>
            <w:tcW w:w="1200" w:type="dxa"/>
            <w:tcBorders>
              <w:top w:val="nil"/>
              <w:left w:val="nil"/>
              <w:bottom w:val="single" w:sz="4" w:space="0" w:color="auto"/>
              <w:right w:val="single" w:sz="4" w:space="0" w:color="auto"/>
            </w:tcBorders>
            <w:shd w:val="clear" w:color="auto" w:fill="auto"/>
            <w:noWrap/>
            <w:vAlign w:val="center"/>
            <w:hideMark/>
          </w:tcPr>
          <w:p w14:paraId="1FEA2A7B" w14:textId="2138FB0D"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109</w:t>
            </w:r>
            <w:r>
              <w:rPr>
                <w:rFonts w:eastAsia="Times New Roman" w:cstheme="minorHAnsi"/>
                <w:szCs w:val="20"/>
                <w:lang w:val="fr-FR" w:eastAsia="fr-FR"/>
              </w:rPr>
              <w:t>.</w:t>
            </w:r>
            <w:r w:rsidRPr="00622F40">
              <w:rPr>
                <w:rFonts w:eastAsia="Times New Roman" w:cstheme="minorHAnsi"/>
                <w:szCs w:val="20"/>
                <w:lang w:val="fr-FR" w:eastAsia="fr-FR"/>
              </w:rPr>
              <w:t>71</w:t>
            </w:r>
          </w:p>
        </w:tc>
      </w:tr>
      <w:tr w:rsidR="00481645" w:rsidRPr="00481645" w14:paraId="22A47572"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002266"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2012</w:t>
            </w:r>
          </w:p>
        </w:tc>
        <w:tc>
          <w:tcPr>
            <w:tcW w:w="1200" w:type="dxa"/>
            <w:tcBorders>
              <w:top w:val="nil"/>
              <w:left w:val="nil"/>
              <w:bottom w:val="single" w:sz="4" w:space="0" w:color="auto"/>
              <w:right w:val="single" w:sz="4" w:space="0" w:color="auto"/>
            </w:tcBorders>
            <w:shd w:val="clear" w:color="auto" w:fill="auto"/>
            <w:noWrap/>
            <w:vAlign w:val="center"/>
            <w:hideMark/>
          </w:tcPr>
          <w:p w14:paraId="69349E29" w14:textId="07B51B9A"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109</w:t>
            </w:r>
            <w:r>
              <w:rPr>
                <w:rFonts w:eastAsia="Times New Roman" w:cstheme="minorHAnsi"/>
                <w:szCs w:val="20"/>
                <w:lang w:val="fr-FR" w:eastAsia="fr-FR"/>
              </w:rPr>
              <w:t>.</w:t>
            </w:r>
            <w:r w:rsidRPr="00622F40">
              <w:rPr>
                <w:rFonts w:eastAsia="Times New Roman" w:cstheme="minorHAnsi"/>
                <w:szCs w:val="20"/>
                <w:lang w:val="fr-FR" w:eastAsia="fr-FR"/>
              </w:rPr>
              <w:t>53</w:t>
            </w:r>
          </w:p>
        </w:tc>
      </w:tr>
      <w:tr w:rsidR="00481645" w:rsidRPr="00481645" w14:paraId="2883F07E"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3A5522"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2013</w:t>
            </w:r>
          </w:p>
        </w:tc>
        <w:tc>
          <w:tcPr>
            <w:tcW w:w="1200" w:type="dxa"/>
            <w:tcBorders>
              <w:top w:val="nil"/>
              <w:left w:val="nil"/>
              <w:bottom w:val="single" w:sz="4" w:space="0" w:color="auto"/>
              <w:right w:val="single" w:sz="4" w:space="0" w:color="auto"/>
            </w:tcBorders>
            <w:shd w:val="clear" w:color="auto" w:fill="auto"/>
            <w:noWrap/>
            <w:vAlign w:val="center"/>
            <w:hideMark/>
          </w:tcPr>
          <w:p w14:paraId="4AE0AE1A" w14:textId="2BB696B4"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109</w:t>
            </w:r>
            <w:r>
              <w:rPr>
                <w:rFonts w:eastAsia="Times New Roman" w:cstheme="minorHAnsi"/>
                <w:szCs w:val="20"/>
                <w:lang w:val="fr-FR" w:eastAsia="fr-FR"/>
              </w:rPr>
              <w:t>.</w:t>
            </w:r>
            <w:r w:rsidRPr="00622F40">
              <w:rPr>
                <w:rFonts w:eastAsia="Times New Roman" w:cstheme="minorHAnsi"/>
                <w:szCs w:val="20"/>
                <w:lang w:val="fr-FR" w:eastAsia="fr-FR"/>
              </w:rPr>
              <w:t>37</w:t>
            </w:r>
          </w:p>
        </w:tc>
      </w:tr>
      <w:tr w:rsidR="00481645" w:rsidRPr="00481645" w14:paraId="7C79010C"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ADCB77"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2014</w:t>
            </w:r>
          </w:p>
        </w:tc>
        <w:tc>
          <w:tcPr>
            <w:tcW w:w="1200" w:type="dxa"/>
            <w:tcBorders>
              <w:top w:val="nil"/>
              <w:left w:val="nil"/>
              <w:bottom w:val="single" w:sz="4" w:space="0" w:color="auto"/>
              <w:right w:val="single" w:sz="4" w:space="0" w:color="auto"/>
            </w:tcBorders>
            <w:shd w:val="clear" w:color="auto" w:fill="auto"/>
            <w:noWrap/>
            <w:vAlign w:val="center"/>
            <w:hideMark/>
          </w:tcPr>
          <w:p w14:paraId="6E638F2F" w14:textId="698EE666"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108</w:t>
            </w:r>
            <w:r>
              <w:rPr>
                <w:rFonts w:eastAsia="Times New Roman" w:cstheme="minorHAnsi"/>
                <w:szCs w:val="20"/>
                <w:lang w:val="fr-FR" w:eastAsia="fr-FR"/>
              </w:rPr>
              <w:t>.</w:t>
            </w:r>
            <w:r w:rsidRPr="00622F40">
              <w:rPr>
                <w:rFonts w:eastAsia="Times New Roman" w:cstheme="minorHAnsi"/>
                <w:szCs w:val="20"/>
                <w:lang w:val="fr-FR" w:eastAsia="fr-FR"/>
              </w:rPr>
              <w:t>93</w:t>
            </w:r>
          </w:p>
        </w:tc>
      </w:tr>
      <w:tr w:rsidR="00481645" w:rsidRPr="00481645" w14:paraId="2DC1225D"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2A16AE"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2015</w:t>
            </w:r>
          </w:p>
        </w:tc>
        <w:tc>
          <w:tcPr>
            <w:tcW w:w="1200" w:type="dxa"/>
            <w:tcBorders>
              <w:top w:val="nil"/>
              <w:left w:val="nil"/>
              <w:bottom w:val="single" w:sz="4" w:space="0" w:color="auto"/>
              <w:right w:val="single" w:sz="4" w:space="0" w:color="auto"/>
            </w:tcBorders>
            <w:shd w:val="clear" w:color="auto" w:fill="auto"/>
            <w:noWrap/>
            <w:vAlign w:val="center"/>
            <w:hideMark/>
          </w:tcPr>
          <w:p w14:paraId="6EB4EBA6" w14:textId="1F767035"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110</w:t>
            </w:r>
            <w:r>
              <w:rPr>
                <w:rFonts w:eastAsia="Times New Roman" w:cstheme="minorHAnsi"/>
                <w:szCs w:val="20"/>
                <w:lang w:val="fr-FR" w:eastAsia="fr-FR"/>
              </w:rPr>
              <w:t>.</w:t>
            </w:r>
            <w:r w:rsidRPr="00622F40">
              <w:rPr>
                <w:rFonts w:eastAsia="Times New Roman" w:cstheme="minorHAnsi"/>
                <w:szCs w:val="20"/>
                <w:lang w:val="fr-FR" w:eastAsia="fr-FR"/>
              </w:rPr>
              <w:t>40</w:t>
            </w:r>
          </w:p>
        </w:tc>
      </w:tr>
      <w:tr w:rsidR="00481645" w:rsidRPr="00481645" w14:paraId="7E4DFE0A"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50025B"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2016</w:t>
            </w:r>
          </w:p>
        </w:tc>
        <w:tc>
          <w:tcPr>
            <w:tcW w:w="1200" w:type="dxa"/>
            <w:tcBorders>
              <w:top w:val="nil"/>
              <w:left w:val="nil"/>
              <w:bottom w:val="single" w:sz="4" w:space="0" w:color="auto"/>
              <w:right w:val="single" w:sz="4" w:space="0" w:color="auto"/>
            </w:tcBorders>
            <w:shd w:val="clear" w:color="auto" w:fill="auto"/>
            <w:noWrap/>
            <w:vAlign w:val="center"/>
            <w:hideMark/>
          </w:tcPr>
          <w:p w14:paraId="49773C38" w14:textId="37D38E6A"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110</w:t>
            </w:r>
            <w:r>
              <w:rPr>
                <w:rFonts w:eastAsia="Times New Roman" w:cstheme="minorHAnsi"/>
                <w:szCs w:val="20"/>
                <w:lang w:val="fr-FR" w:eastAsia="fr-FR"/>
              </w:rPr>
              <w:t>.</w:t>
            </w:r>
            <w:r w:rsidRPr="00622F40">
              <w:rPr>
                <w:rFonts w:eastAsia="Times New Roman" w:cstheme="minorHAnsi"/>
                <w:szCs w:val="20"/>
                <w:lang w:val="fr-FR" w:eastAsia="fr-FR"/>
              </w:rPr>
              <w:t>40</w:t>
            </w:r>
          </w:p>
        </w:tc>
      </w:tr>
      <w:tr w:rsidR="00481645" w:rsidRPr="00481645" w14:paraId="481A65AB"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17D3B3"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2017</w:t>
            </w:r>
          </w:p>
        </w:tc>
        <w:tc>
          <w:tcPr>
            <w:tcW w:w="1200" w:type="dxa"/>
            <w:tcBorders>
              <w:top w:val="nil"/>
              <w:left w:val="nil"/>
              <w:bottom w:val="single" w:sz="4" w:space="0" w:color="auto"/>
              <w:right w:val="single" w:sz="4" w:space="0" w:color="auto"/>
            </w:tcBorders>
            <w:shd w:val="clear" w:color="auto" w:fill="auto"/>
            <w:noWrap/>
            <w:vAlign w:val="center"/>
            <w:hideMark/>
          </w:tcPr>
          <w:p w14:paraId="5A213C7D" w14:textId="2F90EFF0"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110</w:t>
            </w:r>
            <w:r>
              <w:rPr>
                <w:rFonts w:eastAsia="Times New Roman" w:cstheme="minorHAnsi"/>
                <w:szCs w:val="20"/>
                <w:lang w:val="fr-FR" w:eastAsia="fr-FR"/>
              </w:rPr>
              <w:t>.</w:t>
            </w:r>
            <w:r w:rsidRPr="00622F40">
              <w:rPr>
                <w:rFonts w:eastAsia="Times New Roman" w:cstheme="minorHAnsi"/>
                <w:szCs w:val="20"/>
                <w:lang w:val="fr-FR" w:eastAsia="fr-FR"/>
              </w:rPr>
              <w:t>40</w:t>
            </w:r>
          </w:p>
        </w:tc>
      </w:tr>
      <w:tr w:rsidR="00481645" w:rsidRPr="00481645" w14:paraId="45019DD0"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BB3E4B"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2018</w:t>
            </w:r>
          </w:p>
        </w:tc>
        <w:tc>
          <w:tcPr>
            <w:tcW w:w="1200" w:type="dxa"/>
            <w:tcBorders>
              <w:top w:val="nil"/>
              <w:left w:val="nil"/>
              <w:bottom w:val="single" w:sz="4" w:space="0" w:color="auto"/>
              <w:right w:val="single" w:sz="4" w:space="0" w:color="auto"/>
            </w:tcBorders>
            <w:shd w:val="clear" w:color="auto" w:fill="auto"/>
            <w:noWrap/>
            <w:vAlign w:val="center"/>
            <w:hideMark/>
          </w:tcPr>
          <w:p w14:paraId="25518FAD" w14:textId="60DB6295"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110</w:t>
            </w:r>
            <w:r>
              <w:rPr>
                <w:rFonts w:eastAsia="Times New Roman" w:cstheme="minorHAnsi"/>
                <w:szCs w:val="20"/>
                <w:lang w:val="fr-FR" w:eastAsia="fr-FR"/>
              </w:rPr>
              <w:t>.</w:t>
            </w:r>
            <w:r w:rsidRPr="00622F40">
              <w:rPr>
                <w:rFonts w:eastAsia="Times New Roman" w:cstheme="minorHAnsi"/>
                <w:szCs w:val="20"/>
                <w:lang w:val="fr-FR" w:eastAsia="fr-FR"/>
              </w:rPr>
              <w:t>40</w:t>
            </w:r>
          </w:p>
        </w:tc>
      </w:tr>
      <w:tr w:rsidR="00481645" w:rsidRPr="00481645" w14:paraId="0972D09D"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A1016B7"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2019</w:t>
            </w:r>
          </w:p>
        </w:tc>
        <w:tc>
          <w:tcPr>
            <w:tcW w:w="1200" w:type="dxa"/>
            <w:tcBorders>
              <w:top w:val="nil"/>
              <w:left w:val="nil"/>
              <w:bottom w:val="single" w:sz="4" w:space="0" w:color="auto"/>
              <w:right w:val="single" w:sz="4" w:space="0" w:color="auto"/>
            </w:tcBorders>
            <w:shd w:val="clear" w:color="auto" w:fill="auto"/>
            <w:noWrap/>
            <w:vAlign w:val="center"/>
            <w:hideMark/>
          </w:tcPr>
          <w:p w14:paraId="064468BD" w14:textId="5232BBE7"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111</w:t>
            </w:r>
            <w:r>
              <w:rPr>
                <w:rFonts w:eastAsia="Times New Roman" w:cstheme="minorHAnsi"/>
                <w:szCs w:val="20"/>
                <w:lang w:val="fr-FR" w:eastAsia="fr-FR"/>
              </w:rPr>
              <w:t>.</w:t>
            </w:r>
            <w:r w:rsidRPr="00622F40">
              <w:rPr>
                <w:rFonts w:eastAsia="Times New Roman" w:cstheme="minorHAnsi"/>
                <w:szCs w:val="20"/>
                <w:lang w:val="fr-FR" w:eastAsia="fr-FR"/>
              </w:rPr>
              <w:t>49</w:t>
            </w:r>
          </w:p>
        </w:tc>
      </w:tr>
      <w:tr w:rsidR="00481645" w:rsidRPr="00481645" w14:paraId="2E25F0FA"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B9C21F"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2020</w:t>
            </w:r>
          </w:p>
        </w:tc>
        <w:tc>
          <w:tcPr>
            <w:tcW w:w="1200" w:type="dxa"/>
            <w:tcBorders>
              <w:top w:val="nil"/>
              <w:left w:val="nil"/>
              <w:bottom w:val="single" w:sz="4" w:space="0" w:color="auto"/>
              <w:right w:val="single" w:sz="4" w:space="0" w:color="auto"/>
            </w:tcBorders>
            <w:shd w:val="clear" w:color="auto" w:fill="auto"/>
            <w:noWrap/>
            <w:vAlign w:val="center"/>
            <w:hideMark/>
          </w:tcPr>
          <w:p w14:paraId="3558E3BF" w14:textId="09C2347B"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111</w:t>
            </w:r>
            <w:r>
              <w:rPr>
                <w:rFonts w:eastAsia="Times New Roman" w:cstheme="minorHAnsi"/>
                <w:szCs w:val="20"/>
                <w:lang w:val="fr-FR" w:eastAsia="fr-FR"/>
              </w:rPr>
              <w:t>.</w:t>
            </w:r>
            <w:r w:rsidRPr="00622F40">
              <w:rPr>
                <w:rFonts w:eastAsia="Times New Roman" w:cstheme="minorHAnsi"/>
                <w:szCs w:val="20"/>
                <w:lang w:val="fr-FR" w:eastAsia="fr-FR"/>
              </w:rPr>
              <w:t>49</w:t>
            </w:r>
          </w:p>
        </w:tc>
      </w:tr>
      <w:tr w:rsidR="00481645" w:rsidRPr="00481645" w14:paraId="39615EC3"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9A7174"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2021</w:t>
            </w:r>
          </w:p>
        </w:tc>
        <w:tc>
          <w:tcPr>
            <w:tcW w:w="1200" w:type="dxa"/>
            <w:tcBorders>
              <w:top w:val="nil"/>
              <w:left w:val="nil"/>
              <w:bottom w:val="single" w:sz="4" w:space="0" w:color="auto"/>
              <w:right w:val="single" w:sz="4" w:space="0" w:color="auto"/>
            </w:tcBorders>
            <w:shd w:val="clear" w:color="auto" w:fill="auto"/>
            <w:noWrap/>
            <w:vAlign w:val="center"/>
            <w:hideMark/>
          </w:tcPr>
          <w:p w14:paraId="3FFF1F52" w14:textId="69DA29BD"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111</w:t>
            </w:r>
            <w:r>
              <w:rPr>
                <w:rFonts w:eastAsia="Times New Roman" w:cstheme="minorHAnsi"/>
                <w:szCs w:val="20"/>
                <w:lang w:val="fr-FR" w:eastAsia="fr-FR"/>
              </w:rPr>
              <w:t>.</w:t>
            </w:r>
            <w:r w:rsidRPr="00622F40">
              <w:rPr>
                <w:rFonts w:eastAsia="Times New Roman" w:cstheme="minorHAnsi"/>
                <w:szCs w:val="20"/>
                <w:lang w:val="fr-FR" w:eastAsia="fr-FR"/>
              </w:rPr>
              <w:t>49</w:t>
            </w:r>
          </w:p>
        </w:tc>
      </w:tr>
      <w:tr w:rsidR="00481645" w:rsidRPr="00481645" w14:paraId="3DBD68BA" w14:textId="77777777" w:rsidTr="00622F40">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7D3934" w14:textId="77777777" w:rsidR="00481645" w:rsidRPr="00622F40" w:rsidRDefault="00481645" w:rsidP="00481645">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2022</w:t>
            </w:r>
          </w:p>
        </w:tc>
        <w:tc>
          <w:tcPr>
            <w:tcW w:w="1200" w:type="dxa"/>
            <w:tcBorders>
              <w:top w:val="nil"/>
              <w:left w:val="nil"/>
              <w:bottom w:val="single" w:sz="4" w:space="0" w:color="auto"/>
              <w:right w:val="single" w:sz="4" w:space="0" w:color="auto"/>
            </w:tcBorders>
            <w:shd w:val="clear" w:color="auto" w:fill="auto"/>
            <w:noWrap/>
            <w:vAlign w:val="center"/>
            <w:hideMark/>
          </w:tcPr>
          <w:p w14:paraId="4A085BFA" w14:textId="5AD59A08" w:rsidR="00481645" w:rsidRPr="00622F40" w:rsidRDefault="00481645" w:rsidP="00622F40">
            <w:pPr>
              <w:spacing w:after="0" w:line="240" w:lineRule="auto"/>
              <w:jc w:val="center"/>
              <w:rPr>
                <w:rFonts w:eastAsia="Times New Roman" w:cstheme="minorHAnsi"/>
                <w:szCs w:val="20"/>
                <w:lang w:val="fr-FR" w:eastAsia="fr-FR"/>
              </w:rPr>
            </w:pPr>
            <w:r w:rsidRPr="00622F40">
              <w:rPr>
                <w:rFonts w:eastAsia="Times New Roman" w:cstheme="minorHAnsi"/>
                <w:szCs w:val="20"/>
                <w:lang w:val="fr-FR" w:eastAsia="fr-FR"/>
              </w:rPr>
              <w:t>111</w:t>
            </w:r>
            <w:r>
              <w:rPr>
                <w:rFonts w:eastAsia="Times New Roman" w:cstheme="minorHAnsi"/>
                <w:szCs w:val="20"/>
                <w:lang w:val="fr-FR" w:eastAsia="fr-FR"/>
              </w:rPr>
              <w:t>.</w:t>
            </w:r>
            <w:r w:rsidRPr="00622F40">
              <w:rPr>
                <w:rFonts w:eastAsia="Times New Roman" w:cstheme="minorHAnsi"/>
                <w:szCs w:val="20"/>
                <w:lang w:val="fr-FR" w:eastAsia="fr-FR"/>
              </w:rPr>
              <w:t>49</w:t>
            </w:r>
          </w:p>
        </w:tc>
      </w:tr>
    </w:tbl>
    <w:p w14:paraId="3F594D56" w14:textId="77777777" w:rsidR="00F47685" w:rsidRDefault="00F47685" w:rsidP="00DA643B">
      <w:pPr>
        <w:rPr>
          <w:rFonts w:eastAsia="Calibri" w:cs="Times New Roman"/>
          <w:szCs w:val="20"/>
        </w:rPr>
      </w:pPr>
    </w:p>
    <w:p w14:paraId="2C2663F1" w14:textId="42F87AE1" w:rsidR="00D53F8F" w:rsidRPr="002462F0" w:rsidRDefault="00D53F8F" w:rsidP="00D53F8F">
      <w:pPr>
        <w:pStyle w:val="Heading3"/>
        <w:rPr>
          <w:lang w:val="en-GB" w:eastAsia="fr-FR"/>
        </w:rPr>
      </w:pPr>
      <w:bookmarkStart w:id="183" w:name="_Toc182327728"/>
      <w:bookmarkStart w:id="184" w:name="_Toc184808171"/>
      <w:r w:rsidRPr="002462F0">
        <w:rPr>
          <w:lang w:val="en-GB" w:eastAsia="fr-FR"/>
        </w:rPr>
        <w:lastRenderedPageBreak/>
        <w:t>Energy industries (</w:t>
      </w:r>
      <w:r w:rsidR="000F6001">
        <w:rPr>
          <w:lang w:val="en-GB" w:eastAsia="fr-FR"/>
        </w:rPr>
        <w:t>CRT</w:t>
      </w:r>
      <w:r w:rsidRPr="002462F0">
        <w:rPr>
          <w:lang w:val="en-GB" w:eastAsia="fr-FR"/>
        </w:rPr>
        <w:t xml:space="preserve"> 1A1)</w:t>
      </w:r>
      <w:bookmarkEnd w:id="178"/>
      <w:bookmarkEnd w:id="183"/>
      <w:bookmarkEnd w:id="184"/>
    </w:p>
    <w:p w14:paraId="1EBBF027" w14:textId="01CB01E4" w:rsidR="004E5997" w:rsidRPr="00E21450" w:rsidRDefault="00686F36" w:rsidP="00686F36">
      <w:pPr>
        <w:rPr>
          <w:lang w:eastAsia="fr-FR"/>
        </w:rPr>
      </w:pPr>
      <w:bookmarkStart w:id="185" w:name="_Hlk496711053"/>
      <w:r w:rsidRPr="00E21450">
        <w:rPr>
          <w:lang w:eastAsia="fr-FR"/>
        </w:rPr>
        <w:t xml:space="preserve">In </w:t>
      </w:r>
      <w:r w:rsidR="00155804">
        <w:rPr>
          <w:lang w:eastAsia="fr-FR"/>
        </w:rPr>
        <w:t xml:space="preserve">the Republic of </w:t>
      </w:r>
      <w:r w:rsidRPr="00E21450">
        <w:rPr>
          <w:lang w:eastAsia="fr-FR"/>
        </w:rPr>
        <w:t xml:space="preserve">Serbia, the energy industries </w:t>
      </w:r>
      <w:r w:rsidR="00D22F21" w:rsidRPr="00E21450">
        <w:rPr>
          <w:lang w:eastAsia="fr-FR"/>
        </w:rPr>
        <w:t xml:space="preserve">sector </w:t>
      </w:r>
      <w:r w:rsidRPr="00E21450">
        <w:rPr>
          <w:lang w:eastAsia="fr-FR"/>
        </w:rPr>
        <w:t>cover</w:t>
      </w:r>
      <w:r w:rsidR="00D22F21" w:rsidRPr="00E21450">
        <w:rPr>
          <w:lang w:eastAsia="fr-FR"/>
        </w:rPr>
        <w:t>s</w:t>
      </w:r>
      <w:r w:rsidR="004E5997" w:rsidRPr="00E21450">
        <w:rPr>
          <w:lang w:eastAsia="fr-FR"/>
        </w:rPr>
        <w:t>:</w:t>
      </w:r>
    </w:p>
    <w:p w14:paraId="2AF8B820" w14:textId="518EEB38" w:rsidR="004E5997" w:rsidRPr="00E21450" w:rsidRDefault="004E5997" w:rsidP="00B1419E">
      <w:pPr>
        <w:pStyle w:val="ListParagraph"/>
        <w:numPr>
          <w:ilvl w:val="0"/>
          <w:numId w:val="20"/>
        </w:numPr>
        <w:rPr>
          <w:lang w:eastAsia="fr-FR"/>
        </w:rPr>
      </w:pPr>
      <w:r w:rsidRPr="00E21450">
        <w:rPr>
          <w:lang w:eastAsia="fr-FR"/>
        </w:rPr>
        <w:t>t</w:t>
      </w:r>
      <w:r w:rsidR="00686F36" w:rsidRPr="00E21450">
        <w:rPr>
          <w:lang w:eastAsia="fr-FR"/>
        </w:rPr>
        <w:t>he production of public electricity and heat (</w:t>
      </w:r>
      <w:r w:rsidR="000F6001">
        <w:rPr>
          <w:lang w:eastAsia="fr-FR"/>
        </w:rPr>
        <w:t>CRT</w:t>
      </w:r>
      <w:r w:rsidR="00686F36" w:rsidRPr="00E21450">
        <w:rPr>
          <w:lang w:eastAsia="fr-FR"/>
        </w:rPr>
        <w:t xml:space="preserve"> 1A1a), </w:t>
      </w:r>
    </w:p>
    <w:p w14:paraId="22BC60B2" w14:textId="72E2A93E" w:rsidR="0098784A" w:rsidRPr="00E21450" w:rsidRDefault="00686F36" w:rsidP="00B1419E">
      <w:pPr>
        <w:pStyle w:val="ListParagraph"/>
        <w:numPr>
          <w:ilvl w:val="0"/>
          <w:numId w:val="20"/>
        </w:numPr>
        <w:rPr>
          <w:lang w:eastAsia="fr-FR"/>
        </w:rPr>
      </w:pPr>
      <w:r w:rsidRPr="00E21450">
        <w:rPr>
          <w:lang w:eastAsia="fr-FR"/>
        </w:rPr>
        <w:t>the petro</w:t>
      </w:r>
      <w:r w:rsidR="0098784A" w:rsidRPr="00E21450">
        <w:rPr>
          <w:lang w:eastAsia="fr-FR"/>
        </w:rPr>
        <w:t>leum refining (</w:t>
      </w:r>
      <w:r w:rsidR="000F6001">
        <w:rPr>
          <w:lang w:eastAsia="fr-FR"/>
        </w:rPr>
        <w:t>CRT</w:t>
      </w:r>
      <w:r w:rsidR="0098784A" w:rsidRPr="00E21450">
        <w:rPr>
          <w:lang w:eastAsia="fr-FR"/>
        </w:rPr>
        <w:t xml:space="preserve"> 1A1b), </w:t>
      </w:r>
    </w:p>
    <w:p w14:paraId="2FD64191" w14:textId="7C83B0EC" w:rsidR="00686F36" w:rsidRPr="00DD0865" w:rsidRDefault="0098784A" w:rsidP="00B1419E">
      <w:pPr>
        <w:pStyle w:val="ListParagraph"/>
        <w:numPr>
          <w:ilvl w:val="0"/>
          <w:numId w:val="20"/>
        </w:numPr>
        <w:rPr>
          <w:lang w:eastAsia="fr-FR"/>
        </w:rPr>
      </w:pPr>
      <w:r w:rsidRPr="00DD0865">
        <w:rPr>
          <w:lang w:eastAsia="fr-FR"/>
        </w:rPr>
        <w:t>t</w:t>
      </w:r>
      <w:r w:rsidR="00686F36" w:rsidRPr="00DD0865">
        <w:rPr>
          <w:lang w:eastAsia="fr-FR"/>
        </w:rPr>
        <w:t>he manufacture of solid fuels (</w:t>
      </w:r>
      <w:r w:rsidR="000F6001">
        <w:rPr>
          <w:lang w:eastAsia="fr-FR"/>
        </w:rPr>
        <w:t>CRT</w:t>
      </w:r>
      <w:r w:rsidR="00686F36" w:rsidRPr="00DD0865">
        <w:rPr>
          <w:lang w:eastAsia="fr-FR"/>
        </w:rPr>
        <w:t xml:space="preserve"> 1A1ci).</w:t>
      </w:r>
    </w:p>
    <w:p w14:paraId="499E144B" w14:textId="607BAECE" w:rsidR="00A25A6E" w:rsidRPr="002462F0" w:rsidRDefault="00A25A6E" w:rsidP="00A25A6E">
      <w:pPr>
        <w:jc w:val="left"/>
      </w:pPr>
      <w:r w:rsidRPr="00BC56DA">
        <w:rPr>
          <w:lang w:val="en-US" w:eastAsia="fr-FR"/>
        </w:rPr>
        <w:t>In 20</w:t>
      </w:r>
      <w:r w:rsidR="0039523B">
        <w:rPr>
          <w:lang w:val="en-US" w:eastAsia="fr-FR"/>
        </w:rPr>
        <w:t>22</w:t>
      </w:r>
      <w:r w:rsidRPr="00BC56DA">
        <w:rPr>
          <w:lang w:val="en-US" w:eastAsia="fr-FR"/>
        </w:rPr>
        <w:t>,</w:t>
      </w:r>
      <w:r w:rsidRPr="00BC56DA">
        <w:t xml:space="preserve"> the energy industries (</w:t>
      </w:r>
      <w:r w:rsidR="000F6001">
        <w:t>CRT</w:t>
      </w:r>
      <w:r w:rsidRPr="00BC56DA">
        <w:t xml:space="preserve"> 1A1) contribute to</w:t>
      </w:r>
      <w:r w:rsidR="000D5D10" w:rsidRPr="00BC56DA">
        <w:t xml:space="preserve"> </w:t>
      </w:r>
      <w:r w:rsidR="00BC56DA">
        <w:t>5</w:t>
      </w:r>
      <w:r w:rsidR="00416006">
        <w:t>1</w:t>
      </w:r>
      <w:r w:rsidRPr="00BC56DA">
        <w:t>% of the total GHG emissions with</w:t>
      </w:r>
      <w:r w:rsidR="000948DE">
        <w:t>out</w:t>
      </w:r>
      <w:r w:rsidRPr="00BC56DA">
        <w:t xml:space="preserve"> LULUCF, and it contributes to </w:t>
      </w:r>
      <w:r w:rsidR="006668A0" w:rsidRPr="006668A0">
        <w:t>6</w:t>
      </w:r>
      <w:r w:rsidR="00C76A95">
        <w:t>5</w:t>
      </w:r>
      <w:r w:rsidRPr="00BC56DA">
        <w:t>% of the Energy category (</w:t>
      </w:r>
      <w:r w:rsidR="000F6001">
        <w:t>CRT</w:t>
      </w:r>
      <w:r w:rsidRPr="00BC56DA">
        <w:t xml:space="preserve"> 1) in Serbia.</w:t>
      </w:r>
    </w:p>
    <w:p w14:paraId="507D5910" w14:textId="03EDFBA4" w:rsidR="00D22F21" w:rsidRPr="002462F0" w:rsidRDefault="00D22F21" w:rsidP="00D22F21">
      <w:pPr>
        <w:pStyle w:val="Titre4Bleu"/>
        <w:rPr>
          <w:lang w:eastAsia="fr-FR"/>
        </w:rPr>
      </w:pPr>
      <w:bookmarkStart w:id="186" w:name="_Toc182327729"/>
      <w:bookmarkEnd w:id="185"/>
      <w:r w:rsidRPr="002462F0">
        <w:rPr>
          <w:lang w:eastAsia="fr-FR"/>
        </w:rPr>
        <w:t>Public electricity and heat production</w:t>
      </w:r>
      <w:r w:rsidR="00086A65" w:rsidRPr="002462F0">
        <w:rPr>
          <w:lang w:eastAsia="fr-FR"/>
        </w:rPr>
        <w:t xml:space="preserve"> (</w:t>
      </w:r>
      <w:r w:rsidR="000F6001">
        <w:rPr>
          <w:lang w:eastAsia="fr-FR"/>
        </w:rPr>
        <w:t>CRT</w:t>
      </w:r>
      <w:r w:rsidR="00086A65" w:rsidRPr="002462F0">
        <w:rPr>
          <w:lang w:eastAsia="fr-FR"/>
        </w:rPr>
        <w:t xml:space="preserve"> 1A1a)</w:t>
      </w:r>
      <w:bookmarkEnd w:id="186"/>
    </w:p>
    <w:p w14:paraId="73CE9027" w14:textId="77777777" w:rsidR="00D22F21" w:rsidRPr="002462F0" w:rsidRDefault="00D22F21" w:rsidP="00D22F21">
      <w:pPr>
        <w:pStyle w:val="Heading5"/>
        <w:spacing w:before="240"/>
        <w:ind w:left="1009" w:hanging="1009"/>
        <w:rPr>
          <w:lang w:eastAsia="fr-FR"/>
        </w:rPr>
      </w:pPr>
      <w:bookmarkStart w:id="187" w:name="_Toc182327730"/>
      <w:r w:rsidRPr="002462F0">
        <w:rPr>
          <w:lang w:eastAsia="fr-FR"/>
        </w:rPr>
        <w:t>Category description</w:t>
      </w:r>
      <w:bookmarkEnd w:id="187"/>
      <w:r w:rsidRPr="002462F0">
        <w:rPr>
          <w:lang w:eastAsia="fr-FR"/>
        </w:rPr>
        <w:t xml:space="preserve"> </w:t>
      </w:r>
    </w:p>
    <w:p w14:paraId="567D2419" w14:textId="77777777" w:rsidR="00D74044" w:rsidRPr="002462F0" w:rsidRDefault="002C3754" w:rsidP="00D74044">
      <w:pPr>
        <w:autoSpaceDE w:val="0"/>
        <w:autoSpaceDN w:val="0"/>
        <w:adjustRightInd w:val="0"/>
        <w:spacing w:after="0" w:line="240" w:lineRule="auto"/>
        <w:rPr>
          <w:rFonts w:cs="MyriadPro-Regular"/>
          <w:color w:val="1D1D1B"/>
          <w:szCs w:val="20"/>
          <w:lang w:val="en-US"/>
        </w:rPr>
      </w:pPr>
      <w:r w:rsidRPr="002462F0">
        <w:rPr>
          <w:rFonts w:cs="MyriadPro-Regular"/>
          <w:color w:val="1D1D1B"/>
          <w:szCs w:val="20"/>
          <w:lang w:val="en-US"/>
        </w:rPr>
        <w:t>This sector consists of electric power system, and a decentralized municipal district for heating.</w:t>
      </w:r>
      <w:r w:rsidR="00D74044" w:rsidRPr="002462F0">
        <w:rPr>
          <w:rFonts w:cs="MyriadPro-Regular"/>
          <w:color w:val="1D1D1B"/>
          <w:szCs w:val="20"/>
          <w:lang w:val="en-US"/>
        </w:rPr>
        <w:t xml:space="preserve"> </w:t>
      </w:r>
    </w:p>
    <w:p w14:paraId="19DEBDB5" w14:textId="77777777" w:rsidR="00D74044" w:rsidRPr="002462F0" w:rsidRDefault="00D74044" w:rsidP="00D74044">
      <w:pPr>
        <w:autoSpaceDE w:val="0"/>
        <w:autoSpaceDN w:val="0"/>
        <w:adjustRightInd w:val="0"/>
        <w:spacing w:after="0" w:line="240" w:lineRule="auto"/>
        <w:rPr>
          <w:rFonts w:cs="MyriadPro-Regular"/>
          <w:color w:val="1D1D1B"/>
          <w:szCs w:val="20"/>
          <w:lang w:val="en-US"/>
        </w:rPr>
      </w:pPr>
    </w:p>
    <w:p w14:paraId="11208E71" w14:textId="4967CD95" w:rsidR="004523B9" w:rsidRPr="002462F0" w:rsidRDefault="002C3754" w:rsidP="00D74044">
      <w:pPr>
        <w:autoSpaceDE w:val="0"/>
        <w:autoSpaceDN w:val="0"/>
        <w:adjustRightInd w:val="0"/>
        <w:spacing w:after="0" w:line="240" w:lineRule="auto"/>
        <w:rPr>
          <w:rFonts w:cs="MyriadPro-Regular"/>
          <w:color w:val="1D1D1B"/>
          <w:szCs w:val="20"/>
          <w:lang w:val="en-US"/>
        </w:rPr>
      </w:pPr>
      <w:r w:rsidRPr="002462F0">
        <w:rPr>
          <w:rFonts w:cs="MyriadPro-Regular"/>
          <w:color w:val="1D1D1B"/>
          <w:szCs w:val="20"/>
          <w:lang w:val="en-US"/>
        </w:rPr>
        <w:t>Electricity production is based on the combustion of low</w:t>
      </w:r>
      <w:r w:rsidR="00271972">
        <w:rPr>
          <w:rFonts w:cs="MyriadPro-Regular"/>
          <w:color w:val="1D1D1B"/>
          <w:szCs w:val="20"/>
          <w:lang w:val="en-US"/>
        </w:rPr>
        <w:t>-</w:t>
      </w:r>
      <w:r w:rsidRPr="002462F0">
        <w:rPr>
          <w:rFonts w:cs="MyriadPro-Regular"/>
          <w:color w:val="1D1D1B"/>
          <w:szCs w:val="20"/>
          <w:lang w:val="en-US"/>
        </w:rPr>
        <w:t>quality domestic lignite in existing power plants</w:t>
      </w:r>
      <w:r w:rsidR="004523B9" w:rsidRPr="002462F0">
        <w:rPr>
          <w:rFonts w:cs="MyriadPro-Regular"/>
          <w:color w:val="1D1D1B"/>
          <w:szCs w:val="20"/>
          <w:lang w:val="en-US"/>
        </w:rPr>
        <w:t xml:space="preserve"> </w:t>
      </w:r>
      <w:r w:rsidRPr="002462F0">
        <w:rPr>
          <w:rFonts w:cs="MyriadPro-Regular"/>
          <w:color w:val="1D1D1B"/>
          <w:szCs w:val="20"/>
          <w:lang w:val="en-US"/>
        </w:rPr>
        <w:t>and the use of hydropower potential in the existing impoundment and reservoir-pumped hydro power</w:t>
      </w:r>
      <w:r w:rsidR="00D74044" w:rsidRPr="002462F0">
        <w:rPr>
          <w:rFonts w:cs="MyriadPro-Regular"/>
          <w:color w:val="1D1D1B"/>
          <w:szCs w:val="20"/>
          <w:lang w:val="en-US"/>
        </w:rPr>
        <w:t xml:space="preserve"> </w:t>
      </w:r>
      <w:r w:rsidRPr="002462F0">
        <w:rPr>
          <w:rFonts w:cs="MyriadPro-Regular"/>
          <w:color w:val="1D1D1B"/>
          <w:szCs w:val="20"/>
          <w:lang w:val="en-US"/>
        </w:rPr>
        <w:t xml:space="preserve">plants. </w:t>
      </w:r>
      <w:r w:rsidR="004523B9" w:rsidRPr="002462F0">
        <w:rPr>
          <w:rFonts w:cs="MyriadPro-Regular"/>
          <w:color w:val="1D1D1B"/>
          <w:szCs w:val="20"/>
          <w:lang w:val="en-US"/>
        </w:rPr>
        <w:t>In 1990</w:t>
      </w:r>
      <w:r w:rsidR="004C1229">
        <w:rPr>
          <w:rFonts w:cs="MyriadPro-Regular"/>
          <w:color w:val="1D1D1B"/>
          <w:szCs w:val="20"/>
          <w:lang w:val="en-US"/>
        </w:rPr>
        <w:t>,</w:t>
      </w:r>
      <w:r w:rsidR="004523B9" w:rsidRPr="002462F0">
        <w:rPr>
          <w:rFonts w:cs="MyriadPro-Regular"/>
          <w:color w:val="1D1D1B"/>
          <w:szCs w:val="20"/>
          <w:lang w:val="en-US"/>
        </w:rPr>
        <w:t xml:space="preserve"> Serbia was equipped with modern and up–to–date electricity production system comprising </w:t>
      </w:r>
      <w:r w:rsidR="00B37EF4">
        <w:rPr>
          <w:rFonts w:cs="MyriadPro-Regular"/>
          <w:color w:val="1D1D1B"/>
          <w:szCs w:val="20"/>
          <w:lang w:val="en-US"/>
        </w:rPr>
        <w:t>six</w:t>
      </w:r>
      <w:r w:rsidR="004523B9" w:rsidRPr="002462F0">
        <w:rPr>
          <w:rFonts w:cs="MyriadPro-Regular"/>
          <w:color w:val="1D1D1B"/>
          <w:szCs w:val="20"/>
          <w:lang w:val="en-US"/>
        </w:rPr>
        <w:t xml:space="preserve"> </w:t>
      </w:r>
      <w:r w:rsidR="00B37EF4">
        <w:rPr>
          <w:rFonts w:cs="MyriadPro-Regular"/>
          <w:color w:val="1D1D1B"/>
          <w:szCs w:val="20"/>
          <w:lang w:val="en-US"/>
        </w:rPr>
        <w:t>coal</w:t>
      </w:r>
      <w:r w:rsidR="004523B9" w:rsidRPr="002462F0">
        <w:rPr>
          <w:rFonts w:cs="MyriadPro-Regular"/>
          <w:color w:val="1D1D1B"/>
          <w:szCs w:val="20"/>
          <w:lang w:val="en-US"/>
        </w:rPr>
        <w:t>–burning thermal power plants (TPP) having 25 production units and three liquid fuel and gas burning combined heat and power (CHP) plants having 6 production units.</w:t>
      </w:r>
    </w:p>
    <w:p w14:paraId="5E9082E6" w14:textId="2652C3F8" w:rsidR="00AC327D" w:rsidRPr="00AC327D" w:rsidRDefault="00AC327D" w:rsidP="00AC327D">
      <w:pPr>
        <w:pStyle w:val="Caption"/>
        <w:keepNext/>
        <w:jc w:val="both"/>
      </w:pPr>
      <w:bookmarkStart w:id="188" w:name="_Toc184808561"/>
      <w:r>
        <w:t xml:space="preserve">Table </w:t>
      </w:r>
      <w:r>
        <w:fldChar w:fldCharType="begin"/>
      </w:r>
      <w:r>
        <w:instrText xml:space="preserve"> SEQ Table \* ARABIC </w:instrText>
      </w:r>
      <w:r>
        <w:fldChar w:fldCharType="separate"/>
      </w:r>
      <w:r>
        <w:t>18</w:t>
      </w:r>
      <w:r>
        <w:fldChar w:fldCharType="end"/>
      </w:r>
      <w:r>
        <w:t>: Main public electricity and heat production units with installed capacity and main fuel used</w:t>
      </w:r>
      <w:bookmarkEnd w:id="188"/>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0"/>
        <w:gridCol w:w="2484"/>
        <w:gridCol w:w="2066"/>
      </w:tblGrid>
      <w:tr w:rsidR="00D548FE" w:rsidRPr="00D83594" w14:paraId="1A681DE1" w14:textId="77777777" w:rsidTr="001C54FC">
        <w:trPr>
          <w:trHeight w:val="390"/>
        </w:trPr>
        <w:tc>
          <w:tcPr>
            <w:tcW w:w="2100" w:type="dxa"/>
            <w:shd w:val="clear" w:color="auto" w:fill="C6D9F1" w:themeFill="text2" w:themeFillTint="33"/>
            <w:vAlign w:val="center"/>
          </w:tcPr>
          <w:p w14:paraId="7EABDC01" w14:textId="0D5EC606" w:rsidR="00D548FE" w:rsidRPr="00D83594" w:rsidRDefault="00D548FE" w:rsidP="008C4523">
            <w:pPr>
              <w:tabs>
                <w:tab w:val="left" w:pos="0"/>
              </w:tabs>
              <w:spacing w:before="20" w:after="20" w:line="240" w:lineRule="auto"/>
              <w:jc w:val="left"/>
              <w:rPr>
                <w:lang w:val="sr-Latn-RS"/>
              </w:rPr>
            </w:pPr>
            <w:r>
              <w:rPr>
                <w:b/>
                <w:color w:val="000000"/>
                <w:sz w:val="18"/>
                <w:szCs w:val="18"/>
                <w:lang w:val="sr-Latn-RS" w:eastAsia="sl-SI"/>
              </w:rPr>
              <w:t xml:space="preserve">Installation </w:t>
            </w:r>
          </w:p>
        </w:tc>
        <w:tc>
          <w:tcPr>
            <w:tcW w:w="2484" w:type="dxa"/>
            <w:shd w:val="clear" w:color="auto" w:fill="C6D9F1" w:themeFill="text2" w:themeFillTint="33"/>
            <w:vAlign w:val="center"/>
          </w:tcPr>
          <w:p w14:paraId="2224151E" w14:textId="12CC0206" w:rsidR="00D548FE" w:rsidRPr="00D83594" w:rsidRDefault="00D548FE" w:rsidP="008C4523">
            <w:pPr>
              <w:tabs>
                <w:tab w:val="left" w:pos="0"/>
              </w:tabs>
              <w:spacing w:before="20" w:after="20" w:line="240" w:lineRule="auto"/>
              <w:jc w:val="center"/>
              <w:rPr>
                <w:lang w:val="sr-Latn-RS"/>
              </w:rPr>
            </w:pPr>
            <w:r>
              <w:rPr>
                <w:b/>
                <w:color w:val="000000"/>
                <w:sz w:val="18"/>
                <w:szCs w:val="18"/>
                <w:lang w:val="sr-Latn-RS" w:eastAsia="sl-SI"/>
              </w:rPr>
              <w:t>Installed capacity</w:t>
            </w:r>
            <w:r w:rsidRPr="00D83594">
              <w:rPr>
                <w:b/>
                <w:color w:val="000000"/>
                <w:sz w:val="18"/>
                <w:szCs w:val="18"/>
                <w:lang w:val="sr-Latn-RS" w:eastAsia="sl-SI"/>
              </w:rPr>
              <w:t xml:space="preserve"> (MW</w:t>
            </w:r>
            <w:r w:rsidR="00AC327D">
              <w:rPr>
                <w:b/>
                <w:color w:val="000000"/>
                <w:sz w:val="18"/>
                <w:szCs w:val="18"/>
                <w:lang w:val="sr-Latn-RS" w:eastAsia="sl-SI"/>
              </w:rPr>
              <w:t>e</w:t>
            </w:r>
            <w:r w:rsidRPr="00D83594">
              <w:rPr>
                <w:b/>
                <w:color w:val="000000"/>
                <w:sz w:val="18"/>
                <w:szCs w:val="18"/>
                <w:lang w:val="sr-Latn-RS" w:eastAsia="sl-SI"/>
              </w:rPr>
              <w:t>)</w:t>
            </w:r>
            <w:r w:rsidR="00AC327D">
              <w:rPr>
                <w:rStyle w:val="FootnoteReference"/>
                <w:b/>
                <w:color w:val="000000"/>
                <w:sz w:val="18"/>
                <w:szCs w:val="18"/>
                <w:lang w:val="sr-Latn-RS" w:eastAsia="sl-SI"/>
              </w:rPr>
              <w:footnoteReference w:id="2"/>
            </w:r>
          </w:p>
        </w:tc>
        <w:tc>
          <w:tcPr>
            <w:tcW w:w="2066" w:type="dxa"/>
            <w:shd w:val="clear" w:color="auto" w:fill="C6D9F1" w:themeFill="text2" w:themeFillTint="33"/>
            <w:vAlign w:val="center"/>
          </w:tcPr>
          <w:p w14:paraId="5D4AD206" w14:textId="0AE22F35" w:rsidR="00D548FE" w:rsidRPr="00D83594" w:rsidRDefault="00D548FE" w:rsidP="008C4523">
            <w:pPr>
              <w:tabs>
                <w:tab w:val="left" w:pos="0"/>
              </w:tabs>
              <w:spacing w:before="20" w:after="20" w:line="240" w:lineRule="auto"/>
              <w:jc w:val="center"/>
              <w:rPr>
                <w:lang w:val="sr-Latn-RS"/>
              </w:rPr>
            </w:pPr>
            <w:r>
              <w:rPr>
                <w:b/>
                <w:color w:val="000000"/>
                <w:sz w:val="18"/>
                <w:szCs w:val="18"/>
                <w:lang w:val="sr-Latn-RS" w:eastAsia="sl-SI"/>
              </w:rPr>
              <w:t>Main fuel</w:t>
            </w:r>
          </w:p>
        </w:tc>
      </w:tr>
      <w:tr w:rsidR="00D548FE" w:rsidRPr="00D83594" w14:paraId="22EB7091" w14:textId="77777777" w:rsidTr="003631EA">
        <w:trPr>
          <w:trHeight w:val="390"/>
        </w:trPr>
        <w:tc>
          <w:tcPr>
            <w:tcW w:w="2100" w:type="dxa"/>
            <w:shd w:val="clear" w:color="auto" w:fill="auto"/>
            <w:vAlign w:val="center"/>
          </w:tcPr>
          <w:p w14:paraId="274EF138" w14:textId="77777777" w:rsidR="00D548FE" w:rsidRPr="00D83594" w:rsidRDefault="00D548FE" w:rsidP="003631EA">
            <w:pPr>
              <w:tabs>
                <w:tab w:val="left" w:pos="0"/>
              </w:tabs>
              <w:spacing w:after="0" w:line="240" w:lineRule="auto"/>
              <w:jc w:val="left"/>
              <w:rPr>
                <w:lang w:val="sr-Latn-RS"/>
              </w:rPr>
            </w:pPr>
            <w:r w:rsidRPr="00D83594">
              <w:rPr>
                <w:color w:val="000000"/>
                <w:sz w:val="18"/>
                <w:szCs w:val="18"/>
                <w:lang w:val="sr-Latn-RS" w:eastAsia="sl-SI"/>
              </w:rPr>
              <w:t>TE Nikola Tesla A</w:t>
            </w:r>
          </w:p>
        </w:tc>
        <w:tc>
          <w:tcPr>
            <w:tcW w:w="2484" w:type="dxa"/>
            <w:shd w:val="clear" w:color="auto" w:fill="auto"/>
            <w:vAlign w:val="center"/>
          </w:tcPr>
          <w:p w14:paraId="1A88B8D4" w14:textId="0D2EE89E" w:rsidR="00D548FE" w:rsidRPr="00D83594" w:rsidRDefault="00AC327D" w:rsidP="003631EA">
            <w:pPr>
              <w:tabs>
                <w:tab w:val="left" w:pos="0"/>
              </w:tabs>
              <w:spacing w:after="0" w:line="240" w:lineRule="auto"/>
              <w:jc w:val="center"/>
              <w:rPr>
                <w:lang w:val="sr-Latn-RS"/>
              </w:rPr>
            </w:pPr>
            <w:r>
              <w:rPr>
                <w:color w:val="000000"/>
                <w:sz w:val="18"/>
                <w:szCs w:val="18"/>
                <w:lang w:val="sr-Latn-RS" w:eastAsia="sl-SI"/>
              </w:rPr>
              <w:t>1650</w:t>
            </w:r>
          </w:p>
        </w:tc>
        <w:tc>
          <w:tcPr>
            <w:tcW w:w="2066" w:type="dxa"/>
            <w:shd w:val="clear" w:color="auto" w:fill="auto"/>
            <w:vAlign w:val="center"/>
          </w:tcPr>
          <w:p w14:paraId="0A275B6F" w14:textId="6F866422" w:rsidR="00D548FE" w:rsidRPr="00D83594" w:rsidRDefault="00D548FE" w:rsidP="003631EA">
            <w:pPr>
              <w:tabs>
                <w:tab w:val="left" w:pos="0"/>
              </w:tabs>
              <w:spacing w:after="0" w:line="240" w:lineRule="auto"/>
              <w:jc w:val="center"/>
              <w:rPr>
                <w:lang w:val="sr-Latn-RS"/>
              </w:rPr>
            </w:pPr>
            <w:r>
              <w:rPr>
                <w:color w:val="000000"/>
                <w:sz w:val="18"/>
                <w:szCs w:val="18"/>
                <w:lang w:val="sr-Latn-RS" w:eastAsia="sl-SI"/>
              </w:rPr>
              <w:t>Lignite</w:t>
            </w:r>
          </w:p>
        </w:tc>
      </w:tr>
      <w:tr w:rsidR="00D548FE" w:rsidRPr="00D83594" w14:paraId="20D429FF" w14:textId="77777777" w:rsidTr="003631EA">
        <w:trPr>
          <w:trHeight w:val="390"/>
        </w:trPr>
        <w:tc>
          <w:tcPr>
            <w:tcW w:w="2100" w:type="dxa"/>
            <w:shd w:val="clear" w:color="auto" w:fill="auto"/>
            <w:vAlign w:val="center"/>
          </w:tcPr>
          <w:p w14:paraId="3D4A29D7" w14:textId="77777777" w:rsidR="00D548FE" w:rsidRPr="00D83594" w:rsidRDefault="00D548FE" w:rsidP="003631EA">
            <w:pPr>
              <w:tabs>
                <w:tab w:val="left" w:pos="0"/>
              </w:tabs>
              <w:spacing w:after="0" w:line="240" w:lineRule="auto"/>
              <w:jc w:val="left"/>
              <w:rPr>
                <w:lang w:val="sr-Latn-RS"/>
              </w:rPr>
            </w:pPr>
            <w:r w:rsidRPr="00D83594">
              <w:rPr>
                <w:color w:val="000000"/>
                <w:sz w:val="18"/>
                <w:szCs w:val="18"/>
                <w:lang w:val="sr-Latn-RS" w:eastAsia="sl-SI"/>
              </w:rPr>
              <w:t>TE Nikola Tesla B</w:t>
            </w:r>
          </w:p>
        </w:tc>
        <w:tc>
          <w:tcPr>
            <w:tcW w:w="2484" w:type="dxa"/>
            <w:shd w:val="clear" w:color="auto" w:fill="auto"/>
            <w:vAlign w:val="center"/>
          </w:tcPr>
          <w:p w14:paraId="6133FBAA" w14:textId="41E85717" w:rsidR="00D548FE" w:rsidRPr="00D83594" w:rsidRDefault="00AC327D" w:rsidP="003631EA">
            <w:pPr>
              <w:tabs>
                <w:tab w:val="left" w:pos="0"/>
              </w:tabs>
              <w:spacing w:after="0" w:line="240" w:lineRule="auto"/>
              <w:jc w:val="center"/>
              <w:rPr>
                <w:lang w:val="sr-Latn-RS"/>
              </w:rPr>
            </w:pPr>
            <w:r>
              <w:rPr>
                <w:color w:val="000000"/>
                <w:sz w:val="18"/>
                <w:szCs w:val="18"/>
                <w:lang w:val="sr-Latn-RS" w:eastAsia="sl-SI"/>
              </w:rPr>
              <w:t>1240</w:t>
            </w:r>
          </w:p>
        </w:tc>
        <w:tc>
          <w:tcPr>
            <w:tcW w:w="2066" w:type="dxa"/>
            <w:shd w:val="clear" w:color="auto" w:fill="auto"/>
            <w:vAlign w:val="center"/>
          </w:tcPr>
          <w:p w14:paraId="224A8B71" w14:textId="2AC24122" w:rsidR="00D548FE" w:rsidRPr="00D83594" w:rsidRDefault="00D548FE" w:rsidP="003631EA">
            <w:pPr>
              <w:tabs>
                <w:tab w:val="left" w:pos="0"/>
              </w:tabs>
              <w:spacing w:after="0" w:line="240" w:lineRule="auto"/>
              <w:jc w:val="center"/>
              <w:rPr>
                <w:lang w:val="sr-Latn-RS"/>
              </w:rPr>
            </w:pPr>
            <w:r>
              <w:rPr>
                <w:color w:val="000000"/>
                <w:sz w:val="18"/>
                <w:szCs w:val="18"/>
                <w:lang w:val="sr-Latn-RS" w:eastAsia="sl-SI"/>
              </w:rPr>
              <w:t>Lignite</w:t>
            </w:r>
          </w:p>
        </w:tc>
      </w:tr>
      <w:tr w:rsidR="00D548FE" w:rsidRPr="00D83594" w14:paraId="50600F9C" w14:textId="77777777" w:rsidTr="003631EA">
        <w:trPr>
          <w:trHeight w:val="255"/>
        </w:trPr>
        <w:tc>
          <w:tcPr>
            <w:tcW w:w="2100" w:type="dxa"/>
            <w:shd w:val="clear" w:color="auto" w:fill="auto"/>
            <w:vAlign w:val="center"/>
          </w:tcPr>
          <w:p w14:paraId="065BDB1B" w14:textId="77777777" w:rsidR="00D548FE" w:rsidRPr="00D83594" w:rsidRDefault="00D548FE" w:rsidP="003631EA">
            <w:pPr>
              <w:tabs>
                <w:tab w:val="left" w:pos="0"/>
              </w:tabs>
              <w:spacing w:after="0" w:line="240" w:lineRule="auto"/>
              <w:jc w:val="left"/>
              <w:rPr>
                <w:lang w:val="sr-Latn-RS"/>
              </w:rPr>
            </w:pPr>
            <w:r w:rsidRPr="00D83594">
              <w:rPr>
                <w:color w:val="000000"/>
                <w:sz w:val="18"/>
                <w:szCs w:val="18"/>
                <w:lang w:val="sr-Latn-RS" w:eastAsia="sl-SI"/>
              </w:rPr>
              <w:t>TE Kolubara</w:t>
            </w:r>
          </w:p>
        </w:tc>
        <w:tc>
          <w:tcPr>
            <w:tcW w:w="2484" w:type="dxa"/>
            <w:shd w:val="clear" w:color="auto" w:fill="auto"/>
            <w:vAlign w:val="center"/>
          </w:tcPr>
          <w:p w14:paraId="0CF14885" w14:textId="0D7E1964" w:rsidR="00D548FE" w:rsidRPr="00D83594" w:rsidRDefault="00AC327D" w:rsidP="003631EA">
            <w:pPr>
              <w:tabs>
                <w:tab w:val="left" w:pos="0"/>
              </w:tabs>
              <w:spacing w:after="0" w:line="240" w:lineRule="auto"/>
              <w:jc w:val="center"/>
              <w:rPr>
                <w:lang w:val="sr-Latn-RS"/>
              </w:rPr>
            </w:pPr>
            <w:r>
              <w:rPr>
                <w:color w:val="000000"/>
                <w:sz w:val="18"/>
                <w:szCs w:val="18"/>
                <w:lang w:val="sr-Latn-RS" w:eastAsia="sl-SI"/>
              </w:rPr>
              <w:t>271</w:t>
            </w:r>
          </w:p>
        </w:tc>
        <w:tc>
          <w:tcPr>
            <w:tcW w:w="2066" w:type="dxa"/>
            <w:shd w:val="clear" w:color="auto" w:fill="auto"/>
            <w:vAlign w:val="center"/>
          </w:tcPr>
          <w:p w14:paraId="1F77C227" w14:textId="7949815F" w:rsidR="00D548FE" w:rsidRPr="00D83594" w:rsidRDefault="00D548FE" w:rsidP="003631EA">
            <w:pPr>
              <w:tabs>
                <w:tab w:val="left" w:pos="0"/>
              </w:tabs>
              <w:spacing w:after="0" w:line="240" w:lineRule="auto"/>
              <w:jc w:val="center"/>
              <w:rPr>
                <w:lang w:val="sr-Latn-RS"/>
              </w:rPr>
            </w:pPr>
            <w:r>
              <w:rPr>
                <w:color w:val="000000"/>
                <w:sz w:val="18"/>
                <w:szCs w:val="18"/>
                <w:lang w:val="sr-Latn-RS" w:eastAsia="sl-SI"/>
              </w:rPr>
              <w:t>Lignite</w:t>
            </w:r>
          </w:p>
        </w:tc>
      </w:tr>
      <w:tr w:rsidR="00D548FE" w:rsidRPr="00D83594" w14:paraId="51AE317B" w14:textId="77777777" w:rsidTr="003631EA">
        <w:trPr>
          <w:trHeight w:val="390"/>
        </w:trPr>
        <w:tc>
          <w:tcPr>
            <w:tcW w:w="2100" w:type="dxa"/>
            <w:shd w:val="clear" w:color="auto" w:fill="auto"/>
            <w:vAlign w:val="center"/>
          </w:tcPr>
          <w:p w14:paraId="1043AB6B" w14:textId="77777777" w:rsidR="00D548FE" w:rsidRPr="00D83594" w:rsidRDefault="00D548FE" w:rsidP="003631EA">
            <w:pPr>
              <w:tabs>
                <w:tab w:val="left" w:pos="0"/>
              </w:tabs>
              <w:spacing w:after="0" w:line="240" w:lineRule="auto"/>
              <w:jc w:val="left"/>
              <w:rPr>
                <w:lang w:val="sr-Latn-RS"/>
              </w:rPr>
            </w:pPr>
            <w:r w:rsidRPr="00D83594">
              <w:rPr>
                <w:color w:val="000000"/>
                <w:sz w:val="18"/>
                <w:szCs w:val="18"/>
                <w:lang w:val="sr-Latn-RS" w:eastAsia="sl-SI"/>
              </w:rPr>
              <w:t>TE Morava</w:t>
            </w:r>
          </w:p>
        </w:tc>
        <w:tc>
          <w:tcPr>
            <w:tcW w:w="2484" w:type="dxa"/>
            <w:shd w:val="clear" w:color="auto" w:fill="auto"/>
            <w:vAlign w:val="center"/>
          </w:tcPr>
          <w:p w14:paraId="0F13CFE3" w14:textId="2758FF8D" w:rsidR="00D548FE" w:rsidRPr="00D83594" w:rsidRDefault="00AC327D" w:rsidP="003631EA">
            <w:pPr>
              <w:tabs>
                <w:tab w:val="left" w:pos="0"/>
              </w:tabs>
              <w:spacing w:after="0" w:line="240" w:lineRule="auto"/>
              <w:jc w:val="center"/>
              <w:rPr>
                <w:lang w:val="sr-Latn-RS"/>
              </w:rPr>
            </w:pPr>
            <w:r>
              <w:rPr>
                <w:color w:val="000000"/>
                <w:sz w:val="18"/>
                <w:szCs w:val="18"/>
                <w:lang w:val="sr-Latn-RS" w:eastAsia="sl-SI"/>
              </w:rPr>
              <w:t>125</w:t>
            </w:r>
          </w:p>
        </w:tc>
        <w:tc>
          <w:tcPr>
            <w:tcW w:w="2066" w:type="dxa"/>
            <w:shd w:val="clear" w:color="auto" w:fill="auto"/>
            <w:vAlign w:val="center"/>
          </w:tcPr>
          <w:p w14:paraId="061AEACB" w14:textId="004BD205" w:rsidR="00D548FE" w:rsidRPr="00D83594" w:rsidRDefault="00D548FE" w:rsidP="003631EA">
            <w:pPr>
              <w:tabs>
                <w:tab w:val="left" w:pos="0"/>
              </w:tabs>
              <w:spacing w:after="0" w:line="240" w:lineRule="auto"/>
              <w:jc w:val="center"/>
              <w:rPr>
                <w:lang w:val="sr-Latn-RS"/>
              </w:rPr>
            </w:pPr>
            <w:r>
              <w:rPr>
                <w:color w:val="000000"/>
                <w:sz w:val="18"/>
                <w:szCs w:val="18"/>
                <w:lang w:val="sr-Latn-RS" w:eastAsia="sl-SI"/>
              </w:rPr>
              <w:t>Coal</w:t>
            </w:r>
            <w:r w:rsidRPr="00D83594">
              <w:rPr>
                <w:color w:val="000000"/>
                <w:sz w:val="18"/>
                <w:szCs w:val="18"/>
                <w:lang w:val="sr-Latn-RS" w:eastAsia="sl-SI"/>
              </w:rPr>
              <w:t xml:space="preserve"> </w:t>
            </w:r>
            <w:r>
              <w:rPr>
                <w:color w:val="000000"/>
                <w:sz w:val="18"/>
                <w:szCs w:val="18"/>
                <w:lang w:val="sr-Latn-RS" w:eastAsia="sl-SI"/>
              </w:rPr>
              <w:t>mix of differnet domestic coal</w:t>
            </w:r>
          </w:p>
        </w:tc>
      </w:tr>
      <w:tr w:rsidR="00D548FE" w:rsidRPr="00D83594" w14:paraId="18D1EC4F" w14:textId="77777777" w:rsidTr="003631EA">
        <w:trPr>
          <w:trHeight w:val="390"/>
        </w:trPr>
        <w:tc>
          <w:tcPr>
            <w:tcW w:w="2100" w:type="dxa"/>
            <w:shd w:val="clear" w:color="auto" w:fill="auto"/>
            <w:vAlign w:val="center"/>
          </w:tcPr>
          <w:p w14:paraId="22AD1D51" w14:textId="77777777" w:rsidR="00D548FE" w:rsidRPr="00D83594" w:rsidRDefault="00D548FE" w:rsidP="003631EA">
            <w:pPr>
              <w:tabs>
                <w:tab w:val="left" w:pos="0"/>
              </w:tabs>
              <w:spacing w:after="0" w:line="240" w:lineRule="auto"/>
              <w:jc w:val="left"/>
              <w:rPr>
                <w:lang w:val="sr-Latn-RS"/>
              </w:rPr>
            </w:pPr>
            <w:r w:rsidRPr="00D83594">
              <w:rPr>
                <w:color w:val="000000"/>
                <w:sz w:val="18"/>
                <w:szCs w:val="18"/>
                <w:lang w:val="sr-Latn-RS" w:eastAsia="sl-SI"/>
              </w:rPr>
              <w:t>TE Kostolac A</w:t>
            </w:r>
          </w:p>
        </w:tc>
        <w:tc>
          <w:tcPr>
            <w:tcW w:w="2484" w:type="dxa"/>
            <w:shd w:val="clear" w:color="auto" w:fill="auto"/>
            <w:vAlign w:val="center"/>
          </w:tcPr>
          <w:p w14:paraId="664A79E6" w14:textId="1218551F" w:rsidR="00D548FE" w:rsidRPr="00D83594" w:rsidRDefault="00AC327D" w:rsidP="003631EA">
            <w:pPr>
              <w:tabs>
                <w:tab w:val="left" w:pos="0"/>
              </w:tabs>
              <w:spacing w:after="0" w:line="240" w:lineRule="auto"/>
              <w:jc w:val="center"/>
              <w:rPr>
                <w:lang w:val="sr-Latn-RS"/>
              </w:rPr>
            </w:pPr>
            <w:r>
              <w:rPr>
                <w:color w:val="000000"/>
                <w:sz w:val="18"/>
                <w:szCs w:val="18"/>
                <w:lang w:val="sr-Latn-RS" w:eastAsia="sl-SI"/>
              </w:rPr>
              <w:t>281</w:t>
            </w:r>
          </w:p>
        </w:tc>
        <w:tc>
          <w:tcPr>
            <w:tcW w:w="2066" w:type="dxa"/>
            <w:shd w:val="clear" w:color="auto" w:fill="auto"/>
            <w:vAlign w:val="center"/>
          </w:tcPr>
          <w:p w14:paraId="523365B7" w14:textId="2FF8137A" w:rsidR="00D548FE" w:rsidRPr="00D83594" w:rsidRDefault="00D548FE" w:rsidP="003631EA">
            <w:pPr>
              <w:tabs>
                <w:tab w:val="left" w:pos="0"/>
              </w:tabs>
              <w:spacing w:after="0" w:line="240" w:lineRule="auto"/>
              <w:jc w:val="center"/>
              <w:rPr>
                <w:lang w:val="sr-Latn-RS"/>
              </w:rPr>
            </w:pPr>
            <w:r w:rsidRPr="00D60699">
              <w:rPr>
                <w:color w:val="000000"/>
                <w:sz w:val="18"/>
                <w:szCs w:val="18"/>
                <w:lang w:val="sr-Latn-RS" w:eastAsia="sl-SI"/>
              </w:rPr>
              <w:t>Lignite</w:t>
            </w:r>
          </w:p>
        </w:tc>
      </w:tr>
      <w:tr w:rsidR="00D548FE" w:rsidRPr="00D83594" w14:paraId="53258B66" w14:textId="77777777" w:rsidTr="003631EA">
        <w:trPr>
          <w:trHeight w:val="390"/>
        </w:trPr>
        <w:tc>
          <w:tcPr>
            <w:tcW w:w="2100" w:type="dxa"/>
            <w:shd w:val="clear" w:color="auto" w:fill="auto"/>
            <w:vAlign w:val="center"/>
          </w:tcPr>
          <w:p w14:paraId="48634979" w14:textId="77777777" w:rsidR="00D548FE" w:rsidRPr="00D83594" w:rsidRDefault="00D548FE" w:rsidP="003631EA">
            <w:pPr>
              <w:tabs>
                <w:tab w:val="left" w:pos="0"/>
              </w:tabs>
              <w:spacing w:after="0" w:line="240" w:lineRule="auto"/>
              <w:jc w:val="left"/>
              <w:rPr>
                <w:lang w:val="sr-Latn-RS"/>
              </w:rPr>
            </w:pPr>
            <w:r w:rsidRPr="00D83594">
              <w:rPr>
                <w:color w:val="000000"/>
                <w:sz w:val="18"/>
                <w:szCs w:val="18"/>
                <w:lang w:val="sr-Latn-RS" w:eastAsia="sl-SI"/>
              </w:rPr>
              <w:t>TE Kostolac B</w:t>
            </w:r>
          </w:p>
        </w:tc>
        <w:tc>
          <w:tcPr>
            <w:tcW w:w="2484" w:type="dxa"/>
            <w:shd w:val="clear" w:color="auto" w:fill="auto"/>
            <w:vAlign w:val="center"/>
          </w:tcPr>
          <w:p w14:paraId="24067855" w14:textId="4D6D8794" w:rsidR="00D548FE" w:rsidRPr="00D83594" w:rsidRDefault="00AC327D" w:rsidP="003631EA">
            <w:pPr>
              <w:tabs>
                <w:tab w:val="left" w:pos="0"/>
              </w:tabs>
              <w:spacing w:after="0" w:line="240" w:lineRule="auto"/>
              <w:jc w:val="center"/>
              <w:rPr>
                <w:lang w:val="sr-Latn-RS"/>
              </w:rPr>
            </w:pPr>
            <w:r>
              <w:rPr>
                <w:color w:val="000000"/>
                <w:sz w:val="18"/>
                <w:szCs w:val="18"/>
                <w:lang w:val="sr-Latn-RS" w:eastAsia="sl-SI"/>
              </w:rPr>
              <w:t>640</w:t>
            </w:r>
          </w:p>
        </w:tc>
        <w:tc>
          <w:tcPr>
            <w:tcW w:w="2066" w:type="dxa"/>
            <w:shd w:val="clear" w:color="auto" w:fill="auto"/>
            <w:vAlign w:val="center"/>
          </w:tcPr>
          <w:p w14:paraId="27431266" w14:textId="0DA464F4" w:rsidR="00D548FE" w:rsidRPr="00D83594" w:rsidRDefault="00D548FE" w:rsidP="003631EA">
            <w:pPr>
              <w:tabs>
                <w:tab w:val="left" w:pos="0"/>
              </w:tabs>
              <w:spacing w:after="0" w:line="240" w:lineRule="auto"/>
              <w:jc w:val="center"/>
              <w:rPr>
                <w:lang w:val="sr-Latn-RS"/>
              </w:rPr>
            </w:pPr>
            <w:r w:rsidRPr="00D60699">
              <w:rPr>
                <w:color w:val="000000"/>
                <w:sz w:val="18"/>
                <w:szCs w:val="18"/>
                <w:lang w:val="sr-Latn-RS" w:eastAsia="sl-SI"/>
              </w:rPr>
              <w:t>Lignite</w:t>
            </w:r>
          </w:p>
        </w:tc>
      </w:tr>
      <w:tr w:rsidR="00D548FE" w:rsidRPr="00D83594" w14:paraId="4F0578D0" w14:textId="77777777" w:rsidTr="003631EA">
        <w:trPr>
          <w:trHeight w:val="390"/>
        </w:trPr>
        <w:tc>
          <w:tcPr>
            <w:tcW w:w="2100" w:type="dxa"/>
            <w:shd w:val="clear" w:color="auto" w:fill="auto"/>
            <w:vAlign w:val="center"/>
          </w:tcPr>
          <w:p w14:paraId="404C5DD4" w14:textId="77777777" w:rsidR="00D548FE" w:rsidRPr="00D83594" w:rsidRDefault="00D548FE" w:rsidP="003631EA">
            <w:pPr>
              <w:tabs>
                <w:tab w:val="left" w:pos="0"/>
              </w:tabs>
              <w:spacing w:after="0" w:line="240" w:lineRule="auto"/>
              <w:jc w:val="left"/>
              <w:rPr>
                <w:lang w:val="sr-Latn-RS"/>
              </w:rPr>
            </w:pPr>
            <w:r w:rsidRPr="00D83594">
              <w:rPr>
                <w:color w:val="000000"/>
                <w:sz w:val="18"/>
                <w:szCs w:val="18"/>
                <w:lang w:val="sr-Latn-RS" w:eastAsia="sl-SI"/>
              </w:rPr>
              <w:t>TE-TO Novi Sad</w:t>
            </w:r>
          </w:p>
        </w:tc>
        <w:tc>
          <w:tcPr>
            <w:tcW w:w="2484" w:type="dxa"/>
            <w:shd w:val="clear" w:color="auto" w:fill="auto"/>
            <w:vAlign w:val="center"/>
          </w:tcPr>
          <w:p w14:paraId="4CB87591" w14:textId="2501FBBA" w:rsidR="00D548FE" w:rsidRPr="00D83594" w:rsidRDefault="00AC327D" w:rsidP="003631EA">
            <w:pPr>
              <w:tabs>
                <w:tab w:val="left" w:pos="0"/>
              </w:tabs>
              <w:spacing w:after="0" w:line="240" w:lineRule="auto"/>
              <w:jc w:val="center"/>
              <w:rPr>
                <w:lang w:val="sr-Latn-RS"/>
              </w:rPr>
            </w:pPr>
            <w:r>
              <w:rPr>
                <w:color w:val="000000"/>
                <w:sz w:val="18"/>
                <w:szCs w:val="18"/>
                <w:lang w:val="sr-Latn-RS" w:eastAsia="sl-SI"/>
              </w:rPr>
              <w:t>208</w:t>
            </w:r>
          </w:p>
        </w:tc>
        <w:tc>
          <w:tcPr>
            <w:tcW w:w="2066" w:type="dxa"/>
            <w:shd w:val="clear" w:color="auto" w:fill="auto"/>
            <w:vAlign w:val="center"/>
          </w:tcPr>
          <w:p w14:paraId="5B831690" w14:textId="56C76E7E" w:rsidR="00D548FE" w:rsidRPr="00D83594" w:rsidRDefault="00D548FE" w:rsidP="003631EA">
            <w:pPr>
              <w:tabs>
                <w:tab w:val="left" w:pos="0"/>
              </w:tabs>
              <w:spacing w:after="0" w:line="240" w:lineRule="auto"/>
              <w:jc w:val="center"/>
              <w:rPr>
                <w:lang w:val="sr-Latn-RS"/>
              </w:rPr>
            </w:pPr>
            <w:r>
              <w:rPr>
                <w:color w:val="000000"/>
                <w:sz w:val="18"/>
                <w:szCs w:val="18"/>
                <w:lang w:val="sr-Latn-RS" w:eastAsia="sl-SI"/>
              </w:rPr>
              <w:t>Natural gas</w:t>
            </w:r>
            <w:r w:rsidRPr="00D83594">
              <w:rPr>
                <w:color w:val="000000"/>
                <w:sz w:val="18"/>
                <w:szCs w:val="18"/>
                <w:lang w:val="sr-Latn-RS" w:eastAsia="sl-SI"/>
              </w:rPr>
              <w:t xml:space="preserve">, </w:t>
            </w:r>
            <w:r>
              <w:rPr>
                <w:color w:val="000000"/>
                <w:sz w:val="18"/>
                <w:szCs w:val="18"/>
                <w:lang w:val="sr-Latn-RS" w:eastAsia="sl-SI"/>
              </w:rPr>
              <w:t>Fuel oil</w:t>
            </w:r>
          </w:p>
        </w:tc>
      </w:tr>
      <w:tr w:rsidR="00D548FE" w:rsidRPr="00D83594" w14:paraId="72D378E5" w14:textId="77777777" w:rsidTr="003631EA">
        <w:trPr>
          <w:trHeight w:val="390"/>
        </w:trPr>
        <w:tc>
          <w:tcPr>
            <w:tcW w:w="2100" w:type="dxa"/>
            <w:shd w:val="clear" w:color="auto" w:fill="auto"/>
            <w:vAlign w:val="center"/>
          </w:tcPr>
          <w:p w14:paraId="1FF8AFFC" w14:textId="77777777" w:rsidR="00D548FE" w:rsidRPr="00D83594" w:rsidRDefault="00D548FE" w:rsidP="003631EA">
            <w:pPr>
              <w:tabs>
                <w:tab w:val="left" w:pos="0"/>
              </w:tabs>
              <w:spacing w:after="0" w:line="240" w:lineRule="auto"/>
              <w:jc w:val="left"/>
              <w:rPr>
                <w:lang w:val="sr-Latn-RS"/>
              </w:rPr>
            </w:pPr>
            <w:r w:rsidRPr="00D83594">
              <w:rPr>
                <w:color w:val="000000"/>
                <w:sz w:val="18"/>
                <w:szCs w:val="18"/>
                <w:lang w:val="sr-Latn-RS" w:eastAsia="sl-SI"/>
              </w:rPr>
              <w:t>TE-TO Zrenjanin</w:t>
            </w:r>
          </w:p>
        </w:tc>
        <w:tc>
          <w:tcPr>
            <w:tcW w:w="2484" w:type="dxa"/>
            <w:shd w:val="clear" w:color="auto" w:fill="auto"/>
            <w:vAlign w:val="center"/>
          </w:tcPr>
          <w:p w14:paraId="22842A05" w14:textId="0AACE2A2" w:rsidR="00D548FE" w:rsidRPr="00D83594" w:rsidRDefault="00AC327D" w:rsidP="003631EA">
            <w:pPr>
              <w:tabs>
                <w:tab w:val="left" w:pos="0"/>
              </w:tabs>
              <w:spacing w:after="0" w:line="240" w:lineRule="auto"/>
              <w:jc w:val="center"/>
              <w:rPr>
                <w:lang w:val="sr-Latn-RS"/>
              </w:rPr>
            </w:pPr>
            <w:r>
              <w:rPr>
                <w:color w:val="000000"/>
                <w:sz w:val="18"/>
                <w:szCs w:val="18"/>
                <w:lang w:val="sr-Latn-RS" w:eastAsia="sl-SI"/>
              </w:rPr>
              <w:t>110</w:t>
            </w:r>
          </w:p>
        </w:tc>
        <w:tc>
          <w:tcPr>
            <w:tcW w:w="2066" w:type="dxa"/>
            <w:shd w:val="clear" w:color="auto" w:fill="auto"/>
            <w:vAlign w:val="center"/>
          </w:tcPr>
          <w:p w14:paraId="434CC2A1" w14:textId="7F8473F5" w:rsidR="00D548FE" w:rsidRPr="00D83594" w:rsidRDefault="00D548FE" w:rsidP="003631EA">
            <w:pPr>
              <w:tabs>
                <w:tab w:val="left" w:pos="0"/>
              </w:tabs>
              <w:spacing w:after="0" w:line="240" w:lineRule="auto"/>
              <w:jc w:val="center"/>
              <w:rPr>
                <w:lang w:val="sr-Latn-RS"/>
              </w:rPr>
            </w:pPr>
            <w:r>
              <w:rPr>
                <w:color w:val="000000"/>
                <w:sz w:val="18"/>
                <w:szCs w:val="18"/>
                <w:lang w:val="sr-Latn-RS" w:eastAsia="sl-SI"/>
              </w:rPr>
              <w:t>Natural gas</w:t>
            </w:r>
            <w:r w:rsidRPr="00D83594">
              <w:rPr>
                <w:color w:val="000000"/>
                <w:sz w:val="18"/>
                <w:szCs w:val="18"/>
                <w:lang w:val="sr-Latn-RS" w:eastAsia="sl-SI"/>
              </w:rPr>
              <w:t xml:space="preserve">, </w:t>
            </w:r>
            <w:r>
              <w:rPr>
                <w:color w:val="000000"/>
                <w:sz w:val="18"/>
                <w:szCs w:val="18"/>
                <w:lang w:val="sr-Latn-RS" w:eastAsia="sl-SI"/>
              </w:rPr>
              <w:t>Fuel oil</w:t>
            </w:r>
          </w:p>
        </w:tc>
      </w:tr>
      <w:tr w:rsidR="00D548FE" w:rsidRPr="00D83594" w14:paraId="09DDCEAE" w14:textId="77777777" w:rsidTr="003631EA">
        <w:trPr>
          <w:trHeight w:val="390"/>
        </w:trPr>
        <w:tc>
          <w:tcPr>
            <w:tcW w:w="2100" w:type="dxa"/>
            <w:shd w:val="clear" w:color="auto" w:fill="auto"/>
            <w:vAlign w:val="center"/>
          </w:tcPr>
          <w:p w14:paraId="35D1E44D" w14:textId="77777777" w:rsidR="00D548FE" w:rsidRPr="00D83594" w:rsidRDefault="00D548FE" w:rsidP="003631EA">
            <w:pPr>
              <w:tabs>
                <w:tab w:val="left" w:pos="0"/>
              </w:tabs>
              <w:spacing w:after="0" w:line="240" w:lineRule="auto"/>
              <w:jc w:val="left"/>
              <w:rPr>
                <w:lang w:val="sr-Latn-RS"/>
              </w:rPr>
            </w:pPr>
            <w:r w:rsidRPr="00D83594">
              <w:rPr>
                <w:color w:val="000000"/>
                <w:sz w:val="18"/>
                <w:szCs w:val="18"/>
                <w:lang w:val="sr-Latn-RS" w:eastAsia="sl-SI"/>
              </w:rPr>
              <w:t>TE-TO S. Mitrovica</w:t>
            </w:r>
          </w:p>
        </w:tc>
        <w:tc>
          <w:tcPr>
            <w:tcW w:w="2484" w:type="dxa"/>
            <w:shd w:val="clear" w:color="auto" w:fill="auto"/>
            <w:vAlign w:val="center"/>
          </w:tcPr>
          <w:p w14:paraId="5030223B" w14:textId="2AA0515A" w:rsidR="00D548FE" w:rsidRPr="00D83594" w:rsidRDefault="00AC327D" w:rsidP="003631EA">
            <w:pPr>
              <w:tabs>
                <w:tab w:val="left" w:pos="0"/>
              </w:tabs>
              <w:spacing w:after="0" w:line="240" w:lineRule="auto"/>
              <w:jc w:val="center"/>
              <w:rPr>
                <w:lang w:val="sr-Latn-RS"/>
              </w:rPr>
            </w:pPr>
            <w:r>
              <w:rPr>
                <w:color w:val="000000"/>
                <w:sz w:val="18"/>
                <w:szCs w:val="18"/>
                <w:lang w:val="sr-Latn-RS" w:eastAsia="sl-SI"/>
              </w:rPr>
              <w:t>14</w:t>
            </w:r>
          </w:p>
        </w:tc>
        <w:tc>
          <w:tcPr>
            <w:tcW w:w="2066" w:type="dxa"/>
            <w:shd w:val="clear" w:color="auto" w:fill="auto"/>
            <w:vAlign w:val="center"/>
          </w:tcPr>
          <w:p w14:paraId="619E1D7A" w14:textId="1E776397" w:rsidR="00D548FE" w:rsidRPr="00D83594" w:rsidRDefault="00D548FE" w:rsidP="003631EA">
            <w:pPr>
              <w:tabs>
                <w:tab w:val="left" w:pos="0"/>
              </w:tabs>
              <w:spacing w:after="0" w:line="240" w:lineRule="auto"/>
              <w:jc w:val="center"/>
              <w:rPr>
                <w:lang w:val="sr-Latn-RS"/>
              </w:rPr>
            </w:pPr>
            <w:r w:rsidRPr="00D83594">
              <w:rPr>
                <w:color w:val="000000"/>
                <w:sz w:val="18"/>
                <w:szCs w:val="18"/>
                <w:lang w:val="sr-Latn-RS" w:eastAsia="sl-SI"/>
              </w:rPr>
              <w:t>Bio</w:t>
            </w:r>
            <w:r>
              <w:rPr>
                <w:color w:val="000000"/>
                <w:sz w:val="18"/>
                <w:szCs w:val="18"/>
                <w:lang w:val="sr-Latn-RS" w:eastAsia="sl-SI"/>
              </w:rPr>
              <w:t>mass</w:t>
            </w:r>
            <w:r w:rsidRPr="00D83594">
              <w:rPr>
                <w:color w:val="000000"/>
                <w:sz w:val="18"/>
                <w:szCs w:val="18"/>
                <w:lang w:val="sr-Latn-RS" w:eastAsia="sl-SI"/>
              </w:rPr>
              <w:t xml:space="preserve">, </w:t>
            </w:r>
            <w:r>
              <w:rPr>
                <w:color w:val="000000"/>
                <w:sz w:val="18"/>
                <w:szCs w:val="18"/>
                <w:lang w:val="sr-Latn-RS" w:eastAsia="sl-SI"/>
              </w:rPr>
              <w:t>natural gas</w:t>
            </w:r>
            <w:r w:rsidRPr="00D83594">
              <w:rPr>
                <w:color w:val="000000"/>
                <w:sz w:val="18"/>
                <w:szCs w:val="18"/>
                <w:lang w:val="sr-Latn-RS" w:eastAsia="sl-SI"/>
              </w:rPr>
              <w:t xml:space="preserve">, </w:t>
            </w:r>
            <w:r>
              <w:rPr>
                <w:color w:val="000000"/>
                <w:sz w:val="18"/>
                <w:szCs w:val="18"/>
                <w:lang w:val="sr-Latn-RS" w:eastAsia="sl-SI"/>
              </w:rPr>
              <w:t>fuel Oil</w:t>
            </w:r>
          </w:p>
        </w:tc>
      </w:tr>
      <w:tr w:rsidR="00D548FE" w:rsidRPr="00D83594" w14:paraId="5BA63806" w14:textId="77777777" w:rsidTr="003631EA">
        <w:trPr>
          <w:trHeight w:val="390"/>
        </w:trPr>
        <w:tc>
          <w:tcPr>
            <w:tcW w:w="2100" w:type="dxa"/>
            <w:shd w:val="clear" w:color="auto" w:fill="auto"/>
            <w:vAlign w:val="center"/>
          </w:tcPr>
          <w:p w14:paraId="1DC13225" w14:textId="57CE4FCF" w:rsidR="00D548FE" w:rsidRPr="00D83594" w:rsidRDefault="00D548FE" w:rsidP="003631EA">
            <w:pPr>
              <w:tabs>
                <w:tab w:val="left" w:pos="0"/>
              </w:tabs>
              <w:spacing w:after="0" w:line="240" w:lineRule="auto"/>
              <w:jc w:val="left"/>
              <w:rPr>
                <w:color w:val="000000"/>
                <w:sz w:val="18"/>
                <w:szCs w:val="18"/>
                <w:lang w:val="sr-Latn-RS" w:eastAsia="sl-SI"/>
              </w:rPr>
            </w:pPr>
            <w:r>
              <w:rPr>
                <w:color w:val="000000"/>
                <w:sz w:val="18"/>
                <w:szCs w:val="18"/>
                <w:lang w:val="sr-Latn-RS" w:eastAsia="sl-SI"/>
              </w:rPr>
              <w:t>TE-TO Pančevo</w:t>
            </w:r>
          </w:p>
        </w:tc>
        <w:tc>
          <w:tcPr>
            <w:tcW w:w="2484" w:type="dxa"/>
            <w:shd w:val="clear" w:color="auto" w:fill="auto"/>
            <w:vAlign w:val="center"/>
          </w:tcPr>
          <w:p w14:paraId="17AD67CC" w14:textId="0AB1A4A2" w:rsidR="00D548FE" w:rsidRPr="00D83594" w:rsidRDefault="00AC327D" w:rsidP="003631EA">
            <w:pPr>
              <w:tabs>
                <w:tab w:val="left" w:pos="0"/>
              </w:tabs>
              <w:spacing w:after="0" w:line="240" w:lineRule="auto"/>
              <w:jc w:val="center"/>
              <w:rPr>
                <w:color w:val="000000"/>
                <w:sz w:val="18"/>
                <w:szCs w:val="18"/>
                <w:lang w:val="sr-Latn-RS" w:eastAsia="sl-SI"/>
              </w:rPr>
            </w:pPr>
            <w:r>
              <w:rPr>
                <w:color w:val="000000"/>
                <w:sz w:val="18"/>
                <w:szCs w:val="18"/>
                <w:lang w:val="sr-Latn-RS" w:eastAsia="sl-SI"/>
              </w:rPr>
              <w:t>208</w:t>
            </w:r>
          </w:p>
        </w:tc>
        <w:tc>
          <w:tcPr>
            <w:tcW w:w="2066" w:type="dxa"/>
            <w:shd w:val="clear" w:color="auto" w:fill="auto"/>
            <w:vAlign w:val="center"/>
          </w:tcPr>
          <w:p w14:paraId="7273B2FB" w14:textId="4C9A5ED5" w:rsidR="00D548FE" w:rsidRPr="00D83594" w:rsidRDefault="00D548FE" w:rsidP="003631EA">
            <w:pPr>
              <w:tabs>
                <w:tab w:val="left" w:pos="0"/>
              </w:tabs>
              <w:spacing w:after="0" w:line="240" w:lineRule="auto"/>
              <w:jc w:val="center"/>
              <w:rPr>
                <w:color w:val="000000"/>
                <w:sz w:val="18"/>
                <w:szCs w:val="18"/>
                <w:lang w:val="sr-Latn-RS" w:eastAsia="sl-SI"/>
              </w:rPr>
            </w:pPr>
            <w:r>
              <w:rPr>
                <w:color w:val="000000"/>
                <w:sz w:val="18"/>
                <w:szCs w:val="18"/>
                <w:lang w:val="sr-Latn-RS" w:eastAsia="sl-SI"/>
              </w:rPr>
              <w:t>Natural Gas</w:t>
            </w:r>
          </w:p>
        </w:tc>
      </w:tr>
    </w:tbl>
    <w:p w14:paraId="313076BB" w14:textId="77777777" w:rsidR="00D548FE" w:rsidRPr="002462F0" w:rsidRDefault="00D548FE" w:rsidP="00D74044">
      <w:pPr>
        <w:autoSpaceDE w:val="0"/>
        <w:autoSpaceDN w:val="0"/>
        <w:adjustRightInd w:val="0"/>
        <w:spacing w:after="0" w:line="240" w:lineRule="auto"/>
        <w:rPr>
          <w:rFonts w:cs="MyriadPro-Regular"/>
          <w:color w:val="1D1D1B"/>
          <w:szCs w:val="20"/>
          <w:lang w:val="en-US"/>
        </w:rPr>
      </w:pPr>
    </w:p>
    <w:p w14:paraId="47E929A1" w14:textId="0E833ACB" w:rsidR="002C3754" w:rsidRDefault="002C3754" w:rsidP="00D74044">
      <w:pPr>
        <w:autoSpaceDE w:val="0"/>
        <w:autoSpaceDN w:val="0"/>
        <w:adjustRightInd w:val="0"/>
        <w:spacing w:after="0" w:line="240" w:lineRule="auto"/>
        <w:rPr>
          <w:rFonts w:cs="MyriadPro-Regular"/>
          <w:color w:val="1D1D1B"/>
          <w:szCs w:val="20"/>
          <w:lang w:val="en-US"/>
        </w:rPr>
      </w:pPr>
      <w:r w:rsidRPr="002462F0">
        <w:rPr>
          <w:rFonts w:cs="MyriadPro-Regular"/>
          <w:color w:val="1D1D1B"/>
          <w:szCs w:val="20"/>
          <w:lang w:val="en-US"/>
        </w:rPr>
        <w:t>The total consumption of all distribution companies and consumers in the electricity market and the consumption</w:t>
      </w:r>
      <w:r w:rsidR="00D74044" w:rsidRPr="002462F0">
        <w:rPr>
          <w:rFonts w:cs="MyriadPro-Regular"/>
          <w:color w:val="1D1D1B"/>
          <w:szCs w:val="20"/>
          <w:lang w:val="en-US"/>
        </w:rPr>
        <w:t xml:space="preserve"> </w:t>
      </w:r>
      <w:r w:rsidRPr="002462F0">
        <w:rPr>
          <w:rFonts w:cs="MyriadPro-Regular"/>
          <w:color w:val="1D1D1B"/>
          <w:szCs w:val="20"/>
          <w:lang w:val="en-US"/>
        </w:rPr>
        <w:t>of electricity production is high. High consumption is greatly affected by the use of electricity for</w:t>
      </w:r>
      <w:r w:rsidR="00D74044" w:rsidRPr="002462F0">
        <w:rPr>
          <w:rFonts w:cs="MyriadPro-Regular"/>
          <w:color w:val="1D1D1B"/>
          <w:szCs w:val="20"/>
          <w:lang w:val="en-US"/>
        </w:rPr>
        <w:t xml:space="preserve"> </w:t>
      </w:r>
      <w:r w:rsidRPr="002462F0">
        <w:rPr>
          <w:rFonts w:cs="MyriadPro-Regular"/>
          <w:color w:val="1D1D1B"/>
          <w:szCs w:val="20"/>
          <w:lang w:val="en-US"/>
        </w:rPr>
        <w:t>household heating and the low</w:t>
      </w:r>
      <w:r w:rsidR="0092135B">
        <w:rPr>
          <w:rFonts w:cs="MyriadPro-Regular"/>
          <w:color w:val="1D1D1B"/>
          <w:szCs w:val="20"/>
          <w:lang w:val="en-US"/>
        </w:rPr>
        <w:t>-</w:t>
      </w:r>
      <w:r w:rsidRPr="002462F0">
        <w:rPr>
          <w:rFonts w:cs="MyriadPro-Regular"/>
          <w:color w:val="1D1D1B"/>
          <w:szCs w:val="20"/>
          <w:lang w:val="en-US"/>
        </w:rPr>
        <w:t>energy efficiency of buildings (mainly built in the 1970s and 1980s).</w:t>
      </w:r>
    </w:p>
    <w:p w14:paraId="07D595A8" w14:textId="77777777" w:rsidR="00314D9B" w:rsidRDefault="00314D9B" w:rsidP="00D74044">
      <w:pPr>
        <w:autoSpaceDE w:val="0"/>
        <w:autoSpaceDN w:val="0"/>
        <w:adjustRightInd w:val="0"/>
        <w:spacing w:after="0" w:line="240" w:lineRule="auto"/>
        <w:rPr>
          <w:rFonts w:cs="MyriadPro-Regular"/>
          <w:color w:val="1D1D1B"/>
          <w:szCs w:val="20"/>
          <w:lang w:val="en-US"/>
        </w:rPr>
      </w:pPr>
    </w:p>
    <w:p w14:paraId="059D5502" w14:textId="5D5A1ED7" w:rsidR="0092135B" w:rsidRDefault="0092135B" w:rsidP="00D74044">
      <w:pPr>
        <w:autoSpaceDE w:val="0"/>
        <w:autoSpaceDN w:val="0"/>
        <w:adjustRightInd w:val="0"/>
        <w:spacing w:after="0" w:line="240" w:lineRule="auto"/>
        <w:rPr>
          <w:rFonts w:cs="MyriadPro-Regular"/>
          <w:color w:val="1D1D1B"/>
          <w:szCs w:val="20"/>
          <w:lang w:val="en-US"/>
        </w:rPr>
      </w:pPr>
      <w:r>
        <w:rPr>
          <w:rFonts w:cs="MyriadPro-Regular"/>
          <w:color w:val="1D1D1B"/>
          <w:szCs w:val="20"/>
          <w:lang w:val="en-US"/>
        </w:rPr>
        <w:t xml:space="preserve">The </w:t>
      </w:r>
      <w:r w:rsidR="008C62D7">
        <w:rPr>
          <w:rFonts w:cs="MyriadPro-Regular"/>
          <w:color w:val="1D1D1B"/>
          <w:szCs w:val="20"/>
          <w:lang w:val="en-US"/>
        </w:rPr>
        <w:t xml:space="preserve">evolution of </w:t>
      </w:r>
      <w:r w:rsidR="00AC327D">
        <w:rPr>
          <w:rFonts w:cs="MyriadPro-Regular"/>
          <w:color w:val="1D1D1B"/>
          <w:szCs w:val="20"/>
          <w:lang w:val="en-US"/>
        </w:rPr>
        <w:t>fuel consumption</w:t>
      </w:r>
      <w:r>
        <w:rPr>
          <w:rFonts w:cs="MyriadPro-Regular"/>
          <w:color w:val="1D1D1B"/>
          <w:szCs w:val="20"/>
          <w:lang w:val="en-US"/>
        </w:rPr>
        <w:t xml:space="preserve"> </w:t>
      </w:r>
      <w:r w:rsidR="008C62D7">
        <w:rPr>
          <w:rFonts w:cs="MyriadPro-Regular"/>
          <w:color w:val="1D1D1B"/>
          <w:szCs w:val="20"/>
          <w:lang w:val="en-US"/>
        </w:rPr>
        <w:t xml:space="preserve">in the public heat and electricity production sector are presented in the following </w:t>
      </w:r>
      <w:r w:rsidR="00AC327D">
        <w:rPr>
          <w:rFonts w:cs="MyriadPro-Regular"/>
          <w:color w:val="1D1D1B"/>
          <w:szCs w:val="20"/>
          <w:lang w:val="en-US"/>
        </w:rPr>
        <w:fldChar w:fldCharType="begin"/>
      </w:r>
      <w:r w:rsidR="00AC327D">
        <w:rPr>
          <w:rFonts w:cs="MyriadPro-Regular"/>
          <w:color w:val="1D1D1B"/>
          <w:szCs w:val="20"/>
          <w:lang w:val="en-US"/>
        </w:rPr>
        <w:instrText xml:space="preserve"> REF _Ref183687647 \h </w:instrText>
      </w:r>
      <w:r w:rsidR="00AC327D">
        <w:rPr>
          <w:rFonts w:cs="MyriadPro-Regular"/>
          <w:color w:val="1D1D1B"/>
          <w:szCs w:val="20"/>
          <w:lang w:val="en-US"/>
        </w:rPr>
      </w:r>
      <w:r w:rsidR="00AC327D">
        <w:rPr>
          <w:rFonts w:cs="MyriadPro-Regular"/>
          <w:color w:val="1D1D1B"/>
          <w:szCs w:val="20"/>
          <w:lang w:val="en-US"/>
        </w:rPr>
        <w:fldChar w:fldCharType="separate"/>
      </w:r>
      <w:r w:rsidR="00AC327D">
        <w:t xml:space="preserve">Figure </w:t>
      </w:r>
      <w:r w:rsidR="00AC327D">
        <w:rPr>
          <w:noProof/>
        </w:rPr>
        <w:t>6</w:t>
      </w:r>
      <w:r w:rsidR="00AC327D">
        <w:rPr>
          <w:rFonts w:cs="MyriadPro-Regular"/>
          <w:color w:val="1D1D1B"/>
          <w:szCs w:val="20"/>
          <w:lang w:val="en-US"/>
        </w:rPr>
        <w:fldChar w:fldCharType="end"/>
      </w:r>
      <w:r w:rsidR="008C62D7">
        <w:rPr>
          <w:rFonts w:cs="MyriadPro-Regular"/>
          <w:color w:val="1D1D1B"/>
          <w:szCs w:val="20"/>
          <w:lang w:val="en-US"/>
        </w:rPr>
        <w:t xml:space="preserve">. </w:t>
      </w:r>
      <w:r w:rsidR="00AC327D">
        <w:rPr>
          <w:rFonts w:cs="MyriadPro-Regular"/>
          <w:color w:val="1D1D1B"/>
          <w:szCs w:val="20"/>
          <w:lang w:val="en-US"/>
        </w:rPr>
        <w:t>O</w:t>
      </w:r>
      <w:r w:rsidR="00974049">
        <w:rPr>
          <w:rFonts w:cs="MyriadPro-Regular"/>
          <w:color w:val="1D1D1B"/>
          <w:szCs w:val="20"/>
          <w:lang w:val="en-US"/>
        </w:rPr>
        <w:t xml:space="preserve">verall fuel consumption decreased by 25% between 1990 and 2022. </w:t>
      </w:r>
      <w:r w:rsidR="00A424A2">
        <w:rPr>
          <w:rFonts w:cs="MyriadPro-Regular"/>
          <w:color w:val="1D1D1B"/>
          <w:szCs w:val="20"/>
          <w:lang w:val="en-US"/>
        </w:rPr>
        <w:t xml:space="preserve">Solid fuels, and in particular lignite </w:t>
      </w:r>
      <w:r w:rsidR="00974049">
        <w:rPr>
          <w:rFonts w:cs="MyriadPro-Regular"/>
          <w:color w:val="1D1D1B"/>
          <w:szCs w:val="20"/>
          <w:lang w:val="en-US"/>
        </w:rPr>
        <w:t>is the fuel contributing</w:t>
      </w:r>
      <w:r w:rsidR="00A424A2">
        <w:rPr>
          <w:rFonts w:cs="MyriadPro-Regular"/>
          <w:color w:val="1D1D1B"/>
          <w:szCs w:val="20"/>
          <w:lang w:val="en-US"/>
        </w:rPr>
        <w:t xml:space="preserve"> to the highest share of the fuel consumption </w:t>
      </w:r>
      <w:r w:rsidR="006027FB">
        <w:rPr>
          <w:rFonts w:cs="MyriadPro-Regular"/>
          <w:color w:val="1D1D1B"/>
          <w:szCs w:val="20"/>
          <w:lang w:val="en-US"/>
        </w:rPr>
        <w:t xml:space="preserve">over the whole studied period, with </w:t>
      </w:r>
      <w:r w:rsidR="00206FDA">
        <w:rPr>
          <w:rFonts w:cs="MyriadPro-Regular"/>
          <w:color w:val="1D1D1B"/>
          <w:szCs w:val="20"/>
          <w:lang w:val="en-US"/>
        </w:rPr>
        <w:t xml:space="preserve">91% of the share in 1990 and 84% in 2022. </w:t>
      </w:r>
      <w:r w:rsidR="00AC327D">
        <w:rPr>
          <w:rFonts w:cs="MyriadPro-Regular"/>
          <w:color w:val="1D1D1B"/>
          <w:szCs w:val="20"/>
          <w:lang w:val="en-US"/>
        </w:rPr>
        <w:t>Liquid</w:t>
      </w:r>
      <w:r w:rsidR="009114C3">
        <w:rPr>
          <w:rFonts w:cs="MyriadPro-Regular"/>
          <w:color w:val="1D1D1B"/>
          <w:szCs w:val="20"/>
          <w:lang w:val="en-US"/>
        </w:rPr>
        <w:t xml:space="preserve"> fuel consumptions </w:t>
      </w:r>
      <w:r w:rsidR="00385115">
        <w:rPr>
          <w:rFonts w:cs="MyriadPro-Regular"/>
          <w:color w:val="1D1D1B"/>
          <w:szCs w:val="20"/>
          <w:lang w:val="en-US"/>
        </w:rPr>
        <w:t xml:space="preserve">also significantly decreased between 1990 and </w:t>
      </w:r>
      <w:r w:rsidR="00B03B7A">
        <w:rPr>
          <w:rFonts w:cs="MyriadPro-Regular"/>
          <w:color w:val="1D1D1B"/>
          <w:szCs w:val="20"/>
          <w:lang w:val="en-US"/>
        </w:rPr>
        <w:t>2022 and</w:t>
      </w:r>
      <w:r w:rsidR="00385115">
        <w:rPr>
          <w:rFonts w:cs="MyriadPro-Regular"/>
          <w:color w:val="1D1D1B"/>
          <w:szCs w:val="20"/>
          <w:lang w:val="en-US"/>
        </w:rPr>
        <w:t xml:space="preserve"> have been substituted by the increasing use of natural gas, which more than </w:t>
      </w:r>
      <w:r w:rsidR="00385115">
        <w:rPr>
          <w:rFonts w:cs="MyriadPro-Regular"/>
          <w:color w:val="1D1D1B"/>
          <w:szCs w:val="20"/>
          <w:lang w:val="en-US"/>
        </w:rPr>
        <w:lastRenderedPageBreak/>
        <w:t xml:space="preserve">doubled for the same period, and also biomass which </w:t>
      </w:r>
      <w:r w:rsidR="005804A6">
        <w:rPr>
          <w:rFonts w:cs="MyriadPro-Regular"/>
          <w:color w:val="1D1D1B"/>
          <w:szCs w:val="20"/>
          <w:lang w:val="en-US"/>
        </w:rPr>
        <w:t>have slightly developed since 2007 but stays relatively marginal in the overall share in 2022.</w:t>
      </w:r>
    </w:p>
    <w:p w14:paraId="1BF891E4" w14:textId="4BCFBA05" w:rsidR="008C62D7" w:rsidRDefault="00520A9A" w:rsidP="00622F40">
      <w:pPr>
        <w:keepNext/>
        <w:autoSpaceDE w:val="0"/>
        <w:autoSpaceDN w:val="0"/>
        <w:adjustRightInd w:val="0"/>
        <w:spacing w:after="0" w:line="240" w:lineRule="auto"/>
      </w:pPr>
      <w:r w:rsidRPr="00AC327D">
        <w:rPr>
          <w:noProof/>
          <w:highlight w:val="yellow"/>
          <w:lang w:val="en-US"/>
        </w:rPr>
        <w:drawing>
          <wp:inline distT="0" distB="0" distL="0" distR="0" wp14:anchorId="5722F273" wp14:editId="2DF930BE">
            <wp:extent cx="6145530" cy="4048125"/>
            <wp:effectExtent l="0" t="0" r="7620" b="9525"/>
            <wp:docPr id="1929146581"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5530" cy="4048125"/>
                    </a:xfrm>
                    <a:prstGeom prst="rect">
                      <a:avLst/>
                    </a:prstGeom>
                    <a:noFill/>
                  </pic:spPr>
                </pic:pic>
              </a:graphicData>
            </a:graphic>
          </wp:inline>
        </w:drawing>
      </w:r>
    </w:p>
    <w:p w14:paraId="58A5C0D9" w14:textId="47925F3C" w:rsidR="00314D9B" w:rsidRDefault="008C62D7" w:rsidP="00AC327D">
      <w:pPr>
        <w:pStyle w:val="Caption"/>
        <w:spacing w:before="0"/>
        <w:jc w:val="both"/>
      </w:pPr>
      <w:bookmarkStart w:id="189" w:name="_Ref183687647"/>
      <w:bookmarkStart w:id="190" w:name="_Toc184808393"/>
      <w:r w:rsidRPr="007759DA">
        <w:t xml:space="preserve">Figure </w:t>
      </w:r>
      <w:r w:rsidRPr="007759DA">
        <w:fldChar w:fldCharType="begin"/>
      </w:r>
      <w:r w:rsidRPr="007759DA">
        <w:instrText xml:space="preserve"> SEQ Figure \* ARABIC </w:instrText>
      </w:r>
      <w:r w:rsidRPr="007759DA">
        <w:fldChar w:fldCharType="separate"/>
      </w:r>
      <w:r w:rsidR="00F14C78" w:rsidRPr="007759DA">
        <w:rPr>
          <w:noProof/>
        </w:rPr>
        <w:t>6</w:t>
      </w:r>
      <w:r w:rsidRPr="007759DA">
        <w:fldChar w:fldCharType="end"/>
      </w:r>
      <w:bookmarkEnd w:id="189"/>
      <w:r w:rsidRPr="007759DA">
        <w:t xml:space="preserve"> : Fuel consumptions in Public electricity</w:t>
      </w:r>
      <w:r w:rsidR="00AC327D" w:rsidRPr="007759DA">
        <w:t xml:space="preserve"> and heat</w:t>
      </w:r>
      <w:r w:rsidRPr="007759DA">
        <w:t xml:space="preserve"> production (CRT 1A1a), for the period 1990-2022</w:t>
      </w:r>
      <w:r w:rsidR="00520A9A" w:rsidRPr="007759DA">
        <w:t xml:space="preserve"> (in TJ)</w:t>
      </w:r>
      <w:bookmarkEnd w:id="190"/>
    </w:p>
    <w:p w14:paraId="69E18833" w14:textId="4C75DB8F" w:rsidR="009A6C5C" w:rsidRPr="00622F40" w:rsidRDefault="009A6C5C" w:rsidP="00622F40">
      <w:r>
        <w:t xml:space="preserve">The GHG emissions, </w:t>
      </w:r>
      <w:r w:rsidR="00592BD0">
        <w:t xml:space="preserve">which are mainly </w:t>
      </w:r>
      <w:r w:rsidR="00540F05">
        <w:t>related</w:t>
      </w:r>
      <w:r>
        <w:t xml:space="preserve"> </w:t>
      </w:r>
      <w:r w:rsidR="00540F05">
        <w:t xml:space="preserve">to </w:t>
      </w:r>
      <w:r>
        <w:t>CO</w:t>
      </w:r>
      <w:r w:rsidRPr="00622F40">
        <w:rPr>
          <w:vertAlign w:val="subscript"/>
        </w:rPr>
        <w:t>2</w:t>
      </w:r>
      <w:r w:rsidR="000C1F0B">
        <w:t xml:space="preserve">, </w:t>
      </w:r>
      <w:r w:rsidR="007204C5">
        <w:t>evolve</w:t>
      </w:r>
      <w:r w:rsidR="002C1AFA">
        <w:t xml:space="preserve"> as follows: </w:t>
      </w:r>
    </w:p>
    <w:p w14:paraId="2561E689" w14:textId="6F6D4FC5" w:rsidR="002C3754" w:rsidRDefault="00DE73B5" w:rsidP="00AC327D">
      <w:pPr>
        <w:spacing w:after="0"/>
        <w:jc w:val="center"/>
        <w:rPr>
          <w:lang w:eastAsia="fr-FR"/>
        </w:rPr>
      </w:pPr>
      <w:r w:rsidRPr="00AC327D">
        <w:rPr>
          <w:noProof/>
          <w:highlight w:val="yellow"/>
          <w:lang w:val="en-US"/>
        </w:rPr>
        <w:drawing>
          <wp:inline distT="0" distB="0" distL="0" distR="0" wp14:anchorId="5EA21C6C" wp14:editId="5ADAC1FB">
            <wp:extent cx="5857240" cy="2068717"/>
            <wp:effectExtent l="0" t="0" r="0" b="8255"/>
            <wp:docPr id="296366607"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80279" cy="2076854"/>
                    </a:xfrm>
                    <a:prstGeom prst="rect">
                      <a:avLst/>
                    </a:prstGeom>
                    <a:noFill/>
                  </pic:spPr>
                </pic:pic>
              </a:graphicData>
            </a:graphic>
          </wp:inline>
        </w:drawing>
      </w:r>
    </w:p>
    <w:p w14:paraId="36B2AEFA" w14:textId="370E4E4B" w:rsidR="00AC327D" w:rsidRPr="002462F0" w:rsidRDefault="00AC327D" w:rsidP="003631EA">
      <w:pPr>
        <w:pStyle w:val="Caption"/>
        <w:keepNext/>
        <w:spacing w:before="0"/>
        <w:jc w:val="left"/>
      </w:pPr>
      <w:bookmarkStart w:id="191" w:name="_Toc184808394"/>
      <w:r w:rsidRPr="001C54FC">
        <w:t xml:space="preserve">Figure </w:t>
      </w:r>
      <w:r w:rsidRPr="001C54FC">
        <w:fldChar w:fldCharType="begin"/>
      </w:r>
      <w:r w:rsidRPr="001C54FC">
        <w:instrText xml:space="preserve"> SEQ Figure \* ARABIC </w:instrText>
      </w:r>
      <w:r w:rsidRPr="001C54FC">
        <w:fldChar w:fldCharType="separate"/>
      </w:r>
      <w:r w:rsidRPr="001C54FC">
        <w:rPr>
          <w:noProof/>
        </w:rPr>
        <w:t>7</w:t>
      </w:r>
      <w:r w:rsidRPr="001C54FC">
        <w:fldChar w:fldCharType="end"/>
      </w:r>
      <w:r w:rsidRPr="001C54FC">
        <w:t>: GHG emissions for Public Electricity and Heat production (CRT 1A) for the period 1990-2022 (in kt CO</w:t>
      </w:r>
      <w:r w:rsidRPr="001C54FC">
        <w:rPr>
          <w:vertAlign w:val="subscript"/>
        </w:rPr>
        <w:t>2</w:t>
      </w:r>
      <w:r w:rsidRPr="001C54FC">
        <w:t>e)</w:t>
      </w:r>
      <w:bookmarkEnd w:id="191"/>
    </w:p>
    <w:p w14:paraId="37D5CDE4" w14:textId="721A8BC2" w:rsidR="00D74044" w:rsidRPr="002462F0" w:rsidRDefault="00F16F2C" w:rsidP="00D74044">
      <w:pPr>
        <w:autoSpaceDE w:val="0"/>
        <w:autoSpaceDN w:val="0"/>
        <w:adjustRightInd w:val="0"/>
        <w:spacing w:after="0" w:line="240" w:lineRule="auto"/>
        <w:rPr>
          <w:rFonts w:cs="MyriadPro-Regular"/>
          <w:color w:val="1D1D1B"/>
          <w:szCs w:val="20"/>
        </w:rPr>
      </w:pPr>
      <w:r>
        <w:rPr>
          <w:rFonts w:cs="MyriadPro-Regular"/>
          <w:color w:val="1D1D1B"/>
          <w:szCs w:val="20"/>
        </w:rPr>
        <w:t xml:space="preserve">In general, </w:t>
      </w:r>
      <w:r w:rsidR="00D74044" w:rsidRPr="002462F0">
        <w:rPr>
          <w:rFonts w:cs="MyriadPro-Regular"/>
          <w:color w:val="1D1D1B"/>
          <w:szCs w:val="20"/>
        </w:rPr>
        <w:t>GHG emissions from the public electricity and heat production</w:t>
      </w:r>
      <w:r>
        <w:rPr>
          <w:rFonts w:cs="MyriadPro-Regular"/>
          <w:color w:val="1D1D1B"/>
          <w:szCs w:val="20"/>
        </w:rPr>
        <w:t xml:space="preserve"> evolved as the general trend </w:t>
      </w:r>
      <w:r w:rsidR="00FF58B9">
        <w:rPr>
          <w:rFonts w:cs="MyriadPro-Regular"/>
          <w:color w:val="1D1D1B"/>
          <w:szCs w:val="20"/>
        </w:rPr>
        <w:t xml:space="preserve">described for the Energy sector in Chapter </w:t>
      </w:r>
      <w:r w:rsidR="00FF58B9">
        <w:rPr>
          <w:rFonts w:cs="MyriadPro-Regular"/>
          <w:color w:val="1D1D1B"/>
          <w:szCs w:val="20"/>
        </w:rPr>
        <w:fldChar w:fldCharType="begin"/>
      </w:r>
      <w:r w:rsidR="00FF58B9">
        <w:rPr>
          <w:rFonts w:cs="MyriadPro-Regular"/>
          <w:color w:val="1D1D1B"/>
          <w:szCs w:val="20"/>
        </w:rPr>
        <w:instrText xml:space="preserve"> REF _Ref175128919 \r \h </w:instrText>
      </w:r>
      <w:r w:rsidR="00FF58B9">
        <w:rPr>
          <w:rFonts w:cs="MyriadPro-Regular"/>
          <w:color w:val="1D1D1B"/>
          <w:szCs w:val="20"/>
        </w:rPr>
      </w:r>
      <w:r w:rsidR="00FF58B9">
        <w:rPr>
          <w:rFonts w:cs="MyriadPro-Regular"/>
          <w:color w:val="1D1D1B"/>
          <w:szCs w:val="20"/>
        </w:rPr>
        <w:fldChar w:fldCharType="separate"/>
      </w:r>
      <w:r w:rsidR="00F14C78">
        <w:rPr>
          <w:rFonts w:cs="MyriadPro-Regular"/>
          <w:color w:val="1D1D1B"/>
          <w:szCs w:val="20"/>
        </w:rPr>
        <w:t>3.1</w:t>
      </w:r>
      <w:r w:rsidR="00FF58B9">
        <w:rPr>
          <w:rFonts w:cs="MyriadPro-Regular"/>
          <w:color w:val="1D1D1B"/>
          <w:szCs w:val="20"/>
        </w:rPr>
        <w:fldChar w:fldCharType="end"/>
      </w:r>
      <w:r w:rsidR="00FF58B9">
        <w:rPr>
          <w:rFonts w:cs="MyriadPro-Regular"/>
          <w:color w:val="1D1D1B"/>
          <w:szCs w:val="20"/>
        </w:rPr>
        <w:t>.</w:t>
      </w:r>
      <w:r w:rsidR="00D74044" w:rsidRPr="002462F0">
        <w:rPr>
          <w:rFonts w:cs="MyriadPro-Regular"/>
          <w:color w:val="1D1D1B"/>
          <w:szCs w:val="20"/>
        </w:rPr>
        <w:t xml:space="preserve"> </w:t>
      </w:r>
      <w:r w:rsidR="00FF58B9">
        <w:rPr>
          <w:rFonts w:cs="MyriadPro-Regular"/>
          <w:color w:val="1D1D1B"/>
          <w:szCs w:val="20"/>
        </w:rPr>
        <w:t xml:space="preserve">First, the sector emissions </w:t>
      </w:r>
      <w:r w:rsidR="00D74044" w:rsidRPr="002462F0">
        <w:rPr>
          <w:rFonts w:cs="MyriadPro-Regular"/>
          <w:color w:val="1D1D1B"/>
          <w:szCs w:val="20"/>
        </w:rPr>
        <w:t>declined from 1990 to 1994 due to the decrease in industrial activities, caused by the</w:t>
      </w:r>
      <w:r w:rsidR="00AC327D">
        <w:rPr>
          <w:rFonts w:cs="MyriadPro-Regular"/>
          <w:color w:val="1D1D1B"/>
          <w:szCs w:val="20"/>
        </w:rPr>
        <w:t xml:space="preserve"> war in the Balkan and </w:t>
      </w:r>
      <w:r w:rsidR="00BA00B5">
        <w:rPr>
          <w:rFonts w:cs="MyriadPro-Regular"/>
          <w:color w:val="1D1D1B"/>
          <w:szCs w:val="20"/>
        </w:rPr>
        <w:t>economic crisis related to the hyperinflation which occurred</w:t>
      </w:r>
      <w:r w:rsidR="00BA00B5" w:rsidRPr="002462F0">
        <w:rPr>
          <w:rFonts w:cs="MyriadPro-Regular"/>
          <w:color w:val="1D1D1B"/>
          <w:szCs w:val="20"/>
        </w:rPr>
        <w:t xml:space="preserve"> </w:t>
      </w:r>
      <w:r w:rsidR="00D74044" w:rsidRPr="002462F0">
        <w:rPr>
          <w:rFonts w:cs="MyriadPro-Regular"/>
          <w:color w:val="1D1D1B"/>
          <w:szCs w:val="20"/>
        </w:rPr>
        <w:t xml:space="preserve">in </w:t>
      </w:r>
      <w:r w:rsidR="00BA00B5">
        <w:rPr>
          <w:rFonts w:cs="MyriadPro-Regular"/>
          <w:color w:val="1D1D1B"/>
          <w:szCs w:val="20"/>
        </w:rPr>
        <w:t xml:space="preserve">the Republic of </w:t>
      </w:r>
      <w:r w:rsidR="00D74044" w:rsidRPr="002462F0">
        <w:rPr>
          <w:rFonts w:cs="MyriadPro-Regular"/>
          <w:color w:val="1D1D1B"/>
          <w:szCs w:val="20"/>
        </w:rPr>
        <w:t>Serbia.</w:t>
      </w:r>
      <w:r w:rsidR="00BA00B5">
        <w:rPr>
          <w:rFonts w:cs="MyriadPro-Regular"/>
          <w:color w:val="1D1D1B"/>
          <w:szCs w:val="20"/>
        </w:rPr>
        <w:t xml:space="preserve"> </w:t>
      </w:r>
      <w:r w:rsidR="008E20C0">
        <w:rPr>
          <w:rFonts w:cs="MyriadPro-Regular"/>
          <w:color w:val="1D1D1B"/>
          <w:szCs w:val="20"/>
        </w:rPr>
        <w:t xml:space="preserve">Then, after increasing back to the pre-crisis level, </w:t>
      </w:r>
      <w:r w:rsidR="00430BE6">
        <w:rPr>
          <w:rFonts w:cs="MyriadPro-Regular"/>
          <w:color w:val="1D1D1B"/>
          <w:szCs w:val="20"/>
        </w:rPr>
        <w:t>they</w:t>
      </w:r>
      <w:r w:rsidR="008E20C0">
        <w:rPr>
          <w:rFonts w:cs="MyriadPro-Regular"/>
          <w:color w:val="1D1D1B"/>
          <w:szCs w:val="20"/>
        </w:rPr>
        <w:t xml:space="preserve"> plunged in 1999 following the NATO bombing. Since 2004, </w:t>
      </w:r>
      <w:r w:rsidR="00430BE6">
        <w:rPr>
          <w:rFonts w:cs="MyriadPro-Regular"/>
          <w:color w:val="1D1D1B"/>
          <w:szCs w:val="20"/>
        </w:rPr>
        <w:t>emissions</w:t>
      </w:r>
      <w:r w:rsidR="008E20C0">
        <w:rPr>
          <w:rFonts w:cs="MyriadPro-Regular"/>
          <w:color w:val="1D1D1B"/>
          <w:szCs w:val="20"/>
        </w:rPr>
        <w:t xml:space="preserve"> </w:t>
      </w:r>
      <w:r w:rsidR="00430BE6">
        <w:rPr>
          <w:rFonts w:cs="MyriadPro-Regular"/>
          <w:color w:val="1D1D1B"/>
          <w:szCs w:val="20"/>
        </w:rPr>
        <w:t xml:space="preserve">fluctuate </w:t>
      </w:r>
      <w:r w:rsidR="007B76D4">
        <w:rPr>
          <w:rFonts w:cs="MyriadPro-Regular"/>
          <w:color w:val="1D1D1B"/>
          <w:szCs w:val="20"/>
        </w:rPr>
        <w:t xml:space="preserve">with the climate conditions, the economic crisis and other external phenomena such as the floodings in 2014, but a general slightly declining trend can be observed. </w:t>
      </w:r>
      <w:r w:rsidR="00B13745">
        <w:rPr>
          <w:rFonts w:cs="MyriadPro-Regular"/>
          <w:color w:val="1D1D1B"/>
          <w:szCs w:val="20"/>
        </w:rPr>
        <w:t xml:space="preserve">In overall, a reduction of </w:t>
      </w:r>
      <w:r w:rsidR="003F0FDA">
        <w:rPr>
          <w:rFonts w:cs="MyriadPro-Regular"/>
          <w:color w:val="1D1D1B"/>
          <w:szCs w:val="20"/>
        </w:rPr>
        <w:t>25% can be observed for the period 1990-2022, mostly related to the fuel consumption evolution</w:t>
      </w:r>
      <w:r w:rsidR="00091AE3">
        <w:rPr>
          <w:rFonts w:cs="MyriadPro-Regular"/>
          <w:color w:val="1D1D1B"/>
          <w:szCs w:val="20"/>
        </w:rPr>
        <w:t>,</w:t>
      </w:r>
      <w:r w:rsidR="003F0FDA">
        <w:rPr>
          <w:rFonts w:cs="MyriadPro-Regular"/>
          <w:color w:val="1D1D1B"/>
          <w:szCs w:val="20"/>
        </w:rPr>
        <w:t xml:space="preserve"> as the GHG implied emission factor is rather stable </w:t>
      </w:r>
      <w:r w:rsidR="00775553">
        <w:rPr>
          <w:rFonts w:cs="MyriadPro-Regular"/>
          <w:color w:val="1D1D1B"/>
          <w:szCs w:val="20"/>
        </w:rPr>
        <w:t>around</w:t>
      </w:r>
      <w:r w:rsidR="003F0FDA">
        <w:rPr>
          <w:rFonts w:cs="MyriadPro-Regular"/>
          <w:color w:val="1D1D1B"/>
          <w:szCs w:val="20"/>
        </w:rPr>
        <w:t xml:space="preserve"> 105</w:t>
      </w:r>
      <w:r w:rsidR="00091AE3">
        <w:rPr>
          <w:rFonts w:cs="MyriadPro-Regular"/>
          <w:color w:val="1D1D1B"/>
          <w:szCs w:val="20"/>
        </w:rPr>
        <w:t xml:space="preserve"> kg/GJ</w:t>
      </w:r>
      <w:r w:rsidR="003F0FDA">
        <w:rPr>
          <w:rFonts w:cs="MyriadPro-Regular"/>
          <w:color w:val="1D1D1B"/>
          <w:szCs w:val="20"/>
        </w:rPr>
        <w:t>.</w:t>
      </w:r>
    </w:p>
    <w:p w14:paraId="20487F8B" w14:textId="77777777" w:rsidR="00D74044" w:rsidRPr="002462F0" w:rsidRDefault="00D74044" w:rsidP="00D74044">
      <w:pPr>
        <w:autoSpaceDE w:val="0"/>
        <w:autoSpaceDN w:val="0"/>
        <w:adjustRightInd w:val="0"/>
        <w:spacing w:after="0" w:line="240" w:lineRule="auto"/>
        <w:rPr>
          <w:rFonts w:cs="MyriadPro-Regular"/>
          <w:color w:val="1D1D1B"/>
          <w:szCs w:val="20"/>
        </w:rPr>
      </w:pPr>
    </w:p>
    <w:p w14:paraId="042A1D03" w14:textId="2C5099BE" w:rsidR="00D74044" w:rsidRPr="002462F0" w:rsidRDefault="00D74044" w:rsidP="00430BE6">
      <w:pPr>
        <w:rPr>
          <w:lang w:val="en-US" w:eastAsia="fr-FR"/>
        </w:rPr>
      </w:pPr>
      <w:r w:rsidRPr="002462F0">
        <w:t xml:space="preserve">In contrast to other industrial sectors in the Republic of Serbia, energy sector has not exhibited a drastic decline in production when compared to production levels achieved during the 90’s of the last century. Reduced </w:t>
      </w:r>
      <w:r w:rsidRPr="002462F0">
        <w:lastRenderedPageBreak/>
        <w:t xml:space="preserve">industrial production, lack of imported fuels and </w:t>
      </w:r>
      <w:r w:rsidR="00775553">
        <w:t xml:space="preserve">very </w:t>
      </w:r>
      <w:r w:rsidRPr="002462F0">
        <w:t>low electricity price (</w:t>
      </w:r>
      <w:r w:rsidR="00775553">
        <w:t>determined by the government</w:t>
      </w:r>
      <w:r w:rsidRPr="002462F0">
        <w:t>), have led to a change in the electricity consumption structure. General electricity consumption in households and public and commercial sectors has increased significantly at the expense of industrial sector electricity consumption.</w:t>
      </w:r>
    </w:p>
    <w:p w14:paraId="63F868F9" w14:textId="05B94E3B" w:rsidR="000820CB" w:rsidRPr="002462F0" w:rsidRDefault="00E06726" w:rsidP="000820CB">
      <w:pPr>
        <w:autoSpaceDE w:val="0"/>
        <w:autoSpaceDN w:val="0"/>
        <w:adjustRightInd w:val="0"/>
        <w:spacing w:after="0" w:line="240" w:lineRule="auto"/>
        <w:rPr>
          <w:rFonts w:cs="MyriadPro-Regular"/>
          <w:color w:val="1D1D1B"/>
          <w:szCs w:val="20"/>
          <w:lang w:val="en-US"/>
        </w:rPr>
      </w:pPr>
      <w:r>
        <w:rPr>
          <w:rFonts w:cs="MyriadPro-Regular"/>
          <w:color w:val="1D1D1B"/>
          <w:szCs w:val="20"/>
          <w:lang w:val="en-US"/>
        </w:rPr>
        <w:t>In 20</w:t>
      </w:r>
      <w:r w:rsidR="008E31DD">
        <w:rPr>
          <w:rFonts w:cs="MyriadPro-Regular"/>
          <w:color w:val="1D1D1B"/>
          <w:szCs w:val="20"/>
          <w:lang w:val="en-US"/>
        </w:rPr>
        <w:t>22</w:t>
      </w:r>
      <w:r w:rsidR="000820CB" w:rsidRPr="002462F0">
        <w:rPr>
          <w:rFonts w:cs="MyriadPro-Regular"/>
          <w:color w:val="1D1D1B"/>
          <w:szCs w:val="20"/>
          <w:lang w:val="en-US"/>
        </w:rPr>
        <w:t>, the category Public electricity and heat production is a key category for CO</w:t>
      </w:r>
      <w:r w:rsidR="000820CB" w:rsidRPr="002462F0">
        <w:rPr>
          <w:rFonts w:cs="MyriadPro-Regular"/>
          <w:color w:val="1D1D1B"/>
          <w:szCs w:val="20"/>
          <w:vertAlign w:val="subscript"/>
          <w:lang w:val="en-US"/>
        </w:rPr>
        <w:t>2</w:t>
      </w:r>
      <w:r w:rsidR="000820CB" w:rsidRPr="002462F0">
        <w:rPr>
          <w:rFonts w:cs="MyriadPro-Regular"/>
          <w:color w:val="1D1D1B"/>
          <w:szCs w:val="20"/>
          <w:lang w:val="en-US"/>
        </w:rPr>
        <w:t xml:space="preserve"> emissions in Serbia, </w:t>
      </w:r>
      <w:r w:rsidR="004A79CC">
        <w:rPr>
          <w:rFonts w:cs="MyriadPro-Regular"/>
          <w:color w:val="1D1D1B"/>
          <w:szCs w:val="20"/>
          <w:lang w:val="en-US"/>
        </w:rPr>
        <w:t xml:space="preserve">without considering LULUCF, </w:t>
      </w:r>
      <w:r w:rsidR="000820CB" w:rsidRPr="002462F0">
        <w:rPr>
          <w:rFonts w:cs="MyriadPro-Regular"/>
          <w:color w:val="1D1D1B"/>
          <w:szCs w:val="20"/>
          <w:lang w:val="en-US"/>
        </w:rPr>
        <w:t xml:space="preserve">for the </w:t>
      </w:r>
      <w:r w:rsidR="008E31DD">
        <w:rPr>
          <w:rFonts w:cs="MyriadPro-Regular"/>
          <w:color w:val="1D1D1B"/>
          <w:szCs w:val="20"/>
          <w:lang w:val="en-US"/>
        </w:rPr>
        <w:t>combustion</w:t>
      </w:r>
      <w:r w:rsidR="008E31DD" w:rsidRPr="002462F0">
        <w:rPr>
          <w:rFonts w:cs="MyriadPro-Regular"/>
          <w:color w:val="1D1D1B"/>
          <w:szCs w:val="20"/>
          <w:lang w:val="en-US"/>
        </w:rPr>
        <w:t xml:space="preserve"> </w:t>
      </w:r>
      <w:r w:rsidR="000820CB" w:rsidRPr="002462F0">
        <w:rPr>
          <w:rFonts w:cs="MyriadPro-Regular"/>
          <w:color w:val="1D1D1B"/>
          <w:szCs w:val="20"/>
          <w:lang w:val="en-US"/>
        </w:rPr>
        <w:t xml:space="preserve">of liquid, solid, and gaseous fuels. </w:t>
      </w:r>
    </w:p>
    <w:p w14:paraId="4BE001CE" w14:textId="77777777" w:rsidR="000820CB" w:rsidRPr="002462F0" w:rsidRDefault="000820CB" w:rsidP="000820CB">
      <w:pPr>
        <w:autoSpaceDE w:val="0"/>
        <w:autoSpaceDN w:val="0"/>
        <w:adjustRightInd w:val="0"/>
        <w:spacing w:after="0" w:line="240" w:lineRule="auto"/>
        <w:rPr>
          <w:rFonts w:cs="MyriadPro-Regular"/>
          <w:color w:val="1D1D1B"/>
          <w:szCs w:val="20"/>
          <w:lang w:val="en-US"/>
        </w:rPr>
      </w:pPr>
    </w:p>
    <w:p w14:paraId="6BB22482" w14:textId="77777777" w:rsidR="000820CB" w:rsidRPr="00775553" w:rsidRDefault="000820CB" w:rsidP="000820CB">
      <w:pPr>
        <w:autoSpaceDE w:val="0"/>
        <w:autoSpaceDN w:val="0"/>
        <w:adjustRightInd w:val="0"/>
        <w:spacing w:after="0" w:line="240" w:lineRule="auto"/>
        <w:rPr>
          <w:rFonts w:cs="MyriadPro-Regular"/>
          <w:i/>
          <w:color w:val="1D1D1B"/>
          <w:szCs w:val="20"/>
          <w:u w:val="single"/>
          <w:lang w:val="en-US"/>
        </w:rPr>
      </w:pPr>
      <w:r w:rsidRPr="00775553">
        <w:rPr>
          <w:rFonts w:cs="MyriadPro-Regular"/>
          <w:i/>
          <w:color w:val="1D1D1B"/>
          <w:szCs w:val="20"/>
          <w:u w:val="single"/>
          <w:lang w:val="en-US"/>
        </w:rPr>
        <w:t xml:space="preserve">Consumption of liquid fuels in the </w:t>
      </w:r>
      <w:r w:rsidR="00032BED" w:rsidRPr="00775553">
        <w:rPr>
          <w:rFonts w:cs="MyriadPro-Regular"/>
          <w:i/>
          <w:color w:val="1D1D1B"/>
          <w:szCs w:val="20"/>
          <w:u w:val="single"/>
          <w:lang w:val="en-US"/>
        </w:rPr>
        <w:t>Public electricity and heat production</w:t>
      </w:r>
    </w:p>
    <w:p w14:paraId="2C2F85EA" w14:textId="4254E3D6" w:rsidR="000820CB" w:rsidRPr="002462F0" w:rsidRDefault="000820CB" w:rsidP="000820CB">
      <w:pPr>
        <w:autoSpaceDE w:val="0"/>
        <w:autoSpaceDN w:val="0"/>
        <w:adjustRightInd w:val="0"/>
        <w:spacing w:after="0" w:line="240" w:lineRule="auto"/>
        <w:rPr>
          <w:rFonts w:cs="MyriadPro-Regular"/>
          <w:color w:val="1D1D1B"/>
          <w:szCs w:val="20"/>
          <w:lang w:val="en-US"/>
        </w:rPr>
      </w:pPr>
      <w:r w:rsidRPr="002462F0">
        <w:rPr>
          <w:rFonts w:cs="MyriadPro-Regular"/>
          <w:color w:val="1D1D1B"/>
          <w:szCs w:val="20"/>
          <w:lang w:val="en-US"/>
        </w:rPr>
        <w:t>The CO</w:t>
      </w:r>
      <w:r w:rsidRPr="002462F0">
        <w:rPr>
          <w:rFonts w:cs="MyriadPro-Regular"/>
          <w:color w:val="1D1D1B"/>
          <w:szCs w:val="20"/>
          <w:vertAlign w:val="subscript"/>
          <w:lang w:val="en-US"/>
        </w:rPr>
        <w:t>2</w:t>
      </w:r>
      <w:r w:rsidRPr="002462F0">
        <w:rPr>
          <w:rFonts w:cs="MyriadPro-Regular"/>
          <w:color w:val="1D1D1B"/>
          <w:szCs w:val="20"/>
          <w:lang w:val="en-US"/>
        </w:rPr>
        <w:t xml:space="preserve"> emissions related to the </w:t>
      </w:r>
      <w:r w:rsidR="0038626E">
        <w:rPr>
          <w:rFonts w:cs="MyriadPro-Regular"/>
          <w:color w:val="1D1D1B"/>
          <w:szCs w:val="20"/>
          <w:lang w:val="en-US"/>
        </w:rPr>
        <w:t>combustion</w:t>
      </w:r>
      <w:r w:rsidR="0038626E" w:rsidRPr="002462F0">
        <w:rPr>
          <w:rFonts w:cs="MyriadPro-Regular"/>
          <w:color w:val="1D1D1B"/>
          <w:szCs w:val="20"/>
          <w:lang w:val="en-US"/>
        </w:rPr>
        <w:t xml:space="preserve"> </w:t>
      </w:r>
      <w:r w:rsidRPr="002462F0">
        <w:rPr>
          <w:rFonts w:cs="MyriadPro-Regular"/>
          <w:color w:val="1D1D1B"/>
          <w:szCs w:val="20"/>
          <w:lang w:val="en-US"/>
        </w:rPr>
        <w:t xml:space="preserve">of liquid fuels in the Public electricity and heat production contribute to </w:t>
      </w:r>
      <w:r w:rsidR="0062482A">
        <w:rPr>
          <w:rFonts w:cs="MyriadPro-Regular"/>
          <w:color w:val="1D1D1B"/>
          <w:szCs w:val="20"/>
          <w:lang w:val="en-US"/>
        </w:rPr>
        <w:t>0</w:t>
      </w:r>
      <w:r w:rsidR="003F59FE">
        <w:rPr>
          <w:rFonts w:cs="MyriadPro-Regular"/>
          <w:color w:val="1D1D1B"/>
          <w:szCs w:val="20"/>
          <w:lang w:val="en-US"/>
        </w:rPr>
        <w:t>.8</w:t>
      </w:r>
      <w:r w:rsidRPr="002462F0">
        <w:rPr>
          <w:rFonts w:cs="MyriadPro-Regular"/>
          <w:color w:val="1D1D1B"/>
          <w:szCs w:val="20"/>
          <w:lang w:val="en-US"/>
        </w:rPr>
        <w:t>% in t</w:t>
      </w:r>
      <w:r w:rsidR="0028781D" w:rsidRPr="002462F0">
        <w:rPr>
          <w:rFonts w:cs="MyriadPro-Regular"/>
          <w:color w:val="1D1D1B"/>
          <w:szCs w:val="20"/>
          <w:lang w:val="en-US"/>
        </w:rPr>
        <w:t xml:space="preserve">erms of emissions level (rank </w:t>
      </w:r>
      <w:r w:rsidR="003F59FE">
        <w:rPr>
          <w:rFonts w:cs="MyriadPro-Regular"/>
          <w:color w:val="1D1D1B"/>
          <w:szCs w:val="20"/>
          <w:lang w:val="en-US"/>
        </w:rPr>
        <w:t>19</w:t>
      </w:r>
      <w:r w:rsidRPr="002462F0">
        <w:rPr>
          <w:rFonts w:cs="MyriadPro-Regular"/>
          <w:color w:val="1D1D1B"/>
          <w:szCs w:val="20"/>
          <w:lang w:val="en-US"/>
        </w:rPr>
        <w:t xml:space="preserve">) and </w:t>
      </w:r>
      <w:r w:rsidR="0062482A" w:rsidRPr="0062482A">
        <w:rPr>
          <w:rFonts w:cs="MyriadPro-Regular"/>
          <w:color w:val="1D1D1B"/>
          <w:szCs w:val="20"/>
          <w:lang w:val="en-US"/>
        </w:rPr>
        <w:t>1</w:t>
      </w:r>
      <w:r w:rsidR="0072293C">
        <w:rPr>
          <w:rFonts w:cs="MyriadPro-Regular"/>
          <w:color w:val="1D1D1B"/>
          <w:szCs w:val="20"/>
          <w:lang w:val="en-US"/>
        </w:rPr>
        <w:t>.4</w:t>
      </w:r>
      <w:r w:rsidRPr="002462F0">
        <w:rPr>
          <w:rFonts w:cs="MyriadPro-Regular"/>
          <w:color w:val="1D1D1B"/>
          <w:szCs w:val="20"/>
          <w:lang w:val="en-US"/>
        </w:rPr>
        <w:t>% in t</w:t>
      </w:r>
      <w:r w:rsidR="0028781D" w:rsidRPr="002462F0">
        <w:rPr>
          <w:rFonts w:cs="MyriadPro-Regular"/>
          <w:color w:val="1D1D1B"/>
          <w:szCs w:val="20"/>
          <w:lang w:val="en-US"/>
        </w:rPr>
        <w:t xml:space="preserve">erms of emissions trend (rank </w:t>
      </w:r>
      <w:r w:rsidR="0072293C">
        <w:rPr>
          <w:rFonts w:cs="MyriadPro-Regular"/>
          <w:color w:val="1D1D1B"/>
          <w:szCs w:val="20"/>
          <w:lang w:val="en-US"/>
        </w:rPr>
        <w:t>20</w:t>
      </w:r>
      <w:r w:rsidRPr="002462F0">
        <w:rPr>
          <w:rFonts w:cs="MyriadPro-Regular"/>
          <w:color w:val="1D1D1B"/>
          <w:szCs w:val="20"/>
          <w:lang w:val="en-US"/>
        </w:rPr>
        <w:t>)</w:t>
      </w:r>
      <w:r w:rsidR="0072293C">
        <w:rPr>
          <w:rFonts w:cs="MyriadPro-Regular"/>
          <w:color w:val="1D1D1B"/>
          <w:szCs w:val="20"/>
          <w:lang w:val="en-US"/>
        </w:rPr>
        <w:t>, without considering LULUCF</w:t>
      </w:r>
      <w:r w:rsidRPr="002462F0">
        <w:rPr>
          <w:rFonts w:cs="MyriadPro-Regular"/>
          <w:color w:val="1D1D1B"/>
          <w:szCs w:val="20"/>
          <w:lang w:val="en-US"/>
        </w:rPr>
        <w:t>.</w:t>
      </w:r>
    </w:p>
    <w:p w14:paraId="3631310F" w14:textId="77777777" w:rsidR="000820CB" w:rsidRPr="002462F0" w:rsidRDefault="000820CB" w:rsidP="000820CB">
      <w:pPr>
        <w:autoSpaceDE w:val="0"/>
        <w:autoSpaceDN w:val="0"/>
        <w:adjustRightInd w:val="0"/>
        <w:spacing w:after="0" w:line="240" w:lineRule="auto"/>
        <w:rPr>
          <w:rFonts w:cs="MyriadPro-Regular"/>
          <w:i/>
          <w:color w:val="1D1D1B"/>
          <w:szCs w:val="20"/>
          <w:lang w:val="en-US"/>
        </w:rPr>
      </w:pPr>
    </w:p>
    <w:p w14:paraId="1833D821" w14:textId="77777777" w:rsidR="000820CB" w:rsidRPr="00775553" w:rsidRDefault="000820CB" w:rsidP="000820CB">
      <w:pPr>
        <w:autoSpaceDE w:val="0"/>
        <w:autoSpaceDN w:val="0"/>
        <w:adjustRightInd w:val="0"/>
        <w:spacing w:after="0" w:line="240" w:lineRule="auto"/>
        <w:rPr>
          <w:rFonts w:cs="MyriadPro-Regular"/>
          <w:i/>
          <w:color w:val="1D1D1B"/>
          <w:szCs w:val="20"/>
          <w:u w:val="single"/>
          <w:lang w:val="en-US"/>
        </w:rPr>
      </w:pPr>
      <w:r w:rsidRPr="00775553">
        <w:rPr>
          <w:rFonts w:cs="MyriadPro-Regular"/>
          <w:i/>
          <w:color w:val="1D1D1B"/>
          <w:szCs w:val="20"/>
          <w:u w:val="single"/>
          <w:lang w:val="en-US"/>
        </w:rPr>
        <w:t xml:space="preserve">Consumption of solid fuels in the </w:t>
      </w:r>
      <w:r w:rsidR="00032BED" w:rsidRPr="00775553">
        <w:rPr>
          <w:rFonts w:cs="MyriadPro-Regular"/>
          <w:i/>
          <w:color w:val="1D1D1B"/>
          <w:szCs w:val="20"/>
          <w:u w:val="single"/>
          <w:lang w:val="en-US"/>
        </w:rPr>
        <w:t>Public electricity and heat production</w:t>
      </w:r>
    </w:p>
    <w:p w14:paraId="17F72F00" w14:textId="39495EA0" w:rsidR="000820CB" w:rsidRPr="002462F0" w:rsidRDefault="000820CB" w:rsidP="000820CB">
      <w:pPr>
        <w:autoSpaceDE w:val="0"/>
        <w:autoSpaceDN w:val="0"/>
        <w:adjustRightInd w:val="0"/>
        <w:spacing w:after="0" w:line="240" w:lineRule="auto"/>
        <w:rPr>
          <w:rFonts w:cs="MyriadPro-Regular"/>
          <w:color w:val="1D1D1B"/>
          <w:szCs w:val="20"/>
          <w:lang w:val="en-US"/>
        </w:rPr>
      </w:pPr>
      <w:r w:rsidRPr="002462F0">
        <w:rPr>
          <w:rFonts w:cs="MyriadPro-Regular"/>
          <w:color w:val="1D1D1B"/>
          <w:szCs w:val="20"/>
          <w:lang w:val="en-US"/>
        </w:rPr>
        <w:t>The CO</w:t>
      </w:r>
      <w:r w:rsidRPr="002462F0">
        <w:rPr>
          <w:rFonts w:cs="MyriadPro-Regular"/>
          <w:color w:val="1D1D1B"/>
          <w:szCs w:val="20"/>
          <w:vertAlign w:val="subscript"/>
          <w:lang w:val="en-US"/>
        </w:rPr>
        <w:t>2</w:t>
      </w:r>
      <w:r w:rsidRPr="002462F0">
        <w:rPr>
          <w:rFonts w:cs="MyriadPro-Regular"/>
          <w:color w:val="1D1D1B"/>
          <w:szCs w:val="20"/>
          <w:lang w:val="en-US"/>
        </w:rPr>
        <w:t xml:space="preserve"> emissions related to the </w:t>
      </w:r>
      <w:r w:rsidR="0038626E">
        <w:rPr>
          <w:rFonts w:cs="MyriadPro-Regular"/>
          <w:color w:val="1D1D1B"/>
          <w:szCs w:val="20"/>
          <w:lang w:val="en-US"/>
        </w:rPr>
        <w:t>combustion</w:t>
      </w:r>
      <w:r w:rsidR="0038626E" w:rsidRPr="002462F0">
        <w:rPr>
          <w:rFonts w:cs="MyriadPro-Regular"/>
          <w:color w:val="1D1D1B"/>
          <w:szCs w:val="20"/>
          <w:lang w:val="en-US"/>
        </w:rPr>
        <w:t xml:space="preserve"> </w:t>
      </w:r>
      <w:r w:rsidRPr="002462F0">
        <w:rPr>
          <w:rFonts w:cs="MyriadPro-Regular"/>
          <w:color w:val="1D1D1B"/>
          <w:szCs w:val="20"/>
          <w:lang w:val="en-US"/>
        </w:rPr>
        <w:t xml:space="preserve">of solid fuels in the Public electricity and heat production contribute to </w:t>
      </w:r>
      <w:r w:rsidR="009F1C6C">
        <w:rPr>
          <w:rFonts w:cs="MyriadPro-Regular"/>
          <w:color w:val="1D1D1B"/>
          <w:szCs w:val="20"/>
          <w:lang w:val="en-US"/>
        </w:rPr>
        <w:t>4</w:t>
      </w:r>
      <w:r w:rsidR="0038626E">
        <w:rPr>
          <w:rFonts w:cs="MyriadPro-Regular"/>
          <w:color w:val="1D1D1B"/>
          <w:szCs w:val="20"/>
          <w:lang w:val="en-US"/>
        </w:rPr>
        <w:t>5.5</w:t>
      </w:r>
      <w:r w:rsidRPr="002462F0">
        <w:rPr>
          <w:rFonts w:cs="MyriadPro-Regular"/>
          <w:color w:val="1D1D1B"/>
          <w:szCs w:val="20"/>
          <w:lang w:val="en-US"/>
        </w:rPr>
        <w:t>% in t</w:t>
      </w:r>
      <w:r w:rsidR="0028781D" w:rsidRPr="002462F0">
        <w:rPr>
          <w:rFonts w:cs="MyriadPro-Regular"/>
          <w:color w:val="1D1D1B"/>
          <w:szCs w:val="20"/>
          <w:lang w:val="en-US"/>
        </w:rPr>
        <w:t>erms of emissions level (rank 1</w:t>
      </w:r>
      <w:r w:rsidRPr="002462F0">
        <w:rPr>
          <w:rFonts w:cs="MyriadPro-Regular"/>
          <w:color w:val="1D1D1B"/>
          <w:szCs w:val="20"/>
          <w:lang w:val="en-US"/>
        </w:rPr>
        <w:t xml:space="preserve">) and </w:t>
      </w:r>
      <w:r w:rsidR="00023792">
        <w:rPr>
          <w:rFonts w:cs="MyriadPro-Regular"/>
          <w:color w:val="1D1D1B"/>
          <w:szCs w:val="20"/>
          <w:lang w:val="en-US"/>
        </w:rPr>
        <w:t>5.9</w:t>
      </w:r>
      <w:r w:rsidRPr="002462F0">
        <w:rPr>
          <w:rFonts w:cs="MyriadPro-Regular"/>
          <w:color w:val="1D1D1B"/>
          <w:szCs w:val="20"/>
          <w:lang w:val="en-US"/>
        </w:rPr>
        <w:t>% in t</w:t>
      </w:r>
      <w:r w:rsidR="0028781D" w:rsidRPr="002462F0">
        <w:rPr>
          <w:rFonts w:cs="MyriadPro-Regular"/>
          <w:color w:val="1D1D1B"/>
          <w:szCs w:val="20"/>
          <w:lang w:val="en-US"/>
        </w:rPr>
        <w:t xml:space="preserve">erms of emissions trend (rank </w:t>
      </w:r>
      <w:r w:rsidR="00023792">
        <w:rPr>
          <w:rFonts w:cs="MyriadPro-Regular"/>
          <w:color w:val="1D1D1B"/>
          <w:szCs w:val="20"/>
          <w:lang w:val="en-US"/>
        </w:rPr>
        <w:t>2</w:t>
      </w:r>
      <w:r w:rsidRPr="002462F0">
        <w:rPr>
          <w:rFonts w:cs="MyriadPro-Regular"/>
          <w:color w:val="1D1D1B"/>
          <w:szCs w:val="20"/>
          <w:lang w:val="en-US"/>
        </w:rPr>
        <w:t>)</w:t>
      </w:r>
      <w:r w:rsidR="0072293C" w:rsidRPr="0072293C">
        <w:rPr>
          <w:rFonts w:cs="MyriadPro-Regular"/>
          <w:color w:val="1D1D1B"/>
          <w:szCs w:val="20"/>
          <w:lang w:val="en-US"/>
        </w:rPr>
        <w:t xml:space="preserve"> </w:t>
      </w:r>
      <w:r w:rsidR="0072293C">
        <w:rPr>
          <w:rFonts w:cs="MyriadPro-Regular"/>
          <w:color w:val="1D1D1B"/>
          <w:szCs w:val="20"/>
          <w:lang w:val="en-US"/>
        </w:rPr>
        <w:t>, without considering LULUCF</w:t>
      </w:r>
      <w:r w:rsidRPr="002462F0">
        <w:rPr>
          <w:rFonts w:cs="MyriadPro-Regular"/>
          <w:color w:val="1D1D1B"/>
          <w:szCs w:val="20"/>
          <w:lang w:val="en-US"/>
        </w:rPr>
        <w:t>.</w:t>
      </w:r>
    </w:p>
    <w:p w14:paraId="00D2D1A5" w14:textId="77777777" w:rsidR="000820CB" w:rsidRPr="002462F0" w:rsidRDefault="000820CB" w:rsidP="000820CB">
      <w:pPr>
        <w:autoSpaceDE w:val="0"/>
        <w:autoSpaceDN w:val="0"/>
        <w:adjustRightInd w:val="0"/>
        <w:spacing w:after="0" w:line="240" w:lineRule="auto"/>
        <w:rPr>
          <w:rFonts w:cs="MyriadPro-Regular"/>
          <w:i/>
          <w:color w:val="1D1D1B"/>
          <w:szCs w:val="20"/>
          <w:lang w:val="en-US"/>
        </w:rPr>
      </w:pPr>
    </w:p>
    <w:p w14:paraId="32C154B9" w14:textId="77777777" w:rsidR="000820CB" w:rsidRPr="00775553" w:rsidRDefault="000820CB" w:rsidP="000820CB">
      <w:pPr>
        <w:autoSpaceDE w:val="0"/>
        <w:autoSpaceDN w:val="0"/>
        <w:adjustRightInd w:val="0"/>
        <w:spacing w:after="0" w:line="240" w:lineRule="auto"/>
        <w:rPr>
          <w:rFonts w:cs="MyriadPro-Regular"/>
          <w:i/>
          <w:color w:val="1D1D1B"/>
          <w:szCs w:val="20"/>
          <w:u w:val="single"/>
          <w:lang w:val="en-US"/>
        </w:rPr>
      </w:pPr>
      <w:r w:rsidRPr="00775553">
        <w:rPr>
          <w:rFonts w:cs="MyriadPro-Regular"/>
          <w:i/>
          <w:color w:val="1D1D1B"/>
          <w:szCs w:val="20"/>
          <w:u w:val="single"/>
          <w:lang w:val="en-US"/>
        </w:rPr>
        <w:t xml:space="preserve">Consumption of gaseous fuels in the </w:t>
      </w:r>
      <w:r w:rsidR="00032BED" w:rsidRPr="00775553">
        <w:rPr>
          <w:rFonts w:cs="MyriadPro-Regular"/>
          <w:i/>
          <w:color w:val="1D1D1B"/>
          <w:szCs w:val="20"/>
          <w:u w:val="single"/>
          <w:lang w:val="en-US"/>
        </w:rPr>
        <w:t>Public electricity and heat production</w:t>
      </w:r>
    </w:p>
    <w:p w14:paraId="3DDC1660" w14:textId="358C888B" w:rsidR="000820CB" w:rsidRPr="002462F0" w:rsidRDefault="000820CB" w:rsidP="000820CB">
      <w:pPr>
        <w:autoSpaceDE w:val="0"/>
        <w:autoSpaceDN w:val="0"/>
        <w:adjustRightInd w:val="0"/>
        <w:spacing w:after="0" w:line="240" w:lineRule="auto"/>
        <w:rPr>
          <w:sz w:val="22"/>
          <w:lang w:val="en-US"/>
        </w:rPr>
      </w:pPr>
      <w:r w:rsidRPr="002462F0">
        <w:rPr>
          <w:rFonts w:cs="MyriadPro-Regular"/>
          <w:color w:val="1D1D1B"/>
          <w:szCs w:val="20"/>
          <w:lang w:val="en-US"/>
        </w:rPr>
        <w:t>The CO</w:t>
      </w:r>
      <w:r w:rsidRPr="002462F0">
        <w:rPr>
          <w:rFonts w:cs="MyriadPro-Regular"/>
          <w:color w:val="1D1D1B"/>
          <w:szCs w:val="20"/>
          <w:vertAlign w:val="subscript"/>
          <w:lang w:val="en-US"/>
        </w:rPr>
        <w:t>2</w:t>
      </w:r>
      <w:r w:rsidRPr="002462F0">
        <w:rPr>
          <w:rFonts w:cs="MyriadPro-Regular"/>
          <w:color w:val="1D1D1B"/>
          <w:szCs w:val="20"/>
          <w:lang w:val="en-US"/>
        </w:rPr>
        <w:t xml:space="preserve"> emissions related to the </w:t>
      </w:r>
      <w:r w:rsidR="0038626E">
        <w:rPr>
          <w:rFonts w:cs="MyriadPro-Regular"/>
          <w:color w:val="1D1D1B"/>
          <w:szCs w:val="20"/>
          <w:lang w:val="en-US"/>
        </w:rPr>
        <w:t>combustion</w:t>
      </w:r>
      <w:r w:rsidR="0038626E" w:rsidRPr="002462F0">
        <w:rPr>
          <w:rFonts w:cs="MyriadPro-Regular"/>
          <w:color w:val="1D1D1B"/>
          <w:szCs w:val="20"/>
          <w:lang w:val="en-US"/>
        </w:rPr>
        <w:t xml:space="preserve"> </w:t>
      </w:r>
      <w:r w:rsidRPr="002462F0">
        <w:rPr>
          <w:rFonts w:cs="MyriadPro-Regular"/>
          <w:color w:val="1D1D1B"/>
          <w:szCs w:val="20"/>
          <w:lang w:val="en-US"/>
        </w:rPr>
        <w:t xml:space="preserve">of gaseous fuels in the Public electricity and heat production contribute to </w:t>
      </w:r>
      <w:r w:rsidR="00023792">
        <w:rPr>
          <w:rFonts w:cs="MyriadPro-Regular"/>
          <w:color w:val="1D1D1B"/>
          <w:szCs w:val="20"/>
          <w:lang w:val="en-US"/>
        </w:rPr>
        <w:t>3.9</w:t>
      </w:r>
      <w:r w:rsidRPr="002462F0">
        <w:rPr>
          <w:rFonts w:cs="MyriadPro-Regular"/>
          <w:color w:val="1D1D1B"/>
          <w:szCs w:val="20"/>
          <w:lang w:val="en-US"/>
        </w:rPr>
        <w:t>% in t</w:t>
      </w:r>
      <w:r w:rsidR="0028781D" w:rsidRPr="002462F0">
        <w:rPr>
          <w:rFonts w:cs="MyriadPro-Regular"/>
          <w:color w:val="1D1D1B"/>
          <w:szCs w:val="20"/>
          <w:lang w:val="en-US"/>
        </w:rPr>
        <w:t>erms of emissions l</w:t>
      </w:r>
      <w:r w:rsidR="00E76966">
        <w:rPr>
          <w:rFonts w:cs="MyriadPro-Regular"/>
          <w:color w:val="1D1D1B"/>
          <w:szCs w:val="20"/>
          <w:lang w:val="en-US"/>
        </w:rPr>
        <w:t xml:space="preserve">evel (rank </w:t>
      </w:r>
      <w:r w:rsidR="00023792">
        <w:rPr>
          <w:rFonts w:cs="MyriadPro-Regular"/>
          <w:color w:val="1D1D1B"/>
          <w:szCs w:val="20"/>
          <w:lang w:val="en-US"/>
        </w:rPr>
        <w:t>5</w:t>
      </w:r>
      <w:r w:rsidRPr="002462F0">
        <w:rPr>
          <w:rFonts w:cs="MyriadPro-Regular"/>
          <w:color w:val="1D1D1B"/>
          <w:szCs w:val="20"/>
          <w:lang w:val="en-US"/>
        </w:rPr>
        <w:t xml:space="preserve">) and </w:t>
      </w:r>
      <w:r w:rsidR="00023792">
        <w:rPr>
          <w:rFonts w:cs="MyriadPro-Regular"/>
          <w:color w:val="1D1D1B"/>
          <w:szCs w:val="20"/>
          <w:lang w:val="en-US"/>
        </w:rPr>
        <w:t>5.6</w:t>
      </w:r>
      <w:r w:rsidRPr="002462F0">
        <w:rPr>
          <w:rFonts w:cs="MyriadPro-Regular"/>
          <w:color w:val="1D1D1B"/>
          <w:szCs w:val="20"/>
          <w:lang w:val="en-US"/>
        </w:rPr>
        <w:t xml:space="preserve">% in terms of emissions trend (rank </w:t>
      </w:r>
      <w:r w:rsidR="00023792">
        <w:rPr>
          <w:rFonts w:cs="MyriadPro-Regular"/>
          <w:color w:val="1D1D1B"/>
          <w:szCs w:val="20"/>
          <w:lang w:val="en-US"/>
        </w:rPr>
        <w:t>3</w:t>
      </w:r>
      <w:r w:rsidRPr="002462F0">
        <w:rPr>
          <w:rFonts w:cs="MyriadPro-Regular"/>
          <w:color w:val="1D1D1B"/>
          <w:szCs w:val="20"/>
          <w:lang w:val="en-US"/>
        </w:rPr>
        <w:t>)</w:t>
      </w:r>
      <w:r w:rsidR="0072293C">
        <w:rPr>
          <w:rFonts w:cs="MyriadPro-Regular"/>
          <w:color w:val="1D1D1B"/>
          <w:szCs w:val="20"/>
          <w:lang w:val="en-US"/>
        </w:rPr>
        <w:t>, without considering LULUCF</w:t>
      </w:r>
      <w:r w:rsidRPr="002462F0">
        <w:rPr>
          <w:rFonts w:cs="MyriadPro-Regular"/>
          <w:color w:val="1D1D1B"/>
          <w:szCs w:val="20"/>
          <w:lang w:val="en-US"/>
        </w:rPr>
        <w:t>.</w:t>
      </w:r>
    </w:p>
    <w:p w14:paraId="3F5325B2" w14:textId="77777777" w:rsidR="000820CB" w:rsidRPr="002462F0" w:rsidRDefault="000820CB" w:rsidP="00DA5DCE">
      <w:pPr>
        <w:rPr>
          <w:lang w:val="en-US" w:eastAsia="fr-FR"/>
        </w:rPr>
      </w:pPr>
    </w:p>
    <w:p w14:paraId="73DA0476" w14:textId="77777777" w:rsidR="00D22F21" w:rsidRPr="002462F0" w:rsidRDefault="00D22F21" w:rsidP="00D22F21">
      <w:pPr>
        <w:pStyle w:val="Heading5"/>
        <w:spacing w:before="240"/>
        <w:ind w:left="1009" w:hanging="1009"/>
        <w:rPr>
          <w:lang w:eastAsia="fr-FR"/>
        </w:rPr>
      </w:pPr>
      <w:r w:rsidRPr="002462F0">
        <w:rPr>
          <w:lang w:eastAsia="fr-FR"/>
        </w:rPr>
        <w:t xml:space="preserve"> </w:t>
      </w:r>
      <w:bookmarkStart w:id="192" w:name="_Toc182327731"/>
      <w:r w:rsidRPr="002462F0">
        <w:rPr>
          <w:lang w:eastAsia="fr-FR"/>
        </w:rPr>
        <w:t>Methodological issues</w:t>
      </w:r>
      <w:bookmarkEnd w:id="192"/>
    </w:p>
    <w:p w14:paraId="0DEA2B2A" w14:textId="6B5F1E46" w:rsidR="000820CB" w:rsidRPr="002462F0" w:rsidRDefault="000820CB" w:rsidP="000820CB">
      <w:pPr>
        <w:rPr>
          <w:szCs w:val="20"/>
        </w:rPr>
      </w:pPr>
      <w:r w:rsidRPr="002462F0">
        <w:rPr>
          <w:szCs w:val="20"/>
        </w:rPr>
        <w:t xml:space="preserve">According to the </w:t>
      </w:r>
      <w:r w:rsidR="000F6001">
        <w:rPr>
          <w:szCs w:val="20"/>
        </w:rPr>
        <w:t>CRT</w:t>
      </w:r>
      <w:r w:rsidRPr="002462F0">
        <w:rPr>
          <w:szCs w:val="20"/>
        </w:rPr>
        <w:t xml:space="preserve"> Tables nomenclature, GHG emissions related to the </w:t>
      </w:r>
      <w:r w:rsidR="00C20CC5" w:rsidRPr="002462F0">
        <w:rPr>
          <w:rFonts w:cs="MyriadPro-Regular"/>
          <w:color w:val="1D1D1B"/>
          <w:szCs w:val="20"/>
          <w:lang w:val="en-US"/>
        </w:rPr>
        <w:t>Public electricity and heat production</w:t>
      </w:r>
      <w:r w:rsidR="00C20CC5" w:rsidRPr="002462F0">
        <w:rPr>
          <w:szCs w:val="20"/>
        </w:rPr>
        <w:t xml:space="preserve"> </w:t>
      </w:r>
      <w:r w:rsidRPr="002462F0">
        <w:rPr>
          <w:szCs w:val="20"/>
        </w:rPr>
        <w:t>are reported by fuels:</w:t>
      </w:r>
    </w:p>
    <w:p w14:paraId="6B86AD51" w14:textId="77777777" w:rsidR="000820CB" w:rsidRPr="002462F0" w:rsidRDefault="000820CB" w:rsidP="00B1419E">
      <w:pPr>
        <w:pStyle w:val="ListParagraph"/>
        <w:numPr>
          <w:ilvl w:val="0"/>
          <w:numId w:val="19"/>
        </w:numPr>
        <w:rPr>
          <w:szCs w:val="20"/>
        </w:rPr>
      </w:pPr>
      <w:r w:rsidRPr="002462F0">
        <w:rPr>
          <w:szCs w:val="20"/>
        </w:rPr>
        <w:t>Liquid fuels,</w:t>
      </w:r>
    </w:p>
    <w:p w14:paraId="28B3EC12" w14:textId="77777777" w:rsidR="000820CB" w:rsidRPr="002462F0" w:rsidRDefault="000820CB" w:rsidP="00B1419E">
      <w:pPr>
        <w:pStyle w:val="ListParagraph"/>
        <w:numPr>
          <w:ilvl w:val="0"/>
          <w:numId w:val="19"/>
        </w:numPr>
        <w:rPr>
          <w:szCs w:val="20"/>
        </w:rPr>
      </w:pPr>
      <w:r w:rsidRPr="002462F0">
        <w:rPr>
          <w:szCs w:val="20"/>
        </w:rPr>
        <w:t>Solid fuels,</w:t>
      </w:r>
    </w:p>
    <w:p w14:paraId="19743AE5" w14:textId="77777777" w:rsidR="000820CB" w:rsidRPr="002462F0" w:rsidRDefault="000820CB" w:rsidP="00B1419E">
      <w:pPr>
        <w:pStyle w:val="ListParagraph"/>
        <w:numPr>
          <w:ilvl w:val="0"/>
          <w:numId w:val="19"/>
        </w:numPr>
        <w:rPr>
          <w:szCs w:val="20"/>
        </w:rPr>
      </w:pPr>
      <w:r w:rsidRPr="002462F0">
        <w:rPr>
          <w:szCs w:val="20"/>
        </w:rPr>
        <w:t>Gaseous fuels,</w:t>
      </w:r>
    </w:p>
    <w:p w14:paraId="1B041A31" w14:textId="77777777" w:rsidR="000820CB" w:rsidRPr="002462F0" w:rsidRDefault="000820CB" w:rsidP="00B1419E">
      <w:pPr>
        <w:pStyle w:val="ListParagraph"/>
        <w:numPr>
          <w:ilvl w:val="0"/>
          <w:numId w:val="19"/>
        </w:numPr>
        <w:rPr>
          <w:szCs w:val="20"/>
        </w:rPr>
      </w:pPr>
      <w:r w:rsidRPr="002462F0">
        <w:rPr>
          <w:szCs w:val="20"/>
        </w:rPr>
        <w:t>Other fossil fuels,</w:t>
      </w:r>
    </w:p>
    <w:p w14:paraId="076D89B8" w14:textId="77777777" w:rsidR="000820CB" w:rsidRPr="002462F0" w:rsidRDefault="000820CB" w:rsidP="00B1419E">
      <w:pPr>
        <w:pStyle w:val="ListParagraph"/>
        <w:numPr>
          <w:ilvl w:val="0"/>
          <w:numId w:val="19"/>
        </w:numPr>
        <w:rPr>
          <w:szCs w:val="20"/>
        </w:rPr>
      </w:pPr>
      <w:r w:rsidRPr="002462F0">
        <w:rPr>
          <w:szCs w:val="20"/>
        </w:rPr>
        <w:t>Peat,</w:t>
      </w:r>
    </w:p>
    <w:p w14:paraId="10490900" w14:textId="77777777" w:rsidR="000820CB" w:rsidRPr="002462F0" w:rsidRDefault="000820CB" w:rsidP="00B1419E">
      <w:pPr>
        <w:pStyle w:val="ListParagraph"/>
        <w:numPr>
          <w:ilvl w:val="0"/>
          <w:numId w:val="19"/>
        </w:numPr>
        <w:rPr>
          <w:szCs w:val="20"/>
        </w:rPr>
      </w:pPr>
      <w:r w:rsidRPr="002462F0">
        <w:rPr>
          <w:szCs w:val="20"/>
        </w:rPr>
        <w:t>Biomass.</w:t>
      </w:r>
    </w:p>
    <w:p w14:paraId="5CEAFE78" w14:textId="3B196535" w:rsidR="000820CB" w:rsidRPr="002462F0" w:rsidRDefault="000820CB" w:rsidP="000820CB">
      <w:pPr>
        <w:autoSpaceDE w:val="0"/>
        <w:autoSpaceDN w:val="0"/>
        <w:adjustRightInd w:val="0"/>
        <w:spacing w:after="0" w:line="240" w:lineRule="auto"/>
        <w:rPr>
          <w:rFonts w:cs="MyriadPro-Regular"/>
          <w:color w:val="1D1D1B"/>
          <w:szCs w:val="20"/>
          <w:lang w:val="en-US"/>
        </w:rPr>
      </w:pPr>
      <w:r w:rsidRPr="002462F0">
        <w:rPr>
          <w:rFonts w:cs="MyriadPro-Regular"/>
          <w:color w:val="1D1D1B"/>
          <w:szCs w:val="20"/>
          <w:lang w:val="en-US"/>
        </w:rPr>
        <w:t>It has to be noted that biomass consumpti</w:t>
      </w:r>
      <w:r w:rsidR="00C20CC5" w:rsidRPr="002462F0">
        <w:rPr>
          <w:rFonts w:cs="MyriadPro-Regular"/>
          <w:color w:val="1D1D1B"/>
          <w:szCs w:val="20"/>
          <w:lang w:val="en-US"/>
        </w:rPr>
        <w:t>on has to be reported in the 1A1a</w:t>
      </w:r>
      <w:r w:rsidRPr="002462F0">
        <w:rPr>
          <w:rFonts w:cs="MyriadPro-Regular"/>
          <w:color w:val="1D1D1B"/>
          <w:szCs w:val="20"/>
          <w:lang w:val="en-US"/>
        </w:rPr>
        <w:t xml:space="preserve"> sector, but the </w:t>
      </w:r>
      <w:r w:rsidR="00411F33">
        <w:rPr>
          <w:rFonts w:cs="MyriadPro-Regular"/>
          <w:color w:val="1D1D1B"/>
          <w:szCs w:val="20"/>
          <w:lang w:val="en-US"/>
        </w:rPr>
        <w:t xml:space="preserve">associated </w:t>
      </w:r>
      <w:r w:rsidRPr="002462F0">
        <w:rPr>
          <w:rFonts w:cs="MyriadPro-Regular"/>
          <w:color w:val="1D1D1B"/>
          <w:szCs w:val="20"/>
          <w:lang w:val="en-US"/>
        </w:rPr>
        <w:t>CO</w:t>
      </w:r>
      <w:r w:rsidRPr="002462F0">
        <w:rPr>
          <w:rFonts w:cs="MyriadPro-Regular"/>
          <w:color w:val="1D1D1B"/>
          <w:szCs w:val="20"/>
          <w:vertAlign w:val="subscript"/>
          <w:lang w:val="en-US"/>
        </w:rPr>
        <w:t>2</w:t>
      </w:r>
      <w:r w:rsidRPr="002462F0">
        <w:rPr>
          <w:rFonts w:cs="MyriadPro-Regular"/>
          <w:color w:val="1D1D1B"/>
          <w:szCs w:val="20"/>
          <w:lang w:val="en-US"/>
        </w:rPr>
        <w:t xml:space="preserve"> emissions are excluded from the national total GHG emissions (they are reported under the “Memo items”).</w:t>
      </w:r>
    </w:p>
    <w:p w14:paraId="3E3127A6" w14:textId="77777777" w:rsidR="00806CD3" w:rsidRPr="002462F0" w:rsidRDefault="00806CD3" w:rsidP="000820CB">
      <w:pPr>
        <w:autoSpaceDE w:val="0"/>
        <w:autoSpaceDN w:val="0"/>
        <w:adjustRightInd w:val="0"/>
        <w:spacing w:after="0" w:line="240" w:lineRule="auto"/>
        <w:rPr>
          <w:rFonts w:cs="MyriadPro-Regular"/>
          <w:color w:val="1D1D1B"/>
          <w:szCs w:val="20"/>
          <w:lang w:val="en-US"/>
        </w:rPr>
      </w:pPr>
    </w:p>
    <w:p w14:paraId="7ECACDEA" w14:textId="4ADCC657" w:rsidR="00806CD3" w:rsidRPr="002462F0" w:rsidRDefault="00806CD3" w:rsidP="00806CD3">
      <w:pPr>
        <w:pStyle w:val="BodyText"/>
        <w:rPr>
          <w:lang w:eastAsia="fr-FR"/>
        </w:rPr>
      </w:pPr>
      <w:r w:rsidRPr="002462F0">
        <w:rPr>
          <w:lang w:eastAsia="fr-FR"/>
        </w:rPr>
        <w:t xml:space="preserve">The Tier 1 method from the 2006 IPCC Guidelines is used to calculate the GHG emissions </w:t>
      </w:r>
      <w:r w:rsidR="00826E82">
        <w:rPr>
          <w:lang w:eastAsia="fr-FR"/>
        </w:rPr>
        <w:fldChar w:fldCharType="begin"/>
      </w:r>
      <w:r w:rsidR="00826E82">
        <w:rPr>
          <w:lang w:eastAsia="fr-FR"/>
        </w:rPr>
        <w:instrText xml:space="preserve"> REF _Ref496787649 \r \h </w:instrText>
      </w:r>
      <w:r w:rsidR="00826E82">
        <w:rPr>
          <w:lang w:eastAsia="fr-FR"/>
        </w:rPr>
      </w:r>
      <w:r w:rsidR="00826E82">
        <w:rPr>
          <w:lang w:eastAsia="fr-FR"/>
        </w:rPr>
        <w:fldChar w:fldCharType="separate"/>
      </w:r>
      <w:r w:rsidR="00F14C78">
        <w:rPr>
          <w:lang w:eastAsia="fr-FR"/>
        </w:rPr>
        <w:t>[E1]</w:t>
      </w:r>
      <w:r w:rsidR="00826E82">
        <w:rPr>
          <w:lang w:eastAsia="fr-FR"/>
        </w:rPr>
        <w:fldChar w:fldCharType="end"/>
      </w:r>
      <w:r w:rsidR="003C7F7E">
        <w:rPr>
          <w:lang w:eastAsia="fr-FR"/>
        </w:rPr>
        <w:t>, except for CO</w:t>
      </w:r>
      <w:r w:rsidR="003C7F7E" w:rsidRPr="00622F40">
        <w:rPr>
          <w:vertAlign w:val="subscript"/>
          <w:lang w:eastAsia="fr-FR"/>
        </w:rPr>
        <w:t>2</w:t>
      </w:r>
      <w:r w:rsidR="003C7F7E">
        <w:rPr>
          <w:lang w:eastAsia="fr-FR"/>
        </w:rPr>
        <w:t xml:space="preserve"> related to lignite burning where a Tier 2 method is used</w:t>
      </w:r>
      <w:r w:rsidRPr="002462F0">
        <w:rPr>
          <w:lang w:eastAsia="fr-FR"/>
        </w:rPr>
        <w:t xml:space="preserve">. </w:t>
      </w:r>
    </w:p>
    <w:p w14:paraId="454A7634" w14:textId="487DEDF3" w:rsidR="00D74044" w:rsidRPr="002462F0" w:rsidRDefault="00806CD3" w:rsidP="00D74044">
      <w:pPr>
        <w:rPr>
          <w:lang w:eastAsia="fr-FR"/>
        </w:rPr>
      </w:pPr>
      <w:r w:rsidRPr="002462F0">
        <w:rPr>
          <w:lang w:eastAsia="fr-FR"/>
        </w:rPr>
        <w:t>Fuel consumptions for thermal power generation are provided in the energy balance of</w:t>
      </w:r>
      <w:r w:rsidR="00826E82">
        <w:rPr>
          <w:lang w:eastAsia="fr-FR"/>
        </w:rPr>
        <w:t xml:space="preserve"> Serbia </w:t>
      </w:r>
      <w:r w:rsidR="00826E82">
        <w:rPr>
          <w:lang w:eastAsia="fr-FR"/>
        </w:rPr>
        <w:fldChar w:fldCharType="begin"/>
      </w:r>
      <w:r w:rsidR="00826E82">
        <w:rPr>
          <w:lang w:eastAsia="fr-FR"/>
        </w:rPr>
        <w:instrText xml:space="preserve"> REF _Ref496787656 \r \h </w:instrText>
      </w:r>
      <w:r w:rsidR="00826E82">
        <w:rPr>
          <w:lang w:eastAsia="fr-FR"/>
        </w:rPr>
      </w:r>
      <w:r w:rsidR="00826E82">
        <w:rPr>
          <w:lang w:eastAsia="fr-FR"/>
        </w:rPr>
        <w:fldChar w:fldCharType="separate"/>
      </w:r>
      <w:r w:rsidR="00F14C78">
        <w:rPr>
          <w:lang w:eastAsia="fr-FR"/>
        </w:rPr>
        <w:t>[E2]</w:t>
      </w:r>
      <w:r w:rsidR="00826E82">
        <w:rPr>
          <w:lang w:eastAsia="fr-FR"/>
        </w:rPr>
        <w:fldChar w:fldCharType="end"/>
      </w:r>
      <w:r w:rsidRPr="002462F0">
        <w:rPr>
          <w:lang w:eastAsia="fr-FR"/>
        </w:rPr>
        <w:t>.</w:t>
      </w:r>
      <w:r w:rsidR="00D74044" w:rsidRPr="002462F0">
        <w:rPr>
          <w:lang w:eastAsia="fr-FR"/>
        </w:rPr>
        <w:t xml:space="preserve"> </w:t>
      </w:r>
    </w:p>
    <w:p w14:paraId="54A58DD1" w14:textId="0AD43A70" w:rsidR="00806CD3" w:rsidRPr="002462F0" w:rsidRDefault="00806CD3" w:rsidP="00806CD3">
      <w:pPr>
        <w:pStyle w:val="BodyText"/>
        <w:rPr>
          <w:lang w:eastAsia="fr-FR"/>
        </w:rPr>
      </w:pPr>
      <w:r w:rsidRPr="002462F0">
        <w:rPr>
          <w:lang w:eastAsia="fr-FR"/>
        </w:rPr>
        <w:t xml:space="preserve">Default </w:t>
      </w:r>
      <w:r w:rsidR="00C161B2">
        <w:rPr>
          <w:lang w:eastAsia="fr-FR"/>
        </w:rPr>
        <w:t xml:space="preserve">Tier 1 </w:t>
      </w:r>
      <w:r w:rsidRPr="002462F0">
        <w:rPr>
          <w:lang w:eastAsia="fr-FR"/>
        </w:rPr>
        <w:t>emissions factors (CO</w:t>
      </w:r>
      <w:r w:rsidRPr="002462F0">
        <w:rPr>
          <w:vertAlign w:val="subscript"/>
          <w:lang w:eastAsia="fr-FR"/>
        </w:rPr>
        <w:t>2</w:t>
      </w:r>
      <w:r w:rsidRPr="002462F0">
        <w:rPr>
          <w:lang w:eastAsia="fr-FR"/>
        </w:rPr>
        <w:t>, CH</w:t>
      </w:r>
      <w:r w:rsidRPr="002462F0">
        <w:rPr>
          <w:vertAlign w:val="subscript"/>
          <w:lang w:eastAsia="fr-FR"/>
        </w:rPr>
        <w:t>4</w:t>
      </w:r>
      <w:r w:rsidRPr="002462F0">
        <w:rPr>
          <w:lang w:eastAsia="fr-FR"/>
        </w:rPr>
        <w:t>, N</w:t>
      </w:r>
      <w:r w:rsidRPr="002462F0">
        <w:rPr>
          <w:vertAlign w:val="subscript"/>
          <w:lang w:eastAsia="fr-FR"/>
        </w:rPr>
        <w:t>2</w:t>
      </w:r>
      <w:r w:rsidRPr="002462F0">
        <w:rPr>
          <w:lang w:eastAsia="fr-FR"/>
        </w:rPr>
        <w:t xml:space="preserve">O) are used to calculate </w:t>
      </w:r>
      <w:r w:rsidR="00411F33">
        <w:rPr>
          <w:lang w:eastAsia="fr-FR"/>
        </w:rPr>
        <w:t xml:space="preserve">all GHG </w:t>
      </w:r>
      <w:r w:rsidRPr="002462F0">
        <w:rPr>
          <w:lang w:eastAsia="fr-FR"/>
        </w:rPr>
        <w:t>emissions</w:t>
      </w:r>
      <w:r w:rsidR="003C7F7E">
        <w:rPr>
          <w:lang w:eastAsia="fr-FR"/>
        </w:rPr>
        <w:t>, except for the CO</w:t>
      </w:r>
      <w:r w:rsidR="003C7F7E" w:rsidRPr="00622F40">
        <w:rPr>
          <w:vertAlign w:val="subscript"/>
          <w:lang w:eastAsia="fr-FR"/>
        </w:rPr>
        <w:t>2</w:t>
      </w:r>
      <w:r w:rsidR="003C7F7E">
        <w:rPr>
          <w:lang w:eastAsia="fr-FR"/>
        </w:rPr>
        <w:t xml:space="preserve"> emissions related to the burning of lignite where country-specific </w:t>
      </w:r>
      <w:r w:rsidR="00F47685">
        <w:rPr>
          <w:lang w:eastAsia="fr-FR"/>
        </w:rPr>
        <w:t>carbon contents</w:t>
      </w:r>
      <w:r w:rsidR="003C7F7E">
        <w:rPr>
          <w:lang w:eastAsia="fr-FR"/>
        </w:rPr>
        <w:t xml:space="preserve"> (i.e., Tier 2) derived from national measurements</w:t>
      </w:r>
      <w:r w:rsidR="00F47685">
        <w:rPr>
          <w:lang w:eastAsia="fr-FR"/>
        </w:rPr>
        <w:t xml:space="preserve"> are used</w:t>
      </w:r>
      <w:r w:rsidR="00C161B2">
        <w:rPr>
          <w:lang w:eastAsia="fr-FR"/>
        </w:rPr>
        <w:t xml:space="preserve">, as presented in the chapter </w:t>
      </w:r>
      <w:r w:rsidR="00C161B2">
        <w:rPr>
          <w:lang w:eastAsia="fr-FR"/>
        </w:rPr>
        <w:fldChar w:fldCharType="begin"/>
      </w:r>
      <w:r w:rsidR="00C161B2">
        <w:rPr>
          <w:lang w:eastAsia="fr-FR"/>
        </w:rPr>
        <w:instrText xml:space="preserve"> REF _Ref175130250 \r \h </w:instrText>
      </w:r>
      <w:r w:rsidR="00C161B2">
        <w:rPr>
          <w:lang w:eastAsia="fr-FR"/>
        </w:rPr>
      </w:r>
      <w:r w:rsidR="00C161B2">
        <w:rPr>
          <w:lang w:eastAsia="fr-FR"/>
        </w:rPr>
        <w:fldChar w:fldCharType="separate"/>
      </w:r>
      <w:r w:rsidR="00F14C78">
        <w:rPr>
          <w:lang w:eastAsia="fr-FR"/>
        </w:rPr>
        <w:t>3.2.4</w:t>
      </w:r>
      <w:r w:rsidR="00C161B2">
        <w:rPr>
          <w:lang w:eastAsia="fr-FR"/>
        </w:rPr>
        <w:fldChar w:fldCharType="end"/>
      </w:r>
      <w:r w:rsidRPr="002462F0">
        <w:rPr>
          <w:lang w:eastAsia="fr-FR"/>
        </w:rPr>
        <w:t xml:space="preserve">. Default values </w:t>
      </w:r>
      <w:r w:rsidR="00775553">
        <w:rPr>
          <w:lang w:eastAsia="fr-FR"/>
        </w:rPr>
        <w:t>for non-CO</w:t>
      </w:r>
      <w:r w:rsidR="00775553" w:rsidRPr="00775553">
        <w:rPr>
          <w:vertAlign w:val="subscript"/>
          <w:lang w:eastAsia="fr-FR"/>
        </w:rPr>
        <w:t>2</w:t>
      </w:r>
      <w:r w:rsidR="00775553">
        <w:rPr>
          <w:lang w:eastAsia="fr-FR"/>
        </w:rPr>
        <w:t xml:space="preserve"> emission factors </w:t>
      </w:r>
      <w:r w:rsidR="00440E68">
        <w:rPr>
          <w:lang w:eastAsia="fr-FR"/>
        </w:rPr>
        <w:t>are sourced</w:t>
      </w:r>
      <w:r w:rsidR="00826E82">
        <w:rPr>
          <w:lang w:eastAsia="fr-FR"/>
        </w:rPr>
        <w:t xml:space="preserve"> from the 2006 IPCC Guidelines </w:t>
      </w:r>
      <w:r w:rsidR="00826E82">
        <w:rPr>
          <w:lang w:eastAsia="fr-FR"/>
        </w:rPr>
        <w:fldChar w:fldCharType="begin"/>
      </w:r>
      <w:r w:rsidR="00826E82">
        <w:rPr>
          <w:lang w:eastAsia="fr-FR"/>
        </w:rPr>
        <w:instrText xml:space="preserve"> REF _Ref496787669 \r \h </w:instrText>
      </w:r>
      <w:r w:rsidR="00826E82">
        <w:rPr>
          <w:lang w:eastAsia="fr-FR"/>
        </w:rPr>
      </w:r>
      <w:r w:rsidR="00826E82">
        <w:rPr>
          <w:lang w:eastAsia="fr-FR"/>
        </w:rPr>
        <w:fldChar w:fldCharType="separate"/>
      </w:r>
      <w:r w:rsidR="00F14C78">
        <w:rPr>
          <w:lang w:eastAsia="fr-FR"/>
        </w:rPr>
        <w:t>[E3]</w:t>
      </w:r>
      <w:r w:rsidR="00826E82">
        <w:rPr>
          <w:lang w:eastAsia="fr-FR"/>
        </w:rPr>
        <w:fldChar w:fldCharType="end"/>
      </w:r>
      <w:r w:rsidRPr="002462F0">
        <w:rPr>
          <w:lang w:eastAsia="fr-FR"/>
        </w:rPr>
        <w:t>.</w:t>
      </w:r>
      <w:r w:rsidR="00D74044" w:rsidRPr="002462F0">
        <w:rPr>
          <w:lang w:eastAsia="fr-FR"/>
        </w:rPr>
        <w:t xml:space="preserve"> It has to be noted that emissions related to </w:t>
      </w:r>
      <w:r w:rsidR="00F47685">
        <w:rPr>
          <w:lang w:eastAsia="fr-FR"/>
        </w:rPr>
        <w:t xml:space="preserve">heat and electricity </w:t>
      </w:r>
      <w:r w:rsidR="00D74044" w:rsidRPr="002462F0">
        <w:rPr>
          <w:lang w:eastAsia="fr-FR"/>
        </w:rPr>
        <w:t xml:space="preserve">auto-production </w:t>
      </w:r>
      <w:r w:rsidR="00F47685">
        <w:rPr>
          <w:lang w:eastAsia="fr-FR"/>
        </w:rPr>
        <w:t>in</w:t>
      </w:r>
      <w:r w:rsidR="00F47685" w:rsidRPr="002462F0">
        <w:rPr>
          <w:lang w:eastAsia="fr-FR"/>
        </w:rPr>
        <w:t xml:space="preserve"> </w:t>
      </w:r>
      <w:r w:rsidR="00D74044" w:rsidRPr="002462F0">
        <w:rPr>
          <w:lang w:eastAsia="fr-FR"/>
        </w:rPr>
        <w:t xml:space="preserve">industrial plants are </w:t>
      </w:r>
      <w:r w:rsidR="00F47685">
        <w:rPr>
          <w:lang w:eastAsia="fr-FR"/>
        </w:rPr>
        <w:t>estimated</w:t>
      </w:r>
      <w:r w:rsidR="00F47685" w:rsidRPr="002462F0">
        <w:rPr>
          <w:lang w:eastAsia="fr-FR"/>
        </w:rPr>
        <w:t xml:space="preserve"> </w:t>
      </w:r>
      <w:r w:rsidR="00D74044" w:rsidRPr="002462F0">
        <w:rPr>
          <w:lang w:eastAsia="fr-FR"/>
        </w:rPr>
        <w:t xml:space="preserve">in the sector </w:t>
      </w:r>
      <w:r w:rsidR="00F47685">
        <w:rPr>
          <w:lang w:eastAsia="fr-FR"/>
        </w:rPr>
        <w:t xml:space="preserve">CRT </w:t>
      </w:r>
      <w:r w:rsidR="00D74044" w:rsidRPr="002462F0">
        <w:rPr>
          <w:lang w:eastAsia="fr-FR"/>
        </w:rPr>
        <w:t>1A2-Manufacturing industry</w:t>
      </w:r>
      <w:r w:rsidR="00C20CC5" w:rsidRPr="002462F0">
        <w:rPr>
          <w:lang w:eastAsia="fr-FR"/>
        </w:rPr>
        <w:t xml:space="preserve"> sector</w:t>
      </w:r>
      <w:r w:rsidR="00F47685">
        <w:rPr>
          <w:lang w:eastAsia="fr-FR"/>
        </w:rPr>
        <w:t>, according to the IPCC 2006 guidelines</w:t>
      </w:r>
      <w:r w:rsidR="00D74044" w:rsidRPr="002462F0">
        <w:rPr>
          <w:lang w:eastAsia="fr-FR"/>
        </w:rPr>
        <w:t>.</w:t>
      </w:r>
    </w:p>
    <w:p w14:paraId="37CA3F56" w14:textId="4F4B5206" w:rsidR="00D22F21" w:rsidRPr="002462F0" w:rsidRDefault="00D22F21" w:rsidP="00D22F21">
      <w:pPr>
        <w:pStyle w:val="Titre4Bleu"/>
        <w:rPr>
          <w:szCs w:val="22"/>
          <w:lang w:eastAsia="fr-FR"/>
        </w:rPr>
      </w:pPr>
      <w:bookmarkStart w:id="193" w:name="_Toc182327732"/>
      <w:r w:rsidRPr="002462F0">
        <w:rPr>
          <w:lang w:eastAsia="fr-FR"/>
        </w:rPr>
        <w:t>Petroleum refining</w:t>
      </w:r>
      <w:r w:rsidR="00C33F7F" w:rsidRPr="002462F0">
        <w:rPr>
          <w:lang w:eastAsia="fr-FR"/>
        </w:rPr>
        <w:t xml:space="preserve"> (</w:t>
      </w:r>
      <w:r w:rsidR="000F6001">
        <w:rPr>
          <w:lang w:eastAsia="fr-FR"/>
        </w:rPr>
        <w:t>CRT</w:t>
      </w:r>
      <w:r w:rsidR="00C33F7F" w:rsidRPr="002462F0">
        <w:rPr>
          <w:lang w:eastAsia="fr-FR"/>
        </w:rPr>
        <w:t xml:space="preserve"> 1A1b)</w:t>
      </w:r>
      <w:bookmarkEnd w:id="193"/>
    </w:p>
    <w:p w14:paraId="64ECA8EC" w14:textId="77777777" w:rsidR="00D22F21" w:rsidRPr="002462F0" w:rsidRDefault="00D22F21" w:rsidP="00D22F21">
      <w:pPr>
        <w:pStyle w:val="Heading5"/>
        <w:spacing w:before="240"/>
        <w:ind w:left="1009" w:hanging="1009"/>
        <w:rPr>
          <w:lang w:eastAsia="fr-FR"/>
        </w:rPr>
      </w:pPr>
      <w:bookmarkStart w:id="194" w:name="_Ref175234898"/>
      <w:bookmarkStart w:id="195" w:name="_Toc182327733"/>
      <w:r w:rsidRPr="002462F0">
        <w:rPr>
          <w:lang w:eastAsia="fr-FR"/>
        </w:rPr>
        <w:lastRenderedPageBreak/>
        <w:t>Category description</w:t>
      </w:r>
      <w:bookmarkEnd w:id="194"/>
      <w:bookmarkEnd w:id="195"/>
      <w:r w:rsidRPr="002462F0">
        <w:rPr>
          <w:lang w:eastAsia="fr-FR"/>
        </w:rPr>
        <w:t xml:space="preserve"> </w:t>
      </w:r>
    </w:p>
    <w:p w14:paraId="6A414541" w14:textId="24551477" w:rsidR="00C37F27" w:rsidRPr="00D729B3" w:rsidRDefault="00775553" w:rsidP="00DD4473">
      <w:pPr>
        <w:rPr>
          <w:lang w:eastAsia="fr-FR"/>
        </w:rPr>
      </w:pPr>
      <w:r>
        <w:t xml:space="preserve">In the Republic of Serbia, two oil refineries are located in </w:t>
      </w:r>
      <w:proofErr w:type="spellStart"/>
      <w:r>
        <w:t>Pančevo</w:t>
      </w:r>
      <w:proofErr w:type="spellEnd"/>
      <w:r>
        <w:t xml:space="preserve"> and Novi Sad. These refineries utilize residual fuel oil, natural gas, LPG, and refinery gas, resulting in CO₂, CH₄, and N₂O emissions from fuel combustion. However, since 2019, the Novi Sad refinery has been repurposed as a tank </w:t>
      </w:r>
      <w:proofErr w:type="spellStart"/>
      <w:r>
        <w:t>farm.</w:t>
      </w:r>
      <w:r w:rsidR="00C37F27" w:rsidRPr="00D729B3">
        <w:rPr>
          <w:lang w:eastAsia="fr-FR"/>
        </w:rPr>
        <w:t>The</w:t>
      </w:r>
      <w:proofErr w:type="spellEnd"/>
      <w:r w:rsidR="00C37F27" w:rsidRPr="00D729B3">
        <w:rPr>
          <w:lang w:eastAsia="fr-FR"/>
        </w:rPr>
        <w:t xml:space="preserve"> evolution of crude oil treated in oil refineries for the period 1990-2022 is as follows:</w:t>
      </w:r>
    </w:p>
    <w:p w14:paraId="314CDF1B" w14:textId="77777777" w:rsidR="00C37F27" w:rsidRDefault="00C37F27" w:rsidP="003631EA">
      <w:pPr>
        <w:keepNext/>
        <w:spacing w:after="0"/>
      </w:pPr>
      <w:r>
        <w:rPr>
          <w:noProof/>
          <w:color w:val="FF0000"/>
          <w:lang w:val="en-US"/>
        </w:rPr>
        <w:drawing>
          <wp:inline distT="0" distB="0" distL="0" distR="0" wp14:anchorId="710E8DB9" wp14:editId="13987314">
            <wp:extent cx="4829175" cy="2942779"/>
            <wp:effectExtent l="0" t="0" r="0" b="0"/>
            <wp:docPr id="417169973"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l="3948" t="2420" r="2978" b="3226"/>
                    <a:stretch/>
                  </pic:blipFill>
                  <pic:spPr bwMode="auto">
                    <a:xfrm>
                      <a:off x="0" y="0"/>
                      <a:ext cx="4835167" cy="2946430"/>
                    </a:xfrm>
                    <a:prstGeom prst="rect">
                      <a:avLst/>
                    </a:prstGeom>
                    <a:noFill/>
                    <a:ln>
                      <a:noFill/>
                    </a:ln>
                    <a:extLst>
                      <a:ext uri="{53640926-AAD7-44D8-BBD7-CCE9431645EC}">
                        <a14:shadowObscured xmlns:a14="http://schemas.microsoft.com/office/drawing/2010/main"/>
                      </a:ext>
                    </a:extLst>
                  </pic:spPr>
                </pic:pic>
              </a:graphicData>
            </a:graphic>
          </wp:inline>
        </w:drawing>
      </w:r>
    </w:p>
    <w:p w14:paraId="49FB8CD6" w14:textId="4544D405" w:rsidR="00C37F27" w:rsidRDefault="00C37F27" w:rsidP="003631EA">
      <w:pPr>
        <w:pStyle w:val="Caption"/>
        <w:spacing w:before="0" w:after="0"/>
        <w:jc w:val="left"/>
      </w:pPr>
      <w:bookmarkStart w:id="196" w:name="_Ref175300147"/>
      <w:bookmarkStart w:id="197" w:name="_Toc184808395"/>
      <w:r>
        <w:t xml:space="preserve">Figure </w:t>
      </w:r>
      <w:r>
        <w:fldChar w:fldCharType="begin"/>
      </w:r>
      <w:r>
        <w:instrText xml:space="preserve"> SEQ Figure \* ARABIC </w:instrText>
      </w:r>
      <w:r>
        <w:fldChar w:fldCharType="separate"/>
      </w:r>
      <w:r w:rsidR="00F14C78">
        <w:rPr>
          <w:noProof/>
        </w:rPr>
        <w:t>8</w:t>
      </w:r>
      <w:r>
        <w:fldChar w:fldCharType="end"/>
      </w:r>
      <w:bookmarkEnd w:id="196"/>
      <w:r>
        <w:t>:</w:t>
      </w:r>
      <w:r w:rsidR="001533CA">
        <w:t xml:space="preserve"> </w:t>
      </w:r>
      <w:r w:rsidR="00F1084E">
        <w:t xml:space="preserve">Evolution of the amounts of crude oil treated in petroleum refining </w:t>
      </w:r>
      <w:r w:rsidR="000D791F">
        <w:t>for the period 1990-2022</w:t>
      </w:r>
      <w:bookmarkEnd w:id="197"/>
    </w:p>
    <w:p w14:paraId="1FC45BC0" w14:textId="77777777" w:rsidR="000D791F" w:rsidRDefault="000D791F" w:rsidP="000D791F"/>
    <w:p w14:paraId="105455BD" w14:textId="52BA0EF2" w:rsidR="000D791F" w:rsidRDefault="000D791F" w:rsidP="000D791F">
      <w:r>
        <w:t>For the period 1990-2022, the amounts of crude oil refined have varied significantly</w:t>
      </w:r>
      <w:r w:rsidR="003D4EA3">
        <w:t xml:space="preserve">, rather similarly to the trend observed for the overall energy consumptions of the country for the period 1990-2014 (cf. chapter </w:t>
      </w:r>
      <w:r w:rsidR="003D4EA3">
        <w:fldChar w:fldCharType="begin"/>
      </w:r>
      <w:r w:rsidR="003D4EA3">
        <w:instrText xml:space="preserve"> REF _Ref175133695 \r \h </w:instrText>
      </w:r>
      <w:r w:rsidR="003D4EA3">
        <w:fldChar w:fldCharType="separate"/>
      </w:r>
      <w:r w:rsidR="00F14C78">
        <w:t>3.1</w:t>
      </w:r>
      <w:r w:rsidR="003D4EA3">
        <w:fldChar w:fldCharType="end"/>
      </w:r>
      <w:r w:rsidR="003D4EA3">
        <w:t xml:space="preserve">). </w:t>
      </w:r>
      <w:r w:rsidR="002F4089">
        <w:t>Between</w:t>
      </w:r>
      <w:r w:rsidR="003D4EA3">
        <w:t xml:space="preserve"> </w:t>
      </w:r>
      <w:r w:rsidR="001777DE">
        <w:t>2014</w:t>
      </w:r>
      <w:r w:rsidR="002F4089">
        <w:t xml:space="preserve"> and 2022</w:t>
      </w:r>
      <w:r w:rsidR="003D4EA3">
        <w:t>,</w:t>
      </w:r>
      <w:r w:rsidR="001777DE">
        <w:t xml:space="preserve"> a large increase </w:t>
      </w:r>
      <w:r w:rsidR="002F4089">
        <w:t xml:space="preserve">of 59% </w:t>
      </w:r>
      <w:r w:rsidR="001777DE">
        <w:t xml:space="preserve">in the </w:t>
      </w:r>
      <w:r w:rsidR="005D7FB9">
        <w:t xml:space="preserve">sector </w:t>
      </w:r>
      <w:r w:rsidR="00431FC2">
        <w:t>activity</w:t>
      </w:r>
      <w:r w:rsidR="001777DE">
        <w:t xml:space="preserve"> has been observed</w:t>
      </w:r>
      <w:r w:rsidR="00CB46A5">
        <w:t xml:space="preserve">, meanwhile the fuel consumptions have increased by 40% over the same period. </w:t>
      </w:r>
    </w:p>
    <w:p w14:paraId="000FBBFD" w14:textId="29077D4C" w:rsidR="00CB46A5" w:rsidRPr="00622F40" w:rsidRDefault="00CB46A5" w:rsidP="000D791F">
      <w:r>
        <w:t xml:space="preserve">The following graph presents the evolution of the GHG emissions for the petroleum refining sector: </w:t>
      </w:r>
    </w:p>
    <w:p w14:paraId="4D2EB889" w14:textId="551325F6" w:rsidR="00DD4473" w:rsidRPr="002462F0" w:rsidRDefault="00FD5CC2" w:rsidP="003631EA">
      <w:pPr>
        <w:spacing w:after="0"/>
        <w:jc w:val="left"/>
        <w:rPr>
          <w:lang w:eastAsia="fr-FR"/>
        </w:rPr>
      </w:pPr>
      <w:r>
        <w:rPr>
          <w:noProof/>
          <w:lang w:val="en-US"/>
        </w:rPr>
        <w:drawing>
          <wp:inline distT="0" distB="0" distL="0" distR="0" wp14:anchorId="1A45AA6B" wp14:editId="2D9E4290">
            <wp:extent cx="5992914" cy="1828800"/>
            <wp:effectExtent l="0" t="0" r="8255" b="0"/>
            <wp:docPr id="1945176943"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6296" cy="1832884"/>
                    </a:xfrm>
                    <a:prstGeom prst="rect">
                      <a:avLst/>
                    </a:prstGeom>
                    <a:noFill/>
                  </pic:spPr>
                </pic:pic>
              </a:graphicData>
            </a:graphic>
          </wp:inline>
        </w:drawing>
      </w:r>
    </w:p>
    <w:p w14:paraId="2A049F2B" w14:textId="77777777" w:rsidR="003631EA" w:rsidRPr="002462F0" w:rsidRDefault="003631EA" w:rsidP="003631EA">
      <w:pPr>
        <w:pStyle w:val="Caption"/>
        <w:keepNext/>
        <w:spacing w:before="0" w:after="0"/>
        <w:jc w:val="left"/>
      </w:pPr>
      <w:bookmarkStart w:id="198" w:name="_Toc184808396"/>
      <w:r w:rsidRPr="00622F40">
        <w:t xml:space="preserve">Figure </w:t>
      </w:r>
      <w:r w:rsidRPr="00622F40">
        <w:fldChar w:fldCharType="begin"/>
      </w:r>
      <w:r w:rsidRPr="00622F40">
        <w:instrText xml:space="preserve"> SEQ Figure \* ARABIC </w:instrText>
      </w:r>
      <w:r w:rsidRPr="00622F40">
        <w:fldChar w:fldCharType="separate"/>
      </w:r>
      <w:r>
        <w:rPr>
          <w:noProof/>
        </w:rPr>
        <w:t>9</w:t>
      </w:r>
      <w:r w:rsidRPr="00622F40">
        <w:fldChar w:fldCharType="end"/>
      </w:r>
      <w:r w:rsidRPr="00622F40">
        <w:t>: GHG emissions for the petroleum refining (CRT 1A1b), for the period 1990-2022 (in kt CO</w:t>
      </w:r>
      <w:r w:rsidRPr="00622F40">
        <w:rPr>
          <w:vertAlign w:val="subscript"/>
        </w:rPr>
        <w:t>2</w:t>
      </w:r>
      <w:r w:rsidRPr="00622F40">
        <w:t>e)</w:t>
      </w:r>
      <w:bookmarkEnd w:id="198"/>
    </w:p>
    <w:p w14:paraId="3BFB1295" w14:textId="77777777" w:rsidR="003631EA" w:rsidRDefault="003631EA" w:rsidP="00627E96">
      <w:pPr>
        <w:autoSpaceDE w:val="0"/>
        <w:autoSpaceDN w:val="0"/>
        <w:adjustRightInd w:val="0"/>
        <w:spacing w:after="0" w:line="240" w:lineRule="auto"/>
        <w:rPr>
          <w:rFonts w:cs="MyriadPro-Regular"/>
          <w:color w:val="1D1D1B"/>
          <w:szCs w:val="20"/>
        </w:rPr>
      </w:pPr>
    </w:p>
    <w:p w14:paraId="146A2B26" w14:textId="25976499" w:rsidR="00627E96" w:rsidRPr="002462F0" w:rsidRDefault="00D87AB5" w:rsidP="00627E96">
      <w:pPr>
        <w:autoSpaceDE w:val="0"/>
        <w:autoSpaceDN w:val="0"/>
        <w:adjustRightInd w:val="0"/>
        <w:spacing w:after="0" w:line="240" w:lineRule="auto"/>
        <w:rPr>
          <w:rFonts w:cs="MyriadPro-Regular"/>
          <w:color w:val="1D1D1B"/>
          <w:szCs w:val="20"/>
        </w:rPr>
      </w:pPr>
      <w:r>
        <w:rPr>
          <w:rFonts w:cs="MyriadPro-Regular"/>
          <w:color w:val="1D1D1B"/>
          <w:szCs w:val="20"/>
        </w:rPr>
        <w:t xml:space="preserve">The </w:t>
      </w:r>
      <w:r w:rsidR="00627E96" w:rsidRPr="002462F0">
        <w:rPr>
          <w:rFonts w:cs="MyriadPro-Regular"/>
          <w:color w:val="1D1D1B"/>
          <w:szCs w:val="20"/>
        </w:rPr>
        <w:t xml:space="preserve">GHG emissions from the </w:t>
      </w:r>
      <w:r w:rsidR="00627E96" w:rsidRPr="002462F0">
        <w:rPr>
          <w:rFonts w:cs="MyriadPro-Regular"/>
          <w:color w:val="1D1D1B"/>
          <w:szCs w:val="20"/>
          <w:lang w:val="en-US"/>
        </w:rPr>
        <w:t xml:space="preserve">Petroleum refining </w:t>
      </w:r>
      <w:r w:rsidR="009947D1">
        <w:rPr>
          <w:rFonts w:cs="MyriadPro-Regular"/>
          <w:color w:val="1D1D1B"/>
          <w:szCs w:val="20"/>
        </w:rPr>
        <w:t xml:space="preserve">follows roughly the trend of the amount of crude oil treated </w:t>
      </w:r>
      <w:r w:rsidR="00ED3E12">
        <w:rPr>
          <w:rFonts w:cs="MyriadPro-Regular"/>
          <w:color w:val="1D1D1B"/>
          <w:szCs w:val="20"/>
        </w:rPr>
        <w:t>over the whole timeseries</w:t>
      </w:r>
      <w:r w:rsidR="00903220">
        <w:rPr>
          <w:rFonts w:cs="MyriadPro-Regular"/>
          <w:color w:val="1D1D1B"/>
          <w:szCs w:val="20"/>
        </w:rPr>
        <w:t>. In the end of the period,</w:t>
      </w:r>
      <w:r w:rsidR="00ED3E12">
        <w:rPr>
          <w:rFonts w:cs="MyriadPro-Regular"/>
          <w:color w:val="1D1D1B"/>
          <w:szCs w:val="20"/>
        </w:rPr>
        <w:t xml:space="preserve"> </w:t>
      </w:r>
      <w:r w:rsidR="00903220">
        <w:rPr>
          <w:rFonts w:cs="MyriadPro-Regular"/>
          <w:color w:val="1D1D1B"/>
          <w:szCs w:val="20"/>
        </w:rPr>
        <w:t xml:space="preserve">the GHG emissions underwent a </w:t>
      </w:r>
      <w:r w:rsidR="00ED3E12">
        <w:rPr>
          <w:rFonts w:cs="MyriadPro-Regular"/>
          <w:color w:val="1D1D1B"/>
          <w:szCs w:val="20"/>
        </w:rPr>
        <w:t xml:space="preserve">least </w:t>
      </w:r>
      <w:r w:rsidR="00DC11CE">
        <w:rPr>
          <w:rFonts w:cs="MyriadPro-Regular"/>
          <w:color w:val="1D1D1B"/>
          <w:szCs w:val="20"/>
        </w:rPr>
        <w:t xml:space="preserve">increase </w:t>
      </w:r>
      <w:r w:rsidR="00ED3E12">
        <w:rPr>
          <w:rFonts w:cs="MyriadPro-Regular"/>
          <w:color w:val="1D1D1B"/>
          <w:szCs w:val="20"/>
        </w:rPr>
        <w:t>as the fuel consumptions did not increase as much as the a</w:t>
      </w:r>
      <w:r w:rsidR="00DC11CE">
        <w:rPr>
          <w:rFonts w:cs="MyriadPro-Regular"/>
          <w:color w:val="1D1D1B"/>
          <w:szCs w:val="20"/>
        </w:rPr>
        <w:t xml:space="preserve">mount of crude oil refined, as well as due to the </w:t>
      </w:r>
      <w:r w:rsidR="00566E28">
        <w:rPr>
          <w:rFonts w:cs="MyriadPro-Regular"/>
          <w:color w:val="1D1D1B"/>
          <w:szCs w:val="20"/>
        </w:rPr>
        <w:t>progressive withdrawal of the use of heavy fuel oil, substituted partly by other fuels with a smaller carbon content such as natural gas and LPG</w:t>
      </w:r>
      <w:r w:rsidR="00627E96" w:rsidRPr="002462F0">
        <w:rPr>
          <w:rFonts w:cs="MyriadPro-Regular"/>
          <w:color w:val="1D1D1B"/>
          <w:szCs w:val="20"/>
        </w:rPr>
        <w:t>.</w:t>
      </w:r>
    </w:p>
    <w:p w14:paraId="4806204E" w14:textId="77777777" w:rsidR="00627E96" w:rsidRPr="002462F0" w:rsidRDefault="00627E96" w:rsidP="00032BED">
      <w:pPr>
        <w:autoSpaceDE w:val="0"/>
        <w:autoSpaceDN w:val="0"/>
        <w:adjustRightInd w:val="0"/>
        <w:spacing w:after="0" w:line="240" w:lineRule="auto"/>
        <w:rPr>
          <w:rFonts w:cs="MyriadPro-Regular"/>
          <w:color w:val="1D1D1B"/>
          <w:szCs w:val="20"/>
        </w:rPr>
      </w:pPr>
    </w:p>
    <w:p w14:paraId="2E121F76" w14:textId="36E63D25" w:rsidR="00032BED" w:rsidRPr="002462F0" w:rsidRDefault="000502F7" w:rsidP="00032BED">
      <w:pPr>
        <w:autoSpaceDE w:val="0"/>
        <w:autoSpaceDN w:val="0"/>
        <w:adjustRightInd w:val="0"/>
        <w:spacing w:after="0" w:line="240" w:lineRule="auto"/>
        <w:rPr>
          <w:rFonts w:cs="MyriadPro-Regular"/>
          <w:color w:val="1D1D1B"/>
          <w:szCs w:val="20"/>
          <w:lang w:val="en-US"/>
        </w:rPr>
      </w:pPr>
      <w:r>
        <w:rPr>
          <w:rFonts w:cs="MyriadPro-Regular"/>
          <w:color w:val="1D1D1B"/>
          <w:szCs w:val="20"/>
          <w:lang w:val="en-US"/>
        </w:rPr>
        <w:lastRenderedPageBreak/>
        <w:t>In 20</w:t>
      </w:r>
      <w:r w:rsidR="00566E28">
        <w:rPr>
          <w:rFonts w:cs="MyriadPro-Regular"/>
          <w:color w:val="1D1D1B"/>
          <w:szCs w:val="20"/>
          <w:lang w:val="en-US"/>
        </w:rPr>
        <w:t>22</w:t>
      </w:r>
      <w:r w:rsidR="00032BED" w:rsidRPr="002462F0">
        <w:rPr>
          <w:rFonts w:cs="MyriadPro-Regular"/>
          <w:color w:val="1D1D1B"/>
          <w:szCs w:val="20"/>
          <w:lang w:val="en-US"/>
        </w:rPr>
        <w:t>, the category Petroleum refining is a key category for CO</w:t>
      </w:r>
      <w:r w:rsidR="00032BED" w:rsidRPr="002462F0">
        <w:rPr>
          <w:rFonts w:cs="MyriadPro-Regular"/>
          <w:color w:val="1D1D1B"/>
          <w:szCs w:val="20"/>
          <w:vertAlign w:val="subscript"/>
          <w:lang w:val="en-US"/>
        </w:rPr>
        <w:t>2</w:t>
      </w:r>
      <w:r w:rsidR="00032BED" w:rsidRPr="002462F0">
        <w:rPr>
          <w:rFonts w:cs="MyriadPro-Regular"/>
          <w:color w:val="1D1D1B"/>
          <w:szCs w:val="20"/>
          <w:lang w:val="en-US"/>
        </w:rPr>
        <w:t xml:space="preserve"> emissions in Serbia, for the consumption of liquid and gaseous fuels</w:t>
      </w:r>
      <w:r w:rsidR="003F35B8">
        <w:rPr>
          <w:rFonts w:cs="MyriadPro-Regular"/>
          <w:color w:val="1D1D1B"/>
          <w:szCs w:val="20"/>
          <w:lang w:val="en-US"/>
        </w:rPr>
        <w:t>, both in level and trend of emissions</w:t>
      </w:r>
      <w:r w:rsidR="00032BED" w:rsidRPr="002462F0">
        <w:rPr>
          <w:rFonts w:cs="MyriadPro-Regular"/>
          <w:color w:val="1D1D1B"/>
          <w:szCs w:val="20"/>
          <w:lang w:val="en-US"/>
        </w:rPr>
        <w:t xml:space="preserve">. </w:t>
      </w:r>
    </w:p>
    <w:p w14:paraId="084DC484" w14:textId="77777777" w:rsidR="00032BED" w:rsidRPr="002462F0" w:rsidRDefault="00032BED" w:rsidP="00032BED">
      <w:pPr>
        <w:autoSpaceDE w:val="0"/>
        <w:autoSpaceDN w:val="0"/>
        <w:adjustRightInd w:val="0"/>
        <w:spacing w:after="0" w:line="240" w:lineRule="auto"/>
        <w:rPr>
          <w:rFonts w:cs="MyriadPro-Regular"/>
          <w:color w:val="1D1D1B"/>
          <w:szCs w:val="20"/>
          <w:lang w:val="en-US"/>
        </w:rPr>
      </w:pPr>
    </w:p>
    <w:p w14:paraId="2A78BCD8" w14:textId="77777777" w:rsidR="00032BED" w:rsidRPr="00775553" w:rsidRDefault="00032BED" w:rsidP="00032BED">
      <w:pPr>
        <w:autoSpaceDE w:val="0"/>
        <w:autoSpaceDN w:val="0"/>
        <w:adjustRightInd w:val="0"/>
        <w:spacing w:after="0" w:line="240" w:lineRule="auto"/>
        <w:rPr>
          <w:rFonts w:cs="MyriadPro-Regular"/>
          <w:i/>
          <w:color w:val="1D1D1B"/>
          <w:szCs w:val="20"/>
          <w:u w:val="single"/>
          <w:lang w:val="en-US"/>
        </w:rPr>
      </w:pPr>
      <w:r w:rsidRPr="00775553">
        <w:rPr>
          <w:rFonts w:cs="MyriadPro-Regular"/>
          <w:i/>
          <w:color w:val="1D1D1B"/>
          <w:szCs w:val="20"/>
          <w:u w:val="single"/>
          <w:lang w:val="en-US"/>
        </w:rPr>
        <w:t xml:space="preserve">Consumption of liquid fuels in the </w:t>
      </w:r>
      <w:r w:rsidRPr="00775553">
        <w:rPr>
          <w:rFonts w:cs="MyriadPro-Regular"/>
          <w:color w:val="1D1D1B"/>
          <w:szCs w:val="20"/>
          <w:u w:val="single"/>
          <w:lang w:val="en-US"/>
        </w:rPr>
        <w:t>Petroleum refining</w:t>
      </w:r>
    </w:p>
    <w:p w14:paraId="74F1697B" w14:textId="36F8C221" w:rsidR="00032BED" w:rsidRPr="002462F0" w:rsidRDefault="00032BED" w:rsidP="00032BED">
      <w:pPr>
        <w:autoSpaceDE w:val="0"/>
        <w:autoSpaceDN w:val="0"/>
        <w:adjustRightInd w:val="0"/>
        <w:spacing w:after="0" w:line="240" w:lineRule="auto"/>
        <w:rPr>
          <w:rFonts w:cs="MyriadPro-Regular"/>
          <w:color w:val="1D1D1B"/>
          <w:szCs w:val="20"/>
          <w:lang w:val="en-US"/>
        </w:rPr>
      </w:pPr>
      <w:r w:rsidRPr="002462F0">
        <w:rPr>
          <w:rFonts w:cs="MyriadPro-Regular"/>
          <w:color w:val="1D1D1B"/>
          <w:szCs w:val="20"/>
          <w:lang w:val="en-US"/>
        </w:rPr>
        <w:t>The CO</w:t>
      </w:r>
      <w:r w:rsidRPr="002462F0">
        <w:rPr>
          <w:rFonts w:cs="MyriadPro-Regular"/>
          <w:color w:val="1D1D1B"/>
          <w:szCs w:val="20"/>
          <w:vertAlign w:val="subscript"/>
          <w:lang w:val="en-US"/>
        </w:rPr>
        <w:t>2</w:t>
      </w:r>
      <w:r w:rsidRPr="002462F0">
        <w:rPr>
          <w:rFonts w:cs="MyriadPro-Regular"/>
          <w:color w:val="1D1D1B"/>
          <w:szCs w:val="20"/>
          <w:lang w:val="en-US"/>
        </w:rPr>
        <w:t xml:space="preserve"> emissions related to the consumption of liquid fuels in the Petroleum refining contribute </w:t>
      </w:r>
      <w:r w:rsidRPr="00E76966">
        <w:rPr>
          <w:rFonts w:cs="MyriadPro-Regular"/>
          <w:color w:val="1D1D1B"/>
          <w:szCs w:val="20"/>
          <w:lang w:val="en-US"/>
        </w:rPr>
        <w:t>to 0</w:t>
      </w:r>
      <w:r w:rsidR="003F35B8">
        <w:rPr>
          <w:rFonts w:cs="MyriadPro-Regular"/>
          <w:color w:val="1D1D1B"/>
          <w:szCs w:val="20"/>
          <w:lang w:val="en-US"/>
        </w:rPr>
        <w:t>.5</w:t>
      </w:r>
      <w:r w:rsidRPr="002462F0">
        <w:rPr>
          <w:rFonts w:cs="MyriadPro-Regular"/>
          <w:color w:val="1D1D1B"/>
          <w:szCs w:val="20"/>
          <w:lang w:val="en-US"/>
        </w:rPr>
        <w:t xml:space="preserve">% in terms of emissions level (rank </w:t>
      </w:r>
      <w:r w:rsidR="00B5762B">
        <w:rPr>
          <w:rFonts w:cs="MyriadPro-Regular"/>
          <w:color w:val="1D1D1B"/>
          <w:szCs w:val="20"/>
          <w:lang w:val="en-US"/>
        </w:rPr>
        <w:t>23</w:t>
      </w:r>
      <w:r w:rsidRPr="002462F0">
        <w:rPr>
          <w:rFonts w:cs="MyriadPro-Regular"/>
          <w:color w:val="1D1D1B"/>
          <w:szCs w:val="20"/>
          <w:lang w:val="en-US"/>
        </w:rPr>
        <w:t xml:space="preserve">) and </w:t>
      </w:r>
      <w:r w:rsidR="00F36669">
        <w:rPr>
          <w:rFonts w:cs="MyriadPro-Regular"/>
          <w:color w:val="1D1D1B"/>
          <w:szCs w:val="20"/>
          <w:lang w:val="en-US"/>
        </w:rPr>
        <w:t>1.0</w:t>
      </w:r>
      <w:r w:rsidRPr="002462F0">
        <w:rPr>
          <w:rFonts w:cs="MyriadPro-Regular"/>
          <w:color w:val="1D1D1B"/>
          <w:szCs w:val="20"/>
          <w:lang w:val="en-US"/>
        </w:rPr>
        <w:t>% in t</w:t>
      </w:r>
      <w:r w:rsidR="00E76966">
        <w:rPr>
          <w:rFonts w:cs="MyriadPro-Regular"/>
          <w:color w:val="1D1D1B"/>
          <w:szCs w:val="20"/>
          <w:lang w:val="en-US"/>
        </w:rPr>
        <w:t xml:space="preserve">erms of emissions trend (rank </w:t>
      </w:r>
      <w:r w:rsidR="00F36669">
        <w:rPr>
          <w:rFonts w:cs="MyriadPro-Regular"/>
          <w:color w:val="1D1D1B"/>
          <w:szCs w:val="20"/>
          <w:lang w:val="en-US"/>
        </w:rPr>
        <w:t>24</w:t>
      </w:r>
      <w:r w:rsidRPr="002462F0">
        <w:rPr>
          <w:rFonts w:cs="MyriadPro-Regular"/>
          <w:color w:val="1D1D1B"/>
          <w:szCs w:val="20"/>
          <w:lang w:val="en-US"/>
        </w:rPr>
        <w:t>)</w:t>
      </w:r>
      <w:r w:rsidR="003F35B8">
        <w:rPr>
          <w:rFonts w:cs="MyriadPro-Regular"/>
          <w:color w:val="1D1D1B"/>
          <w:szCs w:val="20"/>
          <w:lang w:val="en-US"/>
        </w:rPr>
        <w:t>, without considering LULUCF</w:t>
      </w:r>
      <w:r w:rsidRPr="002462F0">
        <w:rPr>
          <w:rFonts w:cs="MyriadPro-Regular"/>
          <w:color w:val="1D1D1B"/>
          <w:szCs w:val="20"/>
          <w:lang w:val="en-US"/>
        </w:rPr>
        <w:t>.</w:t>
      </w:r>
    </w:p>
    <w:p w14:paraId="6C688AAB" w14:textId="77777777" w:rsidR="00032BED" w:rsidRPr="002462F0" w:rsidRDefault="00032BED" w:rsidP="00032BED">
      <w:pPr>
        <w:autoSpaceDE w:val="0"/>
        <w:autoSpaceDN w:val="0"/>
        <w:adjustRightInd w:val="0"/>
        <w:spacing w:after="0" w:line="240" w:lineRule="auto"/>
        <w:rPr>
          <w:rFonts w:cs="MyriadPro-Regular"/>
          <w:i/>
          <w:color w:val="1D1D1B"/>
          <w:szCs w:val="20"/>
          <w:lang w:val="en-US"/>
        </w:rPr>
      </w:pPr>
    </w:p>
    <w:p w14:paraId="019CAD0C" w14:textId="77777777" w:rsidR="00032BED" w:rsidRPr="00775553" w:rsidRDefault="00032BED" w:rsidP="00032BED">
      <w:pPr>
        <w:autoSpaceDE w:val="0"/>
        <w:autoSpaceDN w:val="0"/>
        <w:adjustRightInd w:val="0"/>
        <w:spacing w:after="0" w:line="240" w:lineRule="auto"/>
        <w:rPr>
          <w:rFonts w:cs="MyriadPro-Regular"/>
          <w:i/>
          <w:color w:val="1D1D1B"/>
          <w:szCs w:val="20"/>
          <w:u w:val="single"/>
          <w:lang w:val="en-US"/>
        </w:rPr>
      </w:pPr>
      <w:r w:rsidRPr="00775553">
        <w:rPr>
          <w:rFonts w:cs="MyriadPro-Regular"/>
          <w:i/>
          <w:color w:val="1D1D1B"/>
          <w:szCs w:val="20"/>
          <w:u w:val="single"/>
          <w:lang w:val="en-US"/>
        </w:rPr>
        <w:t xml:space="preserve">Consumption of gaseous fuels in the </w:t>
      </w:r>
      <w:r w:rsidRPr="00775553">
        <w:rPr>
          <w:rFonts w:cs="MyriadPro-Regular"/>
          <w:color w:val="1D1D1B"/>
          <w:szCs w:val="20"/>
          <w:u w:val="single"/>
          <w:lang w:val="en-US"/>
        </w:rPr>
        <w:t>Petroleum refining</w:t>
      </w:r>
    </w:p>
    <w:p w14:paraId="72A760A0" w14:textId="5A9B38D9" w:rsidR="00032BED" w:rsidRPr="002462F0" w:rsidRDefault="00032BED" w:rsidP="00032BED">
      <w:pPr>
        <w:autoSpaceDE w:val="0"/>
        <w:autoSpaceDN w:val="0"/>
        <w:adjustRightInd w:val="0"/>
        <w:spacing w:after="0" w:line="240" w:lineRule="auto"/>
        <w:rPr>
          <w:rFonts w:cs="MyriadPro-Regular"/>
          <w:color w:val="1D1D1B"/>
          <w:szCs w:val="20"/>
          <w:lang w:val="en-US"/>
        </w:rPr>
      </w:pPr>
      <w:r w:rsidRPr="002462F0">
        <w:rPr>
          <w:rFonts w:cs="MyriadPro-Regular"/>
          <w:color w:val="1D1D1B"/>
          <w:szCs w:val="20"/>
          <w:lang w:val="en-US"/>
        </w:rPr>
        <w:t>The CO</w:t>
      </w:r>
      <w:r w:rsidRPr="002462F0">
        <w:rPr>
          <w:rFonts w:cs="MyriadPro-Regular"/>
          <w:color w:val="1D1D1B"/>
          <w:szCs w:val="20"/>
          <w:vertAlign w:val="subscript"/>
          <w:lang w:val="en-US"/>
        </w:rPr>
        <w:t>2</w:t>
      </w:r>
      <w:r w:rsidRPr="002462F0">
        <w:rPr>
          <w:rFonts w:cs="MyriadPro-Regular"/>
          <w:color w:val="1D1D1B"/>
          <w:szCs w:val="20"/>
          <w:lang w:val="en-US"/>
        </w:rPr>
        <w:t xml:space="preserve"> emissions related to the consumption of gaseous fuels in the Petroleum refining </w:t>
      </w:r>
      <w:r w:rsidRPr="00E76966">
        <w:rPr>
          <w:rFonts w:cs="MyriadPro-Regular"/>
          <w:color w:val="1D1D1B"/>
          <w:szCs w:val="20"/>
          <w:lang w:val="en-US"/>
        </w:rPr>
        <w:t xml:space="preserve">contributes to </w:t>
      </w:r>
      <w:r w:rsidR="00483C51" w:rsidRPr="00E76966">
        <w:rPr>
          <w:rFonts w:cs="MyriadPro-Regular"/>
          <w:color w:val="1D1D1B"/>
          <w:szCs w:val="20"/>
          <w:lang w:val="en-US"/>
        </w:rPr>
        <w:t>0</w:t>
      </w:r>
      <w:r w:rsidR="003F35B8">
        <w:rPr>
          <w:rFonts w:cs="MyriadPro-Regular"/>
          <w:color w:val="1D1D1B"/>
          <w:szCs w:val="20"/>
          <w:lang w:val="en-US"/>
        </w:rPr>
        <w:t>.5</w:t>
      </w:r>
      <w:r w:rsidRPr="00E76966">
        <w:rPr>
          <w:rFonts w:cs="MyriadPro-Regular"/>
          <w:color w:val="1D1D1B"/>
          <w:szCs w:val="20"/>
          <w:lang w:val="en-US"/>
        </w:rPr>
        <w:t>%</w:t>
      </w:r>
      <w:r w:rsidRPr="002462F0">
        <w:rPr>
          <w:rFonts w:cs="MyriadPro-Regular"/>
          <w:color w:val="1D1D1B"/>
          <w:szCs w:val="20"/>
          <w:lang w:val="en-US"/>
        </w:rPr>
        <w:t xml:space="preserve"> in terms of emissions level (rank </w:t>
      </w:r>
      <w:r w:rsidR="00B5762B">
        <w:rPr>
          <w:rFonts w:cs="MyriadPro-Regular"/>
          <w:color w:val="1D1D1B"/>
          <w:szCs w:val="20"/>
          <w:lang w:val="en-US"/>
        </w:rPr>
        <w:t>22</w:t>
      </w:r>
      <w:r w:rsidRPr="002462F0">
        <w:rPr>
          <w:rFonts w:cs="MyriadPro-Regular"/>
          <w:color w:val="1D1D1B"/>
          <w:szCs w:val="20"/>
          <w:lang w:val="en-US"/>
        </w:rPr>
        <w:t xml:space="preserve">) and </w:t>
      </w:r>
      <w:r w:rsidR="00F36669">
        <w:rPr>
          <w:rFonts w:cs="MyriadPro-Regular"/>
          <w:color w:val="1D1D1B"/>
          <w:szCs w:val="20"/>
          <w:lang w:val="en-US"/>
        </w:rPr>
        <w:t>0.8</w:t>
      </w:r>
      <w:r w:rsidRPr="002462F0">
        <w:rPr>
          <w:rFonts w:cs="MyriadPro-Regular"/>
          <w:color w:val="1D1D1B"/>
          <w:szCs w:val="20"/>
          <w:lang w:val="en-US"/>
        </w:rPr>
        <w:t xml:space="preserve">% in terms of emissions trend (rank </w:t>
      </w:r>
      <w:r w:rsidR="00F36669">
        <w:rPr>
          <w:rFonts w:cs="MyriadPro-Regular"/>
          <w:color w:val="1D1D1B"/>
          <w:szCs w:val="20"/>
          <w:lang w:val="en-US"/>
        </w:rPr>
        <w:t>28</w:t>
      </w:r>
      <w:r w:rsidRPr="002462F0">
        <w:rPr>
          <w:rFonts w:cs="MyriadPro-Regular"/>
          <w:color w:val="1D1D1B"/>
          <w:szCs w:val="20"/>
          <w:lang w:val="en-US"/>
        </w:rPr>
        <w:t>)</w:t>
      </w:r>
      <w:r w:rsidR="003F35B8">
        <w:rPr>
          <w:rFonts w:cs="MyriadPro-Regular"/>
          <w:color w:val="1D1D1B"/>
          <w:szCs w:val="20"/>
          <w:lang w:val="en-US"/>
        </w:rPr>
        <w:t>, without considering LULUCF</w:t>
      </w:r>
      <w:r w:rsidRPr="002462F0">
        <w:rPr>
          <w:rFonts w:cs="MyriadPro-Regular"/>
          <w:color w:val="1D1D1B"/>
          <w:szCs w:val="20"/>
          <w:lang w:val="en-US"/>
        </w:rPr>
        <w:t>.</w:t>
      </w:r>
    </w:p>
    <w:p w14:paraId="1A32CDF8" w14:textId="77777777" w:rsidR="00EE0A5B" w:rsidRPr="002462F0" w:rsidRDefault="00EE0A5B" w:rsidP="00032BED">
      <w:pPr>
        <w:autoSpaceDE w:val="0"/>
        <w:autoSpaceDN w:val="0"/>
        <w:adjustRightInd w:val="0"/>
        <w:spacing w:after="0" w:line="240" w:lineRule="auto"/>
        <w:rPr>
          <w:sz w:val="22"/>
          <w:lang w:val="en-US"/>
        </w:rPr>
      </w:pPr>
    </w:p>
    <w:p w14:paraId="69F668F3" w14:textId="77777777" w:rsidR="00D22F21" w:rsidRPr="002462F0" w:rsidRDefault="00D22F21" w:rsidP="00D22F21">
      <w:pPr>
        <w:pStyle w:val="Heading5"/>
        <w:spacing w:before="240"/>
        <w:ind w:left="1009" w:hanging="1009"/>
        <w:rPr>
          <w:lang w:eastAsia="fr-FR"/>
        </w:rPr>
      </w:pPr>
      <w:r w:rsidRPr="002462F0">
        <w:rPr>
          <w:lang w:eastAsia="fr-FR"/>
        </w:rPr>
        <w:t xml:space="preserve"> </w:t>
      </w:r>
      <w:bookmarkStart w:id="199" w:name="_Toc182327734"/>
      <w:r w:rsidRPr="002462F0">
        <w:rPr>
          <w:lang w:eastAsia="fr-FR"/>
        </w:rPr>
        <w:t>Methodological issues</w:t>
      </w:r>
      <w:bookmarkEnd w:id="199"/>
    </w:p>
    <w:p w14:paraId="2D2520F3" w14:textId="0FE0BAA5" w:rsidR="00DD4473" w:rsidRPr="002462F0" w:rsidRDefault="00DD4473" w:rsidP="00DD4473">
      <w:pPr>
        <w:rPr>
          <w:szCs w:val="20"/>
        </w:rPr>
      </w:pPr>
      <w:r w:rsidRPr="002462F0">
        <w:rPr>
          <w:szCs w:val="20"/>
        </w:rPr>
        <w:t xml:space="preserve">According to the </w:t>
      </w:r>
      <w:r w:rsidR="000F6001">
        <w:rPr>
          <w:szCs w:val="20"/>
        </w:rPr>
        <w:t>CRT</w:t>
      </w:r>
      <w:r w:rsidRPr="002462F0">
        <w:rPr>
          <w:szCs w:val="20"/>
        </w:rPr>
        <w:t xml:space="preserve"> Tables nomenclature, GHG emissions related to the </w:t>
      </w:r>
      <w:r w:rsidRPr="002462F0">
        <w:rPr>
          <w:rFonts w:cs="MyriadPro-Regular"/>
          <w:color w:val="1D1D1B"/>
          <w:szCs w:val="20"/>
          <w:lang w:val="en-US"/>
        </w:rPr>
        <w:t xml:space="preserve">Petroleum refining </w:t>
      </w:r>
      <w:r w:rsidRPr="002462F0">
        <w:rPr>
          <w:szCs w:val="20"/>
        </w:rPr>
        <w:t>are reported by fuels:</w:t>
      </w:r>
    </w:p>
    <w:p w14:paraId="046DC89F" w14:textId="77777777" w:rsidR="00DD4473" w:rsidRPr="002462F0" w:rsidRDefault="00DD4473" w:rsidP="00B1419E">
      <w:pPr>
        <w:pStyle w:val="ListParagraph"/>
        <w:numPr>
          <w:ilvl w:val="0"/>
          <w:numId w:val="19"/>
        </w:numPr>
        <w:rPr>
          <w:szCs w:val="20"/>
        </w:rPr>
      </w:pPr>
      <w:r w:rsidRPr="002462F0">
        <w:rPr>
          <w:szCs w:val="20"/>
        </w:rPr>
        <w:t>Liquid fuels,</w:t>
      </w:r>
    </w:p>
    <w:p w14:paraId="02B63409" w14:textId="77777777" w:rsidR="00DD4473" w:rsidRPr="002462F0" w:rsidRDefault="00DD4473" w:rsidP="00B1419E">
      <w:pPr>
        <w:pStyle w:val="ListParagraph"/>
        <w:numPr>
          <w:ilvl w:val="0"/>
          <w:numId w:val="19"/>
        </w:numPr>
        <w:rPr>
          <w:szCs w:val="20"/>
        </w:rPr>
      </w:pPr>
      <w:r w:rsidRPr="002462F0">
        <w:rPr>
          <w:szCs w:val="20"/>
        </w:rPr>
        <w:t>Solid fuels,</w:t>
      </w:r>
    </w:p>
    <w:p w14:paraId="22F7008F" w14:textId="77777777" w:rsidR="00DD4473" w:rsidRPr="002462F0" w:rsidRDefault="00DD4473" w:rsidP="00B1419E">
      <w:pPr>
        <w:pStyle w:val="ListParagraph"/>
        <w:numPr>
          <w:ilvl w:val="0"/>
          <w:numId w:val="19"/>
        </w:numPr>
        <w:rPr>
          <w:szCs w:val="20"/>
        </w:rPr>
      </w:pPr>
      <w:r w:rsidRPr="002462F0">
        <w:rPr>
          <w:szCs w:val="20"/>
        </w:rPr>
        <w:t>Gaseous fuels,</w:t>
      </w:r>
    </w:p>
    <w:p w14:paraId="78DD25C5" w14:textId="77777777" w:rsidR="00DD4473" w:rsidRPr="002462F0" w:rsidRDefault="00DD4473" w:rsidP="00B1419E">
      <w:pPr>
        <w:pStyle w:val="ListParagraph"/>
        <w:numPr>
          <w:ilvl w:val="0"/>
          <w:numId w:val="19"/>
        </w:numPr>
        <w:rPr>
          <w:szCs w:val="20"/>
        </w:rPr>
      </w:pPr>
      <w:r w:rsidRPr="002462F0">
        <w:rPr>
          <w:szCs w:val="20"/>
        </w:rPr>
        <w:t>Other fossil fuels,</w:t>
      </w:r>
    </w:p>
    <w:p w14:paraId="56FEF3C5" w14:textId="77777777" w:rsidR="00DD4473" w:rsidRPr="002462F0" w:rsidRDefault="00DD4473" w:rsidP="00B1419E">
      <w:pPr>
        <w:pStyle w:val="ListParagraph"/>
        <w:numPr>
          <w:ilvl w:val="0"/>
          <w:numId w:val="19"/>
        </w:numPr>
        <w:rPr>
          <w:szCs w:val="20"/>
        </w:rPr>
      </w:pPr>
      <w:r w:rsidRPr="002462F0">
        <w:rPr>
          <w:szCs w:val="20"/>
        </w:rPr>
        <w:t>Peat,</w:t>
      </w:r>
    </w:p>
    <w:p w14:paraId="0DDABA7D" w14:textId="77777777" w:rsidR="00DD4473" w:rsidRPr="002462F0" w:rsidRDefault="00DD4473" w:rsidP="00B1419E">
      <w:pPr>
        <w:pStyle w:val="ListParagraph"/>
        <w:numPr>
          <w:ilvl w:val="0"/>
          <w:numId w:val="19"/>
        </w:numPr>
        <w:rPr>
          <w:szCs w:val="20"/>
        </w:rPr>
      </w:pPr>
      <w:r w:rsidRPr="002462F0">
        <w:rPr>
          <w:szCs w:val="20"/>
        </w:rPr>
        <w:t>Biomass.</w:t>
      </w:r>
    </w:p>
    <w:p w14:paraId="1B3112CC" w14:textId="7D00A64E" w:rsidR="005C61F8" w:rsidRPr="002462F0" w:rsidRDefault="005C61F8" w:rsidP="005C61F8">
      <w:pPr>
        <w:pStyle w:val="BodyText"/>
        <w:rPr>
          <w:lang w:eastAsia="fr-FR"/>
        </w:rPr>
      </w:pPr>
      <w:r w:rsidRPr="002462F0">
        <w:rPr>
          <w:lang w:eastAsia="fr-FR"/>
        </w:rPr>
        <w:t xml:space="preserve">The Tier 1 method from the 2006 IPCC Guidelines is used to calculate the GHG emissions </w:t>
      </w:r>
      <w:r w:rsidR="00826E82">
        <w:rPr>
          <w:lang w:eastAsia="fr-FR"/>
        </w:rPr>
        <w:fldChar w:fldCharType="begin"/>
      </w:r>
      <w:r w:rsidR="00826E82">
        <w:rPr>
          <w:lang w:eastAsia="fr-FR"/>
        </w:rPr>
        <w:instrText xml:space="preserve"> REF _Ref496787649 \r \h </w:instrText>
      </w:r>
      <w:r w:rsidR="00826E82">
        <w:rPr>
          <w:lang w:eastAsia="fr-FR"/>
        </w:rPr>
      </w:r>
      <w:r w:rsidR="00826E82">
        <w:rPr>
          <w:lang w:eastAsia="fr-FR"/>
        </w:rPr>
        <w:fldChar w:fldCharType="separate"/>
      </w:r>
      <w:r w:rsidR="00F14C78">
        <w:rPr>
          <w:lang w:eastAsia="fr-FR"/>
        </w:rPr>
        <w:t>[E1]</w:t>
      </w:r>
      <w:r w:rsidR="00826E82">
        <w:rPr>
          <w:lang w:eastAsia="fr-FR"/>
        </w:rPr>
        <w:fldChar w:fldCharType="end"/>
      </w:r>
      <w:r w:rsidRPr="002462F0">
        <w:rPr>
          <w:lang w:eastAsia="fr-FR"/>
        </w:rPr>
        <w:t xml:space="preserve">. </w:t>
      </w:r>
    </w:p>
    <w:p w14:paraId="44AAD73A" w14:textId="172A273B" w:rsidR="00DD4473" w:rsidRPr="002462F0" w:rsidRDefault="00DD4473" w:rsidP="00DD4473">
      <w:pPr>
        <w:rPr>
          <w:lang w:eastAsia="fr-FR"/>
        </w:rPr>
      </w:pPr>
      <w:r w:rsidRPr="002462F0">
        <w:rPr>
          <w:lang w:eastAsia="fr-FR"/>
        </w:rPr>
        <w:t xml:space="preserve">Fuel consumptions for refineries </w:t>
      </w:r>
      <w:r w:rsidR="00A643D1">
        <w:rPr>
          <w:lang w:eastAsia="fr-FR"/>
        </w:rPr>
        <w:t>are taken</w:t>
      </w:r>
      <w:r w:rsidR="00A643D1" w:rsidRPr="002462F0">
        <w:rPr>
          <w:lang w:eastAsia="fr-FR"/>
        </w:rPr>
        <w:t xml:space="preserve"> </w:t>
      </w:r>
      <w:r w:rsidRPr="002462F0">
        <w:rPr>
          <w:lang w:eastAsia="fr-FR"/>
        </w:rPr>
        <w:t xml:space="preserve">directly from </w:t>
      </w:r>
      <w:r w:rsidR="00A643D1">
        <w:rPr>
          <w:lang w:eastAsia="fr-FR"/>
        </w:rPr>
        <w:t>the r</w:t>
      </w:r>
      <w:r w:rsidRPr="002462F0">
        <w:rPr>
          <w:lang w:eastAsia="fr-FR"/>
        </w:rPr>
        <w:t>efiner</w:t>
      </w:r>
      <w:r w:rsidR="00A643D1">
        <w:rPr>
          <w:lang w:eastAsia="fr-FR"/>
        </w:rPr>
        <w:t>ies</w:t>
      </w:r>
      <w:r w:rsidRPr="002462F0">
        <w:rPr>
          <w:lang w:eastAsia="fr-FR"/>
        </w:rPr>
        <w:t xml:space="preserve"> data from 2000 to 20</w:t>
      </w:r>
      <w:r w:rsidR="00A643D1">
        <w:rPr>
          <w:lang w:eastAsia="fr-FR"/>
        </w:rPr>
        <w:t>22</w:t>
      </w:r>
      <w:r w:rsidRPr="002462F0">
        <w:rPr>
          <w:lang w:eastAsia="fr-FR"/>
        </w:rPr>
        <w:t xml:space="preserve"> </w:t>
      </w:r>
      <w:r w:rsidR="00826E82">
        <w:rPr>
          <w:lang w:eastAsia="fr-FR"/>
        </w:rPr>
        <w:fldChar w:fldCharType="begin"/>
      </w:r>
      <w:r w:rsidR="00826E82">
        <w:rPr>
          <w:lang w:eastAsia="fr-FR"/>
        </w:rPr>
        <w:instrText xml:space="preserve"> REF _Ref496787697 \r \h </w:instrText>
      </w:r>
      <w:r w:rsidR="00826E82">
        <w:rPr>
          <w:lang w:eastAsia="fr-FR"/>
        </w:rPr>
      </w:r>
      <w:r w:rsidR="00826E82">
        <w:rPr>
          <w:lang w:eastAsia="fr-FR"/>
        </w:rPr>
        <w:fldChar w:fldCharType="separate"/>
      </w:r>
      <w:r w:rsidR="00F14C78">
        <w:rPr>
          <w:lang w:eastAsia="fr-FR"/>
        </w:rPr>
        <w:t>[E4]</w:t>
      </w:r>
      <w:r w:rsidR="00826E82">
        <w:rPr>
          <w:lang w:eastAsia="fr-FR"/>
        </w:rPr>
        <w:fldChar w:fldCharType="end"/>
      </w:r>
      <w:r w:rsidRPr="002462F0">
        <w:rPr>
          <w:lang w:eastAsia="fr-FR"/>
        </w:rPr>
        <w:t>.</w:t>
      </w:r>
      <w:r w:rsidR="00B06B0C" w:rsidRPr="002462F0">
        <w:rPr>
          <w:lang w:eastAsia="fr-FR"/>
        </w:rPr>
        <w:t xml:space="preserve"> For the years 1990 to 1999, </w:t>
      </w:r>
      <w:r w:rsidR="00AD3868">
        <w:rPr>
          <w:lang w:eastAsia="fr-FR"/>
        </w:rPr>
        <w:t>some extrapolations</w:t>
      </w:r>
      <w:r w:rsidR="00AD3868" w:rsidRPr="002462F0">
        <w:rPr>
          <w:lang w:eastAsia="fr-FR"/>
        </w:rPr>
        <w:t xml:space="preserve"> </w:t>
      </w:r>
      <w:r w:rsidR="00B06B0C" w:rsidRPr="002462F0">
        <w:rPr>
          <w:lang w:eastAsia="fr-FR"/>
        </w:rPr>
        <w:t xml:space="preserve">are </w:t>
      </w:r>
      <w:r w:rsidR="00AD3868">
        <w:rPr>
          <w:lang w:eastAsia="fr-FR"/>
        </w:rPr>
        <w:t xml:space="preserve">developed </w:t>
      </w:r>
      <w:r w:rsidR="00B06B0C" w:rsidRPr="002462F0">
        <w:rPr>
          <w:lang w:eastAsia="fr-FR"/>
        </w:rPr>
        <w:t xml:space="preserve">based on </w:t>
      </w:r>
      <w:r w:rsidR="00AD3868">
        <w:rPr>
          <w:lang w:eastAsia="fr-FR"/>
        </w:rPr>
        <w:t>the total amount of crude oil refined</w:t>
      </w:r>
      <w:r w:rsidR="00B06B0C" w:rsidRPr="002462F0">
        <w:rPr>
          <w:lang w:eastAsia="fr-FR"/>
        </w:rPr>
        <w:t>.</w:t>
      </w:r>
    </w:p>
    <w:p w14:paraId="1A2B787F" w14:textId="4C4E1FCA" w:rsidR="00DD4473" w:rsidRPr="002462F0" w:rsidRDefault="00D35F59" w:rsidP="00DD4473">
      <w:pPr>
        <w:rPr>
          <w:lang w:eastAsia="fr-FR"/>
        </w:rPr>
      </w:pPr>
      <w:r w:rsidRPr="002462F0">
        <w:rPr>
          <w:lang w:eastAsia="fr-FR"/>
        </w:rPr>
        <w:t>Default emissions factors (CO</w:t>
      </w:r>
      <w:r w:rsidRPr="002462F0">
        <w:rPr>
          <w:vertAlign w:val="subscript"/>
          <w:lang w:eastAsia="fr-FR"/>
        </w:rPr>
        <w:t>2</w:t>
      </w:r>
      <w:r w:rsidRPr="002462F0">
        <w:rPr>
          <w:lang w:eastAsia="fr-FR"/>
        </w:rPr>
        <w:t>, CH</w:t>
      </w:r>
      <w:r w:rsidRPr="002462F0">
        <w:rPr>
          <w:vertAlign w:val="subscript"/>
          <w:lang w:eastAsia="fr-FR"/>
        </w:rPr>
        <w:t>4</w:t>
      </w:r>
      <w:r w:rsidRPr="002462F0">
        <w:rPr>
          <w:lang w:eastAsia="fr-FR"/>
        </w:rPr>
        <w:t>, N</w:t>
      </w:r>
      <w:r w:rsidRPr="002462F0">
        <w:rPr>
          <w:vertAlign w:val="subscript"/>
          <w:lang w:eastAsia="fr-FR"/>
        </w:rPr>
        <w:t>2</w:t>
      </w:r>
      <w:r w:rsidRPr="002462F0">
        <w:rPr>
          <w:lang w:eastAsia="fr-FR"/>
        </w:rPr>
        <w:t>O) are used to calculate emissions</w:t>
      </w:r>
      <w:r w:rsidR="00AC3FAB">
        <w:rPr>
          <w:lang w:eastAsia="fr-FR"/>
        </w:rPr>
        <w:t>,</w:t>
      </w:r>
      <w:r w:rsidR="004D6CA0">
        <w:rPr>
          <w:lang w:eastAsia="fr-FR"/>
        </w:rPr>
        <w:t xml:space="preserve"> and the </w:t>
      </w:r>
      <w:r w:rsidR="00AC3FAB">
        <w:rPr>
          <w:lang w:eastAsia="fr-FR"/>
        </w:rPr>
        <w:t xml:space="preserve">applied </w:t>
      </w:r>
      <w:r w:rsidR="004D6CA0">
        <w:rPr>
          <w:lang w:eastAsia="fr-FR"/>
        </w:rPr>
        <w:t>CO</w:t>
      </w:r>
      <w:r w:rsidR="004D6CA0" w:rsidRPr="00622F40">
        <w:rPr>
          <w:vertAlign w:val="subscript"/>
          <w:lang w:eastAsia="fr-FR"/>
        </w:rPr>
        <w:t>2</w:t>
      </w:r>
      <w:r w:rsidR="004D6CA0">
        <w:rPr>
          <w:lang w:eastAsia="fr-FR"/>
        </w:rPr>
        <w:t xml:space="preserve"> EF are presented in Chapter </w:t>
      </w:r>
      <w:r w:rsidR="004D6CA0">
        <w:rPr>
          <w:lang w:eastAsia="fr-FR"/>
        </w:rPr>
        <w:fldChar w:fldCharType="begin"/>
      </w:r>
      <w:r w:rsidR="004D6CA0">
        <w:rPr>
          <w:lang w:eastAsia="fr-FR"/>
        </w:rPr>
        <w:instrText xml:space="preserve"> REF _Ref175130250 \r \h </w:instrText>
      </w:r>
      <w:r w:rsidR="004D6CA0">
        <w:rPr>
          <w:lang w:eastAsia="fr-FR"/>
        </w:rPr>
      </w:r>
      <w:r w:rsidR="004D6CA0">
        <w:rPr>
          <w:lang w:eastAsia="fr-FR"/>
        </w:rPr>
        <w:fldChar w:fldCharType="separate"/>
      </w:r>
      <w:r w:rsidR="00F14C78">
        <w:rPr>
          <w:lang w:eastAsia="fr-FR"/>
        </w:rPr>
        <w:t>3.2.4</w:t>
      </w:r>
      <w:r w:rsidR="004D6CA0">
        <w:rPr>
          <w:lang w:eastAsia="fr-FR"/>
        </w:rPr>
        <w:fldChar w:fldCharType="end"/>
      </w:r>
      <w:r w:rsidRPr="002462F0">
        <w:rPr>
          <w:lang w:eastAsia="fr-FR"/>
        </w:rPr>
        <w:t xml:space="preserve">. Default values </w:t>
      </w:r>
      <w:r w:rsidR="00440E68">
        <w:rPr>
          <w:lang w:eastAsia="fr-FR"/>
        </w:rPr>
        <w:t>are sourced</w:t>
      </w:r>
      <w:r w:rsidRPr="002462F0">
        <w:rPr>
          <w:lang w:eastAsia="fr-FR"/>
        </w:rPr>
        <w:t xml:space="preserve"> from the 2006 IPCC Guidelines </w:t>
      </w:r>
      <w:r w:rsidR="00826E82">
        <w:rPr>
          <w:lang w:eastAsia="fr-FR"/>
        </w:rPr>
        <w:fldChar w:fldCharType="begin"/>
      </w:r>
      <w:r w:rsidR="00826E82">
        <w:rPr>
          <w:lang w:eastAsia="fr-FR"/>
        </w:rPr>
        <w:instrText xml:space="preserve"> REF _Ref496787669 \r \h </w:instrText>
      </w:r>
      <w:r w:rsidR="00826E82">
        <w:rPr>
          <w:lang w:eastAsia="fr-FR"/>
        </w:rPr>
      </w:r>
      <w:r w:rsidR="00826E82">
        <w:rPr>
          <w:lang w:eastAsia="fr-FR"/>
        </w:rPr>
        <w:fldChar w:fldCharType="separate"/>
      </w:r>
      <w:r w:rsidR="00F14C78">
        <w:rPr>
          <w:lang w:eastAsia="fr-FR"/>
        </w:rPr>
        <w:t>[E3]</w:t>
      </w:r>
      <w:r w:rsidR="00826E82">
        <w:rPr>
          <w:lang w:eastAsia="fr-FR"/>
        </w:rPr>
        <w:fldChar w:fldCharType="end"/>
      </w:r>
      <w:r w:rsidRPr="002462F0">
        <w:rPr>
          <w:lang w:eastAsia="fr-FR"/>
        </w:rPr>
        <w:t>.</w:t>
      </w:r>
    </w:p>
    <w:p w14:paraId="10BA6E37" w14:textId="6F6F82BC" w:rsidR="00614555" w:rsidRPr="002462F0" w:rsidRDefault="00D53F8F" w:rsidP="00D53F8F">
      <w:pPr>
        <w:pStyle w:val="Titre4Bleu"/>
        <w:rPr>
          <w:lang w:eastAsia="fr-FR"/>
        </w:rPr>
      </w:pPr>
      <w:bookmarkStart w:id="200" w:name="_Toc182327735"/>
      <w:r w:rsidRPr="002462F0">
        <w:rPr>
          <w:lang w:eastAsia="fr-FR"/>
        </w:rPr>
        <w:t xml:space="preserve">Manufacture of solid fuels and other energy industries </w:t>
      </w:r>
      <w:r w:rsidR="00614555" w:rsidRPr="002462F0">
        <w:rPr>
          <w:lang w:eastAsia="fr-FR"/>
        </w:rPr>
        <w:t>(</w:t>
      </w:r>
      <w:r w:rsidR="000F6001">
        <w:rPr>
          <w:lang w:eastAsia="fr-FR"/>
        </w:rPr>
        <w:t>CRT</w:t>
      </w:r>
      <w:r w:rsidR="00614555" w:rsidRPr="002462F0">
        <w:rPr>
          <w:lang w:eastAsia="fr-FR"/>
        </w:rPr>
        <w:t xml:space="preserve"> </w:t>
      </w:r>
      <w:r w:rsidRPr="002462F0">
        <w:rPr>
          <w:lang w:eastAsia="fr-FR"/>
        </w:rPr>
        <w:t>1A1c</w:t>
      </w:r>
      <w:r w:rsidR="00614555" w:rsidRPr="002462F0">
        <w:rPr>
          <w:lang w:eastAsia="fr-FR"/>
        </w:rPr>
        <w:t>)</w:t>
      </w:r>
      <w:bookmarkEnd w:id="200"/>
    </w:p>
    <w:p w14:paraId="5B22F1CC" w14:textId="77777777" w:rsidR="00D22F21" w:rsidRPr="002462F0" w:rsidRDefault="00D22F21" w:rsidP="00D22F21">
      <w:pPr>
        <w:pStyle w:val="Heading5"/>
        <w:spacing w:before="240"/>
        <w:ind w:left="1009" w:hanging="1009"/>
        <w:rPr>
          <w:lang w:eastAsia="fr-FR"/>
        </w:rPr>
      </w:pPr>
      <w:bookmarkStart w:id="201" w:name="_Toc182327736"/>
      <w:r w:rsidRPr="002462F0">
        <w:rPr>
          <w:lang w:eastAsia="fr-FR"/>
        </w:rPr>
        <w:t>Category description (e.g. characteristics of sources)</w:t>
      </w:r>
      <w:bookmarkEnd w:id="201"/>
    </w:p>
    <w:p w14:paraId="0A23AEE1" w14:textId="23F75651" w:rsidR="007F6018" w:rsidRPr="002462F0" w:rsidRDefault="007F6018" w:rsidP="007F6018">
      <w:pPr>
        <w:rPr>
          <w:szCs w:val="20"/>
        </w:rPr>
      </w:pPr>
      <w:r w:rsidRPr="002462F0">
        <w:rPr>
          <w:szCs w:val="20"/>
        </w:rPr>
        <w:t xml:space="preserve">According to the </w:t>
      </w:r>
      <w:r w:rsidR="000F6001">
        <w:rPr>
          <w:szCs w:val="20"/>
        </w:rPr>
        <w:t>CRT</w:t>
      </w:r>
      <w:r w:rsidRPr="002462F0">
        <w:rPr>
          <w:szCs w:val="20"/>
        </w:rPr>
        <w:t xml:space="preserve"> Tables nomenclature, GHG emissions related to the </w:t>
      </w:r>
      <w:r>
        <w:rPr>
          <w:rFonts w:cs="MyriadPro-Regular"/>
          <w:color w:val="1D1D1B"/>
          <w:szCs w:val="20"/>
          <w:lang w:val="en-US"/>
        </w:rPr>
        <w:t>Manufacture of Solid fuels</w:t>
      </w:r>
      <w:r w:rsidRPr="002462F0">
        <w:rPr>
          <w:rFonts w:cs="MyriadPro-Regular"/>
          <w:color w:val="1D1D1B"/>
          <w:szCs w:val="20"/>
          <w:lang w:val="en-US"/>
        </w:rPr>
        <w:t xml:space="preserve"> </w:t>
      </w:r>
      <w:r w:rsidRPr="002462F0">
        <w:rPr>
          <w:szCs w:val="20"/>
        </w:rPr>
        <w:t>are reported by fuels:</w:t>
      </w:r>
    </w:p>
    <w:p w14:paraId="307503E8" w14:textId="77777777" w:rsidR="007F6018" w:rsidRDefault="000502F7" w:rsidP="007F6018">
      <w:pPr>
        <w:pStyle w:val="ListParagraph"/>
        <w:numPr>
          <w:ilvl w:val="0"/>
          <w:numId w:val="57"/>
        </w:numPr>
        <w:rPr>
          <w:lang w:eastAsia="fr-FR"/>
        </w:rPr>
      </w:pPr>
      <w:r>
        <w:rPr>
          <w:lang w:eastAsia="fr-FR"/>
        </w:rPr>
        <w:t xml:space="preserve">Diesel oil, </w:t>
      </w:r>
    </w:p>
    <w:p w14:paraId="34256EC5" w14:textId="414543ED" w:rsidR="007F6018" w:rsidRDefault="007F6018" w:rsidP="007F6018">
      <w:pPr>
        <w:pStyle w:val="ListParagraph"/>
        <w:numPr>
          <w:ilvl w:val="0"/>
          <w:numId w:val="57"/>
        </w:numPr>
        <w:rPr>
          <w:lang w:eastAsia="fr-FR"/>
        </w:rPr>
      </w:pPr>
      <w:r>
        <w:rPr>
          <w:lang w:eastAsia="fr-FR"/>
        </w:rPr>
        <w:t>F</w:t>
      </w:r>
      <w:r w:rsidR="000502F7">
        <w:rPr>
          <w:lang w:eastAsia="fr-FR"/>
        </w:rPr>
        <w:t xml:space="preserve">uel oil, </w:t>
      </w:r>
    </w:p>
    <w:p w14:paraId="1055F18E" w14:textId="26E30862" w:rsidR="007F6018" w:rsidRDefault="007F6018" w:rsidP="007F6018">
      <w:pPr>
        <w:pStyle w:val="ListParagraph"/>
        <w:numPr>
          <w:ilvl w:val="0"/>
          <w:numId w:val="57"/>
        </w:numPr>
        <w:rPr>
          <w:lang w:eastAsia="fr-FR"/>
        </w:rPr>
      </w:pPr>
      <w:r>
        <w:rPr>
          <w:lang w:eastAsia="fr-FR"/>
        </w:rPr>
        <w:t>Sub-bituminous coal,</w:t>
      </w:r>
    </w:p>
    <w:p w14:paraId="183C3AA5" w14:textId="2392FC48" w:rsidR="007F6018" w:rsidRDefault="007F6018" w:rsidP="007F6018">
      <w:pPr>
        <w:pStyle w:val="ListParagraph"/>
        <w:numPr>
          <w:ilvl w:val="0"/>
          <w:numId w:val="57"/>
        </w:numPr>
        <w:rPr>
          <w:lang w:eastAsia="fr-FR"/>
        </w:rPr>
      </w:pPr>
      <w:r>
        <w:rPr>
          <w:lang w:eastAsia="fr-FR"/>
        </w:rPr>
        <w:t>B</w:t>
      </w:r>
      <w:r w:rsidR="000502F7">
        <w:rPr>
          <w:lang w:eastAsia="fr-FR"/>
        </w:rPr>
        <w:t>iomass</w:t>
      </w:r>
      <w:r>
        <w:rPr>
          <w:lang w:eastAsia="fr-FR"/>
        </w:rPr>
        <w:t>.</w:t>
      </w:r>
    </w:p>
    <w:p w14:paraId="66A2F354" w14:textId="74043D14" w:rsidR="00D22F21" w:rsidRPr="002462F0" w:rsidRDefault="00A352B7" w:rsidP="007F6018">
      <w:pPr>
        <w:rPr>
          <w:lang w:eastAsia="fr-FR"/>
        </w:rPr>
      </w:pPr>
      <w:r>
        <w:rPr>
          <w:lang w:eastAsia="fr-FR"/>
        </w:rPr>
        <w:t>The consumption of o</w:t>
      </w:r>
      <w:r w:rsidR="000502F7">
        <w:rPr>
          <w:lang w:eastAsia="fr-FR"/>
        </w:rPr>
        <w:t>ther bituminous coal and lignite</w:t>
      </w:r>
      <w:r w:rsidR="007F6018">
        <w:rPr>
          <w:lang w:eastAsia="fr-FR"/>
        </w:rPr>
        <w:t xml:space="preserve"> coke from Energy Balance</w:t>
      </w:r>
      <w:r w:rsidR="00A714B0">
        <w:rPr>
          <w:lang w:eastAsia="fr-FR"/>
        </w:rPr>
        <w:t>, for coke manufacture,</w:t>
      </w:r>
      <w:r w:rsidR="007F6018">
        <w:rPr>
          <w:lang w:eastAsia="fr-FR"/>
        </w:rPr>
        <w:t xml:space="preserve"> are not calculated in this category, since those amounts are already included in IPPU Tier Emission Factor for Steel Production. Also, </w:t>
      </w:r>
      <w:r w:rsidR="0006343D">
        <w:rPr>
          <w:lang w:eastAsia="fr-FR"/>
        </w:rPr>
        <w:t xml:space="preserve">emissions related to </w:t>
      </w:r>
      <w:r w:rsidR="00C83B2E">
        <w:rPr>
          <w:lang w:eastAsia="fr-FR"/>
        </w:rPr>
        <w:t>l</w:t>
      </w:r>
      <w:r w:rsidR="007F6018">
        <w:rPr>
          <w:lang w:eastAsia="fr-FR"/>
        </w:rPr>
        <w:t xml:space="preserve">ignite </w:t>
      </w:r>
      <w:r w:rsidR="0006343D">
        <w:rPr>
          <w:lang w:eastAsia="fr-FR"/>
        </w:rPr>
        <w:t xml:space="preserve">production are included </w:t>
      </w:r>
      <w:r w:rsidR="007F6018">
        <w:rPr>
          <w:lang w:eastAsia="fr-FR"/>
        </w:rPr>
        <w:t>in fugitive emissions from coal handling</w:t>
      </w:r>
      <w:r w:rsidR="00392D92">
        <w:rPr>
          <w:lang w:eastAsia="fr-FR"/>
        </w:rPr>
        <w:t xml:space="preserve"> (CRT 1B1b)</w:t>
      </w:r>
      <w:r w:rsidR="007F6018">
        <w:rPr>
          <w:lang w:eastAsia="fr-FR"/>
        </w:rPr>
        <w:t xml:space="preserve">. </w:t>
      </w:r>
    </w:p>
    <w:p w14:paraId="52262BAE" w14:textId="2DC15BAF" w:rsidR="00841949" w:rsidRPr="008B7A12" w:rsidRDefault="00DC69CC" w:rsidP="00D22F21">
      <w:pPr>
        <w:rPr>
          <w:lang w:eastAsia="fr-FR"/>
        </w:rPr>
      </w:pPr>
      <w:r w:rsidRPr="008B7A12">
        <w:rPr>
          <w:lang w:eastAsia="fr-FR"/>
        </w:rPr>
        <w:t xml:space="preserve">Except for the year 1990, only biomass is </w:t>
      </w:r>
      <w:r w:rsidR="00392D92" w:rsidRPr="008B7A12">
        <w:rPr>
          <w:lang w:eastAsia="fr-FR"/>
        </w:rPr>
        <w:t>consumed</w:t>
      </w:r>
      <w:r w:rsidRPr="008B7A12">
        <w:rPr>
          <w:lang w:eastAsia="fr-FR"/>
        </w:rPr>
        <w:t xml:space="preserve"> for</w:t>
      </w:r>
      <w:r w:rsidR="00B57587" w:rsidRPr="008B7A12">
        <w:rPr>
          <w:lang w:eastAsia="fr-FR"/>
        </w:rPr>
        <w:t xml:space="preserve"> this sector, in</w:t>
      </w:r>
      <w:r w:rsidRPr="008B7A12">
        <w:rPr>
          <w:lang w:eastAsia="fr-FR"/>
        </w:rPr>
        <w:t xml:space="preserve"> the period 2011-2022</w:t>
      </w:r>
      <w:r w:rsidR="00B57587" w:rsidRPr="008B7A12">
        <w:rPr>
          <w:lang w:eastAsia="fr-FR"/>
        </w:rPr>
        <w:t xml:space="preserve">. </w:t>
      </w:r>
      <w:r w:rsidR="00841949" w:rsidRPr="008B7A12">
        <w:rPr>
          <w:lang w:eastAsia="fr-FR"/>
        </w:rPr>
        <w:t>The GHG emissions for the manufacture of solid fuels and other energy industries evolve as follows:</w:t>
      </w:r>
    </w:p>
    <w:p w14:paraId="46C77123" w14:textId="57C106F0" w:rsidR="009F734B" w:rsidRPr="002462F0" w:rsidRDefault="00841949" w:rsidP="003631EA">
      <w:pPr>
        <w:spacing w:after="0"/>
        <w:rPr>
          <w:lang w:eastAsia="fr-FR"/>
        </w:rPr>
      </w:pPr>
      <w:r>
        <w:rPr>
          <w:noProof/>
          <w:lang w:val="en-US"/>
        </w:rPr>
        <w:lastRenderedPageBreak/>
        <w:drawing>
          <wp:inline distT="0" distB="0" distL="0" distR="0" wp14:anchorId="3EC95439" wp14:editId="25F49811">
            <wp:extent cx="5760000" cy="1757724"/>
            <wp:effectExtent l="0" t="0" r="0" b="0"/>
            <wp:docPr id="1112353329"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0" cy="1757724"/>
                    </a:xfrm>
                    <a:prstGeom prst="rect">
                      <a:avLst/>
                    </a:prstGeom>
                    <a:noFill/>
                  </pic:spPr>
                </pic:pic>
              </a:graphicData>
            </a:graphic>
          </wp:inline>
        </w:drawing>
      </w:r>
    </w:p>
    <w:p w14:paraId="4ADA347A" w14:textId="77777777" w:rsidR="003631EA" w:rsidRPr="002462F0" w:rsidRDefault="003631EA" w:rsidP="003631EA">
      <w:pPr>
        <w:pStyle w:val="Caption"/>
        <w:keepNext/>
        <w:spacing w:before="0" w:after="0"/>
        <w:jc w:val="left"/>
      </w:pPr>
      <w:bookmarkStart w:id="202" w:name="_Toc184808397"/>
      <w:r w:rsidRPr="00622F40">
        <w:t xml:space="preserve">Figure </w:t>
      </w:r>
      <w:r w:rsidRPr="00622F40">
        <w:fldChar w:fldCharType="begin"/>
      </w:r>
      <w:r w:rsidRPr="00622F40">
        <w:instrText xml:space="preserve"> SEQ Figure \* ARABIC </w:instrText>
      </w:r>
      <w:r w:rsidRPr="00622F40">
        <w:fldChar w:fldCharType="separate"/>
      </w:r>
      <w:r>
        <w:rPr>
          <w:noProof/>
        </w:rPr>
        <w:t>10</w:t>
      </w:r>
      <w:r w:rsidRPr="00622F40">
        <w:fldChar w:fldCharType="end"/>
      </w:r>
      <w:r w:rsidRPr="00622F40">
        <w:t>: GHG emissions for the Manufacture of solid fuels</w:t>
      </w:r>
      <w:r>
        <w:t xml:space="preserve"> (CRT 1A1c), for the period 1990-2022</w:t>
      </w:r>
      <w:r w:rsidRPr="00622F40">
        <w:t xml:space="preserve"> (</w:t>
      </w:r>
      <w:r>
        <w:t xml:space="preserve">in </w:t>
      </w:r>
      <w:r w:rsidRPr="00622F40">
        <w:t>kt CO</w:t>
      </w:r>
      <w:r w:rsidRPr="00622F40">
        <w:rPr>
          <w:vertAlign w:val="subscript"/>
        </w:rPr>
        <w:t>2</w:t>
      </w:r>
      <w:r w:rsidRPr="00622F40">
        <w:t>e)</w:t>
      </w:r>
      <w:bookmarkEnd w:id="202"/>
    </w:p>
    <w:p w14:paraId="346CBEA3" w14:textId="77777777" w:rsidR="003631EA" w:rsidRDefault="003631EA" w:rsidP="003631EA">
      <w:pPr>
        <w:spacing w:after="0"/>
        <w:rPr>
          <w:lang w:val="en-US" w:eastAsia="fr-FR"/>
        </w:rPr>
      </w:pPr>
    </w:p>
    <w:p w14:paraId="434627DB" w14:textId="37B4F6CC" w:rsidR="009F734B" w:rsidRDefault="00841949" w:rsidP="00D22F21">
      <w:pPr>
        <w:rPr>
          <w:lang w:val="en-US" w:eastAsia="fr-FR"/>
        </w:rPr>
      </w:pPr>
      <w:r>
        <w:rPr>
          <w:lang w:val="en-US" w:eastAsia="fr-FR"/>
        </w:rPr>
        <w:t>The GHG emissions trend evolves as the fuel consumptions given in the energy balance, with some fossil fuels used in 1990 only, and then biomass consumed from 2011 onwards, explaining why only CH</w:t>
      </w:r>
      <w:r w:rsidRPr="00622F40">
        <w:rPr>
          <w:vertAlign w:val="subscript"/>
          <w:lang w:val="en-US" w:eastAsia="fr-FR"/>
        </w:rPr>
        <w:t>4</w:t>
      </w:r>
      <w:r>
        <w:rPr>
          <w:lang w:val="en-US" w:eastAsia="fr-FR"/>
        </w:rPr>
        <w:t xml:space="preserve"> and N</w:t>
      </w:r>
      <w:r w:rsidRPr="00622F40">
        <w:rPr>
          <w:vertAlign w:val="subscript"/>
          <w:lang w:val="en-US" w:eastAsia="fr-FR"/>
        </w:rPr>
        <w:t>2</w:t>
      </w:r>
      <w:r>
        <w:rPr>
          <w:lang w:val="en-US" w:eastAsia="fr-FR"/>
        </w:rPr>
        <w:t>O emissions are reported for this period.</w:t>
      </w:r>
    </w:p>
    <w:p w14:paraId="1DCEE4EB" w14:textId="290032FB" w:rsidR="00EF6DEB" w:rsidRPr="002462F0" w:rsidRDefault="00CB4BC2" w:rsidP="00D22F21">
      <w:pPr>
        <w:rPr>
          <w:lang w:val="en-US" w:eastAsia="fr-FR"/>
        </w:rPr>
      </w:pPr>
      <w:r>
        <w:t>The manufacture of solid fuels and other energy industries (CRF 1A1c) is not considered a key category in 2022 in terms of either emission levels or trends, excluding LULUCF. Despite the relatively low emission levels, inconsistencies were identified in the time series for energy industries. Additional efforts will be dedicated to investigating the cause of these inconsistencies, and, if necessary, the time series will be adjusted to ensure accuracy and consistency</w:t>
      </w:r>
      <w:r>
        <w:rPr>
          <w:lang w:val="en-US" w:eastAsia="fr-FR"/>
        </w:rPr>
        <w:t>.</w:t>
      </w:r>
    </w:p>
    <w:p w14:paraId="7573E648" w14:textId="77777777" w:rsidR="00D22F21" w:rsidRPr="002462F0" w:rsidRDefault="00D22F21" w:rsidP="00D22F21">
      <w:pPr>
        <w:pStyle w:val="Heading5"/>
        <w:spacing w:before="240"/>
        <w:ind w:left="1009" w:hanging="1009"/>
        <w:rPr>
          <w:lang w:eastAsia="fr-FR"/>
        </w:rPr>
      </w:pPr>
      <w:r w:rsidRPr="002462F0">
        <w:rPr>
          <w:lang w:eastAsia="fr-FR"/>
        </w:rPr>
        <w:t xml:space="preserve"> </w:t>
      </w:r>
      <w:bookmarkStart w:id="203" w:name="_Toc182327737"/>
      <w:r w:rsidRPr="002462F0">
        <w:rPr>
          <w:lang w:eastAsia="fr-FR"/>
        </w:rPr>
        <w:t>Methodological issues</w:t>
      </w:r>
      <w:bookmarkEnd w:id="203"/>
    </w:p>
    <w:p w14:paraId="7A563D4E" w14:textId="2223AB8C" w:rsidR="001811D9" w:rsidRPr="002462F0" w:rsidRDefault="00FD1C46" w:rsidP="00ED71B4">
      <w:pPr>
        <w:rPr>
          <w:lang w:eastAsia="fr-FR"/>
        </w:rPr>
      </w:pPr>
      <w:r w:rsidRPr="002462F0">
        <w:rPr>
          <w:lang w:eastAsia="fr-FR"/>
        </w:rPr>
        <w:t>The Tier 1 method from the 2006 IPCC Guidelines is used to calculate GHG emissions</w:t>
      </w:r>
      <w:r w:rsidR="00F85D32" w:rsidRPr="002462F0">
        <w:rPr>
          <w:lang w:eastAsia="fr-FR"/>
        </w:rPr>
        <w:t xml:space="preserve"> </w:t>
      </w:r>
      <w:r w:rsidR="00826E82">
        <w:rPr>
          <w:lang w:eastAsia="fr-FR"/>
        </w:rPr>
        <w:fldChar w:fldCharType="begin"/>
      </w:r>
      <w:r w:rsidR="00826E82">
        <w:rPr>
          <w:lang w:eastAsia="fr-FR"/>
        </w:rPr>
        <w:instrText xml:space="preserve"> REF _Ref496787649 \r \h </w:instrText>
      </w:r>
      <w:r w:rsidR="00826E82">
        <w:rPr>
          <w:lang w:eastAsia="fr-FR"/>
        </w:rPr>
      </w:r>
      <w:r w:rsidR="00826E82">
        <w:rPr>
          <w:lang w:eastAsia="fr-FR"/>
        </w:rPr>
        <w:fldChar w:fldCharType="separate"/>
      </w:r>
      <w:r w:rsidR="00F14C78">
        <w:rPr>
          <w:lang w:eastAsia="fr-FR"/>
        </w:rPr>
        <w:t>[E1]</w:t>
      </w:r>
      <w:r w:rsidR="00826E82">
        <w:rPr>
          <w:lang w:eastAsia="fr-FR"/>
        </w:rPr>
        <w:fldChar w:fldCharType="end"/>
      </w:r>
      <w:r w:rsidRPr="002462F0">
        <w:rPr>
          <w:lang w:eastAsia="fr-FR"/>
        </w:rPr>
        <w:t xml:space="preserve">. </w:t>
      </w:r>
    </w:p>
    <w:p w14:paraId="597AE1EE" w14:textId="35426798" w:rsidR="00FD1C46" w:rsidRPr="002462F0" w:rsidRDefault="00FD1C46" w:rsidP="00ED71B4">
      <w:pPr>
        <w:rPr>
          <w:lang w:eastAsia="fr-FR"/>
        </w:rPr>
      </w:pPr>
      <w:r w:rsidRPr="002462F0">
        <w:rPr>
          <w:lang w:eastAsia="fr-FR"/>
        </w:rPr>
        <w:t xml:space="preserve">The consumption of fuels </w:t>
      </w:r>
      <w:r w:rsidR="00440E68">
        <w:rPr>
          <w:lang w:eastAsia="fr-FR"/>
        </w:rPr>
        <w:t>is sourced</w:t>
      </w:r>
      <w:r w:rsidR="00276CCE">
        <w:rPr>
          <w:lang w:eastAsia="fr-FR"/>
        </w:rPr>
        <w:t xml:space="preserve"> from the Serbian energy balance</w:t>
      </w:r>
      <w:r w:rsidR="00AC3FAB">
        <w:rPr>
          <w:lang w:eastAsia="fr-FR"/>
        </w:rPr>
        <w:t xml:space="preserve"> for the whole timeseries</w:t>
      </w:r>
      <w:r w:rsidR="00276CCE">
        <w:rPr>
          <w:lang w:eastAsia="fr-FR"/>
        </w:rPr>
        <w:t xml:space="preserve"> </w:t>
      </w:r>
      <w:r w:rsidR="00826E82">
        <w:rPr>
          <w:lang w:eastAsia="fr-FR"/>
        </w:rPr>
        <w:fldChar w:fldCharType="begin"/>
      </w:r>
      <w:r w:rsidR="00826E82">
        <w:rPr>
          <w:lang w:eastAsia="fr-FR"/>
        </w:rPr>
        <w:instrText xml:space="preserve"> REF _Ref496787656 \r \h </w:instrText>
      </w:r>
      <w:r w:rsidR="00826E82">
        <w:rPr>
          <w:lang w:eastAsia="fr-FR"/>
        </w:rPr>
      </w:r>
      <w:r w:rsidR="00826E82">
        <w:rPr>
          <w:lang w:eastAsia="fr-FR"/>
        </w:rPr>
        <w:fldChar w:fldCharType="separate"/>
      </w:r>
      <w:r w:rsidR="00F14C78">
        <w:rPr>
          <w:lang w:eastAsia="fr-FR"/>
        </w:rPr>
        <w:t>[E2]</w:t>
      </w:r>
      <w:r w:rsidR="00826E82">
        <w:rPr>
          <w:lang w:eastAsia="fr-FR"/>
        </w:rPr>
        <w:fldChar w:fldCharType="end"/>
      </w:r>
      <w:r w:rsidR="00276CCE">
        <w:rPr>
          <w:lang w:eastAsia="fr-FR"/>
        </w:rPr>
        <w:t>.</w:t>
      </w:r>
    </w:p>
    <w:p w14:paraId="5A3A4665" w14:textId="6D967557" w:rsidR="00086A65" w:rsidRPr="002462F0" w:rsidRDefault="0028295B" w:rsidP="00FD5E17">
      <w:pPr>
        <w:rPr>
          <w:lang w:eastAsia="fr-FR"/>
        </w:rPr>
      </w:pPr>
      <w:r w:rsidRPr="002462F0">
        <w:rPr>
          <w:lang w:eastAsia="fr-FR"/>
        </w:rPr>
        <w:t xml:space="preserve">The emission factors </w:t>
      </w:r>
      <w:r w:rsidR="00440E68">
        <w:rPr>
          <w:lang w:eastAsia="fr-FR"/>
        </w:rPr>
        <w:t>are sourced</w:t>
      </w:r>
      <w:r w:rsidRPr="002462F0">
        <w:rPr>
          <w:lang w:eastAsia="fr-FR"/>
        </w:rPr>
        <w:t xml:space="preserve"> from the 2006 IPCC Guidelines </w:t>
      </w:r>
      <w:r w:rsidR="00826E82">
        <w:rPr>
          <w:lang w:eastAsia="fr-FR"/>
        </w:rPr>
        <w:fldChar w:fldCharType="begin"/>
      </w:r>
      <w:r w:rsidR="00826E82">
        <w:rPr>
          <w:lang w:eastAsia="fr-FR"/>
        </w:rPr>
        <w:instrText xml:space="preserve"> REF _Ref496787669 \r \h </w:instrText>
      </w:r>
      <w:r w:rsidR="00826E82">
        <w:rPr>
          <w:lang w:eastAsia="fr-FR"/>
        </w:rPr>
      </w:r>
      <w:r w:rsidR="00826E82">
        <w:rPr>
          <w:lang w:eastAsia="fr-FR"/>
        </w:rPr>
        <w:fldChar w:fldCharType="separate"/>
      </w:r>
      <w:r w:rsidR="00F14C78">
        <w:rPr>
          <w:lang w:eastAsia="fr-FR"/>
        </w:rPr>
        <w:t>[E3]</w:t>
      </w:r>
      <w:r w:rsidR="00826E82">
        <w:rPr>
          <w:lang w:eastAsia="fr-FR"/>
        </w:rPr>
        <w:fldChar w:fldCharType="end"/>
      </w:r>
      <w:r w:rsidR="00AC3FAB">
        <w:rPr>
          <w:lang w:eastAsia="fr-FR"/>
        </w:rPr>
        <w:t>, and the applied CO</w:t>
      </w:r>
      <w:r w:rsidR="00AC3FAB" w:rsidRPr="008977F1">
        <w:rPr>
          <w:vertAlign w:val="subscript"/>
          <w:lang w:eastAsia="fr-FR"/>
        </w:rPr>
        <w:t>2</w:t>
      </w:r>
      <w:r w:rsidR="00AC3FAB">
        <w:rPr>
          <w:lang w:eastAsia="fr-FR"/>
        </w:rPr>
        <w:t xml:space="preserve"> EF are presented in Chapter </w:t>
      </w:r>
      <w:r w:rsidR="00AC3FAB">
        <w:rPr>
          <w:lang w:eastAsia="fr-FR"/>
        </w:rPr>
        <w:fldChar w:fldCharType="begin"/>
      </w:r>
      <w:r w:rsidR="00AC3FAB">
        <w:rPr>
          <w:lang w:eastAsia="fr-FR"/>
        </w:rPr>
        <w:instrText xml:space="preserve"> REF _Ref175130250 \r \h </w:instrText>
      </w:r>
      <w:r w:rsidR="00AC3FAB">
        <w:rPr>
          <w:lang w:eastAsia="fr-FR"/>
        </w:rPr>
      </w:r>
      <w:r w:rsidR="00AC3FAB">
        <w:rPr>
          <w:lang w:eastAsia="fr-FR"/>
        </w:rPr>
        <w:fldChar w:fldCharType="separate"/>
      </w:r>
      <w:r w:rsidR="00F14C78">
        <w:rPr>
          <w:lang w:eastAsia="fr-FR"/>
        </w:rPr>
        <w:t>3.2.4</w:t>
      </w:r>
      <w:r w:rsidR="00AC3FAB">
        <w:rPr>
          <w:lang w:eastAsia="fr-FR"/>
        </w:rPr>
        <w:fldChar w:fldCharType="end"/>
      </w:r>
      <w:r w:rsidR="00FD5E17" w:rsidRPr="002462F0">
        <w:rPr>
          <w:lang w:eastAsia="fr-FR"/>
        </w:rPr>
        <w:t>.</w:t>
      </w:r>
    </w:p>
    <w:p w14:paraId="08AB6FDB" w14:textId="77777777" w:rsidR="00086A65" w:rsidRPr="002462F0" w:rsidRDefault="00086A65" w:rsidP="00086A65">
      <w:pPr>
        <w:pStyle w:val="Titre4Bleu"/>
        <w:rPr>
          <w:lang w:eastAsia="fr-FR"/>
        </w:rPr>
      </w:pPr>
      <w:bookmarkStart w:id="204" w:name="_Toc182327738"/>
      <w:r w:rsidRPr="002462F0">
        <w:rPr>
          <w:lang w:eastAsia="fr-FR"/>
        </w:rPr>
        <w:t>Uncertainties and time-series</w:t>
      </w:r>
      <w:r w:rsidR="0003323B" w:rsidRPr="002462F0">
        <w:rPr>
          <w:lang w:eastAsia="fr-FR"/>
        </w:rPr>
        <w:t xml:space="preserve"> consistency</w:t>
      </w:r>
      <w:bookmarkEnd w:id="204"/>
    </w:p>
    <w:p w14:paraId="33EECBE6" w14:textId="77777777" w:rsidR="00DC2C5B" w:rsidRPr="002462F0" w:rsidRDefault="00DC2C5B" w:rsidP="00086A65">
      <w:pPr>
        <w:autoSpaceDE w:val="0"/>
        <w:autoSpaceDN w:val="0"/>
        <w:adjustRightInd w:val="0"/>
        <w:spacing w:after="0" w:line="240" w:lineRule="auto"/>
        <w:rPr>
          <w:lang w:eastAsia="fr-FR"/>
        </w:rPr>
      </w:pPr>
    </w:p>
    <w:p w14:paraId="6B10F7E4" w14:textId="77777777" w:rsidR="00DC2C5B" w:rsidRPr="002462F0" w:rsidRDefault="00DC2C5B" w:rsidP="00086A65">
      <w:pPr>
        <w:autoSpaceDE w:val="0"/>
        <w:autoSpaceDN w:val="0"/>
        <w:adjustRightInd w:val="0"/>
        <w:spacing w:after="0" w:line="240" w:lineRule="auto"/>
        <w:rPr>
          <w:b/>
          <w:lang w:eastAsia="fr-FR"/>
        </w:rPr>
      </w:pPr>
      <w:r w:rsidRPr="002462F0">
        <w:rPr>
          <w:b/>
          <w:lang w:eastAsia="fr-FR"/>
        </w:rPr>
        <w:t>CO</w:t>
      </w:r>
      <w:r w:rsidRPr="002462F0">
        <w:rPr>
          <w:b/>
          <w:vertAlign w:val="subscript"/>
          <w:lang w:eastAsia="fr-FR"/>
        </w:rPr>
        <w:t>2</w:t>
      </w:r>
    </w:p>
    <w:p w14:paraId="0502CEA8" w14:textId="2EBC53A5" w:rsidR="00086A65" w:rsidRPr="002462F0" w:rsidRDefault="0029245F" w:rsidP="00086A65">
      <w:pPr>
        <w:autoSpaceDE w:val="0"/>
        <w:autoSpaceDN w:val="0"/>
        <w:adjustRightInd w:val="0"/>
        <w:spacing w:after="0" w:line="240" w:lineRule="auto"/>
        <w:rPr>
          <w:lang w:eastAsia="fr-FR"/>
        </w:rPr>
      </w:pPr>
      <w:r>
        <w:rPr>
          <w:lang w:eastAsia="fr-FR"/>
        </w:rPr>
        <w:t>In 20</w:t>
      </w:r>
      <w:r w:rsidR="005A3B73">
        <w:rPr>
          <w:lang w:eastAsia="fr-FR"/>
        </w:rPr>
        <w:t>22</w:t>
      </w:r>
      <w:r w:rsidR="00086A65" w:rsidRPr="002462F0">
        <w:rPr>
          <w:lang w:eastAsia="fr-FR"/>
        </w:rPr>
        <w:t xml:space="preserve">, </w:t>
      </w:r>
      <w:r w:rsidR="00D556CF" w:rsidRPr="002462F0">
        <w:rPr>
          <w:lang w:eastAsia="fr-FR"/>
        </w:rPr>
        <w:t xml:space="preserve">the </w:t>
      </w:r>
      <w:r w:rsidR="00086A65" w:rsidRPr="002462F0">
        <w:rPr>
          <w:lang w:eastAsia="fr-FR"/>
        </w:rPr>
        <w:t xml:space="preserve">uncertainty estimate associated with activity data for </w:t>
      </w:r>
      <w:r w:rsidR="00DC2C5B" w:rsidRPr="002462F0">
        <w:rPr>
          <w:lang w:eastAsia="fr-FR"/>
        </w:rPr>
        <w:t xml:space="preserve">the </w:t>
      </w:r>
      <w:r w:rsidR="00086A65" w:rsidRPr="002462F0">
        <w:rPr>
          <w:lang w:eastAsia="fr-FR"/>
        </w:rPr>
        <w:t>1A1</w:t>
      </w:r>
      <w:r w:rsidR="00DC2C5B" w:rsidRPr="002462F0">
        <w:rPr>
          <w:lang w:eastAsia="fr-FR"/>
        </w:rPr>
        <w:t>-Energy industry</w:t>
      </w:r>
      <w:r w:rsidR="00086A65" w:rsidRPr="002462F0">
        <w:rPr>
          <w:lang w:eastAsia="fr-FR"/>
        </w:rPr>
        <w:t xml:space="preserve"> category </w:t>
      </w:r>
      <w:r w:rsidR="00D556CF" w:rsidRPr="002462F0">
        <w:rPr>
          <w:lang w:eastAsia="fr-FR"/>
        </w:rPr>
        <w:t>is</w:t>
      </w:r>
      <w:r w:rsidR="00086A65" w:rsidRPr="002462F0">
        <w:rPr>
          <w:lang w:eastAsia="fr-FR"/>
        </w:rPr>
        <w:t xml:space="preserve"> </w:t>
      </w:r>
      <w:r w:rsidR="00086A65" w:rsidRPr="0029245F">
        <w:rPr>
          <w:lang w:eastAsia="fr-FR"/>
        </w:rPr>
        <w:t>1</w:t>
      </w:r>
      <w:r w:rsidR="00086A65" w:rsidRPr="002462F0">
        <w:rPr>
          <w:lang w:eastAsia="fr-FR"/>
        </w:rPr>
        <w:t xml:space="preserve">%, based on </w:t>
      </w:r>
      <w:r w:rsidR="00D556CF" w:rsidRPr="002462F0">
        <w:rPr>
          <w:lang w:eastAsia="fr-FR"/>
        </w:rPr>
        <w:t xml:space="preserve">2006 IPCC Guidelines </w:t>
      </w:r>
      <w:r w:rsidR="00826E82">
        <w:rPr>
          <w:lang w:eastAsia="fr-FR"/>
        </w:rPr>
        <w:fldChar w:fldCharType="begin"/>
      </w:r>
      <w:r w:rsidR="00826E82">
        <w:rPr>
          <w:lang w:eastAsia="fr-FR"/>
        </w:rPr>
        <w:instrText xml:space="preserve"> REF _Ref496787731 \r \h </w:instrText>
      </w:r>
      <w:r w:rsidR="00826E82">
        <w:rPr>
          <w:lang w:eastAsia="fr-FR"/>
        </w:rPr>
      </w:r>
      <w:r w:rsidR="00826E82">
        <w:rPr>
          <w:lang w:eastAsia="fr-FR"/>
        </w:rPr>
        <w:fldChar w:fldCharType="separate"/>
      </w:r>
      <w:r w:rsidR="00F14C78">
        <w:rPr>
          <w:lang w:eastAsia="fr-FR"/>
        </w:rPr>
        <w:t>[E5]</w:t>
      </w:r>
      <w:r w:rsidR="00826E82">
        <w:rPr>
          <w:lang w:eastAsia="fr-FR"/>
        </w:rPr>
        <w:fldChar w:fldCharType="end"/>
      </w:r>
      <w:r w:rsidR="00086A65" w:rsidRPr="002462F0">
        <w:rPr>
          <w:lang w:eastAsia="fr-FR"/>
        </w:rPr>
        <w:t>.</w:t>
      </w:r>
    </w:p>
    <w:p w14:paraId="57BEBB00" w14:textId="77777777" w:rsidR="00D07ADA" w:rsidRPr="002462F0" w:rsidRDefault="00D07ADA" w:rsidP="00086A65">
      <w:pPr>
        <w:autoSpaceDE w:val="0"/>
        <w:autoSpaceDN w:val="0"/>
        <w:adjustRightInd w:val="0"/>
        <w:spacing w:after="0" w:line="240" w:lineRule="auto"/>
        <w:rPr>
          <w:lang w:eastAsia="fr-FR"/>
        </w:rPr>
      </w:pPr>
    </w:p>
    <w:p w14:paraId="4B18E323" w14:textId="3451561F" w:rsidR="00DC2C5B" w:rsidRPr="002462F0" w:rsidRDefault="00086A65" w:rsidP="00086A65">
      <w:pPr>
        <w:autoSpaceDE w:val="0"/>
        <w:autoSpaceDN w:val="0"/>
        <w:adjustRightInd w:val="0"/>
        <w:spacing w:after="0" w:line="240" w:lineRule="auto"/>
        <w:rPr>
          <w:lang w:eastAsia="fr-FR"/>
        </w:rPr>
      </w:pPr>
      <w:r w:rsidRPr="002462F0">
        <w:rPr>
          <w:lang w:eastAsia="fr-FR"/>
        </w:rPr>
        <w:t xml:space="preserve">Uncertainty estimate associated with </w:t>
      </w:r>
      <w:r w:rsidR="00D07ADA" w:rsidRPr="002462F0">
        <w:rPr>
          <w:lang w:eastAsia="fr-FR"/>
        </w:rPr>
        <w:t>CO</w:t>
      </w:r>
      <w:r w:rsidR="00D07ADA" w:rsidRPr="002462F0">
        <w:rPr>
          <w:vertAlign w:val="subscript"/>
          <w:lang w:eastAsia="fr-FR"/>
        </w:rPr>
        <w:t>2</w:t>
      </w:r>
      <w:r w:rsidR="00D07ADA" w:rsidRPr="002462F0">
        <w:rPr>
          <w:lang w:eastAsia="fr-FR"/>
        </w:rPr>
        <w:t xml:space="preserve"> </w:t>
      </w:r>
      <w:r w:rsidRPr="002462F0">
        <w:rPr>
          <w:lang w:eastAsia="fr-FR"/>
        </w:rPr>
        <w:t xml:space="preserve">default emission factor </w:t>
      </w:r>
      <w:r w:rsidR="00D07ADA" w:rsidRPr="002462F0">
        <w:rPr>
          <w:lang w:eastAsia="fr-FR"/>
        </w:rPr>
        <w:t xml:space="preserve">for 1A1 category is </w:t>
      </w:r>
      <w:r w:rsidR="00413B31" w:rsidRPr="002462F0">
        <w:rPr>
          <w:lang w:eastAsia="fr-FR"/>
        </w:rPr>
        <w:t>7</w:t>
      </w:r>
      <w:r w:rsidRPr="002462F0">
        <w:rPr>
          <w:lang w:eastAsia="fr-FR"/>
        </w:rPr>
        <w:t xml:space="preserve">%, accordingly to values reported in </w:t>
      </w:r>
      <w:r w:rsidR="00D07ADA" w:rsidRPr="002462F0">
        <w:rPr>
          <w:lang w:eastAsia="fr-FR"/>
        </w:rPr>
        <w:t>1996</w:t>
      </w:r>
      <w:r w:rsidRPr="002462F0">
        <w:rPr>
          <w:lang w:eastAsia="fr-FR"/>
        </w:rPr>
        <w:t xml:space="preserve"> IPCC Guidelines</w:t>
      </w:r>
      <w:r w:rsidR="00D07ADA" w:rsidRPr="002462F0">
        <w:rPr>
          <w:lang w:eastAsia="fr-FR"/>
        </w:rPr>
        <w:t xml:space="preserve"> </w:t>
      </w:r>
      <w:r w:rsidR="00826E82">
        <w:rPr>
          <w:lang w:eastAsia="fr-FR"/>
        </w:rPr>
        <w:fldChar w:fldCharType="begin"/>
      </w:r>
      <w:r w:rsidR="00826E82">
        <w:rPr>
          <w:lang w:eastAsia="fr-FR"/>
        </w:rPr>
        <w:instrText xml:space="preserve"> REF _Ref496787736 \r \h </w:instrText>
      </w:r>
      <w:r w:rsidR="00826E82">
        <w:rPr>
          <w:lang w:eastAsia="fr-FR"/>
        </w:rPr>
      </w:r>
      <w:r w:rsidR="00826E82">
        <w:rPr>
          <w:lang w:eastAsia="fr-FR"/>
        </w:rPr>
        <w:fldChar w:fldCharType="separate"/>
      </w:r>
      <w:r w:rsidR="00F14C78">
        <w:rPr>
          <w:lang w:eastAsia="fr-FR"/>
        </w:rPr>
        <w:t>[E6]</w:t>
      </w:r>
      <w:r w:rsidR="00826E82">
        <w:rPr>
          <w:lang w:eastAsia="fr-FR"/>
        </w:rPr>
        <w:fldChar w:fldCharType="end"/>
      </w:r>
      <w:r w:rsidRPr="002462F0">
        <w:rPr>
          <w:lang w:eastAsia="fr-FR"/>
        </w:rPr>
        <w:t>.</w:t>
      </w:r>
      <w:r w:rsidR="00DC2C5B" w:rsidRPr="002462F0">
        <w:rPr>
          <w:lang w:eastAsia="fr-FR"/>
        </w:rPr>
        <w:t xml:space="preserve"> </w:t>
      </w:r>
    </w:p>
    <w:p w14:paraId="14CEA463" w14:textId="77777777" w:rsidR="00DC2C5B" w:rsidRPr="002462F0" w:rsidRDefault="00DC2C5B" w:rsidP="00086A65">
      <w:pPr>
        <w:autoSpaceDE w:val="0"/>
        <w:autoSpaceDN w:val="0"/>
        <w:adjustRightInd w:val="0"/>
        <w:spacing w:after="0" w:line="240" w:lineRule="auto"/>
        <w:rPr>
          <w:lang w:eastAsia="fr-FR"/>
        </w:rPr>
      </w:pPr>
    </w:p>
    <w:p w14:paraId="5685284E" w14:textId="1ADBFDAF" w:rsidR="00086A65" w:rsidRPr="002462F0" w:rsidRDefault="00DC2C5B" w:rsidP="00086A65">
      <w:pPr>
        <w:autoSpaceDE w:val="0"/>
        <w:autoSpaceDN w:val="0"/>
        <w:adjustRightInd w:val="0"/>
        <w:spacing w:after="0" w:line="240" w:lineRule="auto"/>
        <w:rPr>
          <w:lang w:eastAsia="fr-FR"/>
        </w:rPr>
      </w:pPr>
      <w:r w:rsidRPr="002462F0">
        <w:rPr>
          <w:lang w:eastAsia="fr-FR"/>
        </w:rPr>
        <w:t>Combined uncertainty for CO</w:t>
      </w:r>
      <w:r w:rsidRPr="002462F0">
        <w:rPr>
          <w:vertAlign w:val="subscript"/>
          <w:lang w:eastAsia="fr-FR"/>
        </w:rPr>
        <w:t>2</w:t>
      </w:r>
      <w:r w:rsidRPr="002462F0">
        <w:rPr>
          <w:lang w:eastAsia="fr-FR"/>
        </w:rPr>
        <w:t xml:space="preserve"> emissions is </w:t>
      </w:r>
      <w:r w:rsidR="00413EDD">
        <w:rPr>
          <w:lang w:eastAsia="fr-FR"/>
        </w:rPr>
        <w:t>1.6</w:t>
      </w:r>
      <w:r w:rsidRPr="002462F0">
        <w:rPr>
          <w:lang w:eastAsia="fr-FR"/>
        </w:rPr>
        <w:t>%</w:t>
      </w:r>
      <w:r w:rsidR="00413EDD">
        <w:rPr>
          <w:lang w:eastAsia="fr-FR"/>
        </w:rPr>
        <w:t xml:space="preserve"> in 2022, excluding LULUCF, in </w:t>
      </w:r>
      <w:r w:rsidR="00864A26">
        <w:rPr>
          <w:lang w:eastAsia="fr-FR"/>
        </w:rPr>
        <w:t xml:space="preserve">the total national </w:t>
      </w:r>
      <w:r w:rsidR="00413EDD">
        <w:rPr>
          <w:lang w:eastAsia="fr-FR"/>
        </w:rPr>
        <w:t>terms of level of emissions</w:t>
      </w:r>
      <w:r w:rsidRPr="002462F0">
        <w:rPr>
          <w:lang w:eastAsia="fr-FR"/>
        </w:rPr>
        <w:t>.</w:t>
      </w:r>
    </w:p>
    <w:p w14:paraId="4D6816F8" w14:textId="77777777" w:rsidR="00DC2C5B" w:rsidRPr="002462F0" w:rsidRDefault="00DC2C5B" w:rsidP="00086A65">
      <w:pPr>
        <w:autoSpaceDE w:val="0"/>
        <w:autoSpaceDN w:val="0"/>
        <w:adjustRightInd w:val="0"/>
        <w:spacing w:after="0" w:line="240" w:lineRule="auto"/>
        <w:rPr>
          <w:lang w:eastAsia="fr-FR"/>
        </w:rPr>
      </w:pPr>
    </w:p>
    <w:p w14:paraId="2D4611BE" w14:textId="77777777" w:rsidR="00DC2C5B" w:rsidRPr="002462F0" w:rsidRDefault="00DC2C5B" w:rsidP="00086A65">
      <w:pPr>
        <w:autoSpaceDE w:val="0"/>
        <w:autoSpaceDN w:val="0"/>
        <w:adjustRightInd w:val="0"/>
        <w:spacing w:after="0" w:line="240" w:lineRule="auto"/>
        <w:rPr>
          <w:b/>
          <w:vertAlign w:val="subscript"/>
          <w:lang w:eastAsia="fr-FR"/>
        </w:rPr>
      </w:pPr>
      <w:r w:rsidRPr="002462F0">
        <w:rPr>
          <w:b/>
          <w:lang w:eastAsia="fr-FR"/>
        </w:rPr>
        <w:t>CH</w:t>
      </w:r>
      <w:r w:rsidRPr="002462F0">
        <w:rPr>
          <w:b/>
          <w:vertAlign w:val="subscript"/>
          <w:lang w:eastAsia="fr-FR"/>
        </w:rPr>
        <w:t>4</w:t>
      </w:r>
    </w:p>
    <w:p w14:paraId="74238435" w14:textId="52A92B3D" w:rsidR="00DC2C5B" w:rsidRPr="002462F0" w:rsidRDefault="0029245F" w:rsidP="00086A65">
      <w:pPr>
        <w:autoSpaceDE w:val="0"/>
        <w:autoSpaceDN w:val="0"/>
        <w:adjustRightInd w:val="0"/>
        <w:spacing w:after="0" w:line="240" w:lineRule="auto"/>
        <w:rPr>
          <w:lang w:eastAsia="fr-FR"/>
        </w:rPr>
      </w:pPr>
      <w:r>
        <w:rPr>
          <w:lang w:eastAsia="fr-FR"/>
        </w:rPr>
        <w:t>In 2016</w:t>
      </w:r>
      <w:r w:rsidR="00DC2C5B" w:rsidRPr="002462F0">
        <w:rPr>
          <w:lang w:eastAsia="fr-FR"/>
        </w:rPr>
        <w:t xml:space="preserve">, the uncertainty estimate associated with activity data for the 1A1-Energy industry category is 1%, based on 2006 IPCC Guidelines </w:t>
      </w:r>
      <w:r w:rsidR="00826E82">
        <w:rPr>
          <w:lang w:eastAsia="fr-FR"/>
        </w:rPr>
        <w:fldChar w:fldCharType="begin"/>
      </w:r>
      <w:r w:rsidR="00826E82">
        <w:rPr>
          <w:lang w:eastAsia="fr-FR"/>
        </w:rPr>
        <w:instrText xml:space="preserve"> REF _Ref496787731 \r \h </w:instrText>
      </w:r>
      <w:r w:rsidR="00826E82">
        <w:rPr>
          <w:lang w:eastAsia="fr-FR"/>
        </w:rPr>
      </w:r>
      <w:r w:rsidR="00826E82">
        <w:rPr>
          <w:lang w:eastAsia="fr-FR"/>
        </w:rPr>
        <w:fldChar w:fldCharType="separate"/>
      </w:r>
      <w:r w:rsidR="00F14C78">
        <w:rPr>
          <w:lang w:eastAsia="fr-FR"/>
        </w:rPr>
        <w:t>[E5]</w:t>
      </w:r>
      <w:r w:rsidR="00826E82">
        <w:rPr>
          <w:lang w:eastAsia="fr-FR"/>
        </w:rPr>
        <w:fldChar w:fldCharType="end"/>
      </w:r>
      <w:r w:rsidR="00DC2C5B" w:rsidRPr="002462F0">
        <w:rPr>
          <w:lang w:eastAsia="fr-FR"/>
        </w:rPr>
        <w:t>.</w:t>
      </w:r>
    </w:p>
    <w:p w14:paraId="1193CB76" w14:textId="77777777" w:rsidR="00DC2C5B" w:rsidRPr="002462F0" w:rsidRDefault="00DC2C5B" w:rsidP="00086A65">
      <w:pPr>
        <w:autoSpaceDE w:val="0"/>
        <w:autoSpaceDN w:val="0"/>
        <w:adjustRightInd w:val="0"/>
        <w:spacing w:after="0" w:line="240" w:lineRule="auto"/>
        <w:rPr>
          <w:lang w:eastAsia="fr-FR"/>
        </w:rPr>
      </w:pPr>
    </w:p>
    <w:p w14:paraId="6DF1180D" w14:textId="179D4BAC" w:rsidR="00413B31" w:rsidRPr="002462F0" w:rsidRDefault="00413B31" w:rsidP="00413B31">
      <w:pPr>
        <w:autoSpaceDE w:val="0"/>
        <w:autoSpaceDN w:val="0"/>
        <w:adjustRightInd w:val="0"/>
        <w:spacing w:after="0" w:line="240" w:lineRule="auto"/>
        <w:rPr>
          <w:lang w:eastAsia="fr-FR"/>
        </w:rPr>
      </w:pPr>
      <w:r w:rsidRPr="002462F0">
        <w:rPr>
          <w:lang w:eastAsia="fr-FR"/>
        </w:rPr>
        <w:t>Uncertainty estimate associated with CH</w:t>
      </w:r>
      <w:r w:rsidRPr="002462F0">
        <w:rPr>
          <w:vertAlign w:val="subscript"/>
          <w:lang w:eastAsia="fr-FR"/>
        </w:rPr>
        <w:t>4</w:t>
      </w:r>
      <w:r w:rsidRPr="002462F0">
        <w:rPr>
          <w:lang w:eastAsia="fr-FR"/>
        </w:rPr>
        <w:t xml:space="preserve"> default emission factor for 1A1 category is 100%, accordingly to values reported in 2006 IPCC Guidelines </w:t>
      </w:r>
      <w:r w:rsidR="00826E82">
        <w:rPr>
          <w:lang w:eastAsia="fr-FR"/>
        </w:rPr>
        <w:fldChar w:fldCharType="begin"/>
      </w:r>
      <w:r w:rsidR="00826E82">
        <w:rPr>
          <w:lang w:eastAsia="fr-FR"/>
        </w:rPr>
        <w:instrText xml:space="preserve"> REF _Ref496787749 \r \h </w:instrText>
      </w:r>
      <w:r w:rsidR="00826E82">
        <w:rPr>
          <w:lang w:eastAsia="fr-FR"/>
        </w:rPr>
      </w:r>
      <w:r w:rsidR="00826E82">
        <w:rPr>
          <w:lang w:eastAsia="fr-FR"/>
        </w:rPr>
        <w:fldChar w:fldCharType="separate"/>
      </w:r>
      <w:r w:rsidR="00F14C78">
        <w:rPr>
          <w:lang w:eastAsia="fr-FR"/>
        </w:rPr>
        <w:t>[E7]</w:t>
      </w:r>
      <w:r w:rsidR="00826E82">
        <w:rPr>
          <w:lang w:eastAsia="fr-FR"/>
        </w:rPr>
        <w:fldChar w:fldCharType="end"/>
      </w:r>
      <w:r w:rsidRPr="002462F0">
        <w:rPr>
          <w:lang w:eastAsia="fr-FR"/>
        </w:rPr>
        <w:t>.</w:t>
      </w:r>
    </w:p>
    <w:p w14:paraId="55348EAD" w14:textId="77777777" w:rsidR="00DC2C5B" w:rsidRPr="002462F0" w:rsidRDefault="00DC2C5B" w:rsidP="00413B31">
      <w:pPr>
        <w:autoSpaceDE w:val="0"/>
        <w:autoSpaceDN w:val="0"/>
        <w:adjustRightInd w:val="0"/>
        <w:spacing w:after="0" w:line="240" w:lineRule="auto"/>
        <w:rPr>
          <w:lang w:eastAsia="fr-FR"/>
        </w:rPr>
      </w:pPr>
    </w:p>
    <w:p w14:paraId="5C5268AC" w14:textId="049FEC4F" w:rsidR="00DC2C5B" w:rsidRPr="002462F0" w:rsidRDefault="00DC2C5B" w:rsidP="00413B31">
      <w:pPr>
        <w:autoSpaceDE w:val="0"/>
        <w:autoSpaceDN w:val="0"/>
        <w:adjustRightInd w:val="0"/>
        <w:spacing w:after="0" w:line="240" w:lineRule="auto"/>
        <w:rPr>
          <w:lang w:eastAsia="fr-FR"/>
        </w:rPr>
      </w:pPr>
      <w:r w:rsidRPr="002462F0">
        <w:rPr>
          <w:lang w:eastAsia="fr-FR"/>
        </w:rPr>
        <w:t>Combined uncertainty for CH</w:t>
      </w:r>
      <w:r w:rsidRPr="002462F0">
        <w:rPr>
          <w:vertAlign w:val="subscript"/>
          <w:lang w:eastAsia="fr-FR"/>
        </w:rPr>
        <w:t>4</w:t>
      </w:r>
      <w:r w:rsidRPr="002462F0">
        <w:rPr>
          <w:lang w:eastAsia="fr-FR"/>
        </w:rPr>
        <w:t xml:space="preserve"> emissions </w:t>
      </w:r>
      <w:r w:rsidRPr="00933172">
        <w:rPr>
          <w:lang w:eastAsia="fr-FR"/>
        </w:rPr>
        <w:t xml:space="preserve">is </w:t>
      </w:r>
      <w:r w:rsidR="00781E9C">
        <w:rPr>
          <w:lang w:eastAsia="fr-FR"/>
        </w:rPr>
        <w:t>0.02</w:t>
      </w:r>
      <w:r w:rsidRPr="002462F0">
        <w:rPr>
          <w:lang w:eastAsia="fr-FR"/>
        </w:rPr>
        <w:t>%</w:t>
      </w:r>
      <w:r w:rsidR="00413EDD">
        <w:rPr>
          <w:lang w:eastAsia="fr-FR"/>
        </w:rPr>
        <w:t xml:space="preserve"> in 2022, excluding LULUCF, in </w:t>
      </w:r>
      <w:r w:rsidR="00864A26">
        <w:rPr>
          <w:lang w:eastAsia="fr-FR"/>
        </w:rPr>
        <w:t xml:space="preserve">the total national </w:t>
      </w:r>
      <w:r w:rsidR="00413EDD">
        <w:rPr>
          <w:lang w:eastAsia="fr-FR"/>
        </w:rPr>
        <w:t>terms of level of emissions</w:t>
      </w:r>
      <w:r w:rsidRPr="002462F0">
        <w:rPr>
          <w:lang w:eastAsia="fr-FR"/>
        </w:rPr>
        <w:t>.</w:t>
      </w:r>
    </w:p>
    <w:p w14:paraId="608688EA" w14:textId="77777777" w:rsidR="00DC2C5B" w:rsidRPr="002462F0" w:rsidRDefault="00DC2C5B" w:rsidP="00413B31">
      <w:pPr>
        <w:autoSpaceDE w:val="0"/>
        <w:autoSpaceDN w:val="0"/>
        <w:adjustRightInd w:val="0"/>
        <w:spacing w:after="0" w:line="240" w:lineRule="auto"/>
        <w:rPr>
          <w:lang w:eastAsia="fr-FR"/>
        </w:rPr>
      </w:pPr>
    </w:p>
    <w:p w14:paraId="243F7192" w14:textId="77777777" w:rsidR="00DC2C5B" w:rsidRPr="002462F0" w:rsidRDefault="00DC2C5B" w:rsidP="00413B31">
      <w:pPr>
        <w:autoSpaceDE w:val="0"/>
        <w:autoSpaceDN w:val="0"/>
        <w:adjustRightInd w:val="0"/>
        <w:spacing w:after="0" w:line="240" w:lineRule="auto"/>
        <w:rPr>
          <w:b/>
          <w:lang w:eastAsia="fr-FR"/>
        </w:rPr>
      </w:pPr>
      <w:r w:rsidRPr="002462F0">
        <w:rPr>
          <w:b/>
          <w:lang w:eastAsia="fr-FR"/>
        </w:rPr>
        <w:lastRenderedPageBreak/>
        <w:t>N</w:t>
      </w:r>
      <w:r w:rsidRPr="002462F0">
        <w:rPr>
          <w:b/>
          <w:vertAlign w:val="subscript"/>
          <w:lang w:eastAsia="fr-FR"/>
        </w:rPr>
        <w:t>2</w:t>
      </w:r>
      <w:r w:rsidRPr="002462F0">
        <w:rPr>
          <w:b/>
          <w:lang w:eastAsia="fr-FR"/>
        </w:rPr>
        <w:t>O</w:t>
      </w:r>
    </w:p>
    <w:p w14:paraId="30F4AB7B" w14:textId="5108A41F" w:rsidR="00DC2C5B" w:rsidRPr="002462F0" w:rsidRDefault="0029245F" w:rsidP="00DC2C5B">
      <w:pPr>
        <w:autoSpaceDE w:val="0"/>
        <w:autoSpaceDN w:val="0"/>
        <w:adjustRightInd w:val="0"/>
        <w:spacing w:after="0" w:line="240" w:lineRule="auto"/>
        <w:rPr>
          <w:lang w:eastAsia="fr-FR"/>
        </w:rPr>
      </w:pPr>
      <w:r>
        <w:rPr>
          <w:lang w:eastAsia="fr-FR"/>
        </w:rPr>
        <w:t>In 2016</w:t>
      </w:r>
      <w:r w:rsidR="00DC2C5B" w:rsidRPr="002462F0">
        <w:rPr>
          <w:lang w:eastAsia="fr-FR"/>
        </w:rPr>
        <w:t xml:space="preserve">, the uncertainty estimate associated with activity data for the 1A1-Energy industry category is 1%, based on 2006 IPCC Guidelines </w:t>
      </w:r>
      <w:r w:rsidR="00826E82">
        <w:rPr>
          <w:lang w:eastAsia="fr-FR"/>
        </w:rPr>
        <w:fldChar w:fldCharType="begin"/>
      </w:r>
      <w:r w:rsidR="00826E82">
        <w:rPr>
          <w:lang w:eastAsia="fr-FR"/>
        </w:rPr>
        <w:instrText xml:space="preserve"> REF _Ref496787731 \r \h </w:instrText>
      </w:r>
      <w:r w:rsidR="00826E82">
        <w:rPr>
          <w:lang w:eastAsia="fr-FR"/>
        </w:rPr>
      </w:r>
      <w:r w:rsidR="00826E82">
        <w:rPr>
          <w:lang w:eastAsia="fr-FR"/>
        </w:rPr>
        <w:fldChar w:fldCharType="separate"/>
      </w:r>
      <w:r w:rsidR="00F14C78">
        <w:rPr>
          <w:lang w:eastAsia="fr-FR"/>
        </w:rPr>
        <w:t>[E5]</w:t>
      </w:r>
      <w:r w:rsidR="00826E82">
        <w:rPr>
          <w:lang w:eastAsia="fr-FR"/>
        </w:rPr>
        <w:fldChar w:fldCharType="end"/>
      </w:r>
      <w:r w:rsidR="00DC2C5B" w:rsidRPr="002462F0">
        <w:rPr>
          <w:lang w:eastAsia="fr-FR"/>
        </w:rPr>
        <w:t>.</w:t>
      </w:r>
    </w:p>
    <w:p w14:paraId="3563656D" w14:textId="77777777" w:rsidR="00DC2C5B" w:rsidRPr="002462F0" w:rsidRDefault="00DC2C5B" w:rsidP="00413B31">
      <w:pPr>
        <w:autoSpaceDE w:val="0"/>
        <w:autoSpaceDN w:val="0"/>
        <w:adjustRightInd w:val="0"/>
        <w:spacing w:after="0" w:line="240" w:lineRule="auto"/>
        <w:rPr>
          <w:b/>
          <w:lang w:eastAsia="fr-FR"/>
        </w:rPr>
      </w:pPr>
    </w:p>
    <w:p w14:paraId="4136D4F9" w14:textId="77777777" w:rsidR="005B2EBF" w:rsidRPr="002462F0" w:rsidRDefault="005B2EBF" w:rsidP="005B2EBF">
      <w:pPr>
        <w:autoSpaceDE w:val="0"/>
        <w:autoSpaceDN w:val="0"/>
        <w:adjustRightInd w:val="0"/>
        <w:spacing w:after="0" w:line="240" w:lineRule="auto"/>
        <w:rPr>
          <w:lang w:eastAsia="fr-FR"/>
        </w:rPr>
      </w:pPr>
      <w:r w:rsidRPr="002462F0">
        <w:rPr>
          <w:lang w:eastAsia="fr-FR"/>
        </w:rPr>
        <w:t>Uncertainty estimate associated with N</w:t>
      </w:r>
      <w:r w:rsidRPr="002462F0">
        <w:rPr>
          <w:vertAlign w:val="subscript"/>
          <w:lang w:eastAsia="fr-FR"/>
        </w:rPr>
        <w:t>2</w:t>
      </w:r>
      <w:r w:rsidRPr="002462F0">
        <w:rPr>
          <w:lang w:eastAsia="fr-FR"/>
        </w:rPr>
        <w:t xml:space="preserve">O default emission factor for 1A1 category is 100%, based on a conservative </w:t>
      </w:r>
      <w:r w:rsidR="00D57585" w:rsidRPr="002462F0">
        <w:rPr>
          <w:lang w:eastAsia="fr-FR"/>
        </w:rPr>
        <w:t>assumption</w:t>
      </w:r>
      <w:r w:rsidRPr="002462F0">
        <w:rPr>
          <w:lang w:eastAsia="fr-FR"/>
        </w:rPr>
        <w:t>.</w:t>
      </w:r>
    </w:p>
    <w:p w14:paraId="6F952E25" w14:textId="77777777" w:rsidR="00413B31" w:rsidRPr="002462F0" w:rsidRDefault="00413B31" w:rsidP="00086A65">
      <w:pPr>
        <w:autoSpaceDE w:val="0"/>
        <w:autoSpaceDN w:val="0"/>
        <w:adjustRightInd w:val="0"/>
        <w:spacing w:after="0" w:line="240" w:lineRule="auto"/>
        <w:rPr>
          <w:lang w:eastAsia="fr-FR"/>
        </w:rPr>
      </w:pPr>
    </w:p>
    <w:p w14:paraId="49182B8A" w14:textId="06393BFD" w:rsidR="00086A65" w:rsidRPr="002462F0" w:rsidRDefault="00A93BCA" w:rsidP="00086A65">
      <w:pPr>
        <w:autoSpaceDE w:val="0"/>
        <w:autoSpaceDN w:val="0"/>
        <w:adjustRightInd w:val="0"/>
        <w:spacing w:after="0" w:line="240" w:lineRule="auto"/>
        <w:rPr>
          <w:lang w:eastAsia="fr-FR"/>
        </w:rPr>
      </w:pPr>
      <w:r w:rsidRPr="002462F0">
        <w:rPr>
          <w:lang w:eastAsia="fr-FR"/>
        </w:rPr>
        <w:t>Combined uncertainty for N</w:t>
      </w:r>
      <w:r w:rsidRPr="002462F0">
        <w:rPr>
          <w:vertAlign w:val="subscript"/>
          <w:lang w:eastAsia="fr-FR"/>
        </w:rPr>
        <w:t>2</w:t>
      </w:r>
      <w:r w:rsidRPr="002462F0">
        <w:rPr>
          <w:lang w:eastAsia="fr-FR"/>
        </w:rPr>
        <w:t xml:space="preserve">O emissions </w:t>
      </w:r>
      <w:r w:rsidRPr="00933172">
        <w:rPr>
          <w:lang w:eastAsia="fr-FR"/>
        </w:rPr>
        <w:t xml:space="preserve">is </w:t>
      </w:r>
      <w:r w:rsidR="006162AC">
        <w:rPr>
          <w:lang w:eastAsia="fr-FR"/>
        </w:rPr>
        <w:t>0.2</w:t>
      </w:r>
      <w:r w:rsidRPr="002462F0">
        <w:rPr>
          <w:lang w:eastAsia="fr-FR"/>
        </w:rPr>
        <w:t>%</w:t>
      </w:r>
      <w:r w:rsidR="006162AC">
        <w:rPr>
          <w:lang w:eastAsia="fr-FR"/>
        </w:rPr>
        <w:t xml:space="preserve"> in 2022, excluding LULUCF, in </w:t>
      </w:r>
      <w:r w:rsidR="00864A26">
        <w:rPr>
          <w:lang w:eastAsia="fr-FR"/>
        </w:rPr>
        <w:t xml:space="preserve">the total national </w:t>
      </w:r>
      <w:r w:rsidR="006162AC">
        <w:rPr>
          <w:lang w:eastAsia="fr-FR"/>
        </w:rPr>
        <w:t>terms of level of emissions</w:t>
      </w:r>
      <w:r w:rsidRPr="002462F0">
        <w:rPr>
          <w:lang w:eastAsia="fr-FR"/>
        </w:rPr>
        <w:t>.</w:t>
      </w:r>
    </w:p>
    <w:p w14:paraId="3F4B2EC4" w14:textId="77777777" w:rsidR="00086A65" w:rsidRPr="00622F40" w:rsidRDefault="00086A65" w:rsidP="00086A65">
      <w:pPr>
        <w:pStyle w:val="Titre4Bleu"/>
        <w:rPr>
          <w:lang w:eastAsia="fr-FR"/>
        </w:rPr>
      </w:pPr>
      <w:bookmarkStart w:id="205" w:name="_Toc182327739"/>
      <w:r w:rsidRPr="00622F40">
        <w:rPr>
          <w:lang w:eastAsia="fr-FR"/>
        </w:rPr>
        <w:t>Category-specific QA/QC and verification</w:t>
      </w:r>
      <w:bookmarkEnd w:id="205"/>
    </w:p>
    <w:p w14:paraId="6B531B8C" w14:textId="79D4C87C" w:rsidR="00B84696" w:rsidRPr="002462F0" w:rsidRDefault="00B84696" w:rsidP="00B84696">
      <w:pPr>
        <w:pStyle w:val="BodyText"/>
        <w:rPr>
          <w:sz w:val="24"/>
          <w:szCs w:val="24"/>
          <w:lang w:eastAsia="fr-FR"/>
        </w:rPr>
      </w:pPr>
      <w:r w:rsidRPr="002462F0">
        <w:t>During the preparation of the inventory submission</w:t>
      </w:r>
      <w:r w:rsidR="00D50B3F">
        <w:t>,</w:t>
      </w:r>
      <w:r w:rsidRPr="002462F0">
        <w:t xml:space="preserve"> activities related to quality control were mainly focused on proper use of notation keys in the </w:t>
      </w:r>
      <w:r w:rsidR="000F6001">
        <w:t>CRT</w:t>
      </w:r>
      <w:r w:rsidRPr="002462F0">
        <w:t xml:space="preserve"> tables according to QA/QC plan.</w:t>
      </w:r>
    </w:p>
    <w:p w14:paraId="6E54CD5B" w14:textId="77777777" w:rsidR="00086A65" w:rsidRPr="002462F0" w:rsidRDefault="00086A65" w:rsidP="00086A65">
      <w:pPr>
        <w:pStyle w:val="Titre4Bleu"/>
        <w:rPr>
          <w:lang w:eastAsia="fr-FR"/>
        </w:rPr>
      </w:pPr>
      <w:bookmarkStart w:id="206" w:name="_Toc182327740"/>
      <w:r w:rsidRPr="002462F0">
        <w:rPr>
          <w:lang w:eastAsia="fr-FR"/>
        </w:rPr>
        <w:t>Category-specific recalculations</w:t>
      </w:r>
      <w:bookmarkEnd w:id="206"/>
    </w:p>
    <w:p w14:paraId="465713DE" w14:textId="61462A1C" w:rsidR="00636854" w:rsidRPr="002462F0" w:rsidRDefault="00636854" w:rsidP="00636854">
      <w:pPr>
        <w:pStyle w:val="BodyText"/>
        <w:rPr>
          <w:lang w:eastAsia="fr-FR"/>
        </w:rPr>
      </w:pPr>
      <w:r w:rsidRPr="002462F0">
        <w:rPr>
          <w:lang w:eastAsia="fr-FR"/>
        </w:rPr>
        <w:t xml:space="preserve">The current report is the first National Inventory </w:t>
      </w:r>
      <w:r w:rsidR="00CB4BC2">
        <w:rPr>
          <w:lang w:eastAsia="fr-FR"/>
        </w:rPr>
        <w:t>Document</w:t>
      </w:r>
      <w:r w:rsidRPr="002462F0">
        <w:rPr>
          <w:lang w:eastAsia="fr-FR"/>
        </w:rPr>
        <w:t xml:space="preserve"> for Serbia. Consequently, there is no recalculation. Possible recalculation </w:t>
      </w:r>
      <w:r w:rsidR="002806DB">
        <w:rPr>
          <w:lang w:eastAsia="fr-FR"/>
        </w:rPr>
        <w:t>will occur</w:t>
      </w:r>
      <w:r w:rsidR="002806DB" w:rsidRPr="002462F0">
        <w:rPr>
          <w:lang w:eastAsia="fr-FR"/>
        </w:rPr>
        <w:t xml:space="preserve"> and </w:t>
      </w:r>
      <w:r w:rsidR="002806DB">
        <w:rPr>
          <w:lang w:eastAsia="fr-FR"/>
        </w:rPr>
        <w:t xml:space="preserve">be </w:t>
      </w:r>
      <w:r w:rsidR="002806DB" w:rsidRPr="002462F0">
        <w:rPr>
          <w:lang w:eastAsia="fr-FR"/>
        </w:rPr>
        <w:t xml:space="preserve">estimated </w:t>
      </w:r>
      <w:r w:rsidRPr="002462F0">
        <w:rPr>
          <w:lang w:eastAsia="fr-FR"/>
        </w:rPr>
        <w:t>in the next submission if necessary.</w:t>
      </w:r>
    </w:p>
    <w:p w14:paraId="15A21693" w14:textId="77777777" w:rsidR="00086A65" w:rsidRPr="00622F40" w:rsidRDefault="00086A65" w:rsidP="00086A65">
      <w:pPr>
        <w:pStyle w:val="Titre4Bleu"/>
        <w:rPr>
          <w:lang w:eastAsia="fr-FR"/>
        </w:rPr>
      </w:pPr>
      <w:bookmarkStart w:id="207" w:name="_Toc182327741"/>
      <w:r w:rsidRPr="00622F40">
        <w:rPr>
          <w:lang w:eastAsia="fr-FR"/>
        </w:rPr>
        <w:t>Category-specific planned improvements</w:t>
      </w:r>
      <w:bookmarkEnd w:id="207"/>
    </w:p>
    <w:p w14:paraId="0648C099" w14:textId="77777777" w:rsidR="00D556CF" w:rsidRPr="002462F0" w:rsidRDefault="005A0D68" w:rsidP="00FD5E17">
      <w:pPr>
        <w:rPr>
          <w:lang w:val="en-US" w:eastAsia="fr-FR"/>
        </w:rPr>
      </w:pPr>
      <w:r w:rsidRPr="002462F0">
        <w:rPr>
          <w:lang w:val="en-US" w:eastAsia="fr-FR"/>
        </w:rPr>
        <w:t xml:space="preserve">For the manufacture of solid fuels, </w:t>
      </w:r>
      <w:r w:rsidR="00E2631E" w:rsidRPr="002462F0">
        <w:rPr>
          <w:lang w:val="en-US" w:eastAsia="fr-FR"/>
        </w:rPr>
        <w:t>the completeness of the activity data set has to be improved.</w:t>
      </w:r>
    </w:p>
    <w:p w14:paraId="30117417" w14:textId="1B754873" w:rsidR="00CE214F" w:rsidRPr="003D5CD8" w:rsidRDefault="0074089E" w:rsidP="00FD5E17">
      <w:pPr>
        <w:rPr>
          <w:lang w:val="en-US" w:eastAsia="fr-FR"/>
        </w:rPr>
      </w:pPr>
      <w:r w:rsidRPr="003D5CD8">
        <w:rPr>
          <w:lang w:val="en-US" w:eastAsia="fr-FR"/>
        </w:rPr>
        <w:t xml:space="preserve">In addition, for sectors where reporting data are available, the </w:t>
      </w:r>
      <w:r w:rsidR="000C1A4B" w:rsidRPr="003D5CD8">
        <w:rPr>
          <w:lang w:val="en-US" w:eastAsia="fr-FR"/>
        </w:rPr>
        <w:t>data used in the inventory will be compared with the reports from operators for QA/QC.</w:t>
      </w:r>
    </w:p>
    <w:p w14:paraId="006D735B" w14:textId="77777777" w:rsidR="003D5CD8" w:rsidRDefault="003D5CD8">
      <w:pPr>
        <w:jc w:val="left"/>
        <w:rPr>
          <w:b/>
          <w:color w:val="233F85"/>
          <w:sz w:val="28"/>
          <w:szCs w:val="32"/>
          <w:lang w:eastAsia="fr-FR"/>
        </w:rPr>
      </w:pPr>
      <w:r>
        <w:rPr>
          <w:lang w:eastAsia="fr-FR"/>
        </w:rPr>
        <w:br w:type="page"/>
      </w:r>
    </w:p>
    <w:p w14:paraId="289F6D46" w14:textId="2628A5CD" w:rsidR="00E44D96" w:rsidRPr="002462F0" w:rsidRDefault="00051999" w:rsidP="00E44D96">
      <w:pPr>
        <w:pStyle w:val="Heading3"/>
        <w:rPr>
          <w:lang w:val="en-GB" w:eastAsia="fr-FR"/>
        </w:rPr>
      </w:pPr>
      <w:bookmarkStart w:id="208" w:name="_Toc182327742"/>
      <w:bookmarkStart w:id="209" w:name="_Toc184808172"/>
      <w:r w:rsidRPr="002462F0">
        <w:rPr>
          <w:lang w:val="en-GB" w:eastAsia="fr-FR"/>
        </w:rPr>
        <w:lastRenderedPageBreak/>
        <w:t>Manufacturing industry and construction (</w:t>
      </w:r>
      <w:r w:rsidR="000F6001">
        <w:rPr>
          <w:lang w:val="en-GB" w:eastAsia="fr-FR"/>
        </w:rPr>
        <w:t>CRT</w:t>
      </w:r>
      <w:r w:rsidRPr="002462F0">
        <w:rPr>
          <w:lang w:val="en-GB" w:eastAsia="fr-FR"/>
        </w:rPr>
        <w:t xml:space="preserve"> 1A2</w:t>
      </w:r>
      <w:r w:rsidR="00E44D96" w:rsidRPr="002462F0">
        <w:rPr>
          <w:lang w:val="en-GB" w:eastAsia="fr-FR"/>
        </w:rPr>
        <w:t>)</w:t>
      </w:r>
      <w:bookmarkEnd w:id="208"/>
      <w:bookmarkEnd w:id="209"/>
    </w:p>
    <w:p w14:paraId="072FE4E2" w14:textId="77777777" w:rsidR="00506DB7" w:rsidRPr="002462F0" w:rsidRDefault="00506DB7" w:rsidP="00506DB7">
      <w:pPr>
        <w:pStyle w:val="Titre4Bleu"/>
        <w:rPr>
          <w:lang w:val="en-GB" w:eastAsia="fr-FR"/>
        </w:rPr>
      </w:pPr>
      <w:bookmarkStart w:id="210" w:name="_Toc182327743"/>
      <w:r w:rsidRPr="002462F0">
        <w:rPr>
          <w:lang w:eastAsia="fr-FR"/>
        </w:rPr>
        <w:t>Category description</w:t>
      </w:r>
      <w:bookmarkEnd w:id="210"/>
    </w:p>
    <w:p w14:paraId="536C6C65" w14:textId="4351EE6C" w:rsidR="007A00FE" w:rsidRPr="002462F0" w:rsidRDefault="007A00FE" w:rsidP="007A00FE">
      <w:pPr>
        <w:rPr>
          <w:szCs w:val="20"/>
        </w:rPr>
      </w:pPr>
      <w:r w:rsidRPr="002462F0">
        <w:rPr>
          <w:szCs w:val="20"/>
        </w:rPr>
        <w:t>Manufacturing Industries and Construction include emissions from fuel combustion in different industries, such as iron and steel industry, industries of non-ferrous metals, chemicals, pulp and paper, food processing, beverages and tobacco, non-mineral industry:</w:t>
      </w:r>
    </w:p>
    <w:p w14:paraId="018744AC" w14:textId="39348F8F" w:rsidR="007A00FE" w:rsidRPr="002462F0" w:rsidRDefault="007A00FE" w:rsidP="00B1419E">
      <w:pPr>
        <w:pStyle w:val="ListParagraph"/>
        <w:numPr>
          <w:ilvl w:val="0"/>
          <w:numId w:val="18"/>
        </w:numPr>
        <w:rPr>
          <w:szCs w:val="20"/>
        </w:rPr>
      </w:pPr>
      <w:r w:rsidRPr="002462F0">
        <w:rPr>
          <w:szCs w:val="20"/>
        </w:rPr>
        <w:t>Iron and steel (</w:t>
      </w:r>
      <w:r w:rsidR="000F6001">
        <w:rPr>
          <w:szCs w:val="20"/>
        </w:rPr>
        <w:t>CRT</w:t>
      </w:r>
      <w:r w:rsidRPr="002462F0">
        <w:rPr>
          <w:szCs w:val="20"/>
        </w:rPr>
        <w:t xml:space="preserve"> 1A2a),</w:t>
      </w:r>
    </w:p>
    <w:p w14:paraId="3D623621" w14:textId="30743120" w:rsidR="007A00FE" w:rsidRPr="002462F0" w:rsidRDefault="007A00FE" w:rsidP="00B1419E">
      <w:pPr>
        <w:pStyle w:val="ListParagraph"/>
        <w:numPr>
          <w:ilvl w:val="0"/>
          <w:numId w:val="18"/>
        </w:numPr>
        <w:rPr>
          <w:szCs w:val="20"/>
        </w:rPr>
      </w:pPr>
      <w:r w:rsidRPr="002462F0">
        <w:rPr>
          <w:szCs w:val="20"/>
        </w:rPr>
        <w:t>Non-ferrous metals (</w:t>
      </w:r>
      <w:r w:rsidR="000F6001">
        <w:rPr>
          <w:szCs w:val="20"/>
        </w:rPr>
        <w:t>CRT</w:t>
      </w:r>
      <w:r w:rsidRPr="002462F0">
        <w:rPr>
          <w:szCs w:val="20"/>
        </w:rPr>
        <w:t xml:space="preserve"> 1A2b), </w:t>
      </w:r>
    </w:p>
    <w:p w14:paraId="7BC359F1" w14:textId="748D59BC" w:rsidR="007A00FE" w:rsidRPr="002462F0" w:rsidRDefault="007A00FE" w:rsidP="00B1419E">
      <w:pPr>
        <w:pStyle w:val="ListParagraph"/>
        <w:numPr>
          <w:ilvl w:val="0"/>
          <w:numId w:val="18"/>
        </w:numPr>
        <w:rPr>
          <w:szCs w:val="20"/>
        </w:rPr>
      </w:pPr>
      <w:r w:rsidRPr="002462F0">
        <w:rPr>
          <w:szCs w:val="20"/>
        </w:rPr>
        <w:t>Chemicals (</w:t>
      </w:r>
      <w:r w:rsidR="000F6001">
        <w:rPr>
          <w:szCs w:val="20"/>
        </w:rPr>
        <w:t>CRT</w:t>
      </w:r>
      <w:r w:rsidRPr="002462F0">
        <w:rPr>
          <w:szCs w:val="20"/>
        </w:rPr>
        <w:t xml:space="preserve"> 1A2c),</w:t>
      </w:r>
    </w:p>
    <w:p w14:paraId="105E6292" w14:textId="6DB87B94" w:rsidR="007A00FE" w:rsidRPr="002462F0" w:rsidRDefault="007A00FE" w:rsidP="00B1419E">
      <w:pPr>
        <w:pStyle w:val="ListParagraph"/>
        <w:numPr>
          <w:ilvl w:val="0"/>
          <w:numId w:val="18"/>
        </w:numPr>
        <w:rPr>
          <w:szCs w:val="20"/>
        </w:rPr>
      </w:pPr>
      <w:r w:rsidRPr="002462F0">
        <w:rPr>
          <w:szCs w:val="20"/>
        </w:rPr>
        <w:t>Pulp, paper and print (</w:t>
      </w:r>
      <w:r w:rsidR="000F6001">
        <w:rPr>
          <w:szCs w:val="20"/>
        </w:rPr>
        <w:t>CRT</w:t>
      </w:r>
      <w:r w:rsidRPr="002462F0">
        <w:rPr>
          <w:szCs w:val="20"/>
        </w:rPr>
        <w:t xml:space="preserve"> 1A2d), </w:t>
      </w:r>
    </w:p>
    <w:p w14:paraId="0FF843CC" w14:textId="5969C763" w:rsidR="007A00FE" w:rsidRPr="002462F0" w:rsidRDefault="007A00FE" w:rsidP="00B1419E">
      <w:pPr>
        <w:pStyle w:val="ListParagraph"/>
        <w:numPr>
          <w:ilvl w:val="0"/>
          <w:numId w:val="18"/>
        </w:numPr>
        <w:rPr>
          <w:szCs w:val="20"/>
        </w:rPr>
      </w:pPr>
      <w:r w:rsidRPr="002462F0">
        <w:rPr>
          <w:szCs w:val="20"/>
        </w:rPr>
        <w:t>Food processing, beverages and tobacco (</w:t>
      </w:r>
      <w:r w:rsidR="000F6001">
        <w:rPr>
          <w:szCs w:val="20"/>
        </w:rPr>
        <w:t>CRT</w:t>
      </w:r>
      <w:r w:rsidRPr="002462F0">
        <w:rPr>
          <w:szCs w:val="20"/>
        </w:rPr>
        <w:t xml:space="preserve"> 1A2e),</w:t>
      </w:r>
    </w:p>
    <w:p w14:paraId="424DAAE6" w14:textId="4A130D16" w:rsidR="007A00FE" w:rsidRDefault="007A00FE" w:rsidP="00B1419E">
      <w:pPr>
        <w:pStyle w:val="ListParagraph"/>
        <w:numPr>
          <w:ilvl w:val="0"/>
          <w:numId w:val="18"/>
        </w:numPr>
        <w:rPr>
          <w:szCs w:val="20"/>
        </w:rPr>
      </w:pPr>
      <w:r w:rsidRPr="002462F0">
        <w:rPr>
          <w:szCs w:val="20"/>
        </w:rPr>
        <w:t>Non-metallic minerals (</w:t>
      </w:r>
      <w:r w:rsidR="000F6001">
        <w:rPr>
          <w:szCs w:val="20"/>
        </w:rPr>
        <w:t>CRT</w:t>
      </w:r>
      <w:r w:rsidRPr="002462F0">
        <w:rPr>
          <w:szCs w:val="20"/>
        </w:rPr>
        <w:t xml:space="preserve"> 1A2f)</w:t>
      </w:r>
    </w:p>
    <w:p w14:paraId="784B552A" w14:textId="77777777" w:rsidR="00E01315" w:rsidRDefault="00E01315" w:rsidP="00E01315">
      <w:pPr>
        <w:pStyle w:val="ListParagraph"/>
        <w:numPr>
          <w:ilvl w:val="0"/>
          <w:numId w:val="18"/>
        </w:numPr>
        <w:rPr>
          <w:szCs w:val="20"/>
        </w:rPr>
      </w:pPr>
      <w:r>
        <w:rPr>
          <w:szCs w:val="20"/>
        </w:rPr>
        <w:t>Manufacturing of Machinery (CRT 1A2gi)</w:t>
      </w:r>
    </w:p>
    <w:p w14:paraId="51DA6B2B" w14:textId="5E91EEF8" w:rsidR="00B86C37" w:rsidRDefault="00B86C37" w:rsidP="00B1419E">
      <w:pPr>
        <w:pStyle w:val="ListParagraph"/>
        <w:numPr>
          <w:ilvl w:val="0"/>
          <w:numId w:val="18"/>
        </w:numPr>
        <w:rPr>
          <w:szCs w:val="20"/>
        </w:rPr>
      </w:pPr>
      <w:r>
        <w:rPr>
          <w:szCs w:val="20"/>
        </w:rPr>
        <w:t>Transport equipment (</w:t>
      </w:r>
      <w:r w:rsidR="000F6001">
        <w:rPr>
          <w:szCs w:val="20"/>
        </w:rPr>
        <w:t>CRT</w:t>
      </w:r>
      <w:r>
        <w:rPr>
          <w:szCs w:val="20"/>
        </w:rPr>
        <w:t xml:space="preserve"> 1A2g</w:t>
      </w:r>
      <w:r w:rsidR="00E01315">
        <w:rPr>
          <w:szCs w:val="20"/>
        </w:rPr>
        <w:t>ii</w:t>
      </w:r>
      <w:r>
        <w:rPr>
          <w:szCs w:val="20"/>
        </w:rPr>
        <w:t>)</w:t>
      </w:r>
    </w:p>
    <w:p w14:paraId="718ED1D8" w14:textId="7D0F2E8E" w:rsidR="00B86C37" w:rsidRDefault="00B86C37" w:rsidP="00B1419E">
      <w:pPr>
        <w:pStyle w:val="ListParagraph"/>
        <w:numPr>
          <w:ilvl w:val="0"/>
          <w:numId w:val="18"/>
        </w:numPr>
        <w:rPr>
          <w:szCs w:val="20"/>
        </w:rPr>
      </w:pPr>
      <w:r>
        <w:rPr>
          <w:szCs w:val="20"/>
        </w:rPr>
        <w:t>Mining (excluding fuels) and Quarrying (</w:t>
      </w:r>
      <w:r w:rsidR="000F6001">
        <w:rPr>
          <w:szCs w:val="20"/>
        </w:rPr>
        <w:t>CRT</w:t>
      </w:r>
      <w:r>
        <w:rPr>
          <w:szCs w:val="20"/>
        </w:rPr>
        <w:t xml:space="preserve"> 1A2</w:t>
      </w:r>
      <w:r w:rsidR="00E01315">
        <w:rPr>
          <w:szCs w:val="20"/>
        </w:rPr>
        <w:t>giiI</w:t>
      </w:r>
      <w:r>
        <w:rPr>
          <w:szCs w:val="20"/>
        </w:rPr>
        <w:t>)</w:t>
      </w:r>
    </w:p>
    <w:p w14:paraId="3BAC3DC5" w14:textId="1A195959" w:rsidR="00B86C37" w:rsidRDefault="00B86C37" w:rsidP="00B1419E">
      <w:pPr>
        <w:pStyle w:val="ListParagraph"/>
        <w:numPr>
          <w:ilvl w:val="0"/>
          <w:numId w:val="18"/>
        </w:numPr>
        <w:rPr>
          <w:szCs w:val="20"/>
        </w:rPr>
      </w:pPr>
      <w:r>
        <w:rPr>
          <w:szCs w:val="20"/>
        </w:rPr>
        <w:t>Wood and wood products (</w:t>
      </w:r>
      <w:r w:rsidR="000F6001">
        <w:rPr>
          <w:szCs w:val="20"/>
        </w:rPr>
        <w:t>CRT</w:t>
      </w:r>
      <w:r>
        <w:rPr>
          <w:szCs w:val="20"/>
        </w:rPr>
        <w:t xml:space="preserve"> 1A2</w:t>
      </w:r>
      <w:r w:rsidR="00E01315">
        <w:rPr>
          <w:szCs w:val="20"/>
        </w:rPr>
        <w:t>giv</w:t>
      </w:r>
      <w:r>
        <w:rPr>
          <w:szCs w:val="20"/>
        </w:rPr>
        <w:t>)</w:t>
      </w:r>
    </w:p>
    <w:p w14:paraId="5224487D" w14:textId="59855D75" w:rsidR="00B86C37" w:rsidRDefault="00B86C37" w:rsidP="00B1419E">
      <w:pPr>
        <w:pStyle w:val="ListParagraph"/>
        <w:numPr>
          <w:ilvl w:val="0"/>
          <w:numId w:val="18"/>
        </w:numPr>
        <w:rPr>
          <w:szCs w:val="20"/>
        </w:rPr>
      </w:pPr>
      <w:r>
        <w:rPr>
          <w:szCs w:val="20"/>
        </w:rPr>
        <w:t>Construction (</w:t>
      </w:r>
      <w:r w:rsidR="000F6001">
        <w:rPr>
          <w:szCs w:val="20"/>
        </w:rPr>
        <w:t>CRT</w:t>
      </w:r>
      <w:r>
        <w:rPr>
          <w:szCs w:val="20"/>
        </w:rPr>
        <w:t xml:space="preserve"> 1A2</w:t>
      </w:r>
      <w:r w:rsidR="00E01315">
        <w:rPr>
          <w:szCs w:val="20"/>
        </w:rPr>
        <w:t>gv</w:t>
      </w:r>
      <w:r>
        <w:rPr>
          <w:szCs w:val="20"/>
        </w:rPr>
        <w:t>)</w:t>
      </w:r>
    </w:p>
    <w:p w14:paraId="54FDC0EB" w14:textId="6C5F3F32" w:rsidR="00B86C37" w:rsidRDefault="00B86C37" w:rsidP="00B1419E">
      <w:pPr>
        <w:pStyle w:val="ListParagraph"/>
        <w:numPr>
          <w:ilvl w:val="0"/>
          <w:numId w:val="18"/>
        </w:numPr>
        <w:rPr>
          <w:szCs w:val="20"/>
        </w:rPr>
      </w:pPr>
      <w:r>
        <w:rPr>
          <w:szCs w:val="20"/>
        </w:rPr>
        <w:t>Textile and Leather (</w:t>
      </w:r>
      <w:r w:rsidR="000F6001">
        <w:rPr>
          <w:szCs w:val="20"/>
        </w:rPr>
        <w:t>CRT</w:t>
      </w:r>
      <w:r>
        <w:rPr>
          <w:szCs w:val="20"/>
        </w:rPr>
        <w:t xml:space="preserve"> 1A2</w:t>
      </w:r>
      <w:r w:rsidR="00E01315">
        <w:rPr>
          <w:szCs w:val="20"/>
        </w:rPr>
        <w:t>gvi</w:t>
      </w:r>
      <w:r>
        <w:rPr>
          <w:szCs w:val="20"/>
        </w:rPr>
        <w:t>)</w:t>
      </w:r>
    </w:p>
    <w:p w14:paraId="16C88433" w14:textId="1FE926F3" w:rsidR="00E01315" w:rsidRPr="002462F0" w:rsidRDefault="00E01315" w:rsidP="00B1419E">
      <w:pPr>
        <w:pStyle w:val="ListParagraph"/>
        <w:numPr>
          <w:ilvl w:val="0"/>
          <w:numId w:val="18"/>
        </w:numPr>
        <w:rPr>
          <w:szCs w:val="20"/>
        </w:rPr>
      </w:pPr>
      <w:r>
        <w:rPr>
          <w:szCs w:val="20"/>
        </w:rPr>
        <w:t>Off road vehicles and other machinery (CRT 1A2gvii)</w:t>
      </w:r>
    </w:p>
    <w:p w14:paraId="38A1FF77" w14:textId="7694A25A" w:rsidR="007A00FE" w:rsidRPr="002462F0" w:rsidRDefault="00E01315" w:rsidP="00B1419E">
      <w:pPr>
        <w:pStyle w:val="ListParagraph"/>
        <w:numPr>
          <w:ilvl w:val="0"/>
          <w:numId w:val="18"/>
        </w:numPr>
        <w:rPr>
          <w:szCs w:val="20"/>
        </w:rPr>
      </w:pPr>
      <w:r>
        <w:rPr>
          <w:szCs w:val="20"/>
        </w:rPr>
        <w:t>Other</w:t>
      </w:r>
      <w:r w:rsidR="00B86C37">
        <w:rPr>
          <w:szCs w:val="20"/>
        </w:rPr>
        <w:t xml:space="preserve"> (</w:t>
      </w:r>
      <w:r w:rsidR="000F6001">
        <w:rPr>
          <w:szCs w:val="20"/>
        </w:rPr>
        <w:t>CRT</w:t>
      </w:r>
      <w:r w:rsidR="00B86C37">
        <w:rPr>
          <w:szCs w:val="20"/>
        </w:rPr>
        <w:t xml:space="preserve"> 1A2</w:t>
      </w:r>
      <w:r>
        <w:rPr>
          <w:szCs w:val="20"/>
        </w:rPr>
        <w:t>gviii</w:t>
      </w:r>
      <w:r w:rsidR="007A00FE" w:rsidRPr="002462F0">
        <w:rPr>
          <w:szCs w:val="20"/>
        </w:rPr>
        <w:t>).</w:t>
      </w:r>
    </w:p>
    <w:p w14:paraId="4815F443" w14:textId="05B3FA84" w:rsidR="00530C7F" w:rsidRDefault="00530C7F" w:rsidP="00922AB0">
      <w:pPr>
        <w:rPr>
          <w:szCs w:val="20"/>
        </w:rPr>
      </w:pPr>
      <w:r>
        <w:rPr>
          <w:szCs w:val="20"/>
        </w:rPr>
        <w:t xml:space="preserve">In addition, the </w:t>
      </w:r>
      <w:r w:rsidR="00AF0E50">
        <w:rPr>
          <w:szCs w:val="20"/>
        </w:rPr>
        <w:t>fuel consumptions related to the auto-production of heat and electricity in manufacturing industries are also estimated in this sector, according to the 2006 IPCC guidelines, and included in the CRT 1A2</w:t>
      </w:r>
      <w:r w:rsidR="00E01315">
        <w:rPr>
          <w:szCs w:val="20"/>
        </w:rPr>
        <w:t>gviii</w:t>
      </w:r>
    </w:p>
    <w:p w14:paraId="39D23DC4" w14:textId="63C156A6" w:rsidR="00922AB0" w:rsidRPr="002462F0" w:rsidRDefault="00922AB0" w:rsidP="00922AB0">
      <w:pPr>
        <w:rPr>
          <w:szCs w:val="20"/>
        </w:rPr>
      </w:pPr>
      <w:r w:rsidRPr="002462F0">
        <w:rPr>
          <w:szCs w:val="20"/>
        </w:rPr>
        <w:t xml:space="preserve">According to the </w:t>
      </w:r>
      <w:r w:rsidR="000F6001">
        <w:rPr>
          <w:szCs w:val="20"/>
        </w:rPr>
        <w:t>CRT</w:t>
      </w:r>
      <w:r w:rsidRPr="002462F0">
        <w:rPr>
          <w:szCs w:val="20"/>
        </w:rPr>
        <w:t xml:space="preserve"> Tables nomenclature, GHG emissions related to the Manufacturing industry are reported by </w:t>
      </w:r>
      <w:r w:rsidR="002F0801" w:rsidRPr="002462F0">
        <w:rPr>
          <w:szCs w:val="20"/>
        </w:rPr>
        <w:t>consumption of the following fuel categories</w:t>
      </w:r>
      <w:r w:rsidRPr="002462F0">
        <w:rPr>
          <w:szCs w:val="20"/>
        </w:rPr>
        <w:t>:</w:t>
      </w:r>
    </w:p>
    <w:p w14:paraId="51985142" w14:textId="77777777" w:rsidR="00922AB0" w:rsidRPr="002462F0" w:rsidRDefault="00922AB0" w:rsidP="00B1419E">
      <w:pPr>
        <w:pStyle w:val="ListParagraph"/>
        <w:numPr>
          <w:ilvl w:val="0"/>
          <w:numId w:val="19"/>
        </w:numPr>
        <w:rPr>
          <w:szCs w:val="20"/>
        </w:rPr>
      </w:pPr>
      <w:r w:rsidRPr="002462F0">
        <w:rPr>
          <w:szCs w:val="20"/>
        </w:rPr>
        <w:t>Liquid fuels,</w:t>
      </w:r>
    </w:p>
    <w:p w14:paraId="5B722EA3" w14:textId="77777777" w:rsidR="00922AB0" w:rsidRPr="002462F0" w:rsidRDefault="00922AB0" w:rsidP="00B1419E">
      <w:pPr>
        <w:pStyle w:val="ListParagraph"/>
        <w:numPr>
          <w:ilvl w:val="0"/>
          <w:numId w:val="19"/>
        </w:numPr>
        <w:rPr>
          <w:szCs w:val="20"/>
        </w:rPr>
      </w:pPr>
      <w:r w:rsidRPr="002462F0">
        <w:rPr>
          <w:szCs w:val="20"/>
        </w:rPr>
        <w:t>Solid fuels,</w:t>
      </w:r>
    </w:p>
    <w:p w14:paraId="4673FF00" w14:textId="77777777" w:rsidR="00922AB0" w:rsidRPr="002462F0" w:rsidRDefault="00922AB0" w:rsidP="00B1419E">
      <w:pPr>
        <w:pStyle w:val="ListParagraph"/>
        <w:numPr>
          <w:ilvl w:val="0"/>
          <w:numId w:val="19"/>
        </w:numPr>
        <w:rPr>
          <w:szCs w:val="20"/>
        </w:rPr>
      </w:pPr>
      <w:r w:rsidRPr="002462F0">
        <w:rPr>
          <w:szCs w:val="20"/>
        </w:rPr>
        <w:t>Gaseous fuels,</w:t>
      </w:r>
    </w:p>
    <w:p w14:paraId="6B0A9065" w14:textId="77777777" w:rsidR="00922AB0" w:rsidRPr="002462F0" w:rsidRDefault="00922AB0" w:rsidP="00B1419E">
      <w:pPr>
        <w:pStyle w:val="ListParagraph"/>
        <w:numPr>
          <w:ilvl w:val="0"/>
          <w:numId w:val="19"/>
        </w:numPr>
        <w:rPr>
          <w:szCs w:val="20"/>
        </w:rPr>
      </w:pPr>
      <w:r w:rsidRPr="002462F0">
        <w:rPr>
          <w:szCs w:val="20"/>
        </w:rPr>
        <w:t>Other fossil fuels,</w:t>
      </w:r>
    </w:p>
    <w:p w14:paraId="0F525407" w14:textId="77777777" w:rsidR="00922AB0" w:rsidRPr="002462F0" w:rsidRDefault="00922AB0" w:rsidP="00B1419E">
      <w:pPr>
        <w:pStyle w:val="ListParagraph"/>
        <w:numPr>
          <w:ilvl w:val="0"/>
          <w:numId w:val="19"/>
        </w:numPr>
        <w:rPr>
          <w:szCs w:val="20"/>
        </w:rPr>
      </w:pPr>
      <w:r w:rsidRPr="002462F0">
        <w:rPr>
          <w:szCs w:val="20"/>
        </w:rPr>
        <w:t>Peat,</w:t>
      </w:r>
    </w:p>
    <w:p w14:paraId="646E4238" w14:textId="77777777" w:rsidR="00922AB0" w:rsidRPr="002462F0" w:rsidRDefault="00922AB0" w:rsidP="00B1419E">
      <w:pPr>
        <w:pStyle w:val="ListParagraph"/>
        <w:numPr>
          <w:ilvl w:val="0"/>
          <w:numId w:val="19"/>
        </w:numPr>
        <w:rPr>
          <w:szCs w:val="20"/>
        </w:rPr>
      </w:pPr>
      <w:r w:rsidRPr="002462F0">
        <w:rPr>
          <w:szCs w:val="20"/>
        </w:rPr>
        <w:t>Biomass.</w:t>
      </w:r>
    </w:p>
    <w:p w14:paraId="74EF4897" w14:textId="77777777" w:rsidR="00D318BB" w:rsidRPr="002462F0" w:rsidRDefault="00D318BB" w:rsidP="00922AB0">
      <w:pPr>
        <w:autoSpaceDE w:val="0"/>
        <w:autoSpaceDN w:val="0"/>
        <w:adjustRightInd w:val="0"/>
        <w:spacing w:after="0" w:line="240" w:lineRule="auto"/>
        <w:rPr>
          <w:rFonts w:cs="MyriadPro-Regular"/>
          <w:color w:val="1D1D1B"/>
          <w:szCs w:val="20"/>
          <w:lang w:val="en-US"/>
        </w:rPr>
      </w:pPr>
      <w:r w:rsidRPr="002462F0">
        <w:rPr>
          <w:rFonts w:cs="MyriadPro-Regular"/>
          <w:color w:val="1D1D1B"/>
          <w:szCs w:val="20"/>
          <w:lang w:val="en-US"/>
        </w:rPr>
        <w:t>It has to be noted that biomass consumption has to be reported in the 1A2 sector, but the CO</w:t>
      </w:r>
      <w:r w:rsidRPr="002462F0">
        <w:rPr>
          <w:rFonts w:cs="MyriadPro-Regular"/>
          <w:color w:val="1D1D1B"/>
          <w:szCs w:val="20"/>
          <w:vertAlign w:val="subscript"/>
          <w:lang w:val="en-US"/>
        </w:rPr>
        <w:t>2</w:t>
      </w:r>
      <w:r w:rsidRPr="002462F0">
        <w:rPr>
          <w:rFonts w:cs="MyriadPro-Regular"/>
          <w:color w:val="1D1D1B"/>
          <w:szCs w:val="20"/>
          <w:lang w:val="en-US"/>
        </w:rPr>
        <w:t xml:space="preserve"> related emissions are excluded from the national total GHG emissions (they are reported under the “Memo items”).</w:t>
      </w:r>
    </w:p>
    <w:p w14:paraId="1AC0B86D" w14:textId="77777777" w:rsidR="00D318BB" w:rsidRPr="002462F0" w:rsidRDefault="00D318BB" w:rsidP="00922AB0">
      <w:pPr>
        <w:autoSpaceDE w:val="0"/>
        <w:autoSpaceDN w:val="0"/>
        <w:adjustRightInd w:val="0"/>
        <w:spacing w:after="0" w:line="240" w:lineRule="auto"/>
        <w:rPr>
          <w:rFonts w:cs="MyriadPro-Regular"/>
          <w:color w:val="1D1D1B"/>
          <w:szCs w:val="20"/>
          <w:lang w:val="en-US"/>
        </w:rPr>
      </w:pPr>
    </w:p>
    <w:p w14:paraId="6E6FF2E7" w14:textId="7BE657E7" w:rsidR="00A25A6E" w:rsidRDefault="00A25A6E" w:rsidP="00A25A6E">
      <w:pPr>
        <w:jc w:val="left"/>
      </w:pPr>
      <w:r>
        <w:rPr>
          <w:lang w:val="en-US" w:eastAsia="fr-FR"/>
        </w:rPr>
        <w:t>In 20</w:t>
      </w:r>
      <w:r w:rsidR="00EA5EA6">
        <w:rPr>
          <w:lang w:val="en-US" w:eastAsia="fr-FR"/>
        </w:rPr>
        <w:t>22</w:t>
      </w:r>
      <w:r>
        <w:rPr>
          <w:lang w:val="en-US" w:eastAsia="fr-FR"/>
        </w:rPr>
        <w:t>,</w:t>
      </w:r>
      <w:r w:rsidRPr="00765BC2">
        <w:t xml:space="preserve"> </w:t>
      </w:r>
      <w:r>
        <w:t>t</w:t>
      </w:r>
      <w:r w:rsidRPr="002462F0">
        <w:t>he</w:t>
      </w:r>
      <w:r>
        <w:t xml:space="preserve"> manufacturing industries</w:t>
      </w:r>
      <w:r w:rsidRPr="002462F0">
        <w:t xml:space="preserve"> (</w:t>
      </w:r>
      <w:r w:rsidR="000F6001">
        <w:t>CRT</w:t>
      </w:r>
      <w:r w:rsidRPr="002462F0">
        <w:t xml:space="preserve"> </w:t>
      </w:r>
      <w:r>
        <w:t>1A2</w:t>
      </w:r>
      <w:r w:rsidRPr="002462F0">
        <w:t xml:space="preserve">) contributes to </w:t>
      </w:r>
      <w:r w:rsidR="000948DE">
        <w:t>6</w:t>
      </w:r>
      <w:r w:rsidRPr="002462F0">
        <w:t>% of the total GHG emissions with</w:t>
      </w:r>
      <w:r w:rsidR="000948DE">
        <w:t>out considering</w:t>
      </w:r>
      <w:r w:rsidRPr="002462F0">
        <w:t xml:space="preserve"> LULUCF, and it contributes to </w:t>
      </w:r>
      <w:r w:rsidR="00823BB5">
        <w:t>7</w:t>
      </w:r>
      <w:r w:rsidRPr="002462F0">
        <w:t xml:space="preserve">% of the </w:t>
      </w:r>
      <w:r>
        <w:t>Energy category (</w:t>
      </w:r>
      <w:r w:rsidR="000F6001">
        <w:t>CRT</w:t>
      </w:r>
      <w:r>
        <w:t xml:space="preserve"> 1</w:t>
      </w:r>
      <w:r w:rsidRPr="002462F0">
        <w:t>) in Serbia.</w:t>
      </w:r>
    </w:p>
    <w:p w14:paraId="3F4237DF" w14:textId="660B9F26" w:rsidR="00275A36" w:rsidRDefault="00275A36" w:rsidP="004E0FA1">
      <w:r>
        <w:t xml:space="preserve">The evolution of the fuel consumptions in the sector of the manufacturing industries and construction, per fuel category and per subsector, are presented in the following graphs. </w:t>
      </w:r>
      <w:r w:rsidR="00F03F2F">
        <w:t xml:space="preserve">It can be observed that </w:t>
      </w:r>
      <w:r w:rsidR="004E0FA1">
        <w:t xml:space="preserve">some significant variations occur over the timeseries, according to </w:t>
      </w:r>
      <w:r w:rsidR="00047C76">
        <w:t xml:space="preserve">generic comments which have been developed in the Chapter </w:t>
      </w:r>
      <w:r w:rsidR="009540C5">
        <w:fldChar w:fldCharType="begin"/>
      </w:r>
      <w:r w:rsidR="009540C5">
        <w:instrText xml:space="preserve"> REF _Ref175145963 \r \h </w:instrText>
      </w:r>
      <w:r w:rsidR="009540C5">
        <w:fldChar w:fldCharType="separate"/>
      </w:r>
      <w:r w:rsidR="00F14C78">
        <w:t>3.1</w:t>
      </w:r>
      <w:r w:rsidR="009540C5">
        <w:fldChar w:fldCharType="end"/>
      </w:r>
      <w:r w:rsidR="009540C5">
        <w:t xml:space="preserve">. </w:t>
      </w:r>
      <w:r w:rsidR="00387D44">
        <w:t xml:space="preserve">To summarize, there have been some drastic changes following the hyperinflation period, which can be observed until 1995 for the industry, the NATO bombing in 1999, the global economic crisis of 2009, and the floodings in 2014. Since 2016, a progressive declining trend can be observed, and </w:t>
      </w:r>
      <w:r w:rsidR="002A0731">
        <w:t xml:space="preserve">there has been </w:t>
      </w:r>
      <w:r w:rsidR="00387D44">
        <w:t xml:space="preserve">an overall reduction of the fuel consumptions of </w:t>
      </w:r>
      <w:r w:rsidR="002A0731">
        <w:t xml:space="preserve">17% in 2022. </w:t>
      </w:r>
      <w:r w:rsidR="00965225">
        <w:t xml:space="preserve">In overall, the fuel consumptions of the industry have </w:t>
      </w:r>
      <w:r w:rsidR="00965225">
        <w:lastRenderedPageBreak/>
        <w:t xml:space="preserve">decreased by </w:t>
      </w:r>
      <w:r w:rsidR="00590D0F">
        <w:t xml:space="preserve">47% </w:t>
      </w:r>
      <w:r w:rsidR="00965225">
        <w:t xml:space="preserve">between </w:t>
      </w:r>
      <w:r w:rsidR="00590D0F">
        <w:t xml:space="preserve">1990 and 2022, and </w:t>
      </w:r>
      <w:r w:rsidR="001A544F">
        <w:t>all the different fuel have contributed to this reduction</w:t>
      </w:r>
      <w:r w:rsidR="009137D8">
        <w:t>, except biomass and the other fuels which were not occurring in 1990</w:t>
      </w:r>
      <w:r w:rsidR="001A544F">
        <w:t xml:space="preserve">. </w:t>
      </w:r>
    </w:p>
    <w:p w14:paraId="131D7C94" w14:textId="1BCA87FD" w:rsidR="002A0731" w:rsidRDefault="002A0731" w:rsidP="004E0FA1">
      <w:r>
        <w:t xml:space="preserve">Comparing the different fuel types, </w:t>
      </w:r>
      <w:r w:rsidR="00821392">
        <w:t>for the period 1990-2022</w:t>
      </w:r>
      <w:r w:rsidR="004150CB">
        <w:t xml:space="preserve">, the combustion of liquid fuels, which was predominant in 1990 and represented almost half the overall consumption, </w:t>
      </w:r>
      <w:r w:rsidR="009137D8">
        <w:t xml:space="preserve">have decreased a faster rate than the other fuels, and </w:t>
      </w:r>
      <w:r w:rsidR="00912207">
        <w:t>contribute to 30% of the total consumption in 2022. A similar observation</w:t>
      </w:r>
      <w:r w:rsidR="00997918">
        <w:t xml:space="preserve">, to a lesser extent and overall contribution, </w:t>
      </w:r>
      <w:r w:rsidR="00912207">
        <w:t xml:space="preserve">can be drawn for the solid fuels. </w:t>
      </w:r>
      <w:r w:rsidR="00997918">
        <w:t>Liquid and solid fuels have been mainly substituted by the development of biomass, which was not occurring in 1990 and now contributes to 12% of the total consumption, and gaseous fuels which have seen their share increased from 3</w:t>
      </w:r>
      <w:r w:rsidR="00E47F51">
        <w:t>8</w:t>
      </w:r>
      <w:r w:rsidR="00997918">
        <w:t>% to 47% over the whole timeseries.</w:t>
      </w:r>
    </w:p>
    <w:p w14:paraId="5CFD2798" w14:textId="0A40D2EB" w:rsidR="009E7CC7" w:rsidRDefault="00D26C79" w:rsidP="003631EA">
      <w:pPr>
        <w:rPr>
          <w:rFonts w:cs="MyriadPro-Regular"/>
          <w:color w:val="1D1D1B"/>
          <w:szCs w:val="20"/>
          <w:lang w:val="en-US"/>
        </w:rPr>
      </w:pPr>
      <w:r>
        <w:t xml:space="preserve">In terms of subsectors, the major contributors to the total industry fuel consumptions are </w:t>
      </w:r>
      <w:r w:rsidR="00BF0B86">
        <w:t>the non-metallic minerals (CRT 1A2f), the other industries (including auto-producers) (CRT 1A2</w:t>
      </w:r>
      <w:r w:rsidR="00E01315">
        <w:t>viii</w:t>
      </w:r>
      <w:r w:rsidR="00BF0B86">
        <w:t xml:space="preserve">), </w:t>
      </w:r>
      <w:r w:rsidR="002C79D4">
        <w:t>the food and beverages (CRT 1A2e), the chemicals (CRT 1A2c) and the iron and steel (CRT 1A2a).</w:t>
      </w:r>
      <w:r w:rsidR="00BF0B86">
        <w:t xml:space="preserve"> </w:t>
      </w:r>
      <w:r w:rsidR="00967C71">
        <w:t xml:space="preserve">All these subsectors have decreased their fuel consumptions between 1990 and 2022, by 44% to 58%, except for the non-metallic mineral industries which increased theirs by 26%. </w:t>
      </w:r>
      <w:r w:rsidR="00AD45F3">
        <w:t>Among the other significant changes can be noted the increas</w:t>
      </w:r>
      <w:r w:rsidR="00A51EC5">
        <w:t>ing</w:t>
      </w:r>
      <w:r w:rsidR="00AD45F3">
        <w:t xml:space="preserve"> fuel consumptions of the </w:t>
      </w:r>
      <w:r w:rsidR="00A51EC5">
        <w:t xml:space="preserve">mining and quarrying industries (CRT 1A2i), which are 144% higher in 2022 than in 1990. </w:t>
      </w:r>
    </w:p>
    <w:p w14:paraId="7D9AD963" w14:textId="77777777" w:rsidR="001B6F85" w:rsidRDefault="00266EDB" w:rsidP="003631EA">
      <w:pPr>
        <w:keepNext/>
        <w:autoSpaceDE w:val="0"/>
        <w:autoSpaceDN w:val="0"/>
        <w:adjustRightInd w:val="0"/>
        <w:spacing w:after="0" w:line="240" w:lineRule="auto"/>
        <w:jc w:val="left"/>
      </w:pPr>
      <w:r>
        <w:rPr>
          <w:noProof/>
          <w:sz w:val="22"/>
          <w:lang w:val="en-US"/>
        </w:rPr>
        <w:drawing>
          <wp:inline distT="0" distB="0" distL="0" distR="0" wp14:anchorId="671CA3DC" wp14:editId="514BD854">
            <wp:extent cx="5760000" cy="3798097"/>
            <wp:effectExtent l="0" t="0" r="0" b="0"/>
            <wp:docPr id="178092731"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3798097"/>
                    </a:xfrm>
                    <a:prstGeom prst="rect">
                      <a:avLst/>
                    </a:prstGeom>
                    <a:noFill/>
                  </pic:spPr>
                </pic:pic>
              </a:graphicData>
            </a:graphic>
          </wp:inline>
        </w:drawing>
      </w:r>
    </w:p>
    <w:p w14:paraId="4407DE40" w14:textId="2377A4D3" w:rsidR="00266EDB" w:rsidRDefault="001B6F85" w:rsidP="003631EA">
      <w:pPr>
        <w:pStyle w:val="Caption"/>
        <w:spacing w:before="0" w:after="0"/>
        <w:jc w:val="left"/>
        <w:rPr>
          <w:sz w:val="22"/>
          <w:lang w:val="en-US"/>
        </w:rPr>
      </w:pPr>
      <w:bookmarkStart w:id="211" w:name="_Toc184808398"/>
      <w:r>
        <w:t xml:space="preserve">Figure </w:t>
      </w:r>
      <w:r>
        <w:fldChar w:fldCharType="begin"/>
      </w:r>
      <w:r>
        <w:instrText xml:space="preserve"> SEQ Figure \* ARABIC </w:instrText>
      </w:r>
      <w:r>
        <w:fldChar w:fldCharType="separate"/>
      </w:r>
      <w:r w:rsidR="00F14C78">
        <w:rPr>
          <w:noProof/>
        </w:rPr>
        <w:t>11</w:t>
      </w:r>
      <w:r>
        <w:fldChar w:fldCharType="end"/>
      </w:r>
      <w:r>
        <w:t xml:space="preserve">: </w:t>
      </w:r>
      <w:r w:rsidRPr="001B6F85">
        <w:t xml:space="preserve">Fuel consumptions in </w:t>
      </w:r>
      <w:r>
        <w:t xml:space="preserve">the Manufacturing industries and Construction </w:t>
      </w:r>
      <w:r w:rsidRPr="001B6F85">
        <w:t>(CRT 1A</w:t>
      </w:r>
      <w:r>
        <w:t>2</w:t>
      </w:r>
      <w:r w:rsidRPr="001B6F85">
        <w:t xml:space="preserve">), </w:t>
      </w:r>
      <w:r w:rsidR="00275A36">
        <w:t>per fuel type,</w:t>
      </w:r>
      <w:r w:rsidR="003D5CD8">
        <w:t xml:space="preserve"> </w:t>
      </w:r>
      <w:r w:rsidRPr="001B6F85">
        <w:t>for the period 1990-2022 (in TJ</w:t>
      </w:r>
      <w:r>
        <w:t>)</w:t>
      </w:r>
      <w:bookmarkEnd w:id="211"/>
    </w:p>
    <w:p w14:paraId="701AFB5B" w14:textId="77777777" w:rsidR="00275A36" w:rsidRDefault="00AD531E" w:rsidP="00275A36">
      <w:pPr>
        <w:pStyle w:val="Caption"/>
        <w:keepNext/>
      </w:pPr>
      <w:r w:rsidRPr="00E01315">
        <w:rPr>
          <w:noProof/>
          <w:lang w:val="en-US"/>
        </w:rPr>
        <w:lastRenderedPageBreak/>
        <w:drawing>
          <wp:inline distT="0" distB="0" distL="0" distR="0" wp14:anchorId="5F601962" wp14:editId="3A4D724A">
            <wp:extent cx="6054090" cy="3889375"/>
            <wp:effectExtent l="0" t="0" r="3810" b="0"/>
            <wp:docPr id="153581718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4090" cy="3889375"/>
                    </a:xfrm>
                    <a:prstGeom prst="rect">
                      <a:avLst/>
                    </a:prstGeom>
                    <a:noFill/>
                  </pic:spPr>
                </pic:pic>
              </a:graphicData>
            </a:graphic>
          </wp:inline>
        </w:drawing>
      </w:r>
    </w:p>
    <w:p w14:paraId="174D7CF9" w14:textId="0E17B492" w:rsidR="00AD531E" w:rsidRDefault="00275A36" w:rsidP="00E01315">
      <w:pPr>
        <w:pStyle w:val="Caption"/>
        <w:spacing w:before="0"/>
        <w:jc w:val="both"/>
      </w:pPr>
      <w:bookmarkStart w:id="212" w:name="_Toc184808399"/>
      <w:r w:rsidRPr="007759DA">
        <w:t xml:space="preserve">Figure </w:t>
      </w:r>
      <w:r w:rsidRPr="007759DA">
        <w:fldChar w:fldCharType="begin"/>
      </w:r>
      <w:r w:rsidRPr="007759DA">
        <w:instrText xml:space="preserve"> SEQ Figure \* ARABIC </w:instrText>
      </w:r>
      <w:r w:rsidRPr="007759DA">
        <w:fldChar w:fldCharType="separate"/>
      </w:r>
      <w:r w:rsidR="00F14C78" w:rsidRPr="007759DA">
        <w:rPr>
          <w:noProof/>
        </w:rPr>
        <w:t>12</w:t>
      </w:r>
      <w:r w:rsidRPr="007759DA">
        <w:fldChar w:fldCharType="end"/>
      </w:r>
      <w:r w:rsidRPr="007759DA">
        <w:t>: Fuel consumptions in the Manufacturing industries and Construction (CRT 1A2), per subsector, for the period 1990-2022 (in TJ)</w:t>
      </w:r>
      <w:bookmarkEnd w:id="212"/>
    </w:p>
    <w:p w14:paraId="67CAA598" w14:textId="1B9ADDE3" w:rsidR="00A51EC5" w:rsidRPr="00622F40" w:rsidRDefault="00A51EC5" w:rsidP="00622F40">
      <w:r>
        <w:t>The following graph presents the trend evolution of the GHG emissions of the CRT 1A2, between 1990 and 2022:</w:t>
      </w:r>
    </w:p>
    <w:p w14:paraId="76D6C447" w14:textId="52618E5C" w:rsidR="00506DB7" w:rsidRPr="002462F0" w:rsidRDefault="00911FBE" w:rsidP="00E01315">
      <w:pPr>
        <w:spacing w:after="0"/>
        <w:rPr>
          <w:lang w:val="en-US" w:eastAsia="fr-FR"/>
        </w:rPr>
      </w:pPr>
      <w:r>
        <w:rPr>
          <w:noProof/>
          <w:lang w:val="en-US"/>
        </w:rPr>
        <w:drawing>
          <wp:inline distT="0" distB="0" distL="0" distR="0" wp14:anchorId="328EC751" wp14:editId="383116F3">
            <wp:extent cx="5940000" cy="1815834"/>
            <wp:effectExtent l="0" t="0" r="3810" b="0"/>
            <wp:docPr id="987384676"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000" cy="1815834"/>
                    </a:xfrm>
                    <a:prstGeom prst="rect">
                      <a:avLst/>
                    </a:prstGeom>
                    <a:noFill/>
                  </pic:spPr>
                </pic:pic>
              </a:graphicData>
            </a:graphic>
          </wp:inline>
        </w:drawing>
      </w:r>
    </w:p>
    <w:p w14:paraId="158750A5" w14:textId="77777777" w:rsidR="00E01315" w:rsidRPr="002462F0" w:rsidRDefault="00E01315" w:rsidP="00E01315">
      <w:pPr>
        <w:pStyle w:val="Caption"/>
        <w:keepNext/>
        <w:spacing w:before="0"/>
        <w:jc w:val="both"/>
      </w:pPr>
      <w:bookmarkStart w:id="213" w:name="_Toc184808400"/>
      <w:r w:rsidRPr="007759DA">
        <w:t xml:space="preserve">Figure </w:t>
      </w:r>
      <w:r w:rsidRPr="007759DA">
        <w:fldChar w:fldCharType="begin"/>
      </w:r>
      <w:r w:rsidRPr="007759DA">
        <w:instrText xml:space="preserve"> SEQ Figure \* ARABIC </w:instrText>
      </w:r>
      <w:r w:rsidRPr="007759DA">
        <w:fldChar w:fldCharType="separate"/>
      </w:r>
      <w:r w:rsidRPr="007759DA">
        <w:rPr>
          <w:noProof/>
        </w:rPr>
        <w:t>13</w:t>
      </w:r>
      <w:r w:rsidRPr="007759DA">
        <w:fldChar w:fldCharType="end"/>
      </w:r>
      <w:r w:rsidRPr="007759DA">
        <w:t>: GHG emissions in the Manufacturing industry and construction (CRT 1A2), for the period 1990-2022 (in kt CO</w:t>
      </w:r>
      <w:r w:rsidRPr="007759DA">
        <w:rPr>
          <w:vertAlign w:val="subscript"/>
        </w:rPr>
        <w:t>2</w:t>
      </w:r>
      <w:r w:rsidRPr="007759DA">
        <w:t>e)</w:t>
      </w:r>
      <w:bookmarkEnd w:id="213"/>
    </w:p>
    <w:p w14:paraId="29860555" w14:textId="77777777" w:rsidR="00E01315" w:rsidRDefault="00E01315" w:rsidP="006723D3">
      <w:pPr>
        <w:autoSpaceDE w:val="0"/>
        <w:autoSpaceDN w:val="0"/>
        <w:adjustRightInd w:val="0"/>
        <w:spacing w:after="0" w:line="240" w:lineRule="auto"/>
        <w:rPr>
          <w:rFonts w:cs="MyriadPro-Regular"/>
          <w:color w:val="1D1D1B"/>
          <w:szCs w:val="20"/>
        </w:rPr>
      </w:pPr>
    </w:p>
    <w:p w14:paraId="6EEEA3EC" w14:textId="6C5239F3" w:rsidR="00A51EC5" w:rsidRDefault="00A51EC5" w:rsidP="006723D3">
      <w:pPr>
        <w:autoSpaceDE w:val="0"/>
        <w:autoSpaceDN w:val="0"/>
        <w:adjustRightInd w:val="0"/>
        <w:spacing w:after="0" w:line="240" w:lineRule="auto"/>
        <w:rPr>
          <w:rFonts w:cs="MyriadPro-Regular"/>
          <w:color w:val="1D1D1B"/>
          <w:szCs w:val="20"/>
        </w:rPr>
      </w:pPr>
      <w:r>
        <w:rPr>
          <w:rFonts w:cs="MyriadPro-Regular"/>
          <w:color w:val="1D1D1B"/>
          <w:szCs w:val="20"/>
        </w:rPr>
        <w:t>As for the other subsectors from the Energy, most of the GHG emissions are related to CO</w:t>
      </w:r>
      <w:r w:rsidRPr="00622F40">
        <w:rPr>
          <w:rFonts w:cs="MyriadPro-Regular"/>
          <w:color w:val="1D1D1B"/>
          <w:szCs w:val="20"/>
          <w:vertAlign w:val="subscript"/>
        </w:rPr>
        <w:t>2</w:t>
      </w:r>
      <w:r>
        <w:rPr>
          <w:rFonts w:cs="MyriadPro-Regular"/>
          <w:color w:val="1D1D1B"/>
          <w:szCs w:val="20"/>
        </w:rPr>
        <w:t xml:space="preserve"> emissions. </w:t>
      </w:r>
    </w:p>
    <w:p w14:paraId="230C5162" w14:textId="77777777" w:rsidR="00EC54DD" w:rsidRDefault="00EC54DD" w:rsidP="006723D3">
      <w:pPr>
        <w:autoSpaceDE w:val="0"/>
        <w:autoSpaceDN w:val="0"/>
        <w:adjustRightInd w:val="0"/>
        <w:spacing w:after="0" w:line="240" w:lineRule="auto"/>
        <w:rPr>
          <w:rFonts w:cs="MyriadPro-Regular"/>
          <w:color w:val="1D1D1B"/>
          <w:szCs w:val="20"/>
        </w:rPr>
      </w:pPr>
    </w:p>
    <w:p w14:paraId="0424EF27" w14:textId="5EE9A964" w:rsidR="00FE4AA4" w:rsidRDefault="00FE4AA4" w:rsidP="006723D3">
      <w:pPr>
        <w:autoSpaceDE w:val="0"/>
        <w:autoSpaceDN w:val="0"/>
        <w:adjustRightInd w:val="0"/>
        <w:spacing w:after="0" w:line="240" w:lineRule="auto"/>
        <w:rPr>
          <w:rFonts w:cs="MyriadPro-Regular"/>
          <w:color w:val="1D1D1B"/>
          <w:szCs w:val="20"/>
        </w:rPr>
      </w:pPr>
      <w:r>
        <w:rPr>
          <w:rFonts w:cs="MyriadPro-Regular"/>
          <w:color w:val="1D1D1B"/>
          <w:szCs w:val="20"/>
        </w:rPr>
        <w:t xml:space="preserve">The overall GHG emissions of the CRT 1A2 follow the trend of the fossil fuel consumptions, and have decreased by </w:t>
      </w:r>
      <w:r w:rsidR="00F25D59">
        <w:rPr>
          <w:rFonts w:cs="MyriadPro-Regular"/>
          <w:color w:val="1D1D1B"/>
          <w:szCs w:val="20"/>
        </w:rPr>
        <w:t xml:space="preserve">54% </w:t>
      </w:r>
      <w:r>
        <w:rPr>
          <w:rFonts w:cs="MyriadPro-Regular"/>
          <w:color w:val="1D1D1B"/>
          <w:szCs w:val="20"/>
        </w:rPr>
        <w:t xml:space="preserve">between </w:t>
      </w:r>
      <w:r w:rsidR="00F25D59">
        <w:rPr>
          <w:rFonts w:cs="MyriadPro-Regular"/>
          <w:color w:val="1D1D1B"/>
          <w:szCs w:val="20"/>
        </w:rPr>
        <w:t xml:space="preserve">1990 and 2022. </w:t>
      </w:r>
      <w:r w:rsidR="00EC54DD">
        <w:rPr>
          <w:rFonts w:cs="MyriadPro-Regular"/>
          <w:color w:val="1D1D1B"/>
          <w:szCs w:val="20"/>
        </w:rPr>
        <w:t xml:space="preserve">The GHG emissions have decreased at a faster rate than the </w:t>
      </w:r>
      <w:r w:rsidR="00E734A4">
        <w:rPr>
          <w:rFonts w:cs="MyriadPro-Regular"/>
          <w:color w:val="1D1D1B"/>
          <w:szCs w:val="20"/>
        </w:rPr>
        <w:t>fuel consumptions of the sector, due to changes in the energy mix with substitution of fuels with relatively high carbon contents such as coal and residual fuel oil, with fuels with a lesser impact such as natural gas, and obviously biomass (as the CO</w:t>
      </w:r>
      <w:r w:rsidR="00E734A4">
        <w:rPr>
          <w:rFonts w:cs="MyriadPro-Regular"/>
          <w:color w:val="1D1D1B"/>
          <w:szCs w:val="20"/>
        </w:rPr>
        <w:softHyphen/>
      </w:r>
      <w:r w:rsidR="00E734A4">
        <w:rPr>
          <w:rFonts w:cs="MyriadPro-Regular"/>
          <w:color w:val="1D1D1B"/>
          <w:szCs w:val="20"/>
        </w:rPr>
        <w:softHyphen/>
      </w:r>
      <w:r w:rsidR="00E734A4" w:rsidRPr="00622F40">
        <w:rPr>
          <w:rFonts w:cs="MyriadPro-Regular"/>
          <w:color w:val="1D1D1B"/>
          <w:szCs w:val="20"/>
          <w:vertAlign w:val="subscript"/>
        </w:rPr>
        <w:t>2</w:t>
      </w:r>
      <w:r w:rsidR="00E734A4">
        <w:rPr>
          <w:rFonts w:cs="MyriadPro-Regular"/>
          <w:color w:val="1D1D1B"/>
          <w:szCs w:val="20"/>
        </w:rPr>
        <w:t xml:space="preserve"> is not included in the total).</w:t>
      </w:r>
      <w:r w:rsidR="00091AE3">
        <w:rPr>
          <w:rFonts w:cs="MyriadPro-Regular"/>
          <w:color w:val="1D1D1B"/>
          <w:szCs w:val="20"/>
        </w:rPr>
        <w:t xml:space="preserve"> As a consequence, the GHG implied emission factor have been reduced from </w:t>
      </w:r>
      <w:r w:rsidR="009F63FC">
        <w:rPr>
          <w:rFonts w:cs="MyriadPro-Regular"/>
          <w:color w:val="1D1D1B"/>
          <w:szCs w:val="20"/>
        </w:rPr>
        <w:t xml:space="preserve">73 to 63 kg/GJ for the timeseries, meaning a 13% reduction. </w:t>
      </w:r>
    </w:p>
    <w:p w14:paraId="1833E48F" w14:textId="77777777" w:rsidR="00A51EC5" w:rsidRPr="002462F0" w:rsidRDefault="00A51EC5" w:rsidP="006723D3">
      <w:pPr>
        <w:autoSpaceDE w:val="0"/>
        <w:autoSpaceDN w:val="0"/>
        <w:adjustRightInd w:val="0"/>
        <w:spacing w:after="0" w:line="240" w:lineRule="auto"/>
        <w:rPr>
          <w:rFonts w:cs="MyriadPro-Regular"/>
          <w:color w:val="1D1D1B"/>
          <w:szCs w:val="20"/>
        </w:rPr>
      </w:pPr>
    </w:p>
    <w:p w14:paraId="3E1DFBDE" w14:textId="77777777" w:rsidR="00913D34" w:rsidRDefault="007D1832" w:rsidP="007D1832">
      <w:pPr>
        <w:autoSpaceDE w:val="0"/>
        <w:autoSpaceDN w:val="0"/>
        <w:adjustRightInd w:val="0"/>
        <w:spacing w:after="0" w:line="240" w:lineRule="auto"/>
        <w:rPr>
          <w:rFonts w:cs="MyriadPro-Regular"/>
          <w:color w:val="1D1D1B"/>
          <w:szCs w:val="20"/>
          <w:lang w:val="en-US"/>
        </w:rPr>
      </w:pPr>
      <w:r w:rsidRPr="00622F40">
        <w:rPr>
          <w:rFonts w:cs="MyriadPro-Regular"/>
          <w:color w:val="1D1D1B"/>
          <w:szCs w:val="20"/>
          <w:lang w:val="en-US"/>
        </w:rPr>
        <w:t>In 2022, the different categories constituting the sector CRT 1A2 are key categories for CO</w:t>
      </w:r>
      <w:r w:rsidRPr="00622F40">
        <w:rPr>
          <w:rFonts w:cs="MyriadPro-Regular"/>
          <w:color w:val="1D1D1B"/>
          <w:szCs w:val="20"/>
          <w:vertAlign w:val="subscript"/>
          <w:lang w:val="en-US"/>
        </w:rPr>
        <w:t>2</w:t>
      </w:r>
      <w:r w:rsidRPr="00622F40">
        <w:rPr>
          <w:rFonts w:cs="MyriadPro-Regular"/>
          <w:color w:val="1D1D1B"/>
          <w:szCs w:val="20"/>
          <w:lang w:val="en-US"/>
        </w:rPr>
        <w:t xml:space="preserve"> emissions in Serbia, for the </w:t>
      </w:r>
      <w:r w:rsidR="001F7AAD" w:rsidRPr="00622F40">
        <w:rPr>
          <w:rFonts w:cs="MyriadPro-Regular"/>
          <w:color w:val="1D1D1B"/>
          <w:szCs w:val="20"/>
          <w:lang w:val="en-US"/>
        </w:rPr>
        <w:t>combustion</w:t>
      </w:r>
      <w:r w:rsidRPr="00622F40">
        <w:rPr>
          <w:rFonts w:cs="MyriadPro-Regular"/>
          <w:color w:val="1D1D1B"/>
          <w:szCs w:val="20"/>
          <w:lang w:val="en-US"/>
        </w:rPr>
        <w:t xml:space="preserve"> of liquid, solid, and gaseous fuels</w:t>
      </w:r>
      <w:r w:rsidR="001F7AAD" w:rsidRPr="00622F40">
        <w:rPr>
          <w:rFonts w:cs="MyriadPro-Regular"/>
          <w:color w:val="1D1D1B"/>
          <w:szCs w:val="20"/>
          <w:lang w:val="en-US"/>
        </w:rPr>
        <w:t>, both in terms of levels and trends of emissions, and are</w:t>
      </w:r>
      <w:r w:rsidR="00913D34" w:rsidRPr="00622F40">
        <w:rPr>
          <w:rFonts w:cs="MyriadPro-Regular"/>
          <w:color w:val="1D1D1B"/>
          <w:szCs w:val="20"/>
          <w:lang w:val="en-US"/>
        </w:rPr>
        <w:t xml:space="preserve"> as follows:</w:t>
      </w:r>
    </w:p>
    <w:p w14:paraId="7E131BB5" w14:textId="3A6FCC52" w:rsidR="007D1832" w:rsidRDefault="007D1832" w:rsidP="007D1832">
      <w:pPr>
        <w:autoSpaceDE w:val="0"/>
        <w:autoSpaceDN w:val="0"/>
        <w:adjustRightInd w:val="0"/>
        <w:spacing w:after="0" w:line="240" w:lineRule="auto"/>
        <w:rPr>
          <w:rFonts w:cs="MyriadPro-Regular"/>
          <w:color w:val="1D1D1B"/>
          <w:szCs w:val="20"/>
          <w:lang w:val="en-US"/>
        </w:rPr>
      </w:pPr>
    </w:p>
    <w:p w14:paraId="247CDCE3" w14:textId="02F4A695" w:rsidR="00AF0D84" w:rsidRDefault="00AF0D84" w:rsidP="00622F40">
      <w:pPr>
        <w:pStyle w:val="Caption"/>
        <w:keepNext/>
      </w:pPr>
      <w:bookmarkStart w:id="214" w:name="_Toc184808562"/>
      <w:r>
        <w:lastRenderedPageBreak/>
        <w:t xml:space="preserve">Table </w:t>
      </w:r>
      <w:r>
        <w:fldChar w:fldCharType="begin"/>
      </w:r>
      <w:r>
        <w:instrText xml:space="preserve"> SEQ Table \* ARABIC </w:instrText>
      </w:r>
      <w:r>
        <w:fldChar w:fldCharType="separate"/>
      </w:r>
      <w:r w:rsidR="00F14C78">
        <w:rPr>
          <w:noProof/>
        </w:rPr>
        <w:t>19</w:t>
      </w:r>
      <w:r>
        <w:fldChar w:fldCharType="end"/>
      </w:r>
      <w:r>
        <w:t>: Key categories in level and trend for the Manufacturing industries and construction, in 2022, excluding LULUCF</w:t>
      </w:r>
      <w:bookmarkEnd w:id="214"/>
    </w:p>
    <w:tbl>
      <w:tblPr>
        <w:tblStyle w:val="TableGrid"/>
        <w:tblW w:w="0" w:type="auto"/>
        <w:tblLook w:val="04A0" w:firstRow="1" w:lastRow="0" w:firstColumn="1" w:lastColumn="0" w:noHBand="0" w:noVBand="1"/>
      </w:tblPr>
      <w:tblGrid>
        <w:gridCol w:w="4248"/>
        <w:gridCol w:w="2410"/>
        <w:gridCol w:w="2404"/>
      </w:tblGrid>
      <w:tr w:rsidR="00A00C46" w14:paraId="06CA598C" w14:textId="77777777" w:rsidTr="003631EA">
        <w:tc>
          <w:tcPr>
            <w:tcW w:w="4248" w:type="dxa"/>
            <w:shd w:val="clear" w:color="auto" w:fill="B8CCE4" w:themeFill="accent1" w:themeFillTint="66"/>
          </w:tcPr>
          <w:p w14:paraId="7D9522B9" w14:textId="77777777" w:rsidR="00A00C46" w:rsidRDefault="00A00C46">
            <w:pPr>
              <w:autoSpaceDE w:val="0"/>
              <w:autoSpaceDN w:val="0"/>
              <w:adjustRightInd w:val="0"/>
              <w:rPr>
                <w:rFonts w:cs="MyriadPro-Regular"/>
                <w:color w:val="1D1D1B"/>
                <w:szCs w:val="20"/>
                <w:lang w:val="en-US"/>
              </w:rPr>
            </w:pPr>
            <w:r>
              <w:rPr>
                <w:rFonts w:cs="MyriadPro-Regular"/>
                <w:color w:val="1D1D1B"/>
                <w:szCs w:val="20"/>
                <w:lang w:val="en-US"/>
              </w:rPr>
              <w:t>CRT category/fuel/substance</w:t>
            </w:r>
          </w:p>
        </w:tc>
        <w:tc>
          <w:tcPr>
            <w:tcW w:w="2410" w:type="dxa"/>
            <w:shd w:val="clear" w:color="auto" w:fill="B8CCE4" w:themeFill="accent1" w:themeFillTint="66"/>
          </w:tcPr>
          <w:p w14:paraId="5D61FD02" w14:textId="77777777" w:rsidR="00A00C46" w:rsidRDefault="00A00C46">
            <w:pPr>
              <w:autoSpaceDE w:val="0"/>
              <w:autoSpaceDN w:val="0"/>
              <w:adjustRightInd w:val="0"/>
              <w:rPr>
                <w:rFonts w:cs="MyriadPro-Regular"/>
                <w:color w:val="1D1D1B"/>
                <w:szCs w:val="20"/>
                <w:lang w:val="en-US"/>
              </w:rPr>
            </w:pPr>
            <w:r>
              <w:rPr>
                <w:rFonts w:cs="MyriadPro-Regular"/>
                <w:color w:val="1D1D1B"/>
                <w:szCs w:val="20"/>
                <w:lang w:val="en-US"/>
              </w:rPr>
              <w:t xml:space="preserve">Key category in level rank </w:t>
            </w:r>
          </w:p>
          <w:p w14:paraId="13341291" w14:textId="77777777" w:rsidR="00A00C46" w:rsidRDefault="00A00C46">
            <w:pPr>
              <w:autoSpaceDE w:val="0"/>
              <w:autoSpaceDN w:val="0"/>
              <w:adjustRightInd w:val="0"/>
              <w:rPr>
                <w:rFonts w:cs="MyriadPro-Regular"/>
                <w:color w:val="1D1D1B"/>
                <w:szCs w:val="20"/>
                <w:lang w:val="en-US"/>
              </w:rPr>
            </w:pPr>
            <w:r>
              <w:rPr>
                <w:rFonts w:cs="MyriadPro-Regular"/>
                <w:color w:val="1D1D1B"/>
                <w:szCs w:val="20"/>
                <w:lang w:val="en-US"/>
              </w:rPr>
              <w:t>(% of contribution)</w:t>
            </w:r>
          </w:p>
        </w:tc>
        <w:tc>
          <w:tcPr>
            <w:tcW w:w="2404" w:type="dxa"/>
            <w:shd w:val="clear" w:color="auto" w:fill="B8CCE4" w:themeFill="accent1" w:themeFillTint="66"/>
          </w:tcPr>
          <w:p w14:paraId="4FB8FA2D" w14:textId="77777777" w:rsidR="00A00C46" w:rsidRDefault="00A00C46">
            <w:pPr>
              <w:autoSpaceDE w:val="0"/>
              <w:autoSpaceDN w:val="0"/>
              <w:adjustRightInd w:val="0"/>
              <w:rPr>
                <w:rFonts w:cs="MyriadPro-Regular"/>
                <w:color w:val="1D1D1B"/>
                <w:szCs w:val="20"/>
                <w:lang w:val="en-US"/>
              </w:rPr>
            </w:pPr>
            <w:r>
              <w:rPr>
                <w:rFonts w:cs="MyriadPro-Regular"/>
                <w:color w:val="1D1D1B"/>
                <w:szCs w:val="20"/>
                <w:lang w:val="en-US"/>
              </w:rPr>
              <w:t xml:space="preserve">Key category in trend rank </w:t>
            </w:r>
          </w:p>
          <w:p w14:paraId="06625E5A" w14:textId="77777777" w:rsidR="00A00C46" w:rsidRDefault="00A00C46">
            <w:pPr>
              <w:autoSpaceDE w:val="0"/>
              <w:autoSpaceDN w:val="0"/>
              <w:adjustRightInd w:val="0"/>
              <w:rPr>
                <w:rFonts w:cs="MyriadPro-Regular"/>
                <w:color w:val="1D1D1B"/>
                <w:szCs w:val="20"/>
                <w:lang w:val="en-US"/>
              </w:rPr>
            </w:pPr>
            <w:r>
              <w:rPr>
                <w:rFonts w:cs="MyriadPro-Regular"/>
                <w:color w:val="1D1D1B"/>
                <w:szCs w:val="20"/>
                <w:lang w:val="en-US"/>
              </w:rPr>
              <w:t>(% of contribution)</w:t>
            </w:r>
          </w:p>
        </w:tc>
      </w:tr>
      <w:tr w:rsidR="00A00C46" w14:paraId="39F6383A" w14:textId="77777777">
        <w:tc>
          <w:tcPr>
            <w:tcW w:w="4248" w:type="dxa"/>
          </w:tcPr>
          <w:p w14:paraId="1BDA01D7" w14:textId="2AFF212F" w:rsidR="00A00C46" w:rsidRDefault="00A00C46" w:rsidP="00A00C46">
            <w:pPr>
              <w:autoSpaceDE w:val="0"/>
              <w:autoSpaceDN w:val="0"/>
              <w:adjustRightInd w:val="0"/>
              <w:rPr>
                <w:rFonts w:cs="MyriadPro-Regular"/>
                <w:color w:val="1D1D1B"/>
                <w:szCs w:val="20"/>
                <w:lang w:val="en-US"/>
              </w:rPr>
            </w:pPr>
            <w:r>
              <w:rPr>
                <w:rFonts w:cs="MyriadPro-Regular"/>
                <w:color w:val="1D1D1B"/>
                <w:szCs w:val="20"/>
                <w:lang w:val="en-US"/>
              </w:rPr>
              <w:t>1.A.2.</w:t>
            </w:r>
            <w:r w:rsidR="00612A54">
              <w:rPr>
                <w:rFonts w:cs="MyriadPro-Regular"/>
                <w:color w:val="1D1D1B"/>
                <w:szCs w:val="20"/>
                <w:lang w:val="en-US"/>
              </w:rPr>
              <w:t>g.viii</w:t>
            </w:r>
            <w:r>
              <w:rPr>
                <w:rFonts w:cs="MyriadPro-Regular"/>
                <w:color w:val="1D1D1B"/>
                <w:szCs w:val="20"/>
                <w:lang w:val="en-US"/>
              </w:rPr>
              <w:t xml:space="preserve"> Other industries/gaseous fuels/CO</w:t>
            </w:r>
            <w:r w:rsidRPr="008977F1">
              <w:rPr>
                <w:rFonts w:cs="MyriadPro-Regular"/>
                <w:color w:val="1D1D1B"/>
                <w:szCs w:val="20"/>
                <w:vertAlign w:val="subscript"/>
                <w:lang w:val="en-US"/>
              </w:rPr>
              <w:t>2</w:t>
            </w:r>
          </w:p>
        </w:tc>
        <w:tc>
          <w:tcPr>
            <w:tcW w:w="2410" w:type="dxa"/>
          </w:tcPr>
          <w:p w14:paraId="15854E81" w14:textId="4FB8485B"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9 (1.2%)</w:t>
            </w:r>
          </w:p>
        </w:tc>
        <w:tc>
          <w:tcPr>
            <w:tcW w:w="2404" w:type="dxa"/>
          </w:tcPr>
          <w:p w14:paraId="36216396" w14:textId="5FE81F33"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11 (2.3%)</w:t>
            </w:r>
          </w:p>
        </w:tc>
      </w:tr>
      <w:tr w:rsidR="00A00C46" w14:paraId="7DA07AFF" w14:textId="77777777">
        <w:tc>
          <w:tcPr>
            <w:tcW w:w="4248" w:type="dxa"/>
          </w:tcPr>
          <w:p w14:paraId="35D7CE88" w14:textId="7CABBBC9" w:rsidR="00A00C46" w:rsidRDefault="00A00C46" w:rsidP="00A00C46">
            <w:pPr>
              <w:autoSpaceDE w:val="0"/>
              <w:autoSpaceDN w:val="0"/>
              <w:adjustRightInd w:val="0"/>
              <w:rPr>
                <w:rFonts w:cs="MyriadPro-Regular"/>
                <w:color w:val="1D1D1B"/>
                <w:szCs w:val="20"/>
                <w:lang w:val="en-US"/>
              </w:rPr>
            </w:pPr>
            <w:r>
              <w:rPr>
                <w:rFonts w:cs="MyriadPro-Regular"/>
                <w:color w:val="1D1D1B"/>
                <w:szCs w:val="20"/>
                <w:lang w:val="en-US"/>
              </w:rPr>
              <w:t>1.A.2.f Non-metallic minerals/liquid fuels/CO</w:t>
            </w:r>
            <w:r w:rsidRPr="008977F1">
              <w:rPr>
                <w:rFonts w:cs="MyriadPro-Regular"/>
                <w:color w:val="1D1D1B"/>
                <w:szCs w:val="20"/>
                <w:vertAlign w:val="subscript"/>
                <w:lang w:val="en-US"/>
              </w:rPr>
              <w:t>2</w:t>
            </w:r>
          </w:p>
        </w:tc>
        <w:tc>
          <w:tcPr>
            <w:tcW w:w="2410" w:type="dxa"/>
          </w:tcPr>
          <w:p w14:paraId="331AF97E" w14:textId="09A8268E"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11 (1.2%)</w:t>
            </w:r>
          </w:p>
        </w:tc>
        <w:tc>
          <w:tcPr>
            <w:tcW w:w="2404" w:type="dxa"/>
          </w:tcPr>
          <w:p w14:paraId="2CE2388E" w14:textId="1ED751F3"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13 (2.2%)</w:t>
            </w:r>
          </w:p>
        </w:tc>
      </w:tr>
      <w:tr w:rsidR="00A00C46" w14:paraId="56CA6053" w14:textId="77777777">
        <w:tc>
          <w:tcPr>
            <w:tcW w:w="4248" w:type="dxa"/>
          </w:tcPr>
          <w:p w14:paraId="109B798F" w14:textId="5394F19A" w:rsidR="00A00C46" w:rsidRDefault="00A00C46" w:rsidP="00A00C46">
            <w:pPr>
              <w:autoSpaceDE w:val="0"/>
              <w:autoSpaceDN w:val="0"/>
              <w:adjustRightInd w:val="0"/>
              <w:rPr>
                <w:rFonts w:cs="MyriadPro-Regular"/>
                <w:color w:val="1D1D1B"/>
                <w:szCs w:val="20"/>
                <w:lang w:val="en-US"/>
              </w:rPr>
            </w:pPr>
            <w:r>
              <w:rPr>
                <w:rFonts w:cs="MyriadPro-Regular"/>
                <w:color w:val="1D1D1B"/>
                <w:szCs w:val="20"/>
                <w:lang w:val="en-US"/>
              </w:rPr>
              <w:t>1.A.2.</w:t>
            </w:r>
            <w:r w:rsidR="00E01315">
              <w:rPr>
                <w:rFonts w:cs="MyriadPro-Regular"/>
                <w:color w:val="1D1D1B"/>
                <w:szCs w:val="20"/>
                <w:lang w:val="en-US"/>
              </w:rPr>
              <w:t>g.viii</w:t>
            </w:r>
            <w:r>
              <w:rPr>
                <w:rFonts w:cs="MyriadPro-Regular"/>
                <w:color w:val="1D1D1B"/>
                <w:szCs w:val="20"/>
                <w:lang w:val="en-US"/>
              </w:rPr>
              <w:t xml:space="preserve"> Other industries/solid fuels/CO</w:t>
            </w:r>
            <w:r w:rsidRPr="008977F1">
              <w:rPr>
                <w:rFonts w:cs="MyriadPro-Regular"/>
                <w:color w:val="1D1D1B"/>
                <w:szCs w:val="20"/>
                <w:vertAlign w:val="subscript"/>
                <w:lang w:val="en-US"/>
              </w:rPr>
              <w:t>2</w:t>
            </w:r>
          </w:p>
        </w:tc>
        <w:tc>
          <w:tcPr>
            <w:tcW w:w="2410" w:type="dxa"/>
          </w:tcPr>
          <w:p w14:paraId="37930C3C" w14:textId="1D2F6996"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20 (0.7%)</w:t>
            </w:r>
          </w:p>
        </w:tc>
        <w:tc>
          <w:tcPr>
            <w:tcW w:w="2404" w:type="dxa"/>
          </w:tcPr>
          <w:p w14:paraId="1F4936DC" w14:textId="318AAD16"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31 (0.7%)</w:t>
            </w:r>
          </w:p>
        </w:tc>
      </w:tr>
      <w:tr w:rsidR="00A00C46" w14:paraId="3B03B3E2" w14:textId="77777777">
        <w:tc>
          <w:tcPr>
            <w:tcW w:w="4248" w:type="dxa"/>
          </w:tcPr>
          <w:p w14:paraId="2CDE3828" w14:textId="30DEA582" w:rsidR="00A00C46" w:rsidRDefault="00A00C46" w:rsidP="00A00C46">
            <w:pPr>
              <w:autoSpaceDE w:val="0"/>
              <w:autoSpaceDN w:val="0"/>
              <w:adjustRightInd w:val="0"/>
              <w:rPr>
                <w:rFonts w:cs="MyriadPro-Regular"/>
                <w:color w:val="1D1D1B"/>
                <w:szCs w:val="20"/>
                <w:lang w:val="en-US"/>
              </w:rPr>
            </w:pPr>
            <w:r>
              <w:rPr>
                <w:rFonts w:cs="MyriadPro-Regular"/>
                <w:color w:val="1D1D1B"/>
                <w:szCs w:val="20"/>
                <w:lang w:val="en-US"/>
              </w:rPr>
              <w:t>1.A.2.</w:t>
            </w:r>
            <w:proofErr w:type="spellStart"/>
            <w:r>
              <w:rPr>
                <w:rFonts w:cs="MyriadPro-Regular"/>
                <w:color w:val="1D1D1B"/>
                <w:szCs w:val="20"/>
                <w:lang w:val="en-US"/>
              </w:rPr>
              <w:t>a</w:t>
            </w:r>
            <w:proofErr w:type="spellEnd"/>
            <w:r>
              <w:rPr>
                <w:rFonts w:cs="MyriadPro-Regular"/>
                <w:color w:val="1D1D1B"/>
                <w:szCs w:val="20"/>
                <w:lang w:val="en-US"/>
              </w:rPr>
              <w:t xml:space="preserve"> Iron and steel/liquid fuels/CO</w:t>
            </w:r>
            <w:r w:rsidRPr="008977F1">
              <w:rPr>
                <w:rFonts w:cs="MyriadPro-Regular"/>
                <w:color w:val="1D1D1B"/>
                <w:szCs w:val="20"/>
                <w:vertAlign w:val="subscript"/>
                <w:lang w:val="en-US"/>
              </w:rPr>
              <w:t>2</w:t>
            </w:r>
          </w:p>
        </w:tc>
        <w:tc>
          <w:tcPr>
            <w:tcW w:w="2410" w:type="dxa"/>
          </w:tcPr>
          <w:p w14:paraId="641D0E80" w14:textId="68803C06"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25 (0.5%)</w:t>
            </w:r>
          </w:p>
        </w:tc>
        <w:tc>
          <w:tcPr>
            <w:tcW w:w="2404" w:type="dxa"/>
          </w:tcPr>
          <w:p w14:paraId="49C238A3" w14:textId="6C31CC74" w:rsidR="00A00C46" w:rsidRDefault="00A00C46" w:rsidP="00A00C46">
            <w:pPr>
              <w:autoSpaceDE w:val="0"/>
              <w:autoSpaceDN w:val="0"/>
              <w:adjustRightInd w:val="0"/>
              <w:jc w:val="center"/>
              <w:rPr>
                <w:rFonts w:cs="MyriadPro-Regular"/>
                <w:color w:val="1D1D1B"/>
                <w:szCs w:val="20"/>
                <w:lang w:val="en-US"/>
              </w:rPr>
            </w:pPr>
          </w:p>
        </w:tc>
      </w:tr>
      <w:tr w:rsidR="00A00C46" w14:paraId="2EB1ABB6" w14:textId="77777777">
        <w:tc>
          <w:tcPr>
            <w:tcW w:w="4248" w:type="dxa"/>
          </w:tcPr>
          <w:p w14:paraId="1818C9CF" w14:textId="0326C7A5" w:rsidR="00A00C46" w:rsidRDefault="00A00C46" w:rsidP="00A00C46">
            <w:pPr>
              <w:autoSpaceDE w:val="0"/>
              <w:autoSpaceDN w:val="0"/>
              <w:adjustRightInd w:val="0"/>
              <w:rPr>
                <w:rFonts w:cs="MyriadPro-Regular"/>
                <w:color w:val="1D1D1B"/>
                <w:szCs w:val="20"/>
                <w:lang w:val="en-US"/>
              </w:rPr>
            </w:pPr>
            <w:r>
              <w:rPr>
                <w:rFonts w:cs="MyriadPro-Regular"/>
                <w:color w:val="1D1D1B"/>
                <w:szCs w:val="20"/>
                <w:lang w:val="en-US"/>
              </w:rPr>
              <w:t>1.A.2.f Non-metallic minerals/solid fuels/CO</w:t>
            </w:r>
            <w:r w:rsidRPr="008977F1">
              <w:rPr>
                <w:rFonts w:cs="MyriadPro-Regular"/>
                <w:color w:val="1D1D1B"/>
                <w:szCs w:val="20"/>
                <w:vertAlign w:val="subscript"/>
                <w:lang w:val="en-US"/>
              </w:rPr>
              <w:t>2</w:t>
            </w:r>
          </w:p>
        </w:tc>
        <w:tc>
          <w:tcPr>
            <w:tcW w:w="2410" w:type="dxa"/>
          </w:tcPr>
          <w:p w14:paraId="0A02C279" w14:textId="01C5A65D"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31 (0.3%)</w:t>
            </w:r>
          </w:p>
        </w:tc>
        <w:tc>
          <w:tcPr>
            <w:tcW w:w="2404" w:type="dxa"/>
          </w:tcPr>
          <w:p w14:paraId="26EB5F3F" w14:textId="237F1773"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33 (0.7%)</w:t>
            </w:r>
          </w:p>
        </w:tc>
      </w:tr>
      <w:tr w:rsidR="00A00C46" w14:paraId="0C4807E6" w14:textId="77777777">
        <w:tc>
          <w:tcPr>
            <w:tcW w:w="4248" w:type="dxa"/>
          </w:tcPr>
          <w:p w14:paraId="711524F4" w14:textId="6F86DBD1" w:rsidR="00A00C46" w:rsidRDefault="00A00C46" w:rsidP="00A00C46">
            <w:pPr>
              <w:autoSpaceDE w:val="0"/>
              <w:autoSpaceDN w:val="0"/>
              <w:adjustRightInd w:val="0"/>
              <w:rPr>
                <w:rFonts w:cs="MyriadPro-Regular"/>
                <w:color w:val="1D1D1B"/>
                <w:szCs w:val="20"/>
                <w:lang w:val="en-US"/>
              </w:rPr>
            </w:pPr>
            <w:r>
              <w:rPr>
                <w:rFonts w:cs="MyriadPro-Regular"/>
                <w:color w:val="1D1D1B"/>
                <w:szCs w:val="20"/>
                <w:lang w:val="en-US"/>
              </w:rPr>
              <w:t>1.A.2.i Mining and quarrying/liquid fuels/CO</w:t>
            </w:r>
            <w:r w:rsidRPr="008977F1">
              <w:rPr>
                <w:rFonts w:cs="MyriadPro-Regular"/>
                <w:color w:val="1D1D1B"/>
                <w:szCs w:val="20"/>
                <w:vertAlign w:val="subscript"/>
                <w:lang w:val="en-US"/>
              </w:rPr>
              <w:t>2</w:t>
            </w:r>
          </w:p>
        </w:tc>
        <w:tc>
          <w:tcPr>
            <w:tcW w:w="2410" w:type="dxa"/>
          </w:tcPr>
          <w:p w14:paraId="53379B8D" w14:textId="23ABD8F7"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33 (0.3%)</w:t>
            </w:r>
          </w:p>
        </w:tc>
        <w:tc>
          <w:tcPr>
            <w:tcW w:w="2404" w:type="dxa"/>
          </w:tcPr>
          <w:p w14:paraId="17575441" w14:textId="3BF4CE7E"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39 (0.5%)</w:t>
            </w:r>
          </w:p>
        </w:tc>
      </w:tr>
      <w:tr w:rsidR="00A00C46" w14:paraId="70C2D117" w14:textId="77777777">
        <w:tc>
          <w:tcPr>
            <w:tcW w:w="4248" w:type="dxa"/>
          </w:tcPr>
          <w:p w14:paraId="4263C491" w14:textId="16C6C238" w:rsidR="00A00C46" w:rsidRDefault="00A00C46" w:rsidP="00A00C46">
            <w:pPr>
              <w:autoSpaceDE w:val="0"/>
              <w:autoSpaceDN w:val="0"/>
              <w:adjustRightInd w:val="0"/>
              <w:rPr>
                <w:rFonts w:cs="MyriadPro-Regular"/>
                <w:color w:val="1D1D1B"/>
                <w:szCs w:val="20"/>
                <w:lang w:val="en-US"/>
              </w:rPr>
            </w:pPr>
            <w:r>
              <w:rPr>
                <w:rFonts w:cs="MyriadPro-Regular"/>
                <w:color w:val="1D1D1B"/>
                <w:szCs w:val="20"/>
                <w:lang w:val="en-US"/>
              </w:rPr>
              <w:t>1.A.2.e Food and beverages/gaseous fuels/CO</w:t>
            </w:r>
            <w:r w:rsidRPr="008977F1">
              <w:rPr>
                <w:rFonts w:cs="MyriadPro-Regular"/>
                <w:color w:val="1D1D1B"/>
                <w:szCs w:val="20"/>
                <w:vertAlign w:val="subscript"/>
                <w:lang w:val="en-US"/>
              </w:rPr>
              <w:t>2</w:t>
            </w:r>
          </w:p>
        </w:tc>
        <w:tc>
          <w:tcPr>
            <w:tcW w:w="2410" w:type="dxa"/>
          </w:tcPr>
          <w:p w14:paraId="0878C97E" w14:textId="621591D1"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34 (0.3%)</w:t>
            </w:r>
          </w:p>
        </w:tc>
        <w:tc>
          <w:tcPr>
            <w:tcW w:w="2404" w:type="dxa"/>
          </w:tcPr>
          <w:p w14:paraId="1CD69FF2" w14:textId="5F6C964F"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41 (0.5%)</w:t>
            </w:r>
          </w:p>
        </w:tc>
      </w:tr>
      <w:tr w:rsidR="00A00C46" w14:paraId="569ABFD1" w14:textId="77777777">
        <w:tc>
          <w:tcPr>
            <w:tcW w:w="4248" w:type="dxa"/>
          </w:tcPr>
          <w:p w14:paraId="6113E1BA" w14:textId="077E27E8" w:rsidR="00A00C46" w:rsidRDefault="00A00C46" w:rsidP="00A00C46">
            <w:pPr>
              <w:autoSpaceDE w:val="0"/>
              <w:autoSpaceDN w:val="0"/>
              <w:adjustRightInd w:val="0"/>
              <w:rPr>
                <w:rFonts w:cs="MyriadPro-Regular"/>
                <w:color w:val="1D1D1B"/>
                <w:szCs w:val="20"/>
                <w:lang w:val="en-US"/>
              </w:rPr>
            </w:pPr>
            <w:r>
              <w:rPr>
                <w:rFonts w:cs="MyriadPro-Regular"/>
                <w:color w:val="1D1D1B"/>
                <w:szCs w:val="20"/>
                <w:lang w:val="en-US"/>
              </w:rPr>
              <w:t>1.A.2.</w:t>
            </w:r>
            <w:r w:rsidR="00E01315">
              <w:rPr>
                <w:rFonts w:cs="MyriadPro-Regular"/>
                <w:color w:val="1D1D1B"/>
                <w:szCs w:val="20"/>
                <w:lang w:val="en-US"/>
              </w:rPr>
              <w:t>g.viii</w:t>
            </w:r>
            <w:r>
              <w:rPr>
                <w:rFonts w:cs="MyriadPro-Regular"/>
                <w:color w:val="1D1D1B"/>
                <w:szCs w:val="20"/>
                <w:lang w:val="en-US"/>
              </w:rPr>
              <w:t xml:space="preserve"> Other industries/liquid fuels/CO</w:t>
            </w:r>
            <w:r w:rsidRPr="008977F1">
              <w:rPr>
                <w:rFonts w:cs="MyriadPro-Regular"/>
                <w:color w:val="1D1D1B"/>
                <w:szCs w:val="20"/>
                <w:vertAlign w:val="subscript"/>
                <w:lang w:val="en-US"/>
              </w:rPr>
              <w:t>2</w:t>
            </w:r>
          </w:p>
        </w:tc>
        <w:tc>
          <w:tcPr>
            <w:tcW w:w="2410" w:type="dxa"/>
          </w:tcPr>
          <w:p w14:paraId="52C77D9A" w14:textId="4B54EE90"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35 (0.3%)</w:t>
            </w:r>
          </w:p>
        </w:tc>
        <w:tc>
          <w:tcPr>
            <w:tcW w:w="2404" w:type="dxa"/>
          </w:tcPr>
          <w:p w14:paraId="4A2A5F67" w14:textId="1450F46A"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8 (3.5%)</w:t>
            </w:r>
          </w:p>
        </w:tc>
      </w:tr>
      <w:tr w:rsidR="00A00C46" w14:paraId="01CD52F5" w14:textId="77777777">
        <w:tc>
          <w:tcPr>
            <w:tcW w:w="4248" w:type="dxa"/>
          </w:tcPr>
          <w:p w14:paraId="299F5E49" w14:textId="62895A97" w:rsidR="00A00C46" w:rsidRDefault="00A00C46" w:rsidP="00A00C46">
            <w:pPr>
              <w:autoSpaceDE w:val="0"/>
              <w:autoSpaceDN w:val="0"/>
              <w:adjustRightInd w:val="0"/>
              <w:rPr>
                <w:rFonts w:cs="MyriadPro-Regular"/>
                <w:color w:val="1D1D1B"/>
                <w:szCs w:val="20"/>
                <w:lang w:val="en-US"/>
              </w:rPr>
            </w:pPr>
            <w:r>
              <w:rPr>
                <w:rFonts w:cs="MyriadPro-Regular"/>
                <w:color w:val="1D1D1B"/>
                <w:szCs w:val="20"/>
                <w:lang w:val="en-US"/>
              </w:rPr>
              <w:t>1.A.2.f Non-metallic minerals/gaseous fuels/CO</w:t>
            </w:r>
            <w:r w:rsidRPr="008977F1">
              <w:rPr>
                <w:rFonts w:cs="MyriadPro-Regular"/>
                <w:color w:val="1D1D1B"/>
                <w:szCs w:val="20"/>
                <w:vertAlign w:val="subscript"/>
                <w:lang w:val="en-US"/>
              </w:rPr>
              <w:t>2</w:t>
            </w:r>
          </w:p>
        </w:tc>
        <w:tc>
          <w:tcPr>
            <w:tcW w:w="2410" w:type="dxa"/>
          </w:tcPr>
          <w:p w14:paraId="61F0D250" w14:textId="4A653AC8"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39 (0.2%)</w:t>
            </w:r>
          </w:p>
        </w:tc>
        <w:tc>
          <w:tcPr>
            <w:tcW w:w="2404" w:type="dxa"/>
          </w:tcPr>
          <w:p w14:paraId="6EC11EF3" w14:textId="288CE206" w:rsidR="00A00C46" w:rsidRDefault="00A00C46" w:rsidP="00A00C46">
            <w:pPr>
              <w:autoSpaceDE w:val="0"/>
              <w:autoSpaceDN w:val="0"/>
              <w:adjustRightInd w:val="0"/>
              <w:jc w:val="center"/>
              <w:rPr>
                <w:rFonts w:cs="MyriadPro-Regular"/>
                <w:color w:val="1D1D1B"/>
                <w:szCs w:val="20"/>
                <w:lang w:val="en-US"/>
              </w:rPr>
            </w:pPr>
            <w:r>
              <w:rPr>
                <w:rFonts w:cs="MyriadPro-Regular"/>
                <w:color w:val="1D1D1B"/>
                <w:szCs w:val="20"/>
                <w:lang w:val="en-US"/>
              </w:rPr>
              <w:t>36 (0.6%)</w:t>
            </w:r>
          </w:p>
        </w:tc>
      </w:tr>
      <w:tr w:rsidR="00A00C46" w14:paraId="2D74E8E8" w14:textId="77777777">
        <w:tc>
          <w:tcPr>
            <w:tcW w:w="4248" w:type="dxa"/>
          </w:tcPr>
          <w:p w14:paraId="7CDC58D0" w14:textId="68CC469A" w:rsidR="00A00C46" w:rsidRDefault="00A00C46">
            <w:pPr>
              <w:autoSpaceDE w:val="0"/>
              <w:autoSpaceDN w:val="0"/>
              <w:adjustRightInd w:val="0"/>
              <w:rPr>
                <w:rFonts w:cs="MyriadPro-Regular"/>
                <w:color w:val="1D1D1B"/>
                <w:szCs w:val="20"/>
                <w:lang w:val="en-US"/>
              </w:rPr>
            </w:pPr>
            <w:r>
              <w:rPr>
                <w:rFonts w:cs="MyriadPro-Regular"/>
                <w:color w:val="1D1D1B"/>
                <w:szCs w:val="20"/>
                <w:lang w:val="en-US"/>
              </w:rPr>
              <w:t>1.A.2.</w:t>
            </w:r>
            <w:r w:rsidR="00612A54">
              <w:rPr>
                <w:rFonts w:cs="MyriadPro-Regular"/>
                <w:color w:val="1D1D1B"/>
                <w:szCs w:val="20"/>
                <w:lang w:val="en-US"/>
              </w:rPr>
              <w:t>g.v</w:t>
            </w:r>
            <w:r>
              <w:rPr>
                <w:rFonts w:cs="MyriadPro-Regular"/>
                <w:color w:val="1D1D1B"/>
                <w:szCs w:val="20"/>
                <w:lang w:val="en-US"/>
              </w:rPr>
              <w:t xml:space="preserve"> Construction/liquid fuels/CO</w:t>
            </w:r>
            <w:r w:rsidRPr="008977F1">
              <w:rPr>
                <w:rFonts w:cs="MyriadPro-Regular"/>
                <w:color w:val="1D1D1B"/>
                <w:szCs w:val="20"/>
                <w:vertAlign w:val="subscript"/>
                <w:lang w:val="en-US"/>
              </w:rPr>
              <w:t>2</w:t>
            </w:r>
          </w:p>
        </w:tc>
        <w:tc>
          <w:tcPr>
            <w:tcW w:w="2410" w:type="dxa"/>
          </w:tcPr>
          <w:p w14:paraId="2C480E56" w14:textId="77777777" w:rsidR="00A00C46" w:rsidRDefault="00A00C46">
            <w:pPr>
              <w:autoSpaceDE w:val="0"/>
              <w:autoSpaceDN w:val="0"/>
              <w:adjustRightInd w:val="0"/>
              <w:jc w:val="center"/>
              <w:rPr>
                <w:rFonts w:cs="MyriadPro-Regular"/>
                <w:color w:val="1D1D1B"/>
                <w:szCs w:val="20"/>
                <w:lang w:val="en-US"/>
              </w:rPr>
            </w:pPr>
            <w:r>
              <w:rPr>
                <w:rFonts w:cs="MyriadPro-Regular"/>
                <w:color w:val="1D1D1B"/>
                <w:szCs w:val="20"/>
                <w:lang w:val="en-US"/>
              </w:rPr>
              <w:t>40 (0.2%)</w:t>
            </w:r>
          </w:p>
        </w:tc>
        <w:tc>
          <w:tcPr>
            <w:tcW w:w="2404" w:type="dxa"/>
          </w:tcPr>
          <w:p w14:paraId="635ACCEF" w14:textId="77777777" w:rsidR="00A00C46" w:rsidRDefault="00A00C46">
            <w:pPr>
              <w:autoSpaceDE w:val="0"/>
              <w:autoSpaceDN w:val="0"/>
              <w:adjustRightInd w:val="0"/>
              <w:jc w:val="center"/>
              <w:rPr>
                <w:rFonts w:cs="MyriadPro-Regular"/>
                <w:color w:val="1D1D1B"/>
                <w:szCs w:val="20"/>
                <w:lang w:val="en-US"/>
              </w:rPr>
            </w:pPr>
            <w:r>
              <w:rPr>
                <w:rFonts w:cs="MyriadPro-Regular"/>
                <w:color w:val="1D1D1B"/>
                <w:szCs w:val="20"/>
                <w:lang w:val="en-US"/>
              </w:rPr>
              <w:t>21 (1.1%)</w:t>
            </w:r>
          </w:p>
        </w:tc>
      </w:tr>
      <w:tr w:rsidR="00E04F40" w14:paraId="27FF1CDC" w14:textId="77777777">
        <w:tc>
          <w:tcPr>
            <w:tcW w:w="4248" w:type="dxa"/>
          </w:tcPr>
          <w:p w14:paraId="7917DE53" w14:textId="19678A76" w:rsidR="00E04F40" w:rsidRDefault="00E04F40" w:rsidP="00E04F40">
            <w:pPr>
              <w:autoSpaceDE w:val="0"/>
              <w:autoSpaceDN w:val="0"/>
              <w:adjustRightInd w:val="0"/>
              <w:rPr>
                <w:rFonts w:cs="MyriadPro-Regular"/>
                <w:color w:val="1D1D1B"/>
                <w:szCs w:val="20"/>
                <w:lang w:val="en-US"/>
              </w:rPr>
            </w:pPr>
            <w:r>
              <w:rPr>
                <w:rFonts w:cs="MyriadPro-Regular"/>
                <w:color w:val="1D1D1B"/>
                <w:szCs w:val="20"/>
                <w:lang w:val="en-US"/>
              </w:rPr>
              <w:t>1.A.2.e Food and beverages/liquid fuels/CO</w:t>
            </w:r>
            <w:r w:rsidRPr="008977F1">
              <w:rPr>
                <w:rFonts w:cs="MyriadPro-Regular"/>
                <w:color w:val="1D1D1B"/>
                <w:szCs w:val="20"/>
                <w:vertAlign w:val="subscript"/>
                <w:lang w:val="en-US"/>
              </w:rPr>
              <w:t>2</w:t>
            </w:r>
          </w:p>
        </w:tc>
        <w:tc>
          <w:tcPr>
            <w:tcW w:w="2410" w:type="dxa"/>
          </w:tcPr>
          <w:p w14:paraId="23B91263" w14:textId="405FA8B2" w:rsidR="00E04F40" w:rsidRDefault="00E04F40" w:rsidP="00E04F40">
            <w:pPr>
              <w:autoSpaceDE w:val="0"/>
              <w:autoSpaceDN w:val="0"/>
              <w:adjustRightInd w:val="0"/>
              <w:jc w:val="center"/>
              <w:rPr>
                <w:rFonts w:cs="MyriadPro-Regular"/>
                <w:color w:val="1D1D1B"/>
                <w:szCs w:val="20"/>
                <w:lang w:val="en-US"/>
              </w:rPr>
            </w:pPr>
          </w:p>
        </w:tc>
        <w:tc>
          <w:tcPr>
            <w:tcW w:w="2404" w:type="dxa"/>
          </w:tcPr>
          <w:p w14:paraId="0E0319BD" w14:textId="34378000" w:rsidR="00E04F40" w:rsidRDefault="00E04F40" w:rsidP="00E04F40">
            <w:pPr>
              <w:autoSpaceDE w:val="0"/>
              <w:autoSpaceDN w:val="0"/>
              <w:adjustRightInd w:val="0"/>
              <w:jc w:val="center"/>
              <w:rPr>
                <w:rFonts w:cs="MyriadPro-Regular"/>
                <w:color w:val="1D1D1B"/>
                <w:szCs w:val="20"/>
                <w:lang w:val="en-US"/>
              </w:rPr>
            </w:pPr>
            <w:r>
              <w:rPr>
                <w:rFonts w:cs="MyriadPro-Regular"/>
                <w:color w:val="1D1D1B"/>
                <w:szCs w:val="20"/>
                <w:lang w:val="en-US"/>
              </w:rPr>
              <w:t>15 (1.8%)</w:t>
            </w:r>
          </w:p>
        </w:tc>
      </w:tr>
      <w:tr w:rsidR="00E04F40" w14:paraId="41D7F039" w14:textId="77777777">
        <w:tc>
          <w:tcPr>
            <w:tcW w:w="4248" w:type="dxa"/>
          </w:tcPr>
          <w:p w14:paraId="0102FC6B" w14:textId="50363D24" w:rsidR="00E04F40" w:rsidRDefault="00E04F40" w:rsidP="00E04F40">
            <w:pPr>
              <w:autoSpaceDE w:val="0"/>
              <w:autoSpaceDN w:val="0"/>
              <w:adjustRightInd w:val="0"/>
              <w:rPr>
                <w:rFonts w:cs="MyriadPro-Regular"/>
                <w:color w:val="1D1D1B"/>
                <w:szCs w:val="20"/>
                <w:lang w:val="en-US"/>
              </w:rPr>
            </w:pPr>
            <w:r>
              <w:rPr>
                <w:rFonts w:cs="MyriadPro-Regular"/>
                <w:color w:val="1D1D1B"/>
                <w:szCs w:val="20"/>
                <w:lang w:val="en-US"/>
              </w:rPr>
              <w:t>1.A.2.e Food and beverages/solid fuels/CO</w:t>
            </w:r>
            <w:r w:rsidRPr="008977F1">
              <w:rPr>
                <w:rFonts w:cs="MyriadPro-Regular"/>
                <w:color w:val="1D1D1B"/>
                <w:szCs w:val="20"/>
                <w:vertAlign w:val="subscript"/>
                <w:lang w:val="en-US"/>
              </w:rPr>
              <w:t>2</w:t>
            </w:r>
          </w:p>
        </w:tc>
        <w:tc>
          <w:tcPr>
            <w:tcW w:w="2410" w:type="dxa"/>
          </w:tcPr>
          <w:p w14:paraId="6A9A35D6" w14:textId="71129B9C" w:rsidR="00E04F40" w:rsidRDefault="00E04F40" w:rsidP="00E04F40">
            <w:pPr>
              <w:autoSpaceDE w:val="0"/>
              <w:autoSpaceDN w:val="0"/>
              <w:adjustRightInd w:val="0"/>
              <w:jc w:val="center"/>
              <w:rPr>
                <w:rFonts w:cs="MyriadPro-Regular"/>
                <w:color w:val="1D1D1B"/>
                <w:szCs w:val="20"/>
                <w:lang w:val="en-US"/>
              </w:rPr>
            </w:pPr>
          </w:p>
        </w:tc>
        <w:tc>
          <w:tcPr>
            <w:tcW w:w="2404" w:type="dxa"/>
          </w:tcPr>
          <w:p w14:paraId="39104FF3" w14:textId="4BD4704F" w:rsidR="00E04F40" w:rsidRDefault="00E04F40" w:rsidP="00E04F40">
            <w:pPr>
              <w:autoSpaceDE w:val="0"/>
              <w:autoSpaceDN w:val="0"/>
              <w:adjustRightInd w:val="0"/>
              <w:jc w:val="center"/>
              <w:rPr>
                <w:rFonts w:cs="MyriadPro-Regular"/>
                <w:color w:val="1D1D1B"/>
                <w:szCs w:val="20"/>
                <w:lang w:val="en-US"/>
              </w:rPr>
            </w:pPr>
            <w:r>
              <w:rPr>
                <w:rFonts w:cs="MyriadPro-Regular"/>
                <w:color w:val="1D1D1B"/>
                <w:szCs w:val="20"/>
                <w:lang w:val="en-US"/>
              </w:rPr>
              <w:t>16 (1.8%)</w:t>
            </w:r>
          </w:p>
        </w:tc>
      </w:tr>
      <w:tr w:rsidR="00E04F40" w14:paraId="2704BA3F" w14:textId="77777777">
        <w:tc>
          <w:tcPr>
            <w:tcW w:w="4248" w:type="dxa"/>
          </w:tcPr>
          <w:p w14:paraId="14279779" w14:textId="2FE5658F" w:rsidR="00E04F40" w:rsidRDefault="00E04F40" w:rsidP="00E04F40">
            <w:pPr>
              <w:autoSpaceDE w:val="0"/>
              <w:autoSpaceDN w:val="0"/>
              <w:adjustRightInd w:val="0"/>
              <w:rPr>
                <w:rFonts w:cs="MyriadPro-Regular"/>
                <w:color w:val="1D1D1B"/>
                <w:szCs w:val="20"/>
                <w:lang w:val="en-US"/>
              </w:rPr>
            </w:pPr>
            <w:r>
              <w:rPr>
                <w:rFonts w:cs="MyriadPro-Regular"/>
                <w:color w:val="1D1D1B"/>
                <w:szCs w:val="20"/>
                <w:lang w:val="en-US"/>
              </w:rPr>
              <w:t>1.A.2.c Chemicals/gaseous fuels/CO</w:t>
            </w:r>
            <w:r w:rsidRPr="008977F1">
              <w:rPr>
                <w:rFonts w:cs="MyriadPro-Regular"/>
                <w:color w:val="1D1D1B"/>
                <w:szCs w:val="20"/>
                <w:vertAlign w:val="subscript"/>
                <w:lang w:val="en-US"/>
              </w:rPr>
              <w:t>2</w:t>
            </w:r>
          </w:p>
        </w:tc>
        <w:tc>
          <w:tcPr>
            <w:tcW w:w="2410" w:type="dxa"/>
          </w:tcPr>
          <w:p w14:paraId="4DEAAB7D" w14:textId="77777777" w:rsidR="00E04F40" w:rsidRDefault="00E04F40" w:rsidP="00E04F40">
            <w:pPr>
              <w:autoSpaceDE w:val="0"/>
              <w:autoSpaceDN w:val="0"/>
              <w:adjustRightInd w:val="0"/>
              <w:jc w:val="center"/>
              <w:rPr>
                <w:rFonts w:cs="MyriadPro-Regular"/>
                <w:color w:val="1D1D1B"/>
                <w:szCs w:val="20"/>
                <w:lang w:val="en-US"/>
              </w:rPr>
            </w:pPr>
          </w:p>
        </w:tc>
        <w:tc>
          <w:tcPr>
            <w:tcW w:w="2404" w:type="dxa"/>
          </w:tcPr>
          <w:p w14:paraId="3EC1AC88" w14:textId="0E75F725" w:rsidR="00E04F40" w:rsidRDefault="00E04F40" w:rsidP="00E04F40">
            <w:pPr>
              <w:autoSpaceDE w:val="0"/>
              <w:autoSpaceDN w:val="0"/>
              <w:adjustRightInd w:val="0"/>
              <w:jc w:val="center"/>
              <w:rPr>
                <w:rFonts w:cs="MyriadPro-Regular"/>
                <w:color w:val="1D1D1B"/>
                <w:szCs w:val="20"/>
                <w:lang w:val="en-US"/>
              </w:rPr>
            </w:pPr>
            <w:r>
              <w:rPr>
                <w:rFonts w:cs="MyriadPro-Regular"/>
                <w:color w:val="1D1D1B"/>
                <w:szCs w:val="20"/>
                <w:lang w:val="en-US"/>
              </w:rPr>
              <w:t>17 (1.6%)</w:t>
            </w:r>
          </w:p>
        </w:tc>
      </w:tr>
      <w:tr w:rsidR="00E04F40" w14:paraId="596CC8C3" w14:textId="77777777">
        <w:tc>
          <w:tcPr>
            <w:tcW w:w="4248" w:type="dxa"/>
          </w:tcPr>
          <w:p w14:paraId="7B69B862" w14:textId="7B33EF4C" w:rsidR="00E04F40" w:rsidRDefault="00E04F40" w:rsidP="00E04F40">
            <w:pPr>
              <w:autoSpaceDE w:val="0"/>
              <w:autoSpaceDN w:val="0"/>
              <w:adjustRightInd w:val="0"/>
              <w:rPr>
                <w:rFonts w:cs="MyriadPro-Regular"/>
                <w:color w:val="1D1D1B"/>
                <w:szCs w:val="20"/>
                <w:lang w:val="en-US"/>
              </w:rPr>
            </w:pPr>
            <w:r>
              <w:rPr>
                <w:rFonts w:cs="MyriadPro-Regular"/>
                <w:color w:val="1D1D1B"/>
                <w:szCs w:val="20"/>
                <w:lang w:val="en-US"/>
              </w:rPr>
              <w:t>1.A.2.</w:t>
            </w:r>
            <w:r w:rsidR="00612A54">
              <w:rPr>
                <w:rFonts w:cs="MyriadPro-Regular"/>
                <w:color w:val="1D1D1B"/>
                <w:szCs w:val="20"/>
                <w:lang w:val="en-US"/>
              </w:rPr>
              <w:t>g.v</w:t>
            </w:r>
            <w:r>
              <w:rPr>
                <w:rFonts w:cs="MyriadPro-Regular"/>
                <w:color w:val="1D1D1B"/>
                <w:szCs w:val="20"/>
                <w:lang w:val="en-US"/>
              </w:rPr>
              <w:t xml:space="preserve"> Construction/gaseous fuels/CO</w:t>
            </w:r>
            <w:r w:rsidRPr="008977F1">
              <w:rPr>
                <w:rFonts w:cs="MyriadPro-Regular"/>
                <w:color w:val="1D1D1B"/>
                <w:szCs w:val="20"/>
                <w:vertAlign w:val="subscript"/>
                <w:lang w:val="en-US"/>
              </w:rPr>
              <w:t>2</w:t>
            </w:r>
          </w:p>
        </w:tc>
        <w:tc>
          <w:tcPr>
            <w:tcW w:w="2410" w:type="dxa"/>
          </w:tcPr>
          <w:p w14:paraId="21D37BF8" w14:textId="0043CF23" w:rsidR="00E04F40" w:rsidRDefault="00E04F40" w:rsidP="00E04F40">
            <w:pPr>
              <w:autoSpaceDE w:val="0"/>
              <w:autoSpaceDN w:val="0"/>
              <w:adjustRightInd w:val="0"/>
              <w:jc w:val="center"/>
              <w:rPr>
                <w:rFonts w:cs="MyriadPro-Regular"/>
                <w:color w:val="1D1D1B"/>
                <w:szCs w:val="20"/>
                <w:lang w:val="en-US"/>
              </w:rPr>
            </w:pPr>
          </w:p>
        </w:tc>
        <w:tc>
          <w:tcPr>
            <w:tcW w:w="2404" w:type="dxa"/>
          </w:tcPr>
          <w:p w14:paraId="49479004" w14:textId="5FCAEBE1" w:rsidR="00E04F40" w:rsidRDefault="00E04F40" w:rsidP="00E04F40">
            <w:pPr>
              <w:autoSpaceDE w:val="0"/>
              <w:autoSpaceDN w:val="0"/>
              <w:adjustRightInd w:val="0"/>
              <w:jc w:val="center"/>
              <w:rPr>
                <w:rFonts w:cs="MyriadPro-Regular"/>
                <w:color w:val="1D1D1B"/>
                <w:szCs w:val="20"/>
                <w:lang w:val="en-US"/>
              </w:rPr>
            </w:pPr>
            <w:r>
              <w:rPr>
                <w:rFonts w:cs="MyriadPro-Regular"/>
                <w:color w:val="1D1D1B"/>
                <w:szCs w:val="20"/>
                <w:lang w:val="en-US"/>
              </w:rPr>
              <w:t>19 (1.6%)</w:t>
            </w:r>
          </w:p>
        </w:tc>
      </w:tr>
      <w:tr w:rsidR="00E04F40" w14:paraId="5F7055F0" w14:textId="77777777">
        <w:tc>
          <w:tcPr>
            <w:tcW w:w="4248" w:type="dxa"/>
          </w:tcPr>
          <w:p w14:paraId="3D5EBC7A" w14:textId="43D1ABBC" w:rsidR="00E04F40" w:rsidRDefault="00E04F40" w:rsidP="00E04F40">
            <w:pPr>
              <w:autoSpaceDE w:val="0"/>
              <w:autoSpaceDN w:val="0"/>
              <w:adjustRightInd w:val="0"/>
              <w:rPr>
                <w:rFonts w:cs="MyriadPro-Regular"/>
                <w:color w:val="1D1D1B"/>
                <w:szCs w:val="20"/>
                <w:lang w:val="en-US"/>
              </w:rPr>
            </w:pPr>
            <w:r>
              <w:rPr>
                <w:rFonts w:cs="MyriadPro-Regular"/>
                <w:color w:val="1D1D1B"/>
                <w:szCs w:val="20"/>
                <w:lang w:val="en-US"/>
              </w:rPr>
              <w:t>1.A.2.</w:t>
            </w:r>
            <w:proofErr w:type="spellStart"/>
            <w:r>
              <w:rPr>
                <w:rFonts w:cs="MyriadPro-Regular"/>
                <w:color w:val="1D1D1B"/>
                <w:szCs w:val="20"/>
                <w:lang w:val="en-US"/>
              </w:rPr>
              <w:t>a</w:t>
            </w:r>
            <w:proofErr w:type="spellEnd"/>
            <w:r>
              <w:rPr>
                <w:rFonts w:cs="MyriadPro-Regular"/>
                <w:color w:val="1D1D1B"/>
                <w:szCs w:val="20"/>
                <w:lang w:val="en-US"/>
              </w:rPr>
              <w:t xml:space="preserve"> Iron and steel/liquid fuels/CO</w:t>
            </w:r>
            <w:r w:rsidRPr="008977F1">
              <w:rPr>
                <w:rFonts w:cs="MyriadPro-Regular"/>
                <w:color w:val="1D1D1B"/>
                <w:szCs w:val="20"/>
                <w:vertAlign w:val="subscript"/>
                <w:lang w:val="en-US"/>
              </w:rPr>
              <w:t>2</w:t>
            </w:r>
          </w:p>
        </w:tc>
        <w:tc>
          <w:tcPr>
            <w:tcW w:w="2410" w:type="dxa"/>
          </w:tcPr>
          <w:p w14:paraId="767173C7" w14:textId="69E18736" w:rsidR="00E04F40" w:rsidRDefault="00E04F40" w:rsidP="00E04F40">
            <w:pPr>
              <w:autoSpaceDE w:val="0"/>
              <w:autoSpaceDN w:val="0"/>
              <w:adjustRightInd w:val="0"/>
              <w:jc w:val="center"/>
              <w:rPr>
                <w:rFonts w:cs="MyriadPro-Regular"/>
                <w:color w:val="1D1D1B"/>
                <w:szCs w:val="20"/>
                <w:lang w:val="en-US"/>
              </w:rPr>
            </w:pPr>
          </w:p>
        </w:tc>
        <w:tc>
          <w:tcPr>
            <w:tcW w:w="2404" w:type="dxa"/>
          </w:tcPr>
          <w:p w14:paraId="797382DD" w14:textId="5DB61540" w:rsidR="00E04F40" w:rsidRDefault="00E04F40" w:rsidP="00E04F40">
            <w:pPr>
              <w:autoSpaceDE w:val="0"/>
              <w:autoSpaceDN w:val="0"/>
              <w:adjustRightInd w:val="0"/>
              <w:jc w:val="center"/>
              <w:rPr>
                <w:rFonts w:cs="MyriadPro-Regular"/>
                <w:color w:val="1D1D1B"/>
                <w:szCs w:val="20"/>
                <w:lang w:val="en-US"/>
              </w:rPr>
            </w:pPr>
            <w:r>
              <w:rPr>
                <w:rFonts w:cs="MyriadPro-Regular"/>
                <w:color w:val="1D1D1B"/>
                <w:szCs w:val="20"/>
                <w:lang w:val="en-US"/>
              </w:rPr>
              <w:t>35 (0.6%)</w:t>
            </w:r>
          </w:p>
        </w:tc>
      </w:tr>
      <w:tr w:rsidR="00E04F40" w14:paraId="66B68D67" w14:textId="77777777">
        <w:tc>
          <w:tcPr>
            <w:tcW w:w="4248" w:type="dxa"/>
          </w:tcPr>
          <w:p w14:paraId="739DC98D" w14:textId="6FC963F1" w:rsidR="00E04F40" w:rsidRDefault="00E04F40" w:rsidP="00E04F40">
            <w:pPr>
              <w:autoSpaceDE w:val="0"/>
              <w:autoSpaceDN w:val="0"/>
              <w:adjustRightInd w:val="0"/>
              <w:rPr>
                <w:rFonts w:cs="MyriadPro-Regular"/>
                <w:color w:val="1D1D1B"/>
                <w:szCs w:val="20"/>
                <w:lang w:val="en-US"/>
              </w:rPr>
            </w:pPr>
            <w:r>
              <w:rPr>
                <w:rFonts w:cs="MyriadPro-Regular"/>
                <w:color w:val="1D1D1B"/>
                <w:szCs w:val="20"/>
                <w:lang w:val="en-US"/>
              </w:rPr>
              <w:t>1.A.2.b Non-ferrous metals/solid fuels/CO</w:t>
            </w:r>
            <w:r w:rsidRPr="008977F1">
              <w:rPr>
                <w:rFonts w:cs="MyriadPro-Regular"/>
                <w:color w:val="1D1D1B"/>
                <w:szCs w:val="20"/>
                <w:vertAlign w:val="subscript"/>
                <w:lang w:val="en-US"/>
              </w:rPr>
              <w:t>2</w:t>
            </w:r>
          </w:p>
        </w:tc>
        <w:tc>
          <w:tcPr>
            <w:tcW w:w="2410" w:type="dxa"/>
          </w:tcPr>
          <w:p w14:paraId="074A1F9C" w14:textId="77777777" w:rsidR="00E04F40" w:rsidRDefault="00E04F40" w:rsidP="00E04F40">
            <w:pPr>
              <w:autoSpaceDE w:val="0"/>
              <w:autoSpaceDN w:val="0"/>
              <w:adjustRightInd w:val="0"/>
              <w:jc w:val="center"/>
              <w:rPr>
                <w:rFonts w:cs="MyriadPro-Regular"/>
                <w:color w:val="1D1D1B"/>
                <w:szCs w:val="20"/>
                <w:lang w:val="en-US"/>
              </w:rPr>
            </w:pPr>
          </w:p>
        </w:tc>
        <w:tc>
          <w:tcPr>
            <w:tcW w:w="2404" w:type="dxa"/>
          </w:tcPr>
          <w:p w14:paraId="41AB610A" w14:textId="1C0BF5BC" w:rsidR="00E04F40" w:rsidRDefault="00E04F40" w:rsidP="00E04F40">
            <w:pPr>
              <w:autoSpaceDE w:val="0"/>
              <w:autoSpaceDN w:val="0"/>
              <w:adjustRightInd w:val="0"/>
              <w:jc w:val="center"/>
              <w:rPr>
                <w:rFonts w:cs="MyriadPro-Regular"/>
                <w:color w:val="1D1D1B"/>
                <w:szCs w:val="20"/>
                <w:lang w:val="en-US"/>
              </w:rPr>
            </w:pPr>
            <w:r>
              <w:rPr>
                <w:rFonts w:cs="MyriadPro-Regular"/>
                <w:color w:val="1D1D1B"/>
                <w:szCs w:val="20"/>
                <w:lang w:val="en-US"/>
              </w:rPr>
              <w:t>40 (0.5%)</w:t>
            </w:r>
          </w:p>
        </w:tc>
      </w:tr>
      <w:tr w:rsidR="00E04F40" w14:paraId="338A0AD6" w14:textId="77777777">
        <w:tc>
          <w:tcPr>
            <w:tcW w:w="4248" w:type="dxa"/>
          </w:tcPr>
          <w:p w14:paraId="045BA148" w14:textId="0D66ED2A" w:rsidR="00E04F40" w:rsidRDefault="00E04F40" w:rsidP="00E04F40">
            <w:pPr>
              <w:autoSpaceDE w:val="0"/>
              <w:autoSpaceDN w:val="0"/>
              <w:adjustRightInd w:val="0"/>
              <w:rPr>
                <w:rFonts w:cs="MyriadPro-Regular"/>
                <w:color w:val="1D1D1B"/>
                <w:szCs w:val="20"/>
                <w:lang w:val="en-US"/>
              </w:rPr>
            </w:pPr>
            <w:r>
              <w:rPr>
                <w:rFonts w:cs="MyriadPro-Regular"/>
                <w:color w:val="1D1D1B"/>
                <w:szCs w:val="20"/>
                <w:lang w:val="en-US"/>
              </w:rPr>
              <w:t>1.A.2.</w:t>
            </w:r>
            <w:r w:rsidR="00612A54">
              <w:rPr>
                <w:rFonts w:cs="MyriadPro-Regular"/>
                <w:color w:val="1D1D1B"/>
                <w:szCs w:val="20"/>
                <w:lang w:val="en-US"/>
              </w:rPr>
              <w:t>g.v</w:t>
            </w:r>
            <w:r>
              <w:rPr>
                <w:rFonts w:cs="MyriadPro-Regular"/>
                <w:color w:val="1D1D1B"/>
                <w:szCs w:val="20"/>
                <w:lang w:val="en-US"/>
              </w:rPr>
              <w:t xml:space="preserve"> Construction/solid fuels/CO</w:t>
            </w:r>
            <w:r w:rsidRPr="008977F1">
              <w:rPr>
                <w:rFonts w:cs="MyriadPro-Regular"/>
                <w:color w:val="1D1D1B"/>
                <w:szCs w:val="20"/>
                <w:vertAlign w:val="subscript"/>
                <w:lang w:val="en-US"/>
              </w:rPr>
              <w:t>2</w:t>
            </w:r>
          </w:p>
        </w:tc>
        <w:tc>
          <w:tcPr>
            <w:tcW w:w="2410" w:type="dxa"/>
          </w:tcPr>
          <w:p w14:paraId="4A46FA1B" w14:textId="7F811593" w:rsidR="00E04F40" w:rsidRDefault="00E04F40" w:rsidP="00E04F40">
            <w:pPr>
              <w:autoSpaceDE w:val="0"/>
              <w:autoSpaceDN w:val="0"/>
              <w:adjustRightInd w:val="0"/>
              <w:jc w:val="center"/>
              <w:rPr>
                <w:rFonts w:cs="MyriadPro-Regular"/>
                <w:color w:val="1D1D1B"/>
                <w:szCs w:val="20"/>
                <w:lang w:val="en-US"/>
              </w:rPr>
            </w:pPr>
          </w:p>
        </w:tc>
        <w:tc>
          <w:tcPr>
            <w:tcW w:w="2404" w:type="dxa"/>
          </w:tcPr>
          <w:p w14:paraId="1FF5CB6E" w14:textId="093D3947" w:rsidR="00E04F40" w:rsidRDefault="00E04F40" w:rsidP="00E04F40">
            <w:pPr>
              <w:autoSpaceDE w:val="0"/>
              <w:autoSpaceDN w:val="0"/>
              <w:adjustRightInd w:val="0"/>
              <w:jc w:val="center"/>
              <w:rPr>
                <w:rFonts w:cs="MyriadPro-Regular"/>
                <w:color w:val="1D1D1B"/>
                <w:szCs w:val="20"/>
                <w:lang w:val="en-US"/>
              </w:rPr>
            </w:pPr>
            <w:r>
              <w:rPr>
                <w:rFonts w:cs="MyriadPro-Regular"/>
                <w:color w:val="1D1D1B"/>
                <w:szCs w:val="20"/>
                <w:lang w:val="en-US"/>
              </w:rPr>
              <w:t>43 (0.4%)</w:t>
            </w:r>
          </w:p>
        </w:tc>
      </w:tr>
      <w:tr w:rsidR="00E04F40" w14:paraId="08FDE110" w14:textId="77777777">
        <w:tc>
          <w:tcPr>
            <w:tcW w:w="4248" w:type="dxa"/>
          </w:tcPr>
          <w:p w14:paraId="51CE7F58" w14:textId="5C2A427C" w:rsidR="00E04F40" w:rsidRDefault="00E04F40" w:rsidP="00E04F40">
            <w:pPr>
              <w:autoSpaceDE w:val="0"/>
              <w:autoSpaceDN w:val="0"/>
              <w:adjustRightInd w:val="0"/>
              <w:rPr>
                <w:rFonts w:cs="MyriadPro-Regular"/>
                <w:color w:val="1D1D1B"/>
                <w:szCs w:val="20"/>
                <w:lang w:val="en-US"/>
              </w:rPr>
            </w:pPr>
            <w:r>
              <w:rPr>
                <w:rFonts w:cs="MyriadPro-Regular"/>
                <w:color w:val="1D1D1B"/>
                <w:szCs w:val="20"/>
                <w:lang w:val="en-US"/>
              </w:rPr>
              <w:t>1.A.2.</w:t>
            </w:r>
            <w:r w:rsidR="00612A54">
              <w:rPr>
                <w:rFonts w:cs="MyriadPro-Regular"/>
                <w:color w:val="1D1D1B"/>
                <w:szCs w:val="20"/>
                <w:lang w:val="en-US"/>
              </w:rPr>
              <w:t>g.vi</w:t>
            </w:r>
            <w:r>
              <w:rPr>
                <w:rFonts w:cs="MyriadPro-Regular"/>
                <w:color w:val="1D1D1B"/>
                <w:szCs w:val="20"/>
                <w:lang w:val="en-US"/>
              </w:rPr>
              <w:t xml:space="preserve"> Textiles and leather/liquid fuels/CO</w:t>
            </w:r>
            <w:r w:rsidRPr="008977F1">
              <w:rPr>
                <w:rFonts w:cs="MyriadPro-Regular"/>
                <w:color w:val="1D1D1B"/>
                <w:szCs w:val="20"/>
                <w:vertAlign w:val="subscript"/>
                <w:lang w:val="en-US"/>
              </w:rPr>
              <w:t>2</w:t>
            </w:r>
          </w:p>
        </w:tc>
        <w:tc>
          <w:tcPr>
            <w:tcW w:w="2410" w:type="dxa"/>
          </w:tcPr>
          <w:p w14:paraId="79F8375F" w14:textId="77777777" w:rsidR="00E04F40" w:rsidRDefault="00E04F40" w:rsidP="00E04F40">
            <w:pPr>
              <w:autoSpaceDE w:val="0"/>
              <w:autoSpaceDN w:val="0"/>
              <w:adjustRightInd w:val="0"/>
              <w:jc w:val="center"/>
              <w:rPr>
                <w:rFonts w:cs="MyriadPro-Regular"/>
                <w:color w:val="1D1D1B"/>
                <w:szCs w:val="20"/>
                <w:lang w:val="en-US"/>
              </w:rPr>
            </w:pPr>
          </w:p>
        </w:tc>
        <w:tc>
          <w:tcPr>
            <w:tcW w:w="2404" w:type="dxa"/>
          </w:tcPr>
          <w:p w14:paraId="427120A3" w14:textId="67CD2044" w:rsidR="00E04F40" w:rsidRDefault="00E04F40" w:rsidP="00E04F40">
            <w:pPr>
              <w:autoSpaceDE w:val="0"/>
              <w:autoSpaceDN w:val="0"/>
              <w:adjustRightInd w:val="0"/>
              <w:jc w:val="center"/>
              <w:rPr>
                <w:rFonts w:cs="MyriadPro-Regular"/>
                <w:color w:val="1D1D1B"/>
                <w:szCs w:val="20"/>
                <w:lang w:val="en-US"/>
              </w:rPr>
            </w:pPr>
            <w:r>
              <w:rPr>
                <w:rFonts w:cs="MyriadPro-Regular"/>
                <w:color w:val="1D1D1B"/>
                <w:szCs w:val="20"/>
                <w:lang w:val="en-US"/>
              </w:rPr>
              <w:t>47 (0.4%)</w:t>
            </w:r>
          </w:p>
        </w:tc>
      </w:tr>
      <w:tr w:rsidR="00E04F40" w14:paraId="4611459C" w14:textId="77777777">
        <w:tc>
          <w:tcPr>
            <w:tcW w:w="4248" w:type="dxa"/>
          </w:tcPr>
          <w:p w14:paraId="0EAFE01B" w14:textId="435BC537" w:rsidR="00E04F40" w:rsidRDefault="00E04F40" w:rsidP="00E04F40">
            <w:pPr>
              <w:autoSpaceDE w:val="0"/>
              <w:autoSpaceDN w:val="0"/>
              <w:adjustRightInd w:val="0"/>
              <w:rPr>
                <w:rFonts w:cs="MyriadPro-Regular"/>
                <w:color w:val="1D1D1B"/>
                <w:szCs w:val="20"/>
                <w:lang w:val="en-US"/>
              </w:rPr>
            </w:pPr>
            <w:r>
              <w:rPr>
                <w:rFonts w:cs="MyriadPro-Regular"/>
                <w:color w:val="1D1D1B"/>
                <w:szCs w:val="20"/>
                <w:lang w:val="en-US"/>
              </w:rPr>
              <w:t>1.A.2.b Non-ferrous metals/liquid fuels/CO</w:t>
            </w:r>
            <w:r w:rsidRPr="008977F1">
              <w:rPr>
                <w:rFonts w:cs="MyriadPro-Regular"/>
                <w:color w:val="1D1D1B"/>
                <w:szCs w:val="20"/>
                <w:vertAlign w:val="subscript"/>
                <w:lang w:val="en-US"/>
              </w:rPr>
              <w:t>2</w:t>
            </w:r>
          </w:p>
        </w:tc>
        <w:tc>
          <w:tcPr>
            <w:tcW w:w="2410" w:type="dxa"/>
          </w:tcPr>
          <w:p w14:paraId="0C35359E" w14:textId="77777777" w:rsidR="00E04F40" w:rsidRDefault="00E04F40" w:rsidP="00E04F40">
            <w:pPr>
              <w:autoSpaceDE w:val="0"/>
              <w:autoSpaceDN w:val="0"/>
              <w:adjustRightInd w:val="0"/>
              <w:jc w:val="center"/>
              <w:rPr>
                <w:rFonts w:cs="MyriadPro-Regular"/>
                <w:color w:val="1D1D1B"/>
                <w:szCs w:val="20"/>
                <w:lang w:val="en-US"/>
              </w:rPr>
            </w:pPr>
          </w:p>
        </w:tc>
        <w:tc>
          <w:tcPr>
            <w:tcW w:w="2404" w:type="dxa"/>
          </w:tcPr>
          <w:p w14:paraId="70569EA6" w14:textId="32A9BA21" w:rsidR="00E04F40" w:rsidRDefault="00E04F40" w:rsidP="00E04F40">
            <w:pPr>
              <w:autoSpaceDE w:val="0"/>
              <w:autoSpaceDN w:val="0"/>
              <w:adjustRightInd w:val="0"/>
              <w:jc w:val="center"/>
              <w:rPr>
                <w:rFonts w:cs="MyriadPro-Regular"/>
                <w:color w:val="1D1D1B"/>
                <w:szCs w:val="20"/>
                <w:lang w:val="en-US"/>
              </w:rPr>
            </w:pPr>
            <w:r>
              <w:rPr>
                <w:rFonts w:cs="MyriadPro-Regular"/>
                <w:color w:val="1D1D1B"/>
                <w:szCs w:val="20"/>
                <w:lang w:val="en-US"/>
              </w:rPr>
              <w:t>48 (0.4%)</w:t>
            </w:r>
          </w:p>
        </w:tc>
      </w:tr>
      <w:tr w:rsidR="00E04F40" w14:paraId="3CCF649B" w14:textId="77777777">
        <w:tc>
          <w:tcPr>
            <w:tcW w:w="4248" w:type="dxa"/>
          </w:tcPr>
          <w:p w14:paraId="1FA83C87" w14:textId="34565416" w:rsidR="00E04F40" w:rsidRDefault="00E04F40" w:rsidP="00E04F40">
            <w:pPr>
              <w:autoSpaceDE w:val="0"/>
              <w:autoSpaceDN w:val="0"/>
              <w:adjustRightInd w:val="0"/>
              <w:rPr>
                <w:rFonts w:cs="MyriadPro-Regular"/>
                <w:color w:val="1D1D1B"/>
                <w:szCs w:val="20"/>
                <w:lang w:val="en-US"/>
              </w:rPr>
            </w:pPr>
            <w:r>
              <w:rPr>
                <w:rFonts w:cs="MyriadPro-Regular"/>
                <w:color w:val="1D1D1B"/>
                <w:szCs w:val="20"/>
                <w:lang w:val="en-US"/>
              </w:rPr>
              <w:t>1.A.2.c Chemicals/liquid fuels/CO</w:t>
            </w:r>
            <w:r w:rsidRPr="008977F1">
              <w:rPr>
                <w:rFonts w:cs="MyriadPro-Regular"/>
                <w:color w:val="1D1D1B"/>
                <w:szCs w:val="20"/>
                <w:vertAlign w:val="subscript"/>
                <w:lang w:val="en-US"/>
              </w:rPr>
              <w:t>2</w:t>
            </w:r>
          </w:p>
        </w:tc>
        <w:tc>
          <w:tcPr>
            <w:tcW w:w="2410" w:type="dxa"/>
          </w:tcPr>
          <w:p w14:paraId="1426CC21" w14:textId="77777777" w:rsidR="00E04F40" w:rsidRDefault="00E04F40" w:rsidP="00E04F40">
            <w:pPr>
              <w:autoSpaceDE w:val="0"/>
              <w:autoSpaceDN w:val="0"/>
              <w:adjustRightInd w:val="0"/>
              <w:jc w:val="center"/>
              <w:rPr>
                <w:rFonts w:cs="MyriadPro-Regular"/>
                <w:color w:val="1D1D1B"/>
                <w:szCs w:val="20"/>
                <w:lang w:val="en-US"/>
              </w:rPr>
            </w:pPr>
          </w:p>
        </w:tc>
        <w:tc>
          <w:tcPr>
            <w:tcW w:w="2404" w:type="dxa"/>
          </w:tcPr>
          <w:p w14:paraId="2F71D399" w14:textId="6EE4B07F" w:rsidR="00E04F40" w:rsidRDefault="00E04F40" w:rsidP="00E04F40">
            <w:pPr>
              <w:autoSpaceDE w:val="0"/>
              <w:autoSpaceDN w:val="0"/>
              <w:adjustRightInd w:val="0"/>
              <w:jc w:val="center"/>
              <w:rPr>
                <w:rFonts w:cs="MyriadPro-Regular"/>
                <w:color w:val="1D1D1B"/>
                <w:szCs w:val="20"/>
                <w:lang w:val="en-US"/>
              </w:rPr>
            </w:pPr>
            <w:r>
              <w:rPr>
                <w:rFonts w:cs="MyriadPro-Regular"/>
                <w:color w:val="1D1D1B"/>
                <w:szCs w:val="20"/>
                <w:lang w:val="en-US"/>
              </w:rPr>
              <w:t>50 (0.3%)</w:t>
            </w:r>
          </w:p>
        </w:tc>
      </w:tr>
      <w:tr w:rsidR="00E04F40" w14:paraId="7A527345" w14:textId="77777777">
        <w:tc>
          <w:tcPr>
            <w:tcW w:w="4248" w:type="dxa"/>
          </w:tcPr>
          <w:p w14:paraId="7B5367D8" w14:textId="5653F68A" w:rsidR="00E04F40" w:rsidRDefault="00E04F40" w:rsidP="00E04F40">
            <w:pPr>
              <w:autoSpaceDE w:val="0"/>
              <w:autoSpaceDN w:val="0"/>
              <w:adjustRightInd w:val="0"/>
              <w:rPr>
                <w:rFonts w:cs="MyriadPro-Regular"/>
                <w:color w:val="1D1D1B"/>
                <w:szCs w:val="20"/>
                <w:lang w:val="en-US"/>
              </w:rPr>
            </w:pPr>
            <w:r>
              <w:rPr>
                <w:rFonts w:cs="MyriadPro-Regular"/>
                <w:color w:val="1D1D1B"/>
                <w:szCs w:val="20"/>
                <w:lang w:val="en-US"/>
              </w:rPr>
              <w:t>1.A.2.d Pulp, paper and print/gaseous fuels/CO</w:t>
            </w:r>
            <w:r w:rsidRPr="008977F1">
              <w:rPr>
                <w:rFonts w:cs="MyriadPro-Regular"/>
                <w:color w:val="1D1D1B"/>
                <w:szCs w:val="20"/>
                <w:vertAlign w:val="subscript"/>
                <w:lang w:val="en-US"/>
              </w:rPr>
              <w:t>2</w:t>
            </w:r>
          </w:p>
        </w:tc>
        <w:tc>
          <w:tcPr>
            <w:tcW w:w="2410" w:type="dxa"/>
          </w:tcPr>
          <w:p w14:paraId="49C3CBFE" w14:textId="77777777" w:rsidR="00E04F40" w:rsidRDefault="00E04F40" w:rsidP="00E04F40">
            <w:pPr>
              <w:autoSpaceDE w:val="0"/>
              <w:autoSpaceDN w:val="0"/>
              <w:adjustRightInd w:val="0"/>
              <w:jc w:val="center"/>
              <w:rPr>
                <w:rFonts w:cs="MyriadPro-Regular"/>
                <w:color w:val="1D1D1B"/>
                <w:szCs w:val="20"/>
                <w:lang w:val="en-US"/>
              </w:rPr>
            </w:pPr>
          </w:p>
        </w:tc>
        <w:tc>
          <w:tcPr>
            <w:tcW w:w="2404" w:type="dxa"/>
          </w:tcPr>
          <w:p w14:paraId="7775B94B" w14:textId="6E25F674" w:rsidR="00E04F40" w:rsidRDefault="00E04F40" w:rsidP="00E04F40">
            <w:pPr>
              <w:autoSpaceDE w:val="0"/>
              <w:autoSpaceDN w:val="0"/>
              <w:adjustRightInd w:val="0"/>
              <w:jc w:val="center"/>
              <w:rPr>
                <w:rFonts w:cs="MyriadPro-Regular"/>
                <w:color w:val="1D1D1B"/>
                <w:szCs w:val="20"/>
                <w:lang w:val="en-US"/>
              </w:rPr>
            </w:pPr>
            <w:r>
              <w:rPr>
                <w:rFonts w:cs="MyriadPro-Regular"/>
                <w:color w:val="1D1D1B"/>
                <w:szCs w:val="20"/>
                <w:lang w:val="en-US"/>
              </w:rPr>
              <w:t>53 (0.3%)</w:t>
            </w:r>
          </w:p>
        </w:tc>
      </w:tr>
      <w:tr w:rsidR="00E04F40" w14:paraId="37584EF1" w14:textId="77777777">
        <w:tc>
          <w:tcPr>
            <w:tcW w:w="4248" w:type="dxa"/>
          </w:tcPr>
          <w:p w14:paraId="481D162D" w14:textId="416CB6AD" w:rsidR="00E04F40" w:rsidRDefault="00E04F40" w:rsidP="00E04F40">
            <w:pPr>
              <w:autoSpaceDE w:val="0"/>
              <w:autoSpaceDN w:val="0"/>
              <w:adjustRightInd w:val="0"/>
              <w:rPr>
                <w:rFonts w:cs="MyriadPro-Regular"/>
                <w:color w:val="1D1D1B"/>
                <w:szCs w:val="20"/>
                <w:lang w:val="en-US"/>
              </w:rPr>
            </w:pPr>
            <w:r>
              <w:rPr>
                <w:rFonts w:cs="MyriadPro-Regular"/>
                <w:color w:val="1D1D1B"/>
                <w:szCs w:val="20"/>
                <w:lang w:val="en-US"/>
              </w:rPr>
              <w:t>1.A.2.b Non-ferrous metals/gaseous fuels/CO</w:t>
            </w:r>
            <w:r w:rsidRPr="008977F1">
              <w:rPr>
                <w:rFonts w:cs="MyriadPro-Regular"/>
                <w:color w:val="1D1D1B"/>
                <w:szCs w:val="20"/>
                <w:vertAlign w:val="subscript"/>
                <w:lang w:val="en-US"/>
              </w:rPr>
              <w:t>2</w:t>
            </w:r>
          </w:p>
        </w:tc>
        <w:tc>
          <w:tcPr>
            <w:tcW w:w="2410" w:type="dxa"/>
          </w:tcPr>
          <w:p w14:paraId="1EE89CC8" w14:textId="77777777" w:rsidR="00E04F40" w:rsidRDefault="00E04F40" w:rsidP="00E04F40">
            <w:pPr>
              <w:autoSpaceDE w:val="0"/>
              <w:autoSpaceDN w:val="0"/>
              <w:adjustRightInd w:val="0"/>
              <w:jc w:val="center"/>
              <w:rPr>
                <w:rFonts w:cs="MyriadPro-Regular"/>
                <w:color w:val="1D1D1B"/>
                <w:szCs w:val="20"/>
                <w:lang w:val="en-US"/>
              </w:rPr>
            </w:pPr>
          </w:p>
        </w:tc>
        <w:tc>
          <w:tcPr>
            <w:tcW w:w="2404" w:type="dxa"/>
          </w:tcPr>
          <w:p w14:paraId="5CD375BA" w14:textId="02A8F27A" w:rsidR="00E04F40" w:rsidRDefault="00E04F40" w:rsidP="00E04F40">
            <w:pPr>
              <w:autoSpaceDE w:val="0"/>
              <w:autoSpaceDN w:val="0"/>
              <w:adjustRightInd w:val="0"/>
              <w:jc w:val="center"/>
              <w:rPr>
                <w:rFonts w:cs="MyriadPro-Regular"/>
                <w:color w:val="1D1D1B"/>
                <w:szCs w:val="20"/>
                <w:lang w:val="en-US"/>
              </w:rPr>
            </w:pPr>
            <w:r>
              <w:rPr>
                <w:rFonts w:cs="MyriadPro-Regular"/>
                <w:color w:val="1D1D1B"/>
                <w:szCs w:val="20"/>
                <w:lang w:val="en-US"/>
              </w:rPr>
              <w:t>57 (0.2%)</w:t>
            </w:r>
          </w:p>
        </w:tc>
      </w:tr>
    </w:tbl>
    <w:p w14:paraId="3B520B96" w14:textId="77777777" w:rsidR="00A00C46" w:rsidRDefault="00A00C46" w:rsidP="007D1832">
      <w:pPr>
        <w:autoSpaceDE w:val="0"/>
        <w:autoSpaceDN w:val="0"/>
        <w:adjustRightInd w:val="0"/>
        <w:spacing w:after="0" w:line="240" w:lineRule="auto"/>
        <w:rPr>
          <w:rFonts w:cs="MyriadPro-Regular"/>
          <w:color w:val="1D1D1B"/>
          <w:szCs w:val="20"/>
          <w:lang w:val="en-US"/>
        </w:rPr>
      </w:pPr>
    </w:p>
    <w:p w14:paraId="628A491D" w14:textId="77777777" w:rsidR="00506DB7" w:rsidRPr="002462F0" w:rsidRDefault="007A00FE" w:rsidP="007A00FE">
      <w:pPr>
        <w:pStyle w:val="Titre4Bleu"/>
        <w:ind w:left="993" w:hanging="993"/>
        <w:rPr>
          <w:lang w:eastAsia="fr-FR"/>
        </w:rPr>
      </w:pPr>
      <w:bookmarkStart w:id="215" w:name="_Toc182327744"/>
      <w:r w:rsidRPr="002462F0">
        <w:rPr>
          <w:lang w:eastAsia="fr-FR"/>
        </w:rPr>
        <w:t>Methodological issues</w:t>
      </w:r>
      <w:bookmarkEnd w:id="215"/>
    </w:p>
    <w:p w14:paraId="6E23B726" w14:textId="74CC9A12" w:rsidR="00D45EE9" w:rsidRPr="002462F0" w:rsidRDefault="00D45EE9" w:rsidP="00D45EE9">
      <w:pPr>
        <w:pStyle w:val="BodyText"/>
        <w:rPr>
          <w:lang w:eastAsia="fr-FR"/>
        </w:rPr>
      </w:pPr>
      <w:r w:rsidRPr="002462F0">
        <w:rPr>
          <w:lang w:eastAsia="fr-FR"/>
        </w:rPr>
        <w:t xml:space="preserve">The Tier 1 method from the 2006 IPCC Guidelines is used to calculate the GHG emissions </w:t>
      </w:r>
      <w:r w:rsidR="00826E82">
        <w:rPr>
          <w:lang w:eastAsia="fr-FR"/>
        </w:rPr>
        <w:fldChar w:fldCharType="begin"/>
      </w:r>
      <w:r w:rsidR="00826E82">
        <w:rPr>
          <w:lang w:eastAsia="fr-FR"/>
        </w:rPr>
        <w:instrText xml:space="preserve"> REF _Ref496787649 \r \h </w:instrText>
      </w:r>
      <w:r w:rsidR="00826E82">
        <w:rPr>
          <w:lang w:eastAsia="fr-FR"/>
        </w:rPr>
      </w:r>
      <w:r w:rsidR="00826E82">
        <w:rPr>
          <w:lang w:eastAsia="fr-FR"/>
        </w:rPr>
        <w:fldChar w:fldCharType="separate"/>
      </w:r>
      <w:r w:rsidR="00F14C78">
        <w:rPr>
          <w:lang w:eastAsia="fr-FR"/>
        </w:rPr>
        <w:t>[E1]</w:t>
      </w:r>
      <w:r w:rsidR="00826E82">
        <w:rPr>
          <w:lang w:eastAsia="fr-FR"/>
        </w:rPr>
        <w:fldChar w:fldCharType="end"/>
      </w:r>
      <w:r w:rsidRPr="002462F0">
        <w:rPr>
          <w:lang w:eastAsia="fr-FR"/>
        </w:rPr>
        <w:t xml:space="preserve">. </w:t>
      </w:r>
    </w:p>
    <w:p w14:paraId="6B360FEF" w14:textId="3801C0FC" w:rsidR="00D45EE9" w:rsidRPr="002462F0" w:rsidRDefault="00D45EE9" w:rsidP="00D45EE9">
      <w:pPr>
        <w:pStyle w:val="BodyText"/>
        <w:rPr>
          <w:lang w:eastAsia="fr-FR"/>
        </w:rPr>
      </w:pPr>
      <w:r w:rsidRPr="002462F0">
        <w:rPr>
          <w:lang w:eastAsia="fr-FR"/>
        </w:rPr>
        <w:t xml:space="preserve">The activity data are the consumptions of fuels, which </w:t>
      </w:r>
      <w:r w:rsidR="00440E68">
        <w:rPr>
          <w:lang w:eastAsia="fr-FR"/>
        </w:rPr>
        <w:t>are sourced</w:t>
      </w:r>
      <w:r w:rsidRPr="002462F0">
        <w:rPr>
          <w:lang w:eastAsia="fr-FR"/>
        </w:rPr>
        <w:t xml:space="preserve"> from the national energy balance</w:t>
      </w:r>
      <w:r w:rsidR="00616765" w:rsidRPr="002462F0">
        <w:rPr>
          <w:lang w:eastAsia="fr-FR"/>
        </w:rPr>
        <w:t xml:space="preserve"> </w:t>
      </w:r>
      <w:r w:rsidR="00826E82">
        <w:rPr>
          <w:lang w:eastAsia="fr-FR"/>
        </w:rPr>
        <w:fldChar w:fldCharType="begin"/>
      </w:r>
      <w:r w:rsidR="00826E82">
        <w:rPr>
          <w:lang w:eastAsia="fr-FR"/>
        </w:rPr>
        <w:instrText xml:space="preserve"> REF _Ref496787656 \r \h </w:instrText>
      </w:r>
      <w:r w:rsidR="00826E82">
        <w:rPr>
          <w:lang w:eastAsia="fr-FR"/>
        </w:rPr>
      </w:r>
      <w:r w:rsidR="00826E82">
        <w:rPr>
          <w:lang w:eastAsia="fr-FR"/>
        </w:rPr>
        <w:fldChar w:fldCharType="separate"/>
      </w:r>
      <w:r w:rsidR="00F14C78">
        <w:rPr>
          <w:lang w:eastAsia="fr-FR"/>
        </w:rPr>
        <w:t>[E2]</w:t>
      </w:r>
      <w:r w:rsidR="00826E82">
        <w:rPr>
          <w:lang w:eastAsia="fr-FR"/>
        </w:rPr>
        <w:fldChar w:fldCharType="end"/>
      </w:r>
      <w:r w:rsidRPr="002462F0">
        <w:rPr>
          <w:lang w:eastAsia="fr-FR"/>
        </w:rPr>
        <w:t>.</w:t>
      </w:r>
      <w:r w:rsidR="005F1D43" w:rsidRPr="002462F0">
        <w:rPr>
          <w:lang w:eastAsia="fr-FR"/>
        </w:rPr>
        <w:t xml:space="preserve"> It has to be noticed that the non-energy use fuel consumptions are not reported in the 1A2 sector, but in the </w:t>
      </w:r>
      <w:r w:rsidR="000F6001">
        <w:rPr>
          <w:lang w:eastAsia="fr-FR"/>
        </w:rPr>
        <w:t>CRT</w:t>
      </w:r>
      <w:r w:rsidR="00613A14" w:rsidRPr="002462F0">
        <w:rPr>
          <w:lang w:eastAsia="fr-FR"/>
        </w:rPr>
        <w:t xml:space="preserve"> 2-I</w:t>
      </w:r>
      <w:r w:rsidR="005F1D43" w:rsidRPr="002462F0">
        <w:rPr>
          <w:lang w:eastAsia="fr-FR"/>
        </w:rPr>
        <w:t>ndustrial processes</w:t>
      </w:r>
      <w:r w:rsidR="00613A14" w:rsidRPr="002462F0">
        <w:rPr>
          <w:lang w:eastAsia="fr-FR"/>
        </w:rPr>
        <w:t xml:space="preserve"> sector.</w:t>
      </w:r>
    </w:p>
    <w:p w14:paraId="7E60BFCF" w14:textId="014EAEC6" w:rsidR="00D45EE9" w:rsidRPr="002462F0" w:rsidRDefault="00417F3F" w:rsidP="00D45EE9">
      <w:pPr>
        <w:pStyle w:val="BodyText"/>
        <w:rPr>
          <w:lang w:eastAsia="fr-FR"/>
        </w:rPr>
      </w:pPr>
      <w:r w:rsidRPr="002462F0">
        <w:rPr>
          <w:lang w:eastAsia="fr-FR"/>
        </w:rPr>
        <w:t>Default emissions factors (CO</w:t>
      </w:r>
      <w:r w:rsidRPr="002462F0">
        <w:rPr>
          <w:vertAlign w:val="subscript"/>
          <w:lang w:eastAsia="fr-FR"/>
        </w:rPr>
        <w:t>2</w:t>
      </w:r>
      <w:r w:rsidRPr="002462F0">
        <w:rPr>
          <w:lang w:eastAsia="fr-FR"/>
        </w:rPr>
        <w:t>, CH</w:t>
      </w:r>
      <w:r w:rsidRPr="002462F0">
        <w:rPr>
          <w:vertAlign w:val="subscript"/>
          <w:lang w:eastAsia="fr-FR"/>
        </w:rPr>
        <w:t>4</w:t>
      </w:r>
      <w:r w:rsidRPr="002462F0">
        <w:rPr>
          <w:lang w:eastAsia="fr-FR"/>
        </w:rPr>
        <w:t>, N</w:t>
      </w:r>
      <w:r w:rsidRPr="002462F0">
        <w:rPr>
          <w:vertAlign w:val="subscript"/>
          <w:lang w:eastAsia="fr-FR"/>
        </w:rPr>
        <w:t>2</w:t>
      </w:r>
      <w:r w:rsidRPr="002462F0">
        <w:rPr>
          <w:lang w:eastAsia="fr-FR"/>
        </w:rPr>
        <w:t xml:space="preserve">O) are used to calculate emissions. Default values </w:t>
      </w:r>
      <w:r w:rsidR="00440E68">
        <w:rPr>
          <w:lang w:eastAsia="fr-FR"/>
        </w:rPr>
        <w:t>are sourced</w:t>
      </w:r>
      <w:r w:rsidRPr="002462F0">
        <w:rPr>
          <w:lang w:eastAsia="fr-FR"/>
        </w:rPr>
        <w:t xml:space="preserve"> from the 2006 IPCC Guidelines </w:t>
      </w:r>
      <w:r w:rsidR="00826E82">
        <w:rPr>
          <w:lang w:eastAsia="fr-FR"/>
        </w:rPr>
        <w:fldChar w:fldCharType="begin"/>
      </w:r>
      <w:r w:rsidR="00826E82">
        <w:rPr>
          <w:lang w:eastAsia="fr-FR"/>
        </w:rPr>
        <w:instrText xml:space="preserve"> REF _Ref496787669 \r \h </w:instrText>
      </w:r>
      <w:r w:rsidR="00826E82">
        <w:rPr>
          <w:lang w:eastAsia="fr-FR"/>
        </w:rPr>
      </w:r>
      <w:r w:rsidR="00826E82">
        <w:rPr>
          <w:lang w:eastAsia="fr-FR"/>
        </w:rPr>
        <w:fldChar w:fldCharType="separate"/>
      </w:r>
      <w:r w:rsidR="00F14C78">
        <w:rPr>
          <w:lang w:eastAsia="fr-FR"/>
        </w:rPr>
        <w:t>[E3]</w:t>
      </w:r>
      <w:r w:rsidR="00826E82">
        <w:rPr>
          <w:lang w:eastAsia="fr-FR"/>
        </w:rPr>
        <w:fldChar w:fldCharType="end"/>
      </w:r>
      <w:r w:rsidR="00D84C41">
        <w:rPr>
          <w:lang w:eastAsia="fr-FR"/>
        </w:rPr>
        <w:t>, and the applied CO</w:t>
      </w:r>
      <w:r w:rsidR="00D84C41" w:rsidRPr="008977F1">
        <w:rPr>
          <w:vertAlign w:val="subscript"/>
          <w:lang w:eastAsia="fr-FR"/>
        </w:rPr>
        <w:t>2</w:t>
      </w:r>
      <w:r w:rsidR="00D84C41">
        <w:rPr>
          <w:lang w:eastAsia="fr-FR"/>
        </w:rPr>
        <w:t xml:space="preserve"> EF are presented in Chapter </w:t>
      </w:r>
      <w:r w:rsidR="00D84C41">
        <w:rPr>
          <w:lang w:eastAsia="fr-FR"/>
        </w:rPr>
        <w:fldChar w:fldCharType="begin"/>
      </w:r>
      <w:r w:rsidR="00D84C41">
        <w:rPr>
          <w:lang w:eastAsia="fr-FR"/>
        </w:rPr>
        <w:instrText xml:space="preserve"> REF _Ref175130250 \r \h </w:instrText>
      </w:r>
      <w:r w:rsidR="00D84C41">
        <w:rPr>
          <w:lang w:eastAsia="fr-FR"/>
        </w:rPr>
      </w:r>
      <w:r w:rsidR="00D84C41">
        <w:rPr>
          <w:lang w:eastAsia="fr-FR"/>
        </w:rPr>
        <w:fldChar w:fldCharType="separate"/>
      </w:r>
      <w:r w:rsidR="00F14C78">
        <w:rPr>
          <w:lang w:eastAsia="fr-FR"/>
        </w:rPr>
        <w:t>3.2.4</w:t>
      </w:r>
      <w:r w:rsidR="00D84C41">
        <w:rPr>
          <w:lang w:eastAsia="fr-FR"/>
        </w:rPr>
        <w:fldChar w:fldCharType="end"/>
      </w:r>
      <w:r w:rsidRPr="002462F0">
        <w:rPr>
          <w:lang w:eastAsia="fr-FR"/>
        </w:rPr>
        <w:t>.</w:t>
      </w:r>
    </w:p>
    <w:p w14:paraId="60AB67BA" w14:textId="77777777" w:rsidR="00B819C0" w:rsidRPr="002462F0" w:rsidRDefault="00B819C0" w:rsidP="00B819C0">
      <w:pPr>
        <w:pStyle w:val="Titre4Bleu"/>
        <w:ind w:left="993" w:hanging="993"/>
        <w:rPr>
          <w:lang w:eastAsia="fr-FR"/>
        </w:rPr>
      </w:pPr>
      <w:bookmarkStart w:id="216" w:name="_Toc182327745"/>
      <w:r w:rsidRPr="002462F0">
        <w:rPr>
          <w:lang w:eastAsia="fr-FR"/>
        </w:rPr>
        <w:t xml:space="preserve">Uncertainties and </w:t>
      </w:r>
      <w:r w:rsidR="00564FBF" w:rsidRPr="002462F0">
        <w:rPr>
          <w:lang w:eastAsia="fr-FR"/>
        </w:rPr>
        <w:t>time-series consistency</w:t>
      </w:r>
      <w:bookmarkEnd w:id="216"/>
    </w:p>
    <w:p w14:paraId="2AB72A68" w14:textId="77777777" w:rsidR="00564FBF" w:rsidRPr="002462F0" w:rsidRDefault="00564FBF" w:rsidP="00564FBF">
      <w:pPr>
        <w:pStyle w:val="BodyText"/>
        <w:rPr>
          <w:b/>
          <w:lang w:val="en-US" w:eastAsia="fr-FR"/>
        </w:rPr>
      </w:pPr>
      <w:r w:rsidRPr="002462F0">
        <w:rPr>
          <w:b/>
          <w:lang w:val="en-US" w:eastAsia="fr-FR"/>
        </w:rPr>
        <w:t>CO</w:t>
      </w:r>
      <w:r w:rsidRPr="002462F0">
        <w:rPr>
          <w:b/>
          <w:vertAlign w:val="subscript"/>
          <w:lang w:val="en-US" w:eastAsia="fr-FR"/>
        </w:rPr>
        <w:t>2</w:t>
      </w:r>
    </w:p>
    <w:p w14:paraId="4FE29778" w14:textId="1416E845" w:rsidR="00564FBF" w:rsidRPr="002462F0" w:rsidRDefault="007334F5" w:rsidP="00564FBF">
      <w:pPr>
        <w:autoSpaceDE w:val="0"/>
        <w:autoSpaceDN w:val="0"/>
        <w:adjustRightInd w:val="0"/>
        <w:spacing w:after="0" w:line="240" w:lineRule="auto"/>
        <w:rPr>
          <w:lang w:eastAsia="fr-FR"/>
        </w:rPr>
      </w:pPr>
      <w:r>
        <w:rPr>
          <w:lang w:eastAsia="fr-FR"/>
        </w:rPr>
        <w:t>In 20</w:t>
      </w:r>
      <w:r w:rsidR="00E734A4">
        <w:rPr>
          <w:lang w:eastAsia="fr-FR"/>
        </w:rPr>
        <w:t>22</w:t>
      </w:r>
      <w:r w:rsidR="00564FBF" w:rsidRPr="002462F0">
        <w:rPr>
          <w:lang w:eastAsia="fr-FR"/>
        </w:rPr>
        <w:t xml:space="preserve">, the uncertainty estimate associated with activity data for category 1A2-Manufacturing industry is 2%, based on 2006 IPCC Guidelines </w:t>
      </w:r>
      <w:r w:rsidR="00826E82">
        <w:rPr>
          <w:lang w:eastAsia="fr-FR"/>
        </w:rPr>
        <w:fldChar w:fldCharType="begin"/>
      </w:r>
      <w:r w:rsidR="00826E82">
        <w:rPr>
          <w:lang w:eastAsia="fr-FR"/>
        </w:rPr>
        <w:instrText xml:space="preserve"> REF _Ref496787731 \r \h </w:instrText>
      </w:r>
      <w:r w:rsidR="00826E82">
        <w:rPr>
          <w:lang w:eastAsia="fr-FR"/>
        </w:rPr>
      </w:r>
      <w:r w:rsidR="00826E82">
        <w:rPr>
          <w:lang w:eastAsia="fr-FR"/>
        </w:rPr>
        <w:fldChar w:fldCharType="separate"/>
      </w:r>
      <w:r w:rsidR="00F14C78">
        <w:rPr>
          <w:lang w:eastAsia="fr-FR"/>
        </w:rPr>
        <w:t>[E5]</w:t>
      </w:r>
      <w:r w:rsidR="00826E82">
        <w:rPr>
          <w:lang w:eastAsia="fr-FR"/>
        </w:rPr>
        <w:fldChar w:fldCharType="end"/>
      </w:r>
      <w:r w:rsidR="00564FBF" w:rsidRPr="002462F0">
        <w:rPr>
          <w:lang w:eastAsia="fr-FR"/>
        </w:rPr>
        <w:t>.</w:t>
      </w:r>
    </w:p>
    <w:p w14:paraId="42D9BF92" w14:textId="77777777" w:rsidR="00564FBF" w:rsidRPr="002462F0" w:rsidRDefault="00564FBF" w:rsidP="00564FBF">
      <w:pPr>
        <w:autoSpaceDE w:val="0"/>
        <w:autoSpaceDN w:val="0"/>
        <w:adjustRightInd w:val="0"/>
        <w:spacing w:after="0" w:line="240" w:lineRule="auto"/>
        <w:rPr>
          <w:lang w:eastAsia="fr-FR"/>
        </w:rPr>
      </w:pPr>
    </w:p>
    <w:p w14:paraId="369709E0" w14:textId="28374E07" w:rsidR="00564FBF" w:rsidRPr="002462F0" w:rsidRDefault="00564FBF" w:rsidP="00564FBF">
      <w:pPr>
        <w:autoSpaceDE w:val="0"/>
        <w:autoSpaceDN w:val="0"/>
        <w:adjustRightInd w:val="0"/>
        <w:spacing w:after="0" w:line="240" w:lineRule="auto"/>
        <w:rPr>
          <w:lang w:eastAsia="fr-FR"/>
        </w:rPr>
      </w:pPr>
      <w:r w:rsidRPr="002462F0">
        <w:rPr>
          <w:lang w:eastAsia="fr-FR"/>
        </w:rPr>
        <w:t>Uncertainty estimate associated with CO</w:t>
      </w:r>
      <w:r w:rsidRPr="002462F0">
        <w:rPr>
          <w:vertAlign w:val="subscript"/>
          <w:lang w:eastAsia="fr-FR"/>
        </w:rPr>
        <w:t>2</w:t>
      </w:r>
      <w:r w:rsidRPr="002462F0">
        <w:rPr>
          <w:lang w:eastAsia="fr-FR"/>
        </w:rPr>
        <w:t xml:space="preserve"> default emission factor for category 1A2-Manufacturing industry is 7%, accordingly to values reported in 1996 IPCC Guidelines </w:t>
      </w:r>
      <w:r w:rsidR="00826E82">
        <w:rPr>
          <w:lang w:eastAsia="fr-FR"/>
        </w:rPr>
        <w:fldChar w:fldCharType="begin"/>
      </w:r>
      <w:r w:rsidR="00826E82">
        <w:rPr>
          <w:lang w:eastAsia="fr-FR"/>
        </w:rPr>
        <w:instrText xml:space="preserve"> REF _Ref496787736 \r \h </w:instrText>
      </w:r>
      <w:r w:rsidR="00826E82">
        <w:rPr>
          <w:lang w:eastAsia="fr-FR"/>
        </w:rPr>
      </w:r>
      <w:r w:rsidR="00826E82">
        <w:rPr>
          <w:lang w:eastAsia="fr-FR"/>
        </w:rPr>
        <w:fldChar w:fldCharType="separate"/>
      </w:r>
      <w:r w:rsidR="00F14C78">
        <w:rPr>
          <w:lang w:eastAsia="fr-FR"/>
        </w:rPr>
        <w:t>[E6]</w:t>
      </w:r>
      <w:r w:rsidR="00826E82">
        <w:rPr>
          <w:lang w:eastAsia="fr-FR"/>
        </w:rPr>
        <w:fldChar w:fldCharType="end"/>
      </w:r>
      <w:r w:rsidRPr="002462F0">
        <w:rPr>
          <w:lang w:eastAsia="fr-FR"/>
        </w:rPr>
        <w:t>.</w:t>
      </w:r>
    </w:p>
    <w:p w14:paraId="5B6294F0" w14:textId="77777777" w:rsidR="00564FBF" w:rsidRPr="002462F0" w:rsidRDefault="00564FBF" w:rsidP="00564FBF">
      <w:pPr>
        <w:autoSpaceDE w:val="0"/>
        <w:autoSpaceDN w:val="0"/>
        <w:adjustRightInd w:val="0"/>
        <w:spacing w:after="0" w:line="240" w:lineRule="auto"/>
        <w:rPr>
          <w:lang w:eastAsia="fr-FR"/>
        </w:rPr>
      </w:pPr>
    </w:p>
    <w:p w14:paraId="6FF8AEB9" w14:textId="4245E0B0" w:rsidR="00564FBF" w:rsidRPr="002462F0" w:rsidRDefault="00564FBF" w:rsidP="00564FBF">
      <w:pPr>
        <w:autoSpaceDE w:val="0"/>
        <w:autoSpaceDN w:val="0"/>
        <w:adjustRightInd w:val="0"/>
        <w:spacing w:after="0" w:line="240" w:lineRule="auto"/>
        <w:rPr>
          <w:lang w:eastAsia="fr-FR"/>
        </w:rPr>
      </w:pPr>
      <w:r w:rsidRPr="002462F0">
        <w:rPr>
          <w:lang w:eastAsia="fr-FR"/>
        </w:rPr>
        <w:t>Combined uncertainty for CO</w:t>
      </w:r>
      <w:r w:rsidRPr="002462F0">
        <w:rPr>
          <w:vertAlign w:val="subscript"/>
          <w:lang w:eastAsia="fr-FR"/>
        </w:rPr>
        <w:t>2</w:t>
      </w:r>
      <w:r w:rsidRPr="002462F0">
        <w:rPr>
          <w:lang w:eastAsia="fr-FR"/>
        </w:rPr>
        <w:t xml:space="preserve"> emissions is </w:t>
      </w:r>
      <w:r w:rsidR="00C146CD">
        <w:rPr>
          <w:lang w:eastAsia="fr-FR"/>
        </w:rPr>
        <w:t>0.5</w:t>
      </w:r>
      <w:r w:rsidRPr="002462F0">
        <w:rPr>
          <w:lang w:eastAsia="fr-FR"/>
        </w:rPr>
        <w:t>%</w:t>
      </w:r>
      <w:r w:rsidR="00C146CD">
        <w:rPr>
          <w:lang w:eastAsia="fr-FR"/>
        </w:rPr>
        <w:t xml:space="preserve"> in </w:t>
      </w:r>
      <w:r w:rsidR="00864A26">
        <w:rPr>
          <w:lang w:eastAsia="fr-FR"/>
        </w:rPr>
        <w:t xml:space="preserve">the total national </w:t>
      </w:r>
      <w:r w:rsidR="00C146CD">
        <w:rPr>
          <w:lang w:eastAsia="fr-FR"/>
        </w:rPr>
        <w:t>levels of emission in 2022, excluding LULUCF contribution</w:t>
      </w:r>
      <w:r w:rsidRPr="002462F0">
        <w:rPr>
          <w:lang w:eastAsia="fr-FR"/>
        </w:rPr>
        <w:t>.</w:t>
      </w:r>
    </w:p>
    <w:p w14:paraId="3253F2DB" w14:textId="77777777" w:rsidR="00564FBF" w:rsidRPr="002462F0" w:rsidRDefault="00564FBF" w:rsidP="00564FBF">
      <w:pPr>
        <w:pStyle w:val="BodyText"/>
        <w:rPr>
          <w:lang w:eastAsia="fr-FR"/>
        </w:rPr>
      </w:pPr>
    </w:p>
    <w:p w14:paraId="59989AF1" w14:textId="77777777" w:rsidR="00564FBF" w:rsidRPr="002462F0" w:rsidRDefault="00564FBF" w:rsidP="00564FBF">
      <w:pPr>
        <w:pStyle w:val="BodyText"/>
        <w:rPr>
          <w:b/>
          <w:lang w:val="en-US" w:eastAsia="fr-FR"/>
        </w:rPr>
      </w:pPr>
      <w:r w:rsidRPr="002462F0">
        <w:rPr>
          <w:b/>
          <w:lang w:val="en-US" w:eastAsia="fr-FR"/>
        </w:rPr>
        <w:t>CH</w:t>
      </w:r>
      <w:r w:rsidRPr="002462F0">
        <w:rPr>
          <w:b/>
          <w:vertAlign w:val="subscript"/>
          <w:lang w:val="en-US" w:eastAsia="fr-FR"/>
        </w:rPr>
        <w:t>4</w:t>
      </w:r>
    </w:p>
    <w:p w14:paraId="4E7CF228" w14:textId="172C25D9" w:rsidR="00874B16" w:rsidRPr="002462F0" w:rsidRDefault="007334F5" w:rsidP="00874B16">
      <w:pPr>
        <w:autoSpaceDE w:val="0"/>
        <w:autoSpaceDN w:val="0"/>
        <w:adjustRightInd w:val="0"/>
        <w:spacing w:after="0" w:line="240" w:lineRule="auto"/>
        <w:rPr>
          <w:lang w:eastAsia="fr-FR"/>
        </w:rPr>
      </w:pPr>
      <w:r>
        <w:rPr>
          <w:lang w:eastAsia="fr-FR"/>
        </w:rPr>
        <w:t xml:space="preserve">In </w:t>
      </w:r>
      <w:r w:rsidR="00795A72">
        <w:rPr>
          <w:lang w:eastAsia="fr-FR"/>
        </w:rPr>
        <w:t>2022</w:t>
      </w:r>
      <w:r w:rsidR="00874B16" w:rsidRPr="002462F0">
        <w:rPr>
          <w:lang w:eastAsia="fr-FR"/>
        </w:rPr>
        <w:t xml:space="preserve">, the uncertainty estimate associated with activity data for category 1A2-Manufacturing industry is 2%, based on 2006 IPCC Guidelines </w:t>
      </w:r>
      <w:r w:rsidR="00826E82">
        <w:rPr>
          <w:lang w:eastAsia="fr-FR"/>
        </w:rPr>
        <w:fldChar w:fldCharType="begin"/>
      </w:r>
      <w:r w:rsidR="00826E82">
        <w:rPr>
          <w:lang w:eastAsia="fr-FR"/>
        </w:rPr>
        <w:instrText xml:space="preserve"> REF _Ref496787731 \r \h </w:instrText>
      </w:r>
      <w:r w:rsidR="00826E82">
        <w:rPr>
          <w:lang w:eastAsia="fr-FR"/>
        </w:rPr>
      </w:r>
      <w:r w:rsidR="00826E82">
        <w:rPr>
          <w:lang w:eastAsia="fr-FR"/>
        </w:rPr>
        <w:fldChar w:fldCharType="separate"/>
      </w:r>
      <w:r w:rsidR="00F14C78">
        <w:rPr>
          <w:lang w:eastAsia="fr-FR"/>
        </w:rPr>
        <w:t>[E5]</w:t>
      </w:r>
      <w:r w:rsidR="00826E82">
        <w:rPr>
          <w:lang w:eastAsia="fr-FR"/>
        </w:rPr>
        <w:fldChar w:fldCharType="end"/>
      </w:r>
      <w:r w:rsidR="00874B16" w:rsidRPr="002462F0">
        <w:rPr>
          <w:lang w:eastAsia="fr-FR"/>
        </w:rPr>
        <w:t>.</w:t>
      </w:r>
    </w:p>
    <w:p w14:paraId="2A62C3DF" w14:textId="77777777" w:rsidR="00874B16" w:rsidRPr="002462F0" w:rsidRDefault="00874B16" w:rsidP="00874B16">
      <w:pPr>
        <w:autoSpaceDE w:val="0"/>
        <w:autoSpaceDN w:val="0"/>
        <w:adjustRightInd w:val="0"/>
        <w:spacing w:after="0" w:line="240" w:lineRule="auto"/>
        <w:rPr>
          <w:lang w:eastAsia="fr-FR"/>
        </w:rPr>
      </w:pPr>
    </w:p>
    <w:p w14:paraId="2A010599" w14:textId="171A72FE" w:rsidR="00874B16" w:rsidRPr="002462F0" w:rsidRDefault="00874B16" w:rsidP="00874B16">
      <w:pPr>
        <w:pStyle w:val="BodyText"/>
        <w:rPr>
          <w:lang w:eastAsia="fr-FR"/>
        </w:rPr>
      </w:pPr>
      <w:r w:rsidRPr="002462F0">
        <w:rPr>
          <w:lang w:eastAsia="fr-FR"/>
        </w:rPr>
        <w:t xml:space="preserve">Uncertainty estimate associated with </w:t>
      </w:r>
      <w:r w:rsidRPr="002462F0">
        <w:rPr>
          <w:lang w:val="en-US" w:eastAsia="fr-FR"/>
        </w:rPr>
        <w:t>CH</w:t>
      </w:r>
      <w:r w:rsidRPr="002462F0">
        <w:rPr>
          <w:vertAlign w:val="subscript"/>
          <w:lang w:val="en-US" w:eastAsia="fr-FR"/>
        </w:rPr>
        <w:t>4</w:t>
      </w:r>
      <w:r w:rsidRPr="002462F0">
        <w:rPr>
          <w:lang w:eastAsia="fr-FR"/>
        </w:rPr>
        <w:t xml:space="preserve"> default emission factor for category 1A2-Manufacturing industry is 100%, accordingly to values reported in 2006 IPCC Guidelines </w:t>
      </w:r>
      <w:r w:rsidR="00826E82">
        <w:rPr>
          <w:lang w:eastAsia="fr-FR"/>
        </w:rPr>
        <w:fldChar w:fldCharType="begin"/>
      </w:r>
      <w:r w:rsidR="00826E82">
        <w:rPr>
          <w:lang w:eastAsia="fr-FR"/>
        </w:rPr>
        <w:instrText xml:space="preserve"> REF _Ref496787749 \r \h </w:instrText>
      </w:r>
      <w:r w:rsidR="00826E82">
        <w:rPr>
          <w:lang w:eastAsia="fr-FR"/>
        </w:rPr>
      </w:r>
      <w:r w:rsidR="00826E82">
        <w:rPr>
          <w:lang w:eastAsia="fr-FR"/>
        </w:rPr>
        <w:fldChar w:fldCharType="separate"/>
      </w:r>
      <w:r w:rsidR="00F14C78">
        <w:rPr>
          <w:lang w:eastAsia="fr-FR"/>
        </w:rPr>
        <w:t>[E7]</w:t>
      </w:r>
      <w:r w:rsidR="00826E82">
        <w:rPr>
          <w:lang w:eastAsia="fr-FR"/>
        </w:rPr>
        <w:fldChar w:fldCharType="end"/>
      </w:r>
      <w:r w:rsidRPr="002462F0">
        <w:rPr>
          <w:lang w:eastAsia="fr-FR"/>
        </w:rPr>
        <w:t>.</w:t>
      </w:r>
    </w:p>
    <w:p w14:paraId="04409248" w14:textId="077F771A" w:rsidR="003E1165" w:rsidRPr="002462F0" w:rsidRDefault="00874B16" w:rsidP="00564FBF">
      <w:pPr>
        <w:pStyle w:val="BodyText"/>
        <w:rPr>
          <w:lang w:val="en-US" w:eastAsia="fr-FR"/>
        </w:rPr>
      </w:pPr>
      <w:r w:rsidRPr="002462F0">
        <w:rPr>
          <w:lang w:eastAsia="fr-FR"/>
        </w:rPr>
        <w:t xml:space="preserve">Combined uncertainty for </w:t>
      </w:r>
      <w:r w:rsidRPr="002462F0">
        <w:rPr>
          <w:lang w:val="en-US" w:eastAsia="fr-FR"/>
        </w:rPr>
        <w:t>CH</w:t>
      </w:r>
      <w:r w:rsidRPr="002462F0">
        <w:rPr>
          <w:vertAlign w:val="subscript"/>
          <w:lang w:val="en-US" w:eastAsia="fr-FR"/>
        </w:rPr>
        <w:t>4</w:t>
      </w:r>
      <w:r w:rsidRPr="002462F0">
        <w:rPr>
          <w:lang w:eastAsia="fr-FR"/>
        </w:rPr>
        <w:t xml:space="preserve"> emissions is </w:t>
      </w:r>
      <w:r w:rsidR="00A67716">
        <w:rPr>
          <w:lang w:eastAsia="fr-FR"/>
        </w:rPr>
        <w:t>0.006</w:t>
      </w:r>
      <w:r w:rsidRPr="002462F0">
        <w:rPr>
          <w:lang w:eastAsia="fr-FR"/>
        </w:rPr>
        <w:t>%</w:t>
      </w:r>
      <w:r w:rsidR="00C146CD">
        <w:rPr>
          <w:lang w:eastAsia="fr-FR"/>
        </w:rPr>
        <w:t xml:space="preserve"> in </w:t>
      </w:r>
      <w:r w:rsidR="00864A26">
        <w:rPr>
          <w:lang w:eastAsia="fr-FR"/>
        </w:rPr>
        <w:t xml:space="preserve">the total national </w:t>
      </w:r>
      <w:r w:rsidR="00C146CD">
        <w:rPr>
          <w:lang w:eastAsia="fr-FR"/>
        </w:rPr>
        <w:t>levels of emission in 2022, excluding LULUCF contribution</w:t>
      </w:r>
      <w:r w:rsidRPr="002462F0">
        <w:rPr>
          <w:lang w:eastAsia="fr-FR"/>
        </w:rPr>
        <w:t>.</w:t>
      </w:r>
    </w:p>
    <w:p w14:paraId="3C388383" w14:textId="77777777" w:rsidR="00564FBF" w:rsidRPr="002462F0" w:rsidRDefault="00564FBF" w:rsidP="00564FBF">
      <w:pPr>
        <w:pStyle w:val="BodyText"/>
        <w:rPr>
          <w:b/>
          <w:lang w:val="en-US" w:eastAsia="fr-FR"/>
        </w:rPr>
      </w:pPr>
      <w:r w:rsidRPr="002462F0">
        <w:rPr>
          <w:b/>
          <w:lang w:val="en-US" w:eastAsia="fr-FR"/>
        </w:rPr>
        <w:t>N</w:t>
      </w:r>
      <w:r w:rsidRPr="002462F0">
        <w:rPr>
          <w:b/>
          <w:vertAlign w:val="subscript"/>
          <w:lang w:val="en-US" w:eastAsia="fr-FR"/>
        </w:rPr>
        <w:t>2</w:t>
      </w:r>
      <w:r w:rsidRPr="002462F0">
        <w:rPr>
          <w:b/>
          <w:lang w:val="en-US" w:eastAsia="fr-FR"/>
        </w:rPr>
        <w:t>O</w:t>
      </w:r>
    </w:p>
    <w:p w14:paraId="5F1A0AA2" w14:textId="3DE72B82" w:rsidR="003E1165" w:rsidRPr="002462F0" w:rsidRDefault="003E1165" w:rsidP="003E1165">
      <w:pPr>
        <w:autoSpaceDE w:val="0"/>
        <w:autoSpaceDN w:val="0"/>
        <w:adjustRightInd w:val="0"/>
        <w:spacing w:after="0" w:line="240" w:lineRule="auto"/>
        <w:rPr>
          <w:lang w:eastAsia="fr-FR"/>
        </w:rPr>
      </w:pPr>
      <w:r w:rsidRPr="002462F0">
        <w:rPr>
          <w:lang w:eastAsia="fr-FR"/>
        </w:rPr>
        <w:t xml:space="preserve">In </w:t>
      </w:r>
      <w:r w:rsidR="00795A72">
        <w:rPr>
          <w:lang w:eastAsia="fr-FR"/>
        </w:rPr>
        <w:t>2022</w:t>
      </w:r>
      <w:r w:rsidRPr="002462F0">
        <w:rPr>
          <w:lang w:eastAsia="fr-FR"/>
        </w:rPr>
        <w:t xml:space="preserve">, the uncertainty estimate associated with activity data for category 1A2-Manufacturing industry is 2%, based on 2006 IPCC Guidelines </w:t>
      </w:r>
      <w:r w:rsidR="00826E82">
        <w:rPr>
          <w:lang w:eastAsia="fr-FR"/>
        </w:rPr>
        <w:fldChar w:fldCharType="begin"/>
      </w:r>
      <w:r w:rsidR="00826E82">
        <w:rPr>
          <w:lang w:eastAsia="fr-FR"/>
        </w:rPr>
        <w:instrText xml:space="preserve"> REF _Ref496787731 \r \h </w:instrText>
      </w:r>
      <w:r w:rsidR="00826E82">
        <w:rPr>
          <w:lang w:eastAsia="fr-FR"/>
        </w:rPr>
      </w:r>
      <w:r w:rsidR="00826E82">
        <w:rPr>
          <w:lang w:eastAsia="fr-FR"/>
        </w:rPr>
        <w:fldChar w:fldCharType="separate"/>
      </w:r>
      <w:r w:rsidR="00F14C78">
        <w:rPr>
          <w:lang w:eastAsia="fr-FR"/>
        </w:rPr>
        <w:t>[E5]</w:t>
      </w:r>
      <w:r w:rsidR="00826E82">
        <w:rPr>
          <w:lang w:eastAsia="fr-FR"/>
        </w:rPr>
        <w:fldChar w:fldCharType="end"/>
      </w:r>
      <w:r w:rsidRPr="002462F0">
        <w:rPr>
          <w:lang w:eastAsia="fr-FR"/>
        </w:rPr>
        <w:t>.</w:t>
      </w:r>
    </w:p>
    <w:p w14:paraId="0516E516" w14:textId="77777777" w:rsidR="003E1165" w:rsidRPr="002462F0" w:rsidRDefault="003E1165" w:rsidP="003E1165">
      <w:pPr>
        <w:autoSpaceDE w:val="0"/>
        <w:autoSpaceDN w:val="0"/>
        <w:adjustRightInd w:val="0"/>
        <w:spacing w:after="0" w:line="240" w:lineRule="auto"/>
        <w:rPr>
          <w:lang w:eastAsia="fr-FR"/>
        </w:rPr>
      </w:pPr>
    </w:p>
    <w:p w14:paraId="5A5F369C" w14:textId="3CD124EE" w:rsidR="003E1165" w:rsidRPr="002462F0" w:rsidRDefault="003E1165" w:rsidP="003E1165">
      <w:pPr>
        <w:pStyle w:val="BodyText"/>
        <w:rPr>
          <w:lang w:val="en-US" w:eastAsia="fr-FR"/>
        </w:rPr>
      </w:pPr>
      <w:r w:rsidRPr="002462F0">
        <w:rPr>
          <w:lang w:eastAsia="fr-FR"/>
        </w:rPr>
        <w:t xml:space="preserve">Uncertainty estimate associated with </w:t>
      </w:r>
      <w:r w:rsidRPr="002462F0">
        <w:rPr>
          <w:lang w:val="en-US" w:eastAsia="fr-FR"/>
        </w:rPr>
        <w:t>N</w:t>
      </w:r>
      <w:r w:rsidRPr="002462F0">
        <w:rPr>
          <w:vertAlign w:val="subscript"/>
          <w:lang w:val="en-US" w:eastAsia="fr-FR"/>
        </w:rPr>
        <w:t>2</w:t>
      </w:r>
      <w:r w:rsidRPr="002462F0">
        <w:rPr>
          <w:lang w:val="en-US" w:eastAsia="fr-FR"/>
        </w:rPr>
        <w:t xml:space="preserve">O </w:t>
      </w:r>
      <w:r w:rsidR="00612A54" w:rsidRPr="002462F0">
        <w:rPr>
          <w:lang w:eastAsia="fr-FR"/>
        </w:rPr>
        <w:t>default</w:t>
      </w:r>
      <w:r w:rsidRPr="002462F0">
        <w:rPr>
          <w:lang w:eastAsia="fr-FR"/>
        </w:rPr>
        <w:t xml:space="preserve"> emission factor for category 1A2-Manufacturing industry is 100%, accordingly to a conservative </w:t>
      </w:r>
      <w:r w:rsidR="00C639FB" w:rsidRPr="002462F0">
        <w:rPr>
          <w:lang w:eastAsia="fr-FR"/>
        </w:rPr>
        <w:t>assumption</w:t>
      </w:r>
      <w:r w:rsidRPr="002462F0">
        <w:rPr>
          <w:lang w:eastAsia="fr-FR"/>
        </w:rPr>
        <w:t>.</w:t>
      </w:r>
    </w:p>
    <w:p w14:paraId="11BEF2AA" w14:textId="3AC5E630" w:rsidR="003E1165" w:rsidRPr="002462F0" w:rsidRDefault="003E1165" w:rsidP="00564FBF">
      <w:pPr>
        <w:pStyle w:val="BodyText"/>
        <w:rPr>
          <w:lang w:eastAsia="fr-FR"/>
        </w:rPr>
      </w:pPr>
      <w:r w:rsidRPr="002462F0">
        <w:rPr>
          <w:lang w:eastAsia="fr-FR"/>
        </w:rPr>
        <w:t xml:space="preserve">Combined uncertainty for </w:t>
      </w:r>
      <w:r w:rsidRPr="002462F0">
        <w:rPr>
          <w:lang w:val="en-US" w:eastAsia="fr-FR"/>
        </w:rPr>
        <w:t>N</w:t>
      </w:r>
      <w:r w:rsidRPr="002462F0">
        <w:rPr>
          <w:vertAlign w:val="subscript"/>
          <w:lang w:val="en-US" w:eastAsia="fr-FR"/>
        </w:rPr>
        <w:t>2</w:t>
      </w:r>
      <w:r w:rsidRPr="002462F0">
        <w:rPr>
          <w:lang w:val="en-US" w:eastAsia="fr-FR"/>
        </w:rPr>
        <w:t>O</w:t>
      </w:r>
      <w:r w:rsidRPr="002462F0">
        <w:rPr>
          <w:lang w:eastAsia="fr-FR"/>
        </w:rPr>
        <w:t xml:space="preserve"> emissions is </w:t>
      </w:r>
      <w:r w:rsidR="0083074A">
        <w:rPr>
          <w:lang w:eastAsia="fr-FR"/>
        </w:rPr>
        <w:t>0.01</w:t>
      </w:r>
      <w:r w:rsidRPr="002462F0">
        <w:rPr>
          <w:lang w:eastAsia="fr-FR"/>
        </w:rPr>
        <w:t>%</w:t>
      </w:r>
      <w:r w:rsidR="00C146CD">
        <w:rPr>
          <w:lang w:eastAsia="fr-FR"/>
        </w:rPr>
        <w:t xml:space="preserve"> in </w:t>
      </w:r>
      <w:r w:rsidR="00864A26">
        <w:rPr>
          <w:lang w:eastAsia="fr-FR"/>
        </w:rPr>
        <w:t xml:space="preserve">the total national </w:t>
      </w:r>
      <w:r w:rsidR="00C146CD">
        <w:rPr>
          <w:lang w:eastAsia="fr-FR"/>
        </w:rPr>
        <w:t>levels of emission in 2022, excluding LULUCF contribution</w:t>
      </w:r>
      <w:r w:rsidRPr="002462F0">
        <w:rPr>
          <w:lang w:eastAsia="fr-FR"/>
        </w:rPr>
        <w:t>.</w:t>
      </w:r>
    </w:p>
    <w:p w14:paraId="65701E20" w14:textId="77777777" w:rsidR="002806DB" w:rsidRPr="00622F40" w:rsidRDefault="002806DB" w:rsidP="002806DB">
      <w:pPr>
        <w:pStyle w:val="Titre4Bleu"/>
        <w:rPr>
          <w:lang w:eastAsia="fr-FR"/>
        </w:rPr>
      </w:pPr>
      <w:bookmarkStart w:id="217" w:name="_Toc182327746"/>
      <w:r w:rsidRPr="00622F40">
        <w:rPr>
          <w:lang w:eastAsia="fr-FR"/>
        </w:rPr>
        <w:t>Category-specific QA/QC and verification</w:t>
      </w:r>
      <w:bookmarkEnd w:id="217"/>
    </w:p>
    <w:p w14:paraId="0965626E" w14:textId="7C3160E5" w:rsidR="00B84696" w:rsidRPr="002462F0" w:rsidRDefault="00B84696" w:rsidP="00B84696">
      <w:pPr>
        <w:pStyle w:val="BodyText"/>
        <w:rPr>
          <w:sz w:val="24"/>
          <w:szCs w:val="24"/>
          <w:lang w:eastAsia="fr-FR"/>
        </w:rPr>
      </w:pPr>
      <w:r w:rsidRPr="002462F0">
        <w:t xml:space="preserve">During the preparation of the inventory submission activities related to quality control were mainly focused on proper use of notation keys in the </w:t>
      </w:r>
      <w:r w:rsidR="000F6001">
        <w:t>CRT</w:t>
      </w:r>
      <w:r w:rsidRPr="002462F0">
        <w:t xml:space="preserve"> tables according to QA/QC plan.</w:t>
      </w:r>
    </w:p>
    <w:p w14:paraId="117DD0A2" w14:textId="77777777" w:rsidR="002806DB" w:rsidRPr="002462F0" w:rsidRDefault="002806DB" w:rsidP="002806DB">
      <w:pPr>
        <w:pStyle w:val="Titre4Bleu"/>
        <w:rPr>
          <w:lang w:eastAsia="fr-FR"/>
        </w:rPr>
      </w:pPr>
      <w:bookmarkStart w:id="218" w:name="_Toc182327747"/>
      <w:r w:rsidRPr="002462F0">
        <w:rPr>
          <w:lang w:eastAsia="fr-FR"/>
        </w:rPr>
        <w:t>Category-specific recalculations</w:t>
      </w:r>
      <w:bookmarkEnd w:id="218"/>
    </w:p>
    <w:p w14:paraId="22B992F2" w14:textId="021DB7CE" w:rsidR="002806DB" w:rsidRPr="002462F0" w:rsidRDefault="002806DB" w:rsidP="002806DB">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t>
      </w:r>
      <w:r>
        <w:rPr>
          <w:lang w:eastAsia="fr-FR"/>
        </w:rPr>
        <w:t>will occur</w:t>
      </w:r>
      <w:r w:rsidRPr="002462F0">
        <w:rPr>
          <w:lang w:eastAsia="fr-FR"/>
        </w:rPr>
        <w:t xml:space="preserve"> and </w:t>
      </w:r>
      <w:r>
        <w:rPr>
          <w:lang w:eastAsia="fr-FR"/>
        </w:rPr>
        <w:t xml:space="preserve">be </w:t>
      </w:r>
      <w:r w:rsidRPr="002462F0">
        <w:rPr>
          <w:lang w:eastAsia="fr-FR"/>
        </w:rPr>
        <w:t>estimated in the next submission if necessary.</w:t>
      </w:r>
    </w:p>
    <w:p w14:paraId="44471B51" w14:textId="77777777" w:rsidR="002806DB" w:rsidRPr="002462F0" w:rsidRDefault="002806DB" w:rsidP="002806DB">
      <w:pPr>
        <w:pStyle w:val="Titre4Bleu"/>
        <w:rPr>
          <w:lang w:eastAsia="fr-FR"/>
        </w:rPr>
      </w:pPr>
      <w:bookmarkStart w:id="219" w:name="_Toc182327748"/>
      <w:r w:rsidRPr="002462F0">
        <w:rPr>
          <w:lang w:eastAsia="fr-FR"/>
        </w:rPr>
        <w:t>Category-specific planned improvements</w:t>
      </w:r>
      <w:bookmarkEnd w:id="219"/>
    </w:p>
    <w:p w14:paraId="6662968F" w14:textId="5C4E9AD6" w:rsidR="00CA2E3C" w:rsidRPr="002462F0" w:rsidRDefault="00612A54" w:rsidP="00612A54">
      <w:pPr>
        <w:rPr>
          <w:lang w:val="en-US" w:eastAsia="fr-FR"/>
        </w:rPr>
      </w:pPr>
      <w:r>
        <w:t xml:space="preserve">To enhance the completeness of activity data for the </w:t>
      </w:r>
      <w:proofErr w:type="spellStart"/>
      <w:r>
        <w:t>autoproducers</w:t>
      </w:r>
      <w:proofErr w:type="spellEnd"/>
      <w:r>
        <w:t xml:space="preserve"> of electricity and heat in manufacturing industries, discussions will be initiated with experts from the Ministry of Mining and Energy, who are responsible for compiling energy balances.</w:t>
      </w:r>
    </w:p>
    <w:p w14:paraId="273BF6C0" w14:textId="77777777" w:rsidR="003D5CD8" w:rsidRDefault="003D5CD8">
      <w:pPr>
        <w:jc w:val="left"/>
        <w:rPr>
          <w:b/>
          <w:color w:val="233F85"/>
          <w:sz w:val="28"/>
          <w:szCs w:val="32"/>
          <w:lang w:eastAsia="fr-FR"/>
        </w:rPr>
      </w:pPr>
      <w:r>
        <w:rPr>
          <w:lang w:eastAsia="fr-FR"/>
        </w:rPr>
        <w:br w:type="page"/>
      </w:r>
    </w:p>
    <w:p w14:paraId="6F36C8C8" w14:textId="530CA5A8" w:rsidR="003716B8" w:rsidRPr="002462F0" w:rsidRDefault="003716B8" w:rsidP="003716B8">
      <w:pPr>
        <w:pStyle w:val="Heading3"/>
        <w:rPr>
          <w:lang w:val="en-GB" w:eastAsia="fr-FR"/>
        </w:rPr>
      </w:pPr>
      <w:bookmarkStart w:id="220" w:name="_Toc182327749"/>
      <w:bookmarkStart w:id="221" w:name="_Toc184808173"/>
      <w:r w:rsidRPr="002462F0">
        <w:rPr>
          <w:lang w:val="en-GB" w:eastAsia="fr-FR"/>
        </w:rPr>
        <w:lastRenderedPageBreak/>
        <w:t>Transport (</w:t>
      </w:r>
      <w:r w:rsidR="000F6001">
        <w:rPr>
          <w:lang w:val="en-GB" w:eastAsia="fr-FR"/>
        </w:rPr>
        <w:t>CRT</w:t>
      </w:r>
      <w:r w:rsidRPr="002462F0">
        <w:rPr>
          <w:lang w:val="en-GB" w:eastAsia="fr-FR"/>
        </w:rPr>
        <w:t xml:space="preserve"> 1A3)</w:t>
      </w:r>
      <w:bookmarkEnd w:id="220"/>
      <w:bookmarkEnd w:id="221"/>
    </w:p>
    <w:p w14:paraId="23C1A2E2" w14:textId="77777777" w:rsidR="003716B8" w:rsidRPr="002462F0" w:rsidRDefault="003716B8" w:rsidP="002462F0">
      <w:pPr>
        <w:pStyle w:val="BodyText"/>
        <w:rPr>
          <w:lang w:val="en-US" w:eastAsia="fr-FR"/>
        </w:rPr>
      </w:pPr>
      <w:r w:rsidRPr="002462F0">
        <w:rPr>
          <w:lang w:val="en-US" w:eastAsia="fr-FR"/>
        </w:rPr>
        <w:t>This category covers the emission from combustion and evaporation of fuel for all transport activities. This sector includes the emission from:</w:t>
      </w:r>
    </w:p>
    <w:p w14:paraId="56928640" w14:textId="19122AD1" w:rsidR="003716B8" w:rsidRPr="002462F0" w:rsidRDefault="003716B8" w:rsidP="00AB11C1">
      <w:pPr>
        <w:pStyle w:val="BodyText"/>
        <w:numPr>
          <w:ilvl w:val="0"/>
          <w:numId w:val="30"/>
        </w:numPr>
        <w:rPr>
          <w:lang w:val="en-US" w:eastAsia="fr-FR"/>
        </w:rPr>
      </w:pPr>
      <w:r w:rsidRPr="002462F0">
        <w:rPr>
          <w:lang w:val="en-US" w:eastAsia="fr-FR"/>
        </w:rPr>
        <w:t>Air</w:t>
      </w:r>
      <w:r w:rsidR="0083074A">
        <w:rPr>
          <w:lang w:val="en-US" w:eastAsia="fr-FR"/>
        </w:rPr>
        <w:t xml:space="preserve"> </w:t>
      </w:r>
      <w:r w:rsidR="003B1622">
        <w:rPr>
          <w:lang w:val="en-US" w:eastAsia="fr-FR"/>
        </w:rPr>
        <w:t xml:space="preserve">transport </w:t>
      </w:r>
      <w:r w:rsidR="0083074A">
        <w:rPr>
          <w:lang w:val="en-US" w:eastAsia="fr-FR"/>
        </w:rPr>
        <w:t xml:space="preserve">(CRT </w:t>
      </w:r>
      <w:r w:rsidR="000241BC">
        <w:rPr>
          <w:lang w:val="en-US" w:eastAsia="fr-FR"/>
        </w:rPr>
        <w:t>1</w:t>
      </w:r>
      <w:r w:rsidR="00427DCC">
        <w:rPr>
          <w:lang w:val="en-US" w:eastAsia="fr-FR"/>
        </w:rPr>
        <w:t>A3</w:t>
      </w:r>
      <w:r w:rsidR="00590573">
        <w:rPr>
          <w:lang w:val="en-US" w:eastAsia="fr-FR"/>
        </w:rPr>
        <w:t>a</w:t>
      </w:r>
      <w:r w:rsidR="0083074A">
        <w:rPr>
          <w:lang w:val="en-US" w:eastAsia="fr-FR"/>
        </w:rPr>
        <w:t>),</w:t>
      </w:r>
    </w:p>
    <w:p w14:paraId="4E353066" w14:textId="4F328943" w:rsidR="003716B8" w:rsidRPr="002462F0" w:rsidRDefault="003716B8" w:rsidP="00AB11C1">
      <w:pPr>
        <w:pStyle w:val="BodyText"/>
        <w:numPr>
          <w:ilvl w:val="0"/>
          <w:numId w:val="30"/>
        </w:numPr>
        <w:rPr>
          <w:lang w:val="en-US" w:eastAsia="fr-FR"/>
        </w:rPr>
      </w:pPr>
      <w:r w:rsidRPr="002462F0">
        <w:rPr>
          <w:lang w:val="en-US" w:eastAsia="fr-FR"/>
        </w:rPr>
        <w:t>Road transport</w:t>
      </w:r>
      <w:r w:rsidR="0083074A">
        <w:rPr>
          <w:lang w:val="en-US" w:eastAsia="fr-FR"/>
        </w:rPr>
        <w:t xml:space="preserve"> (CRT 1A3b),</w:t>
      </w:r>
    </w:p>
    <w:p w14:paraId="698E8927" w14:textId="126A2A49" w:rsidR="003716B8" w:rsidRPr="002462F0" w:rsidRDefault="003716B8" w:rsidP="00AB11C1">
      <w:pPr>
        <w:pStyle w:val="BodyText"/>
        <w:numPr>
          <w:ilvl w:val="0"/>
          <w:numId w:val="30"/>
        </w:numPr>
        <w:rPr>
          <w:lang w:val="en-US" w:eastAsia="fr-FR"/>
        </w:rPr>
      </w:pPr>
      <w:r w:rsidRPr="002462F0">
        <w:rPr>
          <w:lang w:val="en-US" w:eastAsia="fr-FR"/>
        </w:rPr>
        <w:t>Rail</w:t>
      </w:r>
      <w:r w:rsidR="0083074A">
        <w:rPr>
          <w:lang w:val="en-US" w:eastAsia="fr-FR"/>
        </w:rPr>
        <w:t xml:space="preserve"> </w:t>
      </w:r>
      <w:r w:rsidR="003B1622">
        <w:rPr>
          <w:lang w:val="en-US" w:eastAsia="fr-FR"/>
        </w:rPr>
        <w:t xml:space="preserve">transport </w:t>
      </w:r>
      <w:r w:rsidR="0083074A">
        <w:rPr>
          <w:lang w:val="en-US" w:eastAsia="fr-FR"/>
        </w:rPr>
        <w:t>(CRT 1A3c),</w:t>
      </w:r>
    </w:p>
    <w:p w14:paraId="1C307DAE" w14:textId="4C8F4D31" w:rsidR="003716B8" w:rsidRPr="002462F0" w:rsidRDefault="003716B8" w:rsidP="00AB11C1">
      <w:pPr>
        <w:pStyle w:val="BodyText"/>
        <w:numPr>
          <w:ilvl w:val="0"/>
          <w:numId w:val="30"/>
        </w:numPr>
        <w:rPr>
          <w:lang w:val="en-US" w:eastAsia="fr-FR"/>
        </w:rPr>
      </w:pPr>
      <w:r w:rsidRPr="002462F0">
        <w:rPr>
          <w:lang w:val="en-US" w:eastAsia="fr-FR"/>
        </w:rPr>
        <w:t>Marine transport</w:t>
      </w:r>
      <w:r w:rsidR="0083074A">
        <w:rPr>
          <w:lang w:val="en-US" w:eastAsia="fr-FR"/>
        </w:rPr>
        <w:t xml:space="preserve"> (CRT 1A3d).</w:t>
      </w:r>
    </w:p>
    <w:p w14:paraId="0B522DE4" w14:textId="7EB0EB58" w:rsidR="003716B8" w:rsidRPr="002462F0" w:rsidRDefault="003716B8" w:rsidP="002462F0">
      <w:pPr>
        <w:pStyle w:val="BodyText"/>
        <w:rPr>
          <w:lang w:val="en-US" w:eastAsia="fr-FR"/>
        </w:rPr>
      </w:pPr>
      <w:r w:rsidRPr="002462F0">
        <w:rPr>
          <w:lang w:val="en-US" w:eastAsia="fr-FR"/>
        </w:rPr>
        <w:t xml:space="preserve">There is no domestic aviation </w:t>
      </w:r>
      <w:r w:rsidR="000241BC">
        <w:rPr>
          <w:lang w:val="en-US" w:eastAsia="fr-FR"/>
        </w:rPr>
        <w:t xml:space="preserve">(CRT 1A3a) </w:t>
      </w:r>
      <w:r w:rsidRPr="002462F0">
        <w:rPr>
          <w:lang w:val="en-US" w:eastAsia="fr-FR"/>
        </w:rPr>
        <w:t xml:space="preserve">fuel consumptions reported in </w:t>
      </w:r>
      <w:r w:rsidR="00F77A6E">
        <w:rPr>
          <w:lang w:val="en-US" w:eastAsia="fr-FR"/>
        </w:rPr>
        <w:t xml:space="preserve">the Republic of </w:t>
      </w:r>
      <w:r w:rsidRPr="002462F0">
        <w:rPr>
          <w:lang w:val="en-US" w:eastAsia="fr-FR"/>
        </w:rPr>
        <w:t>Serbia. For aviation, only internationals bunker emissions are estimated and excluded from the national total emission (memo items).</w:t>
      </w:r>
      <w:r w:rsidR="00590573">
        <w:rPr>
          <w:lang w:val="en-US" w:eastAsia="fr-FR"/>
        </w:rPr>
        <w:t xml:space="preserve"> On the opposite</w:t>
      </w:r>
      <w:r w:rsidR="00A46F23">
        <w:rPr>
          <w:lang w:val="en-US" w:eastAsia="fr-FR"/>
        </w:rPr>
        <w:t xml:space="preserve">, because there is no direct access to the sea in the Republic of Serbia, all fuel consumptions related to </w:t>
      </w:r>
      <w:r w:rsidR="00464160">
        <w:rPr>
          <w:lang w:val="en-US" w:eastAsia="fr-FR"/>
        </w:rPr>
        <w:t>water-borne</w:t>
      </w:r>
      <w:r w:rsidR="00A46F23">
        <w:rPr>
          <w:lang w:val="en-US" w:eastAsia="fr-FR"/>
        </w:rPr>
        <w:t xml:space="preserve"> </w:t>
      </w:r>
      <w:r w:rsidR="00464160">
        <w:rPr>
          <w:lang w:val="en-US" w:eastAsia="fr-FR"/>
        </w:rPr>
        <w:t>transport are included in the domestic transport (CRT 1A3d).</w:t>
      </w:r>
    </w:p>
    <w:p w14:paraId="6AB747B6" w14:textId="6022FF6B" w:rsidR="00A25A6E" w:rsidRDefault="00017D2D" w:rsidP="00A25A6E">
      <w:pPr>
        <w:jc w:val="left"/>
      </w:pPr>
      <w:r>
        <w:rPr>
          <w:lang w:val="en-US" w:eastAsia="fr-FR"/>
        </w:rPr>
        <w:t>In 20</w:t>
      </w:r>
      <w:r w:rsidR="00D84C41">
        <w:rPr>
          <w:lang w:val="en-US" w:eastAsia="fr-FR"/>
        </w:rPr>
        <w:t>22</w:t>
      </w:r>
      <w:r w:rsidR="00A25A6E">
        <w:rPr>
          <w:lang w:val="en-US" w:eastAsia="fr-FR"/>
        </w:rPr>
        <w:t>,</w:t>
      </w:r>
      <w:r w:rsidR="00A25A6E" w:rsidRPr="00765BC2">
        <w:t xml:space="preserve"> </w:t>
      </w:r>
      <w:r w:rsidR="00A25A6E">
        <w:t>t</w:t>
      </w:r>
      <w:r w:rsidR="00A25A6E" w:rsidRPr="002462F0">
        <w:t>he</w:t>
      </w:r>
      <w:r w:rsidR="00A25A6E">
        <w:t xml:space="preserve"> transport sector</w:t>
      </w:r>
      <w:r w:rsidR="00A25A6E" w:rsidRPr="002462F0">
        <w:t xml:space="preserve"> (</w:t>
      </w:r>
      <w:r w:rsidR="000F6001">
        <w:t>CRT</w:t>
      </w:r>
      <w:r w:rsidR="00A25A6E" w:rsidRPr="002462F0">
        <w:t xml:space="preserve"> </w:t>
      </w:r>
      <w:r w:rsidR="00A25A6E">
        <w:t>1A3</w:t>
      </w:r>
      <w:r w:rsidR="00A25A6E" w:rsidRPr="002462F0">
        <w:t xml:space="preserve">) contributes to </w:t>
      </w:r>
      <w:r w:rsidR="00D84C41">
        <w:t>13</w:t>
      </w:r>
      <w:r w:rsidR="00A25A6E" w:rsidRPr="002462F0">
        <w:t xml:space="preserve">% of the total GHG emissions with LULUCF, and it contributes to </w:t>
      </w:r>
      <w:r w:rsidR="00015BB5">
        <w:t>1</w:t>
      </w:r>
      <w:r w:rsidR="00F77A6E">
        <w:t>7</w:t>
      </w:r>
      <w:r w:rsidR="00A25A6E" w:rsidRPr="002462F0">
        <w:t xml:space="preserve">% of the </w:t>
      </w:r>
      <w:r w:rsidR="00A25A6E">
        <w:t>Energy category (</w:t>
      </w:r>
      <w:r w:rsidR="000F6001">
        <w:t>CRT</w:t>
      </w:r>
      <w:r w:rsidR="00A25A6E">
        <w:t xml:space="preserve"> 1</w:t>
      </w:r>
      <w:r w:rsidR="00A25A6E" w:rsidRPr="002462F0">
        <w:t xml:space="preserve">) in </w:t>
      </w:r>
      <w:r w:rsidR="00F77A6E">
        <w:rPr>
          <w:lang w:val="en-US" w:eastAsia="fr-FR"/>
        </w:rPr>
        <w:t xml:space="preserve">the Republic of </w:t>
      </w:r>
      <w:r w:rsidR="00A25A6E" w:rsidRPr="002462F0">
        <w:t>Serbia.</w:t>
      </w:r>
    </w:p>
    <w:p w14:paraId="3FFEF712" w14:textId="40EDFA87" w:rsidR="005F6BCB" w:rsidRDefault="005F6BCB" w:rsidP="00622F40">
      <w:r>
        <w:t>The fuel consumptions for the transport sector (CRT 1A3) are presented in the following graph. The trend is observed to be quite fluctuating</w:t>
      </w:r>
      <w:r w:rsidR="00C46F06">
        <w:t xml:space="preserve"> with low levels observed in 1992-1995 and 1999-2000 due to the hyperinflation crisis and the NATO bombing, respectively. Since then, </w:t>
      </w:r>
      <w:r w:rsidR="008234C5">
        <w:t xml:space="preserve">the transport sector activity has been in a relatively progressive increase, in particular since 2012. </w:t>
      </w:r>
      <w:r w:rsidR="000E1C70">
        <w:t xml:space="preserve">The fuel consumptions for the transport sector are almost only related to liquid fuel consumptions, except a relatively marginal consumption of solid fuels </w:t>
      </w:r>
      <w:r w:rsidR="005033B5">
        <w:t xml:space="preserve">for railway transport until 2009, and the more recent development of liquefied natural gas for road transport from 2008, which remains overall marginal. </w:t>
      </w:r>
      <w:r w:rsidR="00871615">
        <w:t xml:space="preserve">In overall, almost only road transport contributes to </w:t>
      </w:r>
      <w:r w:rsidR="00AD156E">
        <w:t xml:space="preserve">the </w:t>
      </w:r>
      <w:r w:rsidR="002D73D6">
        <w:t xml:space="preserve">total fuel consumptions of the transport sector, with more than </w:t>
      </w:r>
      <w:r w:rsidR="000C2410">
        <w:t>99</w:t>
      </w:r>
      <w:r w:rsidR="00E8479C">
        <w:t>-100</w:t>
      </w:r>
      <w:r w:rsidR="000C2410">
        <w:t xml:space="preserve">% of the share </w:t>
      </w:r>
      <w:r w:rsidR="00E8479C">
        <w:t>for the whole period</w:t>
      </w:r>
      <w:r w:rsidR="000C2410">
        <w:t>.</w:t>
      </w:r>
    </w:p>
    <w:p w14:paraId="77D218AA" w14:textId="5E0C6D8C" w:rsidR="008A6E45" w:rsidRDefault="0004152F" w:rsidP="003631EA">
      <w:pPr>
        <w:keepNext/>
        <w:spacing w:after="0"/>
        <w:jc w:val="left"/>
      </w:pPr>
      <w:r>
        <w:rPr>
          <w:noProof/>
          <w:lang w:val="en-US"/>
        </w:rPr>
        <w:drawing>
          <wp:inline distT="0" distB="0" distL="0" distR="0" wp14:anchorId="60C750CC" wp14:editId="245B4FAD">
            <wp:extent cx="5815965" cy="3213100"/>
            <wp:effectExtent l="0" t="0" r="0" b="6350"/>
            <wp:docPr id="811265474"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5965" cy="3213100"/>
                    </a:xfrm>
                    <a:prstGeom prst="rect">
                      <a:avLst/>
                    </a:prstGeom>
                    <a:noFill/>
                  </pic:spPr>
                </pic:pic>
              </a:graphicData>
            </a:graphic>
          </wp:inline>
        </w:drawing>
      </w:r>
    </w:p>
    <w:p w14:paraId="35C28141" w14:textId="56FF3E33" w:rsidR="00D45FD2" w:rsidRPr="002462F0" w:rsidRDefault="008A6E45" w:rsidP="003631EA">
      <w:pPr>
        <w:pStyle w:val="Caption"/>
        <w:spacing w:before="0" w:after="0"/>
        <w:jc w:val="left"/>
      </w:pPr>
      <w:bookmarkStart w:id="222" w:name="_Ref183691221"/>
      <w:bookmarkStart w:id="223" w:name="_Toc184808401"/>
      <w:r>
        <w:t xml:space="preserve">Figure </w:t>
      </w:r>
      <w:r>
        <w:fldChar w:fldCharType="begin"/>
      </w:r>
      <w:r>
        <w:instrText xml:space="preserve"> SEQ Figure \* ARABIC </w:instrText>
      </w:r>
      <w:r>
        <w:fldChar w:fldCharType="separate"/>
      </w:r>
      <w:r w:rsidR="00F14C78">
        <w:rPr>
          <w:noProof/>
        </w:rPr>
        <w:t>14</w:t>
      </w:r>
      <w:r>
        <w:fldChar w:fldCharType="end"/>
      </w:r>
      <w:bookmarkEnd w:id="222"/>
      <w:r>
        <w:t>: Fuel consumptions in the Transport sector (CRT 1A3), per fuel type, for the period 1990-2022 (in TJ)</w:t>
      </w:r>
      <w:bookmarkEnd w:id="223"/>
    </w:p>
    <w:p w14:paraId="6E8EFC5B" w14:textId="77777777" w:rsidR="00877EFC" w:rsidRDefault="00877EFC">
      <w:pPr>
        <w:jc w:val="left"/>
        <w:rPr>
          <w:rStyle w:val="Heading2Char"/>
          <w:color w:val="595959" w:themeColor="text1" w:themeTint="A6"/>
          <w:sz w:val="24"/>
        </w:rPr>
      </w:pPr>
      <w:r>
        <w:rPr>
          <w:rStyle w:val="Heading2Char"/>
          <w:b w:val="0"/>
          <w:color w:val="595959" w:themeColor="text1" w:themeTint="A6"/>
          <w:sz w:val="24"/>
        </w:rPr>
        <w:br w:type="page"/>
      </w:r>
    </w:p>
    <w:p w14:paraId="144700B0" w14:textId="554260F8" w:rsidR="003716B8" w:rsidRPr="002462F0" w:rsidRDefault="003716B8" w:rsidP="003716B8">
      <w:pPr>
        <w:pStyle w:val="Heading4"/>
      </w:pPr>
      <w:bookmarkStart w:id="224" w:name="_Toc182327750"/>
      <w:bookmarkStart w:id="225" w:name="_Toc184808174"/>
      <w:r w:rsidRPr="002462F0">
        <w:rPr>
          <w:rStyle w:val="Heading2Char"/>
          <w:b/>
          <w:color w:val="595959" w:themeColor="text1" w:themeTint="A6"/>
          <w:sz w:val="24"/>
        </w:rPr>
        <w:lastRenderedPageBreak/>
        <w:t>Road transportation (</w:t>
      </w:r>
      <w:r w:rsidR="000F6001">
        <w:rPr>
          <w:rStyle w:val="Heading2Char"/>
          <w:b/>
          <w:color w:val="595959" w:themeColor="text1" w:themeTint="A6"/>
          <w:sz w:val="24"/>
        </w:rPr>
        <w:t>CRT</w:t>
      </w:r>
      <w:r w:rsidRPr="002462F0">
        <w:rPr>
          <w:rStyle w:val="Heading2Char"/>
          <w:b/>
          <w:color w:val="595959" w:themeColor="text1" w:themeTint="A6"/>
          <w:sz w:val="24"/>
        </w:rPr>
        <w:t xml:space="preserve"> 1A3b)</w:t>
      </w:r>
      <w:bookmarkEnd w:id="224"/>
      <w:bookmarkEnd w:id="225"/>
    </w:p>
    <w:p w14:paraId="02F2252D" w14:textId="77777777" w:rsidR="003716B8" w:rsidRPr="002462F0" w:rsidRDefault="003716B8" w:rsidP="003716B8">
      <w:pPr>
        <w:pStyle w:val="Heading5"/>
      </w:pPr>
      <w:bookmarkStart w:id="226" w:name="_Toc182327751"/>
      <w:bookmarkStart w:id="227" w:name="_Toc184808175"/>
      <w:r w:rsidRPr="002462F0">
        <w:rPr>
          <w:rStyle w:val="Heading2Char"/>
          <w:b/>
          <w:color w:val="808080" w:themeColor="background1" w:themeShade="80"/>
          <w:sz w:val="20"/>
          <w:szCs w:val="22"/>
          <w:lang w:val="en-GB"/>
        </w:rPr>
        <w:t>Category description</w:t>
      </w:r>
      <w:bookmarkEnd w:id="226"/>
      <w:bookmarkEnd w:id="227"/>
    </w:p>
    <w:p w14:paraId="1E88DC88" w14:textId="77777777" w:rsidR="003716B8" w:rsidRPr="002462F0" w:rsidRDefault="003716B8" w:rsidP="002462F0">
      <w:pPr>
        <w:pStyle w:val="BodyText"/>
        <w:rPr>
          <w:lang w:val="en-US" w:eastAsia="fr-FR"/>
        </w:rPr>
      </w:pPr>
      <w:r w:rsidRPr="002462F0">
        <w:rPr>
          <w:lang w:val="en-US" w:eastAsia="fr-FR"/>
        </w:rPr>
        <w:t xml:space="preserve">This category refers to GHG emissions due to road transport. Road transport includes all types of passenger cars, light-duty vehicles, heavy-duty vehicles, buses, mopeds and motorcycles. These mobile sources use different types of liquid and gaseous fuels, mostly gasoline and diesel oil, and emit significant amounts of greenhouse gases and air pollutants. </w:t>
      </w:r>
    </w:p>
    <w:p w14:paraId="106703DA" w14:textId="0EB48D18" w:rsidR="006A5E95" w:rsidRPr="002462F0" w:rsidRDefault="006A5E95" w:rsidP="006A5E95">
      <w:pPr>
        <w:pStyle w:val="BodyText"/>
        <w:rPr>
          <w:lang w:val="en-US" w:eastAsia="fr-FR"/>
        </w:rPr>
      </w:pPr>
      <w:r w:rsidRPr="002462F0">
        <w:rPr>
          <w:lang w:val="en-US" w:eastAsia="fr-FR"/>
        </w:rPr>
        <w:t xml:space="preserve">Road transport represents the most developed mode of transportation in the Republic of Serbia. Road network in Serbia today, although relatively well developed (total length of roads reaches about </w:t>
      </w:r>
      <w:r>
        <w:rPr>
          <w:lang w:val="en-US" w:eastAsia="fr-FR"/>
        </w:rPr>
        <w:t>45</w:t>
      </w:r>
      <w:r w:rsidR="0043484E">
        <w:rPr>
          <w:lang w:val="en-US" w:eastAsia="fr-FR"/>
        </w:rPr>
        <w:t>,</w:t>
      </w:r>
      <w:r>
        <w:rPr>
          <w:lang w:val="en-US" w:eastAsia="fr-FR"/>
        </w:rPr>
        <w:t>419</w:t>
      </w:r>
      <w:r w:rsidRPr="002462F0">
        <w:rPr>
          <w:lang w:val="en-US" w:eastAsia="fr-FR"/>
        </w:rPr>
        <w:t xml:space="preserve"> km)</w:t>
      </w:r>
      <w:r w:rsidR="0035562F">
        <w:rPr>
          <w:lang w:val="en-US" w:eastAsia="fr-FR"/>
        </w:rPr>
        <w:t>.</w:t>
      </w:r>
      <w:r w:rsidRPr="002462F0">
        <w:rPr>
          <w:lang w:val="en-US" w:eastAsia="fr-FR"/>
        </w:rPr>
        <w:t xml:space="preserve"> Lack of financial resources starting from 1990 onwards, as well as utilization of all available funds for maintenance and repair of infrastructure damaged during the 1999 bombardment, represent the main reasons for the situation encountered today. </w:t>
      </w:r>
      <w:r w:rsidR="00D012A8">
        <w:rPr>
          <w:lang w:val="en-US" w:eastAsia="fr-FR"/>
        </w:rPr>
        <w:t>Current</w:t>
      </w:r>
      <w:r w:rsidRPr="002462F0">
        <w:rPr>
          <w:lang w:val="en-US" w:eastAsia="fr-FR"/>
        </w:rPr>
        <w:t xml:space="preserve"> condition of road network directly affects the safety of road transport, low level of transportation services provided through the existent and perspective road network, as well as high exploitation costs.</w:t>
      </w:r>
    </w:p>
    <w:p w14:paraId="65544F20" w14:textId="561832F1" w:rsidR="006A5E95" w:rsidRPr="002462F0" w:rsidRDefault="006A5E95" w:rsidP="006A5E95">
      <w:pPr>
        <w:pStyle w:val="BodyText"/>
        <w:rPr>
          <w:lang w:val="en-US" w:eastAsia="fr-FR"/>
        </w:rPr>
      </w:pPr>
      <w:r>
        <w:rPr>
          <w:lang w:val="en-US" w:eastAsia="fr-FR"/>
        </w:rPr>
        <w:t>In addition</w:t>
      </w:r>
      <w:r w:rsidRPr="002462F0">
        <w:rPr>
          <w:lang w:val="en-US" w:eastAsia="fr-FR"/>
        </w:rPr>
        <w:t>, the old age of vehicle fleet</w:t>
      </w:r>
      <w:r>
        <w:rPr>
          <w:lang w:val="en-US" w:eastAsia="fr-FR"/>
        </w:rPr>
        <w:t xml:space="preserve"> represents</w:t>
      </w:r>
      <w:r w:rsidRPr="002462F0">
        <w:rPr>
          <w:lang w:val="en-US" w:eastAsia="fr-FR"/>
        </w:rPr>
        <w:t xml:space="preserve"> a key problem with respect to energy efficiency, environmental protection as well as transportation safety. In the period 1990 – 1999, </w:t>
      </w:r>
      <w:r>
        <w:rPr>
          <w:lang w:val="en-US" w:eastAsia="fr-FR"/>
        </w:rPr>
        <w:t>the</w:t>
      </w:r>
      <w:r w:rsidRPr="002462F0">
        <w:rPr>
          <w:lang w:val="en-US" w:eastAsia="fr-FR"/>
        </w:rPr>
        <w:t xml:space="preserve"> average annual increase in the number of vehicles was about 7%. However, much of the increase was due to importation of used vehicles from the western countries, which had largely influenced the average age of vehicle fleet.</w:t>
      </w:r>
    </w:p>
    <w:p w14:paraId="03811532" w14:textId="201B5235" w:rsidR="003716B8" w:rsidRPr="002462F0" w:rsidRDefault="00D012A8" w:rsidP="002462F0">
      <w:pPr>
        <w:pStyle w:val="BodyText"/>
        <w:rPr>
          <w:lang w:val="en-US" w:eastAsia="fr-FR"/>
        </w:rPr>
      </w:pPr>
      <w:r>
        <w:t>The period from 1990 to 2000 was marked by the import of low-rank fuels, in addition to domestic production. During this time, the use of diesel fuel increased significantly. These factors contributed to a rise in pollutant emissions at the national level, despite a recorded decline in the transport sector's contribution to the national economy during the same period. After 2000 the road transport sector was rapidly developing. Number of cars are significantly increasing, reflecting the stronger purchase power of households and growth of the industrial activities and services.</w:t>
      </w:r>
    </w:p>
    <w:p w14:paraId="0A16C3BC" w14:textId="143108C0" w:rsidR="003716B8" w:rsidRDefault="00017D2D" w:rsidP="002462F0">
      <w:pPr>
        <w:pStyle w:val="BodyText"/>
        <w:rPr>
          <w:lang w:val="en-US" w:eastAsia="fr-FR"/>
        </w:rPr>
      </w:pPr>
      <w:r>
        <w:rPr>
          <w:lang w:val="en-US" w:eastAsia="fr-FR"/>
        </w:rPr>
        <w:t>In 20</w:t>
      </w:r>
      <w:r w:rsidR="00BB1924">
        <w:rPr>
          <w:lang w:val="en-US" w:eastAsia="fr-FR"/>
        </w:rPr>
        <w:t>22</w:t>
      </w:r>
      <w:r w:rsidR="003716B8" w:rsidRPr="002462F0">
        <w:rPr>
          <w:lang w:val="en-US" w:eastAsia="fr-FR"/>
        </w:rPr>
        <w:t>, the road transport</w:t>
      </w:r>
      <w:r w:rsidR="00BB1924">
        <w:rPr>
          <w:lang w:val="en-US" w:eastAsia="fr-FR"/>
        </w:rPr>
        <w:t xml:space="preserve"> sector</w:t>
      </w:r>
      <w:r w:rsidR="003716B8" w:rsidRPr="002462F0">
        <w:rPr>
          <w:lang w:val="en-US" w:eastAsia="fr-FR"/>
        </w:rPr>
        <w:t xml:space="preserve"> is a key category for CO</w:t>
      </w:r>
      <w:r w:rsidR="003716B8" w:rsidRPr="002462F0">
        <w:rPr>
          <w:vertAlign w:val="subscript"/>
          <w:lang w:val="en-US" w:eastAsia="fr-FR"/>
        </w:rPr>
        <w:t>2</w:t>
      </w:r>
      <w:r w:rsidR="003716B8" w:rsidRPr="002462F0">
        <w:rPr>
          <w:lang w:val="en-US" w:eastAsia="fr-FR"/>
        </w:rPr>
        <w:t xml:space="preserve"> emissions in </w:t>
      </w:r>
      <w:r w:rsidR="00C86EF4">
        <w:rPr>
          <w:lang w:val="en-US" w:eastAsia="fr-FR"/>
        </w:rPr>
        <w:t xml:space="preserve">the Republic of </w:t>
      </w:r>
      <w:r w:rsidR="003716B8" w:rsidRPr="002462F0">
        <w:rPr>
          <w:lang w:val="en-US" w:eastAsia="fr-FR"/>
        </w:rPr>
        <w:t>Serbia</w:t>
      </w:r>
      <w:r w:rsidR="00C86EF4">
        <w:rPr>
          <w:lang w:val="en-US" w:eastAsia="fr-FR"/>
        </w:rPr>
        <w:t xml:space="preserve">, both in terms of </w:t>
      </w:r>
      <w:r w:rsidR="00216929">
        <w:rPr>
          <w:lang w:val="en-US" w:eastAsia="fr-FR"/>
        </w:rPr>
        <w:t>level and trend of emissions</w:t>
      </w:r>
      <w:r w:rsidR="003716B8" w:rsidRPr="002462F0">
        <w:rPr>
          <w:lang w:val="en-US" w:eastAsia="fr-FR"/>
        </w:rPr>
        <w:t>. Th</w:t>
      </w:r>
      <w:r w:rsidR="007401D2">
        <w:rPr>
          <w:lang w:val="en-US" w:eastAsia="fr-FR"/>
        </w:rPr>
        <w:t>e CO</w:t>
      </w:r>
      <w:r w:rsidR="007401D2" w:rsidRPr="00622F40">
        <w:rPr>
          <w:vertAlign w:val="subscript"/>
          <w:lang w:val="en-US" w:eastAsia="fr-FR"/>
        </w:rPr>
        <w:t>2</w:t>
      </w:r>
      <w:r w:rsidR="007401D2">
        <w:rPr>
          <w:lang w:val="en-US" w:eastAsia="fr-FR"/>
        </w:rPr>
        <w:t xml:space="preserve"> emissions from the liquid fuel combustion in this</w:t>
      </w:r>
      <w:r w:rsidR="003716B8" w:rsidRPr="002462F0">
        <w:rPr>
          <w:lang w:val="en-US" w:eastAsia="fr-FR"/>
        </w:rPr>
        <w:t xml:space="preserve"> sector contribute to </w:t>
      </w:r>
      <w:r w:rsidR="003716B8" w:rsidRPr="00950870">
        <w:rPr>
          <w:lang w:val="en-US" w:eastAsia="fr-FR"/>
        </w:rPr>
        <w:t>1</w:t>
      </w:r>
      <w:r w:rsidR="007401D2">
        <w:rPr>
          <w:lang w:val="en-US" w:eastAsia="fr-FR"/>
        </w:rPr>
        <w:t>2.7</w:t>
      </w:r>
      <w:r w:rsidR="003716B8" w:rsidRPr="002462F0">
        <w:rPr>
          <w:lang w:val="en-US" w:eastAsia="fr-FR"/>
        </w:rPr>
        <w:t xml:space="preserve">% in terms of emissions level (rank 2) and </w:t>
      </w:r>
      <w:r w:rsidR="003B14A2">
        <w:rPr>
          <w:lang w:val="en-US" w:eastAsia="fr-FR"/>
        </w:rPr>
        <w:t>16.6</w:t>
      </w:r>
      <w:r w:rsidR="003716B8" w:rsidRPr="002462F0">
        <w:rPr>
          <w:lang w:val="en-US" w:eastAsia="fr-FR"/>
        </w:rPr>
        <w:t xml:space="preserve">% in </w:t>
      </w:r>
      <w:r w:rsidR="00950870">
        <w:rPr>
          <w:lang w:val="en-US" w:eastAsia="fr-FR"/>
        </w:rPr>
        <w:t xml:space="preserve">terms of emissions trend (rank </w:t>
      </w:r>
      <w:r w:rsidR="003B14A2">
        <w:rPr>
          <w:lang w:val="en-US" w:eastAsia="fr-FR"/>
        </w:rPr>
        <w:t>1</w:t>
      </w:r>
      <w:r w:rsidR="003716B8" w:rsidRPr="002462F0">
        <w:rPr>
          <w:lang w:val="en-US" w:eastAsia="fr-FR"/>
        </w:rPr>
        <w:t>).</w:t>
      </w:r>
      <w:r w:rsidR="003B14A2">
        <w:rPr>
          <w:lang w:val="en-US" w:eastAsia="fr-FR"/>
        </w:rPr>
        <w:t xml:space="preserve"> The N</w:t>
      </w:r>
      <w:r w:rsidR="003B14A2" w:rsidRPr="00622F40">
        <w:rPr>
          <w:vertAlign w:val="subscript"/>
          <w:lang w:val="en-US" w:eastAsia="fr-FR"/>
        </w:rPr>
        <w:t>2</w:t>
      </w:r>
      <w:r w:rsidR="003B14A2">
        <w:rPr>
          <w:lang w:val="en-US" w:eastAsia="fr-FR"/>
        </w:rPr>
        <w:t xml:space="preserve">O emissions of </w:t>
      </w:r>
      <w:r w:rsidR="00D012A8">
        <w:rPr>
          <w:lang w:val="en-US" w:eastAsia="fr-FR"/>
        </w:rPr>
        <w:t>liquid</w:t>
      </w:r>
      <w:r w:rsidR="003B14A2">
        <w:rPr>
          <w:lang w:val="en-US" w:eastAsia="fr-FR"/>
        </w:rPr>
        <w:t xml:space="preserve"> fuel combustion in road transport are also a key category in terms of emission trend with a contribution of 0.2% (rank 59).</w:t>
      </w:r>
    </w:p>
    <w:p w14:paraId="2CB0D6C1" w14:textId="0D34098D" w:rsidR="00562494" w:rsidRPr="002462F0" w:rsidRDefault="00562494" w:rsidP="002462F0">
      <w:pPr>
        <w:pStyle w:val="BodyText"/>
        <w:rPr>
          <w:lang w:val="en-US" w:eastAsia="fr-FR"/>
        </w:rPr>
      </w:pPr>
      <w:r>
        <w:rPr>
          <w:lang w:val="en-US" w:eastAsia="fr-FR"/>
        </w:rPr>
        <w:t xml:space="preserve">The following </w:t>
      </w:r>
      <w:r w:rsidR="00D012A8">
        <w:rPr>
          <w:lang w:val="en-US" w:eastAsia="fr-FR"/>
        </w:rPr>
        <w:fldChar w:fldCharType="begin"/>
      </w:r>
      <w:r w:rsidR="00D012A8">
        <w:rPr>
          <w:lang w:val="en-US" w:eastAsia="fr-FR"/>
        </w:rPr>
        <w:instrText xml:space="preserve"> REF _Ref183691227 \h </w:instrText>
      </w:r>
      <w:r w:rsidR="00D012A8">
        <w:rPr>
          <w:lang w:val="en-US" w:eastAsia="fr-FR"/>
        </w:rPr>
      </w:r>
      <w:r w:rsidR="00D012A8">
        <w:rPr>
          <w:lang w:val="en-US" w:eastAsia="fr-FR"/>
        </w:rPr>
        <w:fldChar w:fldCharType="separate"/>
      </w:r>
      <w:r w:rsidR="00D012A8" w:rsidRPr="00622F40">
        <w:t xml:space="preserve">Figure </w:t>
      </w:r>
      <w:r w:rsidR="00D012A8">
        <w:rPr>
          <w:noProof/>
        </w:rPr>
        <w:t>15</w:t>
      </w:r>
      <w:r w:rsidR="00D012A8">
        <w:rPr>
          <w:lang w:val="en-US" w:eastAsia="fr-FR"/>
        </w:rPr>
        <w:fldChar w:fldCharType="end"/>
      </w:r>
      <w:r w:rsidR="00D012A8">
        <w:rPr>
          <w:lang w:val="en-US" w:eastAsia="fr-FR"/>
        </w:rPr>
        <w:t xml:space="preserve"> </w:t>
      </w:r>
      <w:r>
        <w:rPr>
          <w:lang w:val="en-US" w:eastAsia="fr-FR"/>
        </w:rPr>
        <w:t xml:space="preserve">presents the trend of the GHG emissions of road transportation in the Republic of Serbia over the whole timeseries. </w:t>
      </w:r>
      <w:r w:rsidR="00E93596">
        <w:rPr>
          <w:lang w:val="en-US" w:eastAsia="fr-FR"/>
        </w:rPr>
        <w:t>In overall, between 1990 and 2022</w:t>
      </w:r>
      <w:r w:rsidR="003F4F28">
        <w:rPr>
          <w:lang w:val="en-US" w:eastAsia="fr-FR"/>
        </w:rPr>
        <w:t>, the GHG emissions of the road transport sector increased by 78%.</w:t>
      </w:r>
      <w:r w:rsidR="00C2008F">
        <w:rPr>
          <w:lang w:val="en-US" w:eastAsia="fr-FR"/>
        </w:rPr>
        <w:t xml:space="preserve"> </w:t>
      </w:r>
      <w:r w:rsidR="00D555B2">
        <w:rPr>
          <w:lang w:val="en-US" w:eastAsia="fr-FR"/>
        </w:rPr>
        <w:t>From</w:t>
      </w:r>
      <w:r w:rsidR="00C2008F">
        <w:rPr>
          <w:lang w:val="en-US" w:eastAsia="fr-FR"/>
        </w:rPr>
        <w:t xml:space="preserve"> 2004</w:t>
      </w:r>
      <w:r w:rsidR="00D555B2">
        <w:rPr>
          <w:lang w:val="en-US" w:eastAsia="fr-FR"/>
        </w:rPr>
        <w:t>,</w:t>
      </w:r>
      <w:r w:rsidR="00C2008F">
        <w:rPr>
          <w:lang w:val="en-US" w:eastAsia="fr-FR"/>
        </w:rPr>
        <w:t xml:space="preserve"> </w:t>
      </w:r>
      <w:r w:rsidR="00D555B2">
        <w:rPr>
          <w:lang w:val="en-US" w:eastAsia="fr-FR"/>
        </w:rPr>
        <w:t>after having</w:t>
      </w:r>
      <w:r w:rsidR="00C2008F">
        <w:rPr>
          <w:lang w:val="en-US" w:eastAsia="fr-FR"/>
        </w:rPr>
        <w:t xml:space="preserve"> recover</w:t>
      </w:r>
      <w:r w:rsidR="00D555B2">
        <w:rPr>
          <w:lang w:val="en-US" w:eastAsia="fr-FR"/>
        </w:rPr>
        <w:t>ed</w:t>
      </w:r>
      <w:r w:rsidR="00C2008F">
        <w:rPr>
          <w:lang w:val="en-US" w:eastAsia="fr-FR"/>
        </w:rPr>
        <w:t xml:space="preserve"> </w:t>
      </w:r>
      <w:r w:rsidR="00D555B2">
        <w:rPr>
          <w:lang w:val="en-US" w:eastAsia="fr-FR"/>
        </w:rPr>
        <w:t xml:space="preserve">from </w:t>
      </w:r>
      <w:r w:rsidR="00C2008F">
        <w:rPr>
          <w:lang w:val="en-US" w:eastAsia="fr-FR"/>
        </w:rPr>
        <w:t xml:space="preserve">the NATO bombing, </w:t>
      </w:r>
      <w:r w:rsidR="00D555B2">
        <w:rPr>
          <w:lang w:val="en-US" w:eastAsia="fr-FR"/>
        </w:rPr>
        <w:t xml:space="preserve">to 2018, </w:t>
      </w:r>
      <w:r w:rsidR="00101D75">
        <w:rPr>
          <w:lang w:val="en-US" w:eastAsia="fr-FR"/>
        </w:rPr>
        <w:t>the GHG emissions have been rather stable although varying</w:t>
      </w:r>
      <w:r w:rsidR="00D555B2">
        <w:rPr>
          <w:lang w:val="en-US" w:eastAsia="fr-FR"/>
        </w:rPr>
        <w:t xml:space="preserve"> for some specific years. Since 2019, except in 2020 with the C</w:t>
      </w:r>
      <w:r w:rsidR="00D012A8">
        <w:rPr>
          <w:lang w:val="en-US" w:eastAsia="fr-FR"/>
        </w:rPr>
        <w:t>OVID</w:t>
      </w:r>
      <w:r w:rsidR="00D555B2">
        <w:rPr>
          <w:lang w:val="en-US" w:eastAsia="fr-FR"/>
        </w:rPr>
        <w:t xml:space="preserve"> crisis, an increasing trend in the GHG emissions is observed.</w:t>
      </w:r>
      <w:r w:rsidR="008B5440">
        <w:rPr>
          <w:lang w:val="en-US" w:eastAsia="fr-FR"/>
        </w:rPr>
        <w:t xml:space="preserve"> The GHG emissions </w:t>
      </w:r>
      <w:r w:rsidR="00646459">
        <w:rPr>
          <w:lang w:val="en-US" w:eastAsia="fr-FR"/>
        </w:rPr>
        <w:t>have increased</w:t>
      </w:r>
      <w:r w:rsidR="008B5440">
        <w:rPr>
          <w:lang w:val="en-US" w:eastAsia="fr-FR"/>
        </w:rPr>
        <w:t xml:space="preserve"> </w:t>
      </w:r>
      <w:r w:rsidR="004B57C6">
        <w:rPr>
          <w:lang w:val="en-US" w:eastAsia="fr-FR"/>
        </w:rPr>
        <w:t xml:space="preserve">slightly less than the fuel consumptions as, since 2008, the introduction of LPG and LNG, enables to decrease a little the implied emission factor of the overall mix. In 2022, LPG </w:t>
      </w:r>
      <w:r w:rsidR="00646459">
        <w:rPr>
          <w:lang w:val="en-US" w:eastAsia="fr-FR"/>
        </w:rPr>
        <w:t>consumption represents</w:t>
      </w:r>
      <w:r w:rsidR="00411B70">
        <w:rPr>
          <w:lang w:val="en-US" w:eastAsia="fr-FR"/>
        </w:rPr>
        <w:t xml:space="preserve"> about 4% of the total consumption whereas LNG contributes to </w:t>
      </w:r>
      <w:r w:rsidR="00090B78">
        <w:rPr>
          <w:lang w:val="en-US" w:eastAsia="fr-FR"/>
        </w:rPr>
        <w:t xml:space="preserve">around </w:t>
      </w:r>
      <w:r w:rsidR="00411B70">
        <w:rPr>
          <w:lang w:val="en-US" w:eastAsia="fr-FR"/>
        </w:rPr>
        <w:t>1%</w:t>
      </w:r>
      <w:r w:rsidR="00090B78">
        <w:rPr>
          <w:lang w:val="en-US" w:eastAsia="fr-FR"/>
        </w:rPr>
        <w:t xml:space="preserve">. </w:t>
      </w:r>
    </w:p>
    <w:p w14:paraId="3EE2B366" w14:textId="4FFB495E" w:rsidR="003716B8" w:rsidRPr="002462F0" w:rsidRDefault="000E7BD3" w:rsidP="00D012A8">
      <w:pPr>
        <w:autoSpaceDE w:val="0"/>
        <w:autoSpaceDN w:val="0"/>
        <w:adjustRightInd w:val="0"/>
        <w:spacing w:after="0" w:line="240" w:lineRule="auto"/>
        <w:jc w:val="left"/>
        <w:rPr>
          <w:sz w:val="24"/>
          <w:szCs w:val="24"/>
          <w:lang w:val="en-US" w:eastAsia="fr-FR"/>
        </w:rPr>
      </w:pPr>
      <w:r>
        <w:rPr>
          <w:noProof/>
          <w:sz w:val="24"/>
          <w:szCs w:val="24"/>
          <w:lang w:val="en-US"/>
        </w:rPr>
        <w:lastRenderedPageBreak/>
        <w:drawing>
          <wp:inline distT="0" distB="0" distL="0" distR="0" wp14:anchorId="54A2DA62" wp14:editId="0C84E05F">
            <wp:extent cx="5760000" cy="1760809"/>
            <wp:effectExtent l="0" t="0" r="0" b="0"/>
            <wp:docPr id="1537835205"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00" cy="1760809"/>
                    </a:xfrm>
                    <a:prstGeom prst="rect">
                      <a:avLst/>
                    </a:prstGeom>
                    <a:noFill/>
                  </pic:spPr>
                </pic:pic>
              </a:graphicData>
            </a:graphic>
          </wp:inline>
        </w:drawing>
      </w:r>
    </w:p>
    <w:p w14:paraId="1A6A512A" w14:textId="77777777" w:rsidR="00D012A8" w:rsidRPr="002462F0" w:rsidRDefault="00D012A8" w:rsidP="00D012A8">
      <w:pPr>
        <w:pStyle w:val="Caption"/>
        <w:keepNext/>
        <w:spacing w:before="0" w:after="0"/>
        <w:jc w:val="left"/>
      </w:pPr>
      <w:bookmarkStart w:id="228" w:name="_Ref183691227"/>
      <w:bookmarkStart w:id="229" w:name="_Toc184808402"/>
      <w:r w:rsidRPr="00622F40">
        <w:t xml:space="preserve">Figure </w:t>
      </w:r>
      <w:r w:rsidRPr="00622F40">
        <w:fldChar w:fldCharType="begin"/>
      </w:r>
      <w:r w:rsidRPr="00622F40">
        <w:instrText xml:space="preserve"> SEQ Figure \* ARABIC </w:instrText>
      </w:r>
      <w:r w:rsidRPr="00622F40">
        <w:fldChar w:fldCharType="separate"/>
      </w:r>
      <w:r>
        <w:rPr>
          <w:noProof/>
        </w:rPr>
        <w:t>15</w:t>
      </w:r>
      <w:r w:rsidRPr="00622F40">
        <w:fldChar w:fldCharType="end"/>
      </w:r>
      <w:bookmarkEnd w:id="228"/>
      <w:r w:rsidRPr="00622F40">
        <w:rPr>
          <w:noProof/>
        </w:rPr>
        <w:t xml:space="preserve"> : GHG emissions for road transportation</w:t>
      </w:r>
      <w:r>
        <w:rPr>
          <w:noProof/>
        </w:rPr>
        <w:t xml:space="preserve"> (CRT 1A3b), for the period 1990-2022</w:t>
      </w:r>
      <w:r w:rsidRPr="00622F40">
        <w:rPr>
          <w:noProof/>
        </w:rPr>
        <w:t xml:space="preserve"> (in kt CO</w:t>
      </w:r>
      <w:r w:rsidRPr="00622F40">
        <w:rPr>
          <w:noProof/>
          <w:vertAlign w:val="subscript"/>
        </w:rPr>
        <w:t>2</w:t>
      </w:r>
      <w:r w:rsidRPr="00622F40">
        <w:rPr>
          <w:noProof/>
        </w:rPr>
        <w:t>e)</w:t>
      </w:r>
      <w:bookmarkEnd w:id="229"/>
    </w:p>
    <w:p w14:paraId="1A092075" w14:textId="77777777" w:rsidR="003716B8" w:rsidRPr="002462F0" w:rsidRDefault="003716B8" w:rsidP="003716B8">
      <w:pPr>
        <w:autoSpaceDE w:val="0"/>
        <w:autoSpaceDN w:val="0"/>
        <w:adjustRightInd w:val="0"/>
        <w:spacing w:after="0" w:line="240" w:lineRule="auto"/>
        <w:jc w:val="left"/>
        <w:rPr>
          <w:sz w:val="24"/>
          <w:szCs w:val="24"/>
          <w:lang w:val="en-US" w:eastAsia="fr-FR"/>
        </w:rPr>
      </w:pPr>
    </w:p>
    <w:p w14:paraId="46175664" w14:textId="77777777" w:rsidR="003716B8" w:rsidRPr="002462F0" w:rsidRDefault="003716B8" w:rsidP="003716B8">
      <w:pPr>
        <w:pStyle w:val="Heading5"/>
      </w:pPr>
      <w:bookmarkStart w:id="230" w:name="_Toc182327752"/>
      <w:bookmarkStart w:id="231" w:name="_Toc184808176"/>
      <w:r w:rsidRPr="002462F0">
        <w:rPr>
          <w:rStyle w:val="Heading2Char"/>
          <w:b/>
          <w:color w:val="808080" w:themeColor="background1" w:themeShade="80"/>
          <w:sz w:val="20"/>
          <w:szCs w:val="22"/>
          <w:lang w:val="en-GB"/>
        </w:rPr>
        <w:t>Methodological issues</w:t>
      </w:r>
      <w:bookmarkEnd w:id="230"/>
      <w:bookmarkEnd w:id="231"/>
    </w:p>
    <w:p w14:paraId="085A1332" w14:textId="536D3C3C" w:rsidR="003716B8" w:rsidRPr="002462F0" w:rsidRDefault="003716B8" w:rsidP="002462F0">
      <w:pPr>
        <w:pStyle w:val="BodyText"/>
        <w:rPr>
          <w:lang w:val="en-US" w:eastAsia="fr-FR"/>
        </w:rPr>
      </w:pPr>
      <w:r w:rsidRPr="002462F0">
        <w:rPr>
          <w:lang w:val="en-US" w:eastAsia="fr-FR"/>
        </w:rPr>
        <w:t>Emissions of GHG from liquid and gaseous fuels are calculated on the basis of the fuel consumption</w:t>
      </w:r>
      <w:r w:rsidR="00A351D5">
        <w:rPr>
          <w:lang w:val="en-US" w:eastAsia="fr-FR"/>
        </w:rPr>
        <w:t>s</w:t>
      </w:r>
      <w:r w:rsidR="003404DC" w:rsidRPr="002462F0">
        <w:rPr>
          <w:lang w:val="en-US" w:eastAsia="fr-FR"/>
        </w:rPr>
        <w:t xml:space="preserve"> using T</w:t>
      </w:r>
      <w:r w:rsidRPr="002462F0">
        <w:rPr>
          <w:lang w:val="en-US" w:eastAsia="fr-FR"/>
        </w:rPr>
        <w:t>ier 1 (top-down) approach</w:t>
      </w:r>
      <w:r w:rsidR="00A351D5">
        <w:rPr>
          <w:lang w:val="en-US" w:eastAsia="fr-FR"/>
        </w:rPr>
        <w:t>,</w:t>
      </w:r>
      <w:r w:rsidRPr="002462F0">
        <w:rPr>
          <w:lang w:val="en-US" w:eastAsia="fr-FR"/>
        </w:rPr>
        <w:t xml:space="preserve"> which is in </w:t>
      </w:r>
      <w:r w:rsidR="00A351D5">
        <w:rPr>
          <w:lang w:val="en-US" w:eastAsia="fr-FR"/>
        </w:rPr>
        <w:t>accordance</w:t>
      </w:r>
      <w:r w:rsidR="00A351D5" w:rsidRPr="002462F0">
        <w:rPr>
          <w:lang w:val="en-US" w:eastAsia="fr-FR"/>
        </w:rPr>
        <w:t xml:space="preserve"> </w:t>
      </w:r>
      <w:r w:rsidRPr="002462F0">
        <w:rPr>
          <w:lang w:val="en-US" w:eastAsia="fr-FR"/>
        </w:rPr>
        <w:t xml:space="preserve">with the 2006 IPCC Guidelines. </w:t>
      </w:r>
    </w:p>
    <w:p w14:paraId="029F28FA" w14:textId="77777777" w:rsidR="003716B8" w:rsidRPr="002462F0" w:rsidRDefault="003716B8" w:rsidP="002462F0">
      <w:pPr>
        <w:pStyle w:val="BodyText"/>
        <w:rPr>
          <w:lang w:val="en-US" w:eastAsia="fr-FR"/>
        </w:rPr>
      </w:pPr>
    </w:p>
    <w:p w14:paraId="2EF3C10F" w14:textId="2009D405" w:rsidR="003716B8" w:rsidRPr="002462F0" w:rsidRDefault="003716B8" w:rsidP="002462F0">
      <w:pPr>
        <w:pStyle w:val="BodyText"/>
        <w:rPr>
          <w:lang w:val="en-US" w:eastAsia="fr-FR"/>
        </w:rPr>
      </w:pPr>
      <w:r w:rsidRPr="002462F0">
        <w:rPr>
          <w:lang w:val="en-US" w:eastAsia="fr-FR"/>
        </w:rPr>
        <w:t xml:space="preserve">Activity data used </w:t>
      </w:r>
      <w:r w:rsidR="00A351D5">
        <w:rPr>
          <w:lang w:val="en-US" w:eastAsia="fr-FR"/>
        </w:rPr>
        <w:t>are the</w:t>
      </w:r>
      <w:r w:rsidR="00A351D5" w:rsidRPr="002462F0">
        <w:rPr>
          <w:lang w:val="en-US" w:eastAsia="fr-FR"/>
        </w:rPr>
        <w:t xml:space="preserve"> </w:t>
      </w:r>
      <w:r w:rsidRPr="002462F0">
        <w:rPr>
          <w:lang w:val="en-US" w:eastAsia="fr-FR"/>
        </w:rPr>
        <w:t>fuel consumption by type of fuel</w:t>
      </w:r>
      <w:r w:rsidR="00A351D5">
        <w:rPr>
          <w:lang w:val="en-US" w:eastAsia="fr-FR"/>
        </w:rPr>
        <w:t xml:space="preserve"> (diesel, gasoline</w:t>
      </w:r>
      <w:r w:rsidR="00D3442C">
        <w:rPr>
          <w:lang w:val="en-US" w:eastAsia="fr-FR"/>
        </w:rPr>
        <w:t xml:space="preserve">, </w:t>
      </w:r>
      <w:r w:rsidR="00090B78">
        <w:rPr>
          <w:lang w:val="en-US" w:eastAsia="fr-FR"/>
        </w:rPr>
        <w:t>LPG and LNG)</w:t>
      </w:r>
      <w:r w:rsidRPr="002462F0">
        <w:rPr>
          <w:lang w:val="en-US" w:eastAsia="fr-FR"/>
        </w:rPr>
        <w:t>. Amounts of all types of liquid and gaseous fuels consumed for the whole time</w:t>
      </w:r>
      <w:r w:rsidR="00090B78">
        <w:rPr>
          <w:lang w:val="en-US" w:eastAsia="fr-FR"/>
        </w:rPr>
        <w:t>series</w:t>
      </w:r>
      <w:r w:rsidRPr="002462F0">
        <w:rPr>
          <w:lang w:val="en-US" w:eastAsia="fr-FR"/>
        </w:rPr>
        <w:t xml:space="preserve"> were extracted from national energy balance </w:t>
      </w:r>
      <w:r w:rsidR="00826E82">
        <w:rPr>
          <w:lang w:val="en-US" w:eastAsia="fr-FR"/>
        </w:rPr>
        <w:fldChar w:fldCharType="begin"/>
      </w:r>
      <w:r w:rsidR="00826E82">
        <w:rPr>
          <w:lang w:val="en-US" w:eastAsia="fr-FR"/>
        </w:rPr>
        <w:instrText xml:space="preserve"> REF _Ref496787656 \r \h </w:instrText>
      </w:r>
      <w:r w:rsidR="00826E82">
        <w:rPr>
          <w:lang w:val="en-US" w:eastAsia="fr-FR"/>
        </w:rPr>
      </w:r>
      <w:r w:rsidR="00826E82">
        <w:rPr>
          <w:lang w:val="en-US" w:eastAsia="fr-FR"/>
        </w:rPr>
        <w:fldChar w:fldCharType="separate"/>
      </w:r>
      <w:r w:rsidR="00F14C78">
        <w:rPr>
          <w:lang w:val="en-US" w:eastAsia="fr-FR"/>
        </w:rPr>
        <w:t>[E2]</w:t>
      </w:r>
      <w:r w:rsidR="00826E82">
        <w:rPr>
          <w:lang w:val="en-US" w:eastAsia="fr-FR"/>
        </w:rPr>
        <w:fldChar w:fldCharType="end"/>
      </w:r>
      <w:r w:rsidRPr="002462F0">
        <w:rPr>
          <w:lang w:val="en-US" w:eastAsia="fr-FR"/>
        </w:rPr>
        <w:t xml:space="preserve">, as well as </w:t>
      </w:r>
      <w:r w:rsidR="00EE792B">
        <w:rPr>
          <w:lang w:val="en-US" w:eastAsia="fr-FR"/>
        </w:rPr>
        <w:t xml:space="preserve">the </w:t>
      </w:r>
      <w:r w:rsidRPr="002462F0">
        <w:rPr>
          <w:lang w:val="en-US" w:eastAsia="fr-FR"/>
        </w:rPr>
        <w:t>NCV</w:t>
      </w:r>
      <w:r w:rsidR="00826E82">
        <w:rPr>
          <w:lang w:val="en-US" w:eastAsia="fr-FR"/>
        </w:rPr>
        <w:t xml:space="preserve"> </w:t>
      </w:r>
      <w:r w:rsidR="00826E82">
        <w:rPr>
          <w:lang w:val="en-US" w:eastAsia="fr-FR"/>
        </w:rPr>
        <w:fldChar w:fldCharType="begin"/>
      </w:r>
      <w:r w:rsidR="00826E82">
        <w:rPr>
          <w:lang w:val="en-US" w:eastAsia="fr-FR"/>
        </w:rPr>
        <w:instrText xml:space="preserve"> REF _Ref496787868 \r \h </w:instrText>
      </w:r>
      <w:r w:rsidR="00826E82">
        <w:rPr>
          <w:lang w:val="en-US" w:eastAsia="fr-FR"/>
        </w:rPr>
      </w:r>
      <w:r w:rsidR="00826E82">
        <w:rPr>
          <w:lang w:val="en-US" w:eastAsia="fr-FR"/>
        </w:rPr>
        <w:fldChar w:fldCharType="separate"/>
      </w:r>
      <w:r w:rsidR="00F14C78">
        <w:rPr>
          <w:lang w:val="en-US" w:eastAsia="fr-FR"/>
        </w:rPr>
        <w:t>[E10]</w:t>
      </w:r>
      <w:r w:rsidR="00826E82">
        <w:rPr>
          <w:lang w:val="en-US" w:eastAsia="fr-FR"/>
        </w:rPr>
        <w:fldChar w:fldCharType="end"/>
      </w:r>
      <w:r w:rsidR="00EE792B">
        <w:rPr>
          <w:lang w:val="en-US" w:eastAsia="fr-FR"/>
        </w:rPr>
        <w:t xml:space="preserve">, which are summarized in Chapter </w:t>
      </w:r>
      <w:r w:rsidR="00EE792B">
        <w:rPr>
          <w:lang w:val="en-US" w:eastAsia="fr-FR"/>
        </w:rPr>
        <w:fldChar w:fldCharType="begin"/>
      </w:r>
      <w:r w:rsidR="00EE792B">
        <w:rPr>
          <w:lang w:val="en-US" w:eastAsia="fr-FR"/>
        </w:rPr>
        <w:instrText xml:space="preserve"> REF _Ref175130250 \r \h </w:instrText>
      </w:r>
      <w:r w:rsidR="00EE792B">
        <w:rPr>
          <w:lang w:val="en-US" w:eastAsia="fr-FR"/>
        </w:rPr>
      </w:r>
      <w:r w:rsidR="00EE792B">
        <w:rPr>
          <w:lang w:val="en-US" w:eastAsia="fr-FR"/>
        </w:rPr>
        <w:fldChar w:fldCharType="separate"/>
      </w:r>
      <w:r w:rsidR="00F14C78">
        <w:rPr>
          <w:lang w:val="en-US" w:eastAsia="fr-FR"/>
        </w:rPr>
        <w:t>3.2.4</w:t>
      </w:r>
      <w:r w:rsidR="00EE792B">
        <w:rPr>
          <w:lang w:val="en-US" w:eastAsia="fr-FR"/>
        </w:rPr>
        <w:fldChar w:fldCharType="end"/>
      </w:r>
      <w:r w:rsidRPr="002462F0">
        <w:rPr>
          <w:lang w:val="en-US" w:eastAsia="fr-FR"/>
        </w:rPr>
        <w:t>.</w:t>
      </w:r>
    </w:p>
    <w:p w14:paraId="584225CE" w14:textId="77777777" w:rsidR="003716B8" w:rsidRPr="002462F0" w:rsidRDefault="003716B8" w:rsidP="002462F0">
      <w:pPr>
        <w:pStyle w:val="BodyText"/>
        <w:rPr>
          <w:lang w:val="en-US" w:eastAsia="fr-FR"/>
        </w:rPr>
      </w:pPr>
    </w:p>
    <w:p w14:paraId="7CB13A02" w14:textId="32F1674B" w:rsidR="003716B8" w:rsidRPr="002462F0" w:rsidRDefault="003716B8" w:rsidP="002462F0">
      <w:pPr>
        <w:pStyle w:val="BodyText"/>
        <w:rPr>
          <w:lang w:val="en-US" w:eastAsia="fr-FR"/>
        </w:rPr>
      </w:pPr>
      <w:r w:rsidRPr="002462F0">
        <w:rPr>
          <w:lang w:val="en-US" w:eastAsia="fr-FR"/>
        </w:rPr>
        <w:t>Emissions factors used for calculating CO</w:t>
      </w:r>
      <w:r w:rsidRPr="002462F0">
        <w:rPr>
          <w:vertAlign w:val="subscript"/>
          <w:lang w:val="en-US" w:eastAsia="fr-FR"/>
        </w:rPr>
        <w:t>2</w:t>
      </w:r>
      <w:r w:rsidRPr="002462F0">
        <w:rPr>
          <w:lang w:val="en-US" w:eastAsia="fr-FR"/>
        </w:rPr>
        <w:t xml:space="preserve"> emissions from liquid and gaseous fuels </w:t>
      </w:r>
      <w:r w:rsidR="00440E68">
        <w:rPr>
          <w:lang w:val="en-US" w:eastAsia="fr-FR"/>
        </w:rPr>
        <w:t>are sourced</w:t>
      </w:r>
      <w:r w:rsidRPr="002462F0">
        <w:rPr>
          <w:lang w:val="en-US" w:eastAsia="fr-FR"/>
        </w:rPr>
        <w:t xml:space="preserve"> from 2006 IPCC guidelines </w:t>
      </w:r>
      <w:r w:rsidR="00826E82">
        <w:rPr>
          <w:lang w:val="en-US" w:eastAsia="fr-FR"/>
        </w:rPr>
        <w:fldChar w:fldCharType="begin"/>
      </w:r>
      <w:r w:rsidR="00826E82">
        <w:rPr>
          <w:lang w:val="en-US" w:eastAsia="fr-FR"/>
        </w:rPr>
        <w:instrText xml:space="preserve"> REF _Ref496787875 \r \h </w:instrText>
      </w:r>
      <w:r w:rsidR="00826E82">
        <w:rPr>
          <w:lang w:val="en-US" w:eastAsia="fr-FR"/>
        </w:rPr>
      </w:r>
      <w:r w:rsidR="00826E82">
        <w:rPr>
          <w:lang w:val="en-US" w:eastAsia="fr-FR"/>
        </w:rPr>
        <w:fldChar w:fldCharType="separate"/>
      </w:r>
      <w:r w:rsidR="00F14C78">
        <w:rPr>
          <w:lang w:val="en-US" w:eastAsia="fr-FR"/>
        </w:rPr>
        <w:t>[E8]</w:t>
      </w:r>
      <w:r w:rsidR="00826E82">
        <w:rPr>
          <w:lang w:val="en-US" w:eastAsia="fr-FR"/>
        </w:rPr>
        <w:fldChar w:fldCharType="end"/>
      </w:r>
      <w:r w:rsidR="00EE792B">
        <w:rPr>
          <w:lang w:val="en-US" w:eastAsia="fr-FR"/>
        </w:rPr>
        <w:t xml:space="preserve">, and are presented in Chapter </w:t>
      </w:r>
      <w:r w:rsidR="00EE792B">
        <w:rPr>
          <w:lang w:val="en-US" w:eastAsia="fr-FR"/>
        </w:rPr>
        <w:fldChar w:fldCharType="begin"/>
      </w:r>
      <w:r w:rsidR="00EE792B">
        <w:rPr>
          <w:lang w:val="en-US" w:eastAsia="fr-FR"/>
        </w:rPr>
        <w:instrText xml:space="preserve"> REF _Ref175130250 \r \h </w:instrText>
      </w:r>
      <w:r w:rsidR="00EE792B">
        <w:rPr>
          <w:lang w:val="en-US" w:eastAsia="fr-FR"/>
        </w:rPr>
      </w:r>
      <w:r w:rsidR="00EE792B">
        <w:rPr>
          <w:lang w:val="en-US" w:eastAsia="fr-FR"/>
        </w:rPr>
        <w:fldChar w:fldCharType="separate"/>
      </w:r>
      <w:r w:rsidR="00F14C78">
        <w:rPr>
          <w:lang w:val="en-US" w:eastAsia="fr-FR"/>
        </w:rPr>
        <w:t>3.2.4</w:t>
      </w:r>
      <w:r w:rsidR="00EE792B">
        <w:rPr>
          <w:lang w:val="en-US" w:eastAsia="fr-FR"/>
        </w:rPr>
        <w:fldChar w:fldCharType="end"/>
      </w:r>
      <w:r w:rsidRPr="002462F0">
        <w:rPr>
          <w:lang w:val="en-US" w:eastAsia="fr-FR"/>
        </w:rPr>
        <w:t>.</w:t>
      </w:r>
    </w:p>
    <w:p w14:paraId="360B4754" w14:textId="13E704AC" w:rsidR="003716B8" w:rsidRPr="002462F0" w:rsidRDefault="003716B8" w:rsidP="002462F0">
      <w:pPr>
        <w:pStyle w:val="BodyText"/>
        <w:rPr>
          <w:lang w:val="en-US" w:eastAsia="fr-FR"/>
        </w:rPr>
      </w:pPr>
      <w:r w:rsidRPr="002462F0">
        <w:rPr>
          <w:lang w:val="en-US" w:eastAsia="fr-FR"/>
        </w:rPr>
        <w:t>Emissions factors used for calculating CH</w:t>
      </w:r>
      <w:r w:rsidRPr="002462F0">
        <w:rPr>
          <w:vertAlign w:val="subscript"/>
          <w:lang w:val="en-US" w:eastAsia="fr-FR"/>
        </w:rPr>
        <w:t>4</w:t>
      </w:r>
      <w:r w:rsidRPr="002462F0">
        <w:rPr>
          <w:lang w:val="en-US" w:eastAsia="fr-FR"/>
        </w:rPr>
        <w:t xml:space="preserve"> and N</w:t>
      </w:r>
      <w:r w:rsidRPr="002462F0">
        <w:rPr>
          <w:vertAlign w:val="subscript"/>
          <w:lang w:val="en-US" w:eastAsia="fr-FR"/>
        </w:rPr>
        <w:t>2</w:t>
      </w:r>
      <w:r w:rsidRPr="002462F0">
        <w:rPr>
          <w:lang w:val="en-US" w:eastAsia="fr-FR"/>
        </w:rPr>
        <w:t xml:space="preserve">O emissions from liquid and gaseous fuels also </w:t>
      </w:r>
      <w:r w:rsidR="00440E68">
        <w:rPr>
          <w:lang w:val="en-US" w:eastAsia="fr-FR"/>
        </w:rPr>
        <w:t>are sourced</w:t>
      </w:r>
      <w:r w:rsidRPr="002462F0">
        <w:rPr>
          <w:lang w:val="en-US" w:eastAsia="fr-FR"/>
        </w:rPr>
        <w:t xml:space="preserve"> from 2006 IPCC guidelines </w:t>
      </w:r>
      <w:r w:rsidR="00826E82">
        <w:rPr>
          <w:lang w:val="en-US" w:eastAsia="fr-FR"/>
        </w:rPr>
        <w:fldChar w:fldCharType="begin"/>
      </w:r>
      <w:r w:rsidR="00826E82">
        <w:rPr>
          <w:lang w:val="en-US" w:eastAsia="fr-FR"/>
        </w:rPr>
        <w:instrText xml:space="preserve"> REF _Ref496787882 \r \h </w:instrText>
      </w:r>
      <w:r w:rsidR="00826E82">
        <w:rPr>
          <w:lang w:val="en-US" w:eastAsia="fr-FR"/>
        </w:rPr>
      </w:r>
      <w:r w:rsidR="00826E82">
        <w:rPr>
          <w:lang w:val="en-US" w:eastAsia="fr-FR"/>
        </w:rPr>
        <w:fldChar w:fldCharType="separate"/>
      </w:r>
      <w:r w:rsidR="00F14C78">
        <w:rPr>
          <w:lang w:val="en-US" w:eastAsia="fr-FR"/>
        </w:rPr>
        <w:t>[E9]</w:t>
      </w:r>
      <w:r w:rsidR="00826E82">
        <w:rPr>
          <w:lang w:val="en-US" w:eastAsia="fr-FR"/>
        </w:rPr>
        <w:fldChar w:fldCharType="end"/>
      </w:r>
      <w:r w:rsidRPr="002462F0">
        <w:rPr>
          <w:lang w:val="en-US" w:eastAsia="fr-FR"/>
        </w:rPr>
        <w:t>.</w:t>
      </w:r>
    </w:p>
    <w:p w14:paraId="69BC2ADE" w14:textId="77777777" w:rsidR="003716B8" w:rsidRPr="002462F0" w:rsidRDefault="003716B8" w:rsidP="003716B8">
      <w:pPr>
        <w:autoSpaceDE w:val="0"/>
        <w:autoSpaceDN w:val="0"/>
        <w:adjustRightInd w:val="0"/>
        <w:spacing w:after="0" w:line="240" w:lineRule="auto"/>
        <w:jc w:val="left"/>
        <w:rPr>
          <w:sz w:val="24"/>
          <w:szCs w:val="24"/>
          <w:lang w:val="en-US" w:eastAsia="fr-FR"/>
        </w:rPr>
      </w:pPr>
    </w:p>
    <w:p w14:paraId="72C5802E" w14:textId="5B0250DC" w:rsidR="003716B8" w:rsidRPr="002462F0" w:rsidRDefault="003716B8" w:rsidP="003716B8">
      <w:pPr>
        <w:pStyle w:val="Heading4"/>
      </w:pPr>
      <w:bookmarkStart w:id="232" w:name="_Toc182327753"/>
      <w:bookmarkStart w:id="233" w:name="_Toc184808177"/>
      <w:r w:rsidRPr="002462F0">
        <w:rPr>
          <w:rStyle w:val="Heading2Char"/>
          <w:b/>
          <w:color w:val="595959" w:themeColor="text1" w:themeTint="A6"/>
          <w:sz w:val="24"/>
        </w:rPr>
        <w:t>Railways (</w:t>
      </w:r>
      <w:r w:rsidR="000F6001">
        <w:rPr>
          <w:rStyle w:val="Heading2Char"/>
          <w:b/>
          <w:color w:val="595959" w:themeColor="text1" w:themeTint="A6"/>
          <w:sz w:val="24"/>
        </w:rPr>
        <w:t>CRT</w:t>
      </w:r>
      <w:r w:rsidRPr="002462F0">
        <w:rPr>
          <w:rStyle w:val="Heading2Char"/>
          <w:b/>
          <w:color w:val="595959" w:themeColor="text1" w:themeTint="A6"/>
          <w:sz w:val="24"/>
        </w:rPr>
        <w:t xml:space="preserve"> 1A3c)</w:t>
      </w:r>
      <w:bookmarkEnd w:id="232"/>
      <w:bookmarkEnd w:id="233"/>
    </w:p>
    <w:p w14:paraId="1DD35661" w14:textId="77777777" w:rsidR="003716B8" w:rsidRPr="002462F0" w:rsidRDefault="003716B8" w:rsidP="003716B8">
      <w:pPr>
        <w:pStyle w:val="Heading5"/>
      </w:pPr>
      <w:bookmarkStart w:id="234" w:name="_Toc182327754"/>
      <w:bookmarkStart w:id="235" w:name="_Toc184808178"/>
      <w:r w:rsidRPr="002462F0">
        <w:rPr>
          <w:rStyle w:val="Heading2Char"/>
          <w:b/>
          <w:color w:val="808080" w:themeColor="background1" w:themeShade="80"/>
          <w:sz w:val="20"/>
          <w:szCs w:val="22"/>
          <w:lang w:val="en-GB"/>
        </w:rPr>
        <w:t>Category description</w:t>
      </w:r>
      <w:bookmarkEnd w:id="234"/>
      <w:bookmarkEnd w:id="235"/>
    </w:p>
    <w:p w14:paraId="4FA58FD8" w14:textId="77777777" w:rsidR="003716B8" w:rsidRPr="002462F0" w:rsidRDefault="003716B8" w:rsidP="002462F0">
      <w:pPr>
        <w:pStyle w:val="BodyText"/>
        <w:rPr>
          <w:lang w:val="en-US" w:eastAsia="fr-FR"/>
        </w:rPr>
      </w:pPr>
      <w:r w:rsidRPr="002462F0">
        <w:rPr>
          <w:lang w:val="en-US" w:eastAsia="fr-FR"/>
        </w:rPr>
        <w:t xml:space="preserve">This category refers to GHG emissions due to rail transport. </w:t>
      </w:r>
    </w:p>
    <w:p w14:paraId="2574A6BA" w14:textId="13B29DF1" w:rsidR="003716B8" w:rsidRDefault="00017D2D" w:rsidP="002462F0">
      <w:pPr>
        <w:pStyle w:val="BodyText"/>
        <w:rPr>
          <w:lang w:val="en-US" w:eastAsia="fr-FR"/>
        </w:rPr>
      </w:pPr>
      <w:r>
        <w:rPr>
          <w:lang w:val="en-US" w:eastAsia="fr-FR"/>
        </w:rPr>
        <w:t>In 20</w:t>
      </w:r>
      <w:r w:rsidR="00630D20">
        <w:rPr>
          <w:lang w:val="en-US" w:eastAsia="fr-FR"/>
        </w:rPr>
        <w:t>22</w:t>
      </w:r>
      <w:r w:rsidR="003716B8" w:rsidRPr="002462F0">
        <w:rPr>
          <w:lang w:val="en-US" w:eastAsia="fr-FR"/>
        </w:rPr>
        <w:t>, th</w:t>
      </w:r>
      <w:r w:rsidR="00630D20">
        <w:rPr>
          <w:lang w:val="en-US" w:eastAsia="fr-FR"/>
        </w:rPr>
        <w:t>is</w:t>
      </w:r>
      <w:r w:rsidR="003716B8" w:rsidRPr="002462F0">
        <w:rPr>
          <w:lang w:val="en-US" w:eastAsia="fr-FR"/>
        </w:rPr>
        <w:t xml:space="preserve"> category </w:t>
      </w:r>
      <w:r w:rsidR="003716B8" w:rsidRPr="002462F0">
        <w:rPr>
          <w:rFonts w:cs="Times New Roman"/>
          <w:lang w:val="en-US"/>
        </w:rPr>
        <w:t xml:space="preserve">is not a key category in terms of emissions level </w:t>
      </w:r>
      <w:r w:rsidR="00630D20">
        <w:rPr>
          <w:rFonts w:cs="Times New Roman"/>
          <w:lang w:val="en-US"/>
        </w:rPr>
        <w:t>nor</w:t>
      </w:r>
      <w:r w:rsidR="00630D20" w:rsidRPr="002462F0">
        <w:rPr>
          <w:rFonts w:cs="Times New Roman"/>
          <w:lang w:val="en-US"/>
        </w:rPr>
        <w:t xml:space="preserve"> </w:t>
      </w:r>
      <w:r w:rsidR="003716B8" w:rsidRPr="002462F0">
        <w:rPr>
          <w:rFonts w:cs="Times New Roman"/>
          <w:lang w:val="en-US"/>
        </w:rPr>
        <w:t>in terms of emissions trend for GHG emissions in Serbia</w:t>
      </w:r>
      <w:r w:rsidR="003716B8" w:rsidRPr="002462F0">
        <w:rPr>
          <w:lang w:val="en-US" w:eastAsia="fr-FR"/>
        </w:rPr>
        <w:t>.</w:t>
      </w:r>
    </w:p>
    <w:p w14:paraId="4DE96793" w14:textId="6496EECC" w:rsidR="00E87DFC" w:rsidRDefault="00E87DFC" w:rsidP="002462F0">
      <w:pPr>
        <w:pStyle w:val="BodyText"/>
        <w:rPr>
          <w:lang w:val="en-US" w:eastAsia="fr-FR"/>
        </w:rPr>
      </w:pPr>
      <w:r>
        <w:rPr>
          <w:lang w:val="en-US" w:eastAsia="fr-FR"/>
        </w:rPr>
        <w:t xml:space="preserve">The </w:t>
      </w:r>
      <w:proofErr w:type="spellStart"/>
      <w:r>
        <w:rPr>
          <w:lang w:val="en-US" w:eastAsia="fr-FR"/>
        </w:rPr>
        <w:t>dissagregation</w:t>
      </w:r>
      <w:proofErr w:type="spellEnd"/>
      <w:r>
        <w:rPr>
          <w:lang w:val="en-US" w:eastAsia="fr-FR"/>
        </w:rPr>
        <w:t xml:space="preserve"> of fuel consumption for railways is having in energy balance of Serbia a consistent datasets since only since 2008. Due lack of available resources and time available for preparation of this report, the issue of timeseries consistency have not yet been resolved since the period 1990-2008 is not a key priority for the energy statistics. Therefore, the GHG inventory team will for one the subsequent submissions for the period 1990-2007 use extrapolation or will if appropriate estimate emissions using drivers such as </w:t>
      </w:r>
      <w:proofErr w:type="spellStart"/>
      <w:r>
        <w:rPr>
          <w:lang w:val="en-US" w:eastAsia="fr-FR"/>
        </w:rPr>
        <w:t>tkm</w:t>
      </w:r>
      <w:proofErr w:type="spellEnd"/>
      <w:r>
        <w:rPr>
          <w:lang w:val="en-US" w:eastAsia="fr-FR"/>
        </w:rPr>
        <w:t xml:space="preserve"> or </w:t>
      </w:r>
      <w:proofErr w:type="spellStart"/>
      <w:r>
        <w:rPr>
          <w:lang w:val="en-US" w:eastAsia="fr-FR"/>
        </w:rPr>
        <w:t>pkm</w:t>
      </w:r>
      <w:proofErr w:type="spellEnd"/>
      <w:r>
        <w:rPr>
          <w:lang w:val="en-US" w:eastAsia="fr-FR"/>
        </w:rPr>
        <w:t>.</w:t>
      </w:r>
      <w:r w:rsidR="00542ED6">
        <w:rPr>
          <w:lang w:val="en-US" w:eastAsia="fr-FR"/>
        </w:rPr>
        <w:t xml:space="preserve"> It is assumed that for the period 1990-2007 the diesel used for railways is allocated under the road transport.</w:t>
      </w:r>
    </w:p>
    <w:p w14:paraId="18AD9D4F" w14:textId="77777777" w:rsidR="00E87DFC" w:rsidRPr="002462F0" w:rsidRDefault="00E87DFC" w:rsidP="002462F0">
      <w:pPr>
        <w:pStyle w:val="BodyText"/>
        <w:rPr>
          <w:lang w:val="en-US" w:eastAsia="fr-FR"/>
        </w:rPr>
      </w:pPr>
    </w:p>
    <w:p w14:paraId="625A5D28" w14:textId="588F4E0C" w:rsidR="003716B8" w:rsidRPr="002462F0" w:rsidRDefault="003716B8" w:rsidP="007227D8">
      <w:pPr>
        <w:pStyle w:val="Caption"/>
        <w:keepNext/>
      </w:pPr>
    </w:p>
    <w:p w14:paraId="3FB4A80A" w14:textId="323E187E" w:rsidR="003716B8" w:rsidRPr="002462F0" w:rsidRDefault="0024750B" w:rsidP="003716B8">
      <w:pPr>
        <w:autoSpaceDE w:val="0"/>
        <w:autoSpaceDN w:val="0"/>
        <w:adjustRightInd w:val="0"/>
        <w:spacing w:after="0" w:line="240" w:lineRule="auto"/>
        <w:jc w:val="left"/>
        <w:rPr>
          <w:sz w:val="24"/>
          <w:szCs w:val="24"/>
          <w:lang w:val="en-US" w:eastAsia="fr-FR"/>
        </w:rPr>
      </w:pPr>
      <w:r>
        <w:rPr>
          <w:noProof/>
          <w:sz w:val="24"/>
          <w:szCs w:val="24"/>
          <w:lang w:val="en-US"/>
        </w:rPr>
        <w:drawing>
          <wp:inline distT="0" distB="0" distL="0" distR="0" wp14:anchorId="040F2C6B" wp14:editId="0F21FC27">
            <wp:extent cx="5760000" cy="1757724"/>
            <wp:effectExtent l="0" t="0" r="0" b="0"/>
            <wp:docPr id="127698157"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00" cy="1757724"/>
                    </a:xfrm>
                    <a:prstGeom prst="rect">
                      <a:avLst/>
                    </a:prstGeom>
                    <a:noFill/>
                  </pic:spPr>
                </pic:pic>
              </a:graphicData>
            </a:graphic>
          </wp:inline>
        </w:drawing>
      </w:r>
    </w:p>
    <w:p w14:paraId="109F5FAD" w14:textId="0CB208A4" w:rsidR="003716B8" w:rsidRDefault="00D012A8" w:rsidP="00D012A8">
      <w:pPr>
        <w:pStyle w:val="Caption"/>
        <w:keepNext/>
        <w:spacing w:before="0" w:after="0"/>
        <w:jc w:val="left"/>
      </w:pPr>
      <w:bookmarkStart w:id="236" w:name="_Toc184808403"/>
      <w:r w:rsidRPr="00622F40">
        <w:t xml:space="preserve">Figure </w:t>
      </w:r>
      <w:r w:rsidRPr="00622F40">
        <w:fldChar w:fldCharType="begin"/>
      </w:r>
      <w:r w:rsidRPr="00622F40">
        <w:instrText xml:space="preserve"> SEQ Figure \* ARABIC </w:instrText>
      </w:r>
      <w:r w:rsidRPr="00622F40">
        <w:fldChar w:fldCharType="separate"/>
      </w:r>
      <w:r>
        <w:t>16</w:t>
      </w:r>
      <w:r w:rsidRPr="00622F40">
        <w:fldChar w:fldCharType="end"/>
      </w:r>
      <w:r w:rsidRPr="00622F40">
        <w:t xml:space="preserve"> : GHG emissions for railways (CRT 1A3c), for the period 1990-2022 (in kt CO</w:t>
      </w:r>
      <w:r w:rsidRPr="00D012A8">
        <w:t>2</w:t>
      </w:r>
      <w:r w:rsidRPr="00622F40">
        <w:t>e)</w:t>
      </w:r>
      <w:bookmarkEnd w:id="236"/>
    </w:p>
    <w:p w14:paraId="08340242" w14:textId="77777777" w:rsidR="00D012A8" w:rsidRPr="002462F0" w:rsidRDefault="00D012A8" w:rsidP="003716B8">
      <w:pPr>
        <w:autoSpaceDE w:val="0"/>
        <w:autoSpaceDN w:val="0"/>
        <w:adjustRightInd w:val="0"/>
        <w:spacing w:after="0" w:line="240" w:lineRule="auto"/>
        <w:jc w:val="left"/>
        <w:rPr>
          <w:sz w:val="24"/>
          <w:szCs w:val="24"/>
          <w:lang w:val="en-US" w:eastAsia="fr-FR"/>
        </w:rPr>
      </w:pPr>
    </w:p>
    <w:p w14:paraId="79ACCD07" w14:textId="77777777" w:rsidR="00B665B4" w:rsidRDefault="00B665B4" w:rsidP="002462F0">
      <w:pPr>
        <w:pStyle w:val="BodyText"/>
      </w:pPr>
      <w:r>
        <w:t>Since 1990, investments in rail transport and its infrastructure have been relatively insignificant, resulting in this mode of transportation struggling to compete with road freight and passenger transport. Consequently, the share of rail transport has steadily declined from 1990 onwards</w:t>
      </w:r>
    </w:p>
    <w:p w14:paraId="74BD0C23" w14:textId="77777777" w:rsidR="00B665B4" w:rsidRPr="002462F0" w:rsidRDefault="00B665B4" w:rsidP="00B665B4">
      <w:pPr>
        <w:pStyle w:val="BodyText"/>
        <w:rPr>
          <w:lang w:val="en-US" w:eastAsia="fr-FR"/>
        </w:rPr>
      </w:pPr>
      <w:r w:rsidRPr="002462F0">
        <w:rPr>
          <w:lang w:val="en-US" w:eastAsia="fr-FR"/>
        </w:rPr>
        <w:t xml:space="preserve">Until 2005, intermodal transport in the Republic of Serbia was represented in overall transport with approximately </w:t>
      </w:r>
      <w:r>
        <w:rPr>
          <w:lang w:val="en-US" w:eastAsia="fr-FR"/>
        </w:rPr>
        <w:t xml:space="preserve">only </w:t>
      </w:r>
      <w:r w:rsidRPr="002462F0">
        <w:rPr>
          <w:lang w:val="en-US" w:eastAsia="fr-FR"/>
        </w:rPr>
        <w:t xml:space="preserve">0.5 % Development of intermodal transport in the Republic of Serbia, as transport of the wider public interest, environmentally acceptable, economically justified and safe, requires support from the government. </w:t>
      </w:r>
    </w:p>
    <w:p w14:paraId="4D9B7C80" w14:textId="731E09D7" w:rsidR="007227D8" w:rsidRPr="002462F0" w:rsidRDefault="00B665B4" w:rsidP="002462F0">
      <w:pPr>
        <w:pStyle w:val="BodyText"/>
        <w:rPr>
          <w:lang w:val="en-US" w:eastAsia="fr-FR"/>
        </w:rPr>
      </w:pPr>
      <w:r>
        <w:t>In recent years, changes in state policy have contributed to the development of this subsector. As a result, intermodal transport, which emphasizes ecological principles, has gained prominence. This approach has driven its intensified development in most European countries.</w:t>
      </w:r>
    </w:p>
    <w:p w14:paraId="5080D981" w14:textId="77777777" w:rsidR="003716B8" w:rsidRPr="002462F0" w:rsidRDefault="003716B8" w:rsidP="003716B8">
      <w:pPr>
        <w:pStyle w:val="Heading5"/>
      </w:pPr>
      <w:bookmarkStart w:id="237" w:name="_Toc182327755"/>
      <w:bookmarkStart w:id="238" w:name="_Toc184808179"/>
      <w:r w:rsidRPr="002462F0">
        <w:rPr>
          <w:rStyle w:val="Heading2Char"/>
          <w:b/>
          <w:color w:val="808080" w:themeColor="background1" w:themeShade="80"/>
          <w:sz w:val="20"/>
          <w:szCs w:val="22"/>
          <w:lang w:val="en-GB"/>
        </w:rPr>
        <w:t>Methodological issues</w:t>
      </w:r>
      <w:bookmarkEnd w:id="237"/>
      <w:bookmarkEnd w:id="238"/>
    </w:p>
    <w:p w14:paraId="7A250CFD" w14:textId="2FCC250E" w:rsidR="003716B8" w:rsidRPr="002462F0" w:rsidRDefault="003716B8" w:rsidP="002462F0">
      <w:pPr>
        <w:pStyle w:val="BodyText"/>
        <w:rPr>
          <w:lang w:val="en-US" w:eastAsia="fr-FR"/>
        </w:rPr>
      </w:pPr>
      <w:r w:rsidRPr="002462F0">
        <w:rPr>
          <w:lang w:val="en-US" w:eastAsia="fr-FR"/>
        </w:rPr>
        <w:t xml:space="preserve">Emissions of GHG from liquid and </w:t>
      </w:r>
      <w:r w:rsidR="00AC51EC">
        <w:rPr>
          <w:lang w:val="en-US" w:eastAsia="fr-FR"/>
        </w:rPr>
        <w:t xml:space="preserve">solid </w:t>
      </w:r>
      <w:r w:rsidRPr="002462F0">
        <w:rPr>
          <w:lang w:val="en-US" w:eastAsia="fr-FR"/>
        </w:rPr>
        <w:t>fuels are calculated on the basis of the fuel consumption usi</w:t>
      </w:r>
      <w:r w:rsidR="007227D8" w:rsidRPr="002462F0">
        <w:rPr>
          <w:lang w:val="en-US" w:eastAsia="fr-FR"/>
        </w:rPr>
        <w:t>ng T</w:t>
      </w:r>
      <w:r w:rsidRPr="002462F0">
        <w:rPr>
          <w:lang w:val="en-US" w:eastAsia="fr-FR"/>
        </w:rPr>
        <w:t>ier 1 (top-down) approach</w:t>
      </w:r>
      <w:r w:rsidR="00AC51EC">
        <w:rPr>
          <w:lang w:val="en-US" w:eastAsia="fr-FR"/>
        </w:rPr>
        <w:t>,</w:t>
      </w:r>
      <w:r w:rsidRPr="002462F0">
        <w:rPr>
          <w:lang w:val="en-US" w:eastAsia="fr-FR"/>
        </w:rPr>
        <w:t xml:space="preserve"> which is in </w:t>
      </w:r>
      <w:r w:rsidR="00AC51EC">
        <w:rPr>
          <w:lang w:val="en-US" w:eastAsia="fr-FR"/>
        </w:rPr>
        <w:t>accordance</w:t>
      </w:r>
      <w:r w:rsidR="00AC51EC" w:rsidRPr="002462F0">
        <w:rPr>
          <w:lang w:val="en-US" w:eastAsia="fr-FR"/>
        </w:rPr>
        <w:t xml:space="preserve"> </w:t>
      </w:r>
      <w:r w:rsidRPr="002462F0">
        <w:rPr>
          <w:lang w:val="en-US" w:eastAsia="fr-FR"/>
        </w:rPr>
        <w:t>with the 2006 IPCC Guidelines</w:t>
      </w:r>
      <w:r w:rsidR="007227D8" w:rsidRPr="002462F0">
        <w:rPr>
          <w:lang w:val="en-US" w:eastAsia="fr-FR"/>
        </w:rPr>
        <w:t xml:space="preserve"> </w:t>
      </w:r>
      <w:r w:rsidR="00826E82">
        <w:rPr>
          <w:lang w:val="en-US" w:eastAsia="fr-FR"/>
        </w:rPr>
        <w:fldChar w:fldCharType="begin"/>
      </w:r>
      <w:r w:rsidR="00826E82">
        <w:rPr>
          <w:lang w:val="en-US" w:eastAsia="fr-FR"/>
        </w:rPr>
        <w:instrText xml:space="preserve"> REF _Ref496787868 \r \h </w:instrText>
      </w:r>
      <w:r w:rsidR="00826E82">
        <w:rPr>
          <w:lang w:val="en-US" w:eastAsia="fr-FR"/>
        </w:rPr>
      </w:r>
      <w:r w:rsidR="00826E82">
        <w:rPr>
          <w:lang w:val="en-US" w:eastAsia="fr-FR"/>
        </w:rPr>
        <w:fldChar w:fldCharType="separate"/>
      </w:r>
      <w:r w:rsidR="00F14C78">
        <w:rPr>
          <w:lang w:val="en-US" w:eastAsia="fr-FR"/>
        </w:rPr>
        <w:t>[E10]</w:t>
      </w:r>
      <w:r w:rsidR="00826E82">
        <w:rPr>
          <w:lang w:val="en-US" w:eastAsia="fr-FR"/>
        </w:rPr>
        <w:fldChar w:fldCharType="end"/>
      </w:r>
      <w:r w:rsidRPr="002462F0">
        <w:rPr>
          <w:lang w:val="en-US" w:eastAsia="fr-FR"/>
        </w:rPr>
        <w:t xml:space="preserve">. </w:t>
      </w:r>
    </w:p>
    <w:p w14:paraId="4207A3CB" w14:textId="706D715A" w:rsidR="003716B8" w:rsidRPr="002462F0" w:rsidRDefault="003716B8" w:rsidP="002462F0">
      <w:pPr>
        <w:pStyle w:val="BodyText"/>
        <w:rPr>
          <w:lang w:val="en-US" w:eastAsia="fr-FR"/>
        </w:rPr>
      </w:pPr>
      <w:r w:rsidRPr="002462F0">
        <w:rPr>
          <w:lang w:val="en-US" w:eastAsia="fr-FR"/>
        </w:rPr>
        <w:t xml:space="preserve">Activity data used </w:t>
      </w:r>
      <w:r w:rsidR="00AC51EC">
        <w:rPr>
          <w:lang w:val="en-US" w:eastAsia="fr-FR"/>
        </w:rPr>
        <w:t>are the</w:t>
      </w:r>
      <w:r w:rsidR="00AC51EC" w:rsidRPr="002462F0">
        <w:rPr>
          <w:lang w:val="en-US" w:eastAsia="fr-FR"/>
        </w:rPr>
        <w:t xml:space="preserve"> </w:t>
      </w:r>
      <w:r w:rsidRPr="002462F0">
        <w:rPr>
          <w:lang w:val="en-US" w:eastAsia="fr-FR"/>
        </w:rPr>
        <w:t>fuel consumption</w:t>
      </w:r>
      <w:r w:rsidR="00AC51EC">
        <w:rPr>
          <w:lang w:val="en-US" w:eastAsia="fr-FR"/>
        </w:rPr>
        <w:t>s</w:t>
      </w:r>
      <w:r w:rsidRPr="002462F0">
        <w:rPr>
          <w:lang w:val="en-US" w:eastAsia="fr-FR"/>
        </w:rPr>
        <w:t xml:space="preserve"> by type of fuel. Amounts of all types of fuels consumed </w:t>
      </w:r>
      <w:r w:rsidR="007F17FB">
        <w:rPr>
          <w:lang w:val="en-US" w:eastAsia="fr-FR"/>
        </w:rPr>
        <w:t xml:space="preserve">(brown coal briquettes and diesel) </w:t>
      </w:r>
      <w:r w:rsidRPr="002462F0">
        <w:rPr>
          <w:lang w:val="en-US" w:eastAsia="fr-FR"/>
        </w:rPr>
        <w:t>for the whole time</w:t>
      </w:r>
      <w:r w:rsidR="0047556B">
        <w:rPr>
          <w:lang w:val="en-US" w:eastAsia="fr-FR"/>
        </w:rPr>
        <w:t>series</w:t>
      </w:r>
      <w:r w:rsidRPr="002462F0">
        <w:rPr>
          <w:lang w:val="en-US" w:eastAsia="fr-FR"/>
        </w:rPr>
        <w:t xml:space="preserve"> were </w:t>
      </w:r>
      <w:r w:rsidR="007F17FB">
        <w:rPr>
          <w:lang w:val="en-US" w:eastAsia="fr-FR"/>
        </w:rPr>
        <w:t>taken</w:t>
      </w:r>
      <w:r w:rsidR="007F17FB" w:rsidRPr="002462F0">
        <w:rPr>
          <w:lang w:val="en-US" w:eastAsia="fr-FR"/>
        </w:rPr>
        <w:t xml:space="preserve"> </w:t>
      </w:r>
      <w:r w:rsidRPr="002462F0">
        <w:rPr>
          <w:lang w:val="en-US" w:eastAsia="fr-FR"/>
        </w:rPr>
        <w:t xml:space="preserve">from national energy balance </w:t>
      </w:r>
      <w:r w:rsidR="00826E82">
        <w:rPr>
          <w:lang w:val="en-US" w:eastAsia="fr-FR"/>
        </w:rPr>
        <w:fldChar w:fldCharType="begin"/>
      </w:r>
      <w:r w:rsidR="00826E82">
        <w:rPr>
          <w:lang w:val="en-US" w:eastAsia="fr-FR"/>
        </w:rPr>
        <w:instrText xml:space="preserve"> REF _Ref496787656 \r \h </w:instrText>
      </w:r>
      <w:r w:rsidR="00826E82">
        <w:rPr>
          <w:lang w:val="en-US" w:eastAsia="fr-FR"/>
        </w:rPr>
      </w:r>
      <w:r w:rsidR="00826E82">
        <w:rPr>
          <w:lang w:val="en-US" w:eastAsia="fr-FR"/>
        </w:rPr>
        <w:fldChar w:fldCharType="separate"/>
      </w:r>
      <w:r w:rsidR="00F14C78">
        <w:rPr>
          <w:lang w:val="en-US" w:eastAsia="fr-FR"/>
        </w:rPr>
        <w:t>[E2]</w:t>
      </w:r>
      <w:r w:rsidR="00826E82">
        <w:rPr>
          <w:lang w:val="en-US" w:eastAsia="fr-FR"/>
        </w:rPr>
        <w:fldChar w:fldCharType="end"/>
      </w:r>
      <w:r w:rsidRPr="002462F0">
        <w:rPr>
          <w:lang w:val="en-US" w:eastAsia="fr-FR"/>
        </w:rPr>
        <w:t>, as well as NCV</w:t>
      </w:r>
      <w:r w:rsidR="007F17FB">
        <w:rPr>
          <w:lang w:val="en-US" w:eastAsia="fr-FR"/>
        </w:rPr>
        <w:t xml:space="preserve"> values, which are presented in Chapter </w:t>
      </w:r>
      <w:r w:rsidR="007F17FB">
        <w:rPr>
          <w:lang w:val="en-US" w:eastAsia="fr-FR"/>
        </w:rPr>
        <w:fldChar w:fldCharType="begin"/>
      </w:r>
      <w:r w:rsidR="007F17FB">
        <w:rPr>
          <w:lang w:val="en-US" w:eastAsia="fr-FR"/>
        </w:rPr>
        <w:instrText xml:space="preserve"> REF _Ref175130250 \r \h </w:instrText>
      </w:r>
      <w:r w:rsidR="007F17FB">
        <w:rPr>
          <w:lang w:val="en-US" w:eastAsia="fr-FR"/>
        </w:rPr>
      </w:r>
      <w:r w:rsidR="007F17FB">
        <w:rPr>
          <w:lang w:val="en-US" w:eastAsia="fr-FR"/>
        </w:rPr>
        <w:fldChar w:fldCharType="separate"/>
      </w:r>
      <w:r w:rsidR="00F14C78">
        <w:rPr>
          <w:lang w:val="en-US" w:eastAsia="fr-FR"/>
        </w:rPr>
        <w:t>3.2.4</w:t>
      </w:r>
      <w:r w:rsidR="007F17FB">
        <w:rPr>
          <w:lang w:val="en-US" w:eastAsia="fr-FR"/>
        </w:rPr>
        <w:fldChar w:fldCharType="end"/>
      </w:r>
      <w:r w:rsidRPr="002462F0">
        <w:rPr>
          <w:lang w:val="en-US" w:eastAsia="fr-FR"/>
        </w:rPr>
        <w:t>.</w:t>
      </w:r>
    </w:p>
    <w:p w14:paraId="16602ADD" w14:textId="5A9FAF35" w:rsidR="008502D5" w:rsidRDefault="003716B8" w:rsidP="008502D5">
      <w:pPr>
        <w:pStyle w:val="BodyText"/>
        <w:rPr>
          <w:lang w:val="en-US" w:eastAsia="fr-FR"/>
        </w:rPr>
      </w:pPr>
      <w:r w:rsidRPr="002462F0">
        <w:rPr>
          <w:lang w:val="en-US" w:eastAsia="fr-FR"/>
        </w:rPr>
        <w:t>Emissions factors used for calculating CO</w:t>
      </w:r>
      <w:r w:rsidRPr="002462F0">
        <w:rPr>
          <w:vertAlign w:val="subscript"/>
          <w:lang w:val="en-US" w:eastAsia="fr-FR"/>
        </w:rPr>
        <w:t>2</w:t>
      </w:r>
      <w:r w:rsidRPr="002462F0">
        <w:rPr>
          <w:lang w:val="en-US" w:eastAsia="fr-FR"/>
        </w:rPr>
        <w:t>, CH</w:t>
      </w:r>
      <w:r w:rsidRPr="002462F0">
        <w:rPr>
          <w:vertAlign w:val="subscript"/>
          <w:lang w:val="en-US" w:eastAsia="fr-FR"/>
        </w:rPr>
        <w:t>4</w:t>
      </w:r>
      <w:r w:rsidRPr="002462F0">
        <w:rPr>
          <w:lang w:val="en-US" w:eastAsia="fr-FR"/>
        </w:rPr>
        <w:t xml:space="preserve"> and N</w:t>
      </w:r>
      <w:r w:rsidRPr="002462F0">
        <w:rPr>
          <w:vertAlign w:val="subscript"/>
          <w:lang w:val="en-US" w:eastAsia="fr-FR"/>
        </w:rPr>
        <w:t>2</w:t>
      </w:r>
      <w:r w:rsidRPr="002462F0">
        <w:rPr>
          <w:lang w:val="en-US" w:eastAsia="fr-FR"/>
        </w:rPr>
        <w:t xml:space="preserve">O emissions from fuels </w:t>
      </w:r>
      <w:r w:rsidR="00440E68">
        <w:rPr>
          <w:lang w:val="en-US" w:eastAsia="fr-FR"/>
        </w:rPr>
        <w:t>are sourced</w:t>
      </w:r>
      <w:r w:rsidRPr="002462F0">
        <w:rPr>
          <w:lang w:val="en-US" w:eastAsia="fr-FR"/>
        </w:rPr>
        <w:t xml:space="preserve"> from 2006 IPCC guidelines </w:t>
      </w:r>
      <w:r w:rsidR="00826E82">
        <w:rPr>
          <w:lang w:val="en-US" w:eastAsia="fr-FR"/>
        </w:rPr>
        <w:fldChar w:fldCharType="begin"/>
      </w:r>
      <w:r w:rsidR="00826E82">
        <w:rPr>
          <w:lang w:val="en-US" w:eastAsia="fr-FR"/>
        </w:rPr>
        <w:instrText xml:space="preserve"> REF _Ref496787669 \r \h </w:instrText>
      </w:r>
      <w:r w:rsidR="00826E82">
        <w:rPr>
          <w:lang w:val="en-US" w:eastAsia="fr-FR"/>
        </w:rPr>
      </w:r>
      <w:r w:rsidR="00826E82">
        <w:rPr>
          <w:lang w:val="en-US" w:eastAsia="fr-FR"/>
        </w:rPr>
        <w:fldChar w:fldCharType="separate"/>
      </w:r>
      <w:r w:rsidR="00F14C78">
        <w:rPr>
          <w:lang w:val="en-US" w:eastAsia="fr-FR"/>
        </w:rPr>
        <w:t>[E3]</w:t>
      </w:r>
      <w:r w:rsidR="00826E82">
        <w:rPr>
          <w:lang w:val="en-US" w:eastAsia="fr-FR"/>
        </w:rPr>
        <w:fldChar w:fldCharType="end"/>
      </w:r>
      <w:r w:rsidRPr="002462F0">
        <w:rPr>
          <w:lang w:val="en-US" w:eastAsia="fr-FR"/>
        </w:rPr>
        <w:t>.</w:t>
      </w:r>
      <w:r w:rsidR="007F17FB">
        <w:rPr>
          <w:lang w:val="en-US" w:eastAsia="fr-FR"/>
        </w:rPr>
        <w:t xml:space="preserve"> </w:t>
      </w:r>
      <w:r w:rsidR="007F17FB" w:rsidRPr="002462F0">
        <w:rPr>
          <w:lang w:val="en-US" w:eastAsia="fr-FR"/>
        </w:rPr>
        <w:t>CO</w:t>
      </w:r>
      <w:r w:rsidR="007F17FB" w:rsidRPr="002462F0">
        <w:rPr>
          <w:vertAlign w:val="subscript"/>
          <w:lang w:val="en-US" w:eastAsia="fr-FR"/>
        </w:rPr>
        <w:t>2</w:t>
      </w:r>
      <w:r w:rsidR="007F17FB">
        <w:rPr>
          <w:vertAlign w:val="subscript"/>
          <w:lang w:val="en-US" w:eastAsia="fr-FR"/>
        </w:rPr>
        <w:t xml:space="preserve"> </w:t>
      </w:r>
      <w:r w:rsidR="007F17FB">
        <w:rPr>
          <w:lang w:val="en-US" w:eastAsia="fr-FR"/>
        </w:rPr>
        <w:t xml:space="preserve">emission factors applied are given in Chapter </w:t>
      </w:r>
      <w:r w:rsidR="007F17FB">
        <w:rPr>
          <w:lang w:val="en-US" w:eastAsia="fr-FR"/>
        </w:rPr>
        <w:fldChar w:fldCharType="begin"/>
      </w:r>
      <w:r w:rsidR="007F17FB">
        <w:rPr>
          <w:lang w:val="en-US" w:eastAsia="fr-FR"/>
        </w:rPr>
        <w:instrText xml:space="preserve"> REF _Ref175130250 \r \h </w:instrText>
      </w:r>
      <w:r w:rsidR="007F17FB">
        <w:rPr>
          <w:lang w:val="en-US" w:eastAsia="fr-FR"/>
        </w:rPr>
      </w:r>
      <w:r w:rsidR="007F17FB">
        <w:rPr>
          <w:lang w:val="en-US" w:eastAsia="fr-FR"/>
        </w:rPr>
        <w:fldChar w:fldCharType="separate"/>
      </w:r>
      <w:r w:rsidR="00F14C78">
        <w:rPr>
          <w:lang w:val="en-US" w:eastAsia="fr-FR"/>
        </w:rPr>
        <w:t>3.2.4</w:t>
      </w:r>
      <w:r w:rsidR="007F17FB">
        <w:rPr>
          <w:lang w:val="en-US" w:eastAsia="fr-FR"/>
        </w:rPr>
        <w:fldChar w:fldCharType="end"/>
      </w:r>
      <w:r w:rsidR="007F17FB">
        <w:rPr>
          <w:lang w:val="en-US" w:eastAsia="fr-FR"/>
        </w:rPr>
        <w:t>.</w:t>
      </w:r>
    </w:p>
    <w:p w14:paraId="73A7F72A" w14:textId="0B457F9D" w:rsidR="00C40BC1" w:rsidRDefault="00C40BC1" w:rsidP="008502D5">
      <w:pPr>
        <w:pStyle w:val="BodyText"/>
        <w:rPr>
          <w:rStyle w:val="Heading2Char"/>
          <w:color w:val="595959" w:themeColor="text1" w:themeTint="A6"/>
          <w:sz w:val="24"/>
        </w:rPr>
      </w:pPr>
      <w:r>
        <w:rPr>
          <w:rStyle w:val="Heading2Char"/>
          <w:b w:val="0"/>
          <w:color w:val="595959" w:themeColor="text1" w:themeTint="A6"/>
          <w:sz w:val="24"/>
        </w:rPr>
        <w:br w:type="page"/>
      </w:r>
    </w:p>
    <w:p w14:paraId="5F180557" w14:textId="0A943AFF" w:rsidR="003716B8" w:rsidRPr="002462F0" w:rsidRDefault="003716B8" w:rsidP="003716B8">
      <w:pPr>
        <w:pStyle w:val="Heading4"/>
      </w:pPr>
      <w:bookmarkStart w:id="239" w:name="_Toc182327756"/>
      <w:bookmarkStart w:id="240" w:name="_Toc184808180"/>
      <w:r w:rsidRPr="002462F0">
        <w:rPr>
          <w:rStyle w:val="Heading2Char"/>
          <w:b/>
          <w:color w:val="595959" w:themeColor="text1" w:themeTint="A6"/>
          <w:sz w:val="24"/>
        </w:rPr>
        <w:lastRenderedPageBreak/>
        <w:t>Domestic navigation (</w:t>
      </w:r>
      <w:r w:rsidR="000F6001">
        <w:rPr>
          <w:rStyle w:val="Heading2Char"/>
          <w:b/>
          <w:color w:val="595959" w:themeColor="text1" w:themeTint="A6"/>
          <w:sz w:val="24"/>
        </w:rPr>
        <w:t>CRT</w:t>
      </w:r>
      <w:r w:rsidRPr="002462F0">
        <w:rPr>
          <w:rStyle w:val="Heading2Char"/>
          <w:b/>
          <w:color w:val="595959" w:themeColor="text1" w:themeTint="A6"/>
          <w:sz w:val="24"/>
        </w:rPr>
        <w:t xml:space="preserve"> 1A3d)</w:t>
      </w:r>
      <w:bookmarkEnd w:id="239"/>
      <w:bookmarkEnd w:id="240"/>
    </w:p>
    <w:p w14:paraId="3791B6EB" w14:textId="77777777" w:rsidR="003716B8" w:rsidRPr="002462F0" w:rsidRDefault="003716B8" w:rsidP="003716B8">
      <w:pPr>
        <w:pStyle w:val="Heading5"/>
      </w:pPr>
      <w:bookmarkStart w:id="241" w:name="_Toc182327757"/>
      <w:bookmarkStart w:id="242" w:name="_Toc184808181"/>
      <w:r w:rsidRPr="002462F0">
        <w:rPr>
          <w:rStyle w:val="Heading2Char"/>
          <w:b/>
          <w:color w:val="808080" w:themeColor="background1" w:themeShade="80"/>
          <w:sz w:val="20"/>
          <w:szCs w:val="22"/>
          <w:lang w:val="en-GB"/>
        </w:rPr>
        <w:t>Category description</w:t>
      </w:r>
      <w:bookmarkEnd w:id="241"/>
      <w:bookmarkEnd w:id="242"/>
    </w:p>
    <w:p w14:paraId="6C2334AD" w14:textId="77777777" w:rsidR="003716B8" w:rsidRPr="002462F0" w:rsidRDefault="003716B8" w:rsidP="002462F0">
      <w:pPr>
        <w:pStyle w:val="BodyText"/>
        <w:rPr>
          <w:lang w:val="en-US" w:eastAsia="fr-FR"/>
        </w:rPr>
      </w:pPr>
      <w:r w:rsidRPr="002462F0">
        <w:rPr>
          <w:lang w:val="en-US" w:eastAsia="fr-FR"/>
        </w:rPr>
        <w:t xml:space="preserve">This category refers to GHG emissions due to domestic navigation. </w:t>
      </w:r>
    </w:p>
    <w:p w14:paraId="170B2A2D" w14:textId="77777777" w:rsidR="00DE5960" w:rsidRPr="002462F0" w:rsidRDefault="00DE5960" w:rsidP="00DE5960">
      <w:pPr>
        <w:pStyle w:val="BodyText"/>
        <w:rPr>
          <w:lang w:val="en-US" w:eastAsia="fr-FR"/>
        </w:rPr>
      </w:pPr>
      <w:r w:rsidRPr="002462F0">
        <w:rPr>
          <w:lang w:val="en-US" w:eastAsia="fr-FR"/>
        </w:rPr>
        <w:t>River transport in Serbia is only modestly utilized, mainly due to poor condition of related infrastructure resulting from improper maintenance of waterways and auxiliary infrastructure during the 90’s of the last century.</w:t>
      </w:r>
    </w:p>
    <w:p w14:paraId="225DBB78" w14:textId="77777777" w:rsidR="00DE5960" w:rsidRPr="002462F0" w:rsidRDefault="00DE5960" w:rsidP="00DE5960">
      <w:pPr>
        <w:pStyle w:val="BodyText"/>
        <w:rPr>
          <w:lang w:val="en-US" w:eastAsia="fr-FR"/>
        </w:rPr>
      </w:pPr>
      <w:r w:rsidRPr="002462F0">
        <w:rPr>
          <w:lang w:val="en-US" w:eastAsia="fr-FR"/>
        </w:rPr>
        <w:t xml:space="preserve">Total length of waterways in the Republic of Serbia, measured at the mean river water levels, equals approximately </w:t>
      </w:r>
      <w:r>
        <w:rPr>
          <w:lang w:val="en-US" w:eastAsia="fr-FR"/>
        </w:rPr>
        <w:t xml:space="preserve">to </w:t>
      </w:r>
      <w:r w:rsidRPr="002462F0">
        <w:rPr>
          <w:lang w:val="en-US" w:eastAsia="fr-FR"/>
        </w:rPr>
        <w:t>1</w:t>
      </w:r>
      <w:r>
        <w:rPr>
          <w:lang w:val="en-US" w:eastAsia="fr-FR"/>
        </w:rPr>
        <w:t>,</w:t>
      </w:r>
      <w:r w:rsidRPr="002462F0">
        <w:rPr>
          <w:lang w:val="en-US" w:eastAsia="fr-FR"/>
        </w:rPr>
        <w:t xml:space="preserve">680 km. The federal waterways </w:t>
      </w:r>
      <w:r>
        <w:rPr>
          <w:lang w:val="en-US" w:eastAsia="fr-FR"/>
        </w:rPr>
        <w:t>are mainly constituted of the</w:t>
      </w:r>
      <w:r w:rsidRPr="002462F0">
        <w:rPr>
          <w:lang w:val="en-US" w:eastAsia="fr-FR"/>
        </w:rPr>
        <w:t xml:space="preserve"> navigable river streams of the Danube, Sava and Tisa river (960 km in total), as well as a network of navigable canals of the hydro–engineering system </w:t>
      </w:r>
      <w:r>
        <w:rPr>
          <w:lang w:val="en-US" w:eastAsia="fr-FR"/>
        </w:rPr>
        <w:t xml:space="preserve">mainly used for flood control </w:t>
      </w:r>
      <w:r w:rsidRPr="002462F0">
        <w:rPr>
          <w:lang w:val="en-US" w:eastAsia="fr-FR"/>
        </w:rPr>
        <w:t>Danube–Tisa–Danube (600 km in total).</w:t>
      </w:r>
    </w:p>
    <w:p w14:paraId="00EDAA23" w14:textId="7B851F28" w:rsidR="00DE5960" w:rsidRPr="002462F0" w:rsidRDefault="00DE5960" w:rsidP="00DE5960">
      <w:pPr>
        <w:pStyle w:val="BodyText"/>
        <w:rPr>
          <w:lang w:val="en-US" w:eastAsia="fr-FR"/>
        </w:rPr>
      </w:pPr>
      <w:r w:rsidRPr="002462F0">
        <w:rPr>
          <w:lang w:val="en-US" w:eastAsia="fr-FR"/>
        </w:rPr>
        <w:t xml:space="preserve">With respect to the annual volume of river transport and available capacity, the most important river ports are the </w:t>
      </w:r>
      <w:r>
        <w:rPr>
          <w:lang w:val="en-US" w:eastAsia="fr-FR"/>
        </w:rPr>
        <w:t xml:space="preserve">port of Belgrade, Novi Sad, </w:t>
      </w:r>
      <w:proofErr w:type="spellStart"/>
      <w:r>
        <w:rPr>
          <w:lang w:val="en-US" w:eastAsia="fr-FR"/>
        </w:rPr>
        <w:t>Panč</w:t>
      </w:r>
      <w:r w:rsidRPr="002462F0">
        <w:rPr>
          <w:lang w:val="en-US" w:eastAsia="fr-FR"/>
        </w:rPr>
        <w:t>evo</w:t>
      </w:r>
      <w:proofErr w:type="spellEnd"/>
      <w:r w:rsidRPr="002462F0">
        <w:rPr>
          <w:lang w:val="en-US" w:eastAsia="fr-FR"/>
        </w:rPr>
        <w:t xml:space="preserve">, Smederevo and </w:t>
      </w:r>
      <w:proofErr w:type="spellStart"/>
      <w:r w:rsidRPr="002462F0">
        <w:rPr>
          <w:lang w:val="en-US" w:eastAsia="fr-FR"/>
        </w:rPr>
        <w:t>Prahovo</w:t>
      </w:r>
      <w:proofErr w:type="spellEnd"/>
      <w:r w:rsidRPr="002462F0">
        <w:rPr>
          <w:lang w:val="en-US" w:eastAsia="fr-FR"/>
        </w:rPr>
        <w:t>. Most of the river ports are either directly connected or are close to the main railways and roads, which represent a strategic and logistic advantage not sufficiently exploited over the last twenty years. The said is clearly demonstrated in the fact that total traffic that came in Serbian river ports in 2000 equaled about 40% of the traffic achieved in 1989. Such a significant decrease was primarily a result of reduced national river transport caused by negative trends in the country’s economy.</w:t>
      </w:r>
      <w:r>
        <w:rPr>
          <w:lang w:val="en-US" w:eastAsia="fr-FR"/>
        </w:rPr>
        <w:t xml:space="preserve"> </w:t>
      </w:r>
    </w:p>
    <w:p w14:paraId="1DA8D2DA" w14:textId="23B642E1" w:rsidR="003716B8" w:rsidRDefault="00E35DEA" w:rsidP="002462F0">
      <w:pPr>
        <w:pStyle w:val="BodyText"/>
        <w:rPr>
          <w:lang w:val="en-US" w:eastAsia="fr-FR"/>
        </w:rPr>
      </w:pPr>
      <w:r>
        <w:rPr>
          <w:lang w:val="en-US" w:eastAsia="fr-FR"/>
        </w:rPr>
        <w:t>In 20</w:t>
      </w:r>
      <w:r w:rsidR="007F17FB">
        <w:rPr>
          <w:lang w:val="en-US" w:eastAsia="fr-FR"/>
        </w:rPr>
        <w:t>22</w:t>
      </w:r>
      <w:r w:rsidR="003716B8" w:rsidRPr="002462F0">
        <w:rPr>
          <w:lang w:val="en-US" w:eastAsia="fr-FR"/>
        </w:rPr>
        <w:t xml:space="preserve">, the category domestic navigation </w:t>
      </w:r>
      <w:r w:rsidR="003716B8" w:rsidRPr="002462F0">
        <w:rPr>
          <w:rFonts w:cs="Times New Roman"/>
          <w:lang w:val="en-US"/>
        </w:rPr>
        <w:t>is not a key category in terms of emission level</w:t>
      </w:r>
      <w:r w:rsidR="00A1588D">
        <w:rPr>
          <w:rFonts w:cs="Times New Roman"/>
          <w:lang w:val="en-US"/>
        </w:rPr>
        <w:t>s</w:t>
      </w:r>
      <w:r w:rsidR="003716B8" w:rsidRPr="002462F0">
        <w:rPr>
          <w:rFonts w:cs="Times New Roman"/>
          <w:lang w:val="en-US"/>
        </w:rPr>
        <w:t xml:space="preserve"> </w:t>
      </w:r>
      <w:r w:rsidR="00A1588D">
        <w:rPr>
          <w:rFonts w:cs="Times New Roman"/>
          <w:lang w:val="en-US"/>
        </w:rPr>
        <w:t>nor</w:t>
      </w:r>
      <w:r w:rsidR="00A1588D" w:rsidRPr="002462F0">
        <w:rPr>
          <w:rFonts w:cs="Times New Roman"/>
          <w:lang w:val="en-US"/>
        </w:rPr>
        <w:t xml:space="preserve"> </w:t>
      </w:r>
      <w:r w:rsidR="003716B8" w:rsidRPr="002462F0">
        <w:rPr>
          <w:rFonts w:cs="Times New Roman"/>
          <w:lang w:val="en-US"/>
        </w:rPr>
        <w:t xml:space="preserve">in terms of emission trend for GHG emissions in </w:t>
      </w:r>
      <w:r w:rsidR="00A1588D">
        <w:rPr>
          <w:rFonts w:cs="Times New Roman"/>
          <w:lang w:val="en-US"/>
        </w:rPr>
        <w:t xml:space="preserve">the Republic of </w:t>
      </w:r>
      <w:r w:rsidR="003716B8" w:rsidRPr="002462F0">
        <w:rPr>
          <w:rFonts w:cs="Times New Roman"/>
          <w:lang w:val="en-US"/>
        </w:rPr>
        <w:t>Serbia</w:t>
      </w:r>
      <w:r w:rsidR="003716B8" w:rsidRPr="002462F0">
        <w:rPr>
          <w:lang w:val="en-US" w:eastAsia="fr-FR"/>
        </w:rPr>
        <w:t>.</w:t>
      </w:r>
      <w:r w:rsidR="008716C7">
        <w:rPr>
          <w:lang w:val="en-US" w:eastAsia="fr-FR"/>
        </w:rPr>
        <w:t xml:space="preserve"> Regarding the timeseries consistency we are facing similar issue as identified in the railways, however similarly the diesel consumption for domestic navigation is likely allocated under road transport.</w:t>
      </w:r>
    </w:p>
    <w:p w14:paraId="52071654" w14:textId="7481566F" w:rsidR="003716B8" w:rsidRPr="002462F0" w:rsidRDefault="00CD71FD" w:rsidP="003716B8">
      <w:pPr>
        <w:autoSpaceDE w:val="0"/>
        <w:autoSpaceDN w:val="0"/>
        <w:adjustRightInd w:val="0"/>
        <w:spacing w:after="0" w:line="240" w:lineRule="auto"/>
        <w:jc w:val="left"/>
        <w:rPr>
          <w:sz w:val="24"/>
          <w:szCs w:val="24"/>
          <w:lang w:val="en-US" w:eastAsia="fr-FR"/>
        </w:rPr>
      </w:pPr>
      <w:r>
        <w:rPr>
          <w:noProof/>
          <w:sz w:val="24"/>
          <w:szCs w:val="24"/>
          <w:lang w:val="en-US"/>
        </w:rPr>
        <w:drawing>
          <wp:inline distT="0" distB="0" distL="0" distR="0" wp14:anchorId="1F151E7D" wp14:editId="3D2C8FD3">
            <wp:extent cx="5760000" cy="1757724"/>
            <wp:effectExtent l="0" t="0" r="0" b="0"/>
            <wp:docPr id="1441769647"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1757724"/>
                    </a:xfrm>
                    <a:prstGeom prst="rect">
                      <a:avLst/>
                    </a:prstGeom>
                    <a:noFill/>
                  </pic:spPr>
                </pic:pic>
              </a:graphicData>
            </a:graphic>
          </wp:inline>
        </w:drawing>
      </w:r>
    </w:p>
    <w:p w14:paraId="3223DE10" w14:textId="77777777" w:rsidR="00DE5960" w:rsidRPr="002462F0" w:rsidRDefault="00DE5960" w:rsidP="00DE5960">
      <w:pPr>
        <w:pStyle w:val="Caption"/>
        <w:keepNext/>
        <w:spacing w:before="0"/>
        <w:jc w:val="left"/>
      </w:pPr>
      <w:bookmarkStart w:id="243" w:name="_Toc184808404"/>
      <w:r w:rsidRPr="00622F40">
        <w:t xml:space="preserve">Figure </w:t>
      </w:r>
      <w:r w:rsidRPr="00622F40">
        <w:fldChar w:fldCharType="begin"/>
      </w:r>
      <w:r w:rsidRPr="00622F40">
        <w:instrText xml:space="preserve"> SEQ Figure \* ARABIC </w:instrText>
      </w:r>
      <w:r w:rsidRPr="00622F40">
        <w:fldChar w:fldCharType="separate"/>
      </w:r>
      <w:r>
        <w:rPr>
          <w:noProof/>
        </w:rPr>
        <w:t>17</w:t>
      </w:r>
      <w:r w:rsidRPr="00622F40">
        <w:fldChar w:fldCharType="end"/>
      </w:r>
      <w:r w:rsidRPr="00622F40">
        <w:rPr>
          <w:noProof/>
        </w:rPr>
        <w:t xml:space="preserve"> : GHG emissions for domestic navigation (CRT 1A3d), for the period 1990-2022 (in kt CO</w:t>
      </w:r>
      <w:r w:rsidRPr="00622F40">
        <w:rPr>
          <w:noProof/>
          <w:vertAlign w:val="subscript"/>
        </w:rPr>
        <w:t>2</w:t>
      </w:r>
      <w:r w:rsidRPr="00622F40">
        <w:rPr>
          <w:noProof/>
        </w:rPr>
        <w:t>e)</w:t>
      </w:r>
      <w:bookmarkEnd w:id="243"/>
    </w:p>
    <w:p w14:paraId="74F067C2" w14:textId="05F80984" w:rsidR="003716B8" w:rsidRPr="00DE5960" w:rsidRDefault="00DE5960" w:rsidP="003716B8">
      <w:pPr>
        <w:autoSpaceDE w:val="0"/>
        <w:autoSpaceDN w:val="0"/>
        <w:adjustRightInd w:val="0"/>
        <w:spacing w:after="0" w:line="240" w:lineRule="auto"/>
        <w:jc w:val="left"/>
        <w:rPr>
          <w:szCs w:val="20"/>
          <w:lang w:val="en-US" w:eastAsia="fr-FR"/>
        </w:rPr>
      </w:pPr>
      <w:r>
        <w:rPr>
          <w:szCs w:val="20"/>
          <w:lang w:val="en-US" w:eastAsia="fr-FR"/>
        </w:rPr>
        <w:t xml:space="preserve">Due to time constraints and availability of resources the </w:t>
      </w:r>
      <w:r w:rsidR="003631EA">
        <w:rPr>
          <w:szCs w:val="20"/>
          <w:lang w:val="en-US" w:eastAsia="fr-FR"/>
        </w:rPr>
        <w:t>issue</w:t>
      </w:r>
      <w:r>
        <w:rPr>
          <w:szCs w:val="20"/>
          <w:lang w:val="en-US" w:eastAsia="fr-FR"/>
        </w:rPr>
        <w:t xml:space="preserve"> of timeseries consistency was not during the preparation of this report and </w:t>
      </w:r>
      <w:r w:rsidRPr="00DE5960">
        <w:rPr>
          <w:szCs w:val="20"/>
          <w:lang w:val="en-US" w:eastAsia="fr-FR"/>
        </w:rPr>
        <w:t>is expected to be addressed during the preparation of the next NID</w:t>
      </w:r>
      <w:r>
        <w:rPr>
          <w:szCs w:val="20"/>
          <w:lang w:val="en-US" w:eastAsia="fr-FR"/>
        </w:rPr>
        <w:t>.</w:t>
      </w:r>
    </w:p>
    <w:p w14:paraId="6B27CF4C" w14:textId="77777777" w:rsidR="003716B8" w:rsidRPr="002462F0" w:rsidRDefault="003716B8" w:rsidP="003716B8">
      <w:pPr>
        <w:autoSpaceDE w:val="0"/>
        <w:autoSpaceDN w:val="0"/>
        <w:adjustRightInd w:val="0"/>
        <w:spacing w:after="0" w:line="240" w:lineRule="auto"/>
        <w:jc w:val="left"/>
        <w:rPr>
          <w:sz w:val="24"/>
          <w:szCs w:val="24"/>
          <w:lang w:val="en-US" w:eastAsia="fr-FR"/>
        </w:rPr>
      </w:pPr>
    </w:p>
    <w:p w14:paraId="714893E3" w14:textId="77777777" w:rsidR="003716B8" w:rsidRPr="002462F0" w:rsidRDefault="003716B8" w:rsidP="003716B8">
      <w:pPr>
        <w:pStyle w:val="Heading5"/>
      </w:pPr>
      <w:bookmarkStart w:id="244" w:name="_Toc182327758"/>
      <w:bookmarkStart w:id="245" w:name="_Toc184808182"/>
      <w:r w:rsidRPr="002462F0">
        <w:rPr>
          <w:rStyle w:val="Heading2Char"/>
          <w:b/>
          <w:color w:val="808080" w:themeColor="background1" w:themeShade="80"/>
          <w:sz w:val="20"/>
          <w:szCs w:val="22"/>
          <w:lang w:val="en-GB"/>
        </w:rPr>
        <w:t>Methodological issues</w:t>
      </w:r>
      <w:bookmarkEnd w:id="244"/>
      <w:bookmarkEnd w:id="245"/>
    </w:p>
    <w:p w14:paraId="085E6048" w14:textId="1948F8F8" w:rsidR="00F015FA" w:rsidRPr="002462F0" w:rsidRDefault="003716B8" w:rsidP="002462F0">
      <w:pPr>
        <w:pStyle w:val="BodyText"/>
        <w:rPr>
          <w:lang w:val="en-US" w:eastAsia="fr-FR"/>
        </w:rPr>
      </w:pPr>
      <w:r w:rsidRPr="002462F0">
        <w:rPr>
          <w:lang w:val="en-US" w:eastAsia="fr-FR"/>
        </w:rPr>
        <w:t xml:space="preserve">Emissions of </w:t>
      </w:r>
      <w:r w:rsidR="008A52C8">
        <w:rPr>
          <w:lang w:val="en-US" w:eastAsia="fr-FR"/>
        </w:rPr>
        <w:t>GHG</w:t>
      </w:r>
      <w:r w:rsidR="008A52C8" w:rsidRPr="002462F0">
        <w:rPr>
          <w:lang w:val="en-US" w:eastAsia="fr-FR"/>
        </w:rPr>
        <w:t xml:space="preserve"> </w:t>
      </w:r>
      <w:r w:rsidRPr="002462F0">
        <w:rPr>
          <w:lang w:val="en-US" w:eastAsia="fr-FR"/>
        </w:rPr>
        <w:t>from liquid fuels are calculated on the basis of the fuel consumption</w:t>
      </w:r>
      <w:r w:rsidR="00F015FA" w:rsidRPr="002462F0">
        <w:rPr>
          <w:lang w:val="en-US" w:eastAsia="fr-FR"/>
        </w:rPr>
        <w:t xml:space="preserve"> using T</w:t>
      </w:r>
      <w:r w:rsidRPr="002462F0">
        <w:rPr>
          <w:lang w:val="en-US" w:eastAsia="fr-FR"/>
        </w:rPr>
        <w:t xml:space="preserve">ier 1 (top-down) approach which is in </w:t>
      </w:r>
      <w:r w:rsidR="008A52C8">
        <w:rPr>
          <w:lang w:val="en-US" w:eastAsia="fr-FR"/>
        </w:rPr>
        <w:t>accordance</w:t>
      </w:r>
      <w:r w:rsidR="008A52C8" w:rsidRPr="002462F0">
        <w:rPr>
          <w:lang w:val="en-US" w:eastAsia="fr-FR"/>
        </w:rPr>
        <w:t xml:space="preserve"> </w:t>
      </w:r>
      <w:r w:rsidRPr="002462F0">
        <w:rPr>
          <w:lang w:val="en-US" w:eastAsia="fr-FR"/>
        </w:rPr>
        <w:t>with the 2006 IPCC Guidelines</w:t>
      </w:r>
      <w:r w:rsidR="00F015FA" w:rsidRPr="002462F0">
        <w:rPr>
          <w:lang w:val="en-US" w:eastAsia="fr-FR"/>
        </w:rPr>
        <w:t xml:space="preserve"> [10]</w:t>
      </w:r>
      <w:r w:rsidRPr="002462F0">
        <w:rPr>
          <w:lang w:val="en-US" w:eastAsia="fr-FR"/>
        </w:rPr>
        <w:t xml:space="preserve">. </w:t>
      </w:r>
    </w:p>
    <w:p w14:paraId="27A06487" w14:textId="1D7176F7" w:rsidR="00F015FA" w:rsidRPr="002462F0" w:rsidRDefault="003716B8" w:rsidP="002462F0">
      <w:pPr>
        <w:pStyle w:val="BodyText"/>
        <w:rPr>
          <w:lang w:val="en-US" w:eastAsia="fr-FR"/>
        </w:rPr>
      </w:pPr>
      <w:r w:rsidRPr="00881436">
        <w:rPr>
          <w:lang w:val="en-US" w:eastAsia="fr-FR"/>
        </w:rPr>
        <w:t xml:space="preserve">Activity data used </w:t>
      </w:r>
      <w:r w:rsidR="008A52C8">
        <w:rPr>
          <w:lang w:val="en-US" w:eastAsia="fr-FR"/>
        </w:rPr>
        <w:t>are</w:t>
      </w:r>
      <w:r w:rsidR="008A52C8" w:rsidRPr="00881436">
        <w:rPr>
          <w:lang w:val="en-US" w:eastAsia="fr-FR"/>
        </w:rPr>
        <w:t xml:space="preserve"> </w:t>
      </w:r>
      <w:r w:rsidRPr="00881436">
        <w:rPr>
          <w:lang w:val="en-US" w:eastAsia="fr-FR"/>
        </w:rPr>
        <w:t>fuel consumption</w:t>
      </w:r>
      <w:r w:rsidR="008A52C8">
        <w:rPr>
          <w:lang w:val="en-US" w:eastAsia="fr-FR"/>
        </w:rPr>
        <w:t>s,</w:t>
      </w:r>
      <w:r w:rsidRPr="00881436">
        <w:rPr>
          <w:lang w:val="en-US" w:eastAsia="fr-FR"/>
        </w:rPr>
        <w:t xml:space="preserve"> by type of fuel. Amounts of all types of fuels consumed for the whole time</w:t>
      </w:r>
      <w:r w:rsidR="008A52C8">
        <w:rPr>
          <w:lang w:val="en-US" w:eastAsia="fr-FR"/>
        </w:rPr>
        <w:t xml:space="preserve">series </w:t>
      </w:r>
      <w:r w:rsidRPr="00881436">
        <w:rPr>
          <w:lang w:val="en-US" w:eastAsia="fr-FR"/>
        </w:rPr>
        <w:t xml:space="preserve">were </w:t>
      </w:r>
      <w:r w:rsidR="008A52C8">
        <w:rPr>
          <w:lang w:val="en-US" w:eastAsia="fr-FR"/>
        </w:rPr>
        <w:t>given</w:t>
      </w:r>
      <w:r w:rsidR="008A52C8" w:rsidRPr="00881436">
        <w:rPr>
          <w:lang w:val="en-US" w:eastAsia="fr-FR"/>
        </w:rPr>
        <w:t xml:space="preserve"> </w:t>
      </w:r>
      <w:r w:rsidR="008A52C8">
        <w:rPr>
          <w:lang w:val="en-US" w:eastAsia="fr-FR"/>
        </w:rPr>
        <w:t xml:space="preserve">in the </w:t>
      </w:r>
      <w:r w:rsidRPr="00881436">
        <w:rPr>
          <w:lang w:val="en-US" w:eastAsia="fr-FR"/>
        </w:rPr>
        <w:t xml:space="preserve">national energy balance </w:t>
      </w:r>
      <w:r w:rsidR="00826E82" w:rsidRPr="00881436">
        <w:rPr>
          <w:lang w:val="en-US" w:eastAsia="fr-FR"/>
        </w:rPr>
        <w:fldChar w:fldCharType="begin"/>
      </w:r>
      <w:r w:rsidR="00826E82" w:rsidRPr="00881436">
        <w:rPr>
          <w:lang w:val="en-US" w:eastAsia="fr-FR"/>
        </w:rPr>
        <w:instrText xml:space="preserve"> REF _Ref496787656 \r \h </w:instrText>
      </w:r>
      <w:r w:rsidR="00E35DEA" w:rsidRPr="00881436">
        <w:rPr>
          <w:lang w:val="en-US" w:eastAsia="fr-FR"/>
        </w:rPr>
        <w:instrText xml:space="preserve"> \* MERGEFORMAT </w:instrText>
      </w:r>
      <w:r w:rsidR="00826E82" w:rsidRPr="00881436">
        <w:rPr>
          <w:lang w:val="en-US" w:eastAsia="fr-FR"/>
        </w:rPr>
      </w:r>
      <w:r w:rsidR="00826E82" w:rsidRPr="00881436">
        <w:rPr>
          <w:lang w:val="en-US" w:eastAsia="fr-FR"/>
        </w:rPr>
        <w:fldChar w:fldCharType="separate"/>
      </w:r>
      <w:r w:rsidR="00F14C78">
        <w:rPr>
          <w:lang w:val="en-US" w:eastAsia="fr-FR"/>
        </w:rPr>
        <w:t>[E2]</w:t>
      </w:r>
      <w:r w:rsidR="00826E82" w:rsidRPr="00881436">
        <w:rPr>
          <w:lang w:val="en-US" w:eastAsia="fr-FR"/>
        </w:rPr>
        <w:fldChar w:fldCharType="end"/>
      </w:r>
      <w:r w:rsidRPr="00881436">
        <w:rPr>
          <w:lang w:val="en-US" w:eastAsia="fr-FR"/>
        </w:rPr>
        <w:t>, as well as NCV</w:t>
      </w:r>
      <w:r w:rsidR="006F2B3E">
        <w:rPr>
          <w:lang w:val="en-US" w:eastAsia="fr-FR"/>
        </w:rPr>
        <w:t xml:space="preserve"> values, which are presented in Chapter </w:t>
      </w:r>
      <w:r w:rsidR="006F2B3E">
        <w:rPr>
          <w:lang w:val="en-US" w:eastAsia="fr-FR"/>
        </w:rPr>
        <w:fldChar w:fldCharType="begin"/>
      </w:r>
      <w:r w:rsidR="006F2B3E">
        <w:rPr>
          <w:lang w:val="en-US" w:eastAsia="fr-FR"/>
        </w:rPr>
        <w:instrText xml:space="preserve"> REF _Ref175130250 \r \h </w:instrText>
      </w:r>
      <w:r w:rsidR="006F2B3E">
        <w:rPr>
          <w:lang w:val="en-US" w:eastAsia="fr-FR"/>
        </w:rPr>
      </w:r>
      <w:r w:rsidR="006F2B3E">
        <w:rPr>
          <w:lang w:val="en-US" w:eastAsia="fr-FR"/>
        </w:rPr>
        <w:fldChar w:fldCharType="separate"/>
      </w:r>
      <w:r w:rsidR="00F14C78">
        <w:rPr>
          <w:lang w:val="en-US" w:eastAsia="fr-FR"/>
        </w:rPr>
        <w:t>3.2.4</w:t>
      </w:r>
      <w:r w:rsidR="006F2B3E">
        <w:rPr>
          <w:lang w:val="en-US" w:eastAsia="fr-FR"/>
        </w:rPr>
        <w:fldChar w:fldCharType="end"/>
      </w:r>
      <w:r w:rsidRPr="00881436">
        <w:rPr>
          <w:lang w:val="en-US" w:eastAsia="fr-FR"/>
        </w:rPr>
        <w:t>.</w:t>
      </w:r>
    </w:p>
    <w:p w14:paraId="4F3D55A0" w14:textId="332F568F" w:rsidR="003716B8" w:rsidRPr="002462F0" w:rsidRDefault="003716B8" w:rsidP="002462F0">
      <w:pPr>
        <w:pStyle w:val="BodyText"/>
        <w:rPr>
          <w:lang w:val="en-US" w:eastAsia="fr-FR"/>
        </w:rPr>
      </w:pPr>
      <w:r w:rsidRPr="002462F0">
        <w:rPr>
          <w:lang w:val="en-US" w:eastAsia="fr-FR"/>
        </w:rPr>
        <w:t>Emissions factors used for calculating CO</w:t>
      </w:r>
      <w:r w:rsidRPr="002462F0">
        <w:rPr>
          <w:vertAlign w:val="subscript"/>
          <w:lang w:val="en-US" w:eastAsia="fr-FR"/>
        </w:rPr>
        <w:t>2</w:t>
      </w:r>
      <w:r w:rsidRPr="002462F0">
        <w:rPr>
          <w:lang w:val="en-US" w:eastAsia="fr-FR"/>
        </w:rPr>
        <w:t>, CH</w:t>
      </w:r>
      <w:r w:rsidRPr="002462F0">
        <w:rPr>
          <w:vertAlign w:val="subscript"/>
          <w:lang w:val="en-US" w:eastAsia="fr-FR"/>
        </w:rPr>
        <w:t>4</w:t>
      </w:r>
      <w:r w:rsidRPr="002462F0">
        <w:rPr>
          <w:lang w:val="en-US" w:eastAsia="fr-FR"/>
        </w:rPr>
        <w:t xml:space="preserve"> and N</w:t>
      </w:r>
      <w:r w:rsidRPr="002462F0">
        <w:rPr>
          <w:vertAlign w:val="subscript"/>
          <w:lang w:val="en-US" w:eastAsia="fr-FR"/>
        </w:rPr>
        <w:t>2</w:t>
      </w:r>
      <w:r w:rsidRPr="002462F0">
        <w:rPr>
          <w:lang w:val="en-US" w:eastAsia="fr-FR"/>
        </w:rPr>
        <w:t xml:space="preserve">O emissions from fuels </w:t>
      </w:r>
      <w:r w:rsidR="00EE2E99">
        <w:rPr>
          <w:lang w:val="en-US" w:eastAsia="fr-FR"/>
        </w:rPr>
        <w:t>are taken</w:t>
      </w:r>
      <w:r w:rsidR="00EE2E99" w:rsidRPr="002462F0">
        <w:rPr>
          <w:lang w:val="en-US" w:eastAsia="fr-FR"/>
        </w:rPr>
        <w:t xml:space="preserve"> </w:t>
      </w:r>
      <w:r w:rsidRPr="002462F0">
        <w:rPr>
          <w:lang w:val="en-US" w:eastAsia="fr-FR"/>
        </w:rPr>
        <w:t xml:space="preserve">from 2006 IPCC guidelines </w:t>
      </w:r>
      <w:r w:rsidR="00826E82">
        <w:rPr>
          <w:lang w:val="en-US" w:eastAsia="fr-FR"/>
        </w:rPr>
        <w:fldChar w:fldCharType="begin"/>
      </w:r>
      <w:r w:rsidR="00826E82">
        <w:rPr>
          <w:lang w:val="en-US" w:eastAsia="fr-FR"/>
        </w:rPr>
        <w:instrText xml:space="preserve"> REF _Ref496787926 \r \h </w:instrText>
      </w:r>
      <w:r w:rsidR="00826E82">
        <w:rPr>
          <w:lang w:val="en-US" w:eastAsia="fr-FR"/>
        </w:rPr>
      </w:r>
      <w:r w:rsidR="00826E82">
        <w:rPr>
          <w:lang w:val="en-US" w:eastAsia="fr-FR"/>
        </w:rPr>
        <w:fldChar w:fldCharType="separate"/>
      </w:r>
      <w:r w:rsidR="00F14C78">
        <w:rPr>
          <w:lang w:val="en-US" w:eastAsia="fr-FR"/>
        </w:rPr>
        <w:t>[E11]</w:t>
      </w:r>
      <w:r w:rsidR="00826E82">
        <w:rPr>
          <w:lang w:val="en-US" w:eastAsia="fr-FR"/>
        </w:rPr>
        <w:fldChar w:fldCharType="end"/>
      </w:r>
      <w:r w:rsidRPr="002462F0">
        <w:rPr>
          <w:lang w:val="en-US" w:eastAsia="fr-FR"/>
        </w:rPr>
        <w:t>.</w:t>
      </w:r>
      <w:r w:rsidR="00EE2E99">
        <w:rPr>
          <w:lang w:val="en-US" w:eastAsia="fr-FR"/>
        </w:rPr>
        <w:t xml:space="preserve"> </w:t>
      </w:r>
      <w:r w:rsidR="00EE2E99" w:rsidRPr="002462F0">
        <w:rPr>
          <w:lang w:val="en-US" w:eastAsia="fr-FR"/>
        </w:rPr>
        <w:t>CO</w:t>
      </w:r>
      <w:r w:rsidR="00EE2E99" w:rsidRPr="002462F0">
        <w:rPr>
          <w:vertAlign w:val="subscript"/>
          <w:lang w:val="en-US" w:eastAsia="fr-FR"/>
        </w:rPr>
        <w:t>2</w:t>
      </w:r>
      <w:r w:rsidR="00EE2E99">
        <w:rPr>
          <w:vertAlign w:val="subscript"/>
          <w:lang w:val="en-US" w:eastAsia="fr-FR"/>
        </w:rPr>
        <w:t xml:space="preserve"> </w:t>
      </w:r>
      <w:r w:rsidR="00EE2E99">
        <w:rPr>
          <w:lang w:val="en-US" w:eastAsia="fr-FR"/>
        </w:rPr>
        <w:t xml:space="preserve">emission factors applied are given in Chapter </w:t>
      </w:r>
      <w:r w:rsidR="00EE2E99">
        <w:rPr>
          <w:lang w:val="en-US" w:eastAsia="fr-FR"/>
        </w:rPr>
        <w:fldChar w:fldCharType="begin"/>
      </w:r>
      <w:r w:rsidR="00EE2E99">
        <w:rPr>
          <w:lang w:val="en-US" w:eastAsia="fr-FR"/>
        </w:rPr>
        <w:instrText xml:space="preserve"> REF _Ref175130250 \r \h </w:instrText>
      </w:r>
      <w:r w:rsidR="00EE2E99">
        <w:rPr>
          <w:lang w:val="en-US" w:eastAsia="fr-FR"/>
        </w:rPr>
      </w:r>
      <w:r w:rsidR="00EE2E99">
        <w:rPr>
          <w:lang w:val="en-US" w:eastAsia="fr-FR"/>
        </w:rPr>
        <w:fldChar w:fldCharType="separate"/>
      </w:r>
      <w:r w:rsidR="00F14C78">
        <w:rPr>
          <w:lang w:val="en-US" w:eastAsia="fr-FR"/>
        </w:rPr>
        <w:t>3.2.4</w:t>
      </w:r>
      <w:r w:rsidR="00EE2E99">
        <w:rPr>
          <w:lang w:val="en-US" w:eastAsia="fr-FR"/>
        </w:rPr>
        <w:fldChar w:fldCharType="end"/>
      </w:r>
      <w:r w:rsidR="00EE2E99">
        <w:rPr>
          <w:lang w:val="en-US" w:eastAsia="fr-FR"/>
        </w:rPr>
        <w:t>.</w:t>
      </w:r>
    </w:p>
    <w:p w14:paraId="7F0AB902" w14:textId="77777777" w:rsidR="003716B8" w:rsidRPr="002462F0" w:rsidRDefault="003716B8" w:rsidP="003716B8">
      <w:pPr>
        <w:pStyle w:val="Heading4"/>
        <w:rPr>
          <w:lang w:eastAsia="fr-FR"/>
        </w:rPr>
      </w:pPr>
      <w:bookmarkStart w:id="246" w:name="_Toc182327759"/>
      <w:r w:rsidRPr="002462F0">
        <w:rPr>
          <w:lang w:eastAsia="fr-FR"/>
        </w:rPr>
        <w:lastRenderedPageBreak/>
        <w:t>Uncertainties and time-series consistency</w:t>
      </w:r>
      <w:bookmarkEnd w:id="246"/>
    </w:p>
    <w:p w14:paraId="5968726B" w14:textId="77777777" w:rsidR="003716B8" w:rsidRPr="002462F0" w:rsidRDefault="003716B8" w:rsidP="003716B8">
      <w:pPr>
        <w:autoSpaceDE w:val="0"/>
        <w:autoSpaceDN w:val="0"/>
        <w:adjustRightInd w:val="0"/>
        <w:spacing w:after="0" w:line="240" w:lineRule="auto"/>
        <w:rPr>
          <w:b/>
          <w:bCs/>
          <w:sz w:val="24"/>
          <w:szCs w:val="24"/>
          <w:lang w:eastAsia="fr-FR"/>
        </w:rPr>
      </w:pPr>
      <w:r w:rsidRPr="002462F0">
        <w:rPr>
          <w:b/>
          <w:bCs/>
          <w:sz w:val="24"/>
          <w:szCs w:val="24"/>
          <w:lang w:eastAsia="fr-FR"/>
        </w:rPr>
        <w:t>CO</w:t>
      </w:r>
      <w:r w:rsidRPr="002462F0">
        <w:rPr>
          <w:b/>
          <w:bCs/>
          <w:sz w:val="24"/>
          <w:szCs w:val="24"/>
          <w:vertAlign w:val="subscript"/>
          <w:lang w:eastAsia="fr-FR"/>
        </w:rPr>
        <w:t>2</w:t>
      </w:r>
      <w:r w:rsidRPr="002462F0">
        <w:rPr>
          <w:b/>
          <w:bCs/>
          <w:sz w:val="24"/>
          <w:szCs w:val="24"/>
          <w:lang w:eastAsia="fr-FR"/>
        </w:rPr>
        <w:t>, CH</w:t>
      </w:r>
      <w:r w:rsidRPr="002462F0">
        <w:rPr>
          <w:b/>
          <w:bCs/>
          <w:sz w:val="24"/>
          <w:szCs w:val="24"/>
          <w:vertAlign w:val="subscript"/>
          <w:lang w:eastAsia="fr-FR"/>
        </w:rPr>
        <w:t>4</w:t>
      </w:r>
      <w:r w:rsidRPr="002462F0">
        <w:rPr>
          <w:b/>
          <w:bCs/>
          <w:sz w:val="24"/>
          <w:szCs w:val="24"/>
          <w:lang w:eastAsia="fr-FR"/>
        </w:rPr>
        <w:t>, N</w:t>
      </w:r>
      <w:r w:rsidRPr="002462F0">
        <w:rPr>
          <w:b/>
          <w:bCs/>
          <w:sz w:val="24"/>
          <w:szCs w:val="24"/>
          <w:vertAlign w:val="subscript"/>
          <w:lang w:eastAsia="fr-FR"/>
        </w:rPr>
        <w:t>2</w:t>
      </w:r>
      <w:r w:rsidRPr="002462F0">
        <w:rPr>
          <w:b/>
          <w:bCs/>
          <w:sz w:val="24"/>
          <w:szCs w:val="24"/>
          <w:lang w:eastAsia="fr-FR"/>
        </w:rPr>
        <w:t>O</w:t>
      </w:r>
    </w:p>
    <w:p w14:paraId="16FA53E8" w14:textId="7DDD8EE7" w:rsidR="003716B8" w:rsidRPr="002462F0" w:rsidRDefault="003716B8" w:rsidP="002462F0">
      <w:pPr>
        <w:pStyle w:val="BodyText"/>
        <w:rPr>
          <w:lang w:val="en-US" w:eastAsia="fr-FR"/>
        </w:rPr>
      </w:pPr>
      <w:r w:rsidRPr="002462F0">
        <w:rPr>
          <w:lang w:val="en-US" w:eastAsia="fr-FR"/>
        </w:rPr>
        <w:t xml:space="preserve">Uncertainty estimate associated with activity data for </w:t>
      </w:r>
      <w:r w:rsidR="000F6001">
        <w:rPr>
          <w:lang w:val="en-US" w:eastAsia="fr-FR"/>
        </w:rPr>
        <w:t>CRT</w:t>
      </w:r>
      <w:r w:rsidRPr="002462F0">
        <w:rPr>
          <w:lang w:val="en-US" w:eastAsia="fr-FR"/>
        </w:rPr>
        <w:t xml:space="preserve"> 1A3 amounts to 5%, according to values available in 2006 IPCC Guidelines.</w:t>
      </w:r>
    </w:p>
    <w:p w14:paraId="1C71A760" w14:textId="37C02FC6" w:rsidR="003716B8" w:rsidRPr="002462F0" w:rsidRDefault="003716B8" w:rsidP="002462F0">
      <w:pPr>
        <w:pStyle w:val="BodyText"/>
        <w:rPr>
          <w:lang w:val="en-US" w:eastAsia="fr-FR"/>
        </w:rPr>
      </w:pPr>
      <w:r w:rsidRPr="002462F0">
        <w:rPr>
          <w:lang w:val="en-US" w:eastAsia="fr-FR"/>
        </w:rPr>
        <w:t xml:space="preserve">Uncertainty estimate associated with default emission factor </w:t>
      </w:r>
      <w:r w:rsidR="00B64A71">
        <w:rPr>
          <w:lang w:val="en-US" w:eastAsia="fr-FR"/>
        </w:rPr>
        <w:t>for CO</w:t>
      </w:r>
      <w:r w:rsidR="00B64A71" w:rsidRPr="00622F40">
        <w:rPr>
          <w:vertAlign w:val="subscript"/>
          <w:lang w:val="en-US" w:eastAsia="fr-FR"/>
        </w:rPr>
        <w:t>2</w:t>
      </w:r>
      <w:r w:rsidR="00B64A71">
        <w:rPr>
          <w:lang w:val="en-US" w:eastAsia="fr-FR"/>
        </w:rPr>
        <w:t xml:space="preserve"> </w:t>
      </w:r>
      <w:r w:rsidRPr="002462F0">
        <w:rPr>
          <w:lang w:val="en-US" w:eastAsia="fr-FR"/>
        </w:rPr>
        <w:t xml:space="preserve">amounts to 5%, according to values available </w:t>
      </w:r>
      <w:r w:rsidR="00C96C7C" w:rsidRPr="002462F0">
        <w:rPr>
          <w:lang w:val="en-US" w:eastAsia="fr-FR"/>
        </w:rPr>
        <w:t>in 2006 IPCC Guidelines</w:t>
      </w:r>
      <w:r w:rsidRPr="002462F0">
        <w:rPr>
          <w:lang w:val="en-US" w:eastAsia="fr-FR"/>
        </w:rPr>
        <w:t>.</w:t>
      </w:r>
      <w:r w:rsidR="00560D04">
        <w:rPr>
          <w:lang w:val="en-US" w:eastAsia="fr-FR"/>
        </w:rPr>
        <w:t xml:space="preserve"> For CH</w:t>
      </w:r>
      <w:r w:rsidR="00560D04" w:rsidRPr="00622F40">
        <w:rPr>
          <w:vertAlign w:val="subscript"/>
          <w:lang w:val="en-US" w:eastAsia="fr-FR"/>
        </w:rPr>
        <w:t>4</w:t>
      </w:r>
      <w:r w:rsidR="00560D04">
        <w:rPr>
          <w:lang w:val="en-US" w:eastAsia="fr-FR"/>
        </w:rPr>
        <w:t xml:space="preserve"> and N</w:t>
      </w:r>
      <w:r w:rsidR="00560D04" w:rsidRPr="00622F40">
        <w:rPr>
          <w:vertAlign w:val="subscript"/>
          <w:lang w:val="en-US" w:eastAsia="fr-FR"/>
        </w:rPr>
        <w:t>2</w:t>
      </w:r>
      <w:r w:rsidR="00560D04">
        <w:rPr>
          <w:lang w:val="en-US" w:eastAsia="fr-FR"/>
        </w:rPr>
        <w:t xml:space="preserve">O, </w:t>
      </w:r>
      <w:r w:rsidR="002E7027">
        <w:rPr>
          <w:lang w:val="en-US" w:eastAsia="fr-FR"/>
        </w:rPr>
        <w:t xml:space="preserve">the uncertainties on Tier 1 emission factors are about 200% according to 2006 IPCC Guidelines. </w:t>
      </w:r>
    </w:p>
    <w:p w14:paraId="4F2EDB46" w14:textId="62F5A282" w:rsidR="003716B8" w:rsidRDefault="003716B8" w:rsidP="002462F0">
      <w:pPr>
        <w:pStyle w:val="BodyText"/>
        <w:rPr>
          <w:lang w:val="en-US" w:eastAsia="fr-FR"/>
        </w:rPr>
      </w:pPr>
      <w:r w:rsidRPr="002462F0">
        <w:rPr>
          <w:lang w:val="en-US" w:eastAsia="fr-FR"/>
        </w:rPr>
        <w:t xml:space="preserve">Combined uncertainty for </w:t>
      </w:r>
      <w:r w:rsidR="00534985">
        <w:rPr>
          <w:lang w:val="en-US" w:eastAsia="fr-FR"/>
        </w:rPr>
        <w:t>CO</w:t>
      </w:r>
      <w:r w:rsidR="00534985" w:rsidRPr="008977F1">
        <w:rPr>
          <w:vertAlign w:val="subscript"/>
          <w:lang w:val="en-US" w:eastAsia="fr-FR"/>
        </w:rPr>
        <w:t>2</w:t>
      </w:r>
      <w:r w:rsidR="00534985">
        <w:rPr>
          <w:lang w:val="en-US" w:eastAsia="fr-FR"/>
        </w:rPr>
        <w:t xml:space="preserve"> </w:t>
      </w:r>
      <w:r w:rsidRPr="002462F0">
        <w:rPr>
          <w:lang w:val="en-US" w:eastAsia="fr-FR"/>
        </w:rPr>
        <w:t xml:space="preserve">emissions is </w:t>
      </w:r>
      <w:r w:rsidR="00534985">
        <w:rPr>
          <w:lang w:val="en-US" w:eastAsia="fr-FR"/>
        </w:rPr>
        <w:t>0.9</w:t>
      </w:r>
      <w:r w:rsidRPr="002462F0">
        <w:rPr>
          <w:lang w:val="en-US" w:eastAsia="fr-FR"/>
        </w:rPr>
        <w:t>%</w:t>
      </w:r>
      <w:r w:rsidR="002E7027" w:rsidRPr="002E7027">
        <w:rPr>
          <w:lang w:eastAsia="fr-FR"/>
        </w:rPr>
        <w:t xml:space="preserve"> </w:t>
      </w:r>
      <w:r w:rsidR="002E7027">
        <w:rPr>
          <w:lang w:eastAsia="fr-FR"/>
        </w:rPr>
        <w:t xml:space="preserve">in </w:t>
      </w:r>
      <w:r w:rsidR="00283BEF">
        <w:rPr>
          <w:lang w:eastAsia="fr-FR"/>
        </w:rPr>
        <w:t xml:space="preserve">the </w:t>
      </w:r>
      <w:r w:rsidR="00864A26">
        <w:rPr>
          <w:lang w:eastAsia="fr-FR"/>
        </w:rPr>
        <w:t xml:space="preserve">total </w:t>
      </w:r>
      <w:r w:rsidR="00283BEF">
        <w:rPr>
          <w:lang w:eastAsia="fr-FR"/>
        </w:rPr>
        <w:t xml:space="preserve">national </w:t>
      </w:r>
      <w:r w:rsidR="002E7027">
        <w:rPr>
          <w:lang w:eastAsia="fr-FR"/>
        </w:rPr>
        <w:t>levels of emission in 2022, excluding LULUCF contribution</w:t>
      </w:r>
      <w:r w:rsidRPr="002462F0">
        <w:rPr>
          <w:lang w:val="en-US" w:eastAsia="fr-FR"/>
        </w:rPr>
        <w:t>.</w:t>
      </w:r>
      <w:r w:rsidR="00534985">
        <w:rPr>
          <w:lang w:val="en-US" w:eastAsia="fr-FR"/>
        </w:rPr>
        <w:t xml:space="preserve"> Combined uncertainties for CH</w:t>
      </w:r>
      <w:r w:rsidR="00534985" w:rsidRPr="00622F40">
        <w:rPr>
          <w:vertAlign w:val="subscript"/>
          <w:lang w:val="en-US" w:eastAsia="fr-FR"/>
        </w:rPr>
        <w:t>4</w:t>
      </w:r>
      <w:r w:rsidR="00534985">
        <w:rPr>
          <w:lang w:val="en-US" w:eastAsia="fr-FR"/>
        </w:rPr>
        <w:t xml:space="preserve"> and N</w:t>
      </w:r>
      <w:r w:rsidR="00534985" w:rsidRPr="00622F40">
        <w:rPr>
          <w:vertAlign w:val="subscript"/>
          <w:lang w:val="en-US" w:eastAsia="fr-FR"/>
        </w:rPr>
        <w:t>2</w:t>
      </w:r>
      <w:r w:rsidR="00534985">
        <w:rPr>
          <w:lang w:val="en-US" w:eastAsia="fr-FR"/>
        </w:rPr>
        <w:t xml:space="preserve">O emissions are </w:t>
      </w:r>
      <w:r w:rsidR="00276876">
        <w:rPr>
          <w:lang w:val="en-US" w:eastAsia="fr-FR"/>
        </w:rPr>
        <w:t xml:space="preserve">0.12% and 0.35%, respectively, </w:t>
      </w:r>
      <w:r w:rsidR="00276876">
        <w:rPr>
          <w:lang w:eastAsia="fr-FR"/>
        </w:rPr>
        <w:t xml:space="preserve">in </w:t>
      </w:r>
      <w:r w:rsidR="00864A26">
        <w:rPr>
          <w:lang w:eastAsia="fr-FR"/>
        </w:rPr>
        <w:t xml:space="preserve">the total national </w:t>
      </w:r>
      <w:r w:rsidR="00276876">
        <w:rPr>
          <w:lang w:eastAsia="fr-FR"/>
        </w:rPr>
        <w:t>levels of emission in 2022, excluding LULUCF contribution</w:t>
      </w:r>
      <w:r w:rsidR="00864A26">
        <w:rPr>
          <w:lang w:eastAsia="fr-FR"/>
        </w:rPr>
        <w:t>.</w:t>
      </w:r>
    </w:p>
    <w:p w14:paraId="539EFE9F" w14:textId="77777777" w:rsidR="00B84696" w:rsidRDefault="00B84696" w:rsidP="00B84696">
      <w:pPr>
        <w:pStyle w:val="Titre4Bleu"/>
        <w:rPr>
          <w:lang w:eastAsia="fr-FR"/>
        </w:rPr>
      </w:pPr>
      <w:bookmarkStart w:id="247" w:name="_Toc182327760"/>
      <w:r w:rsidRPr="002462F0">
        <w:rPr>
          <w:lang w:eastAsia="fr-FR"/>
        </w:rPr>
        <w:t>Category-specific QA/QC and verification</w:t>
      </w:r>
      <w:bookmarkEnd w:id="247"/>
    </w:p>
    <w:p w14:paraId="7887D488" w14:textId="77777777" w:rsidR="00066E85" w:rsidRDefault="00B84696" w:rsidP="00066E85">
      <w:pPr>
        <w:rPr>
          <w:lang w:eastAsia="fr-FR"/>
        </w:rPr>
      </w:pPr>
      <w:r w:rsidRPr="002462F0">
        <w:t xml:space="preserve">During the preparation of the inventory submission activities related to quality control were mainly focused on proper use of notation keys in the </w:t>
      </w:r>
      <w:r w:rsidR="000F6001">
        <w:t>CRT</w:t>
      </w:r>
      <w:r w:rsidRPr="002462F0">
        <w:t xml:space="preserve"> tables according to QA/QC plan.</w:t>
      </w:r>
    </w:p>
    <w:p w14:paraId="52EE74D9" w14:textId="2D8F965A" w:rsidR="00B84696" w:rsidRPr="002462F0" w:rsidRDefault="00B84696" w:rsidP="00B84696">
      <w:pPr>
        <w:pStyle w:val="Titre4Bleu"/>
        <w:rPr>
          <w:lang w:eastAsia="fr-FR"/>
        </w:rPr>
      </w:pPr>
      <w:bookmarkStart w:id="248" w:name="_Toc182327761"/>
      <w:r w:rsidRPr="002462F0">
        <w:rPr>
          <w:lang w:eastAsia="fr-FR"/>
        </w:rPr>
        <w:t>Category-specific recalculations</w:t>
      </w:r>
      <w:bookmarkEnd w:id="248"/>
    </w:p>
    <w:p w14:paraId="21057B08" w14:textId="12173E1D" w:rsidR="00B84696" w:rsidRPr="002462F0" w:rsidRDefault="00B84696" w:rsidP="00B84696">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t>
      </w:r>
      <w:r>
        <w:rPr>
          <w:lang w:eastAsia="fr-FR"/>
        </w:rPr>
        <w:t>will occur</w:t>
      </w:r>
      <w:r w:rsidRPr="002462F0">
        <w:rPr>
          <w:lang w:eastAsia="fr-FR"/>
        </w:rPr>
        <w:t xml:space="preserve"> and </w:t>
      </w:r>
      <w:r>
        <w:rPr>
          <w:lang w:eastAsia="fr-FR"/>
        </w:rPr>
        <w:t xml:space="preserve">be </w:t>
      </w:r>
      <w:r w:rsidRPr="002462F0">
        <w:rPr>
          <w:lang w:eastAsia="fr-FR"/>
        </w:rPr>
        <w:t>estimated in the next submission if necessary.</w:t>
      </w:r>
    </w:p>
    <w:p w14:paraId="6A4D9F58" w14:textId="77777777" w:rsidR="00B84696" w:rsidRPr="002462F0" w:rsidRDefault="00B84696" w:rsidP="00B84696">
      <w:pPr>
        <w:pStyle w:val="Titre4Bleu"/>
        <w:rPr>
          <w:lang w:eastAsia="fr-FR"/>
        </w:rPr>
      </w:pPr>
      <w:bookmarkStart w:id="249" w:name="_Toc182327762"/>
      <w:r w:rsidRPr="002462F0">
        <w:rPr>
          <w:lang w:eastAsia="fr-FR"/>
        </w:rPr>
        <w:t>Category-specific planned improvements</w:t>
      </w:r>
      <w:bookmarkEnd w:id="249"/>
    </w:p>
    <w:p w14:paraId="3CBB3447" w14:textId="47293A3C" w:rsidR="00B84696" w:rsidRDefault="00480280" w:rsidP="002462F0">
      <w:pPr>
        <w:pStyle w:val="BodyText"/>
        <w:rPr>
          <w:lang w:val="en-US" w:eastAsia="fr-FR"/>
        </w:rPr>
      </w:pPr>
      <w:r>
        <w:rPr>
          <w:lang w:val="en-US" w:eastAsia="fr-FR"/>
        </w:rPr>
        <w:t xml:space="preserve">One important planned improvement is to improve the timeseries consistency </w:t>
      </w:r>
      <w:r w:rsidR="0043534E">
        <w:rPr>
          <w:lang w:val="en-US" w:eastAsia="fr-FR"/>
        </w:rPr>
        <w:t xml:space="preserve">and completeness for </w:t>
      </w:r>
      <w:r>
        <w:rPr>
          <w:lang w:val="en-US" w:eastAsia="fr-FR"/>
        </w:rPr>
        <w:t xml:space="preserve">the collected data </w:t>
      </w:r>
      <w:r w:rsidR="00AF0018">
        <w:rPr>
          <w:lang w:val="en-US" w:eastAsia="fr-FR"/>
        </w:rPr>
        <w:t xml:space="preserve">from the energy balance </w:t>
      </w:r>
      <w:r>
        <w:rPr>
          <w:lang w:val="en-US" w:eastAsia="fr-FR"/>
        </w:rPr>
        <w:t xml:space="preserve">for the </w:t>
      </w:r>
      <w:r w:rsidR="00AF0018">
        <w:rPr>
          <w:lang w:val="en-US" w:eastAsia="fr-FR"/>
        </w:rPr>
        <w:t xml:space="preserve">sectors of </w:t>
      </w:r>
      <w:r>
        <w:rPr>
          <w:lang w:val="en-US" w:eastAsia="fr-FR"/>
        </w:rPr>
        <w:t xml:space="preserve">railways (1A3c) and domestic navigation (1A3d). </w:t>
      </w:r>
    </w:p>
    <w:p w14:paraId="25435CE1" w14:textId="2D17BDAD" w:rsidR="0064114F" w:rsidRPr="002462F0" w:rsidRDefault="0064114F" w:rsidP="002462F0">
      <w:pPr>
        <w:pStyle w:val="BodyText"/>
        <w:rPr>
          <w:lang w:val="en-US" w:eastAsia="fr-FR"/>
        </w:rPr>
      </w:pPr>
      <w:r>
        <w:rPr>
          <w:lang w:val="en-US" w:eastAsia="fr-FR"/>
        </w:rPr>
        <w:t>Another further improvement will be to move to tier 2 methodologies for road transport, which is the second most emitting sector in 2022.</w:t>
      </w:r>
    </w:p>
    <w:p w14:paraId="74D1617B" w14:textId="76201224" w:rsidR="003716B8" w:rsidRDefault="00C96C7C" w:rsidP="00C96C7C">
      <w:pPr>
        <w:pStyle w:val="Heading3"/>
        <w:rPr>
          <w:lang w:val="en-GB" w:eastAsia="fr-FR"/>
        </w:rPr>
      </w:pPr>
      <w:bookmarkStart w:id="250" w:name="_Toc182327763"/>
      <w:bookmarkStart w:id="251" w:name="_Toc184808183"/>
      <w:r w:rsidRPr="002462F0">
        <w:rPr>
          <w:lang w:val="en-GB" w:eastAsia="fr-FR"/>
        </w:rPr>
        <w:t>Other sectors (</w:t>
      </w:r>
      <w:r w:rsidR="000F6001">
        <w:rPr>
          <w:lang w:val="en-GB" w:eastAsia="fr-FR"/>
        </w:rPr>
        <w:t>CRT</w:t>
      </w:r>
      <w:r w:rsidRPr="002462F0">
        <w:rPr>
          <w:lang w:val="en-GB" w:eastAsia="fr-FR"/>
        </w:rPr>
        <w:t xml:space="preserve"> 1A4)</w:t>
      </w:r>
      <w:bookmarkEnd w:id="250"/>
      <w:bookmarkEnd w:id="251"/>
    </w:p>
    <w:p w14:paraId="1F9595C9" w14:textId="3D531B03" w:rsidR="001868FB" w:rsidRPr="002462F0" w:rsidRDefault="001868FB" w:rsidP="001868FB">
      <w:pPr>
        <w:pStyle w:val="BodyText"/>
        <w:rPr>
          <w:lang w:val="en-US" w:eastAsia="fr-FR"/>
        </w:rPr>
      </w:pPr>
      <w:r w:rsidRPr="002462F0">
        <w:rPr>
          <w:lang w:val="en-US" w:eastAsia="fr-FR"/>
        </w:rPr>
        <w:t xml:space="preserve">This category covers the emission from combustion of fuel for </w:t>
      </w:r>
      <w:r>
        <w:rPr>
          <w:lang w:val="en-US" w:eastAsia="fr-FR"/>
        </w:rPr>
        <w:t>other</w:t>
      </w:r>
      <w:r w:rsidRPr="002462F0">
        <w:rPr>
          <w:lang w:val="en-US" w:eastAsia="fr-FR"/>
        </w:rPr>
        <w:t xml:space="preserve"> activities</w:t>
      </w:r>
      <w:r w:rsidR="00BA3F2D">
        <w:rPr>
          <w:lang w:val="en-US" w:eastAsia="fr-FR"/>
        </w:rPr>
        <w:t>.</w:t>
      </w:r>
      <w:r w:rsidRPr="002462F0">
        <w:rPr>
          <w:lang w:val="en-US" w:eastAsia="fr-FR"/>
        </w:rPr>
        <w:t xml:space="preserve"> This sector includes the emission</w:t>
      </w:r>
      <w:r w:rsidR="005A6103">
        <w:rPr>
          <w:lang w:val="en-US" w:eastAsia="fr-FR"/>
        </w:rPr>
        <w:t>s</w:t>
      </w:r>
      <w:r w:rsidRPr="002462F0">
        <w:rPr>
          <w:lang w:val="en-US" w:eastAsia="fr-FR"/>
        </w:rPr>
        <w:t xml:space="preserve"> from:</w:t>
      </w:r>
    </w:p>
    <w:p w14:paraId="489FFB4A" w14:textId="3ADFEA13" w:rsidR="001868FB" w:rsidRPr="002462F0" w:rsidRDefault="00BA3F2D" w:rsidP="00AB11C1">
      <w:pPr>
        <w:pStyle w:val="BodyText"/>
        <w:numPr>
          <w:ilvl w:val="0"/>
          <w:numId w:val="30"/>
        </w:numPr>
        <w:rPr>
          <w:lang w:val="en-US" w:eastAsia="fr-FR"/>
        </w:rPr>
      </w:pPr>
      <w:r>
        <w:rPr>
          <w:lang w:val="en-US" w:eastAsia="fr-FR"/>
        </w:rPr>
        <w:t>Commercial and institutional activities</w:t>
      </w:r>
      <w:r w:rsidR="005A6103">
        <w:rPr>
          <w:lang w:val="en-US" w:eastAsia="fr-FR"/>
        </w:rPr>
        <w:t xml:space="preserve"> (CRT 1A4a)</w:t>
      </w:r>
      <w:r w:rsidR="005B1B26">
        <w:rPr>
          <w:lang w:val="en-US" w:eastAsia="fr-FR"/>
        </w:rPr>
        <w:t>,</w:t>
      </w:r>
    </w:p>
    <w:p w14:paraId="3C78135C" w14:textId="1C1DCA09" w:rsidR="001868FB" w:rsidRPr="002462F0" w:rsidRDefault="00BA3F2D" w:rsidP="00AB11C1">
      <w:pPr>
        <w:pStyle w:val="BodyText"/>
        <w:numPr>
          <w:ilvl w:val="0"/>
          <w:numId w:val="30"/>
        </w:numPr>
        <w:rPr>
          <w:lang w:val="en-US" w:eastAsia="fr-FR"/>
        </w:rPr>
      </w:pPr>
      <w:r>
        <w:rPr>
          <w:lang w:val="en-US" w:eastAsia="fr-FR"/>
        </w:rPr>
        <w:t>Residential</w:t>
      </w:r>
      <w:r w:rsidR="005B1B26">
        <w:rPr>
          <w:lang w:val="en-US" w:eastAsia="fr-FR"/>
        </w:rPr>
        <w:t xml:space="preserve"> (CRT 1A4b),</w:t>
      </w:r>
    </w:p>
    <w:p w14:paraId="658B8337" w14:textId="415AF389" w:rsidR="001868FB" w:rsidRPr="002462F0" w:rsidRDefault="00BA3F2D" w:rsidP="00AB11C1">
      <w:pPr>
        <w:pStyle w:val="BodyText"/>
        <w:numPr>
          <w:ilvl w:val="0"/>
          <w:numId w:val="30"/>
        </w:numPr>
        <w:rPr>
          <w:lang w:val="en-US" w:eastAsia="fr-FR"/>
        </w:rPr>
      </w:pPr>
      <w:r>
        <w:rPr>
          <w:lang w:val="en-US" w:eastAsia="fr-FR"/>
        </w:rPr>
        <w:t>Agriculture, forestry and fishing</w:t>
      </w:r>
      <w:r w:rsidR="005B1B26">
        <w:rPr>
          <w:lang w:val="en-US" w:eastAsia="fr-FR"/>
        </w:rPr>
        <w:t xml:space="preserve"> (CRT 1A4c).</w:t>
      </w:r>
    </w:p>
    <w:p w14:paraId="3435CA2B" w14:textId="63968476" w:rsidR="00765BC2" w:rsidRDefault="00AC723F" w:rsidP="00B72BA5">
      <w:r>
        <w:rPr>
          <w:lang w:val="en-US" w:eastAsia="fr-FR"/>
        </w:rPr>
        <w:t>In 20</w:t>
      </w:r>
      <w:r w:rsidR="005B1B26">
        <w:rPr>
          <w:lang w:val="en-US" w:eastAsia="fr-FR"/>
        </w:rPr>
        <w:t>22</w:t>
      </w:r>
      <w:r w:rsidR="00765BC2">
        <w:rPr>
          <w:lang w:val="en-US" w:eastAsia="fr-FR"/>
        </w:rPr>
        <w:t>,</w:t>
      </w:r>
      <w:r w:rsidR="00765BC2" w:rsidRPr="00765BC2">
        <w:t xml:space="preserve"> </w:t>
      </w:r>
      <w:r w:rsidR="00765BC2">
        <w:t>t</w:t>
      </w:r>
      <w:r w:rsidR="00765BC2" w:rsidRPr="002462F0">
        <w:t>he</w:t>
      </w:r>
      <w:r w:rsidR="00765BC2">
        <w:t xml:space="preserve"> other sectors</w:t>
      </w:r>
      <w:r w:rsidR="00765BC2" w:rsidRPr="002462F0">
        <w:t xml:space="preserve"> (CR</w:t>
      </w:r>
      <w:r w:rsidR="005B1B26">
        <w:t>T</w:t>
      </w:r>
      <w:r w:rsidR="00765BC2" w:rsidRPr="002462F0">
        <w:t xml:space="preserve"> </w:t>
      </w:r>
      <w:r w:rsidR="00765BC2">
        <w:t>1A4</w:t>
      </w:r>
      <w:r w:rsidR="00765BC2" w:rsidRPr="002462F0">
        <w:t xml:space="preserve">) contribute to </w:t>
      </w:r>
      <w:r w:rsidR="008A3E51">
        <w:t>5</w:t>
      </w:r>
      <w:r w:rsidR="00E54D7B">
        <w:t>.3</w:t>
      </w:r>
      <w:r w:rsidR="00765BC2" w:rsidRPr="002462F0">
        <w:t xml:space="preserve">% of the total GHG emissions </w:t>
      </w:r>
      <w:r w:rsidR="00E54D7B">
        <w:t>without considering</w:t>
      </w:r>
      <w:r w:rsidR="00E54D7B" w:rsidRPr="002462F0">
        <w:t xml:space="preserve"> </w:t>
      </w:r>
      <w:r w:rsidR="00765BC2" w:rsidRPr="002462F0">
        <w:t xml:space="preserve">LULUCF, and to </w:t>
      </w:r>
      <w:r w:rsidR="008A3E51">
        <w:t>7</w:t>
      </w:r>
      <w:r w:rsidR="00765BC2" w:rsidRPr="002462F0">
        <w:t xml:space="preserve">% of the </w:t>
      </w:r>
      <w:r w:rsidR="00765BC2">
        <w:t>Energy category (CR</w:t>
      </w:r>
      <w:r w:rsidR="00B72BA5">
        <w:t>T</w:t>
      </w:r>
      <w:r w:rsidR="00765BC2">
        <w:t xml:space="preserve"> 1</w:t>
      </w:r>
      <w:r w:rsidR="00765BC2" w:rsidRPr="002462F0">
        <w:t xml:space="preserve">) in </w:t>
      </w:r>
      <w:r w:rsidR="00B72BA5">
        <w:t xml:space="preserve">the Republic of </w:t>
      </w:r>
      <w:r w:rsidR="00765BC2" w:rsidRPr="002462F0">
        <w:t>Serbia.</w:t>
      </w:r>
    </w:p>
    <w:p w14:paraId="22DA16ED" w14:textId="3D585E70" w:rsidR="00CB756D" w:rsidRDefault="00B02DFB" w:rsidP="00B72BA5">
      <w:r>
        <w:t xml:space="preserve">The following </w:t>
      </w:r>
      <w:r w:rsidR="00DE5960">
        <w:fldChar w:fldCharType="begin"/>
      </w:r>
      <w:r w:rsidR="00DE5960">
        <w:instrText xml:space="preserve"> REF _Ref183707644 \h </w:instrText>
      </w:r>
      <w:r w:rsidR="00DE5960">
        <w:fldChar w:fldCharType="separate"/>
      </w:r>
      <w:r w:rsidR="00DE5960">
        <w:t xml:space="preserve">Figure </w:t>
      </w:r>
      <w:r w:rsidR="00DE5960">
        <w:rPr>
          <w:noProof/>
        </w:rPr>
        <w:t>18</w:t>
      </w:r>
      <w:r w:rsidR="00DE5960">
        <w:fldChar w:fldCharType="end"/>
      </w:r>
      <w:r w:rsidR="00DE5960">
        <w:t xml:space="preserve"> and </w:t>
      </w:r>
      <w:r w:rsidR="00DE5960">
        <w:fldChar w:fldCharType="begin"/>
      </w:r>
      <w:r w:rsidR="00DE5960">
        <w:instrText xml:space="preserve"> REF _Ref183707655 \h </w:instrText>
      </w:r>
      <w:r w:rsidR="00DE5960">
        <w:fldChar w:fldCharType="separate"/>
      </w:r>
      <w:r w:rsidR="00DE5960">
        <w:t xml:space="preserve">Figure </w:t>
      </w:r>
      <w:r w:rsidR="00DE5960">
        <w:rPr>
          <w:noProof/>
        </w:rPr>
        <w:t>19</w:t>
      </w:r>
      <w:r w:rsidR="00DE5960">
        <w:fldChar w:fldCharType="end"/>
      </w:r>
      <w:r>
        <w:t xml:space="preserve"> present the fuel consumptions </w:t>
      </w:r>
      <w:r w:rsidR="009B6BFC">
        <w:t>in the other sector</w:t>
      </w:r>
      <w:r w:rsidR="00C85457">
        <w:t>s</w:t>
      </w:r>
      <w:r w:rsidR="009B6BFC">
        <w:t xml:space="preserve"> over the whole studied period</w:t>
      </w:r>
      <w:r w:rsidR="00C85457">
        <w:t>, per fuel type and per subsector</w:t>
      </w:r>
      <w:r w:rsidR="009C538D">
        <w:t xml:space="preserve">. The overall fuel consumption decreased </w:t>
      </w:r>
      <w:r w:rsidR="00E63EBA">
        <w:t xml:space="preserve">by 26% between 1990 and 2022, meanwhile the fossil fuel consumption has been reduced by 54% over the same period. </w:t>
      </w:r>
      <w:r w:rsidR="00DC4B28">
        <w:t>All fossil fuel</w:t>
      </w:r>
      <w:r w:rsidR="000F45A3">
        <w:t>s</w:t>
      </w:r>
      <w:r w:rsidR="00DC4B28">
        <w:t xml:space="preserve"> (liquid, gaseous and solid) contributed to that reduction, </w:t>
      </w:r>
      <w:r w:rsidR="00093CB5">
        <w:t xml:space="preserve">with the solid </w:t>
      </w:r>
      <w:r w:rsidR="005A5E8F">
        <w:t>fuel</w:t>
      </w:r>
      <w:r w:rsidR="000F45A3">
        <w:t>s</w:t>
      </w:r>
      <w:r w:rsidR="005A5E8F">
        <w:t xml:space="preserve"> contributing the most to that overall reduction with a drop of 76% for the period 1990-</w:t>
      </w:r>
      <w:r w:rsidR="000F45A3">
        <w:t xml:space="preserve">2022. In the latest year, they only represent </w:t>
      </w:r>
      <w:r w:rsidR="00C5659B">
        <w:t>6.6% of the total fuel consumption (including biomass), whereas their share was of</w:t>
      </w:r>
      <w:r w:rsidR="00560978">
        <w:t xml:space="preserve"> more than</w:t>
      </w:r>
      <w:r w:rsidR="00C5659B">
        <w:t xml:space="preserve"> 20</w:t>
      </w:r>
      <w:r w:rsidR="00560978">
        <w:t xml:space="preserve">% in 1990. </w:t>
      </w:r>
      <w:r w:rsidR="00CB756D">
        <w:t xml:space="preserve">On the opposite, </w:t>
      </w:r>
      <w:r w:rsidR="00CB756D">
        <w:lastRenderedPageBreak/>
        <w:t xml:space="preserve">biomass consumption, </w:t>
      </w:r>
      <w:r w:rsidR="00AC2241">
        <w:t xml:space="preserve">which is </w:t>
      </w:r>
      <w:r w:rsidR="001C5F85">
        <w:t>mainly consumed in the residential sector, is rather stable over the timeseries, until 20</w:t>
      </w:r>
      <w:r w:rsidR="00972FD0">
        <w:t>20</w:t>
      </w:r>
      <w:r w:rsidR="001C5F85">
        <w:t xml:space="preserve"> where an important increase is observed, until reaching a plateau again. The biomass consumption for other sectors </w:t>
      </w:r>
      <w:r w:rsidR="00972FD0">
        <w:t xml:space="preserve">is 24% higher in 2022 than it was in 1990. </w:t>
      </w:r>
    </w:p>
    <w:p w14:paraId="3A45F35A" w14:textId="19409B6E" w:rsidR="009B6BFC" w:rsidRDefault="00146859" w:rsidP="003631EA">
      <w:pPr>
        <w:keepNext/>
        <w:spacing w:after="0"/>
      </w:pPr>
      <w:r>
        <w:rPr>
          <w:noProof/>
          <w:lang w:val="en-US"/>
        </w:rPr>
        <w:drawing>
          <wp:inline distT="0" distB="0" distL="0" distR="0" wp14:anchorId="6637F2AC" wp14:editId="275594F7">
            <wp:extent cx="5803900" cy="3413760"/>
            <wp:effectExtent l="0" t="0" r="6350" b="0"/>
            <wp:docPr id="2101927713"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03900" cy="3413760"/>
                    </a:xfrm>
                    <a:prstGeom prst="rect">
                      <a:avLst/>
                    </a:prstGeom>
                    <a:noFill/>
                  </pic:spPr>
                </pic:pic>
              </a:graphicData>
            </a:graphic>
          </wp:inline>
        </w:drawing>
      </w:r>
    </w:p>
    <w:p w14:paraId="2A3DE9C8" w14:textId="30AA7E5F" w:rsidR="009B6BFC" w:rsidRDefault="009B6BFC" w:rsidP="003631EA">
      <w:pPr>
        <w:pStyle w:val="Caption"/>
        <w:spacing w:before="0"/>
        <w:jc w:val="both"/>
      </w:pPr>
      <w:bookmarkStart w:id="252" w:name="_Ref183707644"/>
      <w:bookmarkStart w:id="253" w:name="_Toc184808405"/>
      <w:r>
        <w:t xml:space="preserve">Figure </w:t>
      </w:r>
      <w:r>
        <w:fldChar w:fldCharType="begin"/>
      </w:r>
      <w:r>
        <w:instrText xml:space="preserve"> SEQ Figure \* ARABIC </w:instrText>
      </w:r>
      <w:r>
        <w:fldChar w:fldCharType="separate"/>
      </w:r>
      <w:r w:rsidR="00F14C78">
        <w:rPr>
          <w:noProof/>
        </w:rPr>
        <w:t>18</w:t>
      </w:r>
      <w:r>
        <w:fldChar w:fldCharType="end"/>
      </w:r>
      <w:bookmarkEnd w:id="252"/>
      <w:r>
        <w:t>:</w:t>
      </w:r>
      <w:r w:rsidRPr="009B6BFC">
        <w:t xml:space="preserve"> Fuel consumptions in the </w:t>
      </w:r>
      <w:r>
        <w:t>Other</w:t>
      </w:r>
      <w:r w:rsidRPr="009B6BFC">
        <w:t xml:space="preserve"> sector</w:t>
      </w:r>
      <w:r>
        <w:t>s</w:t>
      </w:r>
      <w:r w:rsidRPr="009B6BFC">
        <w:t xml:space="preserve"> (CRT 1A</w:t>
      </w:r>
      <w:r>
        <w:t>4</w:t>
      </w:r>
      <w:r w:rsidRPr="009B6BFC">
        <w:t>), per fuel type, for the period 1990-2022 (in TJ)</w:t>
      </w:r>
      <w:bookmarkEnd w:id="253"/>
    </w:p>
    <w:p w14:paraId="0C1FD048" w14:textId="0CFAF0F5" w:rsidR="00972FD0" w:rsidRDefault="00146859" w:rsidP="00BD19C2">
      <w:pPr>
        <w:spacing w:after="0"/>
      </w:pPr>
      <w:r>
        <w:rPr>
          <w:noProof/>
          <w:lang w:val="en-US"/>
        </w:rPr>
        <w:drawing>
          <wp:inline distT="0" distB="0" distL="0" distR="0" wp14:anchorId="0C653A58" wp14:editId="6FFE61CD">
            <wp:extent cx="5822315" cy="3413760"/>
            <wp:effectExtent l="0" t="0" r="6985" b="0"/>
            <wp:docPr id="1927424479"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2315" cy="3413760"/>
                    </a:xfrm>
                    <a:prstGeom prst="rect">
                      <a:avLst/>
                    </a:prstGeom>
                    <a:noFill/>
                  </pic:spPr>
                </pic:pic>
              </a:graphicData>
            </a:graphic>
          </wp:inline>
        </w:drawing>
      </w:r>
    </w:p>
    <w:p w14:paraId="4644C161" w14:textId="717FFCF8" w:rsidR="00972FD0" w:rsidRDefault="00E86B7C" w:rsidP="00BD19C2">
      <w:pPr>
        <w:pStyle w:val="Caption"/>
        <w:spacing w:before="0"/>
        <w:jc w:val="both"/>
      </w:pPr>
      <w:bookmarkStart w:id="254" w:name="_Ref183707655"/>
      <w:bookmarkStart w:id="255" w:name="_Toc184808406"/>
      <w:r>
        <w:t xml:space="preserve">Figure </w:t>
      </w:r>
      <w:r>
        <w:fldChar w:fldCharType="begin"/>
      </w:r>
      <w:r>
        <w:instrText xml:space="preserve"> SEQ Figure \* ARABIC </w:instrText>
      </w:r>
      <w:r>
        <w:fldChar w:fldCharType="separate"/>
      </w:r>
      <w:r w:rsidR="00F14C78">
        <w:rPr>
          <w:noProof/>
        </w:rPr>
        <w:t>19</w:t>
      </w:r>
      <w:r>
        <w:fldChar w:fldCharType="end"/>
      </w:r>
      <w:bookmarkEnd w:id="254"/>
      <w:r>
        <w:t>:</w:t>
      </w:r>
      <w:r w:rsidRPr="009B6BFC">
        <w:t xml:space="preserve"> Fuel consumptions in the </w:t>
      </w:r>
      <w:r>
        <w:t>Other</w:t>
      </w:r>
      <w:r w:rsidRPr="009B6BFC">
        <w:t xml:space="preserve"> sector</w:t>
      </w:r>
      <w:r>
        <w:t>s</w:t>
      </w:r>
      <w:r w:rsidRPr="009B6BFC">
        <w:t xml:space="preserve"> (CRT 1A</w:t>
      </w:r>
      <w:r>
        <w:t>4</w:t>
      </w:r>
      <w:r w:rsidRPr="009B6BFC">
        <w:t xml:space="preserve">), per </w:t>
      </w:r>
      <w:r>
        <w:t>subsector</w:t>
      </w:r>
      <w:r w:rsidRPr="009B6BFC">
        <w:t>, for the period 1990-2022 (in TJ)</w:t>
      </w:r>
      <w:bookmarkEnd w:id="255"/>
    </w:p>
    <w:p w14:paraId="2EEE103C" w14:textId="77777777" w:rsidR="00BD19C2" w:rsidRDefault="00BD19C2" w:rsidP="00BD19C2">
      <w:r>
        <w:t xml:space="preserve">With regards to subsectors, residential combustion is the main responsible for the fuel consumptions of the other sectors, with a slightly decreasing contribution from 83% in 1990 to 78% in 2022. The tertiary subsector is the second contributor to the other sector total fuel consumptions with a share of about 17% in 1990 and 18% in 2022. The latest subsector, agriculture, forestry and fishing, has increased its fuel consumption by 456% over the period 1990-2022. </w:t>
      </w:r>
      <w:r w:rsidRPr="00DE5960">
        <w:t xml:space="preserve"> </w:t>
      </w:r>
      <w:r>
        <w:rPr>
          <w:rStyle w:val="cf01"/>
        </w:rPr>
        <w:t xml:space="preserve">This is mainly due to the fact there are discrepancies in the timeseries of the energy balances (only diesel for tractors from 2007). Since this increase is likely due to issues with the quality of statistical data and </w:t>
      </w:r>
      <w:r>
        <w:rPr>
          <w:rStyle w:val="cf01"/>
        </w:rPr>
        <w:lastRenderedPageBreak/>
        <w:t>use of methodological approaches the issues and potential resolutions will be discussed with the energy balance compilers during the preparation of the next BTR report. Same applies for the recalculation of the biomass consumption in the Other sector conducted be the energy balance compilers which was not recalculated for the period before 2020.</w:t>
      </w:r>
    </w:p>
    <w:p w14:paraId="0E7BB150" w14:textId="2387D4A4" w:rsidR="00B92AAA" w:rsidRDefault="00B92AAA" w:rsidP="00972FD0">
      <w:r>
        <w:t>The overall GHG emissions from the Other sectors evolve as presented in the following</w:t>
      </w:r>
      <w:r w:rsidR="00BD19C2">
        <w:t xml:space="preserve"> </w:t>
      </w:r>
      <w:r w:rsidR="00BD19C2">
        <w:fldChar w:fldCharType="begin"/>
      </w:r>
      <w:r w:rsidR="00BD19C2">
        <w:instrText xml:space="preserve"> REF _Ref183708173 \h </w:instrText>
      </w:r>
      <w:r w:rsidR="00BD19C2">
        <w:fldChar w:fldCharType="separate"/>
      </w:r>
      <w:r w:rsidR="00BD19C2">
        <w:t xml:space="preserve">Figure </w:t>
      </w:r>
      <w:r w:rsidR="00BD19C2">
        <w:rPr>
          <w:noProof/>
        </w:rPr>
        <w:t>20</w:t>
      </w:r>
      <w:r w:rsidR="00BD19C2">
        <w:fldChar w:fldCharType="end"/>
      </w:r>
      <w:r>
        <w:t xml:space="preserve">. </w:t>
      </w:r>
      <w:r w:rsidR="00EC1E95">
        <w:t xml:space="preserve">It can be observed that the GHG emissions follow the trend </w:t>
      </w:r>
      <w:r w:rsidR="006C1609">
        <w:t>of the</w:t>
      </w:r>
      <w:r w:rsidR="00764E35">
        <w:t xml:space="preserve"> total</w:t>
      </w:r>
      <w:r w:rsidR="006C1609">
        <w:t xml:space="preserve"> fuel consumptions, as the biomass consumption is rather stable </w:t>
      </w:r>
      <w:r w:rsidR="00764E35">
        <w:t>over time, and the associated CO</w:t>
      </w:r>
      <w:r w:rsidR="00764E35" w:rsidRPr="00622F40">
        <w:rPr>
          <w:vertAlign w:val="subscript"/>
        </w:rPr>
        <w:t>2</w:t>
      </w:r>
      <w:r w:rsidR="00764E35">
        <w:t xml:space="preserve"> emissions are not included in the totals for reminder, except for the period 2020-2022 where there is a significant increase in biomass consumption. </w:t>
      </w:r>
      <w:r w:rsidR="00322892">
        <w:t>In overall, the GHG emissions have been reduced by 53% between 1990 and 2022, mainly due to CO</w:t>
      </w:r>
      <w:r w:rsidR="00322892" w:rsidRPr="00622F40">
        <w:rPr>
          <w:vertAlign w:val="subscript"/>
        </w:rPr>
        <w:t>2</w:t>
      </w:r>
      <w:r w:rsidR="00322892">
        <w:t xml:space="preserve"> emissions</w:t>
      </w:r>
      <w:r w:rsidR="00B90270">
        <w:t xml:space="preserve"> but also CH</w:t>
      </w:r>
      <w:r w:rsidR="00B90270" w:rsidRPr="00622F40">
        <w:rPr>
          <w:vertAlign w:val="subscript"/>
        </w:rPr>
        <w:t>4</w:t>
      </w:r>
      <w:r w:rsidR="00B90270">
        <w:t xml:space="preserve"> emissions.</w:t>
      </w:r>
      <w:r w:rsidR="00F6049E">
        <w:t xml:space="preserve"> The GHG emissions have been reduced at a faster rate than the fuel consumptions, and the </w:t>
      </w:r>
      <w:r w:rsidR="00600463">
        <w:t xml:space="preserve">GHG </w:t>
      </w:r>
      <w:r w:rsidR="00F6049E">
        <w:t xml:space="preserve">implied emission factor went from 52 to </w:t>
      </w:r>
      <w:r w:rsidR="00600463">
        <w:t xml:space="preserve">33 kg/GJ </w:t>
      </w:r>
      <w:r w:rsidR="00582429">
        <w:t xml:space="preserve">(36% reduction) </w:t>
      </w:r>
      <w:r w:rsidR="00600463">
        <w:t xml:space="preserve">for the whole sector, due to the </w:t>
      </w:r>
      <w:r w:rsidR="00BD19C2">
        <w:t>increased</w:t>
      </w:r>
      <w:r w:rsidR="00600463">
        <w:t xml:space="preserve"> use in biomass </w:t>
      </w:r>
      <w:r w:rsidR="00BE73E4">
        <w:t>meanwhile</w:t>
      </w:r>
      <w:r w:rsidR="00600463">
        <w:t xml:space="preserve"> high</w:t>
      </w:r>
      <w:r w:rsidR="00BE73E4">
        <w:t xml:space="preserve"> </w:t>
      </w:r>
      <w:r w:rsidR="00600463">
        <w:t>carbon</w:t>
      </w:r>
      <w:r w:rsidR="00BE73E4">
        <w:t xml:space="preserve"> content</w:t>
      </w:r>
      <w:r w:rsidR="00600463">
        <w:t xml:space="preserve"> fuel such as lignite, brown coal briquettes</w:t>
      </w:r>
      <w:r w:rsidR="00C668DA">
        <w:t xml:space="preserve"> and residual fuel oil</w:t>
      </w:r>
      <w:r w:rsidR="00BE73E4">
        <w:t xml:space="preserve"> have been progressively substituted</w:t>
      </w:r>
      <w:r w:rsidR="00C668DA">
        <w:t xml:space="preserve">. </w:t>
      </w:r>
    </w:p>
    <w:p w14:paraId="61CF6132" w14:textId="77777777" w:rsidR="004C182E" w:rsidRDefault="004C182E" w:rsidP="00BD19C2">
      <w:pPr>
        <w:keepNext/>
        <w:spacing w:after="0"/>
      </w:pPr>
      <w:r>
        <w:rPr>
          <w:noProof/>
          <w:lang w:val="en-US"/>
        </w:rPr>
        <w:drawing>
          <wp:inline distT="0" distB="0" distL="0" distR="0" wp14:anchorId="314F9C84" wp14:editId="678F9011">
            <wp:extent cx="5758073" cy="1933575"/>
            <wp:effectExtent l="0" t="0" r="0" b="0"/>
            <wp:docPr id="1045129587"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4755" cy="1935819"/>
                    </a:xfrm>
                    <a:prstGeom prst="rect">
                      <a:avLst/>
                    </a:prstGeom>
                    <a:noFill/>
                  </pic:spPr>
                </pic:pic>
              </a:graphicData>
            </a:graphic>
          </wp:inline>
        </w:drawing>
      </w:r>
    </w:p>
    <w:p w14:paraId="644D517B" w14:textId="2B4BDF72" w:rsidR="00E67B21" w:rsidRPr="00E67B21" w:rsidRDefault="004C182E" w:rsidP="00BD19C2">
      <w:pPr>
        <w:pStyle w:val="Caption"/>
        <w:spacing w:before="0"/>
        <w:jc w:val="both"/>
      </w:pPr>
      <w:bookmarkStart w:id="256" w:name="_Ref183708173"/>
      <w:bookmarkStart w:id="257" w:name="_Toc184808407"/>
      <w:r>
        <w:t xml:space="preserve">Figure </w:t>
      </w:r>
      <w:r>
        <w:fldChar w:fldCharType="begin"/>
      </w:r>
      <w:r>
        <w:instrText xml:space="preserve"> SEQ Figure \* ARABIC </w:instrText>
      </w:r>
      <w:r>
        <w:fldChar w:fldCharType="separate"/>
      </w:r>
      <w:r w:rsidR="00F14C78">
        <w:rPr>
          <w:noProof/>
        </w:rPr>
        <w:t>20</w:t>
      </w:r>
      <w:r>
        <w:fldChar w:fldCharType="end"/>
      </w:r>
      <w:bookmarkEnd w:id="256"/>
      <w:r>
        <w:t xml:space="preserve">: </w:t>
      </w:r>
      <w:r w:rsidR="00E67B21" w:rsidRPr="00E67B21">
        <w:t xml:space="preserve">GHG emissions for </w:t>
      </w:r>
      <w:r w:rsidR="00E67B21">
        <w:t>Other sectors (CRT 1A4), for the period 1990-2022</w:t>
      </w:r>
      <w:r w:rsidR="00E67B21" w:rsidRPr="00E67B21">
        <w:t xml:space="preserve"> (</w:t>
      </w:r>
      <w:r w:rsidR="00E67B21">
        <w:t xml:space="preserve">in </w:t>
      </w:r>
      <w:r w:rsidR="00E67B21" w:rsidRPr="00E67B21">
        <w:t>kt CO</w:t>
      </w:r>
      <w:r w:rsidR="00E67B21" w:rsidRPr="00622F40">
        <w:rPr>
          <w:vertAlign w:val="subscript"/>
        </w:rPr>
        <w:t>2</w:t>
      </w:r>
      <w:r w:rsidR="00E67B21" w:rsidRPr="00E67B21">
        <w:t>e)</w:t>
      </w:r>
      <w:bookmarkEnd w:id="257"/>
    </w:p>
    <w:p w14:paraId="6CBFD570" w14:textId="61F26F33" w:rsidR="00066E85" w:rsidRDefault="00066E85">
      <w:pPr>
        <w:jc w:val="left"/>
        <w:rPr>
          <w:b/>
          <w:color w:val="233F85"/>
          <w:sz w:val="24"/>
          <w:szCs w:val="32"/>
          <w:lang w:val="en-US" w:eastAsia="fr-FR"/>
        </w:rPr>
      </w:pPr>
      <w:r>
        <w:rPr>
          <w:lang w:eastAsia="fr-FR"/>
        </w:rPr>
        <w:br w:type="page"/>
      </w:r>
    </w:p>
    <w:p w14:paraId="0E99B0C3" w14:textId="42C3CDED" w:rsidR="00C96C7C" w:rsidRPr="002462F0" w:rsidRDefault="00C96C7C" w:rsidP="00C96C7C">
      <w:pPr>
        <w:pStyle w:val="Titre4Bleu"/>
        <w:rPr>
          <w:lang w:eastAsia="fr-FR"/>
        </w:rPr>
      </w:pPr>
      <w:bookmarkStart w:id="258" w:name="_Toc182327764"/>
      <w:r w:rsidRPr="002462F0">
        <w:rPr>
          <w:lang w:eastAsia="fr-FR"/>
        </w:rPr>
        <w:lastRenderedPageBreak/>
        <w:t>Commercial/institutional (</w:t>
      </w:r>
      <w:r w:rsidR="000F6001">
        <w:rPr>
          <w:lang w:eastAsia="fr-FR"/>
        </w:rPr>
        <w:t>CRT</w:t>
      </w:r>
      <w:r w:rsidRPr="002462F0">
        <w:rPr>
          <w:lang w:eastAsia="fr-FR"/>
        </w:rPr>
        <w:t xml:space="preserve"> 1A4a)</w:t>
      </w:r>
      <w:bookmarkEnd w:id="258"/>
    </w:p>
    <w:p w14:paraId="391ED3D9" w14:textId="77777777" w:rsidR="00443D27" w:rsidRPr="002462F0" w:rsidRDefault="00443D27" w:rsidP="00443D27">
      <w:pPr>
        <w:pStyle w:val="Heading5"/>
      </w:pPr>
      <w:bookmarkStart w:id="259" w:name="_Toc182327765"/>
      <w:bookmarkStart w:id="260" w:name="_Toc184808184"/>
      <w:r w:rsidRPr="002462F0">
        <w:rPr>
          <w:rStyle w:val="Heading2Char"/>
          <w:b/>
          <w:color w:val="808080" w:themeColor="background1" w:themeShade="80"/>
          <w:sz w:val="20"/>
          <w:szCs w:val="22"/>
          <w:lang w:val="en-GB"/>
        </w:rPr>
        <w:t>Category description</w:t>
      </w:r>
      <w:bookmarkEnd w:id="259"/>
      <w:bookmarkEnd w:id="260"/>
    </w:p>
    <w:p w14:paraId="6EB20FB5" w14:textId="77777777" w:rsidR="00BA3F2D" w:rsidRPr="002462F0" w:rsidRDefault="00BA3F2D" w:rsidP="00BA3F2D">
      <w:pPr>
        <w:pStyle w:val="BodyText"/>
        <w:rPr>
          <w:lang w:val="en-US" w:eastAsia="fr-FR"/>
        </w:rPr>
      </w:pPr>
      <w:bookmarkStart w:id="261" w:name="_Hlk496711096"/>
      <w:r w:rsidRPr="002462F0">
        <w:rPr>
          <w:lang w:val="en-US" w:eastAsia="fr-FR"/>
        </w:rPr>
        <w:t xml:space="preserve">This category refers to GHG emissions due to </w:t>
      </w:r>
      <w:r>
        <w:rPr>
          <w:lang w:val="en-US" w:eastAsia="fr-FR"/>
        </w:rPr>
        <w:t>the combustion of fuels in commercial and institutional equipment (</w:t>
      </w:r>
      <w:r w:rsidR="00782B61">
        <w:rPr>
          <w:lang w:val="en-US" w:eastAsia="fr-FR"/>
        </w:rPr>
        <w:t>stationary and mobile</w:t>
      </w:r>
      <w:r>
        <w:rPr>
          <w:lang w:val="en-US" w:eastAsia="fr-FR"/>
        </w:rPr>
        <w:t>)</w:t>
      </w:r>
      <w:r w:rsidRPr="002462F0">
        <w:rPr>
          <w:lang w:val="en-US" w:eastAsia="fr-FR"/>
        </w:rPr>
        <w:t>. These sources use different types of fuels</w:t>
      </w:r>
      <w:r>
        <w:rPr>
          <w:lang w:val="en-US" w:eastAsia="fr-FR"/>
        </w:rPr>
        <w:t xml:space="preserve"> </w:t>
      </w:r>
      <w:r w:rsidRPr="002462F0">
        <w:rPr>
          <w:lang w:val="en-US" w:eastAsia="fr-FR"/>
        </w:rPr>
        <w:t xml:space="preserve">and emit significant amounts of greenhouse gases and air pollutants. </w:t>
      </w:r>
    </w:p>
    <w:p w14:paraId="401197D4" w14:textId="1EC2601C" w:rsidR="00BA3F2D" w:rsidRPr="002462F0" w:rsidRDefault="00BA3F2D" w:rsidP="00BA3F2D">
      <w:pPr>
        <w:pStyle w:val="BodyText"/>
        <w:rPr>
          <w:lang w:val="en-US" w:eastAsia="fr-FR"/>
        </w:rPr>
      </w:pPr>
      <w:r w:rsidRPr="002462F0">
        <w:rPr>
          <w:lang w:val="en-US" w:eastAsia="fr-FR"/>
        </w:rPr>
        <w:t>In 20</w:t>
      </w:r>
      <w:r w:rsidR="00E737E1">
        <w:rPr>
          <w:lang w:val="en-US" w:eastAsia="fr-FR"/>
        </w:rPr>
        <w:t>22</w:t>
      </w:r>
      <w:r w:rsidRPr="002462F0">
        <w:rPr>
          <w:lang w:val="en-US" w:eastAsia="fr-FR"/>
        </w:rPr>
        <w:t xml:space="preserve">, the category </w:t>
      </w:r>
      <w:r>
        <w:rPr>
          <w:lang w:val="en-US" w:eastAsia="fr-FR"/>
        </w:rPr>
        <w:t>commercial/institutional</w:t>
      </w:r>
      <w:r w:rsidRPr="002462F0">
        <w:rPr>
          <w:lang w:val="en-US" w:eastAsia="fr-FR"/>
        </w:rPr>
        <w:t xml:space="preserve"> is a key category for CO</w:t>
      </w:r>
      <w:r w:rsidRPr="002462F0">
        <w:rPr>
          <w:vertAlign w:val="subscript"/>
          <w:lang w:val="en-US" w:eastAsia="fr-FR"/>
        </w:rPr>
        <w:t>2</w:t>
      </w:r>
      <w:r w:rsidRPr="002462F0">
        <w:rPr>
          <w:lang w:val="en-US" w:eastAsia="fr-FR"/>
        </w:rPr>
        <w:t xml:space="preserve"> emissions in </w:t>
      </w:r>
      <w:r w:rsidR="003F0529">
        <w:rPr>
          <w:lang w:val="en-US" w:eastAsia="fr-FR"/>
        </w:rPr>
        <w:t xml:space="preserve">the Republic of </w:t>
      </w:r>
      <w:r w:rsidRPr="002462F0">
        <w:rPr>
          <w:lang w:val="en-US" w:eastAsia="fr-FR"/>
        </w:rPr>
        <w:t>Serbia</w:t>
      </w:r>
      <w:r w:rsidR="003F0529">
        <w:rPr>
          <w:lang w:val="en-US" w:eastAsia="fr-FR"/>
        </w:rPr>
        <w:t>, both in emission levels and trends</w:t>
      </w:r>
      <w:r w:rsidRPr="002462F0">
        <w:rPr>
          <w:lang w:val="en-US" w:eastAsia="fr-FR"/>
        </w:rPr>
        <w:t xml:space="preserve">. </w:t>
      </w:r>
      <w:r w:rsidR="007A3B13">
        <w:rPr>
          <w:lang w:val="en-US" w:eastAsia="fr-FR"/>
        </w:rPr>
        <w:t>In terms of emission level, t</w:t>
      </w:r>
      <w:r w:rsidRPr="002462F0">
        <w:rPr>
          <w:lang w:val="en-US" w:eastAsia="fr-FR"/>
        </w:rPr>
        <w:t xml:space="preserve">his sector contributes </w:t>
      </w:r>
      <w:r w:rsidRPr="00C6524B">
        <w:rPr>
          <w:lang w:val="en-US" w:eastAsia="fr-FR"/>
        </w:rPr>
        <w:t xml:space="preserve">to </w:t>
      </w:r>
      <w:r w:rsidR="0077672B">
        <w:rPr>
          <w:lang w:val="en-US" w:eastAsia="fr-FR"/>
        </w:rPr>
        <w:t>1.1</w:t>
      </w:r>
      <w:r w:rsidRPr="00C6524B">
        <w:rPr>
          <w:lang w:val="en-US" w:eastAsia="fr-FR"/>
        </w:rPr>
        <w:t>%</w:t>
      </w:r>
      <w:r w:rsidRPr="002462F0">
        <w:rPr>
          <w:lang w:val="en-US" w:eastAsia="fr-FR"/>
        </w:rPr>
        <w:t xml:space="preserve"> </w:t>
      </w:r>
      <w:r w:rsidR="007A3B13">
        <w:rPr>
          <w:lang w:val="en-US" w:eastAsia="fr-FR"/>
        </w:rPr>
        <w:t xml:space="preserve">with the gaseous fuel combustion </w:t>
      </w:r>
      <w:r w:rsidRPr="002462F0">
        <w:rPr>
          <w:lang w:val="en-US" w:eastAsia="fr-FR"/>
        </w:rPr>
        <w:t xml:space="preserve">(rank </w:t>
      </w:r>
      <w:r w:rsidR="0077672B">
        <w:rPr>
          <w:lang w:val="en-US" w:eastAsia="fr-FR"/>
        </w:rPr>
        <w:t>14</w:t>
      </w:r>
      <w:r w:rsidRPr="002462F0">
        <w:rPr>
          <w:lang w:val="en-US" w:eastAsia="fr-FR"/>
        </w:rPr>
        <w:t>)</w:t>
      </w:r>
      <w:r w:rsidR="007A3B13">
        <w:rPr>
          <w:lang w:val="en-US" w:eastAsia="fr-FR"/>
        </w:rPr>
        <w:t xml:space="preserve"> and</w:t>
      </w:r>
      <w:r w:rsidR="00C6524B">
        <w:rPr>
          <w:lang w:val="en-US" w:eastAsia="fr-FR"/>
        </w:rPr>
        <w:t xml:space="preserve"> </w:t>
      </w:r>
      <w:r w:rsidR="007A3B13">
        <w:rPr>
          <w:lang w:val="en-US" w:eastAsia="fr-FR"/>
        </w:rPr>
        <w:t xml:space="preserve">of </w:t>
      </w:r>
      <w:r w:rsidR="00C6524B" w:rsidRPr="00C6524B">
        <w:rPr>
          <w:lang w:val="en-US" w:eastAsia="fr-FR"/>
        </w:rPr>
        <w:t>0</w:t>
      </w:r>
      <w:r w:rsidR="00790EE9">
        <w:rPr>
          <w:lang w:val="en-US" w:eastAsia="fr-FR"/>
        </w:rPr>
        <w:t>.</w:t>
      </w:r>
      <w:r w:rsidR="00C6524B" w:rsidRPr="00C6524B">
        <w:rPr>
          <w:lang w:val="en-US" w:eastAsia="fr-FR"/>
        </w:rPr>
        <w:t xml:space="preserve">4% </w:t>
      </w:r>
      <w:r w:rsidR="00790EE9">
        <w:rPr>
          <w:lang w:val="en-US" w:eastAsia="fr-FR"/>
        </w:rPr>
        <w:t xml:space="preserve">with liquid fuel combustion </w:t>
      </w:r>
      <w:r w:rsidR="00C6524B" w:rsidRPr="00C6524B">
        <w:rPr>
          <w:lang w:val="en-US" w:eastAsia="fr-FR"/>
        </w:rPr>
        <w:t>(rank</w:t>
      </w:r>
      <w:r w:rsidR="00790EE9">
        <w:rPr>
          <w:lang w:val="en-US" w:eastAsia="fr-FR"/>
        </w:rPr>
        <w:t xml:space="preserve"> 28</w:t>
      </w:r>
      <w:r w:rsidR="00C6524B" w:rsidRPr="00C6524B">
        <w:rPr>
          <w:lang w:val="en-US" w:eastAsia="fr-FR"/>
        </w:rPr>
        <w:t>)</w:t>
      </w:r>
      <w:r w:rsidR="00790EE9">
        <w:rPr>
          <w:lang w:val="en-US" w:eastAsia="fr-FR"/>
        </w:rPr>
        <w:t>.I</w:t>
      </w:r>
      <w:r w:rsidR="00C6524B" w:rsidRPr="00C6524B">
        <w:rPr>
          <w:lang w:val="en-US" w:eastAsia="fr-FR"/>
        </w:rPr>
        <w:t xml:space="preserve">n terms of emissions </w:t>
      </w:r>
      <w:r w:rsidR="00790EE9">
        <w:rPr>
          <w:lang w:val="en-US" w:eastAsia="fr-FR"/>
        </w:rPr>
        <w:t xml:space="preserve">trend, </w:t>
      </w:r>
      <w:r w:rsidR="009865D0">
        <w:rPr>
          <w:lang w:val="en-US" w:eastAsia="fr-FR"/>
        </w:rPr>
        <w:t>the CO</w:t>
      </w:r>
      <w:r w:rsidR="009865D0" w:rsidRPr="008B0C76">
        <w:rPr>
          <w:vertAlign w:val="subscript"/>
          <w:lang w:val="en-US" w:eastAsia="fr-FR"/>
        </w:rPr>
        <w:t>2</w:t>
      </w:r>
      <w:r w:rsidR="009865D0">
        <w:rPr>
          <w:lang w:val="en-US" w:eastAsia="fr-FR"/>
        </w:rPr>
        <w:t xml:space="preserve"> emissions are key categories for the combustion of liquid fuels with a contribution of 3.0% (rank 9), </w:t>
      </w:r>
      <w:r w:rsidR="002D1045">
        <w:rPr>
          <w:lang w:val="en-US" w:eastAsia="fr-FR"/>
        </w:rPr>
        <w:t>gaseous fuels with a contribution of 2.5% (rank 10), and solid fuels with a contribution of 0.7% (rank 30).</w:t>
      </w:r>
      <w:r w:rsidR="00790EE9" w:rsidRPr="00C6524B">
        <w:rPr>
          <w:lang w:val="en-US" w:eastAsia="fr-FR"/>
        </w:rPr>
        <w:t xml:space="preserve"> </w:t>
      </w:r>
    </w:p>
    <w:p w14:paraId="0ACBB322" w14:textId="3B917277" w:rsidR="00BA3F2D" w:rsidRPr="002462F0" w:rsidRDefault="00174356" w:rsidP="00133CCE">
      <w:pPr>
        <w:autoSpaceDE w:val="0"/>
        <w:autoSpaceDN w:val="0"/>
        <w:adjustRightInd w:val="0"/>
        <w:spacing w:after="0" w:line="240" w:lineRule="auto"/>
        <w:jc w:val="left"/>
        <w:rPr>
          <w:sz w:val="24"/>
          <w:szCs w:val="24"/>
          <w:lang w:val="en-US" w:eastAsia="fr-FR"/>
        </w:rPr>
      </w:pPr>
      <w:r>
        <w:rPr>
          <w:noProof/>
          <w:sz w:val="24"/>
          <w:szCs w:val="24"/>
          <w:lang w:val="en-US"/>
        </w:rPr>
        <w:drawing>
          <wp:inline distT="0" distB="0" distL="0" distR="0" wp14:anchorId="3628ECFA" wp14:editId="1D62CD9E">
            <wp:extent cx="5758405" cy="1790534"/>
            <wp:effectExtent l="0" t="0" r="0" b="635"/>
            <wp:docPr id="439215240"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79704" cy="1797157"/>
                    </a:xfrm>
                    <a:prstGeom prst="rect">
                      <a:avLst/>
                    </a:prstGeom>
                    <a:noFill/>
                  </pic:spPr>
                </pic:pic>
              </a:graphicData>
            </a:graphic>
          </wp:inline>
        </w:drawing>
      </w:r>
    </w:p>
    <w:p w14:paraId="78A80E6F" w14:textId="77777777" w:rsidR="00133CCE" w:rsidRPr="002462F0" w:rsidRDefault="00133CCE" w:rsidP="00133CCE">
      <w:pPr>
        <w:pStyle w:val="Caption"/>
        <w:keepNext/>
        <w:spacing w:before="0" w:after="0"/>
        <w:jc w:val="left"/>
      </w:pPr>
      <w:bookmarkStart w:id="262" w:name="_Toc184808408"/>
      <w:r w:rsidRPr="00622F40">
        <w:t xml:space="preserve">Figure </w:t>
      </w:r>
      <w:r w:rsidRPr="00622F40">
        <w:fldChar w:fldCharType="begin"/>
      </w:r>
      <w:r w:rsidRPr="00622F40">
        <w:instrText xml:space="preserve"> SEQ Figure \* ARABIC </w:instrText>
      </w:r>
      <w:r w:rsidRPr="00622F40">
        <w:fldChar w:fldCharType="separate"/>
      </w:r>
      <w:r>
        <w:rPr>
          <w:noProof/>
        </w:rPr>
        <w:t>21</w:t>
      </w:r>
      <w:r w:rsidRPr="00622F40">
        <w:fldChar w:fldCharType="end"/>
      </w:r>
      <w:r w:rsidRPr="00622F40">
        <w:rPr>
          <w:noProof/>
        </w:rPr>
        <w:t xml:space="preserve">: GHG emissions for commercial and institutional </w:t>
      </w:r>
      <w:r>
        <w:rPr>
          <w:noProof/>
        </w:rPr>
        <w:t xml:space="preserve">(CRT 1A4a), for the period 1990-2022 </w:t>
      </w:r>
      <w:r w:rsidRPr="00622F40">
        <w:rPr>
          <w:noProof/>
        </w:rPr>
        <w:t>(</w:t>
      </w:r>
      <w:r>
        <w:rPr>
          <w:noProof/>
        </w:rPr>
        <w:t xml:space="preserve">in </w:t>
      </w:r>
      <w:r w:rsidRPr="00622F40">
        <w:rPr>
          <w:noProof/>
        </w:rPr>
        <w:t>kt CO</w:t>
      </w:r>
      <w:r w:rsidRPr="00622F40">
        <w:rPr>
          <w:noProof/>
          <w:vertAlign w:val="subscript"/>
        </w:rPr>
        <w:t>2</w:t>
      </w:r>
      <w:r w:rsidRPr="00622F40">
        <w:rPr>
          <w:noProof/>
        </w:rPr>
        <w:t>e)</w:t>
      </w:r>
      <w:bookmarkEnd w:id="262"/>
    </w:p>
    <w:p w14:paraId="43A3DFB7" w14:textId="77777777" w:rsidR="00BA3F2D" w:rsidRPr="002462F0" w:rsidRDefault="00BA3F2D" w:rsidP="00BA3F2D">
      <w:pPr>
        <w:autoSpaceDE w:val="0"/>
        <w:autoSpaceDN w:val="0"/>
        <w:adjustRightInd w:val="0"/>
        <w:spacing w:after="0" w:line="240" w:lineRule="auto"/>
        <w:jc w:val="left"/>
        <w:rPr>
          <w:sz w:val="24"/>
          <w:szCs w:val="24"/>
          <w:lang w:val="en-US" w:eastAsia="fr-FR"/>
        </w:rPr>
      </w:pPr>
    </w:p>
    <w:p w14:paraId="6B96BE85" w14:textId="298319E5" w:rsidR="0068142D" w:rsidRDefault="0068142D" w:rsidP="00BA3F2D">
      <w:pPr>
        <w:pStyle w:val="BodyText"/>
        <w:rPr>
          <w:lang w:val="en-US" w:eastAsia="fr-FR"/>
        </w:rPr>
      </w:pPr>
      <w:r>
        <w:rPr>
          <w:lang w:val="en-US" w:eastAsia="fr-FR"/>
        </w:rPr>
        <w:t>Fuel consumptions for mobile and stationary equipment are considered in this category. However, it is not possible to split the consumptions between the two types of equipment</w:t>
      </w:r>
      <w:r w:rsidR="00145738">
        <w:rPr>
          <w:lang w:val="en-US" w:eastAsia="fr-FR"/>
        </w:rPr>
        <w:t>,</w:t>
      </w:r>
      <w:r>
        <w:rPr>
          <w:lang w:val="en-US" w:eastAsia="fr-FR"/>
        </w:rPr>
        <w:t xml:space="preserve"> </w:t>
      </w:r>
      <w:r w:rsidR="00145738">
        <w:rPr>
          <w:lang w:val="en-US" w:eastAsia="fr-FR"/>
        </w:rPr>
        <w:t xml:space="preserve">hence </w:t>
      </w:r>
      <w:r>
        <w:rPr>
          <w:lang w:val="en-US" w:eastAsia="fr-FR"/>
        </w:rPr>
        <w:t>all consumptions are considered in stationary equipment.</w:t>
      </w:r>
    </w:p>
    <w:p w14:paraId="1117DC9F" w14:textId="590A7A57" w:rsidR="00887805" w:rsidRDefault="00887805" w:rsidP="00BA3F2D">
      <w:pPr>
        <w:pStyle w:val="BodyText"/>
        <w:rPr>
          <w:lang w:val="en-US" w:eastAsia="fr-FR"/>
        </w:rPr>
      </w:pPr>
      <w:r>
        <w:rPr>
          <w:lang w:val="en-US" w:eastAsia="fr-FR"/>
        </w:rPr>
        <w:t>In 20</w:t>
      </w:r>
      <w:r w:rsidR="009916C2">
        <w:rPr>
          <w:lang w:val="en-US" w:eastAsia="fr-FR"/>
        </w:rPr>
        <w:t>22</w:t>
      </w:r>
      <w:r>
        <w:rPr>
          <w:lang w:val="en-US" w:eastAsia="fr-FR"/>
        </w:rPr>
        <w:t>, this sector mainly consumes natural gas (</w:t>
      </w:r>
      <w:r w:rsidR="00DF6839" w:rsidRPr="00622F40">
        <w:rPr>
          <w:lang w:val="en-US" w:eastAsia="fr-FR"/>
        </w:rPr>
        <w:t>67</w:t>
      </w:r>
      <w:r>
        <w:rPr>
          <w:lang w:val="en-US" w:eastAsia="fr-FR"/>
        </w:rPr>
        <w:t xml:space="preserve">%), </w:t>
      </w:r>
      <w:r w:rsidR="00095AF9">
        <w:rPr>
          <w:lang w:val="en-US" w:eastAsia="fr-FR"/>
        </w:rPr>
        <w:t xml:space="preserve">heavy fuel oil (13%), </w:t>
      </w:r>
      <w:r w:rsidRPr="00780207">
        <w:rPr>
          <w:lang w:val="en-US" w:eastAsia="fr-FR"/>
        </w:rPr>
        <w:t>lignite (</w:t>
      </w:r>
      <w:r w:rsidR="00095AF9" w:rsidRPr="00780207">
        <w:rPr>
          <w:lang w:val="en-US" w:eastAsia="fr-FR"/>
        </w:rPr>
        <w:t>7</w:t>
      </w:r>
      <w:r w:rsidRPr="00780207">
        <w:rPr>
          <w:lang w:val="en-US" w:eastAsia="fr-FR"/>
        </w:rPr>
        <w:t>%), solid biofuels (</w:t>
      </w:r>
      <w:r w:rsidR="00DA502C" w:rsidRPr="00622F40">
        <w:rPr>
          <w:lang w:val="en-US" w:eastAsia="fr-FR"/>
        </w:rPr>
        <w:t>5</w:t>
      </w:r>
      <w:r w:rsidRPr="00780207">
        <w:rPr>
          <w:lang w:val="en-US" w:eastAsia="fr-FR"/>
        </w:rPr>
        <w:t xml:space="preserve">%) and </w:t>
      </w:r>
      <w:r w:rsidR="00DA502C" w:rsidRPr="00780207">
        <w:rPr>
          <w:lang w:val="en-US" w:eastAsia="fr-FR"/>
        </w:rPr>
        <w:t xml:space="preserve">LPG </w:t>
      </w:r>
      <w:r w:rsidRPr="00780207">
        <w:rPr>
          <w:lang w:val="en-US" w:eastAsia="fr-FR"/>
        </w:rPr>
        <w:t>(</w:t>
      </w:r>
      <w:r w:rsidR="00DA502C" w:rsidRPr="00780207">
        <w:rPr>
          <w:lang w:val="en-US" w:eastAsia="fr-FR"/>
        </w:rPr>
        <w:t>3</w:t>
      </w:r>
      <w:r w:rsidRPr="00780207">
        <w:rPr>
          <w:lang w:val="en-US" w:eastAsia="fr-FR"/>
        </w:rPr>
        <w:t>%).</w:t>
      </w:r>
      <w:r w:rsidR="008A7650">
        <w:rPr>
          <w:lang w:val="en-US" w:eastAsia="fr-FR"/>
        </w:rPr>
        <w:t xml:space="preserve"> </w:t>
      </w:r>
      <w:r w:rsidR="00A5385C">
        <w:rPr>
          <w:lang w:val="en-US" w:eastAsia="fr-FR"/>
        </w:rPr>
        <w:t>In 1990, only residual fuel oil (76%), lignite (18%) and LPG (6%) were consumed</w:t>
      </w:r>
      <w:r w:rsidR="00F5035F">
        <w:rPr>
          <w:lang w:val="en-US" w:eastAsia="fr-FR"/>
        </w:rPr>
        <w:t xml:space="preserve">, hence the energy mix has significantly changed over the timeseries. </w:t>
      </w:r>
      <w:r w:rsidR="002579FD">
        <w:rPr>
          <w:lang w:val="en-US" w:eastAsia="fr-FR"/>
        </w:rPr>
        <w:t>Due to the development of natural gas</w:t>
      </w:r>
      <w:r w:rsidR="00870A0A">
        <w:rPr>
          <w:lang w:val="en-US" w:eastAsia="fr-FR"/>
        </w:rPr>
        <w:t xml:space="preserve"> and</w:t>
      </w:r>
      <w:r w:rsidR="002579FD">
        <w:rPr>
          <w:lang w:val="en-US" w:eastAsia="fr-FR"/>
        </w:rPr>
        <w:t>,</w:t>
      </w:r>
      <w:r w:rsidR="00870A0A">
        <w:rPr>
          <w:lang w:val="en-US" w:eastAsia="fr-FR"/>
        </w:rPr>
        <w:t xml:space="preserve"> to another extent, biomass,</w:t>
      </w:r>
      <w:r w:rsidR="002579FD">
        <w:rPr>
          <w:lang w:val="en-US" w:eastAsia="fr-FR"/>
        </w:rPr>
        <w:t xml:space="preserve"> substituting higher carbon content fuels such as lignite and fuel oil, the </w:t>
      </w:r>
      <w:r w:rsidR="00870A0A">
        <w:rPr>
          <w:lang w:val="en-US" w:eastAsia="fr-FR"/>
        </w:rPr>
        <w:t xml:space="preserve">GHG </w:t>
      </w:r>
      <w:r w:rsidR="002579FD">
        <w:rPr>
          <w:lang w:val="en-US" w:eastAsia="fr-FR"/>
        </w:rPr>
        <w:t xml:space="preserve">implied emission factor of the tertiary sector has been reduced significantly, from 82 to </w:t>
      </w:r>
      <w:r w:rsidR="006E5D2D">
        <w:rPr>
          <w:lang w:val="en-US" w:eastAsia="fr-FR"/>
        </w:rPr>
        <w:t>61 kg/GJ.</w:t>
      </w:r>
    </w:p>
    <w:p w14:paraId="628FACAD" w14:textId="77777777" w:rsidR="00C96C7C" w:rsidRDefault="00C96C7C" w:rsidP="00C96C7C">
      <w:pPr>
        <w:pStyle w:val="Heading5"/>
        <w:rPr>
          <w:rStyle w:val="Heading2Char"/>
          <w:b/>
          <w:color w:val="808080" w:themeColor="background1" w:themeShade="80"/>
          <w:sz w:val="20"/>
          <w:szCs w:val="22"/>
          <w:lang w:val="en-GB"/>
        </w:rPr>
      </w:pPr>
      <w:bookmarkStart w:id="263" w:name="_Toc182327766"/>
      <w:bookmarkStart w:id="264" w:name="_Toc184808185"/>
      <w:bookmarkEnd w:id="261"/>
      <w:r w:rsidRPr="002462F0">
        <w:rPr>
          <w:rStyle w:val="Heading2Char"/>
          <w:b/>
          <w:color w:val="808080" w:themeColor="background1" w:themeShade="80"/>
          <w:sz w:val="20"/>
          <w:szCs w:val="22"/>
          <w:lang w:val="en-GB"/>
        </w:rPr>
        <w:t>Methodological issues</w:t>
      </w:r>
      <w:bookmarkEnd w:id="263"/>
      <w:bookmarkEnd w:id="264"/>
    </w:p>
    <w:p w14:paraId="3CE052CC" w14:textId="44C8C30E" w:rsidR="00443D27" w:rsidRPr="002462F0" w:rsidRDefault="00443D27" w:rsidP="00443D27">
      <w:pPr>
        <w:pStyle w:val="BodyText"/>
        <w:rPr>
          <w:lang w:val="en-US" w:eastAsia="fr-FR"/>
        </w:rPr>
      </w:pPr>
      <w:bookmarkStart w:id="265" w:name="_Hlk496711108"/>
      <w:r w:rsidRPr="002462F0">
        <w:rPr>
          <w:lang w:val="en-US" w:eastAsia="fr-FR"/>
        </w:rPr>
        <w:t>Emissions of GHG from fuels are calculated on the basis of the fuel consumption using Tier 1 (top-down) approach</w:t>
      </w:r>
      <w:r w:rsidR="005C496E">
        <w:rPr>
          <w:lang w:val="en-US" w:eastAsia="fr-FR"/>
        </w:rPr>
        <w:t>,</w:t>
      </w:r>
      <w:r w:rsidRPr="002462F0">
        <w:rPr>
          <w:lang w:val="en-US" w:eastAsia="fr-FR"/>
        </w:rPr>
        <w:t xml:space="preserve"> which is in line with the 2006 IPCC Guidelines </w:t>
      </w:r>
      <w:r w:rsidR="00826E82">
        <w:rPr>
          <w:lang w:val="en-US" w:eastAsia="fr-FR"/>
        </w:rPr>
        <w:fldChar w:fldCharType="begin"/>
      </w:r>
      <w:r w:rsidR="00826E82">
        <w:rPr>
          <w:lang w:val="en-US" w:eastAsia="fr-FR"/>
        </w:rPr>
        <w:instrText xml:space="preserve"> REF _Ref496787868 \r \h </w:instrText>
      </w:r>
      <w:r w:rsidR="00826E82">
        <w:rPr>
          <w:lang w:val="en-US" w:eastAsia="fr-FR"/>
        </w:rPr>
      </w:r>
      <w:r w:rsidR="00826E82">
        <w:rPr>
          <w:lang w:val="en-US" w:eastAsia="fr-FR"/>
        </w:rPr>
        <w:fldChar w:fldCharType="separate"/>
      </w:r>
      <w:r w:rsidR="00F14C78">
        <w:rPr>
          <w:lang w:val="en-US" w:eastAsia="fr-FR"/>
        </w:rPr>
        <w:t>[E10]</w:t>
      </w:r>
      <w:r w:rsidR="00826E82">
        <w:rPr>
          <w:lang w:val="en-US" w:eastAsia="fr-FR"/>
        </w:rPr>
        <w:fldChar w:fldCharType="end"/>
      </w:r>
      <w:r w:rsidRPr="002462F0">
        <w:rPr>
          <w:lang w:val="en-US" w:eastAsia="fr-FR"/>
        </w:rPr>
        <w:t xml:space="preserve">. </w:t>
      </w:r>
    </w:p>
    <w:p w14:paraId="04D52FCF" w14:textId="6986884E" w:rsidR="00443D27" w:rsidRPr="002462F0" w:rsidRDefault="00443D27" w:rsidP="00443D27">
      <w:pPr>
        <w:pStyle w:val="BodyText"/>
        <w:rPr>
          <w:lang w:val="en-US" w:eastAsia="fr-FR"/>
        </w:rPr>
      </w:pPr>
      <w:r w:rsidRPr="002462F0">
        <w:rPr>
          <w:lang w:val="en-US" w:eastAsia="fr-FR"/>
        </w:rPr>
        <w:t xml:space="preserve">Activity data used </w:t>
      </w:r>
      <w:r w:rsidR="005C496E">
        <w:rPr>
          <w:lang w:val="en-US" w:eastAsia="fr-FR"/>
        </w:rPr>
        <w:t>are</w:t>
      </w:r>
      <w:r w:rsidR="005C496E" w:rsidRPr="002462F0">
        <w:rPr>
          <w:lang w:val="en-US" w:eastAsia="fr-FR"/>
        </w:rPr>
        <w:t xml:space="preserve"> </w:t>
      </w:r>
      <w:r w:rsidRPr="002462F0">
        <w:rPr>
          <w:lang w:val="en-US" w:eastAsia="fr-FR"/>
        </w:rPr>
        <w:t>fuel consumption</w:t>
      </w:r>
      <w:r w:rsidR="005C496E">
        <w:rPr>
          <w:lang w:val="en-US" w:eastAsia="fr-FR"/>
        </w:rPr>
        <w:t>s</w:t>
      </w:r>
      <w:r w:rsidRPr="002462F0">
        <w:rPr>
          <w:lang w:val="en-US" w:eastAsia="fr-FR"/>
        </w:rPr>
        <w:t xml:space="preserve"> by type of fuel. Amounts of all types of fuels consumed for the whole time</w:t>
      </w:r>
      <w:r w:rsidR="005C496E">
        <w:rPr>
          <w:lang w:val="en-US" w:eastAsia="fr-FR"/>
        </w:rPr>
        <w:t>series are</w:t>
      </w:r>
      <w:r w:rsidR="005C496E" w:rsidRPr="002462F0">
        <w:rPr>
          <w:lang w:val="en-US" w:eastAsia="fr-FR"/>
        </w:rPr>
        <w:t xml:space="preserve"> </w:t>
      </w:r>
      <w:r w:rsidRPr="002462F0">
        <w:rPr>
          <w:lang w:val="en-US" w:eastAsia="fr-FR"/>
        </w:rPr>
        <w:t xml:space="preserve">extracted from </w:t>
      </w:r>
      <w:r w:rsidR="005C496E">
        <w:rPr>
          <w:lang w:val="en-US" w:eastAsia="fr-FR"/>
        </w:rPr>
        <w:t xml:space="preserve">the </w:t>
      </w:r>
      <w:r w:rsidRPr="002462F0">
        <w:rPr>
          <w:lang w:val="en-US" w:eastAsia="fr-FR"/>
        </w:rPr>
        <w:t xml:space="preserve">national energy balance </w:t>
      </w:r>
      <w:r w:rsidR="00826E82">
        <w:rPr>
          <w:lang w:val="en-US" w:eastAsia="fr-FR"/>
        </w:rPr>
        <w:fldChar w:fldCharType="begin"/>
      </w:r>
      <w:r w:rsidR="00826E82">
        <w:rPr>
          <w:lang w:val="en-US" w:eastAsia="fr-FR"/>
        </w:rPr>
        <w:instrText xml:space="preserve"> REF _Ref496787656 \r \h </w:instrText>
      </w:r>
      <w:r w:rsidR="00826E82">
        <w:rPr>
          <w:lang w:val="en-US" w:eastAsia="fr-FR"/>
        </w:rPr>
      </w:r>
      <w:r w:rsidR="00826E82">
        <w:rPr>
          <w:lang w:val="en-US" w:eastAsia="fr-FR"/>
        </w:rPr>
        <w:fldChar w:fldCharType="separate"/>
      </w:r>
      <w:r w:rsidR="00F14C78">
        <w:rPr>
          <w:lang w:val="en-US" w:eastAsia="fr-FR"/>
        </w:rPr>
        <w:t>[E2]</w:t>
      </w:r>
      <w:r w:rsidR="00826E82">
        <w:rPr>
          <w:lang w:val="en-US" w:eastAsia="fr-FR"/>
        </w:rPr>
        <w:fldChar w:fldCharType="end"/>
      </w:r>
      <w:r w:rsidRPr="002462F0">
        <w:rPr>
          <w:lang w:val="en-US" w:eastAsia="fr-FR"/>
        </w:rPr>
        <w:t>, as well as NCV</w:t>
      </w:r>
      <w:r w:rsidR="005C496E">
        <w:rPr>
          <w:lang w:val="en-US" w:eastAsia="fr-FR"/>
        </w:rPr>
        <w:t xml:space="preserve"> values, which are given in Chapter </w:t>
      </w:r>
      <w:r w:rsidR="005C496E">
        <w:rPr>
          <w:lang w:val="en-US" w:eastAsia="fr-FR"/>
        </w:rPr>
        <w:fldChar w:fldCharType="begin"/>
      </w:r>
      <w:r w:rsidR="005C496E">
        <w:rPr>
          <w:lang w:val="en-US" w:eastAsia="fr-FR"/>
        </w:rPr>
        <w:instrText xml:space="preserve"> REF _Ref175130250 \r \h </w:instrText>
      </w:r>
      <w:r w:rsidR="005C496E">
        <w:rPr>
          <w:lang w:val="en-US" w:eastAsia="fr-FR"/>
        </w:rPr>
      </w:r>
      <w:r w:rsidR="005C496E">
        <w:rPr>
          <w:lang w:val="en-US" w:eastAsia="fr-FR"/>
        </w:rPr>
        <w:fldChar w:fldCharType="separate"/>
      </w:r>
      <w:r w:rsidR="00F14C78">
        <w:rPr>
          <w:lang w:val="en-US" w:eastAsia="fr-FR"/>
        </w:rPr>
        <w:t>3.2.4</w:t>
      </w:r>
      <w:r w:rsidR="005C496E">
        <w:rPr>
          <w:lang w:val="en-US" w:eastAsia="fr-FR"/>
        </w:rPr>
        <w:fldChar w:fldCharType="end"/>
      </w:r>
      <w:r w:rsidRPr="002462F0">
        <w:rPr>
          <w:lang w:val="en-US" w:eastAsia="fr-FR"/>
        </w:rPr>
        <w:t>.</w:t>
      </w:r>
    </w:p>
    <w:p w14:paraId="0197C78F" w14:textId="266A3856" w:rsidR="00443D27" w:rsidRPr="002462F0" w:rsidRDefault="00443D27" w:rsidP="00443D27">
      <w:pPr>
        <w:pStyle w:val="BodyText"/>
        <w:rPr>
          <w:lang w:val="en-US" w:eastAsia="fr-FR"/>
        </w:rPr>
      </w:pPr>
      <w:r w:rsidRPr="002462F0">
        <w:rPr>
          <w:lang w:val="en-US" w:eastAsia="fr-FR"/>
        </w:rPr>
        <w:t>Emissions factors used for calculating CO</w:t>
      </w:r>
      <w:r w:rsidRPr="002462F0">
        <w:rPr>
          <w:vertAlign w:val="subscript"/>
          <w:lang w:val="en-US" w:eastAsia="fr-FR"/>
        </w:rPr>
        <w:t>2</w:t>
      </w:r>
      <w:r w:rsidRPr="002462F0">
        <w:rPr>
          <w:lang w:val="en-US" w:eastAsia="fr-FR"/>
        </w:rPr>
        <w:t>, CH</w:t>
      </w:r>
      <w:r w:rsidRPr="002462F0">
        <w:rPr>
          <w:vertAlign w:val="subscript"/>
          <w:lang w:val="en-US" w:eastAsia="fr-FR"/>
        </w:rPr>
        <w:t>4</w:t>
      </w:r>
      <w:r w:rsidRPr="002462F0">
        <w:rPr>
          <w:lang w:val="en-US" w:eastAsia="fr-FR"/>
        </w:rPr>
        <w:t xml:space="preserve"> and N</w:t>
      </w:r>
      <w:r w:rsidRPr="002462F0">
        <w:rPr>
          <w:vertAlign w:val="subscript"/>
          <w:lang w:val="en-US" w:eastAsia="fr-FR"/>
        </w:rPr>
        <w:t>2</w:t>
      </w:r>
      <w:r w:rsidRPr="002462F0">
        <w:rPr>
          <w:lang w:val="en-US" w:eastAsia="fr-FR"/>
        </w:rPr>
        <w:t xml:space="preserve">O emissions from fuels </w:t>
      </w:r>
      <w:r w:rsidR="00440E68">
        <w:rPr>
          <w:lang w:val="en-US" w:eastAsia="fr-FR"/>
        </w:rPr>
        <w:t>are sourced</w:t>
      </w:r>
      <w:r w:rsidRPr="002462F0">
        <w:rPr>
          <w:lang w:val="en-US" w:eastAsia="fr-FR"/>
        </w:rPr>
        <w:t xml:space="preserve"> from 2006 IPCC guidelines </w:t>
      </w:r>
      <w:r w:rsidR="00826E82">
        <w:rPr>
          <w:lang w:val="en-US" w:eastAsia="fr-FR"/>
        </w:rPr>
        <w:fldChar w:fldCharType="begin"/>
      </w:r>
      <w:r w:rsidR="00826E82">
        <w:rPr>
          <w:lang w:val="en-US" w:eastAsia="fr-FR"/>
        </w:rPr>
        <w:instrText xml:space="preserve"> REF _Ref496787669 \r \h </w:instrText>
      </w:r>
      <w:r w:rsidR="00826E82">
        <w:rPr>
          <w:lang w:val="en-US" w:eastAsia="fr-FR"/>
        </w:rPr>
      </w:r>
      <w:r w:rsidR="00826E82">
        <w:rPr>
          <w:lang w:val="en-US" w:eastAsia="fr-FR"/>
        </w:rPr>
        <w:fldChar w:fldCharType="separate"/>
      </w:r>
      <w:r w:rsidR="00F14C78">
        <w:rPr>
          <w:lang w:val="en-US" w:eastAsia="fr-FR"/>
        </w:rPr>
        <w:t>[E3]</w:t>
      </w:r>
      <w:r w:rsidR="00826E82">
        <w:rPr>
          <w:lang w:val="en-US" w:eastAsia="fr-FR"/>
        </w:rPr>
        <w:fldChar w:fldCharType="end"/>
      </w:r>
      <w:r w:rsidRPr="002462F0">
        <w:rPr>
          <w:lang w:val="en-US" w:eastAsia="fr-FR"/>
        </w:rPr>
        <w:t>.</w:t>
      </w:r>
      <w:r w:rsidR="005C496E">
        <w:rPr>
          <w:lang w:val="en-US" w:eastAsia="fr-FR"/>
        </w:rPr>
        <w:t xml:space="preserve"> </w:t>
      </w:r>
      <w:r w:rsidR="005C496E" w:rsidRPr="002462F0">
        <w:rPr>
          <w:lang w:val="en-US" w:eastAsia="fr-FR"/>
        </w:rPr>
        <w:t>CO</w:t>
      </w:r>
      <w:r w:rsidR="005C496E" w:rsidRPr="002462F0">
        <w:rPr>
          <w:vertAlign w:val="subscript"/>
          <w:lang w:val="en-US" w:eastAsia="fr-FR"/>
        </w:rPr>
        <w:t>2</w:t>
      </w:r>
      <w:r w:rsidR="005C496E">
        <w:rPr>
          <w:vertAlign w:val="subscript"/>
          <w:lang w:val="en-US" w:eastAsia="fr-FR"/>
        </w:rPr>
        <w:t xml:space="preserve"> </w:t>
      </w:r>
      <w:r w:rsidR="005C496E">
        <w:rPr>
          <w:lang w:val="en-US" w:eastAsia="fr-FR"/>
        </w:rPr>
        <w:t xml:space="preserve">emission factors applied are given in Chapter </w:t>
      </w:r>
      <w:r w:rsidR="005C496E">
        <w:rPr>
          <w:lang w:val="en-US" w:eastAsia="fr-FR"/>
        </w:rPr>
        <w:fldChar w:fldCharType="begin"/>
      </w:r>
      <w:r w:rsidR="005C496E">
        <w:rPr>
          <w:lang w:val="en-US" w:eastAsia="fr-FR"/>
        </w:rPr>
        <w:instrText xml:space="preserve"> REF _Ref175130250 \r \h </w:instrText>
      </w:r>
      <w:r w:rsidR="005C496E">
        <w:rPr>
          <w:lang w:val="en-US" w:eastAsia="fr-FR"/>
        </w:rPr>
      </w:r>
      <w:r w:rsidR="005C496E">
        <w:rPr>
          <w:lang w:val="en-US" w:eastAsia="fr-FR"/>
        </w:rPr>
        <w:fldChar w:fldCharType="separate"/>
      </w:r>
      <w:r w:rsidR="00F14C78">
        <w:rPr>
          <w:lang w:val="en-US" w:eastAsia="fr-FR"/>
        </w:rPr>
        <w:t>3.2.4</w:t>
      </w:r>
      <w:r w:rsidR="005C496E">
        <w:rPr>
          <w:lang w:val="en-US" w:eastAsia="fr-FR"/>
        </w:rPr>
        <w:fldChar w:fldCharType="end"/>
      </w:r>
      <w:r w:rsidR="005C496E">
        <w:rPr>
          <w:lang w:val="en-US" w:eastAsia="fr-FR"/>
        </w:rPr>
        <w:t>.</w:t>
      </w:r>
    </w:p>
    <w:bookmarkEnd w:id="265"/>
    <w:p w14:paraId="36CF64A2" w14:textId="77777777" w:rsidR="00443D27" w:rsidRDefault="00443D27" w:rsidP="00443D27">
      <w:pPr>
        <w:rPr>
          <w:lang w:val="en-US"/>
        </w:rPr>
      </w:pPr>
    </w:p>
    <w:p w14:paraId="32DFDA0D" w14:textId="77777777" w:rsidR="00133CCE" w:rsidRPr="00443D27" w:rsidRDefault="00133CCE" w:rsidP="00443D27">
      <w:pPr>
        <w:rPr>
          <w:lang w:val="en-US"/>
        </w:rPr>
      </w:pPr>
    </w:p>
    <w:p w14:paraId="4D5470B8" w14:textId="77777777" w:rsidR="00C96C7C" w:rsidRPr="002462F0" w:rsidRDefault="00C96C7C" w:rsidP="00C96C7C">
      <w:pPr>
        <w:pStyle w:val="Titre4Bleu"/>
        <w:rPr>
          <w:lang w:eastAsia="fr-FR"/>
        </w:rPr>
      </w:pPr>
      <w:bookmarkStart w:id="266" w:name="_Toc182327767"/>
      <w:r w:rsidRPr="002462F0">
        <w:rPr>
          <w:lang w:eastAsia="fr-FR"/>
        </w:rPr>
        <w:lastRenderedPageBreak/>
        <w:t>Residential (1A4b)</w:t>
      </w:r>
      <w:bookmarkEnd w:id="266"/>
    </w:p>
    <w:p w14:paraId="3B752E4B" w14:textId="77777777" w:rsidR="00C96C7C" w:rsidRDefault="00C96C7C" w:rsidP="00C96C7C">
      <w:pPr>
        <w:pStyle w:val="Heading5"/>
        <w:rPr>
          <w:rStyle w:val="Heading2Char"/>
          <w:b/>
          <w:color w:val="808080" w:themeColor="background1" w:themeShade="80"/>
          <w:sz w:val="20"/>
          <w:szCs w:val="22"/>
          <w:lang w:val="en-GB"/>
        </w:rPr>
      </w:pPr>
      <w:bookmarkStart w:id="267" w:name="_Toc182327768"/>
      <w:bookmarkStart w:id="268" w:name="_Toc184808186"/>
      <w:r w:rsidRPr="002462F0">
        <w:rPr>
          <w:rStyle w:val="Heading2Char"/>
          <w:b/>
          <w:color w:val="808080" w:themeColor="background1" w:themeShade="80"/>
          <w:sz w:val="20"/>
          <w:szCs w:val="22"/>
          <w:lang w:val="en-GB"/>
        </w:rPr>
        <w:t>Category description</w:t>
      </w:r>
      <w:bookmarkEnd w:id="267"/>
      <w:bookmarkEnd w:id="268"/>
    </w:p>
    <w:p w14:paraId="197DB8DB" w14:textId="66E81AED" w:rsidR="0066044E" w:rsidRPr="002462F0" w:rsidRDefault="0066044E" w:rsidP="0066044E">
      <w:pPr>
        <w:pStyle w:val="BodyText"/>
        <w:rPr>
          <w:lang w:val="en-US" w:eastAsia="fr-FR"/>
        </w:rPr>
      </w:pPr>
      <w:r w:rsidRPr="002462F0">
        <w:rPr>
          <w:lang w:val="en-US" w:eastAsia="fr-FR"/>
        </w:rPr>
        <w:t xml:space="preserve">This category refers to GHG emissions due to </w:t>
      </w:r>
      <w:r>
        <w:rPr>
          <w:lang w:val="en-US" w:eastAsia="fr-FR"/>
        </w:rPr>
        <w:t>the combustion of fuels in residential equipment (stationary and mobile)</w:t>
      </w:r>
      <w:r w:rsidRPr="002462F0">
        <w:rPr>
          <w:lang w:val="en-US" w:eastAsia="fr-FR"/>
        </w:rPr>
        <w:t>. These sources use different types of fuels</w:t>
      </w:r>
      <w:r>
        <w:rPr>
          <w:lang w:val="en-US" w:eastAsia="fr-FR"/>
        </w:rPr>
        <w:t xml:space="preserve"> </w:t>
      </w:r>
      <w:r w:rsidRPr="002462F0">
        <w:rPr>
          <w:lang w:val="en-US" w:eastAsia="fr-FR"/>
        </w:rPr>
        <w:t xml:space="preserve">and emit significant amounts of greenhouse gases and air pollutants. </w:t>
      </w:r>
    </w:p>
    <w:p w14:paraId="11C0FE51" w14:textId="375DD798" w:rsidR="00C26E02" w:rsidRDefault="00F450D8" w:rsidP="0066044E">
      <w:pPr>
        <w:pStyle w:val="BodyText"/>
        <w:rPr>
          <w:lang w:val="en-US" w:eastAsia="fr-FR"/>
        </w:rPr>
      </w:pPr>
      <w:r>
        <w:rPr>
          <w:lang w:val="en-US" w:eastAsia="fr-FR"/>
        </w:rPr>
        <w:t>In 20</w:t>
      </w:r>
      <w:r w:rsidR="008E30DE">
        <w:rPr>
          <w:lang w:val="en-US" w:eastAsia="fr-FR"/>
        </w:rPr>
        <w:t>22</w:t>
      </w:r>
      <w:r w:rsidR="0066044E" w:rsidRPr="002462F0">
        <w:rPr>
          <w:lang w:val="en-US" w:eastAsia="fr-FR"/>
        </w:rPr>
        <w:t xml:space="preserve">, the category </w:t>
      </w:r>
      <w:r w:rsidR="0066044E">
        <w:rPr>
          <w:lang w:val="en-US" w:eastAsia="fr-FR"/>
        </w:rPr>
        <w:t>residential</w:t>
      </w:r>
      <w:r w:rsidR="0066044E" w:rsidRPr="002462F0">
        <w:rPr>
          <w:lang w:val="en-US" w:eastAsia="fr-FR"/>
        </w:rPr>
        <w:t xml:space="preserve"> is a key category for CO</w:t>
      </w:r>
      <w:r w:rsidR="0066044E" w:rsidRPr="002462F0">
        <w:rPr>
          <w:vertAlign w:val="subscript"/>
          <w:lang w:val="en-US" w:eastAsia="fr-FR"/>
        </w:rPr>
        <w:t>2</w:t>
      </w:r>
      <w:r w:rsidR="0066044E" w:rsidRPr="002462F0">
        <w:rPr>
          <w:lang w:val="en-US" w:eastAsia="fr-FR"/>
        </w:rPr>
        <w:t xml:space="preserve"> </w:t>
      </w:r>
      <w:r w:rsidR="00887805">
        <w:rPr>
          <w:lang w:val="en-US" w:eastAsia="fr-FR"/>
        </w:rPr>
        <w:t>and CH</w:t>
      </w:r>
      <w:r w:rsidR="00887805" w:rsidRPr="00887805">
        <w:rPr>
          <w:vertAlign w:val="subscript"/>
          <w:lang w:val="en-US" w:eastAsia="fr-FR"/>
        </w:rPr>
        <w:t>4</w:t>
      </w:r>
      <w:r w:rsidR="00887805">
        <w:rPr>
          <w:lang w:val="en-US" w:eastAsia="fr-FR"/>
        </w:rPr>
        <w:t xml:space="preserve"> </w:t>
      </w:r>
      <w:r w:rsidR="0066044E" w:rsidRPr="002462F0">
        <w:rPr>
          <w:lang w:val="en-US" w:eastAsia="fr-FR"/>
        </w:rPr>
        <w:t xml:space="preserve">emissions in </w:t>
      </w:r>
      <w:r w:rsidR="008E30DE">
        <w:rPr>
          <w:lang w:val="en-US" w:eastAsia="fr-FR"/>
        </w:rPr>
        <w:t xml:space="preserve">the Republic of </w:t>
      </w:r>
      <w:r w:rsidR="0066044E" w:rsidRPr="002462F0">
        <w:rPr>
          <w:lang w:val="en-US" w:eastAsia="fr-FR"/>
        </w:rPr>
        <w:t>Serbia</w:t>
      </w:r>
      <w:r w:rsidR="00442E72">
        <w:rPr>
          <w:lang w:val="en-US" w:eastAsia="fr-FR"/>
        </w:rPr>
        <w:t>, both in terms of emission level and trend</w:t>
      </w:r>
      <w:r w:rsidR="0066044E" w:rsidRPr="002462F0">
        <w:rPr>
          <w:lang w:val="en-US" w:eastAsia="fr-FR"/>
        </w:rPr>
        <w:t xml:space="preserve">. </w:t>
      </w:r>
      <w:r w:rsidR="00AF0D84">
        <w:rPr>
          <w:lang w:val="en-US" w:eastAsia="fr-FR"/>
        </w:rPr>
        <w:t>Here is a summary of the categories which are considered as key categories for this subsector:</w:t>
      </w:r>
    </w:p>
    <w:p w14:paraId="419AA5BA" w14:textId="4715AA6A" w:rsidR="00AF0D84" w:rsidRDefault="00AF0D84" w:rsidP="008B0C76">
      <w:pPr>
        <w:pStyle w:val="Caption"/>
        <w:keepNext/>
        <w:jc w:val="left"/>
      </w:pPr>
      <w:bookmarkStart w:id="269" w:name="_Toc184808563"/>
      <w:r>
        <w:t xml:space="preserve">Table </w:t>
      </w:r>
      <w:r>
        <w:fldChar w:fldCharType="begin"/>
      </w:r>
      <w:r>
        <w:instrText xml:space="preserve"> SEQ Table \* ARABIC </w:instrText>
      </w:r>
      <w:r>
        <w:fldChar w:fldCharType="separate"/>
      </w:r>
      <w:r w:rsidR="00F14C78">
        <w:rPr>
          <w:noProof/>
        </w:rPr>
        <w:t>20</w:t>
      </w:r>
      <w:r>
        <w:fldChar w:fldCharType="end"/>
      </w:r>
      <w:r>
        <w:t>: Key categories in level and trend for the Residential combustion, in 2022, excluding LULUCF</w:t>
      </w:r>
      <w:bookmarkEnd w:id="269"/>
    </w:p>
    <w:tbl>
      <w:tblPr>
        <w:tblStyle w:val="TableGrid"/>
        <w:tblW w:w="0" w:type="auto"/>
        <w:tblLook w:val="04A0" w:firstRow="1" w:lastRow="0" w:firstColumn="1" w:lastColumn="0" w:noHBand="0" w:noVBand="1"/>
      </w:tblPr>
      <w:tblGrid>
        <w:gridCol w:w="4390"/>
        <w:gridCol w:w="2268"/>
        <w:gridCol w:w="2404"/>
      </w:tblGrid>
      <w:tr w:rsidR="00AF0D84" w14:paraId="5DD4EEED" w14:textId="77777777" w:rsidTr="008B0C76">
        <w:tc>
          <w:tcPr>
            <w:tcW w:w="4390" w:type="dxa"/>
            <w:shd w:val="clear" w:color="auto" w:fill="B8CCE4" w:themeFill="accent1" w:themeFillTint="66"/>
          </w:tcPr>
          <w:p w14:paraId="64D49F8B" w14:textId="77777777" w:rsidR="00AF0D84" w:rsidRDefault="00AF0D84">
            <w:pPr>
              <w:autoSpaceDE w:val="0"/>
              <w:autoSpaceDN w:val="0"/>
              <w:adjustRightInd w:val="0"/>
              <w:rPr>
                <w:rFonts w:cs="MyriadPro-Regular"/>
                <w:color w:val="1D1D1B"/>
                <w:szCs w:val="20"/>
                <w:lang w:val="en-US"/>
              </w:rPr>
            </w:pPr>
            <w:r>
              <w:rPr>
                <w:rFonts w:cs="MyriadPro-Regular"/>
                <w:color w:val="1D1D1B"/>
                <w:szCs w:val="20"/>
                <w:lang w:val="en-US"/>
              </w:rPr>
              <w:t>CRT category/fuel/substance</w:t>
            </w:r>
          </w:p>
        </w:tc>
        <w:tc>
          <w:tcPr>
            <w:tcW w:w="2268" w:type="dxa"/>
            <w:shd w:val="clear" w:color="auto" w:fill="B8CCE4" w:themeFill="accent1" w:themeFillTint="66"/>
          </w:tcPr>
          <w:p w14:paraId="4BF98291" w14:textId="77777777" w:rsidR="00AF0D84" w:rsidRDefault="00AF0D84">
            <w:pPr>
              <w:autoSpaceDE w:val="0"/>
              <w:autoSpaceDN w:val="0"/>
              <w:adjustRightInd w:val="0"/>
              <w:rPr>
                <w:rFonts w:cs="MyriadPro-Regular"/>
                <w:color w:val="1D1D1B"/>
                <w:szCs w:val="20"/>
                <w:lang w:val="en-US"/>
              </w:rPr>
            </w:pPr>
            <w:r>
              <w:rPr>
                <w:rFonts w:cs="MyriadPro-Regular"/>
                <w:color w:val="1D1D1B"/>
                <w:szCs w:val="20"/>
                <w:lang w:val="en-US"/>
              </w:rPr>
              <w:t xml:space="preserve">Key category in level rank </w:t>
            </w:r>
          </w:p>
          <w:p w14:paraId="3E12E42B" w14:textId="77777777" w:rsidR="00AF0D84" w:rsidRDefault="00AF0D84">
            <w:pPr>
              <w:autoSpaceDE w:val="0"/>
              <w:autoSpaceDN w:val="0"/>
              <w:adjustRightInd w:val="0"/>
              <w:rPr>
                <w:rFonts w:cs="MyriadPro-Regular"/>
                <w:color w:val="1D1D1B"/>
                <w:szCs w:val="20"/>
                <w:lang w:val="en-US"/>
              </w:rPr>
            </w:pPr>
            <w:r>
              <w:rPr>
                <w:rFonts w:cs="MyriadPro-Regular"/>
                <w:color w:val="1D1D1B"/>
                <w:szCs w:val="20"/>
                <w:lang w:val="en-US"/>
              </w:rPr>
              <w:t>(% of contribution)</w:t>
            </w:r>
          </w:p>
        </w:tc>
        <w:tc>
          <w:tcPr>
            <w:tcW w:w="2404" w:type="dxa"/>
            <w:shd w:val="clear" w:color="auto" w:fill="B8CCE4" w:themeFill="accent1" w:themeFillTint="66"/>
          </w:tcPr>
          <w:p w14:paraId="75C82A3F" w14:textId="77777777" w:rsidR="00AF0D84" w:rsidRDefault="00AF0D84">
            <w:pPr>
              <w:autoSpaceDE w:val="0"/>
              <w:autoSpaceDN w:val="0"/>
              <w:adjustRightInd w:val="0"/>
              <w:rPr>
                <w:rFonts w:cs="MyriadPro-Regular"/>
                <w:color w:val="1D1D1B"/>
                <w:szCs w:val="20"/>
                <w:lang w:val="en-US"/>
              </w:rPr>
            </w:pPr>
            <w:r>
              <w:rPr>
                <w:rFonts w:cs="MyriadPro-Regular"/>
                <w:color w:val="1D1D1B"/>
                <w:szCs w:val="20"/>
                <w:lang w:val="en-US"/>
              </w:rPr>
              <w:t xml:space="preserve">Key category in trend rank </w:t>
            </w:r>
          </w:p>
          <w:p w14:paraId="1B09B0EB" w14:textId="77777777" w:rsidR="00AF0D84" w:rsidRDefault="00AF0D84">
            <w:pPr>
              <w:autoSpaceDE w:val="0"/>
              <w:autoSpaceDN w:val="0"/>
              <w:adjustRightInd w:val="0"/>
              <w:rPr>
                <w:rFonts w:cs="MyriadPro-Regular"/>
                <w:color w:val="1D1D1B"/>
                <w:szCs w:val="20"/>
                <w:lang w:val="en-US"/>
              </w:rPr>
            </w:pPr>
            <w:r>
              <w:rPr>
                <w:rFonts w:cs="MyriadPro-Regular"/>
                <w:color w:val="1D1D1B"/>
                <w:szCs w:val="20"/>
                <w:lang w:val="en-US"/>
              </w:rPr>
              <w:t>(% of contribution)</w:t>
            </w:r>
          </w:p>
        </w:tc>
      </w:tr>
      <w:tr w:rsidR="00AF0D84" w14:paraId="6F29BFBF" w14:textId="77777777" w:rsidTr="00622F40">
        <w:tc>
          <w:tcPr>
            <w:tcW w:w="4390" w:type="dxa"/>
          </w:tcPr>
          <w:p w14:paraId="4CDEE5D8" w14:textId="47DC00CA" w:rsidR="00AF0D84" w:rsidRDefault="00AF0D84">
            <w:pPr>
              <w:autoSpaceDE w:val="0"/>
              <w:autoSpaceDN w:val="0"/>
              <w:adjustRightInd w:val="0"/>
              <w:rPr>
                <w:rFonts w:cs="MyriadPro-Regular"/>
                <w:color w:val="1D1D1B"/>
                <w:szCs w:val="20"/>
                <w:lang w:val="en-US"/>
              </w:rPr>
            </w:pPr>
            <w:r>
              <w:rPr>
                <w:rFonts w:cs="MyriadPro-Regular"/>
                <w:color w:val="1D1D1B"/>
                <w:szCs w:val="20"/>
                <w:lang w:val="en-US"/>
              </w:rPr>
              <w:t>1.A.4.b Residential combustion/gaseous fuels/CO</w:t>
            </w:r>
            <w:r w:rsidRPr="008977F1">
              <w:rPr>
                <w:rFonts w:cs="MyriadPro-Regular"/>
                <w:color w:val="1D1D1B"/>
                <w:szCs w:val="20"/>
                <w:vertAlign w:val="subscript"/>
                <w:lang w:val="en-US"/>
              </w:rPr>
              <w:t>2</w:t>
            </w:r>
          </w:p>
        </w:tc>
        <w:tc>
          <w:tcPr>
            <w:tcW w:w="2268" w:type="dxa"/>
          </w:tcPr>
          <w:p w14:paraId="1E2470F4" w14:textId="4A4E6A9A" w:rsidR="00AF0D84" w:rsidRDefault="00B4553C">
            <w:pPr>
              <w:autoSpaceDE w:val="0"/>
              <w:autoSpaceDN w:val="0"/>
              <w:adjustRightInd w:val="0"/>
              <w:jc w:val="center"/>
              <w:rPr>
                <w:rFonts w:cs="MyriadPro-Regular"/>
                <w:color w:val="1D1D1B"/>
                <w:szCs w:val="20"/>
                <w:lang w:val="en-US"/>
              </w:rPr>
            </w:pPr>
            <w:r>
              <w:rPr>
                <w:rFonts w:cs="MyriadPro-Regular"/>
                <w:color w:val="1D1D1B"/>
                <w:szCs w:val="20"/>
                <w:lang w:val="en-US"/>
              </w:rPr>
              <w:t>12</w:t>
            </w:r>
            <w:r w:rsidR="00AF0D84">
              <w:rPr>
                <w:rFonts w:cs="MyriadPro-Regular"/>
                <w:color w:val="1D1D1B"/>
                <w:szCs w:val="20"/>
                <w:lang w:val="en-US"/>
              </w:rPr>
              <w:t xml:space="preserve"> (1.</w:t>
            </w:r>
            <w:r>
              <w:rPr>
                <w:rFonts w:cs="MyriadPro-Regular"/>
                <w:color w:val="1D1D1B"/>
                <w:szCs w:val="20"/>
                <w:lang w:val="en-US"/>
              </w:rPr>
              <w:t>1</w:t>
            </w:r>
            <w:r w:rsidR="00AF0D84">
              <w:rPr>
                <w:rFonts w:cs="MyriadPro-Regular"/>
                <w:color w:val="1D1D1B"/>
                <w:szCs w:val="20"/>
                <w:lang w:val="en-US"/>
              </w:rPr>
              <w:t>%)</w:t>
            </w:r>
          </w:p>
        </w:tc>
        <w:tc>
          <w:tcPr>
            <w:tcW w:w="2404" w:type="dxa"/>
          </w:tcPr>
          <w:p w14:paraId="770E002D" w14:textId="54771C82" w:rsidR="00AF0D84" w:rsidRDefault="00F86E10">
            <w:pPr>
              <w:autoSpaceDE w:val="0"/>
              <w:autoSpaceDN w:val="0"/>
              <w:adjustRightInd w:val="0"/>
              <w:jc w:val="center"/>
              <w:rPr>
                <w:rFonts w:cs="MyriadPro-Regular"/>
                <w:color w:val="1D1D1B"/>
                <w:szCs w:val="20"/>
                <w:lang w:val="en-US"/>
              </w:rPr>
            </w:pPr>
            <w:r>
              <w:rPr>
                <w:rFonts w:cs="MyriadPro-Regular"/>
                <w:color w:val="1D1D1B"/>
                <w:szCs w:val="20"/>
                <w:lang w:val="en-US"/>
              </w:rPr>
              <w:t>7</w:t>
            </w:r>
            <w:r w:rsidR="00AF0D84">
              <w:rPr>
                <w:rFonts w:cs="MyriadPro-Regular"/>
                <w:color w:val="1D1D1B"/>
                <w:szCs w:val="20"/>
                <w:lang w:val="en-US"/>
              </w:rPr>
              <w:t xml:space="preserve"> (</w:t>
            </w:r>
            <w:r>
              <w:rPr>
                <w:rFonts w:cs="MyriadPro-Regular"/>
                <w:color w:val="1D1D1B"/>
                <w:szCs w:val="20"/>
                <w:lang w:val="en-US"/>
              </w:rPr>
              <w:t>3.9</w:t>
            </w:r>
            <w:r w:rsidR="00AF0D84">
              <w:rPr>
                <w:rFonts w:cs="MyriadPro-Regular"/>
                <w:color w:val="1D1D1B"/>
                <w:szCs w:val="20"/>
                <w:lang w:val="en-US"/>
              </w:rPr>
              <w:t>%)</w:t>
            </w:r>
          </w:p>
        </w:tc>
      </w:tr>
      <w:tr w:rsidR="00AF0D84" w14:paraId="58D3CACF" w14:textId="77777777" w:rsidTr="00622F40">
        <w:tc>
          <w:tcPr>
            <w:tcW w:w="4390" w:type="dxa"/>
          </w:tcPr>
          <w:p w14:paraId="2FADF6E7" w14:textId="7EEE2D21" w:rsidR="00AF0D84" w:rsidRDefault="00B4553C">
            <w:pPr>
              <w:autoSpaceDE w:val="0"/>
              <w:autoSpaceDN w:val="0"/>
              <w:adjustRightInd w:val="0"/>
              <w:rPr>
                <w:rFonts w:cs="MyriadPro-Regular"/>
                <w:color w:val="1D1D1B"/>
                <w:szCs w:val="20"/>
                <w:lang w:val="en-US"/>
              </w:rPr>
            </w:pPr>
            <w:r>
              <w:rPr>
                <w:rFonts w:cs="MyriadPro-Regular"/>
                <w:color w:val="1D1D1B"/>
                <w:szCs w:val="20"/>
                <w:lang w:val="en-US"/>
              </w:rPr>
              <w:t>1.A.4.b Residential combustion/solid fuels/CO</w:t>
            </w:r>
            <w:r w:rsidRPr="008977F1">
              <w:rPr>
                <w:rFonts w:cs="MyriadPro-Regular"/>
                <w:color w:val="1D1D1B"/>
                <w:szCs w:val="20"/>
                <w:vertAlign w:val="subscript"/>
                <w:lang w:val="en-US"/>
              </w:rPr>
              <w:t>2</w:t>
            </w:r>
          </w:p>
        </w:tc>
        <w:tc>
          <w:tcPr>
            <w:tcW w:w="2268" w:type="dxa"/>
          </w:tcPr>
          <w:p w14:paraId="3FE5C0C7" w14:textId="55BAF1A6" w:rsidR="00AF0D84" w:rsidRDefault="00AF0D84">
            <w:pPr>
              <w:autoSpaceDE w:val="0"/>
              <w:autoSpaceDN w:val="0"/>
              <w:adjustRightInd w:val="0"/>
              <w:jc w:val="center"/>
              <w:rPr>
                <w:rFonts w:cs="MyriadPro-Regular"/>
                <w:color w:val="1D1D1B"/>
                <w:szCs w:val="20"/>
                <w:lang w:val="en-US"/>
              </w:rPr>
            </w:pPr>
            <w:r>
              <w:rPr>
                <w:rFonts w:cs="MyriadPro-Regular"/>
                <w:color w:val="1D1D1B"/>
                <w:szCs w:val="20"/>
                <w:lang w:val="en-US"/>
              </w:rPr>
              <w:t>1</w:t>
            </w:r>
            <w:r w:rsidR="00B4553C">
              <w:rPr>
                <w:rFonts w:cs="MyriadPro-Regular"/>
                <w:color w:val="1D1D1B"/>
                <w:szCs w:val="20"/>
                <w:lang w:val="en-US"/>
              </w:rPr>
              <w:t>7</w:t>
            </w:r>
            <w:r>
              <w:rPr>
                <w:rFonts w:cs="MyriadPro-Regular"/>
                <w:color w:val="1D1D1B"/>
                <w:szCs w:val="20"/>
                <w:lang w:val="en-US"/>
              </w:rPr>
              <w:t xml:space="preserve"> (</w:t>
            </w:r>
            <w:r w:rsidR="00B4553C">
              <w:rPr>
                <w:rFonts w:cs="MyriadPro-Regular"/>
                <w:color w:val="1D1D1B"/>
                <w:szCs w:val="20"/>
                <w:lang w:val="en-US"/>
              </w:rPr>
              <w:t>0.9</w:t>
            </w:r>
            <w:r>
              <w:rPr>
                <w:rFonts w:cs="MyriadPro-Regular"/>
                <w:color w:val="1D1D1B"/>
                <w:szCs w:val="20"/>
                <w:lang w:val="en-US"/>
              </w:rPr>
              <w:t>%)</w:t>
            </w:r>
          </w:p>
        </w:tc>
        <w:tc>
          <w:tcPr>
            <w:tcW w:w="2404" w:type="dxa"/>
          </w:tcPr>
          <w:p w14:paraId="6C21695B" w14:textId="56AC2912" w:rsidR="00AF0D84" w:rsidRDefault="00F86E10">
            <w:pPr>
              <w:autoSpaceDE w:val="0"/>
              <w:autoSpaceDN w:val="0"/>
              <w:adjustRightInd w:val="0"/>
              <w:jc w:val="center"/>
              <w:rPr>
                <w:rFonts w:cs="MyriadPro-Regular"/>
                <w:color w:val="1D1D1B"/>
                <w:szCs w:val="20"/>
                <w:lang w:val="en-US"/>
              </w:rPr>
            </w:pPr>
            <w:r>
              <w:rPr>
                <w:rFonts w:cs="MyriadPro-Regular"/>
                <w:color w:val="1D1D1B"/>
                <w:szCs w:val="20"/>
                <w:lang w:val="en-US"/>
              </w:rPr>
              <w:t>5</w:t>
            </w:r>
            <w:r w:rsidR="00AF0D84">
              <w:rPr>
                <w:rFonts w:cs="MyriadPro-Regular"/>
                <w:color w:val="1D1D1B"/>
                <w:szCs w:val="20"/>
                <w:lang w:val="en-US"/>
              </w:rPr>
              <w:t xml:space="preserve"> (</w:t>
            </w:r>
            <w:r>
              <w:rPr>
                <w:rFonts w:cs="MyriadPro-Regular"/>
                <w:color w:val="1D1D1B"/>
                <w:szCs w:val="20"/>
                <w:lang w:val="en-US"/>
              </w:rPr>
              <w:t>4.6</w:t>
            </w:r>
            <w:r w:rsidR="00AF0D84">
              <w:rPr>
                <w:rFonts w:cs="MyriadPro-Regular"/>
                <w:color w:val="1D1D1B"/>
                <w:szCs w:val="20"/>
                <w:lang w:val="en-US"/>
              </w:rPr>
              <w:t>%)</w:t>
            </w:r>
          </w:p>
        </w:tc>
      </w:tr>
      <w:tr w:rsidR="00AF0D84" w14:paraId="3156AD26" w14:textId="77777777" w:rsidTr="00622F40">
        <w:tc>
          <w:tcPr>
            <w:tcW w:w="4390" w:type="dxa"/>
          </w:tcPr>
          <w:p w14:paraId="50183FB0" w14:textId="380B965C" w:rsidR="00AF0D84" w:rsidRDefault="00B4553C">
            <w:pPr>
              <w:autoSpaceDE w:val="0"/>
              <w:autoSpaceDN w:val="0"/>
              <w:adjustRightInd w:val="0"/>
              <w:rPr>
                <w:rFonts w:cs="MyriadPro-Regular"/>
                <w:color w:val="1D1D1B"/>
                <w:szCs w:val="20"/>
                <w:lang w:val="en-US"/>
              </w:rPr>
            </w:pPr>
            <w:r>
              <w:rPr>
                <w:rFonts w:cs="MyriadPro-Regular"/>
                <w:color w:val="1D1D1B"/>
                <w:szCs w:val="20"/>
                <w:lang w:val="en-US"/>
              </w:rPr>
              <w:t>1.A.4.b Residential combustion/biomass/CH</w:t>
            </w:r>
            <w:r>
              <w:rPr>
                <w:rFonts w:cs="MyriadPro-Regular"/>
                <w:color w:val="1D1D1B"/>
                <w:szCs w:val="20"/>
                <w:vertAlign w:val="subscript"/>
                <w:lang w:val="en-US"/>
              </w:rPr>
              <w:t>4</w:t>
            </w:r>
          </w:p>
        </w:tc>
        <w:tc>
          <w:tcPr>
            <w:tcW w:w="2268" w:type="dxa"/>
          </w:tcPr>
          <w:p w14:paraId="4D5030A2" w14:textId="770441EA" w:rsidR="00AF0D84" w:rsidRDefault="00B4553C">
            <w:pPr>
              <w:autoSpaceDE w:val="0"/>
              <w:autoSpaceDN w:val="0"/>
              <w:adjustRightInd w:val="0"/>
              <w:jc w:val="center"/>
              <w:rPr>
                <w:rFonts w:cs="MyriadPro-Regular"/>
                <w:color w:val="1D1D1B"/>
                <w:szCs w:val="20"/>
                <w:lang w:val="en-US"/>
              </w:rPr>
            </w:pPr>
            <w:r>
              <w:rPr>
                <w:rFonts w:cs="MyriadPro-Regular"/>
                <w:color w:val="1D1D1B"/>
                <w:szCs w:val="20"/>
                <w:lang w:val="en-US"/>
              </w:rPr>
              <w:t>18</w:t>
            </w:r>
            <w:r w:rsidR="00AF0D84">
              <w:rPr>
                <w:rFonts w:cs="MyriadPro-Regular"/>
                <w:color w:val="1D1D1B"/>
                <w:szCs w:val="20"/>
                <w:lang w:val="en-US"/>
              </w:rPr>
              <w:t xml:space="preserve"> (0.</w:t>
            </w:r>
            <w:r>
              <w:rPr>
                <w:rFonts w:cs="MyriadPro-Regular"/>
                <w:color w:val="1D1D1B"/>
                <w:szCs w:val="20"/>
                <w:lang w:val="en-US"/>
              </w:rPr>
              <w:t>8</w:t>
            </w:r>
            <w:r w:rsidR="00AF0D84">
              <w:rPr>
                <w:rFonts w:cs="MyriadPro-Regular"/>
                <w:color w:val="1D1D1B"/>
                <w:szCs w:val="20"/>
                <w:lang w:val="en-US"/>
              </w:rPr>
              <w:t>%)</w:t>
            </w:r>
          </w:p>
        </w:tc>
        <w:tc>
          <w:tcPr>
            <w:tcW w:w="2404" w:type="dxa"/>
          </w:tcPr>
          <w:p w14:paraId="18668DB2" w14:textId="328FBE37" w:rsidR="00AF0D84" w:rsidRDefault="00AF0D84">
            <w:pPr>
              <w:autoSpaceDE w:val="0"/>
              <w:autoSpaceDN w:val="0"/>
              <w:adjustRightInd w:val="0"/>
              <w:jc w:val="center"/>
              <w:rPr>
                <w:rFonts w:cs="MyriadPro-Regular"/>
                <w:color w:val="1D1D1B"/>
                <w:szCs w:val="20"/>
                <w:lang w:val="en-US"/>
              </w:rPr>
            </w:pPr>
            <w:r>
              <w:rPr>
                <w:rFonts w:cs="MyriadPro-Regular"/>
                <w:color w:val="1D1D1B"/>
                <w:szCs w:val="20"/>
                <w:lang w:val="en-US"/>
              </w:rPr>
              <w:t>3</w:t>
            </w:r>
            <w:r w:rsidR="00F86E10">
              <w:rPr>
                <w:rFonts w:cs="MyriadPro-Regular"/>
                <w:color w:val="1D1D1B"/>
                <w:szCs w:val="20"/>
                <w:lang w:val="en-US"/>
              </w:rPr>
              <w:t>4</w:t>
            </w:r>
            <w:r>
              <w:rPr>
                <w:rFonts w:cs="MyriadPro-Regular"/>
                <w:color w:val="1D1D1B"/>
                <w:szCs w:val="20"/>
                <w:lang w:val="en-US"/>
              </w:rPr>
              <w:t xml:space="preserve"> (0.7%)</w:t>
            </w:r>
          </w:p>
        </w:tc>
      </w:tr>
      <w:tr w:rsidR="00AF0D84" w14:paraId="3FE570AF" w14:textId="77777777" w:rsidTr="00622F40">
        <w:tc>
          <w:tcPr>
            <w:tcW w:w="4390" w:type="dxa"/>
          </w:tcPr>
          <w:p w14:paraId="653D4938" w14:textId="76515718" w:rsidR="00AF0D84" w:rsidRDefault="00B4553C">
            <w:pPr>
              <w:autoSpaceDE w:val="0"/>
              <w:autoSpaceDN w:val="0"/>
              <w:adjustRightInd w:val="0"/>
              <w:rPr>
                <w:rFonts w:cs="MyriadPro-Regular"/>
                <w:color w:val="1D1D1B"/>
                <w:szCs w:val="20"/>
                <w:lang w:val="en-US"/>
              </w:rPr>
            </w:pPr>
            <w:r>
              <w:rPr>
                <w:rFonts w:cs="MyriadPro-Regular"/>
                <w:color w:val="1D1D1B"/>
                <w:szCs w:val="20"/>
                <w:lang w:val="en-US"/>
              </w:rPr>
              <w:t>1.A.4.b Residential combustion/liquid fuels/CO</w:t>
            </w:r>
            <w:r w:rsidRPr="008977F1">
              <w:rPr>
                <w:rFonts w:cs="MyriadPro-Regular"/>
                <w:color w:val="1D1D1B"/>
                <w:szCs w:val="20"/>
                <w:vertAlign w:val="subscript"/>
                <w:lang w:val="en-US"/>
              </w:rPr>
              <w:t>2</w:t>
            </w:r>
          </w:p>
        </w:tc>
        <w:tc>
          <w:tcPr>
            <w:tcW w:w="2268" w:type="dxa"/>
          </w:tcPr>
          <w:p w14:paraId="7B2ECEF1" w14:textId="58A8640F" w:rsidR="00AF0D84" w:rsidRDefault="00AF0D84">
            <w:pPr>
              <w:autoSpaceDE w:val="0"/>
              <w:autoSpaceDN w:val="0"/>
              <w:adjustRightInd w:val="0"/>
              <w:jc w:val="center"/>
              <w:rPr>
                <w:rFonts w:cs="MyriadPro-Regular"/>
                <w:color w:val="1D1D1B"/>
                <w:szCs w:val="20"/>
                <w:lang w:val="en-US"/>
              </w:rPr>
            </w:pPr>
          </w:p>
        </w:tc>
        <w:tc>
          <w:tcPr>
            <w:tcW w:w="2404" w:type="dxa"/>
          </w:tcPr>
          <w:p w14:paraId="4DC5FF71" w14:textId="410DD8D2" w:rsidR="00AF0D84" w:rsidRDefault="00F86E10">
            <w:pPr>
              <w:autoSpaceDE w:val="0"/>
              <w:autoSpaceDN w:val="0"/>
              <w:adjustRightInd w:val="0"/>
              <w:jc w:val="center"/>
              <w:rPr>
                <w:rFonts w:cs="MyriadPro-Regular"/>
                <w:color w:val="1D1D1B"/>
                <w:szCs w:val="20"/>
                <w:lang w:val="en-US"/>
              </w:rPr>
            </w:pPr>
            <w:r>
              <w:rPr>
                <w:rFonts w:cs="MyriadPro-Regular"/>
                <w:color w:val="1D1D1B"/>
                <w:szCs w:val="20"/>
                <w:lang w:val="en-US"/>
              </w:rPr>
              <w:t>49 (0.3%)</w:t>
            </w:r>
          </w:p>
        </w:tc>
      </w:tr>
    </w:tbl>
    <w:p w14:paraId="46190CF1" w14:textId="77777777" w:rsidR="00AF0D84" w:rsidRDefault="00AF0D84" w:rsidP="0066044E">
      <w:pPr>
        <w:pStyle w:val="BodyText"/>
        <w:rPr>
          <w:lang w:val="en-US" w:eastAsia="fr-FR"/>
        </w:rPr>
      </w:pPr>
    </w:p>
    <w:p w14:paraId="3480D649" w14:textId="2D185162" w:rsidR="0066044E" w:rsidRPr="002462F0" w:rsidRDefault="00F86E10" w:rsidP="00133CCE">
      <w:pPr>
        <w:autoSpaceDE w:val="0"/>
        <w:autoSpaceDN w:val="0"/>
        <w:adjustRightInd w:val="0"/>
        <w:spacing w:after="0" w:line="240" w:lineRule="auto"/>
        <w:jc w:val="left"/>
        <w:rPr>
          <w:sz w:val="24"/>
          <w:szCs w:val="24"/>
          <w:lang w:val="en-US" w:eastAsia="fr-FR"/>
        </w:rPr>
      </w:pPr>
      <w:r>
        <w:rPr>
          <w:noProof/>
          <w:sz w:val="24"/>
          <w:szCs w:val="24"/>
          <w:lang w:val="en-US"/>
        </w:rPr>
        <w:drawing>
          <wp:inline distT="0" distB="0" distL="0" distR="0" wp14:anchorId="7BD76836" wp14:editId="00DA3BDF">
            <wp:extent cx="5764192" cy="1847799"/>
            <wp:effectExtent l="0" t="0" r="0" b="635"/>
            <wp:docPr id="1695577434"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00608" cy="1859473"/>
                    </a:xfrm>
                    <a:prstGeom prst="rect">
                      <a:avLst/>
                    </a:prstGeom>
                    <a:noFill/>
                  </pic:spPr>
                </pic:pic>
              </a:graphicData>
            </a:graphic>
          </wp:inline>
        </w:drawing>
      </w:r>
    </w:p>
    <w:p w14:paraId="23240BD6" w14:textId="77777777" w:rsidR="00133CCE" w:rsidRPr="002462F0" w:rsidRDefault="00133CCE" w:rsidP="00133CCE">
      <w:pPr>
        <w:pStyle w:val="Caption"/>
        <w:keepNext/>
        <w:spacing w:before="0" w:after="0"/>
        <w:jc w:val="left"/>
      </w:pPr>
      <w:bookmarkStart w:id="270" w:name="_Toc184808409"/>
      <w:r w:rsidRPr="00622F40">
        <w:t xml:space="preserve">Figure </w:t>
      </w:r>
      <w:r w:rsidRPr="00622F40">
        <w:fldChar w:fldCharType="begin"/>
      </w:r>
      <w:r w:rsidRPr="00622F40">
        <w:instrText xml:space="preserve"> SEQ Figure \* ARABIC </w:instrText>
      </w:r>
      <w:r w:rsidRPr="00622F40">
        <w:fldChar w:fldCharType="separate"/>
      </w:r>
      <w:r>
        <w:rPr>
          <w:noProof/>
        </w:rPr>
        <w:t>22</w:t>
      </w:r>
      <w:r w:rsidRPr="00622F40">
        <w:fldChar w:fldCharType="end"/>
      </w:r>
      <w:r w:rsidRPr="00622F40">
        <w:rPr>
          <w:noProof/>
        </w:rPr>
        <w:t xml:space="preserve"> : GHG emissions for residential (CRT 1A4b) activities, for the period 1990-2022 (in kt CO</w:t>
      </w:r>
      <w:r w:rsidRPr="00622F40">
        <w:rPr>
          <w:noProof/>
          <w:vertAlign w:val="subscript"/>
        </w:rPr>
        <w:t>2</w:t>
      </w:r>
      <w:r w:rsidRPr="00622F40">
        <w:rPr>
          <w:noProof/>
        </w:rPr>
        <w:t>e)</w:t>
      </w:r>
      <w:bookmarkEnd w:id="270"/>
    </w:p>
    <w:p w14:paraId="4DA97208" w14:textId="77777777" w:rsidR="0066044E" w:rsidRPr="002462F0" w:rsidRDefault="0066044E" w:rsidP="0066044E">
      <w:pPr>
        <w:autoSpaceDE w:val="0"/>
        <w:autoSpaceDN w:val="0"/>
        <w:adjustRightInd w:val="0"/>
        <w:spacing w:after="0" w:line="240" w:lineRule="auto"/>
        <w:jc w:val="left"/>
        <w:rPr>
          <w:sz w:val="24"/>
          <w:szCs w:val="24"/>
          <w:lang w:val="en-US" w:eastAsia="fr-FR"/>
        </w:rPr>
      </w:pPr>
    </w:p>
    <w:p w14:paraId="788869A1" w14:textId="089AA08C" w:rsidR="007D45BE" w:rsidRDefault="00133CCE" w:rsidP="007D45BE">
      <w:pPr>
        <w:autoSpaceDE w:val="0"/>
        <w:autoSpaceDN w:val="0"/>
        <w:adjustRightInd w:val="0"/>
        <w:spacing w:after="0" w:line="240" w:lineRule="auto"/>
        <w:rPr>
          <w:rFonts w:cs="MyriadPro-Regular"/>
          <w:color w:val="FF0000"/>
          <w:szCs w:val="20"/>
        </w:rPr>
      </w:pPr>
      <w:r>
        <w:t>The activity data is sourced directly from the national energy balance. The energy mix for this subsector includes sub-bituminous coal, lignite, brown coal briquettes, natural gas, biomass, LPG, and diesel oil. Over the entire study period, fuel consumption in this subsector decreased by 30%. However, it remained relatively stable between 1992 and 2019 before experiencing a significant increase in recent years, with consumption rising by 42% from 2019 to 2022. This growth is primarily driven by a substantial increase in biomass consumption (+64%) which was not recalculated for the period 1990-2019 and, to a lesser extent, by an increase in natural gas consumption (+48%).</w:t>
      </w:r>
      <w:r w:rsidR="007D45BE">
        <w:rPr>
          <w:lang w:val="en-US" w:eastAsia="fr-FR"/>
        </w:rPr>
        <w:t xml:space="preserve"> </w:t>
      </w:r>
    </w:p>
    <w:p w14:paraId="1464ED56" w14:textId="77777777" w:rsidR="00B34756" w:rsidRDefault="00B34756" w:rsidP="007D45BE">
      <w:pPr>
        <w:autoSpaceDE w:val="0"/>
        <w:autoSpaceDN w:val="0"/>
        <w:adjustRightInd w:val="0"/>
        <w:spacing w:after="0" w:line="240" w:lineRule="auto"/>
        <w:rPr>
          <w:rFonts w:cs="MyriadPro-Regular"/>
          <w:color w:val="FF0000"/>
          <w:szCs w:val="20"/>
        </w:rPr>
      </w:pPr>
    </w:p>
    <w:p w14:paraId="64BAA47F" w14:textId="014169B5" w:rsidR="00B34756" w:rsidRPr="00B903EB" w:rsidRDefault="00B34756" w:rsidP="007D45BE">
      <w:pPr>
        <w:autoSpaceDE w:val="0"/>
        <w:autoSpaceDN w:val="0"/>
        <w:adjustRightInd w:val="0"/>
        <w:spacing w:after="0" w:line="240" w:lineRule="auto"/>
        <w:rPr>
          <w:rFonts w:cs="MyriadPro-Regular"/>
          <w:szCs w:val="20"/>
        </w:rPr>
      </w:pPr>
      <w:r w:rsidRPr="00B903EB">
        <w:rPr>
          <w:rFonts w:cs="MyriadPro-Regular"/>
          <w:szCs w:val="20"/>
        </w:rPr>
        <w:t>In terms of GHG emissions,</w:t>
      </w:r>
      <w:r w:rsidR="000729D2" w:rsidRPr="00B903EB">
        <w:rPr>
          <w:rFonts w:cs="MyriadPro-Regular"/>
          <w:szCs w:val="20"/>
        </w:rPr>
        <w:t xml:space="preserve"> the </w:t>
      </w:r>
      <w:r w:rsidR="006D50EC" w:rsidRPr="00B903EB">
        <w:rPr>
          <w:rFonts w:cs="MyriadPro-Regular"/>
          <w:szCs w:val="20"/>
        </w:rPr>
        <w:t xml:space="preserve">trend of evolution follows mostly the fossil fuel consumption of the subsector (depicted by the </w:t>
      </w:r>
      <w:r w:rsidR="005311AF" w:rsidRPr="00B903EB">
        <w:rPr>
          <w:rFonts w:cs="MyriadPro-Regular"/>
          <w:szCs w:val="20"/>
        </w:rPr>
        <w:t>CO</w:t>
      </w:r>
      <w:r w:rsidR="005311AF" w:rsidRPr="00B903EB">
        <w:rPr>
          <w:rFonts w:cs="MyriadPro-Regular"/>
          <w:szCs w:val="20"/>
          <w:vertAlign w:val="subscript"/>
        </w:rPr>
        <w:t>2</w:t>
      </w:r>
      <w:r w:rsidR="005311AF" w:rsidRPr="00B903EB">
        <w:rPr>
          <w:rFonts w:cs="MyriadPro-Regular"/>
          <w:szCs w:val="20"/>
        </w:rPr>
        <w:t xml:space="preserve"> emissions in blue in the above figure). Therefore, there is a decorrelation between the total fuel consumption and the GHG emissions, although methane emissions related to biomass combustion in small equipment are not negligible. This can be observed in the evolution of the GHG implied emission factor of the residential combustion which evolves from </w:t>
      </w:r>
      <w:r w:rsidR="00390C56" w:rsidRPr="00B903EB">
        <w:rPr>
          <w:rFonts w:cs="MyriadPro-Regular"/>
          <w:szCs w:val="20"/>
        </w:rPr>
        <w:t xml:space="preserve">45 kg/GJ in 1990 to 24 kg/GJ in 2022. </w:t>
      </w:r>
      <w:r w:rsidR="000A55D7" w:rsidRPr="00B903EB">
        <w:rPr>
          <w:rFonts w:cs="MyriadPro-Regular"/>
          <w:szCs w:val="20"/>
        </w:rPr>
        <w:t xml:space="preserve">The significant reduction is also the </w:t>
      </w:r>
      <w:r w:rsidR="00E5756B" w:rsidRPr="00B903EB">
        <w:rPr>
          <w:rFonts w:cs="MyriadPro-Regular"/>
          <w:szCs w:val="20"/>
        </w:rPr>
        <w:t>result from the drop in solid fuel consumption in this sector (-</w:t>
      </w:r>
      <w:r w:rsidR="00D12AAB" w:rsidRPr="00B903EB">
        <w:rPr>
          <w:rFonts w:cs="MyriadPro-Regular"/>
          <w:szCs w:val="20"/>
        </w:rPr>
        <w:t xml:space="preserve">77%) for the studied period. </w:t>
      </w:r>
    </w:p>
    <w:p w14:paraId="244945B1" w14:textId="77777777" w:rsidR="0066044E" w:rsidRDefault="0066044E" w:rsidP="0066044E">
      <w:pPr>
        <w:pStyle w:val="BodyText"/>
        <w:rPr>
          <w:lang w:val="en-US" w:eastAsia="fr-FR"/>
        </w:rPr>
      </w:pPr>
    </w:p>
    <w:p w14:paraId="2A03690D" w14:textId="3AE0FD20" w:rsidR="0066044E" w:rsidRPr="002462F0" w:rsidRDefault="0066044E" w:rsidP="0066044E">
      <w:pPr>
        <w:pStyle w:val="BodyText"/>
        <w:rPr>
          <w:lang w:val="en-US" w:eastAsia="fr-FR"/>
        </w:rPr>
      </w:pPr>
      <w:r>
        <w:rPr>
          <w:lang w:val="en-US" w:eastAsia="fr-FR"/>
        </w:rPr>
        <w:t xml:space="preserve">Fuel consumptions for </w:t>
      </w:r>
      <w:r w:rsidR="00D12AAB">
        <w:rPr>
          <w:lang w:val="en-US" w:eastAsia="fr-FR"/>
        </w:rPr>
        <w:t xml:space="preserve">both </w:t>
      </w:r>
      <w:r>
        <w:rPr>
          <w:lang w:val="en-US" w:eastAsia="fr-FR"/>
        </w:rPr>
        <w:t xml:space="preserve">mobile and stationary </w:t>
      </w:r>
      <w:r w:rsidR="00D12AAB">
        <w:rPr>
          <w:lang w:val="en-US" w:eastAsia="fr-FR"/>
        </w:rPr>
        <w:t xml:space="preserve">combustion </w:t>
      </w:r>
      <w:r>
        <w:rPr>
          <w:lang w:val="en-US" w:eastAsia="fr-FR"/>
        </w:rPr>
        <w:t xml:space="preserve">equipment are considered in this category. However, it is </w:t>
      </w:r>
      <w:r w:rsidR="00887805">
        <w:rPr>
          <w:lang w:val="en-US" w:eastAsia="fr-FR"/>
        </w:rPr>
        <w:t xml:space="preserve">currently </w:t>
      </w:r>
      <w:r>
        <w:rPr>
          <w:lang w:val="en-US" w:eastAsia="fr-FR"/>
        </w:rPr>
        <w:t xml:space="preserve">not possible to split the </w:t>
      </w:r>
      <w:r w:rsidR="00133CCE">
        <w:rPr>
          <w:lang w:val="en-US" w:eastAsia="fr-FR"/>
        </w:rPr>
        <w:t>consumption</w:t>
      </w:r>
      <w:r>
        <w:rPr>
          <w:lang w:val="en-US" w:eastAsia="fr-FR"/>
        </w:rPr>
        <w:t xml:space="preserve"> between the two types </w:t>
      </w:r>
      <w:r w:rsidR="00133CCE">
        <w:rPr>
          <w:lang w:val="en-US" w:eastAsia="fr-FR"/>
        </w:rPr>
        <w:t xml:space="preserve">and therefore </w:t>
      </w:r>
      <w:r>
        <w:rPr>
          <w:lang w:val="en-US" w:eastAsia="fr-FR"/>
        </w:rPr>
        <w:t>all</w:t>
      </w:r>
      <w:r w:rsidR="00133CCE">
        <w:rPr>
          <w:lang w:val="en-US" w:eastAsia="fr-FR"/>
        </w:rPr>
        <w:t xml:space="preserve"> the</w:t>
      </w:r>
      <w:r>
        <w:rPr>
          <w:lang w:val="en-US" w:eastAsia="fr-FR"/>
        </w:rPr>
        <w:t xml:space="preserve"> consumptions are considered in stationary equipment.</w:t>
      </w:r>
    </w:p>
    <w:p w14:paraId="5FE1D1B7" w14:textId="645B792F" w:rsidR="00887805" w:rsidRPr="002462F0" w:rsidRDefault="00F450D8" w:rsidP="00887805">
      <w:pPr>
        <w:pStyle w:val="BodyText"/>
        <w:rPr>
          <w:lang w:val="en-US" w:eastAsia="fr-FR"/>
        </w:rPr>
      </w:pPr>
      <w:r>
        <w:rPr>
          <w:lang w:val="en-US" w:eastAsia="fr-FR"/>
        </w:rPr>
        <w:lastRenderedPageBreak/>
        <w:t>In 20</w:t>
      </w:r>
      <w:r w:rsidR="00D12AAB">
        <w:rPr>
          <w:lang w:val="en-US" w:eastAsia="fr-FR"/>
        </w:rPr>
        <w:t>22</w:t>
      </w:r>
      <w:r w:rsidR="00887805">
        <w:rPr>
          <w:lang w:val="en-US" w:eastAsia="fr-FR"/>
        </w:rPr>
        <w:t xml:space="preserve">, </w:t>
      </w:r>
      <w:r w:rsidR="00D12AAB">
        <w:rPr>
          <w:lang w:val="en-US" w:eastAsia="fr-FR"/>
        </w:rPr>
        <w:t>the energy mix of the subsector is</w:t>
      </w:r>
      <w:r w:rsidR="00EA45AC">
        <w:rPr>
          <w:lang w:val="en-US" w:eastAsia="fr-FR"/>
        </w:rPr>
        <w:t xml:space="preserve"> as follows:</w:t>
      </w:r>
      <w:r w:rsidR="00887805">
        <w:rPr>
          <w:lang w:val="en-US" w:eastAsia="fr-FR"/>
        </w:rPr>
        <w:t xml:space="preserve"> solid biomass (</w:t>
      </w:r>
      <w:r w:rsidR="009300B2" w:rsidRPr="00622F40">
        <w:rPr>
          <w:lang w:val="en-US" w:eastAsia="fr-FR"/>
        </w:rPr>
        <w:t>75</w:t>
      </w:r>
      <w:r w:rsidR="00887805">
        <w:rPr>
          <w:lang w:val="en-US" w:eastAsia="fr-FR"/>
        </w:rPr>
        <w:t>%), natural gas (</w:t>
      </w:r>
      <w:r w:rsidR="009300B2">
        <w:rPr>
          <w:lang w:val="en-US" w:eastAsia="fr-FR"/>
        </w:rPr>
        <w:t>16</w:t>
      </w:r>
      <w:r w:rsidR="00887805">
        <w:rPr>
          <w:lang w:val="en-US" w:eastAsia="fr-FR"/>
        </w:rPr>
        <w:t>%)</w:t>
      </w:r>
      <w:r w:rsidR="009300B2">
        <w:rPr>
          <w:lang w:val="en-US" w:eastAsia="fr-FR"/>
        </w:rPr>
        <w:t>,</w:t>
      </w:r>
      <w:r w:rsidR="00133CCE">
        <w:rPr>
          <w:lang w:val="en-US" w:eastAsia="fr-FR"/>
        </w:rPr>
        <w:t xml:space="preserve"> </w:t>
      </w:r>
      <w:r w:rsidR="00887805">
        <w:rPr>
          <w:lang w:val="en-US" w:eastAsia="fr-FR"/>
        </w:rPr>
        <w:t>lignite (</w:t>
      </w:r>
      <w:r w:rsidR="002768B6">
        <w:rPr>
          <w:lang w:val="en-US" w:eastAsia="fr-FR"/>
        </w:rPr>
        <w:t>4</w:t>
      </w:r>
      <w:r w:rsidR="00887805">
        <w:rPr>
          <w:lang w:val="en-US" w:eastAsia="fr-FR"/>
        </w:rPr>
        <w:t>%)</w:t>
      </w:r>
      <w:r w:rsidR="002768B6">
        <w:rPr>
          <w:lang w:val="en-US" w:eastAsia="fr-FR"/>
        </w:rPr>
        <w:t>, brown coal briquettes (3%) and LPG (2%)</w:t>
      </w:r>
      <w:r w:rsidR="00887805">
        <w:rPr>
          <w:lang w:val="en-US" w:eastAsia="fr-FR"/>
        </w:rPr>
        <w:t>.</w:t>
      </w:r>
    </w:p>
    <w:p w14:paraId="753749F2" w14:textId="77777777" w:rsidR="00C96C7C" w:rsidRDefault="00C96C7C" w:rsidP="00C96C7C">
      <w:pPr>
        <w:pStyle w:val="Heading5"/>
        <w:rPr>
          <w:rStyle w:val="Heading2Char"/>
          <w:b/>
          <w:color w:val="808080" w:themeColor="background1" w:themeShade="80"/>
          <w:sz w:val="20"/>
          <w:szCs w:val="22"/>
          <w:lang w:val="en-GB"/>
        </w:rPr>
      </w:pPr>
      <w:bookmarkStart w:id="271" w:name="_Toc182327769"/>
      <w:bookmarkStart w:id="272" w:name="_Toc184808187"/>
      <w:r w:rsidRPr="002462F0">
        <w:rPr>
          <w:rStyle w:val="Heading2Char"/>
          <w:b/>
          <w:color w:val="808080" w:themeColor="background1" w:themeShade="80"/>
          <w:sz w:val="20"/>
          <w:szCs w:val="22"/>
          <w:lang w:val="en-GB"/>
        </w:rPr>
        <w:t>Methodological issues</w:t>
      </w:r>
      <w:bookmarkEnd w:id="271"/>
      <w:bookmarkEnd w:id="272"/>
    </w:p>
    <w:p w14:paraId="651CBB67" w14:textId="13291A3C" w:rsidR="007D45BE" w:rsidRPr="002462F0" w:rsidRDefault="007D45BE" w:rsidP="007D45BE">
      <w:pPr>
        <w:pStyle w:val="BodyText"/>
        <w:rPr>
          <w:lang w:val="en-US" w:eastAsia="fr-FR"/>
        </w:rPr>
      </w:pPr>
      <w:r w:rsidRPr="002462F0">
        <w:rPr>
          <w:lang w:val="en-US" w:eastAsia="fr-FR"/>
        </w:rPr>
        <w:t>Emissions of GHG from fuels are calculated on the basis of the fuel consumption using Tier 1 (top-down) approach</w:t>
      </w:r>
      <w:r w:rsidR="005C496E">
        <w:rPr>
          <w:lang w:val="en-US" w:eastAsia="fr-FR"/>
        </w:rPr>
        <w:t>,</w:t>
      </w:r>
      <w:r w:rsidRPr="002462F0">
        <w:rPr>
          <w:lang w:val="en-US" w:eastAsia="fr-FR"/>
        </w:rPr>
        <w:t xml:space="preserve"> which is in line with the 2006 IPCC Guidelines </w:t>
      </w:r>
      <w:r w:rsidR="00826E82">
        <w:rPr>
          <w:lang w:val="en-US" w:eastAsia="fr-FR"/>
        </w:rPr>
        <w:fldChar w:fldCharType="begin"/>
      </w:r>
      <w:r w:rsidR="00826E82">
        <w:rPr>
          <w:lang w:val="en-US" w:eastAsia="fr-FR"/>
        </w:rPr>
        <w:instrText xml:space="preserve"> REF _Ref496787868 \r \h </w:instrText>
      </w:r>
      <w:r w:rsidR="00826E82">
        <w:rPr>
          <w:lang w:val="en-US" w:eastAsia="fr-FR"/>
        </w:rPr>
      </w:r>
      <w:r w:rsidR="00826E82">
        <w:rPr>
          <w:lang w:val="en-US" w:eastAsia="fr-FR"/>
        </w:rPr>
        <w:fldChar w:fldCharType="separate"/>
      </w:r>
      <w:r w:rsidR="00F14C78">
        <w:rPr>
          <w:lang w:val="en-US" w:eastAsia="fr-FR"/>
        </w:rPr>
        <w:t>[E10]</w:t>
      </w:r>
      <w:r w:rsidR="00826E82">
        <w:rPr>
          <w:lang w:val="en-US" w:eastAsia="fr-FR"/>
        </w:rPr>
        <w:fldChar w:fldCharType="end"/>
      </w:r>
      <w:r w:rsidRPr="002462F0">
        <w:rPr>
          <w:lang w:val="en-US" w:eastAsia="fr-FR"/>
        </w:rPr>
        <w:t xml:space="preserve">. </w:t>
      </w:r>
    </w:p>
    <w:p w14:paraId="1A4E4D3D" w14:textId="2CB38C94" w:rsidR="007D45BE" w:rsidRPr="002462F0" w:rsidRDefault="007D45BE" w:rsidP="007D45BE">
      <w:pPr>
        <w:pStyle w:val="BodyText"/>
        <w:rPr>
          <w:lang w:val="en-US" w:eastAsia="fr-FR"/>
        </w:rPr>
      </w:pPr>
      <w:r w:rsidRPr="002462F0">
        <w:rPr>
          <w:lang w:val="en-US" w:eastAsia="fr-FR"/>
        </w:rPr>
        <w:t xml:space="preserve">Activity data used </w:t>
      </w:r>
      <w:r w:rsidR="005C496E">
        <w:rPr>
          <w:lang w:val="en-US" w:eastAsia="fr-FR"/>
        </w:rPr>
        <w:t>are</w:t>
      </w:r>
      <w:r w:rsidR="005C496E" w:rsidRPr="002462F0">
        <w:rPr>
          <w:lang w:val="en-US" w:eastAsia="fr-FR"/>
        </w:rPr>
        <w:t xml:space="preserve"> </w:t>
      </w:r>
      <w:r w:rsidRPr="002462F0">
        <w:rPr>
          <w:lang w:val="en-US" w:eastAsia="fr-FR"/>
        </w:rPr>
        <w:t>fuel consumption</w:t>
      </w:r>
      <w:r w:rsidR="005C496E">
        <w:rPr>
          <w:lang w:val="en-US" w:eastAsia="fr-FR"/>
        </w:rPr>
        <w:t>s</w:t>
      </w:r>
      <w:r w:rsidRPr="002462F0">
        <w:rPr>
          <w:lang w:val="en-US" w:eastAsia="fr-FR"/>
        </w:rPr>
        <w:t xml:space="preserve"> by type of fuel. Amounts of all types of fuels consumed for the whole time</w:t>
      </w:r>
      <w:r w:rsidR="005C496E">
        <w:rPr>
          <w:lang w:val="en-US" w:eastAsia="fr-FR"/>
        </w:rPr>
        <w:t>series are</w:t>
      </w:r>
      <w:r w:rsidR="005C496E" w:rsidRPr="002462F0">
        <w:rPr>
          <w:lang w:val="en-US" w:eastAsia="fr-FR"/>
        </w:rPr>
        <w:t xml:space="preserve"> </w:t>
      </w:r>
      <w:r w:rsidR="005C496E">
        <w:rPr>
          <w:lang w:val="en-US" w:eastAsia="fr-FR"/>
        </w:rPr>
        <w:t>given</w:t>
      </w:r>
      <w:r w:rsidR="005C496E" w:rsidRPr="002462F0">
        <w:rPr>
          <w:lang w:val="en-US" w:eastAsia="fr-FR"/>
        </w:rPr>
        <w:t xml:space="preserve"> </w:t>
      </w:r>
      <w:r w:rsidR="005C496E">
        <w:rPr>
          <w:lang w:val="en-US" w:eastAsia="fr-FR"/>
        </w:rPr>
        <w:t>in the</w:t>
      </w:r>
      <w:r w:rsidR="005C496E" w:rsidRPr="002462F0">
        <w:rPr>
          <w:lang w:val="en-US" w:eastAsia="fr-FR"/>
        </w:rPr>
        <w:t xml:space="preserve"> </w:t>
      </w:r>
      <w:r w:rsidRPr="002462F0">
        <w:rPr>
          <w:lang w:val="en-US" w:eastAsia="fr-FR"/>
        </w:rPr>
        <w:t xml:space="preserve">national energy balance </w:t>
      </w:r>
      <w:r w:rsidR="00826E82">
        <w:rPr>
          <w:lang w:val="en-US" w:eastAsia="fr-FR"/>
        </w:rPr>
        <w:fldChar w:fldCharType="begin"/>
      </w:r>
      <w:r w:rsidR="00826E82">
        <w:rPr>
          <w:lang w:val="en-US" w:eastAsia="fr-FR"/>
        </w:rPr>
        <w:instrText xml:space="preserve"> REF _Ref496787656 \r \h </w:instrText>
      </w:r>
      <w:r w:rsidR="00826E82">
        <w:rPr>
          <w:lang w:val="en-US" w:eastAsia="fr-FR"/>
        </w:rPr>
      </w:r>
      <w:r w:rsidR="00826E82">
        <w:rPr>
          <w:lang w:val="en-US" w:eastAsia="fr-FR"/>
        </w:rPr>
        <w:fldChar w:fldCharType="separate"/>
      </w:r>
      <w:r w:rsidR="00F14C78">
        <w:rPr>
          <w:lang w:val="en-US" w:eastAsia="fr-FR"/>
        </w:rPr>
        <w:t>[E2]</w:t>
      </w:r>
      <w:r w:rsidR="00826E82">
        <w:rPr>
          <w:lang w:val="en-US" w:eastAsia="fr-FR"/>
        </w:rPr>
        <w:fldChar w:fldCharType="end"/>
      </w:r>
      <w:r w:rsidRPr="002462F0">
        <w:rPr>
          <w:lang w:val="en-US" w:eastAsia="fr-FR"/>
        </w:rPr>
        <w:t>, as well as NCV</w:t>
      </w:r>
      <w:r w:rsidR="005C496E">
        <w:rPr>
          <w:lang w:val="en-US" w:eastAsia="fr-FR"/>
        </w:rPr>
        <w:t xml:space="preserve"> values, which are given in Chapter </w:t>
      </w:r>
      <w:r w:rsidR="005C496E">
        <w:rPr>
          <w:lang w:val="en-US" w:eastAsia="fr-FR"/>
        </w:rPr>
        <w:fldChar w:fldCharType="begin"/>
      </w:r>
      <w:r w:rsidR="005C496E">
        <w:rPr>
          <w:lang w:val="en-US" w:eastAsia="fr-FR"/>
        </w:rPr>
        <w:instrText xml:space="preserve"> REF _Ref175130250 \r \h </w:instrText>
      </w:r>
      <w:r w:rsidR="005C496E">
        <w:rPr>
          <w:lang w:val="en-US" w:eastAsia="fr-FR"/>
        </w:rPr>
      </w:r>
      <w:r w:rsidR="005C496E">
        <w:rPr>
          <w:lang w:val="en-US" w:eastAsia="fr-FR"/>
        </w:rPr>
        <w:fldChar w:fldCharType="separate"/>
      </w:r>
      <w:r w:rsidR="00F14C78">
        <w:rPr>
          <w:lang w:val="en-US" w:eastAsia="fr-FR"/>
        </w:rPr>
        <w:t>3.2.4</w:t>
      </w:r>
      <w:r w:rsidR="005C496E">
        <w:rPr>
          <w:lang w:val="en-US" w:eastAsia="fr-FR"/>
        </w:rPr>
        <w:fldChar w:fldCharType="end"/>
      </w:r>
      <w:r w:rsidRPr="002462F0">
        <w:rPr>
          <w:lang w:val="en-US" w:eastAsia="fr-FR"/>
        </w:rPr>
        <w:t>.</w:t>
      </w:r>
    </w:p>
    <w:p w14:paraId="48F5E970" w14:textId="224117C9" w:rsidR="007D45BE" w:rsidRPr="002462F0" w:rsidRDefault="007D45BE" w:rsidP="007D45BE">
      <w:pPr>
        <w:pStyle w:val="BodyText"/>
        <w:rPr>
          <w:lang w:val="en-US" w:eastAsia="fr-FR"/>
        </w:rPr>
      </w:pPr>
      <w:r w:rsidRPr="002462F0">
        <w:rPr>
          <w:lang w:val="en-US" w:eastAsia="fr-FR"/>
        </w:rPr>
        <w:t>Emissions factors used for calculating CO</w:t>
      </w:r>
      <w:r w:rsidRPr="002462F0">
        <w:rPr>
          <w:vertAlign w:val="subscript"/>
          <w:lang w:val="en-US" w:eastAsia="fr-FR"/>
        </w:rPr>
        <w:t>2</w:t>
      </w:r>
      <w:r w:rsidRPr="002462F0">
        <w:rPr>
          <w:lang w:val="en-US" w:eastAsia="fr-FR"/>
        </w:rPr>
        <w:t>, CH</w:t>
      </w:r>
      <w:r w:rsidRPr="002462F0">
        <w:rPr>
          <w:vertAlign w:val="subscript"/>
          <w:lang w:val="en-US" w:eastAsia="fr-FR"/>
        </w:rPr>
        <w:t>4</w:t>
      </w:r>
      <w:r w:rsidRPr="002462F0">
        <w:rPr>
          <w:lang w:val="en-US" w:eastAsia="fr-FR"/>
        </w:rPr>
        <w:t xml:space="preserve"> and N</w:t>
      </w:r>
      <w:r w:rsidRPr="002462F0">
        <w:rPr>
          <w:vertAlign w:val="subscript"/>
          <w:lang w:val="en-US" w:eastAsia="fr-FR"/>
        </w:rPr>
        <w:t>2</w:t>
      </w:r>
      <w:r w:rsidRPr="002462F0">
        <w:rPr>
          <w:lang w:val="en-US" w:eastAsia="fr-FR"/>
        </w:rPr>
        <w:t xml:space="preserve">O emissions from fuels </w:t>
      </w:r>
      <w:r w:rsidR="00440E68">
        <w:rPr>
          <w:lang w:val="en-US" w:eastAsia="fr-FR"/>
        </w:rPr>
        <w:t>are sourced</w:t>
      </w:r>
      <w:r w:rsidRPr="002462F0">
        <w:rPr>
          <w:lang w:val="en-US" w:eastAsia="fr-FR"/>
        </w:rPr>
        <w:t xml:space="preserve"> from 2006 IPCC guidelines </w:t>
      </w:r>
      <w:r w:rsidR="00826E82">
        <w:rPr>
          <w:lang w:val="en-US" w:eastAsia="fr-FR"/>
        </w:rPr>
        <w:fldChar w:fldCharType="begin"/>
      </w:r>
      <w:r w:rsidR="00826E82">
        <w:rPr>
          <w:lang w:val="en-US" w:eastAsia="fr-FR"/>
        </w:rPr>
        <w:instrText xml:space="preserve"> REF _Ref496787669 \r \h </w:instrText>
      </w:r>
      <w:r w:rsidR="00826E82">
        <w:rPr>
          <w:lang w:val="en-US" w:eastAsia="fr-FR"/>
        </w:rPr>
      </w:r>
      <w:r w:rsidR="00826E82">
        <w:rPr>
          <w:lang w:val="en-US" w:eastAsia="fr-FR"/>
        </w:rPr>
        <w:fldChar w:fldCharType="separate"/>
      </w:r>
      <w:r w:rsidR="00F14C78">
        <w:rPr>
          <w:lang w:val="en-US" w:eastAsia="fr-FR"/>
        </w:rPr>
        <w:t>[E3]</w:t>
      </w:r>
      <w:r w:rsidR="00826E82">
        <w:rPr>
          <w:lang w:val="en-US" w:eastAsia="fr-FR"/>
        </w:rPr>
        <w:fldChar w:fldCharType="end"/>
      </w:r>
      <w:r w:rsidRPr="002462F0">
        <w:rPr>
          <w:lang w:val="en-US" w:eastAsia="fr-FR"/>
        </w:rPr>
        <w:t>.</w:t>
      </w:r>
      <w:r w:rsidR="005C496E">
        <w:rPr>
          <w:lang w:val="en-US" w:eastAsia="fr-FR"/>
        </w:rPr>
        <w:t xml:space="preserve"> </w:t>
      </w:r>
      <w:r w:rsidR="005C496E" w:rsidRPr="002462F0">
        <w:rPr>
          <w:lang w:val="en-US" w:eastAsia="fr-FR"/>
        </w:rPr>
        <w:t>CO</w:t>
      </w:r>
      <w:r w:rsidR="005C496E" w:rsidRPr="002462F0">
        <w:rPr>
          <w:vertAlign w:val="subscript"/>
          <w:lang w:val="en-US" w:eastAsia="fr-FR"/>
        </w:rPr>
        <w:t>2</w:t>
      </w:r>
      <w:r w:rsidR="005C496E">
        <w:rPr>
          <w:vertAlign w:val="subscript"/>
          <w:lang w:val="en-US" w:eastAsia="fr-FR"/>
        </w:rPr>
        <w:t xml:space="preserve"> </w:t>
      </w:r>
      <w:r w:rsidR="005C496E">
        <w:rPr>
          <w:lang w:val="en-US" w:eastAsia="fr-FR"/>
        </w:rPr>
        <w:t xml:space="preserve">emission factors applied are given in Chapter </w:t>
      </w:r>
      <w:r w:rsidR="005C496E">
        <w:rPr>
          <w:lang w:val="en-US" w:eastAsia="fr-FR"/>
        </w:rPr>
        <w:fldChar w:fldCharType="begin"/>
      </w:r>
      <w:r w:rsidR="005C496E">
        <w:rPr>
          <w:lang w:val="en-US" w:eastAsia="fr-FR"/>
        </w:rPr>
        <w:instrText xml:space="preserve"> REF _Ref175130250 \r \h </w:instrText>
      </w:r>
      <w:r w:rsidR="005C496E">
        <w:rPr>
          <w:lang w:val="en-US" w:eastAsia="fr-FR"/>
        </w:rPr>
      </w:r>
      <w:r w:rsidR="005C496E">
        <w:rPr>
          <w:lang w:val="en-US" w:eastAsia="fr-FR"/>
        </w:rPr>
        <w:fldChar w:fldCharType="separate"/>
      </w:r>
      <w:r w:rsidR="00F14C78">
        <w:rPr>
          <w:lang w:val="en-US" w:eastAsia="fr-FR"/>
        </w:rPr>
        <w:t>3.2.4</w:t>
      </w:r>
      <w:r w:rsidR="005C496E">
        <w:rPr>
          <w:lang w:val="en-US" w:eastAsia="fr-FR"/>
        </w:rPr>
        <w:fldChar w:fldCharType="end"/>
      </w:r>
      <w:r w:rsidR="005C496E">
        <w:rPr>
          <w:lang w:val="en-US" w:eastAsia="fr-FR"/>
        </w:rPr>
        <w:t>.</w:t>
      </w:r>
    </w:p>
    <w:p w14:paraId="07859DAB" w14:textId="35309E1B" w:rsidR="00C96C7C" w:rsidRPr="002462F0" w:rsidRDefault="00C96C7C" w:rsidP="00C96C7C">
      <w:pPr>
        <w:pStyle w:val="Titre4Bleu"/>
        <w:rPr>
          <w:lang w:eastAsia="fr-FR"/>
        </w:rPr>
      </w:pPr>
      <w:bookmarkStart w:id="273" w:name="_Toc182327770"/>
      <w:r w:rsidRPr="002462F0">
        <w:rPr>
          <w:lang w:eastAsia="fr-FR"/>
        </w:rPr>
        <w:t>Agriculture/forestry/fishing (</w:t>
      </w:r>
      <w:r w:rsidR="000F6001">
        <w:rPr>
          <w:lang w:eastAsia="fr-FR"/>
        </w:rPr>
        <w:t>CRT</w:t>
      </w:r>
      <w:r w:rsidRPr="002462F0">
        <w:rPr>
          <w:lang w:eastAsia="fr-FR"/>
        </w:rPr>
        <w:t xml:space="preserve"> 1A4c)</w:t>
      </w:r>
      <w:bookmarkEnd w:id="273"/>
    </w:p>
    <w:p w14:paraId="2BFE59E7" w14:textId="77777777" w:rsidR="00C96C7C" w:rsidRDefault="00C96C7C" w:rsidP="00C96C7C">
      <w:pPr>
        <w:pStyle w:val="Heading5"/>
        <w:rPr>
          <w:rStyle w:val="Heading2Char"/>
          <w:b/>
          <w:color w:val="808080" w:themeColor="background1" w:themeShade="80"/>
          <w:sz w:val="20"/>
          <w:szCs w:val="22"/>
          <w:lang w:val="en-GB"/>
        </w:rPr>
      </w:pPr>
      <w:bookmarkStart w:id="274" w:name="_Toc182327771"/>
      <w:bookmarkStart w:id="275" w:name="_Toc184808188"/>
      <w:r w:rsidRPr="002462F0">
        <w:rPr>
          <w:rStyle w:val="Heading2Char"/>
          <w:b/>
          <w:color w:val="808080" w:themeColor="background1" w:themeShade="80"/>
          <w:sz w:val="20"/>
          <w:szCs w:val="22"/>
          <w:lang w:val="en-GB"/>
        </w:rPr>
        <w:t>Category description</w:t>
      </w:r>
      <w:bookmarkEnd w:id="274"/>
      <w:bookmarkEnd w:id="275"/>
    </w:p>
    <w:p w14:paraId="57CBAFE9" w14:textId="3CDEC614" w:rsidR="00902F41" w:rsidRPr="002462F0" w:rsidRDefault="00902F41" w:rsidP="00902F41">
      <w:pPr>
        <w:pStyle w:val="BodyText"/>
        <w:rPr>
          <w:lang w:val="en-US" w:eastAsia="fr-FR"/>
        </w:rPr>
      </w:pPr>
      <w:r w:rsidRPr="002462F0">
        <w:rPr>
          <w:lang w:val="en-US" w:eastAsia="fr-FR"/>
        </w:rPr>
        <w:t xml:space="preserve">This category refers to GHG emissions due to </w:t>
      </w:r>
      <w:r>
        <w:rPr>
          <w:lang w:val="en-US" w:eastAsia="fr-FR"/>
        </w:rPr>
        <w:t xml:space="preserve">the combustion of fuels </w:t>
      </w:r>
      <w:r w:rsidR="00CE3C66">
        <w:rPr>
          <w:lang w:val="en-US" w:eastAsia="fr-FR"/>
        </w:rPr>
        <w:t xml:space="preserve">in </w:t>
      </w:r>
      <w:r w:rsidR="002F1C1B">
        <w:rPr>
          <w:lang w:val="en-US" w:eastAsia="fr-FR"/>
        </w:rPr>
        <w:t xml:space="preserve">the sector of </w:t>
      </w:r>
      <w:r>
        <w:rPr>
          <w:lang w:val="en-US" w:eastAsia="fr-FR"/>
        </w:rPr>
        <w:t>agriculture</w:t>
      </w:r>
      <w:r w:rsidR="00CE3C66">
        <w:rPr>
          <w:lang w:val="en-US" w:eastAsia="fr-FR"/>
        </w:rPr>
        <w:t>/forestry/fishing. This main category is split in two sub</w:t>
      </w:r>
      <w:r w:rsidR="00B35111">
        <w:rPr>
          <w:lang w:val="en-US" w:eastAsia="fr-FR"/>
        </w:rPr>
        <w:t>-sectors</w:t>
      </w:r>
      <w:r w:rsidR="00CE3C66">
        <w:rPr>
          <w:lang w:val="en-US" w:eastAsia="fr-FR"/>
        </w:rPr>
        <w:t xml:space="preserve">: </w:t>
      </w:r>
      <w:r>
        <w:rPr>
          <w:lang w:val="en-US" w:eastAsia="fr-FR"/>
        </w:rPr>
        <w:t xml:space="preserve">stationary </w:t>
      </w:r>
      <w:r w:rsidR="00CE3C66">
        <w:rPr>
          <w:lang w:val="en-US" w:eastAsia="fr-FR"/>
        </w:rPr>
        <w:t>equipment (</w:t>
      </w:r>
      <w:r w:rsidR="000F6001">
        <w:rPr>
          <w:lang w:val="en-US" w:eastAsia="fr-FR"/>
        </w:rPr>
        <w:t>CRT</w:t>
      </w:r>
      <w:r w:rsidR="00CE3C66">
        <w:rPr>
          <w:lang w:val="en-US" w:eastAsia="fr-FR"/>
        </w:rPr>
        <w:t xml:space="preserve"> 1.A.4.c.i) and off-road vehicles</w:t>
      </w:r>
      <w:r w:rsidR="008952F0">
        <w:rPr>
          <w:lang w:val="en-US" w:eastAsia="fr-FR"/>
        </w:rPr>
        <w:t xml:space="preserve"> </w:t>
      </w:r>
      <w:r w:rsidR="00B35111">
        <w:rPr>
          <w:lang w:val="en-US" w:eastAsia="fr-FR"/>
        </w:rPr>
        <w:t>&amp; other machineries</w:t>
      </w:r>
      <w:r w:rsidR="00CE3C66">
        <w:rPr>
          <w:lang w:val="en-US" w:eastAsia="fr-FR"/>
        </w:rPr>
        <w:t xml:space="preserve"> (</w:t>
      </w:r>
      <w:r w:rsidR="000F6001">
        <w:rPr>
          <w:lang w:val="en-US" w:eastAsia="fr-FR"/>
        </w:rPr>
        <w:t>CRT</w:t>
      </w:r>
      <w:r w:rsidR="00CE3C66">
        <w:rPr>
          <w:lang w:val="en-US" w:eastAsia="fr-FR"/>
        </w:rPr>
        <w:t xml:space="preserve"> 1.A.4.c.ii)</w:t>
      </w:r>
      <w:r w:rsidRPr="002462F0">
        <w:rPr>
          <w:lang w:val="en-US" w:eastAsia="fr-FR"/>
        </w:rPr>
        <w:t>. These sources use different types of fuels</w:t>
      </w:r>
      <w:r>
        <w:rPr>
          <w:lang w:val="en-US" w:eastAsia="fr-FR"/>
        </w:rPr>
        <w:t xml:space="preserve"> </w:t>
      </w:r>
      <w:r w:rsidRPr="002462F0">
        <w:rPr>
          <w:lang w:val="en-US" w:eastAsia="fr-FR"/>
        </w:rPr>
        <w:t xml:space="preserve">and emit significant amounts of greenhouse gases and air pollutants. </w:t>
      </w:r>
    </w:p>
    <w:p w14:paraId="71DC4B49" w14:textId="13906DE4" w:rsidR="00902F41" w:rsidRPr="002462F0" w:rsidRDefault="005E549A" w:rsidP="00902F41">
      <w:pPr>
        <w:pStyle w:val="BodyText"/>
        <w:rPr>
          <w:lang w:val="en-US" w:eastAsia="fr-FR"/>
        </w:rPr>
      </w:pPr>
      <w:r>
        <w:rPr>
          <w:lang w:val="en-US" w:eastAsia="fr-FR"/>
        </w:rPr>
        <w:t xml:space="preserve">The subcategory of </w:t>
      </w:r>
      <w:r w:rsidR="00B35111">
        <w:rPr>
          <w:lang w:val="en-US" w:eastAsia="fr-FR"/>
        </w:rPr>
        <w:t xml:space="preserve">off-road vehicles </w:t>
      </w:r>
      <w:r w:rsidR="008B0C76">
        <w:rPr>
          <w:lang w:val="en-US" w:eastAsia="fr-FR"/>
        </w:rPr>
        <w:t>and</w:t>
      </w:r>
      <w:r w:rsidR="00B35111">
        <w:rPr>
          <w:lang w:val="en-US" w:eastAsia="fr-FR"/>
        </w:rPr>
        <w:t xml:space="preserve"> other </w:t>
      </w:r>
      <w:r w:rsidR="008B0C76">
        <w:rPr>
          <w:lang w:val="en-US" w:eastAsia="fr-FR"/>
        </w:rPr>
        <w:t>machinery</w:t>
      </w:r>
      <w:r w:rsidR="00B35111">
        <w:rPr>
          <w:lang w:val="en-US" w:eastAsia="fr-FR"/>
        </w:rPr>
        <w:t xml:space="preserve"> is a key category in 20</w:t>
      </w:r>
      <w:r>
        <w:rPr>
          <w:lang w:val="en-US" w:eastAsia="fr-FR"/>
        </w:rPr>
        <w:t>22</w:t>
      </w:r>
      <w:r w:rsidR="00B35111">
        <w:rPr>
          <w:lang w:val="en-US" w:eastAsia="fr-FR"/>
        </w:rPr>
        <w:t xml:space="preserve"> for CO</w:t>
      </w:r>
      <w:r w:rsidR="00B35111" w:rsidRPr="00622F40">
        <w:rPr>
          <w:vertAlign w:val="subscript"/>
          <w:lang w:val="en-US" w:eastAsia="fr-FR"/>
        </w:rPr>
        <w:t>2</w:t>
      </w:r>
      <w:r w:rsidR="00B35111">
        <w:rPr>
          <w:lang w:val="en-US" w:eastAsia="fr-FR"/>
        </w:rPr>
        <w:t xml:space="preserve"> emissions of liquid fuels</w:t>
      </w:r>
      <w:r>
        <w:rPr>
          <w:lang w:val="en-US" w:eastAsia="fr-FR"/>
        </w:rPr>
        <w:t>, both in terms of emission levels and trend</w:t>
      </w:r>
      <w:r w:rsidR="00B35111">
        <w:rPr>
          <w:lang w:val="en-US" w:eastAsia="fr-FR"/>
        </w:rPr>
        <w:t xml:space="preserve">. It contributes </w:t>
      </w:r>
      <w:r w:rsidR="00B35111" w:rsidRPr="005A00BC">
        <w:rPr>
          <w:lang w:val="en-US" w:eastAsia="fr-FR"/>
        </w:rPr>
        <w:t>to 0</w:t>
      </w:r>
      <w:r w:rsidR="006B28EA">
        <w:rPr>
          <w:lang w:val="en-US" w:eastAsia="fr-FR"/>
        </w:rPr>
        <w:t>.4</w:t>
      </w:r>
      <w:r w:rsidR="00B35111" w:rsidRPr="005A00BC">
        <w:rPr>
          <w:lang w:val="en-US" w:eastAsia="fr-FR"/>
        </w:rPr>
        <w:t>% in</w:t>
      </w:r>
      <w:r w:rsidR="00B35111">
        <w:rPr>
          <w:lang w:val="en-US" w:eastAsia="fr-FR"/>
        </w:rPr>
        <w:t xml:space="preserve"> terms of CO</w:t>
      </w:r>
      <w:r w:rsidR="00B35111" w:rsidRPr="00622F40">
        <w:rPr>
          <w:vertAlign w:val="subscript"/>
          <w:lang w:val="en-US" w:eastAsia="fr-FR"/>
        </w:rPr>
        <w:t>2</w:t>
      </w:r>
      <w:r w:rsidR="00902F41">
        <w:rPr>
          <w:lang w:val="en-US" w:eastAsia="fr-FR"/>
        </w:rPr>
        <w:t xml:space="preserve"> emissions level (rank 2</w:t>
      </w:r>
      <w:r w:rsidR="006B28EA">
        <w:rPr>
          <w:lang w:val="en-US" w:eastAsia="fr-FR"/>
        </w:rPr>
        <w:t>9</w:t>
      </w:r>
      <w:r w:rsidR="00902F41">
        <w:rPr>
          <w:lang w:val="en-US" w:eastAsia="fr-FR"/>
        </w:rPr>
        <w:t>)</w:t>
      </w:r>
      <w:r w:rsidR="00B35111">
        <w:rPr>
          <w:lang w:val="en-US" w:eastAsia="fr-FR"/>
        </w:rPr>
        <w:t xml:space="preserve"> and </w:t>
      </w:r>
      <w:r w:rsidR="005A00BC">
        <w:rPr>
          <w:lang w:val="en-US" w:eastAsia="fr-FR"/>
        </w:rPr>
        <w:t>0</w:t>
      </w:r>
      <w:r w:rsidR="006B28EA">
        <w:rPr>
          <w:lang w:val="en-US" w:eastAsia="fr-FR"/>
        </w:rPr>
        <w:t>39</w:t>
      </w:r>
      <w:r w:rsidR="00B35111">
        <w:rPr>
          <w:lang w:val="en-US" w:eastAsia="fr-FR"/>
        </w:rPr>
        <w:t xml:space="preserve">% in terms of emission trend (rank </w:t>
      </w:r>
      <w:r w:rsidR="006B28EA">
        <w:rPr>
          <w:lang w:val="en-US" w:eastAsia="fr-FR"/>
        </w:rPr>
        <w:t>2</w:t>
      </w:r>
      <w:r w:rsidR="005A00BC">
        <w:rPr>
          <w:lang w:val="en-US" w:eastAsia="fr-FR"/>
        </w:rPr>
        <w:t>6</w:t>
      </w:r>
      <w:r w:rsidR="00B35111">
        <w:rPr>
          <w:lang w:val="en-US" w:eastAsia="fr-FR"/>
        </w:rPr>
        <w:t>)</w:t>
      </w:r>
      <w:r w:rsidR="00902F41" w:rsidRPr="002462F0">
        <w:rPr>
          <w:lang w:val="en-US" w:eastAsia="fr-FR"/>
        </w:rPr>
        <w:t>.</w:t>
      </w:r>
    </w:p>
    <w:p w14:paraId="7E74A217" w14:textId="4A342002" w:rsidR="00902F41" w:rsidRDefault="00DE1697" w:rsidP="009703DC">
      <w:pPr>
        <w:autoSpaceDE w:val="0"/>
        <w:autoSpaceDN w:val="0"/>
        <w:adjustRightInd w:val="0"/>
        <w:spacing w:after="0" w:line="240" w:lineRule="auto"/>
        <w:rPr>
          <w:sz w:val="24"/>
          <w:szCs w:val="24"/>
          <w:lang w:val="en-US" w:eastAsia="fr-FR"/>
        </w:rPr>
      </w:pPr>
      <w:r>
        <w:rPr>
          <w:noProof/>
          <w:sz w:val="24"/>
          <w:szCs w:val="24"/>
          <w:lang w:val="en-US"/>
        </w:rPr>
        <w:drawing>
          <wp:inline distT="0" distB="0" distL="0" distR="0" wp14:anchorId="18A56970" wp14:editId="205F2E73">
            <wp:extent cx="5775767" cy="1838288"/>
            <wp:effectExtent l="0" t="0" r="0" b="0"/>
            <wp:docPr id="438233028"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07649" cy="1848435"/>
                    </a:xfrm>
                    <a:prstGeom prst="rect">
                      <a:avLst/>
                    </a:prstGeom>
                    <a:noFill/>
                  </pic:spPr>
                </pic:pic>
              </a:graphicData>
            </a:graphic>
          </wp:inline>
        </w:drawing>
      </w:r>
    </w:p>
    <w:p w14:paraId="0B6B8C0B" w14:textId="77777777" w:rsidR="009703DC" w:rsidRPr="002462F0" w:rsidRDefault="009703DC" w:rsidP="009703DC">
      <w:pPr>
        <w:pStyle w:val="Caption"/>
        <w:keepNext/>
        <w:spacing w:before="0" w:after="0"/>
        <w:jc w:val="both"/>
      </w:pPr>
      <w:bookmarkStart w:id="276" w:name="_Ref183735625"/>
      <w:bookmarkStart w:id="277" w:name="_Toc184808410"/>
      <w:r w:rsidRPr="00622F40">
        <w:t xml:space="preserve">Figure </w:t>
      </w:r>
      <w:r w:rsidRPr="00622F40">
        <w:fldChar w:fldCharType="begin"/>
      </w:r>
      <w:r w:rsidRPr="00622F40">
        <w:instrText xml:space="preserve"> SEQ Figure \* ARABIC </w:instrText>
      </w:r>
      <w:r w:rsidRPr="00622F40">
        <w:fldChar w:fldCharType="separate"/>
      </w:r>
      <w:r>
        <w:rPr>
          <w:noProof/>
        </w:rPr>
        <w:t>23</w:t>
      </w:r>
      <w:r w:rsidRPr="00622F40">
        <w:fldChar w:fldCharType="end"/>
      </w:r>
      <w:bookmarkEnd w:id="276"/>
      <w:r w:rsidRPr="00622F40">
        <w:rPr>
          <w:noProof/>
        </w:rPr>
        <w:t xml:space="preserve"> : GHG emissions for agriculture/forestry/fishing activities - </w:t>
      </w:r>
      <w:r>
        <w:rPr>
          <w:noProof/>
        </w:rPr>
        <w:t>stationary combustion (CRT 1A4ci), for the period 1990-2022</w:t>
      </w:r>
      <w:r w:rsidRPr="00622F40">
        <w:rPr>
          <w:noProof/>
        </w:rPr>
        <w:t xml:space="preserve"> (</w:t>
      </w:r>
      <w:r>
        <w:rPr>
          <w:noProof/>
        </w:rPr>
        <w:t xml:space="preserve">in </w:t>
      </w:r>
      <w:r w:rsidRPr="00622F40">
        <w:rPr>
          <w:noProof/>
        </w:rPr>
        <w:t>kt CO</w:t>
      </w:r>
      <w:r w:rsidRPr="00622F40">
        <w:rPr>
          <w:noProof/>
          <w:vertAlign w:val="subscript"/>
        </w:rPr>
        <w:t>2</w:t>
      </w:r>
      <w:r w:rsidRPr="00622F40">
        <w:rPr>
          <w:noProof/>
        </w:rPr>
        <w:t>e)</w:t>
      </w:r>
      <w:bookmarkEnd w:id="277"/>
    </w:p>
    <w:p w14:paraId="1D958066" w14:textId="77777777" w:rsidR="009703DC" w:rsidRDefault="009703DC" w:rsidP="00902F41">
      <w:pPr>
        <w:autoSpaceDE w:val="0"/>
        <w:autoSpaceDN w:val="0"/>
        <w:adjustRightInd w:val="0"/>
        <w:spacing w:after="0" w:line="240" w:lineRule="auto"/>
        <w:jc w:val="left"/>
        <w:rPr>
          <w:sz w:val="24"/>
          <w:szCs w:val="24"/>
          <w:lang w:val="en-US" w:eastAsia="fr-FR"/>
        </w:rPr>
      </w:pPr>
    </w:p>
    <w:p w14:paraId="44500BF3" w14:textId="38888EE2" w:rsidR="009703DC" w:rsidRPr="009703DC" w:rsidRDefault="009703DC" w:rsidP="00902F41">
      <w:pPr>
        <w:autoSpaceDE w:val="0"/>
        <w:autoSpaceDN w:val="0"/>
        <w:adjustRightInd w:val="0"/>
        <w:spacing w:after="0" w:line="240" w:lineRule="auto"/>
        <w:jc w:val="left"/>
        <w:rPr>
          <w:noProof/>
          <w:szCs w:val="20"/>
          <w:lang w:val="en-US" w:eastAsia="fr-FR"/>
        </w:rPr>
      </w:pPr>
      <w:r w:rsidRPr="009703DC">
        <w:rPr>
          <w:szCs w:val="20"/>
          <w:lang w:val="en-US" w:eastAsia="fr-FR"/>
        </w:rPr>
        <w:t>As shown on</w:t>
      </w:r>
      <w:r>
        <w:rPr>
          <w:noProof/>
          <w:sz w:val="24"/>
          <w:szCs w:val="24"/>
          <w:lang w:val="en-US" w:eastAsia="fr-FR"/>
        </w:rPr>
        <w:t xml:space="preserve"> </w:t>
      </w:r>
      <w:r>
        <w:rPr>
          <w:noProof/>
          <w:sz w:val="24"/>
          <w:szCs w:val="24"/>
          <w:lang w:val="en-US" w:eastAsia="fr-FR"/>
        </w:rPr>
        <w:fldChar w:fldCharType="begin"/>
      </w:r>
      <w:r>
        <w:rPr>
          <w:noProof/>
          <w:sz w:val="24"/>
          <w:szCs w:val="24"/>
          <w:lang w:val="en-US" w:eastAsia="fr-FR"/>
        </w:rPr>
        <w:instrText xml:space="preserve"> REF _Ref183735625 \h </w:instrText>
      </w:r>
      <w:r>
        <w:rPr>
          <w:noProof/>
          <w:sz w:val="24"/>
          <w:szCs w:val="24"/>
          <w:lang w:val="en-US" w:eastAsia="fr-FR"/>
        </w:rPr>
      </w:r>
      <w:r>
        <w:rPr>
          <w:noProof/>
          <w:sz w:val="24"/>
          <w:szCs w:val="24"/>
          <w:lang w:val="en-US" w:eastAsia="fr-FR"/>
        </w:rPr>
        <w:fldChar w:fldCharType="separate"/>
      </w:r>
      <w:r w:rsidRPr="00622F40">
        <w:t xml:space="preserve">Figure </w:t>
      </w:r>
      <w:r>
        <w:rPr>
          <w:noProof/>
        </w:rPr>
        <w:t>23</w:t>
      </w:r>
      <w:r>
        <w:rPr>
          <w:noProof/>
          <w:sz w:val="24"/>
          <w:szCs w:val="24"/>
          <w:lang w:val="en-US" w:eastAsia="fr-FR"/>
        </w:rPr>
        <w:fldChar w:fldCharType="end"/>
      </w:r>
      <w:r>
        <w:rPr>
          <w:noProof/>
          <w:sz w:val="24"/>
          <w:szCs w:val="24"/>
          <w:lang w:val="en-US" w:eastAsia="fr-FR"/>
        </w:rPr>
        <w:t xml:space="preserve"> </w:t>
      </w:r>
      <w:r w:rsidRPr="009703DC">
        <w:rPr>
          <w:noProof/>
          <w:szCs w:val="20"/>
          <w:lang w:val="en-US" w:eastAsia="fr-FR"/>
        </w:rPr>
        <w:t>the timeseri</w:t>
      </w:r>
      <w:r>
        <w:rPr>
          <w:noProof/>
          <w:szCs w:val="20"/>
          <w:lang w:val="en-US" w:eastAsia="fr-FR"/>
        </w:rPr>
        <w:t>e</w:t>
      </w:r>
      <w:r w:rsidRPr="009703DC">
        <w:rPr>
          <w:noProof/>
          <w:szCs w:val="20"/>
          <w:lang w:val="en-US" w:eastAsia="fr-FR"/>
        </w:rPr>
        <w:t>s</w:t>
      </w:r>
      <w:r>
        <w:rPr>
          <w:noProof/>
          <w:szCs w:val="20"/>
          <w:lang w:val="en-US" w:eastAsia="fr-FR"/>
        </w:rPr>
        <w:t xml:space="preserve"> for stationary combustion is having  significant consistency issue in the period 2005-2007</w:t>
      </w:r>
      <w:r w:rsidR="009500B7">
        <w:rPr>
          <w:noProof/>
          <w:szCs w:val="20"/>
          <w:lang w:val="en-US" w:eastAsia="fr-FR"/>
        </w:rPr>
        <w:t xml:space="preserve"> with potential data error in 2007</w:t>
      </w:r>
      <w:r>
        <w:rPr>
          <w:noProof/>
          <w:szCs w:val="20"/>
          <w:lang w:val="en-US" w:eastAsia="fr-FR"/>
        </w:rPr>
        <w:t xml:space="preserve"> which will be investigated and addressed during the preparation of the subsequent NID. </w:t>
      </w:r>
    </w:p>
    <w:p w14:paraId="21F315C4" w14:textId="0761E122" w:rsidR="00B35111" w:rsidRPr="002462F0" w:rsidRDefault="009969B4" w:rsidP="009703DC">
      <w:pPr>
        <w:autoSpaceDE w:val="0"/>
        <w:autoSpaceDN w:val="0"/>
        <w:adjustRightInd w:val="0"/>
        <w:spacing w:after="0" w:line="240" w:lineRule="auto"/>
        <w:rPr>
          <w:sz w:val="24"/>
          <w:szCs w:val="24"/>
          <w:lang w:val="en-US" w:eastAsia="fr-FR"/>
        </w:rPr>
      </w:pPr>
      <w:r>
        <w:rPr>
          <w:noProof/>
          <w:sz w:val="24"/>
          <w:szCs w:val="24"/>
          <w:lang w:val="en-US"/>
        </w:rPr>
        <w:lastRenderedPageBreak/>
        <w:drawing>
          <wp:inline distT="0" distB="0" distL="0" distR="0" wp14:anchorId="0D60EC79" wp14:editId="17DA80F2">
            <wp:extent cx="5741043" cy="1815465"/>
            <wp:effectExtent l="0" t="0" r="0" b="0"/>
            <wp:docPr id="36788076"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6125" cy="1817072"/>
                    </a:xfrm>
                    <a:prstGeom prst="rect">
                      <a:avLst/>
                    </a:prstGeom>
                    <a:noFill/>
                  </pic:spPr>
                </pic:pic>
              </a:graphicData>
            </a:graphic>
          </wp:inline>
        </w:drawing>
      </w:r>
    </w:p>
    <w:p w14:paraId="06E801BB" w14:textId="77777777" w:rsidR="009703DC" w:rsidRPr="002462F0" w:rsidRDefault="009703DC" w:rsidP="009703DC">
      <w:pPr>
        <w:pStyle w:val="Caption"/>
        <w:keepNext/>
        <w:spacing w:before="0" w:after="0"/>
        <w:jc w:val="both"/>
      </w:pPr>
      <w:bookmarkStart w:id="278" w:name="_Toc184808411"/>
      <w:r w:rsidRPr="00622F40">
        <w:t xml:space="preserve">Figure </w:t>
      </w:r>
      <w:r w:rsidRPr="00622F40">
        <w:fldChar w:fldCharType="begin"/>
      </w:r>
      <w:r w:rsidRPr="00622F40">
        <w:instrText xml:space="preserve"> SEQ Figure \* ARABIC </w:instrText>
      </w:r>
      <w:r w:rsidRPr="00622F40">
        <w:fldChar w:fldCharType="separate"/>
      </w:r>
      <w:r>
        <w:rPr>
          <w:noProof/>
        </w:rPr>
        <w:t>24</w:t>
      </w:r>
      <w:r w:rsidRPr="00622F40">
        <w:fldChar w:fldCharType="end"/>
      </w:r>
      <w:r w:rsidRPr="00622F40">
        <w:rPr>
          <w:noProof/>
        </w:rPr>
        <w:t xml:space="preserve"> : GHG emissions for agriculture/forestry/fishing activities – </w:t>
      </w:r>
      <w:r>
        <w:rPr>
          <w:noProof/>
        </w:rPr>
        <w:t>mobile</w:t>
      </w:r>
      <w:r w:rsidRPr="009969B4">
        <w:rPr>
          <w:noProof/>
        </w:rPr>
        <w:t xml:space="preserve"> combustion (CRT 1A4ci</w:t>
      </w:r>
      <w:r>
        <w:rPr>
          <w:noProof/>
        </w:rPr>
        <w:t>i</w:t>
      </w:r>
      <w:r w:rsidRPr="009969B4">
        <w:rPr>
          <w:noProof/>
        </w:rPr>
        <w:t xml:space="preserve">), for the period 1990-2022 </w:t>
      </w:r>
      <w:r w:rsidRPr="00622F40">
        <w:rPr>
          <w:noProof/>
        </w:rPr>
        <w:t>(</w:t>
      </w:r>
      <w:r>
        <w:rPr>
          <w:noProof/>
        </w:rPr>
        <w:t xml:space="preserve">in </w:t>
      </w:r>
      <w:r w:rsidRPr="00622F40">
        <w:rPr>
          <w:noProof/>
        </w:rPr>
        <w:t>kt CO</w:t>
      </w:r>
      <w:r w:rsidRPr="00622F40">
        <w:rPr>
          <w:noProof/>
          <w:vertAlign w:val="subscript"/>
        </w:rPr>
        <w:t>2</w:t>
      </w:r>
      <w:r w:rsidRPr="00622F40">
        <w:rPr>
          <w:noProof/>
        </w:rPr>
        <w:t>e)</w:t>
      </w:r>
      <w:bookmarkEnd w:id="278"/>
    </w:p>
    <w:p w14:paraId="0596D7E0" w14:textId="77777777" w:rsidR="00B35111" w:rsidRDefault="00B35111" w:rsidP="00902F41">
      <w:pPr>
        <w:autoSpaceDE w:val="0"/>
        <w:autoSpaceDN w:val="0"/>
        <w:adjustRightInd w:val="0"/>
        <w:spacing w:after="0" w:line="240" w:lineRule="auto"/>
        <w:rPr>
          <w:lang w:val="en-US" w:eastAsia="fr-FR"/>
        </w:rPr>
      </w:pPr>
    </w:p>
    <w:p w14:paraId="06E44D6C" w14:textId="11273F4D" w:rsidR="00B35111" w:rsidRDefault="009703DC" w:rsidP="00902F41">
      <w:pPr>
        <w:autoSpaceDE w:val="0"/>
        <w:autoSpaceDN w:val="0"/>
        <w:adjustRightInd w:val="0"/>
        <w:spacing w:after="0" w:line="240" w:lineRule="auto"/>
        <w:rPr>
          <w:lang w:val="en-US" w:eastAsia="fr-FR"/>
        </w:rPr>
      </w:pPr>
      <w:r>
        <w:t>The activity data is sourced directly from the national energy balance</w:t>
      </w:r>
      <w:r w:rsidR="00902F41">
        <w:rPr>
          <w:lang w:val="en-US" w:eastAsia="fr-FR"/>
        </w:rPr>
        <w:t xml:space="preserve">. </w:t>
      </w:r>
      <w:r w:rsidR="00B35111">
        <w:rPr>
          <w:lang w:val="en-US" w:eastAsia="fr-FR"/>
        </w:rPr>
        <w:t>As it can be observed in the two graphs, the</w:t>
      </w:r>
      <w:r w:rsidR="00A25A6E">
        <w:rPr>
          <w:lang w:val="en-US" w:eastAsia="fr-FR"/>
        </w:rPr>
        <w:t xml:space="preserve"> time-series is not consistent because methodological choices and information have changed through the time-series. </w:t>
      </w:r>
      <w:r w:rsidR="00B35111">
        <w:rPr>
          <w:lang w:val="en-US" w:eastAsia="fr-FR"/>
        </w:rPr>
        <w:t>From 1990 to 200</w:t>
      </w:r>
      <w:r w:rsidR="00A25A6E">
        <w:rPr>
          <w:lang w:val="en-US" w:eastAsia="fr-FR"/>
        </w:rPr>
        <w:t>6</w:t>
      </w:r>
      <w:r w:rsidR="00B35111">
        <w:rPr>
          <w:lang w:val="en-US" w:eastAsia="fr-FR"/>
        </w:rPr>
        <w:t xml:space="preserve">, fuel consumptions </w:t>
      </w:r>
      <w:r w:rsidR="00A25A6E">
        <w:rPr>
          <w:lang w:val="en-US" w:eastAsia="fr-FR"/>
        </w:rPr>
        <w:t xml:space="preserve">for off-road </w:t>
      </w:r>
      <w:r w:rsidR="00B35111">
        <w:rPr>
          <w:lang w:val="en-US" w:eastAsia="fr-FR"/>
        </w:rPr>
        <w:t xml:space="preserve">were considered in another category before additional information </w:t>
      </w:r>
      <w:r w:rsidR="002A4CD8">
        <w:rPr>
          <w:lang w:val="en-US" w:eastAsia="fr-FR"/>
        </w:rPr>
        <w:t>was</w:t>
      </w:r>
      <w:r w:rsidR="00B35111">
        <w:rPr>
          <w:lang w:val="en-US" w:eastAsia="fr-FR"/>
        </w:rPr>
        <w:t xml:space="preserve"> made available and enable the split for </w:t>
      </w:r>
      <w:r w:rsidR="009500B7">
        <w:rPr>
          <w:lang w:val="en-US" w:eastAsia="fr-FR"/>
        </w:rPr>
        <w:t>consumption</w:t>
      </w:r>
      <w:r w:rsidR="00B35111">
        <w:rPr>
          <w:lang w:val="en-US" w:eastAsia="fr-FR"/>
        </w:rPr>
        <w:t xml:space="preserve"> </w:t>
      </w:r>
      <w:r w:rsidR="00A25A6E">
        <w:rPr>
          <w:lang w:val="en-US" w:eastAsia="fr-FR"/>
        </w:rPr>
        <w:t xml:space="preserve">between </w:t>
      </w:r>
      <w:r w:rsidR="009500B7">
        <w:rPr>
          <w:lang w:val="en-US" w:eastAsia="fr-FR"/>
        </w:rPr>
        <w:t>stationery</w:t>
      </w:r>
      <w:r w:rsidR="00A25A6E">
        <w:rPr>
          <w:lang w:val="en-US" w:eastAsia="fr-FR"/>
        </w:rPr>
        <w:t xml:space="preserve"> and off-road</w:t>
      </w:r>
      <w:r w:rsidR="00B35111">
        <w:rPr>
          <w:lang w:val="en-US" w:eastAsia="fr-FR"/>
        </w:rPr>
        <w:t>.</w:t>
      </w:r>
    </w:p>
    <w:p w14:paraId="7F7ADFAE" w14:textId="77777777" w:rsidR="00B35111" w:rsidRDefault="00B35111" w:rsidP="00902F41">
      <w:pPr>
        <w:autoSpaceDE w:val="0"/>
        <w:autoSpaceDN w:val="0"/>
        <w:adjustRightInd w:val="0"/>
        <w:spacing w:after="0" w:line="240" w:lineRule="auto"/>
        <w:rPr>
          <w:lang w:val="en-US" w:eastAsia="fr-FR"/>
        </w:rPr>
      </w:pPr>
    </w:p>
    <w:p w14:paraId="1D0B30C6" w14:textId="48DD7744" w:rsidR="00902F41" w:rsidRPr="00902F41" w:rsidRDefault="00902F41" w:rsidP="00980B7B">
      <w:pPr>
        <w:pStyle w:val="BodyText"/>
        <w:rPr>
          <w:lang w:val="en-US"/>
        </w:rPr>
      </w:pPr>
      <w:r>
        <w:rPr>
          <w:lang w:val="en-US" w:eastAsia="fr-FR"/>
        </w:rPr>
        <w:t>In 20</w:t>
      </w:r>
      <w:r w:rsidR="0046789F">
        <w:rPr>
          <w:lang w:val="en-US" w:eastAsia="fr-FR"/>
        </w:rPr>
        <w:t>22</w:t>
      </w:r>
      <w:r>
        <w:rPr>
          <w:lang w:val="en-US" w:eastAsia="fr-FR"/>
        </w:rPr>
        <w:t>, th</w:t>
      </w:r>
      <w:r w:rsidR="0046789F">
        <w:rPr>
          <w:lang w:val="en-US" w:eastAsia="fr-FR"/>
        </w:rPr>
        <w:t>e</w:t>
      </w:r>
      <w:r>
        <w:rPr>
          <w:lang w:val="en-US" w:eastAsia="fr-FR"/>
        </w:rPr>
        <w:t xml:space="preserve"> </w:t>
      </w:r>
      <w:r w:rsidR="00980B7B">
        <w:rPr>
          <w:lang w:val="en-US" w:eastAsia="fr-FR"/>
        </w:rPr>
        <w:t xml:space="preserve">stationary </w:t>
      </w:r>
      <w:r w:rsidR="0046789F">
        <w:rPr>
          <w:lang w:val="en-US" w:eastAsia="fr-FR"/>
        </w:rPr>
        <w:t>sub</w:t>
      </w:r>
      <w:r>
        <w:rPr>
          <w:lang w:val="en-US" w:eastAsia="fr-FR"/>
        </w:rPr>
        <w:t xml:space="preserve">sector mainly consumes </w:t>
      </w:r>
      <w:r w:rsidR="00980B7B">
        <w:rPr>
          <w:lang w:val="en-US" w:eastAsia="fr-FR"/>
        </w:rPr>
        <w:t>natural gas</w:t>
      </w:r>
      <w:r w:rsidR="00A827EF">
        <w:rPr>
          <w:lang w:val="en-US" w:eastAsia="fr-FR"/>
        </w:rPr>
        <w:t xml:space="preserve"> (77%)</w:t>
      </w:r>
      <w:r w:rsidR="00980B7B">
        <w:rPr>
          <w:lang w:val="en-US" w:eastAsia="fr-FR"/>
        </w:rPr>
        <w:t xml:space="preserve">, solid biomass </w:t>
      </w:r>
      <w:r w:rsidR="00BC4E50">
        <w:rPr>
          <w:lang w:val="en-US" w:eastAsia="fr-FR"/>
        </w:rPr>
        <w:t xml:space="preserve">(8%) </w:t>
      </w:r>
      <w:r w:rsidR="00980B7B">
        <w:rPr>
          <w:lang w:val="en-US" w:eastAsia="fr-FR"/>
        </w:rPr>
        <w:t>and LPG</w:t>
      </w:r>
      <w:r w:rsidR="00BC4E50">
        <w:rPr>
          <w:lang w:val="en-US" w:eastAsia="fr-FR"/>
        </w:rPr>
        <w:t xml:space="preserve"> (16%)</w:t>
      </w:r>
      <w:r w:rsidR="0046789F">
        <w:rPr>
          <w:lang w:val="en-US" w:eastAsia="fr-FR"/>
        </w:rPr>
        <w:t>,</w:t>
      </w:r>
      <w:r w:rsidR="00980B7B">
        <w:rPr>
          <w:lang w:val="en-US" w:eastAsia="fr-FR"/>
        </w:rPr>
        <w:t xml:space="preserve"> whereas </w:t>
      </w:r>
      <w:r w:rsidR="0046789F">
        <w:rPr>
          <w:lang w:val="en-US" w:eastAsia="fr-FR"/>
        </w:rPr>
        <w:t xml:space="preserve">only diesel oil is considered for </w:t>
      </w:r>
      <w:r w:rsidR="00980B7B">
        <w:rPr>
          <w:lang w:val="en-US" w:eastAsia="fr-FR"/>
        </w:rPr>
        <w:t xml:space="preserve">the off-road </w:t>
      </w:r>
      <w:r w:rsidR="0046789F">
        <w:rPr>
          <w:lang w:val="en-US" w:eastAsia="fr-FR"/>
        </w:rPr>
        <w:t>sub</w:t>
      </w:r>
      <w:r w:rsidR="00980B7B">
        <w:rPr>
          <w:lang w:val="en-US" w:eastAsia="fr-FR"/>
        </w:rPr>
        <w:t>sector</w:t>
      </w:r>
      <w:r>
        <w:rPr>
          <w:lang w:val="en-US" w:eastAsia="fr-FR"/>
        </w:rPr>
        <w:t>.</w:t>
      </w:r>
    </w:p>
    <w:p w14:paraId="515AE8E1" w14:textId="77777777" w:rsidR="00C96C7C" w:rsidRDefault="00C96C7C" w:rsidP="00C96C7C">
      <w:pPr>
        <w:pStyle w:val="Heading5"/>
        <w:rPr>
          <w:rStyle w:val="Heading2Char"/>
          <w:b/>
          <w:color w:val="808080" w:themeColor="background1" w:themeShade="80"/>
          <w:sz w:val="20"/>
          <w:szCs w:val="22"/>
          <w:lang w:val="en-GB"/>
        </w:rPr>
      </w:pPr>
      <w:bookmarkStart w:id="279" w:name="_Toc182327772"/>
      <w:bookmarkStart w:id="280" w:name="_Toc184808189"/>
      <w:r w:rsidRPr="002462F0">
        <w:rPr>
          <w:rStyle w:val="Heading2Char"/>
          <w:b/>
          <w:color w:val="808080" w:themeColor="background1" w:themeShade="80"/>
          <w:sz w:val="20"/>
          <w:szCs w:val="22"/>
          <w:lang w:val="en-GB"/>
        </w:rPr>
        <w:t>Methodological issues</w:t>
      </w:r>
      <w:bookmarkEnd w:id="279"/>
      <w:bookmarkEnd w:id="280"/>
    </w:p>
    <w:p w14:paraId="27A4EE7C" w14:textId="3E865613" w:rsidR="00805E66" w:rsidRPr="002462F0" w:rsidRDefault="00805E66" w:rsidP="00805E66">
      <w:pPr>
        <w:pStyle w:val="BodyText"/>
        <w:rPr>
          <w:lang w:val="en-US" w:eastAsia="fr-FR"/>
        </w:rPr>
      </w:pPr>
      <w:r w:rsidRPr="002462F0">
        <w:rPr>
          <w:lang w:val="en-US" w:eastAsia="fr-FR"/>
        </w:rPr>
        <w:t>Emissions of GHG from fuels are calculated on the basis of the fuel consumption using Tier 1 (top-down) approach</w:t>
      </w:r>
      <w:r w:rsidR="005C496E">
        <w:rPr>
          <w:lang w:val="en-US" w:eastAsia="fr-FR"/>
        </w:rPr>
        <w:t>,</w:t>
      </w:r>
      <w:r w:rsidRPr="002462F0">
        <w:rPr>
          <w:lang w:val="en-US" w:eastAsia="fr-FR"/>
        </w:rPr>
        <w:t xml:space="preserve"> which is in line with the 2006 IPCC Guidelines </w:t>
      </w:r>
      <w:r w:rsidR="00826E82">
        <w:rPr>
          <w:lang w:val="en-US" w:eastAsia="fr-FR"/>
        </w:rPr>
        <w:fldChar w:fldCharType="begin"/>
      </w:r>
      <w:r w:rsidR="00826E82">
        <w:rPr>
          <w:lang w:val="en-US" w:eastAsia="fr-FR"/>
        </w:rPr>
        <w:instrText xml:space="preserve"> REF _Ref496787868 \r \h </w:instrText>
      </w:r>
      <w:r w:rsidR="00826E82">
        <w:rPr>
          <w:lang w:val="en-US" w:eastAsia="fr-FR"/>
        </w:rPr>
      </w:r>
      <w:r w:rsidR="00826E82">
        <w:rPr>
          <w:lang w:val="en-US" w:eastAsia="fr-FR"/>
        </w:rPr>
        <w:fldChar w:fldCharType="separate"/>
      </w:r>
      <w:r w:rsidR="00F14C78">
        <w:rPr>
          <w:lang w:val="en-US" w:eastAsia="fr-FR"/>
        </w:rPr>
        <w:t>[E10]</w:t>
      </w:r>
      <w:r w:rsidR="00826E82">
        <w:rPr>
          <w:lang w:val="en-US" w:eastAsia="fr-FR"/>
        </w:rPr>
        <w:fldChar w:fldCharType="end"/>
      </w:r>
      <w:r w:rsidRPr="002462F0">
        <w:rPr>
          <w:lang w:val="en-US" w:eastAsia="fr-FR"/>
        </w:rPr>
        <w:t xml:space="preserve">. </w:t>
      </w:r>
    </w:p>
    <w:p w14:paraId="7D5DD05A" w14:textId="32BFEF7F" w:rsidR="00805E66" w:rsidRPr="002462F0" w:rsidRDefault="00805E66" w:rsidP="00805E66">
      <w:pPr>
        <w:pStyle w:val="BodyText"/>
        <w:rPr>
          <w:lang w:val="en-US" w:eastAsia="fr-FR"/>
        </w:rPr>
      </w:pPr>
      <w:r w:rsidRPr="002462F0">
        <w:rPr>
          <w:lang w:val="en-US" w:eastAsia="fr-FR"/>
        </w:rPr>
        <w:t xml:space="preserve">Activity data used </w:t>
      </w:r>
      <w:r w:rsidR="005C496E">
        <w:rPr>
          <w:lang w:val="en-US" w:eastAsia="fr-FR"/>
        </w:rPr>
        <w:t>are</w:t>
      </w:r>
      <w:r w:rsidR="005C496E" w:rsidRPr="002462F0">
        <w:rPr>
          <w:lang w:val="en-US" w:eastAsia="fr-FR"/>
        </w:rPr>
        <w:t xml:space="preserve"> </w:t>
      </w:r>
      <w:r w:rsidRPr="002462F0">
        <w:rPr>
          <w:lang w:val="en-US" w:eastAsia="fr-FR"/>
        </w:rPr>
        <w:t>fuel consumption</w:t>
      </w:r>
      <w:r w:rsidR="005C496E">
        <w:rPr>
          <w:lang w:val="en-US" w:eastAsia="fr-FR"/>
        </w:rPr>
        <w:t>s</w:t>
      </w:r>
      <w:r w:rsidRPr="002462F0">
        <w:rPr>
          <w:lang w:val="en-US" w:eastAsia="fr-FR"/>
        </w:rPr>
        <w:t xml:space="preserve"> by type of fuel. Amounts of all types of fuels consumed for the whole time</w:t>
      </w:r>
      <w:r w:rsidR="005C496E">
        <w:rPr>
          <w:lang w:val="en-US" w:eastAsia="fr-FR"/>
        </w:rPr>
        <w:t>series are</w:t>
      </w:r>
      <w:r w:rsidR="005C496E" w:rsidRPr="002462F0">
        <w:rPr>
          <w:lang w:val="en-US" w:eastAsia="fr-FR"/>
        </w:rPr>
        <w:t xml:space="preserve"> </w:t>
      </w:r>
      <w:r w:rsidR="005C496E">
        <w:rPr>
          <w:lang w:val="en-US" w:eastAsia="fr-FR"/>
        </w:rPr>
        <w:t>taken</w:t>
      </w:r>
      <w:r w:rsidR="005C496E" w:rsidRPr="002462F0">
        <w:rPr>
          <w:lang w:val="en-US" w:eastAsia="fr-FR"/>
        </w:rPr>
        <w:t xml:space="preserve"> </w:t>
      </w:r>
      <w:r w:rsidRPr="002462F0">
        <w:rPr>
          <w:lang w:val="en-US" w:eastAsia="fr-FR"/>
        </w:rPr>
        <w:t xml:space="preserve">from </w:t>
      </w:r>
      <w:r w:rsidR="005C496E">
        <w:rPr>
          <w:lang w:val="en-US" w:eastAsia="fr-FR"/>
        </w:rPr>
        <w:t xml:space="preserve">the </w:t>
      </w:r>
      <w:r w:rsidRPr="002462F0">
        <w:rPr>
          <w:lang w:val="en-US" w:eastAsia="fr-FR"/>
        </w:rPr>
        <w:t xml:space="preserve">national energy balance </w:t>
      </w:r>
      <w:r w:rsidR="00826E82">
        <w:rPr>
          <w:lang w:val="en-US" w:eastAsia="fr-FR"/>
        </w:rPr>
        <w:fldChar w:fldCharType="begin"/>
      </w:r>
      <w:r w:rsidR="00826E82">
        <w:rPr>
          <w:lang w:val="en-US" w:eastAsia="fr-FR"/>
        </w:rPr>
        <w:instrText xml:space="preserve"> REF _Ref496787656 \r \h </w:instrText>
      </w:r>
      <w:r w:rsidR="00826E82">
        <w:rPr>
          <w:lang w:val="en-US" w:eastAsia="fr-FR"/>
        </w:rPr>
      </w:r>
      <w:r w:rsidR="00826E82">
        <w:rPr>
          <w:lang w:val="en-US" w:eastAsia="fr-FR"/>
        </w:rPr>
        <w:fldChar w:fldCharType="separate"/>
      </w:r>
      <w:r w:rsidR="00F14C78">
        <w:rPr>
          <w:lang w:val="en-US" w:eastAsia="fr-FR"/>
        </w:rPr>
        <w:t>[E2]</w:t>
      </w:r>
      <w:r w:rsidR="00826E82">
        <w:rPr>
          <w:lang w:val="en-US" w:eastAsia="fr-FR"/>
        </w:rPr>
        <w:fldChar w:fldCharType="end"/>
      </w:r>
      <w:r w:rsidRPr="002462F0">
        <w:rPr>
          <w:lang w:val="en-US" w:eastAsia="fr-FR"/>
        </w:rPr>
        <w:t>, as well as NCV</w:t>
      </w:r>
      <w:r w:rsidR="005C496E">
        <w:rPr>
          <w:lang w:val="en-US" w:eastAsia="fr-FR"/>
        </w:rPr>
        <w:t xml:space="preserve"> values, which are given in Chapter </w:t>
      </w:r>
      <w:r w:rsidR="005C496E">
        <w:rPr>
          <w:lang w:val="en-US" w:eastAsia="fr-FR"/>
        </w:rPr>
        <w:fldChar w:fldCharType="begin"/>
      </w:r>
      <w:r w:rsidR="005C496E">
        <w:rPr>
          <w:lang w:val="en-US" w:eastAsia="fr-FR"/>
        </w:rPr>
        <w:instrText xml:space="preserve"> REF _Ref175130250 \r \h </w:instrText>
      </w:r>
      <w:r w:rsidR="005C496E">
        <w:rPr>
          <w:lang w:val="en-US" w:eastAsia="fr-FR"/>
        </w:rPr>
      </w:r>
      <w:r w:rsidR="005C496E">
        <w:rPr>
          <w:lang w:val="en-US" w:eastAsia="fr-FR"/>
        </w:rPr>
        <w:fldChar w:fldCharType="separate"/>
      </w:r>
      <w:r w:rsidR="00F14C78">
        <w:rPr>
          <w:lang w:val="en-US" w:eastAsia="fr-FR"/>
        </w:rPr>
        <w:t>3.2.4</w:t>
      </w:r>
      <w:r w:rsidR="005C496E">
        <w:rPr>
          <w:lang w:val="en-US" w:eastAsia="fr-FR"/>
        </w:rPr>
        <w:fldChar w:fldCharType="end"/>
      </w:r>
      <w:r w:rsidRPr="002462F0">
        <w:rPr>
          <w:lang w:val="en-US" w:eastAsia="fr-FR"/>
        </w:rPr>
        <w:t>.</w:t>
      </w:r>
    </w:p>
    <w:p w14:paraId="130F0D93" w14:textId="74264DD2" w:rsidR="00805E66" w:rsidRDefault="00805E66" w:rsidP="00805E66">
      <w:pPr>
        <w:pStyle w:val="BodyText"/>
        <w:rPr>
          <w:lang w:val="en-US" w:eastAsia="fr-FR"/>
        </w:rPr>
      </w:pPr>
      <w:r w:rsidRPr="002462F0">
        <w:rPr>
          <w:lang w:val="en-US" w:eastAsia="fr-FR"/>
        </w:rPr>
        <w:t>Emissions factors used for calculating CO</w:t>
      </w:r>
      <w:r w:rsidRPr="002462F0">
        <w:rPr>
          <w:vertAlign w:val="subscript"/>
          <w:lang w:val="en-US" w:eastAsia="fr-FR"/>
        </w:rPr>
        <w:t>2</w:t>
      </w:r>
      <w:r w:rsidRPr="002462F0">
        <w:rPr>
          <w:lang w:val="en-US" w:eastAsia="fr-FR"/>
        </w:rPr>
        <w:t>, CH</w:t>
      </w:r>
      <w:r w:rsidRPr="002462F0">
        <w:rPr>
          <w:vertAlign w:val="subscript"/>
          <w:lang w:val="en-US" w:eastAsia="fr-FR"/>
        </w:rPr>
        <w:t>4</w:t>
      </w:r>
      <w:r w:rsidRPr="002462F0">
        <w:rPr>
          <w:lang w:val="en-US" w:eastAsia="fr-FR"/>
        </w:rPr>
        <w:t xml:space="preserve"> and N</w:t>
      </w:r>
      <w:r w:rsidRPr="002462F0">
        <w:rPr>
          <w:vertAlign w:val="subscript"/>
          <w:lang w:val="en-US" w:eastAsia="fr-FR"/>
        </w:rPr>
        <w:t>2</w:t>
      </w:r>
      <w:r w:rsidRPr="002462F0">
        <w:rPr>
          <w:lang w:val="en-US" w:eastAsia="fr-FR"/>
        </w:rPr>
        <w:t xml:space="preserve">O emissions from fuels </w:t>
      </w:r>
      <w:r w:rsidR="00440E68">
        <w:rPr>
          <w:lang w:val="en-US" w:eastAsia="fr-FR"/>
        </w:rPr>
        <w:t>are sourced</w:t>
      </w:r>
      <w:r w:rsidRPr="002462F0">
        <w:rPr>
          <w:lang w:val="en-US" w:eastAsia="fr-FR"/>
        </w:rPr>
        <w:t xml:space="preserve"> from 2006 IPCC guidelines </w:t>
      </w:r>
      <w:r w:rsidR="00826E82">
        <w:rPr>
          <w:lang w:val="en-US" w:eastAsia="fr-FR"/>
        </w:rPr>
        <w:fldChar w:fldCharType="begin"/>
      </w:r>
      <w:r w:rsidR="00826E82">
        <w:rPr>
          <w:lang w:val="en-US" w:eastAsia="fr-FR"/>
        </w:rPr>
        <w:instrText xml:space="preserve"> REF _Ref496787669 \r \h </w:instrText>
      </w:r>
      <w:r w:rsidR="00826E82">
        <w:rPr>
          <w:lang w:val="en-US" w:eastAsia="fr-FR"/>
        </w:rPr>
      </w:r>
      <w:r w:rsidR="00826E82">
        <w:rPr>
          <w:lang w:val="en-US" w:eastAsia="fr-FR"/>
        </w:rPr>
        <w:fldChar w:fldCharType="separate"/>
      </w:r>
      <w:r w:rsidR="00F14C78">
        <w:rPr>
          <w:lang w:val="en-US" w:eastAsia="fr-FR"/>
        </w:rPr>
        <w:t>[E3]</w:t>
      </w:r>
      <w:r w:rsidR="00826E82">
        <w:rPr>
          <w:lang w:val="en-US" w:eastAsia="fr-FR"/>
        </w:rPr>
        <w:fldChar w:fldCharType="end"/>
      </w:r>
      <w:r w:rsidRPr="002462F0">
        <w:rPr>
          <w:lang w:val="en-US" w:eastAsia="fr-FR"/>
        </w:rPr>
        <w:t>.</w:t>
      </w:r>
      <w:r w:rsidR="005C496E">
        <w:rPr>
          <w:lang w:val="en-US" w:eastAsia="fr-FR"/>
        </w:rPr>
        <w:t xml:space="preserve"> </w:t>
      </w:r>
      <w:r w:rsidR="005C496E" w:rsidRPr="002462F0">
        <w:rPr>
          <w:lang w:val="en-US" w:eastAsia="fr-FR"/>
        </w:rPr>
        <w:t>CO</w:t>
      </w:r>
      <w:r w:rsidR="005C496E" w:rsidRPr="002462F0">
        <w:rPr>
          <w:vertAlign w:val="subscript"/>
          <w:lang w:val="en-US" w:eastAsia="fr-FR"/>
        </w:rPr>
        <w:t>2</w:t>
      </w:r>
      <w:r w:rsidR="005C496E">
        <w:rPr>
          <w:vertAlign w:val="subscript"/>
          <w:lang w:val="en-US" w:eastAsia="fr-FR"/>
        </w:rPr>
        <w:t xml:space="preserve"> </w:t>
      </w:r>
      <w:r w:rsidR="005C496E">
        <w:rPr>
          <w:lang w:val="en-US" w:eastAsia="fr-FR"/>
        </w:rPr>
        <w:t xml:space="preserve">emission factors applied are given in Chapter </w:t>
      </w:r>
      <w:r w:rsidR="005C496E">
        <w:rPr>
          <w:lang w:val="en-US" w:eastAsia="fr-FR"/>
        </w:rPr>
        <w:fldChar w:fldCharType="begin"/>
      </w:r>
      <w:r w:rsidR="005C496E">
        <w:rPr>
          <w:lang w:val="en-US" w:eastAsia="fr-FR"/>
        </w:rPr>
        <w:instrText xml:space="preserve"> REF _Ref175130250 \r \h </w:instrText>
      </w:r>
      <w:r w:rsidR="005C496E">
        <w:rPr>
          <w:lang w:val="en-US" w:eastAsia="fr-FR"/>
        </w:rPr>
      </w:r>
      <w:r w:rsidR="005C496E">
        <w:rPr>
          <w:lang w:val="en-US" w:eastAsia="fr-FR"/>
        </w:rPr>
        <w:fldChar w:fldCharType="separate"/>
      </w:r>
      <w:r w:rsidR="00F14C78">
        <w:rPr>
          <w:lang w:val="en-US" w:eastAsia="fr-FR"/>
        </w:rPr>
        <w:t>3.2.4</w:t>
      </w:r>
      <w:r w:rsidR="005C496E">
        <w:rPr>
          <w:lang w:val="en-US" w:eastAsia="fr-FR"/>
        </w:rPr>
        <w:fldChar w:fldCharType="end"/>
      </w:r>
      <w:r w:rsidR="005C496E">
        <w:rPr>
          <w:lang w:val="en-US" w:eastAsia="fr-FR"/>
        </w:rPr>
        <w:t>.</w:t>
      </w:r>
    </w:p>
    <w:p w14:paraId="43888410" w14:textId="77777777" w:rsidR="0079229F" w:rsidRPr="002462F0" w:rsidRDefault="0079229F" w:rsidP="00622F40">
      <w:pPr>
        <w:pStyle w:val="Heading5"/>
        <w:rPr>
          <w:lang w:eastAsia="fr-FR"/>
        </w:rPr>
      </w:pPr>
      <w:bookmarkStart w:id="281" w:name="_Toc182327773"/>
      <w:r w:rsidRPr="002462F0">
        <w:rPr>
          <w:lang w:eastAsia="fr-FR"/>
        </w:rPr>
        <w:t>Uncertainties and time-series consistency</w:t>
      </w:r>
      <w:bookmarkEnd w:id="281"/>
    </w:p>
    <w:p w14:paraId="673F3479" w14:textId="77777777" w:rsidR="0000367B" w:rsidRPr="002462F0" w:rsidRDefault="0000367B" w:rsidP="0000367B">
      <w:pPr>
        <w:pStyle w:val="BodyText"/>
        <w:rPr>
          <w:b/>
          <w:lang w:val="en-US" w:eastAsia="fr-FR"/>
        </w:rPr>
      </w:pPr>
      <w:r>
        <w:rPr>
          <w:b/>
          <w:lang w:val="en-US" w:eastAsia="fr-FR"/>
        </w:rPr>
        <w:t>Activity data</w:t>
      </w:r>
    </w:p>
    <w:p w14:paraId="7ECCFDEA" w14:textId="0D5C241D" w:rsidR="0000367B" w:rsidRPr="002462F0" w:rsidRDefault="0000367B" w:rsidP="0000367B">
      <w:pPr>
        <w:autoSpaceDE w:val="0"/>
        <w:autoSpaceDN w:val="0"/>
        <w:adjustRightInd w:val="0"/>
        <w:spacing w:after="0" w:line="240" w:lineRule="auto"/>
        <w:rPr>
          <w:lang w:eastAsia="fr-FR"/>
        </w:rPr>
      </w:pPr>
      <w:r w:rsidRPr="002462F0">
        <w:rPr>
          <w:lang w:eastAsia="fr-FR"/>
        </w:rPr>
        <w:t>In 20</w:t>
      </w:r>
      <w:r w:rsidR="007D468E">
        <w:rPr>
          <w:lang w:eastAsia="fr-FR"/>
        </w:rPr>
        <w:t>22</w:t>
      </w:r>
      <w:r w:rsidRPr="002462F0">
        <w:rPr>
          <w:lang w:eastAsia="fr-FR"/>
        </w:rPr>
        <w:t>, the uncertainty estimate associated with activity data for category 1A</w:t>
      </w:r>
      <w:r>
        <w:rPr>
          <w:lang w:eastAsia="fr-FR"/>
        </w:rPr>
        <w:t>4</w:t>
      </w:r>
      <w:r w:rsidRPr="002462F0">
        <w:rPr>
          <w:lang w:eastAsia="fr-FR"/>
        </w:rPr>
        <w:t>-</w:t>
      </w:r>
      <w:r>
        <w:rPr>
          <w:lang w:eastAsia="fr-FR"/>
        </w:rPr>
        <w:t>Other sectors</w:t>
      </w:r>
      <w:r w:rsidRPr="002462F0">
        <w:rPr>
          <w:lang w:eastAsia="fr-FR"/>
        </w:rPr>
        <w:t xml:space="preserve"> is </w:t>
      </w:r>
      <w:r>
        <w:rPr>
          <w:lang w:eastAsia="fr-FR"/>
        </w:rPr>
        <w:t>10</w:t>
      </w:r>
      <w:r w:rsidRPr="002462F0">
        <w:rPr>
          <w:lang w:eastAsia="fr-FR"/>
        </w:rPr>
        <w:t>%, based on</w:t>
      </w:r>
      <w:r w:rsidR="00826E82">
        <w:rPr>
          <w:lang w:eastAsia="fr-FR"/>
        </w:rPr>
        <w:t xml:space="preserve"> 2006 IPCC Guidelines </w:t>
      </w:r>
      <w:r w:rsidR="00826E82">
        <w:rPr>
          <w:lang w:eastAsia="fr-FR"/>
        </w:rPr>
        <w:fldChar w:fldCharType="begin"/>
      </w:r>
      <w:r w:rsidR="00826E82">
        <w:rPr>
          <w:lang w:eastAsia="fr-FR"/>
        </w:rPr>
        <w:instrText xml:space="preserve"> REF _Ref496787731 \r \h </w:instrText>
      </w:r>
      <w:r w:rsidR="00826E82">
        <w:rPr>
          <w:lang w:eastAsia="fr-FR"/>
        </w:rPr>
      </w:r>
      <w:r w:rsidR="00826E82">
        <w:rPr>
          <w:lang w:eastAsia="fr-FR"/>
        </w:rPr>
        <w:fldChar w:fldCharType="separate"/>
      </w:r>
      <w:r w:rsidR="00F14C78">
        <w:rPr>
          <w:lang w:eastAsia="fr-FR"/>
        </w:rPr>
        <w:t>[E5]</w:t>
      </w:r>
      <w:r w:rsidR="00826E82">
        <w:rPr>
          <w:lang w:eastAsia="fr-FR"/>
        </w:rPr>
        <w:fldChar w:fldCharType="end"/>
      </w:r>
      <w:r w:rsidRPr="002462F0">
        <w:rPr>
          <w:lang w:eastAsia="fr-FR"/>
        </w:rPr>
        <w:t>.</w:t>
      </w:r>
    </w:p>
    <w:p w14:paraId="1935F2CB" w14:textId="77777777" w:rsidR="0000367B" w:rsidRDefault="0000367B" w:rsidP="0079229F">
      <w:pPr>
        <w:pStyle w:val="BodyText"/>
        <w:rPr>
          <w:b/>
          <w:lang w:eastAsia="fr-FR"/>
        </w:rPr>
      </w:pPr>
    </w:p>
    <w:p w14:paraId="45B02818" w14:textId="77777777" w:rsidR="0079229F" w:rsidRPr="002462F0" w:rsidRDefault="0079229F" w:rsidP="0079229F">
      <w:pPr>
        <w:pStyle w:val="BodyText"/>
        <w:rPr>
          <w:b/>
          <w:lang w:val="en-US" w:eastAsia="fr-FR"/>
        </w:rPr>
      </w:pPr>
      <w:r w:rsidRPr="002462F0">
        <w:rPr>
          <w:b/>
          <w:lang w:val="en-US" w:eastAsia="fr-FR"/>
        </w:rPr>
        <w:t>CO</w:t>
      </w:r>
      <w:r w:rsidRPr="002462F0">
        <w:rPr>
          <w:b/>
          <w:vertAlign w:val="subscript"/>
          <w:lang w:val="en-US" w:eastAsia="fr-FR"/>
        </w:rPr>
        <w:t>2</w:t>
      </w:r>
    </w:p>
    <w:p w14:paraId="11FEEC1A" w14:textId="56C23278" w:rsidR="0079229F" w:rsidRPr="002462F0" w:rsidRDefault="0079229F" w:rsidP="0079229F">
      <w:pPr>
        <w:autoSpaceDE w:val="0"/>
        <w:autoSpaceDN w:val="0"/>
        <w:adjustRightInd w:val="0"/>
        <w:spacing w:after="0" w:line="240" w:lineRule="auto"/>
        <w:rPr>
          <w:lang w:eastAsia="fr-FR"/>
        </w:rPr>
      </w:pPr>
      <w:r w:rsidRPr="002462F0">
        <w:rPr>
          <w:lang w:eastAsia="fr-FR"/>
        </w:rPr>
        <w:t>Uncertainty estimate associated with CO</w:t>
      </w:r>
      <w:r w:rsidRPr="002462F0">
        <w:rPr>
          <w:vertAlign w:val="subscript"/>
          <w:lang w:eastAsia="fr-FR"/>
        </w:rPr>
        <w:t>2</w:t>
      </w:r>
      <w:r w:rsidRPr="002462F0">
        <w:rPr>
          <w:lang w:eastAsia="fr-FR"/>
        </w:rPr>
        <w:t xml:space="preserve"> default emission factor for category </w:t>
      </w:r>
      <w:r w:rsidR="0000367B" w:rsidRPr="002462F0">
        <w:rPr>
          <w:lang w:eastAsia="fr-FR"/>
        </w:rPr>
        <w:t>1A</w:t>
      </w:r>
      <w:r w:rsidR="0000367B">
        <w:rPr>
          <w:lang w:eastAsia="fr-FR"/>
        </w:rPr>
        <w:t>4</w:t>
      </w:r>
      <w:r w:rsidR="0000367B" w:rsidRPr="002462F0">
        <w:rPr>
          <w:lang w:eastAsia="fr-FR"/>
        </w:rPr>
        <w:t>-</w:t>
      </w:r>
      <w:r w:rsidR="0000367B">
        <w:rPr>
          <w:lang w:eastAsia="fr-FR"/>
        </w:rPr>
        <w:t>Other sectors</w:t>
      </w:r>
      <w:r w:rsidR="0000367B" w:rsidRPr="002462F0">
        <w:rPr>
          <w:lang w:eastAsia="fr-FR"/>
        </w:rPr>
        <w:t xml:space="preserve"> </w:t>
      </w:r>
      <w:r w:rsidRPr="002462F0">
        <w:rPr>
          <w:lang w:eastAsia="fr-FR"/>
        </w:rPr>
        <w:t xml:space="preserve">is 7%, accordingly to values reported in 1996 IPCC Guidelines </w:t>
      </w:r>
      <w:r w:rsidR="00826E82">
        <w:rPr>
          <w:lang w:eastAsia="fr-FR"/>
        </w:rPr>
        <w:fldChar w:fldCharType="begin"/>
      </w:r>
      <w:r w:rsidR="00826E82">
        <w:rPr>
          <w:lang w:eastAsia="fr-FR"/>
        </w:rPr>
        <w:instrText xml:space="preserve"> REF _Ref496787736 \r \h </w:instrText>
      </w:r>
      <w:r w:rsidR="00826E82">
        <w:rPr>
          <w:lang w:eastAsia="fr-FR"/>
        </w:rPr>
      </w:r>
      <w:r w:rsidR="00826E82">
        <w:rPr>
          <w:lang w:eastAsia="fr-FR"/>
        </w:rPr>
        <w:fldChar w:fldCharType="separate"/>
      </w:r>
      <w:r w:rsidR="00F14C78">
        <w:rPr>
          <w:lang w:eastAsia="fr-FR"/>
        </w:rPr>
        <w:t>[E6]</w:t>
      </w:r>
      <w:r w:rsidR="00826E82">
        <w:rPr>
          <w:lang w:eastAsia="fr-FR"/>
        </w:rPr>
        <w:fldChar w:fldCharType="end"/>
      </w:r>
      <w:r w:rsidRPr="002462F0">
        <w:rPr>
          <w:lang w:eastAsia="fr-FR"/>
        </w:rPr>
        <w:t>.</w:t>
      </w:r>
    </w:p>
    <w:p w14:paraId="7BB44A94" w14:textId="77777777" w:rsidR="0079229F" w:rsidRPr="002462F0" w:rsidRDefault="0079229F" w:rsidP="0079229F">
      <w:pPr>
        <w:autoSpaceDE w:val="0"/>
        <w:autoSpaceDN w:val="0"/>
        <w:adjustRightInd w:val="0"/>
        <w:spacing w:after="0" w:line="240" w:lineRule="auto"/>
        <w:rPr>
          <w:lang w:eastAsia="fr-FR"/>
        </w:rPr>
      </w:pPr>
    </w:p>
    <w:p w14:paraId="4E9E0541" w14:textId="71D82F16" w:rsidR="0079229F" w:rsidRPr="002462F0" w:rsidRDefault="0079229F" w:rsidP="0079229F">
      <w:pPr>
        <w:autoSpaceDE w:val="0"/>
        <w:autoSpaceDN w:val="0"/>
        <w:adjustRightInd w:val="0"/>
        <w:spacing w:after="0" w:line="240" w:lineRule="auto"/>
        <w:rPr>
          <w:lang w:eastAsia="fr-FR"/>
        </w:rPr>
      </w:pPr>
      <w:r w:rsidRPr="002462F0">
        <w:rPr>
          <w:lang w:eastAsia="fr-FR"/>
        </w:rPr>
        <w:t>Combined uncertainty for CO</w:t>
      </w:r>
      <w:r w:rsidRPr="002462F0">
        <w:rPr>
          <w:vertAlign w:val="subscript"/>
          <w:lang w:eastAsia="fr-FR"/>
        </w:rPr>
        <w:t>2</w:t>
      </w:r>
      <w:r w:rsidRPr="002462F0">
        <w:rPr>
          <w:lang w:eastAsia="fr-FR"/>
        </w:rPr>
        <w:t xml:space="preserve"> emissions is </w:t>
      </w:r>
      <w:r w:rsidR="00864A26">
        <w:rPr>
          <w:lang w:eastAsia="fr-FR"/>
        </w:rPr>
        <w:t>0.5</w:t>
      </w:r>
      <w:r w:rsidRPr="002462F0">
        <w:rPr>
          <w:lang w:eastAsia="fr-FR"/>
        </w:rPr>
        <w:t>%</w:t>
      </w:r>
      <w:r w:rsidR="00B44087">
        <w:rPr>
          <w:lang w:eastAsia="fr-FR"/>
        </w:rPr>
        <w:t xml:space="preserve"> </w:t>
      </w:r>
      <w:r w:rsidR="00864A26">
        <w:rPr>
          <w:lang w:eastAsia="fr-FR"/>
        </w:rPr>
        <w:t>in the total national levels of emission in 2022, excluding LULUCF contribution</w:t>
      </w:r>
      <w:r w:rsidRPr="002462F0">
        <w:rPr>
          <w:lang w:eastAsia="fr-FR"/>
        </w:rPr>
        <w:t>.</w:t>
      </w:r>
    </w:p>
    <w:p w14:paraId="1F3C6143" w14:textId="77777777" w:rsidR="0079229F" w:rsidRPr="002462F0" w:rsidRDefault="0079229F" w:rsidP="0079229F">
      <w:pPr>
        <w:pStyle w:val="BodyText"/>
        <w:rPr>
          <w:lang w:eastAsia="fr-FR"/>
        </w:rPr>
      </w:pPr>
    </w:p>
    <w:p w14:paraId="6A6C083A" w14:textId="77777777" w:rsidR="0079229F" w:rsidRPr="002462F0" w:rsidRDefault="0079229F" w:rsidP="0079229F">
      <w:pPr>
        <w:pStyle w:val="BodyText"/>
        <w:rPr>
          <w:b/>
          <w:lang w:val="en-US" w:eastAsia="fr-FR"/>
        </w:rPr>
      </w:pPr>
      <w:r w:rsidRPr="002462F0">
        <w:rPr>
          <w:b/>
          <w:lang w:val="en-US" w:eastAsia="fr-FR"/>
        </w:rPr>
        <w:t>CH</w:t>
      </w:r>
      <w:r w:rsidRPr="002462F0">
        <w:rPr>
          <w:b/>
          <w:vertAlign w:val="subscript"/>
          <w:lang w:val="en-US" w:eastAsia="fr-FR"/>
        </w:rPr>
        <w:t>4</w:t>
      </w:r>
    </w:p>
    <w:p w14:paraId="4D847E73" w14:textId="5679FE2A" w:rsidR="0079229F" w:rsidRPr="002462F0" w:rsidRDefault="0079229F" w:rsidP="0079229F">
      <w:pPr>
        <w:pStyle w:val="BodyText"/>
        <w:rPr>
          <w:lang w:eastAsia="fr-FR"/>
        </w:rPr>
      </w:pPr>
      <w:r w:rsidRPr="002462F0">
        <w:rPr>
          <w:lang w:eastAsia="fr-FR"/>
        </w:rPr>
        <w:t xml:space="preserve">Uncertainty estimate associated with </w:t>
      </w:r>
      <w:r w:rsidRPr="002462F0">
        <w:rPr>
          <w:lang w:val="en-US" w:eastAsia="fr-FR"/>
        </w:rPr>
        <w:t>CH</w:t>
      </w:r>
      <w:r w:rsidRPr="002462F0">
        <w:rPr>
          <w:vertAlign w:val="subscript"/>
          <w:lang w:val="en-US" w:eastAsia="fr-FR"/>
        </w:rPr>
        <w:t>4</w:t>
      </w:r>
      <w:r w:rsidRPr="002462F0">
        <w:rPr>
          <w:lang w:eastAsia="fr-FR"/>
        </w:rPr>
        <w:t xml:space="preserve"> default emission factor for category </w:t>
      </w:r>
      <w:r w:rsidR="0000367B" w:rsidRPr="002462F0">
        <w:rPr>
          <w:lang w:eastAsia="fr-FR"/>
        </w:rPr>
        <w:t>1A</w:t>
      </w:r>
      <w:r w:rsidR="0000367B">
        <w:rPr>
          <w:lang w:eastAsia="fr-FR"/>
        </w:rPr>
        <w:t>4</w:t>
      </w:r>
      <w:r w:rsidR="0000367B" w:rsidRPr="002462F0">
        <w:rPr>
          <w:lang w:eastAsia="fr-FR"/>
        </w:rPr>
        <w:t>-</w:t>
      </w:r>
      <w:r w:rsidR="0000367B">
        <w:rPr>
          <w:lang w:eastAsia="fr-FR"/>
        </w:rPr>
        <w:t>Other sectors</w:t>
      </w:r>
      <w:r w:rsidR="0000367B" w:rsidRPr="002462F0">
        <w:rPr>
          <w:lang w:eastAsia="fr-FR"/>
        </w:rPr>
        <w:t xml:space="preserve"> </w:t>
      </w:r>
      <w:r w:rsidRPr="002462F0">
        <w:rPr>
          <w:lang w:eastAsia="fr-FR"/>
        </w:rPr>
        <w:t xml:space="preserve">is 100%, accordingly to values reported in 2006 IPCC Guidelines </w:t>
      </w:r>
      <w:r w:rsidR="00826E82">
        <w:rPr>
          <w:lang w:eastAsia="fr-FR"/>
        </w:rPr>
        <w:fldChar w:fldCharType="begin"/>
      </w:r>
      <w:r w:rsidR="00826E82">
        <w:rPr>
          <w:lang w:eastAsia="fr-FR"/>
        </w:rPr>
        <w:instrText xml:space="preserve"> REF _Ref496787749 \r \h </w:instrText>
      </w:r>
      <w:r w:rsidR="00826E82">
        <w:rPr>
          <w:lang w:eastAsia="fr-FR"/>
        </w:rPr>
      </w:r>
      <w:r w:rsidR="00826E82">
        <w:rPr>
          <w:lang w:eastAsia="fr-FR"/>
        </w:rPr>
        <w:fldChar w:fldCharType="separate"/>
      </w:r>
      <w:r w:rsidR="00F14C78">
        <w:rPr>
          <w:lang w:eastAsia="fr-FR"/>
        </w:rPr>
        <w:t>[E7]</w:t>
      </w:r>
      <w:r w:rsidR="00826E82">
        <w:rPr>
          <w:lang w:eastAsia="fr-FR"/>
        </w:rPr>
        <w:fldChar w:fldCharType="end"/>
      </w:r>
      <w:r w:rsidRPr="002462F0">
        <w:rPr>
          <w:lang w:eastAsia="fr-FR"/>
        </w:rPr>
        <w:t>.</w:t>
      </w:r>
    </w:p>
    <w:p w14:paraId="6EF3D266" w14:textId="67988B6D" w:rsidR="0079229F" w:rsidRPr="002462F0" w:rsidRDefault="0079229F" w:rsidP="0079229F">
      <w:pPr>
        <w:pStyle w:val="BodyText"/>
        <w:rPr>
          <w:lang w:val="en-US" w:eastAsia="fr-FR"/>
        </w:rPr>
      </w:pPr>
      <w:r w:rsidRPr="002462F0">
        <w:rPr>
          <w:lang w:eastAsia="fr-FR"/>
        </w:rPr>
        <w:lastRenderedPageBreak/>
        <w:t xml:space="preserve">Combined uncertainty for </w:t>
      </w:r>
      <w:r w:rsidRPr="002462F0">
        <w:rPr>
          <w:lang w:val="en-US" w:eastAsia="fr-FR"/>
        </w:rPr>
        <w:t>CH</w:t>
      </w:r>
      <w:r w:rsidRPr="002462F0">
        <w:rPr>
          <w:vertAlign w:val="subscript"/>
          <w:lang w:val="en-US" w:eastAsia="fr-FR"/>
        </w:rPr>
        <w:t>4</w:t>
      </w:r>
      <w:r w:rsidRPr="002462F0">
        <w:rPr>
          <w:lang w:eastAsia="fr-FR"/>
        </w:rPr>
        <w:t xml:space="preserve"> emissions is </w:t>
      </w:r>
      <w:r w:rsidR="00D500A3">
        <w:rPr>
          <w:lang w:eastAsia="fr-FR"/>
        </w:rPr>
        <w:t>0.8</w:t>
      </w:r>
      <w:r w:rsidRPr="002462F0">
        <w:rPr>
          <w:lang w:eastAsia="fr-FR"/>
        </w:rPr>
        <w:t>%</w:t>
      </w:r>
      <w:r w:rsidR="00B44087">
        <w:rPr>
          <w:lang w:eastAsia="fr-FR"/>
        </w:rPr>
        <w:t xml:space="preserve"> </w:t>
      </w:r>
      <w:r w:rsidR="00864A26">
        <w:rPr>
          <w:lang w:eastAsia="fr-FR"/>
        </w:rPr>
        <w:t>in the total national levels of emission in 2022, excluding LULUCF contribution</w:t>
      </w:r>
      <w:r w:rsidRPr="002462F0">
        <w:rPr>
          <w:lang w:eastAsia="fr-FR"/>
        </w:rPr>
        <w:t>.</w:t>
      </w:r>
    </w:p>
    <w:p w14:paraId="1ADB7DFB" w14:textId="77777777" w:rsidR="0079229F" w:rsidRPr="002462F0" w:rsidRDefault="0079229F" w:rsidP="0079229F">
      <w:pPr>
        <w:pStyle w:val="BodyText"/>
        <w:rPr>
          <w:b/>
          <w:lang w:val="en-US" w:eastAsia="fr-FR"/>
        </w:rPr>
      </w:pPr>
      <w:r w:rsidRPr="002462F0">
        <w:rPr>
          <w:b/>
          <w:lang w:val="en-US" w:eastAsia="fr-FR"/>
        </w:rPr>
        <w:t>N</w:t>
      </w:r>
      <w:r w:rsidRPr="002462F0">
        <w:rPr>
          <w:b/>
          <w:vertAlign w:val="subscript"/>
          <w:lang w:val="en-US" w:eastAsia="fr-FR"/>
        </w:rPr>
        <w:t>2</w:t>
      </w:r>
      <w:r w:rsidRPr="002462F0">
        <w:rPr>
          <w:b/>
          <w:lang w:val="en-US" w:eastAsia="fr-FR"/>
        </w:rPr>
        <w:t>O</w:t>
      </w:r>
    </w:p>
    <w:p w14:paraId="717CC173" w14:textId="77777777" w:rsidR="0079229F" w:rsidRPr="002462F0" w:rsidRDefault="0079229F" w:rsidP="0079229F">
      <w:pPr>
        <w:pStyle w:val="BodyText"/>
        <w:rPr>
          <w:lang w:val="en-US" w:eastAsia="fr-FR"/>
        </w:rPr>
      </w:pPr>
      <w:r w:rsidRPr="002462F0">
        <w:rPr>
          <w:lang w:eastAsia="fr-FR"/>
        </w:rPr>
        <w:t xml:space="preserve">Uncertainty estimate associated with </w:t>
      </w:r>
      <w:r w:rsidRPr="002462F0">
        <w:rPr>
          <w:lang w:val="en-US" w:eastAsia="fr-FR"/>
        </w:rPr>
        <w:t>N</w:t>
      </w:r>
      <w:r w:rsidRPr="002462F0">
        <w:rPr>
          <w:vertAlign w:val="subscript"/>
          <w:lang w:val="en-US" w:eastAsia="fr-FR"/>
        </w:rPr>
        <w:t>2</w:t>
      </w:r>
      <w:r w:rsidR="00330A07">
        <w:rPr>
          <w:lang w:val="en-US" w:eastAsia="fr-FR"/>
        </w:rPr>
        <w:t xml:space="preserve">O </w:t>
      </w:r>
      <w:r w:rsidR="00330A07" w:rsidRPr="002462F0">
        <w:rPr>
          <w:lang w:eastAsia="fr-FR"/>
        </w:rPr>
        <w:t>default</w:t>
      </w:r>
      <w:r w:rsidRPr="002462F0">
        <w:rPr>
          <w:lang w:eastAsia="fr-FR"/>
        </w:rPr>
        <w:t xml:space="preserve"> emission factor for category </w:t>
      </w:r>
      <w:r w:rsidR="0000367B" w:rsidRPr="002462F0">
        <w:rPr>
          <w:lang w:eastAsia="fr-FR"/>
        </w:rPr>
        <w:t>1A</w:t>
      </w:r>
      <w:r w:rsidR="0000367B">
        <w:rPr>
          <w:lang w:eastAsia="fr-FR"/>
        </w:rPr>
        <w:t>4</w:t>
      </w:r>
      <w:r w:rsidR="0000367B" w:rsidRPr="002462F0">
        <w:rPr>
          <w:lang w:eastAsia="fr-FR"/>
        </w:rPr>
        <w:t>-</w:t>
      </w:r>
      <w:r w:rsidR="0000367B">
        <w:rPr>
          <w:lang w:eastAsia="fr-FR"/>
        </w:rPr>
        <w:t>Other sectors</w:t>
      </w:r>
      <w:r w:rsidR="0000367B" w:rsidRPr="002462F0">
        <w:rPr>
          <w:lang w:eastAsia="fr-FR"/>
        </w:rPr>
        <w:t xml:space="preserve"> </w:t>
      </w:r>
      <w:r w:rsidRPr="002462F0">
        <w:rPr>
          <w:lang w:eastAsia="fr-FR"/>
        </w:rPr>
        <w:t>is 100%, accordingly to a conservative assumption.</w:t>
      </w:r>
    </w:p>
    <w:p w14:paraId="5A164C9D" w14:textId="77D8C508" w:rsidR="0079229F" w:rsidRPr="002462F0" w:rsidRDefault="0079229F" w:rsidP="0079229F">
      <w:pPr>
        <w:pStyle w:val="BodyText"/>
        <w:rPr>
          <w:lang w:eastAsia="fr-FR"/>
        </w:rPr>
      </w:pPr>
      <w:r w:rsidRPr="002462F0">
        <w:rPr>
          <w:lang w:eastAsia="fr-FR"/>
        </w:rPr>
        <w:t xml:space="preserve">Combined uncertainty for </w:t>
      </w:r>
      <w:r w:rsidRPr="002462F0">
        <w:rPr>
          <w:lang w:val="en-US" w:eastAsia="fr-FR"/>
        </w:rPr>
        <w:t>N</w:t>
      </w:r>
      <w:r w:rsidRPr="002462F0">
        <w:rPr>
          <w:vertAlign w:val="subscript"/>
          <w:lang w:val="en-US" w:eastAsia="fr-FR"/>
        </w:rPr>
        <w:t>2</w:t>
      </w:r>
      <w:r w:rsidRPr="002462F0">
        <w:rPr>
          <w:lang w:val="en-US" w:eastAsia="fr-FR"/>
        </w:rPr>
        <w:t>O</w:t>
      </w:r>
      <w:r w:rsidRPr="002462F0">
        <w:rPr>
          <w:lang w:eastAsia="fr-FR"/>
        </w:rPr>
        <w:t xml:space="preserve"> emissions is </w:t>
      </w:r>
      <w:r w:rsidR="00D500A3">
        <w:rPr>
          <w:lang w:eastAsia="fr-FR"/>
        </w:rPr>
        <w:t>0.15</w:t>
      </w:r>
      <w:r w:rsidRPr="002462F0">
        <w:rPr>
          <w:lang w:eastAsia="fr-FR"/>
        </w:rPr>
        <w:t>%</w:t>
      </w:r>
      <w:r w:rsidR="00B44087">
        <w:rPr>
          <w:lang w:eastAsia="fr-FR"/>
        </w:rPr>
        <w:t xml:space="preserve"> </w:t>
      </w:r>
      <w:r w:rsidR="00864A26">
        <w:rPr>
          <w:lang w:eastAsia="fr-FR"/>
        </w:rPr>
        <w:t>in the total national levels of emission in 2022, excluding LULUCF contribution</w:t>
      </w:r>
      <w:r w:rsidRPr="002462F0">
        <w:rPr>
          <w:lang w:eastAsia="fr-FR"/>
        </w:rPr>
        <w:t>.</w:t>
      </w:r>
    </w:p>
    <w:p w14:paraId="24861C59" w14:textId="77777777" w:rsidR="00B84696" w:rsidRDefault="00B84696" w:rsidP="00622F40">
      <w:pPr>
        <w:pStyle w:val="Heading5"/>
        <w:rPr>
          <w:lang w:eastAsia="fr-FR"/>
        </w:rPr>
      </w:pPr>
      <w:bookmarkStart w:id="282" w:name="_Toc182327774"/>
      <w:r w:rsidRPr="002462F0">
        <w:rPr>
          <w:lang w:eastAsia="fr-FR"/>
        </w:rPr>
        <w:t>Category-specific QA/QC and verification</w:t>
      </w:r>
      <w:bookmarkEnd w:id="282"/>
    </w:p>
    <w:p w14:paraId="47FA38BB" w14:textId="520BC42F" w:rsidR="00B84696" w:rsidRPr="002462F0" w:rsidRDefault="00B84696" w:rsidP="00B84696">
      <w:pPr>
        <w:pStyle w:val="BodyText"/>
        <w:rPr>
          <w:sz w:val="24"/>
          <w:szCs w:val="24"/>
          <w:lang w:eastAsia="fr-FR"/>
        </w:rPr>
      </w:pPr>
      <w:r w:rsidRPr="002462F0">
        <w:t xml:space="preserve">During the preparation of the inventory submission activities related to quality control were mainly focused on proper use of notation keys in the </w:t>
      </w:r>
      <w:r w:rsidR="000F6001">
        <w:t>CRT</w:t>
      </w:r>
      <w:r w:rsidRPr="002462F0">
        <w:t xml:space="preserve"> tables according to QA/QC plan.</w:t>
      </w:r>
    </w:p>
    <w:p w14:paraId="102DC124" w14:textId="77777777" w:rsidR="00B84696" w:rsidRPr="002462F0" w:rsidRDefault="00B84696" w:rsidP="00622F40">
      <w:pPr>
        <w:pStyle w:val="Heading5"/>
        <w:rPr>
          <w:lang w:eastAsia="fr-FR"/>
        </w:rPr>
      </w:pPr>
      <w:bookmarkStart w:id="283" w:name="_Toc182327775"/>
      <w:r w:rsidRPr="002462F0">
        <w:rPr>
          <w:lang w:eastAsia="fr-FR"/>
        </w:rPr>
        <w:t>Category-specific recalculations</w:t>
      </w:r>
      <w:bookmarkEnd w:id="283"/>
    </w:p>
    <w:p w14:paraId="4657388D" w14:textId="18094362" w:rsidR="00B84696" w:rsidRPr="002462F0" w:rsidRDefault="00B84696" w:rsidP="00B84696">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t>
      </w:r>
      <w:r>
        <w:rPr>
          <w:lang w:eastAsia="fr-FR"/>
        </w:rPr>
        <w:t>will occur</w:t>
      </w:r>
      <w:r w:rsidRPr="002462F0">
        <w:rPr>
          <w:lang w:eastAsia="fr-FR"/>
        </w:rPr>
        <w:t xml:space="preserve"> and </w:t>
      </w:r>
      <w:r>
        <w:rPr>
          <w:lang w:eastAsia="fr-FR"/>
        </w:rPr>
        <w:t xml:space="preserve">be </w:t>
      </w:r>
      <w:r w:rsidRPr="002462F0">
        <w:rPr>
          <w:lang w:eastAsia="fr-FR"/>
        </w:rPr>
        <w:t>estimated in the next submission if necessary.</w:t>
      </w:r>
    </w:p>
    <w:p w14:paraId="1B215516" w14:textId="77777777" w:rsidR="00B84696" w:rsidRPr="002462F0" w:rsidRDefault="00B84696" w:rsidP="00622F40">
      <w:pPr>
        <w:pStyle w:val="Heading5"/>
        <w:rPr>
          <w:lang w:eastAsia="fr-FR"/>
        </w:rPr>
      </w:pPr>
      <w:bookmarkStart w:id="284" w:name="_Toc182327776"/>
      <w:r w:rsidRPr="002462F0">
        <w:rPr>
          <w:lang w:eastAsia="fr-FR"/>
        </w:rPr>
        <w:t>Category-specific planned improvements</w:t>
      </w:r>
      <w:bookmarkEnd w:id="284"/>
    </w:p>
    <w:p w14:paraId="27AEBF7C" w14:textId="58A94AF0" w:rsidR="00B84696" w:rsidRPr="002462F0" w:rsidRDefault="007A1397" w:rsidP="007A1397">
      <w:pPr>
        <w:rPr>
          <w:lang w:val="en-US" w:eastAsia="fr-FR"/>
        </w:rPr>
      </w:pPr>
      <w:r>
        <w:rPr>
          <w:lang w:val="en-US" w:eastAsia="fr-FR"/>
        </w:rPr>
        <w:t>The</w:t>
      </w:r>
      <w:r w:rsidRPr="002462F0">
        <w:rPr>
          <w:lang w:val="en-US" w:eastAsia="fr-FR"/>
        </w:rPr>
        <w:t xml:space="preserve"> completeness </w:t>
      </w:r>
      <w:r>
        <w:rPr>
          <w:lang w:val="en-US" w:eastAsia="fr-FR"/>
        </w:rPr>
        <w:t xml:space="preserve">and consistency </w:t>
      </w:r>
      <w:r w:rsidRPr="002462F0">
        <w:rPr>
          <w:lang w:val="en-US" w:eastAsia="fr-FR"/>
        </w:rPr>
        <w:t xml:space="preserve">of the </w:t>
      </w:r>
      <w:r>
        <w:rPr>
          <w:lang w:val="en-US" w:eastAsia="fr-FR"/>
        </w:rPr>
        <w:t>energy consumptions from the energy balance could</w:t>
      </w:r>
      <w:r w:rsidRPr="002462F0">
        <w:rPr>
          <w:lang w:val="en-US" w:eastAsia="fr-FR"/>
        </w:rPr>
        <w:t xml:space="preserve"> be improved</w:t>
      </w:r>
      <w:r>
        <w:rPr>
          <w:lang w:val="en-US" w:eastAsia="fr-FR"/>
        </w:rPr>
        <w:t>, in particular for the agriculture/forestry (1A4c) sector. To do so, discussion</w:t>
      </w:r>
      <w:r w:rsidR="000003BF">
        <w:rPr>
          <w:lang w:val="en-US" w:eastAsia="fr-FR"/>
        </w:rPr>
        <w:t>s</w:t>
      </w:r>
      <w:r>
        <w:rPr>
          <w:lang w:val="en-US" w:eastAsia="fr-FR"/>
        </w:rPr>
        <w:t xml:space="preserve"> with experts from the </w:t>
      </w:r>
      <w:r w:rsidR="009500B7">
        <w:rPr>
          <w:lang w:val="en-US" w:eastAsia="fr-FR"/>
        </w:rPr>
        <w:t>Ministry of Mining and Energy</w:t>
      </w:r>
      <w:r w:rsidR="00C40C81">
        <w:rPr>
          <w:lang w:val="en-US" w:eastAsia="fr-FR"/>
        </w:rPr>
        <w:t>, which develop energy balances, need to be engaged.</w:t>
      </w:r>
    </w:p>
    <w:p w14:paraId="75F4D062" w14:textId="287217B7" w:rsidR="00614555" w:rsidRPr="002462F0" w:rsidRDefault="00614555" w:rsidP="008343C3">
      <w:pPr>
        <w:pStyle w:val="Heading2"/>
        <w:rPr>
          <w:rStyle w:val="Heading2Char"/>
          <w:b/>
          <w:lang w:val="en-GB"/>
        </w:rPr>
      </w:pPr>
      <w:bookmarkStart w:id="285" w:name="_Toc496101039"/>
      <w:bookmarkStart w:id="286" w:name="_Toc182327777"/>
      <w:bookmarkStart w:id="287" w:name="_Toc184808190"/>
      <w:r w:rsidRPr="002462F0">
        <w:rPr>
          <w:rStyle w:val="Heading2Char"/>
          <w:b/>
          <w:lang w:val="en-GB"/>
        </w:rPr>
        <w:t>Fugitive emissions from solid fuels and oil and natural gas and other emissions from</w:t>
      </w:r>
      <w:r w:rsidR="008343C3" w:rsidRPr="002462F0">
        <w:rPr>
          <w:rStyle w:val="Heading2Char"/>
          <w:b/>
          <w:lang w:val="en-GB"/>
        </w:rPr>
        <w:t xml:space="preserve"> </w:t>
      </w:r>
      <w:r w:rsidRPr="002462F0">
        <w:rPr>
          <w:rStyle w:val="Heading2Char"/>
          <w:b/>
          <w:lang w:val="en-GB"/>
        </w:rPr>
        <w:t>energy production (</w:t>
      </w:r>
      <w:r w:rsidR="000F6001">
        <w:rPr>
          <w:rStyle w:val="Heading2Char"/>
          <w:b/>
          <w:lang w:val="en-GB"/>
        </w:rPr>
        <w:t>CRT</w:t>
      </w:r>
      <w:r w:rsidRPr="002462F0">
        <w:rPr>
          <w:rStyle w:val="Heading2Char"/>
          <w:b/>
          <w:lang w:val="en-GB"/>
        </w:rPr>
        <w:t xml:space="preserve"> 1.B)</w:t>
      </w:r>
      <w:bookmarkEnd w:id="285"/>
      <w:bookmarkEnd w:id="286"/>
      <w:bookmarkEnd w:id="287"/>
    </w:p>
    <w:p w14:paraId="4BEB45B9" w14:textId="6DC27B1A" w:rsidR="00614555" w:rsidRDefault="00614555" w:rsidP="00FE2A5E">
      <w:pPr>
        <w:pStyle w:val="Heading3"/>
        <w:rPr>
          <w:lang w:val="en-GB" w:eastAsia="fr-FR"/>
        </w:rPr>
      </w:pPr>
      <w:bookmarkStart w:id="288" w:name="_Toc496101040"/>
      <w:bookmarkStart w:id="289" w:name="_Toc182327778"/>
      <w:bookmarkStart w:id="290" w:name="_Toc184808191"/>
      <w:r w:rsidRPr="002462F0">
        <w:rPr>
          <w:lang w:val="en-GB" w:eastAsia="fr-FR"/>
        </w:rPr>
        <w:t xml:space="preserve">Category </w:t>
      </w:r>
      <w:bookmarkEnd w:id="288"/>
      <w:r w:rsidR="00A023B0" w:rsidRPr="002462F0">
        <w:rPr>
          <w:lang w:val="en-GB" w:eastAsia="fr-FR"/>
        </w:rPr>
        <w:t>description</w:t>
      </w:r>
      <w:bookmarkEnd w:id="289"/>
      <w:bookmarkEnd w:id="290"/>
    </w:p>
    <w:p w14:paraId="1BDEA972" w14:textId="77777777" w:rsidR="00A944C8" w:rsidRDefault="00A944C8" w:rsidP="00A944C8">
      <w:r>
        <w:t>Intentional or unintentional release of greenhouse gases may occur during the extraction, processing and delivery of fossil fuels to the point of final use. These are known as fugitive emissions.</w:t>
      </w:r>
    </w:p>
    <w:p w14:paraId="481728B8" w14:textId="06EC0516" w:rsidR="00A944C8" w:rsidRDefault="00A944C8" w:rsidP="00A944C8">
      <w:r>
        <w:t xml:space="preserve">In </w:t>
      </w:r>
      <w:r w:rsidR="000F5CFD">
        <w:t xml:space="preserve">the Republic of </w:t>
      </w:r>
      <w:r>
        <w:t>Serbia, there are fugitive emissions associated</w:t>
      </w:r>
      <w:r w:rsidR="00EE1BA1">
        <w:t xml:space="preserve"> with:</w:t>
      </w:r>
    </w:p>
    <w:p w14:paraId="3B81FE6D" w14:textId="3C049CC0" w:rsidR="00EE1BA1" w:rsidRDefault="00EE1BA1" w:rsidP="00EE1BA1">
      <w:pPr>
        <w:pStyle w:val="ListParagraph"/>
        <w:numPr>
          <w:ilvl w:val="0"/>
          <w:numId w:val="27"/>
        </w:numPr>
        <w:rPr>
          <w:lang w:eastAsia="fr-FR"/>
        </w:rPr>
      </w:pPr>
      <w:r w:rsidRPr="00EE1BA1">
        <w:rPr>
          <w:u w:val="single"/>
          <w:lang w:eastAsia="fr-FR"/>
        </w:rPr>
        <w:t>Coal mining and handling</w:t>
      </w:r>
      <w:r>
        <w:rPr>
          <w:lang w:eastAsia="fr-FR"/>
        </w:rPr>
        <w:t>: mining activities in underground and surface mines, post-mining emissions and emis</w:t>
      </w:r>
      <w:r w:rsidR="008F33EF">
        <w:rPr>
          <w:lang w:eastAsia="fr-FR"/>
        </w:rPr>
        <w:t>sions from abandoned underground</w:t>
      </w:r>
      <w:r>
        <w:rPr>
          <w:lang w:eastAsia="fr-FR"/>
        </w:rPr>
        <w:t xml:space="preserve"> mines</w:t>
      </w:r>
      <w:r w:rsidR="00785BE3">
        <w:rPr>
          <w:lang w:eastAsia="fr-FR"/>
        </w:rPr>
        <w:t>,</w:t>
      </w:r>
    </w:p>
    <w:p w14:paraId="050A5E70" w14:textId="17FE405A" w:rsidR="00EE1BA1" w:rsidRDefault="00EE1BA1" w:rsidP="00EE1BA1">
      <w:pPr>
        <w:pStyle w:val="ListParagraph"/>
        <w:numPr>
          <w:ilvl w:val="0"/>
          <w:numId w:val="27"/>
        </w:numPr>
        <w:rPr>
          <w:lang w:eastAsia="fr-FR"/>
        </w:rPr>
      </w:pPr>
      <w:r w:rsidRPr="00EE1BA1">
        <w:rPr>
          <w:u w:val="single"/>
          <w:lang w:eastAsia="fr-FR"/>
        </w:rPr>
        <w:t>Oil systems</w:t>
      </w:r>
      <w:r w:rsidR="00B92B2C">
        <w:rPr>
          <w:lang w:eastAsia="fr-FR"/>
        </w:rPr>
        <w:t xml:space="preserve">: </w:t>
      </w:r>
      <w:r>
        <w:rPr>
          <w:lang w:eastAsia="fr-FR"/>
        </w:rPr>
        <w:t>production and upgrading of oil, transport of oil</w:t>
      </w:r>
      <w:r w:rsidR="00B92B2C">
        <w:rPr>
          <w:lang w:eastAsia="fr-FR"/>
        </w:rPr>
        <w:t>, venting and flaring</w:t>
      </w:r>
      <w:r w:rsidR="00785BE3">
        <w:rPr>
          <w:lang w:eastAsia="fr-FR"/>
        </w:rPr>
        <w:t>,</w:t>
      </w:r>
    </w:p>
    <w:p w14:paraId="79D5A30F" w14:textId="77777777" w:rsidR="00EE1BA1" w:rsidRDefault="00EE1BA1" w:rsidP="00EE1BA1">
      <w:pPr>
        <w:pStyle w:val="ListParagraph"/>
        <w:numPr>
          <w:ilvl w:val="0"/>
          <w:numId w:val="27"/>
        </w:numPr>
        <w:rPr>
          <w:lang w:eastAsia="fr-FR"/>
        </w:rPr>
      </w:pPr>
      <w:r>
        <w:rPr>
          <w:u w:val="single"/>
          <w:lang w:eastAsia="fr-FR"/>
        </w:rPr>
        <w:t>Natural gas</w:t>
      </w:r>
      <w:r w:rsidRPr="00EE1BA1">
        <w:rPr>
          <w:u w:val="single"/>
          <w:lang w:eastAsia="fr-FR"/>
        </w:rPr>
        <w:t xml:space="preserve"> systems</w:t>
      </w:r>
      <w:r>
        <w:rPr>
          <w:lang w:eastAsia="fr-FR"/>
        </w:rPr>
        <w:t>:</w:t>
      </w:r>
      <w:r w:rsidR="00B92B2C">
        <w:rPr>
          <w:lang w:eastAsia="fr-FR"/>
        </w:rPr>
        <w:t xml:space="preserve"> </w:t>
      </w:r>
      <w:r>
        <w:rPr>
          <w:lang w:eastAsia="fr-FR"/>
        </w:rPr>
        <w:t>production of natural gas, processing of natural gas, transmission and storage of natural gas, distribution of natural gas</w:t>
      </w:r>
      <w:r w:rsidR="00B92B2C">
        <w:rPr>
          <w:lang w:eastAsia="fr-FR"/>
        </w:rPr>
        <w:t>, venting and flaring</w:t>
      </w:r>
      <w:r>
        <w:rPr>
          <w:lang w:eastAsia="fr-FR"/>
        </w:rPr>
        <w:t>.</w:t>
      </w:r>
    </w:p>
    <w:p w14:paraId="7062619B" w14:textId="35FBFF33" w:rsidR="00785BE3" w:rsidRPr="00622F40" w:rsidRDefault="00CC6AFE" w:rsidP="00785BE3">
      <w:pPr>
        <w:pStyle w:val="Caption"/>
        <w:keepNext/>
        <w:jc w:val="left"/>
        <w:rPr>
          <w:b w:val="0"/>
          <w:bCs w:val="0"/>
        </w:rPr>
      </w:pPr>
      <w:r w:rsidRPr="00622F40">
        <w:rPr>
          <w:b w:val="0"/>
          <w:bCs w:val="0"/>
        </w:rPr>
        <w:t xml:space="preserve">The following graphs present the evolution of </w:t>
      </w:r>
      <w:r w:rsidR="00D61D4B" w:rsidRPr="00622F40">
        <w:rPr>
          <w:b w:val="0"/>
          <w:bCs w:val="0"/>
        </w:rPr>
        <w:t xml:space="preserve">the main activities of the different </w:t>
      </w:r>
      <w:r w:rsidR="009173B3" w:rsidRPr="00622F40">
        <w:rPr>
          <w:b w:val="0"/>
          <w:bCs w:val="0"/>
        </w:rPr>
        <w:t>subsectors of the fugitive emissions:</w:t>
      </w:r>
    </w:p>
    <w:p w14:paraId="58837B00" w14:textId="37B4CD08" w:rsidR="009173B3" w:rsidRDefault="009173B3" w:rsidP="009173B3">
      <w:pPr>
        <w:pStyle w:val="ListParagraph"/>
        <w:numPr>
          <w:ilvl w:val="0"/>
          <w:numId w:val="71"/>
        </w:numPr>
      </w:pPr>
      <w:r>
        <w:t xml:space="preserve">Solid fuels (CRT 1B1): amounts of solid fuels produced in underground and </w:t>
      </w:r>
      <w:r w:rsidR="003662A1">
        <w:t>surface mines;</w:t>
      </w:r>
    </w:p>
    <w:p w14:paraId="2C9F6CFF" w14:textId="482CAA81" w:rsidR="003662A1" w:rsidRDefault="003662A1" w:rsidP="009173B3">
      <w:pPr>
        <w:pStyle w:val="ListParagraph"/>
        <w:numPr>
          <w:ilvl w:val="0"/>
          <w:numId w:val="71"/>
        </w:numPr>
      </w:pPr>
      <w:r>
        <w:t>Liquid fuels (CRT 1B2a): amounts of crude oil produced and transported;</w:t>
      </w:r>
    </w:p>
    <w:p w14:paraId="0F1B4212" w14:textId="3CD891AA" w:rsidR="003662A1" w:rsidRDefault="003662A1" w:rsidP="009173B3">
      <w:pPr>
        <w:pStyle w:val="ListParagraph"/>
        <w:numPr>
          <w:ilvl w:val="0"/>
          <w:numId w:val="71"/>
        </w:numPr>
      </w:pPr>
      <w:r>
        <w:lastRenderedPageBreak/>
        <w:t xml:space="preserve">Gaseous fuels (CRT 1B2b): amounts of gas produced, </w:t>
      </w:r>
      <w:r w:rsidR="00F27B0F">
        <w:t>transported (high-pressure pipeline system)</w:t>
      </w:r>
      <w:r>
        <w:t xml:space="preserve"> and </w:t>
      </w:r>
      <w:r w:rsidR="00F27B0F">
        <w:t>distributed (low-pressure pipeline system)</w:t>
      </w:r>
      <w:r w:rsidR="00C40E78">
        <w:t>.</w:t>
      </w:r>
    </w:p>
    <w:p w14:paraId="026CE8C1" w14:textId="3C1CC999" w:rsidR="00C40E78" w:rsidRDefault="009500B7" w:rsidP="009500B7">
      <w:pPr>
        <w:spacing w:after="0"/>
      </w:pPr>
      <w:r>
        <w:t>I</w:t>
      </w:r>
      <w:r w:rsidR="00C40E78">
        <w:t>n the following</w:t>
      </w:r>
      <w:r>
        <w:t xml:space="preserve"> </w:t>
      </w:r>
      <w:r>
        <w:fldChar w:fldCharType="begin"/>
      </w:r>
      <w:r>
        <w:instrText xml:space="preserve"> REF _Ref175299372 \h </w:instrText>
      </w:r>
      <w:r>
        <w:fldChar w:fldCharType="separate"/>
      </w:r>
      <w:r>
        <w:t xml:space="preserve">Figure </w:t>
      </w:r>
      <w:r>
        <w:rPr>
          <w:noProof/>
        </w:rPr>
        <w:t>25</w:t>
      </w:r>
      <w:r>
        <w:fldChar w:fldCharType="end"/>
      </w:r>
      <w:r>
        <w:t xml:space="preserve">, </w:t>
      </w:r>
      <w:r>
        <w:fldChar w:fldCharType="begin"/>
      </w:r>
      <w:r>
        <w:instrText xml:space="preserve"> REF _Ref175299756 \h </w:instrText>
      </w:r>
      <w:r>
        <w:fldChar w:fldCharType="separate"/>
      </w:r>
      <w:r>
        <w:t xml:space="preserve">Figure </w:t>
      </w:r>
      <w:r>
        <w:rPr>
          <w:noProof/>
        </w:rPr>
        <w:t>26</w:t>
      </w:r>
      <w:r>
        <w:fldChar w:fldCharType="end"/>
      </w:r>
      <w:r>
        <w:t xml:space="preserve"> and </w:t>
      </w:r>
      <w:r>
        <w:fldChar w:fldCharType="begin"/>
      </w:r>
      <w:r>
        <w:instrText xml:space="preserve"> REF _Ref175301942 \h </w:instrText>
      </w:r>
      <w:r>
        <w:fldChar w:fldCharType="separate"/>
      </w:r>
      <w:r>
        <w:t xml:space="preserve">Figure </w:t>
      </w:r>
      <w:r>
        <w:rPr>
          <w:noProof/>
        </w:rPr>
        <w:t>27</w:t>
      </w:r>
      <w:r>
        <w:fldChar w:fldCharType="end"/>
      </w:r>
      <w:r w:rsidR="00C40E78">
        <w:t xml:space="preserve">, the </w:t>
      </w:r>
      <w:r>
        <w:t>evolution of the activity data relevant for fugitive emissions</w:t>
      </w:r>
      <w:r w:rsidR="00C40E78">
        <w:t xml:space="preserve"> </w:t>
      </w:r>
      <w:r w:rsidR="00DA1D0B">
        <w:t xml:space="preserve">are </w:t>
      </w:r>
      <w:r>
        <w:t>presented</w:t>
      </w:r>
      <w:r w:rsidR="00DA1D0B">
        <w:t xml:space="preserve"> </w:t>
      </w:r>
      <w:r w:rsidR="00A757D5">
        <w:t>independently</w:t>
      </w:r>
      <w:r w:rsidR="00041A2B">
        <w:t xml:space="preserve">. </w:t>
      </w:r>
    </w:p>
    <w:p w14:paraId="1DD9F9F5" w14:textId="77777777" w:rsidR="00570EF4" w:rsidRDefault="00D369E9" w:rsidP="009500B7">
      <w:pPr>
        <w:keepNext/>
        <w:spacing w:before="120" w:after="0"/>
      </w:pPr>
      <w:r>
        <w:rPr>
          <w:noProof/>
          <w:lang w:val="en-US"/>
        </w:rPr>
        <w:drawing>
          <wp:inline distT="0" distB="0" distL="0" distR="0" wp14:anchorId="35370A1E" wp14:editId="3E48ACBB">
            <wp:extent cx="5583894" cy="2928395"/>
            <wp:effectExtent l="0" t="0" r="0" b="5715"/>
            <wp:docPr id="1191951335"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1851" cy="2937812"/>
                    </a:xfrm>
                    <a:prstGeom prst="rect">
                      <a:avLst/>
                    </a:prstGeom>
                    <a:noFill/>
                  </pic:spPr>
                </pic:pic>
              </a:graphicData>
            </a:graphic>
          </wp:inline>
        </w:drawing>
      </w:r>
    </w:p>
    <w:p w14:paraId="653A2463" w14:textId="6CF8C135" w:rsidR="00543BD3" w:rsidRDefault="00570EF4" w:rsidP="009500B7">
      <w:pPr>
        <w:pStyle w:val="Caption"/>
        <w:spacing w:before="0" w:after="0"/>
        <w:jc w:val="both"/>
      </w:pPr>
      <w:bookmarkStart w:id="291" w:name="_Ref175299372"/>
      <w:bookmarkStart w:id="292" w:name="_Toc184808412"/>
      <w:r>
        <w:t xml:space="preserve">Figure </w:t>
      </w:r>
      <w:r>
        <w:fldChar w:fldCharType="begin"/>
      </w:r>
      <w:r>
        <w:instrText xml:space="preserve"> SEQ Figure \* ARABIC </w:instrText>
      </w:r>
      <w:r>
        <w:fldChar w:fldCharType="separate"/>
      </w:r>
      <w:r w:rsidR="00F14C78">
        <w:rPr>
          <w:noProof/>
        </w:rPr>
        <w:t>25</w:t>
      </w:r>
      <w:r>
        <w:fldChar w:fldCharType="end"/>
      </w:r>
      <w:bookmarkEnd w:id="291"/>
      <w:r>
        <w:t>: Evolution of the solid fuel production in Serbia, distinguished with underground and surface mining, for the period 1990-2022 (in kt)</w:t>
      </w:r>
      <w:bookmarkEnd w:id="292"/>
    </w:p>
    <w:p w14:paraId="00BD83F3" w14:textId="77777777" w:rsidR="009500B7" w:rsidRPr="009500B7" w:rsidRDefault="009500B7" w:rsidP="009500B7"/>
    <w:p w14:paraId="40998FD6" w14:textId="6B95590C" w:rsidR="00543BD3" w:rsidRPr="00543BD3" w:rsidRDefault="00543BD3" w:rsidP="00543BD3">
      <w:r>
        <w:t>For the mining of solid fuels, it can be observed that most of the production occ</w:t>
      </w:r>
      <w:r w:rsidR="00D461C1">
        <w:t xml:space="preserve">urs in surface mines. </w:t>
      </w:r>
      <w:r w:rsidR="001C60C7">
        <w:t xml:space="preserve">The overall production has been reduced by 18% between </w:t>
      </w:r>
      <w:r w:rsidR="008E546D">
        <w:t xml:space="preserve">1990 and 2022. The evolution of the trend </w:t>
      </w:r>
      <w:r w:rsidR="00A528B8">
        <w:t xml:space="preserve">corresponds with the various events evoked in Chapter </w:t>
      </w:r>
      <w:r w:rsidR="00A528B8">
        <w:fldChar w:fldCharType="begin"/>
      </w:r>
      <w:r w:rsidR="00A528B8">
        <w:instrText xml:space="preserve"> REF _Ref175233643 \r \h </w:instrText>
      </w:r>
      <w:r w:rsidR="00A528B8">
        <w:fldChar w:fldCharType="separate"/>
      </w:r>
      <w:r w:rsidR="00F14C78">
        <w:t>3.1</w:t>
      </w:r>
      <w:r w:rsidR="00A528B8">
        <w:fldChar w:fldCharType="end"/>
      </w:r>
      <w:r w:rsidR="00A528B8">
        <w:t xml:space="preserve">, with </w:t>
      </w:r>
      <w:r w:rsidR="00F95337">
        <w:t xml:space="preserve">a first decline observed during the hyperinflation period (1992-1994), </w:t>
      </w:r>
      <w:r w:rsidR="0001055B">
        <w:t xml:space="preserve">followed by a drastic drop </w:t>
      </w:r>
      <w:r w:rsidR="00F95337">
        <w:t>during the NATO bombing in (1999)</w:t>
      </w:r>
      <w:r w:rsidR="0001055B">
        <w:t xml:space="preserve">, and then during the floodings in 2014. In the most recent years, a </w:t>
      </w:r>
      <w:r w:rsidR="00876F97">
        <w:t>small reduction can be observed (-11% between 2020 and 2022), related</w:t>
      </w:r>
      <w:r w:rsidR="009500B7">
        <w:t xml:space="preserve"> to the coal production </w:t>
      </w:r>
      <w:r w:rsidR="00BD0C78">
        <w:t>bottlenecks and therefore</w:t>
      </w:r>
      <w:r w:rsidR="00876F97">
        <w:t xml:space="preserve"> to the smaller use of this fuel in </w:t>
      </w:r>
      <w:r w:rsidR="003176FE">
        <w:t xml:space="preserve">the electricity production, but also </w:t>
      </w:r>
      <w:r w:rsidR="00876F97">
        <w:t xml:space="preserve">industrial, commercial and residential </w:t>
      </w:r>
      <w:r w:rsidR="003176FE">
        <w:t>combustions</w:t>
      </w:r>
      <w:r w:rsidR="00876F97">
        <w:t xml:space="preserve">. </w:t>
      </w:r>
      <w:r w:rsidR="008E3140">
        <w:t xml:space="preserve">However, a rather large amount is still produced as it is the main fuel </w:t>
      </w:r>
      <w:r w:rsidR="003841A4">
        <w:t>used for electricity production.</w:t>
      </w:r>
    </w:p>
    <w:p w14:paraId="3807EE57" w14:textId="2ADF54AC" w:rsidR="00D369E9" w:rsidRDefault="00D369E9" w:rsidP="00BD0C78">
      <w:pPr>
        <w:spacing w:after="0"/>
      </w:pPr>
      <w:r>
        <w:rPr>
          <w:noProof/>
          <w:lang w:val="en-US"/>
        </w:rPr>
        <w:lastRenderedPageBreak/>
        <w:drawing>
          <wp:inline distT="0" distB="0" distL="0" distR="0" wp14:anchorId="6795DF56" wp14:editId="2D098F5F">
            <wp:extent cx="5195965" cy="3223549"/>
            <wp:effectExtent l="0" t="0" r="5080" b="0"/>
            <wp:docPr id="928574"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3601" cy="3228286"/>
                    </a:xfrm>
                    <a:prstGeom prst="rect">
                      <a:avLst/>
                    </a:prstGeom>
                    <a:noFill/>
                  </pic:spPr>
                </pic:pic>
              </a:graphicData>
            </a:graphic>
          </wp:inline>
        </w:drawing>
      </w:r>
    </w:p>
    <w:p w14:paraId="52FDD9DF" w14:textId="3EB72D55" w:rsidR="00570EF4" w:rsidRDefault="00570EF4" w:rsidP="00BD0C78">
      <w:pPr>
        <w:pStyle w:val="Caption"/>
        <w:spacing w:before="0" w:after="0"/>
        <w:jc w:val="both"/>
      </w:pPr>
      <w:bookmarkStart w:id="293" w:name="_Ref175299756"/>
      <w:bookmarkStart w:id="294" w:name="_Toc184808413"/>
      <w:r w:rsidRPr="007759DA">
        <w:t xml:space="preserve">Figure </w:t>
      </w:r>
      <w:r w:rsidRPr="007759DA">
        <w:fldChar w:fldCharType="begin"/>
      </w:r>
      <w:r w:rsidRPr="007759DA">
        <w:instrText xml:space="preserve"> SEQ Figure \* ARABIC </w:instrText>
      </w:r>
      <w:r w:rsidRPr="007759DA">
        <w:fldChar w:fldCharType="separate"/>
      </w:r>
      <w:r w:rsidR="00F14C78" w:rsidRPr="007759DA">
        <w:rPr>
          <w:noProof/>
        </w:rPr>
        <w:t>26</w:t>
      </w:r>
      <w:r w:rsidRPr="007759DA">
        <w:fldChar w:fldCharType="end"/>
      </w:r>
      <w:bookmarkEnd w:id="293"/>
      <w:r w:rsidRPr="007759DA">
        <w:t xml:space="preserve">: Evolution of the amounts of crude oil produced and transported, for the period 1990-2022 (in </w:t>
      </w:r>
      <w:r w:rsidR="00BD0C78" w:rsidRPr="007759DA">
        <w:t xml:space="preserve">000 </w:t>
      </w:r>
      <w:r w:rsidRPr="007759DA">
        <w:t>m</w:t>
      </w:r>
      <w:r w:rsidRPr="007759DA">
        <w:rPr>
          <w:vertAlign w:val="superscript"/>
        </w:rPr>
        <w:t>3</w:t>
      </w:r>
      <w:r w:rsidRPr="007759DA">
        <w:t>)</w:t>
      </w:r>
      <w:bookmarkEnd w:id="294"/>
    </w:p>
    <w:p w14:paraId="4A61D2EF" w14:textId="77777777" w:rsidR="00BD0C78" w:rsidRPr="00BD0C78" w:rsidRDefault="00BD0C78" w:rsidP="00BD0C78"/>
    <w:p w14:paraId="7071C628" w14:textId="1064C7ED" w:rsidR="00760441" w:rsidRDefault="003841A4" w:rsidP="00C40E78">
      <w:r>
        <w:t xml:space="preserve">The amount of crude oil produced in the Republic of Serbia is rather stable </w:t>
      </w:r>
      <w:r w:rsidR="004B3B8B">
        <w:t xml:space="preserve">for the period 1990-2022. A </w:t>
      </w:r>
      <w:r w:rsidR="001C0359">
        <w:t>sudden reduction can be observed in 1999 during the NATO bombing. Then, a significant increase has been observed from 2010 to 2012</w:t>
      </w:r>
      <w:r w:rsidR="00033E68">
        <w:t xml:space="preserve">, following the global economic crisis of 2009. </w:t>
      </w:r>
      <w:r w:rsidR="00346155">
        <w:t>Since 20</w:t>
      </w:r>
      <w:r w:rsidR="005575F5">
        <w:t>13, a slow but progressive declining trend can be observed</w:t>
      </w:r>
      <w:r w:rsidR="002A3E0D">
        <w:t xml:space="preserve">, </w:t>
      </w:r>
      <w:r w:rsidR="005575F5">
        <w:t xml:space="preserve">the crude oil production has dropped by 31%. </w:t>
      </w:r>
    </w:p>
    <w:p w14:paraId="42663222" w14:textId="1A2301C1" w:rsidR="005575F5" w:rsidRDefault="005575F5" w:rsidP="00C40E78">
      <w:r>
        <w:t xml:space="preserve">The </w:t>
      </w:r>
      <w:r w:rsidR="00F9118B">
        <w:t xml:space="preserve">trend of the amounts of crude oil transported in the Republic of Serbia is </w:t>
      </w:r>
      <w:r w:rsidR="000144F2">
        <w:t xml:space="preserve">much </w:t>
      </w:r>
      <w:r w:rsidR="00F9118B">
        <w:t>more instable</w:t>
      </w:r>
      <w:r w:rsidR="000144F2">
        <w:t xml:space="preserve"> and follows </w:t>
      </w:r>
      <w:r w:rsidR="00C6055B">
        <w:t>the evolution of the amount of crude oil</w:t>
      </w:r>
      <w:r w:rsidR="00BD0C78">
        <w:t xml:space="preserve"> used for refining</w:t>
      </w:r>
      <w:r w:rsidR="00C6055B">
        <w:t xml:space="preserve">, as presented in Chapter </w:t>
      </w:r>
      <w:r w:rsidR="00C6055B">
        <w:fldChar w:fldCharType="begin"/>
      </w:r>
      <w:r w:rsidR="00C6055B">
        <w:instrText xml:space="preserve"> REF _Ref175234898 \r \h </w:instrText>
      </w:r>
      <w:r w:rsidR="00C6055B">
        <w:fldChar w:fldCharType="separate"/>
      </w:r>
      <w:r w:rsidR="00F14C78">
        <w:t>3.2.5.2.1</w:t>
      </w:r>
      <w:r w:rsidR="00C6055B">
        <w:fldChar w:fldCharType="end"/>
      </w:r>
      <w:r w:rsidR="00C6055B">
        <w:t xml:space="preserve">. </w:t>
      </w:r>
    </w:p>
    <w:p w14:paraId="07E5969A" w14:textId="103EF10A" w:rsidR="00C6055B" w:rsidRPr="00BD0C78" w:rsidRDefault="00760CF7" w:rsidP="00BD0C78">
      <w:pPr>
        <w:spacing w:after="0" w:line="240" w:lineRule="auto"/>
        <w:rPr>
          <w:highlight w:val="yellow"/>
        </w:rPr>
      </w:pPr>
      <w:r w:rsidRPr="00BD0C78">
        <w:rPr>
          <w:noProof/>
          <w:highlight w:val="yellow"/>
          <w:lang w:val="en-US"/>
        </w:rPr>
        <w:drawing>
          <wp:inline distT="0" distB="0" distL="0" distR="0" wp14:anchorId="7DF136D4" wp14:editId="665D8DAF">
            <wp:extent cx="5759274" cy="3559215"/>
            <wp:effectExtent l="0" t="0" r="0" b="3175"/>
            <wp:docPr id="413724479"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876" cy="3560205"/>
                    </a:xfrm>
                    <a:prstGeom prst="rect">
                      <a:avLst/>
                    </a:prstGeom>
                    <a:noFill/>
                  </pic:spPr>
                </pic:pic>
              </a:graphicData>
            </a:graphic>
          </wp:inline>
        </w:drawing>
      </w:r>
    </w:p>
    <w:p w14:paraId="0E515A6E" w14:textId="6BE69B11" w:rsidR="00570EF4" w:rsidRDefault="00570EF4" w:rsidP="00BD0C78">
      <w:pPr>
        <w:pStyle w:val="Caption"/>
        <w:spacing w:before="0"/>
        <w:jc w:val="both"/>
      </w:pPr>
      <w:bookmarkStart w:id="295" w:name="_Ref175301942"/>
      <w:bookmarkStart w:id="296" w:name="_Toc184808414"/>
      <w:r w:rsidRPr="007759DA">
        <w:t xml:space="preserve">Figure </w:t>
      </w:r>
      <w:r w:rsidRPr="007759DA">
        <w:fldChar w:fldCharType="begin"/>
      </w:r>
      <w:r w:rsidRPr="007759DA">
        <w:instrText xml:space="preserve"> SEQ Figure \* ARABIC </w:instrText>
      </w:r>
      <w:r w:rsidRPr="007759DA">
        <w:fldChar w:fldCharType="separate"/>
      </w:r>
      <w:r w:rsidR="00F14C78" w:rsidRPr="007759DA">
        <w:rPr>
          <w:noProof/>
        </w:rPr>
        <w:t>27</w:t>
      </w:r>
      <w:r w:rsidRPr="007759DA">
        <w:fldChar w:fldCharType="end"/>
      </w:r>
      <w:bookmarkEnd w:id="295"/>
      <w:r w:rsidRPr="007759DA">
        <w:t>: Evolution of the amounts of gas produced, transported and distributed, for the period 1990-2022 (in M</w:t>
      </w:r>
      <w:r w:rsidR="00BD0C78" w:rsidRPr="007759DA">
        <w:t xml:space="preserve">io </w:t>
      </w:r>
      <w:r w:rsidRPr="007759DA">
        <w:t>m</w:t>
      </w:r>
      <w:r w:rsidRPr="007759DA">
        <w:rPr>
          <w:vertAlign w:val="superscript"/>
        </w:rPr>
        <w:t>3</w:t>
      </w:r>
      <w:r w:rsidRPr="007759DA">
        <w:t>)</w:t>
      </w:r>
      <w:bookmarkEnd w:id="296"/>
    </w:p>
    <w:p w14:paraId="18806C72" w14:textId="47EA1001" w:rsidR="004508B2" w:rsidRDefault="00184BF0" w:rsidP="00C40E78">
      <w:r>
        <w:lastRenderedPageBreak/>
        <w:t xml:space="preserve">The evolution </w:t>
      </w:r>
      <w:r w:rsidR="00F31F60">
        <w:t>of the trends of gas transported and distributed are rather similar and show a relative progressive increas</w:t>
      </w:r>
      <w:r w:rsidR="00527D07">
        <w:t>e</w:t>
      </w:r>
      <w:r w:rsidR="00F31F60">
        <w:t xml:space="preserve"> in the most recent years.</w:t>
      </w:r>
      <w:r w:rsidR="000E1E8F">
        <w:t xml:space="preserve"> This is coherent with the evolution of the fuel consumptions observed for the latest years, in particular in the electricity production and residential heating.</w:t>
      </w:r>
      <w:r w:rsidR="00F31F60">
        <w:t xml:space="preserve"> </w:t>
      </w:r>
      <w:r w:rsidR="008567E8">
        <w:t>The trendline for the period 1990-20</w:t>
      </w:r>
      <w:r w:rsidR="00527D07">
        <w:t>14</w:t>
      </w:r>
      <w:r w:rsidR="008567E8">
        <w:t xml:space="preserve"> follows the list of events described in Chapter </w:t>
      </w:r>
      <w:r w:rsidR="008567E8">
        <w:fldChar w:fldCharType="begin"/>
      </w:r>
      <w:r w:rsidR="008567E8">
        <w:instrText xml:space="preserve"> REF _Ref175235211 \r \h </w:instrText>
      </w:r>
      <w:r w:rsidR="008567E8">
        <w:fldChar w:fldCharType="separate"/>
      </w:r>
      <w:r w:rsidR="00F14C78">
        <w:t>3.1</w:t>
      </w:r>
      <w:r w:rsidR="008567E8">
        <w:fldChar w:fldCharType="end"/>
      </w:r>
      <w:r w:rsidR="008567E8">
        <w:t xml:space="preserve"> and the other subchapters. </w:t>
      </w:r>
    </w:p>
    <w:p w14:paraId="58490189" w14:textId="41326E10" w:rsidR="002B0460" w:rsidRDefault="000E1E8F" w:rsidP="00C40E78">
      <w:r>
        <w:t>The amounts of gas produced on the Serbian territory are r</w:t>
      </w:r>
      <w:r w:rsidR="008F2AB2">
        <w:t xml:space="preserve">ather small compared with the amounts of gas transported, and represents 10% in 1990 and </w:t>
      </w:r>
      <w:r w:rsidR="00FC00A8">
        <w:t xml:space="preserve">5% in 2022. Despite the increasing amounts of gas transported and distributed (hence, consumed), the amounts of gas produced are in a progressive decline </w:t>
      </w:r>
      <w:r w:rsidR="002B0460">
        <w:t xml:space="preserve">since 2015 (-43% in 2022). </w:t>
      </w:r>
    </w:p>
    <w:p w14:paraId="56DEA28A" w14:textId="40B6BF82" w:rsidR="00EE55CD" w:rsidRDefault="00EE55CD" w:rsidP="00EE55CD">
      <w:pPr>
        <w:autoSpaceDE w:val="0"/>
        <w:autoSpaceDN w:val="0"/>
        <w:adjustRightInd w:val="0"/>
        <w:spacing w:after="0" w:line="240" w:lineRule="auto"/>
        <w:rPr>
          <w:rFonts w:cs="MyriadPro-Regular"/>
          <w:color w:val="1D1D1B"/>
          <w:szCs w:val="20"/>
          <w:lang w:val="en-US"/>
        </w:rPr>
      </w:pPr>
      <w:r w:rsidRPr="008977F1">
        <w:rPr>
          <w:rFonts w:cs="MyriadPro-Regular"/>
          <w:color w:val="1D1D1B"/>
          <w:szCs w:val="20"/>
          <w:lang w:val="en-US"/>
        </w:rPr>
        <w:t xml:space="preserve">In 2022, the different categories </w:t>
      </w:r>
      <w:r w:rsidR="008E2136">
        <w:rPr>
          <w:rFonts w:cs="MyriadPro-Regular"/>
          <w:color w:val="1D1D1B"/>
          <w:szCs w:val="20"/>
          <w:lang w:val="en-US"/>
        </w:rPr>
        <w:t>from the Fugitive sector which</w:t>
      </w:r>
      <w:r w:rsidRPr="008977F1">
        <w:rPr>
          <w:rFonts w:cs="MyriadPro-Regular"/>
          <w:color w:val="1D1D1B"/>
          <w:szCs w:val="20"/>
          <w:lang w:val="en-US"/>
        </w:rPr>
        <w:t xml:space="preserve"> are key categories in </w:t>
      </w:r>
      <w:r w:rsidR="008E2136">
        <w:rPr>
          <w:rFonts w:cs="MyriadPro-Regular"/>
          <w:color w:val="1D1D1B"/>
          <w:szCs w:val="20"/>
          <w:lang w:val="en-US"/>
        </w:rPr>
        <w:t xml:space="preserve">the Republic of </w:t>
      </w:r>
      <w:r w:rsidRPr="008977F1">
        <w:rPr>
          <w:rFonts w:cs="MyriadPro-Regular"/>
          <w:color w:val="1D1D1B"/>
          <w:szCs w:val="20"/>
          <w:lang w:val="en-US"/>
        </w:rPr>
        <w:t xml:space="preserve">Serbia, </w:t>
      </w:r>
      <w:r w:rsidR="008E2136">
        <w:rPr>
          <w:rFonts w:cs="MyriadPro-Regular"/>
          <w:color w:val="1D1D1B"/>
          <w:szCs w:val="20"/>
          <w:lang w:val="en-US"/>
        </w:rPr>
        <w:t>ei</w:t>
      </w:r>
      <w:r w:rsidRPr="008977F1">
        <w:rPr>
          <w:rFonts w:cs="MyriadPro-Regular"/>
          <w:color w:val="1D1D1B"/>
          <w:szCs w:val="20"/>
          <w:lang w:val="en-US"/>
        </w:rPr>
        <w:t>th</w:t>
      </w:r>
      <w:r w:rsidR="008E2136">
        <w:rPr>
          <w:rFonts w:cs="MyriadPro-Regular"/>
          <w:color w:val="1D1D1B"/>
          <w:szCs w:val="20"/>
          <w:lang w:val="en-US"/>
        </w:rPr>
        <w:t>er</w:t>
      </w:r>
      <w:r w:rsidRPr="008977F1">
        <w:rPr>
          <w:rFonts w:cs="MyriadPro-Regular"/>
          <w:color w:val="1D1D1B"/>
          <w:szCs w:val="20"/>
          <w:lang w:val="en-US"/>
        </w:rPr>
        <w:t xml:space="preserve"> in terms of levels </w:t>
      </w:r>
      <w:r w:rsidR="008E2136">
        <w:rPr>
          <w:rFonts w:cs="MyriadPro-Regular"/>
          <w:color w:val="1D1D1B"/>
          <w:szCs w:val="20"/>
          <w:lang w:val="en-US"/>
        </w:rPr>
        <w:t>or</w:t>
      </w:r>
      <w:r w:rsidRPr="008977F1">
        <w:rPr>
          <w:rFonts w:cs="MyriadPro-Regular"/>
          <w:color w:val="1D1D1B"/>
          <w:szCs w:val="20"/>
          <w:lang w:val="en-US"/>
        </w:rPr>
        <w:t xml:space="preserve"> trend of emissions, are as follows:</w:t>
      </w:r>
    </w:p>
    <w:p w14:paraId="360E7827" w14:textId="6376F0F1" w:rsidR="00EE55CD" w:rsidRDefault="00EE55CD" w:rsidP="00BD0C78">
      <w:pPr>
        <w:pStyle w:val="Caption"/>
        <w:keepNext/>
        <w:jc w:val="left"/>
      </w:pPr>
      <w:bookmarkStart w:id="297" w:name="_Toc184808564"/>
      <w:r>
        <w:t xml:space="preserve">Table </w:t>
      </w:r>
      <w:r>
        <w:fldChar w:fldCharType="begin"/>
      </w:r>
      <w:r>
        <w:instrText xml:space="preserve"> SEQ Table \* ARABIC </w:instrText>
      </w:r>
      <w:r>
        <w:fldChar w:fldCharType="separate"/>
      </w:r>
      <w:r w:rsidR="00F14C78">
        <w:rPr>
          <w:noProof/>
        </w:rPr>
        <w:t>21</w:t>
      </w:r>
      <w:r>
        <w:fldChar w:fldCharType="end"/>
      </w:r>
      <w:r>
        <w:t>: Key categories in level and trend for the Fugitive sector (CRT 1B), in 2022, excluding LULUCF</w:t>
      </w:r>
      <w:bookmarkEnd w:id="297"/>
    </w:p>
    <w:tbl>
      <w:tblPr>
        <w:tblStyle w:val="TableGrid"/>
        <w:tblW w:w="0" w:type="auto"/>
        <w:tblLook w:val="04A0" w:firstRow="1" w:lastRow="0" w:firstColumn="1" w:lastColumn="0" w:noHBand="0" w:noVBand="1"/>
      </w:tblPr>
      <w:tblGrid>
        <w:gridCol w:w="4248"/>
        <w:gridCol w:w="2410"/>
        <w:gridCol w:w="2404"/>
      </w:tblGrid>
      <w:tr w:rsidR="00EE55CD" w14:paraId="45301748" w14:textId="77777777" w:rsidTr="00BD0C78">
        <w:tc>
          <w:tcPr>
            <w:tcW w:w="4248" w:type="dxa"/>
            <w:shd w:val="clear" w:color="auto" w:fill="B8CCE4" w:themeFill="accent1" w:themeFillTint="66"/>
          </w:tcPr>
          <w:p w14:paraId="642438D9" w14:textId="77777777" w:rsidR="00EE55CD" w:rsidRDefault="00EE55CD">
            <w:pPr>
              <w:autoSpaceDE w:val="0"/>
              <w:autoSpaceDN w:val="0"/>
              <w:adjustRightInd w:val="0"/>
              <w:rPr>
                <w:rFonts w:cs="MyriadPro-Regular"/>
                <w:color w:val="1D1D1B"/>
                <w:szCs w:val="20"/>
                <w:lang w:val="en-US"/>
              </w:rPr>
            </w:pPr>
            <w:r>
              <w:rPr>
                <w:rFonts w:cs="MyriadPro-Regular"/>
                <w:color w:val="1D1D1B"/>
                <w:szCs w:val="20"/>
                <w:lang w:val="en-US"/>
              </w:rPr>
              <w:t>CRT category/fuel/substance</w:t>
            </w:r>
          </w:p>
        </w:tc>
        <w:tc>
          <w:tcPr>
            <w:tcW w:w="2410" w:type="dxa"/>
            <w:shd w:val="clear" w:color="auto" w:fill="B8CCE4" w:themeFill="accent1" w:themeFillTint="66"/>
          </w:tcPr>
          <w:p w14:paraId="5CA5BE03" w14:textId="77777777" w:rsidR="00EE55CD" w:rsidRDefault="00EE55CD">
            <w:pPr>
              <w:autoSpaceDE w:val="0"/>
              <w:autoSpaceDN w:val="0"/>
              <w:adjustRightInd w:val="0"/>
              <w:rPr>
                <w:rFonts w:cs="MyriadPro-Regular"/>
                <w:color w:val="1D1D1B"/>
                <w:szCs w:val="20"/>
                <w:lang w:val="en-US"/>
              </w:rPr>
            </w:pPr>
            <w:r>
              <w:rPr>
                <w:rFonts w:cs="MyriadPro-Regular"/>
                <w:color w:val="1D1D1B"/>
                <w:szCs w:val="20"/>
                <w:lang w:val="en-US"/>
              </w:rPr>
              <w:t xml:space="preserve">Key category in level rank </w:t>
            </w:r>
          </w:p>
          <w:p w14:paraId="5D77697B" w14:textId="77777777" w:rsidR="00EE55CD" w:rsidRDefault="00EE55CD">
            <w:pPr>
              <w:autoSpaceDE w:val="0"/>
              <w:autoSpaceDN w:val="0"/>
              <w:adjustRightInd w:val="0"/>
              <w:rPr>
                <w:rFonts w:cs="MyriadPro-Regular"/>
                <w:color w:val="1D1D1B"/>
                <w:szCs w:val="20"/>
                <w:lang w:val="en-US"/>
              </w:rPr>
            </w:pPr>
            <w:r>
              <w:rPr>
                <w:rFonts w:cs="MyriadPro-Regular"/>
                <w:color w:val="1D1D1B"/>
                <w:szCs w:val="20"/>
                <w:lang w:val="en-US"/>
              </w:rPr>
              <w:t>(% of contribution)</w:t>
            </w:r>
          </w:p>
        </w:tc>
        <w:tc>
          <w:tcPr>
            <w:tcW w:w="2404" w:type="dxa"/>
            <w:shd w:val="clear" w:color="auto" w:fill="B8CCE4" w:themeFill="accent1" w:themeFillTint="66"/>
          </w:tcPr>
          <w:p w14:paraId="49167F35" w14:textId="77777777" w:rsidR="00EE55CD" w:rsidRDefault="00EE55CD">
            <w:pPr>
              <w:autoSpaceDE w:val="0"/>
              <w:autoSpaceDN w:val="0"/>
              <w:adjustRightInd w:val="0"/>
              <w:rPr>
                <w:rFonts w:cs="MyriadPro-Regular"/>
                <w:color w:val="1D1D1B"/>
                <w:szCs w:val="20"/>
                <w:lang w:val="en-US"/>
              </w:rPr>
            </w:pPr>
            <w:r>
              <w:rPr>
                <w:rFonts w:cs="MyriadPro-Regular"/>
                <w:color w:val="1D1D1B"/>
                <w:szCs w:val="20"/>
                <w:lang w:val="en-US"/>
              </w:rPr>
              <w:t xml:space="preserve">Key category in trend rank </w:t>
            </w:r>
          </w:p>
          <w:p w14:paraId="7F1AE0D4" w14:textId="77777777" w:rsidR="00EE55CD" w:rsidRDefault="00EE55CD">
            <w:pPr>
              <w:autoSpaceDE w:val="0"/>
              <w:autoSpaceDN w:val="0"/>
              <w:adjustRightInd w:val="0"/>
              <w:rPr>
                <w:rFonts w:cs="MyriadPro-Regular"/>
                <w:color w:val="1D1D1B"/>
                <w:szCs w:val="20"/>
                <w:lang w:val="en-US"/>
              </w:rPr>
            </w:pPr>
            <w:r>
              <w:rPr>
                <w:rFonts w:cs="MyriadPro-Regular"/>
                <w:color w:val="1D1D1B"/>
                <w:szCs w:val="20"/>
                <w:lang w:val="en-US"/>
              </w:rPr>
              <w:t>(% of contribution)</w:t>
            </w:r>
          </w:p>
        </w:tc>
      </w:tr>
      <w:tr w:rsidR="00EE55CD" w14:paraId="310C0F10" w14:textId="77777777">
        <w:tc>
          <w:tcPr>
            <w:tcW w:w="4248" w:type="dxa"/>
          </w:tcPr>
          <w:p w14:paraId="60F9FF25" w14:textId="5C03DF73" w:rsidR="00EE55CD" w:rsidRDefault="008E2136">
            <w:pPr>
              <w:autoSpaceDE w:val="0"/>
              <w:autoSpaceDN w:val="0"/>
              <w:adjustRightInd w:val="0"/>
              <w:rPr>
                <w:rFonts w:cs="MyriadPro-Regular"/>
                <w:color w:val="1D1D1B"/>
                <w:szCs w:val="20"/>
                <w:lang w:val="en-US"/>
              </w:rPr>
            </w:pPr>
            <w:r>
              <w:rPr>
                <w:rFonts w:cs="MyriadPro-Regular"/>
                <w:color w:val="1D1D1B"/>
                <w:szCs w:val="20"/>
                <w:lang w:val="en-US"/>
              </w:rPr>
              <w:t>1.B.1</w:t>
            </w:r>
            <w:r w:rsidR="00F61A6A">
              <w:rPr>
                <w:rFonts w:cs="MyriadPro-Regular"/>
                <w:color w:val="1D1D1B"/>
                <w:szCs w:val="20"/>
                <w:lang w:val="en-US"/>
              </w:rPr>
              <w:t xml:space="preserve"> Fugitive emissions from solid </w:t>
            </w:r>
            <w:r w:rsidR="00EE55CD">
              <w:rPr>
                <w:rFonts w:cs="MyriadPro-Regular"/>
                <w:color w:val="1D1D1B"/>
                <w:szCs w:val="20"/>
                <w:lang w:val="en-US"/>
              </w:rPr>
              <w:t>fuels/C</w:t>
            </w:r>
            <w:r w:rsidR="00F61A6A">
              <w:rPr>
                <w:rFonts w:cs="MyriadPro-Regular"/>
                <w:color w:val="1D1D1B"/>
                <w:szCs w:val="20"/>
                <w:lang w:val="en-US"/>
              </w:rPr>
              <w:t>H</w:t>
            </w:r>
            <w:r w:rsidR="00F61A6A">
              <w:rPr>
                <w:rFonts w:cs="MyriadPro-Regular"/>
                <w:color w:val="1D1D1B"/>
                <w:szCs w:val="20"/>
                <w:vertAlign w:val="subscript"/>
                <w:lang w:val="en-US"/>
              </w:rPr>
              <w:t>4</w:t>
            </w:r>
          </w:p>
        </w:tc>
        <w:tc>
          <w:tcPr>
            <w:tcW w:w="2410" w:type="dxa"/>
          </w:tcPr>
          <w:p w14:paraId="71BE0E0C" w14:textId="5980333A" w:rsidR="00EE55CD" w:rsidRDefault="00F61A6A">
            <w:pPr>
              <w:autoSpaceDE w:val="0"/>
              <w:autoSpaceDN w:val="0"/>
              <w:adjustRightInd w:val="0"/>
              <w:jc w:val="center"/>
              <w:rPr>
                <w:rFonts w:cs="MyriadPro-Regular"/>
                <w:color w:val="1D1D1B"/>
                <w:szCs w:val="20"/>
                <w:lang w:val="en-US"/>
              </w:rPr>
            </w:pPr>
            <w:r>
              <w:rPr>
                <w:rFonts w:cs="MyriadPro-Regular"/>
                <w:color w:val="1D1D1B"/>
                <w:szCs w:val="20"/>
                <w:lang w:val="en-US"/>
              </w:rPr>
              <w:t>7</w:t>
            </w:r>
            <w:r w:rsidR="00EE55CD">
              <w:rPr>
                <w:rFonts w:cs="MyriadPro-Regular"/>
                <w:color w:val="1D1D1B"/>
                <w:szCs w:val="20"/>
                <w:lang w:val="en-US"/>
              </w:rPr>
              <w:t xml:space="preserve"> (1.</w:t>
            </w:r>
            <w:r w:rsidR="00922B11">
              <w:rPr>
                <w:rFonts w:cs="MyriadPro-Regular"/>
                <w:color w:val="1D1D1B"/>
                <w:szCs w:val="20"/>
                <w:lang w:val="en-US"/>
              </w:rPr>
              <w:t>6</w:t>
            </w:r>
            <w:r w:rsidR="00EE55CD">
              <w:rPr>
                <w:rFonts w:cs="MyriadPro-Regular"/>
                <w:color w:val="1D1D1B"/>
                <w:szCs w:val="20"/>
                <w:lang w:val="en-US"/>
              </w:rPr>
              <w:t>%)</w:t>
            </w:r>
          </w:p>
        </w:tc>
        <w:tc>
          <w:tcPr>
            <w:tcW w:w="2404" w:type="dxa"/>
          </w:tcPr>
          <w:p w14:paraId="232DD9DF" w14:textId="0165563D" w:rsidR="00EE55CD" w:rsidRDefault="00333A39">
            <w:pPr>
              <w:autoSpaceDE w:val="0"/>
              <w:autoSpaceDN w:val="0"/>
              <w:adjustRightInd w:val="0"/>
              <w:jc w:val="center"/>
              <w:rPr>
                <w:rFonts w:cs="MyriadPro-Regular"/>
                <w:color w:val="1D1D1B"/>
                <w:szCs w:val="20"/>
                <w:lang w:val="en-US"/>
              </w:rPr>
            </w:pPr>
            <w:r>
              <w:rPr>
                <w:rFonts w:cs="MyriadPro-Regular"/>
                <w:color w:val="1D1D1B"/>
                <w:szCs w:val="20"/>
                <w:lang w:val="en-US"/>
              </w:rPr>
              <w:t>37</w:t>
            </w:r>
            <w:r w:rsidR="00EE55CD">
              <w:rPr>
                <w:rFonts w:cs="MyriadPro-Regular"/>
                <w:color w:val="1D1D1B"/>
                <w:szCs w:val="20"/>
                <w:lang w:val="en-US"/>
              </w:rPr>
              <w:t xml:space="preserve"> (</w:t>
            </w:r>
            <w:r>
              <w:rPr>
                <w:rFonts w:cs="MyriadPro-Regular"/>
                <w:color w:val="1D1D1B"/>
                <w:szCs w:val="20"/>
                <w:lang w:val="en-US"/>
              </w:rPr>
              <w:t>0.6</w:t>
            </w:r>
            <w:r w:rsidR="00EE55CD">
              <w:rPr>
                <w:rFonts w:cs="MyriadPro-Regular"/>
                <w:color w:val="1D1D1B"/>
                <w:szCs w:val="20"/>
                <w:lang w:val="en-US"/>
              </w:rPr>
              <w:t>%)</w:t>
            </w:r>
          </w:p>
        </w:tc>
      </w:tr>
      <w:tr w:rsidR="00EE55CD" w14:paraId="6762FA89" w14:textId="77777777">
        <w:tc>
          <w:tcPr>
            <w:tcW w:w="4248" w:type="dxa"/>
          </w:tcPr>
          <w:p w14:paraId="36AAA47E" w14:textId="4F8220EF" w:rsidR="00EE55CD" w:rsidRDefault="00922B11" w:rsidP="00622F40">
            <w:pPr>
              <w:autoSpaceDE w:val="0"/>
              <w:autoSpaceDN w:val="0"/>
              <w:adjustRightInd w:val="0"/>
              <w:jc w:val="left"/>
              <w:rPr>
                <w:rFonts w:cs="MyriadPro-Regular"/>
                <w:color w:val="1D1D1B"/>
                <w:szCs w:val="20"/>
                <w:lang w:val="en-US"/>
              </w:rPr>
            </w:pPr>
            <w:r>
              <w:rPr>
                <w:rFonts w:cs="MyriadPro-Regular"/>
                <w:color w:val="1D1D1B"/>
                <w:szCs w:val="20"/>
                <w:lang w:val="en-US"/>
              </w:rPr>
              <w:t>1.B.2</w:t>
            </w:r>
            <w:r w:rsidR="005F2AFE">
              <w:rPr>
                <w:rFonts w:cs="MyriadPro-Regular"/>
                <w:color w:val="1D1D1B"/>
                <w:szCs w:val="20"/>
                <w:lang w:val="en-US"/>
              </w:rPr>
              <w:t>.a.2 Fugitive emissions from Oil systems /Production and upgrading</w:t>
            </w:r>
            <w:r w:rsidR="008D08CB">
              <w:rPr>
                <w:rFonts w:cs="MyriadPro-Regular"/>
                <w:color w:val="1D1D1B"/>
                <w:szCs w:val="20"/>
                <w:lang w:val="en-US"/>
              </w:rPr>
              <w:t>/CH</w:t>
            </w:r>
            <w:r w:rsidR="008D08CB">
              <w:rPr>
                <w:rFonts w:cs="MyriadPro-Regular"/>
                <w:color w:val="1D1D1B"/>
                <w:szCs w:val="20"/>
                <w:vertAlign w:val="subscript"/>
                <w:lang w:val="en-US"/>
              </w:rPr>
              <w:t>4</w:t>
            </w:r>
          </w:p>
        </w:tc>
        <w:tc>
          <w:tcPr>
            <w:tcW w:w="2410" w:type="dxa"/>
          </w:tcPr>
          <w:p w14:paraId="4B753AC8" w14:textId="14449174" w:rsidR="00EE55CD" w:rsidRDefault="00EE55CD">
            <w:pPr>
              <w:autoSpaceDE w:val="0"/>
              <w:autoSpaceDN w:val="0"/>
              <w:adjustRightInd w:val="0"/>
              <w:jc w:val="center"/>
              <w:rPr>
                <w:rFonts w:cs="MyriadPro-Regular"/>
                <w:color w:val="1D1D1B"/>
                <w:szCs w:val="20"/>
                <w:lang w:val="en-US"/>
              </w:rPr>
            </w:pPr>
            <w:r>
              <w:rPr>
                <w:rFonts w:cs="MyriadPro-Regular"/>
                <w:color w:val="1D1D1B"/>
                <w:szCs w:val="20"/>
                <w:lang w:val="en-US"/>
              </w:rPr>
              <w:t>1</w:t>
            </w:r>
            <w:r w:rsidR="008D08CB">
              <w:rPr>
                <w:rFonts w:cs="MyriadPro-Regular"/>
                <w:color w:val="1D1D1B"/>
                <w:szCs w:val="20"/>
                <w:lang w:val="en-US"/>
              </w:rPr>
              <w:t>0</w:t>
            </w:r>
            <w:r>
              <w:rPr>
                <w:rFonts w:cs="MyriadPro-Regular"/>
                <w:color w:val="1D1D1B"/>
                <w:szCs w:val="20"/>
                <w:lang w:val="en-US"/>
              </w:rPr>
              <w:t xml:space="preserve"> (1.2%)</w:t>
            </w:r>
          </w:p>
        </w:tc>
        <w:tc>
          <w:tcPr>
            <w:tcW w:w="2404" w:type="dxa"/>
          </w:tcPr>
          <w:p w14:paraId="6B5CEFA8" w14:textId="53BA0CF1" w:rsidR="00EE55CD" w:rsidRDefault="00EE55CD">
            <w:pPr>
              <w:autoSpaceDE w:val="0"/>
              <w:autoSpaceDN w:val="0"/>
              <w:adjustRightInd w:val="0"/>
              <w:jc w:val="center"/>
              <w:rPr>
                <w:rFonts w:cs="MyriadPro-Regular"/>
                <w:color w:val="1D1D1B"/>
                <w:szCs w:val="20"/>
                <w:lang w:val="en-US"/>
              </w:rPr>
            </w:pPr>
          </w:p>
        </w:tc>
      </w:tr>
      <w:tr w:rsidR="00EE55CD" w14:paraId="2E4C03D8" w14:textId="77777777">
        <w:tc>
          <w:tcPr>
            <w:tcW w:w="4248" w:type="dxa"/>
          </w:tcPr>
          <w:p w14:paraId="5B32595F" w14:textId="1EAC818C" w:rsidR="00EE55CD" w:rsidRDefault="008D08CB" w:rsidP="00622F40">
            <w:pPr>
              <w:autoSpaceDE w:val="0"/>
              <w:autoSpaceDN w:val="0"/>
              <w:adjustRightInd w:val="0"/>
              <w:jc w:val="left"/>
              <w:rPr>
                <w:rFonts w:cs="MyriadPro-Regular"/>
                <w:color w:val="1D1D1B"/>
                <w:szCs w:val="20"/>
                <w:lang w:val="en-US"/>
              </w:rPr>
            </w:pPr>
            <w:r>
              <w:rPr>
                <w:rFonts w:cs="MyriadPro-Regular"/>
                <w:color w:val="1D1D1B"/>
                <w:szCs w:val="20"/>
                <w:lang w:val="en-US"/>
              </w:rPr>
              <w:t>1.B.2.b.5 Fugitive emissions from Natural gas /Distribution/CH</w:t>
            </w:r>
            <w:r>
              <w:rPr>
                <w:rFonts w:cs="MyriadPro-Regular"/>
                <w:color w:val="1D1D1B"/>
                <w:szCs w:val="20"/>
                <w:vertAlign w:val="subscript"/>
                <w:lang w:val="en-US"/>
              </w:rPr>
              <w:t>4</w:t>
            </w:r>
          </w:p>
        </w:tc>
        <w:tc>
          <w:tcPr>
            <w:tcW w:w="2410" w:type="dxa"/>
          </w:tcPr>
          <w:p w14:paraId="359B782A" w14:textId="6F0B2267" w:rsidR="00EE55CD" w:rsidRDefault="008D08CB">
            <w:pPr>
              <w:autoSpaceDE w:val="0"/>
              <w:autoSpaceDN w:val="0"/>
              <w:adjustRightInd w:val="0"/>
              <w:jc w:val="center"/>
              <w:rPr>
                <w:rFonts w:cs="MyriadPro-Regular"/>
                <w:color w:val="1D1D1B"/>
                <w:szCs w:val="20"/>
                <w:lang w:val="en-US"/>
              </w:rPr>
            </w:pPr>
            <w:r>
              <w:rPr>
                <w:rFonts w:cs="MyriadPro-Regular"/>
                <w:color w:val="1D1D1B"/>
                <w:szCs w:val="20"/>
                <w:lang w:val="en-US"/>
              </w:rPr>
              <w:t>36</w:t>
            </w:r>
            <w:r w:rsidR="00EE55CD">
              <w:rPr>
                <w:rFonts w:cs="MyriadPro-Regular"/>
                <w:color w:val="1D1D1B"/>
                <w:szCs w:val="20"/>
                <w:lang w:val="en-US"/>
              </w:rPr>
              <w:t xml:space="preserve"> (0.</w:t>
            </w:r>
            <w:r>
              <w:rPr>
                <w:rFonts w:cs="MyriadPro-Regular"/>
                <w:color w:val="1D1D1B"/>
                <w:szCs w:val="20"/>
                <w:lang w:val="en-US"/>
              </w:rPr>
              <w:t>3</w:t>
            </w:r>
            <w:r w:rsidR="00EE55CD">
              <w:rPr>
                <w:rFonts w:cs="MyriadPro-Regular"/>
                <w:color w:val="1D1D1B"/>
                <w:szCs w:val="20"/>
                <w:lang w:val="en-US"/>
              </w:rPr>
              <w:t>%)</w:t>
            </w:r>
          </w:p>
        </w:tc>
        <w:tc>
          <w:tcPr>
            <w:tcW w:w="2404" w:type="dxa"/>
          </w:tcPr>
          <w:p w14:paraId="285DB741" w14:textId="1B58974D" w:rsidR="00EE55CD" w:rsidRDefault="00EE55CD">
            <w:pPr>
              <w:autoSpaceDE w:val="0"/>
              <w:autoSpaceDN w:val="0"/>
              <w:adjustRightInd w:val="0"/>
              <w:jc w:val="center"/>
              <w:rPr>
                <w:rFonts w:cs="MyriadPro-Regular"/>
                <w:color w:val="1D1D1B"/>
                <w:szCs w:val="20"/>
                <w:lang w:val="en-US"/>
              </w:rPr>
            </w:pPr>
          </w:p>
        </w:tc>
      </w:tr>
      <w:tr w:rsidR="00EE55CD" w14:paraId="63D7FE72" w14:textId="77777777">
        <w:tc>
          <w:tcPr>
            <w:tcW w:w="4248" w:type="dxa"/>
          </w:tcPr>
          <w:p w14:paraId="353C3708" w14:textId="0710B8C7" w:rsidR="00EE55CD" w:rsidRDefault="00180987">
            <w:pPr>
              <w:autoSpaceDE w:val="0"/>
              <w:autoSpaceDN w:val="0"/>
              <w:adjustRightInd w:val="0"/>
              <w:rPr>
                <w:rFonts w:cs="MyriadPro-Regular"/>
                <w:color w:val="1D1D1B"/>
                <w:szCs w:val="20"/>
                <w:lang w:val="en-US"/>
              </w:rPr>
            </w:pPr>
            <w:r>
              <w:rPr>
                <w:rFonts w:cs="MyriadPro-Regular"/>
                <w:color w:val="1D1D1B"/>
                <w:szCs w:val="20"/>
                <w:lang w:val="en-US"/>
              </w:rPr>
              <w:t>1.B.2.c.2</w:t>
            </w:r>
            <w:r w:rsidR="008E6B4F">
              <w:rPr>
                <w:rFonts w:cs="MyriadPro-Regular"/>
                <w:color w:val="1D1D1B"/>
                <w:szCs w:val="20"/>
                <w:lang w:val="en-US"/>
              </w:rPr>
              <w:t xml:space="preserve">.i </w:t>
            </w:r>
            <w:r>
              <w:rPr>
                <w:rFonts w:cs="MyriadPro-Regular"/>
                <w:color w:val="1D1D1B"/>
                <w:szCs w:val="20"/>
                <w:lang w:val="en-US"/>
              </w:rPr>
              <w:t>Fugitive emissions from Oil systems /</w:t>
            </w:r>
            <w:r w:rsidR="008E6B4F">
              <w:rPr>
                <w:rFonts w:cs="MyriadPro-Regular"/>
                <w:color w:val="1D1D1B"/>
                <w:szCs w:val="20"/>
                <w:lang w:val="en-US"/>
              </w:rPr>
              <w:t>Flaring</w:t>
            </w:r>
            <w:r>
              <w:rPr>
                <w:rFonts w:cs="MyriadPro-Regular"/>
                <w:color w:val="1D1D1B"/>
                <w:szCs w:val="20"/>
                <w:lang w:val="en-US"/>
              </w:rPr>
              <w:t>/C</w:t>
            </w:r>
            <w:r w:rsidR="008E6B4F">
              <w:rPr>
                <w:rFonts w:cs="MyriadPro-Regular"/>
                <w:color w:val="1D1D1B"/>
                <w:szCs w:val="20"/>
                <w:lang w:val="en-US"/>
              </w:rPr>
              <w:t>O</w:t>
            </w:r>
            <w:r w:rsidR="008E6B4F">
              <w:rPr>
                <w:rFonts w:cs="MyriadPro-Regular"/>
                <w:color w:val="1D1D1B"/>
                <w:szCs w:val="20"/>
                <w:vertAlign w:val="subscript"/>
                <w:lang w:val="en-US"/>
              </w:rPr>
              <w:t>2</w:t>
            </w:r>
          </w:p>
        </w:tc>
        <w:tc>
          <w:tcPr>
            <w:tcW w:w="2410" w:type="dxa"/>
          </w:tcPr>
          <w:p w14:paraId="62180545" w14:textId="2751563F" w:rsidR="00EE55CD" w:rsidRDefault="00EE55CD">
            <w:pPr>
              <w:autoSpaceDE w:val="0"/>
              <w:autoSpaceDN w:val="0"/>
              <w:adjustRightInd w:val="0"/>
              <w:jc w:val="center"/>
              <w:rPr>
                <w:rFonts w:cs="MyriadPro-Regular"/>
                <w:color w:val="1D1D1B"/>
                <w:szCs w:val="20"/>
                <w:lang w:val="en-US"/>
              </w:rPr>
            </w:pPr>
          </w:p>
        </w:tc>
        <w:tc>
          <w:tcPr>
            <w:tcW w:w="2404" w:type="dxa"/>
          </w:tcPr>
          <w:p w14:paraId="4E8F2053" w14:textId="395344FD" w:rsidR="00EE55CD" w:rsidRDefault="00333A39">
            <w:pPr>
              <w:autoSpaceDE w:val="0"/>
              <w:autoSpaceDN w:val="0"/>
              <w:adjustRightInd w:val="0"/>
              <w:jc w:val="center"/>
              <w:rPr>
                <w:rFonts w:cs="MyriadPro-Regular"/>
                <w:color w:val="1D1D1B"/>
                <w:szCs w:val="20"/>
                <w:lang w:val="en-US"/>
              </w:rPr>
            </w:pPr>
            <w:r>
              <w:rPr>
                <w:rFonts w:cs="MyriadPro-Regular"/>
                <w:color w:val="1D1D1B"/>
                <w:szCs w:val="20"/>
                <w:lang w:val="en-US"/>
              </w:rPr>
              <w:t>6 (4.1%)</w:t>
            </w:r>
          </w:p>
        </w:tc>
      </w:tr>
    </w:tbl>
    <w:p w14:paraId="2C5C4295" w14:textId="77777777" w:rsidR="00EE55CD" w:rsidRDefault="00EE55CD" w:rsidP="00EE55CD">
      <w:pPr>
        <w:autoSpaceDE w:val="0"/>
        <w:autoSpaceDN w:val="0"/>
        <w:adjustRightInd w:val="0"/>
        <w:spacing w:after="0" w:line="240" w:lineRule="auto"/>
        <w:rPr>
          <w:rFonts w:cs="MyriadPro-Regular"/>
          <w:color w:val="1D1D1B"/>
          <w:szCs w:val="20"/>
          <w:lang w:val="en-US"/>
        </w:rPr>
      </w:pPr>
    </w:p>
    <w:p w14:paraId="6A7323EB" w14:textId="71A28D81" w:rsidR="00EE55CD" w:rsidRPr="00667AAA" w:rsidRDefault="00003527" w:rsidP="00EE55CD">
      <w:pPr>
        <w:autoSpaceDE w:val="0"/>
        <w:autoSpaceDN w:val="0"/>
        <w:adjustRightInd w:val="0"/>
        <w:spacing w:after="0" w:line="240" w:lineRule="auto"/>
        <w:rPr>
          <w:rFonts w:cs="MyriadPro-Regular"/>
          <w:szCs w:val="20"/>
        </w:rPr>
      </w:pPr>
      <w:r w:rsidRPr="00667AAA">
        <w:rPr>
          <w:rFonts w:cs="MyriadPro-Regular"/>
          <w:szCs w:val="20"/>
        </w:rPr>
        <w:t>The following graph</w:t>
      </w:r>
      <w:r w:rsidR="009549A0" w:rsidRPr="00667AAA">
        <w:rPr>
          <w:rFonts w:cs="MyriadPro-Regular"/>
          <w:szCs w:val="20"/>
        </w:rPr>
        <w:t>s</w:t>
      </w:r>
      <w:r w:rsidRPr="00667AAA">
        <w:rPr>
          <w:rFonts w:cs="MyriadPro-Regular"/>
          <w:szCs w:val="20"/>
        </w:rPr>
        <w:t xml:space="preserve"> present the evolution of </w:t>
      </w:r>
      <w:r w:rsidR="002F2B5F" w:rsidRPr="00667AAA">
        <w:rPr>
          <w:rFonts w:cs="MyriadPro-Regular"/>
          <w:szCs w:val="20"/>
        </w:rPr>
        <w:t xml:space="preserve">GHG emissions for the different subcategories </w:t>
      </w:r>
      <w:r w:rsidR="00F63832" w:rsidRPr="00667AAA">
        <w:rPr>
          <w:rFonts w:cs="MyriadPro-Regular"/>
          <w:szCs w:val="20"/>
        </w:rPr>
        <w:t xml:space="preserve">from the Fugitive sector. </w:t>
      </w:r>
    </w:p>
    <w:p w14:paraId="6FF610C1" w14:textId="77777777" w:rsidR="002B6B91" w:rsidRDefault="002B6B91" w:rsidP="00622F40"/>
    <w:p w14:paraId="6878AC2D" w14:textId="22D1BBF2" w:rsidR="00634BED" w:rsidRPr="00622F40" w:rsidRDefault="0063231D" w:rsidP="00622F40">
      <w:r>
        <w:t>In t</w:t>
      </w:r>
      <w:r w:rsidR="00634BED">
        <w:t>he two</w:t>
      </w:r>
      <w:r>
        <w:t xml:space="preserve"> </w:t>
      </w:r>
      <w:r w:rsidRPr="002B6B91">
        <w:t>following</w:t>
      </w:r>
      <w:r w:rsidR="00634BED" w:rsidRPr="002B6B91">
        <w:t xml:space="preserve"> </w:t>
      </w:r>
      <w:r w:rsidR="00BD0C78" w:rsidRPr="002B6B91">
        <w:t>Figures,</w:t>
      </w:r>
      <w:r>
        <w:t xml:space="preserve"> related to the mining and post-mining activities in underground mines, only methane emissions are </w:t>
      </w:r>
      <w:r w:rsidR="00877142">
        <w:t>estimated,</w:t>
      </w:r>
      <w:r>
        <w:t xml:space="preserve"> and the trend follows exactly the </w:t>
      </w:r>
      <w:r w:rsidR="00542E68">
        <w:t xml:space="preserve">evolution of the amount of solid fuel mined from underground mines, as presented previously, as a constant emission factor is applied. </w:t>
      </w:r>
      <w:r w:rsidR="007048E0">
        <w:t xml:space="preserve">The emissions are very low in 1990, and very high in 1991-1992, but since 1993 are rather stable, although an overall declining trend can be observed. For the period 1993-2022, the amounts of </w:t>
      </w:r>
      <w:r w:rsidR="00CE791B">
        <w:t xml:space="preserve">solid fuel mined, and hence the associated methane emissions, have been reduced by </w:t>
      </w:r>
      <w:r w:rsidR="00A1708E">
        <w:t>49%.</w:t>
      </w:r>
    </w:p>
    <w:p w14:paraId="31ECD8B0" w14:textId="6BF0AF22" w:rsidR="00EE1BA1" w:rsidRDefault="004E418A" w:rsidP="008B0C76">
      <w:pPr>
        <w:spacing w:after="0"/>
        <w:rPr>
          <w:lang w:eastAsia="fr-FR"/>
        </w:rPr>
      </w:pPr>
      <w:r>
        <w:rPr>
          <w:noProof/>
          <w:lang w:val="en-US"/>
        </w:rPr>
        <w:drawing>
          <wp:inline distT="0" distB="0" distL="0" distR="0" wp14:anchorId="094B71EA" wp14:editId="3AC7B30D">
            <wp:extent cx="5857780" cy="1790700"/>
            <wp:effectExtent l="0" t="0" r="0" b="0"/>
            <wp:docPr id="1183568107"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60779" cy="1791617"/>
                    </a:xfrm>
                    <a:prstGeom prst="rect">
                      <a:avLst/>
                    </a:prstGeom>
                    <a:noFill/>
                  </pic:spPr>
                </pic:pic>
              </a:graphicData>
            </a:graphic>
          </wp:inline>
        </w:drawing>
      </w:r>
    </w:p>
    <w:p w14:paraId="4814E5A4" w14:textId="5B6A645C" w:rsidR="008B0C76" w:rsidRPr="002462F0" w:rsidRDefault="008B0C76" w:rsidP="008B0C76">
      <w:pPr>
        <w:pStyle w:val="Caption"/>
        <w:keepNext/>
        <w:spacing w:before="0" w:after="0"/>
        <w:jc w:val="left"/>
      </w:pPr>
      <w:bookmarkStart w:id="298" w:name="_Toc184808415"/>
      <w:r w:rsidRPr="00622F40">
        <w:t xml:space="preserve">Figure </w:t>
      </w:r>
      <w:r w:rsidRPr="00622F40">
        <w:fldChar w:fldCharType="begin"/>
      </w:r>
      <w:r w:rsidRPr="00622F40">
        <w:instrText xml:space="preserve"> SEQ Figure \* ARABIC </w:instrText>
      </w:r>
      <w:r w:rsidRPr="00622F40">
        <w:fldChar w:fldCharType="separate"/>
      </w:r>
      <w:r>
        <w:rPr>
          <w:noProof/>
        </w:rPr>
        <w:t>28</w:t>
      </w:r>
      <w:r w:rsidRPr="00622F40">
        <w:fldChar w:fldCharType="end"/>
      </w:r>
      <w:r w:rsidRPr="00622F40">
        <w:rPr>
          <w:noProof/>
        </w:rPr>
        <w:t xml:space="preserve"> : GHG emissions from mining in underground mines </w:t>
      </w:r>
      <w:r>
        <w:rPr>
          <w:noProof/>
        </w:rPr>
        <w:t>–</w:t>
      </w:r>
      <w:r w:rsidRPr="00622F40">
        <w:rPr>
          <w:noProof/>
        </w:rPr>
        <w:t xml:space="preserve"> COAL</w:t>
      </w:r>
      <w:r>
        <w:rPr>
          <w:noProof/>
        </w:rPr>
        <w:t xml:space="preserve"> (CRT 1B1ai</w:t>
      </w:r>
      <w:r w:rsidR="002B6B91">
        <w:rPr>
          <w:noProof/>
        </w:rPr>
        <w:t>1</w:t>
      </w:r>
      <w:r>
        <w:rPr>
          <w:noProof/>
        </w:rPr>
        <w:t>)</w:t>
      </w:r>
      <w:r w:rsidRPr="00622F40">
        <w:rPr>
          <w:noProof/>
        </w:rPr>
        <w:t xml:space="preserve"> (kt CO</w:t>
      </w:r>
      <w:r w:rsidRPr="00622F40">
        <w:rPr>
          <w:noProof/>
          <w:vertAlign w:val="subscript"/>
        </w:rPr>
        <w:t>2</w:t>
      </w:r>
      <w:r w:rsidRPr="00622F40">
        <w:rPr>
          <w:noProof/>
        </w:rPr>
        <w:t>e)</w:t>
      </w:r>
      <w:bookmarkEnd w:id="298"/>
    </w:p>
    <w:p w14:paraId="477AAB92" w14:textId="77777777" w:rsidR="008B0C76" w:rsidRDefault="008B0C76" w:rsidP="00EE1BA1">
      <w:pPr>
        <w:rPr>
          <w:lang w:eastAsia="fr-FR"/>
        </w:rPr>
      </w:pPr>
    </w:p>
    <w:p w14:paraId="02538533" w14:textId="1F019FE9" w:rsidR="0041121D" w:rsidRDefault="00AB1880" w:rsidP="008B0C76">
      <w:pPr>
        <w:spacing w:after="0"/>
        <w:jc w:val="left"/>
        <w:rPr>
          <w:noProof/>
          <w:lang w:eastAsia="fr-FR"/>
        </w:rPr>
      </w:pPr>
      <w:r>
        <w:rPr>
          <w:noProof/>
          <w:lang w:val="en-US"/>
        </w:rPr>
        <w:lastRenderedPageBreak/>
        <w:drawing>
          <wp:inline distT="0" distB="0" distL="0" distR="0" wp14:anchorId="38349106" wp14:editId="5C54C1A0">
            <wp:extent cx="5760000" cy="1760809"/>
            <wp:effectExtent l="0" t="0" r="0" b="0"/>
            <wp:docPr id="841245163"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00" cy="1760809"/>
                    </a:xfrm>
                    <a:prstGeom prst="rect">
                      <a:avLst/>
                    </a:prstGeom>
                    <a:noFill/>
                  </pic:spPr>
                </pic:pic>
              </a:graphicData>
            </a:graphic>
          </wp:inline>
        </w:drawing>
      </w:r>
    </w:p>
    <w:p w14:paraId="489EDAB4" w14:textId="239371EC" w:rsidR="008B0C76" w:rsidRPr="002462F0" w:rsidRDefault="008B0C76" w:rsidP="008B0C76">
      <w:pPr>
        <w:pStyle w:val="Caption"/>
        <w:keepNext/>
        <w:spacing w:before="0" w:after="0"/>
        <w:jc w:val="left"/>
      </w:pPr>
      <w:bookmarkStart w:id="299" w:name="_Toc184808416"/>
      <w:r w:rsidRPr="00622F40">
        <w:t xml:space="preserve">Figure </w:t>
      </w:r>
      <w:r w:rsidRPr="00622F40">
        <w:fldChar w:fldCharType="begin"/>
      </w:r>
      <w:r w:rsidRPr="00622F40">
        <w:instrText xml:space="preserve"> SEQ Figure \* ARABIC </w:instrText>
      </w:r>
      <w:r w:rsidRPr="00622F40">
        <w:fldChar w:fldCharType="separate"/>
      </w:r>
      <w:r>
        <w:rPr>
          <w:noProof/>
        </w:rPr>
        <w:t>29</w:t>
      </w:r>
      <w:r w:rsidRPr="00622F40">
        <w:fldChar w:fldCharType="end"/>
      </w:r>
      <w:r w:rsidRPr="00622F40">
        <w:rPr>
          <w:noProof/>
        </w:rPr>
        <w:t xml:space="preserve"> : GHG emissions from post-mining in underground mines - COAL</w:t>
      </w:r>
      <w:r>
        <w:rPr>
          <w:noProof/>
        </w:rPr>
        <w:t xml:space="preserve"> (CRT 1B1a</w:t>
      </w:r>
      <w:r w:rsidR="002B6B91">
        <w:rPr>
          <w:noProof/>
        </w:rPr>
        <w:t>i2</w:t>
      </w:r>
      <w:r>
        <w:rPr>
          <w:noProof/>
        </w:rPr>
        <w:t>)</w:t>
      </w:r>
      <w:r w:rsidRPr="008977F1">
        <w:rPr>
          <w:noProof/>
        </w:rPr>
        <w:t xml:space="preserve"> </w:t>
      </w:r>
      <w:r w:rsidRPr="00622F40">
        <w:rPr>
          <w:noProof/>
        </w:rPr>
        <w:t xml:space="preserve"> (kt CO</w:t>
      </w:r>
      <w:r w:rsidRPr="00622F40">
        <w:rPr>
          <w:noProof/>
          <w:vertAlign w:val="subscript"/>
        </w:rPr>
        <w:t>2</w:t>
      </w:r>
      <w:r w:rsidRPr="00622F40">
        <w:rPr>
          <w:noProof/>
        </w:rPr>
        <w:t>e)</w:t>
      </w:r>
      <w:bookmarkEnd w:id="299"/>
    </w:p>
    <w:p w14:paraId="58973B59" w14:textId="09BE23AA" w:rsidR="00A21633" w:rsidRDefault="00A21633" w:rsidP="002B6B91">
      <w:pPr>
        <w:spacing w:before="240"/>
      </w:pPr>
      <w:r>
        <w:t xml:space="preserve">The emissions related to the abandoned underground mines are almost negligible. The </w:t>
      </w:r>
      <w:r w:rsidR="002B6B91">
        <w:t>increase</w:t>
      </w:r>
      <w:r w:rsidR="008A36ED">
        <w:t xml:space="preserve"> in 2001 is related to the fact that two additional mines were abandoned this year, </w:t>
      </w:r>
      <w:r w:rsidR="00FA27B0">
        <w:t>making the total number to 3.</w:t>
      </w:r>
    </w:p>
    <w:p w14:paraId="2F7EAEF1" w14:textId="38B71138" w:rsidR="0041121D" w:rsidRDefault="006E12B4" w:rsidP="008B0C76">
      <w:pPr>
        <w:spacing w:after="0"/>
        <w:jc w:val="left"/>
        <w:rPr>
          <w:lang w:eastAsia="fr-FR"/>
        </w:rPr>
      </w:pPr>
      <w:r>
        <w:rPr>
          <w:noProof/>
          <w:lang w:val="en-US"/>
        </w:rPr>
        <w:drawing>
          <wp:inline distT="0" distB="0" distL="0" distR="0" wp14:anchorId="46BFC041" wp14:editId="1252A026">
            <wp:extent cx="5888938" cy="1800225"/>
            <wp:effectExtent l="0" t="0" r="0" b="0"/>
            <wp:docPr id="1766895733"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93387" cy="1801585"/>
                    </a:xfrm>
                    <a:prstGeom prst="rect">
                      <a:avLst/>
                    </a:prstGeom>
                    <a:noFill/>
                  </pic:spPr>
                </pic:pic>
              </a:graphicData>
            </a:graphic>
          </wp:inline>
        </w:drawing>
      </w:r>
    </w:p>
    <w:p w14:paraId="34FF88CB" w14:textId="1E85B0F2" w:rsidR="008B0C76" w:rsidRPr="002462F0" w:rsidRDefault="008B0C76" w:rsidP="008B0C76">
      <w:pPr>
        <w:pStyle w:val="Caption"/>
        <w:keepNext/>
        <w:spacing w:before="0" w:after="0"/>
        <w:jc w:val="left"/>
      </w:pPr>
      <w:bookmarkStart w:id="300" w:name="_Toc184808417"/>
      <w:r w:rsidRPr="00C525A4">
        <w:t xml:space="preserve">Figure </w:t>
      </w:r>
      <w:r w:rsidRPr="00622F40">
        <w:fldChar w:fldCharType="begin"/>
      </w:r>
      <w:r w:rsidRPr="00C525A4">
        <w:instrText xml:space="preserve"> SEQ Figure \* ARABIC </w:instrText>
      </w:r>
      <w:r w:rsidRPr="00622F40">
        <w:fldChar w:fldCharType="separate"/>
      </w:r>
      <w:r>
        <w:rPr>
          <w:noProof/>
        </w:rPr>
        <w:t>30</w:t>
      </w:r>
      <w:r w:rsidRPr="00622F40">
        <w:fldChar w:fldCharType="end"/>
      </w:r>
      <w:r w:rsidRPr="00C525A4">
        <w:rPr>
          <w:noProof/>
        </w:rPr>
        <w:t xml:space="preserve"> : GHG emissions from abandoned underground mines - COAL</w:t>
      </w:r>
      <w:r>
        <w:rPr>
          <w:noProof/>
        </w:rPr>
        <w:t xml:space="preserve"> (CRT 1B1a</w:t>
      </w:r>
      <w:r w:rsidR="002B6B91">
        <w:rPr>
          <w:noProof/>
        </w:rPr>
        <w:t>i3</w:t>
      </w:r>
      <w:r>
        <w:rPr>
          <w:noProof/>
        </w:rPr>
        <w:t>)</w:t>
      </w:r>
      <w:r w:rsidRPr="008977F1">
        <w:rPr>
          <w:noProof/>
        </w:rPr>
        <w:t xml:space="preserve"> </w:t>
      </w:r>
      <w:r w:rsidRPr="00622F40">
        <w:rPr>
          <w:noProof/>
        </w:rPr>
        <w:t xml:space="preserve"> (kt CO</w:t>
      </w:r>
      <w:r w:rsidRPr="00622F40">
        <w:rPr>
          <w:noProof/>
          <w:vertAlign w:val="subscript"/>
        </w:rPr>
        <w:t>2</w:t>
      </w:r>
      <w:r w:rsidRPr="00622F40">
        <w:rPr>
          <w:noProof/>
        </w:rPr>
        <w:t>e)</w:t>
      </w:r>
      <w:bookmarkEnd w:id="300"/>
    </w:p>
    <w:p w14:paraId="239FFF57" w14:textId="074FEE9F" w:rsidR="008B70DB" w:rsidRDefault="005C6B68" w:rsidP="002B6B91">
      <w:pPr>
        <w:spacing w:before="240"/>
      </w:pPr>
      <w:r>
        <w:t xml:space="preserve">The </w:t>
      </w:r>
      <w:r w:rsidR="00F9118C">
        <w:t>GHG emissions from mining and post-mining in surface mines are directly proportional to the evolution of the amounts of coal mined</w:t>
      </w:r>
      <w:r w:rsidR="00BF1BA6">
        <w:t xml:space="preserve"> as </w:t>
      </w:r>
      <w:r w:rsidR="006746ED">
        <w:t xml:space="preserve">a </w:t>
      </w:r>
      <w:r w:rsidR="00BF1BA6">
        <w:t>constant EF is applied for this subsector.</w:t>
      </w:r>
      <w:r w:rsidR="001E31C8">
        <w:t xml:space="preserve"> </w:t>
      </w:r>
      <w:r w:rsidR="00C159F2">
        <w:t xml:space="preserve">Therefore, the trend evolves accordingly to the description of the activity data given above for </w:t>
      </w:r>
      <w:r w:rsidR="00216CEF">
        <w:fldChar w:fldCharType="begin"/>
      </w:r>
      <w:r w:rsidR="00216CEF">
        <w:instrText xml:space="preserve"> REF _Ref175299372 \h </w:instrText>
      </w:r>
      <w:r w:rsidR="00216CEF">
        <w:fldChar w:fldCharType="separate"/>
      </w:r>
      <w:r w:rsidR="00F14C78">
        <w:t xml:space="preserve">Figure </w:t>
      </w:r>
      <w:r w:rsidR="00F14C78">
        <w:rPr>
          <w:noProof/>
        </w:rPr>
        <w:t>25</w:t>
      </w:r>
      <w:r w:rsidR="00216CEF">
        <w:fldChar w:fldCharType="end"/>
      </w:r>
      <w:r w:rsidR="00216CEF">
        <w:t>.</w:t>
      </w:r>
      <w:r w:rsidR="00246C57">
        <w:t xml:space="preserve"> </w:t>
      </w:r>
      <w:r w:rsidR="002268BE">
        <w:t>The methane emissions have been reduced by 19% for the period 1990-2022.</w:t>
      </w:r>
    </w:p>
    <w:p w14:paraId="62C9EF04" w14:textId="75BEED76" w:rsidR="0041121D" w:rsidRDefault="00882184" w:rsidP="008B0C76">
      <w:pPr>
        <w:spacing w:after="0"/>
        <w:jc w:val="left"/>
        <w:rPr>
          <w:lang w:eastAsia="fr-FR"/>
        </w:rPr>
      </w:pPr>
      <w:r>
        <w:rPr>
          <w:noProof/>
          <w:lang w:val="en-US"/>
        </w:rPr>
        <w:drawing>
          <wp:inline distT="0" distB="0" distL="0" distR="0" wp14:anchorId="71A8D890" wp14:editId="5EF37C28">
            <wp:extent cx="5760000" cy="1760809"/>
            <wp:effectExtent l="0" t="0" r="0" b="0"/>
            <wp:docPr id="17552789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00" cy="1760809"/>
                    </a:xfrm>
                    <a:prstGeom prst="rect">
                      <a:avLst/>
                    </a:prstGeom>
                    <a:noFill/>
                  </pic:spPr>
                </pic:pic>
              </a:graphicData>
            </a:graphic>
          </wp:inline>
        </w:drawing>
      </w:r>
    </w:p>
    <w:p w14:paraId="718BA333" w14:textId="5636E357" w:rsidR="008B0C76" w:rsidRPr="002462F0" w:rsidRDefault="008B0C76" w:rsidP="008B0C76">
      <w:pPr>
        <w:pStyle w:val="Caption"/>
        <w:keepNext/>
        <w:spacing w:before="0" w:after="0"/>
        <w:jc w:val="left"/>
      </w:pPr>
      <w:bookmarkStart w:id="301" w:name="_Toc184808418"/>
      <w:r w:rsidRPr="00622F40">
        <w:t xml:space="preserve">Figure </w:t>
      </w:r>
      <w:r w:rsidRPr="00622F40">
        <w:fldChar w:fldCharType="begin"/>
      </w:r>
      <w:r w:rsidRPr="00622F40">
        <w:instrText xml:space="preserve"> SEQ Figure \* ARABIC </w:instrText>
      </w:r>
      <w:r w:rsidRPr="00622F40">
        <w:fldChar w:fldCharType="separate"/>
      </w:r>
      <w:r>
        <w:rPr>
          <w:noProof/>
        </w:rPr>
        <w:t>31</w:t>
      </w:r>
      <w:r w:rsidRPr="00622F40">
        <w:fldChar w:fldCharType="end"/>
      </w:r>
      <w:r w:rsidRPr="00622F40">
        <w:rPr>
          <w:noProof/>
        </w:rPr>
        <w:t xml:space="preserve"> : GHG emissions from mining in surface mines - COAL</w:t>
      </w:r>
      <w:r>
        <w:rPr>
          <w:noProof/>
        </w:rPr>
        <w:t xml:space="preserve"> (CRT 1B1ai</w:t>
      </w:r>
      <w:r w:rsidR="002B6B91">
        <w:rPr>
          <w:noProof/>
        </w:rPr>
        <w:t>i1</w:t>
      </w:r>
      <w:r>
        <w:rPr>
          <w:noProof/>
        </w:rPr>
        <w:t>)</w:t>
      </w:r>
      <w:r w:rsidRPr="008977F1">
        <w:rPr>
          <w:noProof/>
        </w:rPr>
        <w:t xml:space="preserve"> </w:t>
      </w:r>
      <w:r w:rsidRPr="00622F40">
        <w:rPr>
          <w:noProof/>
        </w:rPr>
        <w:t xml:space="preserve"> (kt CO</w:t>
      </w:r>
      <w:r w:rsidRPr="00622F40">
        <w:rPr>
          <w:noProof/>
          <w:vertAlign w:val="subscript"/>
        </w:rPr>
        <w:t>2</w:t>
      </w:r>
      <w:r w:rsidRPr="00622F40">
        <w:rPr>
          <w:noProof/>
        </w:rPr>
        <w:t>e)</w:t>
      </w:r>
      <w:bookmarkEnd w:id="301"/>
    </w:p>
    <w:p w14:paraId="1DB98763" w14:textId="77777777" w:rsidR="008B0C76" w:rsidRDefault="008B0C76" w:rsidP="00EE1BA1">
      <w:pPr>
        <w:rPr>
          <w:lang w:eastAsia="fr-FR"/>
        </w:rPr>
      </w:pPr>
    </w:p>
    <w:p w14:paraId="68C6D1FB" w14:textId="3C5E1FBD" w:rsidR="0041121D" w:rsidRDefault="00AC3C3E" w:rsidP="008B0C76">
      <w:pPr>
        <w:spacing w:after="0"/>
        <w:jc w:val="left"/>
        <w:rPr>
          <w:lang w:eastAsia="fr-FR"/>
        </w:rPr>
      </w:pPr>
      <w:r>
        <w:rPr>
          <w:noProof/>
          <w:lang w:val="en-US"/>
        </w:rPr>
        <w:lastRenderedPageBreak/>
        <w:drawing>
          <wp:inline distT="0" distB="0" distL="0" distR="0" wp14:anchorId="79F3FC8D" wp14:editId="336C269B">
            <wp:extent cx="5795463" cy="1771650"/>
            <wp:effectExtent l="0" t="0" r="0" b="0"/>
            <wp:docPr id="191316451"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00296" cy="1773128"/>
                    </a:xfrm>
                    <a:prstGeom prst="rect">
                      <a:avLst/>
                    </a:prstGeom>
                    <a:noFill/>
                  </pic:spPr>
                </pic:pic>
              </a:graphicData>
            </a:graphic>
          </wp:inline>
        </w:drawing>
      </w:r>
    </w:p>
    <w:p w14:paraId="62AE1B88" w14:textId="6164BC60" w:rsidR="008B0C76" w:rsidRPr="002462F0" w:rsidRDefault="008B0C76" w:rsidP="008B0C76">
      <w:pPr>
        <w:pStyle w:val="Caption"/>
        <w:keepNext/>
        <w:spacing w:before="0" w:after="0"/>
        <w:jc w:val="left"/>
      </w:pPr>
      <w:bookmarkStart w:id="302" w:name="_Toc184808419"/>
      <w:r w:rsidRPr="00622F40">
        <w:t xml:space="preserve">Figure </w:t>
      </w:r>
      <w:r w:rsidRPr="00622F40">
        <w:fldChar w:fldCharType="begin"/>
      </w:r>
      <w:r w:rsidRPr="00622F40">
        <w:instrText xml:space="preserve"> SEQ Figure \* ARABIC </w:instrText>
      </w:r>
      <w:r w:rsidRPr="00622F40">
        <w:fldChar w:fldCharType="separate"/>
      </w:r>
      <w:r>
        <w:rPr>
          <w:noProof/>
        </w:rPr>
        <w:t>32</w:t>
      </w:r>
      <w:r w:rsidRPr="00622F40">
        <w:fldChar w:fldCharType="end"/>
      </w:r>
      <w:r w:rsidRPr="00622F40">
        <w:rPr>
          <w:noProof/>
        </w:rPr>
        <w:t xml:space="preserve"> : GHG emissions from post-mining in surface mines - COAL</w:t>
      </w:r>
      <w:r>
        <w:rPr>
          <w:noProof/>
        </w:rPr>
        <w:t xml:space="preserve"> (CRT 1B1aii</w:t>
      </w:r>
      <w:r w:rsidR="002B6B91">
        <w:rPr>
          <w:noProof/>
        </w:rPr>
        <w:t>2</w:t>
      </w:r>
      <w:r>
        <w:rPr>
          <w:noProof/>
        </w:rPr>
        <w:t>)</w:t>
      </w:r>
      <w:r w:rsidRPr="008977F1">
        <w:rPr>
          <w:noProof/>
        </w:rPr>
        <w:t xml:space="preserve"> </w:t>
      </w:r>
      <w:r w:rsidRPr="00622F40">
        <w:rPr>
          <w:noProof/>
        </w:rPr>
        <w:t xml:space="preserve"> (kt CO</w:t>
      </w:r>
      <w:r w:rsidRPr="00622F40">
        <w:rPr>
          <w:noProof/>
          <w:vertAlign w:val="subscript"/>
        </w:rPr>
        <w:t>2</w:t>
      </w:r>
      <w:r w:rsidRPr="00622F40">
        <w:rPr>
          <w:noProof/>
        </w:rPr>
        <w:t>e)</w:t>
      </w:r>
      <w:bookmarkEnd w:id="302"/>
    </w:p>
    <w:p w14:paraId="42E66E3D" w14:textId="77777777" w:rsidR="00972C34" w:rsidRDefault="00972C34" w:rsidP="00972C34">
      <w:pPr>
        <w:spacing w:after="0"/>
      </w:pPr>
    </w:p>
    <w:p w14:paraId="69920EF0" w14:textId="0FDA406E" w:rsidR="00C83CB4" w:rsidRDefault="009F61C9" w:rsidP="00622F40">
      <w:r>
        <w:t xml:space="preserve">The following graph presents the evolution of GHG emissions for the production and upgrading of crude oil, </w:t>
      </w:r>
      <w:r w:rsidR="008476FB">
        <w:t xml:space="preserve">which </w:t>
      </w:r>
      <w:r w:rsidR="002734E5">
        <w:t>is directly</w:t>
      </w:r>
      <w:r w:rsidR="008476FB">
        <w:t xml:space="preserve"> proportional to the crude oil production presented in </w:t>
      </w:r>
      <w:r w:rsidR="008476FB">
        <w:fldChar w:fldCharType="begin"/>
      </w:r>
      <w:r w:rsidR="008476FB">
        <w:instrText xml:space="preserve"> REF _Ref175299756 \h </w:instrText>
      </w:r>
      <w:r w:rsidR="008476FB">
        <w:fldChar w:fldCharType="separate"/>
      </w:r>
      <w:r w:rsidR="00F14C78">
        <w:t xml:space="preserve">Figure </w:t>
      </w:r>
      <w:r w:rsidR="00F14C78">
        <w:rPr>
          <w:noProof/>
        </w:rPr>
        <w:t>26</w:t>
      </w:r>
      <w:r w:rsidR="008476FB">
        <w:fldChar w:fldCharType="end"/>
      </w:r>
      <w:r w:rsidR="008476FB">
        <w:t xml:space="preserve">. For the </w:t>
      </w:r>
      <w:r w:rsidR="002734E5">
        <w:t xml:space="preserve">whole </w:t>
      </w:r>
      <w:r w:rsidR="009E5404">
        <w:t xml:space="preserve">timeseries, the methane emissions have been decreased by 25%. </w:t>
      </w:r>
    </w:p>
    <w:p w14:paraId="7756F61F" w14:textId="1A99E556" w:rsidR="0041121D" w:rsidRDefault="00CE6CE6" w:rsidP="008B0C76">
      <w:pPr>
        <w:spacing w:after="0"/>
        <w:jc w:val="left"/>
        <w:rPr>
          <w:lang w:eastAsia="fr-FR"/>
        </w:rPr>
      </w:pPr>
      <w:r>
        <w:rPr>
          <w:noProof/>
          <w:lang w:val="en-US"/>
        </w:rPr>
        <w:drawing>
          <wp:inline distT="0" distB="0" distL="0" distR="0" wp14:anchorId="5B3D7039" wp14:editId="4AD5A8AF">
            <wp:extent cx="5760000" cy="1760809"/>
            <wp:effectExtent l="0" t="0" r="0" b="0"/>
            <wp:docPr id="497733830"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000" cy="1760809"/>
                    </a:xfrm>
                    <a:prstGeom prst="rect">
                      <a:avLst/>
                    </a:prstGeom>
                    <a:noFill/>
                  </pic:spPr>
                </pic:pic>
              </a:graphicData>
            </a:graphic>
          </wp:inline>
        </w:drawing>
      </w:r>
    </w:p>
    <w:p w14:paraId="20ED0DD2" w14:textId="2B38C7D6" w:rsidR="008B0C76" w:rsidRPr="002462F0" w:rsidRDefault="008B0C76" w:rsidP="008B0C76">
      <w:pPr>
        <w:pStyle w:val="Caption"/>
        <w:keepNext/>
        <w:spacing w:before="0" w:after="0"/>
        <w:jc w:val="left"/>
      </w:pPr>
      <w:bookmarkStart w:id="303" w:name="_Toc184808420"/>
      <w:r w:rsidRPr="00622F40">
        <w:t xml:space="preserve">Figure </w:t>
      </w:r>
      <w:r w:rsidRPr="00622F40">
        <w:fldChar w:fldCharType="begin"/>
      </w:r>
      <w:r w:rsidRPr="00622F40">
        <w:instrText xml:space="preserve"> SEQ Figure \* ARABIC </w:instrText>
      </w:r>
      <w:r w:rsidRPr="00622F40">
        <w:fldChar w:fldCharType="separate"/>
      </w:r>
      <w:r>
        <w:rPr>
          <w:noProof/>
        </w:rPr>
        <w:t>33</w:t>
      </w:r>
      <w:r w:rsidRPr="00622F40">
        <w:fldChar w:fldCharType="end"/>
      </w:r>
      <w:r w:rsidRPr="00622F40">
        <w:rPr>
          <w:noProof/>
        </w:rPr>
        <w:t xml:space="preserve"> : GHG emissions from production and upgrading of OIL</w:t>
      </w:r>
      <w:r>
        <w:rPr>
          <w:noProof/>
        </w:rPr>
        <w:t xml:space="preserve"> (CRT 1B2a</w:t>
      </w:r>
      <w:r w:rsidR="002B6B91">
        <w:rPr>
          <w:noProof/>
        </w:rPr>
        <w:t>ii</w:t>
      </w:r>
      <w:r>
        <w:rPr>
          <w:noProof/>
        </w:rPr>
        <w:t>)</w:t>
      </w:r>
      <w:r w:rsidRPr="008977F1">
        <w:rPr>
          <w:noProof/>
        </w:rPr>
        <w:t xml:space="preserve"> </w:t>
      </w:r>
      <w:r w:rsidRPr="00622F40">
        <w:rPr>
          <w:noProof/>
        </w:rPr>
        <w:t xml:space="preserve"> (kt CO</w:t>
      </w:r>
      <w:r w:rsidRPr="00622F40">
        <w:rPr>
          <w:noProof/>
          <w:vertAlign w:val="subscript"/>
        </w:rPr>
        <w:t>2</w:t>
      </w:r>
      <w:r w:rsidRPr="00622F40">
        <w:rPr>
          <w:noProof/>
        </w:rPr>
        <w:t>e)</w:t>
      </w:r>
      <w:bookmarkEnd w:id="303"/>
    </w:p>
    <w:p w14:paraId="1A288E70" w14:textId="77777777" w:rsidR="008B0C76" w:rsidRDefault="008B0C76" w:rsidP="00972C34">
      <w:pPr>
        <w:spacing w:after="0"/>
        <w:rPr>
          <w:lang w:eastAsia="fr-FR"/>
        </w:rPr>
      </w:pPr>
    </w:p>
    <w:p w14:paraId="7B0B902B" w14:textId="2A262B79" w:rsidR="002734E5" w:rsidRDefault="002734E5" w:rsidP="00972C34">
      <w:pPr>
        <w:spacing w:after="120"/>
      </w:pPr>
      <w:r>
        <w:t xml:space="preserve">The graph hereafter represents the GHG emissions trend related to the transport of crude oil, which evolve proportionally to </w:t>
      </w:r>
      <w:r w:rsidR="003C4C56">
        <w:t xml:space="preserve">the amounts of crude oil transported as presented in </w:t>
      </w:r>
      <w:r w:rsidR="003C4C56">
        <w:fldChar w:fldCharType="begin"/>
      </w:r>
      <w:r w:rsidR="003C4C56">
        <w:instrText xml:space="preserve"> REF _Ref175299756 \h </w:instrText>
      </w:r>
      <w:r w:rsidR="003C4C56">
        <w:fldChar w:fldCharType="separate"/>
      </w:r>
      <w:r w:rsidR="00F14C78">
        <w:t xml:space="preserve">Figure </w:t>
      </w:r>
      <w:r w:rsidR="00F14C78">
        <w:rPr>
          <w:noProof/>
        </w:rPr>
        <w:t>26</w:t>
      </w:r>
      <w:r w:rsidR="003C4C56">
        <w:fldChar w:fldCharType="end"/>
      </w:r>
      <w:r w:rsidR="003C4C56">
        <w:t>. The evolution until 2005 is rather similar to other trends observed in the Energy sector, with declines during the hyperinflation period (1992-1994) and the NATO bombing</w:t>
      </w:r>
      <w:r w:rsidR="00877142">
        <w:t xml:space="preserve"> in 1999</w:t>
      </w:r>
      <w:r w:rsidR="003C4C56">
        <w:t xml:space="preserve">, followed by recovery periods where </w:t>
      </w:r>
      <w:r w:rsidR="00323429">
        <w:t xml:space="preserve">similar </w:t>
      </w:r>
      <w:r w:rsidR="003C4C56">
        <w:t>levels</w:t>
      </w:r>
      <w:r w:rsidR="00323429">
        <w:t xml:space="preserve"> to the pre-crisis period occur</w:t>
      </w:r>
      <w:r w:rsidR="003C4C56">
        <w:t>.</w:t>
      </w:r>
      <w:r w:rsidR="00323429">
        <w:t xml:space="preserve"> In addition, for the transport of oil, the amounts of crude oil transported follows the amounts of intake into oil refineries</w:t>
      </w:r>
      <w:r w:rsidR="003C4C56">
        <w:t xml:space="preserve"> </w:t>
      </w:r>
      <w:r w:rsidR="00323429">
        <w:t xml:space="preserve">as </w:t>
      </w:r>
      <w:r w:rsidR="00323429" w:rsidRPr="00877142">
        <w:t xml:space="preserve">presented in </w:t>
      </w:r>
      <w:r w:rsidR="00323429" w:rsidRPr="00877142">
        <w:fldChar w:fldCharType="begin"/>
      </w:r>
      <w:r w:rsidR="00323429" w:rsidRPr="00877142">
        <w:instrText xml:space="preserve"> REF _Ref175300147 \h </w:instrText>
      </w:r>
      <w:r w:rsidR="00877142" w:rsidRPr="00877142">
        <w:instrText xml:space="preserve"> \* MERGEFORMAT </w:instrText>
      </w:r>
      <w:r w:rsidR="00323429" w:rsidRPr="00877142">
        <w:fldChar w:fldCharType="separate"/>
      </w:r>
      <w:r w:rsidR="00877142" w:rsidRPr="00877142">
        <w:t xml:space="preserve">Figure </w:t>
      </w:r>
      <w:r w:rsidR="00877142" w:rsidRPr="00877142">
        <w:rPr>
          <w:noProof/>
        </w:rPr>
        <w:t>8</w:t>
      </w:r>
      <w:r w:rsidR="00323429" w:rsidRPr="00877142">
        <w:fldChar w:fldCharType="end"/>
      </w:r>
      <w:r w:rsidR="00323429" w:rsidRPr="00877142">
        <w:t>. For</w:t>
      </w:r>
      <w:r w:rsidR="00323429">
        <w:t xml:space="preserve"> the period 2005-2022, it can be seen there is first a progressive decline until 2012, with a reduction of </w:t>
      </w:r>
      <w:r w:rsidR="002011B9">
        <w:t>42% between 2005 and 2012. Then, it is follows by a</w:t>
      </w:r>
      <w:r w:rsidR="00552CF8">
        <w:t>n increasing trend of the amount of oil transported from 2012 to 20</w:t>
      </w:r>
      <w:r w:rsidR="003763AF">
        <w:t xml:space="preserve">22, </w:t>
      </w:r>
      <w:r w:rsidR="00D130F1">
        <w:t xml:space="preserve">where it almost doubled in that period, although there are </w:t>
      </w:r>
      <w:r w:rsidR="003763AF">
        <w:t xml:space="preserve">some </w:t>
      </w:r>
      <w:proofErr w:type="spellStart"/>
      <w:r w:rsidR="003763AF">
        <w:t>infle</w:t>
      </w:r>
      <w:r w:rsidR="00877142">
        <w:t>c</w:t>
      </w:r>
      <w:r w:rsidR="003763AF">
        <w:t>ion</w:t>
      </w:r>
      <w:proofErr w:type="spellEnd"/>
      <w:r w:rsidR="003763AF">
        <w:t xml:space="preserve"> points in 2014 during the floodings </w:t>
      </w:r>
      <w:r w:rsidR="00DE49ED">
        <w:t>as well as</w:t>
      </w:r>
      <w:r w:rsidR="003763AF">
        <w:t xml:space="preserve"> in 2019</w:t>
      </w:r>
      <w:r w:rsidR="00D130F1">
        <w:t xml:space="preserve">. The level reached in 2022 is the second highest observed in the timeseries after the year 1990, in accordance with the recent further development of the oil refining activity. </w:t>
      </w:r>
    </w:p>
    <w:p w14:paraId="7F9481DA" w14:textId="1E7505CD" w:rsidR="008F33EF" w:rsidRDefault="00E36247" w:rsidP="008B0C76">
      <w:pPr>
        <w:keepLines/>
        <w:spacing w:after="0"/>
        <w:rPr>
          <w:lang w:eastAsia="fr-FR"/>
        </w:rPr>
      </w:pPr>
      <w:r>
        <w:rPr>
          <w:noProof/>
          <w:lang w:val="en-US"/>
        </w:rPr>
        <w:drawing>
          <wp:inline distT="0" distB="0" distL="0" distR="0" wp14:anchorId="640520C2" wp14:editId="5808234A">
            <wp:extent cx="5760000" cy="1760809"/>
            <wp:effectExtent l="0" t="0" r="0" b="0"/>
            <wp:docPr id="926985298"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000" cy="1760809"/>
                    </a:xfrm>
                    <a:prstGeom prst="rect">
                      <a:avLst/>
                    </a:prstGeom>
                    <a:noFill/>
                  </pic:spPr>
                </pic:pic>
              </a:graphicData>
            </a:graphic>
          </wp:inline>
        </w:drawing>
      </w:r>
    </w:p>
    <w:p w14:paraId="2DFE3D96" w14:textId="1042CBFB" w:rsidR="008B0C76" w:rsidRPr="002462F0" w:rsidRDefault="008B0C76" w:rsidP="00972C34">
      <w:pPr>
        <w:pStyle w:val="Caption"/>
        <w:keepNext/>
        <w:keepLines/>
        <w:spacing w:before="0" w:after="0"/>
        <w:jc w:val="left"/>
      </w:pPr>
      <w:bookmarkStart w:id="304" w:name="_Toc184808421"/>
      <w:r w:rsidRPr="00622F40">
        <w:t xml:space="preserve">Figure </w:t>
      </w:r>
      <w:r w:rsidRPr="00622F40">
        <w:fldChar w:fldCharType="begin"/>
      </w:r>
      <w:r w:rsidRPr="00622F40">
        <w:instrText xml:space="preserve"> SEQ Figure \* ARABIC </w:instrText>
      </w:r>
      <w:r w:rsidRPr="00622F40">
        <w:fldChar w:fldCharType="separate"/>
      </w:r>
      <w:r>
        <w:rPr>
          <w:noProof/>
        </w:rPr>
        <w:t>34</w:t>
      </w:r>
      <w:r w:rsidRPr="00622F40">
        <w:fldChar w:fldCharType="end"/>
      </w:r>
      <w:r w:rsidRPr="00622F40">
        <w:rPr>
          <w:noProof/>
        </w:rPr>
        <w:t xml:space="preserve"> : GHG emissions from transport of OIL</w:t>
      </w:r>
      <w:r>
        <w:rPr>
          <w:noProof/>
        </w:rPr>
        <w:t xml:space="preserve"> (CRT 1B2a</w:t>
      </w:r>
      <w:r w:rsidR="002B6B91">
        <w:rPr>
          <w:noProof/>
        </w:rPr>
        <w:t>iii</w:t>
      </w:r>
      <w:r>
        <w:rPr>
          <w:noProof/>
        </w:rPr>
        <w:t>)</w:t>
      </w:r>
      <w:r w:rsidRPr="008977F1">
        <w:rPr>
          <w:noProof/>
        </w:rPr>
        <w:t xml:space="preserve"> </w:t>
      </w:r>
      <w:r w:rsidRPr="00622F40">
        <w:rPr>
          <w:noProof/>
        </w:rPr>
        <w:t xml:space="preserve"> (kt CO</w:t>
      </w:r>
      <w:r w:rsidRPr="00622F40">
        <w:rPr>
          <w:noProof/>
          <w:vertAlign w:val="subscript"/>
        </w:rPr>
        <w:t>2</w:t>
      </w:r>
      <w:r w:rsidRPr="00622F40">
        <w:rPr>
          <w:noProof/>
        </w:rPr>
        <w:t>e)</w:t>
      </w:r>
      <w:bookmarkEnd w:id="304"/>
    </w:p>
    <w:p w14:paraId="62533AA9" w14:textId="77777777" w:rsidR="008B0C76" w:rsidRDefault="008B0C76" w:rsidP="00EE1BA1">
      <w:pPr>
        <w:rPr>
          <w:lang w:eastAsia="fr-FR"/>
        </w:rPr>
      </w:pPr>
    </w:p>
    <w:p w14:paraId="0D17A770" w14:textId="5AACE657" w:rsidR="00D130F1" w:rsidRDefault="00D130F1" w:rsidP="00622F40">
      <w:r>
        <w:lastRenderedPageBreak/>
        <w:t xml:space="preserve">The </w:t>
      </w:r>
      <w:r w:rsidR="00644590">
        <w:t xml:space="preserve">two </w:t>
      </w:r>
      <w:r>
        <w:t>following graph</w:t>
      </w:r>
      <w:r w:rsidR="00644590">
        <w:t>s</w:t>
      </w:r>
      <w:r>
        <w:t xml:space="preserve"> present the fugitive GHG emissions related to the production </w:t>
      </w:r>
      <w:r w:rsidR="00FB0D7A">
        <w:t xml:space="preserve">and processing </w:t>
      </w:r>
      <w:r>
        <w:t xml:space="preserve">of gas, which follow the </w:t>
      </w:r>
      <w:r w:rsidR="00DF5925">
        <w:t xml:space="preserve">evolution of the </w:t>
      </w:r>
      <w:r>
        <w:t xml:space="preserve">amounts of gas produced over the territory as presented in </w:t>
      </w:r>
      <w:r>
        <w:fldChar w:fldCharType="begin"/>
      </w:r>
      <w:r>
        <w:instrText xml:space="preserve"> REF _Ref175300576 \h </w:instrText>
      </w:r>
      <w:r>
        <w:fldChar w:fldCharType="separate"/>
      </w:r>
      <w:r w:rsidR="00F14C78" w:rsidRPr="00622F40">
        <w:t xml:space="preserve">Figure </w:t>
      </w:r>
      <w:r w:rsidR="00F14C78">
        <w:rPr>
          <w:noProof/>
        </w:rPr>
        <w:t>35</w:t>
      </w:r>
      <w:r>
        <w:fldChar w:fldCharType="end"/>
      </w:r>
      <w:r>
        <w:t xml:space="preserve">. </w:t>
      </w:r>
      <w:r w:rsidR="007A6951">
        <w:t xml:space="preserve">In the most recent years, a decline is </w:t>
      </w:r>
      <w:r w:rsidR="00877142">
        <w:t>observed,</w:t>
      </w:r>
      <w:r w:rsidR="007A6951">
        <w:t xml:space="preserve"> and the activity (hence the GHG emissions) are </w:t>
      </w:r>
      <w:r w:rsidR="002C0ECE">
        <w:t>almost half the levels they were in 1990.</w:t>
      </w:r>
    </w:p>
    <w:p w14:paraId="522D48BB" w14:textId="78B821ED" w:rsidR="008F33EF" w:rsidRDefault="007C33E0" w:rsidP="008B0C76">
      <w:pPr>
        <w:spacing w:after="0"/>
        <w:jc w:val="left"/>
        <w:rPr>
          <w:lang w:eastAsia="fr-FR"/>
        </w:rPr>
      </w:pPr>
      <w:r>
        <w:rPr>
          <w:noProof/>
          <w:lang w:val="en-US"/>
        </w:rPr>
        <w:drawing>
          <wp:inline distT="0" distB="0" distL="0" distR="0" wp14:anchorId="4F588803" wp14:editId="67039962">
            <wp:extent cx="5760000" cy="1760809"/>
            <wp:effectExtent l="0" t="0" r="0" b="0"/>
            <wp:docPr id="631085632"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000" cy="1760809"/>
                    </a:xfrm>
                    <a:prstGeom prst="rect">
                      <a:avLst/>
                    </a:prstGeom>
                    <a:noFill/>
                  </pic:spPr>
                </pic:pic>
              </a:graphicData>
            </a:graphic>
          </wp:inline>
        </w:drawing>
      </w:r>
    </w:p>
    <w:p w14:paraId="0C049091" w14:textId="574A9A2E" w:rsidR="008B0C76" w:rsidRPr="002462F0" w:rsidRDefault="008B0C76" w:rsidP="008B0C76">
      <w:pPr>
        <w:pStyle w:val="Caption"/>
        <w:keepNext/>
        <w:spacing w:before="0" w:after="0"/>
        <w:jc w:val="left"/>
      </w:pPr>
      <w:bookmarkStart w:id="305" w:name="_Ref175300576"/>
      <w:bookmarkStart w:id="306" w:name="_Toc184808422"/>
      <w:r w:rsidRPr="00622F40">
        <w:t xml:space="preserve">Figure </w:t>
      </w:r>
      <w:r w:rsidRPr="00622F40">
        <w:fldChar w:fldCharType="begin"/>
      </w:r>
      <w:r w:rsidRPr="00622F40">
        <w:instrText xml:space="preserve"> SEQ Figure \* ARABIC </w:instrText>
      </w:r>
      <w:r w:rsidRPr="00622F40">
        <w:fldChar w:fldCharType="separate"/>
      </w:r>
      <w:r>
        <w:rPr>
          <w:noProof/>
        </w:rPr>
        <w:t>35</w:t>
      </w:r>
      <w:r w:rsidRPr="00622F40">
        <w:fldChar w:fldCharType="end"/>
      </w:r>
      <w:bookmarkEnd w:id="305"/>
      <w:r w:rsidRPr="00622F40">
        <w:rPr>
          <w:noProof/>
        </w:rPr>
        <w:t xml:space="preserve"> : GHG emissions from production of NATURAL GAS</w:t>
      </w:r>
      <w:r>
        <w:rPr>
          <w:noProof/>
        </w:rPr>
        <w:t xml:space="preserve"> (CRT 1B2b</w:t>
      </w:r>
      <w:r w:rsidR="002B6B91">
        <w:rPr>
          <w:noProof/>
        </w:rPr>
        <w:t>ii</w:t>
      </w:r>
      <w:r>
        <w:rPr>
          <w:noProof/>
        </w:rPr>
        <w:t>)</w:t>
      </w:r>
      <w:r w:rsidRPr="00622F40">
        <w:rPr>
          <w:noProof/>
        </w:rPr>
        <w:t xml:space="preserve"> (kt CO</w:t>
      </w:r>
      <w:r w:rsidRPr="00622F40">
        <w:rPr>
          <w:noProof/>
          <w:vertAlign w:val="subscript"/>
        </w:rPr>
        <w:t>2</w:t>
      </w:r>
      <w:r w:rsidRPr="00622F40">
        <w:rPr>
          <w:noProof/>
        </w:rPr>
        <w:t>e)</w:t>
      </w:r>
      <w:bookmarkEnd w:id="306"/>
    </w:p>
    <w:p w14:paraId="03707351" w14:textId="77777777" w:rsidR="008B0C76" w:rsidRDefault="008B0C76" w:rsidP="00EE1BA1">
      <w:pPr>
        <w:rPr>
          <w:lang w:eastAsia="fr-FR"/>
        </w:rPr>
      </w:pPr>
    </w:p>
    <w:p w14:paraId="381D6E38" w14:textId="03D5600A" w:rsidR="008F33EF" w:rsidRDefault="006B0404" w:rsidP="008B0C76">
      <w:pPr>
        <w:spacing w:after="0"/>
        <w:rPr>
          <w:lang w:eastAsia="fr-FR"/>
        </w:rPr>
      </w:pPr>
      <w:r>
        <w:rPr>
          <w:noProof/>
          <w:lang w:val="en-US"/>
        </w:rPr>
        <w:drawing>
          <wp:inline distT="0" distB="0" distL="0" distR="0" wp14:anchorId="13BAB32E" wp14:editId="19EB80F0">
            <wp:extent cx="5760000" cy="1760809"/>
            <wp:effectExtent l="0" t="0" r="0" b="0"/>
            <wp:docPr id="1865652535"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00" cy="1760809"/>
                    </a:xfrm>
                    <a:prstGeom prst="rect">
                      <a:avLst/>
                    </a:prstGeom>
                    <a:noFill/>
                  </pic:spPr>
                </pic:pic>
              </a:graphicData>
            </a:graphic>
          </wp:inline>
        </w:drawing>
      </w:r>
    </w:p>
    <w:p w14:paraId="21278850" w14:textId="535832C7" w:rsidR="008B0C76" w:rsidRPr="002462F0" w:rsidRDefault="008B0C76" w:rsidP="002B6B91">
      <w:pPr>
        <w:pStyle w:val="Caption"/>
        <w:keepNext/>
        <w:spacing w:before="0" w:after="0"/>
        <w:jc w:val="left"/>
      </w:pPr>
      <w:bookmarkStart w:id="307" w:name="_Toc184808423"/>
      <w:r w:rsidRPr="00622F40">
        <w:t xml:space="preserve">Figure </w:t>
      </w:r>
      <w:r w:rsidRPr="00622F40">
        <w:fldChar w:fldCharType="begin"/>
      </w:r>
      <w:r w:rsidRPr="00622F40">
        <w:instrText xml:space="preserve"> SEQ Figure \* ARABIC </w:instrText>
      </w:r>
      <w:r w:rsidRPr="00622F40">
        <w:fldChar w:fldCharType="separate"/>
      </w:r>
      <w:r>
        <w:rPr>
          <w:noProof/>
        </w:rPr>
        <w:t>36</w:t>
      </w:r>
      <w:r w:rsidRPr="00622F40">
        <w:fldChar w:fldCharType="end"/>
      </w:r>
      <w:r w:rsidRPr="00622F40">
        <w:rPr>
          <w:noProof/>
        </w:rPr>
        <w:t xml:space="preserve"> : GHG emissions from processing of NATURAL GAS</w:t>
      </w:r>
      <w:r>
        <w:rPr>
          <w:noProof/>
        </w:rPr>
        <w:t xml:space="preserve"> (CRT 1B2b</w:t>
      </w:r>
      <w:r w:rsidR="002B6B91">
        <w:rPr>
          <w:noProof/>
        </w:rPr>
        <w:t>iii</w:t>
      </w:r>
      <w:r>
        <w:rPr>
          <w:noProof/>
        </w:rPr>
        <w:t>)</w:t>
      </w:r>
      <w:r w:rsidRPr="00622F40">
        <w:rPr>
          <w:noProof/>
        </w:rPr>
        <w:t xml:space="preserve"> (kt CO</w:t>
      </w:r>
      <w:r w:rsidRPr="00622F40">
        <w:rPr>
          <w:noProof/>
          <w:vertAlign w:val="subscript"/>
        </w:rPr>
        <w:t>2</w:t>
      </w:r>
      <w:r w:rsidRPr="00622F40">
        <w:rPr>
          <w:noProof/>
        </w:rPr>
        <w:t>e)</w:t>
      </w:r>
      <w:bookmarkEnd w:id="307"/>
    </w:p>
    <w:p w14:paraId="047F4285" w14:textId="77777777" w:rsidR="008B0C76" w:rsidRDefault="008B0C76" w:rsidP="00EE1BA1">
      <w:pPr>
        <w:rPr>
          <w:lang w:eastAsia="fr-FR"/>
        </w:rPr>
      </w:pPr>
    </w:p>
    <w:p w14:paraId="42A33B33" w14:textId="695483E1" w:rsidR="007A6951" w:rsidRDefault="002C0ECE" w:rsidP="00622F40">
      <w:r>
        <w:t xml:space="preserve">The two following graphs present the trend of the GHG emissions of the transmission and storage and the distribution of natural gas. They evolve respectively according to the amounts of gas transported and </w:t>
      </w:r>
      <w:r w:rsidR="00565D09">
        <w:t xml:space="preserve">distributed, </w:t>
      </w:r>
      <w:r w:rsidR="004B14BD">
        <w:t xml:space="preserve">which </w:t>
      </w:r>
      <w:r w:rsidR="00273805">
        <w:t xml:space="preserve">have similar trends as presented in </w:t>
      </w:r>
      <w:r w:rsidR="00273805">
        <w:fldChar w:fldCharType="begin"/>
      </w:r>
      <w:r w:rsidR="00273805">
        <w:instrText xml:space="preserve"> REF _Ref175301942 \h </w:instrText>
      </w:r>
      <w:r w:rsidR="00273805">
        <w:fldChar w:fldCharType="separate"/>
      </w:r>
      <w:r w:rsidR="00F14C78">
        <w:t xml:space="preserve">Figure </w:t>
      </w:r>
      <w:r w:rsidR="00F14C78">
        <w:rPr>
          <w:noProof/>
        </w:rPr>
        <w:t>27</w:t>
      </w:r>
      <w:r w:rsidR="00273805">
        <w:fldChar w:fldCharType="end"/>
      </w:r>
      <w:r w:rsidR="00273805">
        <w:t xml:space="preserve">. </w:t>
      </w:r>
      <w:r w:rsidR="00C90E54">
        <w:t xml:space="preserve">Contrary to the production of gas, the activity (i.e., the consumption of gas) has been intensifying, in correlation with the most recent development of natural gas in electricity production and residential combustion, in the light of the will to substitute partly and progressively solid fuels. </w:t>
      </w:r>
    </w:p>
    <w:p w14:paraId="74BDFBD4" w14:textId="3434165B" w:rsidR="008F33EF" w:rsidRDefault="006B0404" w:rsidP="008B0C76">
      <w:pPr>
        <w:spacing w:after="0"/>
        <w:jc w:val="left"/>
        <w:rPr>
          <w:lang w:eastAsia="fr-FR"/>
        </w:rPr>
      </w:pPr>
      <w:r>
        <w:rPr>
          <w:noProof/>
          <w:lang w:val="en-US"/>
        </w:rPr>
        <w:drawing>
          <wp:inline distT="0" distB="0" distL="0" distR="0" wp14:anchorId="2520AFF0" wp14:editId="0418FABB">
            <wp:extent cx="5760000" cy="1760809"/>
            <wp:effectExtent l="0" t="0" r="0" b="0"/>
            <wp:docPr id="41596630"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000" cy="1760809"/>
                    </a:xfrm>
                    <a:prstGeom prst="rect">
                      <a:avLst/>
                    </a:prstGeom>
                    <a:noFill/>
                  </pic:spPr>
                </pic:pic>
              </a:graphicData>
            </a:graphic>
          </wp:inline>
        </w:drawing>
      </w:r>
    </w:p>
    <w:p w14:paraId="0C8E5045" w14:textId="2BA0840B" w:rsidR="008B0C76" w:rsidRPr="002462F0" w:rsidRDefault="008B0C76" w:rsidP="008B0C76">
      <w:pPr>
        <w:pStyle w:val="Caption"/>
        <w:keepNext/>
        <w:spacing w:before="0" w:after="0"/>
        <w:jc w:val="left"/>
      </w:pPr>
      <w:bookmarkStart w:id="308" w:name="_Toc184808424"/>
      <w:r w:rsidRPr="00622F40">
        <w:t xml:space="preserve">Figure </w:t>
      </w:r>
      <w:r w:rsidRPr="00622F40">
        <w:fldChar w:fldCharType="begin"/>
      </w:r>
      <w:r w:rsidRPr="00622F40">
        <w:instrText xml:space="preserve"> SEQ Figure \* ARABIC </w:instrText>
      </w:r>
      <w:r w:rsidRPr="00622F40">
        <w:fldChar w:fldCharType="separate"/>
      </w:r>
      <w:r>
        <w:rPr>
          <w:noProof/>
        </w:rPr>
        <w:t>37</w:t>
      </w:r>
      <w:r w:rsidRPr="00622F40">
        <w:fldChar w:fldCharType="end"/>
      </w:r>
      <w:r w:rsidRPr="00622F40">
        <w:rPr>
          <w:noProof/>
        </w:rPr>
        <w:t xml:space="preserve"> : GHG emissions from transmission and storage of NATURAL GAS</w:t>
      </w:r>
      <w:r>
        <w:rPr>
          <w:noProof/>
        </w:rPr>
        <w:t xml:space="preserve"> (CRT 1B2b</w:t>
      </w:r>
      <w:r w:rsidR="002B6B91">
        <w:rPr>
          <w:noProof/>
        </w:rPr>
        <w:t>iv</w:t>
      </w:r>
      <w:r>
        <w:rPr>
          <w:noProof/>
        </w:rPr>
        <w:t>)</w:t>
      </w:r>
      <w:r w:rsidRPr="00622F40">
        <w:rPr>
          <w:noProof/>
        </w:rPr>
        <w:t xml:space="preserve"> (kt CO</w:t>
      </w:r>
      <w:r w:rsidRPr="00622F40">
        <w:rPr>
          <w:noProof/>
          <w:vertAlign w:val="subscript"/>
        </w:rPr>
        <w:t>2</w:t>
      </w:r>
      <w:r w:rsidRPr="00622F40">
        <w:rPr>
          <w:noProof/>
        </w:rPr>
        <w:t>e)</w:t>
      </w:r>
      <w:bookmarkEnd w:id="308"/>
    </w:p>
    <w:p w14:paraId="4CDE707D" w14:textId="77777777" w:rsidR="008B0C76" w:rsidRDefault="008B0C76" w:rsidP="008B0C76">
      <w:pPr>
        <w:spacing w:after="0"/>
        <w:jc w:val="left"/>
        <w:rPr>
          <w:lang w:eastAsia="fr-FR"/>
        </w:rPr>
      </w:pPr>
    </w:p>
    <w:p w14:paraId="4F85E04C" w14:textId="3AC1991A" w:rsidR="008F33EF" w:rsidRDefault="00391850" w:rsidP="008B0C76">
      <w:pPr>
        <w:spacing w:after="0"/>
        <w:jc w:val="left"/>
        <w:rPr>
          <w:lang w:eastAsia="fr-FR"/>
        </w:rPr>
      </w:pPr>
      <w:r>
        <w:rPr>
          <w:noProof/>
          <w:lang w:val="en-US"/>
        </w:rPr>
        <w:lastRenderedPageBreak/>
        <w:drawing>
          <wp:inline distT="0" distB="0" distL="0" distR="0" wp14:anchorId="53CF8068" wp14:editId="029DADEA">
            <wp:extent cx="5760000" cy="1760809"/>
            <wp:effectExtent l="0" t="0" r="0" b="0"/>
            <wp:docPr id="1163403240"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000" cy="1760809"/>
                    </a:xfrm>
                    <a:prstGeom prst="rect">
                      <a:avLst/>
                    </a:prstGeom>
                    <a:noFill/>
                  </pic:spPr>
                </pic:pic>
              </a:graphicData>
            </a:graphic>
          </wp:inline>
        </w:drawing>
      </w:r>
    </w:p>
    <w:p w14:paraId="2D4F3237" w14:textId="554244DA" w:rsidR="008B0C76" w:rsidRPr="002462F0" w:rsidRDefault="008B0C76" w:rsidP="008B0C76">
      <w:pPr>
        <w:pStyle w:val="Caption"/>
        <w:keepNext/>
        <w:spacing w:before="0" w:after="0"/>
        <w:jc w:val="left"/>
      </w:pPr>
      <w:bookmarkStart w:id="309" w:name="_Toc184808425"/>
      <w:r w:rsidRPr="00622F40">
        <w:t xml:space="preserve">Figure </w:t>
      </w:r>
      <w:r w:rsidRPr="00622F40">
        <w:fldChar w:fldCharType="begin"/>
      </w:r>
      <w:r w:rsidRPr="00622F40">
        <w:instrText xml:space="preserve"> SEQ Figure \* ARABIC </w:instrText>
      </w:r>
      <w:r w:rsidRPr="00622F40">
        <w:fldChar w:fldCharType="separate"/>
      </w:r>
      <w:r>
        <w:rPr>
          <w:noProof/>
        </w:rPr>
        <w:t>38</w:t>
      </w:r>
      <w:r w:rsidRPr="00622F40">
        <w:fldChar w:fldCharType="end"/>
      </w:r>
      <w:r w:rsidRPr="00622F40">
        <w:rPr>
          <w:noProof/>
        </w:rPr>
        <w:t xml:space="preserve"> : GHG emissions from distribution of NATURAL GAS</w:t>
      </w:r>
      <w:r>
        <w:rPr>
          <w:noProof/>
        </w:rPr>
        <w:t xml:space="preserve"> (CRT 1B2b</w:t>
      </w:r>
      <w:r w:rsidR="002B6B91">
        <w:rPr>
          <w:noProof/>
        </w:rPr>
        <w:t>v</w:t>
      </w:r>
      <w:r>
        <w:rPr>
          <w:noProof/>
        </w:rPr>
        <w:t>)</w:t>
      </w:r>
      <w:r w:rsidRPr="00622F40">
        <w:rPr>
          <w:noProof/>
        </w:rPr>
        <w:t xml:space="preserve"> (kt CO</w:t>
      </w:r>
      <w:r w:rsidRPr="00622F40">
        <w:rPr>
          <w:noProof/>
          <w:vertAlign w:val="subscript"/>
        </w:rPr>
        <w:t>2</w:t>
      </w:r>
      <w:r w:rsidRPr="00622F40">
        <w:rPr>
          <w:noProof/>
        </w:rPr>
        <w:t>e)</w:t>
      </w:r>
      <w:bookmarkEnd w:id="309"/>
    </w:p>
    <w:p w14:paraId="1F1CD0A4" w14:textId="58663759" w:rsidR="00273805" w:rsidRDefault="00C90E54" w:rsidP="00877142">
      <w:pPr>
        <w:spacing w:before="240"/>
      </w:pPr>
      <w:r>
        <w:t>The following graph presents the GHG emissions related to the venting in oil systems, which are rather negligible</w:t>
      </w:r>
      <w:r w:rsidR="00D67600">
        <w:t>, and follow the production of crude oil</w:t>
      </w:r>
      <w:r w:rsidR="00413B8E">
        <w:rPr>
          <w:lang w:eastAsia="fr-FR"/>
        </w:rPr>
        <w:t xml:space="preserve">, as presented in </w:t>
      </w:r>
      <w:r w:rsidR="00413B8E">
        <w:rPr>
          <w:lang w:eastAsia="fr-FR"/>
        </w:rPr>
        <w:fldChar w:fldCharType="begin"/>
      </w:r>
      <w:r w:rsidR="00413B8E">
        <w:rPr>
          <w:lang w:eastAsia="fr-FR"/>
        </w:rPr>
        <w:instrText xml:space="preserve"> REF _Ref175299756 \h </w:instrText>
      </w:r>
      <w:r w:rsidR="00413B8E">
        <w:rPr>
          <w:lang w:eastAsia="fr-FR"/>
        </w:rPr>
      </w:r>
      <w:r w:rsidR="00413B8E">
        <w:rPr>
          <w:lang w:eastAsia="fr-FR"/>
        </w:rPr>
        <w:fldChar w:fldCharType="separate"/>
      </w:r>
      <w:r w:rsidR="00F14C78">
        <w:t xml:space="preserve">Figure </w:t>
      </w:r>
      <w:r w:rsidR="00F14C78">
        <w:rPr>
          <w:noProof/>
        </w:rPr>
        <w:t>26</w:t>
      </w:r>
      <w:r w:rsidR="00413B8E">
        <w:rPr>
          <w:lang w:eastAsia="fr-FR"/>
        </w:rPr>
        <w:fldChar w:fldCharType="end"/>
      </w:r>
      <w:r>
        <w:t>.</w:t>
      </w:r>
    </w:p>
    <w:p w14:paraId="745720D9" w14:textId="225AF341" w:rsidR="008F33EF" w:rsidRDefault="00872FCB" w:rsidP="008B0C76">
      <w:pPr>
        <w:spacing w:after="0"/>
        <w:jc w:val="left"/>
        <w:rPr>
          <w:lang w:eastAsia="fr-FR"/>
        </w:rPr>
      </w:pPr>
      <w:r>
        <w:rPr>
          <w:noProof/>
          <w:lang w:val="en-US"/>
        </w:rPr>
        <w:drawing>
          <wp:inline distT="0" distB="0" distL="0" distR="0" wp14:anchorId="604CB1BC" wp14:editId="171C9107">
            <wp:extent cx="5760000" cy="1760809"/>
            <wp:effectExtent l="0" t="0" r="0" b="0"/>
            <wp:docPr id="1145259804"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000" cy="1760809"/>
                    </a:xfrm>
                    <a:prstGeom prst="rect">
                      <a:avLst/>
                    </a:prstGeom>
                    <a:noFill/>
                  </pic:spPr>
                </pic:pic>
              </a:graphicData>
            </a:graphic>
          </wp:inline>
        </w:drawing>
      </w:r>
    </w:p>
    <w:p w14:paraId="0AE89F32" w14:textId="02AEEB60" w:rsidR="008B0C76" w:rsidRPr="002462F0" w:rsidRDefault="008B0C76" w:rsidP="008B0C76">
      <w:pPr>
        <w:pStyle w:val="Caption"/>
        <w:keepNext/>
        <w:spacing w:before="0" w:after="0"/>
        <w:jc w:val="left"/>
      </w:pPr>
      <w:bookmarkStart w:id="310" w:name="_Toc184808426"/>
      <w:r w:rsidRPr="00622F40">
        <w:t xml:space="preserve">Figure </w:t>
      </w:r>
      <w:r w:rsidRPr="00622F40">
        <w:fldChar w:fldCharType="begin"/>
      </w:r>
      <w:r w:rsidRPr="00622F40">
        <w:instrText xml:space="preserve"> SEQ Figure \* ARABIC </w:instrText>
      </w:r>
      <w:r w:rsidRPr="00622F40">
        <w:fldChar w:fldCharType="separate"/>
      </w:r>
      <w:r>
        <w:rPr>
          <w:noProof/>
        </w:rPr>
        <w:t>39</w:t>
      </w:r>
      <w:r w:rsidRPr="00622F40">
        <w:fldChar w:fldCharType="end"/>
      </w:r>
      <w:r w:rsidRPr="00622F40">
        <w:rPr>
          <w:noProof/>
        </w:rPr>
        <w:t xml:space="preserve"> : GHG emissions from venting in OIL systems</w:t>
      </w:r>
      <w:r>
        <w:rPr>
          <w:noProof/>
        </w:rPr>
        <w:t xml:space="preserve"> (CRT 1B2ci</w:t>
      </w:r>
      <w:r w:rsidR="00D93163">
        <w:rPr>
          <w:noProof/>
        </w:rPr>
        <w:t>1</w:t>
      </w:r>
      <w:r>
        <w:rPr>
          <w:noProof/>
        </w:rPr>
        <w:t>)</w:t>
      </w:r>
      <w:r w:rsidRPr="00622F40">
        <w:rPr>
          <w:noProof/>
        </w:rPr>
        <w:t xml:space="preserve"> (kt CO</w:t>
      </w:r>
      <w:r w:rsidRPr="00622F40">
        <w:rPr>
          <w:noProof/>
          <w:vertAlign w:val="subscript"/>
        </w:rPr>
        <w:t>2</w:t>
      </w:r>
      <w:r w:rsidRPr="00622F40">
        <w:rPr>
          <w:noProof/>
        </w:rPr>
        <w:t>e)</w:t>
      </w:r>
      <w:bookmarkEnd w:id="310"/>
    </w:p>
    <w:p w14:paraId="54820553" w14:textId="30D7A321" w:rsidR="00C90E54" w:rsidRDefault="00C90E54" w:rsidP="00877142">
      <w:pPr>
        <w:spacing w:before="240"/>
        <w:rPr>
          <w:lang w:eastAsia="fr-FR"/>
        </w:rPr>
      </w:pPr>
      <w:r>
        <w:rPr>
          <w:lang w:eastAsia="fr-FR"/>
        </w:rPr>
        <w:t xml:space="preserve">The next graph depicts the trend of the GHG emissions from venting in natural gas </w:t>
      </w:r>
      <w:r w:rsidR="00585BDF">
        <w:rPr>
          <w:lang w:eastAsia="fr-FR"/>
        </w:rPr>
        <w:t>production to distribution system</w:t>
      </w:r>
      <w:r w:rsidR="00D67600">
        <w:rPr>
          <w:lang w:eastAsia="fr-FR"/>
        </w:rPr>
        <w:t>, which are proportional to the amounts of gas produced</w:t>
      </w:r>
      <w:r w:rsidR="00413B8E">
        <w:rPr>
          <w:lang w:eastAsia="fr-FR"/>
        </w:rPr>
        <w:t xml:space="preserve">, as presented in </w:t>
      </w:r>
      <w:r w:rsidR="00413B8E">
        <w:rPr>
          <w:lang w:eastAsia="fr-FR"/>
        </w:rPr>
        <w:fldChar w:fldCharType="begin"/>
      </w:r>
      <w:r w:rsidR="00413B8E">
        <w:rPr>
          <w:lang w:eastAsia="fr-FR"/>
        </w:rPr>
        <w:instrText xml:space="preserve"> REF _Ref175301942 \h </w:instrText>
      </w:r>
      <w:r w:rsidR="00413B8E">
        <w:rPr>
          <w:lang w:eastAsia="fr-FR"/>
        </w:rPr>
      </w:r>
      <w:r w:rsidR="00413B8E">
        <w:rPr>
          <w:lang w:eastAsia="fr-FR"/>
        </w:rPr>
        <w:fldChar w:fldCharType="separate"/>
      </w:r>
      <w:r w:rsidR="00F14C78">
        <w:t xml:space="preserve">Figure </w:t>
      </w:r>
      <w:r w:rsidR="00F14C78">
        <w:rPr>
          <w:noProof/>
        </w:rPr>
        <w:t>27</w:t>
      </w:r>
      <w:r w:rsidR="00413B8E">
        <w:rPr>
          <w:lang w:eastAsia="fr-FR"/>
        </w:rPr>
        <w:fldChar w:fldCharType="end"/>
      </w:r>
      <w:r w:rsidR="00585BDF">
        <w:rPr>
          <w:lang w:eastAsia="fr-FR"/>
        </w:rPr>
        <w:t xml:space="preserve">. </w:t>
      </w:r>
    </w:p>
    <w:p w14:paraId="47A578B5" w14:textId="379E448C" w:rsidR="008F33EF" w:rsidRDefault="003D7553" w:rsidP="008B0C76">
      <w:pPr>
        <w:spacing w:after="0"/>
        <w:jc w:val="left"/>
        <w:rPr>
          <w:lang w:eastAsia="fr-FR"/>
        </w:rPr>
      </w:pPr>
      <w:r>
        <w:rPr>
          <w:noProof/>
          <w:lang w:val="en-US"/>
        </w:rPr>
        <w:drawing>
          <wp:inline distT="0" distB="0" distL="0" distR="0" wp14:anchorId="310FA9C8" wp14:editId="71A9965B">
            <wp:extent cx="5760000" cy="1759762"/>
            <wp:effectExtent l="0" t="0" r="0" b="0"/>
            <wp:docPr id="1496052254"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000" cy="1759762"/>
                    </a:xfrm>
                    <a:prstGeom prst="rect">
                      <a:avLst/>
                    </a:prstGeom>
                    <a:noFill/>
                  </pic:spPr>
                </pic:pic>
              </a:graphicData>
            </a:graphic>
          </wp:inline>
        </w:drawing>
      </w:r>
    </w:p>
    <w:p w14:paraId="1B306444" w14:textId="045CB28A" w:rsidR="008B0C76" w:rsidRPr="002462F0" w:rsidRDefault="008B0C76" w:rsidP="008B0C76">
      <w:pPr>
        <w:pStyle w:val="Caption"/>
        <w:keepNext/>
        <w:spacing w:before="0" w:after="0"/>
        <w:jc w:val="left"/>
      </w:pPr>
      <w:bookmarkStart w:id="311" w:name="_Toc184808427"/>
      <w:r w:rsidRPr="008F0CA8">
        <w:t xml:space="preserve">Figure </w:t>
      </w:r>
      <w:r w:rsidRPr="00622F40">
        <w:fldChar w:fldCharType="begin"/>
      </w:r>
      <w:r w:rsidRPr="008F0CA8">
        <w:instrText xml:space="preserve"> SEQ Figure \* ARABIC </w:instrText>
      </w:r>
      <w:r w:rsidRPr="00622F40">
        <w:fldChar w:fldCharType="separate"/>
      </w:r>
      <w:r>
        <w:rPr>
          <w:noProof/>
        </w:rPr>
        <w:t>40</w:t>
      </w:r>
      <w:r w:rsidRPr="00622F40">
        <w:fldChar w:fldCharType="end"/>
      </w:r>
      <w:r w:rsidRPr="008F0CA8">
        <w:rPr>
          <w:i/>
          <w:iCs/>
          <w:noProof/>
        </w:rPr>
        <w:t xml:space="preserve"> : GHG emissions from venting in NATURAL GAS systems</w:t>
      </w:r>
      <w:r>
        <w:rPr>
          <w:noProof/>
        </w:rPr>
        <w:t xml:space="preserve"> (CRT 1B2ci</w:t>
      </w:r>
      <w:r w:rsidR="00D93163">
        <w:rPr>
          <w:noProof/>
        </w:rPr>
        <w:t>2</w:t>
      </w:r>
      <w:r>
        <w:rPr>
          <w:noProof/>
        </w:rPr>
        <w:t>)</w:t>
      </w:r>
      <w:r w:rsidRPr="00622F40">
        <w:rPr>
          <w:noProof/>
        </w:rPr>
        <w:t xml:space="preserve"> (kt CO</w:t>
      </w:r>
      <w:r w:rsidRPr="00622F40">
        <w:rPr>
          <w:noProof/>
          <w:vertAlign w:val="subscript"/>
        </w:rPr>
        <w:t>2</w:t>
      </w:r>
      <w:r w:rsidRPr="00622F40">
        <w:rPr>
          <w:noProof/>
        </w:rPr>
        <w:t>e)</w:t>
      </w:r>
      <w:bookmarkEnd w:id="311"/>
    </w:p>
    <w:p w14:paraId="0924B34B" w14:textId="38F4A549" w:rsidR="00413B8E" w:rsidRDefault="00413B8E" w:rsidP="00877142">
      <w:pPr>
        <w:spacing w:before="240"/>
        <w:rPr>
          <w:lang w:eastAsia="fr-FR"/>
        </w:rPr>
      </w:pPr>
      <w:r>
        <w:rPr>
          <w:lang w:eastAsia="fr-FR"/>
        </w:rPr>
        <w:t>The following graph presents the GHG emission evolution associated with the flaring in oil systems</w:t>
      </w:r>
      <w:r w:rsidR="007A4F01">
        <w:rPr>
          <w:lang w:eastAsia="fr-FR"/>
        </w:rPr>
        <w:t xml:space="preserve">, which evolve according to the amounts of gas flared in oil refineries. </w:t>
      </w:r>
      <w:r w:rsidR="005A369D">
        <w:rPr>
          <w:lang w:eastAsia="fr-FR"/>
        </w:rPr>
        <w:t xml:space="preserve">Until 2005, the </w:t>
      </w:r>
      <w:r w:rsidR="000028D3">
        <w:rPr>
          <w:lang w:eastAsia="fr-FR"/>
        </w:rPr>
        <w:t xml:space="preserve">GHG emissions evolve in a similar way as the amounts of crude oil treated in refineries, as presented in </w:t>
      </w:r>
      <w:r w:rsidR="000028D3">
        <w:rPr>
          <w:lang w:eastAsia="fr-FR"/>
        </w:rPr>
        <w:fldChar w:fldCharType="begin"/>
      </w:r>
      <w:r w:rsidR="000028D3">
        <w:rPr>
          <w:lang w:eastAsia="fr-FR"/>
        </w:rPr>
        <w:instrText xml:space="preserve"> REF _Ref175300147 \h </w:instrText>
      </w:r>
      <w:r w:rsidR="000028D3">
        <w:rPr>
          <w:lang w:eastAsia="fr-FR"/>
        </w:rPr>
      </w:r>
      <w:r w:rsidR="000028D3">
        <w:rPr>
          <w:lang w:eastAsia="fr-FR"/>
        </w:rPr>
        <w:fldChar w:fldCharType="separate"/>
      </w:r>
      <w:r w:rsidR="00F14C78">
        <w:t xml:space="preserve">Figure </w:t>
      </w:r>
      <w:r w:rsidR="00F14C78">
        <w:rPr>
          <w:noProof/>
        </w:rPr>
        <w:t>8</w:t>
      </w:r>
      <w:r w:rsidR="000028D3">
        <w:rPr>
          <w:lang w:eastAsia="fr-FR"/>
        </w:rPr>
        <w:fldChar w:fldCharType="end"/>
      </w:r>
      <w:r w:rsidR="000028D3">
        <w:rPr>
          <w:lang w:eastAsia="fr-FR"/>
        </w:rPr>
        <w:t xml:space="preserve">. </w:t>
      </w:r>
    </w:p>
    <w:p w14:paraId="5BDFD1D8" w14:textId="3AD43309" w:rsidR="008F33EF" w:rsidRDefault="0035631E" w:rsidP="008B0C76">
      <w:pPr>
        <w:spacing w:after="0"/>
        <w:jc w:val="left"/>
        <w:rPr>
          <w:lang w:eastAsia="fr-FR"/>
        </w:rPr>
      </w:pPr>
      <w:r>
        <w:rPr>
          <w:noProof/>
          <w:lang w:val="en-US"/>
        </w:rPr>
        <w:lastRenderedPageBreak/>
        <w:drawing>
          <wp:inline distT="0" distB="0" distL="0" distR="0" wp14:anchorId="114EB4F0" wp14:editId="618E77C9">
            <wp:extent cx="5819775" cy="1778024"/>
            <wp:effectExtent l="0" t="0" r="0" b="0"/>
            <wp:docPr id="1976417798"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20439" cy="1778227"/>
                    </a:xfrm>
                    <a:prstGeom prst="rect">
                      <a:avLst/>
                    </a:prstGeom>
                    <a:noFill/>
                  </pic:spPr>
                </pic:pic>
              </a:graphicData>
            </a:graphic>
          </wp:inline>
        </w:drawing>
      </w:r>
    </w:p>
    <w:p w14:paraId="0962CFE5" w14:textId="7316FC89" w:rsidR="008B0C76" w:rsidRPr="002462F0" w:rsidRDefault="008B0C76" w:rsidP="008B0C76">
      <w:pPr>
        <w:pStyle w:val="Caption"/>
        <w:keepNext/>
        <w:spacing w:before="0" w:after="0"/>
        <w:jc w:val="left"/>
      </w:pPr>
      <w:bookmarkStart w:id="312" w:name="_Toc184808428"/>
      <w:r w:rsidRPr="00622F40">
        <w:t xml:space="preserve">Figure </w:t>
      </w:r>
      <w:r w:rsidRPr="00622F40">
        <w:fldChar w:fldCharType="begin"/>
      </w:r>
      <w:r w:rsidRPr="00622F40">
        <w:instrText xml:space="preserve"> SEQ Figure \* ARABIC </w:instrText>
      </w:r>
      <w:r w:rsidRPr="00622F40">
        <w:fldChar w:fldCharType="separate"/>
      </w:r>
      <w:r>
        <w:rPr>
          <w:noProof/>
        </w:rPr>
        <w:t>41</w:t>
      </w:r>
      <w:r w:rsidRPr="00622F40">
        <w:fldChar w:fldCharType="end"/>
      </w:r>
      <w:r w:rsidRPr="00622F40">
        <w:rPr>
          <w:noProof/>
        </w:rPr>
        <w:t xml:space="preserve"> : GHG emissions from flaring in OIL systems</w:t>
      </w:r>
      <w:r>
        <w:rPr>
          <w:noProof/>
        </w:rPr>
        <w:t xml:space="preserve"> (CRT 1B2c</w:t>
      </w:r>
      <w:r w:rsidR="00D93163">
        <w:rPr>
          <w:noProof/>
        </w:rPr>
        <w:t>ii1</w:t>
      </w:r>
      <w:r>
        <w:rPr>
          <w:noProof/>
        </w:rPr>
        <w:t>)</w:t>
      </w:r>
      <w:r w:rsidRPr="00622F40">
        <w:rPr>
          <w:noProof/>
        </w:rPr>
        <w:t xml:space="preserve"> (kt CO</w:t>
      </w:r>
      <w:r w:rsidRPr="00622F40">
        <w:rPr>
          <w:noProof/>
          <w:vertAlign w:val="subscript"/>
        </w:rPr>
        <w:t>2</w:t>
      </w:r>
      <w:r w:rsidRPr="00622F40">
        <w:rPr>
          <w:noProof/>
        </w:rPr>
        <w:t>e)</w:t>
      </w:r>
      <w:bookmarkEnd w:id="312"/>
    </w:p>
    <w:p w14:paraId="5DB1CF19" w14:textId="77777777" w:rsidR="008B0C76" w:rsidRDefault="008B0C76" w:rsidP="00972C34">
      <w:pPr>
        <w:spacing w:after="0"/>
        <w:rPr>
          <w:lang w:eastAsia="fr-FR"/>
        </w:rPr>
      </w:pPr>
    </w:p>
    <w:p w14:paraId="5FCD3159" w14:textId="63E47649" w:rsidR="00D67600" w:rsidRDefault="00413B8E" w:rsidP="00622F40">
      <w:pPr>
        <w:rPr>
          <w:lang w:eastAsia="fr-FR"/>
        </w:rPr>
      </w:pPr>
      <w:r>
        <w:rPr>
          <w:lang w:eastAsia="fr-FR"/>
        </w:rPr>
        <w:t>Finally, t</w:t>
      </w:r>
      <w:r w:rsidR="00D67600">
        <w:rPr>
          <w:lang w:eastAsia="fr-FR"/>
        </w:rPr>
        <w:t xml:space="preserve">he </w:t>
      </w:r>
      <w:r>
        <w:rPr>
          <w:lang w:eastAsia="fr-FR"/>
        </w:rPr>
        <w:t xml:space="preserve">last </w:t>
      </w:r>
      <w:r w:rsidR="00D67600">
        <w:rPr>
          <w:lang w:eastAsia="fr-FR"/>
        </w:rPr>
        <w:t xml:space="preserve">graph </w:t>
      </w:r>
      <w:r>
        <w:rPr>
          <w:lang w:eastAsia="fr-FR"/>
        </w:rPr>
        <w:t xml:space="preserve">describes </w:t>
      </w:r>
      <w:r w:rsidR="00D67600">
        <w:rPr>
          <w:lang w:eastAsia="fr-FR"/>
        </w:rPr>
        <w:t xml:space="preserve">the trend of the GHG emissions from </w:t>
      </w:r>
      <w:r>
        <w:rPr>
          <w:lang w:eastAsia="fr-FR"/>
        </w:rPr>
        <w:t>flaring</w:t>
      </w:r>
      <w:r w:rsidR="00D67600">
        <w:rPr>
          <w:lang w:eastAsia="fr-FR"/>
        </w:rPr>
        <w:t xml:space="preserve"> in natural gas production to distribution system, which </w:t>
      </w:r>
      <w:r>
        <w:rPr>
          <w:lang w:eastAsia="fr-FR"/>
        </w:rPr>
        <w:t xml:space="preserve">evolve according </w:t>
      </w:r>
      <w:r w:rsidR="00D67600">
        <w:rPr>
          <w:lang w:eastAsia="fr-FR"/>
        </w:rPr>
        <w:t>to the amounts of gas produced</w:t>
      </w:r>
      <w:r>
        <w:rPr>
          <w:lang w:eastAsia="fr-FR"/>
        </w:rPr>
        <w:t xml:space="preserve">, as presented in </w:t>
      </w:r>
      <w:r>
        <w:rPr>
          <w:lang w:eastAsia="fr-FR"/>
        </w:rPr>
        <w:fldChar w:fldCharType="begin"/>
      </w:r>
      <w:r>
        <w:rPr>
          <w:lang w:eastAsia="fr-FR"/>
        </w:rPr>
        <w:instrText xml:space="preserve"> REF _Ref175301942 \h </w:instrText>
      </w:r>
      <w:r>
        <w:rPr>
          <w:lang w:eastAsia="fr-FR"/>
        </w:rPr>
      </w:r>
      <w:r>
        <w:rPr>
          <w:lang w:eastAsia="fr-FR"/>
        </w:rPr>
        <w:fldChar w:fldCharType="separate"/>
      </w:r>
      <w:r w:rsidR="00F14C78">
        <w:t xml:space="preserve">Figure </w:t>
      </w:r>
      <w:r w:rsidR="00F14C78">
        <w:rPr>
          <w:noProof/>
        </w:rPr>
        <w:t>27</w:t>
      </w:r>
      <w:r>
        <w:rPr>
          <w:lang w:eastAsia="fr-FR"/>
        </w:rPr>
        <w:fldChar w:fldCharType="end"/>
      </w:r>
      <w:r w:rsidR="00D67600">
        <w:rPr>
          <w:lang w:eastAsia="fr-FR"/>
        </w:rPr>
        <w:t xml:space="preserve">. </w:t>
      </w:r>
      <w:r w:rsidR="00312CF3">
        <w:rPr>
          <w:lang w:eastAsia="fr-FR"/>
        </w:rPr>
        <w:t>Since 2008, where the level was equal to the level of 1990, a rapid decline has been observed until 2010</w:t>
      </w:r>
      <w:r w:rsidR="00057A5C">
        <w:rPr>
          <w:lang w:eastAsia="fr-FR"/>
        </w:rPr>
        <w:t xml:space="preserve">, where it </w:t>
      </w:r>
      <w:r w:rsidR="007C4D94">
        <w:rPr>
          <w:lang w:eastAsia="fr-FR"/>
        </w:rPr>
        <w:t xml:space="preserve">became rather stable and to lower emission levels than what could be observed over the whole timeseries. </w:t>
      </w:r>
      <w:r w:rsidR="00517E50">
        <w:rPr>
          <w:lang w:eastAsia="fr-FR"/>
        </w:rPr>
        <w:t xml:space="preserve">Since 2019, </w:t>
      </w:r>
      <w:r w:rsidR="00121898">
        <w:rPr>
          <w:lang w:eastAsia="fr-FR"/>
        </w:rPr>
        <w:t xml:space="preserve">the oil refinery of Novi Sad became Tank farm Novi Sad and no more flaring </w:t>
      </w:r>
      <w:r w:rsidR="00AD0336">
        <w:rPr>
          <w:lang w:eastAsia="fr-FR"/>
        </w:rPr>
        <w:t xml:space="preserve">occurs. </w:t>
      </w:r>
    </w:p>
    <w:p w14:paraId="01CF6300" w14:textId="73816528" w:rsidR="0041121D" w:rsidRDefault="00AF269F" w:rsidP="008B0C76">
      <w:pPr>
        <w:spacing w:after="0"/>
        <w:jc w:val="left"/>
        <w:rPr>
          <w:lang w:eastAsia="fr-FR"/>
        </w:rPr>
      </w:pPr>
      <w:r>
        <w:rPr>
          <w:noProof/>
          <w:lang w:val="en-US"/>
        </w:rPr>
        <w:drawing>
          <wp:inline distT="0" distB="0" distL="0" distR="0" wp14:anchorId="6D097959" wp14:editId="7248EBE9">
            <wp:extent cx="5760000" cy="1759762"/>
            <wp:effectExtent l="0" t="0" r="0" b="0"/>
            <wp:docPr id="1709556882"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000" cy="1759762"/>
                    </a:xfrm>
                    <a:prstGeom prst="rect">
                      <a:avLst/>
                    </a:prstGeom>
                    <a:noFill/>
                  </pic:spPr>
                </pic:pic>
              </a:graphicData>
            </a:graphic>
          </wp:inline>
        </w:drawing>
      </w:r>
    </w:p>
    <w:p w14:paraId="7CD554EC" w14:textId="487C8BFA" w:rsidR="008B0C76" w:rsidRPr="002462F0" w:rsidRDefault="008B0C76" w:rsidP="008B0C76">
      <w:pPr>
        <w:pStyle w:val="Caption"/>
        <w:keepNext/>
        <w:spacing w:before="0" w:after="0"/>
        <w:jc w:val="left"/>
      </w:pPr>
      <w:bookmarkStart w:id="313" w:name="_Toc184808429"/>
      <w:r w:rsidRPr="00622F40">
        <w:t xml:space="preserve">Figure </w:t>
      </w:r>
      <w:r w:rsidRPr="00622F40">
        <w:fldChar w:fldCharType="begin"/>
      </w:r>
      <w:r w:rsidRPr="00622F40">
        <w:instrText xml:space="preserve"> SEQ Figure \* ARABIC </w:instrText>
      </w:r>
      <w:r w:rsidRPr="00622F40">
        <w:fldChar w:fldCharType="separate"/>
      </w:r>
      <w:r>
        <w:rPr>
          <w:noProof/>
        </w:rPr>
        <w:t>42</w:t>
      </w:r>
      <w:r w:rsidRPr="00622F40">
        <w:fldChar w:fldCharType="end"/>
      </w:r>
      <w:r w:rsidRPr="00622F40">
        <w:rPr>
          <w:noProof/>
        </w:rPr>
        <w:t xml:space="preserve"> : GHG emissions from flaring in NATURAL GAS systems</w:t>
      </w:r>
      <w:r>
        <w:rPr>
          <w:noProof/>
        </w:rPr>
        <w:t xml:space="preserve"> (CRT 1B2cii</w:t>
      </w:r>
      <w:r w:rsidR="00D93163">
        <w:rPr>
          <w:noProof/>
        </w:rPr>
        <w:t>2</w:t>
      </w:r>
      <w:r>
        <w:rPr>
          <w:noProof/>
        </w:rPr>
        <w:t>)</w:t>
      </w:r>
      <w:r w:rsidRPr="00622F40">
        <w:rPr>
          <w:noProof/>
        </w:rPr>
        <w:t xml:space="preserve"> (kt CO</w:t>
      </w:r>
      <w:r w:rsidRPr="00622F40">
        <w:rPr>
          <w:noProof/>
          <w:vertAlign w:val="subscript"/>
        </w:rPr>
        <w:t>2</w:t>
      </w:r>
      <w:r w:rsidRPr="00622F40">
        <w:rPr>
          <w:noProof/>
        </w:rPr>
        <w:t>e)</w:t>
      </w:r>
      <w:bookmarkEnd w:id="313"/>
    </w:p>
    <w:p w14:paraId="06BC31F6" w14:textId="77777777" w:rsidR="008B0C76" w:rsidRDefault="008B0C76" w:rsidP="00EE1BA1">
      <w:pPr>
        <w:rPr>
          <w:lang w:eastAsia="fr-FR"/>
        </w:rPr>
      </w:pPr>
    </w:p>
    <w:p w14:paraId="0FA92F07" w14:textId="30274658" w:rsidR="00614555" w:rsidRPr="002462F0" w:rsidRDefault="00614555" w:rsidP="00622F40">
      <w:pPr>
        <w:pStyle w:val="Heading3"/>
        <w:rPr>
          <w:lang w:eastAsia="fr-FR"/>
        </w:rPr>
      </w:pPr>
      <w:bookmarkStart w:id="314" w:name="_Toc182327779"/>
      <w:bookmarkStart w:id="315" w:name="_Toc184808192"/>
      <w:r w:rsidRPr="002462F0">
        <w:rPr>
          <w:lang w:eastAsia="fr-FR"/>
        </w:rPr>
        <w:t>Methodological issues</w:t>
      </w:r>
      <w:bookmarkEnd w:id="314"/>
      <w:bookmarkEnd w:id="315"/>
    </w:p>
    <w:p w14:paraId="687DD63D" w14:textId="543FDEFA" w:rsidR="003C1489" w:rsidRPr="002462F0" w:rsidRDefault="003C1489" w:rsidP="003C1489">
      <w:pPr>
        <w:pStyle w:val="BodyText"/>
        <w:rPr>
          <w:lang w:val="en-US" w:eastAsia="fr-FR"/>
        </w:rPr>
      </w:pPr>
      <w:r w:rsidRPr="002462F0">
        <w:rPr>
          <w:lang w:val="en-US" w:eastAsia="fr-FR"/>
        </w:rPr>
        <w:t xml:space="preserve">Emissions of GHG </w:t>
      </w:r>
      <w:r>
        <w:rPr>
          <w:lang w:val="en-US" w:eastAsia="fr-FR"/>
        </w:rPr>
        <w:t>for fugitive emissions</w:t>
      </w:r>
      <w:r w:rsidRPr="002462F0">
        <w:rPr>
          <w:lang w:val="en-US" w:eastAsia="fr-FR"/>
        </w:rPr>
        <w:t xml:space="preserve"> are calculated on the basis </w:t>
      </w:r>
      <w:r>
        <w:rPr>
          <w:lang w:val="en-US" w:eastAsia="fr-FR"/>
        </w:rPr>
        <w:t>of</w:t>
      </w:r>
      <w:r w:rsidR="00826E82">
        <w:rPr>
          <w:lang w:val="en-US" w:eastAsia="fr-FR"/>
        </w:rPr>
        <w:t xml:space="preserve"> the 2006 IPCC Guidelines </w:t>
      </w:r>
      <w:r w:rsidR="00826E82">
        <w:rPr>
          <w:lang w:val="en-US" w:eastAsia="fr-FR"/>
        </w:rPr>
        <w:fldChar w:fldCharType="begin"/>
      </w:r>
      <w:r w:rsidR="00826E82">
        <w:rPr>
          <w:lang w:val="en-US" w:eastAsia="fr-FR"/>
        </w:rPr>
        <w:instrText xml:space="preserve"> REF _Ref496788065 \r \h </w:instrText>
      </w:r>
      <w:r w:rsidR="00826E82">
        <w:rPr>
          <w:lang w:val="en-US" w:eastAsia="fr-FR"/>
        </w:rPr>
      </w:r>
      <w:r w:rsidR="00826E82">
        <w:rPr>
          <w:lang w:val="en-US" w:eastAsia="fr-FR"/>
        </w:rPr>
        <w:fldChar w:fldCharType="separate"/>
      </w:r>
      <w:r w:rsidR="00F14C78">
        <w:rPr>
          <w:lang w:val="en-US" w:eastAsia="fr-FR"/>
        </w:rPr>
        <w:t>[E12]</w:t>
      </w:r>
      <w:r w:rsidR="00826E82">
        <w:rPr>
          <w:lang w:val="en-US" w:eastAsia="fr-FR"/>
        </w:rPr>
        <w:fldChar w:fldCharType="end"/>
      </w:r>
      <w:r w:rsidR="008978BD">
        <w:rPr>
          <w:lang w:val="en-US" w:eastAsia="fr-FR"/>
        </w:rPr>
        <w:t>.</w:t>
      </w:r>
    </w:p>
    <w:p w14:paraId="3E90D2ED" w14:textId="350714AB" w:rsidR="008978BD" w:rsidRDefault="003C1489" w:rsidP="003C1489">
      <w:pPr>
        <w:pStyle w:val="BodyText"/>
        <w:rPr>
          <w:lang w:val="en-US" w:eastAsia="fr-FR"/>
        </w:rPr>
      </w:pPr>
      <w:r w:rsidRPr="002462F0">
        <w:rPr>
          <w:lang w:val="en-US" w:eastAsia="fr-FR"/>
        </w:rPr>
        <w:t xml:space="preserve">Activity data used </w:t>
      </w:r>
      <w:r w:rsidR="00972C34">
        <w:rPr>
          <w:lang w:val="en-US" w:eastAsia="fr-FR"/>
        </w:rPr>
        <w:t>is</w:t>
      </w:r>
      <w:r w:rsidR="008978BD">
        <w:rPr>
          <w:lang w:val="en-US" w:eastAsia="fr-FR"/>
        </w:rPr>
        <w:t xml:space="preserve"> different regarding the sub-categories and are summarized in the following table:</w:t>
      </w:r>
    </w:p>
    <w:tbl>
      <w:tblPr>
        <w:tblStyle w:val="TableGrid"/>
        <w:tblW w:w="0" w:type="auto"/>
        <w:tblLook w:val="04A0" w:firstRow="1" w:lastRow="0" w:firstColumn="1" w:lastColumn="0" w:noHBand="0" w:noVBand="1"/>
      </w:tblPr>
      <w:tblGrid>
        <w:gridCol w:w="3020"/>
        <w:gridCol w:w="3021"/>
        <w:gridCol w:w="3021"/>
      </w:tblGrid>
      <w:tr w:rsidR="008978BD" w:rsidRPr="008978BD" w14:paraId="5C63399C" w14:textId="77777777" w:rsidTr="008B0C76">
        <w:tc>
          <w:tcPr>
            <w:tcW w:w="3020" w:type="dxa"/>
            <w:shd w:val="clear" w:color="auto" w:fill="B8CCE4" w:themeFill="accent1" w:themeFillTint="66"/>
          </w:tcPr>
          <w:p w14:paraId="54F8B619" w14:textId="070C2A4B" w:rsidR="008978BD" w:rsidRPr="008978BD" w:rsidRDefault="000F6001" w:rsidP="008978BD">
            <w:pPr>
              <w:pStyle w:val="BodyText"/>
              <w:jc w:val="center"/>
              <w:rPr>
                <w:b/>
                <w:lang w:val="en-US" w:eastAsia="fr-FR"/>
              </w:rPr>
            </w:pPr>
            <w:bookmarkStart w:id="316" w:name="OLE_LINK1"/>
            <w:bookmarkStart w:id="317" w:name="OLE_LINK2"/>
            <w:r>
              <w:rPr>
                <w:b/>
                <w:lang w:val="en-US" w:eastAsia="fr-FR"/>
              </w:rPr>
              <w:t>CRT</w:t>
            </w:r>
            <w:r w:rsidR="008978BD" w:rsidRPr="008978BD">
              <w:rPr>
                <w:b/>
                <w:lang w:val="en-US" w:eastAsia="fr-FR"/>
              </w:rPr>
              <w:t xml:space="preserve"> code</w:t>
            </w:r>
          </w:p>
        </w:tc>
        <w:tc>
          <w:tcPr>
            <w:tcW w:w="3021" w:type="dxa"/>
            <w:shd w:val="clear" w:color="auto" w:fill="B8CCE4" w:themeFill="accent1" w:themeFillTint="66"/>
          </w:tcPr>
          <w:p w14:paraId="646EBB6A" w14:textId="77777777" w:rsidR="008978BD" w:rsidRPr="00622F40" w:rsidRDefault="008978BD" w:rsidP="008978BD">
            <w:pPr>
              <w:pStyle w:val="BodyText"/>
              <w:jc w:val="center"/>
              <w:rPr>
                <w:b/>
                <w:lang w:val="en-US" w:eastAsia="fr-FR"/>
              </w:rPr>
            </w:pPr>
            <w:r w:rsidRPr="00622F40">
              <w:rPr>
                <w:b/>
                <w:lang w:val="en-US" w:eastAsia="fr-FR"/>
              </w:rPr>
              <w:t>Activity data considered</w:t>
            </w:r>
          </w:p>
        </w:tc>
        <w:tc>
          <w:tcPr>
            <w:tcW w:w="3021" w:type="dxa"/>
            <w:shd w:val="clear" w:color="auto" w:fill="B8CCE4" w:themeFill="accent1" w:themeFillTint="66"/>
          </w:tcPr>
          <w:p w14:paraId="0718C5A7" w14:textId="77777777" w:rsidR="008978BD" w:rsidRPr="00622F40" w:rsidRDefault="008978BD" w:rsidP="008978BD">
            <w:pPr>
              <w:pStyle w:val="BodyText"/>
              <w:jc w:val="center"/>
              <w:rPr>
                <w:b/>
                <w:lang w:val="en-US" w:eastAsia="fr-FR"/>
              </w:rPr>
            </w:pPr>
            <w:r w:rsidRPr="00622F40">
              <w:rPr>
                <w:b/>
                <w:lang w:val="en-US" w:eastAsia="fr-FR"/>
              </w:rPr>
              <w:t>Reference</w:t>
            </w:r>
          </w:p>
        </w:tc>
      </w:tr>
      <w:tr w:rsidR="008978BD" w14:paraId="60BBAE8F" w14:textId="77777777" w:rsidTr="001D4FCF">
        <w:tc>
          <w:tcPr>
            <w:tcW w:w="3020" w:type="dxa"/>
            <w:vAlign w:val="center"/>
          </w:tcPr>
          <w:p w14:paraId="65A5FA60" w14:textId="52AA838F" w:rsidR="008978BD" w:rsidRDefault="008978BD" w:rsidP="003C1489">
            <w:pPr>
              <w:pStyle w:val="BodyText"/>
              <w:rPr>
                <w:lang w:val="en-US" w:eastAsia="fr-FR"/>
              </w:rPr>
            </w:pPr>
            <w:r w:rsidRPr="008978BD">
              <w:rPr>
                <w:lang w:val="en-US" w:eastAsia="fr-FR"/>
              </w:rPr>
              <w:t>1.B.1.a.</w:t>
            </w:r>
            <w:r>
              <w:rPr>
                <w:lang w:val="en-US" w:eastAsia="fr-FR"/>
              </w:rPr>
              <w:t>i</w:t>
            </w:r>
            <w:r w:rsidR="00D93163">
              <w:rPr>
                <w:lang w:val="en-US" w:eastAsia="fr-FR"/>
              </w:rPr>
              <w:t>.1</w:t>
            </w:r>
            <w:r w:rsidRPr="008978BD">
              <w:rPr>
                <w:lang w:val="en-US" w:eastAsia="fr-FR"/>
              </w:rPr>
              <w:t xml:space="preserve"> </w:t>
            </w:r>
            <w:r>
              <w:rPr>
                <w:lang w:val="en-US" w:eastAsia="fr-FR"/>
              </w:rPr>
              <w:t>–</w:t>
            </w:r>
            <w:r w:rsidRPr="008978BD">
              <w:rPr>
                <w:lang w:val="en-US" w:eastAsia="fr-FR"/>
              </w:rPr>
              <w:t xml:space="preserve"> Mining</w:t>
            </w:r>
            <w:r>
              <w:rPr>
                <w:lang w:val="en-US" w:eastAsia="fr-FR"/>
              </w:rPr>
              <w:t xml:space="preserve"> in underground mines</w:t>
            </w:r>
          </w:p>
        </w:tc>
        <w:tc>
          <w:tcPr>
            <w:tcW w:w="3021" w:type="dxa"/>
            <w:shd w:val="clear" w:color="auto" w:fill="auto"/>
            <w:vAlign w:val="center"/>
          </w:tcPr>
          <w:p w14:paraId="2B831383" w14:textId="48F7E5EA" w:rsidR="008978BD" w:rsidRPr="00E86A9F" w:rsidRDefault="009B59F6" w:rsidP="003C1489">
            <w:pPr>
              <w:pStyle w:val="BodyText"/>
              <w:rPr>
                <w:lang w:val="en-US" w:eastAsia="fr-FR"/>
              </w:rPr>
            </w:pPr>
            <w:r w:rsidRPr="00E86A9F">
              <w:rPr>
                <w:lang w:val="en-US" w:eastAsia="fr-FR"/>
              </w:rPr>
              <w:t>Underground production of lignite</w:t>
            </w:r>
          </w:p>
        </w:tc>
        <w:tc>
          <w:tcPr>
            <w:tcW w:w="3021" w:type="dxa"/>
            <w:shd w:val="clear" w:color="auto" w:fill="auto"/>
            <w:vAlign w:val="center"/>
          </w:tcPr>
          <w:p w14:paraId="5E904BE0" w14:textId="78BF2C33" w:rsidR="008978BD" w:rsidRPr="00E86A9F" w:rsidRDefault="009B59F6" w:rsidP="003C1489">
            <w:pPr>
              <w:pStyle w:val="BodyText"/>
              <w:rPr>
                <w:lang w:val="en-US" w:eastAsia="fr-FR"/>
              </w:rPr>
            </w:pPr>
            <w:r w:rsidRPr="00E86A9F">
              <w:rPr>
                <w:lang w:val="en-US" w:eastAsia="fr-FR"/>
              </w:rPr>
              <w:t>Serbian Energy Balance</w:t>
            </w:r>
            <w:r w:rsidR="00716953" w:rsidRPr="00E86A9F">
              <w:rPr>
                <w:lang w:val="en-US" w:eastAsia="fr-FR"/>
              </w:rPr>
              <w:t xml:space="preserve"> of Coal</w:t>
            </w:r>
            <w:r w:rsidRPr="00E86A9F">
              <w:rPr>
                <w:lang w:val="en-US" w:eastAsia="fr-FR"/>
              </w:rPr>
              <w:t xml:space="preserve"> (1990-20</w:t>
            </w:r>
            <w:r w:rsidR="00DE67DA">
              <w:rPr>
                <w:lang w:val="en-US" w:eastAsia="fr-FR"/>
              </w:rPr>
              <w:t>22</w:t>
            </w:r>
            <w:r w:rsidRPr="00E86A9F">
              <w:rPr>
                <w:lang w:val="en-US" w:eastAsia="fr-FR"/>
              </w:rPr>
              <w:t>)</w:t>
            </w:r>
          </w:p>
        </w:tc>
      </w:tr>
      <w:tr w:rsidR="008978BD" w14:paraId="25D73201" w14:textId="77777777" w:rsidTr="001D4FCF">
        <w:tc>
          <w:tcPr>
            <w:tcW w:w="3020" w:type="dxa"/>
            <w:vAlign w:val="center"/>
          </w:tcPr>
          <w:p w14:paraId="1B248A27" w14:textId="185CBA61" w:rsidR="008978BD" w:rsidRDefault="00D612DB" w:rsidP="003C1489">
            <w:pPr>
              <w:pStyle w:val="BodyText"/>
              <w:rPr>
                <w:lang w:val="en-US" w:eastAsia="fr-FR"/>
              </w:rPr>
            </w:pPr>
            <w:r w:rsidRPr="008978BD">
              <w:rPr>
                <w:lang w:val="en-US" w:eastAsia="fr-FR"/>
              </w:rPr>
              <w:t>1.B.1.a.</w:t>
            </w:r>
            <w:r w:rsidR="00D93163">
              <w:rPr>
                <w:lang w:val="en-US" w:eastAsia="fr-FR"/>
              </w:rPr>
              <w:t>i</w:t>
            </w:r>
            <w:r>
              <w:rPr>
                <w:lang w:val="en-US" w:eastAsia="fr-FR"/>
              </w:rPr>
              <w:t>.</w:t>
            </w:r>
            <w:r w:rsidR="00D93163">
              <w:rPr>
                <w:lang w:val="en-US" w:eastAsia="fr-FR"/>
              </w:rPr>
              <w:t>2</w:t>
            </w:r>
            <w:r w:rsidRPr="008978BD">
              <w:rPr>
                <w:lang w:val="en-US" w:eastAsia="fr-FR"/>
              </w:rPr>
              <w:t xml:space="preserve"> </w:t>
            </w:r>
            <w:r>
              <w:rPr>
                <w:lang w:val="en-US" w:eastAsia="fr-FR"/>
              </w:rPr>
              <w:t>–</w:t>
            </w:r>
            <w:r w:rsidRPr="008978BD">
              <w:rPr>
                <w:lang w:val="en-US" w:eastAsia="fr-FR"/>
              </w:rPr>
              <w:t xml:space="preserve"> </w:t>
            </w:r>
            <w:r>
              <w:rPr>
                <w:lang w:val="en-US" w:eastAsia="fr-FR"/>
              </w:rPr>
              <w:t>Post-m</w:t>
            </w:r>
            <w:r w:rsidRPr="008978BD">
              <w:rPr>
                <w:lang w:val="en-US" w:eastAsia="fr-FR"/>
              </w:rPr>
              <w:t>ining</w:t>
            </w:r>
            <w:r>
              <w:rPr>
                <w:lang w:val="en-US" w:eastAsia="fr-FR"/>
              </w:rPr>
              <w:t xml:space="preserve"> in underground mines</w:t>
            </w:r>
          </w:p>
        </w:tc>
        <w:tc>
          <w:tcPr>
            <w:tcW w:w="3021" w:type="dxa"/>
            <w:shd w:val="clear" w:color="auto" w:fill="auto"/>
            <w:vAlign w:val="center"/>
          </w:tcPr>
          <w:p w14:paraId="63D4CAB7" w14:textId="72267640" w:rsidR="008978BD" w:rsidRPr="00E86A9F" w:rsidRDefault="009B59F6" w:rsidP="003C1489">
            <w:pPr>
              <w:pStyle w:val="BodyText"/>
              <w:rPr>
                <w:lang w:val="en-US" w:eastAsia="fr-FR"/>
              </w:rPr>
            </w:pPr>
            <w:r w:rsidRPr="00E86A9F">
              <w:rPr>
                <w:lang w:val="en-US" w:eastAsia="fr-FR"/>
              </w:rPr>
              <w:t>Underground production of lignite</w:t>
            </w:r>
          </w:p>
        </w:tc>
        <w:tc>
          <w:tcPr>
            <w:tcW w:w="3021" w:type="dxa"/>
            <w:shd w:val="clear" w:color="auto" w:fill="auto"/>
            <w:vAlign w:val="center"/>
          </w:tcPr>
          <w:p w14:paraId="7571B26F" w14:textId="590FA021" w:rsidR="008978BD" w:rsidRPr="00E86A9F" w:rsidRDefault="00716953" w:rsidP="003C1489">
            <w:pPr>
              <w:pStyle w:val="BodyText"/>
              <w:rPr>
                <w:lang w:val="en-US" w:eastAsia="fr-FR"/>
              </w:rPr>
            </w:pPr>
            <w:r w:rsidRPr="00E86A9F">
              <w:rPr>
                <w:lang w:val="en-US" w:eastAsia="fr-FR"/>
              </w:rPr>
              <w:t>Serbian Energy Balance of Coal (1990-20</w:t>
            </w:r>
            <w:r w:rsidR="00DE67DA">
              <w:rPr>
                <w:lang w:val="en-US" w:eastAsia="fr-FR"/>
              </w:rPr>
              <w:t>22</w:t>
            </w:r>
            <w:r w:rsidRPr="00E86A9F">
              <w:rPr>
                <w:lang w:val="en-US" w:eastAsia="fr-FR"/>
              </w:rPr>
              <w:t>)</w:t>
            </w:r>
          </w:p>
        </w:tc>
      </w:tr>
      <w:tr w:rsidR="008978BD" w14:paraId="7A26997D" w14:textId="77777777" w:rsidTr="001D4FCF">
        <w:tc>
          <w:tcPr>
            <w:tcW w:w="3020" w:type="dxa"/>
            <w:vAlign w:val="center"/>
          </w:tcPr>
          <w:p w14:paraId="4BA61692" w14:textId="5CD68FCA" w:rsidR="008978BD" w:rsidRDefault="00D612DB" w:rsidP="003C1489">
            <w:pPr>
              <w:pStyle w:val="BodyText"/>
              <w:rPr>
                <w:lang w:val="en-US" w:eastAsia="fr-FR"/>
              </w:rPr>
            </w:pPr>
            <w:r w:rsidRPr="008978BD">
              <w:rPr>
                <w:lang w:val="en-US" w:eastAsia="fr-FR"/>
              </w:rPr>
              <w:t>1.B.1.a.</w:t>
            </w:r>
            <w:r w:rsidR="00D93163">
              <w:rPr>
                <w:lang w:val="en-US" w:eastAsia="fr-FR"/>
              </w:rPr>
              <w:t>i</w:t>
            </w:r>
            <w:r>
              <w:rPr>
                <w:lang w:val="en-US" w:eastAsia="fr-FR"/>
              </w:rPr>
              <w:t>.</w:t>
            </w:r>
            <w:r w:rsidR="00D93163">
              <w:rPr>
                <w:lang w:val="en-US" w:eastAsia="fr-FR"/>
              </w:rPr>
              <w:t>3</w:t>
            </w:r>
            <w:r w:rsidRPr="008978BD">
              <w:rPr>
                <w:lang w:val="en-US" w:eastAsia="fr-FR"/>
              </w:rPr>
              <w:t xml:space="preserve"> </w:t>
            </w:r>
            <w:r>
              <w:rPr>
                <w:lang w:val="en-US" w:eastAsia="fr-FR"/>
              </w:rPr>
              <w:t>–</w:t>
            </w:r>
            <w:r w:rsidRPr="008978BD">
              <w:rPr>
                <w:lang w:val="en-US" w:eastAsia="fr-FR"/>
              </w:rPr>
              <w:t xml:space="preserve"> </w:t>
            </w:r>
            <w:r>
              <w:rPr>
                <w:lang w:val="en-US" w:eastAsia="fr-FR"/>
              </w:rPr>
              <w:t>Abandoned underground mines</w:t>
            </w:r>
          </w:p>
        </w:tc>
        <w:tc>
          <w:tcPr>
            <w:tcW w:w="3021" w:type="dxa"/>
            <w:shd w:val="clear" w:color="auto" w:fill="auto"/>
            <w:vAlign w:val="center"/>
          </w:tcPr>
          <w:p w14:paraId="3DBCC072" w14:textId="1B41C303" w:rsidR="008978BD" w:rsidRPr="00E86A9F" w:rsidRDefault="00ED2C6B" w:rsidP="00ED2C6B">
            <w:pPr>
              <w:pStyle w:val="BodyText"/>
              <w:rPr>
                <w:lang w:val="en-US" w:eastAsia="fr-FR"/>
              </w:rPr>
            </w:pPr>
            <w:r w:rsidRPr="00E86A9F">
              <w:rPr>
                <w:lang w:val="en-US" w:eastAsia="fr-FR"/>
              </w:rPr>
              <w:t xml:space="preserve">Number of abandoned underground mines </w:t>
            </w:r>
          </w:p>
        </w:tc>
        <w:tc>
          <w:tcPr>
            <w:tcW w:w="3021" w:type="dxa"/>
            <w:shd w:val="clear" w:color="auto" w:fill="auto"/>
            <w:vAlign w:val="center"/>
          </w:tcPr>
          <w:p w14:paraId="0D2FB45A" w14:textId="563A11E9" w:rsidR="008978BD" w:rsidRPr="00E86A9F" w:rsidRDefault="00ED2C6B" w:rsidP="003C1489">
            <w:pPr>
              <w:pStyle w:val="BodyText"/>
              <w:rPr>
                <w:lang w:val="en-US" w:eastAsia="fr-FR"/>
              </w:rPr>
            </w:pPr>
            <w:r w:rsidRPr="00E86A9F">
              <w:rPr>
                <w:lang w:val="en-US" w:eastAsia="fr-FR"/>
              </w:rPr>
              <w:t xml:space="preserve">Mine Kovin, mine </w:t>
            </w:r>
            <w:proofErr w:type="spellStart"/>
            <w:r w:rsidRPr="00E86A9F">
              <w:rPr>
                <w:lang w:val="en-US" w:eastAsia="fr-FR"/>
              </w:rPr>
              <w:t>Resavica</w:t>
            </w:r>
            <w:proofErr w:type="spellEnd"/>
          </w:p>
        </w:tc>
      </w:tr>
      <w:tr w:rsidR="00ED2C6B" w14:paraId="5FD31FB5" w14:textId="77777777" w:rsidTr="001D4FCF">
        <w:tc>
          <w:tcPr>
            <w:tcW w:w="3020" w:type="dxa"/>
            <w:vAlign w:val="center"/>
          </w:tcPr>
          <w:p w14:paraId="35DB447A" w14:textId="63C8EEDB" w:rsidR="00ED2C6B" w:rsidRDefault="00ED2C6B" w:rsidP="00ED2C6B">
            <w:pPr>
              <w:pStyle w:val="BodyText"/>
              <w:rPr>
                <w:lang w:val="en-US" w:eastAsia="fr-FR"/>
              </w:rPr>
            </w:pPr>
            <w:r w:rsidRPr="008978BD">
              <w:rPr>
                <w:lang w:val="en-US" w:eastAsia="fr-FR"/>
              </w:rPr>
              <w:t>1.B.1.a.</w:t>
            </w:r>
            <w:r w:rsidR="00D93163">
              <w:rPr>
                <w:lang w:val="en-US" w:eastAsia="fr-FR"/>
              </w:rPr>
              <w:t>ii</w:t>
            </w:r>
            <w:r>
              <w:rPr>
                <w:lang w:val="en-US" w:eastAsia="fr-FR"/>
              </w:rPr>
              <w:t>.</w:t>
            </w:r>
            <w:r w:rsidR="00D93163">
              <w:rPr>
                <w:lang w:val="en-US" w:eastAsia="fr-FR"/>
              </w:rPr>
              <w:t>1</w:t>
            </w:r>
            <w:r w:rsidRPr="008978BD">
              <w:rPr>
                <w:lang w:val="en-US" w:eastAsia="fr-FR"/>
              </w:rPr>
              <w:t xml:space="preserve"> </w:t>
            </w:r>
            <w:r>
              <w:rPr>
                <w:lang w:val="en-US" w:eastAsia="fr-FR"/>
              </w:rPr>
              <w:t>–</w:t>
            </w:r>
            <w:r w:rsidRPr="008978BD">
              <w:rPr>
                <w:lang w:val="en-US" w:eastAsia="fr-FR"/>
              </w:rPr>
              <w:t xml:space="preserve"> Mining</w:t>
            </w:r>
            <w:r>
              <w:rPr>
                <w:lang w:val="en-US" w:eastAsia="fr-FR"/>
              </w:rPr>
              <w:t xml:space="preserve"> in surface mines</w:t>
            </w:r>
          </w:p>
        </w:tc>
        <w:tc>
          <w:tcPr>
            <w:tcW w:w="3021" w:type="dxa"/>
            <w:shd w:val="clear" w:color="auto" w:fill="auto"/>
            <w:vAlign w:val="center"/>
          </w:tcPr>
          <w:p w14:paraId="37DEBDBC" w14:textId="56E64EFD" w:rsidR="00ED2C6B" w:rsidRPr="00E86A9F" w:rsidRDefault="00ED2C6B" w:rsidP="00ED2C6B">
            <w:pPr>
              <w:pStyle w:val="BodyText"/>
              <w:rPr>
                <w:lang w:val="en-US" w:eastAsia="fr-FR"/>
              </w:rPr>
            </w:pPr>
            <w:r w:rsidRPr="00E86A9F">
              <w:rPr>
                <w:lang w:val="en-US" w:eastAsia="fr-FR"/>
              </w:rPr>
              <w:t>Surface production of lignite</w:t>
            </w:r>
          </w:p>
        </w:tc>
        <w:tc>
          <w:tcPr>
            <w:tcW w:w="3021" w:type="dxa"/>
            <w:shd w:val="clear" w:color="auto" w:fill="auto"/>
            <w:vAlign w:val="center"/>
          </w:tcPr>
          <w:p w14:paraId="77219EB9" w14:textId="477EF8B7" w:rsidR="00ED2C6B" w:rsidRPr="00E86A9F" w:rsidRDefault="00716953" w:rsidP="00ED2C6B">
            <w:pPr>
              <w:pStyle w:val="BodyText"/>
              <w:rPr>
                <w:lang w:val="en-US" w:eastAsia="fr-FR"/>
              </w:rPr>
            </w:pPr>
            <w:r w:rsidRPr="00E86A9F">
              <w:rPr>
                <w:lang w:val="en-US" w:eastAsia="fr-FR"/>
              </w:rPr>
              <w:t>Serbian Energy Balance of Coal (1990-20</w:t>
            </w:r>
            <w:r w:rsidR="00DE67DA">
              <w:rPr>
                <w:lang w:val="en-US" w:eastAsia="fr-FR"/>
              </w:rPr>
              <w:t>22</w:t>
            </w:r>
            <w:r w:rsidRPr="00E86A9F">
              <w:rPr>
                <w:lang w:val="en-US" w:eastAsia="fr-FR"/>
              </w:rPr>
              <w:t>)</w:t>
            </w:r>
          </w:p>
        </w:tc>
      </w:tr>
      <w:tr w:rsidR="00ED2C6B" w14:paraId="64C3E019" w14:textId="77777777" w:rsidTr="001D4FCF">
        <w:tc>
          <w:tcPr>
            <w:tcW w:w="3020" w:type="dxa"/>
            <w:vAlign w:val="center"/>
          </w:tcPr>
          <w:p w14:paraId="41745060" w14:textId="3B97D2CE" w:rsidR="00ED2C6B" w:rsidRDefault="00ED2C6B" w:rsidP="00ED2C6B">
            <w:pPr>
              <w:pStyle w:val="BodyText"/>
              <w:rPr>
                <w:lang w:val="en-US" w:eastAsia="fr-FR"/>
              </w:rPr>
            </w:pPr>
            <w:r w:rsidRPr="008978BD">
              <w:rPr>
                <w:lang w:val="en-US" w:eastAsia="fr-FR"/>
              </w:rPr>
              <w:t>1.B.1.a.</w:t>
            </w:r>
            <w:r w:rsidR="00D93163">
              <w:rPr>
                <w:lang w:val="en-US" w:eastAsia="fr-FR"/>
              </w:rPr>
              <w:t>ii</w:t>
            </w:r>
            <w:r>
              <w:rPr>
                <w:lang w:val="en-US" w:eastAsia="fr-FR"/>
              </w:rPr>
              <w:t>.</w:t>
            </w:r>
            <w:r w:rsidR="00D93163">
              <w:rPr>
                <w:lang w:val="en-US" w:eastAsia="fr-FR"/>
              </w:rPr>
              <w:t>2</w:t>
            </w:r>
            <w:r w:rsidRPr="008978BD">
              <w:rPr>
                <w:lang w:val="en-US" w:eastAsia="fr-FR"/>
              </w:rPr>
              <w:t xml:space="preserve"> </w:t>
            </w:r>
            <w:r>
              <w:rPr>
                <w:lang w:val="en-US" w:eastAsia="fr-FR"/>
              </w:rPr>
              <w:t>– Post-m</w:t>
            </w:r>
            <w:r w:rsidRPr="008978BD">
              <w:rPr>
                <w:lang w:val="en-US" w:eastAsia="fr-FR"/>
              </w:rPr>
              <w:t>ining</w:t>
            </w:r>
            <w:r>
              <w:rPr>
                <w:lang w:val="en-US" w:eastAsia="fr-FR"/>
              </w:rPr>
              <w:t xml:space="preserve"> in surface mines</w:t>
            </w:r>
          </w:p>
        </w:tc>
        <w:tc>
          <w:tcPr>
            <w:tcW w:w="3021" w:type="dxa"/>
            <w:shd w:val="clear" w:color="auto" w:fill="auto"/>
            <w:vAlign w:val="center"/>
          </w:tcPr>
          <w:p w14:paraId="263C42C0" w14:textId="6BE755F2" w:rsidR="00ED2C6B" w:rsidRPr="00E86A9F" w:rsidRDefault="00ED2C6B" w:rsidP="00ED2C6B">
            <w:pPr>
              <w:pStyle w:val="BodyText"/>
              <w:rPr>
                <w:lang w:val="en-US" w:eastAsia="fr-FR"/>
              </w:rPr>
            </w:pPr>
            <w:r w:rsidRPr="00E86A9F">
              <w:rPr>
                <w:lang w:val="en-US" w:eastAsia="fr-FR"/>
              </w:rPr>
              <w:t>Surface production of lignite</w:t>
            </w:r>
          </w:p>
        </w:tc>
        <w:tc>
          <w:tcPr>
            <w:tcW w:w="3021" w:type="dxa"/>
            <w:shd w:val="clear" w:color="auto" w:fill="auto"/>
            <w:vAlign w:val="center"/>
          </w:tcPr>
          <w:p w14:paraId="70D98B5A" w14:textId="6D185F71" w:rsidR="00ED2C6B" w:rsidRPr="00E86A9F" w:rsidRDefault="00716953" w:rsidP="00ED2C6B">
            <w:pPr>
              <w:pStyle w:val="BodyText"/>
              <w:rPr>
                <w:lang w:val="en-US" w:eastAsia="fr-FR"/>
              </w:rPr>
            </w:pPr>
            <w:r w:rsidRPr="00E86A9F">
              <w:rPr>
                <w:lang w:val="en-US" w:eastAsia="fr-FR"/>
              </w:rPr>
              <w:t>Serbian Energy Balance of Coal (1990-20</w:t>
            </w:r>
            <w:r w:rsidR="00DE67DA">
              <w:rPr>
                <w:lang w:val="en-US" w:eastAsia="fr-FR"/>
              </w:rPr>
              <w:t>22</w:t>
            </w:r>
            <w:r w:rsidRPr="00E86A9F">
              <w:rPr>
                <w:lang w:val="en-US" w:eastAsia="fr-FR"/>
              </w:rPr>
              <w:t>)</w:t>
            </w:r>
          </w:p>
        </w:tc>
      </w:tr>
      <w:tr w:rsidR="00ED2C6B" w14:paraId="23566193" w14:textId="77777777" w:rsidTr="001D4FCF">
        <w:tc>
          <w:tcPr>
            <w:tcW w:w="3020" w:type="dxa"/>
            <w:vAlign w:val="center"/>
          </w:tcPr>
          <w:p w14:paraId="49790835" w14:textId="187DFE03" w:rsidR="00ED2C6B" w:rsidRDefault="00ED2C6B" w:rsidP="00ED2C6B">
            <w:pPr>
              <w:pStyle w:val="BodyText"/>
              <w:rPr>
                <w:lang w:val="en-US" w:eastAsia="fr-FR"/>
              </w:rPr>
            </w:pPr>
            <w:r w:rsidRPr="00FE1B2B">
              <w:rPr>
                <w:lang w:val="en-US" w:eastAsia="fr-FR"/>
              </w:rPr>
              <w:lastRenderedPageBreak/>
              <w:t>1.B.2.a.</w:t>
            </w:r>
            <w:r w:rsidR="00D93163">
              <w:rPr>
                <w:lang w:val="en-US" w:eastAsia="fr-FR"/>
              </w:rPr>
              <w:t>ii</w:t>
            </w:r>
            <w:r>
              <w:rPr>
                <w:lang w:val="en-US" w:eastAsia="fr-FR"/>
              </w:rPr>
              <w:t xml:space="preserve"> – Production and upgrading of oil</w:t>
            </w:r>
          </w:p>
        </w:tc>
        <w:tc>
          <w:tcPr>
            <w:tcW w:w="3021" w:type="dxa"/>
            <w:shd w:val="clear" w:color="auto" w:fill="auto"/>
            <w:vAlign w:val="center"/>
          </w:tcPr>
          <w:p w14:paraId="433CAD06" w14:textId="772FFEC5" w:rsidR="00ED2C6B" w:rsidRPr="00E86A9F" w:rsidRDefault="00716953" w:rsidP="00ED2C6B">
            <w:pPr>
              <w:pStyle w:val="BodyText"/>
              <w:rPr>
                <w:lang w:val="en-US" w:eastAsia="fr-FR"/>
              </w:rPr>
            </w:pPr>
            <w:r w:rsidRPr="00E86A9F">
              <w:rPr>
                <w:lang w:val="en-US" w:eastAsia="fr-FR"/>
              </w:rPr>
              <w:t>Production of Crude Oil / density (860 kg/m</w:t>
            </w:r>
            <w:r w:rsidRPr="00622F40">
              <w:rPr>
                <w:vertAlign w:val="superscript"/>
                <w:lang w:val="en-US" w:eastAsia="fr-FR"/>
              </w:rPr>
              <w:t>3</w:t>
            </w:r>
            <w:r w:rsidRPr="00E86A9F">
              <w:rPr>
                <w:lang w:val="en-US" w:eastAsia="fr-FR"/>
              </w:rPr>
              <w:t>)</w:t>
            </w:r>
          </w:p>
        </w:tc>
        <w:tc>
          <w:tcPr>
            <w:tcW w:w="3021" w:type="dxa"/>
            <w:shd w:val="clear" w:color="auto" w:fill="auto"/>
            <w:vAlign w:val="center"/>
          </w:tcPr>
          <w:p w14:paraId="09C69BDF" w14:textId="5B125F85" w:rsidR="00ED2C6B" w:rsidRPr="00E86A9F" w:rsidRDefault="00716953" w:rsidP="00716953">
            <w:pPr>
              <w:pStyle w:val="BodyText"/>
              <w:rPr>
                <w:lang w:val="en-US" w:eastAsia="fr-FR"/>
              </w:rPr>
            </w:pPr>
            <w:r w:rsidRPr="00E86A9F">
              <w:rPr>
                <w:lang w:val="en-US" w:eastAsia="fr-FR"/>
              </w:rPr>
              <w:t>Serbian Energy Balance of Oil (1990-20</w:t>
            </w:r>
            <w:r w:rsidR="00DE67DA">
              <w:rPr>
                <w:lang w:val="en-US" w:eastAsia="fr-FR"/>
              </w:rPr>
              <w:t>22</w:t>
            </w:r>
            <w:r w:rsidRPr="00E86A9F">
              <w:rPr>
                <w:lang w:val="en-US" w:eastAsia="fr-FR"/>
              </w:rPr>
              <w:t>)</w:t>
            </w:r>
          </w:p>
        </w:tc>
      </w:tr>
      <w:tr w:rsidR="00ED2C6B" w14:paraId="482B3914" w14:textId="77777777" w:rsidTr="001D4FCF">
        <w:tc>
          <w:tcPr>
            <w:tcW w:w="3020" w:type="dxa"/>
            <w:vAlign w:val="center"/>
          </w:tcPr>
          <w:p w14:paraId="43EA1AA5" w14:textId="0E2FB811" w:rsidR="00ED2C6B" w:rsidRDefault="00ED2C6B" w:rsidP="00ED2C6B">
            <w:pPr>
              <w:pStyle w:val="BodyText"/>
              <w:rPr>
                <w:lang w:val="en-US" w:eastAsia="fr-FR"/>
              </w:rPr>
            </w:pPr>
            <w:r w:rsidRPr="00FE1B2B">
              <w:rPr>
                <w:lang w:val="en-US" w:eastAsia="fr-FR"/>
              </w:rPr>
              <w:t>1.B.2.a.</w:t>
            </w:r>
            <w:r w:rsidR="00D93163">
              <w:rPr>
                <w:lang w:val="en-US" w:eastAsia="fr-FR"/>
              </w:rPr>
              <w:t>iii</w:t>
            </w:r>
            <w:r>
              <w:rPr>
                <w:lang w:val="en-US" w:eastAsia="fr-FR"/>
              </w:rPr>
              <w:t xml:space="preserve"> – Transport of oil</w:t>
            </w:r>
          </w:p>
        </w:tc>
        <w:tc>
          <w:tcPr>
            <w:tcW w:w="3021" w:type="dxa"/>
            <w:shd w:val="clear" w:color="auto" w:fill="auto"/>
            <w:vAlign w:val="center"/>
          </w:tcPr>
          <w:p w14:paraId="070D0868" w14:textId="54B770DE" w:rsidR="00ED2C6B" w:rsidRPr="00E86A9F" w:rsidRDefault="00716953" w:rsidP="00ED2C6B">
            <w:pPr>
              <w:pStyle w:val="BodyText"/>
              <w:rPr>
                <w:lang w:val="en-US" w:eastAsia="fr-FR"/>
              </w:rPr>
            </w:pPr>
            <w:r w:rsidRPr="00E86A9F">
              <w:rPr>
                <w:lang w:val="en-US" w:eastAsia="fr-FR"/>
              </w:rPr>
              <w:t>Production</w:t>
            </w:r>
            <w:r w:rsidR="008C1C92" w:rsidRPr="00E86A9F">
              <w:rPr>
                <w:lang w:val="en-US" w:eastAsia="fr-FR"/>
              </w:rPr>
              <w:t xml:space="preserve"> and import</w:t>
            </w:r>
            <w:r w:rsidRPr="00E86A9F">
              <w:rPr>
                <w:lang w:val="en-US" w:eastAsia="fr-FR"/>
              </w:rPr>
              <w:t xml:space="preserve"> of Crude Oil / density (860 kg/m</w:t>
            </w:r>
            <w:r w:rsidRPr="00622F40">
              <w:rPr>
                <w:vertAlign w:val="superscript"/>
                <w:lang w:val="en-US" w:eastAsia="fr-FR"/>
              </w:rPr>
              <w:t>3</w:t>
            </w:r>
            <w:r w:rsidRPr="00E86A9F">
              <w:rPr>
                <w:lang w:val="en-US" w:eastAsia="fr-FR"/>
              </w:rPr>
              <w:t>)</w:t>
            </w:r>
          </w:p>
        </w:tc>
        <w:tc>
          <w:tcPr>
            <w:tcW w:w="3021" w:type="dxa"/>
            <w:shd w:val="clear" w:color="auto" w:fill="auto"/>
            <w:vAlign w:val="center"/>
          </w:tcPr>
          <w:p w14:paraId="1A0836CE" w14:textId="6AE759B0" w:rsidR="00ED2C6B" w:rsidRPr="00E86A9F" w:rsidRDefault="008C1C92" w:rsidP="00ED2C6B">
            <w:pPr>
              <w:pStyle w:val="BodyText"/>
              <w:rPr>
                <w:lang w:val="en-US" w:eastAsia="fr-FR"/>
              </w:rPr>
            </w:pPr>
            <w:r w:rsidRPr="00E86A9F">
              <w:rPr>
                <w:lang w:val="en-US" w:eastAsia="fr-FR"/>
              </w:rPr>
              <w:t>Serbian Energy Balance of Oil (1990-20</w:t>
            </w:r>
            <w:r w:rsidR="00DE67DA">
              <w:rPr>
                <w:lang w:val="en-US" w:eastAsia="fr-FR"/>
              </w:rPr>
              <w:t>22</w:t>
            </w:r>
            <w:r w:rsidRPr="00E86A9F">
              <w:rPr>
                <w:lang w:val="en-US" w:eastAsia="fr-FR"/>
              </w:rPr>
              <w:t>)</w:t>
            </w:r>
          </w:p>
        </w:tc>
      </w:tr>
      <w:tr w:rsidR="00ED2C6B" w14:paraId="25895E2F" w14:textId="77777777" w:rsidTr="001D4FCF">
        <w:tc>
          <w:tcPr>
            <w:tcW w:w="3020" w:type="dxa"/>
            <w:vAlign w:val="center"/>
          </w:tcPr>
          <w:p w14:paraId="3D398F9B" w14:textId="5B63A671" w:rsidR="00ED2C6B" w:rsidRPr="00FE1B2B" w:rsidRDefault="00ED2C6B" w:rsidP="00ED2C6B">
            <w:pPr>
              <w:pStyle w:val="BodyText"/>
              <w:rPr>
                <w:lang w:val="en-US" w:eastAsia="fr-FR"/>
              </w:rPr>
            </w:pPr>
            <w:r>
              <w:rPr>
                <w:lang w:val="en-US" w:eastAsia="fr-FR"/>
              </w:rPr>
              <w:t>1.B.2.b</w:t>
            </w:r>
            <w:r w:rsidRPr="00FE1B2B">
              <w:rPr>
                <w:lang w:val="en-US" w:eastAsia="fr-FR"/>
              </w:rPr>
              <w:t>.</w:t>
            </w:r>
            <w:r w:rsidR="00D93163">
              <w:rPr>
                <w:lang w:val="en-US" w:eastAsia="fr-FR"/>
              </w:rPr>
              <w:t>ii</w:t>
            </w:r>
            <w:r>
              <w:rPr>
                <w:lang w:val="en-US" w:eastAsia="fr-FR"/>
              </w:rPr>
              <w:t xml:space="preserve"> – Production of natural gas</w:t>
            </w:r>
          </w:p>
        </w:tc>
        <w:tc>
          <w:tcPr>
            <w:tcW w:w="3021" w:type="dxa"/>
            <w:shd w:val="clear" w:color="auto" w:fill="auto"/>
            <w:vAlign w:val="center"/>
          </w:tcPr>
          <w:p w14:paraId="6446F0E4" w14:textId="2F616C3F" w:rsidR="00ED2C6B" w:rsidRPr="00E86A9F" w:rsidRDefault="005321D8" w:rsidP="00ED2C6B">
            <w:pPr>
              <w:pStyle w:val="BodyText"/>
              <w:rPr>
                <w:lang w:val="en-US" w:eastAsia="fr-FR"/>
              </w:rPr>
            </w:pPr>
            <w:r w:rsidRPr="00E86A9F">
              <w:rPr>
                <w:lang w:val="en-US" w:eastAsia="fr-FR"/>
              </w:rPr>
              <w:t>Production of</w:t>
            </w:r>
            <w:r w:rsidR="008C1C92" w:rsidRPr="00E86A9F">
              <w:rPr>
                <w:lang w:val="en-US" w:eastAsia="fr-FR"/>
              </w:rPr>
              <w:t xml:space="preserve"> Natural gas</w:t>
            </w:r>
          </w:p>
        </w:tc>
        <w:tc>
          <w:tcPr>
            <w:tcW w:w="3021" w:type="dxa"/>
            <w:shd w:val="clear" w:color="auto" w:fill="auto"/>
            <w:vAlign w:val="center"/>
          </w:tcPr>
          <w:p w14:paraId="109454E4" w14:textId="4868B61D" w:rsidR="00ED2C6B" w:rsidRPr="00E86A9F" w:rsidRDefault="008C1C92" w:rsidP="008C1C92">
            <w:pPr>
              <w:pStyle w:val="BodyText"/>
              <w:rPr>
                <w:lang w:val="en-US" w:eastAsia="fr-FR"/>
              </w:rPr>
            </w:pPr>
            <w:r w:rsidRPr="00E86A9F">
              <w:rPr>
                <w:lang w:val="en-US" w:eastAsia="fr-FR"/>
              </w:rPr>
              <w:t>Serbian Energy Balance of Natural gas (1990-20</w:t>
            </w:r>
            <w:r w:rsidR="00DE67DA">
              <w:rPr>
                <w:lang w:val="en-US" w:eastAsia="fr-FR"/>
              </w:rPr>
              <w:t>22</w:t>
            </w:r>
            <w:r w:rsidRPr="00E86A9F">
              <w:rPr>
                <w:lang w:val="en-US" w:eastAsia="fr-FR"/>
              </w:rPr>
              <w:t>)</w:t>
            </w:r>
          </w:p>
        </w:tc>
      </w:tr>
      <w:tr w:rsidR="00ED2C6B" w14:paraId="603CAD15" w14:textId="77777777" w:rsidTr="001D4FCF">
        <w:tc>
          <w:tcPr>
            <w:tcW w:w="3020" w:type="dxa"/>
            <w:vAlign w:val="center"/>
          </w:tcPr>
          <w:p w14:paraId="21EF031F" w14:textId="65EA2E7A" w:rsidR="00ED2C6B" w:rsidRPr="00FE1B2B" w:rsidRDefault="00ED2C6B" w:rsidP="00ED2C6B">
            <w:pPr>
              <w:pStyle w:val="BodyText"/>
              <w:rPr>
                <w:lang w:val="en-US" w:eastAsia="fr-FR"/>
              </w:rPr>
            </w:pPr>
            <w:r>
              <w:rPr>
                <w:lang w:val="en-US" w:eastAsia="fr-FR"/>
              </w:rPr>
              <w:t>1.B.2.b.</w:t>
            </w:r>
            <w:r w:rsidR="00D93163">
              <w:rPr>
                <w:lang w:val="en-US" w:eastAsia="fr-FR"/>
              </w:rPr>
              <w:t>iii</w:t>
            </w:r>
            <w:r>
              <w:rPr>
                <w:lang w:val="en-US" w:eastAsia="fr-FR"/>
              </w:rPr>
              <w:t xml:space="preserve"> – Processing of natural gas</w:t>
            </w:r>
          </w:p>
        </w:tc>
        <w:tc>
          <w:tcPr>
            <w:tcW w:w="3021" w:type="dxa"/>
            <w:shd w:val="clear" w:color="auto" w:fill="auto"/>
            <w:vAlign w:val="center"/>
          </w:tcPr>
          <w:p w14:paraId="69579221" w14:textId="65FA4655" w:rsidR="00ED2C6B" w:rsidRPr="00E86A9F" w:rsidRDefault="005321D8" w:rsidP="00ED2C6B">
            <w:pPr>
              <w:pStyle w:val="BodyText"/>
              <w:rPr>
                <w:lang w:val="en-US" w:eastAsia="fr-FR"/>
              </w:rPr>
            </w:pPr>
            <w:r w:rsidRPr="00E86A9F">
              <w:rPr>
                <w:lang w:val="en-US" w:eastAsia="fr-FR"/>
              </w:rPr>
              <w:t>Production of</w:t>
            </w:r>
            <w:r w:rsidR="008C1C92" w:rsidRPr="00E86A9F">
              <w:rPr>
                <w:lang w:val="en-US" w:eastAsia="fr-FR"/>
              </w:rPr>
              <w:t xml:space="preserve"> Natural gas</w:t>
            </w:r>
          </w:p>
        </w:tc>
        <w:tc>
          <w:tcPr>
            <w:tcW w:w="3021" w:type="dxa"/>
            <w:shd w:val="clear" w:color="auto" w:fill="auto"/>
            <w:vAlign w:val="center"/>
          </w:tcPr>
          <w:p w14:paraId="5F8DDBF8" w14:textId="741F5611" w:rsidR="00ED2C6B" w:rsidRPr="00E86A9F" w:rsidRDefault="008C1C92" w:rsidP="00ED2C6B">
            <w:pPr>
              <w:pStyle w:val="BodyText"/>
              <w:rPr>
                <w:lang w:val="en-US" w:eastAsia="fr-FR"/>
              </w:rPr>
            </w:pPr>
            <w:r w:rsidRPr="00E86A9F">
              <w:rPr>
                <w:lang w:val="en-US" w:eastAsia="fr-FR"/>
              </w:rPr>
              <w:t>Serbian Energy Balance of Natural gas (1990-20</w:t>
            </w:r>
            <w:r w:rsidR="00DE67DA">
              <w:rPr>
                <w:lang w:val="en-US" w:eastAsia="fr-FR"/>
              </w:rPr>
              <w:t>22</w:t>
            </w:r>
            <w:r w:rsidRPr="00E86A9F">
              <w:rPr>
                <w:lang w:val="en-US" w:eastAsia="fr-FR"/>
              </w:rPr>
              <w:t>)</w:t>
            </w:r>
          </w:p>
        </w:tc>
      </w:tr>
      <w:tr w:rsidR="00ED2C6B" w14:paraId="578C0899" w14:textId="77777777" w:rsidTr="001D4FCF">
        <w:tc>
          <w:tcPr>
            <w:tcW w:w="3020" w:type="dxa"/>
            <w:vAlign w:val="center"/>
          </w:tcPr>
          <w:p w14:paraId="12C8DF5D" w14:textId="44605106" w:rsidR="00ED2C6B" w:rsidRPr="00FE1B2B" w:rsidRDefault="00ED2C6B" w:rsidP="00ED2C6B">
            <w:pPr>
              <w:pStyle w:val="BodyText"/>
              <w:rPr>
                <w:lang w:val="en-US" w:eastAsia="fr-FR"/>
              </w:rPr>
            </w:pPr>
            <w:r>
              <w:rPr>
                <w:lang w:val="en-US" w:eastAsia="fr-FR"/>
              </w:rPr>
              <w:t>1.B.2.b.</w:t>
            </w:r>
            <w:r w:rsidR="00D93163">
              <w:rPr>
                <w:lang w:val="en-US" w:eastAsia="fr-FR"/>
              </w:rPr>
              <w:t>iv</w:t>
            </w:r>
            <w:r>
              <w:rPr>
                <w:lang w:val="en-US" w:eastAsia="fr-FR"/>
              </w:rPr>
              <w:t xml:space="preserve"> – Transmission and storage of natural gas</w:t>
            </w:r>
          </w:p>
        </w:tc>
        <w:tc>
          <w:tcPr>
            <w:tcW w:w="3021" w:type="dxa"/>
            <w:shd w:val="clear" w:color="auto" w:fill="auto"/>
            <w:vAlign w:val="center"/>
          </w:tcPr>
          <w:p w14:paraId="3F2DB95E" w14:textId="542E32C0" w:rsidR="00ED2C6B" w:rsidRPr="00E86A9F" w:rsidRDefault="005321D8" w:rsidP="00ED2C6B">
            <w:pPr>
              <w:pStyle w:val="BodyText"/>
              <w:rPr>
                <w:lang w:val="en-US" w:eastAsia="fr-FR"/>
              </w:rPr>
            </w:pPr>
            <w:r w:rsidRPr="00E86A9F">
              <w:rPr>
                <w:lang w:val="en-US" w:eastAsia="fr-FR"/>
              </w:rPr>
              <w:t>Production and import of Natural gas</w:t>
            </w:r>
          </w:p>
        </w:tc>
        <w:tc>
          <w:tcPr>
            <w:tcW w:w="3021" w:type="dxa"/>
            <w:shd w:val="clear" w:color="auto" w:fill="auto"/>
            <w:vAlign w:val="center"/>
          </w:tcPr>
          <w:p w14:paraId="582D2908" w14:textId="7135BAB7" w:rsidR="00ED2C6B" w:rsidRPr="00E86A9F" w:rsidRDefault="005321D8" w:rsidP="00ED2C6B">
            <w:pPr>
              <w:pStyle w:val="BodyText"/>
              <w:rPr>
                <w:lang w:val="en-US" w:eastAsia="fr-FR"/>
              </w:rPr>
            </w:pPr>
            <w:r w:rsidRPr="00E86A9F">
              <w:rPr>
                <w:lang w:val="en-US" w:eastAsia="fr-FR"/>
              </w:rPr>
              <w:t>Serbian Energy Balance of Natural gas (1990-20</w:t>
            </w:r>
            <w:r w:rsidR="00DE67DA">
              <w:rPr>
                <w:lang w:val="en-US" w:eastAsia="fr-FR"/>
              </w:rPr>
              <w:t>22</w:t>
            </w:r>
            <w:r w:rsidRPr="00E86A9F">
              <w:rPr>
                <w:lang w:val="en-US" w:eastAsia="fr-FR"/>
              </w:rPr>
              <w:t>)</w:t>
            </w:r>
          </w:p>
        </w:tc>
      </w:tr>
      <w:tr w:rsidR="00ED2C6B" w14:paraId="4CD91C2D" w14:textId="77777777" w:rsidTr="001D4FCF">
        <w:tc>
          <w:tcPr>
            <w:tcW w:w="3020" w:type="dxa"/>
            <w:vAlign w:val="center"/>
          </w:tcPr>
          <w:p w14:paraId="3232B69E" w14:textId="32273F71" w:rsidR="00ED2C6B" w:rsidRPr="00FE1B2B" w:rsidRDefault="00ED2C6B" w:rsidP="00ED2C6B">
            <w:pPr>
              <w:pStyle w:val="BodyText"/>
              <w:rPr>
                <w:lang w:val="en-US" w:eastAsia="fr-FR"/>
              </w:rPr>
            </w:pPr>
            <w:r>
              <w:rPr>
                <w:lang w:val="en-US" w:eastAsia="fr-FR"/>
              </w:rPr>
              <w:t>1.B.2.b.</w:t>
            </w:r>
            <w:r w:rsidR="00D93163">
              <w:rPr>
                <w:lang w:val="en-US" w:eastAsia="fr-FR"/>
              </w:rPr>
              <w:t>v</w:t>
            </w:r>
            <w:r>
              <w:rPr>
                <w:lang w:val="en-US" w:eastAsia="fr-FR"/>
              </w:rPr>
              <w:t xml:space="preserve"> – Distribution of natural gas</w:t>
            </w:r>
          </w:p>
        </w:tc>
        <w:tc>
          <w:tcPr>
            <w:tcW w:w="3021" w:type="dxa"/>
            <w:shd w:val="clear" w:color="auto" w:fill="auto"/>
            <w:vAlign w:val="center"/>
          </w:tcPr>
          <w:p w14:paraId="5E94877D" w14:textId="451A5E35" w:rsidR="00ED2C6B" w:rsidRPr="00E86A9F" w:rsidRDefault="005321D8" w:rsidP="00E86A9F">
            <w:pPr>
              <w:pStyle w:val="BodyText"/>
              <w:rPr>
                <w:lang w:val="en-US" w:eastAsia="fr-FR"/>
              </w:rPr>
            </w:pPr>
            <w:r w:rsidRPr="00E86A9F">
              <w:rPr>
                <w:lang w:val="en-US" w:eastAsia="fr-FR"/>
              </w:rPr>
              <w:t>Production</w:t>
            </w:r>
            <w:r w:rsidR="00E86A9F" w:rsidRPr="00E86A9F">
              <w:rPr>
                <w:lang w:val="en-US" w:eastAsia="fr-FR"/>
              </w:rPr>
              <w:t xml:space="preserve">, </w:t>
            </w:r>
            <w:r w:rsidRPr="00E86A9F">
              <w:rPr>
                <w:lang w:val="en-US" w:eastAsia="fr-FR"/>
              </w:rPr>
              <w:t xml:space="preserve">import </w:t>
            </w:r>
            <w:r w:rsidR="00E86A9F" w:rsidRPr="00E86A9F">
              <w:rPr>
                <w:lang w:val="en-US" w:eastAsia="fr-FR"/>
              </w:rPr>
              <w:t>and</w:t>
            </w:r>
            <w:r w:rsidRPr="00E86A9F">
              <w:rPr>
                <w:lang w:val="en-US" w:eastAsia="fr-FR"/>
              </w:rPr>
              <w:t xml:space="preserve"> export of Natural gas</w:t>
            </w:r>
          </w:p>
        </w:tc>
        <w:tc>
          <w:tcPr>
            <w:tcW w:w="3021" w:type="dxa"/>
            <w:shd w:val="clear" w:color="auto" w:fill="auto"/>
            <w:vAlign w:val="center"/>
          </w:tcPr>
          <w:p w14:paraId="031EBA2E" w14:textId="3548F817" w:rsidR="00ED2C6B" w:rsidRPr="00E86A9F" w:rsidRDefault="005321D8" w:rsidP="00ED2C6B">
            <w:pPr>
              <w:pStyle w:val="BodyText"/>
              <w:rPr>
                <w:lang w:val="en-US" w:eastAsia="fr-FR"/>
              </w:rPr>
            </w:pPr>
            <w:r w:rsidRPr="00E86A9F">
              <w:rPr>
                <w:lang w:val="en-US" w:eastAsia="fr-FR"/>
              </w:rPr>
              <w:t>Serbian Energy Balance of Natural gas (1990-20</w:t>
            </w:r>
            <w:r w:rsidR="00DE67DA">
              <w:rPr>
                <w:lang w:val="en-US" w:eastAsia="fr-FR"/>
              </w:rPr>
              <w:t>22</w:t>
            </w:r>
            <w:r w:rsidRPr="00E86A9F">
              <w:rPr>
                <w:lang w:val="en-US" w:eastAsia="fr-FR"/>
              </w:rPr>
              <w:t>)</w:t>
            </w:r>
          </w:p>
        </w:tc>
      </w:tr>
      <w:tr w:rsidR="00ED2C6B" w14:paraId="028CBA52" w14:textId="77777777" w:rsidTr="001D4FCF">
        <w:tc>
          <w:tcPr>
            <w:tcW w:w="3020" w:type="dxa"/>
            <w:vAlign w:val="center"/>
          </w:tcPr>
          <w:p w14:paraId="401ABD4C" w14:textId="7E01F7C9" w:rsidR="00ED2C6B" w:rsidRPr="00FE1B2B" w:rsidRDefault="00ED2C6B" w:rsidP="00ED2C6B">
            <w:pPr>
              <w:pStyle w:val="BodyText"/>
              <w:rPr>
                <w:lang w:val="en-US" w:eastAsia="fr-FR"/>
              </w:rPr>
            </w:pPr>
            <w:r>
              <w:rPr>
                <w:lang w:val="en-US" w:eastAsia="fr-FR"/>
              </w:rPr>
              <w:t>1.B.2.c.</w:t>
            </w:r>
            <w:r w:rsidR="00D93163">
              <w:rPr>
                <w:lang w:val="en-US" w:eastAsia="fr-FR"/>
              </w:rPr>
              <w:t>i</w:t>
            </w:r>
            <w:r>
              <w:rPr>
                <w:lang w:val="en-US" w:eastAsia="fr-FR"/>
              </w:rPr>
              <w:t>.</w:t>
            </w:r>
            <w:r w:rsidR="00D93163">
              <w:rPr>
                <w:lang w:val="en-US" w:eastAsia="fr-FR"/>
              </w:rPr>
              <w:t>1</w:t>
            </w:r>
            <w:r>
              <w:rPr>
                <w:lang w:val="en-US" w:eastAsia="fr-FR"/>
              </w:rPr>
              <w:t xml:space="preserve"> – Venting in oil systems</w:t>
            </w:r>
          </w:p>
        </w:tc>
        <w:tc>
          <w:tcPr>
            <w:tcW w:w="3021" w:type="dxa"/>
            <w:shd w:val="clear" w:color="auto" w:fill="auto"/>
            <w:vAlign w:val="center"/>
          </w:tcPr>
          <w:p w14:paraId="5CDCDA02" w14:textId="4A838011" w:rsidR="00ED2C6B" w:rsidRPr="00E86A9F" w:rsidRDefault="005321D8" w:rsidP="00ED2C6B">
            <w:pPr>
              <w:pStyle w:val="BodyText"/>
              <w:rPr>
                <w:lang w:val="en-US" w:eastAsia="fr-FR"/>
              </w:rPr>
            </w:pPr>
            <w:r w:rsidRPr="00E86A9F">
              <w:rPr>
                <w:lang w:val="en-US" w:eastAsia="fr-FR"/>
              </w:rPr>
              <w:t>Production of Crude Oil / density (860 kg/m</w:t>
            </w:r>
            <w:r w:rsidRPr="00622F40">
              <w:rPr>
                <w:vertAlign w:val="superscript"/>
                <w:lang w:val="en-US" w:eastAsia="fr-FR"/>
              </w:rPr>
              <w:t>3</w:t>
            </w:r>
            <w:r w:rsidRPr="00E86A9F">
              <w:rPr>
                <w:lang w:val="en-US" w:eastAsia="fr-FR"/>
              </w:rPr>
              <w:t>)</w:t>
            </w:r>
          </w:p>
        </w:tc>
        <w:tc>
          <w:tcPr>
            <w:tcW w:w="3021" w:type="dxa"/>
            <w:shd w:val="clear" w:color="auto" w:fill="auto"/>
            <w:vAlign w:val="center"/>
          </w:tcPr>
          <w:p w14:paraId="1FA470EB" w14:textId="4B625CB4" w:rsidR="00ED2C6B" w:rsidRPr="00E86A9F" w:rsidRDefault="005321D8" w:rsidP="00ED2C6B">
            <w:pPr>
              <w:pStyle w:val="BodyText"/>
              <w:rPr>
                <w:lang w:val="en-US" w:eastAsia="fr-FR"/>
              </w:rPr>
            </w:pPr>
            <w:r w:rsidRPr="00E86A9F">
              <w:rPr>
                <w:lang w:val="en-US" w:eastAsia="fr-FR"/>
              </w:rPr>
              <w:t>Serbian Energy Balance of Oil (1990-20</w:t>
            </w:r>
            <w:r w:rsidR="00DE67DA">
              <w:rPr>
                <w:lang w:val="en-US" w:eastAsia="fr-FR"/>
              </w:rPr>
              <w:t>22</w:t>
            </w:r>
            <w:r w:rsidRPr="00E86A9F">
              <w:rPr>
                <w:lang w:val="en-US" w:eastAsia="fr-FR"/>
              </w:rPr>
              <w:t>)</w:t>
            </w:r>
          </w:p>
        </w:tc>
      </w:tr>
      <w:tr w:rsidR="00ED2C6B" w14:paraId="4A5FD822" w14:textId="77777777" w:rsidTr="001D4FCF">
        <w:tc>
          <w:tcPr>
            <w:tcW w:w="3020" w:type="dxa"/>
            <w:vAlign w:val="center"/>
          </w:tcPr>
          <w:p w14:paraId="6BD4922F" w14:textId="22307E19" w:rsidR="00ED2C6B" w:rsidRPr="00FE1B2B" w:rsidRDefault="00ED2C6B" w:rsidP="00ED2C6B">
            <w:pPr>
              <w:pStyle w:val="BodyText"/>
              <w:rPr>
                <w:lang w:val="en-US" w:eastAsia="fr-FR"/>
              </w:rPr>
            </w:pPr>
            <w:r>
              <w:rPr>
                <w:lang w:val="en-US" w:eastAsia="fr-FR"/>
              </w:rPr>
              <w:t>1.B.2.c.</w:t>
            </w:r>
            <w:r w:rsidR="00D93163">
              <w:rPr>
                <w:lang w:val="en-US" w:eastAsia="fr-FR"/>
              </w:rPr>
              <w:t>i</w:t>
            </w:r>
            <w:r>
              <w:rPr>
                <w:lang w:val="en-US" w:eastAsia="fr-FR"/>
              </w:rPr>
              <w:t>.</w:t>
            </w:r>
            <w:r w:rsidR="00D93163">
              <w:rPr>
                <w:lang w:val="en-US" w:eastAsia="fr-FR"/>
              </w:rPr>
              <w:t>2</w:t>
            </w:r>
            <w:r>
              <w:rPr>
                <w:lang w:val="en-US" w:eastAsia="fr-FR"/>
              </w:rPr>
              <w:t xml:space="preserve"> – Venting in natural gas systems</w:t>
            </w:r>
          </w:p>
        </w:tc>
        <w:tc>
          <w:tcPr>
            <w:tcW w:w="3021" w:type="dxa"/>
            <w:shd w:val="clear" w:color="auto" w:fill="auto"/>
            <w:vAlign w:val="center"/>
          </w:tcPr>
          <w:p w14:paraId="54F91055" w14:textId="1DD8783A" w:rsidR="00ED2C6B" w:rsidRPr="00E86A9F" w:rsidRDefault="005321D8" w:rsidP="00ED2C6B">
            <w:pPr>
              <w:pStyle w:val="BodyText"/>
              <w:rPr>
                <w:lang w:val="en-US" w:eastAsia="fr-FR"/>
              </w:rPr>
            </w:pPr>
            <w:r w:rsidRPr="00E86A9F">
              <w:rPr>
                <w:lang w:val="en-US" w:eastAsia="fr-FR"/>
              </w:rPr>
              <w:t>Production of Natural gas</w:t>
            </w:r>
          </w:p>
        </w:tc>
        <w:tc>
          <w:tcPr>
            <w:tcW w:w="3021" w:type="dxa"/>
            <w:shd w:val="clear" w:color="auto" w:fill="auto"/>
            <w:vAlign w:val="center"/>
          </w:tcPr>
          <w:p w14:paraId="71F47600" w14:textId="178B30C5" w:rsidR="00ED2C6B" w:rsidRPr="00E86A9F" w:rsidRDefault="005321D8" w:rsidP="00ED2C6B">
            <w:pPr>
              <w:pStyle w:val="BodyText"/>
              <w:rPr>
                <w:lang w:val="en-US" w:eastAsia="fr-FR"/>
              </w:rPr>
            </w:pPr>
            <w:r w:rsidRPr="00E86A9F">
              <w:rPr>
                <w:lang w:val="en-US" w:eastAsia="fr-FR"/>
              </w:rPr>
              <w:t>Serbian Energy Balance of Natural gas (1990-20</w:t>
            </w:r>
            <w:r w:rsidR="00DE67DA">
              <w:rPr>
                <w:lang w:val="en-US" w:eastAsia="fr-FR"/>
              </w:rPr>
              <w:t>22</w:t>
            </w:r>
            <w:r w:rsidRPr="00E86A9F">
              <w:rPr>
                <w:lang w:val="en-US" w:eastAsia="fr-FR"/>
              </w:rPr>
              <w:t>)</w:t>
            </w:r>
          </w:p>
        </w:tc>
      </w:tr>
      <w:tr w:rsidR="00ED2C6B" w14:paraId="19341EAC" w14:textId="77777777" w:rsidTr="001D4FCF">
        <w:tc>
          <w:tcPr>
            <w:tcW w:w="3020" w:type="dxa"/>
            <w:vAlign w:val="center"/>
          </w:tcPr>
          <w:p w14:paraId="59F36D30" w14:textId="68BD72DC" w:rsidR="00ED2C6B" w:rsidRPr="00FE1B2B" w:rsidRDefault="00ED2C6B" w:rsidP="00ED2C6B">
            <w:pPr>
              <w:pStyle w:val="BodyText"/>
              <w:rPr>
                <w:lang w:val="en-US" w:eastAsia="fr-FR"/>
              </w:rPr>
            </w:pPr>
            <w:r>
              <w:rPr>
                <w:lang w:val="en-US" w:eastAsia="fr-FR"/>
              </w:rPr>
              <w:t>1.B.2.c.</w:t>
            </w:r>
            <w:r w:rsidR="00D93163">
              <w:rPr>
                <w:lang w:val="en-US" w:eastAsia="fr-FR"/>
              </w:rPr>
              <w:t>ii</w:t>
            </w:r>
            <w:r>
              <w:rPr>
                <w:lang w:val="en-US" w:eastAsia="fr-FR"/>
              </w:rPr>
              <w:t>.</w:t>
            </w:r>
            <w:r w:rsidR="00D93163">
              <w:rPr>
                <w:lang w:val="en-US" w:eastAsia="fr-FR"/>
              </w:rPr>
              <w:t>1</w:t>
            </w:r>
            <w:r>
              <w:rPr>
                <w:lang w:val="en-US" w:eastAsia="fr-FR"/>
              </w:rPr>
              <w:t xml:space="preserve"> – Flaring in oil systems</w:t>
            </w:r>
          </w:p>
        </w:tc>
        <w:tc>
          <w:tcPr>
            <w:tcW w:w="3021" w:type="dxa"/>
            <w:shd w:val="clear" w:color="auto" w:fill="auto"/>
            <w:vAlign w:val="center"/>
          </w:tcPr>
          <w:p w14:paraId="6AB0A64C" w14:textId="651D69C5" w:rsidR="00ED2C6B" w:rsidRPr="00E86A9F" w:rsidRDefault="00E86A9F" w:rsidP="00ED2C6B">
            <w:pPr>
              <w:pStyle w:val="BodyText"/>
              <w:rPr>
                <w:lang w:val="en-US" w:eastAsia="fr-FR"/>
              </w:rPr>
            </w:pPr>
            <w:r w:rsidRPr="00E86A9F">
              <w:rPr>
                <w:lang w:val="en-US" w:eastAsia="fr-FR"/>
              </w:rPr>
              <w:t>Volume of gas flared, Crude oil (Refinery intake)</w:t>
            </w:r>
          </w:p>
        </w:tc>
        <w:tc>
          <w:tcPr>
            <w:tcW w:w="3021" w:type="dxa"/>
            <w:shd w:val="clear" w:color="auto" w:fill="auto"/>
            <w:vAlign w:val="center"/>
          </w:tcPr>
          <w:p w14:paraId="15E8A5FA" w14:textId="01EC6153" w:rsidR="00ED2C6B" w:rsidRPr="00E86A9F" w:rsidRDefault="00E86A9F" w:rsidP="00E86A9F">
            <w:pPr>
              <w:pStyle w:val="BodyText"/>
              <w:rPr>
                <w:lang w:val="en-US" w:eastAsia="fr-FR"/>
              </w:rPr>
            </w:pPr>
            <w:r w:rsidRPr="00E86A9F">
              <w:rPr>
                <w:lang w:val="en-US" w:eastAsia="fr-FR"/>
              </w:rPr>
              <w:t>Serbian oil industry, Serbian Energy Balance of Oil (1990-1999)</w:t>
            </w:r>
          </w:p>
        </w:tc>
      </w:tr>
      <w:tr w:rsidR="00ED2C6B" w14:paraId="04A5C718" w14:textId="77777777" w:rsidTr="001D4FCF">
        <w:tc>
          <w:tcPr>
            <w:tcW w:w="3020" w:type="dxa"/>
            <w:vAlign w:val="center"/>
          </w:tcPr>
          <w:p w14:paraId="7F895E75" w14:textId="7F9ECF98" w:rsidR="00ED2C6B" w:rsidRPr="00FE1B2B" w:rsidRDefault="00ED2C6B" w:rsidP="00ED2C6B">
            <w:pPr>
              <w:pStyle w:val="BodyText"/>
              <w:rPr>
                <w:lang w:val="en-US" w:eastAsia="fr-FR"/>
              </w:rPr>
            </w:pPr>
            <w:r>
              <w:rPr>
                <w:lang w:val="en-US" w:eastAsia="fr-FR"/>
              </w:rPr>
              <w:t>1.B.2.c.</w:t>
            </w:r>
            <w:r w:rsidR="00D93163">
              <w:rPr>
                <w:lang w:val="en-US" w:eastAsia="fr-FR"/>
              </w:rPr>
              <w:t>ii</w:t>
            </w:r>
            <w:r>
              <w:rPr>
                <w:lang w:val="en-US" w:eastAsia="fr-FR"/>
              </w:rPr>
              <w:t>.</w:t>
            </w:r>
            <w:r w:rsidR="00D93163">
              <w:rPr>
                <w:lang w:val="en-US" w:eastAsia="fr-FR"/>
              </w:rPr>
              <w:t>2</w:t>
            </w:r>
            <w:r>
              <w:rPr>
                <w:lang w:val="en-US" w:eastAsia="fr-FR"/>
              </w:rPr>
              <w:t xml:space="preserve"> – Flaring in natural gas systems</w:t>
            </w:r>
          </w:p>
        </w:tc>
        <w:tc>
          <w:tcPr>
            <w:tcW w:w="3021" w:type="dxa"/>
            <w:shd w:val="clear" w:color="auto" w:fill="auto"/>
            <w:vAlign w:val="center"/>
          </w:tcPr>
          <w:p w14:paraId="53F9B4A0" w14:textId="63C1C7EA" w:rsidR="00ED2C6B" w:rsidRPr="00E86A9F" w:rsidRDefault="00E86A9F" w:rsidP="00ED2C6B">
            <w:pPr>
              <w:pStyle w:val="BodyText"/>
              <w:rPr>
                <w:lang w:val="en-US" w:eastAsia="fr-FR"/>
              </w:rPr>
            </w:pPr>
            <w:r w:rsidRPr="00E86A9F">
              <w:rPr>
                <w:lang w:val="en-US" w:eastAsia="fr-FR"/>
              </w:rPr>
              <w:t>Production of Natural gas</w:t>
            </w:r>
          </w:p>
        </w:tc>
        <w:tc>
          <w:tcPr>
            <w:tcW w:w="3021" w:type="dxa"/>
            <w:shd w:val="clear" w:color="auto" w:fill="auto"/>
            <w:vAlign w:val="center"/>
          </w:tcPr>
          <w:p w14:paraId="2D933D5C" w14:textId="51DAC511" w:rsidR="00ED2C6B" w:rsidRPr="00E86A9F" w:rsidRDefault="00E86A9F" w:rsidP="00ED2C6B">
            <w:pPr>
              <w:pStyle w:val="BodyText"/>
              <w:rPr>
                <w:lang w:val="en-US" w:eastAsia="fr-FR"/>
              </w:rPr>
            </w:pPr>
            <w:r w:rsidRPr="00E86A9F">
              <w:rPr>
                <w:lang w:val="en-US" w:eastAsia="fr-FR"/>
              </w:rPr>
              <w:t>Serbian Energy Balance of Natural gas (1990-20</w:t>
            </w:r>
            <w:r w:rsidR="005F503A">
              <w:rPr>
                <w:lang w:val="en-US" w:eastAsia="fr-FR"/>
              </w:rPr>
              <w:t>22</w:t>
            </w:r>
            <w:r w:rsidRPr="00E86A9F">
              <w:rPr>
                <w:lang w:val="en-US" w:eastAsia="fr-FR"/>
              </w:rPr>
              <w:t>)</w:t>
            </w:r>
          </w:p>
        </w:tc>
      </w:tr>
      <w:bookmarkEnd w:id="316"/>
      <w:bookmarkEnd w:id="317"/>
    </w:tbl>
    <w:p w14:paraId="66D3A0EF" w14:textId="77777777" w:rsidR="008978BD" w:rsidRDefault="008978BD" w:rsidP="003C1489">
      <w:pPr>
        <w:pStyle w:val="BodyText"/>
        <w:rPr>
          <w:lang w:val="en-US" w:eastAsia="fr-FR"/>
        </w:rPr>
      </w:pPr>
    </w:p>
    <w:p w14:paraId="5FD1DA06" w14:textId="7BC9F125" w:rsidR="003C1489" w:rsidRDefault="003C1489" w:rsidP="003C1489">
      <w:pPr>
        <w:pStyle w:val="BodyText"/>
        <w:rPr>
          <w:lang w:val="en-US" w:eastAsia="fr-FR"/>
        </w:rPr>
      </w:pPr>
      <w:r w:rsidRPr="002462F0">
        <w:rPr>
          <w:lang w:val="en-US" w:eastAsia="fr-FR"/>
        </w:rPr>
        <w:t>Emissions factors used for calculating CO</w:t>
      </w:r>
      <w:r w:rsidRPr="002462F0">
        <w:rPr>
          <w:vertAlign w:val="subscript"/>
          <w:lang w:val="en-US" w:eastAsia="fr-FR"/>
        </w:rPr>
        <w:t>2</w:t>
      </w:r>
      <w:r w:rsidRPr="002462F0">
        <w:rPr>
          <w:lang w:val="en-US" w:eastAsia="fr-FR"/>
        </w:rPr>
        <w:t>, CH</w:t>
      </w:r>
      <w:r w:rsidRPr="002462F0">
        <w:rPr>
          <w:vertAlign w:val="subscript"/>
          <w:lang w:val="en-US" w:eastAsia="fr-FR"/>
        </w:rPr>
        <w:t>4</w:t>
      </w:r>
      <w:r w:rsidRPr="002462F0">
        <w:rPr>
          <w:lang w:val="en-US" w:eastAsia="fr-FR"/>
        </w:rPr>
        <w:t xml:space="preserve"> and N</w:t>
      </w:r>
      <w:r w:rsidRPr="002462F0">
        <w:rPr>
          <w:vertAlign w:val="subscript"/>
          <w:lang w:val="en-US" w:eastAsia="fr-FR"/>
        </w:rPr>
        <w:t>2</w:t>
      </w:r>
      <w:r w:rsidRPr="002462F0">
        <w:rPr>
          <w:lang w:val="en-US" w:eastAsia="fr-FR"/>
        </w:rPr>
        <w:t xml:space="preserve">O emissions from fuels </w:t>
      </w:r>
      <w:r w:rsidR="00440E68">
        <w:rPr>
          <w:lang w:val="en-US" w:eastAsia="fr-FR"/>
        </w:rPr>
        <w:t>are sourced</w:t>
      </w:r>
      <w:r w:rsidRPr="002462F0">
        <w:rPr>
          <w:lang w:val="en-US" w:eastAsia="fr-FR"/>
        </w:rPr>
        <w:t xml:space="preserve"> from 2006 IPCC guidelines </w:t>
      </w:r>
      <w:r w:rsidR="00826E82">
        <w:rPr>
          <w:lang w:val="en-US" w:eastAsia="fr-FR"/>
        </w:rPr>
        <w:fldChar w:fldCharType="begin"/>
      </w:r>
      <w:r w:rsidR="00826E82">
        <w:rPr>
          <w:lang w:val="en-US" w:eastAsia="fr-FR"/>
        </w:rPr>
        <w:instrText xml:space="preserve"> REF _Ref496788065 \r \h </w:instrText>
      </w:r>
      <w:r w:rsidR="00826E82">
        <w:rPr>
          <w:lang w:val="en-US" w:eastAsia="fr-FR"/>
        </w:rPr>
      </w:r>
      <w:r w:rsidR="00826E82">
        <w:rPr>
          <w:lang w:val="en-US" w:eastAsia="fr-FR"/>
        </w:rPr>
        <w:fldChar w:fldCharType="separate"/>
      </w:r>
      <w:r w:rsidR="00F14C78">
        <w:rPr>
          <w:lang w:val="en-US" w:eastAsia="fr-FR"/>
        </w:rPr>
        <w:t>[E12]</w:t>
      </w:r>
      <w:r w:rsidR="00826E82">
        <w:rPr>
          <w:lang w:val="en-US" w:eastAsia="fr-FR"/>
        </w:rPr>
        <w:fldChar w:fldCharType="end"/>
      </w:r>
      <w:r w:rsidRPr="002462F0">
        <w:rPr>
          <w:lang w:val="en-US" w:eastAsia="fr-FR"/>
        </w:rPr>
        <w:t>.</w:t>
      </w:r>
      <w:r w:rsidR="005F503A">
        <w:rPr>
          <w:lang w:val="en-US" w:eastAsia="fr-FR"/>
        </w:rPr>
        <w:t xml:space="preserve"> </w:t>
      </w:r>
    </w:p>
    <w:p w14:paraId="10A5F2EC" w14:textId="77777777" w:rsidR="00614555" w:rsidRPr="002462F0" w:rsidRDefault="00614555" w:rsidP="00622F40">
      <w:pPr>
        <w:pStyle w:val="Heading3"/>
        <w:rPr>
          <w:lang w:eastAsia="fr-FR"/>
        </w:rPr>
      </w:pPr>
      <w:bookmarkStart w:id="318" w:name="_Toc182327780"/>
      <w:bookmarkStart w:id="319" w:name="_Toc184808193"/>
      <w:r w:rsidRPr="002462F0">
        <w:rPr>
          <w:lang w:eastAsia="fr-FR"/>
        </w:rPr>
        <w:t>Uncertainties and time-series consistency</w:t>
      </w:r>
      <w:bookmarkEnd w:id="318"/>
      <w:bookmarkEnd w:id="319"/>
    </w:p>
    <w:p w14:paraId="4C1C2ACA" w14:textId="0D9726A7" w:rsidR="00635D4D" w:rsidRDefault="00635D4D" w:rsidP="000519F7">
      <w:pPr>
        <w:pStyle w:val="BodyText"/>
        <w:rPr>
          <w:b/>
          <w:lang w:val="en-US" w:eastAsia="fr-FR"/>
        </w:rPr>
      </w:pPr>
      <w:r>
        <w:rPr>
          <w:b/>
          <w:lang w:val="en-US" w:eastAsia="fr-FR"/>
        </w:rPr>
        <w:t>1B1-Solid fuels fugitives</w:t>
      </w:r>
    </w:p>
    <w:p w14:paraId="31AE29AE" w14:textId="043DA629" w:rsidR="000519F7" w:rsidRPr="002462F0" w:rsidRDefault="000519F7" w:rsidP="000519F7">
      <w:pPr>
        <w:pStyle w:val="BodyText"/>
        <w:rPr>
          <w:b/>
          <w:lang w:val="en-US" w:eastAsia="fr-FR"/>
        </w:rPr>
      </w:pPr>
      <w:r>
        <w:rPr>
          <w:b/>
          <w:lang w:val="en-US" w:eastAsia="fr-FR"/>
        </w:rPr>
        <w:t>Activity data</w:t>
      </w:r>
    </w:p>
    <w:p w14:paraId="0181C444" w14:textId="50C6EC4D" w:rsidR="000519F7" w:rsidRPr="002462F0" w:rsidRDefault="00E86A9F" w:rsidP="000519F7">
      <w:pPr>
        <w:autoSpaceDE w:val="0"/>
        <w:autoSpaceDN w:val="0"/>
        <w:adjustRightInd w:val="0"/>
        <w:spacing w:after="0" w:line="240" w:lineRule="auto"/>
        <w:rPr>
          <w:lang w:eastAsia="fr-FR"/>
        </w:rPr>
      </w:pPr>
      <w:r>
        <w:rPr>
          <w:lang w:eastAsia="fr-FR"/>
        </w:rPr>
        <w:t>In 20</w:t>
      </w:r>
      <w:r w:rsidR="005F503A">
        <w:rPr>
          <w:lang w:eastAsia="fr-FR"/>
        </w:rPr>
        <w:t>22</w:t>
      </w:r>
      <w:r w:rsidR="000519F7" w:rsidRPr="002462F0">
        <w:rPr>
          <w:lang w:eastAsia="fr-FR"/>
        </w:rPr>
        <w:t xml:space="preserve">, the </w:t>
      </w:r>
      <w:r w:rsidR="00B44087" w:rsidRPr="002462F0">
        <w:rPr>
          <w:lang w:eastAsia="fr-FR"/>
        </w:rPr>
        <w:t>uncertainty estimate associated with activity data for category 1</w:t>
      </w:r>
      <w:r w:rsidR="00B44087">
        <w:rPr>
          <w:lang w:eastAsia="fr-FR"/>
        </w:rPr>
        <w:t>B1</w:t>
      </w:r>
      <w:r w:rsidR="00B44087" w:rsidRPr="002462F0">
        <w:rPr>
          <w:lang w:eastAsia="fr-FR"/>
        </w:rPr>
        <w:t>-</w:t>
      </w:r>
      <w:r w:rsidR="00B44087">
        <w:rPr>
          <w:lang w:eastAsia="fr-FR"/>
        </w:rPr>
        <w:t>Solid fuels fugitives</w:t>
      </w:r>
      <w:r w:rsidR="00B44087" w:rsidRPr="002462F0">
        <w:rPr>
          <w:lang w:eastAsia="fr-FR"/>
        </w:rPr>
        <w:t xml:space="preserve"> is </w:t>
      </w:r>
      <w:r w:rsidR="00B44087">
        <w:rPr>
          <w:lang w:eastAsia="fr-FR"/>
        </w:rPr>
        <w:t>5</w:t>
      </w:r>
      <w:r w:rsidR="00B44087" w:rsidRPr="002462F0">
        <w:rPr>
          <w:lang w:eastAsia="fr-FR"/>
        </w:rPr>
        <w:t xml:space="preserve">%, based on </w:t>
      </w:r>
      <w:r w:rsidR="00B44087">
        <w:rPr>
          <w:lang w:eastAsia="fr-FR"/>
        </w:rPr>
        <w:t>expert judgement.</w:t>
      </w:r>
    </w:p>
    <w:p w14:paraId="6A532630" w14:textId="77777777" w:rsidR="000519F7" w:rsidRDefault="000519F7" w:rsidP="000519F7">
      <w:pPr>
        <w:pStyle w:val="BodyText"/>
        <w:rPr>
          <w:b/>
          <w:lang w:eastAsia="fr-FR"/>
        </w:rPr>
      </w:pPr>
    </w:p>
    <w:p w14:paraId="27C4D914" w14:textId="77777777" w:rsidR="000519F7" w:rsidRPr="002462F0" w:rsidRDefault="000519F7" w:rsidP="000519F7">
      <w:pPr>
        <w:pStyle w:val="BodyText"/>
        <w:rPr>
          <w:b/>
          <w:lang w:val="en-US" w:eastAsia="fr-FR"/>
        </w:rPr>
      </w:pPr>
      <w:r w:rsidRPr="002462F0">
        <w:rPr>
          <w:b/>
          <w:lang w:val="en-US" w:eastAsia="fr-FR"/>
        </w:rPr>
        <w:t>CH</w:t>
      </w:r>
      <w:r w:rsidRPr="002462F0">
        <w:rPr>
          <w:b/>
          <w:vertAlign w:val="subscript"/>
          <w:lang w:val="en-US" w:eastAsia="fr-FR"/>
        </w:rPr>
        <w:t>4</w:t>
      </w:r>
    </w:p>
    <w:p w14:paraId="45C8A87C" w14:textId="3F9FDAC0" w:rsidR="000519F7" w:rsidRPr="002462F0" w:rsidRDefault="000519F7" w:rsidP="000519F7">
      <w:pPr>
        <w:pStyle w:val="BodyText"/>
        <w:rPr>
          <w:lang w:eastAsia="fr-FR"/>
        </w:rPr>
      </w:pPr>
      <w:r w:rsidRPr="002462F0">
        <w:rPr>
          <w:lang w:eastAsia="fr-FR"/>
        </w:rPr>
        <w:t xml:space="preserve">Uncertainty estimate associated with </w:t>
      </w:r>
      <w:r w:rsidRPr="002462F0">
        <w:rPr>
          <w:lang w:val="en-US" w:eastAsia="fr-FR"/>
        </w:rPr>
        <w:t>CH</w:t>
      </w:r>
      <w:r w:rsidRPr="002462F0">
        <w:rPr>
          <w:vertAlign w:val="subscript"/>
          <w:lang w:val="en-US" w:eastAsia="fr-FR"/>
        </w:rPr>
        <w:t>4</w:t>
      </w:r>
      <w:r w:rsidRPr="002462F0">
        <w:rPr>
          <w:lang w:eastAsia="fr-FR"/>
        </w:rPr>
        <w:t xml:space="preserve"> default emission factor for category </w:t>
      </w:r>
      <w:r w:rsidR="00635D4D" w:rsidRPr="002462F0">
        <w:rPr>
          <w:lang w:eastAsia="fr-FR"/>
        </w:rPr>
        <w:t>1</w:t>
      </w:r>
      <w:r w:rsidR="00635D4D">
        <w:rPr>
          <w:lang w:eastAsia="fr-FR"/>
        </w:rPr>
        <w:t>B1</w:t>
      </w:r>
      <w:r w:rsidR="00635D4D" w:rsidRPr="002462F0">
        <w:rPr>
          <w:lang w:eastAsia="fr-FR"/>
        </w:rPr>
        <w:t>-</w:t>
      </w:r>
      <w:r w:rsidR="00635D4D">
        <w:rPr>
          <w:lang w:eastAsia="fr-FR"/>
        </w:rPr>
        <w:t>Solid fuels fugitives</w:t>
      </w:r>
      <w:r w:rsidRPr="002462F0">
        <w:rPr>
          <w:lang w:eastAsia="fr-FR"/>
        </w:rPr>
        <w:t xml:space="preserve"> </w:t>
      </w:r>
      <w:r w:rsidR="00635D4D">
        <w:rPr>
          <w:lang w:eastAsia="fr-FR"/>
        </w:rPr>
        <w:t>is 2</w:t>
      </w:r>
      <w:r w:rsidRPr="002462F0">
        <w:rPr>
          <w:lang w:eastAsia="fr-FR"/>
        </w:rPr>
        <w:t xml:space="preserve">0%, </w:t>
      </w:r>
      <w:r w:rsidR="00635D4D">
        <w:rPr>
          <w:lang w:eastAsia="fr-FR"/>
        </w:rPr>
        <w:t>based on expert judgement</w:t>
      </w:r>
      <w:r w:rsidRPr="002462F0">
        <w:rPr>
          <w:lang w:eastAsia="fr-FR"/>
        </w:rPr>
        <w:t>.</w:t>
      </w:r>
    </w:p>
    <w:p w14:paraId="3DF47D2E" w14:textId="4BB661D5" w:rsidR="000519F7" w:rsidRPr="002462F0" w:rsidRDefault="000519F7" w:rsidP="000519F7">
      <w:pPr>
        <w:pStyle w:val="BodyText"/>
        <w:rPr>
          <w:lang w:val="en-US" w:eastAsia="fr-FR"/>
        </w:rPr>
      </w:pPr>
      <w:r w:rsidRPr="002462F0">
        <w:rPr>
          <w:lang w:eastAsia="fr-FR"/>
        </w:rPr>
        <w:t xml:space="preserve">Combined uncertainty for </w:t>
      </w:r>
      <w:r w:rsidRPr="002462F0">
        <w:rPr>
          <w:lang w:val="en-US" w:eastAsia="fr-FR"/>
        </w:rPr>
        <w:t>CH</w:t>
      </w:r>
      <w:r w:rsidRPr="002462F0">
        <w:rPr>
          <w:vertAlign w:val="subscript"/>
          <w:lang w:val="en-US" w:eastAsia="fr-FR"/>
        </w:rPr>
        <w:t>4</w:t>
      </w:r>
      <w:r w:rsidRPr="002462F0">
        <w:rPr>
          <w:lang w:eastAsia="fr-FR"/>
        </w:rPr>
        <w:t xml:space="preserve"> emissions</w:t>
      </w:r>
      <w:r w:rsidR="00635D4D">
        <w:rPr>
          <w:lang w:eastAsia="fr-FR"/>
        </w:rPr>
        <w:t xml:space="preserve"> </w:t>
      </w:r>
      <w:r w:rsidR="00635D4D" w:rsidRPr="00AA1539">
        <w:rPr>
          <w:lang w:eastAsia="fr-FR"/>
        </w:rPr>
        <w:t>is</w:t>
      </w:r>
      <w:r w:rsidR="004A161E">
        <w:rPr>
          <w:lang w:eastAsia="fr-FR"/>
        </w:rPr>
        <w:t xml:space="preserve"> </w:t>
      </w:r>
      <w:r w:rsidR="00505DD8">
        <w:rPr>
          <w:lang w:eastAsia="fr-FR"/>
        </w:rPr>
        <w:t>0.3</w:t>
      </w:r>
      <w:r w:rsidRPr="002462F0">
        <w:rPr>
          <w:lang w:eastAsia="fr-FR"/>
        </w:rPr>
        <w:t>%</w:t>
      </w:r>
      <w:r w:rsidR="00635D4D">
        <w:rPr>
          <w:lang w:eastAsia="fr-FR"/>
        </w:rPr>
        <w:t xml:space="preserve"> </w:t>
      </w:r>
      <w:r w:rsidR="00442728">
        <w:rPr>
          <w:lang w:eastAsia="fr-FR"/>
        </w:rPr>
        <w:t>in the total national levels of emission in 2022, excluding LULUCF contribution</w:t>
      </w:r>
      <w:r w:rsidRPr="002462F0">
        <w:rPr>
          <w:lang w:eastAsia="fr-FR"/>
        </w:rPr>
        <w:t>.</w:t>
      </w:r>
    </w:p>
    <w:p w14:paraId="28AFF77B" w14:textId="77777777" w:rsidR="00635D4D" w:rsidRDefault="00635D4D" w:rsidP="00635D4D">
      <w:pPr>
        <w:pStyle w:val="BodyText"/>
        <w:rPr>
          <w:b/>
          <w:lang w:val="en-US" w:eastAsia="fr-FR"/>
        </w:rPr>
      </w:pPr>
    </w:p>
    <w:p w14:paraId="196424B4" w14:textId="5F0FE5A2" w:rsidR="00635D4D" w:rsidRDefault="00635D4D" w:rsidP="00635D4D">
      <w:pPr>
        <w:pStyle w:val="BodyText"/>
        <w:rPr>
          <w:b/>
          <w:lang w:val="en-US" w:eastAsia="fr-FR"/>
        </w:rPr>
      </w:pPr>
      <w:r>
        <w:rPr>
          <w:b/>
          <w:lang w:val="en-US" w:eastAsia="fr-FR"/>
        </w:rPr>
        <w:t>1B2-Oil and natural gas fugitives</w:t>
      </w:r>
    </w:p>
    <w:p w14:paraId="31E0D061" w14:textId="0A5F2083" w:rsidR="00635D4D" w:rsidRPr="002462F0" w:rsidRDefault="00635D4D" w:rsidP="00635D4D">
      <w:pPr>
        <w:pStyle w:val="BodyText"/>
        <w:rPr>
          <w:b/>
          <w:lang w:val="en-US" w:eastAsia="fr-FR"/>
        </w:rPr>
      </w:pPr>
      <w:r>
        <w:rPr>
          <w:b/>
          <w:lang w:val="en-US" w:eastAsia="fr-FR"/>
        </w:rPr>
        <w:t>Activity data</w:t>
      </w:r>
    </w:p>
    <w:p w14:paraId="18A6DB8D" w14:textId="2523396B" w:rsidR="00635D4D" w:rsidRPr="002462F0" w:rsidRDefault="00635D4D" w:rsidP="00635D4D">
      <w:pPr>
        <w:autoSpaceDE w:val="0"/>
        <w:autoSpaceDN w:val="0"/>
        <w:adjustRightInd w:val="0"/>
        <w:spacing w:after="0" w:line="240" w:lineRule="auto"/>
        <w:rPr>
          <w:lang w:eastAsia="fr-FR"/>
        </w:rPr>
      </w:pPr>
      <w:r w:rsidRPr="002462F0">
        <w:rPr>
          <w:lang w:eastAsia="fr-FR"/>
        </w:rPr>
        <w:t>In 20</w:t>
      </w:r>
      <w:r w:rsidR="00BF0F7F">
        <w:rPr>
          <w:lang w:eastAsia="fr-FR"/>
        </w:rPr>
        <w:t>22</w:t>
      </w:r>
      <w:r w:rsidRPr="002462F0">
        <w:rPr>
          <w:lang w:eastAsia="fr-FR"/>
        </w:rPr>
        <w:t xml:space="preserve">, the uncertainty estimate associated with activity data for category </w:t>
      </w:r>
      <w:r>
        <w:rPr>
          <w:lang w:eastAsia="fr-FR"/>
        </w:rPr>
        <w:t>1B2-Oil and Natural gas fugitives</w:t>
      </w:r>
      <w:r w:rsidRPr="002462F0">
        <w:rPr>
          <w:lang w:eastAsia="fr-FR"/>
        </w:rPr>
        <w:t xml:space="preserve"> is </w:t>
      </w:r>
      <w:r>
        <w:rPr>
          <w:lang w:eastAsia="fr-FR"/>
        </w:rPr>
        <w:t>10</w:t>
      </w:r>
      <w:r w:rsidRPr="002462F0">
        <w:rPr>
          <w:lang w:eastAsia="fr-FR"/>
        </w:rPr>
        <w:t xml:space="preserve">%, based on 2006 IPCC Guidelines </w:t>
      </w:r>
      <w:r w:rsidR="00826E82">
        <w:rPr>
          <w:lang w:eastAsia="fr-FR"/>
        </w:rPr>
        <w:fldChar w:fldCharType="begin"/>
      </w:r>
      <w:r w:rsidR="00826E82">
        <w:rPr>
          <w:lang w:eastAsia="fr-FR"/>
        </w:rPr>
        <w:instrText xml:space="preserve"> REF _Ref496787731 \r \h </w:instrText>
      </w:r>
      <w:r w:rsidR="00826E82">
        <w:rPr>
          <w:lang w:eastAsia="fr-FR"/>
        </w:rPr>
      </w:r>
      <w:r w:rsidR="00826E82">
        <w:rPr>
          <w:lang w:eastAsia="fr-FR"/>
        </w:rPr>
        <w:fldChar w:fldCharType="separate"/>
      </w:r>
      <w:r w:rsidR="00F14C78">
        <w:rPr>
          <w:lang w:eastAsia="fr-FR"/>
        </w:rPr>
        <w:t>[E5]</w:t>
      </w:r>
      <w:r w:rsidR="00826E82">
        <w:rPr>
          <w:lang w:eastAsia="fr-FR"/>
        </w:rPr>
        <w:fldChar w:fldCharType="end"/>
      </w:r>
      <w:r>
        <w:rPr>
          <w:lang w:eastAsia="fr-FR"/>
        </w:rPr>
        <w:t>.</w:t>
      </w:r>
    </w:p>
    <w:p w14:paraId="5441808B" w14:textId="77777777" w:rsidR="00635D4D" w:rsidRDefault="00635D4D" w:rsidP="00635D4D">
      <w:pPr>
        <w:pStyle w:val="BodyText"/>
        <w:rPr>
          <w:b/>
          <w:lang w:eastAsia="fr-FR"/>
        </w:rPr>
      </w:pPr>
    </w:p>
    <w:p w14:paraId="6FED49E8" w14:textId="77777777" w:rsidR="00635D4D" w:rsidRPr="002462F0" w:rsidRDefault="00635D4D" w:rsidP="00635D4D">
      <w:pPr>
        <w:pStyle w:val="BodyText"/>
        <w:rPr>
          <w:b/>
          <w:lang w:val="en-US" w:eastAsia="fr-FR"/>
        </w:rPr>
      </w:pPr>
      <w:r w:rsidRPr="002462F0">
        <w:rPr>
          <w:b/>
          <w:lang w:val="en-US" w:eastAsia="fr-FR"/>
        </w:rPr>
        <w:t>CO</w:t>
      </w:r>
      <w:r w:rsidRPr="002462F0">
        <w:rPr>
          <w:b/>
          <w:vertAlign w:val="subscript"/>
          <w:lang w:val="en-US" w:eastAsia="fr-FR"/>
        </w:rPr>
        <w:t>2</w:t>
      </w:r>
    </w:p>
    <w:p w14:paraId="7D393B52" w14:textId="321A8AB6" w:rsidR="00635D4D" w:rsidRPr="002462F0" w:rsidRDefault="00635D4D" w:rsidP="00635D4D">
      <w:pPr>
        <w:pStyle w:val="BodyText"/>
        <w:rPr>
          <w:lang w:eastAsia="fr-FR"/>
        </w:rPr>
      </w:pPr>
      <w:r w:rsidRPr="002462F0">
        <w:rPr>
          <w:lang w:eastAsia="fr-FR"/>
        </w:rPr>
        <w:lastRenderedPageBreak/>
        <w:t>Uncerta</w:t>
      </w:r>
      <w:r>
        <w:rPr>
          <w:lang w:eastAsia="fr-FR"/>
        </w:rPr>
        <w:t>inty estimate associated with CO</w:t>
      </w:r>
      <w:r w:rsidRPr="00635D4D">
        <w:rPr>
          <w:vertAlign w:val="subscript"/>
          <w:lang w:eastAsia="fr-FR"/>
        </w:rPr>
        <w:t>2</w:t>
      </w:r>
      <w:r w:rsidRPr="002462F0">
        <w:rPr>
          <w:lang w:eastAsia="fr-FR"/>
        </w:rPr>
        <w:t xml:space="preserve"> default emission factor for category </w:t>
      </w:r>
      <w:r>
        <w:rPr>
          <w:lang w:eastAsia="fr-FR"/>
        </w:rPr>
        <w:t>1B2-Oil and Natural gas fugitives</w:t>
      </w:r>
      <w:r w:rsidRPr="002462F0">
        <w:rPr>
          <w:lang w:eastAsia="fr-FR"/>
        </w:rPr>
        <w:t xml:space="preserve"> is </w:t>
      </w:r>
      <w:r>
        <w:rPr>
          <w:lang w:eastAsia="fr-FR"/>
        </w:rPr>
        <w:t>2</w:t>
      </w:r>
      <w:r w:rsidRPr="002462F0">
        <w:rPr>
          <w:lang w:eastAsia="fr-FR"/>
        </w:rPr>
        <w:t xml:space="preserve">%, </w:t>
      </w:r>
      <w:r>
        <w:rPr>
          <w:lang w:eastAsia="fr-FR"/>
        </w:rPr>
        <w:t>based on expert judgement</w:t>
      </w:r>
      <w:r w:rsidRPr="002462F0">
        <w:rPr>
          <w:lang w:eastAsia="fr-FR"/>
        </w:rPr>
        <w:t>.</w:t>
      </w:r>
    </w:p>
    <w:p w14:paraId="17A5A450" w14:textId="77777777" w:rsidR="00635D4D" w:rsidRPr="002462F0" w:rsidRDefault="00635D4D" w:rsidP="00635D4D">
      <w:pPr>
        <w:autoSpaceDE w:val="0"/>
        <w:autoSpaceDN w:val="0"/>
        <w:adjustRightInd w:val="0"/>
        <w:spacing w:after="0" w:line="240" w:lineRule="auto"/>
        <w:rPr>
          <w:lang w:eastAsia="fr-FR"/>
        </w:rPr>
      </w:pPr>
    </w:p>
    <w:p w14:paraId="489D5DB7" w14:textId="0C9CC9C1" w:rsidR="00635D4D" w:rsidRPr="002462F0" w:rsidRDefault="00635D4D" w:rsidP="00635D4D">
      <w:pPr>
        <w:autoSpaceDE w:val="0"/>
        <w:autoSpaceDN w:val="0"/>
        <w:adjustRightInd w:val="0"/>
        <w:spacing w:after="0" w:line="240" w:lineRule="auto"/>
        <w:rPr>
          <w:lang w:eastAsia="fr-FR"/>
        </w:rPr>
      </w:pPr>
      <w:r w:rsidRPr="002462F0">
        <w:rPr>
          <w:lang w:eastAsia="fr-FR"/>
        </w:rPr>
        <w:t>Combined uncertaint</w:t>
      </w:r>
      <w:r w:rsidR="003C00E2">
        <w:rPr>
          <w:lang w:eastAsia="fr-FR"/>
        </w:rPr>
        <w:t>ies</w:t>
      </w:r>
      <w:r w:rsidRPr="002462F0">
        <w:rPr>
          <w:lang w:eastAsia="fr-FR"/>
        </w:rPr>
        <w:t xml:space="preserve"> for CO</w:t>
      </w:r>
      <w:r w:rsidRPr="002462F0">
        <w:rPr>
          <w:vertAlign w:val="subscript"/>
          <w:lang w:eastAsia="fr-FR"/>
        </w:rPr>
        <w:t>2</w:t>
      </w:r>
      <w:r w:rsidRPr="002462F0">
        <w:rPr>
          <w:lang w:eastAsia="fr-FR"/>
        </w:rPr>
        <w:t xml:space="preserve"> emissions </w:t>
      </w:r>
      <w:r w:rsidR="003C00E2">
        <w:rPr>
          <w:lang w:eastAsia="fr-FR"/>
        </w:rPr>
        <w:t>are</w:t>
      </w:r>
      <w:r w:rsidR="003C00E2" w:rsidRPr="000565CA">
        <w:rPr>
          <w:lang w:eastAsia="fr-FR"/>
        </w:rPr>
        <w:t xml:space="preserve"> </w:t>
      </w:r>
      <w:r w:rsidR="00BF31F0">
        <w:rPr>
          <w:lang w:eastAsia="fr-FR"/>
        </w:rPr>
        <w:t>0.0003</w:t>
      </w:r>
      <w:r w:rsidRPr="000565CA">
        <w:rPr>
          <w:lang w:eastAsia="fr-FR"/>
        </w:rPr>
        <w:t>%</w:t>
      </w:r>
      <w:r w:rsidR="001E78D2">
        <w:rPr>
          <w:lang w:eastAsia="fr-FR"/>
        </w:rPr>
        <w:t xml:space="preserve"> for 1B2a and 0.0</w:t>
      </w:r>
      <w:r w:rsidR="00361EFF">
        <w:rPr>
          <w:lang w:eastAsia="fr-FR"/>
        </w:rPr>
        <w:t>04% for 1B2b,</w:t>
      </w:r>
      <w:r w:rsidR="00442728" w:rsidRPr="00442728">
        <w:rPr>
          <w:lang w:eastAsia="fr-FR"/>
        </w:rPr>
        <w:t xml:space="preserve"> </w:t>
      </w:r>
      <w:r w:rsidR="00442728">
        <w:rPr>
          <w:lang w:eastAsia="fr-FR"/>
        </w:rPr>
        <w:t>in the total national levels of emission in 2022, excluding LULUCF contribution</w:t>
      </w:r>
      <w:r w:rsidRPr="002462F0">
        <w:rPr>
          <w:lang w:eastAsia="fr-FR"/>
        </w:rPr>
        <w:t>.</w:t>
      </w:r>
    </w:p>
    <w:p w14:paraId="5821085A" w14:textId="77777777" w:rsidR="00635D4D" w:rsidRPr="002462F0" w:rsidRDefault="00635D4D" w:rsidP="00635D4D">
      <w:pPr>
        <w:pStyle w:val="BodyText"/>
        <w:rPr>
          <w:lang w:eastAsia="fr-FR"/>
        </w:rPr>
      </w:pPr>
    </w:p>
    <w:p w14:paraId="064A3A7E" w14:textId="77777777" w:rsidR="00635D4D" w:rsidRPr="002462F0" w:rsidRDefault="00635D4D" w:rsidP="00635D4D">
      <w:pPr>
        <w:pStyle w:val="BodyText"/>
        <w:rPr>
          <w:b/>
          <w:lang w:val="en-US" w:eastAsia="fr-FR"/>
        </w:rPr>
      </w:pPr>
      <w:r w:rsidRPr="002462F0">
        <w:rPr>
          <w:b/>
          <w:lang w:val="en-US" w:eastAsia="fr-FR"/>
        </w:rPr>
        <w:t>CH</w:t>
      </w:r>
      <w:r w:rsidRPr="002462F0">
        <w:rPr>
          <w:b/>
          <w:vertAlign w:val="subscript"/>
          <w:lang w:val="en-US" w:eastAsia="fr-FR"/>
        </w:rPr>
        <w:t>4</w:t>
      </w:r>
    </w:p>
    <w:p w14:paraId="68B2A66C" w14:textId="6E1D1C3A" w:rsidR="00635D4D" w:rsidRPr="002462F0" w:rsidRDefault="00635D4D" w:rsidP="00635D4D">
      <w:pPr>
        <w:pStyle w:val="BodyText"/>
        <w:rPr>
          <w:lang w:eastAsia="fr-FR"/>
        </w:rPr>
      </w:pPr>
      <w:r w:rsidRPr="002462F0">
        <w:rPr>
          <w:lang w:eastAsia="fr-FR"/>
        </w:rPr>
        <w:t xml:space="preserve">Uncertainty estimate associated with </w:t>
      </w:r>
      <w:r w:rsidRPr="002462F0">
        <w:rPr>
          <w:lang w:val="en-US" w:eastAsia="fr-FR"/>
        </w:rPr>
        <w:t>CH</w:t>
      </w:r>
      <w:r w:rsidRPr="002462F0">
        <w:rPr>
          <w:vertAlign w:val="subscript"/>
          <w:lang w:val="en-US" w:eastAsia="fr-FR"/>
        </w:rPr>
        <w:t>4</w:t>
      </w:r>
      <w:r w:rsidRPr="002462F0">
        <w:rPr>
          <w:lang w:eastAsia="fr-FR"/>
        </w:rPr>
        <w:t xml:space="preserve"> default emission factor for category </w:t>
      </w:r>
      <w:r>
        <w:rPr>
          <w:lang w:eastAsia="fr-FR"/>
        </w:rPr>
        <w:t>1B2-Oil and Natural gas fugitives</w:t>
      </w:r>
      <w:r w:rsidRPr="002462F0">
        <w:rPr>
          <w:lang w:eastAsia="fr-FR"/>
        </w:rPr>
        <w:t xml:space="preserve"> is 100%, accordingly to values reported in 2006 IPCC Guidelines </w:t>
      </w:r>
      <w:r w:rsidR="00826E82">
        <w:rPr>
          <w:lang w:eastAsia="fr-FR"/>
        </w:rPr>
        <w:fldChar w:fldCharType="begin"/>
      </w:r>
      <w:r w:rsidR="00826E82">
        <w:rPr>
          <w:lang w:eastAsia="fr-FR"/>
        </w:rPr>
        <w:instrText xml:space="preserve"> REF _Ref496787749 \r \h </w:instrText>
      </w:r>
      <w:r w:rsidR="00826E82">
        <w:rPr>
          <w:lang w:eastAsia="fr-FR"/>
        </w:rPr>
      </w:r>
      <w:r w:rsidR="00826E82">
        <w:rPr>
          <w:lang w:eastAsia="fr-FR"/>
        </w:rPr>
        <w:fldChar w:fldCharType="separate"/>
      </w:r>
      <w:r w:rsidR="00F14C78">
        <w:rPr>
          <w:lang w:eastAsia="fr-FR"/>
        </w:rPr>
        <w:t>[E7]</w:t>
      </w:r>
      <w:r w:rsidR="00826E82">
        <w:rPr>
          <w:lang w:eastAsia="fr-FR"/>
        </w:rPr>
        <w:fldChar w:fldCharType="end"/>
      </w:r>
      <w:r w:rsidRPr="002462F0">
        <w:rPr>
          <w:lang w:eastAsia="fr-FR"/>
        </w:rPr>
        <w:t>.</w:t>
      </w:r>
    </w:p>
    <w:p w14:paraId="28A77559" w14:textId="518D1174" w:rsidR="00635D4D" w:rsidRPr="002462F0" w:rsidRDefault="00635D4D" w:rsidP="00635D4D">
      <w:pPr>
        <w:pStyle w:val="BodyText"/>
        <w:rPr>
          <w:lang w:val="en-US" w:eastAsia="fr-FR"/>
        </w:rPr>
      </w:pPr>
      <w:r w:rsidRPr="002462F0">
        <w:rPr>
          <w:lang w:eastAsia="fr-FR"/>
        </w:rPr>
        <w:t>Combined uncertaint</w:t>
      </w:r>
      <w:r w:rsidR="003C00E2">
        <w:rPr>
          <w:lang w:eastAsia="fr-FR"/>
        </w:rPr>
        <w:t>ies</w:t>
      </w:r>
      <w:r w:rsidRPr="002462F0">
        <w:rPr>
          <w:lang w:eastAsia="fr-FR"/>
        </w:rPr>
        <w:t xml:space="preserve"> for </w:t>
      </w:r>
      <w:r w:rsidRPr="002462F0">
        <w:rPr>
          <w:lang w:val="en-US" w:eastAsia="fr-FR"/>
        </w:rPr>
        <w:t>CH</w:t>
      </w:r>
      <w:r w:rsidRPr="002462F0">
        <w:rPr>
          <w:vertAlign w:val="subscript"/>
          <w:lang w:val="en-US" w:eastAsia="fr-FR"/>
        </w:rPr>
        <w:t>4</w:t>
      </w:r>
      <w:r w:rsidRPr="002462F0">
        <w:rPr>
          <w:lang w:eastAsia="fr-FR"/>
        </w:rPr>
        <w:t xml:space="preserve"> emissions </w:t>
      </w:r>
      <w:r w:rsidR="003C00E2">
        <w:rPr>
          <w:lang w:eastAsia="fr-FR"/>
        </w:rPr>
        <w:t>are</w:t>
      </w:r>
      <w:r w:rsidR="003C00E2" w:rsidRPr="002462F0">
        <w:rPr>
          <w:lang w:eastAsia="fr-FR"/>
        </w:rPr>
        <w:t xml:space="preserve"> </w:t>
      </w:r>
      <w:r w:rsidR="00CB5C09">
        <w:rPr>
          <w:lang w:eastAsia="fr-FR"/>
        </w:rPr>
        <w:t>1.2</w:t>
      </w:r>
      <w:r w:rsidR="008C126A">
        <w:rPr>
          <w:lang w:eastAsia="fr-FR"/>
        </w:rPr>
        <w:t>5</w:t>
      </w:r>
      <w:r w:rsidRPr="002462F0">
        <w:rPr>
          <w:lang w:eastAsia="fr-FR"/>
        </w:rPr>
        <w:t>%</w:t>
      </w:r>
      <w:r w:rsidR="00442728" w:rsidRPr="00442728">
        <w:rPr>
          <w:lang w:eastAsia="fr-FR"/>
        </w:rPr>
        <w:t xml:space="preserve"> </w:t>
      </w:r>
      <w:r w:rsidR="008C126A">
        <w:rPr>
          <w:lang w:eastAsia="fr-FR"/>
        </w:rPr>
        <w:t xml:space="preserve">for 1B2a and 0.57% for 1B2b </w:t>
      </w:r>
      <w:r w:rsidR="00442728">
        <w:rPr>
          <w:lang w:eastAsia="fr-FR"/>
        </w:rPr>
        <w:t>in the total national levels of emission in 2022, excluding LULUCF contribution</w:t>
      </w:r>
      <w:r w:rsidRPr="002462F0">
        <w:rPr>
          <w:lang w:eastAsia="fr-FR"/>
        </w:rPr>
        <w:t>.</w:t>
      </w:r>
    </w:p>
    <w:p w14:paraId="3B4D9154" w14:textId="77777777" w:rsidR="00635D4D" w:rsidRPr="002462F0" w:rsidRDefault="00635D4D" w:rsidP="00635D4D">
      <w:pPr>
        <w:pStyle w:val="BodyText"/>
        <w:rPr>
          <w:b/>
          <w:lang w:val="en-US" w:eastAsia="fr-FR"/>
        </w:rPr>
      </w:pPr>
      <w:r w:rsidRPr="002462F0">
        <w:rPr>
          <w:b/>
          <w:lang w:val="en-US" w:eastAsia="fr-FR"/>
        </w:rPr>
        <w:t>N</w:t>
      </w:r>
      <w:r w:rsidRPr="002462F0">
        <w:rPr>
          <w:b/>
          <w:vertAlign w:val="subscript"/>
          <w:lang w:val="en-US" w:eastAsia="fr-FR"/>
        </w:rPr>
        <w:t>2</w:t>
      </w:r>
      <w:r w:rsidRPr="002462F0">
        <w:rPr>
          <w:b/>
          <w:lang w:val="en-US" w:eastAsia="fr-FR"/>
        </w:rPr>
        <w:t>O</w:t>
      </w:r>
    </w:p>
    <w:p w14:paraId="29CD0D9F" w14:textId="7C17E5C0" w:rsidR="00635D4D" w:rsidRPr="002462F0" w:rsidRDefault="00635D4D" w:rsidP="00635D4D">
      <w:pPr>
        <w:pStyle w:val="BodyText"/>
        <w:rPr>
          <w:lang w:val="en-US" w:eastAsia="fr-FR"/>
        </w:rPr>
      </w:pPr>
      <w:r w:rsidRPr="002462F0">
        <w:rPr>
          <w:lang w:eastAsia="fr-FR"/>
        </w:rPr>
        <w:t xml:space="preserve">Uncertainty estimate associated with </w:t>
      </w:r>
      <w:r w:rsidRPr="002462F0">
        <w:rPr>
          <w:lang w:val="en-US" w:eastAsia="fr-FR"/>
        </w:rPr>
        <w:t>N</w:t>
      </w:r>
      <w:r w:rsidRPr="002462F0">
        <w:rPr>
          <w:vertAlign w:val="subscript"/>
          <w:lang w:val="en-US" w:eastAsia="fr-FR"/>
        </w:rPr>
        <w:t>2</w:t>
      </w:r>
      <w:r>
        <w:rPr>
          <w:lang w:val="en-US" w:eastAsia="fr-FR"/>
        </w:rPr>
        <w:t xml:space="preserve">O </w:t>
      </w:r>
      <w:r w:rsidRPr="002462F0">
        <w:rPr>
          <w:lang w:eastAsia="fr-FR"/>
        </w:rPr>
        <w:t xml:space="preserve">default emission factor for category </w:t>
      </w:r>
      <w:r>
        <w:rPr>
          <w:lang w:eastAsia="fr-FR"/>
        </w:rPr>
        <w:t>1B2-Oil and Natural gas fugitives</w:t>
      </w:r>
      <w:r w:rsidRPr="002462F0">
        <w:rPr>
          <w:lang w:eastAsia="fr-FR"/>
        </w:rPr>
        <w:t xml:space="preserve"> is 100%, accordingly to a conservative assumption.</w:t>
      </w:r>
    </w:p>
    <w:p w14:paraId="3A9058E4" w14:textId="61AB8873" w:rsidR="00635D4D" w:rsidRPr="002462F0" w:rsidRDefault="00635D4D" w:rsidP="00635D4D">
      <w:pPr>
        <w:pStyle w:val="BodyText"/>
        <w:rPr>
          <w:lang w:eastAsia="fr-FR"/>
        </w:rPr>
      </w:pPr>
      <w:r w:rsidRPr="002462F0">
        <w:rPr>
          <w:lang w:eastAsia="fr-FR"/>
        </w:rPr>
        <w:t>Combined uncertaint</w:t>
      </w:r>
      <w:r w:rsidR="004C2AE8">
        <w:rPr>
          <w:lang w:eastAsia="fr-FR"/>
        </w:rPr>
        <w:t>ies</w:t>
      </w:r>
      <w:r w:rsidRPr="002462F0">
        <w:rPr>
          <w:lang w:eastAsia="fr-FR"/>
        </w:rPr>
        <w:t xml:space="preserve"> for </w:t>
      </w:r>
      <w:r w:rsidRPr="002462F0">
        <w:rPr>
          <w:lang w:val="en-US" w:eastAsia="fr-FR"/>
        </w:rPr>
        <w:t>N</w:t>
      </w:r>
      <w:r w:rsidRPr="002462F0">
        <w:rPr>
          <w:vertAlign w:val="subscript"/>
          <w:lang w:val="en-US" w:eastAsia="fr-FR"/>
        </w:rPr>
        <w:t>2</w:t>
      </w:r>
      <w:r w:rsidRPr="002462F0">
        <w:rPr>
          <w:lang w:val="en-US" w:eastAsia="fr-FR"/>
        </w:rPr>
        <w:t>O</w:t>
      </w:r>
      <w:r w:rsidRPr="002462F0">
        <w:rPr>
          <w:lang w:eastAsia="fr-FR"/>
        </w:rPr>
        <w:t xml:space="preserve"> emissions </w:t>
      </w:r>
      <w:r w:rsidR="004C2AE8">
        <w:rPr>
          <w:lang w:eastAsia="fr-FR"/>
        </w:rPr>
        <w:t>are</w:t>
      </w:r>
      <w:r w:rsidR="004C2AE8" w:rsidRPr="002462F0">
        <w:rPr>
          <w:lang w:eastAsia="fr-FR"/>
        </w:rPr>
        <w:t xml:space="preserve"> </w:t>
      </w:r>
      <w:r w:rsidR="004C2AE8">
        <w:rPr>
          <w:lang w:eastAsia="fr-FR"/>
        </w:rPr>
        <w:t>null for 1B2a and 1B2b, as the emissions in 2022 are null,</w:t>
      </w:r>
      <w:r w:rsidR="00442728" w:rsidRPr="00442728">
        <w:rPr>
          <w:lang w:eastAsia="fr-FR"/>
        </w:rPr>
        <w:t xml:space="preserve"> </w:t>
      </w:r>
      <w:r w:rsidR="00442728">
        <w:rPr>
          <w:lang w:eastAsia="fr-FR"/>
        </w:rPr>
        <w:t>in the total national levels of emission, excluding LULUCF contribution</w:t>
      </w:r>
      <w:r w:rsidRPr="002462F0">
        <w:rPr>
          <w:lang w:eastAsia="fr-FR"/>
        </w:rPr>
        <w:t>.</w:t>
      </w:r>
    </w:p>
    <w:p w14:paraId="52BC6F75" w14:textId="77777777" w:rsidR="00635D4D" w:rsidRPr="002462F0" w:rsidRDefault="00635D4D" w:rsidP="000519F7">
      <w:pPr>
        <w:pStyle w:val="BodyText"/>
        <w:rPr>
          <w:lang w:eastAsia="fr-FR"/>
        </w:rPr>
      </w:pPr>
    </w:p>
    <w:p w14:paraId="41D53A7D" w14:textId="77777777" w:rsidR="00614555" w:rsidRPr="002462F0" w:rsidRDefault="00614555" w:rsidP="00622F40">
      <w:pPr>
        <w:pStyle w:val="Heading3"/>
        <w:rPr>
          <w:lang w:eastAsia="fr-FR"/>
        </w:rPr>
      </w:pPr>
      <w:bookmarkStart w:id="320" w:name="_Toc182327781"/>
      <w:bookmarkStart w:id="321" w:name="_Toc184808194"/>
      <w:r w:rsidRPr="002462F0">
        <w:rPr>
          <w:lang w:eastAsia="fr-FR"/>
        </w:rPr>
        <w:t>Category-specific QA/QC and verification</w:t>
      </w:r>
      <w:bookmarkEnd w:id="320"/>
      <w:bookmarkEnd w:id="321"/>
    </w:p>
    <w:p w14:paraId="02C78F40" w14:textId="0C9E955F" w:rsidR="00E37849" w:rsidRPr="002462F0" w:rsidRDefault="00E37849" w:rsidP="00E37849">
      <w:pPr>
        <w:pStyle w:val="BodyText"/>
        <w:rPr>
          <w:sz w:val="24"/>
          <w:szCs w:val="24"/>
          <w:lang w:eastAsia="fr-FR"/>
        </w:rPr>
      </w:pPr>
      <w:r w:rsidRPr="002462F0">
        <w:t xml:space="preserve">During the preparation of the inventory submission activities related to quality control were mainly focused on proper use of notation keys in the </w:t>
      </w:r>
      <w:r w:rsidR="000F6001">
        <w:t>CRT</w:t>
      </w:r>
      <w:r w:rsidRPr="002462F0">
        <w:t xml:space="preserve"> tables according to QA/QC plan.</w:t>
      </w:r>
    </w:p>
    <w:p w14:paraId="06D90036" w14:textId="77777777" w:rsidR="00614555" w:rsidRPr="002462F0" w:rsidRDefault="00614555" w:rsidP="00622F40">
      <w:pPr>
        <w:pStyle w:val="Heading3"/>
        <w:rPr>
          <w:lang w:eastAsia="fr-FR"/>
        </w:rPr>
      </w:pPr>
      <w:bookmarkStart w:id="322" w:name="_Toc182327782"/>
      <w:bookmarkStart w:id="323" w:name="_Toc184808195"/>
      <w:r w:rsidRPr="002462F0">
        <w:rPr>
          <w:lang w:eastAsia="fr-FR"/>
        </w:rPr>
        <w:t>Category-specific recalculations</w:t>
      </w:r>
      <w:bookmarkEnd w:id="322"/>
      <w:bookmarkEnd w:id="323"/>
    </w:p>
    <w:p w14:paraId="07D551BE" w14:textId="3A84FF81" w:rsidR="007A5CFF" w:rsidRPr="002462F0" w:rsidRDefault="007A5CFF" w:rsidP="007A5CFF">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t>
      </w:r>
      <w:r>
        <w:rPr>
          <w:lang w:eastAsia="fr-FR"/>
        </w:rPr>
        <w:t>will occur</w:t>
      </w:r>
      <w:r w:rsidRPr="002462F0">
        <w:rPr>
          <w:lang w:eastAsia="fr-FR"/>
        </w:rPr>
        <w:t xml:space="preserve"> and </w:t>
      </w:r>
      <w:r>
        <w:rPr>
          <w:lang w:eastAsia="fr-FR"/>
        </w:rPr>
        <w:t xml:space="preserve">be </w:t>
      </w:r>
      <w:r w:rsidRPr="002462F0">
        <w:rPr>
          <w:lang w:eastAsia="fr-FR"/>
        </w:rPr>
        <w:t>estimated in the next submission if necessary.</w:t>
      </w:r>
    </w:p>
    <w:p w14:paraId="1E3DBC97" w14:textId="77777777" w:rsidR="00614555" w:rsidRPr="002462F0" w:rsidRDefault="00614555" w:rsidP="00622F40">
      <w:pPr>
        <w:pStyle w:val="Heading3"/>
        <w:rPr>
          <w:lang w:eastAsia="fr-FR"/>
        </w:rPr>
      </w:pPr>
      <w:bookmarkStart w:id="324" w:name="_Toc182327783"/>
      <w:bookmarkStart w:id="325" w:name="_Toc184808196"/>
      <w:r w:rsidRPr="002462F0">
        <w:rPr>
          <w:lang w:eastAsia="fr-FR"/>
        </w:rPr>
        <w:t>Category-specific planned improvements</w:t>
      </w:r>
      <w:bookmarkEnd w:id="324"/>
      <w:bookmarkEnd w:id="325"/>
    </w:p>
    <w:p w14:paraId="1F0DC082" w14:textId="77777777" w:rsidR="007408EC" w:rsidRPr="00392677" w:rsidRDefault="0096215F" w:rsidP="00A023B0">
      <w:pPr>
        <w:rPr>
          <w:lang w:eastAsia="fr-FR"/>
        </w:rPr>
      </w:pPr>
      <w:r w:rsidRPr="00392677">
        <w:rPr>
          <w:lang w:eastAsia="fr-FR"/>
        </w:rPr>
        <w:t xml:space="preserve">One of </w:t>
      </w:r>
      <w:r w:rsidR="00170BAC" w:rsidRPr="00392677">
        <w:rPr>
          <w:lang w:eastAsia="fr-FR"/>
        </w:rPr>
        <w:t xml:space="preserve">the main improvements to be considered in the future submissions is to </w:t>
      </w:r>
      <w:r w:rsidR="00442728" w:rsidRPr="00392677">
        <w:rPr>
          <w:lang w:eastAsia="fr-FR"/>
        </w:rPr>
        <w:t xml:space="preserve">use the 2019 IPCC Refinement with the most recent methodologies for the Fugitive sector. </w:t>
      </w:r>
    </w:p>
    <w:p w14:paraId="69DE32AF" w14:textId="4BB29FCD" w:rsidR="0096215F" w:rsidRPr="00392677" w:rsidRDefault="007D3B37" w:rsidP="00A023B0">
      <w:pPr>
        <w:rPr>
          <w:lang w:eastAsia="fr-FR"/>
        </w:rPr>
      </w:pPr>
      <w:r w:rsidRPr="00392677">
        <w:rPr>
          <w:lang w:eastAsia="fr-FR"/>
        </w:rPr>
        <w:t>In addition, another improvement will be to collect data for gas flared and vented</w:t>
      </w:r>
      <w:r w:rsidR="007408EC" w:rsidRPr="00392677">
        <w:rPr>
          <w:lang w:eastAsia="fr-FR"/>
        </w:rPr>
        <w:t xml:space="preserve"> from operators in different </w:t>
      </w:r>
      <w:r w:rsidR="00191E34" w:rsidRPr="00392677">
        <w:rPr>
          <w:lang w:eastAsia="fr-FR"/>
        </w:rPr>
        <w:t xml:space="preserve">steps of the fuel production </w:t>
      </w:r>
      <w:r w:rsidR="007408EC" w:rsidRPr="00392677">
        <w:rPr>
          <w:lang w:eastAsia="fr-FR"/>
        </w:rPr>
        <w:t>(</w:t>
      </w:r>
      <w:r w:rsidR="00191E34" w:rsidRPr="00392677">
        <w:rPr>
          <w:lang w:eastAsia="fr-FR"/>
        </w:rPr>
        <w:t xml:space="preserve">oil </w:t>
      </w:r>
      <w:r w:rsidR="007408EC" w:rsidRPr="00392677">
        <w:rPr>
          <w:lang w:eastAsia="fr-FR"/>
        </w:rPr>
        <w:t>refineries, oil and gas extraction</w:t>
      </w:r>
      <w:r w:rsidR="00191E34" w:rsidRPr="00392677">
        <w:rPr>
          <w:lang w:eastAsia="fr-FR"/>
        </w:rPr>
        <w:t xml:space="preserve"> fields</w:t>
      </w:r>
      <w:r w:rsidR="007408EC" w:rsidRPr="00392677">
        <w:rPr>
          <w:lang w:eastAsia="fr-FR"/>
        </w:rPr>
        <w:t xml:space="preserve">, coal </w:t>
      </w:r>
      <w:r w:rsidR="00191E34" w:rsidRPr="00392677">
        <w:rPr>
          <w:lang w:eastAsia="fr-FR"/>
        </w:rPr>
        <w:t>fields</w:t>
      </w:r>
      <w:r w:rsidR="007408EC" w:rsidRPr="00392677">
        <w:rPr>
          <w:lang w:eastAsia="fr-FR"/>
        </w:rPr>
        <w:t xml:space="preserve">, etc.). </w:t>
      </w:r>
    </w:p>
    <w:p w14:paraId="281C4FC3" w14:textId="77777777" w:rsidR="00392677" w:rsidRPr="007759DA" w:rsidRDefault="00392677" w:rsidP="007759DA">
      <w:pPr>
        <w:pStyle w:val="BodyText"/>
      </w:pPr>
      <w:bookmarkStart w:id="326" w:name="_Toc496101043"/>
      <w:r w:rsidRPr="007759DA">
        <w:br w:type="page"/>
      </w:r>
    </w:p>
    <w:p w14:paraId="0C1D0ED3" w14:textId="6231B5E7" w:rsidR="00614555" w:rsidRPr="002462F0" w:rsidRDefault="00614555" w:rsidP="00826E82">
      <w:pPr>
        <w:pStyle w:val="Title"/>
        <w:spacing w:after="120"/>
        <w:rPr>
          <w:lang w:eastAsia="fr-FR"/>
        </w:rPr>
      </w:pPr>
      <w:bookmarkStart w:id="327" w:name="_Toc182327784"/>
      <w:bookmarkStart w:id="328" w:name="_Toc184808197"/>
      <w:r w:rsidRPr="002462F0">
        <w:rPr>
          <w:lang w:eastAsia="fr-FR"/>
        </w:rPr>
        <w:lastRenderedPageBreak/>
        <w:t>Chapter 4: Industrial processes and product use (</w:t>
      </w:r>
      <w:r w:rsidR="000F6001">
        <w:rPr>
          <w:lang w:eastAsia="fr-FR"/>
        </w:rPr>
        <w:t>CRT</w:t>
      </w:r>
      <w:r w:rsidRPr="002462F0">
        <w:rPr>
          <w:lang w:eastAsia="fr-FR"/>
        </w:rPr>
        <w:t xml:space="preserve"> sector 2)</w:t>
      </w:r>
      <w:bookmarkEnd w:id="326"/>
      <w:bookmarkEnd w:id="327"/>
      <w:bookmarkEnd w:id="328"/>
    </w:p>
    <w:p w14:paraId="51CE79F6" w14:textId="77777777" w:rsidR="005A6864" w:rsidRPr="00826E82" w:rsidRDefault="005A6864" w:rsidP="00826E82">
      <w:pPr>
        <w:pStyle w:val="ListParagraph"/>
        <w:widowControl w:val="0"/>
        <w:numPr>
          <w:ilvl w:val="0"/>
          <w:numId w:val="1"/>
        </w:numPr>
        <w:spacing w:after="0" w:line="240" w:lineRule="auto"/>
        <w:ind w:left="431" w:hanging="431"/>
        <w:contextualSpacing w:val="0"/>
        <w:outlineLvl w:val="0"/>
        <w:rPr>
          <w:rStyle w:val="Heading2Char"/>
          <w:b w:val="0"/>
          <w:vanish/>
          <w:color w:val="FFFFFF" w:themeColor="background1"/>
          <w:lang w:val="en-GB"/>
        </w:rPr>
      </w:pPr>
      <w:bookmarkStart w:id="329" w:name="_Toc496101381"/>
      <w:bookmarkStart w:id="330" w:name="_Toc496217037"/>
      <w:bookmarkStart w:id="331" w:name="_Toc496269126"/>
      <w:bookmarkStart w:id="332" w:name="_Toc496617631"/>
      <w:bookmarkStart w:id="333" w:name="_Toc496617928"/>
      <w:bookmarkStart w:id="334" w:name="_Toc496627852"/>
      <w:bookmarkStart w:id="335" w:name="_Toc496628237"/>
      <w:bookmarkStart w:id="336" w:name="_Toc496631826"/>
      <w:bookmarkStart w:id="337" w:name="_Toc496687770"/>
      <w:bookmarkStart w:id="338" w:name="_Toc496692048"/>
      <w:bookmarkStart w:id="339" w:name="_Toc496785405"/>
      <w:bookmarkStart w:id="340" w:name="_Toc496786613"/>
      <w:bookmarkStart w:id="341" w:name="_Toc496787343"/>
      <w:bookmarkStart w:id="342" w:name="_Toc496868850"/>
      <w:bookmarkStart w:id="343" w:name="_Toc180742485"/>
      <w:bookmarkStart w:id="344" w:name="_Toc181897380"/>
      <w:bookmarkStart w:id="345" w:name="_Toc182314260"/>
      <w:bookmarkStart w:id="346" w:name="_Toc182315764"/>
      <w:bookmarkStart w:id="347" w:name="_Toc182319068"/>
      <w:bookmarkStart w:id="348" w:name="_Toc182323213"/>
      <w:bookmarkStart w:id="349" w:name="_Toc182324498"/>
      <w:bookmarkStart w:id="350" w:name="_Toc182325736"/>
      <w:bookmarkStart w:id="351" w:name="_Toc182326419"/>
      <w:bookmarkStart w:id="352" w:name="_Toc182327327"/>
      <w:bookmarkStart w:id="353" w:name="_Toc182327785"/>
      <w:bookmarkStart w:id="354" w:name="_Toc183737463"/>
      <w:bookmarkStart w:id="355" w:name="_Toc183737962"/>
      <w:bookmarkStart w:id="356" w:name="_Toc183738206"/>
      <w:bookmarkStart w:id="357" w:name="_Toc183738448"/>
      <w:bookmarkStart w:id="358" w:name="_Toc184804751"/>
      <w:bookmarkStart w:id="359" w:name="_Toc184806298"/>
      <w:bookmarkStart w:id="360" w:name="_Toc18480819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7929ACE1" w14:textId="678FFADB" w:rsidR="005A6864" w:rsidRPr="00055845" w:rsidRDefault="00614555" w:rsidP="00826E82">
      <w:pPr>
        <w:pStyle w:val="Heading2"/>
        <w:spacing w:before="120"/>
        <w:ind w:left="578" w:hanging="578"/>
        <w:rPr>
          <w:rStyle w:val="Heading2Char"/>
          <w:b/>
          <w:bCs/>
          <w:lang w:val="en-GB"/>
        </w:rPr>
      </w:pPr>
      <w:bookmarkStart w:id="361" w:name="_Toc496101044"/>
      <w:bookmarkStart w:id="362" w:name="_Toc182327786"/>
      <w:bookmarkStart w:id="363" w:name="_Toc184808199"/>
      <w:r w:rsidRPr="00622F40">
        <w:rPr>
          <w:rStyle w:val="Heading2Char"/>
          <w:b/>
          <w:bCs/>
          <w:lang w:val="en-GB"/>
        </w:rPr>
        <w:t>Overview of sector</w:t>
      </w:r>
      <w:bookmarkEnd w:id="361"/>
      <w:bookmarkEnd w:id="362"/>
      <w:bookmarkEnd w:id="363"/>
      <w:r w:rsidRPr="00622F40">
        <w:rPr>
          <w:rStyle w:val="Heading2Char"/>
          <w:b/>
          <w:bCs/>
          <w:lang w:val="en-GB"/>
        </w:rPr>
        <w:t xml:space="preserve"> </w:t>
      </w:r>
    </w:p>
    <w:p w14:paraId="4EDA1DC3" w14:textId="165B219F" w:rsidR="00FA48AA" w:rsidRPr="002462F0" w:rsidRDefault="00FA48AA" w:rsidP="002462F0">
      <w:pPr>
        <w:pStyle w:val="BodyText"/>
        <w:rPr>
          <w:lang w:eastAsia="fr-FR"/>
        </w:rPr>
      </w:pPr>
      <w:r w:rsidRPr="002462F0">
        <w:rPr>
          <w:lang w:eastAsia="fr-FR"/>
        </w:rPr>
        <w:t xml:space="preserve">This </w:t>
      </w:r>
      <w:r w:rsidR="000F6001">
        <w:rPr>
          <w:lang w:eastAsia="fr-FR"/>
        </w:rPr>
        <w:t>CRT</w:t>
      </w:r>
      <w:r w:rsidRPr="002462F0">
        <w:rPr>
          <w:lang w:eastAsia="fr-FR"/>
        </w:rPr>
        <w:t xml:space="preserve"> 2 category covers </w:t>
      </w:r>
      <w:r w:rsidR="002618F0">
        <w:rPr>
          <w:lang w:eastAsia="fr-FR"/>
        </w:rPr>
        <w:t xml:space="preserve">all the industrial </w:t>
      </w:r>
      <w:r w:rsidR="00845F87">
        <w:rPr>
          <w:lang w:eastAsia="fr-FR"/>
        </w:rPr>
        <w:t>activities where the industrial process</w:t>
      </w:r>
      <w:r w:rsidR="002618F0">
        <w:rPr>
          <w:lang w:eastAsia="fr-FR"/>
        </w:rPr>
        <w:t xml:space="preserve"> </w:t>
      </w:r>
      <w:r w:rsidR="007B29DB" w:rsidRPr="007B29DB">
        <w:rPr>
          <w:lang w:eastAsia="fr-FR"/>
        </w:rPr>
        <w:t>can imply GHG emissions</w:t>
      </w:r>
      <w:r w:rsidR="007B29DB">
        <w:rPr>
          <w:lang w:eastAsia="fr-FR"/>
        </w:rPr>
        <w:t xml:space="preserve"> </w:t>
      </w:r>
      <w:r w:rsidR="00B47134">
        <w:rPr>
          <w:lang w:eastAsia="fr-FR"/>
        </w:rPr>
        <w:t>which do not result from the combustion of fuels</w:t>
      </w:r>
      <w:r w:rsidR="007B29DB">
        <w:rPr>
          <w:lang w:eastAsia="fr-FR"/>
        </w:rPr>
        <w:t xml:space="preserve">, as well as </w:t>
      </w:r>
      <w:r w:rsidR="00845F87">
        <w:rPr>
          <w:lang w:eastAsia="fr-FR"/>
        </w:rPr>
        <w:t xml:space="preserve">the use of </w:t>
      </w:r>
      <w:r w:rsidR="007B29DB">
        <w:rPr>
          <w:lang w:eastAsia="fr-FR"/>
        </w:rPr>
        <w:t>industrial</w:t>
      </w:r>
      <w:r w:rsidR="00845F87">
        <w:rPr>
          <w:lang w:eastAsia="fr-FR"/>
        </w:rPr>
        <w:t xml:space="preserve"> </w:t>
      </w:r>
      <w:r w:rsidR="002618F0">
        <w:rPr>
          <w:lang w:eastAsia="fr-FR"/>
        </w:rPr>
        <w:t>product</w:t>
      </w:r>
      <w:r w:rsidR="007B29DB">
        <w:rPr>
          <w:lang w:eastAsia="fr-FR"/>
        </w:rPr>
        <w:t>s</w:t>
      </w:r>
      <w:r w:rsidR="00B47134">
        <w:rPr>
          <w:lang w:eastAsia="fr-FR"/>
        </w:rPr>
        <w:t xml:space="preserve"> such as lubricants, fluorinated gases and others</w:t>
      </w:r>
      <w:r w:rsidR="00845F87">
        <w:rPr>
          <w:lang w:eastAsia="fr-FR"/>
        </w:rPr>
        <w:t>.</w:t>
      </w:r>
      <w:r w:rsidR="00B47134">
        <w:rPr>
          <w:lang w:eastAsia="fr-FR"/>
        </w:rPr>
        <w:t xml:space="preserve"> In overall,</w:t>
      </w:r>
      <w:r w:rsidR="002618F0">
        <w:rPr>
          <w:lang w:eastAsia="fr-FR"/>
        </w:rPr>
        <w:t xml:space="preserve"> </w:t>
      </w:r>
      <w:r w:rsidR="00B47134">
        <w:rPr>
          <w:lang w:eastAsia="fr-FR"/>
        </w:rPr>
        <w:t xml:space="preserve">in the Republic of Serbia, </w:t>
      </w:r>
      <w:r w:rsidRPr="002462F0">
        <w:rPr>
          <w:lang w:eastAsia="fr-FR"/>
        </w:rPr>
        <w:t>the following sectors</w:t>
      </w:r>
      <w:r w:rsidR="00B47134">
        <w:rPr>
          <w:lang w:eastAsia="fr-FR"/>
        </w:rPr>
        <w:t xml:space="preserve"> are covered</w:t>
      </w:r>
      <w:r w:rsidRPr="002462F0">
        <w:rPr>
          <w:lang w:eastAsia="fr-FR"/>
        </w:rPr>
        <w:t>:</w:t>
      </w:r>
    </w:p>
    <w:p w14:paraId="20B49C95" w14:textId="67957268" w:rsidR="00FA48AA" w:rsidRPr="002462F0" w:rsidRDefault="00FA48AA" w:rsidP="00AB11C1">
      <w:pPr>
        <w:pStyle w:val="BodyText"/>
        <w:numPr>
          <w:ilvl w:val="0"/>
          <w:numId w:val="31"/>
        </w:numPr>
        <w:rPr>
          <w:lang w:eastAsia="fr-FR"/>
        </w:rPr>
      </w:pPr>
      <w:r w:rsidRPr="002462F0">
        <w:rPr>
          <w:lang w:eastAsia="fr-FR"/>
        </w:rPr>
        <w:t>Mineral industry (2A),</w:t>
      </w:r>
      <w:r w:rsidR="00111C31">
        <w:rPr>
          <w:lang w:eastAsia="fr-FR"/>
        </w:rPr>
        <w:t xml:space="preserve"> including cement, lime and glass productions, as well as other use of carbonates,</w:t>
      </w:r>
    </w:p>
    <w:p w14:paraId="4BE7B255" w14:textId="183221F2" w:rsidR="00FA48AA" w:rsidRPr="002462F0" w:rsidRDefault="00FA48AA" w:rsidP="00AB11C1">
      <w:pPr>
        <w:pStyle w:val="BodyText"/>
        <w:numPr>
          <w:ilvl w:val="0"/>
          <w:numId w:val="31"/>
        </w:numPr>
        <w:rPr>
          <w:lang w:eastAsia="fr-FR"/>
        </w:rPr>
      </w:pPr>
      <w:r w:rsidRPr="002462F0">
        <w:rPr>
          <w:lang w:eastAsia="fr-FR"/>
        </w:rPr>
        <w:t>Chemical industry (2B),</w:t>
      </w:r>
      <w:r w:rsidR="00111C31">
        <w:rPr>
          <w:lang w:eastAsia="fr-FR"/>
        </w:rPr>
        <w:t xml:space="preserve"> </w:t>
      </w:r>
      <w:r w:rsidR="006168D2">
        <w:rPr>
          <w:lang w:eastAsia="fr-FR"/>
        </w:rPr>
        <w:t>about</w:t>
      </w:r>
      <w:r w:rsidR="00111C31">
        <w:rPr>
          <w:lang w:eastAsia="fr-FR"/>
        </w:rPr>
        <w:t xml:space="preserve"> </w:t>
      </w:r>
      <w:r w:rsidR="003A4338">
        <w:rPr>
          <w:lang w:eastAsia="fr-FR"/>
        </w:rPr>
        <w:t>ammonia, nitric acid, petrochemical and other chemical productions,</w:t>
      </w:r>
    </w:p>
    <w:p w14:paraId="12B1352F" w14:textId="5360427E" w:rsidR="00FA48AA" w:rsidRPr="002462F0" w:rsidRDefault="00FA48AA" w:rsidP="00AB11C1">
      <w:pPr>
        <w:pStyle w:val="BodyText"/>
        <w:numPr>
          <w:ilvl w:val="0"/>
          <w:numId w:val="31"/>
        </w:numPr>
        <w:rPr>
          <w:lang w:eastAsia="fr-FR"/>
        </w:rPr>
      </w:pPr>
      <w:r w:rsidRPr="002462F0">
        <w:rPr>
          <w:lang w:eastAsia="fr-FR"/>
        </w:rPr>
        <w:t>Metal industry (2C),</w:t>
      </w:r>
      <w:r w:rsidR="003A4338">
        <w:rPr>
          <w:lang w:eastAsia="fr-FR"/>
        </w:rPr>
        <w:t xml:space="preserve"> including iron and steel, lead, magnesium and zinc productions,</w:t>
      </w:r>
    </w:p>
    <w:p w14:paraId="3351F86F" w14:textId="21C20A24" w:rsidR="00FA48AA" w:rsidRPr="002462F0" w:rsidRDefault="00FA48AA" w:rsidP="00AB11C1">
      <w:pPr>
        <w:pStyle w:val="BodyText"/>
        <w:numPr>
          <w:ilvl w:val="0"/>
          <w:numId w:val="31"/>
        </w:numPr>
        <w:rPr>
          <w:lang w:eastAsia="fr-FR"/>
        </w:rPr>
      </w:pPr>
      <w:r w:rsidRPr="002462F0">
        <w:rPr>
          <w:lang w:eastAsia="fr-FR"/>
        </w:rPr>
        <w:t>Non-energy products from fuels and solvent use (2D),</w:t>
      </w:r>
      <w:r w:rsidR="00B35130">
        <w:rPr>
          <w:lang w:eastAsia="fr-FR"/>
        </w:rPr>
        <w:t xml:space="preserve"> related to lubricant, paraffin and solvent uses,</w:t>
      </w:r>
    </w:p>
    <w:p w14:paraId="7E39B965" w14:textId="77777777" w:rsidR="00DC7E6D" w:rsidRDefault="00FA48AA" w:rsidP="00AB11C1">
      <w:pPr>
        <w:pStyle w:val="BodyText"/>
        <w:numPr>
          <w:ilvl w:val="0"/>
          <w:numId w:val="31"/>
        </w:numPr>
        <w:rPr>
          <w:lang w:eastAsia="fr-FR"/>
        </w:rPr>
      </w:pPr>
      <w:r w:rsidRPr="002462F0">
        <w:rPr>
          <w:lang w:eastAsia="fr-FR"/>
        </w:rPr>
        <w:t>Product uses as substitutes for ODS (2F)</w:t>
      </w:r>
      <w:r w:rsidR="00DC7E6D">
        <w:rPr>
          <w:lang w:eastAsia="fr-FR"/>
        </w:rPr>
        <w:t>,</w:t>
      </w:r>
    </w:p>
    <w:p w14:paraId="6AB4822E" w14:textId="41259DA3" w:rsidR="00FA48AA" w:rsidRPr="002462F0" w:rsidRDefault="001C65CF" w:rsidP="00AB11C1">
      <w:pPr>
        <w:pStyle w:val="BodyText"/>
        <w:numPr>
          <w:ilvl w:val="0"/>
          <w:numId w:val="31"/>
        </w:numPr>
        <w:rPr>
          <w:lang w:eastAsia="fr-FR"/>
        </w:rPr>
      </w:pPr>
      <w:r w:rsidRPr="001C65CF">
        <w:rPr>
          <w:lang w:eastAsia="fr-FR"/>
        </w:rPr>
        <w:t>Other Product Manufacture and Use</w:t>
      </w:r>
      <w:r>
        <w:rPr>
          <w:lang w:eastAsia="fr-FR"/>
        </w:rPr>
        <w:t xml:space="preserve"> (2G)</w:t>
      </w:r>
    </w:p>
    <w:p w14:paraId="29F2FFF8" w14:textId="77777777" w:rsidR="00FA48AA" w:rsidRDefault="00FA48AA" w:rsidP="002462F0">
      <w:pPr>
        <w:pStyle w:val="BodyText"/>
        <w:rPr>
          <w:lang w:eastAsia="fr-FR"/>
        </w:rPr>
      </w:pPr>
      <w:r w:rsidRPr="002462F0">
        <w:rPr>
          <w:lang w:eastAsia="fr-FR"/>
        </w:rPr>
        <w:t>The Electronics industry (2E) does not occur in Serbia.</w:t>
      </w:r>
    </w:p>
    <w:p w14:paraId="0D99662A" w14:textId="18506E63" w:rsidR="00447E56" w:rsidRDefault="00CB0A1D" w:rsidP="002462F0">
      <w:pPr>
        <w:pStyle w:val="BodyText"/>
        <w:rPr>
          <w:lang w:eastAsia="fr-FR"/>
        </w:rPr>
      </w:pPr>
      <w:r>
        <w:rPr>
          <w:lang w:eastAsia="fr-FR"/>
        </w:rPr>
        <w:t xml:space="preserve">In 1990, </w:t>
      </w:r>
      <w:r w:rsidR="00674DAF">
        <w:rPr>
          <w:lang w:eastAsia="fr-FR"/>
        </w:rPr>
        <w:t xml:space="preserve">excluding the LULUCF contribution, </w:t>
      </w:r>
      <w:r>
        <w:rPr>
          <w:lang w:eastAsia="fr-FR"/>
        </w:rPr>
        <w:t xml:space="preserve">the </w:t>
      </w:r>
      <w:r w:rsidR="00F835F0">
        <w:rPr>
          <w:lang w:eastAsia="fr-FR"/>
        </w:rPr>
        <w:t xml:space="preserve">CRT 2 sector </w:t>
      </w:r>
      <w:r>
        <w:rPr>
          <w:lang w:eastAsia="fr-FR"/>
        </w:rPr>
        <w:t xml:space="preserve">contributed </w:t>
      </w:r>
      <w:r w:rsidR="00674DAF">
        <w:rPr>
          <w:lang w:eastAsia="fr-FR"/>
        </w:rPr>
        <w:t>to</w:t>
      </w:r>
      <w:r w:rsidR="00E663C2">
        <w:rPr>
          <w:lang w:eastAsia="fr-FR"/>
        </w:rPr>
        <w:t xml:space="preserve"> the national total emissions by</w:t>
      </w:r>
      <w:r w:rsidR="00674DAF">
        <w:rPr>
          <w:lang w:eastAsia="fr-FR"/>
        </w:rPr>
        <w:t xml:space="preserve">: </w:t>
      </w:r>
      <w:r w:rsidR="00E663C2">
        <w:rPr>
          <w:lang w:eastAsia="fr-FR"/>
        </w:rPr>
        <w:t>7.1% for CO</w:t>
      </w:r>
      <w:r w:rsidR="00E663C2" w:rsidRPr="00622F40">
        <w:rPr>
          <w:vertAlign w:val="subscript"/>
          <w:lang w:eastAsia="fr-FR"/>
        </w:rPr>
        <w:t>2</w:t>
      </w:r>
      <w:r w:rsidR="00E663C2">
        <w:rPr>
          <w:lang w:eastAsia="fr-FR"/>
        </w:rPr>
        <w:t>, 0.2% for CH</w:t>
      </w:r>
      <w:r w:rsidR="00E663C2" w:rsidRPr="00622F40">
        <w:rPr>
          <w:vertAlign w:val="subscript"/>
          <w:lang w:eastAsia="fr-FR"/>
        </w:rPr>
        <w:t>4</w:t>
      </w:r>
      <w:r w:rsidR="00E663C2">
        <w:rPr>
          <w:lang w:eastAsia="fr-FR"/>
        </w:rPr>
        <w:t xml:space="preserve">, </w:t>
      </w:r>
      <w:r w:rsidR="006870BA">
        <w:rPr>
          <w:lang w:eastAsia="fr-FR"/>
        </w:rPr>
        <w:t>22.6% for N</w:t>
      </w:r>
      <w:r w:rsidR="006870BA" w:rsidRPr="00622F40">
        <w:rPr>
          <w:vertAlign w:val="subscript"/>
          <w:lang w:eastAsia="fr-FR"/>
        </w:rPr>
        <w:t>2</w:t>
      </w:r>
      <w:r w:rsidR="006870BA">
        <w:rPr>
          <w:lang w:eastAsia="fr-FR"/>
        </w:rPr>
        <w:t>O, 100% for SF</w:t>
      </w:r>
      <w:r w:rsidR="006870BA" w:rsidRPr="00622F40">
        <w:rPr>
          <w:vertAlign w:val="subscript"/>
          <w:lang w:eastAsia="fr-FR"/>
        </w:rPr>
        <w:t>6</w:t>
      </w:r>
      <w:r w:rsidR="006870BA">
        <w:rPr>
          <w:lang w:eastAsia="fr-FR"/>
        </w:rPr>
        <w:t xml:space="preserve">, </w:t>
      </w:r>
      <w:r w:rsidR="00526E19">
        <w:rPr>
          <w:lang w:eastAsia="fr-FR"/>
        </w:rPr>
        <w:t>and hence in total to 6.7% in terms of GHG emissions.</w:t>
      </w:r>
      <w:r w:rsidR="00BF19E2">
        <w:rPr>
          <w:lang w:eastAsia="fr-FR"/>
        </w:rPr>
        <w:t xml:space="preserve"> </w:t>
      </w:r>
      <w:r w:rsidR="00DD702F">
        <w:rPr>
          <w:lang w:eastAsia="fr-FR"/>
        </w:rPr>
        <w:t>I</w:t>
      </w:r>
      <w:r w:rsidR="00447E56">
        <w:rPr>
          <w:lang w:eastAsia="fr-FR"/>
        </w:rPr>
        <w:t xml:space="preserve">n 2022, </w:t>
      </w:r>
      <w:r w:rsidR="0056308A">
        <w:rPr>
          <w:lang w:eastAsia="fr-FR"/>
        </w:rPr>
        <w:t xml:space="preserve">the same contributions evolved as follows: </w:t>
      </w:r>
      <w:r w:rsidR="00992DC9">
        <w:rPr>
          <w:lang w:eastAsia="fr-FR"/>
        </w:rPr>
        <w:t>9.6</w:t>
      </w:r>
      <w:r w:rsidR="0056308A">
        <w:rPr>
          <w:lang w:eastAsia="fr-FR"/>
        </w:rPr>
        <w:t>% for CO</w:t>
      </w:r>
      <w:r w:rsidR="0056308A" w:rsidRPr="006374AD">
        <w:rPr>
          <w:vertAlign w:val="subscript"/>
          <w:lang w:eastAsia="fr-FR"/>
        </w:rPr>
        <w:t>2</w:t>
      </w:r>
      <w:r w:rsidR="0056308A">
        <w:rPr>
          <w:lang w:eastAsia="fr-FR"/>
        </w:rPr>
        <w:t>, 0.</w:t>
      </w:r>
      <w:r w:rsidR="00992DC9">
        <w:rPr>
          <w:lang w:eastAsia="fr-FR"/>
        </w:rPr>
        <w:t>1</w:t>
      </w:r>
      <w:r w:rsidR="0056308A">
        <w:rPr>
          <w:lang w:eastAsia="fr-FR"/>
        </w:rPr>
        <w:t>% for CH</w:t>
      </w:r>
      <w:r w:rsidR="0056308A" w:rsidRPr="006374AD">
        <w:rPr>
          <w:vertAlign w:val="subscript"/>
          <w:lang w:eastAsia="fr-FR"/>
        </w:rPr>
        <w:t>4</w:t>
      </w:r>
      <w:r w:rsidR="0056308A">
        <w:rPr>
          <w:lang w:eastAsia="fr-FR"/>
        </w:rPr>
        <w:t xml:space="preserve">, </w:t>
      </w:r>
      <w:r w:rsidR="00992DC9">
        <w:rPr>
          <w:lang w:eastAsia="fr-FR"/>
        </w:rPr>
        <w:t>0.0</w:t>
      </w:r>
      <w:r w:rsidR="0056308A">
        <w:rPr>
          <w:lang w:eastAsia="fr-FR"/>
        </w:rPr>
        <w:t>% for N</w:t>
      </w:r>
      <w:r w:rsidR="0056308A" w:rsidRPr="006374AD">
        <w:rPr>
          <w:vertAlign w:val="subscript"/>
          <w:lang w:eastAsia="fr-FR"/>
        </w:rPr>
        <w:t>2</w:t>
      </w:r>
      <w:r w:rsidR="0056308A">
        <w:rPr>
          <w:lang w:eastAsia="fr-FR"/>
        </w:rPr>
        <w:t>O, 100% for SF</w:t>
      </w:r>
      <w:r w:rsidR="0056308A" w:rsidRPr="006374AD">
        <w:rPr>
          <w:vertAlign w:val="subscript"/>
          <w:lang w:eastAsia="fr-FR"/>
        </w:rPr>
        <w:t>6</w:t>
      </w:r>
      <w:r w:rsidR="0056308A">
        <w:rPr>
          <w:lang w:eastAsia="fr-FR"/>
        </w:rPr>
        <w:t>, 100% for HFCs, and hence in total to 8.2% in terms of GHG emissions.</w:t>
      </w:r>
    </w:p>
    <w:p w14:paraId="548D7D70" w14:textId="5184E10D" w:rsidR="00057036" w:rsidRPr="002462F0" w:rsidRDefault="00B47134" w:rsidP="002462F0">
      <w:pPr>
        <w:pStyle w:val="BodyText"/>
        <w:rPr>
          <w:lang w:eastAsia="fr-FR"/>
        </w:rPr>
      </w:pPr>
      <w:r>
        <w:rPr>
          <w:lang w:eastAsia="fr-FR"/>
        </w:rPr>
        <w:t>The following graph presents the GHG emission evolution for the industrial process</w:t>
      </w:r>
      <w:r w:rsidR="00DD702F">
        <w:rPr>
          <w:lang w:eastAsia="fr-FR"/>
        </w:rPr>
        <w:t>es</w:t>
      </w:r>
      <w:r>
        <w:rPr>
          <w:lang w:eastAsia="fr-FR"/>
        </w:rPr>
        <w:t xml:space="preserve"> and product uses in the Republic of Serbia, for the period 1990-2022, per subcategory. </w:t>
      </w:r>
    </w:p>
    <w:p w14:paraId="7E87BFC1" w14:textId="7814C6C2" w:rsidR="00FA48AA" w:rsidRPr="002462F0" w:rsidRDefault="00B6165E" w:rsidP="005C0D76">
      <w:pPr>
        <w:autoSpaceDE w:val="0"/>
        <w:autoSpaceDN w:val="0"/>
        <w:adjustRightInd w:val="0"/>
        <w:spacing w:after="0" w:line="240" w:lineRule="auto"/>
        <w:jc w:val="left"/>
        <w:rPr>
          <w:b/>
          <w:sz w:val="24"/>
          <w:szCs w:val="24"/>
          <w:lang w:eastAsia="fr-FR"/>
        </w:rPr>
      </w:pPr>
      <w:r>
        <w:rPr>
          <w:b/>
          <w:noProof/>
          <w:sz w:val="24"/>
          <w:szCs w:val="24"/>
          <w:lang w:val="en-US"/>
        </w:rPr>
        <w:drawing>
          <wp:inline distT="0" distB="0" distL="0" distR="0" wp14:anchorId="63D7A8BB" wp14:editId="57A2C4BD">
            <wp:extent cx="5760000" cy="3481602"/>
            <wp:effectExtent l="0" t="0" r="0" b="5080"/>
            <wp:docPr id="425201788"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00" cy="3481602"/>
                    </a:xfrm>
                    <a:prstGeom prst="rect">
                      <a:avLst/>
                    </a:prstGeom>
                    <a:noFill/>
                  </pic:spPr>
                </pic:pic>
              </a:graphicData>
            </a:graphic>
          </wp:inline>
        </w:drawing>
      </w:r>
    </w:p>
    <w:p w14:paraId="2796EF0C" w14:textId="77777777" w:rsidR="005C0D76" w:rsidRPr="002462F0" w:rsidRDefault="005C0D76" w:rsidP="005C0D76">
      <w:pPr>
        <w:pStyle w:val="Caption"/>
        <w:spacing w:before="0" w:after="0"/>
        <w:jc w:val="both"/>
        <w:rPr>
          <w:sz w:val="22"/>
          <w:lang w:eastAsia="fr-FR"/>
        </w:rPr>
      </w:pPr>
      <w:bookmarkStart w:id="364" w:name="_Toc184808430"/>
      <w:r w:rsidRPr="002462F0">
        <w:t xml:space="preserve">Figure </w:t>
      </w:r>
      <w:r w:rsidRPr="002462F0">
        <w:fldChar w:fldCharType="begin"/>
      </w:r>
      <w:r w:rsidRPr="002462F0">
        <w:instrText xml:space="preserve"> SEQ Figure \* ARABIC </w:instrText>
      </w:r>
      <w:r w:rsidRPr="002462F0">
        <w:fldChar w:fldCharType="separate"/>
      </w:r>
      <w:r>
        <w:rPr>
          <w:noProof/>
        </w:rPr>
        <w:t>43</w:t>
      </w:r>
      <w:r w:rsidRPr="002462F0">
        <w:fldChar w:fldCharType="end"/>
      </w:r>
      <w:r w:rsidRPr="002462F0">
        <w:t>: GHG emissions trends for industrial processes and product use</w:t>
      </w:r>
      <w:r>
        <w:t xml:space="preserve"> (CRT 2), for the period 1990-2022, per subcategory</w:t>
      </w:r>
      <w:r w:rsidRPr="002462F0">
        <w:t xml:space="preserve"> (</w:t>
      </w:r>
      <w:r>
        <w:t xml:space="preserve">in </w:t>
      </w:r>
      <w:r w:rsidRPr="002462F0">
        <w:t>kt CO</w:t>
      </w:r>
      <w:r w:rsidRPr="002462F0">
        <w:rPr>
          <w:vertAlign w:val="subscript"/>
        </w:rPr>
        <w:t>2</w:t>
      </w:r>
      <w:r w:rsidRPr="002462F0">
        <w:t>e)</w:t>
      </w:r>
      <w:bookmarkEnd w:id="364"/>
    </w:p>
    <w:p w14:paraId="38D4426E" w14:textId="77777777" w:rsidR="00FA48AA" w:rsidRPr="002462F0" w:rsidRDefault="00FA48AA" w:rsidP="00FA48AA">
      <w:pPr>
        <w:autoSpaceDE w:val="0"/>
        <w:autoSpaceDN w:val="0"/>
        <w:adjustRightInd w:val="0"/>
        <w:spacing w:after="0" w:line="240" w:lineRule="auto"/>
        <w:jc w:val="left"/>
        <w:rPr>
          <w:b/>
          <w:sz w:val="24"/>
          <w:szCs w:val="24"/>
          <w:lang w:eastAsia="fr-FR"/>
        </w:rPr>
      </w:pPr>
    </w:p>
    <w:p w14:paraId="5E385B26" w14:textId="036C00E7" w:rsidR="00FA48AA" w:rsidRPr="002462F0" w:rsidRDefault="00FA48AA" w:rsidP="002462F0">
      <w:pPr>
        <w:pStyle w:val="BodyText"/>
        <w:rPr>
          <w:lang w:eastAsia="fr-FR"/>
        </w:rPr>
      </w:pPr>
      <w:r w:rsidRPr="002462F0">
        <w:rPr>
          <w:lang w:eastAsia="fr-FR"/>
        </w:rPr>
        <w:t xml:space="preserve">GHG emissions fluctuate during </w:t>
      </w:r>
      <w:r w:rsidR="000F028E">
        <w:rPr>
          <w:lang w:eastAsia="fr-FR"/>
        </w:rPr>
        <w:t xml:space="preserve">the studied </w:t>
      </w:r>
      <w:r w:rsidRPr="002462F0">
        <w:rPr>
          <w:lang w:eastAsia="fr-FR"/>
        </w:rPr>
        <w:t>period</w:t>
      </w:r>
      <w:r w:rsidR="00C21690">
        <w:rPr>
          <w:lang w:eastAsia="fr-FR"/>
        </w:rPr>
        <w:t xml:space="preserve"> as follows</w:t>
      </w:r>
      <w:r w:rsidRPr="002462F0">
        <w:rPr>
          <w:lang w:eastAsia="fr-FR"/>
        </w:rPr>
        <w:t>:</w:t>
      </w:r>
    </w:p>
    <w:p w14:paraId="330D9733" w14:textId="5FD02196" w:rsidR="00FA48AA" w:rsidRPr="002462F0" w:rsidRDefault="00FA48AA" w:rsidP="00AB11C1">
      <w:pPr>
        <w:pStyle w:val="BodyText"/>
        <w:numPr>
          <w:ilvl w:val="0"/>
          <w:numId w:val="32"/>
        </w:numPr>
        <w:rPr>
          <w:lang w:eastAsia="fr-FR"/>
        </w:rPr>
      </w:pPr>
      <w:r w:rsidRPr="002462F0">
        <w:rPr>
          <w:lang w:eastAsia="fr-FR"/>
        </w:rPr>
        <w:lastRenderedPageBreak/>
        <w:t>CO</w:t>
      </w:r>
      <w:r w:rsidRPr="002462F0">
        <w:rPr>
          <w:vertAlign w:val="subscript"/>
          <w:lang w:eastAsia="fr-FR"/>
        </w:rPr>
        <w:t>2</w:t>
      </w:r>
      <w:r w:rsidRPr="002462F0">
        <w:rPr>
          <w:lang w:eastAsia="fr-FR"/>
        </w:rPr>
        <w:t xml:space="preserve"> emissions from industrial processes declined from 1990 to 199</w:t>
      </w:r>
      <w:r w:rsidR="005C0D76">
        <w:rPr>
          <w:lang w:eastAsia="fr-FR"/>
        </w:rPr>
        <w:t>4</w:t>
      </w:r>
      <w:r w:rsidRPr="002462F0">
        <w:rPr>
          <w:lang w:eastAsia="fr-FR"/>
        </w:rPr>
        <w:t xml:space="preserve"> due to the decrease in industrial activities caused by the </w:t>
      </w:r>
      <w:r w:rsidR="005C0D76">
        <w:rPr>
          <w:lang w:eastAsia="fr-FR"/>
        </w:rPr>
        <w:t>collapse of Yugoslavia and war in the Balkan</w:t>
      </w:r>
      <w:r w:rsidRPr="002462F0">
        <w:rPr>
          <w:lang w:eastAsia="fr-FR"/>
        </w:rPr>
        <w:t xml:space="preserve">, </w:t>
      </w:r>
    </w:p>
    <w:p w14:paraId="2B6E4390" w14:textId="39B1DE95" w:rsidR="00FA48AA" w:rsidRDefault="00FA48AA" w:rsidP="00AB11C1">
      <w:pPr>
        <w:pStyle w:val="BodyText"/>
        <w:numPr>
          <w:ilvl w:val="0"/>
          <w:numId w:val="32"/>
        </w:numPr>
        <w:rPr>
          <w:lang w:eastAsia="fr-FR"/>
        </w:rPr>
      </w:pPr>
      <w:r w:rsidRPr="002462F0">
        <w:rPr>
          <w:lang w:eastAsia="fr-FR"/>
        </w:rPr>
        <w:t>During the period 199</w:t>
      </w:r>
      <w:r w:rsidR="005C0D76">
        <w:rPr>
          <w:lang w:eastAsia="fr-FR"/>
        </w:rPr>
        <w:t>5</w:t>
      </w:r>
      <w:r w:rsidRPr="002462F0">
        <w:rPr>
          <w:lang w:eastAsia="fr-FR"/>
        </w:rPr>
        <w:t xml:space="preserve"> – </w:t>
      </w:r>
      <w:r w:rsidR="00C4725C">
        <w:rPr>
          <w:lang w:eastAsia="fr-FR"/>
        </w:rPr>
        <w:t xml:space="preserve">1998, the industrial </w:t>
      </w:r>
      <w:r w:rsidRPr="002462F0">
        <w:rPr>
          <w:lang w:eastAsia="fr-FR"/>
        </w:rPr>
        <w:t xml:space="preserve">emissions </w:t>
      </w:r>
      <w:r w:rsidR="00C4725C">
        <w:rPr>
          <w:lang w:eastAsia="fr-FR"/>
        </w:rPr>
        <w:t xml:space="preserve">progressively recovered and increased to emission levels </w:t>
      </w:r>
      <w:r w:rsidR="004E075C">
        <w:rPr>
          <w:lang w:eastAsia="fr-FR"/>
        </w:rPr>
        <w:t xml:space="preserve">almost to similar ones </w:t>
      </w:r>
      <w:r w:rsidR="00763E68">
        <w:rPr>
          <w:lang w:eastAsia="fr-FR"/>
        </w:rPr>
        <w:t>to 1990</w:t>
      </w:r>
      <w:r w:rsidR="00F60153">
        <w:rPr>
          <w:lang w:eastAsia="fr-FR"/>
        </w:rPr>
        <w:t xml:space="preserve">, before drastically plunging in 1999 during the NATO bombing, </w:t>
      </w:r>
    </w:p>
    <w:p w14:paraId="6E733CD1" w14:textId="27A8F936" w:rsidR="001819BA" w:rsidRPr="002462F0" w:rsidRDefault="00F60153" w:rsidP="00AB11C1">
      <w:pPr>
        <w:pStyle w:val="BodyText"/>
        <w:numPr>
          <w:ilvl w:val="0"/>
          <w:numId w:val="32"/>
        </w:numPr>
        <w:rPr>
          <w:lang w:eastAsia="fr-FR"/>
        </w:rPr>
      </w:pPr>
      <w:r>
        <w:rPr>
          <w:lang w:eastAsia="fr-FR"/>
        </w:rPr>
        <w:t>From 2000 to 200</w:t>
      </w:r>
      <w:r w:rsidR="00751370">
        <w:rPr>
          <w:lang w:eastAsia="fr-FR"/>
        </w:rPr>
        <w:t>2</w:t>
      </w:r>
      <w:r>
        <w:rPr>
          <w:lang w:eastAsia="fr-FR"/>
        </w:rPr>
        <w:t>, the</w:t>
      </w:r>
      <w:r w:rsidR="00751370">
        <w:rPr>
          <w:lang w:eastAsia="fr-FR"/>
        </w:rPr>
        <w:t xml:space="preserve"> GHG emissions related to the</w:t>
      </w:r>
      <w:r>
        <w:rPr>
          <w:lang w:eastAsia="fr-FR"/>
        </w:rPr>
        <w:t xml:space="preserve"> industrial activities recovered from the previous sudden decline</w:t>
      </w:r>
      <w:r w:rsidR="006D669A">
        <w:rPr>
          <w:lang w:eastAsia="fr-FR"/>
        </w:rPr>
        <w:t xml:space="preserve">, before stagnating between </w:t>
      </w:r>
      <w:r w:rsidR="00751370">
        <w:rPr>
          <w:lang w:eastAsia="fr-FR"/>
        </w:rPr>
        <w:t>2003</w:t>
      </w:r>
      <w:r w:rsidR="004C0DE2">
        <w:rPr>
          <w:lang w:eastAsia="fr-FR"/>
        </w:rPr>
        <w:t xml:space="preserve"> and 2008, except for </w:t>
      </w:r>
      <w:r w:rsidR="005A48E5">
        <w:rPr>
          <w:lang w:eastAsia="fr-FR"/>
        </w:rPr>
        <w:t xml:space="preserve">the metal </w:t>
      </w:r>
      <w:r w:rsidR="004C0DE2">
        <w:rPr>
          <w:lang w:eastAsia="fr-FR"/>
        </w:rPr>
        <w:t>industry which has known a</w:t>
      </w:r>
      <w:r w:rsidR="00587830">
        <w:rPr>
          <w:lang w:eastAsia="fr-FR"/>
        </w:rPr>
        <w:t xml:space="preserve"> significant increase of </w:t>
      </w:r>
      <w:r w:rsidR="00BA26FB">
        <w:rPr>
          <w:lang w:eastAsia="fr-FR"/>
        </w:rPr>
        <w:t xml:space="preserve">+211% in GHG emissions </w:t>
      </w:r>
      <w:r w:rsidR="00587830">
        <w:rPr>
          <w:lang w:eastAsia="fr-FR"/>
        </w:rPr>
        <w:t xml:space="preserve">between 2003 and 2006, </w:t>
      </w:r>
      <w:r w:rsidR="005A48E5">
        <w:rPr>
          <w:lang w:eastAsia="fr-FR"/>
        </w:rPr>
        <w:t>due to the increase in pig iron and steel productions, but also to the new development of sinter and pellet installation facilities,</w:t>
      </w:r>
    </w:p>
    <w:p w14:paraId="4022C274" w14:textId="5B986EDA" w:rsidR="00FA48AA" w:rsidRPr="002462F0" w:rsidRDefault="00FA48AA" w:rsidP="00AB11C1">
      <w:pPr>
        <w:pStyle w:val="BodyText"/>
        <w:numPr>
          <w:ilvl w:val="0"/>
          <w:numId w:val="32"/>
        </w:numPr>
      </w:pPr>
      <w:r w:rsidRPr="002462F0">
        <w:rPr>
          <w:lang w:eastAsia="fr-FR"/>
        </w:rPr>
        <w:t xml:space="preserve">In 2009, emissions sharply decreased due to diminution of economic activity caused by </w:t>
      </w:r>
      <w:r w:rsidR="005A48E5">
        <w:rPr>
          <w:lang w:eastAsia="fr-FR"/>
        </w:rPr>
        <w:t xml:space="preserve">the global </w:t>
      </w:r>
      <w:r w:rsidRPr="002462F0">
        <w:rPr>
          <w:lang w:eastAsia="fr-FR"/>
        </w:rPr>
        <w:t>economic crisis,</w:t>
      </w:r>
    </w:p>
    <w:p w14:paraId="5F7B38FD" w14:textId="43BB089D" w:rsidR="004471AA" w:rsidRDefault="00871E30" w:rsidP="004471AA">
      <w:pPr>
        <w:pStyle w:val="BodyText"/>
        <w:numPr>
          <w:ilvl w:val="0"/>
          <w:numId w:val="32"/>
        </w:numPr>
        <w:autoSpaceDE w:val="0"/>
        <w:autoSpaceDN w:val="0"/>
        <w:adjustRightInd w:val="0"/>
        <w:spacing w:after="0" w:line="240" w:lineRule="auto"/>
      </w:pPr>
      <w:r>
        <w:rPr>
          <w:lang w:eastAsia="fr-FR"/>
        </w:rPr>
        <w:t>From</w:t>
      </w:r>
      <w:r w:rsidRPr="002462F0">
        <w:rPr>
          <w:lang w:eastAsia="fr-FR"/>
        </w:rPr>
        <w:t xml:space="preserve"> </w:t>
      </w:r>
      <w:r w:rsidR="00FA48AA" w:rsidRPr="002462F0">
        <w:rPr>
          <w:lang w:eastAsia="fr-FR"/>
        </w:rPr>
        <w:t>2010</w:t>
      </w:r>
      <w:r w:rsidR="004E29C5">
        <w:rPr>
          <w:lang w:eastAsia="fr-FR"/>
        </w:rPr>
        <w:t xml:space="preserve"> to 201</w:t>
      </w:r>
      <w:r w:rsidR="00CA0EA4">
        <w:rPr>
          <w:lang w:eastAsia="fr-FR"/>
        </w:rPr>
        <w:t>1</w:t>
      </w:r>
      <w:r w:rsidR="00FA48AA" w:rsidRPr="002462F0">
        <w:rPr>
          <w:lang w:eastAsia="fr-FR"/>
        </w:rPr>
        <w:t>, the economy of the Republic of Serbia began to recover from the impact of the global crisis</w:t>
      </w:r>
      <w:r w:rsidR="004E29C5">
        <w:rPr>
          <w:lang w:eastAsia="fr-FR"/>
        </w:rPr>
        <w:t xml:space="preserve">, </w:t>
      </w:r>
      <w:r w:rsidR="00CA0EA4">
        <w:rPr>
          <w:lang w:eastAsia="fr-FR"/>
        </w:rPr>
        <w:t>before drastically reducing in 2012 mostly related to the iron</w:t>
      </w:r>
      <w:r w:rsidR="00A95C31">
        <w:rPr>
          <w:lang w:eastAsia="fr-FR"/>
        </w:rPr>
        <w:t xml:space="preserve"> and steel industry,</w:t>
      </w:r>
    </w:p>
    <w:p w14:paraId="2B8A3528" w14:textId="77777777" w:rsidR="004471AA" w:rsidRDefault="004471AA" w:rsidP="00622F40">
      <w:pPr>
        <w:pStyle w:val="BodyText"/>
        <w:autoSpaceDE w:val="0"/>
        <w:autoSpaceDN w:val="0"/>
        <w:adjustRightInd w:val="0"/>
        <w:spacing w:after="0" w:line="240" w:lineRule="auto"/>
        <w:ind w:left="720"/>
      </w:pPr>
    </w:p>
    <w:p w14:paraId="29F78EDB" w14:textId="1D25DD0D" w:rsidR="00A01B4E" w:rsidRDefault="002E2C21" w:rsidP="00A01B4E">
      <w:pPr>
        <w:pStyle w:val="BodyText"/>
        <w:numPr>
          <w:ilvl w:val="0"/>
          <w:numId w:val="32"/>
        </w:numPr>
        <w:autoSpaceDE w:val="0"/>
        <w:autoSpaceDN w:val="0"/>
        <w:adjustRightInd w:val="0"/>
        <w:spacing w:after="0" w:line="240" w:lineRule="auto"/>
      </w:pPr>
      <w:r>
        <w:rPr>
          <w:lang w:eastAsia="fr-FR"/>
        </w:rPr>
        <w:t xml:space="preserve">For the period </w:t>
      </w:r>
      <w:r w:rsidR="004471AA">
        <w:rPr>
          <w:lang w:eastAsia="fr-FR"/>
        </w:rPr>
        <w:t>201</w:t>
      </w:r>
      <w:r w:rsidR="00700F06">
        <w:rPr>
          <w:lang w:eastAsia="fr-FR"/>
        </w:rPr>
        <w:t xml:space="preserve">2-2018, the GHG emissions of the sector increased progressively and significantly, </w:t>
      </w:r>
      <w:r w:rsidR="00EB18BB">
        <w:rPr>
          <w:lang w:eastAsia="fr-FR"/>
        </w:rPr>
        <w:t xml:space="preserve">due to all principal activities but in particular the iron and steel production, </w:t>
      </w:r>
      <w:r w:rsidR="00A17117">
        <w:rPr>
          <w:lang w:eastAsia="fr-FR"/>
        </w:rPr>
        <w:t xml:space="preserve">before slightly decreasing in 2019 due to the </w:t>
      </w:r>
      <w:r w:rsidR="00F00C44">
        <w:rPr>
          <w:lang w:eastAsia="fr-FR"/>
        </w:rPr>
        <w:t xml:space="preserve">stop of the activities of ammonia </w:t>
      </w:r>
      <w:r w:rsidR="00A01B4E">
        <w:rPr>
          <w:lang w:eastAsia="fr-FR"/>
        </w:rPr>
        <w:t xml:space="preserve">(CRT 2B1) </w:t>
      </w:r>
      <w:r w:rsidR="00F00C44">
        <w:rPr>
          <w:lang w:eastAsia="fr-FR"/>
        </w:rPr>
        <w:t xml:space="preserve">and nitric acid </w:t>
      </w:r>
      <w:r w:rsidR="00A01B4E">
        <w:rPr>
          <w:lang w:eastAsia="fr-FR"/>
        </w:rPr>
        <w:t xml:space="preserve">(CRT 2B2) </w:t>
      </w:r>
      <w:r w:rsidR="00F00C44">
        <w:rPr>
          <w:lang w:eastAsia="fr-FR"/>
        </w:rPr>
        <w:t>production</w:t>
      </w:r>
      <w:r w:rsidR="00A01B4E">
        <w:rPr>
          <w:lang w:eastAsia="fr-FR"/>
        </w:rPr>
        <w:t>s,</w:t>
      </w:r>
      <w:r w:rsidR="00EB18BB">
        <w:rPr>
          <w:lang w:eastAsia="fr-FR"/>
        </w:rPr>
        <w:t xml:space="preserve"> </w:t>
      </w:r>
    </w:p>
    <w:p w14:paraId="36237071" w14:textId="77777777" w:rsidR="00A01B4E" w:rsidRDefault="00A01B4E" w:rsidP="00622F40">
      <w:pPr>
        <w:pStyle w:val="BodyText"/>
        <w:autoSpaceDE w:val="0"/>
        <w:autoSpaceDN w:val="0"/>
        <w:adjustRightInd w:val="0"/>
        <w:spacing w:after="0" w:line="240" w:lineRule="auto"/>
      </w:pPr>
    </w:p>
    <w:p w14:paraId="6086E450" w14:textId="5B610C17" w:rsidR="00867845" w:rsidRDefault="00A01B4E" w:rsidP="00F771E2">
      <w:pPr>
        <w:pStyle w:val="BodyText"/>
        <w:numPr>
          <w:ilvl w:val="0"/>
          <w:numId w:val="32"/>
        </w:numPr>
        <w:autoSpaceDE w:val="0"/>
        <w:autoSpaceDN w:val="0"/>
        <w:adjustRightInd w:val="0"/>
        <w:spacing w:after="0" w:line="240" w:lineRule="auto"/>
      </w:pPr>
      <w:r>
        <w:t xml:space="preserve">In 2020, </w:t>
      </w:r>
      <w:r w:rsidR="00867845">
        <w:t>due to the sanitary crisis related to C</w:t>
      </w:r>
      <w:r w:rsidR="005C0D76">
        <w:t>OVID</w:t>
      </w:r>
      <w:r w:rsidR="00867845">
        <w:t>, the industrial GHG emissions slightly reduced, in particular due to the iron and steel production,</w:t>
      </w:r>
      <w:r w:rsidR="00F771E2">
        <w:t xml:space="preserve"> before increasing back </w:t>
      </w:r>
      <w:r w:rsidR="000E54DE">
        <w:t xml:space="preserve">in </w:t>
      </w:r>
      <w:r w:rsidR="00074A2E">
        <w:t>2021 to pre-crisis levels.</w:t>
      </w:r>
    </w:p>
    <w:p w14:paraId="10D8948B" w14:textId="77777777" w:rsidR="00FA09D2" w:rsidRDefault="00FA09D2" w:rsidP="00622F40">
      <w:pPr>
        <w:pStyle w:val="ListParagraph"/>
      </w:pPr>
    </w:p>
    <w:p w14:paraId="7AF43D38" w14:textId="3DA32290" w:rsidR="000E54DE" w:rsidRDefault="00FA09D2" w:rsidP="000E54DE">
      <w:pPr>
        <w:pStyle w:val="BodyText"/>
        <w:autoSpaceDE w:val="0"/>
        <w:autoSpaceDN w:val="0"/>
        <w:adjustRightInd w:val="0"/>
        <w:spacing w:after="0" w:line="240" w:lineRule="auto"/>
      </w:pPr>
      <w:r>
        <w:t>In overall, the GHG emissions of the industrial processes and product uses have been reduced by 7%</w:t>
      </w:r>
      <w:r w:rsidR="00054958">
        <w:t xml:space="preserve"> between 1990 and 2022, but with different relative variations depending on the subsectors. </w:t>
      </w:r>
      <w:r w:rsidR="000E54DE">
        <w:t xml:space="preserve">Among the </w:t>
      </w:r>
      <w:r w:rsidR="00201D04">
        <w:t>principal</w:t>
      </w:r>
      <w:r w:rsidR="000E54DE">
        <w:t xml:space="preserve"> sector-specific changes which can be highlighted, there are:</w:t>
      </w:r>
    </w:p>
    <w:p w14:paraId="364AE8BA" w14:textId="77777777" w:rsidR="000E54DE" w:rsidRDefault="000E54DE" w:rsidP="000E54DE">
      <w:pPr>
        <w:pStyle w:val="BodyText"/>
        <w:autoSpaceDE w:val="0"/>
        <w:autoSpaceDN w:val="0"/>
        <w:adjustRightInd w:val="0"/>
        <w:spacing w:after="0" w:line="240" w:lineRule="auto"/>
      </w:pPr>
    </w:p>
    <w:p w14:paraId="0E012AB9" w14:textId="350B6FB0" w:rsidR="000E54DE" w:rsidRDefault="000E54DE" w:rsidP="000E54DE">
      <w:pPr>
        <w:pStyle w:val="BodyText"/>
        <w:numPr>
          <w:ilvl w:val="0"/>
          <w:numId w:val="72"/>
        </w:numPr>
        <w:autoSpaceDE w:val="0"/>
        <w:autoSpaceDN w:val="0"/>
        <w:adjustRightInd w:val="0"/>
        <w:spacing w:after="0" w:line="240" w:lineRule="auto"/>
      </w:pPr>
      <w:r>
        <w:t xml:space="preserve">The development of the </w:t>
      </w:r>
      <w:r w:rsidR="00074A2E">
        <w:t xml:space="preserve">use of fluorinated gases </w:t>
      </w:r>
      <w:r w:rsidR="00201D04">
        <w:t xml:space="preserve">(CRT 2F) </w:t>
      </w:r>
      <w:r w:rsidR="00074A2E">
        <w:t xml:space="preserve">which started in </w:t>
      </w:r>
      <w:r w:rsidR="00201D04">
        <w:t xml:space="preserve">1997, rather slow until </w:t>
      </w:r>
      <w:r w:rsidR="00E00207">
        <w:t>2007</w:t>
      </w:r>
      <w:r w:rsidR="00B364BA">
        <w:t>, before accelerating up to 2014</w:t>
      </w:r>
      <w:r w:rsidR="00E00207">
        <w:t xml:space="preserve"> (+</w:t>
      </w:r>
      <w:r w:rsidR="00B364BA">
        <w:t xml:space="preserve">542% from 2007 to 2014). Afterwards, </w:t>
      </w:r>
      <w:r w:rsidR="00A83D36">
        <w:t xml:space="preserve">a slow and progressive decline can be observed, mainly due to regulations </w:t>
      </w:r>
      <w:r w:rsidR="00A83C97">
        <w:t xml:space="preserve">promoting the use of less emitting substances, which enabled to reduce the GHG emissions of this subsector by </w:t>
      </w:r>
      <w:r w:rsidR="00255B26">
        <w:t>66% from 2014 to 2022</w:t>
      </w:r>
      <w:r w:rsidR="005C0D76">
        <w:t>;</w:t>
      </w:r>
    </w:p>
    <w:p w14:paraId="40CD970C" w14:textId="77777777" w:rsidR="00255B26" w:rsidRDefault="00255B26" w:rsidP="00622F40">
      <w:pPr>
        <w:pStyle w:val="BodyText"/>
        <w:autoSpaceDE w:val="0"/>
        <w:autoSpaceDN w:val="0"/>
        <w:adjustRightInd w:val="0"/>
        <w:spacing w:after="0" w:line="240" w:lineRule="auto"/>
        <w:ind w:left="720"/>
      </w:pPr>
    </w:p>
    <w:p w14:paraId="37E46DCB" w14:textId="3412515A" w:rsidR="001358C1" w:rsidRDefault="00255B26" w:rsidP="001358C1">
      <w:pPr>
        <w:pStyle w:val="BodyText"/>
        <w:numPr>
          <w:ilvl w:val="0"/>
          <w:numId w:val="72"/>
        </w:numPr>
        <w:autoSpaceDE w:val="0"/>
        <w:autoSpaceDN w:val="0"/>
        <w:adjustRightInd w:val="0"/>
        <w:spacing w:after="0" w:line="240" w:lineRule="auto"/>
      </w:pPr>
      <w:r>
        <w:t xml:space="preserve">The </w:t>
      </w:r>
      <w:r w:rsidR="00892EC2">
        <w:t xml:space="preserve">overall increasing development of iron and steel productions, and the </w:t>
      </w:r>
      <w:r w:rsidR="00245322">
        <w:t>launch</w:t>
      </w:r>
      <w:r w:rsidR="006E7311">
        <w:t xml:space="preserve"> of the production</w:t>
      </w:r>
      <w:r w:rsidR="00892EC2">
        <w:t xml:space="preserve"> of sinte</w:t>
      </w:r>
      <w:r w:rsidR="006E7311">
        <w:t>r</w:t>
      </w:r>
      <w:r w:rsidR="00245322">
        <w:t>s</w:t>
      </w:r>
      <w:r w:rsidR="00892EC2">
        <w:t xml:space="preserve"> and pellet</w:t>
      </w:r>
      <w:r w:rsidR="006E7311">
        <w:t>s</w:t>
      </w:r>
      <w:r w:rsidR="00245322">
        <w:t xml:space="preserve"> starting</w:t>
      </w:r>
      <w:r w:rsidR="00970EF6">
        <w:t xml:space="preserve"> </w:t>
      </w:r>
      <w:r w:rsidR="00245322">
        <w:t xml:space="preserve">from </w:t>
      </w:r>
      <w:r w:rsidR="00970EF6">
        <w:t>2003</w:t>
      </w:r>
      <w:r w:rsidR="005C0D76">
        <w:t>;</w:t>
      </w:r>
      <w:r w:rsidR="00970EF6">
        <w:t xml:space="preserve"> </w:t>
      </w:r>
    </w:p>
    <w:p w14:paraId="1D3E0270" w14:textId="77777777" w:rsidR="000D6DAE" w:rsidRDefault="000D6DAE" w:rsidP="00622F40">
      <w:pPr>
        <w:pStyle w:val="BodyText"/>
        <w:autoSpaceDE w:val="0"/>
        <w:autoSpaceDN w:val="0"/>
        <w:adjustRightInd w:val="0"/>
        <w:spacing w:after="0" w:line="240" w:lineRule="auto"/>
      </w:pPr>
    </w:p>
    <w:p w14:paraId="50192E94" w14:textId="32C7DA67" w:rsidR="005A730C" w:rsidRDefault="00603443" w:rsidP="007A62E8">
      <w:pPr>
        <w:pStyle w:val="BodyText"/>
        <w:numPr>
          <w:ilvl w:val="0"/>
          <w:numId w:val="72"/>
        </w:numPr>
        <w:autoSpaceDE w:val="0"/>
        <w:autoSpaceDN w:val="0"/>
        <w:adjustRightInd w:val="0"/>
        <w:spacing w:after="0" w:line="240" w:lineRule="auto"/>
      </w:pPr>
      <w:r>
        <w:t xml:space="preserve">The </w:t>
      </w:r>
      <w:r w:rsidR="006C6625">
        <w:t xml:space="preserve">stop of the production of some chemical products, in particular ammonia and nitric acid in 2019, but also, to a lesser extent, </w:t>
      </w:r>
      <w:r w:rsidR="005845C5">
        <w:t xml:space="preserve">of methanol </w:t>
      </w:r>
      <w:r w:rsidR="009B0936">
        <w:t xml:space="preserve">in 2012 </w:t>
      </w:r>
      <w:r w:rsidR="005845C5">
        <w:t>and v</w:t>
      </w:r>
      <w:r w:rsidR="005845C5" w:rsidRPr="005845C5">
        <w:t>inyl chloride monomer (VCM)</w:t>
      </w:r>
      <w:r w:rsidR="009B0936">
        <w:t xml:space="preserve"> in 2000</w:t>
      </w:r>
      <w:r w:rsidR="005845C5">
        <w:t xml:space="preserve">. This enabled the chemical </w:t>
      </w:r>
      <w:r w:rsidR="000D6BEA">
        <w:t xml:space="preserve">industry to reduce its GHG emissions by </w:t>
      </w:r>
      <w:r w:rsidR="009B0936">
        <w:t xml:space="preserve">78% between </w:t>
      </w:r>
      <w:r w:rsidR="00C05FC5">
        <w:t>1990 and 2022, and the overall industry sector to no longer be an emitter of N</w:t>
      </w:r>
      <w:r w:rsidR="00C05FC5" w:rsidRPr="005C0D76">
        <w:rPr>
          <w:vertAlign w:val="subscript"/>
        </w:rPr>
        <w:t>2</w:t>
      </w:r>
      <w:r w:rsidR="00C05FC5">
        <w:t>O whereas it contributed to 23% to the national totals in 1990</w:t>
      </w:r>
      <w:r w:rsidR="005C0D76">
        <w:t>;</w:t>
      </w:r>
    </w:p>
    <w:p w14:paraId="7BD47EB1" w14:textId="77777777" w:rsidR="007A62E8" w:rsidRDefault="007A62E8" w:rsidP="00622F40">
      <w:pPr>
        <w:pStyle w:val="BodyText"/>
        <w:autoSpaceDE w:val="0"/>
        <w:autoSpaceDN w:val="0"/>
        <w:adjustRightInd w:val="0"/>
        <w:spacing w:after="0" w:line="240" w:lineRule="auto"/>
      </w:pPr>
    </w:p>
    <w:p w14:paraId="3EAEB9C2" w14:textId="46E6AC7F" w:rsidR="005A730C" w:rsidRDefault="005A730C" w:rsidP="00622F40">
      <w:pPr>
        <w:pStyle w:val="BodyText"/>
        <w:numPr>
          <w:ilvl w:val="0"/>
          <w:numId w:val="72"/>
        </w:numPr>
        <w:autoSpaceDE w:val="0"/>
        <w:autoSpaceDN w:val="0"/>
        <w:adjustRightInd w:val="0"/>
        <w:spacing w:after="0" w:line="240" w:lineRule="auto"/>
      </w:pPr>
      <w:r>
        <w:t xml:space="preserve">The </w:t>
      </w:r>
      <w:r w:rsidR="00215BBE">
        <w:t>use of SF</w:t>
      </w:r>
      <w:r w:rsidR="00215BBE" w:rsidRPr="00622F40">
        <w:rPr>
          <w:vertAlign w:val="subscript"/>
        </w:rPr>
        <w:t>6</w:t>
      </w:r>
      <w:r w:rsidR="00215BBE">
        <w:t xml:space="preserve"> in electrical equipment starting in 2000, </w:t>
      </w:r>
      <w:r w:rsidR="00684D91">
        <w:t xml:space="preserve">which increased progressively until 2022, but remains marginal in the </w:t>
      </w:r>
      <w:r w:rsidR="007A62E8">
        <w:t>total GHG emissions of the CRT 2.</w:t>
      </w:r>
    </w:p>
    <w:p w14:paraId="41E655EF" w14:textId="77777777" w:rsidR="00AD42D2" w:rsidRDefault="00AD42D2">
      <w:pPr>
        <w:jc w:val="left"/>
        <w:rPr>
          <w:rStyle w:val="Heading2Char"/>
        </w:rPr>
      </w:pPr>
      <w:bookmarkStart w:id="365" w:name="_Toc496101045"/>
      <w:r>
        <w:rPr>
          <w:rStyle w:val="Heading2Char"/>
          <w:b w:val="0"/>
        </w:rPr>
        <w:br w:type="page"/>
      </w:r>
    </w:p>
    <w:p w14:paraId="35E13F6F" w14:textId="4B3EC3B2" w:rsidR="00614555" w:rsidRPr="00055845" w:rsidRDefault="00CF783C" w:rsidP="00ED687D">
      <w:pPr>
        <w:pStyle w:val="Heading2"/>
        <w:rPr>
          <w:rStyle w:val="Heading2Char"/>
          <w:b/>
          <w:lang w:val="en-GB"/>
        </w:rPr>
      </w:pPr>
      <w:bookmarkStart w:id="366" w:name="_Toc182327787"/>
      <w:bookmarkStart w:id="367" w:name="_Toc184808200"/>
      <w:r w:rsidRPr="00622F40">
        <w:rPr>
          <w:rStyle w:val="Heading2Char"/>
          <w:b/>
        </w:rPr>
        <w:lastRenderedPageBreak/>
        <w:t>Mineral</w:t>
      </w:r>
      <w:r w:rsidRPr="00622F40">
        <w:rPr>
          <w:rStyle w:val="Heading2Char"/>
          <w:b/>
          <w:lang w:val="en-GB"/>
        </w:rPr>
        <w:t xml:space="preserve"> </w:t>
      </w:r>
      <w:r w:rsidRPr="00622F40">
        <w:rPr>
          <w:rStyle w:val="Heading2Char"/>
          <w:b/>
        </w:rPr>
        <w:t>industry</w:t>
      </w:r>
      <w:r w:rsidRPr="00622F40">
        <w:rPr>
          <w:rStyle w:val="Heading2Char"/>
          <w:b/>
          <w:lang w:val="en-GB"/>
        </w:rPr>
        <w:t xml:space="preserve"> </w:t>
      </w:r>
      <w:r w:rsidR="00614555" w:rsidRPr="00622F40">
        <w:rPr>
          <w:rStyle w:val="Heading2Char"/>
          <w:b/>
          <w:lang w:val="en-GB"/>
        </w:rPr>
        <w:t>(</w:t>
      </w:r>
      <w:r w:rsidR="000F6001">
        <w:rPr>
          <w:rStyle w:val="Heading2Char"/>
          <w:b/>
          <w:lang w:val="en-GB"/>
        </w:rPr>
        <w:t>CRT</w:t>
      </w:r>
      <w:r w:rsidR="00614555" w:rsidRPr="00622F40">
        <w:rPr>
          <w:rStyle w:val="Heading2Char"/>
          <w:b/>
          <w:lang w:val="en-GB"/>
        </w:rPr>
        <w:t xml:space="preserve"> </w:t>
      </w:r>
      <w:r w:rsidRPr="00622F40">
        <w:rPr>
          <w:rStyle w:val="Heading2Char"/>
          <w:b/>
          <w:lang w:val="en-GB"/>
        </w:rPr>
        <w:t>2A</w:t>
      </w:r>
      <w:r w:rsidR="00614555" w:rsidRPr="00622F40">
        <w:rPr>
          <w:rStyle w:val="Heading2Char"/>
          <w:b/>
          <w:lang w:val="en-GB"/>
        </w:rPr>
        <w:t>)</w:t>
      </w:r>
      <w:bookmarkEnd w:id="365"/>
      <w:bookmarkEnd w:id="366"/>
      <w:bookmarkEnd w:id="367"/>
    </w:p>
    <w:p w14:paraId="1D4B4611" w14:textId="35CAB824" w:rsidR="00417B38" w:rsidRPr="002462F0" w:rsidRDefault="00417B38" w:rsidP="00417B38">
      <w:r w:rsidRPr="002462F0">
        <w:t xml:space="preserve">In </w:t>
      </w:r>
      <w:r w:rsidR="00853A26">
        <w:t xml:space="preserve">the Republic of </w:t>
      </w:r>
      <w:r w:rsidRPr="002462F0">
        <w:t>Serbia, the Mineral industry covers:</w:t>
      </w:r>
    </w:p>
    <w:p w14:paraId="6BCBAB40" w14:textId="77777777" w:rsidR="00417B38" w:rsidRPr="002462F0" w:rsidRDefault="00417B38" w:rsidP="00B1419E">
      <w:pPr>
        <w:pStyle w:val="ListParagraph"/>
        <w:numPr>
          <w:ilvl w:val="0"/>
          <w:numId w:val="13"/>
        </w:numPr>
      </w:pPr>
      <w:r w:rsidRPr="002462F0">
        <w:t>The production of cement (2A1),</w:t>
      </w:r>
    </w:p>
    <w:p w14:paraId="7F75B57A" w14:textId="77777777" w:rsidR="00417B38" w:rsidRPr="002462F0" w:rsidRDefault="00417B38" w:rsidP="00B1419E">
      <w:pPr>
        <w:pStyle w:val="ListParagraph"/>
        <w:numPr>
          <w:ilvl w:val="0"/>
          <w:numId w:val="13"/>
        </w:numPr>
      </w:pPr>
      <w:r w:rsidRPr="002462F0">
        <w:t>The production of lime (2A2),</w:t>
      </w:r>
    </w:p>
    <w:p w14:paraId="61BFF3A4" w14:textId="77777777" w:rsidR="00417B38" w:rsidRPr="002462F0" w:rsidRDefault="00417B38" w:rsidP="00B1419E">
      <w:pPr>
        <w:pStyle w:val="ListParagraph"/>
        <w:numPr>
          <w:ilvl w:val="0"/>
          <w:numId w:val="13"/>
        </w:numPr>
      </w:pPr>
      <w:r w:rsidRPr="002462F0">
        <w:t>The production of glass (2A3)</w:t>
      </w:r>
      <w:r w:rsidR="00B96A82" w:rsidRPr="002462F0">
        <w:t>,</w:t>
      </w:r>
    </w:p>
    <w:p w14:paraId="1BF2D131" w14:textId="77777777" w:rsidR="00B96A82" w:rsidRPr="002462F0" w:rsidRDefault="00B96A82" w:rsidP="00B1419E">
      <w:pPr>
        <w:pStyle w:val="ListParagraph"/>
        <w:numPr>
          <w:ilvl w:val="0"/>
          <w:numId w:val="13"/>
        </w:numPr>
      </w:pPr>
      <w:r w:rsidRPr="002462F0">
        <w:t>The other use of carbonates (2A4).</w:t>
      </w:r>
    </w:p>
    <w:p w14:paraId="15B1EDD7" w14:textId="4BE582DA" w:rsidR="00940663" w:rsidRDefault="00113FCF" w:rsidP="00113FCF">
      <w:pPr>
        <w:rPr>
          <w:lang w:eastAsia="fr-FR"/>
        </w:rPr>
      </w:pPr>
      <w:r w:rsidRPr="002462F0">
        <w:rPr>
          <w:lang w:eastAsia="fr-FR"/>
        </w:rPr>
        <w:t xml:space="preserve">In </w:t>
      </w:r>
      <w:r w:rsidR="00853A26">
        <w:rPr>
          <w:lang w:eastAsia="fr-FR"/>
        </w:rPr>
        <w:t xml:space="preserve">the Republic of </w:t>
      </w:r>
      <w:r w:rsidRPr="002462F0">
        <w:rPr>
          <w:lang w:eastAsia="fr-FR"/>
        </w:rPr>
        <w:t xml:space="preserve">Serbia, mineral productions used to be strong because of a significant production capacity and a significant consumption and demand in the country (primarily by the construction industry). After the decline </w:t>
      </w:r>
      <w:r w:rsidR="0011009C">
        <w:rPr>
          <w:lang w:eastAsia="fr-FR"/>
        </w:rPr>
        <w:t xml:space="preserve">in </w:t>
      </w:r>
      <w:r w:rsidRPr="002462F0">
        <w:rPr>
          <w:lang w:eastAsia="fr-FR"/>
        </w:rPr>
        <w:t>production</w:t>
      </w:r>
      <w:r w:rsidR="0011009C">
        <w:rPr>
          <w:lang w:eastAsia="fr-FR"/>
        </w:rPr>
        <w:t>s</w:t>
      </w:r>
      <w:r w:rsidRPr="002462F0">
        <w:rPr>
          <w:lang w:eastAsia="fr-FR"/>
        </w:rPr>
        <w:t xml:space="preserve"> in the nineties, </w:t>
      </w:r>
      <w:r w:rsidR="0011009C">
        <w:rPr>
          <w:lang w:eastAsia="fr-FR"/>
        </w:rPr>
        <w:t>following the hyperinflation</w:t>
      </w:r>
      <w:r w:rsidR="00F963D0">
        <w:rPr>
          <w:lang w:eastAsia="fr-FR"/>
        </w:rPr>
        <w:t xml:space="preserve"> and NATO bombing,</w:t>
      </w:r>
      <w:r w:rsidR="0011009C">
        <w:rPr>
          <w:lang w:eastAsia="fr-FR"/>
        </w:rPr>
        <w:t xml:space="preserve"> </w:t>
      </w:r>
      <w:r w:rsidRPr="002462F0">
        <w:rPr>
          <w:lang w:eastAsia="fr-FR"/>
        </w:rPr>
        <w:t>the mineral productions recovered since 200</w:t>
      </w:r>
      <w:r w:rsidR="0011009C">
        <w:rPr>
          <w:lang w:eastAsia="fr-FR"/>
        </w:rPr>
        <w:t>8</w:t>
      </w:r>
      <w:r w:rsidRPr="002462F0">
        <w:rPr>
          <w:lang w:eastAsia="fr-FR"/>
        </w:rPr>
        <w:t xml:space="preserve">. Then, the economic crisis in 2009 implied </w:t>
      </w:r>
      <w:r w:rsidR="00FF16D7">
        <w:rPr>
          <w:lang w:eastAsia="fr-FR"/>
        </w:rPr>
        <w:t xml:space="preserve">a </w:t>
      </w:r>
      <w:r w:rsidR="00F963D0">
        <w:rPr>
          <w:lang w:eastAsia="fr-FR"/>
        </w:rPr>
        <w:t xml:space="preserve">sudden </w:t>
      </w:r>
      <w:r w:rsidRPr="002462F0">
        <w:rPr>
          <w:lang w:eastAsia="fr-FR"/>
        </w:rPr>
        <w:t>production decrease. The mineral productions</w:t>
      </w:r>
      <w:r w:rsidR="00F963D0">
        <w:rPr>
          <w:lang w:eastAsia="fr-FR"/>
        </w:rPr>
        <w:t xml:space="preserve">, in particular the </w:t>
      </w:r>
      <w:r w:rsidR="005C0D76">
        <w:rPr>
          <w:lang w:eastAsia="fr-FR"/>
        </w:rPr>
        <w:t xml:space="preserve">production of </w:t>
      </w:r>
      <w:r w:rsidR="00F963D0">
        <w:rPr>
          <w:lang w:eastAsia="fr-FR"/>
        </w:rPr>
        <w:t>cement,</w:t>
      </w:r>
      <w:r w:rsidRPr="002462F0">
        <w:rPr>
          <w:lang w:eastAsia="fr-FR"/>
        </w:rPr>
        <w:t xml:space="preserve"> </w:t>
      </w:r>
      <w:r w:rsidR="00F963D0">
        <w:rPr>
          <w:lang w:eastAsia="fr-FR"/>
        </w:rPr>
        <w:t xml:space="preserve">kept decreasing until </w:t>
      </w:r>
      <w:r w:rsidRPr="002462F0">
        <w:rPr>
          <w:lang w:eastAsia="fr-FR"/>
        </w:rPr>
        <w:t>2013</w:t>
      </w:r>
      <w:r w:rsidR="006D22FD">
        <w:rPr>
          <w:lang w:eastAsia="fr-FR"/>
        </w:rPr>
        <w:t xml:space="preserve">, before </w:t>
      </w:r>
      <w:r w:rsidR="00E269D3">
        <w:rPr>
          <w:lang w:eastAsia="fr-FR"/>
        </w:rPr>
        <w:t xml:space="preserve">progressively increasing </w:t>
      </w:r>
      <w:r w:rsidR="00D5401F">
        <w:rPr>
          <w:lang w:eastAsia="fr-FR"/>
        </w:rPr>
        <w:t xml:space="preserve">since then, </w:t>
      </w:r>
      <w:r w:rsidR="00CF5D65">
        <w:rPr>
          <w:lang w:eastAsia="fr-FR"/>
        </w:rPr>
        <w:t>to emission levels lower than 2008 though</w:t>
      </w:r>
      <w:r w:rsidRPr="002462F0">
        <w:rPr>
          <w:lang w:eastAsia="fr-FR"/>
        </w:rPr>
        <w:t>.</w:t>
      </w:r>
      <w:r w:rsidR="00CF5D65">
        <w:rPr>
          <w:lang w:eastAsia="fr-FR"/>
        </w:rPr>
        <w:t xml:space="preserve"> The observed GHG emission reduction for the period 1990-2022 for the CRT 2A is of </w:t>
      </w:r>
      <w:r w:rsidR="00FF7093">
        <w:rPr>
          <w:lang w:eastAsia="fr-FR"/>
        </w:rPr>
        <w:t xml:space="preserve">24%. </w:t>
      </w:r>
    </w:p>
    <w:p w14:paraId="4D500CE2" w14:textId="35E18DA9" w:rsidR="00113FCF" w:rsidRDefault="00940663" w:rsidP="00113FCF">
      <w:pPr>
        <w:rPr>
          <w:lang w:eastAsia="fr-FR"/>
        </w:rPr>
      </w:pPr>
      <w:r>
        <w:rPr>
          <w:lang w:eastAsia="fr-FR"/>
        </w:rPr>
        <w:t>The GHG emissions from the mineral industries are almost only CO</w:t>
      </w:r>
      <w:r w:rsidRPr="00622F40">
        <w:rPr>
          <w:vertAlign w:val="subscript"/>
          <w:lang w:eastAsia="fr-FR"/>
        </w:rPr>
        <w:t>2</w:t>
      </w:r>
      <w:r w:rsidR="00B93369">
        <w:rPr>
          <w:lang w:eastAsia="fr-FR"/>
        </w:rPr>
        <w:t xml:space="preserve"> and are dominated by the subsector of the cement production (CRT 2A1), which represented 66% </w:t>
      </w:r>
      <w:r w:rsidR="00F60A9E">
        <w:rPr>
          <w:lang w:eastAsia="fr-FR"/>
        </w:rPr>
        <w:t xml:space="preserve">of the sector emissions </w:t>
      </w:r>
      <w:r w:rsidR="00B93369">
        <w:rPr>
          <w:lang w:eastAsia="fr-FR"/>
        </w:rPr>
        <w:t xml:space="preserve">in 1990 and contributes to 84% in 2022. </w:t>
      </w:r>
      <w:r w:rsidR="00F60A9E">
        <w:rPr>
          <w:lang w:eastAsia="fr-FR"/>
        </w:rPr>
        <w:t>The other dominant subsector is the lime production</w:t>
      </w:r>
      <w:r w:rsidR="0038592E">
        <w:rPr>
          <w:lang w:eastAsia="fr-FR"/>
        </w:rPr>
        <w:t xml:space="preserve"> (CRT 2A2)</w:t>
      </w:r>
      <w:r w:rsidR="00F60A9E">
        <w:rPr>
          <w:lang w:eastAsia="fr-FR"/>
        </w:rPr>
        <w:t xml:space="preserve">, which decreased significantly its contributions from 25% to 11% for the same period, and the </w:t>
      </w:r>
      <w:r w:rsidR="0038592E">
        <w:rPr>
          <w:lang w:eastAsia="fr-FR"/>
        </w:rPr>
        <w:t>ceramic industry (CRT 2A4a) with 5% in 2022.</w:t>
      </w:r>
    </w:p>
    <w:p w14:paraId="3906D735" w14:textId="0B19D815" w:rsidR="00A45D91" w:rsidRPr="002462F0" w:rsidRDefault="0011009C" w:rsidP="005C0D76">
      <w:pPr>
        <w:spacing w:after="0"/>
        <w:rPr>
          <w:lang w:eastAsia="fr-FR"/>
        </w:rPr>
      </w:pPr>
      <w:r>
        <w:rPr>
          <w:noProof/>
          <w:lang w:val="en-US"/>
        </w:rPr>
        <w:drawing>
          <wp:inline distT="0" distB="0" distL="0" distR="0" wp14:anchorId="4B9CD130" wp14:editId="05939DD0">
            <wp:extent cx="5651500" cy="3347085"/>
            <wp:effectExtent l="0" t="0" r="6350" b="5715"/>
            <wp:docPr id="44842344"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51500" cy="3347085"/>
                    </a:xfrm>
                    <a:prstGeom prst="rect">
                      <a:avLst/>
                    </a:prstGeom>
                    <a:noFill/>
                  </pic:spPr>
                </pic:pic>
              </a:graphicData>
            </a:graphic>
          </wp:inline>
        </w:drawing>
      </w:r>
    </w:p>
    <w:p w14:paraId="45934AA3" w14:textId="77777777" w:rsidR="005C0D76" w:rsidRPr="002462F0" w:rsidRDefault="005C0D76" w:rsidP="005C0D76">
      <w:pPr>
        <w:pStyle w:val="Caption"/>
        <w:spacing w:before="0" w:after="0"/>
        <w:jc w:val="both"/>
        <w:rPr>
          <w:sz w:val="22"/>
          <w:lang w:eastAsia="fr-FR"/>
        </w:rPr>
      </w:pPr>
      <w:bookmarkStart w:id="368" w:name="_Toc184808431"/>
      <w:r w:rsidRPr="002462F0">
        <w:t xml:space="preserve">Figure </w:t>
      </w:r>
      <w:r w:rsidRPr="002462F0">
        <w:fldChar w:fldCharType="begin"/>
      </w:r>
      <w:r w:rsidRPr="002462F0">
        <w:instrText xml:space="preserve"> SEQ Figure \* ARABIC </w:instrText>
      </w:r>
      <w:r w:rsidRPr="002462F0">
        <w:fldChar w:fldCharType="separate"/>
      </w:r>
      <w:r>
        <w:rPr>
          <w:noProof/>
        </w:rPr>
        <w:t>44</w:t>
      </w:r>
      <w:r w:rsidRPr="002462F0">
        <w:fldChar w:fldCharType="end"/>
      </w:r>
      <w:r w:rsidRPr="002462F0">
        <w:t xml:space="preserve">: GHG emissions trends for </w:t>
      </w:r>
      <w:r>
        <w:t>the mineral industries (CRT 2A), for the period 1990-2022, per subcategory</w:t>
      </w:r>
      <w:r w:rsidRPr="002462F0">
        <w:t xml:space="preserve"> (</w:t>
      </w:r>
      <w:r>
        <w:t xml:space="preserve">in </w:t>
      </w:r>
      <w:r w:rsidRPr="002462F0">
        <w:t>kt CO</w:t>
      </w:r>
      <w:r w:rsidRPr="002462F0">
        <w:rPr>
          <w:vertAlign w:val="subscript"/>
        </w:rPr>
        <w:t>2</w:t>
      </w:r>
      <w:r w:rsidRPr="002462F0">
        <w:t>e)</w:t>
      </w:r>
      <w:bookmarkEnd w:id="368"/>
    </w:p>
    <w:p w14:paraId="6D336D33" w14:textId="77777777" w:rsidR="00AD42D2" w:rsidRDefault="00AD42D2">
      <w:pPr>
        <w:jc w:val="left"/>
        <w:rPr>
          <w:b/>
          <w:bCs/>
          <w:color w:val="4F81BD" w:themeColor="accent1"/>
          <w:sz w:val="18"/>
          <w:szCs w:val="18"/>
        </w:rPr>
      </w:pPr>
      <w:r>
        <w:br w:type="page"/>
      </w:r>
    </w:p>
    <w:p w14:paraId="130B09E7" w14:textId="0873F8E9" w:rsidR="008E40CE" w:rsidRDefault="00D2388C" w:rsidP="005C0D76">
      <w:pPr>
        <w:spacing w:after="0"/>
        <w:jc w:val="center"/>
      </w:pPr>
      <w:r>
        <w:rPr>
          <w:noProof/>
          <w:lang w:val="en-US"/>
        </w:rPr>
        <w:lastRenderedPageBreak/>
        <w:drawing>
          <wp:inline distT="0" distB="0" distL="0" distR="0" wp14:anchorId="47A1FF7C" wp14:editId="47B27F1E">
            <wp:extent cx="2880000" cy="1896000"/>
            <wp:effectExtent l="0" t="0" r="0" b="9525"/>
            <wp:docPr id="1365126316"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80000" cy="1896000"/>
                    </a:xfrm>
                    <a:prstGeom prst="rect">
                      <a:avLst/>
                    </a:prstGeom>
                    <a:noFill/>
                  </pic:spPr>
                </pic:pic>
              </a:graphicData>
            </a:graphic>
          </wp:inline>
        </w:drawing>
      </w:r>
      <w:r>
        <w:rPr>
          <w:noProof/>
          <w:lang w:val="en-US"/>
        </w:rPr>
        <w:drawing>
          <wp:inline distT="0" distB="0" distL="0" distR="0" wp14:anchorId="7C47F8FF" wp14:editId="64BF4F89">
            <wp:extent cx="2880000" cy="1896000"/>
            <wp:effectExtent l="0" t="0" r="0" b="9525"/>
            <wp:docPr id="1999977302"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80000" cy="1896000"/>
                    </a:xfrm>
                    <a:prstGeom prst="rect">
                      <a:avLst/>
                    </a:prstGeom>
                    <a:noFill/>
                  </pic:spPr>
                </pic:pic>
              </a:graphicData>
            </a:graphic>
          </wp:inline>
        </w:drawing>
      </w:r>
    </w:p>
    <w:p w14:paraId="4543B081" w14:textId="77777777" w:rsidR="005C0D76" w:rsidRPr="002462F0" w:rsidRDefault="005C0D76" w:rsidP="005C0D76">
      <w:pPr>
        <w:pStyle w:val="Caption"/>
        <w:spacing w:before="0" w:after="0"/>
        <w:jc w:val="both"/>
        <w:rPr>
          <w:sz w:val="22"/>
          <w:lang w:eastAsia="fr-FR"/>
        </w:rPr>
      </w:pPr>
      <w:bookmarkStart w:id="369" w:name="_Toc184808432"/>
      <w:r w:rsidRPr="002462F0">
        <w:t xml:space="preserve">Figure </w:t>
      </w:r>
      <w:r w:rsidRPr="002462F0">
        <w:fldChar w:fldCharType="begin"/>
      </w:r>
      <w:r w:rsidRPr="002462F0">
        <w:instrText xml:space="preserve"> SEQ Figure \* ARABIC </w:instrText>
      </w:r>
      <w:r w:rsidRPr="002462F0">
        <w:fldChar w:fldCharType="separate"/>
      </w:r>
      <w:r>
        <w:rPr>
          <w:noProof/>
        </w:rPr>
        <w:t>45</w:t>
      </w:r>
      <w:r w:rsidRPr="002462F0">
        <w:fldChar w:fldCharType="end"/>
      </w:r>
      <w:r w:rsidRPr="002462F0">
        <w:t xml:space="preserve">: GHG emission </w:t>
      </w:r>
      <w:r>
        <w:t>distribution</w:t>
      </w:r>
      <w:r w:rsidRPr="002462F0">
        <w:t xml:space="preserve"> for </w:t>
      </w:r>
      <w:r>
        <w:t xml:space="preserve">mineral industries (CRT 2A), for the years 1990 and 2022, per subcategory </w:t>
      </w:r>
      <w:r w:rsidRPr="002462F0">
        <w:t>(</w:t>
      </w:r>
      <w:r>
        <w:t>in %</w:t>
      </w:r>
      <w:r w:rsidRPr="002462F0">
        <w:t>)</w:t>
      </w:r>
      <w:bookmarkEnd w:id="369"/>
    </w:p>
    <w:p w14:paraId="3F6FF62B" w14:textId="77777777" w:rsidR="005C0D76" w:rsidRPr="002462F0" w:rsidRDefault="005C0D76" w:rsidP="00E87D3C">
      <w:pPr>
        <w:jc w:val="center"/>
      </w:pPr>
    </w:p>
    <w:p w14:paraId="2987A78E" w14:textId="4F3C0A5F" w:rsidR="00E85E82" w:rsidRPr="002462F0" w:rsidRDefault="00E85E82" w:rsidP="00E85E82">
      <w:pPr>
        <w:jc w:val="left"/>
      </w:pPr>
      <w:r w:rsidRPr="002462F0">
        <w:t xml:space="preserve">The Mineral industry </w:t>
      </w:r>
      <w:r w:rsidR="00A32779" w:rsidRPr="002462F0">
        <w:t>(</w:t>
      </w:r>
      <w:r w:rsidR="000F6001">
        <w:t>CRT</w:t>
      </w:r>
      <w:r w:rsidR="00A32779" w:rsidRPr="002462F0">
        <w:t xml:space="preserve"> 2A) </w:t>
      </w:r>
      <w:r w:rsidRPr="002462F0">
        <w:t xml:space="preserve">contributes to </w:t>
      </w:r>
      <w:r w:rsidR="00432B29">
        <w:t>2</w:t>
      </w:r>
      <w:r w:rsidR="007C60FE">
        <w:t>.5</w:t>
      </w:r>
      <w:r w:rsidRPr="002462F0">
        <w:t>% of the total GHG emissions</w:t>
      </w:r>
      <w:r w:rsidR="00A32779" w:rsidRPr="002462F0">
        <w:t xml:space="preserve"> </w:t>
      </w:r>
      <w:r w:rsidR="007C60FE">
        <w:t>excluding</w:t>
      </w:r>
      <w:r w:rsidR="007C60FE" w:rsidRPr="002462F0">
        <w:t xml:space="preserve"> </w:t>
      </w:r>
      <w:r w:rsidR="00A32779" w:rsidRPr="002462F0">
        <w:t>LULUCF, and i</w:t>
      </w:r>
      <w:r w:rsidRPr="002462F0">
        <w:t xml:space="preserve">t contributes to </w:t>
      </w:r>
      <w:r w:rsidR="00682CEF">
        <w:t>30</w:t>
      </w:r>
      <w:r w:rsidR="00A32779" w:rsidRPr="002462F0">
        <w:t>% of the Industrial processes (</w:t>
      </w:r>
      <w:r w:rsidR="000F6001">
        <w:t>CRT</w:t>
      </w:r>
      <w:r w:rsidR="00A32779" w:rsidRPr="002462F0">
        <w:t xml:space="preserve"> 2) sector in </w:t>
      </w:r>
      <w:r w:rsidR="00650A66">
        <w:t xml:space="preserve">the Republic of </w:t>
      </w:r>
      <w:r w:rsidR="00A32779" w:rsidRPr="002462F0">
        <w:t xml:space="preserve">Serbia in </w:t>
      </w:r>
      <w:r w:rsidR="00650A66">
        <w:t>2022</w:t>
      </w:r>
      <w:r w:rsidR="00A32779" w:rsidRPr="002462F0">
        <w:t>.</w:t>
      </w:r>
    </w:p>
    <w:p w14:paraId="5433B4BF" w14:textId="4D66B73A" w:rsidR="00C8465F" w:rsidRPr="002462F0" w:rsidRDefault="00C8465F" w:rsidP="005A6864">
      <w:pPr>
        <w:pStyle w:val="Heading3"/>
        <w:rPr>
          <w:lang w:eastAsia="fr-FR"/>
        </w:rPr>
      </w:pPr>
      <w:bookmarkStart w:id="370" w:name="_Toc496101046"/>
      <w:bookmarkStart w:id="371" w:name="_Toc182327788"/>
      <w:bookmarkStart w:id="372" w:name="_Toc184808201"/>
      <w:r w:rsidRPr="002462F0">
        <w:rPr>
          <w:lang w:eastAsia="fr-FR"/>
        </w:rPr>
        <w:t>Cement production (</w:t>
      </w:r>
      <w:r w:rsidR="000F6001">
        <w:rPr>
          <w:lang w:eastAsia="fr-FR"/>
        </w:rPr>
        <w:t>CRT</w:t>
      </w:r>
      <w:r w:rsidRPr="002462F0">
        <w:rPr>
          <w:lang w:eastAsia="fr-FR"/>
        </w:rPr>
        <w:t xml:space="preserve"> 2A1)</w:t>
      </w:r>
      <w:bookmarkEnd w:id="370"/>
      <w:bookmarkEnd w:id="371"/>
      <w:bookmarkEnd w:id="372"/>
    </w:p>
    <w:p w14:paraId="5EA9EC23" w14:textId="77777777" w:rsidR="005A6864" w:rsidRPr="002462F0" w:rsidRDefault="00614555" w:rsidP="00C8465F">
      <w:pPr>
        <w:pStyle w:val="Titre4Bleu"/>
        <w:rPr>
          <w:sz w:val="20"/>
          <w:szCs w:val="20"/>
          <w:lang w:eastAsia="fr-FR"/>
        </w:rPr>
      </w:pPr>
      <w:bookmarkStart w:id="373" w:name="_Toc182327789"/>
      <w:r w:rsidRPr="002462F0">
        <w:rPr>
          <w:sz w:val="20"/>
          <w:szCs w:val="20"/>
          <w:lang w:eastAsia="fr-FR"/>
        </w:rPr>
        <w:t>Category description</w:t>
      </w:r>
      <w:bookmarkEnd w:id="373"/>
    </w:p>
    <w:p w14:paraId="37D4D202" w14:textId="77777777" w:rsidR="00B96A82" w:rsidRPr="002462F0" w:rsidRDefault="00B96A82" w:rsidP="00C8465F">
      <w:pPr>
        <w:autoSpaceDE w:val="0"/>
        <w:autoSpaceDN w:val="0"/>
        <w:adjustRightInd w:val="0"/>
        <w:spacing w:after="0" w:line="240" w:lineRule="auto"/>
        <w:rPr>
          <w:rFonts w:cs="MyriadPro-Regular"/>
          <w:color w:val="1D1D1B"/>
          <w:szCs w:val="20"/>
          <w:lang w:val="en-US"/>
        </w:rPr>
      </w:pPr>
      <w:r w:rsidRPr="002462F0">
        <w:rPr>
          <w:rFonts w:cs="MyriadPro-Regular"/>
          <w:color w:val="1D1D1B"/>
          <w:szCs w:val="20"/>
          <w:lang w:val="en-US"/>
        </w:rPr>
        <w:t>Only Portland cement is produced in Serbia. CO</w:t>
      </w:r>
      <w:r w:rsidRPr="002462F0">
        <w:rPr>
          <w:rFonts w:cs="MyriadPro-Regular"/>
          <w:color w:val="1D1D1B"/>
          <w:szCs w:val="20"/>
          <w:vertAlign w:val="subscript"/>
          <w:lang w:val="en-US"/>
        </w:rPr>
        <w:t>2</w:t>
      </w:r>
      <w:r w:rsidRPr="002462F0">
        <w:rPr>
          <w:rFonts w:cs="MyriadPro-Regular"/>
          <w:color w:val="1D1D1B"/>
          <w:szCs w:val="20"/>
          <w:lang w:val="en-US"/>
        </w:rPr>
        <w:t xml:space="preserve"> emissions are due to the use of carbonated raw materials in the </w:t>
      </w:r>
      <w:r w:rsidR="00BA2142" w:rsidRPr="002462F0">
        <w:rPr>
          <w:rFonts w:cs="MyriadPro-Regular"/>
          <w:color w:val="1D1D1B"/>
          <w:szCs w:val="20"/>
          <w:lang w:val="en-US"/>
        </w:rPr>
        <w:t xml:space="preserve">production </w:t>
      </w:r>
      <w:r w:rsidRPr="002462F0">
        <w:rPr>
          <w:rFonts w:cs="MyriadPro-Regular"/>
          <w:color w:val="1D1D1B"/>
          <w:szCs w:val="20"/>
          <w:lang w:val="en-US"/>
        </w:rPr>
        <w:t>process.</w:t>
      </w:r>
      <w:r w:rsidR="00261A90" w:rsidRPr="002462F0">
        <w:rPr>
          <w:rFonts w:cs="MyriadPro-Regular"/>
          <w:color w:val="1D1D1B"/>
          <w:szCs w:val="20"/>
          <w:lang w:val="en-US"/>
        </w:rPr>
        <w:t xml:space="preserve"> CH</w:t>
      </w:r>
      <w:r w:rsidR="00261A90" w:rsidRPr="002462F0">
        <w:rPr>
          <w:rFonts w:cs="MyriadPro-Regular"/>
          <w:color w:val="1D1D1B"/>
          <w:szCs w:val="20"/>
          <w:vertAlign w:val="subscript"/>
          <w:lang w:val="en-US"/>
        </w:rPr>
        <w:t>4</w:t>
      </w:r>
      <w:r w:rsidR="00261A90" w:rsidRPr="002462F0">
        <w:rPr>
          <w:rFonts w:cs="MyriadPro-Regular"/>
          <w:color w:val="1D1D1B"/>
          <w:szCs w:val="20"/>
          <w:lang w:val="en-US"/>
        </w:rPr>
        <w:t xml:space="preserve"> and N</w:t>
      </w:r>
      <w:r w:rsidR="00261A90" w:rsidRPr="002462F0">
        <w:rPr>
          <w:rFonts w:cs="MyriadPro-Regular"/>
          <w:color w:val="1D1D1B"/>
          <w:szCs w:val="20"/>
          <w:vertAlign w:val="subscript"/>
          <w:lang w:val="en-US"/>
        </w:rPr>
        <w:t>2</w:t>
      </w:r>
      <w:r w:rsidR="00261A90" w:rsidRPr="002462F0">
        <w:rPr>
          <w:rFonts w:cs="MyriadPro-Regular"/>
          <w:color w:val="1D1D1B"/>
          <w:szCs w:val="20"/>
          <w:lang w:val="en-US"/>
        </w:rPr>
        <w:t>O emissions are not expected for this process.</w:t>
      </w:r>
    </w:p>
    <w:p w14:paraId="7A8961A7" w14:textId="77777777" w:rsidR="00C64667" w:rsidRPr="002462F0" w:rsidRDefault="00C64667" w:rsidP="00C8465F">
      <w:pPr>
        <w:autoSpaceDE w:val="0"/>
        <w:autoSpaceDN w:val="0"/>
        <w:adjustRightInd w:val="0"/>
        <w:spacing w:after="0" w:line="240" w:lineRule="auto"/>
        <w:rPr>
          <w:rFonts w:cs="MyriadPro-Regular"/>
          <w:color w:val="1D1D1B"/>
          <w:szCs w:val="20"/>
          <w:lang w:val="en-US"/>
        </w:rPr>
      </w:pPr>
    </w:p>
    <w:p w14:paraId="03743616" w14:textId="6A362761" w:rsidR="00087C9C" w:rsidRPr="002462F0" w:rsidRDefault="0090797B" w:rsidP="00C8465F">
      <w:pPr>
        <w:autoSpaceDE w:val="0"/>
        <w:autoSpaceDN w:val="0"/>
        <w:adjustRightInd w:val="0"/>
        <w:spacing w:after="0" w:line="240" w:lineRule="auto"/>
        <w:rPr>
          <w:rFonts w:cs="MyriadPro-Regular"/>
          <w:color w:val="1D1D1B"/>
          <w:szCs w:val="20"/>
          <w:lang w:val="en-US"/>
        </w:rPr>
      </w:pPr>
      <w:r>
        <w:rPr>
          <w:rFonts w:cs="MyriadPro-Regular"/>
          <w:color w:val="1D1D1B"/>
          <w:szCs w:val="20"/>
          <w:lang w:val="en-US"/>
        </w:rPr>
        <w:t>In 20</w:t>
      </w:r>
      <w:r w:rsidR="00FA3998">
        <w:rPr>
          <w:rFonts w:cs="MyriadPro-Regular"/>
          <w:color w:val="1D1D1B"/>
          <w:szCs w:val="20"/>
          <w:lang w:val="en-US"/>
        </w:rPr>
        <w:t>22</w:t>
      </w:r>
      <w:r w:rsidR="00087C9C" w:rsidRPr="002462F0">
        <w:rPr>
          <w:rFonts w:cs="MyriadPro-Regular"/>
          <w:color w:val="1D1D1B"/>
          <w:szCs w:val="20"/>
          <w:lang w:val="en-US"/>
        </w:rPr>
        <w:t>, cement production was the highest individual contributor of the mineral industry</w:t>
      </w:r>
      <w:r w:rsidR="00A965DB" w:rsidRPr="002462F0">
        <w:rPr>
          <w:rFonts w:cs="MyriadPro-Regular"/>
          <w:color w:val="1D1D1B"/>
          <w:szCs w:val="20"/>
          <w:lang w:val="en-US"/>
        </w:rPr>
        <w:t xml:space="preserve"> </w:t>
      </w:r>
      <w:r w:rsidR="00FA3998">
        <w:rPr>
          <w:rFonts w:cs="MyriadPro-Regular"/>
          <w:color w:val="1D1D1B"/>
          <w:szCs w:val="20"/>
          <w:lang w:val="en-US"/>
        </w:rPr>
        <w:t xml:space="preserve">with a share of </w:t>
      </w:r>
      <w:r w:rsidR="00266878">
        <w:rPr>
          <w:rFonts w:cs="MyriadPro-Regular"/>
          <w:color w:val="1D1D1B"/>
          <w:szCs w:val="20"/>
          <w:lang w:val="en-US"/>
        </w:rPr>
        <w:t>8</w:t>
      </w:r>
      <w:r w:rsidR="00FA3998">
        <w:rPr>
          <w:rFonts w:cs="MyriadPro-Regular"/>
          <w:color w:val="1D1D1B"/>
          <w:szCs w:val="20"/>
          <w:lang w:val="en-US"/>
        </w:rPr>
        <w:t>4</w:t>
      </w:r>
      <w:r w:rsidR="00A965DB" w:rsidRPr="002462F0">
        <w:rPr>
          <w:rFonts w:cs="MyriadPro-Regular"/>
          <w:color w:val="1D1D1B"/>
          <w:szCs w:val="20"/>
          <w:lang w:val="en-US"/>
        </w:rPr>
        <w:t>%</w:t>
      </w:r>
      <w:r w:rsidR="00087C9C" w:rsidRPr="002462F0">
        <w:rPr>
          <w:rFonts w:cs="MyriadPro-Regular"/>
          <w:color w:val="1D1D1B"/>
          <w:szCs w:val="20"/>
          <w:lang w:val="en-US"/>
        </w:rPr>
        <w:t>.</w:t>
      </w:r>
    </w:p>
    <w:p w14:paraId="1C4BAB8F" w14:textId="77777777" w:rsidR="00D95B13" w:rsidRPr="002462F0" w:rsidRDefault="00D95B13" w:rsidP="00C8465F">
      <w:pPr>
        <w:autoSpaceDE w:val="0"/>
        <w:autoSpaceDN w:val="0"/>
        <w:adjustRightInd w:val="0"/>
        <w:spacing w:after="0" w:line="240" w:lineRule="auto"/>
        <w:rPr>
          <w:rFonts w:cs="MyriadPro-Regular"/>
          <w:color w:val="1D1D1B"/>
          <w:szCs w:val="20"/>
          <w:lang w:val="en-US"/>
        </w:rPr>
      </w:pPr>
    </w:p>
    <w:p w14:paraId="1E013DF4" w14:textId="2095E266" w:rsidR="00D95B13" w:rsidRPr="002462F0" w:rsidRDefault="00D95B13" w:rsidP="005C0D76">
      <w:pPr>
        <w:autoSpaceDE w:val="0"/>
        <w:autoSpaceDN w:val="0"/>
        <w:adjustRightInd w:val="0"/>
        <w:spacing w:line="240" w:lineRule="auto"/>
        <w:rPr>
          <w:rFonts w:cs="MyriadPro-Regular"/>
          <w:color w:val="1D1D1B"/>
          <w:szCs w:val="20"/>
          <w:lang w:val="en-US"/>
        </w:rPr>
      </w:pPr>
      <w:r w:rsidRPr="002462F0">
        <w:rPr>
          <w:rFonts w:cs="MyriadPro-Regular"/>
          <w:color w:val="1D1D1B"/>
          <w:szCs w:val="20"/>
          <w:lang w:val="en-US"/>
        </w:rPr>
        <w:t>In 20</w:t>
      </w:r>
      <w:r w:rsidR="00FA3998">
        <w:rPr>
          <w:rFonts w:cs="MyriadPro-Regular"/>
          <w:color w:val="1D1D1B"/>
          <w:szCs w:val="20"/>
          <w:lang w:val="en-US"/>
        </w:rPr>
        <w:t>22</w:t>
      </w:r>
      <w:r w:rsidRPr="002462F0">
        <w:rPr>
          <w:rFonts w:cs="MyriadPro-Regular"/>
          <w:color w:val="1D1D1B"/>
          <w:szCs w:val="20"/>
          <w:lang w:val="en-US"/>
        </w:rPr>
        <w:t>, the category Cement production is a key category for CO</w:t>
      </w:r>
      <w:r w:rsidRPr="002462F0">
        <w:rPr>
          <w:rFonts w:cs="MyriadPro-Regular"/>
          <w:color w:val="1D1D1B"/>
          <w:szCs w:val="20"/>
          <w:vertAlign w:val="subscript"/>
          <w:lang w:val="en-US"/>
        </w:rPr>
        <w:t>2</w:t>
      </w:r>
      <w:r w:rsidRPr="002462F0">
        <w:rPr>
          <w:rFonts w:cs="MyriadPro-Regular"/>
          <w:color w:val="1D1D1B"/>
          <w:szCs w:val="20"/>
          <w:lang w:val="en-US"/>
        </w:rPr>
        <w:t xml:space="preserve"> emissions in </w:t>
      </w:r>
      <w:r w:rsidR="00FA3998">
        <w:rPr>
          <w:rFonts w:cs="MyriadPro-Regular"/>
          <w:color w:val="1D1D1B"/>
          <w:szCs w:val="20"/>
          <w:lang w:val="en-US"/>
        </w:rPr>
        <w:t xml:space="preserve">the Republic of </w:t>
      </w:r>
      <w:r w:rsidRPr="002462F0">
        <w:rPr>
          <w:rFonts w:cs="MyriadPro-Regular"/>
          <w:color w:val="1D1D1B"/>
          <w:szCs w:val="20"/>
          <w:lang w:val="en-US"/>
        </w:rPr>
        <w:t>Serbia</w:t>
      </w:r>
      <w:r w:rsidR="00FA3998">
        <w:rPr>
          <w:rFonts w:cs="MyriadPro-Regular"/>
          <w:color w:val="1D1D1B"/>
          <w:szCs w:val="20"/>
          <w:lang w:val="en-US"/>
        </w:rPr>
        <w:t>, both in emission levels and trend</w:t>
      </w:r>
      <w:r w:rsidRPr="002462F0">
        <w:rPr>
          <w:rFonts w:cs="MyriadPro-Regular"/>
          <w:color w:val="1D1D1B"/>
          <w:szCs w:val="20"/>
          <w:lang w:val="en-US"/>
        </w:rPr>
        <w:t xml:space="preserve">. This sector contributes to </w:t>
      </w:r>
      <w:r w:rsidR="00754CA2">
        <w:rPr>
          <w:rFonts w:cs="MyriadPro-Regular"/>
          <w:color w:val="1D1D1B"/>
          <w:szCs w:val="20"/>
          <w:lang w:val="en-US"/>
        </w:rPr>
        <w:t>2.1</w:t>
      </w:r>
      <w:r w:rsidRPr="002462F0">
        <w:rPr>
          <w:rFonts w:cs="MyriadPro-Regular"/>
          <w:color w:val="1D1D1B"/>
          <w:szCs w:val="20"/>
          <w:lang w:val="en-US"/>
        </w:rPr>
        <w:t>% in t</w:t>
      </w:r>
      <w:r w:rsidR="00266878">
        <w:rPr>
          <w:rFonts w:cs="MyriadPro-Regular"/>
          <w:color w:val="1D1D1B"/>
          <w:szCs w:val="20"/>
          <w:lang w:val="en-US"/>
        </w:rPr>
        <w:t xml:space="preserve">erms of emissions level (rank </w:t>
      </w:r>
      <w:r w:rsidR="00754CA2">
        <w:rPr>
          <w:rFonts w:cs="MyriadPro-Regular"/>
          <w:color w:val="1D1D1B"/>
          <w:szCs w:val="20"/>
          <w:lang w:val="en-US"/>
        </w:rPr>
        <w:t>6</w:t>
      </w:r>
      <w:r w:rsidR="00266878">
        <w:rPr>
          <w:rFonts w:cs="MyriadPro-Regular"/>
          <w:color w:val="1D1D1B"/>
          <w:szCs w:val="20"/>
          <w:lang w:val="en-US"/>
        </w:rPr>
        <w:t xml:space="preserve">) and </w:t>
      </w:r>
      <w:r w:rsidR="00754CA2">
        <w:rPr>
          <w:rFonts w:cs="MyriadPro-Regular"/>
          <w:color w:val="1D1D1B"/>
          <w:szCs w:val="20"/>
          <w:lang w:val="en-US"/>
        </w:rPr>
        <w:t xml:space="preserve">to </w:t>
      </w:r>
      <w:r w:rsidR="00B3502F">
        <w:rPr>
          <w:rFonts w:cs="MyriadPro-Regular"/>
          <w:color w:val="1D1D1B"/>
          <w:szCs w:val="20"/>
          <w:lang w:val="en-US"/>
        </w:rPr>
        <w:t>1.0</w:t>
      </w:r>
      <w:r w:rsidRPr="002462F0">
        <w:rPr>
          <w:rFonts w:cs="MyriadPro-Regular"/>
          <w:color w:val="1D1D1B"/>
          <w:szCs w:val="20"/>
          <w:lang w:val="en-US"/>
        </w:rPr>
        <w:t>% in t</w:t>
      </w:r>
      <w:r w:rsidR="006D4F70" w:rsidRPr="002462F0">
        <w:rPr>
          <w:rFonts w:cs="MyriadPro-Regular"/>
          <w:color w:val="1D1D1B"/>
          <w:szCs w:val="20"/>
          <w:lang w:val="en-US"/>
        </w:rPr>
        <w:t xml:space="preserve">erms of emissions trend (rank </w:t>
      </w:r>
      <w:r w:rsidR="00B3502F">
        <w:rPr>
          <w:rFonts w:cs="MyriadPro-Regular"/>
          <w:color w:val="1D1D1B"/>
          <w:szCs w:val="20"/>
          <w:lang w:val="en-US"/>
        </w:rPr>
        <w:t>2</w:t>
      </w:r>
      <w:r w:rsidR="00C20217">
        <w:rPr>
          <w:rFonts w:cs="MyriadPro-Regular"/>
          <w:color w:val="1D1D1B"/>
          <w:szCs w:val="20"/>
          <w:lang w:val="en-US"/>
        </w:rPr>
        <w:t>2</w:t>
      </w:r>
      <w:r w:rsidRPr="002462F0">
        <w:rPr>
          <w:rFonts w:cs="MyriadPro-Regular"/>
          <w:color w:val="1D1D1B"/>
          <w:szCs w:val="20"/>
          <w:lang w:val="en-US"/>
        </w:rPr>
        <w:t>)</w:t>
      </w:r>
      <w:r w:rsidR="00C20217">
        <w:rPr>
          <w:rFonts w:cs="MyriadPro-Regular"/>
          <w:color w:val="1D1D1B"/>
          <w:szCs w:val="20"/>
          <w:lang w:val="en-US"/>
        </w:rPr>
        <w:t>, excluding LULUCF</w:t>
      </w:r>
      <w:r w:rsidRPr="002462F0">
        <w:rPr>
          <w:rFonts w:cs="MyriadPro-Regular"/>
          <w:color w:val="1D1D1B"/>
          <w:szCs w:val="20"/>
          <w:lang w:val="en-US"/>
        </w:rPr>
        <w:t>.</w:t>
      </w:r>
    </w:p>
    <w:p w14:paraId="4C9FF510" w14:textId="786A037F" w:rsidR="00087C9C" w:rsidRPr="002462F0" w:rsidRDefault="002426DF" w:rsidP="005C0D76">
      <w:pPr>
        <w:autoSpaceDE w:val="0"/>
        <w:autoSpaceDN w:val="0"/>
        <w:adjustRightInd w:val="0"/>
        <w:spacing w:after="0" w:line="240" w:lineRule="auto"/>
        <w:jc w:val="left"/>
        <w:rPr>
          <w:rFonts w:cs="MyriadPro-Regular"/>
          <w:color w:val="1D1D1B"/>
          <w:szCs w:val="20"/>
          <w:lang w:val="en-US"/>
        </w:rPr>
      </w:pPr>
      <w:r>
        <w:rPr>
          <w:rFonts w:cs="MyriadPro-Regular"/>
          <w:noProof/>
          <w:color w:val="1D1D1B"/>
          <w:szCs w:val="20"/>
          <w:lang w:val="en-US"/>
        </w:rPr>
        <w:drawing>
          <wp:inline distT="0" distB="0" distL="0" distR="0" wp14:anchorId="0FEEEDCD" wp14:editId="7426D447">
            <wp:extent cx="5760000" cy="1753712"/>
            <wp:effectExtent l="0" t="0" r="0" b="0"/>
            <wp:docPr id="3992002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0E6BA4F3" w14:textId="77777777" w:rsidR="005C0D76" w:rsidRPr="002462F0" w:rsidRDefault="005C0D76" w:rsidP="005C0D76">
      <w:pPr>
        <w:pStyle w:val="Caption"/>
        <w:keepNext/>
        <w:spacing w:before="0" w:after="0"/>
        <w:jc w:val="left"/>
      </w:pPr>
      <w:bookmarkStart w:id="374" w:name="_Toc184808433"/>
      <w:r w:rsidRPr="002462F0">
        <w:t xml:space="preserve">Figure </w:t>
      </w:r>
      <w:r w:rsidRPr="002462F0">
        <w:fldChar w:fldCharType="begin"/>
      </w:r>
      <w:r w:rsidRPr="002462F0">
        <w:instrText xml:space="preserve"> SEQ Figure \* ARABIC </w:instrText>
      </w:r>
      <w:r w:rsidRPr="002462F0">
        <w:fldChar w:fldCharType="separate"/>
      </w:r>
      <w:r>
        <w:rPr>
          <w:noProof/>
        </w:rPr>
        <w:t>46</w:t>
      </w:r>
      <w:r w:rsidRPr="002462F0">
        <w:fldChar w:fldCharType="end"/>
      </w:r>
      <w:r w:rsidRPr="002462F0">
        <w:t>: GHG emissions for the cement production (kt GHG)</w:t>
      </w:r>
      <w:bookmarkEnd w:id="374"/>
    </w:p>
    <w:p w14:paraId="2F894F0A" w14:textId="77777777" w:rsidR="00261A90" w:rsidRPr="002462F0" w:rsidRDefault="00261A90" w:rsidP="00C8465F">
      <w:pPr>
        <w:autoSpaceDE w:val="0"/>
        <w:autoSpaceDN w:val="0"/>
        <w:adjustRightInd w:val="0"/>
        <w:spacing w:after="0" w:line="240" w:lineRule="auto"/>
        <w:rPr>
          <w:rFonts w:cs="MyriadPro-Regular"/>
          <w:color w:val="1D1D1B"/>
          <w:szCs w:val="20"/>
          <w:lang w:val="en-US"/>
        </w:rPr>
      </w:pPr>
    </w:p>
    <w:p w14:paraId="41A9FF82" w14:textId="24C0088C" w:rsidR="00F9138E" w:rsidRPr="002462F0" w:rsidRDefault="00F9138E" w:rsidP="00C8465F">
      <w:pPr>
        <w:autoSpaceDE w:val="0"/>
        <w:autoSpaceDN w:val="0"/>
        <w:adjustRightInd w:val="0"/>
        <w:spacing w:after="0" w:line="240" w:lineRule="auto"/>
        <w:rPr>
          <w:rFonts w:cs="MyriadPro-Regular"/>
          <w:color w:val="1D1D1B"/>
          <w:szCs w:val="20"/>
        </w:rPr>
      </w:pPr>
      <w:r w:rsidRPr="002462F0">
        <w:rPr>
          <w:rFonts w:cs="MyriadPro-Regular"/>
          <w:color w:val="1D1D1B"/>
          <w:szCs w:val="20"/>
        </w:rPr>
        <w:t>CO</w:t>
      </w:r>
      <w:r w:rsidRPr="002462F0">
        <w:rPr>
          <w:rFonts w:cs="MyriadPro-Regular"/>
          <w:color w:val="1D1D1B"/>
          <w:szCs w:val="20"/>
          <w:vertAlign w:val="subscript"/>
        </w:rPr>
        <w:t>2</w:t>
      </w:r>
      <w:r w:rsidRPr="002462F0">
        <w:rPr>
          <w:rFonts w:cs="MyriadPro-Regular"/>
          <w:color w:val="1D1D1B"/>
          <w:szCs w:val="20"/>
        </w:rPr>
        <w:t xml:space="preserve"> emissions from cement production</w:t>
      </w:r>
      <w:r w:rsidR="009C2BDD" w:rsidRPr="002462F0">
        <w:rPr>
          <w:rFonts w:cs="MyriadPro-Regular"/>
          <w:color w:val="1D1D1B"/>
          <w:szCs w:val="20"/>
        </w:rPr>
        <w:t xml:space="preserve"> </w:t>
      </w:r>
      <w:r w:rsidRPr="002462F0">
        <w:rPr>
          <w:rFonts w:cs="MyriadPro-Regular"/>
          <w:color w:val="1D1D1B"/>
          <w:szCs w:val="20"/>
        </w:rPr>
        <w:t>declined from 1990 to 1993 due to the decrease in industrial activities, caused by the</w:t>
      </w:r>
      <w:r w:rsidR="005C0D76">
        <w:rPr>
          <w:rFonts w:cs="MyriadPro-Regular"/>
          <w:color w:val="1D1D1B"/>
          <w:szCs w:val="20"/>
        </w:rPr>
        <w:t xml:space="preserve"> collapse of Yugoslavia</w:t>
      </w:r>
      <w:r w:rsidRPr="002462F0">
        <w:rPr>
          <w:rFonts w:cs="MyriadPro-Regular"/>
          <w:color w:val="1D1D1B"/>
          <w:szCs w:val="20"/>
        </w:rPr>
        <w:t xml:space="preserve"> </w:t>
      </w:r>
      <w:r w:rsidR="005E55DC">
        <w:rPr>
          <w:rFonts w:cs="MyriadPro-Regular"/>
          <w:color w:val="1D1D1B"/>
          <w:szCs w:val="20"/>
        </w:rPr>
        <w:t>and the hyperinflation</w:t>
      </w:r>
      <w:r w:rsidRPr="002462F0">
        <w:rPr>
          <w:rFonts w:cs="MyriadPro-Regular"/>
          <w:color w:val="1D1D1B"/>
          <w:szCs w:val="20"/>
        </w:rPr>
        <w:t>.</w:t>
      </w:r>
      <w:r w:rsidR="00526396">
        <w:rPr>
          <w:rFonts w:cs="MyriadPro-Regular"/>
          <w:color w:val="1D1D1B"/>
          <w:szCs w:val="20"/>
        </w:rPr>
        <w:t xml:space="preserve"> In 1999, the emissions dropped due to the NATO bombing.</w:t>
      </w:r>
    </w:p>
    <w:p w14:paraId="31BC0601" w14:textId="77777777" w:rsidR="00004D30" w:rsidRPr="002462F0" w:rsidRDefault="00004D30" w:rsidP="00C8465F">
      <w:pPr>
        <w:autoSpaceDE w:val="0"/>
        <w:autoSpaceDN w:val="0"/>
        <w:adjustRightInd w:val="0"/>
        <w:spacing w:after="0" w:line="240" w:lineRule="auto"/>
        <w:rPr>
          <w:rFonts w:cs="MyriadPro-Regular"/>
          <w:color w:val="1D1D1B"/>
          <w:szCs w:val="20"/>
        </w:rPr>
      </w:pPr>
    </w:p>
    <w:p w14:paraId="153F1DCC" w14:textId="56138555" w:rsidR="00C8465F" w:rsidRPr="002462F0" w:rsidRDefault="00C8465F" w:rsidP="00C8465F">
      <w:pPr>
        <w:autoSpaceDE w:val="0"/>
        <w:autoSpaceDN w:val="0"/>
        <w:adjustRightInd w:val="0"/>
        <w:spacing w:after="0" w:line="240" w:lineRule="auto"/>
        <w:rPr>
          <w:szCs w:val="20"/>
          <w:lang w:val="en-US" w:eastAsia="fr-FR"/>
        </w:rPr>
      </w:pPr>
      <w:r w:rsidRPr="002462F0">
        <w:rPr>
          <w:rFonts w:cs="MyriadPro-Regular"/>
          <w:color w:val="1D1D1B"/>
          <w:szCs w:val="20"/>
          <w:lang w:val="en-US"/>
        </w:rPr>
        <w:t xml:space="preserve">The trend of </w:t>
      </w:r>
      <w:r w:rsidR="00DA2676" w:rsidRPr="002462F0">
        <w:rPr>
          <w:rFonts w:cs="MyriadPro-Regular"/>
          <w:color w:val="1D1D1B"/>
          <w:szCs w:val="20"/>
          <w:lang w:val="en-US"/>
        </w:rPr>
        <w:t xml:space="preserve">the </w:t>
      </w:r>
      <w:r w:rsidRPr="002462F0">
        <w:rPr>
          <w:rFonts w:cs="MyriadPro-Regular"/>
          <w:color w:val="1D1D1B"/>
          <w:szCs w:val="20"/>
          <w:lang w:val="en-US"/>
        </w:rPr>
        <w:t>sec</w:t>
      </w:r>
      <w:r w:rsidR="00F9138E" w:rsidRPr="002462F0">
        <w:rPr>
          <w:rFonts w:cs="MyriadPro-Regular"/>
          <w:color w:val="1D1D1B"/>
          <w:szCs w:val="20"/>
          <w:lang w:val="en-US"/>
        </w:rPr>
        <w:t>toral GHG emissions for the 2009</w:t>
      </w:r>
      <w:r w:rsidRPr="002462F0">
        <w:rPr>
          <w:rFonts w:cs="MyriadPro-Regular"/>
          <w:color w:val="1D1D1B"/>
          <w:szCs w:val="20"/>
          <w:lang w:val="en-US"/>
        </w:rPr>
        <w:t>-2013 period is a consequence of the global economic crisis due to which halted economic recovery and the upward trend of Serbia’s GDP</w:t>
      </w:r>
      <w:r w:rsidR="00A172AA" w:rsidRPr="002462F0">
        <w:rPr>
          <w:rFonts w:cs="MyriadPro-Regular"/>
          <w:color w:val="1D1D1B"/>
          <w:szCs w:val="20"/>
          <w:lang w:val="en-US"/>
        </w:rPr>
        <w:t xml:space="preserve"> (gross domestic product)</w:t>
      </w:r>
      <w:r w:rsidRPr="002462F0">
        <w:rPr>
          <w:rFonts w:cs="MyriadPro-Regular"/>
          <w:color w:val="1D1D1B"/>
          <w:szCs w:val="20"/>
          <w:lang w:val="en-US"/>
        </w:rPr>
        <w:t>. A key cause for the significant decrease in emissions in the 2010-2013 period is the lower market demand for Portland cement</w:t>
      </w:r>
      <w:r w:rsidR="00087C9C" w:rsidRPr="002462F0">
        <w:rPr>
          <w:rFonts w:cs="MyriadPro-Regular"/>
          <w:color w:val="1D1D1B"/>
          <w:szCs w:val="20"/>
          <w:lang w:val="en-US"/>
        </w:rPr>
        <w:t>.</w:t>
      </w:r>
      <w:r w:rsidR="001F3058">
        <w:rPr>
          <w:rFonts w:cs="MyriadPro-Regular"/>
          <w:color w:val="1D1D1B"/>
          <w:szCs w:val="20"/>
          <w:lang w:val="en-US"/>
        </w:rPr>
        <w:t xml:space="preserve"> Since 2014, a progressive increase is </w:t>
      </w:r>
      <w:r w:rsidR="005C0D76">
        <w:rPr>
          <w:rFonts w:cs="MyriadPro-Regular"/>
          <w:color w:val="1D1D1B"/>
          <w:szCs w:val="20"/>
          <w:lang w:val="en-US"/>
        </w:rPr>
        <w:t>observed,</w:t>
      </w:r>
      <w:r w:rsidR="001F3058">
        <w:rPr>
          <w:rFonts w:cs="MyriadPro-Regular"/>
          <w:color w:val="1D1D1B"/>
          <w:szCs w:val="20"/>
          <w:lang w:val="en-US"/>
        </w:rPr>
        <w:t xml:space="preserve"> and the emissions of this subsector almost reach</w:t>
      </w:r>
      <w:r w:rsidR="00BD14B8">
        <w:rPr>
          <w:rFonts w:cs="MyriadPro-Regular"/>
          <w:color w:val="1D1D1B"/>
          <w:szCs w:val="20"/>
          <w:lang w:val="en-US"/>
        </w:rPr>
        <w:t xml:space="preserve">ed the levels of the pre-crisis and 1990. </w:t>
      </w:r>
    </w:p>
    <w:p w14:paraId="3166CEE3" w14:textId="77777777" w:rsidR="00EF33CB" w:rsidRPr="002462F0" w:rsidRDefault="00614555" w:rsidP="00C8465F">
      <w:pPr>
        <w:pStyle w:val="Titre4Bleu"/>
        <w:rPr>
          <w:lang w:eastAsia="fr-FR"/>
        </w:rPr>
      </w:pPr>
      <w:bookmarkStart w:id="375" w:name="_Toc182327790"/>
      <w:r w:rsidRPr="002462F0">
        <w:rPr>
          <w:lang w:eastAsia="fr-FR"/>
        </w:rPr>
        <w:lastRenderedPageBreak/>
        <w:t>Methodological issues</w:t>
      </w:r>
      <w:bookmarkEnd w:id="375"/>
      <w:r w:rsidRPr="002462F0">
        <w:rPr>
          <w:lang w:eastAsia="fr-FR"/>
        </w:rPr>
        <w:t xml:space="preserve"> </w:t>
      </w:r>
    </w:p>
    <w:p w14:paraId="501BA1A5" w14:textId="23957C64" w:rsidR="00E72179" w:rsidRPr="002462F0" w:rsidRDefault="00EE619B" w:rsidP="00C72633">
      <w:pPr>
        <w:pStyle w:val="BodyText"/>
        <w:rPr>
          <w:lang w:eastAsia="fr-FR"/>
        </w:rPr>
      </w:pPr>
      <w:r w:rsidRPr="002462F0">
        <w:rPr>
          <w:lang w:eastAsia="fr-FR"/>
        </w:rPr>
        <w:t>The Tier 1 method from the 2006 IPCC Guidelines is used to calculate the CO</w:t>
      </w:r>
      <w:r w:rsidRPr="002462F0">
        <w:rPr>
          <w:vertAlign w:val="subscript"/>
          <w:lang w:eastAsia="fr-FR"/>
        </w:rPr>
        <w:t>2</w:t>
      </w:r>
      <w:r w:rsidRPr="002462F0">
        <w:rPr>
          <w:lang w:eastAsia="fr-FR"/>
        </w:rPr>
        <w:t xml:space="preserve"> emissions</w:t>
      </w:r>
      <w:r w:rsidR="00826E82">
        <w:rPr>
          <w:lang w:eastAsia="fr-FR"/>
        </w:rPr>
        <w:t xml:space="preserve"> </w:t>
      </w:r>
      <w:r w:rsidR="00826E82">
        <w:rPr>
          <w:lang w:eastAsia="fr-FR"/>
        </w:rPr>
        <w:fldChar w:fldCharType="begin"/>
      </w:r>
      <w:r w:rsidR="00826E82">
        <w:rPr>
          <w:lang w:eastAsia="fr-FR"/>
        </w:rPr>
        <w:instrText xml:space="preserve"> REF _Ref496788169 \r \h </w:instrText>
      </w:r>
      <w:r w:rsidR="00826E82">
        <w:rPr>
          <w:lang w:eastAsia="fr-FR"/>
        </w:rPr>
      </w:r>
      <w:r w:rsidR="00826E82">
        <w:rPr>
          <w:lang w:eastAsia="fr-FR"/>
        </w:rPr>
        <w:fldChar w:fldCharType="separate"/>
      </w:r>
      <w:r w:rsidR="00F14C78">
        <w:rPr>
          <w:lang w:eastAsia="fr-FR"/>
        </w:rPr>
        <w:t>[I1]</w:t>
      </w:r>
      <w:r w:rsidR="00826E82">
        <w:rPr>
          <w:lang w:eastAsia="fr-FR"/>
        </w:rPr>
        <w:fldChar w:fldCharType="end"/>
      </w:r>
      <w:r w:rsidRPr="002462F0">
        <w:rPr>
          <w:lang w:eastAsia="fr-FR"/>
        </w:rPr>
        <w:t>.</w:t>
      </w:r>
      <w:r w:rsidR="00E220FB" w:rsidRPr="002462F0">
        <w:rPr>
          <w:lang w:eastAsia="fr-FR"/>
        </w:rPr>
        <w:t xml:space="preserve"> </w:t>
      </w:r>
    </w:p>
    <w:p w14:paraId="4F152636" w14:textId="7AD008F2" w:rsidR="00C72633" w:rsidRPr="002462F0" w:rsidRDefault="00E220FB" w:rsidP="00C72633">
      <w:pPr>
        <w:pStyle w:val="BodyText"/>
        <w:rPr>
          <w:lang w:eastAsia="fr-FR"/>
        </w:rPr>
      </w:pPr>
      <w:r w:rsidRPr="002462F0">
        <w:rPr>
          <w:lang w:eastAsia="fr-FR"/>
        </w:rPr>
        <w:t>The CO</w:t>
      </w:r>
      <w:r w:rsidRPr="002462F0">
        <w:rPr>
          <w:vertAlign w:val="subscript"/>
          <w:lang w:eastAsia="fr-FR"/>
        </w:rPr>
        <w:t>2</w:t>
      </w:r>
      <w:r w:rsidRPr="002462F0">
        <w:rPr>
          <w:lang w:eastAsia="fr-FR"/>
        </w:rPr>
        <w:t xml:space="preserve"> emissions are based on the </w:t>
      </w:r>
      <w:r w:rsidR="0090797B">
        <w:rPr>
          <w:lang w:eastAsia="fr-FR"/>
        </w:rPr>
        <w:t>Portland cement</w:t>
      </w:r>
      <w:r w:rsidRPr="002462F0">
        <w:rPr>
          <w:lang w:eastAsia="fr-FR"/>
        </w:rPr>
        <w:t xml:space="preserve"> production</w:t>
      </w:r>
      <w:r w:rsidR="00472BCB" w:rsidRPr="002462F0">
        <w:rPr>
          <w:lang w:eastAsia="fr-FR"/>
        </w:rPr>
        <w:t xml:space="preserve"> (provided in the </w:t>
      </w:r>
      <w:r w:rsidR="00C72633" w:rsidRPr="002462F0">
        <w:rPr>
          <w:lang w:eastAsia="fr-FR"/>
        </w:rPr>
        <w:t xml:space="preserve">yearly </w:t>
      </w:r>
      <w:r w:rsidR="0090797B">
        <w:rPr>
          <w:lang w:eastAsia="fr-FR"/>
        </w:rPr>
        <w:t xml:space="preserve">Statistical </w:t>
      </w:r>
      <w:r w:rsidR="0090797B">
        <w:rPr>
          <w:lang w:val="en-US" w:eastAsia="fr-FR"/>
        </w:rPr>
        <w:t xml:space="preserve">Industry bulletins </w:t>
      </w:r>
      <w:r w:rsidR="00135F99" w:rsidRPr="002462F0">
        <w:rPr>
          <w:lang w:val="en-US" w:eastAsia="fr-FR"/>
        </w:rPr>
        <w:t xml:space="preserve">of </w:t>
      </w:r>
      <w:r w:rsidR="00472BCB" w:rsidRPr="002462F0">
        <w:rPr>
          <w:lang w:val="en-US" w:eastAsia="fr-FR"/>
        </w:rPr>
        <w:t>Serbia)</w:t>
      </w:r>
      <w:r w:rsidR="00C72633" w:rsidRPr="002462F0">
        <w:rPr>
          <w:lang w:val="en-US" w:eastAsia="fr-FR"/>
        </w:rPr>
        <w:t xml:space="preserve"> </w:t>
      </w:r>
      <w:r w:rsidR="00826E82">
        <w:rPr>
          <w:lang w:val="en-US" w:eastAsia="fr-FR"/>
        </w:rPr>
        <w:fldChar w:fldCharType="begin"/>
      </w:r>
      <w:r w:rsidR="00826E82">
        <w:rPr>
          <w:lang w:val="en-US" w:eastAsia="fr-FR"/>
        </w:rPr>
        <w:instrText xml:space="preserve"> REF _Ref496788199 \r \h </w:instrText>
      </w:r>
      <w:r w:rsidR="00826E82">
        <w:rPr>
          <w:lang w:val="en-US" w:eastAsia="fr-FR"/>
        </w:rPr>
      </w:r>
      <w:r w:rsidR="00826E82">
        <w:rPr>
          <w:lang w:val="en-US" w:eastAsia="fr-FR"/>
        </w:rPr>
        <w:fldChar w:fldCharType="separate"/>
      </w:r>
      <w:r w:rsidR="00F14C78">
        <w:rPr>
          <w:lang w:val="en-US" w:eastAsia="fr-FR"/>
        </w:rPr>
        <w:t>[I2]</w:t>
      </w:r>
      <w:r w:rsidR="00826E82">
        <w:rPr>
          <w:lang w:val="en-US" w:eastAsia="fr-FR"/>
        </w:rPr>
        <w:fldChar w:fldCharType="end"/>
      </w:r>
      <w:r w:rsidR="00900AD1" w:rsidRPr="002462F0">
        <w:rPr>
          <w:lang w:eastAsia="fr-FR"/>
        </w:rPr>
        <w:t>,</w:t>
      </w:r>
      <w:r w:rsidRPr="002462F0">
        <w:rPr>
          <w:lang w:eastAsia="fr-FR"/>
        </w:rPr>
        <w:t xml:space="preserve"> and the 2006 IPCC Guidelines CO</w:t>
      </w:r>
      <w:r w:rsidRPr="002462F0">
        <w:rPr>
          <w:vertAlign w:val="subscript"/>
          <w:lang w:eastAsia="fr-FR"/>
        </w:rPr>
        <w:t>2</w:t>
      </w:r>
      <w:r w:rsidRPr="002462F0">
        <w:rPr>
          <w:lang w:eastAsia="fr-FR"/>
        </w:rPr>
        <w:t xml:space="preserve"> default emission factor for clinker</w:t>
      </w:r>
      <w:r w:rsidR="00900AD1" w:rsidRPr="002462F0">
        <w:rPr>
          <w:lang w:eastAsia="fr-FR"/>
        </w:rPr>
        <w:t xml:space="preserve"> (0</w:t>
      </w:r>
      <w:r w:rsidR="00523F99">
        <w:rPr>
          <w:lang w:eastAsia="fr-FR"/>
        </w:rPr>
        <w:t>.</w:t>
      </w:r>
      <w:r w:rsidR="00900AD1" w:rsidRPr="002462F0">
        <w:rPr>
          <w:lang w:eastAsia="fr-FR"/>
        </w:rPr>
        <w:t>52 t CO</w:t>
      </w:r>
      <w:r w:rsidR="00900AD1" w:rsidRPr="002462F0">
        <w:rPr>
          <w:vertAlign w:val="subscript"/>
          <w:lang w:eastAsia="fr-FR"/>
        </w:rPr>
        <w:t>2</w:t>
      </w:r>
      <w:r w:rsidR="00900AD1" w:rsidRPr="002462F0">
        <w:rPr>
          <w:lang w:eastAsia="fr-FR"/>
        </w:rPr>
        <w:t>/t clinker)</w:t>
      </w:r>
      <w:r w:rsidRPr="002462F0">
        <w:rPr>
          <w:lang w:eastAsia="fr-FR"/>
        </w:rPr>
        <w:t xml:space="preserve"> </w:t>
      </w:r>
      <w:r w:rsidR="00826E82">
        <w:rPr>
          <w:lang w:eastAsia="fr-FR"/>
        </w:rPr>
        <w:fldChar w:fldCharType="begin"/>
      </w:r>
      <w:r w:rsidR="00826E82">
        <w:rPr>
          <w:lang w:eastAsia="fr-FR"/>
        </w:rPr>
        <w:instrText xml:space="preserve"> REF _Ref496788208 \r \h </w:instrText>
      </w:r>
      <w:r w:rsidR="00826E82">
        <w:rPr>
          <w:lang w:eastAsia="fr-FR"/>
        </w:rPr>
      </w:r>
      <w:r w:rsidR="00826E82">
        <w:rPr>
          <w:lang w:eastAsia="fr-FR"/>
        </w:rPr>
        <w:fldChar w:fldCharType="separate"/>
      </w:r>
      <w:r w:rsidR="00F14C78">
        <w:rPr>
          <w:lang w:eastAsia="fr-FR"/>
        </w:rPr>
        <w:t>[I3]</w:t>
      </w:r>
      <w:r w:rsidR="00826E82">
        <w:rPr>
          <w:lang w:eastAsia="fr-FR"/>
        </w:rPr>
        <w:fldChar w:fldCharType="end"/>
      </w:r>
      <w:r w:rsidRPr="002462F0">
        <w:rPr>
          <w:lang w:eastAsia="fr-FR"/>
        </w:rPr>
        <w:t>.</w:t>
      </w:r>
    </w:p>
    <w:p w14:paraId="1AA4AEA3" w14:textId="41B3D1B2" w:rsidR="00E3024C" w:rsidRPr="002462F0" w:rsidRDefault="00E3024C" w:rsidP="00E3024C">
      <w:pPr>
        <w:pStyle w:val="Heading3"/>
        <w:rPr>
          <w:lang w:eastAsia="fr-FR"/>
        </w:rPr>
      </w:pPr>
      <w:bookmarkStart w:id="376" w:name="_Toc496101047"/>
      <w:bookmarkStart w:id="377" w:name="_Toc182327791"/>
      <w:bookmarkStart w:id="378" w:name="_Toc184808202"/>
      <w:r w:rsidRPr="002462F0">
        <w:rPr>
          <w:lang w:eastAsia="fr-FR"/>
        </w:rPr>
        <w:t>Lime production (</w:t>
      </w:r>
      <w:r w:rsidR="000F6001">
        <w:rPr>
          <w:lang w:eastAsia="fr-FR"/>
        </w:rPr>
        <w:t>CRT</w:t>
      </w:r>
      <w:r w:rsidRPr="002462F0">
        <w:rPr>
          <w:lang w:eastAsia="fr-FR"/>
        </w:rPr>
        <w:t xml:space="preserve"> 2A2)</w:t>
      </w:r>
      <w:bookmarkEnd w:id="376"/>
      <w:bookmarkEnd w:id="377"/>
      <w:bookmarkEnd w:id="378"/>
    </w:p>
    <w:p w14:paraId="3ACC6993" w14:textId="77777777" w:rsidR="00180C53" w:rsidRPr="002462F0" w:rsidRDefault="00180C53" w:rsidP="00180C53">
      <w:pPr>
        <w:pStyle w:val="Titre4Bleu"/>
        <w:rPr>
          <w:lang w:eastAsia="fr-FR"/>
        </w:rPr>
      </w:pPr>
      <w:bookmarkStart w:id="379" w:name="_Toc182327792"/>
      <w:r w:rsidRPr="002462F0">
        <w:rPr>
          <w:lang w:eastAsia="fr-FR"/>
        </w:rPr>
        <w:t>Category description</w:t>
      </w:r>
      <w:bookmarkEnd w:id="379"/>
    </w:p>
    <w:p w14:paraId="4EFAF562" w14:textId="4E3C28B9" w:rsidR="00D7715F" w:rsidRPr="002462F0" w:rsidRDefault="00D7715F" w:rsidP="00D7715F">
      <w:pPr>
        <w:rPr>
          <w:lang w:val="en-US" w:eastAsia="fr-FR"/>
        </w:rPr>
      </w:pPr>
      <w:r w:rsidRPr="002462F0">
        <w:rPr>
          <w:lang w:val="en-US" w:eastAsia="fr-FR"/>
        </w:rPr>
        <w:t xml:space="preserve">In </w:t>
      </w:r>
      <w:r w:rsidR="00C20217">
        <w:rPr>
          <w:lang w:val="en-US" w:eastAsia="fr-FR"/>
        </w:rPr>
        <w:t xml:space="preserve">the Republic of </w:t>
      </w:r>
      <w:r w:rsidRPr="002462F0">
        <w:rPr>
          <w:lang w:val="en-US" w:eastAsia="fr-FR"/>
        </w:rPr>
        <w:t>Serbia, high-calcium lime (Quicklime) is produced.</w:t>
      </w:r>
      <w:r w:rsidR="00AC6A81" w:rsidRPr="002462F0">
        <w:rPr>
          <w:rFonts w:cs="MyriadPro-Regular"/>
          <w:color w:val="1D1D1B"/>
          <w:szCs w:val="20"/>
          <w:lang w:val="en-US"/>
        </w:rPr>
        <w:t xml:space="preserve"> </w:t>
      </w:r>
      <w:r w:rsidR="00AC6A81" w:rsidRPr="002462F0">
        <w:rPr>
          <w:lang w:val="en-US" w:eastAsia="fr-FR"/>
        </w:rPr>
        <w:t>CO</w:t>
      </w:r>
      <w:r w:rsidR="00AC6A81" w:rsidRPr="002462F0">
        <w:rPr>
          <w:vertAlign w:val="subscript"/>
          <w:lang w:val="en-US" w:eastAsia="fr-FR"/>
        </w:rPr>
        <w:t>2</w:t>
      </w:r>
      <w:r w:rsidR="00AC6A81" w:rsidRPr="002462F0">
        <w:rPr>
          <w:lang w:val="en-US" w:eastAsia="fr-FR"/>
        </w:rPr>
        <w:t xml:space="preserve"> emissions are due to the use of carbonated raw materials in the production process. CH</w:t>
      </w:r>
      <w:r w:rsidR="00AC6A81" w:rsidRPr="002462F0">
        <w:rPr>
          <w:vertAlign w:val="subscript"/>
          <w:lang w:val="en-US" w:eastAsia="fr-FR"/>
        </w:rPr>
        <w:t>4</w:t>
      </w:r>
      <w:r w:rsidR="00AC6A81" w:rsidRPr="002462F0">
        <w:rPr>
          <w:lang w:val="en-US" w:eastAsia="fr-FR"/>
        </w:rPr>
        <w:t xml:space="preserve"> and N</w:t>
      </w:r>
      <w:r w:rsidR="00AC6A81" w:rsidRPr="002462F0">
        <w:rPr>
          <w:vertAlign w:val="subscript"/>
          <w:lang w:val="en-US" w:eastAsia="fr-FR"/>
        </w:rPr>
        <w:t>2</w:t>
      </w:r>
      <w:r w:rsidR="00AC6A81" w:rsidRPr="002462F0">
        <w:rPr>
          <w:lang w:val="en-US" w:eastAsia="fr-FR"/>
        </w:rPr>
        <w:t>O emissions are not expected for this process.</w:t>
      </w:r>
    </w:p>
    <w:p w14:paraId="0CA4874C" w14:textId="788927C2" w:rsidR="00D7715F" w:rsidRPr="002462F0" w:rsidRDefault="00D7715F" w:rsidP="005C0D76">
      <w:pPr>
        <w:autoSpaceDE w:val="0"/>
        <w:autoSpaceDN w:val="0"/>
        <w:adjustRightInd w:val="0"/>
        <w:spacing w:line="240" w:lineRule="auto"/>
        <w:rPr>
          <w:lang w:val="en-US" w:eastAsia="fr-FR"/>
        </w:rPr>
      </w:pPr>
      <w:r w:rsidRPr="002462F0">
        <w:rPr>
          <w:lang w:val="en-US" w:eastAsia="fr-FR"/>
        </w:rPr>
        <w:t>In 20</w:t>
      </w:r>
      <w:r w:rsidR="00C20217">
        <w:rPr>
          <w:lang w:val="en-US" w:eastAsia="fr-FR"/>
        </w:rPr>
        <w:t>22</w:t>
      </w:r>
      <w:r w:rsidRPr="002462F0">
        <w:rPr>
          <w:lang w:val="en-US" w:eastAsia="fr-FR"/>
        </w:rPr>
        <w:t>, the category Lime production is a key category</w:t>
      </w:r>
      <w:r w:rsidR="00C20217">
        <w:rPr>
          <w:lang w:val="en-US" w:eastAsia="fr-FR"/>
        </w:rPr>
        <w:t xml:space="preserve"> for </w:t>
      </w:r>
      <w:r w:rsidR="00C20217" w:rsidRPr="002462F0">
        <w:rPr>
          <w:lang w:val="en-US" w:eastAsia="fr-FR"/>
        </w:rPr>
        <w:t>CO</w:t>
      </w:r>
      <w:r w:rsidR="00C20217" w:rsidRPr="002462F0">
        <w:rPr>
          <w:vertAlign w:val="subscript"/>
          <w:lang w:val="en-US" w:eastAsia="fr-FR"/>
        </w:rPr>
        <w:t>2</w:t>
      </w:r>
      <w:r w:rsidR="00C20217" w:rsidRPr="002462F0">
        <w:rPr>
          <w:lang w:val="en-US" w:eastAsia="fr-FR"/>
        </w:rPr>
        <w:t xml:space="preserve"> emissions</w:t>
      </w:r>
      <w:r w:rsidRPr="002462F0">
        <w:rPr>
          <w:lang w:val="en-US" w:eastAsia="fr-FR"/>
        </w:rPr>
        <w:t xml:space="preserve"> </w:t>
      </w:r>
      <w:r w:rsidR="00C20217">
        <w:rPr>
          <w:lang w:val="en-US" w:eastAsia="fr-FR"/>
        </w:rPr>
        <w:t xml:space="preserve">both </w:t>
      </w:r>
      <w:r w:rsidRPr="002462F0">
        <w:rPr>
          <w:lang w:val="en-US" w:eastAsia="fr-FR"/>
        </w:rPr>
        <w:t>in terms of emissions level</w:t>
      </w:r>
      <w:r w:rsidR="00C20217">
        <w:rPr>
          <w:lang w:val="en-US" w:eastAsia="fr-FR"/>
        </w:rPr>
        <w:t xml:space="preserve"> and trend</w:t>
      </w:r>
      <w:r w:rsidR="006345A6" w:rsidRPr="002462F0">
        <w:rPr>
          <w:lang w:val="en-US" w:eastAsia="fr-FR"/>
        </w:rPr>
        <w:t>. This sector contributes</w:t>
      </w:r>
      <w:r w:rsidR="005971FD">
        <w:rPr>
          <w:lang w:val="en-US" w:eastAsia="fr-FR"/>
        </w:rPr>
        <w:t xml:space="preserve"> to 0.3% in terms of emission levels (rank </w:t>
      </w:r>
      <w:r w:rsidR="009A1268">
        <w:rPr>
          <w:lang w:val="en-US" w:eastAsia="fr-FR"/>
        </w:rPr>
        <w:t>37),</w:t>
      </w:r>
      <w:r w:rsidR="006345A6" w:rsidRPr="002462F0">
        <w:rPr>
          <w:lang w:val="en-US" w:eastAsia="fr-FR"/>
        </w:rPr>
        <w:t xml:space="preserve"> </w:t>
      </w:r>
      <w:r w:rsidR="00C20217">
        <w:rPr>
          <w:lang w:val="en-US" w:eastAsia="fr-FR"/>
        </w:rPr>
        <w:t xml:space="preserve">and </w:t>
      </w:r>
      <w:r w:rsidR="006345A6" w:rsidRPr="002462F0">
        <w:rPr>
          <w:lang w:val="en-US" w:eastAsia="fr-FR"/>
        </w:rPr>
        <w:t xml:space="preserve">to </w:t>
      </w:r>
      <w:r w:rsidR="000B5E3F">
        <w:rPr>
          <w:lang w:val="en-US" w:eastAsia="fr-FR"/>
        </w:rPr>
        <w:t>0</w:t>
      </w:r>
      <w:r w:rsidR="008967FC">
        <w:rPr>
          <w:lang w:val="en-US" w:eastAsia="fr-FR"/>
        </w:rPr>
        <w:t>.</w:t>
      </w:r>
      <w:r w:rsidR="00C20217">
        <w:rPr>
          <w:lang w:val="en-US" w:eastAsia="fr-FR"/>
        </w:rPr>
        <w:t>8</w:t>
      </w:r>
      <w:r w:rsidR="006345A6" w:rsidRPr="002462F0">
        <w:rPr>
          <w:lang w:val="en-US" w:eastAsia="fr-FR"/>
        </w:rPr>
        <w:t xml:space="preserve">% in terms of emissions trend (rank </w:t>
      </w:r>
      <w:r w:rsidR="000B5E3F">
        <w:rPr>
          <w:lang w:val="en-US" w:eastAsia="fr-FR"/>
        </w:rPr>
        <w:t>2</w:t>
      </w:r>
      <w:r w:rsidR="00C20217">
        <w:rPr>
          <w:lang w:val="en-US" w:eastAsia="fr-FR"/>
        </w:rPr>
        <w:t>9</w:t>
      </w:r>
      <w:r w:rsidR="006345A6" w:rsidRPr="002462F0">
        <w:rPr>
          <w:lang w:val="en-US" w:eastAsia="fr-FR"/>
        </w:rPr>
        <w:t>)</w:t>
      </w:r>
      <w:r w:rsidR="00C20217">
        <w:rPr>
          <w:lang w:val="en-US" w:eastAsia="fr-FR"/>
        </w:rPr>
        <w:t>, excluding LULUCF</w:t>
      </w:r>
      <w:r w:rsidR="006345A6" w:rsidRPr="002462F0">
        <w:rPr>
          <w:lang w:val="en-US" w:eastAsia="fr-FR"/>
        </w:rPr>
        <w:t>.</w:t>
      </w:r>
    </w:p>
    <w:p w14:paraId="24FC4D31" w14:textId="35EC7584" w:rsidR="00066458" w:rsidRPr="002462F0" w:rsidRDefault="00344856" w:rsidP="005C0D76">
      <w:pPr>
        <w:spacing w:after="0"/>
        <w:rPr>
          <w:lang w:val="en-US" w:eastAsia="fr-FR"/>
        </w:rPr>
      </w:pPr>
      <w:r>
        <w:rPr>
          <w:noProof/>
          <w:lang w:val="en-US"/>
        </w:rPr>
        <w:drawing>
          <wp:inline distT="0" distB="0" distL="0" distR="0" wp14:anchorId="613D6AB9" wp14:editId="2EEF8EFD">
            <wp:extent cx="5736866" cy="1808451"/>
            <wp:effectExtent l="0" t="0" r="0" b="1905"/>
            <wp:docPr id="1710874068"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8257" cy="1815194"/>
                    </a:xfrm>
                    <a:prstGeom prst="rect">
                      <a:avLst/>
                    </a:prstGeom>
                    <a:noFill/>
                  </pic:spPr>
                </pic:pic>
              </a:graphicData>
            </a:graphic>
          </wp:inline>
        </w:drawing>
      </w:r>
    </w:p>
    <w:p w14:paraId="3019B56C" w14:textId="77777777" w:rsidR="005C0D76" w:rsidRPr="002462F0" w:rsidRDefault="005C0D76" w:rsidP="005C0D76">
      <w:pPr>
        <w:pStyle w:val="Caption"/>
        <w:keepNext/>
        <w:spacing w:before="0" w:after="0"/>
        <w:jc w:val="left"/>
      </w:pPr>
      <w:bookmarkStart w:id="380" w:name="_Toc184808434"/>
      <w:r w:rsidRPr="002462F0">
        <w:t xml:space="preserve">Figure </w:t>
      </w:r>
      <w:r w:rsidRPr="002462F0">
        <w:fldChar w:fldCharType="begin"/>
      </w:r>
      <w:r w:rsidRPr="002462F0">
        <w:instrText xml:space="preserve"> SEQ Figure \* ARABIC </w:instrText>
      </w:r>
      <w:r w:rsidRPr="002462F0">
        <w:fldChar w:fldCharType="separate"/>
      </w:r>
      <w:r>
        <w:rPr>
          <w:noProof/>
        </w:rPr>
        <w:t>47</w:t>
      </w:r>
      <w:r w:rsidRPr="002462F0">
        <w:fldChar w:fldCharType="end"/>
      </w:r>
      <w:r w:rsidRPr="002462F0">
        <w:t>: CO</w:t>
      </w:r>
      <w:r w:rsidRPr="002462F0">
        <w:rPr>
          <w:vertAlign w:val="subscript"/>
        </w:rPr>
        <w:t>2</w:t>
      </w:r>
      <w:r w:rsidRPr="002462F0">
        <w:t xml:space="preserve"> emissions for the lime production (kt CO</w:t>
      </w:r>
      <w:r w:rsidRPr="002462F0">
        <w:rPr>
          <w:vertAlign w:val="subscript"/>
        </w:rPr>
        <w:t>2</w:t>
      </w:r>
      <w:r w:rsidRPr="002462F0">
        <w:t>e)</w:t>
      </w:r>
      <w:bookmarkEnd w:id="380"/>
    </w:p>
    <w:p w14:paraId="1F58E36E" w14:textId="77777777" w:rsidR="005C0D76" w:rsidRDefault="005C0D76" w:rsidP="00F17DE5">
      <w:pPr>
        <w:autoSpaceDE w:val="0"/>
        <w:autoSpaceDN w:val="0"/>
        <w:adjustRightInd w:val="0"/>
        <w:spacing w:after="0" w:line="240" w:lineRule="auto"/>
        <w:rPr>
          <w:rFonts w:cs="MyriadPro-Regular"/>
          <w:color w:val="1D1D1B"/>
          <w:szCs w:val="20"/>
        </w:rPr>
      </w:pPr>
    </w:p>
    <w:p w14:paraId="7E2A0F4A" w14:textId="1D5636F9" w:rsidR="009C2BDD" w:rsidRPr="002462F0" w:rsidRDefault="009C2BDD" w:rsidP="00F17DE5">
      <w:pPr>
        <w:autoSpaceDE w:val="0"/>
        <w:autoSpaceDN w:val="0"/>
        <w:adjustRightInd w:val="0"/>
        <w:spacing w:after="0" w:line="240" w:lineRule="auto"/>
        <w:rPr>
          <w:lang w:eastAsia="fr-FR"/>
        </w:rPr>
      </w:pPr>
      <w:r w:rsidRPr="002462F0">
        <w:rPr>
          <w:rFonts w:cs="MyriadPro-Regular"/>
          <w:color w:val="1D1D1B"/>
          <w:szCs w:val="20"/>
        </w:rPr>
        <w:t>CO</w:t>
      </w:r>
      <w:r w:rsidRPr="002462F0">
        <w:rPr>
          <w:rFonts w:cs="MyriadPro-Regular"/>
          <w:color w:val="1D1D1B"/>
          <w:szCs w:val="20"/>
          <w:vertAlign w:val="subscript"/>
        </w:rPr>
        <w:t>2</w:t>
      </w:r>
      <w:r w:rsidRPr="002462F0">
        <w:rPr>
          <w:rFonts w:cs="MyriadPro-Regular"/>
          <w:color w:val="1D1D1B"/>
          <w:szCs w:val="20"/>
        </w:rPr>
        <w:t xml:space="preserve"> emissions from lime production declined from 1990 to 1993 due to the decrease in industrial activities, caused by </w:t>
      </w:r>
      <w:r w:rsidR="00CB59C5">
        <w:rPr>
          <w:rFonts w:cs="MyriadPro-Regular"/>
          <w:color w:val="1D1D1B"/>
          <w:szCs w:val="20"/>
        </w:rPr>
        <w:t>the collapse of Yugoslavia</w:t>
      </w:r>
      <w:r w:rsidR="000D5967">
        <w:rPr>
          <w:rFonts w:cs="MyriadPro-Regular"/>
          <w:color w:val="1D1D1B"/>
          <w:szCs w:val="20"/>
        </w:rPr>
        <w:t xml:space="preserve"> and the hyperinflation</w:t>
      </w:r>
      <w:r w:rsidRPr="002462F0">
        <w:rPr>
          <w:rFonts w:cs="MyriadPro-Regular"/>
          <w:color w:val="1D1D1B"/>
          <w:szCs w:val="20"/>
        </w:rPr>
        <w:t>.</w:t>
      </w:r>
      <w:r w:rsidR="000D5967">
        <w:rPr>
          <w:rFonts w:cs="MyriadPro-Regular"/>
          <w:color w:val="1D1D1B"/>
          <w:szCs w:val="20"/>
        </w:rPr>
        <w:t xml:space="preserve"> After </w:t>
      </w:r>
      <w:r w:rsidR="00E72371">
        <w:rPr>
          <w:rFonts w:cs="MyriadPro-Regular"/>
          <w:color w:val="1D1D1B"/>
          <w:szCs w:val="20"/>
        </w:rPr>
        <w:t>recovering</w:t>
      </w:r>
      <w:r w:rsidR="000D5967">
        <w:rPr>
          <w:rFonts w:cs="MyriadPro-Regular"/>
          <w:color w:val="1D1D1B"/>
          <w:szCs w:val="20"/>
        </w:rPr>
        <w:t xml:space="preserve"> to pre-crisis level until </w:t>
      </w:r>
      <w:r w:rsidR="00E72371">
        <w:rPr>
          <w:rFonts w:cs="MyriadPro-Regular"/>
          <w:color w:val="1D1D1B"/>
          <w:szCs w:val="20"/>
        </w:rPr>
        <w:t>199</w:t>
      </w:r>
      <w:r w:rsidR="00E31151">
        <w:rPr>
          <w:rFonts w:cs="MyriadPro-Regular"/>
          <w:color w:val="1D1D1B"/>
          <w:szCs w:val="20"/>
        </w:rPr>
        <w:t xml:space="preserve">8, the NATO bombing impacted the GHG emissions </w:t>
      </w:r>
      <w:r w:rsidR="00E31151">
        <w:rPr>
          <w:rFonts w:cs="MyriadPro-Regular"/>
          <w:color w:val="1D1D1B"/>
          <w:szCs w:val="20"/>
          <w:lang w:val="en-US"/>
        </w:rPr>
        <w:t xml:space="preserve">from the lime production to a large decrease. Then, the GHG emissions </w:t>
      </w:r>
      <w:r w:rsidR="00A9100F">
        <w:rPr>
          <w:rFonts w:cs="MyriadPro-Regular"/>
          <w:color w:val="1D1D1B"/>
          <w:szCs w:val="20"/>
          <w:lang w:val="en-US"/>
        </w:rPr>
        <w:t>were rather stable since 2006</w:t>
      </w:r>
      <w:r w:rsidR="00973E97">
        <w:rPr>
          <w:rFonts w:cs="MyriadPro-Regular"/>
          <w:color w:val="1D1D1B"/>
          <w:szCs w:val="20"/>
          <w:lang w:val="en-US"/>
        </w:rPr>
        <w:t xml:space="preserve">, before undergoing a slow but progressive decline </w:t>
      </w:r>
      <w:r w:rsidR="006D6E98">
        <w:rPr>
          <w:rFonts w:cs="MyriadPro-Regular"/>
          <w:color w:val="1D1D1B"/>
          <w:szCs w:val="20"/>
          <w:lang w:val="en-US"/>
        </w:rPr>
        <w:t xml:space="preserve">until 2021. In 2022, the emissions increased by </w:t>
      </w:r>
      <w:r w:rsidR="00AF3076">
        <w:rPr>
          <w:rFonts w:cs="MyriadPro-Regular"/>
          <w:color w:val="1D1D1B"/>
          <w:szCs w:val="20"/>
          <w:lang w:val="en-US"/>
        </w:rPr>
        <w:t xml:space="preserve">+53% compared with 2021. </w:t>
      </w:r>
    </w:p>
    <w:p w14:paraId="2E997675" w14:textId="77777777" w:rsidR="00180C53" w:rsidRPr="002462F0" w:rsidRDefault="00180C53" w:rsidP="00180C53">
      <w:pPr>
        <w:pStyle w:val="Titre4Bleu"/>
        <w:rPr>
          <w:lang w:eastAsia="fr-FR"/>
        </w:rPr>
      </w:pPr>
      <w:bookmarkStart w:id="381" w:name="_Toc182327793"/>
      <w:r w:rsidRPr="002462F0">
        <w:rPr>
          <w:lang w:eastAsia="fr-FR"/>
        </w:rPr>
        <w:t>Methodological issues</w:t>
      </w:r>
      <w:bookmarkEnd w:id="381"/>
      <w:r w:rsidRPr="002462F0">
        <w:rPr>
          <w:lang w:eastAsia="fr-FR"/>
        </w:rPr>
        <w:t xml:space="preserve"> </w:t>
      </w:r>
    </w:p>
    <w:p w14:paraId="5FB0B6AA" w14:textId="239A78A6" w:rsidR="00B340DE" w:rsidRPr="002462F0" w:rsidRDefault="00083F79" w:rsidP="00083F79">
      <w:pPr>
        <w:pStyle w:val="BodyText"/>
        <w:rPr>
          <w:lang w:eastAsia="fr-FR"/>
        </w:rPr>
      </w:pPr>
      <w:r w:rsidRPr="002462F0">
        <w:rPr>
          <w:lang w:eastAsia="fr-FR"/>
        </w:rPr>
        <w:t>The Tier 1 method from the 2006 IPCC Guidelines is used to calculate the CO</w:t>
      </w:r>
      <w:r w:rsidRPr="002462F0">
        <w:rPr>
          <w:vertAlign w:val="subscript"/>
          <w:lang w:eastAsia="fr-FR"/>
        </w:rPr>
        <w:t>2</w:t>
      </w:r>
      <w:r w:rsidRPr="002462F0">
        <w:rPr>
          <w:lang w:eastAsia="fr-FR"/>
        </w:rPr>
        <w:t xml:space="preserve"> emissions (equation 2</w:t>
      </w:r>
      <w:r w:rsidR="00826E82">
        <w:rPr>
          <w:lang w:eastAsia="fr-FR"/>
        </w:rPr>
        <w:t xml:space="preserve">.4 of the 2006 IPCC Guidelines </w:t>
      </w:r>
      <w:r w:rsidR="00826E82">
        <w:rPr>
          <w:lang w:eastAsia="fr-FR"/>
        </w:rPr>
        <w:fldChar w:fldCharType="begin"/>
      </w:r>
      <w:r w:rsidR="00826E82">
        <w:rPr>
          <w:lang w:eastAsia="fr-FR"/>
        </w:rPr>
        <w:instrText xml:space="preserve"> REF _Ref496788218 \r \h </w:instrText>
      </w:r>
      <w:r w:rsidR="00826E82">
        <w:rPr>
          <w:lang w:eastAsia="fr-FR"/>
        </w:rPr>
      </w:r>
      <w:r w:rsidR="00826E82">
        <w:rPr>
          <w:lang w:eastAsia="fr-FR"/>
        </w:rPr>
        <w:fldChar w:fldCharType="separate"/>
      </w:r>
      <w:r w:rsidR="00F14C78">
        <w:rPr>
          <w:lang w:eastAsia="fr-FR"/>
        </w:rPr>
        <w:t>[I4]</w:t>
      </w:r>
      <w:r w:rsidR="00826E82">
        <w:rPr>
          <w:lang w:eastAsia="fr-FR"/>
        </w:rPr>
        <w:fldChar w:fldCharType="end"/>
      </w:r>
      <w:r w:rsidRPr="002462F0">
        <w:rPr>
          <w:lang w:eastAsia="fr-FR"/>
        </w:rPr>
        <w:t xml:space="preserve">). </w:t>
      </w:r>
    </w:p>
    <w:p w14:paraId="195C72CC" w14:textId="50CBD457" w:rsidR="00B340DE" w:rsidRPr="002462F0" w:rsidRDefault="00083F79" w:rsidP="00083F79">
      <w:pPr>
        <w:pStyle w:val="BodyText"/>
        <w:rPr>
          <w:lang w:eastAsia="fr-FR"/>
        </w:rPr>
      </w:pPr>
      <w:r w:rsidRPr="002462F0">
        <w:rPr>
          <w:lang w:eastAsia="fr-FR"/>
        </w:rPr>
        <w:t xml:space="preserve">The </w:t>
      </w:r>
      <w:r w:rsidR="00243F65" w:rsidRPr="002462F0">
        <w:rPr>
          <w:lang w:eastAsia="fr-FR"/>
        </w:rPr>
        <w:t xml:space="preserve">national </w:t>
      </w:r>
      <w:r w:rsidRPr="002462F0">
        <w:rPr>
          <w:lang w:eastAsia="fr-FR"/>
        </w:rPr>
        <w:t xml:space="preserve">lime production </w:t>
      </w:r>
      <w:r w:rsidR="00440E68">
        <w:rPr>
          <w:lang w:eastAsia="fr-FR"/>
        </w:rPr>
        <w:t>is sourced</w:t>
      </w:r>
      <w:r w:rsidRPr="002462F0">
        <w:rPr>
          <w:lang w:eastAsia="fr-FR"/>
        </w:rPr>
        <w:t xml:space="preserve"> from the yearly </w:t>
      </w:r>
      <w:r w:rsidRPr="002462F0">
        <w:rPr>
          <w:lang w:val="en-US" w:eastAsia="fr-FR"/>
        </w:rPr>
        <w:t>Statistical books of Serbia</w:t>
      </w:r>
      <w:r w:rsidR="00826E82">
        <w:rPr>
          <w:lang w:eastAsia="fr-FR"/>
        </w:rPr>
        <w:t xml:space="preserve"> </w:t>
      </w:r>
      <w:r w:rsidR="00826E82">
        <w:rPr>
          <w:lang w:eastAsia="fr-FR"/>
        </w:rPr>
        <w:fldChar w:fldCharType="begin"/>
      </w:r>
      <w:r w:rsidR="00826E82">
        <w:rPr>
          <w:lang w:eastAsia="fr-FR"/>
        </w:rPr>
        <w:instrText xml:space="preserve"> REF _Ref496788199 \r \h </w:instrText>
      </w:r>
      <w:r w:rsidR="00826E82">
        <w:rPr>
          <w:lang w:eastAsia="fr-FR"/>
        </w:rPr>
      </w:r>
      <w:r w:rsidR="00826E82">
        <w:rPr>
          <w:lang w:eastAsia="fr-FR"/>
        </w:rPr>
        <w:fldChar w:fldCharType="separate"/>
      </w:r>
      <w:r w:rsidR="00F14C78">
        <w:rPr>
          <w:lang w:eastAsia="fr-FR"/>
        </w:rPr>
        <w:t>[I2]</w:t>
      </w:r>
      <w:r w:rsidR="00826E82">
        <w:rPr>
          <w:lang w:eastAsia="fr-FR"/>
        </w:rPr>
        <w:fldChar w:fldCharType="end"/>
      </w:r>
      <w:r w:rsidRPr="002462F0">
        <w:rPr>
          <w:lang w:eastAsia="fr-FR"/>
        </w:rPr>
        <w:t xml:space="preserve">. </w:t>
      </w:r>
    </w:p>
    <w:p w14:paraId="21D55141" w14:textId="6CCD1202" w:rsidR="00EE619B" w:rsidRPr="002462F0" w:rsidRDefault="00083F79" w:rsidP="00083F79">
      <w:pPr>
        <w:pStyle w:val="BodyText"/>
        <w:rPr>
          <w:lang w:eastAsia="fr-FR"/>
        </w:rPr>
      </w:pPr>
      <w:r w:rsidRPr="002462F0">
        <w:rPr>
          <w:lang w:eastAsia="fr-FR"/>
        </w:rPr>
        <w:t>Stoichiometric ratio between CaO and CO</w:t>
      </w:r>
      <w:r w:rsidRPr="002462F0">
        <w:rPr>
          <w:vertAlign w:val="subscript"/>
          <w:lang w:eastAsia="fr-FR"/>
        </w:rPr>
        <w:t>2</w:t>
      </w:r>
      <w:r w:rsidRPr="002462F0">
        <w:rPr>
          <w:lang w:eastAsia="fr-FR"/>
        </w:rPr>
        <w:t xml:space="preserve"> for the high calcium lime is used to calculate the CO</w:t>
      </w:r>
      <w:r w:rsidRPr="002462F0">
        <w:rPr>
          <w:vertAlign w:val="subscript"/>
          <w:lang w:eastAsia="fr-FR"/>
        </w:rPr>
        <w:t>2</w:t>
      </w:r>
      <w:r w:rsidRPr="002462F0">
        <w:rPr>
          <w:lang w:eastAsia="fr-FR"/>
        </w:rPr>
        <w:t xml:space="preserve"> emissions.</w:t>
      </w:r>
      <w:r w:rsidR="00B340DE" w:rsidRPr="002462F0">
        <w:rPr>
          <w:lang w:eastAsia="fr-FR"/>
        </w:rPr>
        <w:t xml:space="preserve"> It comes</w:t>
      </w:r>
      <w:r w:rsidR="00826E82">
        <w:rPr>
          <w:lang w:eastAsia="fr-FR"/>
        </w:rPr>
        <w:t xml:space="preserve"> from the 2006 IPCC Guidelines </w:t>
      </w:r>
      <w:r w:rsidR="00826E82">
        <w:rPr>
          <w:lang w:eastAsia="fr-FR"/>
        </w:rPr>
        <w:fldChar w:fldCharType="begin"/>
      </w:r>
      <w:r w:rsidR="00826E82">
        <w:rPr>
          <w:lang w:eastAsia="fr-FR"/>
        </w:rPr>
        <w:instrText xml:space="preserve"> REF _Ref496788232 \r \h </w:instrText>
      </w:r>
      <w:r w:rsidR="00826E82">
        <w:rPr>
          <w:lang w:eastAsia="fr-FR"/>
        </w:rPr>
      </w:r>
      <w:r w:rsidR="00826E82">
        <w:rPr>
          <w:lang w:eastAsia="fr-FR"/>
        </w:rPr>
        <w:fldChar w:fldCharType="separate"/>
      </w:r>
      <w:r w:rsidR="00F14C78">
        <w:rPr>
          <w:lang w:eastAsia="fr-FR"/>
        </w:rPr>
        <w:t>[I5]</w:t>
      </w:r>
      <w:r w:rsidR="00826E82">
        <w:rPr>
          <w:lang w:eastAsia="fr-FR"/>
        </w:rPr>
        <w:fldChar w:fldCharType="end"/>
      </w:r>
      <w:r w:rsidR="00B340DE" w:rsidRPr="002462F0">
        <w:rPr>
          <w:lang w:eastAsia="fr-FR"/>
        </w:rPr>
        <w:t>. The value (0.785 t CO</w:t>
      </w:r>
      <w:r w:rsidR="00B340DE" w:rsidRPr="002462F0">
        <w:rPr>
          <w:vertAlign w:val="subscript"/>
          <w:lang w:eastAsia="fr-FR"/>
        </w:rPr>
        <w:t>2</w:t>
      </w:r>
      <w:r w:rsidR="00B340DE" w:rsidRPr="002462F0">
        <w:rPr>
          <w:lang w:eastAsia="fr-FR"/>
        </w:rPr>
        <w:t>/t CaO) is considered constant over the entire time-series.</w:t>
      </w:r>
    </w:p>
    <w:p w14:paraId="0F9AFED6" w14:textId="11CE6B9D" w:rsidR="004D2873" w:rsidRPr="002462F0" w:rsidRDefault="004D2873" w:rsidP="004D2873">
      <w:pPr>
        <w:pStyle w:val="Heading3"/>
        <w:rPr>
          <w:lang w:eastAsia="fr-FR"/>
        </w:rPr>
      </w:pPr>
      <w:bookmarkStart w:id="382" w:name="_Toc496101048"/>
      <w:bookmarkStart w:id="383" w:name="_Toc182327794"/>
      <w:bookmarkStart w:id="384" w:name="_Toc184808203"/>
      <w:r w:rsidRPr="002462F0">
        <w:rPr>
          <w:lang w:eastAsia="fr-FR"/>
        </w:rPr>
        <w:t>Glass production (</w:t>
      </w:r>
      <w:r w:rsidR="000F6001">
        <w:rPr>
          <w:lang w:eastAsia="fr-FR"/>
        </w:rPr>
        <w:t>CRT</w:t>
      </w:r>
      <w:r w:rsidRPr="002462F0">
        <w:rPr>
          <w:lang w:eastAsia="fr-FR"/>
        </w:rPr>
        <w:t xml:space="preserve"> 2A3)</w:t>
      </w:r>
      <w:bookmarkEnd w:id="382"/>
      <w:bookmarkEnd w:id="383"/>
      <w:bookmarkEnd w:id="384"/>
    </w:p>
    <w:p w14:paraId="482F1183" w14:textId="77777777" w:rsidR="004D2873" w:rsidRPr="002462F0" w:rsidRDefault="004D2873" w:rsidP="004D2873">
      <w:pPr>
        <w:pStyle w:val="Titre4Bleu"/>
        <w:rPr>
          <w:lang w:eastAsia="fr-FR"/>
        </w:rPr>
      </w:pPr>
      <w:bookmarkStart w:id="385" w:name="_Toc182327795"/>
      <w:r w:rsidRPr="002462F0">
        <w:rPr>
          <w:lang w:eastAsia="fr-FR"/>
        </w:rPr>
        <w:lastRenderedPageBreak/>
        <w:t>Category description</w:t>
      </w:r>
      <w:bookmarkEnd w:id="385"/>
    </w:p>
    <w:p w14:paraId="50BFAA27" w14:textId="77777777" w:rsidR="00AC6A81" w:rsidRPr="002462F0" w:rsidRDefault="00AC6A81" w:rsidP="004D2873">
      <w:pPr>
        <w:autoSpaceDE w:val="0"/>
        <w:autoSpaceDN w:val="0"/>
        <w:adjustRightInd w:val="0"/>
        <w:spacing w:after="0" w:line="240" w:lineRule="auto"/>
        <w:rPr>
          <w:lang w:eastAsia="fr-FR"/>
        </w:rPr>
      </w:pPr>
      <w:r w:rsidRPr="002462F0">
        <w:rPr>
          <w:lang w:eastAsia="fr-FR"/>
        </w:rPr>
        <w:t>CO</w:t>
      </w:r>
      <w:r w:rsidRPr="002462F0">
        <w:rPr>
          <w:vertAlign w:val="subscript"/>
          <w:lang w:eastAsia="fr-FR"/>
        </w:rPr>
        <w:t>2</w:t>
      </w:r>
      <w:r w:rsidRPr="002462F0">
        <w:rPr>
          <w:lang w:eastAsia="fr-FR"/>
        </w:rPr>
        <w:t xml:space="preserve"> emissions are due to the use of carbonated raw materials in the production process. CH</w:t>
      </w:r>
      <w:r w:rsidRPr="002462F0">
        <w:rPr>
          <w:vertAlign w:val="subscript"/>
          <w:lang w:eastAsia="fr-FR"/>
        </w:rPr>
        <w:t>4</w:t>
      </w:r>
      <w:r w:rsidRPr="002462F0">
        <w:rPr>
          <w:lang w:eastAsia="fr-FR"/>
        </w:rPr>
        <w:t xml:space="preserve"> and N</w:t>
      </w:r>
      <w:r w:rsidRPr="002462F0">
        <w:rPr>
          <w:vertAlign w:val="subscript"/>
          <w:lang w:eastAsia="fr-FR"/>
        </w:rPr>
        <w:t>2</w:t>
      </w:r>
      <w:r w:rsidRPr="002462F0">
        <w:rPr>
          <w:lang w:eastAsia="fr-FR"/>
        </w:rPr>
        <w:t>O emissions are not expected for this process.</w:t>
      </w:r>
    </w:p>
    <w:p w14:paraId="63EF72A8" w14:textId="77777777" w:rsidR="009749AE" w:rsidRPr="002462F0" w:rsidRDefault="009749AE" w:rsidP="004D2873">
      <w:pPr>
        <w:autoSpaceDE w:val="0"/>
        <w:autoSpaceDN w:val="0"/>
        <w:adjustRightInd w:val="0"/>
        <w:spacing w:after="0" w:line="240" w:lineRule="auto"/>
        <w:rPr>
          <w:lang w:eastAsia="fr-FR"/>
        </w:rPr>
      </w:pPr>
    </w:p>
    <w:p w14:paraId="740E84B9" w14:textId="0EB42B39" w:rsidR="000833D6" w:rsidRPr="002462F0" w:rsidRDefault="009749AE" w:rsidP="00440E68">
      <w:pPr>
        <w:autoSpaceDE w:val="0"/>
        <w:autoSpaceDN w:val="0"/>
        <w:adjustRightInd w:val="0"/>
        <w:spacing w:line="240" w:lineRule="auto"/>
        <w:rPr>
          <w:lang w:val="en-US" w:eastAsia="fr-FR"/>
        </w:rPr>
      </w:pPr>
      <w:r w:rsidRPr="002462F0">
        <w:rPr>
          <w:lang w:val="en-US" w:eastAsia="fr-FR"/>
        </w:rPr>
        <w:t>In 20</w:t>
      </w:r>
      <w:r w:rsidR="00395DCD">
        <w:rPr>
          <w:lang w:val="en-US" w:eastAsia="fr-FR"/>
        </w:rPr>
        <w:t>22</w:t>
      </w:r>
      <w:r w:rsidRPr="002462F0">
        <w:rPr>
          <w:lang w:val="en-US" w:eastAsia="fr-FR"/>
        </w:rPr>
        <w:t>, the category Glass production is not a key category in terms of emissions level nor in terms of emissions trend.</w:t>
      </w:r>
    </w:p>
    <w:p w14:paraId="56C46C10" w14:textId="3DC99F06" w:rsidR="000833D6" w:rsidRPr="002462F0" w:rsidRDefault="00CB108C" w:rsidP="00CB59C5">
      <w:pPr>
        <w:autoSpaceDE w:val="0"/>
        <w:autoSpaceDN w:val="0"/>
        <w:adjustRightInd w:val="0"/>
        <w:spacing w:after="0" w:line="240" w:lineRule="auto"/>
        <w:jc w:val="left"/>
        <w:rPr>
          <w:lang w:eastAsia="fr-FR"/>
        </w:rPr>
      </w:pPr>
      <w:r>
        <w:rPr>
          <w:noProof/>
          <w:lang w:val="en-US"/>
        </w:rPr>
        <w:drawing>
          <wp:inline distT="0" distB="0" distL="0" distR="0" wp14:anchorId="62F97A85" wp14:editId="13D0FADD">
            <wp:extent cx="5740842" cy="1809115"/>
            <wp:effectExtent l="0" t="0" r="0" b="635"/>
            <wp:docPr id="2001471155"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6052" cy="1813908"/>
                    </a:xfrm>
                    <a:prstGeom prst="rect">
                      <a:avLst/>
                    </a:prstGeom>
                    <a:noFill/>
                  </pic:spPr>
                </pic:pic>
              </a:graphicData>
            </a:graphic>
          </wp:inline>
        </w:drawing>
      </w:r>
    </w:p>
    <w:p w14:paraId="2A1DEAEE" w14:textId="77777777" w:rsidR="00CB59C5" w:rsidRPr="002462F0" w:rsidRDefault="00CB59C5" w:rsidP="00CB59C5">
      <w:pPr>
        <w:pStyle w:val="Caption"/>
        <w:keepNext/>
        <w:spacing w:before="0" w:after="0"/>
        <w:jc w:val="left"/>
      </w:pPr>
      <w:bookmarkStart w:id="386" w:name="_Toc184808435"/>
      <w:r w:rsidRPr="002462F0">
        <w:t xml:space="preserve">Figure </w:t>
      </w:r>
      <w:r w:rsidRPr="002462F0">
        <w:fldChar w:fldCharType="begin"/>
      </w:r>
      <w:r w:rsidRPr="002462F0">
        <w:instrText xml:space="preserve"> SEQ Figure \* ARABIC </w:instrText>
      </w:r>
      <w:r w:rsidRPr="002462F0">
        <w:fldChar w:fldCharType="separate"/>
      </w:r>
      <w:r>
        <w:rPr>
          <w:noProof/>
        </w:rPr>
        <w:t>48</w:t>
      </w:r>
      <w:r w:rsidRPr="002462F0">
        <w:fldChar w:fldCharType="end"/>
      </w:r>
      <w:r w:rsidRPr="002462F0">
        <w:t>: CO</w:t>
      </w:r>
      <w:r w:rsidRPr="002462F0">
        <w:rPr>
          <w:vertAlign w:val="subscript"/>
        </w:rPr>
        <w:t>2</w:t>
      </w:r>
      <w:r w:rsidRPr="002462F0">
        <w:t xml:space="preserve"> emissions for Glass production (kt CO</w:t>
      </w:r>
      <w:r w:rsidRPr="002462F0">
        <w:rPr>
          <w:vertAlign w:val="subscript"/>
        </w:rPr>
        <w:t>2</w:t>
      </w:r>
      <w:r w:rsidRPr="002462F0">
        <w:t>e)</w:t>
      </w:r>
      <w:bookmarkEnd w:id="386"/>
    </w:p>
    <w:p w14:paraId="48728DA2" w14:textId="77777777" w:rsidR="009C273B" w:rsidRPr="002462F0" w:rsidRDefault="009C273B" w:rsidP="009C2BDD">
      <w:pPr>
        <w:autoSpaceDE w:val="0"/>
        <w:autoSpaceDN w:val="0"/>
        <w:adjustRightInd w:val="0"/>
        <w:spacing w:after="0" w:line="240" w:lineRule="auto"/>
        <w:rPr>
          <w:rFonts w:cs="MyriadPro-Regular"/>
          <w:color w:val="1D1D1B"/>
          <w:szCs w:val="20"/>
        </w:rPr>
      </w:pPr>
    </w:p>
    <w:p w14:paraId="6DB0684D" w14:textId="618A1D6D" w:rsidR="009C2BDD" w:rsidRPr="002462F0" w:rsidRDefault="009C2BDD" w:rsidP="009C2BDD">
      <w:pPr>
        <w:autoSpaceDE w:val="0"/>
        <w:autoSpaceDN w:val="0"/>
        <w:adjustRightInd w:val="0"/>
        <w:spacing w:after="0" w:line="240" w:lineRule="auto"/>
        <w:rPr>
          <w:rFonts w:cs="MyriadPro-Regular"/>
          <w:color w:val="1D1D1B"/>
          <w:szCs w:val="20"/>
        </w:rPr>
      </w:pPr>
      <w:r w:rsidRPr="002462F0">
        <w:rPr>
          <w:rFonts w:cs="MyriadPro-Regular"/>
          <w:color w:val="1D1D1B"/>
          <w:szCs w:val="20"/>
        </w:rPr>
        <w:t>CO</w:t>
      </w:r>
      <w:r w:rsidRPr="002462F0">
        <w:rPr>
          <w:rFonts w:cs="MyriadPro-Regular"/>
          <w:color w:val="1D1D1B"/>
          <w:szCs w:val="20"/>
          <w:vertAlign w:val="subscript"/>
        </w:rPr>
        <w:t>2</w:t>
      </w:r>
      <w:r w:rsidRPr="002462F0">
        <w:rPr>
          <w:rFonts w:cs="MyriadPro-Regular"/>
          <w:color w:val="1D1D1B"/>
          <w:szCs w:val="20"/>
        </w:rPr>
        <w:t xml:space="preserve"> emissions from </w:t>
      </w:r>
      <w:r w:rsidR="009C273B" w:rsidRPr="002462F0">
        <w:rPr>
          <w:rFonts w:cs="MyriadPro-Regular"/>
          <w:color w:val="1D1D1B"/>
          <w:szCs w:val="20"/>
        </w:rPr>
        <w:t>glass</w:t>
      </w:r>
      <w:r w:rsidRPr="002462F0">
        <w:rPr>
          <w:rFonts w:cs="MyriadPro-Regular"/>
          <w:color w:val="1D1D1B"/>
          <w:szCs w:val="20"/>
        </w:rPr>
        <w:t xml:space="preserve"> production declined from 1990 to 1993 due to the decrease in industrial activities, caused by </w:t>
      </w:r>
      <w:r w:rsidR="00CB59C5">
        <w:rPr>
          <w:rFonts w:cs="MyriadPro-Regular"/>
          <w:color w:val="1D1D1B"/>
          <w:szCs w:val="20"/>
        </w:rPr>
        <w:t>the collapse of Yugoslavia</w:t>
      </w:r>
      <w:r w:rsidR="00D32CAB">
        <w:rPr>
          <w:rFonts w:cs="MyriadPro-Regular"/>
          <w:color w:val="1D1D1B"/>
          <w:szCs w:val="20"/>
        </w:rPr>
        <w:t xml:space="preserve"> and the hyperinflation</w:t>
      </w:r>
      <w:r w:rsidRPr="002462F0">
        <w:rPr>
          <w:rFonts w:cs="MyriadPro-Regular"/>
          <w:color w:val="1D1D1B"/>
          <w:szCs w:val="20"/>
        </w:rPr>
        <w:t>.</w:t>
      </w:r>
      <w:r w:rsidR="00CF772B" w:rsidRPr="002462F0">
        <w:rPr>
          <w:rFonts w:cs="MyriadPro-Regular"/>
          <w:color w:val="1D1D1B"/>
          <w:szCs w:val="20"/>
          <w:lang w:val="en-US"/>
        </w:rPr>
        <w:t xml:space="preserve"> </w:t>
      </w:r>
      <w:r w:rsidR="00562730">
        <w:rPr>
          <w:rFonts w:cs="MyriadPro-Regular"/>
          <w:color w:val="1D1D1B"/>
          <w:szCs w:val="20"/>
          <w:lang w:val="en-US"/>
        </w:rPr>
        <w:t xml:space="preserve">Since then, the emissions are rather stable and evolve based on the main events occurring in Serbia, such as the NATO bombing in 1999, </w:t>
      </w:r>
      <w:r w:rsidR="00CF772B" w:rsidRPr="002462F0">
        <w:rPr>
          <w:rFonts w:cs="MyriadPro-Regular"/>
          <w:color w:val="1D1D1B"/>
          <w:szCs w:val="20"/>
          <w:lang w:val="en-US"/>
        </w:rPr>
        <w:t xml:space="preserve">the global economic crisis </w:t>
      </w:r>
      <w:r w:rsidR="00562730">
        <w:rPr>
          <w:rFonts w:cs="MyriadPro-Regular"/>
          <w:color w:val="1D1D1B"/>
          <w:szCs w:val="20"/>
          <w:lang w:val="en-US"/>
        </w:rPr>
        <w:t>in 2009, which had an impact until 2013</w:t>
      </w:r>
      <w:r w:rsidR="00131B96">
        <w:rPr>
          <w:rFonts w:cs="MyriadPro-Regular"/>
          <w:color w:val="1D1D1B"/>
          <w:szCs w:val="20"/>
          <w:lang w:val="en-US"/>
        </w:rPr>
        <w:t>.</w:t>
      </w:r>
    </w:p>
    <w:p w14:paraId="239E33C2" w14:textId="77777777" w:rsidR="009C2BDD" w:rsidRPr="002462F0" w:rsidRDefault="009C2BDD" w:rsidP="004D2873">
      <w:pPr>
        <w:autoSpaceDE w:val="0"/>
        <w:autoSpaceDN w:val="0"/>
        <w:adjustRightInd w:val="0"/>
        <w:spacing w:after="0" w:line="240" w:lineRule="auto"/>
        <w:rPr>
          <w:lang w:eastAsia="fr-FR"/>
        </w:rPr>
      </w:pPr>
    </w:p>
    <w:p w14:paraId="07344E9B" w14:textId="77777777" w:rsidR="004D2873" w:rsidRPr="002462F0" w:rsidRDefault="004D2873" w:rsidP="004D2873">
      <w:pPr>
        <w:pStyle w:val="Titre4Bleu"/>
        <w:rPr>
          <w:lang w:eastAsia="fr-FR"/>
        </w:rPr>
      </w:pPr>
      <w:bookmarkStart w:id="387" w:name="_Toc182327796"/>
      <w:r w:rsidRPr="002462F0">
        <w:rPr>
          <w:lang w:eastAsia="fr-FR"/>
        </w:rPr>
        <w:t>Methodological issues</w:t>
      </w:r>
      <w:bookmarkEnd w:id="387"/>
      <w:r w:rsidRPr="002462F0">
        <w:rPr>
          <w:lang w:eastAsia="fr-FR"/>
        </w:rPr>
        <w:t xml:space="preserve"> </w:t>
      </w:r>
    </w:p>
    <w:p w14:paraId="7CB83B77" w14:textId="6E4735CF" w:rsidR="00243F65" w:rsidRPr="002462F0" w:rsidRDefault="00F51F71" w:rsidP="00083F79">
      <w:pPr>
        <w:pStyle w:val="BodyText"/>
        <w:jc w:val="left"/>
        <w:rPr>
          <w:lang w:eastAsia="fr-FR"/>
        </w:rPr>
      </w:pPr>
      <w:r w:rsidRPr="002462F0">
        <w:rPr>
          <w:lang w:eastAsia="fr-FR"/>
        </w:rPr>
        <w:t>The Tier 1 method from the 2006 IPCC Guidelines is used to calculate the CO</w:t>
      </w:r>
      <w:r w:rsidRPr="002462F0">
        <w:rPr>
          <w:vertAlign w:val="subscript"/>
          <w:lang w:eastAsia="fr-FR"/>
        </w:rPr>
        <w:t>2</w:t>
      </w:r>
      <w:r w:rsidRPr="002462F0">
        <w:rPr>
          <w:lang w:eastAsia="fr-FR"/>
        </w:rPr>
        <w:t xml:space="preserve"> emissions (equation 2.</w:t>
      </w:r>
      <w:r w:rsidR="00826E82">
        <w:rPr>
          <w:lang w:eastAsia="fr-FR"/>
        </w:rPr>
        <w:t xml:space="preserve">10 of the 2006 IPCC Guidelines </w:t>
      </w:r>
      <w:r w:rsidR="00826E82">
        <w:rPr>
          <w:lang w:eastAsia="fr-FR"/>
        </w:rPr>
        <w:fldChar w:fldCharType="begin"/>
      </w:r>
      <w:r w:rsidR="00826E82">
        <w:rPr>
          <w:lang w:eastAsia="fr-FR"/>
        </w:rPr>
        <w:instrText xml:space="preserve"> REF _Ref496788244 \r \h </w:instrText>
      </w:r>
      <w:r w:rsidR="00826E82">
        <w:rPr>
          <w:lang w:eastAsia="fr-FR"/>
        </w:rPr>
      </w:r>
      <w:r w:rsidR="00826E82">
        <w:rPr>
          <w:lang w:eastAsia="fr-FR"/>
        </w:rPr>
        <w:fldChar w:fldCharType="separate"/>
      </w:r>
      <w:r w:rsidR="00F14C78">
        <w:rPr>
          <w:lang w:eastAsia="fr-FR"/>
        </w:rPr>
        <w:t>[I6]</w:t>
      </w:r>
      <w:r w:rsidR="00826E82">
        <w:rPr>
          <w:lang w:eastAsia="fr-FR"/>
        </w:rPr>
        <w:fldChar w:fldCharType="end"/>
      </w:r>
      <w:r w:rsidRPr="002462F0">
        <w:rPr>
          <w:lang w:eastAsia="fr-FR"/>
        </w:rPr>
        <w:t xml:space="preserve">). </w:t>
      </w:r>
    </w:p>
    <w:p w14:paraId="42CE360C" w14:textId="32FC1088" w:rsidR="00243F65" w:rsidRPr="002462F0" w:rsidRDefault="00F51F71" w:rsidP="00083F79">
      <w:pPr>
        <w:pStyle w:val="BodyText"/>
        <w:jc w:val="left"/>
        <w:rPr>
          <w:lang w:eastAsia="fr-FR"/>
        </w:rPr>
      </w:pPr>
      <w:r w:rsidRPr="002462F0">
        <w:rPr>
          <w:lang w:eastAsia="fr-FR"/>
        </w:rPr>
        <w:t xml:space="preserve">The </w:t>
      </w:r>
      <w:r w:rsidR="00243F65" w:rsidRPr="002462F0">
        <w:rPr>
          <w:lang w:eastAsia="fr-FR"/>
        </w:rPr>
        <w:t xml:space="preserve">national </w:t>
      </w:r>
      <w:r w:rsidRPr="002462F0">
        <w:rPr>
          <w:lang w:eastAsia="fr-FR"/>
        </w:rPr>
        <w:t xml:space="preserve">glass production comes from the yearly </w:t>
      </w:r>
      <w:r w:rsidRPr="002462F0">
        <w:rPr>
          <w:lang w:val="en-US" w:eastAsia="fr-FR"/>
        </w:rPr>
        <w:t>Statistical books of Serbia</w:t>
      </w:r>
      <w:r w:rsidR="00826E82">
        <w:rPr>
          <w:lang w:eastAsia="fr-FR"/>
        </w:rPr>
        <w:t xml:space="preserve"> </w:t>
      </w:r>
      <w:r w:rsidR="00826E82">
        <w:rPr>
          <w:lang w:eastAsia="fr-FR"/>
        </w:rPr>
        <w:fldChar w:fldCharType="begin"/>
      </w:r>
      <w:r w:rsidR="00826E82">
        <w:rPr>
          <w:lang w:eastAsia="fr-FR"/>
        </w:rPr>
        <w:instrText xml:space="preserve"> REF _Ref496788199 \r \h </w:instrText>
      </w:r>
      <w:r w:rsidR="00826E82">
        <w:rPr>
          <w:lang w:eastAsia="fr-FR"/>
        </w:rPr>
      </w:r>
      <w:r w:rsidR="00826E82">
        <w:rPr>
          <w:lang w:eastAsia="fr-FR"/>
        </w:rPr>
        <w:fldChar w:fldCharType="separate"/>
      </w:r>
      <w:r w:rsidR="00F14C78">
        <w:rPr>
          <w:lang w:eastAsia="fr-FR"/>
        </w:rPr>
        <w:t>[I2]</w:t>
      </w:r>
      <w:r w:rsidR="00826E82">
        <w:rPr>
          <w:lang w:eastAsia="fr-FR"/>
        </w:rPr>
        <w:fldChar w:fldCharType="end"/>
      </w:r>
      <w:r w:rsidRPr="002462F0">
        <w:rPr>
          <w:lang w:eastAsia="fr-FR"/>
        </w:rPr>
        <w:t>.</w:t>
      </w:r>
      <w:r w:rsidR="00243F65" w:rsidRPr="002462F0">
        <w:rPr>
          <w:lang w:eastAsia="fr-FR"/>
        </w:rPr>
        <w:t xml:space="preserve"> </w:t>
      </w:r>
    </w:p>
    <w:p w14:paraId="1752AFE4" w14:textId="73F9A930" w:rsidR="00243F65" w:rsidRPr="002462F0" w:rsidRDefault="00243F65" w:rsidP="00083F79">
      <w:pPr>
        <w:pStyle w:val="BodyText"/>
        <w:jc w:val="left"/>
        <w:rPr>
          <w:lang w:eastAsia="fr-FR"/>
        </w:rPr>
      </w:pPr>
      <w:r w:rsidRPr="002462F0">
        <w:rPr>
          <w:lang w:eastAsia="fr-FR"/>
        </w:rPr>
        <w:t>A cullet ratio is needed to calculate CO</w:t>
      </w:r>
      <w:r w:rsidRPr="002462F0">
        <w:rPr>
          <w:vertAlign w:val="subscript"/>
          <w:lang w:eastAsia="fr-FR"/>
        </w:rPr>
        <w:t>2</w:t>
      </w:r>
      <w:r w:rsidRPr="002462F0">
        <w:rPr>
          <w:lang w:eastAsia="fr-FR"/>
        </w:rPr>
        <w:t xml:space="preserve"> emissions. A default cullet ratio is used and comes fr</w:t>
      </w:r>
      <w:r w:rsidR="00826E82">
        <w:rPr>
          <w:lang w:eastAsia="fr-FR"/>
        </w:rPr>
        <w:t xml:space="preserve">om the 2006 IPCC Guidelines </w:t>
      </w:r>
      <w:r w:rsidR="00826E82">
        <w:rPr>
          <w:lang w:eastAsia="fr-FR"/>
        </w:rPr>
        <w:fldChar w:fldCharType="begin"/>
      </w:r>
      <w:r w:rsidR="00826E82">
        <w:rPr>
          <w:lang w:eastAsia="fr-FR"/>
        </w:rPr>
        <w:instrText xml:space="preserve"> REF _Ref496788169 \r \h </w:instrText>
      </w:r>
      <w:r w:rsidR="00826E82">
        <w:rPr>
          <w:lang w:eastAsia="fr-FR"/>
        </w:rPr>
      </w:r>
      <w:r w:rsidR="00826E82">
        <w:rPr>
          <w:lang w:eastAsia="fr-FR"/>
        </w:rPr>
        <w:fldChar w:fldCharType="separate"/>
      </w:r>
      <w:r w:rsidR="00F14C78">
        <w:rPr>
          <w:lang w:eastAsia="fr-FR"/>
        </w:rPr>
        <w:t>[I1]</w:t>
      </w:r>
      <w:r w:rsidR="00826E82">
        <w:rPr>
          <w:lang w:eastAsia="fr-FR"/>
        </w:rPr>
        <w:fldChar w:fldCharType="end"/>
      </w:r>
      <w:r w:rsidR="00826E82">
        <w:rPr>
          <w:lang w:eastAsia="fr-FR"/>
        </w:rPr>
        <w:t xml:space="preserve"> </w:t>
      </w:r>
      <w:r w:rsidRPr="002462F0">
        <w:rPr>
          <w:lang w:eastAsia="fr-FR"/>
        </w:rPr>
        <w:t xml:space="preserve">(50%). It is considered constant for the entire time-series. </w:t>
      </w:r>
    </w:p>
    <w:p w14:paraId="5A328CE0" w14:textId="64AC3004" w:rsidR="004D2873" w:rsidRPr="002462F0" w:rsidRDefault="00243F65" w:rsidP="00083F79">
      <w:pPr>
        <w:pStyle w:val="BodyText"/>
        <w:jc w:val="left"/>
        <w:rPr>
          <w:lang w:eastAsia="fr-FR"/>
        </w:rPr>
      </w:pPr>
      <w:r w:rsidRPr="002462F0">
        <w:rPr>
          <w:lang w:eastAsia="fr-FR"/>
        </w:rPr>
        <w:t>A default CO</w:t>
      </w:r>
      <w:r w:rsidRPr="002462F0">
        <w:rPr>
          <w:vertAlign w:val="subscript"/>
          <w:lang w:eastAsia="fr-FR"/>
        </w:rPr>
        <w:t>2</w:t>
      </w:r>
      <w:r w:rsidRPr="002462F0">
        <w:rPr>
          <w:lang w:eastAsia="fr-FR"/>
        </w:rPr>
        <w:t xml:space="preserve"> emission factor is used and comes fr</w:t>
      </w:r>
      <w:r w:rsidR="00826E82">
        <w:rPr>
          <w:lang w:eastAsia="fr-FR"/>
        </w:rPr>
        <w:t xml:space="preserve">om in the 2006 IPCC Guidelines </w:t>
      </w:r>
      <w:r w:rsidR="00826E82">
        <w:rPr>
          <w:lang w:eastAsia="fr-FR"/>
        </w:rPr>
        <w:fldChar w:fldCharType="begin"/>
      </w:r>
      <w:r w:rsidR="00826E82">
        <w:rPr>
          <w:lang w:eastAsia="fr-FR"/>
        </w:rPr>
        <w:instrText xml:space="preserve"> REF _Ref496788244 \r \h </w:instrText>
      </w:r>
      <w:r w:rsidR="00826E82">
        <w:rPr>
          <w:lang w:eastAsia="fr-FR"/>
        </w:rPr>
      </w:r>
      <w:r w:rsidR="00826E82">
        <w:rPr>
          <w:lang w:eastAsia="fr-FR"/>
        </w:rPr>
        <w:fldChar w:fldCharType="separate"/>
      </w:r>
      <w:r w:rsidR="00F14C78">
        <w:rPr>
          <w:lang w:eastAsia="fr-FR"/>
        </w:rPr>
        <w:t>[I6]</w:t>
      </w:r>
      <w:r w:rsidR="00826E82">
        <w:rPr>
          <w:lang w:eastAsia="fr-FR"/>
        </w:rPr>
        <w:fldChar w:fldCharType="end"/>
      </w:r>
      <w:r w:rsidRPr="002462F0">
        <w:rPr>
          <w:lang w:eastAsia="fr-FR"/>
        </w:rPr>
        <w:t xml:space="preserve"> (0,2 t CO</w:t>
      </w:r>
      <w:r w:rsidRPr="002462F0">
        <w:rPr>
          <w:vertAlign w:val="subscript"/>
          <w:lang w:eastAsia="fr-FR"/>
        </w:rPr>
        <w:t>2</w:t>
      </w:r>
      <w:r w:rsidRPr="002462F0">
        <w:rPr>
          <w:lang w:eastAsia="fr-FR"/>
        </w:rPr>
        <w:t>/t glass produced). It is considered constant for the entire time-series</w:t>
      </w:r>
      <w:r w:rsidR="00E72179" w:rsidRPr="002462F0">
        <w:rPr>
          <w:lang w:eastAsia="fr-FR"/>
        </w:rPr>
        <w:t>.</w:t>
      </w:r>
    </w:p>
    <w:p w14:paraId="60535F6A" w14:textId="1AF0D4BB" w:rsidR="001E2EC8" w:rsidRPr="002462F0" w:rsidRDefault="001E2EC8" w:rsidP="001E2EC8">
      <w:pPr>
        <w:pStyle w:val="Heading3"/>
        <w:rPr>
          <w:lang w:eastAsia="fr-FR"/>
        </w:rPr>
      </w:pPr>
      <w:bookmarkStart w:id="388" w:name="_Toc496101049"/>
      <w:bookmarkStart w:id="389" w:name="_Toc182327797"/>
      <w:bookmarkStart w:id="390" w:name="_Toc184808204"/>
      <w:r w:rsidRPr="002462F0">
        <w:rPr>
          <w:lang w:eastAsia="fr-FR"/>
        </w:rPr>
        <w:t>Other use of carbonates (</w:t>
      </w:r>
      <w:r w:rsidR="000F6001">
        <w:rPr>
          <w:lang w:eastAsia="fr-FR"/>
        </w:rPr>
        <w:t>CRT</w:t>
      </w:r>
      <w:r w:rsidRPr="002462F0">
        <w:rPr>
          <w:lang w:eastAsia="fr-FR"/>
        </w:rPr>
        <w:t xml:space="preserve"> 2A4)</w:t>
      </w:r>
      <w:bookmarkEnd w:id="388"/>
      <w:bookmarkEnd w:id="389"/>
      <w:bookmarkEnd w:id="390"/>
    </w:p>
    <w:p w14:paraId="798050E0" w14:textId="241DB9BD" w:rsidR="007212E2" w:rsidRPr="002462F0" w:rsidRDefault="008658A1" w:rsidP="007212E2">
      <w:pPr>
        <w:rPr>
          <w:lang w:val="en-US" w:eastAsia="fr-FR"/>
        </w:rPr>
      </w:pPr>
      <w:r w:rsidRPr="002462F0">
        <w:rPr>
          <w:lang w:val="en-US" w:eastAsia="fr-FR"/>
        </w:rPr>
        <w:t xml:space="preserve">In </w:t>
      </w:r>
      <w:r w:rsidR="00131B96">
        <w:rPr>
          <w:lang w:val="en-US" w:eastAsia="fr-FR"/>
        </w:rPr>
        <w:t xml:space="preserve">the Republic of </w:t>
      </w:r>
      <w:r w:rsidRPr="002462F0">
        <w:rPr>
          <w:lang w:val="en-US" w:eastAsia="fr-FR"/>
        </w:rPr>
        <w:t>Serbia, t</w:t>
      </w:r>
      <w:r w:rsidR="007212E2" w:rsidRPr="002462F0">
        <w:rPr>
          <w:lang w:val="en-US" w:eastAsia="fr-FR"/>
        </w:rPr>
        <w:t xml:space="preserve">he </w:t>
      </w:r>
      <w:r w:rsidR="000F6001">
        <w:rPr>
          <w:lang w:val="en-US" w:eastAsia="fr-FR"/>
        </w:rPr>
        <w:t>CRT</w:t>
      </w:r>
      <w:r w:rsidR="007212E2" w:rsidRPr="002462F0">
        <w:rPr>
          <w:lang w:val="en-US" w:eastAsia="fr-FR"/>
        </w:rPr>
        <w:t xml:space="preserve"> 2A4 </w:t>
      </w:r>
      <w:r w:rsidRPr="002462F0">
        <w:rPr>
          <w:lang w:val="en-US" w:eastAsia="fr-FR"/>
        </w:rPr>
        <w:t xml:space="preserve">sector </w:t>
      </w:r>
      <w:r w:rsidR="007212E2" w:rsidRPr="002462F0">
        <w:rPr>
          <w:lang w:val="en-US" w:eastAsia="fr-FR"/>
        </w:rPr>
        <w:t>covers</w:t>
      </w:r>
      <w:r w:rsidRPr="002462F0">
        <w:rPr>
          <w:lang w:val="en-US" w:eastAsia="fr-FR"/>
        </w:rPr>
        <w:t xml:space="preserve"> two sub-sectors</w:t>
      </w:r>
      <w:r w:rsidR="007212E2" w:rsidRPr="002462F0">
        <w:rPr>
          <w:lang w:val="en-US" w:eastAsia="fr-FR"/>
        </w:rPr>
        <w:t>:</w:t>
      </w:r>
    </w:p>
    <w:p w14:paraId="4AABACBE" w14:textId="236B5D28" w:rsidR="007212E2" w:rsidRPr="002462F0" w:rsidRDefault="007212E2" w:rsidP="00B1419E">
      <w:pPr>
        <w:pStyle w:val="ListParagraph"/>
        <w:numPr>
          <w:ilvl w:val="0"/>
          <w:numId w:val="14"/>
        </w:numPr>
        <w:rPr>
          <w:lang w:val="en-US" w:eastAsia="fr-FR"/>
        </w:rPr>
      </w:pPr>
      <w:r w:rsidRPr="002462F0">
        <w:rPr>
          <w:lang w:val="en-US" w:eastAsia="fr-FR"/>
        </w:rPr>
        <w:t>Ceramics production, including tiles and bricks (</w:t>
      </w:r>
      <w:r w:rsidR="000F6001">
        <w:rPr>
          <w:lang w:val="en-US" w:eastAsia="fr-FR"/>
        </w:rPr>
        <w:t>CRT</w:t>
      </w:r>
      <w:r w:rsidRPr="002462F0">
        <w:rPr>
          <w:lang w:val="en-US" w:eastAsia="fr-FR"/>
        </w:rPr>
        <w:t xml:space="preserve"> 2A4a),</w:t>
      </w:r>
    </w:p>
    <w:p w14:paraId="370EC92B" w14:textId="68E184AC" w:rsidR="007212E2" w:rsidRPr="002462F0" w:rsidRDefault="007212E2" w:rsidP="00B1419E">
      <w:pPr>
        <w:pStyle w:val="ListParagraph"/>
        <w:numPr>
          <w:ilvl w:val="0"/>
          <w:numId w:val="14"/>
        </w:numPr>
        <w:rPr>
          <w:lang w:val="en-US" w:eastAsia="fr-FR"/>
        </w:rPr>
      </w:pPr>
      <w:r w:rsidRPr="002462F0">
        <w:rPr>
          <w:lang w:val="en-US" w:eastAsia="fr-FR"/>
        </w:rPr>
        <w:t>Other use of soda ash (</w:t>
      </w:r>
      <w:r w:rsidR="000F6001">
        <w:rPr>
          <w:lang w:val="en-US" w:eastAsia="fr-FR"/>
        </w:rPr>
        <w:t>CRT</w:t>
      </w:r>
      <w:r w:rsidRPr="002462F0">
        <w:rPr>
          <w:lang w:val="en-US" w:eastAsia="fr-FR"/>
        </w:rPr>
        <w:t xml:space="preserve"> 2A4b).</w:t>
      </w:r>
    </w:p>
    <w:p w14:paraId="06669423" w14:textId="77777777" w:rsidR="00AD42D2" w:rsidRDefault="00AD42D2">
      <w:pPr>
        <w:jc w:val="left"/>
        <w:rPr>
          <w:b/>
          <w:color w:val="233F85"/>
          <w:sz w:val="24"/>
          <w:szCs w:val="32"/>
          <w:lang w:val="en-US" w:eastAsia="fr-FR"/>
        </w:rPr>
      </w:pPr>
      <w:r>
        <w:rPr>
          <w:lang w:eastAsia="fr-FR"/>
        </w:rPr>
        <w:br w:type="page"/>
      </w:r>
    </w:p>
    <w:p w14:paraId="4D484FC9" w14:textId="4AA3BBC0" w:rsidR="00D444FD" w:rsidRPr="002462F0" w:rsidRDefault="00D444FD" w:rsidP="00D444FD">
      <w:pPr>
        <w:pStyle w:val="Titre4Bleu"/>
        <w:rPr>
          <w:lang w:eastAsia="fr-FR"/>
        </w:rPr>
      </w:pPr>
      <w:bookmarkStart w:id="391" w:name="_Toc182327798"/>
      <w:r w:rsidRPr="002462F0">
        <w:rPr>
          <w:lang w:eastAsia="fr-FR"/>
        </w:rPr>
        <w:lastRenderedPageBreak/>
        <w:t>Ceramics production (</w:t>
      </w:r>
      <w:r w:rsidR="000F6001">
        <w:rPr>
          <w:lang w:eastAsia="fr-FR"/>
        </w:rPr>
        <w:t>CRT</w:t>
      </w:r>
      <w:r w:rsidRPr="002462F0">
        <w:rPr>
          <w:lang w:eastAsia="fr-FR"/>
        </w:rPr>
        <w:t xml:space="preserve"> 2A4a)</w:t>
      </w:r>
      <w:bookmarkEnd w:id="391"/>
    </w:p>
    <w:p w14:paraId="6A29B1B3" w14:textId="77777777" w:rsidR="001E2EC8" w:rsidRPr="002462F0" w:rsidRDefault="001E2EC8" w:rsidP="00D444FD">
      <w:pPr>
        <w:pStyle w:val="Heading5"/>
        <w:rPr>
          <w:lang w:eastAsia="fr-FR"/>
        </w:rPr>
      </w:pPr>
      <w:bookmarkStart w:id="392" w:name="_Toc182327799"/>
      <w:r w:rsidRPr="002462F0">
        <w:rPr>
          <w:lang w:eastAsia="fr-FR"/>
        </w:rPr>
        <w:t>Category description</w:t>
      </w:r>
      <w:bookmarkEnd w:id="392"/>
    </w:p>
    <w:p w14:paraId="5C931E81" w14:textId="77777777" w:rsidR="008658A1" w:rsidRPr="002462F0" w:rsidRDefault="008658A1" w:rsidP="008658A1">
      <w:pPr>
        <w:autoSpaceDE w:val="0"/>
        <w:autoSpaceDN w:val="0"/>
        <w:adjustRightInd w:val="0"/>
        <w:spacing w:after="0" w:line="240" w:lineRule="auto"/>
        <w:rPr>
          <w:lang w:eastAsia="fr-FR"/>
        </w:rPr>
      </w:pPr>
      <w:r w:rsidRPr="002462F0">
        <w:rPr>
          <w:lang w:eastAsia="fr-FR"/>
        </w:rPr>
        <w:t>CO</w:t>
      </w:r>
      <w:r w:rsidRPr="002462F0">
        <w:rPr>
          <w:vertAlign w:val="subscript"/>
          <w:lang w:eastAsia="fr-FR"/>
        </w:rPr>
        <w:t>2</w:t>
      </w:r>
      <w:r w:rsidRPr="002462F0">
        <w:rPr>
          <w:lang w:eastAsia="fr-FR"/>
        </w:rPr>
        <w:t xml:space="preserve"> emissions are due to the use of carbonated raw materials (such as dolomite </w:t>
      </w:r>
      <w:r w:rsidR="00F56269" w:rsidRPr="002462F0">
        <w:rPr>
          <w:lang w:eastAsia="fr-FR"/>
        </w:rPr>
        <w:t>(</w:t>
      </w:r>
      <w:proofErr w:type="spellStart"/>
      <w:r w:rsidR="00F56269" w:rsidRPr="002462F0">
        <w:rPr>
          <w:lang w:eastAsia="fr-FR"/>
        </w:rPr>
        <w:t>CaMg</w:t>
      </w:r>
      <w:proofErr w:type="spellEnd"/>
      <w:r w:rsidR="00516BB3" w:rsidRPr="002462F0">
        <w:rPr>
          <w:lang w:eastAsia="fr-FR"/>
        </w:rPr>
        <w:t>(CO</w:t>
      </w:r>
      <w:r w:rsidR="00516BB3" w:rsidRPr="002462F0">
        <w:rPr>
          <w:vertAlign w:val="subscript"/>
          <w:lang w:eastAsia="fr-FR"/>
        </w:rPr>
        <w:t>3</w:t>
      </w:r>
      <w:r w:rsidR="00516BB3" w:rsidRPr="002462F0">
        <w:rPr>
          <w:lang w:eastAsia="fr-FR"/>
        </w:rPr>
        <w:t>)</w:t>
      </w:r>
      <w:r w:rsidR="00516BB3" w:rsidRPr="002462F0">
        <w:rPr>
          <w:vertAlign w:val="subscript"/>
          <w:lang w:eastAsia="fr-FR"/>
        </w:rPr>
        <w:t>2</w:t>
      </w:r>
      <w:r w:rsidR="00516BB3" w:rsidRPr="002462F0">
        <w:rPr>
          <w:lang w:eastAsia="fr-FR"/>
        </w:rPr>
        <w:t xml:space="preserve">, </w:t>
      </w:r>
      <w:r w:rsidRPr="002462F0">
        <w:rPr>
          <w:lang w:eastAsia="fr-FR"/>
        </w:rPr>
        <w:t>and limestone</w:t>
      </w:r>
      <w:r w:rsidR="00516BB3" w:rsidRPr="002462F0">
        <w:rPr>
          <w:lang w:eastAsia="fr-FR"/>
        </w:rPr>
        <w:t xml:space="preserve"> (CaCO</w:t>
      </w:r>
      <w:r w:rsidR="00516BB3" w:rsidRPr="002462F0">
        <w:rPr>
          <w:vertAlign w:val="subscript"/>
          <w:lang w:eastAsia="fr-FR"/>
        </w:rPr>
        <w:t>3</w:t>
      </w:r>
      <w:r w:rsidR="00516BB3" w:rsidRPr="002462F0">
        <w:rPr>
          <w:lang w:eastAsia="fr-FR"/>
        </w:rPr>
        <w:t>)</w:t>
      </w:r>
      <w:r w:rsidRPr="002462F0">
        <w:rPr>
          <w:lang w:eastAsia="fr-FR"/>
        </w:rPr>
        <w:t>) in the production process. CH</w:t>
      </w:r>
      <w:r w:rsidRPr="002462F0">
        <w:rPr>
          <w:vertAlign w:val="subscript"/>
          <w:lang w:eastAsia="fr-FR"/>
        </w:rPr>
        <w:t>4</w:t>
      </w:r>
      <w:r w:rsidRPr="002462F0">
        <w:rPr>
          <w:lang w:eastAsia="fr-FR"/>
        </w:rPr>
        <w:t xml:space="preserve"> and N</w:t>
      </w:r>
      <w:r w:rsidRPr="002462F0">
        <w:rPr>
          <w:vertAlign w:val="subscript"/>
          <w:lang w:eastAsia="fr-FR"/>
        </w:rPr>
        <w:t>2</w:t>
      </w:r>
      <w:r w:rsidRPr="002462F0">
        <w:rPr>
          <w:lang w:eastAsia="fr-FR"/>
        </w:rPr>
        <w:t>O emissions are not expected for this process.</w:t>
      </w:r>
    </w:p>
    <w:p w14:paraId="13062C15" w14:textId="77777777" w:rsidR="008658A1" w:rsidRPr="002462F0" w:rsidRDefault="008658A1" w:rsidP="00D444FD">
      <w:pPr>
        <w:autoSpaceDE w:val="0"/>
        <w:autoSpaceDN w:val="0"/>
        <w:adjustRightInd w:val="0"/>
        <w:spacing w:after="0" w:line="240" w:lineRule="auto"/>
        <w:rPr>
          <w:lang w:eastAsia="fr-FR"/>
        </w:rPr>
      </w:pPr>
    </w:p>
    <w:p w14:paraId="6ED5E6B6" w14:textId="4C38B5F2" w:rsidR="00726B73" w:rsidRPr="002462F0" w:rsidRDefault="00D444FD" w:rsidP="00CB59C5">
      <w:pPr>
        <w:autoSpaceDE w:val="0"/>
        <w:autoSpaceDN w:val="0"/>
        <w:adjustRightInd w:val="0"/>
        <w:spacing w:line="240" w:lineRule="auto"/>
        <w:rPr>
          <w:lang w:val="en-US" w:eastAsia="fr-FR"/>
        </w:rPr>
      </w:pPr>
      <w:r w:rsidRPr="002462F0">
        <w:rPr>
          <w:lang w:val="en-US" w:eastAsia="fr-FR"/>
        </w:rPr>
        <w:t>In 20</w:t>
      </w:r>
      <w:r w:rsidR="00B03497">
        <w:rPr>
          <w:lang w:val="en-US" w:eastAsia="fr-FR"/>
        </w:rPr>
        <w:t>22</w:t>
      </w:r>
      <w:r w:rsidRPr="002462F0">
        <w:rPr>
          <w:lang w:val="en-US" w:eastAsia="fr-FR"/>
        </w:rPr>
        <w:t xml:space="preserve">, the category Ceramics production is </w:t>
      </w:r>
      <w:r w:rsidR="00E50A93">
        <w:rPr>
          <w:lang w:val="en-US" w:eastAsia="fr-FR"/>
        </w:rPr>
        <w:t>neither</w:t>
      </w:r>
      <w:r w:rsidR="00E50A93" w:rsidRPr="002462F0">
        <w:rPr>
          <w:lang w:val="en-US" w:eastAsia="fr-FR"/>
        </w:rPr>
        <w:t xml:space="preserve"> </w:t>
      </w:r>
      <w:r w:rsidRPr="002462F0">
        <w:rPr>
          <w:lang w:val="en-US" w:eastAsia="fr-FR"/>
        </w:rPr>
        <w:t xml:space="preserve">a key category in terms of emissions level </w:t>
      </w:r>
      <w:r w:rsidR="00E50A93">
        <w:rPr>
          <w:lang w:val="en-US" w:eastAsia="fr-FR"/>
        </w:rPr>
        <w:t>nor</w:t>
      </w:r>
      <w:r w:rsidR="00E50A93" w:rsidRPr="002462F0">
        <w:rPr>
          <w:lang w:val="en-US" w:eastAsia="fr-FR"/>
        </w:rPr>
        <w:t xml:space="preserve"> </w:t>
      </w:r>
      <w:r w:rsidR="000B5E3F" w:rsidRPr="002462F0">
        <w:rPr>
          <w:lang w:val="en-US" w:eastAsia="fr-FR"/>
        </w:rPr>
        <w:t>in emission trend.</w:t>
      </w:r>
    </w:p>
    <w:p w14:paraId="7AD60273" w14:textId="072BA727" w:rsidR="00726B73" w:rsidRPr="002462F0" w:rsidRDefault="00B73C3A" w:rsidP="00CB59C5">
      <w:pPr>
        <w:autoSpaceDE w:val="0"/>
        <w:autoSpaceDN w:val="0"/>
        <w:adjustRightInd w:val="0"/>
        <w:spacing w:after="0" w:line="240" w:lineRule="auto"/>
        <w:jc w:val="left"/>
        <w:rPr>
          <w:lang w:val="en-US" w:eastAsia="fr-FR"/>
        </w:rPr>
      </w:pPr>
      <w:r>
        <w:rPr>
          <w:noProof/>
          <w:lang w:val="en-US"/>
        </w:rPr>
        <w:drawing>
          <wp:inline distT="0" distB="0" distL="0" distR="0" wp14:anchorId="7FDE6BA7" wp14:editId="4BA26414">
            <wp:extent cx="5748793" cy="1808451"/>
            <wp:effectExtent l="0" t="0" r="4445" b="1905"/>
            <wp:docPr id="609124004"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72162" cy="1815802"/>
                    </a:xfrm>
                    <a:prstGeom prst="rect">
                      <a:avLst/>
                    </a:prstGeom>
                    <a:noFill/>
                  </pic:spPr>
                </pic:pic>
              </a:graphicData>
            </a:graphic>
          </wp:inline>
        </w:drawing>
      </w:r>
    </w:p>
    <w:p w14:paraId="2C9C73A3" w14:textId="77777777" w:rsidR="00CB59C5" w:rsidRPr="002462F0" w:rsidRDefault="00CB59C5" w:rsidP="00CB59C5">
      <w:pPr>
        <w:pStyle w:val="Caption"/>
        <w:keepNext/>
        <w:spacing w:before="0" w:after="0"/>
        <w:jc w:val="left"/>
      </w:pPr>
      <w:bookmarkStart w:id="393" w:name="_Toc184808436"/>
      <w:r w:rsidRPr="002462F0">
        <w:t xml:space="preserve">Figure </w:t>
      </w:r>
      <w:r w:rsidRPr="002462F0">
        <w:fldChar w:fldCharType="begin"/>
      </w:r>
      <w:r w:rsidRPr="002462F0">
        <w:instrText xml:space="preserve"> SEQ Figure \* ARABIC </w:instrText>
      </w:r>
      <w:r w:rsidRPr="002462F0">
        <w:fldChar w:fldCharType="separate"/>
      </w:r>
      <w:r>
        <w:rPr>
          <w:noProof/>
        </w:rPr>
        <w:t>49</w:t>
      </w:r>
      <w:r w:rsidRPr="002462F0">
        <w:fldChar w:fldCharType="end"/>
      </w:r>
      <w:r w:rsidRPr="002462F0">
        <w:t>: GHG emissions for the ceramics production (kt CO</w:t>
      </w:r>
      <w:r w:rsidRPr="002462F0">
        <w:rPr>
          <w:vertAlign w:val="subscript"/>
        </w:rPr>
        <w:t>2</w:t>
      </w:r>
      <w:r w:rsidRPr="002462F0">
        <w:t>e)</w:t>
      </w:r>
      <w:bookmarkEnd w:id="393"/>
    </w:p>
    <w:p w14:paraId="7F28FCA5" w14:textId="77777777" w:rsidR="009C273B" w:rsidRPr="002462F0" w:rsidRDefault="009C273B" w:rsidP="009C273B">
      <w:pPr>
        <w:autoSpaceDE w:val="0"/>
        <w:autoSpaceDN w:val="0"/>
        <w:adjustRightInd w:val="0"/>
        <w:spacing w:after="0" w:line="240" w:lineRule="auto"/>
        <w:rPr>
          <w:rFonts w:cs="MyriadPro-Regular"/>
          <w:color w:val="1D1D1B"/>
          <w:szCs w:val="20"/>
        </w:rPr>
      </w:pPr>
    </w:p>
    <w:p w14:paraId="62714458" w14:textId="7517733F" w:rsidR="00CF772B" w:rsidRPr="002462F0" w:rsidRDefault="009C273B" w:rsidP="00CF772B">
      <w:pPr>
        <w:autoSpaceDE w:val="0"/>
        <w:autoSpaceDN w:val="0"/>
        <w:adjustRightInd w:val="0"/>
        <w:spacing w:after="0" w:line="240" w:lineRule="auto"/>
        <w:rPr>
          <w:rFonts w:cs="MyriadPro-Regular"/>
          <w:color w:val="1D1D1B"/>
          <w:szCs w:val="20"/>
        </w:rPr>
      </w:pPr>
      <w:r w:rsidRPr="002462F0">
        <w:rPr>
          <w:rFonts w:cs="MyriadPro-Regular"/>
          <w:color w:val="1D1D1B"/>
          <w:szCs w:val="20"/>
        </w:rPr>
        <w:t>CO</w:t>
      </w:r>
      <w:r w:rsidRPr="002462F0">
        <w:rPr>
          <w:rFonts w:cs="MyriadPro-Regular"/>
          <w:color w:val="1D1D1B"/>
          <w:szCs w:val="20"/>
          <w:vertAlign w:val="subscript"/>
        </w:rPr>
        <w:t>2</w:t>
      </w:r>
      <w:r w:rsidRPr="002462F0">
        <w:rPr>
          <w:rFonts w:cs="MyriadPro-Regular"/>
          <w:color w:val="1D1D1B"/>
          <w:szCs w:val="20"/>
        </w:rPr>
        <w:t xml:space="preserve"> emissions from </w:t>
      </w:r>
      <w:r w:rsidR="00276CCE">
        <w:rPr>
          <w:rFonts w:cs="MyriadPro-Regular"/>
          <w:color w:val="1D1D1B"/>
          <w:szCs w:val="20"/>
        </w:rPr>
        <w:t>ceramics</w:t>
      </w:r>
      <w:r w:rsidRPr="002462F0">
        <w:rPr>
          <w:rFonts w:cs="MyriadPro-Regular"/>
          <w:color w:val="1D1D1B"/>
          <w:szCs w:val="20"/>
        </w:rPr>
        <w:t xml:space="preserve"> production declined from 1990 to 1993 due to the decrease in industrial activities, caused by the </w:t>
      </w:r>
      <w:r w:rsidR="00CB59C5">
        <w:rPr>
          <w:rFonts w:cs="MyriadPro-Regular"/>
          <w:color w:val="1D1D1B"/>
          <w:szCs w:val="20"/>
        </w:rPr>
        <w:t>collapse of Yugoslavia</w:t>
      </w:r>
      <w:r w:rsidR="00131B96">
        <w:rPr>
          <w:rFonts w:cs="MyriadPro-Regular"/>
          <w:color w:val="1D1D1B"/>
          <w:szCs w:val="20"/>
        </w:rPr>
        <w:t xml:space="preserve"> and the hyperinflation</w:t>
      </w:r>
      <w:r w:rsidRPr="002462F0">
        <w:rPr>
          <w:rFonts w:cs="MyriadPro-Regular"/>
          <w:color w:val="1D1D1B"/>
          <w:szCs w:val="20"/>
        </w:rPr>
        <w:t>.</w:t>
      </w:r>
      <w:r w:rsidR="00CF772B" w:rsidRPr="002462F0">
        <w:rPr>
          <w:rFonts w:cs="MyriadPro-Regular"/>
          <w:color w:val="1D1D1B"/>
          <w:szCs w:val="20"/>
          <w:lang w:val="en-US"/>
        </w:rPr>
        <w:t xml:space="preserve"> </w:t>
      </w:r>
      <w:r w:rsidR="00586600">
        <w:rPr>
          <w:rFonts w:cs="MyriadPro-Regular"/>
          <w:color w:val="1D1D1B"/>
          <w:szCs w:val="20"/>
          <w:lang w:val="en-US"/>
        </w:rPr>
        <w:t xml:space="preserve">After the recovery since 1998, </w:t>
      </w:r>
      <w:r w:rsidR="0026682D">
        <w:rPr>
          <w:rFonts w:cs="MyriadPro-Regular"/>
          <w:color w:val="1D1D1B"/>
          <w:szCs w:val="20"/>
          <w:lang w:val="en-US"/>
        </w:rPr>
        <w:t xml:space="preserve">the emissions dropped in 1999 due to the NATO bombing. </w:t>
      </w:r>
      <w:r w:rsidR="00CF772B" w:rsidRPr="002462F0">
        <w:rPr>
          <w:rFonts w:cs="MyriadPro-Regular"/>
          <w:color w:val="1D1D1B"/>
          <w:szCs w:val="20"/>
          <w:lang w:val="en-US"/>
        </w:rPr>
        <w:t>The trend of the sectoral GHG emissions for the 2009-2013 period is a consequence of the global economic crisis due to which halted economic recovery and the upward trend of Serbia’s GDP</w:t>
      </w:r>
      <w:r w:rsidR="00A172AA" w:rsidRPr="002462F0">
        <w:rPr>
          <w:rFonts w:cs="MyriadPro-Regular"/>
          <w:color w:val="1D1D1B"/>
          <w:szCs w:val="20"/>
          <w:lang w:val="en-US"/>
        </w:rPr>
        <w:t xml:space="preserve"> (gross domestic product)</w:t>
      </w:r>
      <w:r w:rsidR="00CF772B" w:rsidRPr="002462F0">
        <w:rPr>
          <w:rFonts w:cs="MyriadPro-Regular"/>
          <w:color w:val="1D1D1B"/>
          <w:szCs w:val="20"/>
          <w:lang w:val="en-US"/>
        </w:rPr>
        <w:t>.</w:t>
      </w:r>
      <w:r w:rsidR="004F6154">
        <w:rPr>
          <w:rFonts w:cs="MyriadPro-Regular"/>
          <w:color w:val="1D1D1B"/>
          <w:szCs w:val="20"/>
          <w:lang w:val="en-US"/>
        </w:rPr>
        <w:t xml:space="preserve"> Between 2013 and 2020, the emissions were rather stable, </w:t>
      </w:r>
      <w:r w:rsidR="00C80F89">
        <w:rPr>
          <w:rFonts w:cs="MyriadPro-Regular"/>
          <w:color w:val="1D1D1B"/>
          <w:szCs w:val="20"/>
          <w:lang w:val="en-US"/>
        </w:rPr>
        <w:t>before</w:t>
      </w:r>
      <w:r w:rsidR="004F6154">
        <w:rPr>
          <w:rFonts w:cs="MyriadPro-Regular"/>
          <w:color w:val="1D1D1B"/>
          <w:szCs w:val="20"/>
          <w:lang w:val="en-US"/>
        </w:rPr>
        <w:t xml:space="preserve"> </w:t>
      </w:r>
      <w:r w:rsidR="00C80F89">
        <w:rPr>
          <w:rFonts w:cs="MyriadPro-Regular"/>
          <w:color w:val="1D1D1B"/>
          <w:szCs w:val="20"/>
          <w:lang w:val="en-US"/>
        </w:rPr>
        <w:t xml:space="preserve">slightly </w:t>
      </w:r>
      <w:r w:rsidR="004F6154">
        <w:rPr>
          <w:rFonts w:cs="MyriadPro-Regular"/>
          <w:color w:val="1D1D1B"/>
          <w:szCs w:val="20"/>
          <w:lang w:val="en-US"/>
        </w:rPr>
        <w:t>increas</w:t>
      </w:r>
      <w:r w:rsidR="00C80F89">
        <w:rPr>
          <w:rFonts w:cs="MyriadPro-Regular"/>
          <w:color w:val="1D1D1B"/>
          <w:szCs w:val="20"/>
          <w:lang w:val="en-US"/>
        </w:rPr>
        <w:t>ing</w:t>
      </w:r>
      <w:r w:rsidR="004F6154">
        <w:rPr>
          <w:rFonts w:cs="MyriadPro-Regular"/>
          <w:color w:val="1D1D1B"/>
          <w:szCs w:val="20"/>
          <w:lang w:val="en-US"/>
        </w:rPr>
        <w:t xml:space="preserve"> in 2</w:t>
      </w:r>
      <w:r w:rsidR="00C80F89">
        <w:rPr>
          <w:rFonts w:cs="MyriadPro-Regular"/>
          <w:color w:val="1D1D1B"/>
          <w:szCs w:val="20"/>
          <w:lang w:val="en-US"/>
        </w:rPr>
        <w:t>0</w:t>
      </w:r>
      <w:r w:rsidR="004F6154">
        <w:rPr>
          <w:rFonts w:cs="MyriadPro-Regular"/>
          <w:color w:val="1D1D1B"/>
          <w:szCs w:val="20"/>
          <w:lang w:val="en-US"/>
        </w:rPr>
        <w:t>21 and 2022</w:t>
      </w:r>
      <w:r w:rsidR="00C80F89">
        <w:rPr>
          <w:rFonts w:cs="MyriadPro-Regular"/>
          <w:color w:val="1D1D1B"/>
          <w:szCs w:val="20"/>
          <w:lang w:val="en-US"/>
        </w:rPr>
        <w:t xml:space="preserve"> due to the increase in the use of carbonates. </w:t>
      </w:r>
    </w:p>
    <w:p w14:paraId="2E57CE4B" w14:textId="77777777" w:rsidR="007212E2" w:rsidRPr="002462F0" w:rsidRDefault="007212E2" w:rsidP="00D444FD">
      <w:pPr>
        <w:pStyle w:val="Heading5"/>
        <w:rPr>
          <w:lang w:eastAsia="fr-FR"/>
        </w:rPr>
      </w:pPr>
      <w:bookmarkStart w:id="394" w:name="_Toc182327800"/>
      <w:r w:rsidRPr="002462F0">
        <w:rPr>
          <w:lang w:eastAsia="fr-FR"/>
        </w:rPr>
        <w:t>Methodological issues</w:t>
      </w:r>
      <w:bookmarkEnd w:id="394"/>
      <w:r w:rsidRPr="002462F0">
        <w:rPr>
          <w:lang w:eastAsia="fr-FR"/>
        </w:rPr>
        <w:t xml:space="preserve"> </w:t>
      </w:r>
    </w:p>
    <w:p w14:paraId="7991E36B" w14:textId="09917A92" w:rsidR="004261A8" w:rsidRPr="002462F0" w:rsidRDefault="004261A8" w:rsidP="000F6001">
      <w:pPr>
        <w:pStyle w:val="BodyText"/>
        <w:rPr>
          <w:lang w:eastAsia="fr-FR"/>
        </w:rPr>
      </w:pPr>
      <w:r w:rsidRPr="002462F0">
        <w:rPr>
          <w:lang w:eastAsia="fr-FR"/>
        </w:rPr>
        <w:t>The Tier 1 method from the 2006 IPCC Guidelines is used to calculate the CO</w:t>
      </w:r>
      <w:r w:rsidRPr="002462F0">
        <w:rPr>
          <w:vertAlign w:val="subscript"/>
          <w:lang w:eastAsia="fr-FR"/>
        </w:rPr>
        <w:t>2</w:t>
      </w:r>
      <w:r w:rsidRPr="002462F0">
        <w:rPr>
          <w:lang w:eastAsia="fr-FR"/>
        </w:rPr>
        <w:t xml:space="preserve"> emissions (equation 2.15 of the 200</w:t>
      </w:r>
      <w:r w:rsidR="00826E82">
        <w:rPr>
          <w:lang w:eastAsia="fr-FR"/>
        </w:rPr>
        <w:t xml:space="preserve">6 IPCC Guidelines </w:t>
      </w:r>
      <w:r w:rsidR="00826E82">
        <w:rPr>
          <w:lang w:eastAsia="fr-FR"/>
        </w:rPr>
        <w:fldChar w:fldCharType="begin"/>
      </w:r>
      <w:r w:rsidR="00826E82">
        <w:rPr>
          <w:lang w:eastAsia="fr-FR"/>
        </w:rPr>
        <w:instrText xml:space="preserve"> REF _Ref496788283 \r \h </w:instrText>
      </w:r>
      <w:r w:rsidR="00826E82">
        <w:rPr>
          <w:lang w:eastAsia="fr-FR"/>
        </w:rPr>
      </w:r>
      <w:r w:rsidR="00826E82">
        <w:rPr>
          <w:lang w:eastAsia="fr-FR"/>
        </w:rPr>
        <w:fldChar w:fldCharType="separate"/>
      </w:r>
      <w:r w:rsidR="00F14C78">
        <w:rPr>
          <w:lang w:eastAsia="fr-FR"/>
        </w:rPr>
        <w:t>[I7]</w:t>
      </w:r>
      <w:r w:rsidR="00826E82">
        <w:rPr>
          <w:lang w:eastAsia="fr-FR"/>
        </w:rPr>
        <w:fldChar w:fldCharType="end"/>
      </w:r>
      <w:r w:rsidRPr="002462F0">
        <w:rPr>
          <w:lang w:eastAsia="fr-FR"/>
        </w:rPr>
        <w:t xml:space="preserve">). </w:t>
      </w:r>
    </w:p>
    <w:p w14:paraId="6CCE6758" w14:textId="305A0779" w:rsidR="001F382A" w:rsidRPr="002462F0" w:rsidRDefault="004261A8" w:rsidP="00BB0F4F">
      <w:pPr>
        <w:pStyle w:val="BodyText"/>
        <w:rPr>
          <w:color w:val="FF0000"/>
          <w:lang w:val="en-US" w:eastAsia="fr-FR"/>
        </w:rPr>
      </w:pPr>
      <w:r w:rsidRPr="002462F0">
        <w:rPr>
          <w:lang w:eastAsia="fr-FR"/>
        </w:rPr>
        <w:t xml:space="preserve">The activity data </w:t>
      </w:r>
      <w:r w:rsidR="002D55B2">
        <w:rPr>
          <w:lang w:eastAsia="fr-FR"/>
        </w:rPr>
        <w:t>are</w:t>
      </w:r>
      <w:r w:rsidR="002D55B2" w:rsidRPr="002462F0">
        <w:rPr>
          <w:lang w:eastAsia="fr-FR"/>
        </w:rPr>
        <w:t xml:space="preserve"> </w:t>
      </w:r>
      <w:r w:rsidRPr="002462F0">
        <w:rPr>
          <w:lang w:eastAsia="fr-FR"/>
        </w:rPr>
        <w:t>the national consumption</w:t>
      </w:r>
      <w:r w:rsidR="00CB05B1" w:rsidRPr="002462F0">
        <w:rPr>
          <w:lang w:eastAsia="fr-FR"/>
        </w:rPr>
        <w:t>s</w:t>
      </w:r>
      <w:r w:rsidRPr="002462F0">
        <w:rPr>
          <w:lang w:eastAsia="fr-FR"/>
        </w:rPr>
        <w:t xml:space="preserve"> of limestone and dolomite</w:t>
      </w:r>
      <w:r w:rsidR="00CC42C5" w:rsidRPr="002462F0">
        <w:rPr>
          <w:lang w:eastAsia="fr-FR"/>
        </w:rPr>
        <w:t xml:space="preserve"> in the ceramics, bricks and tiles sector</w:t>
      </w:r>
      <w:r w:rsidRPr="002462F0">
        <w:rPr>
          <w:lang w:eastAsia="fr-FR"/>
        </w:rPr>
        <w:t xml:space="preserve">, excluding the carbonates consumed elsewhere (e.g. in the glass production). </w:t>
      </w:r>
      <w:r w:rsidR="00CB05B1" w:rsidRPr="002462F0">
        <w:rPr>
          <w:lang w:eastAsia="fr-FR"/>
        </w:rPr>
        <w:t xml:space="preserve">The national consumptions of limestone and dolomite </w:t>
      </w:r>
      <w:r w:rsidR="00CB59C5">
        <w:rPr>
          <w:lang w:eastAsia="fr-FR"/>
        </w:rPr>
        <w:t>are sourced</w:t>
      </w:r>
      <w:r w:rsidR="00CB05B1" w:rsidRPr="002462F0">
        <w:rPr>
          <w:lang w:eastAsia="fr-FR"/>
        </w:rPr>
        <w:t xml:space="preserve"> from the yearly </w:t>
      </w:r>
      <w:r w:rsidR="00CB05B1" w:rsidRPr="002462F0">
        <w:rPr>
          <w:lang w:val="en-US" w:eastAsia="fr-FR"/>
        </w:rPr>
        <w:t>Statistical books of Serbia</w:t>
      </w:r>
      <w:r w:rsidR="00826E82">
        <w:rPr>
          <w:lang w:eastAsia="fr-FR"/>
        </w:rPr>
        <w:t xml:space="preserve"> </w:t>
      </w:r>
      <w:r w:rsidR="00826E82">
        <w:rPr>
          <w:lang w:eastAsia="fr-FR"/>
        </w:rPr>
        <w:fldChar w:fldCharType="begin"/>
      </w:r>
      <w:r w:rsidR="00826E82">
        <w:rPr>
          <w:lang w:eastAsia="fr-FR"/>
        </w:rPr>
        <w:instrText xml:space="preserve"> REF _Ref496788199 \r \h </w:instrText>
      </w:r>
      <w:r w:rsidR="00826E82">
        <w:rPr>
          <w:lang w:eastAsia="fr-FR"/>
        </w:rPr>
      </w:r>
      <w:r w:rsidR="00826E82">
        <w:rPr>
          <w:lang w:eastAsia="fr-FR"/>
        </w:rPr>
        <w:fldChar w:fldCharType="separate"/>
      </w:r>
      <w:r w:rsidR="00F14C78">
        <w:rPr>
          <w:lang w:eastAsia="fr-FR"/>
        </w:rPr>
        <w:t>[I2]</w:t>
      </w:r>
      <w:r w:rsidR="00826E82">
        <w:rPr>
          <w:lang w:eastAsia="fr-FR"/>
        </w:rPr>
        <w:fldChar w:fldCharType="end"/>
      </w:r>
      <w:r w:rsidR="00CB05B1" w:rsidRPr="002462F0">
        <w:rPr>
          <w:lang w:eastAsia="fr-FR"/>
        </w:rPr>
        <w:t>.</w:t>
      </w:r>
      <w:r w:rsidR="00BB0F4F" w:rsidRPr="002462F0">
        <w:rPr>
          <w:color w:val="FF0000"/>
          <w:lang w:val="en-US" w:eastAsia="fr-FR"/>
        </w:rPr>
        <w:t xml:space="preserve"> </w:t>
      </w:r>
    </w:p>
    <w:p w14:paraId="7EF082D1" w14:textId="18F543EC" w:rsidR="004261A8" w:rsidRPr="002462F0" w:rsidRDefault="00791CF2" w:rsidP="004261A8">
      <w:pPr>
        <w:rPr>
          <w:lang w:eastAsia="fr-FR"/>
        </w:rPr>
      </w:pPr>
      <w:r w:rsidRPr="002462F0">
        <w:rPr>
          <w:lang w:eastAsia="fr-FR"/>
        </w:rPr>
        <w:t xml:space="preserve">Default </w:t>
      </w:r>
      <w:r w:rsidR="00CC42C5" w:rsidRPr="002462F0">
        <w:rPr>
          <w:lang w:eastAsia="fr-FR"/>
        </w:rPr>
        <w:t>CO</w:t>
      </w:r>
      <w:r w:rsidR="00CC42C5" w:rsidRPr="002462F0">
        <w:rPr>
          <w:vertAlign w:val="subscript"/>
          <w:lang w:eastAsia="fr-FR"/>
        </w:rPr>
        <w:t>2</w:t>
      </w:r>
      <w:r w:rsidR="00CC42C5" w:rsidRPr="002462F0">
        <w:rPr>
          <w:lang w:eastAsia="fr-FR"/>
        </w:rPr>
        <w:t xml:space="preserve"> emission factors </w:t>
      </w:r>
      <w:r w:rsidRPr="002462F0">
        <w:rPr>
          <w:lang w:eastAsia="fr-FR"/>
        </w:rPr>
        <w:t xml:space="preserve">for each carbonate </w:t>
      </w:r>
      <w:r w:rsidR="00CC42C5" w:rsidRPr="002462F0">
        <w:rPr>
          <w:lang w:eastAsia="fr-FR"/>
        </w:rPr>
        <w:t>are used. They come</w:t>
      </w:r>
      <w:r w:rsidR="00826E82">
        <w:rPr>
          <w:lang w:eastAsia="fr-FR"/>
        </w:rPr>
        <w:t xml:space="preserve"> from the 2006 IPCC Guidelines </w:t>
      </w:r>
      <w:r w:rsidR="00826E82">
        <w:rPr>
          <w:lang w:eastAsia="fr-FR"/>
        </w:rPr>
        <w:fldChar w:fldCharType="begin"/>
      </w:r>
      <w:r w:rsidR="00826E82">
        <w:rPr>
          <w:lang w:eastAsia="fr-FR"/>
        </w:rPr>
        <w:instrText xml:space="preserve"> REF _Ref496788295 \r \h </w:instrText>
      </w:r>
      <w:r w:rsidR="00826E82">
        <w:rPr>
          <w:lang w:eastAsia="fr-FR"/>
        </w:rPr>
      </w:r>
      <w:r w:rsidR="00826E82">
        <w:rPr>
          <w:lang w:eastAsia="fr-FR"/>
        </w:rPr>
        <w:fldChar w:fldCharType="separate"/>
      </w:r>
      <w:r w:rsidR="00F14C78">
        <w:rPr>
          <w:lang w:eastAsia="fr-FR"/>
        </w:rPr>
        <w:t>[I8]</w:t>
      </w:r>
      <w:r w:rsidR="00826E82">
        <w:rPr>
          <w:lang w:eastAsia="fr-FR"/>
        </w:rPr>
        <w:fldChar w:fldCharType="end"/>
      </w:r>
      <w:r w:rsidR="009A3072" w:rsidRPr="002462F0">
        <w:rPr>
          <w:lang w:eastAsia="fr-FR"/>
        </w:rPr>
        <w:t xml:space="preserve"> (0.47732 t CO</w:t>
      </w:r>
      <w:r w:rsidR="009A3072" w:rsidRPr="002462F0">
        <w:rPr>
          <w:vertAlign w:val="subscript"/>
          <w:lang w:eastAsia="fr-FR"/>
        </w:rPr>
        <w:t>2</w:t>
      </w:r>
      <w:r w:rsidR="009A3072" w:rsidRPr="002462F0">
        <w:rPr>
          <w:lang w:eastAsia="fr-FR"/>
        </w:rPr>
        <w:t>/t dolomite; 0.043971 t CO</w:t>
      </w:r>
      <w:r w:rsidR="009A3072" w:rsidRPr="002462F0">
        <w:rPr>
          <w:vertAlign w:val="subscript"/>
          <w:lang w:eastAsia="fr-FR"/>
        </w:rPr>
        <w:t>2</w:t>
      </w:r>
      <w:r w:rsidR="009A3072" w:rsidRPr="002462F0">
        <w:rPr>
          <w:lang w:eastAsia="fr-FR"/>
        </w:rPr>
        <w:t>/t limestone)</w:t>
      </w:r>
      <w:r w:rsidRPr="002462F0">
        <w:rPr>
          <w:lang w:eastAsia="fr-FR"/>
        </w:rPr>
        <w:t>, and they are considered constant over the entire time-series.</w:t>
      </w:r>
    </w:p>
    <w:p w14:paraId="6BD77AD1" w14:textId="24D3381A" w:rsidR="00F05A5F" w:rsidRPr="002462F0" w:rsidRDefault="00F05A5F" w:rsidP="00F05A5F">
      <w:pPr>
        <w:pStyle w:val="Titre4Bleu"/>
        <w:rPr>
          <w:lang w:eastAsia="fr-FR"/>
        </w:rPr>
      </w:pPr>
      <w:bookmarkStart w:id="395" w:name="_Toc182327801"/>
      <w:r w:rsidRPr="002462F0">
        <w:rPr>
          <w:lang w:eastAsia="fr-FR"/>
        </w:rPr>
        <w:t>Other use of soda ash (</w:t>
      </w:r>
      <w:r w:rsidR="000F6001">
        <w:rPr>
          <w:lang w:eastAsia="fr-FR"/>
        </w:rPr>
        <w:t>CRT</w:t>
      </w:r>
      <w:r w:rsidRPr="002462F0">
        <w:rPr>
          <w:lang w:eastAsia="fr-FR"/>
        </w:rPr>
        <w:t xml:space="preserve"> 2A4b)</w:t>
      </w:r>
      <w:bookmarkEnd w:id="395"/>
    </w:p>
    <w:p w14:paraId="448F9D89" w14:textId="77777777" w:rsidR="00F05A5F" w:rsidRPr="002462F0" w:rsidRDefault="00F05A5F" w:rsidP="00F05A5F">
      <w:pPr>
        <w:pStyle w:val="Heading5"/>
        <w:rPr>
          <w:lang w:eastAsia="fr-FR"/>
        </w:rPr>
      </w:pPr>
      <w:bookmarkStart w:id="396" w:name="_Toc182327802"/>
      <w:r w:rsidRPr="002462F0">
        <w:rPr>
          <w:lang w:eastAsia="fr-FR"/>
        </w:rPr>
        <w:t>Category description</w:t>
      </w:r>
      <w:bookmarkEnd w:id="396"/>
    </w:p>
    <w:p w14:paraId="549B631D" w14:textId="77777777" w:rsidR="0036293F" w:rsidRPr="002462F0" w:rsidRDefault="0036293F" w:rsidP="0036293F">
      <w:pPr>
        <w:autoSpaceDE w:val="0"/>
        <w:autoSpaceDN w:val="0"/>
        <w:adjustRightInd w:val="0"/>
        <w:spacing w:after="0" w:line="240" w:lineRule="auto"/>
        <w:rPr>
          <w:lang w:eastAsia="fr-FR"/>
        </w:rPr>
      </w:pPr>
      <w:r w:rsidRPr="002462F0">
        <w:rPr>
          <w:lang w:eastAsia="fr-FR"/>
        </w:rPr>
        <w:t>CO</w:t>
      </w:r>
      <w:r w:rsidRPr="002462F0">
        <w:rPr>
          <w:vertAlign w:val="subscript"/>
          <w:lang w:eastAsia="fr-FR"/>
        </w:rPr>
        <w:t>2</w:t>
      </w:r>
      <w:r w:rsidRPr="002462F0">
        <w:rPr>
          <w:lang w:eastAsia="fr-FR"/>
        </w:rPr>
        <w:t xml:space="preserve"> emissions are due to the use of </w:t>
      </w:r>
      <w:r w:rsidR="00726B73" w:rsidRPr="002462F0">
        <w:rPr>
          <w:lang w:eastAsia="fr-FR"/>
        </w:rPr>
        <w:t>soda ash</w:t>
      </w:r>
      <w:r w:rsidR="00516BB3" w:rsidRPr="002462F0">
        <w:rPr>
          <w:lang w:eastAsia="fr-FR"/>
        </w:rPr>
        <w:t xml:space="preserve"> (Na</w:t>
      </w:r>
      <w:r w:rsidR="00516BB3" w:rsidRPr="002462F0">
        <w:rPr>
          <w:vertAlign w:val="subscript"/>
          <w:lang w:eastAsia="fr-FR"/>
        </w:rPr>
        <w:t>2</w:t>
      </w:r>
      <w:r w:rsidR="00516BB3" w:rsidRPr="002462F0">
        <w:rPr>
          <w:lang w:eastAsia="fr-FR"/>
        </w:rPr>
        <w:t>CO</w:t>
      </w:r>
      <w:r w:rsidR="00516BB3" w:rsidRPr="002462F0">
        <w:rPr>
          <w:vertAlign w:val="subscript"/>
          <w:lang w:eastAsia="fr-FR"/>
        </w:rPr>
        <w:t>3</w:t>
      </w:r>
      <w:r w:rsidRPr="002462F0">
        <w:rPr>
          <w:lang w:eastAsia="fr-FR"/>
        </w:rPr>
        <w:t>) in the production process. CH</w:t>
      </w:r>
      <w:r w:rsidRPr="002462F0">
        <w:rPr>
          <w:vertAlign w:val="subscript"/>
          <w:lang w:eastAsia="fr-FR"/>
        </w:rPr>
        <w:t>4</w:t>
      </w:r>
      <w:r w:rsidRPr="002462F0">
        <w:rPr>
          <w:lang w:eastAsia="fr-FR"/>
        </w:rPr>
        <w:t xml:space="preserve"> and N</w:t>
      </w:r>
      <w:r w:rsidRPr="002462F0">
        <w:rPr>
          <w:vertAlign w:val="subscript"/>
          <w:lang w:eastAsia="fr-FR"/>
        </w:rPr>
        <w:t>2</w:t>
      </w:r>
      <w:r w:rsidRPr="002462F0">
        <w:rPr>
          <w:lang w:eastAsia="fr-FR"/>
        </w:rPr>
        <w:t>O emissions are not expected for this process.</w:t>
      </w:r>
    </w:p>
    <w:p w14:paraId="68364146" w14:textId="77777777" w:rsidR="001928CD" w:rsidRPr="002462F0" w:rsidRDefault="001928CD" w:rsidP="0036293F">
      <w:pPr>
        <w:autoSpaceDE w:val="0"/>
        <w:autoSpaceDN w:val="0"/>
        <w:adjustRightInd w:val="0"/>
        <w:spacing w:after="0" w:line="240" w:lineRule="auto"/>
        <w:rPr>
          <w:lang w:eastAsia="fr-FR"/>
        </w:rPr>
      </w:pPr>
    </w:p>
    <w:p w14:paraId="0473104C" w14:textId="3D771514" w:rsidR="00F05A5F" w:rsidRPr="002462F0" w:rsidRDefault="00F05A5F" w:rsidP="00F05A5F">
      <w:pPr>
        <w:autoSpaceDE w:val="0"/>
        <w:autoSpaceDN w:val="0"/>
        <w:adjustRightInd w:val="0"/>
        <w:spacing w:after="0" w:line="240" w:lineRule="auto"/>
        <w:rPr>
          <w:lang w:val="en-US" w:eastAsia="fr-FR"/>
        </w:rPr>
      </w:pPr>
      <w:r w:rsidRPr="002462F0">
        <w:rPr>
          <w:lang w:val="en-US" w:eastAsia="fr-FR"/>
        </w:rPr>
        <w:t>In 20</w:t>
      </w:r>
      <w:r w:rsidR="002C7B6F">
        <w:rPr>
          <w:lang w:val="en-US" w:eastAsia="fr-FR"/>
        </w:rPr>
        <w:t>22</w:t>
      </w:r>
      <w:r w:rsidRPr="002462F0">
        <w:rPr>
          <w:lang w:val="en-US" w:eastAsia="fr-FR"/>
        </w:rPr>
        <w:t xml:space="preserve">, the category Other use of soda ash is </w:t>
      </w:r>
      <w:r w:rsidR="00B73C3A">
        <w:rPr>
          <w:lang w:val="en-US" w:eastAsia="fr-FR"/>
        </w:rPr>
        <w:t>neither</w:t>
      </w:r>
      <w:r w:rsidR="00B73C3A" w:rsidRPr="002462F0">
        <w:rPr>
          <w:lang w:val="en-US" w:eastAsia="fr-FR"/>
        </w:rPr>
        <w:t xml:space="preserve"> </w:t>
      </w:r>
      <w:r w:rsidRPr="002462F0">
        <w:rPr>
          <w:lang w:val="en-US" w:eastAsia="fr-FR"/>
        </w:rPr>
        <w:t>a key category in terms of emissions level nor in terms of emissions trend.</w:t>
      </w:r>
    </w:p>
    <w:p w14:paraId="65C6FB28" w14:textId="20DB5D10" w:rsidR="00F05A5F" w:rsidRPr="002462F0" w:rsidRDefault="002C7B6F" w:rsidP="00440E68">
      <w:pPr>
        <w:spacing w:after="0"/>
        <w:jc w:val="left"/>
        <w:rPr>
          <w:lang w:val="en-US" w:eastAsia="fr-FR"/>
        </w:rPr>
      </w:pPr>
      <w:r>
        <w:rPr>
          <w:noProof/>
          <w:lang w:val="en-US"/>
        </w:rPr>
        <w:lastRenderedPageBreak/>
        <w:drawing>
          <wp:inline distT="0" distB="0" distL="0" distR="0" wp14:anchorId="6499EDE8" wp14:editId="638CBEB8">
            <wp:extent cx="5716223" cy="1808451"/>
            <wp:effectExtent l="0" t="0" r="0" b="1905"/>
            <wp:docPr id="363473279"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3692" cy="1813978"/>
                    </a:xfrm>
                    <a:prstGeom prst="rect">
                      <a:avLst/>
                    </a:prstGeom>
                    <a:noFill/>
                  </pic:spPr>
                </pic:pic>
              </a:graphicData>
            </a:graphic>
          </wp:inline>
        </w:drawing>
      </w:r>
    </w:p>
    <w:p w14:paraId="6FCE7C7B" w14:textId="77777777" w:rsidR="00440E68" w:rsidRPr="002462F0" w:rsidRDefault="00440E68" w:rsidP="00440E68">
      <w:pPr>
        <w:pStyle w:val="Caption"/>
        <w:keepNext/>
        <w:spacing w:before="0" w:after="0"/>
        <w:jc w:val="left"/>
      </w:pPr>
      <w:bookmarkStart w:id="397" w:name="_Toc184808437"/>
      <w:r w:rsidRPr="002462F0">
        <w:t xml:space="preserve">Figure </w:t>
      </w:r>
      <w:r w:rsidRPr="002462F0">
        <w:fldChar w:fldCharType="begin"/>
      </w:r>
      <w:r w:rsidRPr="002462F0">
        <w:instrText xml:space="preserve"> SEQ Figure \* ARABIC </w:instrText>
      </w:r>
      <w:r w:rsidRPr="002462F0">
        <w:fldChar w:fldCharType="separate"/>
      </w:r>
      <w:r>
        <w:rPr>
          <w:noProof/>
        </w:rPr>
        <w:t>50</w:t>
      </w:r>
      <w:r w:rsidRPr="002462F0">
        <w:fldChar w:fldCharType="end"/>
      </w:r>
      <w:r w:rsidRPr="002462F0">
        <w:t>: GHG emissions for the other use of soda ash (kt CO</w:t>
      </w:r>
      <w:r w:rsidRPr="002462F0">
        <w:rPr>
          <w:vertAlign w:val="subscript"/>
        </w:rPr>
        <w:t>2</w:t>
      </w:r>
      <w:r w:rsidRPr="002462F0">
        <w:t>e)</w:t>
      </w:r>
      <w:bookmarkEnd w:id="397"/>
    </w:p>
    <w:p w14:paraId="7804EB94" w14:textId="77777777" w:rsidR="00440E68" w:rsidRDefault="00440E68" w:rsidP="00DA7B40">
      <w:pPr>
        <w:autoSpaceDE w:val="0"/>
        <w:autoSpaceDN w:val="0"/>
        <w:adjustRightInd w:val="0"/>
        <w:spacing w:after="0" w:line="240" w:lineRule="auto"/>
        <w:rPr>
          <w:rFonts w:cs="MyriadPro-Regular"/>
          <w:color w:val="1D1D1B"/>
          <w:szCs w:val="20"/>
        </w:rPr>
      </w:pPr>
    </w:p>
    <w:p w14:paraId="1D9E14C9" w14:textId="13888938" w:rsidR="009C273B" w:rsidRPr="002462F0" w:rsidRDefault="009C273B" w:rsidP="00DA7B40">
      <w:pPr>
        <w:autoSpaceDE w:val="0"/>
        <w:autoSpaceDN w:val="0"/>
        <w:adjustRightInd w:val="0"/>
        <w:spacing w:after="0" w:line="240" w:lineRule="auto"/>
        <w:rPr>
          <w:lang w:eastAsia="fr-FR"/>
        </w:rPr>
      </w:pPr>
      <w:r w:rsidRPr="002462F0">
        <w:rPr>
          <w:rFonts w:cs="MyriadPro-Regular"/>
          <w:color w:val="1D1D1B"/>
          <w:szCs w:val="20"/>
        </w:rPr>
        <w:t>CO</w:t>
      </w:r>
      <w:r w:rsidRPr="002462F0">
        <w:rPr>
          <w:rFonts w:cs="MyriadPro-Regular"/>
          <w:color w:val="1D1D1B"/>
          <w:szCs w:val="20"/>
          <w:vertAlign w:val="subscript"/>
        </w:rPr>
        <w:t>2</w:t>
      </w:r>
      <w:r w:rsidRPr="002462F0">
        <w:rPr>
          <w:rFonts w:cs="MyriadPro-Regular"/>
          <w:color w:val="1D1D1B"/>
          <w:szCs w:val="20"/>
        </w:rPr>
        <w:t xml:space="preserve"> emissions </w:t>
      </w:r>
      <w:r w:rsidR="00CF60D0">
        <w:rPr>
          <w:rFonts w:cs="MyriadPro-Regular"/>
          <w:color w:val="1D1D1B"/>
          <w:szCs w:val="20"/>
        </w:rPr>
        <w:t xml:space="preserve">vary significantly and the timeseries is not complete as </w:t>
      </w:r>
      <w:r w:rsidR="00771C20">
        <w:rPr>
          <w:rFonts w:cs="MyriadPro-Regular"/>
          <w:color w:val="1D1D1B"/>
          <w:szCs w:val="20"/>
        </w:rPr>
        <w:t xml:space="preserve">the soda ash consumptions in other mineral industries are calculated as the balance with the overall consumption and the ones from other subsectors. </w:t>
      </w:r>
    </w:p>
    <w:p w14:paraId="54902209" w14:textId="77777777" w:rsidR="00F05A5F" w:rsidRPr="002462F0" w:rsidRDefault="00F05A5F" w:rsidP="00F05A5F">
      <w:pPr>
        <w:pStyle w:val="Heading5"/>
        <w:rPr>
          <w:lang w:eastAsia="fr-FR"/>
        </w:rPr>
      </w:pPr>
      <w:bookmarkStart w:id="398" w:name="_Toc182327803"/>
      <w:r w:rsidRPr="002462F0">
        <w:rPr>
          <w:lang w:eastAsia="fr-FR"/>
        </w:rPr>
        <w:t>Methodological issues</w:t>
      </w:r>
      <w:bookmarkEnd w:id="398"/>
      <w:r w:rsidRPr="002462F0">
        <w:rPr>
          <w:lang w:eastAsia="fr-FR"/>
        </w:rPr>
        <w:t xml:space="preserve"> </w:t>
      </w:r>
    </w:p>
    <w:p w14:paraId="387683E5" w14:textId="77777777" w:rsidR="00DA7B40" w:rsidRPr="002462F0" w:rsidRDefault="00DA7B40" w:rsidP="00F56269">
      <w:pPr>
        <w:pStyle w:val="BodyText"/>
        <w:jc w:val="left"/>
        <w:rPr>
          <w:lang w:eastAsia="fr-FR"/>
        </w:rPr>
      </w:pPr>
    </w:p>
    <w:p w14:paraId="35AEACC0" w14:textId="069CD050" w:rsidR="00F56269" w:rsidRPr="002462F0" w:rsidRDefault="00F56269" w:rsidP="00F56269">
      <w:pPr>
        <w:pStyle w:val="BodyText"/>
        <w:jc w:val="left"/>
        <w:rPr>
          <w:lang w:eastAsia="fr-FR"/>
        </w:rPr>
      </w:pPr>
      <w:r w:rsidRPr="002462F0">
        <w:rPr>
          <w:lang w:eastAsia="fr-FR"/>
        </w:rPr>
        <w:t>The Tier 1 method from the 2006 IPCC Guidelines is used to calculate the CO</w:t>
      </w:r>
      <w:r w:rsidRPr="002462F0">
        <w:rPr>
          <w:vertAlign w:val="subscript"/>
          <w:lang w:eastAsia="fr-FR"/>
        </w:rPr>
        <w:t>2</w:t>
      </w:r>
      <w:r w:rsidRPr="002462F0">
        <w:rPr>
          <w:lang w:eastAsia="fr-FR"/>
        </w:rPr>
        <w:t xml:space="preserve"> emissions (equation 2.</w:t>
      </w:r>
      <w:r w:rsidR="00826E82">
        <w:rPr>
          <w:lang w:eastAsia="fr-FR"/>
        </w:rPr>
        <w:t xml:space="preserve">15 of the 2006 IPCC Guidelines </w:t>
      </w:r>
      <w:r w:rsidR="00826E82">
        <w:rPr>
          <w:lang w:eastAsia="fr-FR"/>
        </w:rPr>
        <w:fldChar w:fldCharType="begin"/>
      </w:r>
      <w:r w:rsidR="00826E82">
        <w:rPr>
          <w:lang w:eastAsia="fr-FR"/>
        </w:rPr>
        <w:instrText xml:space="preserve"> REF _Ref496788283 \r \h </w:instrText>
      </w:r>
      <w:r w:rsidR="00826E82">
        <w:rPr>
          <w:lang w:eastAsia="fr-FR"/>
        </w:rPr>
      </w:r>
      <w:r w:rsidR="00826E82">
        <w:rPr>
          <w:lang w:eastAsia="fr-FR"/>
        </w:rPr>
        <w:fldChar w:fldCharType="separate"/>
      </w:r>
      <w:r w:rsidR="00F14C78">
        <w:rPr>
          <w:lang w:eastAsia="fr-FR"/>
        </w:rPr>
        <w:t>[I7]</w:t>
      </w:r>
      <w:r w:rsidR="00826E82">
        <w:rPr>
          <w:lang w:eastAsia="fr-FR"/>
        </w:rPr>
        <w:fldChar w:fldCharType="end"/>
      </w:r>
      <w:r w:rsidRPr="002462F0">
        <w:rPr>
          <w:lang w:eastAsia="fr-FR"/>
        </w:rPr>
        <w:t xml:space="preserve">). </w:t>
      </w:r>
    </w:p>
    <w:p w14:paraId="0926234F" w14:textId="43F3FAB3" w:rsidR="00DA7B40" w:rsidRPr="002462F0" w:rsidRDefault="00F56269" w:rsidP="00BB0F4F">
      <w:pPr>
        <w:pStyle w:val="BodyText"/>
        <w:rPr>
          <w:color w:val="FF0000"/>
          <w:lang w:val="en-US" w:eastAsia="fr-FR"/>
        </w:rPr>
      </w:pPr>
      <w:r w:rsidRPr="002462F0">
        <w:rPr>
          <w:lang w:eastAsia="fr-FR"/>
        </w:rPr>
        <w:t>The activity d</w:t>
      </w:r>
      <w:r w:rsidR="00371E16" w:rsidRPr="002462F0">
        <w:rPr>
          <w:lang w:eastAsia="fr-FR"/>
        </w:rPr>
        <w:t xml:space="preserve">ata </w:t>
      </w:r>
      <w:r w:rsidR="002D55B2">
        <w:rPr>
          <w:lang w:eastAsia="fr-FR"/>
        </w:rPr>
        <w:t>are</w:t>
      </w:r>
      <w:r w:rsidR="002D55B2" w:rsidRPr="002462F0">
        <w:rPr>
          <w:lang w:eastAsia="fr-FR"/>
        </w:rPr>
        <w:t xml:space="preserve"> </w:t>
      </w:r>
      <w:r w:rsidR="00371E16" w:rsidRPr="002462F0">
        <w:rPr>
          <w:lang w:eastAsia="fr-FR"/>
        </w:rPr>
        <w:t>the national consumption</w:t>
      </w:r>
      <w:r w:rsidR="00F31B97">
        <w:rPr>
          <w:lang w:eastAsia="fr-FR"/>
        </w:rPr>
        <w:t>s</w:t>
      </w:r>
      <w:r w:rsidRPr="002462F0">
        <w:rPr>
          <w:lang w:eastAsia="fr-FR"/>
        </w:rPr>
        <w:t xml:space="preserve"> of soda ash. It </w:t>
      </w:r>
      <w:r w:rsidR="00440E68">
        <w:rPr>
          <w:lang w:eastAsia="fr-FR"/>
        </w:rPr>
        <w:t xml:space="preserve">is sourced </w:t>
      </w:r>
      <w:r w:rsidRPr="002462F0">
        <w:rPr>
          <w:lang w:eastAsia="fr-FR"/>
        </w:rPr>
        <w:t xml:space="preserve">from the </w:t>
      </w:r>
      <w:r w:rsidR="00C501A6" w:rsidRPr="002462F0">
        <w:rPr>
          <w:lang w:eastAsia="fr-FR"/>
        </w:rPr>
        <w:t>Statistical Office data</w:t>
      </w:r>
      <w:r w:rsidR="00826E82">
        <w:rPr>
          <w:lang w:eastAsia="fr-FR"/>
        </w:rPr>
        <w:t xml:space="preserve"> </w:t>
      </w:r>
      <w:r w:rsidR="00826E82">
        <w:rPr>
          <w:lang w:eastAsia="fr-FR"/>
        </w:rPr>
        <w:fldChar w:fldCharType="begin"/>
      </w:r>
      <w:r w:rsidR="00826E82">
        <w:rPr>
          <w:lang w:eastAsia="fr-FR"/>
        </w:rPr>
        <w:instrText xml:space="preserve"> REF _Ref496788199 \r \h </w:instrText>
      </w:r>
      <w:r w:rsidR="00826E82">
        <w:rPr>
          <w:lang w:eastAsia="fr-FR"/>
        </w:rPr>
      </w:r>
      <w:r w:rsidR="00826E82">
        <w:rPr>
          <w:lang w:eastAsia="fr-FR"/>
        </w:rPr>
        <w:fldChar w:fldCharType="separate"/>
      </w:r>
      <w:r w:rsidR="00F14C78">
        <w:rPr>
          <w:lang w:eastAsia="fr-FR"/>
        </w:rPr>
        <w:t>[I2]</w:t>
      </w:r>
      <w:r w:rsidR="00826E82">
        <w:rPr>
          <w:lang w:eastAsia="fr-FR"/>
        </w:rPr>
        <w:fldChar w:fldCharType="end"/>
      </w:r>
      <w:r w:rsidRPr="002462F0">
        <w:rPr>
          <w:lang w:eastAsia="fr-FR"/>
        </w:rPr>
        <w:t>.</w:t>
      </w:r>
      <w:r w:rsidR="00BB0F4F" w:rsidRPr="002462F0">
        <w:rPr>
          <w:color w:val="FF0000"/>
          <w:lang w:val="en-US" w:eastAsia="fr-FR"/>
        </w:rPr>
        <w:t xml:space="preserve"> </w:t>
      </w:r>
    </w:p>
    <w:p w14:paraId="0E1C4C2D" w14:textId="4E8A36D3" w:rsidR="00243F65" w:rsidRPr="002462F0" w:rsidRDefault="00F56269" w:rsidP="00F56269">
      <w:pPr>
        <w:rPr>
          <w:lang w:eastAsia="fr-FR"/>
        </w:rPr>
      </w:pPr>
      <w:r w:rsidRPr="002462F0">
        <w:rPr>
          <w:lang w:eastAsia="fr-FR"/>
        </w:rPr>
        <w:t>Default CO</w:t>
      </w:r>
      <w:r w:rsidRPr="002462F0">
        <w:rPr>
          <w:vertAlign w:val="subscript"/>
          <w:lang w:eastAsia="fr-FR"/>
        </w:rPr>
        <w:t>2</w:t>
      </w:r>
      <w:r w:rsidRPr="002462F0">
        <w:rPr>
          <w:lang w:eastAsia="fr-FR"/>
        </w:rPr>
        <w:t xml:space="preserve"> emission factor for soda ash is used. It </w:t>
      </w:r>
      <w:r w:rsidR="00440E68">
        <w:rPr>
          <w:lang w:eastAsia="fr-FR"/>
        </w:rPr>
        <w:t>is sourced</w:t>
      </w:r>
      <w:r w:rsidR="00826E82">
        <w:rPr>
          <w:lang w:eastAsia="fr-FR"/>
        </w:rPr>
        <w:t xml:space="preserve"> from the 2006 IPCC Guidelines </w:t>
      </w:r>
      <w:r w:rsidR="00826E82">
        <w:rPr>
          <w:lang w:eastAsia="fr-FR"/>
        </w:rPr>
        <w:fldChar w:fldCharType="begin"/>
      </w:r>
      <w:r w:rsidR="00826E82">
        <w:rPr>
          <w:lang w:eastAsia="fr-FR"/>
        </w:rPr>
        <w:instrText xml:space="preserve"> REF _Ref496788295 \r \h </w:instrText>
      </w:r>
      <w:r w:rsidR="00826E82">
        <w:rPr>
          <w:lang w:eastAsia="fr-FR"/>
        </w:rPr>
      </w:r>
      <w:r w:rsidR="00826E82">
        <w:rPr>
          <w:lang w:eastAsia="fr-FR"/>
        </w:rPr>
        <w:fldChar w:fldCharType="separate"/>
      </w:r>
      <w:r w:rsidR="00F14C78">
        <w:rPr>
          <w:lang w:eastAsia="fr-FR"/>
        </w:rPr>
        <w:t>[I8]</w:t>
      </w:r>
      <w:r w:rsidR="00826E82">
        <w:rPr>
          <w:lang w:eastAsia="fr-FR"/>
        </w:rPr>
        <w:fldChar w:fldCharType="end"/>
      </w:r>
      <w:r w:rsidRPr="002462F0">
        <w:rPr>
          <w:lang w:eastAsia="fr-FR"/>
        </w:rPr>
        <w:t xml:space="preserve"> (0.41492 t CO</w:t>
      </w:r>
      <w:r w:rsidRPr="002462F0">
        <w:rPr>
          <w:vertAlign w:val="subscript"/>
          <w:lang w:eastAsia="fr-FR"/>
        </w:rPr>
        <w:t>2</w:t>
      </w:r>
      <w:r w:rsidRPr="002462F0">
        <w:rPr>
          <w:lang w:eastAsia="fr-FR"/>
        </w:rPr>
        <w:t>/t soda ash), and it is considered constant over the entire time-series.</w:t>
      </w:r>
    </w:p>
    <w:p w14:paraId="6EA3026F" w14:textId="77777777" w:rsidR="00614555" w:rsidRPr="002462F0" w:rsidRDefault="00614555" w:rsidP="00EF33CB">
      <w:pPr>
        <w:pStyle w:val="Heading3"/>
        <w:rPr>
          <w:lang w:eastAsia="fr-FR"/>
        </w:rPr>
      </w:pPr>
      <w:bookmarkStart w:id="399" w:name="_Toc496101050"/>
      <w:bookmarkStart w:id="400" w:name="_Toc182327804"/>
      <w:bookmarkStart w:id="401" w:name="_Toc184808205"/>
      <w:r w:rsidRPr="002462F0">
        <w:rPr>
          <w:lang w:eastAsia="fr-FR"/>
        </w:rPr>
        <w:t>Uncertainties and time-series consistency</w:t>
      </w:r>
      <w:bookmarkEnd w:id="399"/>
      <w:bookmarkEnd w:id="400"/>
      <w:bookmarkEnd w:id="401"/>
    </w:p>
    <w:p w14:paraId="7EA13CFA" w14:textId="4E8914AA" w:rsidR="00636854" w:rsidRPr="002462F0" w:rsidRDefault="00636854" w:rsidP="00636854">
      <w:pPr>
        <w:autoSpaceDE w:val="0"/>
        <w:autoSpaceDN w:val="0"/>
        <w:adjustRightInd w:val="0"/>
        <w:spacing w:after="0" w:line="240" w:lineRule="auto"/>
        <w:rPr>
          <w:lang w:eastAsia="fr-FR"/>
        </w:rPr>
      </w:pPr>
      <w:r w:rsidRPr="002462F0">
        <w:rPr>
          <w:lang w:eastAsia="fr-FR"/>
        </w:rPr>
        <w:t>In 20</w:t>
      </w:r>
      <w:r w:rsidR="00EB4862">
        <w:rPr>
          <w:lang w:eastAsia="fr-FR"/>
        </w:rPr>
        <w:t>22</w:t>
      </w:r>
      <w:r w:rsidRPr="002462F0">
        <w:rPr>
          <w:lang w:eastAsia="fr-FR"/>
        </w:rPr>
        <w:t>, the uncertainty estimate associated with activity data for category 2A-Mineral industry is 2%, based on 2006 IPCC Guidelines.</w:t>
      </w:r>
    </w:p>
    <w:p w14:paraId="0AAD4F50" w14:textId="77777777" w:rsidR="00636854" w:rsidRPr="002462F0" w:rsidRDefault="00636854" w:rsidP="00636854">
      <w:pPr>
        <w:autoSpaceDE w:val="0"/>
        <w:autoSpaceDN w:val="0"/>
        <w:adjustRightInd w:val="0"/>
        <w:spacing w:after="0" w:line="240" w:lineRule="auto"/>
        <w:rPr>
          <w:lang w:eastAsia="fr-FR"/>
        </w:rPr>
      </w:pPr>
    </w:p>
    <w:p w14:paraId="35C879B8" w14:textId="77777777" w:rsidR="00636854" w:rsidRPr="002462F0" w:rsidRDefault="00636854" w:rsidP="00636854">
      <w:pPr>
        <w:autoSpaceDE w:val="0"/>
        <w:autoSpaceDN w:val="0"/>
        <w:adjustRightInd w:val="0"/>
        <w:spacing w:after="0" w:line="240" w:lineRule="auto"/>
        <w:rPr>
          <w:lang w:eastAsia="fr-FR"/>
        </w:rPr>
      </w:pPr>
      <w:r w:rsidRPr="002462F0">
        <w:rPr>
          <w:lang w:eastAsia="fr-FR"/>
        </w:rPr>
        <w:t>Uncertainty estimate associated with CO</w:t>
      </w:r>
      <w:r w:rsidRPr="002462F0">
        <w:rPr>
          <w:vertAlign w:val="subscript"/>
          <w:lang w:eastAsia="fr-FR"/>
        </w:rPr>
        <w:t>2</w:t>
      </w:r>
      <w:r w:rsidRPr="002462F0">
        <w:rPr>
          <w:lang w:eastAsia="fr-FR"/>
        </w:rPr>
        <w:t xml:space="preserve"> default emission factor for category 2A-Mineral industry is 2%, accordingly to values reported in </w:t>
      </w:r>
      <w:r w:rsidR="00A636B7" w:rsidRPr="002462F0">
        <w:rPr>
          <w:lang w:eastAsia="fr-FR"/>
        </w:rPr>
        <w:t>2006</w:t>
      </w:r>
      <w:r w:rsidRPr="002462F0">
        <w:rPr>
          <w:lang w:eastAsia="fr-FR"/>
        </w:rPr>
        <w:t xml:space="preserve"> IPCC Guidelines</w:t>
      </w:r>
      <w:r w:rsidR="005836BF" w:rsidRPr="002462F0">
        <w:rPr>
          <w:lang w:eastAsia="fr-FR"/>
        </w:rPr>
        <w:t>.</w:t>
      </w:r>
    </w:p>
    <w:p w14:paraId="66F25086" w14:textId="77777777" w:rsidR="00636854" w:rsidRPr="002462F0" w:rsidRDefault="00636854" w:rsidP="00636854">
      <w:pPr>
        <w:autoSpaceDE w:val="0"/>
        <w:autoSpaceDN w:val="0"/>
        <w:adjustRightInd w:val="0"/>
        <w:spacing w:after="0" w:line="240" w:lineRule="auto"/>
        <w:rPr>
          <w:lang w:eastAsia="fr-FR"/>
        </w:rPr>
      </w:pPr>
    </w:p>
    <w:p w14:paraId="790805DC" w14:textId="7BEA99B1" w:rsidR="00636854" w:rsidRPr="002462F0" w:rsidRDefault="00636854" w:rsidP="00636854">
      <w:pPr>
        <w:autoSpaceDE w:val="0"/>
        <w:autoSpaceDN w:val="0"/>
        <w:adjustRightInd w:val="0"/>
        <w:spacing w:after="0" w:line="240" w:lineRule="auto"/>
        <w:rPr>
          <w:lang w:eastAsia="fr-FR"/>
        </w:rPr>
      </w:pPr>
      <w:r w:rsidRPr="002462F0">
        <w:rPr>
          <w:lang w:eastAsia="fr-FR"/>
        </w:rPr>
        <w:t>Combined uncertainty for CO</w:t>
      </w:r>
      <w:r w:rsidRPr="002462F0">
        <w:rPr>
          <w:vertAlign w:val="subscript"/>
          <w:lang w:eastAsia="fr-FR"/>
        </w:rPr>
        <w:t>2</w:t>
      </w:r>
      <w:r w:rsidRPr="002462F0">
        <w:rPr>
          <w:lang w:eastAsia="fr-FR"/>
        </w:rPr>
        <w:t xml:space="preserve"> emissions is </w:t>
      </w:r>
      <w:r w:rsidR="00C47969">
        <w:rPr>
          <w:lang w:eastAsia="fr-FR"/>
        </w:rPr>
        <w:t>0.1</w:t>
      </w:r>
      <w:r w:rsidRPr="002462F0">
        <w:rPr>
          <w:lang w:eastAsia="fr-FR"/>
        </w:rPr>
        <w:t>%</w:t>
      </w:r>
      <w:r w:rsidR="002B7593">
        <w:rPr>
          <w:lang w:eastAsia="fr-FR"/>
        </w:rPr>
        <w:t xml:space="preserve"> in the total national levels of emission in 2022, excluding LULUCF contribution</w:t>
      </w:r>
      <w:r w:rsidRPr="002462F0">
        <w:rPr>
          <w:lang w:eastAsia="fr-FR"/>
        </w:rPr>
        <w:t>.</w:t>
      </w:r>
    </w:p>
    <w:p w14:paraId="43D5B950" w14:textId="77777777" w:rsidR="00EF33CB" w:rsidRPr="002462F0" w:rsidRDefault="00614555" w:rsidP="00EF33CB">
      <w:pPr>
        <w:pStyle w:val="Heading3"/>
        <w:rPr>
          <w:lang w:eastAsia="fr-FR"/>
        </w:rPr>
      </w:pPr>
      <w:bookmarkStart w:id="402" w:name="_Toc496101051"/>
      <w:bookmarkStart w:id="403" w:name="_Toc182327805"/>
      <w:bookmarkStart w:id="404" w:name="_Toc184808206"/>
      <w:r w:rsidRPr="002462F0">
        <w:rPr>
          <w:lang w:eastAsia="fr-FR"/>
        </w:rPr>
        <w:t>Category-specific QA/QC and verification</w:t>
      </w:r>
      <w:bookmarkEnd w:id="402"/>
      <w:bookmarkEnd w:id="403"/>
      <w:bookmarkEnd w:id="404"/>
    </w:p>
    <w:p w14:paraId="79331D95" w14:textId="721716A1" w:rsidR="008B7C92" w:rsidRPr="002462F0" w:rsidRDefault="008B7C92" w:rsidP="008F2412">
      <w:pPr>
        <w:pStyle w:val="BodyText"/>
        <w:rPr>
          <w:lang w:val="en-US" w:eastAsia="fr-FR"/>
        </w:rPr>
      </w:pPr>
      <w:r w:rsidRPr="002462F0">
        <w:rPr>
          <w:lang w:eastAsia="fr-FR"/>
        </w:rPr>
        <w:t>During the preparation of the inventory submission, activities related to quality control were mainly focused on completeness and consistency of emission estimates</w:t>
      </w:r>
      <w:r w:rsidR="00FA37BE" w:rsidRPr="002462F0">
        <w:rPr>
          <w:lang w:eastAsia="fr-FR"/>
        </w:rPr>
        <w:t>,</w:t>
      </w:r>
      <w:r w:rsidRPr="002462F0">
        <w:rPr>
          <w:lang w:eastAsia="fr-FR"/>
        </w:rPr>
        <w:t xml:space="preserve">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3BF50E98" w14:textId="77777777" w:rsidR="00EF33CB" w:rsidRPr="002462F0" w:rsidRDefault="00614555" w:rsidP="00EF33CB">
      <w:pPr>
        <w:pStyle w:val="Heading3"/>
        <w:rPr>
          <w:lang w:eastAsia="fr-FR"/>
        </w:rPr>
      </w:pPr>
      <w:bookmarkStart w:id="405" w:name="_Toc496101052"/>
      <w:bookmarkStart w:id="406" w:name="_Toc182327806"/>
      <w:bookmarkStart w:id="407" w:name="_Toc184808207"/>
      <w:r w:rsidRPr="002462F0">
        <w:rPr>
          <w:lang w:eastAsia="fr-FR"/>
        </w:rPr>
        <w:t>Category-specific recalculations</w:t>
      </w:r>
      <w:bookmarkEnd w:id="405"/>
      <w:bookmarkEnd w:id="406"/>
      <w:bookmarkEnd w:id="407"/>
    </w:p>
    <w:p w14:paraId="433D9EB5" w14:textId="1DCC558D" w:rsidR="00636854" w:rsidRPr="002462F0" w:rsidRDefault="00636854" w:rsidP="008F2412">
      <w:pPr>
        <w:pStyle w:val="BodyText"/>
        <w:rPr>
          <w:lang w:val="en-US" w:eastAsia="fr-FR"/>
        </w:rPr>
      </w:pPr>
      <w:r w:rsidRPr="002462F0">
        <w:t xml:space="preserve">The current report is the first </w:t>
      </w:r>
      <w:r w:rsidR="00CB4BC2">
        <w:t>National Inventory Document</w:t>
      </w:r>
      <w:r w:rsidRPr="002462F0">
        <w:t xml:space="preserve"> for Serbia. Consequently, there is no recalculation. Possible recalculation will be occurred and estimated in the next submission if necessary.</w:t>
      </w:r>
    </w:p>
    <w:p w14:paraId="2DFE5627" w14:textId="77777777" w:rsidR="00EF33CB" w:rsidRPr="002462F0" w:rsidRDefault="00614555" w:rsidP="00EF33CB">
      <w:pPr>
        <w:pStyle w:val="Heading3"/>
        <w:rPr>
          <w:lang w:eastAsia="fr-FR"/>
        </w:rPr>
      </w:pPr>
      <w:bookmarkStart w:id="408" w:name="_Toc496101053"/>
      <w:bookmarkStart w:id="409" w:name="_Toc182327807"/>
      <w:bookmarkStart w:id="410" w:name="_Toc184808208"/>
      <w:r w:rsidRPr="002462F0">
        <w:rPr>
          <w:lang w:eastAsia="fr-FR"/>
        </w:rPr>
        <w:lastRenderedPageBreak/>
        <w:t>Category-specific planned improvements</w:t>
      </w:r>
      <w:bookmarkEnd w:id="408"/>
      <w:bookmarkEnd w:id="409"/>
      <w:bookmarkEnd w:id="410"/>
    </w:p>
    <w:p w14:paraId="113BEC30" w14:textId="77777777" w:rsidR="001D4E97" w:rsidRDefault="00C571DD" w:rsidP="001D4E97">
      <w:pPr>
        <w:rPr>
          <w:lang w:val="en-US"/>
        </w:rPr>
      </w:pPr>
      <w:r w:rsidRPr="002462F0">
        <w:rPr>
          <w:lang w:val="en-US"/>
        </w:rPr>
        <w:t xml:space="preserve">For the mineral industry, </w:t>
      </w:r>
      <w:r w:rsidR="00B82725" w:rsidRPr="002462F0">
        <w:rPr>
          <w:lang w:val="en-US"/>
        </w:rPr>
        <w:t xml:space="preserve">especially for the soda ash consumption, </w:t>
      </w:r>
      <w:r w:rsidRPr="002462F0">
        <w:rPr>
          <w:lang w:val="en-US"/>
        </w:rPr>
        <w:t>the completeness of the activity data set has to be improved.</w:t>
      </w:r>
    </w:p>
    <w:p w14:paraId="42E0B4FF" w14:textId="7ACC1E17" w:rsidR="00DE6BE9" w:rsidRPr="00055845" w:rsidRDefault="00DE6BE9" w:rsidP="00DE6BE9">
      <w:pPr>
        <w:pStyle w:val="Heading2"/>
        <w:rPr>
          <w:rStyle w:val="Heading2Char"/>
          <w:b/>
          <w:bCs/>
          <w:lang w:val="en-GB"/>
        </w:rPr>
      </w:pPr>
      <w:bookmarkStart w:id="411" w:name="_Toc184806309"/>
      <w:bookmarkStart w:id="412" w:name="_Toc184808209"/>
      <w:bookmarkStart w:id="413" w:name="_Toc182327808"/>
      <w:bookmarkStart w:id="414" w:name="_Toc184808210"/>
      <w:bookmarkEnd w:id="411"/>
      <w:bookmarkEnd w:id="412"/>
      <w:r w:rsidRPr="00622F40">
        <w:rPr>
          <w:rStyle w:val="Heading2Char"/>
          <w:b/>
          <w:bCs/>
          <w:lang w:val="en-GB"/>
        </w:rPr>
        <w:t>Chemical industry (</w:t>
      </w:r>
      <w:r w:rsidR="000F6001">
        <w:rPr>
          <w:rStyle w:val="Heading2Char"/>
          <w:b/>
          <w:bCs/>
          <w:lang w:val="en-GB"/>
        </w:rPr>
        <w:t>CRT</w:t>
      </w:r>
      <w:r w:rsidRPr="00622F40">
        <w:rPr>
          <w:rStyle w:val="Heading2Char"/>
          <w:b/>
          <w:bCs/>
          <w:lang w:val="en-GB"/>
        </w:rPr>
        <w:t xml:space="preserve"> 2B)</w:t>
      </w:r>
      <w:bookmarkEnd w:id="413"/>
      <w:bookmarkEnd w:id="414"/>
    </w:p>
    <w:p w14:paraId="418C6005" w14:textId="1AC0A272" w:rsidR="00DE6BE9" w:rsidRDefault="00372F17" w:rsidP="00DE6BE9">
      <w:pPr>
        <w:rPr>
          <w:lang w:val="en-US" w:eastAsia="fr-FR"/>
        </w:rPr>
      </w:pPr>
      <w:r>
        <w:rPr>
          <w:lang w:val="en-US" w:eastAsia="fr-FR"/>
        </w:rPr>
        <w:t>In 2022, the c</w:t>
      </w:r>
      <w:r w:rsidR="00DE6BE9" w:rsidRPr="002462F0">
        <w:rPr>
          <w:lang w:val="en-US" w:eastAsia="fr-FR"/>
        </w:rPr>
        <w:t xml:space="preserve">hemical industry represents </w:t>
      </w:r>
      <w:r w:rsidR="0075468D">
        <w:rPr>
          <w:lang w:val="en-US" w:eastAsia="fr-FR"/>
        </w:rPr>
        <w:t>6</w:t>
      </w:r>
      <w:r w:rsidR="00DE6BE9" w:rsidRPr="002462F0">
        <w:rPr>
          <w:lang w:val="en-US" w:eastAsia="fr-FR"/>
        </w:rPr>
        <w:t>% of the Industrial Processes and Product Use GHG emissions and</w:t>
      </w:r>
      <w:r w:rsidR="007508E4">
        <w:rPr>
          <w:lang w:val="en-US" w:eastAsia="fr-FR"/>
        </w:rPr>
        <w:t xml:space="preserve"> </w:t>
      </w:r>
      <w:r w:rsidR="00D27657">
        <w:rPr>
          <w:lang w:val="en-US" w:eastAsia="fr-FR"/>
        </w:rPr>
        <w:t>0.5</w:t>
      </w:r>
      <w:r w:rsidR="00DE6BE9" w:rsidRPr="002462F0">
        <w:rPr>
          <w:lang w:val="en-US" w:eastAsia="fr-FR"/>
        </w:rPr>
        <w:t xml:space="preserve">% of the national GHG emissions </w:t>
      </w:r>
      <w:r w:rsidR="00D27657">
        <w:rPr>
          <w:lang w:val="en-US" w:eastAsia="fr-FR"/>
        </w:rPr>
        <w:t>excluding</w:t>
      </w:r>
      <w:r w:rsidR="00DE6BE9" w:rsidRPr="002462F0">
        <w:rPr>
          <w:lang w:val="en-US" w:eastAsia="fr-FR"/>
        </w:rPr>
        <w:t xml:space="preserve"> LULUCF. </w:t>
      </w:r>
      <w:r w:rsidR="00D27657">
        <w:rPr>
          <w:lang w:val="en-US" w:eastAsia="fr-FR"/>
        </w:rPr>
        <w:t>During the timeseries, the m</w:t>
      </w:r>
      <w:r w:rsidR="00DE6BE9" w:rsidRPr="002462F0">
        <w:rPr>
          <w:lang w:val="en-US" w:eastAsia="fr-FR"/>
        </w:rPr>
        <w:t xml:space="preserve">ain chemical activities occurring in Serbia are </w:t>
      </w:r>
      <w:r w:rsidR="00D27657">
        <w:rPr>
          <w:lang w:val="en-US" w:eastAsia="fr-FR"/>
        </w:rPr>
        <w:t>the</w:t>
      </w:r>
      <w:r w:rsidR="00B42721">
        <w:rPr>
          <w:lang w:val="en-US" w:eastAsia="fr-FR"/>
        </w:rPr>
        <w:t xml:space="preserve"> productions of</w:t>
      </w:r>
      <w:r w:rsidR="00D27657">
        <w:rPr>
          <w:lang w:val="en-US" w:eastAsia="fr-FR"/>
        </w:rPr>
        <w:t xml:space="preserve"> </w:t>
      </w:r>
      <w:r w:rsidR="00DE6BE9" w:rsidRPr="002462F0">
        <w:rPr>
          <w:lang w:val="en-US" w:eastAsia="fr-FR"/>
        </w:rPr>
        <w:t>ammonia, nitric acid, petrochemical</w:t>
      </w:r>
      <w:r w:rsidR="00B42721">
        <w:rPr>
          <w:lang w:val="en-US" w:eastAsia="fr-FR"/>
        </w:rPr>
        <w:t>s</w:t>
      </w:r>
      <w:r w:rsidR="00DE6BE9" w:rsidRPr="002462F0">
        <w:rPr>
          <w:lang w:val="en-US" w:eastAsia="fr-FR"/>
        </w:rPr>
        <w:t xml:space="preserve"> and other chemical</w:t>
      </w:r>
      <w:r w:rsidR="00B42721">
        <w:rPr>
          <w:lang w:val="en-US" w:eastAsia="fr-FR"/>
        </w:rPr>
        <w:t>s</w:t>
      </w:r>
      <w:r w:rsidR="00DE6BE9" w:rsidRPr="002462F0">
        <w:rPr>
          <w:lang w:val="en-US" w:eastAsia="fr-FR"/>
        </w:rPr>
        <w:t>.</w:t>
      </w:r>
    </w:p>
    <w:p w14:paraId="6C2B6C9D" w14:textId="59815C5A" w:rsidR="00313D0B" w:rsidRDefault="00313D0B" w:rsidP="00313D0B">
      <w:pPr>
        <w:rPr>
          <w:lang w:eastAsia="fr-FR"/>
        </w:rPr>
      </w:pPr>
      <w:r w:rsidRPr="002462F0">
        <w:rPr>
          <w:lang w:eastAsia="fr-FR"/>
        </w:rPr>
        <w:t xml:space="preserve">In </w:t>
      </w:r>
      <w:r>
        <w:rPr>
          <w:lang w:eastAsia="fr-FR"/>
        </w:rPr>
        <w:t xml:space="preserve">the Republic of </w:t>
      </w:r>
      <w:r w:rsidRPr="002462F0">
        <w:rPr>
          <w:lang w:eastAsia="fr-FR"/>
        </w:rPr>
        <w:t xml:space="preserve">Serbia, </w:t>
      </w:r>
      <w:r w:rsidR="007A4FA8">
        <w:rPr>
          <w:lang w:eastAsia="fr-FR"/>
        </w:rPr>
        <w:t>chemical</w:t>
      </w:r>
      <w:r w:rsidRPr="002462F0">
        <w:rPr>
          <w:lang w:eastAsia="fr-FR"/>
        </w:rPr>
        <w:t xml:space="preserve"> productions used to be </w:t>
      </w:r>
      <w:r w:rsidR="007A4FA8">
        <w:rPr>
          <w:lang w:eastAsia="fr-FR"/>
        </w:rPr>
        <w:t xml:space="preserve">rather </w:t>
      </w:r>
      <w:r w:rsidR="00E31ABD">
        <w:rPr>
          <w:lang w:eastAsia="fr-FR"/>
        </w:rPr>
        <w:t>significant</w:t>
      </w:r>
      <w:r w:rsidR="007A4FA8">
        <w:rPr>
          <w:lang w:eastAsia="fr-FR"/>
        </w:rPr>
        <w:t xml:space="preserve"> and represented </w:t>
      </w:r>
      <w:r w:rsidR="007A3FB8">
        <w:rPr>
          <w:lang w:eastAsia="fr-FR"/>
        </w:rPr>
        <w:t xml:space="preserve">25% of the IPPU </w:t>
      </w:r>
      <w:r w:rsidR="00E31ABD">
        <w:rPr>
          <w:lang w:eastAsia="fr-FR"/>
        </w:rPr>
        <w:t xml:space="preserve">GHG </w:t>
      </w:r>
      <w:r w:rsidR="007A3FB8">
        <w:rPr>
          <w:lang w:eastAsia="fr-FR"/>
        </w:rPr>
        <w:t xml:space="preserve">emissions </w:t>
      </w:r>
      <w:r w:rsidR="0006269E">
        <w:rPr>
          <w:lang w:eastAsia="fr-FR"/>
        </w:rPr>
        <w:t xml:space="preserve">in 1990, </w:t>
      </w:r>
      <w:r w:rsidRPr="002462F0">
        <w:rPr>
          <w:lang w:eastAsia="fr-FR"/>
        </w:rPr>
        <w:t>because of significant production</w:t>
      </w:r>
      <w:r w:rsidR="0006269E">
        <w:rPr>
          <w:lang w:eastAsia="fr-FR"/>
        </w:rPr>
        <w:t>s</w:t>
      </w:r>
      <w:r w:rsidRPr="002462F0">
        <w:rPr>
          <w:lang w:eastAsia="fr-FR"/>
        </w:rPr>
        <w:t xml:space="preserve"> </w:t>
      </w:r>
      <w:r w:rsidR="0006269E">
        <w:rPr>
          <w:lang w:eastAsia="fr-FR"/>
        </w:rPr>
        <w:t>of ammonia, nitric acid and ethylene</w:t>
      </w:r>
      <w:r w:rsidRPr="002462F0">
        <w:rPr>
          <w:lang w:eastAsia="fr-FR"/>
        </w:rPr>
        <w:t xml:space="preserve">. </w:t>
      </w:r>
      <w:r w:rsidR="00B249CB">
        <w:rPr>
          <w:lang w:eastAsia="fr-FR"/>
        </w:rPr>
        <w:t>The</w:t>
      </w:r>
      <w:r>
        <w:rPr>
          <w:lang w:eastAsia="fr-FR"/>
        </w:rPr>
        <w:t xml:space="preserve"> </w:t>
      </w:r>
      <w:r w:rsidRPr="002462F0">
        <w:rPr>
          <w:lang w:eastAsia="fr-FR"/>
        </w:rPr>
        <w:t>production</w:t>
      </w:r>
      <w:r>
        <w:rPr>
          <w:lang w:eastAsia="fr-FR"/>
        </w:rPr>
        <w:t>s</w:t>
      </w:r>
      <w:r w:rsidRPr="002462F0">
        <w:rPr>
          <w:lang w:eastAsia="fr-FR"/>
        </w:rPr>
        <w:t xml:space="preserve"> </w:t>
      </w:r>
      <w:r w:rsidR="004A077B">
        <w:rPr>
          <w:lang w:eastAsia="fr-FR"/>
        </w:rPr>
        <w:t xml:space="preserve">declined </w:t>
      </w:r>
      <w:r w:rsidRPr="002462F0">
        <w:rPr>
          <w:lang w:eastAsia="fr-FR"/>
        </w:rPr>
        <w:t xml:space="preserve">in the nineties, </w:t>
      </w:r>
      <w:r w:rsidR="004A077B">
        <w:rPr>
          <w:lang w:eastAsia="fr-FR"/>
        </w:rPr>
        <w:t>after the</w:t>
      </w:r>
      <w:r w:rsidR="00440E68">
        <w:rPr>
          <w:lang w:eastAsia="fr-FR"/>
        </w:rPr>
        <w:t xml:space="preserve"> economic downturn and </w:t>
      </w:r>
      <w:r w:rsidR="004A077B">
        <w:rPr>
          <w:lang w:eastAsia="fr-FR"/>
        </w:rPr>
        <w:t xml:space="preserve">period of </w:t>
      </w:r>
      <w:r>
        <w:rPr>
          <w:lang w:eastAsia="fr-FR"/>
        </w:rPr>
        <w:t xml:space="preserve">hyperinflation </w:t>
      </w:r>
      <w:r w:rsidR="004A077B">
        <w:rPr>
          <w:lang w:eastAsia="fr-FR"/>
        </w:rPr>
        <w:t>(1990-199</w:t>
      </w:r>
      <w:r w:rsidR="00440E68">
        <w:rPr>
          <w:lang w:eastAsia="fr-FR"/>
        </w:rPr>
        <w:t>4</w:t>
      </w:r>
      <w:r w:rsidR="004A077B">
        <w:rPr>
          <w:lang w:eastAsia="fr-FR"/>
        </w:rPr>
        <w:t xml:space="preserve">) </w:t>
      </w:r>
      <w:r>
        <w:rPr>
          <w:lang w:eastAsia="fr-FR"/>
        </w:rPr>
        <w:t xml:space="preserve">and </w:t>
      </w:r>
      <w:r w:rsidR="004A077B">
        <w:rPr>
          <w:lang w:eastAsia="fr-FR"/>
        </w:rPr>
        <w:t xml:space="preserve">the </w:t>
      </w:r>
      <w:r>
        <w:rPr>
          <w:lang w:eastAsia="fr-FR"/>
        </w:rPr>
        <w:t>NATO bombing</w:t>
      </w:r>
      <w:r w:rsidRPr="002462F0">
        <w:rPr>
          <w:lang w:eastAsia="fr-FR"/>
        </w:rPr>
        <w:t xml:space="preserve">. Then, the economic crisis in 2009 implied </w:t>
      </w:r>
      <w:r>
        <w:rPr>
          <w:lang w:eastAsia="fr-FR"/>
        </w:rPr>
        <w:t xml:space="preserve">a sudden </w:t>
      </w:r>
      <w:r w:rsidRPr="002462F0">
        <w:rPr>
          <w:lang w:eastAsia="fr-FR"/>
        </w:rPr>
        <w:t xml:space="preserve">production decrease. </w:t>
      </w:r>
      <w:r w:rsidR="005530A3">
        <w:rPr>
          <w:lang w:eastAsia="fr-FR"/>
        </w:rPr>
        <w:t xml:space="preserve">Finally, after several variations in the trend of emissions, </w:t>
      </w:r>
      <w:r w:rsidR="008227B8">
        <w:rPr>
          <w:lang w:eastAsia="fr-FR"/>
        </w:rPr>
        <w:t>the GHG emissions dropped drastically in 2019 following the stop of the ammonia and nitric acid productions, before being rather stable from 2020 onwards</w:t>
      </w:r>
      <w:r w:rsidRPr="002462F0">
        <w:rPr>
          <w:lang w:eastAsia="fr-FR"/>
        </w:rPr>
        <w:t>.</w:t>
      </w:r>
      <w:r>
        <w:rPr>
          <w:lang w:eastAsia="fr-FR"/>
        </w:rPr>
        <w:t xml:space="preserve"> The observed GHG emission</w:t>
      </w:r>
      <w:r w:rsidR="008227B8">
        <w:rPr>
          <w:lang w:eastAsia="fr-FR"/>
        </w:rPr>
        <w:t>s</w:t>
      </w:r>
      <w:r>
        <w:rPr>
          <w:lang w:eastAsia="fr-FR"/>
        </w:rPr>
        <w:t xml:space="preserve"> </w:t>
      </w:r>
      <w:r w:rsidR="008227B8">
        <w:rPr>
          <w:lang w:eastAsia="fr-FR"/>
        </w:rPr>
        <w:t>for the CRT 2B in 2022</w:t>
      </w:r>
      <w:r>
        <w:rPr>
          <w:lang w:eastAsia="fr-FR"/>
        </w:rPr>
        <w:t xml:space="preserve"> </w:t>
      </w:r>
      <w:r w:rsidR="008227B8">
        <w:rPr>
          <w:lang w:eastAsia="fr-FR"/>
        </w:rPr>
        <w:t xml:space="preserve">are </w:t>
      </w:r>
      <w:r w:rsidR="00863FBA">
        <w:rPr>
          <w:lang w:eastAsia="fr-FR"/>
        </w:rPr>
        <w:t xml:space="preserve">78% lower than in </w:t>
      </w:r>
      <w:r>
        <w:rPr>
          <w:lang w:eastAsia="fr-FR"/>
        </w:rPr>
        <w:t>1990</w:t>
      </w:r>
      <w:r w:rsidR="008227B8">
        <w:rPr>
          <w:lang w:eastAsia="fr-FR"/>
        </w:rPr>
        <w:t>.</w:t>
      </w:r>
      <w:r w:rsidR="0098634C">
        <w:rPr>
          <w:lang w:eastAsia="fr-FR"/>
        </w:rPr>
        <w:t xml:space="preserve"> </w:t>
      </w:r>
    </w:p>
    <w:p w14:paraId="6CDB08C5" w14:textId="77777777" w:rsidR="00E852B8" w:rsidRDefault="00313D0B" w:rsidP="00313D0B">
      <w:pPr>
        <w:rPr>
          <w:lang w:eastAsia="fr-FR"/>
        </w:rPr>
      </w:pPr>
      <w:r>
        <w:rPr>
          <w:lang w:eastAsia="fr-FR"/>
        </w:rPr>
        <w:t>The emission</w:t>
      </w:r>
      <w:r w:rsidR="00F71A59">
        <w:rPr>
          <w:lang w:eastAsia="fr-FR"/>
        </w:rPr>
        <w:t xml:space="preserve"> distribution</w:t>
      </w:r>
      <w:r>
        <w:rPr>
          <w:lang w:eastAsia="fr-FR"/>
        </w:rPr>
        <w:t xml:space="preserve"> </w:t>
      </w:r>
      <w:r w:rsidR="00F71A59">
        <w:rPr>
          <w:lang w:eastAsia="fr-FR"/>
        </w:rPr>
        <w:t xml:space="preserve">between the different GHG for the chemical industries evolved </w:t>
      </w:r>
      <w:r w:rsidR="001C6DEB">
        <w:rPr>
          <w:lang w:eastAsia="fr-FR"/>
        </w:rPr>
        <w:t xml:space="preserve">significantly during the timeseries and almost only </w:t>
      </w:r>
      <w:r>
        <w:rPr>
          <w:lang w:eastAsia="fr-FR"/>
        </w:rPr>
        <w:t>CO</w:t>
      </w:r>
      <w:r w:rsidRPr="006374AD">
        <w:rPr>
          <w:vertAlign w:val="subscript"/>
          <w:lang w:eastAsia="fr-FR"/>
        </w:rPr>
        <w:t>2</w:t>
      </w:r>
      <w:r w:rsidR="001C6DEB">
        <w:rPr>
          <w:lang w:eastAsia="fr-FR"/>
        </w:rPr>
        <w:t xml:space="preserve"> contributes to the total in 2022 (96%), the rest being CH</w:t>
      </w:r>
      <w:r w:rsidR="001C6DEB" w:rsidRPr="00622F40">
        <w:rPr>
          <w:vertAlign w:val="subscript"/>
          <w:lang w:eastAsia="fr-FR"/>
        </w:rPr>
        <w:t>4</w:t>
      </w:r>
      <w:r w:rsidR="001C6DEB">
        <w:rPr>
          <w:lang w:eastAsia="fr-FR"/>
        </w:rPr>
        <w:t>, whereas N</w:t>
      </w:r>
      <w:r w:rsidR="001C6DEB" w:rsidRPr="00622F40">
        <w:rPr>
          <w:vertAlign w:val="subscript"/>
          <w:lang w:eastAsia="fr-FR"/>
        </w:rPr>
        <w:t>2</w:t>
      </w:r>
      <w:r w:rsidR="001C6DEB">
        <w:rPr>
          <w:lang w:eastAsia="fr-FR"/>
        </w:rPr>
        <w:t xml:space="preserve">O was representing </w:t>
      </w:r>
      <w:r w:rsidR="00976F9A">
        <w:rPr>
          <w:lang w:eastAsia="fr-FR"/>
        </w:rPr>
        <w:t xml:space="preserve">41% of the sector totals in 1990. This is </w:t>
      </w:r>
      <w:r w:rsidR="0025515B">
        <w:rPr>
          <w:lang w:eastAsia="fr-FR"/>
        </w:rPr>
        <w:t xml:space="preserve">due to the drop in the </w:t>
      </w:r>
      <w:r w:rsidR="00E852B8">
        <w:rPr>
          <w:lang w:eastAsia="fr-FR"/>
        </w:rPr>
        <w:t>production</w:t>
      </w:r>
      <w:r w:rsidR="0025515B">
        <w:rPr>
          <w:lang w:eastAsia="fr-FR"/>
        </w:rPr>
        <w:t xml:space="preserve"> of nitric acid.</w:t>
      </w:r>
      <w:r>
        <w:rPr>
          <w:lang w:eastAsia="fr-FR"/>
        </w:rPr>
        <w:t xml:space="preserve"> </w:t>
      </w:r>
    </w:p>
    <w:p w14:paraId="58F2AFFB" w14:textId="28BAEABC" w:rsidR="00313D0B" w:rsidRDefault="00E852B8" w:rsidP="007759DA">
      <w:pPr>
        <w:spacing w:after="120" w:line="240" w:lineRule="auto"/>
        <w:rPr>
          <w:lang w:eastAsia="fr-FR"/>
        </w:rPr>
      </w:pPr>
      <w:r>
        <w:rPr>
          <w:lang w:eastAsia="fr-FR"/>
        </w:rPr>
        <w:t xml:space="preserve">In 1990, the sector GHG emissions were </w:t>
      </w:r>
      <w:r w:rsidR="00313D0B">
        <w:rPr>
          <w:lang w:eastAsia="fr-FR"/>
        </w:rPr>
        <w:t xml:space="preserve">dominated by the subsector of the </w:t>
      </w:r>
      <w:r w:rsidR="00D70896">
        <w:rPr>
          <w:lang w:eastAsia="fr-FR"/>
        </w:rPr>
        <w:t xml:space="preserve">nitric acid </w:t>
      </w:r>
      <w:r w:rsidR="00313D0B">
        <w:rPr>
          <w:lang w:eastAsia="fr-FR"/>
        </w:rPr>
        <w:t>production (CRT 2</w:t>
      </w:r>
      <w:r w:rsidR="00D70896">
        <w:rPr>
          <w:lang w:eastAsia="fr-FR"/>
        </w:rPr>
        <w:t>B2</w:t>
      </w:r>
      <w:r w:rsidR="00313D0B">
        <w:rPr>
          <w:lang w:eastAsia="fr-FR"/>
        </w:rPr>
        <w:t xml:space="preserve">), which represented </w:t>
      </w:r>
      <w:r w:rsidR="00D70896">
        <w:rPr>
          <w:lang w:eastAsia="fr-FR"/>
        </w:rPr>
        <w:t>41</w:t>
      </w:r>
      <w:r w:rsidR="00313D0B">
        <w:rPr>
          <w:lang w:eastAsia="fr-FR"/>
        </w:rPr>
        <w:t>% of the sector emissions</w:t>
      </w:r>
      <w:r w:rsidR="00D70896">
        <w:rPr>
          <w:lang w:eastAsia="fr-FR"/>
        </w:rPr>
        <w:t xml:space="preserve">. </w:t>
      </w:r>
      <w:r w:rsidR="00313D0B">
        <w:rPr>
          <w:lang w:eastAsia="fr-FR"/>
        </w:rPr>
        <w:t>The other dominant subsector</w:t>
      </w:r>
      <w:r w:rsidR="00D70896">
        <w:rPr>
          <w:lang w:eastAsia="fr-FR"/>
        </w:rPr>
        <w:t>s</w:t>
      </w:r>
      <w:r w:rsidR="00313D0B">
        <w:rPr>
          <w:lang w:eastAsia="fr-FR"/>
        </w:rPr>
        <w:t xml:space="preserve"> </w:t>
      </w:r>
      <w:r w:rsidR="00D70896">
        <w:rPr>
          <w:lang w:eastAsia="fr-FR"/>
        </w:rPr>
        <w:t xml:space="preserve">in 1990 are </w:t>
      </w:r>
      <w:r w:rsidR="00313D0B">
        <w:rPr>
          <w:lang w:eastAsia="fr-FR"/>
        </w:rPr>
        <w:t xml:space="preserve">the </w:t>
      </w:r>
      <w:r w:rsidR="00CD62D2">
        <w:rPr>
          <w:lang w:eastAsia="fr-FR"/>
        </w:rPr>
        <w:t xml:space="preserve">ammonia </w:t>
      </w:r>
      <w:r w:rsidR="00313D0B">
        <w:rPr>
          <w:lang w:eastAsia="fr-FR"/>
        </w:rPr>
        <w:t>production (CRT 2</w:t>
      </w:r>
      <w:r w:rsidR="00CD62D2">
        <w:rPr>
          <w:lang w:eastAsia="fr-FR"/>
        </w:rPr>
        <w:t>B1</w:t>
      </w:r>
      <w:r w:rsidR="00313D0B">
        <w:rPr>
          <w:lang w:eastAsia="fr-FR"/>
        </w:rPr>
        <w:t xml:space="preserve">), which </w:t>
      </w:r>
      <w:r w:rsidR="007E6929">
        <w:rPr>
          <w:lang w:eastAsia="fr-FR"/>
        </w:rPr>
        <w:t>had</w:t>
      </w:r>
      <w:r w:rsidR="00313D0B">
        <w:rPr>
          <w:lang w:eastAsia="fr-FR"/>
        </w:rPr>
        <w:t xml:space="preserve"> </w:t>
      </w:r>
      <w:r w:rsidR="007E6929">
        <w:rPr>
          <w:lang w:eastAsia="fr-FR"/>
        </w:rPr>
        <w:t xml:space="preserve">a </w:t>
      </w:r>
      <w:r w:rsidR="00313D0B">
        <w:rPr>
          <w:lang w:eastAsia="fr-FR"/>
        </w:rPr>
        <w:t xml:space="preserve">contribution </w:t>
      </w:r>
      <w:r w:rsidR="007E6929">
        <w:rPr>
          <w:lang w:eastAsia="fr-FR"/>
        </w:rPr>
        <w:t>of 24</w:t>
      </w:r>
      <w:r w:rsidR="00313D0B">
        <w:rPr>
          <w:lang w:eastAsia="fr-FR"/>
        </w:rPr>
        <w:t>%</w:t>
      </w:r>
      <w:r w:rsidR="00121D6E">
        <w:rPr>
          <w:lang w:eastAsia="fr-FR"/>
        </w:rPr>
        <w:t>,</w:t>
      </w:r>
      <w:r w:rsidR="007E6929">
        <w:rPr>
          <w:lang w:eastAsia="fr-FR"/>
        </w:rPr>
        <w:t xml:space="preserve"> and the </w:t>
      </w:r>
      <w:r w:rsidR="0037320F">
        <w:rPr>
          <w:lang w:eastAsia="fr-FR"/>
        </w:rPr>
        <w:t>ethylene production (CRT 2B8b),</w:t>
      </w:r>
      <w:r w:rsidR="00313D0B">
        <w:rPr>
          <w:lang w:eastAsia="fr-FR"/>
        </w:rPr>
        <w:t xml:space="preserve"> with </w:t>
      </w:r>
      <w:r w:rsidR="0037320F">
        <w:rPr>
          <w:lang w:eastAsia="fr-FR"/>
        </w:rPr>
        <w:t>27</w:t>
      </w:r>
      <w:r w:rsidR="00313D0B">
        <w:rPr>
          <w:lang w:eastAsia="fr-FR"/>
        </w:rPr>
        <w:t xml:space="preserve">% in </w:t>
      </w:r>
      <w:r w:rsidR="00121D6E">
        <w:rPr>
          <w:lang w:eastAsia="fr-FR"/>
        </w:rPr>
        <w:t>1990</w:t>
      </w:r>
      <w:r w:rsidR="00313D0B">
        <w:rPr>
          <w:lang w:eastAsia="fr-FR"/>
        </w:rPr>
        <w:t>.</w:t>
      </w:r>
      <w:r w:rsidR="00121D6E">
        <w:rPr>
          <w:lang w:eastAsia="fr-FR"/>
        </w:rPr>
        <w:t xml:space="preserve"> The other subsectors represented between 2% and 3% in 1990. In 2022, </w:t>
      </w:r>
      <w:r w:rsidR="00AA5D82">
        <w:rPr>
          <w:lang w:eastAsia="fr-FR"/>
        </w:rPr>
        <w:t xml:space="preserve">after the stop of the activities of ammonia, nitric acid, methanol vinyl chloride monomer productions, the GHG emissions from the sector are almost only originated from the ethylene production with 98%, the rest being the other chemical products. </w:t>
      </w:r>
    </w:p>
    <w:p w14:paraId="0D6C529D" w14:textId="465D84F5" w:rsidR="00313D0B" w:rsidRPr="002462F0" w:rsidRDefault="008D2CB6" w:rsidP="007759DA">
      <w:pPr>
        <w:spacing w:after="0"/>
        <w:jc w:val="left"/>
        <w:rPr>
          <w:lang w:eastAsia="fr-FR"/>
        </w:rPr>
      </w:pPr>
      <w:r>
        <w:rPr>
          <w:noProof/>
          <w:lang w:val="en-US"/>
        </w:rPr>
        <w:drawing>
          <wp:inline distT="0" distB="0" distL="0" distR="0" wp14:anchorId="36E71DF1" wp14:editId="6E40C8A0">
            <wp:extent cx="5651500" cy="3347085"/>
            <wp:effectExtent l="0" t="0" r="6350" b="5715"/>
            <wp:docPr id="763189340"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51500" cy="3347085"/>
                    </a:xfrm>
                    <a:prstGeom prst="rect">
                      <a:avLst/>
                    </a:prstGeom>
                    <a:noFill/>
                  </pic:spPr>
                </pic:pic>
              </a:graphicData>
            </a:graphic>
          </wp:inline>
        </w:drawing>
      </w:r>
    </w:p>
    <w:p w14:paraId="763F9A0B" w14:textId="77777777" w:rsidR="00440E68" w:rsidRPr="002462F0" w:rsidRDefault="00440E68" w:rsidP="00440E68">
      <w:pPr>
        <w:pStyle w:val="Caption"/>
        <w:spacing w:before="0" w:after="0"/>
        <w:jc w:val="both"/>
        <w:rPr>
          <w:sz w:val="22"/>
          <w:lang w:eastAsia="fr-FR"/>
        </w:rPr>
      </w:pPr>
      <w:bookmarkStart w:id="415" w:name="_Toc184808438"/>
      <w:r w:rsidRPr="002462F0">
        <w:t xml:space="preserve">Figure </w:t>
      </w:r>
      <w:r w:rsidRPr="002462F0">
        <w:fldChar w:fldCharType="begin"/>
      </w:r>
      <w:r w:rsidRPr="002462F0">
        <w:instrText xml:space="preserve"> SEQ Figure \* ARABIC </w:instrText>
      </w:r>
      <w:r w:rsidRPr="002462F0">
        <w:fldChar w:fldCharType="separate"/>
      </w:r>
      <w:r>
        <w:rPr>
          <w:noProof/>
        </w:rPr>
        <w:t>51</w:t>
      </w:r>
      <w:r w:rsidRPr="002462F0">
        <w:fldChar w:fldCharType="end"/>
      </w:r>
      <w:r w:rsidRPr="002462F0">
        <w:t xml:space="preserve">: GHG emissions trends for </w:t>
      </w:r>
      <w:r>
        <w:t>the chemical industries (CRT 2B), for the period 1990-2022, per subcategory</w:t>
      </w:r>
      <w:r w:rsidRPr="002462F0">
        <w:t xml:space="preserve"> (</w:t>
      </w:r>
      <w:r>
        <w:t xml:space="preserve">in </w:t>
      </w:r>
      <w:r w:rsidRPr="002462F0">
        <w:t>kt CO</w:t>
      </w:r>
      <w:r w:rsidRPr="002462F0">
        <w:rPr>
          <w:vertAlign w:val="subscript"/>
        </w:rPr>
        <w:t>2</w:t>
      </w:r>
      <w:r w:rsidRPr="002462F0">
        <w:t>e)</w:t>
      </w:r>
      <w:bookmarkEnd w:id="415"/>
    </w:p>
    <w:p w14:paraId="2CACA4EB" w14:textId="77777777" w:rsidR="00440E68" w:rsidRDefault="00440E68" w:rsidP="00440E68">
      <w:pPr>
        <w:pStyle w:val="Caption"/>
        <w:spacing w:before="0" w:after="0"/>
        <w:jc w:val="both"/>
      </w:pPr>
    </w:p>
    <w:p w14:paraId="085968D1" w14:textId="08962E76" w:rsidR="00313D0B" w:rsidRDefault="00E10214" w:rsidP="00440E68">
      <w:pPr>
        <w:spacing w:after="0"/>
        <w:jc w:val="center"/>
      </w:pPr>
      <w:r>
        <w:rPr>
          <w:noProof/>
          <w:lang w:val="en-US"/>
        </w:rPr>
        <w:drawing>
          <wp:inline distT="0" distB="0" distL="0" distR="0" wp14:anchorId="21055305" wp14:editId="603A6EB9">
            <wp:extent cx="2880000" cy="1900909"/>
            <wp:effectExtent l="0" t="0" r="0" b="4445"/>
            <wp:docPr id="884532944"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0000" cy="1900909"/>
                    </a:xfrm>
                    <a:prstGeom prst="rect">
                      <a:avLst/>
                    </a:prstGeom>
                    <a:noFill/>
                  </pic:spPr>
                </pic:pic>
              </a:graphicData>
            </a:graphic>
          </wp:inline>
        </w:drawing>
      </w:r>
      <w:r>
        <w:rPr>
          <w:noProof/>
          <w:lang w:val="en-US"/>
        </w:rPr>
        <w:drawing>
          <wp:inline distT="0" distB="0" distL="0" distR="0" wp14:anchorId="1BF0969D" wp14:editId="00DE1E03">
            <wp:extent cx="2880000" cy="1890545"/>
            <wp:effectExtent l="0" t="0" r="0" b="0"/>
            <wp:docPr id="864671366"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80000" cy="1890545"/>
                    </a:xfrm>
                    <a:prstGeom prst="rect">
                      <a:avLst/>
                    </a:prstGeom>
                    <a:noFill/>
                  </pic:spPr>
                </pic:pic>
              </a:graphicData>
            </a:graphic>
          </wp:inline>
        </w:drawing>
      </w:r>
    </w:p>
    <w:p w14:paraId="2A2C0529" w14:textId="77777777" w:rsidR="00440E68" w:rsidRPr="002462F0" w:rsidRDefault="00440E68" w:rsidP="00440E68">
      <w:pPr>
        <w:pStyle w:val="Caption"/>
        <w:spacing w:before="0" w:after="0"/>
        <w:jc w:val="both"/>
        <w:rPr>
          <w:sz w:val="22"/>
          <w:lang w:eastAsia="fr-FR"/>
        </w:rPr>
      </w:pPr>
      <w:bookmarkStart w:id="416" w:name="_Toc184808439"/>
      <w:r w:rsidRPr="002462F0">
        <w:t xml:space="preserve">Figure </w:t>
      </w:r>
      <w:r w:rsidRPr="002462F0">
        <w:fldChar w:fldCharType="begin"/>
      </w:r>
      <w:r w:rsidRPr="002462F0">
        <w:instrText xml:space="preserve"> SEQ Figure \* ARABIC </w:instrText>
      </w:r>
      <w:r w:rsidRPr="002462F0">
        <w:fldChar w:fldCharType="separate"/>
      </w:r>
      <w:r>
        <w:rPr>
          <w:noProof/>
        </w:rPr>
        <w:t>52</w:t>
      </w:r>
      <w:r w:rsidRPr="002462F0">
        <w:fldChar w:fldCharType="end"/>
      </w:r>
      <w:r w:rsidRPr="002462F0">
        <w:t xml:space="preserve">: GHG emission </w:t>
      </w:r>
      <w:r>
        <w:t>distribution</w:t>
      </w:r>
      <w:r w:rsidRPr="002462F0">
        <w:t xml:space="preserve"> for </w:t>
      </w:r>
      <w:r>
        <w:t xml:space="preserve">chemical industries (CRT 2B), for the years 1990 and 2022, per subcategory </w:t>
      </w:r>
      <w:r w:rsidRPr="002462F0">
        <w:t>(</w:t>
      </w:r>
      <w:r>
        <w:t>in %</w:t>
      </w:r>
      <w:r w:rsidRPr="002462F0">
        <w:t>)</w:t>
      </w:r>
      <w:bookmarkEnd w:id="416"/>
    </w:p>
    <w:p w14:paraId="2697D751" w14:textId="77777777" w:rsidR="00440E68" w:rsidRPr="002462F0" w:rsidRDefault="00440E68" w:rsidP="00313D0B">
      <w:pPr>
        <w:jc w:val="center"/>
      </w:pPr>
    </w:p>
    <w:p w14:paraId="414C814C" w14:textId="0C41A11F" w:rsidR="00DE6BE9" w:rsidRPr="002462F0" w:rsidRDefault="00DE6BE9" w:rsidP="00DE6BE9">
      <w:pPr>
        <w:pStyle w:val="Heading3"/>
        <w:rPr>
          <w:lang w:eastAsia="fr-FR"/>
        </w:rPr>
      </w:pPr>
      <w:bookmarkStart w:id="417" w:name="_Toc184806311"/>
      <w:bookmarkStart w:id="418" w:name="_Toc184808211"/>
      <w:bookmarkStart w:id="419" w:name="_Toc182327809"/>
      <w:bookmarkStart w:id="420" w:name="_Toc184808212"/>
      <w:bookmarkEnd w:id="417"/>
      <w:bookmarkEnd w:id="418"/>
      <w:r w:rsidRPr="002462F0">
        <w:rPr>
          <w:lang w:eastAsia="fr-FR"/>
        </w:rPr>
        <w:t>Ammonia production (</w:t>
      </w:r>
      <w:r w:rsidR="00FF2718">
        <w:rPr>
          <w:lang w:eastAsia="fr-FR"/>
        </w:rPr>
        <w:t xml:space="preserve">CRT </w:t>
      </w:r>
      <w:r w:rsidRPr="002462F0">
        <w:rPr>
          <w:lang w:eastAsia="fr-FR"/>
        </w:rPr>
        <w:t>2B1)</w:t>
      </w:r>
      <w:bookmarkEnd w:id="419"/>
      <w:bookmarkEnd w:id="420"/>
    </w:p>
    <w:p w14:paraId="2F092683" w14:textId="77777777" w:rsidR="00DE6BE9" w:rsidRPr="002462F0" w:rsidRDefault="00DE6BE9" w:rsidP="00DE6BE9">
      <w:pPr>
        <w:pStyle w:val="Heading4"/>
        <w:rPr>
          <w:lang w:eastAsia="fr-FR"/>
        </w:rPr>
      </w:pPr>
      <w:bookmarkStart w:id="421" w:name="_Toc182327810"/>
      <w:r w:rsidRPr="002462F0">
        <w:rPr>
          <w:lang w:eastAsia="fr-FR"/>
        </w:rPr>
        <w:t>Category description</w:t>
      </w:r>
      <w:bookmarkEnd w:id="421"/>
    </w:p>
    <w:p w14:paraId="0D174AA2" w14:textId="6B249EEB" w:rsidR="00DE6BE9" w:rsidRPr="002462F0" w:rsidRDefault="00DE6BE9" w:rsidP="008F2412">
      <w:pPr>
        <w:pStyle w:val="BodyText"/>
        <w:rPr>
          <w:lang w:val="en-US"/>
        </w:rPr>
      </w:pPr>
      <w:r w:rsidRPr="002462F0">
        <w:rPr>
          <w:lang w:val="en-US"/>
        </w:rPr>
        <w:t>Ammonia is produced by catalytic steam reforming of natural gas in which hydrogen is chemically separated from natural gas and combined with nitrogen to produce ammonia (NH</w:t>
      </w:r>
      <w:r w:rsidRPr="002462F0">
        <w:rPr>
          <w:vertAlign w:val="subscript"/>
          <w:lang w:val="en-US"/>
        </w:rPr>
        <w:t>3</w:t>
      </w:r>
      <w:r w:rsidRPr="002462F0">
        <w:rPr>
          <w:lang w:val="en-US"/>
        </w:rPr>
        <w:t>). CO</w:t>
      </w:r>
      <w:r w:rsidRPr="002462F0">
        <w:rPr>
          <w:vertAlign w:val="subscript"/>
          <w:lang w:val="en-US"/>
        </w:rPr>
        <w:t>2</w:t>
      </w:r>
      <w:r w:rsidRPr="002462F0">
        <w:rPr>
          <w:lang w:val="en-US"/>
        </w:rPr>
        <w:t xml:space="preserve"> emissions occur during the process</w:t>
      </w:r>
      <w:r w:rsidR="00C26928">
        <w:rPr>
          <w:lang w:val="en-US"/>
        </w:rPr>
        <w:t>,</w:t>
      </w:r>
      <w:r w:rsidRPr="002462F0">
        <w:rPr>
          <w:lang w:val="en-US"/>
        </w:rPr>
        <w:t xml:space="preserve"> as well as CO and NOx. The </w:t>
      </w:r>
      <w:r w:rsidR="00C665F1">
        <w:rPr>
          <w:lang w:val="en-US"/>
        </w:rPr>
        <w:t xml:space="preserve">produced </w:t>
      </w:r>
      <w:r w:rsidRPr="002462F0">
        <w:rPr>
          <w:lang w:val="en-US"/>
        </w:rPr>
        <w:t>CO</w:t>
      </w:r>
      <w:r w:rsidRPr="002462F0">
        <w:rPr>
          <w:vertAlign w:val="subscript"/>
          <w:lang w:val="en-US"/>
        </w:rPr>
        <w:t>2</w:t>
      </w:r>
      <w:r w:rsidRPr="002462F0">
        <w:rPr>
          <w:lang w:val="en-US"/>
        </w:rPr>
        <w:t xml:space="preserve"> is either vented to the atmosphere or used as a feedstock for downstream use such as urea production. CO</w:t>
      </w:r>
      <w:r w:rsidRPr="002462F0">
        <w:rPr>
          <w:vertAlign w:val="subscript"/>
          <w:lang w:val="en-US"/>
        </w:rPr>
        <w:t>2</w:t>
      </w:r>
      <w:r w:rsidRPr="002462F0">
        <w:rPr>
          <w:lang w:val="en-US"/>
        </w:rPr>
        <w:t xml:space="preserve"> emissions used for urea production are not accounted in this category but are allocated into the category where the urea is consumed. Please refer to </w:t>
      </w:r>
      <w:r w:rsidR="000F6001">
        <w:rPr>
          <w:lang w:val="en-US"/>
        </w:rPr>
        <w:t>CRT</w:t>
      </w:r>
      <w:r w:rsidRPr="002462F0">
        <w:rPr>
          <w:lang w:val="en-US"/>
        </w:rPr>
        <w:t xml:space="preserve"> 2D3 description for more details on urea use.</w:t>
      </w:r>
    </w:p>
    <w:p w14:paraId="5196D090" w14:textId="525B05B4" w:rsidR="00DE6BE9" w:rsidRPr="002462F0" w:rsidRDefault="009D3B29" w:rsidP="00DE6BE9">
      <w:pPr>
        <w:autoSpaceDE w:val="0"/>
        <w:autoSpaceDN w:val="0"/>
        <w:adjustRightInd w:val="0"/>
        <w:spacing w:after="0" w:line="240" w:lineRule="auto"/>
        <w:rPr>
          <w:lang w:val="en-US" w:eastAsia="fr-FR"/>
        </w:rPr>
      </w:pPr>
      <w:r>
        <w:rPr>
          <w:lang w:val="en-US" w:eastAsia="fr-FR"/>
        </w:rPr>
        <w:t xml:space="preserve">During the year 2018, the </w:t>
      </w:r>
      <w:r w:rsidR="0017649F">
        <w:rPr>
          <w:lang w:val="en-US" w:eastAsia="fr-FR"/>
        </w:rPr>
        <w:t xml:space="preserve">production of ammonia has </w:t>
      </w:r>
      <w:r w:rsidR="00CC3578">
        <w:rPr>
          <w:lang w:val="en-US" w:eastAsia="fr-FR"/>
        </w:rPr>
        <w:t xml:space="preserve">permanently </w:t>
      </w:r>
      <w:r w:rsidR="0017649F">
        <w:rPr>
          <w:lang w:val="en-US" w:eastAsia="fr-FR"/>
        </w:rPr>
        <w:t xml:space="preserve">stopped. </w:t>
      </w:r>
    </w:p>
    <w:p w14:paraId="2B6E9DFF" w14:textId="7BECDBBC" w:rsidR="00DE6BE9" w:rsidRPr="00622F40" w:rsidRDefault="00175CFD" w:rsidP="00CC3578">
      <w:pPr>
        <w:autoSpaceDE w:val="0"/>
        <w:autoSpaceDN w:val="0"/>
        <w:adjustRightInd w:val="0"/>
        <w:spacing w:after="0" w:line="240" w:lineRule="auto"/>
        <w:jc w:val="left"/>
        <w:rPr>
          <w:sz w:val="24"/>
          <w:szCs w:val="24"/>
          <w:lang w:val="sr-Latn-RS" w:eastAsia="fr-FR"/>
        </w:rPr>
      </w:pPr>
      <w:r>
        <w:rPr>
          <w:noProof/>
          <w:sz w:val="24"/>
          <w:szCs w:val="24"/>
          <w:lang w:val="en-US"/>
        </w:rPr>
        <w:drawing>
          <wp:inline distT="0" distB="0" distL="0" distR="0" wp14:anchorId="1EBE999D" wp14:editId="1585F8A7">
            <wp:extent cx="5760000" cy="1753712"/>
            <wp:effectExtent l="0" t="0" r="0" b="0"/>
            <wp:docPr id="72957811"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48B6C5FD" w14:textId="77777777" w:rsidR="00CC3578" w:rsidRPr="002462F0" w:rsidRDefault="00CC3578" w:rsidP="00CC3578">
      <w:pPr>
        <w:pStyle w:val="Caption"/>
        <w:keepNext/>
        <w:spacing w:before="0" w:after="0"/>
        <w:jc w:val="left"/>
      </w:pPr>
      <w:bookmarkStart w:id="422" w:name="_Toc184808440"/>
      <w:r w:rsidRPr="002462F0">
        <w:t xml:space="preserve">Figure </w:t>
      </w:r>
      <w:r w:rsidRPr="002462F0">
        <w:fldChar w:fldCharType="begin"/>
      </w:r>
      <w:r w:rsidRPr="002462F0">
        <w:instrText xml:space="preserve"> SEQ Figure \* ARABIC </w:instrText>
      </w:r>
      <w:r w:rsidRPr="002462F0">
        <w:fldChar w:fldCharType="separate"/>
      </w:r>
      <w:r>
        <w:rPr>
          <w:noProof/>
        </w:rPr>
        <w:t>53</w:t>
      </w:r>
      <w:r w:rsidRPr="002462F0">
        <w:fldChar w:fldCharType="end"/>
      </w:r>
      <w:r w:rsidRPr="002462F0">
        <w:rPr>
          <w:noProof/>
        </w:rPr>
        <w:t xml:space="preserve"> : GHG emissions for ammonia production</w:t>
      </w:r>
      <w:r>
        <w:rPr>
          <w:noProof/>
        </w:rPr>
        <w:t xml:space="preserve"> </w:t>
      </w:r>
      <w:r w:rsidRPr="006374AD">
        <w:t xml:space="preserve">(CRT </w:t>
      </w:r>
      <w:r>
        <w:t>2B1</w:t>
      </w:r>
      <w:r w:rsidRPr="006374AD">
        <w:t>)</w:t>
      </w:r>
      <w:r>
        <w:t>,</w:t>
      </w:r>
      <w:r w:rsidRPr="006374AD">
        <w:t xml:space="preserve"> for the period 1990-2022</w:t>
      </w:r>
      <w:r w:rsidRPr="002462F0">
        <w:rPr>
          <w:noProof/>
        </w:rPr>
        <w:t xml:space="preserve"> (</w:t>
      </w:r>
      <w:r>
        <w:rPr>
          <w:noProof/>
        </w:rPr>
        <w:t xml:space="preserve">in </w:t>
      </w:r>
      <w:r w:rsidRPr="002462F0">
        <w:rPr>
          <w:noProof/>
        </w:rPr>
        <w:t>kt CO</w:t>
      </w:r>
      <w:r w:rsidRPr="002462F0">
        <w:rPr>
          <w:noProof/>
          <w:vertAlign w:val="subscript"/>
        </w:rPr>
        <w:t>2</w:t>
      </w:r>
      <w:r w:rsidRPr="002462F0">
        <w:rPr>
          <w:noProof/>
        </w:rPr>
        <w:t>e)</w:t>
      </w:r>
      <w:bookmarkEnd w:id="422"/>
    </w:p>
    <w:p w14:paraId="4DAFF968" w14:textId="77777777" w:rsidR="00DE6BE9" w:rsidRPr="002462F0" w:rsidRDefault="00DE6BE9" w:rsidP="00DE6BE9">
      <w:pPr>
        <w:autoSpaceDE w:val="0"/>
        <w:autoSpaceDN w:val="0"/>
        <w:adjustRightInd w:val="0"/>
        <w:spacing w:after="0" w:line="240" w:lineRule="auto"/>
        <w:jc w:val="left"/>
        <w:rPr>
          <w:sz w:val="24"/>
          <w:szCs w:val="24"/>
          <w:lang w:eastAsia="fr-FR"/>
        </w:rPr>
      </w:pPr>
    </w:p>
    <w:p w14:paraId="72FFE657" w14:textId="1D904C26" w:rsidR="00DE6BE9" w:rsidRPr="002462F0" w:rsidRDefault="00DE6BE9" w:rsidP="008F2412">
      <w:pPr>
        <w:pStyle w:val="BodyText"/>
        <w:rPr>
          <w:lang w:val="en-US"/>
        </w:rPr>
      </w:pPr>
      <w:r w:rsidRPr="002462F0">
        <w:rPr>
          <w:lang w:val="en-US"/>
        </w:rPr>
        <w:t>In 20</w:t>
      </w:r>
      <w:r w:rsidR="009D3B29">
        <w:rPr>
          <w:lang w:val="en-US"/>
        </w:rPr>
        <w:t>22</w:t>
      </w:r>
      <w:r w:rsidRPr="002462F0">
        <w:rPr>
          <w:lang w:val="en-US"/>
        </w:rPr>
        <w:t>, the category ammonia production is a key category for CO</w:t>
      </w:r>
      <w:r w:rsidRPr="002462F0">
        <w:rPr>
          <w:vertAlign w:val="subscript"/>
          <w:lang w:val="en-US"/>
        </w:rPr>
        <w:t>2</w:t>
      </w:r>
      <w:r w:rsidRPr="002462F0">
        <w:rPr>
          <w:lang w:val="en-US"/>
        </w:rPr>
        <w:t xml:space="preserve"> emissions </w:t>
      </w:r>
      <w:r w:rsidR="0017649F">
        <w:rPr>
          <w:lang w:val="en-US"/>
        </w:rPr>
        <w:t xml:space="preserve">in emission trend, </w:t>
      </w:r>
      <w:r w:rsidRPr="002462F0">
        <w:rPr>
          <w:lang w:val="en-US"/>
        </w:rPr>
        <w:t xml:space="preserve">in </w:t>
      </w:r>
      <w:r w:rsidR="0017649F">
        <w:rPr>
          <w:lang w:val="en-US"/>
        </w:rPr>
        <w:t xml:space="preserve">the Republic of </w:t>
      </w:r>
      <w:r w:rsidRPr="002462F0">
        <w:rPr>
          <w:lang w:val="en-US"/>
        </w:rPr>
        <w:t>Serbia. This sector contributes to</w:t>
      </w:r>
      <w:r w:rsidRPr="002462F0">
        <w:rPr>
          <w:color w:val="FF0000"/>
          <w:lang w:val="en-US"/>
        </w:rPr>
        <w:t xml:space="preserve"> </w:t>
      </w:r>
      <w:r w:rsidR="0071559E">
        <w:rPr>
          <w:lang w:val="en-US"/>
        </w:rPr>
        <w:t>0</w:t>
      </w:r>
      <w:r w:rsidR="00766705">
        <w:rPr>
          <w:lang w:val="en-US"/>
        </w:rPr>
        <w:t>.9</w:t>
      </w:r>
      <w:r w:rsidRPr="002B50EA">
        <w:rPr>
          <w:lang w:val="en-US"/>
        </w:rPr>
        <w:t xml:space="preserve">% </w:t>
      </w:r>
      <w:r w:rsidRPr="002462F0">
        <w:rPr>
          <w:lang w:val="en-US"/>
        </w:rPr>
        <w:t xml:space="preserve">in terms of emission trend (rank </w:t>
      </w:r>
      <w:r w:rsidR="00766705">
        <w:rPr>
          <w:lang w:val="en-US"/>
        </w:rPr>
        <w:t>25</w:t>
      </w:r>
      <w:r w:rsidRPr="002462F0">
        <w:rPr>
          <w:lang w:val="en-US"/>
        </w:rPr>
        <w:t>).</w:t>
      </w:r>
      <w:r w:rsidRPr="002462F0">
        <w:rPr>
          <w:lang w:eastAsia="fr-FR"/>
        </w:rPr>
        <w:t xml:space="preserve"> </w:t>
      </w:r>
      <w:r w:rsidRPr="002462F0">
        <w:rPr>
          <w:lang w:val="en-US"/>
        </w:rPr>
        <w:t>Many variations occur for the activity data on the time series.</w:t>
      </w:r>
    </w:p>
    <w:p w14:paraId="5E349675" w14:textId="77777777" w:rsidR="00DE6BE9" w:rsidRPr="002462F0" w:rsidRDefault="00DE6BE9" w:rsidP="00DE6BE9">
      <w:pPr>
        <w:autoSpaceDE w:val="0"/>
        <w:autoSpaceDN w:val="0"/>
        <w:adjustRightInd w:val="0"/>
        <w:spacing w:after="0" w:line="240" w:lineRule="auto"/>
        <w:rPr>
          <w:rFonts w:cs="Times New Roman"/>
          <w:lang w:val="en-US"/>
        </w:rPr>
      </w:pPr>
    </w:p>
    <w:p w14:paraId="227CF447" w14:textId="77777777" w:rsidR="00DE6BE9" w:rsidRPr="002462F0" w:rsidRDefault="00DE6BE9" w:rsidP="00DE6BE9">
      <w:pPr>
        <w:pStyle w:val="Heading4"/>
        <w:rPr>
          <w:lang w:eastAsia="fr-FR"/>
        </w:rPr>
      </w:pPr>
      <w:bookmarkStart w:id="423" w:name="_Toc182327811"/>
      <w:r w:rsidRPr="002462F0">
        <w:rPr>
          <w:lang w:eastAsia="fr-FR"/>
        </w:rPr>
        <w:t>Methodological issues</w:t>
      </w:r>
      <w:bookmarkEnd w:id="423"/>
      <w:r w:rsidRPr="002462F0">
        <w:rPr>
          <w:lang w:eastAsia="fr-FR"/>
        </w:rPr>
        <w:t xml:space="preserve"> </w:t>
      </w:r>
    </w:p>
    <w:p w14:paraId="2EB3FF3E" w14:textId="1237946C" w:rsidR="00DE6BE9" w:rsidRPr="002462F0" w:rsidRDefault="00DE6BE9" w:rsidP="008F2412">
      <w:pPr>
        <w:pStyle w:val="BodyText"/>
        <w:rPr>
          <w:lang w:eastAsia="fr-FR"/>
        </w:rPr>
      </w:pPr>
      <w:r w:rsidRPr="002462F0">
        <w:rPr>
          <w:lang w:eastAsia="fr-FR"/>
        </w:rPr>
        <w:t>The methodology used is Tier 1 and CO</w:t>
      </w:r>
      <w:r w:rsidRPr="002462F0">
        <w:rPr>
          <w:vertAlign w:val="subscript"/>
          <w:lang w:eastAsia="fr-FR"/>
        </w:rPr>
        <w:t>2</w:t>
      </w:r>
      <w:r w:rsidRPr="002462F0">
        <w:rPr>
          <w:lang w:eastAsia="fr-FR"/>
        </w:rPr>
        <w:t xml:space="preserve"> emission estimate</w:t>
      </w:r>
      <w:r w:rsidR="002D18EC">
        <w:rPr>
          <w:lang w:eastAsia="fr-FR"/>
        </w:rPr>
        <w:t>s</w:t>
      </w:r>
      <w:r w:rsidRPr="002462F0">
        <w:rPr>
          <w:lang w:eastAsia="fr-FR"/>
        </w:rPr>
        <w:t xml:space="preserve"> </w:t>
      </w:r>
      <w:r w:rsidR="00440E68">
        <w:rPr>
          <w:lang w:eastAsia="fr-FR"/>
        </w:rPr>
        <w:t>are sourced</w:t>
      </w:r>
      <w:r w:rsidRPr="002462F0">
        <w:rPr>
          <w:lang w:eastAsia="fr-FR"/>
        </w:rPr>
        <w:t xml:space="preserve"> from Equation 3.1 of ammonia production s</w:t>
      </w:r>
      <w:r w:rsidR="00826E82">
        <w:rPr>
          <w:lang w:eastAsia="fr-FR"/>
        </w:rPr>
        <w:t xml:space="preserve">ection in 2006 IPCC Guidelines </w:t>
      </w:r>
      <w:r w:rsidR="00826E82">
        <w:rPr>
          <w:lang w:eastAsia="fr-FR"/>
        </w:rPr>
        <w:fldChar w:fldCharType="begin"/>
      </w:r>
      <w:r w:rsidR="00826E82">
        <w:rPr>
          <w:lang w:eastAsia="fr-FR"/>
        </w:rPr>
        <w:instrText xml:space="preserve"> REF _Ref496788340 \r \h </w:instrText>
      </w:r>
      <w:r w:rsidR="00826E82">
        <w:rPr>
          <w:lang w:eastAsia="fr-FR"/>
        </w:rPr>
      </w:r>
      <w:r w:rsidR="00826E82">
        <w:rPr>
          <w:lang w:eastAsia="fr-FR"/>
        </w:rPr>
        <w:fldChar w:fldCharType="separate"/>
      </w:r>
      <w:r w:rsidR="00F14C78">
        <w:rPr>
          <w:lang w:eastAsia="fr-FR"/>
        </w:rPr>
        <w:t>[I9]</w:t>
      </w:r>
      <w:r w:rsidR="00826E82">
        <w:rPr>
          <w:lang w:eastAsia="fr-FR"/>
        </w:rPr>
        <w:fldChar w:fldCharType="end"/>
      </w:r>
      <w:r w:rsidRPr="002462F0">
        <w:rPr>
          <w:lang w:eastAsia="fr-FR"/>
        </w:rPr>
        <w:t xml:space="preserve">. </w:t>
      </w:r>
    </w:p>
    <w:p w14:paraId="4A53B0E2" w14:textId="02BCE767" w:rsidR="00DE6BE9" w:rsidRPr="002462F0" w:rsidRDefault="00DE6BE9" w:rsidP="008F2412">
      <w:pPr>
        <w:pStyle w:val="BodyText"/>
        <w:rPr>
          <w:lang w:eastAsia="fr-FR"/>
        </w:rPr>
      </w:pPr>
      <w:r w:rsidRPr="002462F0">
        <w:rPr>
          <w:lang w:eastAsia="fr-FR"/>
        </w:rPr>
        <w:lastRenderedPageBreak/>
        <w:t xml:space="preserve">Activity data used for the calculation </w:t>
      </w:r>
      <w:r w:rsidR="002D55B2">
        <w:rPr>
          <w:lang w:eastAsia="fr-FR"/>
        </w:rPr>
        <w:t>are</w:t>
      </w:r>
      <w:r w:rsidR="002D55B2" w:rsidRPr="002462F0">
        <w:rPr>
          <w:lang w:eastAsia="fr-FR"/>
        </w:rPr>
        <w:t xml:space="preserve"> </w:t>
      </w:r>
      <w:r w:rsidR="002D18EC">
        <w:rPr>
          <w:lang w:eastAsia="fr-FR"/>
        </w:rPr>
        <w:t xml:space="preserve">the </w:t>
      </w:r>
      <w:r w:rsidRPr="002462F0">
        <w:rPr>
          <w:lang w:eastAsia="fr-FR"/>
        </w:rPr>
        <w:t>national ammonia pro</w:t>
      </w:r>
      <w:r w:rsidR="00826E82">
        <w:rPr>
          <w:lang w:eastAsia="fr-FR"/>
        </w:rPr>
        <w:t>duction</w:t>
      </w:r>
      <w:r w:rsidR="00F31B97">
        <w:rPr>
          <w:lang w:eastAsia="fr-FR"/>
        </w:rPr>
        <w:t>s</w:t>
      </w:r>
      <w:r w:rsidR="00826E82">
        <w:rPr>
          <w:lang w:eastAsia="fr-FR"/>
        </w:rPr>
        <w:t xml:space="preserve"> and </w:t>
      </w:r>
      <w:r w:rsidR="00440E68">
        <w:rPr>
          <w:lang w:eastAsia="fr-FR"/>
        </w:rPr>
        <w:t>are sourced</w:t>
      </w:r>
      <w:r w:rsidR="00826E82">
        <w:rPr>
          <w:lang w:eastAsia="fr-FR"/>
        </w:rPr>
        <w:t xml:space="preserve"> from SORS</w:t>
      </w:r>
      <w:r w:rsidR="001015AD">
        <w:rPr>
          <w:lang w:eastAsia="fr-FR"/>
        </w:rPr>
        <w:t xml:space="preserve"> (from 1990 Industrial Bulletin, and from 2010 from Statistical Yearbook)</w:t>
      </w:r>
      <w:r w:rsidR="00826E82">
        <w:rPr>
          <w:lang w:eastAsia="fr-FR"/>
        </w:rPr>
        <w:t xml:space="preserve"> </w:t>
      </w:r>
      <w:r w:rsidR="00826E82">
        <w:rPr>
          <w:lang w:eastAsia="fr-FR"/>
        </w:rPr>
        <w:fldChar w:fldCharType="begin"/>
      </w:r>
      <w:r w:rsidR="00826E82">
        <w:rPr>
          <w:lang w:eastAsia="fr-FR"/>
        </w:rPr>
        <w:instrText xml:space="preserve"> REF _Ref496788199 \r \h </w:instrText>
      </w:r>
      <w:r w:rsidR="00826E82">
        <w:rPr>
          <w:lang w:eastAsia="fr-FR"/>
        </w:rPr>
      </w:r>
      <w:r w:rsidR="00826E82">
        <w:rPr>
          <w:lang w:eastAsia="fr-FR"/>
        </w:rPr>
        <w:fldChar w:fldCharType="separate"/>
      </w:r>
      <w:r w:rsidR="00F14C78">
        <w:rPr>
          <w:lang w:eastAsia="fr-FR"/>
        </w:rPr>
        <w:t>[I2]</w:t>
      </w:r>
      <w:r w:rsidR="00826E82">
        <w:rPr>
          <w:lang w:eastAsia="fr-FR"/>
        </w:rPr>
        <w:fldChar w:fldCharType="end"/>
      </w:r>
      <w:r w:rsidRPr="002462F0">
        <w:rPr>
          <w:lang w:eastAsia="fr-FR"/>
        </w:rPr>
        <w:t>.</w:t>
      </w:r>
    </w:p>
    <w:p w14:paraId="60AAA6B1" w14:textId="54430245" w:rsidR="00DE6BE9" w:rsidRPr="002462F0" w:rsidRDefault="00DE6BE9" w:rsidP="008F2412">
      <w:pPr>
        <w:pStyle w:val="BodyText"/>
        <w:rPr>
          <w:lang w:eastAsia="fr-FR"/>
        </w:rPr>
      </w:pPr>
      <w:r w:rsidRPr="002462F0">
        <w:rPr>
          <w:lang w:eastAsia="fr-FR"/>
        </w:rPr>
        <w:t>Default emission factor for CO</w:t>
      </w:r>
      <w:r w:rsidRPr="002462F0">
        <w:rPr>
          <w:vertAlign w:val="subscript"/>
          <w:lang w:eastAsia="fr-FR"/>
        </w:rPr>
        <w:t>2</w:t>
      </w:r>
      <w:r w:rsidRPr="002462F0">
        <w:rPr>
          <w:lang w:eastAsia="fr-FR"/>
        </w:rPr>
        <w:t xml:space="preserve"> is constant on the time series: 2,104 t CO</w:t>
      </w:r>
      <w:r w:rsidRPr="002462F0">
        <w:rPr>
          <w:vertAlign w:val="subscript"/>
          <w:lang w:eastAsia="fr-FR"/>
        </w:rPr>
        <w:t>2</w:t>
      </w:r>
      <w:r w:rsidRPr="002462F0">
        <w:rPr>
          <w:lang w:eastAsia="fr-FR"/>
        </w:rPr>
        <w:t>/ t NH</w:t>
      </w:r>
      <w:r w:rsidRPr="002462F0">
        <w:rPr>
          <w:vertAlign w:val="subscript"/>
          <w:lang w:eastAsia="fr-FR"/>
        </w:rPr>
        <w:t>3.</w:t>
      </w:r>
      <w:r w:rsidRPr="002462F0">
        <w:rPr>
          <w:lang w:eastAsia="fr-FR"/>
        </w:rPr>
        <w:t xml:space="preserve"> The value</w:t>
      </w:r>
      <w:r w:rsidR="00826E82">
        <w:rPr>
          <w:lang w:eastAsia="fr-FR"/>
        </w:rPr>
        <w:t xml:space="preserve"> </w:t>
      </w:r>
      <w:r w:rsidR="00440E68">
        <w:rPr>
          <w:lang w:eastAsia="fr-FR"/>
        </w:rPr>
        <w:t xml:space="preserve">is sourced </w:t>
      </w:r>
      <w:r w:rsidR="00826E82">
        <w:rPr>
          <w:lang w:eastAsia="fr-FR"/>
        </w:rPr>
        <w:t xml:space="preserve">from 2006 IPCC Guidelines </w:t>
      </w:r>
      <w:r w:rsidR="00826E82">
        <w:rPr>
          <w:lang w:eastAsia="fr-FR"/>
        </w:rPr>
        <w:fldChar w:fldCharType="begin"/>
      </w:r>
      <w:r w:rsidR="00826E82">
        <w:rPr>
          <w:lang w:eastAsia="fr-FR"/>
        </w:rPr>
        <w:instrText xml:space="preserve"> REF _Ref496788359 \r \h </w:instrText>
      </w:r>
      <w:r w:rsidR="00826E82">
        <w:rPr>
          <w:lang w:eastAsia="fr-FR"/>
        </w:rPr>
      </w:r>
      <w:r w:rsidR="00826E82">
        <w:rPr>
          <w:lang w:eastAsia="fr-FR"/>
        </w:rPr>
        <w:fldChar w:fldCharType="separate"/>
      </w:r>
      <w:r w:rsidR="00F14C78">
        <w:rPr>
          <w:lang w:eastAsia="fr-FR"/>
        </w:rPr>
        <w:t>[I10]</w:t>
      </w:r>
      <w:r w:rsidR="00826E82">
        <w:rPr>
          <w:lang w:eastAsia="fr-FR"/>
        </w:rPr>
        <w:fldChar w:fldCharType="end"/>
      </w:r>
      <w:r w:rsidR="00826E82">
        <w:rPr>
          <w:lang w:eastAsia="fr-FR"/>
        </w:rPr>
        <w:t>.</w:t>
      </w:r>
    </w:p>
    <w:p w14:paraId="0DC9CB97" w14:textId="62C8F413" w:rsidR="00DE6BE9" w:rsidRPr="002462F0" w:rsidRDefault="00DE6BE9" w:rsidP="008F2412">
      <w:pPr>
        <w:pStyle w:val="BodyText"/>
        <w:rPr>
          <w:lang w:eastAsia="fr-FR"/>
        </w:rPr>
      </w:pPr>
      <w:r w:rsidRPr="002462F0">
        <w:rPr>
          <w:lang w:eastAsia="fr-FR"/>
        </w:rPr>
        <w:t>The natural gas is a raw material (non</w:t>
      </w:r>
      <w:r w:rsidR="006E1EF6">
        <w:rPr>
          <w:lang w:eastAsia="fr-FR"/>
        </w:rPr>
        <w:t>-</w:t>
      </w:r>
      <w:r w:rsidRPr="002462F0">
        <w:rPr>
          <w:lang w:eastAsia="fr-FR"/>
        </w:rPr>
        <w:t>energy use) and its consumption should be deducted to the energy balance. The methodology used to determine the natural gas consumption is based on CO</w:t>
      </w:r>
      <w:r w:rsidRPr="002462F0">
        <w:rPr>
          <w:vertAlign w:val="subscript"/>
          <w:lang w:eastAsia="fr-FR"/>
        </w:rPr>
        <w:t>2</w:t>
      </w:r>
      <w:r w:rsidRPr="002462F0">
        <w:rPr>
          <w:lang w:eastAsia="fr-FR"/>
        </w:rPr>
        <w:t xml:space="preserve"> emissions and the default emission factor for natural gas. </w:t>
      </w:r>
    </w:p>
    <w:p w14:paraId="119419EE" w14:textId="46D659C8" w:rsidR="00DE6BE9" w:rsidRPr="002462F0" w:rsidRDefault="00DE6BE9" w:rsidP="008F2412">
      <w:pPr>
        <w:pStyle w:val="BodyText"/>
        <w:rPr>
          <w:sz w:val="24"/>
          <w:szCs w:val="24"/>
          <w:lang w:eastAsia="fr-FR"/>
        </w:rPr>
      </w:pPr>
      <w:r w:rsidRPr="002462F0">
        <w:rPr>
          <w:lang w:eastAsia="fr-FR"/>
        </w:rPr>
        <w:t>Amount of CO</w:t>
      </w:r>
      <w:r w:rsidRPr="002462F0">
        <w:rPr>
          <w:vertAlign w:val="subscript"/>
          <w:lang w:eastAsia="fr-FR"/>
        </w:rPr>
        <w:t>2</w:t>
      </w:r>
      <w:r w:rsidRPr="002462F0">
        <w:rPr>
          <w:lang w:eastAsia="fr-FR"/>
        </w:rPr>
        <w:t xml:space="preserve"> emissions recovered for urea production and not accounted in 2B1 category is estimated using urea</w:t>
      </w:r>
      <w:r w:rsidR="00826E82">
        <w:rPr>
          <w:lang w:eastAsia="fr-FR"/>
        </w:rPr>
        <w:t xml:space="preserve"> production coming from SORS </w:t>
      </w:r>
      <w:r w:rsidR="00826E82">
        <w:rPr>
          <w:lang w:eastAsia="fr-FR"/>
        </w:rPr>
        <w:fldChar w:fldCharType="begin"/>
      </w:r>
      <w:r w:rsidR="00826E82">
        <w:rPr>
          <w:lang w:eastAsia="fr-FR"/>
        </w:rPr>
        <w:instrText xml:space="preserve"> REF _Ref496788199 \r \h </w:instrText>
      </w:r>
      <w:r w:rsidR="00826E82">
        <w:rPr>
          <w:lang w:eastAsia="fr-FR"/>
        </w:rPr>
      </w:r>
      <w:r w:rsidR="00826E82">
        <w:rPr>
          <w:lang w:eastAsia="fr-FR"/>
        </w:rPr>
        <w:fldChar w:fldCharType="separate"/>
      </w:r>
      <w:r w:rsidR="00F14C78">
        <w:rPr>
          <w:lang w:eastAsia="fr-FR"/>
        </w:rPr>
        <w:t>[I2]</w:t>
      </w:r>
      <w:r w:rsidR="00826E82">
        <w:rPr>
          <w:lang w:eastAsia="fr-FR"/>
        </w:rPr>
        <w:fldChar w:fldCharType="end"/>
      </w:r>
      <w:r w:rsidRPr="002462F0">
        <w:rPr>
          <w:lang w:eastAsia="fr-FR"/>
        </w:rPr>
        <w:t xml:space="preserve"> and conversion factor between urea and CO</w:t>
      </w:r>
      <w:r w:rsidRPr="002462F0">
        <w:rPr>
          <w:vertAlign w:val="subscript"/>
          <w:lang w:eastAsia="fr-FR"/>
        </w:rPr>
        <w:t>2</w:t>
      </w:r>
      <w:r w:rsidRPr="002462F0">
        <w:rPr>
          <w:lang w:eastAsia="fr-FR"/>
        </w:rPr>
        <w:t xml:space="preserve"> molar mass. It is supposed that the whole urea production considered for Serbia is made from CO</w:t>
      </w:r>
      <w:r w:rsidRPr="002462F0">
        <w:rPr>
          <w:vertAlign w:val="subscript"/>
          <w:lang w:eastAsia="fr-FR"/>
        </w:rPr>
        <w:t>2</w:t>
      </w:r>
      <w:r w:rsidRPr="002462F0">
        <w:rPr>
          <w:lang w:eastAsia="fr-FR"/>
        </w:rPr>
        <w:t xml:space="preserve"> recovery from Ammonia production.</w:t>
      </w:r>
    </w:p>
    <w:p w14:paraId="79B36A2B" w14:textId="494CFFA3" w:rsidR="00DE6BE9" w:rsidRPr="002462F0" w:rsidRDefault="00DE6BE9" w:rsidP="00DE6BE9">
      <w:pPr>
        <w:pStyle w:val="Heading3"/>
        <w:rPr>
          <w:lang w:eastAsia="fr-FR"/>
        </w:rPr>
      </w:pPr>
      <w:bookmarkStart w:id="424" w:name="_Toc182327812"/>
      <w:bookmarkStart w:id="425" w:name="_Toc184808213"/>
      <w:r w:rsidRPr="002462F0">
        <w:rPr>
          <w:lang w:eastAsia="fr-FR"/>
        </w:rPr>
        <w:t>Nitric acid production (</w:t>
      </w:r>
      <w:r w:rsidR="00FF2718">
        <w:rPr>
          <w:lang w:eastAsia="fr-FR"/>
        </w:rPr>
        <w:t xml:space="preserve">CRT </w:t>
      </w:r>
      <w:r w:rsidRPr="002462F0">
        <w:rPr>
          <w:lang w:eastAsia="fr-FR"/>
        </w:rPr>
        <w:t>2B2)</w:t>
      </w:r>
      <w:bookmarkEnd w:id="424"/>
      <w:bookmarkEnd w:id="425"/>
    </w:p>
    <w:p w14:paraId="72FCE1FD" w14:textId="77777777" w:rsidR="00DE6BE9" w:rsidRPr="002462F0" w:rsidRDefault="00DE6BE9" w:rsidP="00DE6BE9">
      <w:pPr>
        <w:pStyle w:val="Heading4"/>
        <w:rPr>
          <w:lang w:eastAsia="fr-FR"/>
        </w:rPr>
      </w:pPr>
      <w:bookmarkStart w:id="426" w:name="_Toc182327813"/>
      <w:r w:rsidRPr="002462F0">
        <w:rPr>
          <w:lang w:eastAsia="fr-FR"/>
        </w:rPr>
        <w:t>Category description</w:t>
      </w:r>
      <w:bookmarkEnd w:id="426"/>
    </w:p>
    <w:p w14:paraId="626C3282" w14:textId="351D5108" w:rsidR="00DE6BE9" w:rsidRDefault="00DE6BE9" w:rsidP="001015AD">
      <w:pPr>
        <w:pStyle w:val="BodyText"/>
        <w:rPr>
          <w:lang w:eastAsia="fr-FR"/>
        </w:rPr>
      </w:pPr>
      <w:r w:rsidRPr="002462F0">
        <w:rPr>
          <w:lang w:eastAsia="fr-FR"/>
        </w:rPr>
        <w:t>Nitric acid is produced by high temperature catalytic oxidation of ammonia. Two types of process can be used: single pressure plant and dual pressure plants. The overall reaction include oxidation and absorption stage is NH</w:t>
      </w:r>
      <w:r w:rsidRPr="002462F0">
        <w:rPr>
          <w:vertAlign w:val="subscript"/>
          <w:lang w:eastAsia="fr-FR"/>
        </w:rPr>
        <w:t>3</w:t>
      </w:r>
      <w:r w:rsidRPr="002462F0">
        <w:rPr>
          <w:lang w:eastAsia="fr-FR"/>
        </w:rPr>
        <w:t xml:space="preserve"> + 2 O</w:t>
      </w:r>
      <w:r w:rsidRPr="002462F0">
        <w:rPr>
          <w:vertAlign w:val="subscript"/>
          <w:lang w:eastAsia="fr-FR"/>
        </w:rPr>
        <w:t>2</w:t>
      </w:r>
      <w:r w:rsidRPr="002462F0">
        <w:rPr>
          <w:lang w:eastAsia="fr-FR"/>
        </w:rPr>
        <w:t xml:space="preserve"> -&gt; HNO</w:t>
      </w:r>
      <w:r w:rsidRPr="002462F0">
        <w:rPr>
          <w:vertAlign w:val="subscript"/>
          <w:lang w:eastAsia="fr-FR"/>
        </w:rPr>
        <w:t>3</w:t>
      </w:r>
      <w:r w:rsidRPr="002462F0">
        <w:rPr>
          <w:lang w:eastAsia="fr-FR"/>
        </w:rPr>
        <w:t xml:space="preserve"> + H</w:t>
      </w:r>
      <w:r w:rsidRPr="002462F0">
        <w:rPr>
          <w:vertAlign w:val="subscript"/>
          <w:lang w:eastAsia="fr-FR"/>
        </w:rPr>
        <w:t>2</w:t>
      </w:r>
      <w:r w:rsidRPr="002462F0">
        <w:rPr>
          <w:lang w:eastAsia="fr-FR"/>
        </w:rPr>
        <w:t>O. During oxidation stages N</w:t>
      </w:r>
      <w:r w:rsidRPr="002462F0">
        <w:rPr>
          <w:vertAlign w:val="subscript"/>
          <w:lang w:eastAsia="fr-FR"/>
        </w:rPr>
        <w:t>2</w:t>
      </w:r>
      <w:r w:rsidRPr="002462F0">
        <w:rPr>
          <w:lang w:eastAsia="fr-FR"/>
        </w:rPr>
        <w:t>O is generated as an unintended by product and released to the atmosphere.</w:t>
      </w:r>
    </w:p>
    <w:p w14:paraId="677B234A" w14:textId="120FCC76" w:rsidR="002825A6" w:rsidRPr="002462F0" w:rsidRDefault="002825A6" w:rsidP="001015AD">
      <w:pPr>
        <w:pStyle w:val="BodyText"/>
        <w:rPr>
          <w:sz w:val="24"/>
          <w:szCs w:val="24"/>
          <w:lang w:eastAsia="fr-FR"/>
        </w:rPr>
      </w:pPr>
      <w:r>
        <w:rPr>
          <w:lang w:eastAsia="fr-FR"/>
        </w:rPr>
        <w:t>The production of nitric acid has been stopped during the year 2018.</w:t>
      </w:r>
    </w:p>
    <w:p w14:paraId="3ADBC33C" w14:textId="4061D896" w:rsidR="00DE6BE9" w:rsidRPr="002462F0" w:rsidRDefault="002825A6" w:rsidP="00CC3578">
      <w:pPr>
        <w:autoSpaceDE w:val="0"/>
        <w:autoSpaceDN w:val="0"/>
        <w:adjustRightInd w:val="0"/>
        <w:spacing w:after="0" w:line="240" w:lineRule="auto"/>
        <w:jc w:val="left"/>
        <w:rPr>
          <w:sz w:val="24"/>
          <w:szCs w:val="24"/>
          <w:lang w:eastAsia="fr-FR"/>
        </w:rPr>
      </w:pPr>
      <w:r>
        <w:rPr>
          <w:noProof/>
          <w:sz w:val="24"/>
          <w:szCs w:val="24"/>
          <w:lang w:val="en-US"/>
        </w:rPr>
        <w:drawing>
          <wp:inline distT="0" distB="0" distL="0" distR="0" wp14:anchorId="0D917B00" wp14:editId="5B9C1163">
            <wp:extent cx="5760000" cy="1753712"/>
            <wp:effectExtent l="0" t="0" r="0" b="0"/>
            <wp:docPr id="1338574138"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2BD4B284" w14:textId="77777777" w:rsidR="00CC3578" w:rsidRPr="002462F0" w:rsidRDefault="00CC3578" w:rsidP="00CC3578">
      <w:pPr>
        <w:pStyle w:val="Caption"/>
        <w:keepNext/>
        <w:spacing w:before="0" w:after="0"/>
        <w:jc w:val="left"/>
      </w:pPr>
      <w:bookmarkStart w:id="427" w:name="_Toc184808441"/>
      <w:r w:rsidRPr="002462F0">
        <w:t xml:space="preserve">Figure </w:t>
      </w:r>
      <w:r w:rsidRPr="002462F0">
        <w:fldChar w:fldCharType="begin"/>
      </w:r>
      <w:r w:rsidRPr="002462F0">
        <w:instrText xml:space="preserve"> SEQ Figure \* ARABIC </w:instrText>
      </w:r>
      <w:r w:rsidRPr="002462F0">
        <w:fldChar w:fldCharType="separate"/>
      </w:r>
      <w:r>
        <w:rPr>
          <w:noProof/>
        </w:rPr>
        <w:t>54</w:t>
      </w:r>
      <w:r w:rsidRPr="002462F0">
        <w:fldChar w:fldCharType="end"/>
      </w:r>
      <w:r w:rsidRPr="002462F0">
        <w:rPr>
          <w:noProof/>
        </w:rPr>
        <w:t xml:space="preserve"> : GHG emissions for nitric acid production</w:t>
      </w:r>
      <w:r>
        <w:rPr>
          <w:noProof/>
        </w:rPr>
        <w:t xml:space="preserve"> (CRT 2B2), for the period 1990-2022</w:t>
      </w:r>
      <w:r w:rsidRPr="002462F0">
        <w:rPr>
          <w:noProof/>
        </w:rPr>
        <w:t xml:space="preserve"> (</w:t>
      </w:r>
      <w:r>
        <w:rPr>
          <w:noProof/>
        </w:rPr>
        <w:t xml:space="preserve">in </w:t>
      </w:r>
      <w:r w:rsidRPr="002462F0">
        <w:rPr>
          <w:noProof/>
        </w:rPr>
        <w:t>kt CO</w:t>
      </w:r>
      <w:r w:rsidRPr="002462F0">
        <w:rPr>
          <w:noProof/>
          <w:vertAlign w:val="subscript"/>
        </w:rPr>
        <w:t>2</w:t>
      </w:r>
      <w:r w:rsidRPr="002462F0">
        <w:rPr>
          <w:noProof/>
        </w:rPr>
        <w:t>e)</w:t>
      </w:r>
      <w:bookmarkEnd w:id="427"/>
    </w:p>
    <w:p w14:paraId="1BDD9743" w14:textId="77777777" w:rsidR="00DE6BE9" w:rsidRPr="002462F0" w:rsidRDefault="00DE6BE9" w:rsidP="00DE6BE9">
      <w:pPr>
        <w:autoSpaceDE w:val="0"/>
        <w:autoSpaceDN w:val="0"/>
        <w:adjustRightInd w:val="0"/>
        <w:spacing w:after="0" w:line="240" w:lineRule="auto"/>
        <w:jc w:val="left"/>
        <w:rPr>
          <w:sz w:val="24"/>
          <w:szCs w:val="24"/>
          <w:lang w:eastAsia="fr-FR"/>
        </w:rPr>
      </w:pPr>
    </w:p>
    <w:p w14:paraId="1F009D3D" w14:textId="6FA561C1" w:rsidR="00DE6BE9" w:rsidRPr="002462F0" w:rsidRDefault="00DE6BE9" w:rsidP="006C3100">
      <w:pPr>
        <w:pStyle w:val="BodyText"/>
        <w:rPr>
          <w:lang w:eastAsia="fr-FR"/>
        </w:rPr>
      </w:pPr>
      <w:r w:rsidRPr="002462F0">
        <w:rPr>
          <w:lang w:val="en-US"/>
        </w:rPr>
        <w:t xml:space="preserve">In </w:t>
      </w:r>
      <w:r w:rsidR="002825A6" w:rsidRPr="002462F0">
        <w:rPr>
          <w:lang w:val="en-US"/>
        </w:rPr>
        <w:t>20</w:t>
      </w:r>
      <w:r w:rsidR="002825A6">
        <w:rPr>
          <w:lang w:val="en-US"/>
        </w:rPr>
        <w:t>22</w:t>
      </w:r>
      <w:r w:rsidRPr="002462F0">
        <w:rPr>
          <w:lang w:val="en-US"/>
        </w:rPr>
        <w:t>, the category nitric acid production is a key category for N</w:t>
      </w:r>
      <w:r w:rsidRPr="002462F0">
        <w:rPr>
          <w:vertAlign w:val="subscript"/>
          <w:lang w:val="en-US"/>
        </w:rPr>
        <w:t>2</w:t>
      </w:r>
      <w:r w:rsidRPr="002462F0">
        <w:rPr>
          <w:lang w:val="en-US"/>
        </w:rPr>
        <w:t>O emissions</w:t>
      </w:r>
      <w:r w:rsidR="002825A6">
        <w:rPr>
          <w:lang w:val="en-US"/>
        </w:rPr>
        <w:t xml:space="preserve"> in terms of emission trend,</w:t>
      </w:r>
      <w:r w:rsidRPr="002462F0">
        <w:rPr>
          <w:lang w:val="en-US"/>
        </w:rPr>
        <w:t xml:space="preserve"> in </w:t>
      </w:r>
      <w:r w:rsidR="002825A6">
        <w:rPr>
          <w:lang w:val="en-US"/>
        </w:rPr>
        <w:t xml:space="preserve">the Republic of </w:t>
      </w:r>
      <w:r w:rsidRPr="002462F0">
        <w:rPr>
          <w:lang w:val="en-US"/>
        </w:rPr>
        <w:t xml:space="preserve">Serbia. This sector </w:t>
      </w:r>
      <w:r w:rsidR="00CC3578" w:rsidRPr="002462F0">
        <w:rPr>
          <w:lang w:val="en-US"/>
        </w:rPr>
        <w:t>contributes</w:t>
      </w:r>
      <w:r w:rsidRPr="002462F0">
        <w:rPr>
          <w:lang w:val="en-US"/>
        </w:rPr>
        <w:t xml:space="preserve"> </w:t>
      </w:r>
      <w:r w:rsidR="00766705">
        <w:rPr>
          <w:lang w:val="en-US"/>
        </w:rPr>
        <w:t>1.6</w:t>
      </w:r>
      <w:r w:rsidRPr="002462F0">
        <w:rPr>
          <w:lang w:val="en-US"/>
        </w:rPr>
        <w:t xml:space="preserve">% in terms of emission </w:t>
      </w:r>
      <w:r w:rsidR="00766705">
        <w:rPr>
          <w:lang w:val="en-US"/>
        </w:rPr>
        <w:t>trend</w:t>
      </w:r>
      <w:r w:rsidR="00766705" w:rsidRPr="002462F0">
        <w:rPr>
          <w:lang w:val="en-US"/>
        </w:rPr>
        <w:t xml:space="preserve"> </w:t>
      </w:r>
      <w:r w:rsidRPr="002462F0">
        <w:rPr>
          <w:lang w:val="en-US"/>
        </w:rPr>
        <w:t xml:space="preserve">(rank </w:t>
      </w:r>
      <w:r w:rsidR="00766705">
        <w:rPr>
          <w:lang w:val="en-US"/>
        </w:rPr>
        <w:t>18)</w:t>
      </w:r>
      <w:r w:rsidRPr="002462F0">
        <w:rPr>
          <w:lang w:val="en-US"/>
        </w:rPr>
        <w:t>).</w:t>
      </w:r>
      <w:r w:rsidRPr="002462F0">
        <w:rPr>
          <w:lang w:eastAsia="fr-FR"/>
        </w:rPr>
        <w:t xml:space="preserve"> </w:t>
      </w:r>
      <w:r w:rsidRPr="002462F0">
        <w:rPr>
          <w:lang w:val="en-US"/>
        </w:rPr>
        <w:t xml:space="preserve">Many variations occur for the activity data on the time series. </w:t>
      </w:r>
    </w:p>
    <w:p w14:paraId="21483D86" w14:textId="77777777" w:rsidR="00DE6BE9" w:rsidRPr="002462F0" w:rsidRDefault="00DE6BE9" w:rsidP="00DE6BE9">
      <w:pPr>
        <w:pStyle w:val="Heading4"/>
        <w:rPr>
          <w:lang w:eastAsia="fr-FR"/>
        </w:rPr>
      </w:pPr>
      <w:bookmarkStart w:id="428" w:name="_Toc182327814"/>
      <w:r w:rsidRPr="002462F0">
        <w:rPr>
          <w:lang w:eastAsia="fr-FR"/>
        </w:rPr>
        <w:t>Methodological issues</w:t>
      </w:r>
      <w:bookmarkEnd w:id="428"/>
      <w:r w:rsidRPr="002462F0">
        <w:rPr>
          <w:lang w:eastAsia="fr-FR"/>
        </w:rPr>
        <w:t xml:space="preserve"> </w:t>
      </w:r>
    </w:p>
    <w:p w14:paraId="6B6CFBA5" w14:textId="064ACFFF" w:rsidR="00DE6BE9" w:rsidRPr="002462F0" w:rsidRDefault="00DE6BE9" w:rsidP="006C3100">
      <w:pPr>
        <w:pStyle w:val="BodyText"/>
        <w:rPr>
          <w:lang w:eastAsia="fr-FR"/>
        </w:rPr>
      </w:pPr>
      <w:r w:rsidRPr="002462F0">
        <w:rPr>
          <w:lang w:eastAsia="fr-FR"/>
        </w:rPr>
        <w:t>The methodology used is Tier 1 and N</w:t>
      </w:r>
      <w:r w:rsidRPr="002462F0">
        <w:rPr>
          <w:vertAlign w:val="subscript"/>
          <w:lang w:eastAsia="fr-FR"/>
        </w:rPr>
        <w:t>2</w:t>
      </w:r>
      <w:r w:rsidRPr="002462F0">
        <w:rPr>
          <w:lang w:eastAsia="fr-FR"/>
        </w:rPr>
        <w:t>O emission estimate</w:t>
      </w:r>
      <w:r w:rsidR="002D18EC">
        <w:rPr>
          <w:lang w:eastAsia="fr-FR"/>
        </w:rPr>
        <w:t>s</w:t>
      </w:r>
      <w:r w:rsidRPr="002462F0">
        <w:rPr>
          <w:lang w:eastAsia="fr-FR"/>
        </w:rPr>
        <w:t xml:space="preserve"> </w:t>
      </w:r>
      <w:r w:rsidR="00440E68">
        <w:rPr>
          <w:lang w:eastAsia="fr-FR"/>
        </w:rPr>
        <w:t>are sourced</w:t>
      </w:r>
      <w:r w:rsidRPr="002462F0">
        <w:rPr>
          <w:lang w:eastAsia="fr-FR"/>
        </w:rPr>
        <w:t xml:space="preserve"> from Equation 3.5 of nitric acid production s</w:t>
      </w:r>
      <w:r w:rsidR="00826E82">
        <w:rPr>
          <w:lang w:eastAsia="fr-FR"/>
        </w:rPr>
        <w:t xml:space="preserve">ection in 2006 IPCC Guidelines </w:t>
      </w:r>
      <w:r w:rsidR="00826E82">
        <w:rPr>
          <w:lang w:eastAsia="fr-FR"/>
        </w:rPr>
        <w:fldChar w:fldCharType="begin"/>
      </w:r>
      <w:r w:rsidR="00826E82">
        <w:rPr>
          <w:lang w:eastAsia="fr-FR"/>
        </w:rPr>
        <w:instrText xml:space="preserve"> REF _Ref496788380 \r \h </w:instrText>
      </w:r>
      <w:r w:rsidR="00826E82">
        <w:rPr>
          <w:lang w:eastAsia="fr-FR"/>
        </w:rPr>
      </w:r>
      <w:r w:rsidR="00826E82">
        <w:rPr>
          <w:lang w:eastAsia="fr-FR"/>
        </w:rPr>
        <w:fldChar w:fldCharType="separate"/>
      </w:r>
      <w:r w:rsidR="00F14C78">
        <w:rPr>
          <w:lang w:eastAsia="fr-FR"/>
        </w:rPr>
        <w:t>[I11]</w:t>
      </w:r>
      <w:r w:rsidR="00826E82">
        <w:rPr>
          <w:lang w:eastAsia="fr-FR"/>
        </w:rPr>
        <w:fldChar w:fldCharType="end"/>
      </w:r>
      <w:r w:rsidRPr="002462F0">
        <w:rPr>
          <w:lang w:eastAsia="fr-FR"/>
        </w:rPr>
        <w:t>.</w:t>
      </w:r>
    </w:p>
    <w:p w14:paraId="4EFECB19" w14:textId="26ADE0CA" w:rsidR="00DE6BE9" w:rsidRPr="002462F0" w:rsidRDefault="00DE6BE9" w:rsidP="006C3100">
      <w:pPr>
        <w:pStyle w:val="BodyText"/>
        <w:rPr>
          <w:lang w:eastAsia="fr-FR"/>
        </w:rPr>
      </w:pPr>
      <w:r w:rsidRPr="002462F0">
        <w:rPr>
          <w:lang w:eastAsia="fr-FR"/>
        </w:rPr>
        <w:t xml:space="preserve">Activity data used for the calculation </w:t>
      </w:r>
      <w:r w:rsidR="002D55B2">
        <w:rPr>
          <w:lang w:eastAsia="fr-FR"/>
        </w:rPr>
        <w:t>are</w:t>
      </w:r>
      <w:r w:rsidR="002D55B2" w:rsidRPr="002462F0">
        <w:rPr>
          <w:lang w:eastAsia="fr-FR"/>
        </w:rPr>
        <w:t xml:space="preserve"> </w:t>
      </w:r>
      <w:r w:rsidR="002D18EC">
        <w:rPr>
          <w:lang w:eastAsia="fr-FR"/>
        </w:rPr>
        <w:t xml:space="preserve">the </w:t>
      </w:r>
      <w:r w:rsidRPr="002462F0">
        <w:rPr>
          <w:lang w:eastAsia="fr-FR"/>
        </w:rPr>
        <w:t>national nitric acid p</w:t>
      </w:r>
      <w:r w:rsidR="00826E82">
        <w:rPr>
          <w:lang w:eastAsia="fr-FR"/>
        </w:rPr>
        <w:t>roduction</w:t>
      </w:r>
      <w:r w:rsidR="00F31B97">
        <w:rPr>
          <w:lang w:eastAsia="fr-FR"/>
        </w:rPr>
        <w:t>s</w:t>
      </w:r>
      <w:r w:rsidR="00826E82">
        <w:rPr>
          <w:lang w:eastAsia="fr-FR"/>
        </w:rPr>
        <w:t xml:space="preserve"> and </w:t>
      </w:r>
      <w:r w:rsidR="00440E68">
        <w:rPr>
          <w:lang w:eastAsia="fr-FR"/>
        </w:rPr>
        <w:t>are sourced</w:t>
      </w:r>
      <w:r w:rsidR="00826E82">
        <w:rPr>
          <w:lang w:eastAsia="fr-FR"/>
        </w:rPr>
        <w:t xml:space="preserve"> from SORS</w:t>
      </w:r>
      <w:r w:rsidR="001015AD">
        <w:rPr>
          <w:lang w:eastAsia="fr-FR"/>
        </w:rPr>
        <w:t xml:space="preserve"> (from 1990 Industrial Bulletin, and from 2010 from Statistical Yearbook)</w:t>
      </w:r>
      <w:r w:rsidR="00826E82">
        <w:rPr>
          <w:lang w:eastAsia="fr-FR"/>
        </w:rPr>
        <w:t xml:space="preserve"> </w:t>
      </w:r>
      <w:r w:rsidR="00826E82">
        <w:rPr>
          <w:lang w:eastAsia="fr-FR"/>
        </w:rPr>
        <w:fldChar w:fldCharType="begin"/>
      </w:r>
      <w:r w:rsidR="00826E82">
        <w:rPr>
          <w:lang w:eastAsia="fr-FR"/>
        </w:rPr>
        <w:instrText xml:space="preserve"> REF _Ref496788199 \r \h </w:instrText>
      </w:r>
      <w:r w:rsidR="00826E82">
        <w:rPr>
          <w:lang w:eastAsia="fr-FR"/>
        </w:rPr>
      </w:r>
      <w:r w:rsidR="00826E82">
        <w:rPr>
          <w:lang w:eastAsia="fr-FR"/>
        </w:rPr>
        <w:fldChar w:fldCharType="separate"/>
      </w:r>
      <w:r w:rsidR="00F14C78">
        <w:rPr>
          <w:lang w:eastAsia="fr-FR"/>
        </w:rPr>
        <w:t>[I2]</w:t>
      </w:r>
      <w:r w:rsidR="00826E82">
        <w:rPr>
          <w:lang w:eastAsia="fr-FR"/>
        </w:rPr>
        <w:fldChar w:fldCharType="end"/>
      </w:r>
      <w:r w:rsidRPr="002462F0">
        <w:rPr>
          <w:lang w:eastAsia="fr-FR"/>
        </w:rPr>
        <w:t>.</w:t>
      </w:r>
    </w:p>
    <w:p w14:paraId="1FC25620" w14:textId="7FEEA85A" w:rsidR="00DE6BE9" w:rsidRPr="002462F0" w:rsidRDefault="00DE6BE9" w:rsidP="006C3100">
      <w:pPr>
        <w:pStyle w:val="BodyText"/>
        <w:rPr>
          <w:lang w:eastAsia="fr-FR"/>
        </w:rPr>
      </w:pPr>
      <w:r w:rsidRPr="002462F0">
        <w:rPr>
          <w:lang w:eastAsia="fr-FR"/>
        </w:rPr>
        <w:t>Default emission factor for N</w:t>
      </w:r>
      <w:r w:rsidRPr="002462F0">
        <w:rPr>
          <w:vertAlign w:val="subscript"/>
          <w:lang w:eastAsia="fr-FR"/>
        </w:rPr>
        <w:t>2</w:t>
      </w:r>
      <w:r w:rsidRPr="002462F0">
        <w:rPr>
          <w:lang w:eastAsia="fr-FR"/>
        </w:rPr>
        <w:t>O is constant on the time series. The highest default value provided in</w:t>
      </w:r>
      <w:r w:rsidR="00826E82">
        <w:rPr>
          <w:lang w:eastAsia="fr-FR"/>
        </w:rPr>
        <w:t xml:space="preserve"> 2006 IPCC Guidelines </w:t>
      </w:r>
      <w:r w:rsidR="00826E82">
        <w:rPr>
          <w:lang w:eastAsia="fr-FR"/>
        </w:rPr>
        <w:fldChar w:fldCharType="begin"/>
      </w:r>
      <w:r w:rsidR="00826E82">
        <w:rPr>
          <w:lang w:eastAsia="fr-FR"/>
        </w:rPr>
        <w:instrText xml:space="preserve"> REF _Ref496788392 \r \h </w:instrText>
      </w:r>
      <w:r w:rsidR="00826E82">
        <w:rPr>
          <w:lang w:eastAsia="fr-FR"/>
        </w:rPr>
      </w:r>
      <w:r w:rsidR="00826E82">
        <w:rPr>
          <w:lang w:eastAsia="fr-FR"/>
        </w:rPr>
        <w:fldChar w:fldCharType="separate"/>
      </w:r>
      <w:r w:rsidR="00F14C78">
        <w:rPr>
          <w:lang w:eastAsia="fr-FR"/>
        </w:rPr>
        <w:t>[I12]</w:t>
      </w:r>
      <w:r w:rsidR="00826E82">
        <w:rPr>
          <w:lang w:eastAsia="fr-FR"/>
        </w:rPr>
        <w:fldChar w:fldCharType="end"/>
      </w:r>
      <w:r w:rsidRPr="002462F0">
        <w:rPr>
          <w:lang w:eastAsia="fr-FR"/>
        </w:rPr>
        <w:t xml:space="preserve"> is applied with no abatement technology: 9 kg N</w:t>
      </w:r>
      <w:r w:rsidRPr="002462F0">
        <w:rPr>
          <w:vertAlign w:val="subscript"/>
          <w:lang w:eastAsia="fr-FR"/>
        </w:rPr>
        <w:t>2</w:t>
      </w:r>
      <w:r w:rsidRPr="002462F0">
        <w:rPr>
          <w:lang w:eastAsia="fr-FR"/>
        </w:rPr>
        <w:t>O / t HNO</w:t>
      </w:r>
      <w:r w:rsidRPr="002462F0">
        <w:rPr>
          <w:vertAlign w:val="subscript"/>
          <w:lang w:eastAsia="fr-FR"/>
        </w:rPr>
        <w:t>3.</w:t>
      </w:r>
    </w:p>
    <w:p w14:paraId="7D6ECD82" w14:textId="25755DB8" w:rsidR="00DE6BE9" w:rsidRPr="002462F0" w:rsidRDefault="00DE6BE9" w:rsidP="00DE6BE9">
      <w:pPr>
        <w:pStyle w:val="Heading3"/>
        <w:rPr>
          <w:lang w:eastAsia="fr-FR"/>
        </w:rPr>
      </w:pPr>
      <w:bookmarkStart w:id="429" w:name="_Toc182327815"/>
      <w:bookmarkStart w:id="430" w:name="_Toc184808214"/>
      <w:r w:rsidRPr="002462F0">
        <w:rPr>
          <w:lang w:eastAsia="fr-FR"/>
        </w:rPr>
        <w:lastRenderedPageBreak/>
        <w:t>Petrochemical and carbon black production (</w:t>
      </w:r>
      <w:r w:rsidR="00FF2718">
        <w:rPr>
          <w:lang w:eastAsia="fr-FR"/>
        </w:rPr>
        <w:t xml:space="preserve">CRT </w:t>
      </w:r>
      <w:r w:rsidRPr="002462F0">
        <w:rPr>
          <w:lang w:eastAsia="fr-FR"/>
        </w:rPr>
        <w:t>2B8)</w:t>
      </w:r>
      <w:bookmarkEnd w:id="429"/>
      <w:bookmarkEnd w:id="430"/>
    </w:p>
    <w:p w14:paraId="1ECEE3CC" w14:textId="77777777" w:rsidR="00DE6BE9" w:rsidRPr="002462F0" w:rsidRDefault="00DE6BE9" w:rsidP="00DE6BE9">
      <w:pPr>
        <w:rPr>
          <w:lang w:val="en-US" w:eastAsia="fr-FR"/>
        </w:rPr>
      </w:pPr>
      <w:r w:rsidRPr="002462F0">
        <w:rPr>
          <w:lang w:val="en-US" w:eastAsia="fr-FR"/>
        </w:rPr>
        <w:t>The production of other chemicals such as petrochemicals or carbon black can be sources of CO</w:t>
      </w:r>
      <w:r w:rsidRPr="002462F0">
        <w:rPr>
          <w:vertAlign w:val="subscript"/>
          <w:lang w:val="en-US" w:eastAsia="fr-FR"/>
        </w:rPr>
        <w:t>2</w:t>
      </w:r>
      <w:r w:rsidRPr="002462F0">
        <w:rPr>
          <w:lang w:val="en-US" w:eastAsia="fr-FR"/>
        </w:rPr>
        <w:t xml:space="preserve"> and CH</w:t>
      </w:r>
      <w:r w:rsidRPr="002462F0">
        <w:rPr>
          <w:vertAlign w:val="subscript"/>
          <w:lang w:val="en-US" w:eastAsia="fr-FR"/>
        </w:rPr>
        <w:t>4</w:t>
      </w:r>
      <w:r w:rsidRPr="002462F0">
        <w:rPr>
          <w:lang w:val="en-US" w:eastAsia="fr-FR"/>
        </w:rPr>
        <w:t xml:space="preserve"> emissions. CH</w:t>
      </w:r>
      <w:r w:rsidRPr="00622F40">
        <w:rPr>
          <w:vertAlign w:val="subscript"/>
          <w:lang w:val="en-US" w:eastAsia="fr-FR"/>
        </w:rPr>
        <w:t>4</w:t>
      </w:r>
      <w:r w:rsidRPr="002462F0">
        <w:rPr>
          <w:lang w:val="en-US" w:eastAsia="fr-FR"/>
        </w:rPr>
        <w:t xml:space="preserve"> emissions may be fugitive and/or process vent emissions. The only activities occurring in Serbia for this category are:</w:t>
      </w:r>
    </w:p>
    <w:p w14:paraId="0205CE6C" w14:textId="626B3B75" w:rsidR="00DE6BE9" w:rsidRPr="002462F0" w:rsidRDefault="00DE6BE9" w:rsidP="00AB11C1">
      <w:pPr>
        <w:pStyle w:val="ListParagraph"/>
        <w:numPr>
          <w:ilvl w:val="0"/>
          <w:numId w:val="29"/>
        </w:numPr>
        <w:rPr>
          <w:lang w:val="en-US" w:eastAsia="fr-FR"/>
        </w:rPr>
      </w:pPr>
      <w:r w:rsidRPr="002462F0">
        <w:rPr>
          <w:lang w:val="en-US" w:eastAsia="fr-FR"/>
        </w:rPr>
        <w:t>methanol production (</w:t>
      </w:r>
      <w:r w:rsidR="000F6001">
        <w:rPr>
          <w:lang w:val="en-US" w:eastAsia="fr-FR"/>
        </w:rPr>
        <w:t>CRT</w:t>
      </w:r>
      <w:r w:rsidRPr="002462F0">
        <w:rPr>
          <w:lang w:val="en-US" w:eastAsia="fr-FR"/>
        </w:rPr>
        <w:t xml:space="preserve"> 2B8a),</w:t>
      </w:r>
    </w:p>
    <w:p w14:paraId="33CCB963" w14:textId="46D4E56C" w:rsidR="00DE6BE9" w:rsidRPr="002462F0" w:rsidRDefault="00DE6BE9" w:rsidP="00AB11C1">
      <w:pPr>
        <w:pStyle w:val="ListParagraph"/>
        <w:numPr>
          <w:ilvl w:val="0"/>
          <w:numId w:val="29"/>
        </w:numPr>
        <w:rPr>
          <w:lang w:val="en-US" w:eastAsia="fr-FR"/>
        </w:rPr>
      </w:pPr>
      <w:r w:rsidRPr="002462F0">
        <w:rPr>
          <w:lang w:val="en-US" w:eastAsia="fr-FR"/>
        </w:rPr>
        <w:t>ethylene production (</w:t>
      </w:r>
      <w:r w:rsidR="000F6001">
        <w:rPr>
          <w:lang w:val="en-US" w:eastAsia="fr-FR"/>
        </w:rPr>
        <w:t>CRT</w:t>
      </w:r>
      <w:r w:rsidRPr="002462F0">
        <w:rPr>
          <w:lang w:val="en-US" w:eastAsia="fr-FR"/>
        </w:rPr>
        <w:t xml:space="preserve"> 2B8b),</w:t>
      </w:r>
    </w:p>
    <w:p w14:paraId="4FF0CEA0" w14:textId="70724BFB" w:rsidR="00DE6BE9" w:rsidRPr="002462F0" w:rsidRDefault="00DE6BE9" w:rsidP="00AB11C1">
      <w:pPr>
        <w:pStyle w:val="ListParagraph"/>
        <w:numPr>
          <w:ilvl w:val="0"/>
          <w:numId w:val="29"/>
        </w:numPr>
        <w:rPr>
          <w:lang w:val="en-US" w:eastAsia="fr-FR"/>
        </w:rPr>
      </w:pPr>
      <w:r w:rsidRPr="002462F0">
        <w:rPr>
          <w:lang w:val="en-US" w:eastAsia="fr-FR"/>
        </w:rPr>
        <w:t>ethylene dichloride production (</w:t>
      </w:r>
      <w:r w:rsidR="000F6001">
        <w:rPr>
          <w:lang w:val="en-US" w:eastAsia="fr-FR"/>
        </w:rPr>
        <w:t>CRT</w:t>
      </w:r>
      <w:r w:rsidRPr="002462F0">
        <w:rPr>
          <w:lang w:val="en-US" w:eastAsia="fr-FR"/>
        </w:rPr>
        <w:t xml:space="preserve"> 2B8c).</w:t>
      </w:r>
    </w:p>
    <w:p w14:paraId="6433C1CA" w14:textId="77777777" w:rsidR="00DE6BE9" w:rsidRPr="002462F0" w:rsidRDefault="00DE6BE9" w:rsidP="00DE6BE9">
      <w:pPr>
        <w:ind w:left="64"/>
        <w:rPr>
          <w:lang w:val="en-US" w:eastAsia="fr-FR"/>
        </w:rPr>
      </w:pPr>
      <w:r w:rsidRPr="002462F0">
        <w:rPr>
          <w:lang w:val="en-US" w:eastAsia="fr-FR"/>
        </w:rPr>
        <w:t>The subcategories and estimate methodology are described in the 3 following sections.</w:t>
      </w:r>
    </w:p>
    <w:p w14:paraId="309E5147" w14:textId="458F9161" w:rsidR="00DE6BE9" w:rsidRPr="002462F0" w:rsidRDefault="00DE6BE9" w:rsidP="00DE6BE9">
      <w:pPr>
        <w:pStyle w:val="Heading4"/>
        <w:rPr>
          <w:lang w:eastAsia="fr-FR"/>
        </w:rPr>
      </w:pPr>
      <w:bookmarkStart w:id="431" w:name="_Toc182327816"/>
      <w:r w:rsidRPr="002462F0">
        <w:rPr>
          <w:lang w:eastAsia="fr-FR"/>
        </w:rPr>
        <w:t>Methanol production (</w:t>
      </w:r>
      <w:r w:rsidR="00FF2718">
        <w:rPr>
          <w:lang w:eastAsia="fr-FR"/>
        </w:rPr>
        <w:t xml:space="preserve">CRT </w:t>
      </w:r>
      <w:r w:rsidRPr="002462F0">
        <w:rPr>
          <w:lang w:eastAsia="fr-FR"/>
        </w:rPr>
        <w:t>2B8a)</w:t>
      </w:r>
      <w:bookmarkEnd w:id="431"/>
    </w:p>
    <w:p w14:paraId="44A0E40A" w14:textId="77777777" w:rsidR="00DE6BE9" w:rsidRPr="002462F0" w:rsidRDefault="00DE6BE9" w:rsidP="00DE6BE9">
      <w:pPr>
        <w:pStyle w:val="Heading5"/>
        <w:rPr>
          <w:lang w:eastAsia="fr-FR"/>
        </w:rPr>
      </w:pPr>
      <w:bookmarkStart w:id="432" w:name="_Toc182327817"/>
      <w:r w:rsidRPr="002462F0">
        <w:rPr>
          <w:lang w:eastAsia="fr-FR"/>
        </w:rPr>
        <w:t>Category description</w:t>
      </w:r>
      <w:bookmarkEnd w:id="432"/>
    </w:p>
    <w:p w14:paraId="6B5925E7" w14:textId="248D9AD2" w:rsidR="00DE6BE9" w:rsidRPr="002462F0" w:rsidRDefault="00CC3578" w:rsidP="006C3100">
      <w:pPr>
        <w:pStyle w:val="BodyText"/>
        <w:rPr>
          <w:lang w:val="en-US"/>
        </w:rPr>
      </w:pPr>
      <w:r>
        <w:rPr>
          <w:lang w:val="en-US"/>
        </w:rPr>
        <w:t>Methanol</w:t>
      </w:r>
      <w:r w:rsidR="00991DB0">
        <w:rPr>
          <w:lang w:val="en-US"/>
        </w:rPr>
        <w:t xml:space="preserve"> production is </w:t>
      </w:r>
      <w:r w:rsidR="0048701F">
        <w:rPr>
          <w:lang w:val="en-US"/>
        </w:rPr>
        <w:t>varying significantly over the timeseries</w:t>
      </w:r>
      <w:r w:rsidR="00657D22">
        <w:rPr>
          <w:lang w:val="en-US"/>
        </w:rPr>
        <w:t xml:space="preserve"> and is even null for several periods (</w:t>
      </w:r>
      <w:r w:rsidR="00C635C9">
        <w:rPr>
          <w:lang w:val="en-US"/>
        </w:rPr>
        <w:t xml:space="preserve">in </w:t>
      </w:r>
      <w:r w:rsidR="00657D22">
        <w:rPr>
          <w:lang w:val="en-US"/>
        </w:rPr>
        <w:t>1993-1995</w:t>
      </w:r>
      <w:r w:rsidR="00C635C9">
        <w:rPr>
          <w:lang w:val="en-US"/>
        </w:rPr>
        <w:t xml:space="preserve"> and 2012-2015) and since 2017</w:t>
      </w:r>
      <w:r w:rsidR="00D7397F">
        <w:rPr>
          <w:lang w:val="en-US"/>
        </w:rPr>
        <w:t>, where the production stopped definitively</w:t>
      </w:r>
      <w:r w:rsidR="0048701F">
        <w:rPr>
          <w:lang w:val="en-US"/>
        </w:rPr>
        <w:t xml:space="preserve">. </w:t>
      </w:r>
      <w:r w:rsidR="00B52D1F" w:rsidRPr="002462F0">
        <w:rPr>
          <w:lang w:eastAsia="fr-FR"/>
        </w:rPr>
        <w:t xml:space="preserve">On the 2012-2015 period methanol complex in Kikinda was not working due to </w:t>
      </w:r>
      <w:r>
        <w:rPr>
          <w:lang w:eastAsia="fr-FR"/>
        </w:rPr>
        <w:t>restructuring</w:t>
      </w:r>
      <w:r w:rsidR="00B52D1F" w:rsidRPr="002462F0">
        <w:rPr>
          <w:lang w:eastAsia="fr-FR"/>
        </w:rPr>
        <w:t>.</w:t>
      </w:r>
      <w:r>
        <w:rPr>
          <w:lang w:eastAsia="fr-FR"/>
        </w:rPr>
        <w:t xml:space="preserve"> The production temporarily continued in 2016, while in 2017 the installation was </w:t>
      </w:r>
      <w:proofErr w:type="spellStart"/>
      <w:r>
        <w:rPr>
          <w:lang w:eastAsia="fr-FR"/>
        </w:rPr>
        <w:t>shout</w:t>
      </w:r>
      <w:proofErr w:type="spellEnd"/>
      <w:r>
        <w:rPr>
          <w:lang w:eastAsia="fr-FR"/>
        </w:rPr>
        <w:t xml:space="preserve"> down.</w:t>
      </w:r>
      <w:r w:rsidR="00B52D1F" w:rsidRPr="002462F0">
        <w:rPr>
          <w:lang w:eastAsia="fr-FR"/>
        </w:rPr>
        <w:t xml:space="preserve"> </w:t>
      </w:r>
      <w:r w:rsidR="00C635C9">
        <w:rPr>
          <w:lang w:val="en-US"/>
        </w:rPr>
        <w:t>Hence, i</w:t>
      </w:r>
      <w:r w:rsidR="00DE6BE9" w:rsidRPr="002462F0">
        <w:rPr>
          <w:lang w:val="en-US"/>
        </w:rPr>
        <w:t>n 20</w:t>
      </w:r>
      <w:r w:rsidR="005851C7">
        <w:rPr>
          <w:lang w:val="en-US"/>
        </w:rPr>
        <w:t>22</w:t>
      </w:r>
      <w:r w:rsidR="00DE6BE9" w:rsidRPr="002462F0">
        <w:rPr>
          <w:lang w:val="en-US"/>
        </w:rPr>
        <w:t xml:space="preserve">, the category methanol production is </w:t>
      </w:r>
      <w:r w:rsidR="005851C7">
        <w:rPr>
          <w:lang w:val="en-US"/>
        </w:rPr>
        <w:t>neither</w:t>
      </w:r>
      <w:r w:rsidR="005851C7" w:rsidRPr="002462F0">
        <w:rPr>
          <w:lang w:val="en-US"/>
        </w:rPr>
        <w:t xml:space="preserve"> </w:t>
      </w:r>
      <w:r w:rsidR="00DE6BE9" w:rsidRPr="002462F0">
        <w:rPr>
          <w:lang w:val="en-US"/>
        </w:rPr>
        <w:t xml:space="preserve">a key category in terms of emissions level </w:t>
      </w:r>
      <w:r w:rsidR="005851C7">
        <w:rPr>
          <w:lang w:val="en-US"/>
        </w:rPr>
        <w:t>nor</w:t>
      </w:r>
      <w:r w:rsidR="005851C7" w:rsidRPr="002462F0">
        <w:rPr>
          <w:lang w:val="en-US"/>
        </w:rPr>
        <w:t xml:space="preserve"> </w:t>
      </w:r>
      <w:r w:rsidR="00DE6BE9" w:rsidRPr="002462F0">
        <w:rPr>
          <w:lang w:val="en-US"/>
        </w:rPr>
        <w:t xml:space="preserve">in terms of emissions trend for GHG emissions in Serbia. </w:t>
      </w:r>
    </w:p>
    <w:p w14:paraId="3DEACEFF" w14:textId="06B1DF1F" w:rsidR="00DE6BE9" w:rsidRDefault="00B20CCB" w:rsidP="007759DA">
      <w:pPr>
        <w:spacing w:after="120" w:line="240" w:lineRule="auto"/>
        <w:rPr>
          <w:lang w:val="en-US" w:eastAsia="fr-FR"/>
        </w:rPr>
      </w:pPr>
      <w:r>
        <w:rPr>
          <w:noProof/>
          <w:lang w:val="en-US"/>
        </w:rPr>
        <w:drawing>
          <wp:inline distT="0" distB="0" distL="0" distR="0" wp14:anchorId="15A5F589" wp14:editId="60CEAF84">
            <wp:extent cx="5760000" cy="1753712"/>
            <wp:effectExtent l="0" t="0" r="0" b="0"/>
            <wp:docPr id="919933858"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7E582F10" w14:textId="77777777" w:rsidR="00A96EA1" w:rsidRPr="002462F0" w:rsidRDefault="00A96EA1" w:rsidP="007759DA">
      <w:pPr>
        <w:pStyle w:val="Caption"/>
        <w:keepNext/>
        <w:spacing w:before="0" w:after="0"/>
        <w:jc w:val="left"/>
      </w:pPr>
      <w:bookmarkStart w:id="433" w:name="_Toc184808442"/>
      <w:r w:rsidRPr="002462F0">
        <w:t xml:space="preserve">Figure </w:t>
      </w:r>
      <w:r w:rsidRPr="002462F0">
        <w:fldChar w:fldCharType="begin"/>
      </w:r>
      <w:r w:rsidRPr="002462F0">
        <w:instrText xml:space="preserve"> SEQ Figure \* ARABIC </w:instrText>
      </w:r>
      <w:r w:rsidRPr="002462F0">
        <w:fldChar w:fldCharType="separate"/>
      </w:r>
      <w:r>
        <w:rPr>
          <w:noProof/>
        </w:rPr>
        <w:t>55</w:t>
      </w:r>
      <w:r w:rsidRPr="002462F0">
        <w:fldChar w:fldCharType="end"/>
      </w:r>
      <w:r w:rsidRPr="002462F0">
        <w:rPr>
          <w:noProof/>
        </w:rPr>
        <w:t xml:space="preserve"> : GHG emissions for methanol production</w:t>
      </w:r>
      <w:r>
        <w:rPr>
          <w:noProof/>
        </w:rPr>
        <w:t xml:space="preserve"> (CRT 2B8a), for the period 1990-2022</w:t>
      </w:r>
      <w:r w:rsidRPr="002462F0">
        <w:rPr>
          <w:noProof/>
        </w:rPr>
        <w:t xml:space="preserve"> (</w:t>
      </w:r>
      <w:r>
        <w:rPr>
          <w:noProof/>
        </w:rPr>
        <w:t xml:space="preserve">in </w:t>
      </w:r>
      <w:r w:rsidRPr="002462F0">
        <w:rPr>
          <w:noProof/>
        </w:rPr>
        <w:t>kt CO</w:t>
      </w:r>
      <w:r w:rsidRPr="002462F0">
        <w:rPr>
          <w:noProof/>
          <w:vertAlign w:val="subscript"/>
        </w:rPr>
        <w:t>2</w:t>
      </w:r>
      <w:r w:rsidRPr="002462F0">
        <w:rPr>
          <w:noProof/>
        </w:rPr>
        <w:t>e)</w:t>
      </w:r>
      <w:bookmarkEnd w:id="433"/>
    </w:p>
    <w:p w14:paraId="7413E25A" w14:textId="77777777" w:rsidR="00DE6BE9" w:rsidRPr="002462F0" w:rsidRDefault="00DE6BE9" w:rsidP="00DE6BE9">
      <w:pPr>
        <w:pStyle w:val="Heading5"/>
        <w:rPr>
          <w:lang w:eastAsia="fr-FR"/>
        </w:rPr>
      </w:pPr>
      <w:bookmarkStart w:id="434" w:name="_Toc182327818"/>
      <w:r w:rsidRPr="002462F0">
        <w:rPr>
          <w:lang w:eastAsia="fr-FR"/>
        </w:rPr>
        <w:t>Methodological issues</w:t>
      </w:r>
      <w:bookmarkEnd w:id="434"/>
      <w:r w:rsidRPr="002462F0">
        <w:rPr>
          <w:lang w:eastAsia="fr-FR"/>
        </w:rPr>
        <w:t xml:space="preserve"> </w:t>
      </w:r>
    </w:p>
    <w:p w14:paraId="39DF8F1B" w14:textId="0888D9C5" w:rsidR="00DE6BE9" w:rsidRPr="002462F0" w:rsidRDefault="00DE6BE9" w:rsidP="006C3100">
      <w:pPr>
        <w:pStyle w:val="BodyText"/>
        <w:rPr>
          <w:sz w:val="24"/>
          <w:szCs w:val="24"/>
          <w:lang w:eastAsia="fr-FR"/>
        </w:rPr>
      </w:pPr>
      <w:bookmarkStart w:id="435" w:name="_Hlk496042174"/>
      <w:r w:rsidRPr="002462F0">
        <w:rPr>
          <w:lang w:eastAsia="fr-FR"/>
        </w:rPr>
        <w:t>The methodology used is Tier 1 and CO</w:t>
      </w:r>
      <w:r w:rsidRPr="002462F0">
        <w:rPr>
          <w:vertAlign w:val="subscript"/>
          <w:lang w:eastAsia="fr-FR"/>
        </w:rPr>
        <w:t>2</w:t>
      </w:r>
      <w:r w:rsidRPr="002462F0">
        <w:rPr>
          <w:lang w:eastAsia="fr-FR"/>
        </w:rPr>
        <w:t xml:space="preserve"> emission estimate</w:t>
      </w:r>
      <w:r w:rsidR="00C635C9">
        <w:rPr>
          <w:lang w:eastAsia="fr-FR"/>
        </w:rPr>
        <w:t>s</w:t>
      </w:r>
      <w:r w:rsidRPr="002462F0">
        <w:rPr>
          <w:lang w:eastAsia="fr-FR"/>
        </w:rPr>
        <w:t xml:space="preserve"> </w:t>
      </w:r>
      <w:r w:rsidR="00440E68">
        <w:rPr>
          <w:lang w:eastAsia="fr-FR"/>
        </w:rPr>
        <w:t>are sourced</w:t>
      </w:r>
      <w:r w:rsidRPr="002462F0">
        <w:rPr>
          <w:lang w:eastAsia="fr-FR"/>
        </w:rPr>
        <w:t xml:space="preserve"> from Equation 3.15 of petrochemical and carbon black production section in 2006 IPC</w:t>
      </w:r>
      <w:r w:rsidR="00826E82">
        <w:rPr>
          <w:lang w:eastAsia="fr-FR"/>
        </w:rPr>
        <w:t xml:space="preserve">C </w:t>
      </w:r>
      <w:r w:rsidR="00826E82">
        <w:rPr>
          <w:lang w:eastAsia="fr-FR"/>
        </w:rPr>
        <w:fldChar w:fldCharType="begin"/>
      </w:r>
      <w:r w:rsidR="00826E82">
        <w:rPr>
          <w:lang w:eastAsia="fr-FR"/>
        </w:rPr>
        <w:instrText xml:space="preserve"> REF _Ref496788404 \r \h </w:instrText>
      </w:r>
      <w:r w:rsidR="00826E82">
        <w:rPr>
          <w:lang w:eastAsia="fr-FR"/>
        </w:rPr>
      </w:r>
      <w:r w:rsidR="00826E82">
        <w:rPr>
          <w:lang w:eastAsia="fr-FR"/>
        </w:rPr>
        <w:fldChar w:fldCharType="separate"/>
      </w:r>
      <w:r w:rsidR="00F14C78">
        <w:rPr>
          <w:lang w:eastAsia="fr-FR"/>
        </w:rPr>
        <w:t>[I13]</w:t>
      </w:r>
      <w:r w:rsidR="00826E82">
        <w:rPr>
          <w:lang w:eastAsia="fr-FR"/>
        </w:rPr>
        <w:fldChar w:fldCharType="end"/>
      </w:r>
      <w:r w:rsidRPr="002462F0">
        <w:rPr>
          <w:lang w:eastAsia="fr-FR"/>
        </w:rPr>
        <w:t>. T</w:t>
      </w:r>
      <w:r w:rsidR="002D55B2">
        <w:rPr>
          <w:lang w:eastAsia="fr-FR"/>
        </w:rPr>
        <w:t>he specific t</w:t>
      </w:r>
      <w:r w:rsidRPr="002462F0">
        <w:rPr>
          <w:lang w:eastAsia="fr-FR"/>
        </w:rPr>
        <w:t xml:space="preserve">ype of process used is not known. Activity data used for the calculation </w:t>
      </w:r>
      <w:r w:rsidR="002D55B2">
        <w:rPr>
          <w:lang w:eastAsia="fr-FR"/>
        </w:rPr>
        <w:t>are the</w:t>
      </w:r>
      <w:r w:rsidR="002D55B2" w:rsidRPr="002462F0">
        <w:rPr>
          <w:lang w:eastAsia="fr-FR"/>
        </w:rPr>
        <w:t xml:space="preserve"> </w:t>
      </w:r>
      <w:r w:rsidRPr="002462F0">
        <w:rPr>
          <w:lang w:eastAsia="fr-FR"/>
        </w:rPr>
        <w:t>national methanol p</w:t>
      </w:r>
      <w:r w:rsidR="00826E82">
        <w:rPr>
          <w:lang w:eastAsia="fr-FR"/>
        </w:rPr>
        <w:t>roduction</w:t>
      </w:r>
      <w:r w:rsidR="00F31B97">
        <w:rPr>
          <w:lang w:eastAsia="fr-FR"/>
        </w:rPr>
        <w:t>s</w:t>
      </w:r>
      <w:r w:rsidR="00826E82">
        <w:rPr>
          <w:lang w:eastAsia="fr-FR"/>
        </w:rPr>
        <w:t xml:space="preserve"> and </w:t>
      </w:r>
      <w:r w:rsidR="00440E68">
        <w:rPr>
          <w:lang w:eastAsia="fr-FR"/>
        </w:rPr>
        <w:t>are sourced</w:t>
      </w:r>
      <w:r w:rsidR="00826E82">
        <w:rPr>
          <w:lang w:eastAsia="fr-FR"/>
        </w:rPr>
        <w:t xml:space="preserve"> from SORS </w:t>
      </w:r>
      <w:r w:rsidR="00826E82">
        <w:rPr>
          <w:lang w:eastAsia="fr-FR"/>
        </w:rPr>
        <w:fldChar w:fldCharType="begin"/>
      </w:r>
      <w:r w:rsidR="00826E82">
        <w:rPr>
          <w:lang w:eastAsia="fr-FR"/>
        </w:rPr>
        <w:instrText xml:space="preserve"> REF _Ref496788199 \r \h </w:instrText>
      </w:r>
      <w:r w:rsidR="00826E82">
        <w:rPr>
          <w:lang w:eastAsia="fr-FR"/>
        </w:rPr>
      </w:r>
      <w:r w:rsidR="00826E82">
        <w:rPr>
          <w:lang w:eastAsia="fr-FR"/>
        </w:rPr>
        <w:fldChar w:fldCharType="separate"/>
      </w:r>
      <w:r w:rsidR="00F14C78">
        <w:rPr>
          <w:lang w:eastAsia="fr-FR"/>
        </w:rPr>
        <w:t>[I2]</w:t>
      </w:r>
      <w:r w:rsidR="00826E82">
        <w:rPr>
          <w:lang w:eastAsia="fr-FR"/>
        </w:rPr>
        <w:fldChar w:fldCharType="end"/>
      </w:r>
      <w:r w:rsidRPr="002462F0">
        <w:rPr>
          <w:lang w:eastAsia="fr-FR"/>
        </w:rPr>
        <w:t xml:space="preserve"> from 2004 onwards. For 1994-2002 period, activity data values </w:t>
      </w:r>
      <w:r w:rsidR="00440E68">
        <w:rPr>
          <w:lang w:eastAsia="fr-FR"/>
        </w:rPr>
        <w:t>are sourced</w:t>
      </w:r>
      <w:r w:rsidR="00826E82">
        <w:rPr>
          <w:lang w:eastAsia="fr-FR"/>
        </w:rPr>
        <w:t xml:space="preserve"> from industrial statistics </w:t>
      </w:r>
      <w:r w:rsidR="00826E82">
        <w:rPr>
          <w:lang w:eastAsia="fr-FR"/>
        </w:rPr>
        <w:fldChar w:fldCharType="begin"/>
      </w:r>
      <w:r w:rsidR="00826E82">
        <w:rPr>
          <w:lang w:eastAsia="fr-FR"/>
        </w:rPr>
        <w:instrText xml:space="preserve"> REF _Ref496788419 \r \h </w:instrText>
      </w:r>
      <w:r w:rsidR="00826E82">
        <w:rPr>
          <w:lang w:eastAsia="fr-FR"/>
        </w:rPr>
      </w:r>
      <w:r w:rsidR="00826E82">
        <w:rPr>
          <w:lang w:eastAsia="fr-FR"/>
        </w:rPr>
        <w:fldChar w:fldCharType="separate"/>
      </w:r>
      <w:r w:rsidR="00F14C78">
        <w:rPr>
          <w:lang w:eastAsia="fr-FR"/>
        </w:rPr>
        <w:t>[I14]</w:t>
      </w:r>
      <w:r w:rsidR="00826E82">
        <w:rPr>
          <w:lang w:eastAsia="fr-FR"/>
        </w:rPr>
        <w:fldChar w:fldCharType="end"/>
      </w:r>
      <w:r w:rsidRPr="002462F0">
        <w:rPr>
          <w:lang w:eastAsia="fr-FR"/>
        </w:rPr>
        <w:t>.</w:t>
      </w:r>
      <w:bookmarkEnd w:id="435"/>
    </w:p>
    <w:p w14:paraId="5081D4C0" w14:textId="600F92D7" w:rsidR="00DE6BE9" w:rsidRPr="006C3100" w:rsidRDefault="00DE6BE9" w:rsidP="006C3100">
      <w:pPr>
        <w:pStyle w:val="BodyText"/>
      </w:pPr>
      <w:r w:rsidRPr="006C3100">
        <w:t>Default emission factor</w:t>
      </w:r>
      <w:r w:rsidR="00D7397F">
        <w:t>s</w:t>
      </w:r>
      <w:r w:rsidRPr="006C3100">
        <w:t xml:space="preserve"> for CO</w:t>
      </w:r>
      <w:r w:rsidRPr="00622F40">
        <w:rPr>
          <w:vertAlign w:val="subscript"/>
        </w:rPr>
        <w:t>2</w:t>
      </w:r>
      <w:r w:rsidRPr="006C3100">
        <w:t xml:space="preserve"> and CH</w:t>
      </w:r>
      <w:r w:rsidRPr="00622F40">
        <w:rPr>
          <w:vertAlign w:val="subscript"/>
        </w:rPr>
        <w:t>4</w:t>
      </w:r>
      <w:r w:rsidRPr="006C3100">
        <w:t xml:space="preserve"> are constant on the time series and </w:t>
      </w:r>
      <w:r w:rsidR="00440E68">
        <w:t>are sourced</w:t>
      </w:r>
      <w:r w:rsidRPr="006C3100">
        <w:t xml:space="preserve"> from 2006 IPCC Guidelines. Recommended applied values are respe</w:t>
      </w:r>
      <w:r w:rsidR="00826E82">
        <w:t>ctively 0</w:t>
      </w:r>
      <w:r w:rsidR="00D7397F">
        <w:t>.</w:t>
      </w:r>
      <w:r w:rsidR="00826E82">
        <w:t>67 t CO</w:t>
      </w:r>
      <w:r w:rsidR="00826E82" w:rsidRPr="00622F40">
        <w:rPr>
          <w:vertAlign w:val="subscript"/>
        </w:rPr>
        <w:t>2</w:t>
      </w:r>
      <w:r w:rsidR="00826E82">
        <w:t xml:space="preserve">/ t methanol </w:t>
      </w:r>
      <w:r w:rsidR="00826E82">
        <w:fldChar w:fldCharType="begin"/>
      </w:r>
      <w:r w:rsidR="00826E82">
        <w:instrText xml:space="preserve"> REF _Ref496788424 \r \h </w:instrText>
      </w:r>
      <w:r w:rsidR="00826E82">
        <w:fldChar w:fldCharType="separate"/>
      </w:r>
      <w:r w:rsidR="00F14C78">
        <w:t>[I15]</w:t>
      </w:r>
      <w:r w:rsidR="00826E82">
        <w:fldChar w:fldCharType="end"/>
      </w:r>
      <w:r w:rsidRPr="006C3100">
        <w:t xml:space="preserve"> and 2</w:t>
      </w:r>
      <w:r w:rsidR="00D7397F">
        <w:t>.</w:t>
      </w:r>
      <w:r w:rsidRPr="006C3100">
        <w:t xml:space="preserve">3 </w:t>
      </w:r>
      <w:r w:rsidR="00826E82">
        <w:t>kg CH</w:t>
      </w:r>
      <w:r w:rsidR="00826E82" w:rsidRPr="00622F40">
        <w:rPr>
          <w:vertAlign w:val="subscript"/>
        </w:rPr>
        <w:t>4</w:t>
      </w:r>
      <w:r w:rsidR="00826E82">
        <w:t xml:space="preserve">/ t methanol </w:t>
      </w:r>
      <w:r w:rsidR="00826E82">
        <w:fldChar w:fldCharType="begin"/>
      </w:r>
      <w:r w:rsidR="00826E82">
        <w:instrText xml:space="preserve"> REF _Ref496788430 \r \h </w:instrText>
      </w:r>
      <w:r w:rsidR="00826E82">
        <w:fldChar w:fldCharType="separate"/>
      </w:r>
      <w:r w:rsidR="00F14C78">
        <w:t>[I16]</w:t>
      </w:r>
      <w:r w:rsidR="00826E82">
        <w:fldChar w:fldCharType="end"/>
      </w:r>
      <w:r w:rsidRPr="006C3100">
        <w:t xml:space="preserve">. </w:t>
      </w:r>
    </w:p>
    <w:p w14:paraId="1FCBB0B4" w14:textId="07F4CBF5" w:rsidR="00DE6BE9" w:rsidRPr="002462F0" w:rsidRDefault="00DE6BE9" w:rsidP="00DE6BE9">
      <w:pPr>
        <w:pStyle w:val="Heading4"/>
        <w:rPr>
          <w:lang w:eastAsia="fr-FR"/>
        </w:rPr>
      </w:pPr>
      <w:bookmarkStart w:id="436" w:name="_Toc182327819"/>
      <w:r w:rsidRPr="002462F0">
        <w:rPr>
          <w:lang w:eastAsia="fr-FR"/>
        </w:rPr>
        <w:t>Ethylene production (</w:t>
      </w:r>
      <w:r w:rsidR="00FF2718">
        <w:rPr>
          <w:lang w:eastAsia="fr-FR"/>
        </w:rPr>
        <w:t xml:space="preserve">CRT </w:t>
      </w:r>
      <w:r w:rsidRPr="002462F0">
        <w:rPr>
          <w:lang w:eastAsia="fr-FR"/>
        </w:rPr>
        <w:t>2B8b)</w:t>
      </w:r>
      <w:bookmarkEnd w:id="436"/>
    </w:p>
    <w:p w14:paraId="6446B2E5" w14:textId="77777777" w:rsidR="00DE6BE9" w:rsidRPr="002462F0" w:rsidRDefault="00DE6BE9" w:rsidP="00DE6BE9">
      <w:pPr>
        <w:pStyle w:val="Heading5"/>
        <w:rPr>
          <w:lang w:eastAsia="fr-FR"/>
        </w:rPr>
      </w:pPr>
      <w:bookmarkStart w:id="437" w:name="_Toc182327820"/>
      <w:r w:rsidRPr="002462F0">
        <w:rPr>
          <w:lang w:eastAsia="fr-FR"/>
        </w:rPr>
        <w:lastRenderedPageBreak/>
        <w:t>Category description</w:t>
      </w:r>
      <w:bookmarkEnd w:id="437"/>
    </w:p>
    <w:p w14:paraId="13E4CBA7" w14:textId="72CA9BCB" w:rsidR="00EE2243" w:rsidRDefault="00DE6BE9" w:rsidP="006C3100">
      <w:pPr>
        <w:pStyle w:val="BodyText"/>
        <w:rPr>
          <w:lang w:val="en-US"/>
        </w:rPr>
      </w:pPr>
      <w:r w:rsidRPr="002462F0">
        <w:rPr>
          <w:lang w:val="en-US"/>
        </w:rPr>
        <w:t xml:space="preserve">In </w:t>
      </w:r>
      <w:r w:rsidR="00FF60DC">
        <w:rPr>
          <w:lang w:val="en-US"/>
        </w:rPr>
        <w:t>2022</w:t>
      </w:r>
      <w:r w:rsidRPr="002462F0">
        <w:rPr>
          <w:lang w:val="en-US"/>
        </w:rPr>
        <w:t xml:space="preserve">, the category ethylene production is a key category for </w:t>
      </w:r>
      <w:r w:rsidRPr="002462F0">
        <w:rPr>
          <w:lang w:eastAsia="fr-FR"/>
        </w:rPr>
        <w:t>CO</w:t>
      </w:r>
      <w:r w:rsidRPr="002462F0">
        <w:rPr>
          <w:vertAlign w:val="subscript"/>
          <w:lang w:eastAsia="fr-FR"/>
        </w:rPr>
        <w:t>2</w:t>
      </w:r>
      <w:r w:rsidRPr="002462F0">
        <w:rPr>
          <w:lang w:eastAsia="fr-FR"/>
        </w:rPr>
        <w:t xml:space="preserve"> emissions </w:t>
      </w:r>
      <w:r w:rsidR="00505A8D">
        <w:rPr>
          <w:lang w:eastAsia="fr-FR"/>
        </w:rPr>
        <w:t xml:space="preserve">in </w:t>
      </w:r>
      <w:r w:rsidR="002B1BCD">
        <w:rPr>
          <w:lang w:eastAsia="fr-FR"/>
        </w:rPr>
        <w:t xml:space="preserve">terms of </w:t>
      </w:r>
      <w:r w:rsidR="00505A8D">
        <w:rPr>
          <w:lang w:eastAsia="fr-FR"/>
        </w:rPr>
        <w:t xml:space="preserve">emission levels </w:t>
      </w:r>
      <w:r w:rsidRPr="002462F0">
        <w:rPr>
          <w:lang w:val="en-US"/>
        </w:rPr>
        <w:t xml:space="preserve">in Serbia. This sector contributes to </w:t>
      </w:r>
      <w:r w:rsidRPr="0013535A">
        <w:rPr>
          <w:lang w:val="en-US"/>
        </w:rPr>
        <w:t>0</w:t>
      </w:r>
      <w:r w:rsidR="002B1BCD">
        <w:rPr>
          <w:lang w:val="en-US"/>
        </w:rPr>
        <w:t>.5</w:t>
      </w:r>
      <w:r w:rsidRPr="0013535A">
        <w:rPr>
          <w:lang w:val="en-US"/>
        </w:rPr>
        <w:t>%</w:t>
      </w:r>
      <w:r w:rsidRPr="002462F0">
        <w:rPr>
          <w:lang w:val="en-US"/>
        </w:rPr>
        <w:t xml:space="preserve"> in terms of emissions level (rank </w:t>
      </w:r>
      <w:r w:rsidR="002B1BCD">
        <w:rPr>
          <w:lang w:val="en-US"/>
        </w:rPr>
        <w:t>26</w:t>
      </w:r>
      <w:r w:rsidRPr="002462F0">
        <w:rPr>
          <w:lang w:val="en-US"/>
        </w:rPr>
        <w:t xml:space="preserve">). </w:t>
      </w:r>
    </w:p>
    <w:p w14:paraId="0749DC4D" w14:textId="7412B80F" w:rsidR="00DE6BE9" w:rsidRPr="002462F0" w:rsidRDefault="00EE2243" w:rsidP="006C3100">
      <w:pPr>
        <w:pStyle w:val="BodyText"/>
        <w:rPr>
          <w:lang w:val="en-US"/>
        </w:rPr>
      </w:pPr>
      <w:r>
        <w:rPr>
          <w:lang w:val="en-US"/>
        </w:rPr>
        <w:t xml:space="preserve">Many variations in the </w:t>
      </w:r>
      <w:r w:rsidR="00CC3578">
        <w:rPr>
          <w:lang w:val="en-US"/>
        </w:rPr>
        <w:t>sector’s</w:t>
      </w:r>
      <w:r>
        <w:rPr>
          <w:lang w:val="en-US"/>
        </w:rPr>
        <w:t xml:space="preserve"> activity can be observed over the whole timeseries. </w:t>
      </w:r>
      <w:r w:rsidR="00CC3578">
        <w:rPr>
          <w:lang w:val="en-US"/>
        </w:rPr>
        <w:t>Production</w:t>
      </w:r>
      <w:r>
        <w:rPr>
          <w:lang w:val="en-US"/>
        </w:rPr>
        <w:t xml:space="preserve"> has been stopped</w:t>
      </w:r>
      <w:r w:rsidR="008121FA">
        <w:rPr>
          <w:lang w:val="en-US"/>
        </w:rPr>
        <w:t xml:space="preserve"> between 1993 and 1995 following the </w:t>
      </w:r>
      <w:r w:rsidR="00CC3578">
        <w:rPr>
          <w:lang w:val="en-US"/>
        </w:rPr>
        <w:t>economic downturn</w:t>
      </w:r>
      <w:r w:rsidR="008121FA">
        <w:rPr>
          <w:lang w:val="en-US"/>
        </w:rPr>
        <w:t xml:space="preserve">. After recovering, until 1998, </w:t>
      </w:r>
      <w:r w:rsidR="00CC3578">
        <w:rPr>
          <w:lang w:val="en-US"/>
        </w:rPr>
        <w:t>production</w:t>
      </w:r>
      <w:r w:rsidR="008121FA">
        <w:rPr>
          <w:lang w:val="en-US"/>
        </w:rPr>
        <w:t xml:space="preserve"> </w:t>
      </w:r>
      <w:r w:rsidR="00CC3578">
        <w:rPr>
          <w:lang w:val="en-US"/>
        </w:rPr>
        <w:t>decreased</w:t>
      </w:r>
      <w:r w:rsidR="008121FA">
        <w:rPr>
          <w:lang w:val="en-US"/>
        </w:rPr>
        <w:t xml:space="preserve"> significantly in 1999 during the NATO bombing. </w:t>
      </w:r>
      <w:r w:rsidR="006E171E">
        <w:rPr>
          <w:lang w:val="en-US"/>
        </w:rPr>
        <w:t>Then, the activity progressively recovered and increased until 2007</w:t>
      </w:r>
      <w:r w:rsidR="00AD7E1A">
        <w:rPr>
          <w:lang w:val="en-US"/>
        </w:rPr>
        <w:t xml:space="preserve">, before dropping in 2009 due to the global economic crisis. </w:t>
      </w:r>
      <w:r w:rsidR="00A56840">
        <w:rPr>
          <w:lang w:val="en-US"/>
        </w:rPr>
        <w:t xml:space="preserve">Since 2016, </w:t>
      </w:r>
      <w:r w:rsidR="00F07E0D">
        <w:rPr>
          <w:lang w:val="en-US"/>
        </w:rPr>
        <w:t xml:space="preserve">the activity </w:t>
      </w:r>
      <w:r w:rsidR="00CC3578">
        <w:rPr>
          <w:lang w:val="en-US"/>
        </w:rPr>
        <w:t>was</w:t>
      </w:r>
      <w:r w:rsidR="00F07E0D">
        <w:rPr>
          <w:lang w:val="en-US"/>
        </w:rPr>
        <w:t xml:space="preserve"> rather stable, except in 2019 where it </w:t>
      </w:r>
      <w:r w:rsidR="00CC3578">
        <w:rPr>
          <w:lang w:val="en-US"/>
        </w:rPr>
        <w:t>temporarily</w:t>
      </w:r>
      <w:r w:rsidR="00F07E0D">
        <w:rPr>
          <w:lang w:val="en-US"/>
        </w:rPr>
        <w:t xml:space="preserve"> stopped. </w:t>
      </w:r>
    </w:p>
    <w:p w14:paraId="72B9D78C" w14:textId="42D256B0" w:rsidR="00DE6BE9" w:rsidRPr="00622F40" w:rsidRDefault="0039542E" w:rsidP="00CC3578">
      <w:pPr>
        <w:spacing w:after="0"/>
        <w:jc w:val="left"/>
        <w:rPr>
          <w:lang w:val="sr-Latn-RS" w:eastAsia="fr-FR"/>
        </w:rPr>
      </w:pPr>
      <w:r>
        <w:rPr>
          <w:noProof/>
          <w:lang w:val="en-US"/>
        </w:rPr>
        <w:drawing>
          <wp:inline distT="0" distB="0" distL="0" distR="0" wp14:anchorId="24C3FFD0" wp14:editId="0ED92FE0">
            <wp:extent cx="5760000" cy="1753712"/>
            <wp:effectExtent l="0" t="0" r="0" b="0"/>
            <wp:docPr id="992116529"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6C1EDB3F" w14:textId="77777777" w:rsidR="00CC3578" w:rsidRPr="002462F0" w:rsidRDefault="00CC3578" w:rsidP="00CC3578">
      <w:pPr>
        <w:pStyle w:val="Caption"/>
        <w:keepNext/>
        <w:spacing w:before="0" w:after="0"/>
        <w:jc w:val="left"/>
      </w:pPr>
      <w:bookmarkStart w:id="438" w:name="_Toc184808443"/>
      <w:r w:rsidRPr="002462F0">
        <w:t xml:space="preserve">Figure </w:t>
      </w:r>
      <w:r w:rsidRPr="002462F0">
        <w:fldChar w:fldCharType="begin"/>
      </w:r>
      <w:r w:rsidRPr="002462F0">
        <w:instrText xml:space="preserve"> SEQ Figure \* ARABIC </w:instrText>
      </w:r>
      <w:r w:rsidRPr="002462F0">
        <w:fldChar w:fldCharType="separate"/>
      </w:r>
      <w:r>
        <w:rPr>
          <w:noProof/>
        </w:rPr>
        <w:t>56</w:t>
      </w:r>
      <w:r w:rsidRPr="002462F0">
        <w:fldChar w:fldCharType="end"/>
      </w:r>
      <w:r w:rsidRPr="002462F0">
        <w:rPr>
          <w:noProof/>
        </w:rPr>
        <w:t xml:space="preserve"> : GHG emissions for ethylene production </w:t>
      </w:r>
      <w:r>
        <w:rPr>
          <w:noProof/>
        </w:rPr>
        <w:t xml:space="preserve">(CRT 2B8b), for the period 1990-2022 </w:t>
      </w:r>
      <w:r w:rsidRPr="002462F0">
        <w:rPr>
          <w:noProof/>
        </w:rPr>
        <w:t>(</w:t>
      </w:r>
      <w:r>
        <w:rPr>
          <w:noProof/>
        </w:rPr>
        <w:t xml:space="preserve">in </w:t>
      </w:r>
      <w:r w:rsidRPr="002462F0">
        <w:rPr>
          <w:noProof/>
        </w:rPr>
        <w:t>kt CO</w:t>
      </w:r>
      <w:r w:rsidRPr="002462F0">
        <w:rPr>
          <w:noProof/>
          <w:vertAlign w:val="subscript"/>
        </w:rPr>
        <w:t>2</w:t>
      </w:r>
      <w:r w:rsidRPr="002462F0">
        <w:rPr>
          <w:noProof/>
        </w:rPr>
        <w:t>e)</w:t>
      </w:r>
      <w:bookmarkEnd w:id="438"/>
    </w:p>
    <w:p w14:paraId="5E8F086C" w14:textId="77777777" w:rsidR="00DE6BE9" w:rsidRPr="002462F0" w:rsidRDefault="00DE6BE9" w:rsidP="00DE6BE9">
      <w:pPr>
        <w:autoSpaceDE w:val="0"/>
        <w:autoSpaceDN w:val="0"/>
        <w:adjustRightInd w:val="0"/>
        <w:spacing w:after="0" w:line="240" w:lineRule="auto"/>
        <w:jc w:val="left"/>
        <w:rPr>
          <w:sz w:val="24"/>
          <w:szCs w:val="24"/>
          <w:lang w:eastAsia="fr-FR"/>
        </w:rPr>
      </w:pPr>
    </w:p>
    <w:p w14:paraId="30430D19" w14:textId="77777777" w:rsidR="00DE6BE9" w:rsidRPr="002462F0" w:rsidRDefault="00DE6BE9" w:rsidP="00DE6BE9">
      <w:pPr>
        <w:pStyle w:val="Heading5"/>
        <w:rPr>
          <w:lang w:eastAsia="fr-FR"/>
        </w:rPr>
      </w:pPr>
      <w:bookmarkStart w:id="439" w:name="_Toc182327821"/>
      <w:r w:rsidRPr="002462F0">
        <w:rPr>
          <w:lang w:eastAsia="fr-FR"/>
        </w:rPr>
        <w:t>Methodological issues</w:t>
      </w:r>
      <w:bookmarkEnd w:id="439"/>
      <w:r w:rsidRPr="002462F0">
        <w:rPr>
          <w:lang w:eastAsia="fr-FR"/>
        </w:rPr>
        <w:t xml:space="preserve"> </w:t>
      </w:r>
    </w:p>
    <w:p w14:paraId="175A4736" w14:textId="05BD91B5" w:rsidR="00DE6BE9" w:rsidRPr="002462F0" w:rsidRDefault="00DE6BE9" w:rsidP="006C3100">
      <w:pPr>
        <w:pStyle w:val="BodyText"/>
        <w:rPr>
          <w:lang w:eastAsia="fr-FR"/>
        </w:rPr>
      </w:pPr>
      <w:r w:rsidRPr="002462F0">
        <w:rPr>
          <w:lang w:eastAsia="fr-FR"/>
        </w:rPr>
        <w:t>The methodology used is Tier 1. CO</w:t>
      </w:r>
      <w:r w:rsidRPr="002462F0">
        <w:rPr>
          <w:vertAlign w:val="subscript"/>
          <w:lang w:eastAsia="fr-FR"/>
        </w:rPr>
        <w:t>2</w:t>
      </w:r>
      <w:r w:rsidRPr="002462F0">
        <w:rPr>
          <w:lang w:eastAsia="fr-FR"/>
        </w:rPr>
        <w:t xml:space="preserve"> and CH</w:t>
      </w:r>
      <w:r w:rsidRPr="002462F0">
        <w:rPr>
          <w:vertAlign w:val="subscript"/>
          <w:lang w:eastAsia="fr-FR"/>
        </w:rPr>
        <w:t>4</w:t>
      </w:r>
      <w:r w:rsidRPr="002462F0">
        <w:rPr>
          <w:lang w:eastAsia="fr-FR"/>
        </w:rPr>
        <w:t xml:space="preserve"> emission estimate</w:t>
      </w:r>
      <w:r w:rsidR="00F31B97">
        <w:rPr>
          <w:lang w:eastAsia="fr-FR"/>
        </w:rPr>
        <w:t>s</w:t>
      </w:r>
      <w:r w:rsidRPr="002462F0">
        <w:rPr>
          <w:lang w:eastAsia="fr-FR"/>
        </w:rPr>
        <w:t xml:space="preserve"> respectively </w:t>
      </w:r>
      <w:r w:rsidR="00440E68">
        <w:rPr>
          <w:lang w:eastAsia="fr-FR"/>
        </w:rPr>
        <w:t>are sourced</w:t>
      </w:r>
      <w:r w:rsidRPr="002462F0">
        <w:rPr>
          <w:lang w:eastAsia="fr-FR"/>
        </w:rPr>
        <w:t xml:space="preserve"> from Equation 3.15 and Equation 3.23 to 3.25 of petrochemical and carbon black p</w:t>
      </w:r>
      <w:r w:rsidR="00826E82">
        <w:rPr>
          <w:lang w:eastAsia="fr-FR"/>
        </w:rPr>
        <w:t xml:space="preserve">roduction section in 2006 IPCC </w:t>
      </w:r>
      <w:r w:rsidR="00826E82">
        <w:rPr>
          <w:lang w:eastAsia="fr-FR"/>
        </w:rPr>
        <w:fldChar w:fldCharType="begin"/>
      </w:r>
      <w:r w:rsidR="00826E82">
        <w:rPr>
          <w:lang w:eastAsia="fr-FR"/>
        </w:rPr>
        <w:instrText xml:space="preserve"> REF _Ref496788404 \r \h </w:instrText>
      </w:r>
      <w:r w:rsidR="00826E82">
        <w:rPr>
          <w:lang w:eastAsia="fr-FR"/>
        </w:rPr>
      </w:r>
      <w:r w:rsidR="00826E82">
        <w:rPr>
          <w:lang w:eastAsia="fr-FR"/>
        </w:rPr>
        <w:fldChar w:fldCharType="separate"/>
      </w:r>
      <w:r w:rsidR="00F14C78">
        <w:rPr>
          <w:lang w:eastAsia="fr-FR"/>
        </w:rPr>
        <w:t>[I13]</w:t>
      </w:r>
      <w:r w:rsidR="00826E82">
        <w:rPr>
          <w:lang w:eastAsia="fr-FR"/>
        </w:rPr>
        <w:fldChar w:fldCharType="end"/>
      </w:r>
      <w:r w:rsidRPr="002462F0">
        <w:rPr>
          <w:lang w:eastAsia="fr-FR"/>
        </w:rPr>
        <w:t xml:space="preserve">.  </w:t>
      </w:r>
    </w:p>
    <w:p w14:paraId="7D6A8EE5" w14:textId="088394EF" w:rsidR="00DE6BE9" w:rsidRPr="002462F0" w:rsidRDefault="00DE6BE9" w:rsidP="006C3100">
      <w:pPr>
        <w:pStyle w:val="BodyText"/>
        <w:rPr>
          <w:lang w:eastAsia="fr-FR"/>
        </w:rPr>
      </w:pPr>
      <w:r w:rsidRPr="002462F0">
        <w:rPr>
          <w:lang w:eastAsia="fr-FR"/>
        </w:rPr>
        <w:t xml:space="preserve">Activity data used for the calculation </w:t>
      </w:r>
      <w:r w:rsidR="00F31B97">
        <w:rPr>
          <w:lang w:eastAsia="fr-FR"/>
        </w:rPr>
        <w:t>are</w:t>
      </w:r>
      <w:r w:rsidR="00F31B97" w:rsidRPr="002462F0">
        <w:rPr>
          <w:lang w:eastAsia="fr-FR"/>
        </w:rPr>
        <w:t xml:space="preserve"> </w:t>
      </w:r>
      <w:r w:rsidR="00F31B97">
        <w:rPr>
          <w:lang w:eastAsia="fr-FR"/>
        </w:rPr>
        <w:t xml:space="preserve">the </w:t>
      </w:r>
      <w:r w:rsidRPr="002462F0">
        <w:rPr>
          <w:lang w:eastAsia="fr-FR"/>
        </w:rPr>
        <w:t>national ethylene p</w:t>
      </w:r>
      <w:r w:rsidR="00826E82">
        <w:rPr>
          <w:lang w:eastAsia="fr-FR"/>
        </w:rPr>
        <w:t>roduction</w:t>
      </w:r>
      <w:r w:rsidR="00F31B97">
        <w:rPr>
          <w:lang w:eastAsia="fr-FR"/>
        </w:rPr>
        <w:t>s</w:t>
      </w:r>
      <w:r w:rsidR="00826E82">
        <w:rPr>
          <w:lang w:eastAsia="fr-FR"/>
        </w:rPr>
        <w:t xml:space="preserve"> and </w:t>
      </w:r>
      <w:r w:rsidR="00440E68">
        <w:rPr>
          <w:lang w:eastAsia="fr-FR"/>
        </w:rPr>
        <w:t>are sourced</w:t>
      </w:r>
      <w:r w:rsidR="00826E82">
        <w:rPr>
          <w:lang w:eastAsia="fr-FR"/>
        </w:rPr>
        <w:t xml:space="preserve"> from SORS </w:t>
      </w:r>
      <w:r w:rsidR="00826E82">
        <w:rPr>
          <w:lang w:eastAsia="fr-FR"/>
        </w:rPr>
        <w:fldChar w:fldCharType="begin"/>
      </w:r>
      <w:r w:rsidR="00826E82">
        <w:rPr>
          <w:lang w:eastAsia="fr-FR"/>
        </w:rPr>
        <w:instrText xml:space="preserve"> REF _Ref496788199 \r \h </w:instrText>
      </w:r>
      <w:r w:rsidR="00826E82">
        <w:rPr>
          <w:lang w:eastAsia="fr-FR"/>
        </w:rPr>
      </w:r>
      <w:r w:rsidR="00826E82">
        <w:rPr>
          <w:lang w:eastAsia="fr-FR"/>
        </w:rPr>
        <w:fldChar w:fldCharType="separate"/>
      </w:r>
      <w:r w:rsidR="00F14C78">
        <w:rPr>
          <w:lang w:eastAsia="fr-FR"/>
        </w:rPr>
        <w:t>[I2]</w:t>
      </w:r>
      <w:r w:rsidR="00826E82">
        <w:rPr>
          <w:lang w:eastAsia="fr-FR"/>
        </w:rPr>
        <w:fldChar w:fldCharType="end"/>
      </w:r>
      <w:r w:rsidRPr="002462F0">
        <w:rPr>
          <w:lang w:eastAsia="fr-FR"/>
        </w:rPr>
        <w:t xml:space="preserve"> for the time series. </w:t>
      </w:r>
    </w:p>
    <w:p w14:paraId="7BF8F4CD" w14:textId="77777777" w:rsidR="00DE6BE9" w:rsidRPr="002462F0" w:rsidRDefault="00DE6BE9" w:rsidP="006C3100">
      <w:pPr>
        <w:pStyle w:val="BodyText"/>
        <w:rPr>
          <w:lang w:eastAsia="fr-FR"/>
        </w:rPr>
      </w:pPr>
    </w:p>
    <w:p w14:paraId="18D4685E" w14:textId="7036B462" w:rsidR="00DE6BE9" w:rsidRPr="002462F0" w:rsidRDefault="00DE6BE9" w:rsidP="006C3100">
      <w:pPr>
        <w:pStyle w:val="BodyText"/>
        <w:rPr>
          <w:lang w:eastAsia="fr-FR"/>
        </w:rPr>
      </w:pPr>
      <w:r w:rsidRPr="002462F0">
        <w:rPr>
          <w:lang w:eastAsia="fr-FR"/>
        </w:rPr>
        <w:t>Default emission factor for CO</w:t>
      </w:r>
      <w:r w:rsidRPr="002462F0">
        <w:rPr>
          <w:vertAlign w:val="subscript"/>
          <w:lang w:eastAsia="fr-FR"/>
        </w:rPr>
        <w:t>2</w:t>
      </w:r>
      <w:r w:rsidRPr="002462F0">
        <w:rPr>
          <w:lang w:eastAsia="fr-FR"/>
        </w:rPr>
        <w:t xml:space="preserve"> and CH</w:t>
      </w:r>
      <w:r w:rsidRPr="002462F0">
        <w:rPr>
          <w:vertAlign w:val="subscript"/>
          <w:lang w:eastAsia="fr-FR"/>
        </w:rPr>
        <w:t>4</w:t>
      </w:r>
      <w:r w:rsidRPr="002462F0">
        <w:rPr>
          <w:lang w:eastAsia="fr-FR"/>
        </w:rPr>
        <w:t xml:space="preserve"> are constant on the time series and </w:t>
      </w:r>
      <w:r w:rsidR="00440E68">
        <w:rPr>
          <w:lang w:eastAsia="fr-FR"/>
        </w:rPr>
        <w:t>are sourced</w:t>
      </w:r>
      <w:r w:rsidRPr="002462F0">
        <w:rPr>
          <w:lang w:eastAsia="fr-FR"/>
        </w:rPr>
        <w:t xml:space="preserve"> from 2006 IPCC Guidelines for steam cracking of </w:t>
      </w:r>
      <w:r w:rsidR="00A033BF" w:rsidRPr="002462F0">
        <w:rPr>
          <w:lang w:eastAsia="fr-FR"/>
        </w:rPr>
        <w:t>naphtha</w:t>
      </w:r>
      <w:r w:rsidRPr="002462F0">
        <w:rPr>
          <w:lang w:eastAsia="fr-FR"/>
        </w:rPr>
        <w:t>. Recommended applied values are respe</w:t>
      </w:r>
      <w:r w:rsidR="00826E82">
        <w:rPr>
          <w:lang w:eastAsia="fr-FR"/>
        </w:rPr>
        <w:t>ctively 1,73 t CO</w:t>
      </w:r>
      <w:r w:rsidR="00826E82" w:rsidRPr="00622F40">
        <w:rPr>
          <w:vertAlign w:val="subscript"/>
          <w:lang w:eastAsia="fr-FR"/>
        </w:rPr>
        <w:t>2</w:t>
      </w:r>
      <w:r w:rsidR="00826E82">
        <w:rPr>
          <w:lang w:eastAsia="fr-FR"/>
        </w:rPr>
        <w:t xml:space="preserve">/ t ethylene </w:t>
      </w:r>
      <w:r w:rsidR="00826E82">
        <w:rPr>
          <w:lang w:eastAsia="fr-FR"/>
        </w:rPr>
        <w:fldChar w:fldCharType="begin"/>
      </w:r>
      <w:r w:rsidR="00826E82">
        <w:rPr>
          <w:lang w:eastAsia="fr-FR"/>
        </w:rPr>
        <w:instrText xml:space="preserve"> REF _Ref496788459 \r \h </w:instrText>
      </w:r>
      <w:r w:rsidR="00826E82">
        <w:rPr>
          <w:lang w:eastAsia="fr-FR"/>
        </w:rPr>
      </w:r>
      <w:r w:rsidR="00826E82">
        <w:rPr>
          <w:lang w:eastAsia="fr-FR"/>
        </w:rPr>
        <w:fldChar w:fldCharType="separate"/>
      </w:r>
      <w:r w:rsidR="00F14C78">
        <w:rPr>
          <w:lang w:eastAsia="fr-FR"/>
        </w:rPr>
        <w:t>[I17]</w:t>
      </w:r>
      <w:r w:rsidR="00826E82">
        <w:rPr>
          <w:lang w:eastAsia="fr-FR"/>
        </w:rPr>
        <w:fldChar w:fldCharType="end"/>
      </w:r>
      <w:r w:rsidRPr="002462F0">
        <w:rPr>
          <w:lang w:eastAsia="fr-FR"/>
        </w:rPr>
        <w:t xml:space="preserve"> and 3 kg CH</w:t>
      </w:r>
      <w:r w:rsidRPr="00622F40">
        <w:rPr>
          <w:vertAlign w:val="subscript"/>
          <w:lang w:eastAsia="fr-FR"/>
        </w:rPr>
        <w:t>4</w:t>
      </w:r>
      <w:r w:rsidRPr="002462F0">
        <w:rPr>
          <w:lang w:eastAsia="fr-FR"/>
        </w:rPr>
        <w:t>/ t ethylene</w:t>
      </w:r>
      <w:r w:rsidR="00826E82">
        <w:rPr>
          <w:lang w:eastAsia="fr-FR"/>
        </w:rPr>
        <w:t xml:space="preserve"> </w:t>
      </w:r>
      <w:r w:rsidR="00826E82">
        <w:rPr>
          <w:lang w:eastAsia="fr-FR"/>
        </w:rPr>
        <w:fldChar w:fldCharType="begin"/>
      </w:r>
      <w:r w:rsidR="00826E82">
        <w:rPr>
          <w:lang w:eastAsia="fr-FR"/>
        </w:rPr>
        <w:instrText xml:space="preserve"> REF _Ref496788464 \r \h </w:instrText>
      </w:r>
      <w:r w:rsidR="00826E82">
        <w:rPr>
          <w:lang w:eastAsia="fr-FR"/>
        </w:rPr>
      </w:r>
      <w:r w:rsidR="00826E82">
        <w:rPr>
          <w:lang w:eastAsia="fr-FR"/>
        </w:rPr>
        <w:fldChar w:fldCharType="separate"/>
      </w:r>
      <w:r w:rsidR="00F14C78">
        <w:rPr>
          <w:lang w:eastAsia="fr-FR"/>
        </w:rPr>
        <w:t>[I18]</w:t>
      </w:r>
      <w:r w:rsidR="00826E82">
        <w:rPr>
          <w:lang w:eastAsia="fr-FR"/>
        </w:rPr>
        <w:fldChar w:fldCharType="end"/>
      </w:r>
      <w:r w:rsidRPr="002462F0">
        <w:rPr>
          <w:lang w:eastAsia="fr-FR"/>
        </w:rPr>
        <w:t>.</w:t>
      </w:r>
    </w:p>
    <w:p w14:paraId="27B4966C" w14:textId="647D5A6E" w:rsidR="00DE6BE9" w:rsidRPr="002462F0" w:rsidRDefault="00DE6BE9" w:rsidP="006C3100">
      <w:pPr>
        <w:pStyle w:val="BodyText"/>
        <w:rPr>
          <w:sz w:val="24"/>
          <w:szCs w:val="24"/>
          <w:lang w:eastAsia="fr-FR"/>
        </w:rPr>
      </w:pPr>
      <w:r w:rsidRPr="002462F0">
        <w:rPr>
          <w:lang w:eastAsia="fr-FR"/>
        </w:rPr>
        <w:t>Default geographic adjustment factor for CO</w:t>
      </w:r>
      <w:r w:rsidRPr="00622F40">
        <w:rPr>
          <w:vertAlign w:val="subscript"/>
          <w:lang w:eastAsia="fr-FR"/>
        </w:rPr>
        <w:t>2</w:t>
      </w:r>
      <w:r w:rsidRPr="002462F0">
        <w:rPr>
          <w:lang w:eastAsia="fr-FR"/>
        </w:rPr>
        <w:t xml:space="preserve"> emissions provided in 2006 IPCC Guideli</w:t>
      </w:r>
      <w:r w:rsidR="00826E82">
        <w:rPr>
          <w:lang w:eastAsia="fr-FR"/>
        </w:rPr>
        <w:t xml:space="preserve">nes for Eastern Europe is 110% </w:t>
      </w:r>
      <w:r w:rsidR="00826E82">
        <w:rPr>
          <w:lang w:eastAsia="fr-FR"/>
        </w:rPr>
        <w:fldChar w:fldCharType="begin"/>
      </w:r>
      <w:r w:rsidR="00826E82">
        <w:rPr>
          <w:lang w:eastAsia="fr-FR"/>
        </w:rPr>
        <w:instrText xml:space="preserve"> REF _Ref496788471 \r \h </w:instrText>
      </w:r>
      <w:r w:rsidR="00826E82">
        <w:rPr>
          <w:lang w:eastAsia="fr-FR"/>
        </w:rPr>
      </w:r>
      <w:r w:rsidR="00826E82">
        <w:rPr>
          <w:lang w:eastAsia="fr-FR"/>
        </w:rPr>
        <w:fldChar w:fldCharType="separate"/>
      </w:r>
      <w:r w:rsidR="00F14C78">
        <w:rPr>
          <w:lang w:eastAsia="fr-FR"/>
        </w:rPr>
        <w:t>[I19]</w:t>
      </w:r>
      <w:r w:rsidR="00826E82">
        <w:rPr>
          <w:lang w:eastAsia="fr-FR"/>
        </w:rPr>
        <w:fldChar w:fldCharType="end"/>
      </w:r>
      <w:r w:rsidRPr="002462F0">
        <w:rPr>
          <w:lang w:eastAsia="fr-FR"/>
        </w:rPr>
        <w:t xml:space="preserve"> and is applied to Serbia CO</w:t>
      </w:r>
      <w:r w:rsidRPr="00622F40">
        <w:rPr>
          <w:vertAlign w:val="subscript"/>
          <w:lang w:eastAsia="fr-FR"/>
        </w:rPr>
        <w:t>2</w:t>
      </w:r>
      <w:r w:rsidRPr="002462F0">
        <w:rPr>
          <w:lang w:eastAsia="fr-FR"/>
        </w:rPr>
        <w:t xml:space="preserve"> emissions for ethylene production.</w:t>
      </w:r>
    </w:p>
    <w:p w14:paraId="55FB7085" w14:textId="4C7BE7F1" w:rsidR="00DE6BE9" w:rsidRPr="002462F0" w:rsidRDefault="00DE6BE9" w:rsidP="00DE6BE9">
      <w:pPr>
        <w:pStyle w:val="Heading4"/>
        <w:rPr>
          <w:lang w:eastAsia="fr-FR"/>
        </w:rPr>
      </w:pPr>
      <w:bookmarkStart w:id="440" w:name="_Hlk496083133"/>
      <w:bookmarkStart w:id="441" w:name="_Toc182327822"/>
      <w:r w:rsidRPr="002462F0">
        <w:rPr>
          <w:lang w:eastAsia="fr-FR"/>
        </w:rPr>
        <w:t xml:space="preserve">Ethylene dichloride and vinyl chloride monomer production </w:t>
      </w:r>
      <w:bookmarkEnd w:id="440"/>
      <w:r w:rsidRPr="002462F0">
        <w:rPr>
          <w:lang w:eastAsia="fr-FR"/>
        </w:rPr>
        <w:t>(</w:t>
      </w:r>
      <w:r w:rsidR="00FF2718">
        <w:rPr>
          <w:lang w:eastAsia="fr-FR"/>
        </w:rPr>
        <w:t xml:space="preserve">CRT </w:t>
      </w:r>
      <w:r w:rsidRPr="002462F0">
        <w:rPr>
          <w:lang w:eastAsia="fr-FR"/>
        </w:rPr>
        <w:t>2B8c)</w:t>
      </w:r>
      <w:bookmarkEnd w:id="441"/>
    </w:p>
    <w:p w14:paraId="2A187C81" w14:textId="77777777" w:rsidR="00DE6BE9" w:rsidRPr="002462F0" w:rsidRDefault="00DE6BE9" w:rsidP="00DE6BE9">
      <w:pPr>
        <w:pStyle w:val="Heading5"/>
        <w:rPr>
          <w:lang w:eastAsia="fr-FR"/>
        </w:rPr>
      </w:pPr>
      <w:bookmarkStart w:id="442" w:name="_Toc182327823"/>
      <w:r w:rsidRPr="002462F0">
        <w:rPr>
          <w:lang w:eastAsia="fr-FR"/>
        </w:rPr>
        <w:t>Category description</w:t>
      </w:r>
      <w:bookmarkEnd w:id="442"/>
    </w:p>
    <w:p w14:paraId="086D20B5" w14:textId="14D6BE24" w:rsidR="00DE6BE9" w:rsidRPr="002462F0" w:rsidRDefault="00DE6BE9" w:rsidP="006C3100">
      <w:pPr>
        <w:pStyle w:val="BodyText"/>
        <w:rPr>
          <w:lang w:val="en-US"/>
        </w:rPr>
      </w:pPr>
      <w:r w:rsidRPr="002462F0">
        <w:rPr>
          <w:lang w:val="en-US"/>
        </w:rPr>
        <w:t>In 20</w:t>
      </w:r>
      <w:r w:rsidR="002B111E">
        <w:rPr>
          <w:lang w:val="en-US"/>
        </w:rPr>
        <w:t>22</w:t>
      </w:r>
      <w:r w:rsidRPr="002462F0">
        <w:rPr>
          <w:lang w:val="en-US"/>
        </w:rPr>
        <w:t xml:space="preserve">, the category ethylene dichloride and vinyl chloride monomer production is </w:t>
      </w:r>
      <w:r w:rsidR="002B111E">
        <w:rPr>
          <w:lang w:val="en-US"/>
        </w:rPr>
        <w:t>neither</w:t>
      </w:r>
      <w:r w:rsidR="002B111E" w:rsidRPr="002462F0">
        <w:rPr>
          <w:lang w:val="en-US"/>
        </w:rPr>
        <w:t xml:space="preserve"> </w:t>
      </w:r>
      <w:r w:rsidRPr="002462F0">
        <w:rPr>
          <w:lang w:val="en-US"/>
        </w:rPr>
        <w:t>a key category in terms of emission level</w:t>
      </w:r>
      <w:r w:rsidR="002B111E">
        <w:rPr>
          <w:lang w:val="en-US"/>
        </w:rPr>
        <w:t>s</w:t>
      </w:r>
      <w:r w:rsidRPr="002462F0">
        <w:rPr>
          <w:lang w:val="en-US"/>
        </w:rPr>
        <w:t xml:space="preserve"> </w:t>
      </w:r>
      <w:r w:rsidR="002B111E">
        <w:rPr>
          <w:lang w:val="en-US"/>
        </w:rPr>
        <w:t xml:space="preserve">nor </w:t>
      </w:r>
      <w:r w:rsidRPr="002462F0">
        <w:rPr>
          <w:lang w:val="en-US"/>
        </w:rPr>
        <w:t>in terms of emission trend in Serbia. There is only VCM production in Serbia and the activity was stopped in 1999.</w:t>
      </w:r>
      <w:r w:rsidR="00B602FF">
        <w:rPr>
          <w:lang w:val="en-US"/>
        </w:rPr>
        <w:t xml:space="preserve"> </w:t>
      </w:r>
      <w:r w:rsidR="00CC3578">
        <w:t>It is important to note that the plant was non-operational from 1993 to 1995 due to the economic downturn and was subsequently damaged by bombing in 1999.</w:t>
      </w:r>
    </w:p>
    <w:p w14:paraId="6EC90024" w14:textId="7B38A59A" w:rsidR="00DE6BE9" w:rsidRPr="002462F0" w:rsidRDefault="00C43DC0" w:rsidP="00CC3578">
      <w:pPr>
        <w:spacing w:after="0"/>
        <w:jc w:val="left"/>
        <w:rPr>
          <w:lang w:val="en-US" w:eastAsia="fr-FR"/>
        </w:rPr>
      </w:pPr>
      <w:r>
        <w:rPr>
          <w:noProof/>
          <w:lang w:val="en-US"/>
        </w:rPr>
        <w:lastRenderedPageBreak/>
        <w:drawing>
          <wp:inline distT="0" distB="0" distL="0" distR="0" wp14:anchorId="4C650D8B" wp14:editId="67983BB6">
            <wp:extent cx="5760000" cy="1753712"/>
            <wp:effectExtent l="0" t="0" r="0" b="0"/>
            <wp:docPr id="9916060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5D5C5C8A" w14:textId="77777777" w:rsidR="00CC3578" w:rsidRPr="002462F0" w:rsidRDefault="00CC3578" w:rsidP="00CC3578">
      <w:pPr>
        <w:pStyle w:val="Caption"/>
        <w:keepNext/>
        <w:spacing w:before="0" w:after="0"/>
        <w:jc w:val="left"/>
      </w:pPr>
      <w:bookmarkStart w:id="443" w:name="_Toc184808444"/>
      <w:r w:rsidRPr="002462F0">
        <w:t xml:space="preserve">Figure </w:t>
      </w:r>
      <w:r w:rsidRPr="002462F0">
        <w:fldChar w:fldCharType="begin"/>
      </w:r>
      <w:r w:rsidRPr="002462F0">
        <w:instrText xml:space="preserve"> SEQ Figure \* ARABIC </w:instrText>
      </w:r>
      <w:r w:rsidRPr="002462F0">
        <w:fldChar w:fldCharType="separate"/>
      </w:r>
      <w:r>
        <w:rPr>
          <w:noProof/>
        </w:rPr>
        <w:t>57</w:t>
      </w:r>
      <w:r w:rsidRPr="002462F0">
        <w:fldChar w:fldCharType="end"/>
      </w:r>
      <w:r w:rsidRPr="002462F0">
        <w:rPr>
          <w:noProof/>
        </w:rPr>
        <w:t xml:space="preserve"> : GHG emissions for ethylene dichloride and vinyl chloride monomer production (kt CO</w:t>
      </w:r>
      <w:r w:rsidRPr="002462F0">
        <w:rPr>
          <w:noProof/>
          <w:vertAlign w:val="subscript"/>
        </w:rPr>
        <w:t>2</w:t>
      </w:r>
      <w:r w:rsidRPr="002462F0">
        <w:rPr>
          <w:noProof/>
        </w:rPr>
        <w:t>e)</w:t>
      </w:r>
      <w:bookmarkEnd w:id="443"/>
    </w:p>
    <w:p w14:paraId="30174AC2" w14:textId="77777777" w:rsidR="00DE6BE9" w:rsidRPr="002462F0" w:rsidRDefault="00DE6BE9" w:rsidP="00DE6BE9">
      <w:pPr>
        <w:autoSpaceDE w:val="0"/>
        <w:autoSpaceDN w:val="0"/>
        <w:adjustRightInd w:val="0"/>
        <w:spacing w:after="0" w:line="240" w:lineRule="auto"/>
        <w:jc w:val="left"/>
        <w:rPr>
          <w:sz w:val="24"/>
          <w:szCs w:val="24"/>
          <w:lang w:eastAsia="fr-FR"/>
        </w:rPr>
      </w:pPr>
    </w:p>
    <w:p w14:paraId="089BBAB0" w14:textId="77777777" w:rsidR="00DE6BE9" w:rsidRPr="002462F0" w:rsidRDefault="00DE6BE9" w:rsidP="00DE6BE9">
      <w:pPr>
        <w:pStyle w:val="Heading5"/>
        <w:rPr>
          <w:lang w:eastAsia="fr-FR"/>
        </w:rPr>
      </w:pPr>
      <w:bookmarkStart w:id="444" w:name="_Toc182327824"/>
      <w:r w:rsidRPr="002462F0">
        <w:rPr>
          <w:lang w:eastAsia="fr-FR"/>
        </w:rPr>
        <w:t>Methodological issues</w:t>
      </w:r>
      <w:bookmarkEnd w:id="444"/>
      <w:r w:rsidRPr="002462F0">
        <w:rPr>
          <w:lang w:eastAsia="fr-FR"/>
        </w:rPr>
        <w:t xml:space="preserve"> </w:t>
      </w:r>
    </w:p>
    <w:p w14:paraId="5955ACFB" w14:textId="5617C51B" w:rsidR="00DE6BE9" w:rsidRPr="002462F0" w:rsidRDefault="00DE6BE9" w:rsidP="006C3100">
      <w:pPr>
        <w:pStyle w:val="BodyText"/>
        <w:rPr>
          <w:lang w:eastAsia="fr-FR"/>
        </w:rPr>
      </w:pPr>
      <w:r w:rsidRPr="002462F0">
        <w:rPr>
          <w:lang w:eastAsia="fr-FR"/>
        </w:rPr>
        <w:t>The methodology used is Tier 1. CO</w:t>
      </w:r>
      <w:r w:rsidRPr="002462F0">
        <w:rPr>
          <w:vertAlign w:val="subscript"/>
          <w:lang w:eastAsia="fr-FR"/>
        </w:rPr>
        <w:t>2</w:t>
      </w:r>
      <w:r w:rsidRPr="002462F0">
        <w:rPr>
          <w:lang w:eastAsia="fr-FR"/>
        </w:rPr>
        <w:t xml:space="preserve"> and CH</w:t>
      </w:r>
      <w:r w:rsidRPr="002462F0">
        <w:rPr>
          <w:vertAlign w:val="subscript"/>
          <w:lang w:eastAsia="fr-FR"/>
        </w:rPr>
        <w:t>4</w:t>
      </w:r>
      <w:r w:rsidRPr="002462F0">
        <w:rPr>
          <w:lang w:eastAsia="fr-FR"/>
        </w:rPr>
        <w:t xml:space="preserve"> emission estimate</w:t>
      </w:r>
      <w:r w:rsidR="009263AB">
        <w:rPr>
          <w:lang w:eastAsia="fr-FR"/>
        </w:rPr>
        <w:t>s</w:t>
      </w:r>
      <w:r w:rsidRPr="002462F0">
        <w:rPr>
          <w:lang w:eastAsia="fr-FR"/>
        </w:rPr>
        <w:t xml:space="preserve"> respectively </w:t>
      </w:r>
      <w:r w:rsidR="00440E68">
        <w:rPr>
          <w:lang w:eastAsia="fr-FR"/>
        </w:rPr>
        <w:t>are sourced</w:t>
      </w:r>
      <w:r w:rsidRPr="002462F0">
        <w:rPr>
          <w:lang w:eastAsia="fr-FR"/>
        </w:rPr>
        <w:t xml:space="preserve"> from Equation 3.15 and Equation 3.23 to 3.25 of petrochemical and carbon black p</w:t>
      </w:r>
      <w:r w:rsidR="00826E82">
        <w:rPr>
          <w:lang w:eastAsia="fr-FR"/>
        </w:rPr>
        <w:t xml:space="preserve">roduction section in 2006 IPCC </w:t>
      </w:r>
      <w:r w:rsidR="00826E82">
        <w:rPr>
          <w:lang w:eastAsia="fr-FR"/>
        </w:rPr>
        <w:fldChar w:fldCharType="begin"/>
      </w:r>
      <w:r w:rsidR="00826E82">
        <w:rPr>
          <w:lang w:eastAsia="fr-FR"/>
        </w:rPr>
        <w:instrText xml:space="preserve"> REF _Ref496788404 \r \h </w:instrText>
      </w:r>
      <w:r w:rsidR="00826E82">
        <w:rPr>
          <w:lang w:eastAsia="fr-FR"/>
        </w:rPr>
      </w:r>
      <w:r w:rsidR="00826E82">
        <w:rPr>
          <w:lang w:eastAsia="fr-FR"/>
        </w:rPr>
        <w:fldChar w:fldCharType="separate"/>
      </w:r>
      <w:r w:rsidR="00F14C78">
        <w:rPr>
          <w:lang w:eastAsia="fr-FR"/>
        </w:rPr>
        <w:t>[I13]</w:t>
      </w:r>
      <w:r w:rsidR="00826E82">
        <w:rPr>
          <w:lang w:eastAsia="fr-FR"/>
        </w:rPr>
        <w:fldChar w:fldCharType="end"/>
      </w:r>
      <w:r w:rsidRPr="002462F0">
        <w:rPr>
          <w:lang w:eastAsia="fr-FR"/>
        </w:rPr>
        <w:t xml:space="preserve">.  </w:t>
      </w:r>
    </w:p>
    <w:p w14:paraId="46D9F81E" w14:textId="124A9104" w:rsidR="00DE6BE9" w:rsidRPr="002462F0" w:rsidRDefault="00DE6BE9" w:rsidP="006C3100">
      <w:pPr>
        <w:pStyle w:val="BodyText"/>
        <w:rPr>
          <w:lang w:eastAsia="fr-FR"/>
        </w:rPr>
      </w:pPr>
      <w:r w:rsidRPr="002462F0">
        <w:rPr>
          <w:lang w:eastAsia="fr-FR"/>
        </w:rPr>
        <w:t xml:space="preserve">Activity data used for the calculation </w:t>
      </w:r>
      <w:r w:rsidR="00B602FF">
        <w:rPr>
          <w:lang w:eastAsia="fr-FR"/>
        </w:rPr>
        <w:t>are the</w:t>
      </w:r>
      <w:r w:rsidR="00B602FF" w:rsidRPr="002462F0">
        <w:rPr>
          <w:lang w:eastAsia="fr-FR"/>
        </w:rPr>
        <w:t xml:space="preserve"> </w:t>
      </w:r>
      <w:r w:rsidRPr="002462F0">
        <w:rPr>
          <w:lang w:eastAsia="fr-FR"/>
        </w:rPr>
        <w:t>national vinyl chloride monomer p</w:t>
      </w:r>
      <w:r w:rsidR="00826E82">
        <w:rPr>
          <w:lang w:eastAsia="fr-FR"/>
        </w:rPr>
        <w:t>roduction</w:t>
      </w:r>
      <w:r w:rsidR="00B602FF">
        <w:rPr>
          <w:lang w:eastAsia="fr-FR"/>
        </w:rPr>
        <w:t>s</w:t>
      </w:r>
      <w:r w:rsidR="00826E82">
        <w:rPr>
          <w:lang w:eastAsia="fr-FR"/>
        </w:rPr>
        <w:t xml:space="preserve"> and </w:t>
      </w:r>
      <w:r w:rsidR="00440E68">
        <w:rPr>
          <w:lang w:eastAsia="fr-FR"/>
        </w:rPr>
        <w:t>are sourced</w:t>
      </w:r>
      <w:r w:rsidR="00826E82">
        <w:rPr>
          <w:lang w:eastAsia="fr-FR"/>
        </w:rPr>
        <w:t xml:space="preserve"> from SORS </w:t>
      </w:r>
      <w:r w:rsidR="00826E82">
        <w:rPr>
          <w:lang w:eastAsia="fr-FR"/>
        </w:rPr>
        <w:fldChar w:fldCharType="begin"/>
      </w:r>
      <w:r w:rsidR="00826E82">
        <w:rPr>
          <w:lang w:eastAsia="fr-FR"/>
        </w:rPr>
        <w:instrText xml:space="preserve"> REF _Ref496788199 \r \h </w:instrText>
      </w:r>
      <w:r w:rsidR="00826E82">
        <w:rPr>
          <w:lang w:eastAsia="fr-FR"/>
        </w:rPr>
      </w:r>
      <w:r w:rsidR="00826E82">
        <w:rPr>
          <w:lang w:eastAsia="fr-FR"/>
        </w:rPr>
        <w:fldChar w:fldCharType="separate"/>
      </w:r>
      <w:r w:rsidR="00F14C78">
        <w:rPr>
          <w:lang w:eastAsia="fr-FR"/>
        </w:rPr>
        <w:t>[I2]</w:t>
      </w:r>
      <w:r w:rsidR="00826E82">
        <w:rPr>
          <w:lang w:eastAsia="fr-FR"/>
        </w:rPr>
        <w:fldChar w:fldCharType="end"/>
      </w:r>
      <w:r w:rsidRPr="002462F0">
        <w:rPr>
          <w:lang w:eastAsia="fr-FR"/>
        </w:rPr>
        <w:t xml:space="preserve"> for the time series. </w:t>
      </w:r>
    </w:p>
    <w:p w14:paraId="3310760F" w14:textId="0005BB39" w:rsidR="00DE6BE9" w:rsidRPr="002462F0" w:rsidRDefault="00DE6BE9" w:rsidP="006C3100">
      <w:pPr>
        <w:pStyle w:val="BodyText"/>
        <w:rPr>
          <w:lang w:eastAsia="fr-FR"/>
        </w:rPr>
      </w:pPr>
      <w:r w:rsidRPr="002462F0">
        <w:rPr>
          <w:lang w:eastAsia="fr-FR"/>
        </w:rPr>
        <w:t>Default emission factor for CO</w:t>
      </w:r>
      <w:r w:rsidRPr="002462F0">
        <w:rPr>
          <w:vertAlign w:val="subscript"/>
          <w:lang w:eastAsia="fr-FR"/>
        </w:rPr>
        <w:t>2</w:t>
      </w:r>
      <w:r w:rsidR="00826E82">
        <w:rPr>
          <w:lang w:eastAsia="fr-FR"/>
        </w:rPr>
        <w:t xml:space="preserve"> </w:t>
      </w:r>
      <w:r w:rsidR="00826E82">
        <w:rPr>
          <w:lang w:eastAsia="fr-FR"/>
        </w:rPr>
        <w:fldChar w:fldCharType="begin"/>
      </w:r>
      <w:r w:rsidR="00826E82">
        <w:rPr>
          <w:lang w:eastAsia="fr-FR"/>
        </w:rPr>
        <w:instrText xml:space="preserve"> REF _Ref496788497 \r \h </w:instrText>
      </w:r>
      <w:r w:rsidR="00826E82">
        <w:rPr>
          <w:lang w:eastAsia="fr-FR"/>
        </w:rPr>
      </w:r>
      <w:r w:rsidR="00826E82">
        <w:rPr>
          <w:lang w:eastAsia="fr-FR"/>
        </w:rPr>
        <w:fldChar w:fldCharType="separate"/>
      </w:r>
      <w:r w:rsidR="00F14C78">
        <w:rPr>
          <w:lang w:eastAsia="fr-FR"/>
        </w:rPr>
        <w:t>[I20]</w:t>
      </w:r>
      <w:r w:rsidR="00826E82">
        <w:rPr>
          <w:lang w:eastAsia="fr-FR"/>
        </w:rPr>
        <w:fldChar w:fldCharType="end"/>
      </w:r>
      <w:r w:rsidRPr="002462F0">
        <w:rPr>
          <w:lang w:eastAsia="fr-FR"/>
        </w:rPr>
        <w:t xml:space="preserve"> and CH</w:t>
      </w:r>
      <w:r w:rsidRPr="002462F0">
        <w:rPr>
          <w:vertAlign w:val="subscript"/>
          <w:lang w:eastAsia="fr-FR"/>
        </w:rPr>
        <w:t>4</w:t>
      </w:r>
      <w:r w:rsidR="00826E82">
        <w:rPr>
          <w:lang w:eastAsia="fr-FR"/>
        </w:rPr>
        <w:t xml:space="preserve"> </w:t>
      </w:r>
      <w:r w:rsidR="00826E82">
        <w:rPr>
          <w:lang w:eastAsia="fr-FR"/>
        </w:rPr>
        <w:fldChar w:fldCharType="begin"/>
      </w:r>
      <w:r w:rsidR="00826E82">
        <w:rPr>
          <w:lang w:eastAsia="fr-FR"/>
        </w:rPr>
        <w:instrText xml:space="preserve"> REF _Ref496788502 \r \h </w:instrText>
      </w:r>
      <w:r w:rsidR="00826E82">
        <w:rPr>
          <w:lang w:eastAsia="fr-FR"/>
        </w:rPr>
      </w:r>
      <w:r w:rsidR="00826E82">
        <w:rPr>
          <w:lang w:eastAsia="fr-FR"/>
        </w:rPr>
        <w:fldChar w:fldCharType="separate"/>
      </w:r>
      <w:r w:rsidR="00F14C78">
        <w:rPr>
          <w:lang w:eastAsia="fr-FR"/>
        </w:rPr>
        <w:t>[I21]</w:t>
      </w:r>
      <w:r w:rsidR="00826E82">
        <w:rPr>
          <w:lang w:eastAsia="fr-FR"/>
        </w:rPr>
        <w:fldChar w:fldCharType="end"/>
      </w:r>
      <w:r w:rsidRPr="002462F0">
        <w:rPr>
          <w:lang w:eastAsia="fr-FR"/>
        </w:rPr>
        <w:t xml:space="preserve"> are constant on the time series and </w:t>
      </w:r>
      <w:r w:rsidR="00440E68">
        <w:rPr>
          <w:lang w:eastAsia="fr-FR"/>
        </w:rPr>
        <w:t>are sourced</w:t>
      </w:r>
      <w:r w:rsidRPr="002462F0">
        <w:rPr>
          <w:lang w:eastAsia="fr-FR"/>
        </w:rPr>
        <w:t xml:space="preserve"> from 2006 IPCC Guidelines for ethylene dichloride and </w:t>
      </w:r>
      <w:r w:rsidRPr="002462F0">
        <w:rPr>
          <w:rFonts w:cs="Times New Roman"/>
          <w:lang w:val="en-US"/>
        </w:rPr>
        <w:t>vinyl chloride monomer production</w:t>
      </w:r>
      <w:r w:rsidRPr="002462F0">
        <w:rPr>
          <w:lang w:eastAsia="fr-FR"/>
        </w:rPr>
        <w:t xml:space="preserve">. </w:t>
      </w:r>
    </w:p>
    <w:p w14:paraId="7482F881" w14:textId="19978CB0" w:rsidR="00DE6BE9" w:rsidRPr="002462F0" w:rsidRDefault="00DE6BE9" w:rsidP="00DE6BE9">
      <w:pPr>
        <w:pStyle w:val="Heading3"/>
        <w:rPr>
          <w:lang w:eastAsia="fr-FR"/>
        </w:rPr>
      </w:pPr>
      <w:bookmarkStart w:id="445" w:name="_Toc182327825"/>
      <w:bookmarkStart w:id="446" w:name="_Toc184808215"/>
      <w:r w:rsidRPr="002462F0">
        <w:rPr>
          <w:lang w:eastAsia="fr-FR"/>
        </w:rPr>
        <w:t>Other (2B10)</w:t>
      </w:r>
      <w:bookmarkEnd w:id="445"/>
      <w:bookmarkEnd w:id="446"/>
    </w:p>
    <w:p w14:paraId="5F8455B0" w14:textId="77777777" w:rsidR="00DE6BE9" w:rsidRPr="002462F0" w:rsidRDefault="00DE6BE9" w:rsidP="00DE6BE9">
      <w:pPr>
        <w:pStyle w:val="Heading4"/>
        <w:rPr>
          <w:lang w:eastAsia="fr-FR"/>
        </w:rPr>
      </w:pPr>
      <w:bookmarkStart w:id="447" w:name="_Toc182327826"/>
      <w:r w:rsidRPr="002462F0">
        <w:rPr>
          <w:lang w:eastAsia="fr-FR"/>
        </w:rPr>
        <w:t>Category description</w:t>
      </w:r>
      <w:bookmarkEnd w:id="447"/>
    </w:p>
    <w:p w14:paraId="72D81F45" w14:textId="2F654F7A" w:rsidR="00DE6BE9" w:rsidRPr="002462F0" w:rsidRDefault="00DE6BE9" w:rsidP="006C3100">
      <w:pPr>
        <w:pStyle w:val="BodyText"/>
        <w:rPr>
          <w:lang w:eastAsia="fr-FR"/>
        </w:rPr>
      </w:pPr>
      <w:r w:rsidRPr="002462F0">
        <w:rPr>
          <w:lang w:eastAsia="fr-FR"/>
        </w:rPr>
        <w:t>This category includes any other chemical production not considered in specific categories.</w:t>
      </w:r>
      <w:r w:rsidRPr="002462F0">
        <w:rPr>
          <w:lang w:val="en-US"/>
        </w:rPr>
        <w:t xml:space="preserve"> In </w:t>
      </w:r>
      <w:r w:rsidR="0045721E">
        <w:rPr>
          <w:lang w:val="en-US"/>
        </w:rPr>
        <w:t>2022</w:t>
      </w:r>
      <w:r w:rsidRPr="002462F0">
        <w:rPr>
          <w:lang w:val="en-US"/>
        </w:rPr>
        <w:t xml:space="preserve">, the category other chemical production is </w:t>
      </w:r>
      <w:r w:rsidR="004705CB">
        <w:rPr>
          <w:lang w:val="en-US"/>
        </w:rPr>
        <w:t>neither</w:t>
      </w:r>
      <w:r w:rsidR="004705CB" w:rsidRPr="002462F0">
        <w:rPr>
          <w:lang w:val="en-US"/>
        </w:rPr>
        <w:t xml:space="preserve"> </w:t>
      </w:r>
      <w:r w:rsidRPr="002462F0">
        <w:rPr>
          <w:lang w:val="en-US"/>
        </w:rPr>
        <w:t xml:space="preserve">a key category in terms of emissions level </w:t>
      </w:r>
      <w:r w:rsidR="004705CB">
        <w:rPr>
          <w:lang w:val="en-US"/>
        </w:rPr>
        <w:t xml:space="preserve">nor </w:t>
      </w:r>
      <w:r w:rsidRPr="002462F0">
        <w:rPr>
          <w:lang w:val="en-US"/>
        </w:rPr>
        <w:t xml:space="preserve">in terms of emissions trend for GHG emissions in </w:t>
      </w:r>
      <w:r w:rsidR="004705CB">
        <w:rPr>
          <w:lang w:val="en-US"/>
        </w:rPr>
        <w:t xml:space="preserve">the Republic of </w:t>
      </w:r>
      <w:r w:rsidRPr="002462F0">
        <w:rPr>
          <w:lang w:val="en-US"/>
        </w:rPr>
        <w:t>Serbia. Emissions occurring in this category for Serbia are CO</w:t>
      </w:r>
      <w:r w:rsidRPr="002462F0">
        <w:rPr>
          <w:vertAlign w:val="subscript"/>
          <w:lang w:val="en-US"/>
        </w:rPr>
        <w:t>2</w:t>
      </w:r>
      <w:r w:rsidRPr="002462F0">
        <w:rPr>
          <w:lang w:val="en-US"/>
        </w:rPr>
        <w:t xml:space="preserve"> emissions due to decolorization of HNO</w:t>
      </w:r>
      <w:r w:rsidRPr="002462F0">
        <w:rPr>
          <w:vertAlign w:val="subscript"/>
          <w:lang w:val="en-US"/>
        </w:rPr>
        <w:t>3</w:t>
      </w:r>
      <w:r w:rsidRPr="002462F0">
        <w:rPr>
          <w:lang w:val="en-US"/>
        </w:rPr>
        <w:t xml:space="preserve"> and KAN</w:t>
      </w:r>
      <w:r w:rsidRPr="002462F0">
        <w:rPr>
          <w:lang w:eastAsia="fr-FR"/>
        </w:rPr>
        <w:t>.</w:t>
      </w:r>
    </w:p>
    <w:p w14:paraId="43404FB6" w14:textId="02AEECB9" w:rsidR="00DE6BE9" w:rsidRPr="002462F0" w:rsidRDefault="002F20C1" w:rsidP="00DE6BE9">
      <w:pPr>
        <w:autoSpaceDE w:val="0"/>
        <w:autoSpaceDN w:val="0"/>
        <w:adjustRightInd w:val="0"/>
        <w:spacing w:after="0" w:line="240" w:lineRule="auto"/>
        <w:jc w:val="left"/>
        <w:rPr>
          <w:sz w:val="24"/>
          <w:szCs w:val="24"/>
          <w:lang w:eastAsia="fr-FR"/>
        </w:rPr>
      </w:pPr>
      <w:r>
        <w:rPr>
          <w:noProof/>
          <w:sz w:val="24"/>
          <w:szCs w:val="24"/>
          <w:lang w:val="en-US"/>
        </w:rPr>
        <w:drawing>
          <wp:inline distT="0" distB="0" distL="0" distR="0" wp14:anchorId="408A47D2" wp14:editId="3C962025">
            <wp:extent cx="5760000" cy="1753712"/>
            <wp:effectExtent l="0" t="0" r="0" b="0"/>
            <wp:docPr id="1089847551"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774BCB16" w14:textId="77777777" w:rsidR="00E33C79" w:rsidRPr="002462F0" w:rsidRDefault="00E33C79" w:rsidP="00E33C79">
      <w:pPr>
        <w:pStyle w:val="Caption"/>
        <w:keepNext/>
        <w:spacing w:before="0"/>
        <w:jc w:val="left"/>
      </w:pPr>
      <w:bookmarkStart w:id="448" w:name="_Toc184808445"/>
      <w:r w:rsidRPr="002462F0">
        <w:t xml:space="preserve">Figure </w:t>
      </w:r>
      <w:r w:rsidRPr="002462F0">
        <w:fldChar w:fldCharType="begin"/>
      </w:r>
      <w:r w:rsidRPr="002462F0">
        <w:instrText xml:space="preserve"> SEQ Figure \* ARABIC </w:instrText>
      </w:r>
      <w:r w:rsidRPr="002462F0">
        <w:fldChar w:fldCharType="separate"/>
      </w:r>
      <w:r>
        <w:rPr>
          <w:noProof/>
        </w:rPr>
        <w:t>58</w:t>
      </w:r>
      <w:r w:rsidRPr="002462F0">
        <w:fldChar w:fldCharType="end"/>
      </w:r>
      <w:r w:rsidRPr="002462F0">
        <w:rPr>
          <w:noProof/>
        </w:rPr>
        <w:t xml:space="preserve"> : GHG emissions for other chemical production </w:t>
      </w:r>
      <w:r>
        <w:rPr>
          <w:noProof/>
        </w:rPr>
        <w:t xml:space="preserve">(CRT 2B10) for the period 1990-2022 </w:t>
      </w:r>
      <w:r w:rsidRPr="002462F0">
        <w:rPr>
          <w:noProof/>
        </w:rPr>
        <w:t>(</w:t>
      </w:r>
      <w:r>
        <w:rPr>
          <w:noProof/>
        </w:rPr>
        <w:t xml:space="preserve">in </w:t>
      </w:r>
      <w:r w:rsidRPr="002462F0">
        <w:rPr>
          <w:noProof/>
        </w:rPr>
        <w:t>kt CO</w:t>
      </w:r>
      <w:r w:rsidRPr="002462F0">
        <w:rPr>
          <w:noProof/>
          <w:vertAlign w:val="subscript"/>
        </w:rPr>
        <w:t>2</w:t>
      </w:r>
      <w:r w:rsidRPr="002462F0">
        <w:rPr>
          <w:noProof/>
        </w:rPr>
        <w:t>e)</w:t>
      </w:r>
      <w:bookmarkEnd w:id="448"/>
    </w:p>
    <w:p w14:paraId="153EC566" w14:textId="4121B796" w:rsidR="00DE6BE9" w:rsidRPr="007965FE" w:rsidRDefault="00DE6BE9" w:rsidP="00DE6BE9">
      <w:pPr>
        <w:pStyle w:val="Heading4"/>
        <w:rPr>
          <w:lang w:eastAsia="fr-FR"/>
        </w:rPr>
      </w:pPr>
      <w:bookmarkStart w:id="449" w:name="_Toc182327827"/>
      <w:r w:rsidRPr="007965FE">
        <w:rPr>
          <w:lang w:eastAsia="fr-FR"/>
        </w:rPr>
        <w:t>Methodological issues</w:t>
      </w:r>
      <w:bookmarkEnd w:id="449"/>
      <w:r w:rsidRPr="007965FE">
        <w:rPr>
          <w:lang w:eastAsia="fr-FR"/>
        </w:rPr>
        <w:t xml:space="preserve"> </w:t>
      </w:r>
    </w:p>
    <w:p w14:paraId="3A264C42" w14:textId="51B22682" w:rsidR="00450D16" w:rsidRDefault="00DE6BE9" w:rsidP="00450D16">
      <w:pPr>
        <w:pStyle w:val="BodyText"/>
        <w:rPr>
          <w:lang w:eastAsia="fr-FR"/>
        </w:rPr>
      </w:pPr>
      <w:r w:rsidRPr="002462F0">
        <w:rPr>
          <w:lang w:eastAsia="fr-FR"/>
        </w:rPr>
        <w:t>A Tier 1 methodology is applied to CO</w:t>
      </w:r>
      <w:r w:rsidRPr="00622F40">
        <w:rPr>
          <w:vertAlign w:val="subscript"/>
          <w:lang w:eastAsia="fr-FR"/>
        </w:rPr>
        <w:t>2</w:t>
      </w:r>
      <w:r w:rsidRPr="002462F0">
        <w:rPr>
          <w:lang w:eastAsia="fr-FR"/>
        </w:rPr>
        <w:t xml:space="preserve"> emission estimate</w:t>
      </w:r>
      <w:r w:rsidR="00113B43">
        <w:rPr>
          <w:lang w:eastAsia="fr-FR"/>
        </w:rPr>
        <w:t>s</w:t>
      </w:r>
      <w:r w:rsidRPr="002462F0">
        <w:rPr>
          <w:lang w:eastAsia="fr-FR"/>
        </w:rPr>
        <w:t xml:space="preserve"> for decolorization of HNO</w:t>
      </w:r>
      <w:r w:rsidRPr="00622F40">
        <w:rPr>
          <w:vertAlign w:val="subscript"/>
          <w:lang w:eastAsia="fr-FR"/>
        </w:rPr>
        <w:t>3</w:t>
      </w:r>
      <w:r w:rsidRPr="002462F0">
        <w:rPr>
          <w:lang w:eastAsia="fr-FR"/>
        </w:rPr>
        <w:t xml:space="preserve"> and KAN. Activity data </w:t>
      </w:r>
      <w:r w:rsidR="00D15199">
        <w:rPr>
          <w:lang w:eastAsia="fr-FR"/>
        </w:rPr>
        <w:t xml:space="preserve">for </w:t>
      </w:r>
      <w:r w:rsidR="00450D16">
        <w:rPr>
          <w:lang w:eastAsia="fr-FR"/>
        </w:rPr>
        <w:t xml:space="preserve">this category </w:t>
      </w:r>
      <w:r w:rsidR="00113B43">
        <w:rPr>
          <w:lang w:eastAsia="fr-FR"/>
        </w:rPr>
        <w:t xml:space="preserve">are the </w:t>
      </w:r>
      <w:r w:rsidR="00450D16">
        <w:rPr>
          <w:lang w:eastAsia="fr-FR"/>
        </w:rPr>
        <w:t>consumption</w:t>
      </w:r>
      <w:r w:rsidR="003A0C56">
        <w:rPr>
          <w:lang w:eastAsia="fr-FR"/>
        </w:rPr>
        <w:t>s</w:t>
      </w:r>
      <w:r w:rsidR="00450D16">
        <w:rPr>
          <w:lang w:eastAsia="fr-FR"/>
        </w:rPr>
        <w:t xml:space="preserve"> of natural gas needed for this process. The data came in the following way:</w:t>
      </w:r>
    </w:p>
    <w:p w14:paraId="29B2EE09" w14:textId="73B31508" w:rsidR="00447456" w:rsidRDefault="00450D16" w:rsidP="00450D16">
      <w:pPr>
        <w:pStyle w:val="BodyText"/>
        <w:rPr>
          <w:lang w:eastAsia="fr-FR"/>
        </w:rPr>
      </w:pPr>
      <w:r>
        <w:rPr>
          <w:lang w:eastAsia="fr-FR"/>
        </w:rPr>
        <w:lastRenderedPageBreak/>
        <w:t xml:space="preserve">Ammonia production data are from Statistical yearbooks and are available for the period 1990-2013. By using the default IPCC 2006 fuel consumption ratio for producing ammonia, it is possible to calculate the consumption of natural gas. Nitric acid production data are also from Statistical yearbooks and are available for the same period. There is no default IPCC 2006 fuel consumption ratio for the production of nitric acid, and no natural gas consumption for this purpose can be calculated. Resolving this problem: Reliable data on natural gas consumption has been available for the </w:t>
      </w:r>
      <w:r w:rsidR="0043155C">
        <w:rPr>
          <w:lang w:eastAsia="fr-FR"/>
        </w:rPr>
        <w:t xml:space="preserve">period </w:t>
      </w:r>
      <w:r>
        <w:rPr>
          <w:lang w:eastAsia="fr-FR"/>
        </w:rPr>
        <w:t>2009-2014 from the PRTR report. On this basis</w:t>
      </w:r>
      <w:r w:rsidR="003A0C56">
        <w:rPr>
          <w:lang w:eastAsia="fr-FR"/>
        </w:rPr>
        <w:t>,</w:t>
      </w:r>
      <w:r>
        <w:rPr>
          <w:lang w:eastAsia="fr-FR"/>
        </w:rPr>
        <w:t xml:space="preserve"> it </w:t>
      </w:r>
      <w:r w:rsidR="00724438">
        <w:rPr>
          <w:lang w:eastAsia="fr-FR"/>
        </w:rPr>
        <w:t>was</w:t>
      </w:r>
      <w:r>
        <w:rPr>
          <w:lang w:eastAsia="fr-FR"/>
        </w:rPr>
        <w:t xml:space="preserve"> possible to calculate the actual fuel consumption for each individual production (NH</w:t>
      </w:r>
      <w:r w:rsidRPr="00622F40">
        <w:rPr>
          <w:vertAlign w:val="subscript"/>
          <w:lang w:eastAsia="fr-FR"/>
        </w:rPr>
        <w:t>3</w:t>
      </w:r>
      <w:r>
        <w:rPr>
          <w:lang w:eastAsia="fr-FR"/>
        </w:rPr>
        <w:t xml:space="preserve"> and HNO</w:t>
      </w:r>
      <w:r w:rsidRPr="00622F40">
        <w:rPr>
          <w:vertAlign w:val="subscript"/>
          <w:lang w:eastAsia="fr-FR"/>
        </w:rPr>
        <w:t>3</w:t>
      </w:r>
      <w:r>
        <w:rPr>
          <w:lang w:eastAsia="fr-FR"/>
        </w:rPr>
        <w:t>). Having a ratio for the years mentioned above, the average value of natural gas consumption can be calculated in previous years. In this case, the assumption is that the structure and efficiency of these industrial sectors have been constant throughout the whole period.</w:t>
      </w:r>
      <w:r w:rsidR="002E4868">
        <w:rPr>
          <w:lang w:eastAsia="fr-FR"/>
        </w:rPr>
        <w:t xml:space="preserve"> For the period 2015-2022, the activity data are extrapolated based on the previous linear evolution. </w:t>
      </w:r>
    </w:p>
    <w:p w14:paraId="24278A16" w14:textId="5FAA9D6F" w:rsidR="00DE6BE9" w:rsidRPr="00622F40" w:rsidRDefault="00DE6BE9" w:rsidP="006C3100">
      <w:pPr>
        <w:pStyle w:val="BodyText"/>
        <w:rPr>
          <w:lang w:eastAsia="fr-FR"/>
        </w:rPr>
      </w:pPr>
      <w:r w:rsidRPr="00622F40">
        <w:rPr>
          <w:lang w:eastAsia="fr-FR"/>
        </w:rPr>
        <w:t xml:space="preserve">Emission factor used </w:t>
      </w:r>
      <w:r w:rsidR="00440E68">
        <w:rPr>
          <w:lang w:eastAsia="fr-FR"/>
        </w:rPr>
        <w:t>are sourced</w:t>
      </w:r>
      <w:r w:rsidRPr="00622F40">
        <w:rPr>
          <w:lang w:eastAsia="fr-FR"/>
        </w:rPr>
        <w:t xml:space="preserve"> from </w:t>
      </w:r>
      <w:r w:rsidR="00A84BFB" w:rsidRPr="00622F40">
        <w:rPr>
          <w:lang w:eastAsia="fr-FR"/>
        </w:rPr>
        <w:t>the 2006 IPCC guidelines for natural gas use</w:t>
      </w:r>
      <w:r w:rsidR="00743003">
        <w:rPr>
          <w:lang w:eastAsia="fr-FR"/>
        </w:rPr>
        <w:t>, the</w:t>
      </w:r>
      <w:r w:rsidR="00A84BFB" w:rsidRPr="00622F40">
        <w:rPr>
          <w:lang w:eastAsia="fr-FR"/>
        </w:rPr>
        <w:t xml:space="preserve"> default value of 56.1 t</w:t>
      </w:r>
      <w:r w:rsidR="00743003">
        <w:rPr>
          <w:lang w:eastAsia="fr-FR"/>
        </w:rPr>
        <w:t xml:space="preserve"> CO</w:t>
      </w:r>
      <w:r w:rsidR="00743003" w:rsidRPr="00622F40">
        <w:rPr>
          <w:vertAlign w:val="subscript"/>
          <w:lang w:eastAsia="fr-FR"/>
        </w:rPr>
        <w:t>2</w:t>
      </w:r>
      <w:r w:rsidR="00A84BFB" w:rsidRPr="00622F40">
        <w:rPr>
          <w:lang w:eastAsia="fr-FR"/>
        </w:rPr>
        <w:t>/TJ is used</w:t>
      </w:r>
      <w:r w:rsidR="00743003">
        <w:rPr>
          <w:lang w:eastAsia="fr-FR"/>
        </w:rPr>
        <w:t>.</w:t>
      </w:r>
    </w:p>
    <w:p w14:paraId="1BE93208" w14:textId="77777777" w:rsidR="00DE6BE9" w:rsidRPr="002462F0" w:rsidRDefault="00DE6BE9" w:rsidP="00DE6BE9">
      <w:pPr>
        <w:pStyle w:val="Heading3"/>
        <w:rPr>
          <w:lang w:eastAsia="fr-FR"/>
        </w:rPr>
      </w:pPr>
      <w:bookmarkStart w:id="450" w:name="_Toc182327828"/>
      <w:bookmarkStart w:id="451" w:name="_Toc184808216"/>
      <w:r w:rsidRPr="002462F0">
        <w:rPr>
          <w:lang w:eastAsia="fr-FR"/>
        </w:rPr>
        <w:t>Uncertainties and time-series consistency</w:t>
      </w:r>
      <w:bookmarkEnd w:id="450"/>
      <w:bookmarkEnd w:id="451"/>
    </w:p>
    <w:p w14:paraId="5C310DAF" w14:textId="77777777" w:rsidR="00DE6BE9" w:rsidRPr="006C3100" w:rsidRDefault="00DE6BE9" w:rsidP="006C3100">
      <w:pPr>
        <w:pStyle w:val="BodyText"/>
        <w:rPr>
          <w:b/>
          <w:lang w:eastAsia="fr-FR"/>
        </w:rPr>
      </w:pPr>
      <w:r w:rsidRPr="006C3100">
        <w:rPr>
          <w:b/>
          <w:lang w:eastAsia="fr-FR"/>
        </w:rPr>
        <w:t>CO</w:t>
      </w:r>
      <w:r w:rsidRPr="006C3100">
        <w:rPr>
          <w:b/>
          <w:vertAlign w:val="subscript"/>
          <w:lang w:eastAsia="fr-FR"/>
        </w:rPr>
        <w:t>2</w:t>
      </w:r>
    </w:p>
    <w:p w14:paraId="60E6D5ED" w14:textId="0624FD07" w:rsidR="00DE6BE9" w:rsidRPr="002462F0" w:rsidRDefault="00DE6BE9" w:rsidP="006C3100">
      <w:pPr>
        <w:pStyle w:val="BodyText"/>
        <w:rPr>
          <w:lang w:val="en-US" w:eastAsia="fr-FR"/>
        </w:rPr>
      </w:pPr>
      <w:r w:rsidRPr="002462F0">
        <w:rPr>
          <w:lang w:val="en-US" w:eastAsia="fr-FR"/>
        </w:rPr>
        <w:t xml:space="preserve">Uncertainty </w:t>
      </w:r>
      <w:r w:rsidR="00724438" w:rsidRPr="002462F0">
        <w:rPr>
          <w:lang w:val="en-US" w:eastAsia="fr-FR"/>
        </w:rPr>
        <w:t>estimates</w:t>
      </w:r>
      <w:r w:rsidRPr="002462F0">
        <w:rPr>
          <w:lang w:val="en-US" w:eastAsia="fr-FR"/>
        </w:rPr>
        <w:t xml:space="preserve"> associated with activity data </w:t>
      </w:r>
      <w:r w:rsidR="00FF2718" w:rsidRPr="002462F0">
        <w:rPr>
          <w:lang w:val="en-US" w:eastAsia="fr-FR"/>
        </w:rPr>
        <w:t>amount</w:t>
      </w:r>
      <w:r w:rsidRPr="002462F0">
        <w:rPr>
          <w:lang w:val="en-US" w:eastAsia="fr-FR"/>
        </w:rPr>
        <w:t xml:space="preserve"> to 5%, accordingly to values reported in 2006 IPCC Guidelines (Volume 3 Chapter 3.2.3.2).</w:t>
      </w:r>
    </w:p>
    <w:p w14:paraId="12A9DFC2" w14:textId="77777777" w:rsidR="00DE6BE9" w:rsidRPr="002462F0" w:rsidRDefault="00DE6BE9" w:rsidP="006C3100">
      <w:pPr>
        <w:pStyle w:val="BodyText"/>
        <w:rPr>
          <w:lang w:val="en-US" w:eastAsia="fr-FR"/>
        </w:rPr>
      </w:pPr>
      <w:r w:rsidRPr="002462F0">
        <w:rPr>
          <w:lang w:val="en-US" w:eastAsia="fr-FR"/>
        </w:rPr>
        <w:t>Uncertainty estimate associated with default emission factor amounts to 6%, accordingly to values reported in 2006 IPCC Guidelines (Volume 3 Chapter 3 Table 3.1).</w:t>
      </w:r>
    </w:p>
    <w:p w14:paraId="19F9D638" w14:textId="78A83C6F" w:rsidR="00DE6BE9" w:rsidRPr="002462F0" w:rsidRDefault="00DE6BE9" w:rsidP="006C3100">
      <w:pPr>
        <w:pStyle w:val="BodyText"/>
        <w:rPr>
          <w:lang w:val="en-US" w:eastAsia="fr-FR"/>
        </w:rPr>
      </w:pPr>
      <w:r w:rsidRPr="002462F0">
        <w:rPr>
          <w:lang w:val="en-US" w:eastAsia="fr-FR"/>
        </w:rPr>
        <w:t xml:space="preserve">Combined uncertainty for emissions is </w:t>
      </w:r>
      <w:r w:rsidR="00626F13">
        <w:rPr>
          <w:lang w:val="en-US" w:eastAsia="fr-FR"/>
        </w:rPr>
        <w:t>0.04</w:t>
      </w:r>
      <w:r w:rsidRPr="002462F0">
        <w:rPr>
          <w:lang w:val="en-US" w:eastAsia="fr-FR"/>
        </w:rPr>
        <w:t>%</w:t>
      </w:r>
      <w:r w:rsidR="000775A4" w:rsidRPr="000775A4">
        <w:rPr>
          <w:lang w:eastAsia="fr-FR"/>
        </w:rPr>
        <w:t xml:space="preserve"> </w:t>
      </w:r>
      <w:r w:rsidR="000775A4">
        <w:rPr>
          <w:lang w:eastAsia="fr-FR"/>
        </w:rPr>
        <w:t>in the total national levels of emission in 2022, excluding LULUCF contribution</w:t>
      </w:r>
      <w:r w:rsidRPr="002462F0">
        <w:rPr>
          <w:lang w:val="en-US" w:eastAsia="fr-FR"/>
        </w:rPr>
        <w:t>.</w:t>
      </w:r>
    </w:p>
    <w:p w14:paraId="209BD36D" w14:textId="77777777" w:rsidR="00DE6BE9" w:rsidRPr="002462F0" w:rsidRDefault="00DE6BE9" w:rsidP="006C3100">
      <w:pPr>
        <w:pStyle w:val="BodyText"/>
        <w:rPr>
          <w:lang w:val="en-US" w:eastAsia="fr-FR"/>
        </w:rPr>
      </w:pPr>
    </w:p>
    <w:p w14:paraId="150AAF1A" w14:textId="77777777" w:rsidR="00DE6BE9" w:rsidRPr="006C3100" w:rsidRDefault="00DE6BE9" w:rsidP="006C3100">
      <w:pPr>
        <w:pStyle w:val="BodyText"/>
        <w:rPr>
          <w:b/>
          <w:lang w:eastAsia="fr-FR"/>
        </w:rPr>
      </w:pPr>
      <w:r w:rsidRPr="006C3100">
        <w:rPr>
          <w:b/>
          <w:lang w:eastAsia="fr-FR"/>
        </w:rPr>
        <w:t>CH</w:t>
      </w:r>
      <w:r w:rsidRPr="006C3100">
        <w:rPr>
          <w:b/>
          <w:vertAlign w:val="subscript"/>
          <w:lang w:eastAsia="fr-FR"/>
        </w:rPr>
        <w:t>4</w:t>
      </w:r>
    </w:p>
    <w:p w14:paraId="55EC3C41" w14:textId="1C07C11A" w:rsidR="00DE6BE9" w:rsidRPr="002462F0" w:rsidRDefault="00724438" w:rsidP="006C3100">
      <w:pPr>
        <w:pStyle w:val="BodyText"/>
        <w:rPr>
          <w:lang w:val="en-US" w:eastAsia="fr-FR"/>
        </w:rPr>
      </w:pPr>
      <w:r w:rsidRPr="002462F0">
        <w:rPr>
          <w:lang w:val="en-US" w:eastAsia="fr-FR"/>
        </w:rPr>
        <w:t>The uncertainty</w:t>
      </w:r>
      <w:r w:rsidR="00DE6BE9" w:rsidRPr="002462F0">
        <w:rPr>
          <w:lang w:val="en-US" w:eastAsia="fr-FR"/>
        </w:rPr>
        <w:t xml:space="preserve"> estimate associated with activity data amounts to 2%, </w:t>
      </w:r>
      <w:r w:rsidRPr="002462F0">
        <w:rPr>
          <w:lang w:val="en-US" w:eastAsia="fr-FR"/>
        </w:rPr>
        <w:t>according</w:t>
      </w:r>
      <w:r w:rsidR="00DE6BE9" w:rsidRPr="002462F0">
        <w:rPr>
          <w:lang w:val="en-US" w:eastAsia="fr-FR"/>
        </w:rPr>
        <w:t xml:space="preserve"> to values reported in 2006 IPCC Guidelines (Volume 3 Chapter 3 Table 3.27).</w:t>
      </w:r>
    </w:p>
    <w:p w14:paraId="62D07236" w14:textId="255D223D" w:rsidR="00DE6BE9" w:rsidRPr="002462F0" w:rsidRDefault="00DE6BE9" w:rsidP="006C3100">
      <w:pPr>
        <w:pStyle w:val="BodyText"/>
        <w:rPr>
          <w:lang w:val="en-US" w:eastAsia="fr-FR"/>
        </w:rPr>
      </w:pPr>
      <w:r w:rsidRPr="002462F0">
        <w:rPr>
          <w:lang w:val="en-US" w:eastAsia="fr-FR"/>
        </w:rPr>
        <w:t xml:space="preserve">Uncertainty estimate associated with default emission factor amounts to 2%, </w:t>
      </w:r>
      <w:r w:rsidR="00724438" w:rsidRPr="002462F0">
        <w:rPr>
          <w:lang w:val="en-US" w:eastAsia="fr-FR"/>
        </w:rPr>
        <w:t>according</w:t>
      </w:r>
      <w:r w:rsidRPr="002462F0">
        <w:rPr>
          <w:lang w:val="en-US" w:eastAsia="fr-FR"/>
        </w:rPr>
        <w:t xml:space="preserve"> to values reported in 2006 IPCC Guidelines (Volume 3 Chapter 3 Table 3.27).</w:t>
      </w:r>
    </w:p>
    <w:p w14:paraId="71BA7155" w14:textId="69237199" w:rsidR="00DE6BE9" w:rsidRPr="002462F0" w:rsidRDefault="00DE6BE9" w:rsidP="006C3100">
      <w:pPr>
        <w:pStyle w:val="BodyText"/>
        <w:rPr>
          <w:lang w:val="en-US" w:eastAsia="fr-FR"/>
        </w:rPr>
      </w:pPr>
      <w:r w:rsidRPr="002462F0">
        <w:rPr>
          <w:lang w:val="en-US" w:eastAsia="fr-FR"/>
        </w:rPr>
        <w:t xml:space="preserve">Combined uncertainty for emissions is </w:t>
      </w:r>
      <w:r w:rsidR="00626F13">
        <w:rPr>
          <w:lang w:val="en-US" w:eastAsia="fr-FR"/>
        </w:rPr>
        <w:t>0.0006</w:t>
      </w:r>
      <w:r w:rsidRPr="002462F0">
        <w:rPr>
          <w:lang w:val="en-US" w:eastAsia="fr-FR"/>
        </w:rPr>
        <w:t>%</w:t>
      </w:r>
      <w:r w:rsidR="00626F13" w:rsidRPr="00626F13">
        <w:rPr>
          <w:lang w:eastAsia="fr-FR"/>
        </w:rPr>
        <w:t xml:space="preserve"> </w:t>
      </w:r>
      <w:r w:rsidR="00626F13">
        <w:rPr>
          <w:lang w:eastAsia="fr-FR"/>
        </w:rPr>
        <w:t>in the total national levels of emission in 2022, excluding LULUCF contribution</w:t>
      </w:r>
      <w:r w:rsidRPr="002462F0">
        <w:rPr>
          <w:lang w:val="en-US" w:eastAsia="fr-FR"/>
        </w:rPr>
        <w:t>.</w:t>
      </w:r>
    </w:p>
    <w:p w14:paraId="189AC36A" w14:textId="77777777" w:rsidR="00DE6BE9" w:rsidRPr="002462F0" w:rsidRDefault="00DE6BE9" w:rsidP="006C3100">
      <w:pPr>
        <w:pStyle w:val="BodyText"/>
        <w:rPr>
          <w:lang w:val="en-US" w:eastAsia="fr-FR"/>
        </w:rPr>
      </w:pPr>
    </w:p>
    <w:p w14:paraId="044784F7" w14:textId="77777777" w:rsidR="00DE6BE9" w:rsidRPr="006C3100" w:rsidRDefault="00DE6BE9" w:rsidP="006C3100">
      <w:pPr>
        <w:pStyle w:val="BodyText"/>
        <w:rPr>
          <w:b/>
          <w:lang w:eastAsia="fr-FR"/>
        </w:rPr>
      </w:pPr>
      <w:r w:rsidRPr="006C3100">
        <w:rPr>
          <w:b/>
          <w:lang w:eastAsia="fr-FR"/>
        </w:rPr>
        <w:t>N</w:t>
      </w:r>
      <w:r w:rsidRPr="006C3100">
        <w:rPr>
          <w:b/>
          <w:vertAlign w:val="subscript"/>
          <w:lang w:eastAsia="fr-FR"/>
        </w:rPr>
        <w:t>2</w:t>
      </w:r>
      <w:r w:rsidRPr="006C3100">
        <w:rPr>
          <w:b/>
          <w:lang w:eastAsia="fr-FR"/>
        </w:rPr>
        <w:t>O</w:t>
      </w:r>
    </w:p>
    <w:p w14:paraId="46C4A7D6" w14:textId="196488FF" w:rsidR="00DE6BE9" w:rsidRPr="002462F0" w:rsidRDefault="00DE6BE9" w:rsidP="006C3100">
      <w:pPr>
        <w:pStyle w:val="BodyText"/>
        <w:rPr>
          <w:lang w:val="en-US" w:eastAsia="fr-FR"/>
        </w:rPr>
      </w:pPr>
      <w:r w:rsidRPr="002462F0">
        <w:rPr>
          <w:lang w:val="en-US" w:eastAsia="fr-FR"/>
        </w:rPr>
        <w:t xml:space="preserve">Uncertainty </w:t>
      </w:r>
      <w:r w:rsidR="00724438" w:rsidRPr="002462F0">
        <w:rPr>
          <w:lang w:val="en-US" w:eastAsia="fr-FR"/>
        </w:rPr>
        <w:t>estimates</w:t>
      </w:r>
      <w:r w:rsidRPr="002462F0">
        <w:rPr>
          <w:lang w:val="en-US" w:eastAsia="fr-FR"/>
        </w:rPr>
        <w:t xml:space="preserve"> associated with activity data amounts to 40%, </w:t>
      </w:r>
      <w:r w:rsidR="00724438" w:rsidRPr="002462F0">
        <w:rPr>
          <w:lang w:val="en-US" w:eastAsia="fr-FR"/>
        </w:rPr>
        <w:t>according</w:t>
      </w:r>
      <w:r w:rsidRPr="002462F0">
        <w:rPr>
          <w:lang w:val="en-US" w:eastAsia="fr-FR"/>
        </w:rPr>
        <w:t xml:space="preserve"> to values reported in 2006 IPCC Guidelines (Volume 3 Chapter 3.2.3.2).</w:t>
      </w:r>
    </w:p>
    <w:p w14:paraId="016787C0" w14:textId="463D276A" w:rsidR="00DE6BE9" w:rsidRPr="002462F0" w:rsidRDefault="00DE6BE9" w:rsidP="006C3100">
      <w:pPr>
        <w:pStyle w:val="BodyText"/>
        <w:rPr>
          <w:lang w:val="en-US" w:eastAsia="fr-FR"/>
        </w:rPr>
      </w:pPr>
      <w:r w:rsidRPr="002462F0">
        <w:rPr>
          <w:lang w:val="en-US" w:eastAsia="fr-FR"/>
        </w:rPr>
        <w:t xml:space="preserve">Uncertainty estimate associated with default emission factor amounts to 6%, </w:t>
      </w:r>
      <w:r w:rsidR="00724438" w:rsidRPr="002462F0">
        <w:rPr>
          <w:lang w:val="en-US" w:eastAsia="fr-FR"/>
        </w:rPr>
        <w:t>according</w:t>
      </w:r>
      <w:r w:rsidRPr="002462F0">
        <w:rPr>
          <w:lang w:val="en-US" w:eastAsia="fr-FR"/>
        </w:rPr>
        <w:t xml:space="preserve"> to values reported in 2006 IPCC Guidelines (Volume 3 Chapter 3 Table 3.3).</w:t>
      </w:r>
    </w:p>
    <w:p w14:paraId="7BCF7D67" w14:textId="0FC9DD6A" w:rsidR="00DE6BE9" w:rsidRPr="002462F0" w:rsidRDefault="00DE6BE9" w:rsidP="006C3100">
      <w:pPr>
        <w:pStyle w:val="BodyText"/>
        <w:rPr>
          <w:b/>
          <w:bCs/>
          <w:sz w:val="24"/>
          <w:szCs w:val="24"/>
          <w:lang w:val="en-US" w:eastAsia="fr-FR"/>
        </w:rPr>
      </w:pPr>
      <w:r w:rsidRPr="002462F0">
        <w:rPr>
          <w:lang w:val="en-US" w:eastAsia="fr-FR"/>
        </w:rPr>
        <w:t>Combined uncertainty for emissions</w:t>
      </w:r>
      <w:r w:rsidR="00626F13" w:rsidRPr="00626F13">
        <w:rPr>
          <w:lang w:eastAsia="fr-FR"/>
        </w:rPr>
        <w:t xml:space="preserve"> </w:t>
      </w:r>
      <w:r w:rsidR="00626F13">
        <w:rPr>
          <w:lang w:eastAsia="fr-FR"/>
        </w:rPr>
        <w:t xml:space="preserve">in the total national levels of emission in 2022 is null </w:t>
      </w:r>
      <w:r w:rsidR="00116D82">
        <w:rPr>
          <w:lang w:eastAsia="fr-FR"/>
        </w:rPr>
        <w:t>as there is no emission of N</w:t>
      </w:r>
      <w:r w:rsidR="00116D82" w:rsidRPr="00622F40">
        <w:rPr>
          <w:vertAlign w:val="subscript"/>
          <w:lang w:eastAsia="fr-FR"/>
        </w:rPr>
        <w:t>2</w:t>
      </w:r>
      <w:r w:rsidR="00116D82">
        <w:rPr>
          <w:lang w:eastAsia="fr-FR"/>
        </w:rPr>
        <w:t xml:space="preserve">O </w:t>
      </w:r>
      <w:r w:rsidR="002915AF">
        <w:rPr>
          <w:lang w:eastAsia="fr-FR"/>
        </w:rPr>
        <w:t>occurring</w:t>
      </w:r>
    </w:p>
    <w:p w14:paraId="620AE283" w14:textId="77777777" w:rsidR="00DE6BE9" w:rsidRPr="002462F0" w:rsidRDefault="00DE6BE9" w:rsidP="00DE6BE9">
      <w:pPr>
        <w:pStyle w:val="Heading3"/>
        <w:rPr>
          <w:lang w:eastAsia="fr-FR"/>
        </w:rPr>
      </w:pPr>
      <w:bookmarkStart w:id="452" w:name="_Toc182327829"/>
      <w:bookmarkStart w:id="453" w:name="_Toc184808217"/>
      <w:r w:rsidRPr="002462F0">
        <w:rPr>
          <w:lang w:eastAsia="fr-FR"/>
        </w:rPr>
        <w:t>Category-specific QA/QC and verification</w:t>
      </w:r>
      <w:bookmarkEnd w:id="452"/>
      <w:bookmarkEnd w:id="453"/>
    </w:p>
    <w:p w14:paraId="56A097FA" w14:textId="4E3FF563" w:rsidR="00DE6BE9" w:rsidRPr="002462F0" w:rsidRDefault="00DE6BE9" w:rsidP="006C3100">
      <w:pPr>
        <w:pStyle w:val="BodyText"/>
        <w:rPr>
          <w:sz w:val="24"/>
          <w:szCs w:val="24"/>
          <w:lang w:eastAsia="fr-FR"/>
        </w:rPr>
      </w:pPr>
      <w:r w:rsidRPr="002462F0">
        <w:lastRenderedPageBreak/>
        <w:t>During the preparation of the inventory submission</w:t>
      </w:r>
      <w:r w:rsidR="00523796">
        <w:t>,</w:t>
      </w:r>
      <w:r w:rsidRPr="002462F0">
        <w:t xml:space="preserve"> activities related to quality control were mainly focused on proper use of notation keys in the </w:t>
      </w:r>
      <w:r w:rsidR="000F6001">
        <w:t>CRT</w:t>
      </w:r>
      <w:r w:rsidRPr="002462F0">
        <w:t xml:space="preserve"> tables according to QA/QC plan.</w:t>
      </w:r>
    </w:p>
    <w:p w14:paraId="69F32A3C" w14:textId="77777777" w:rsidR="00DE6BE9" w:rsidRPr="002462F0" w:rsidRDefault="00DE6BE9" w:rsidP="00DE6BE9">
      <w:pPr>
        <w:pStyle w:val="Heading3"/>
        <w:rPr>
          <w:lang w:eastAsia="fr-FR"/>
        </w:rPr>
      </w:pPr>
      <w:bookmarkStart w:id="454" w:name="_Toc182327830"/>
      <w:bookmarkStart w:id="455" w:name="_Toc184808218"/>
      <w:r w:rsidRPr="002462F0">
        <w:rPr>
          <w:lang w:eastAsia="fr-FR"/>
        </w:rPr>
        <w:t>Category-specific recalculations</w:t>
      </w:r>
      <w:bookmarkEnd w:id="454"/>
      <w:bookmarkEnd w:id="455"/>
    </w:p>
    <w:p w14:paraId="30A82686" w14:textId="29DC85E3" w:rsidR="00DE6BE9" w:rsidRPr="002462F0" w:rsidRDefault="00DE6BE9" w:rsidP="006C3100">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Therefore, there is no recalculation. Possible recalculation will be occurred and estimated in the next submission if necessary.</w:t>
      </w:r>
    </w:p>
    <w:p w14:paraId="3DDABDA5" w14:textId="77777777" w:rsidR="00DE6BE9" w:rsidRPr="002462F0" w:rsidRDefault="00DE6BE9" w:rsidP="00DE6BE9">
      <w:pPr>
        <w:pStyle w:val="Heading3"/>
        <w:rPr>
          <w:lang w:eastAsia="fr-FR"/>
        </w:rPr>
      </w:pPr>
      <w:bookmarkStart w:id="456" w:name="_Toc182327831"/>
      <w:bookmarkStart w:id="457" w:name="_Toc184808219"/>
      <w:r w:rsidRPr="002462F0">
        <w:rPr>
          <w:lang w:eastAsia="fr-FR"/>
        </w:rPr>
        <w:t>Category-specific planned improvements</w:t>
      </w:r>
      <w:bookmarkEnd w:id="456"/>
      <w:bookmarkEnd w:id="457"/>
    </w:p>
    <w:p w14:paraId="0BAA2A0D" w14:textId="77777777" w:rsidR="00DE6BE9" w:rsidRPr="002462F0" w:rsidRDefault="00DE6BE9" w:rsidP="006C3100">
      <w:pPr>
        <w:pStyle w:val="BodyText"/>
        <w:rPr>
          <w:lang w:eastAsia="fr-FR"/>
        </w:rPr>
      </w:pPr>
      <w:r w:rsidRPr="002462F0">
        <w:rPr>
          <w:lang w:eastAsia="fr-FR"/>
        </w:rPr>
        <w:t xml:space="preserve">Main planned improvements for chemical category concern petrochemical activities and improvement of the completeness of activity data sets. </w:t>
      </w:r>
    </w:p>
    <w:p w14:paraId="1A1BF6AA" w14:textId="77777777" w:rsidR="00DE6BE9" w:rsidRPr="002462F0" w:rsidRDefault="00DE6BE9" w:rsidP="006C3100">
      <w:pPr>
        <w:pStyle w:val="BodyText"/>
        <w:rPr>
          <w:lang w:eastAsia="fr-FR"/>
        </w:rPr>
      </w:pPr>
      <w:r w:rsidRPr="002462F0">
        <w:rPr>
          <w:lang w:eastAsia="fr-FR"/>
        </w:rPr>
        <w:t>It is planned to ask methanol activity data (2B8a) to the statistics office to have a production for the complete timeseries and compare with current reference data.</w:t>
      </w:r>
    </w:p>
    <w:p w14:paraId="3DD2853D" w14:textId="77777777" w:rsidR="00DE6BE9" w:rsidRPr="002462F0" w:rsidRDefault="00DE6BE9" w:rsidP="006C3100">
      <w:pPr>
        <w:pStyle w:val="BodyText"/>
        <w:rPr>
          <w:lang w:eastAsia="fr-FR"/>
        </w:rPr>
      </w:pPr>
      <w:r w:rsidRPr="002462F0">
        <w:rPr>
          <w:lang w:eastAsia="fr-FR"/>
        </w:rPr>
        <w:t>It is planned to check with plants that no ethylene production (2B8b) occurred between 1993 and 1995 due to war.</w:t>
      </w:r>
    </w:p>
    <w:p w14:paraId="504E58D0" w14:textId="06B5B48E" w:rsidR="007600D3" w:rsidRPr="00055845" w:rsidRDefault="007600D3" w:rsidP="00B450CB">
      <w:pPr>
        <w:pStyle w:val="Heading2"/>
        <w:rPr>
          <w:rStyle w:val="Heading2Char"/>
          <w:b/>
          <w:bCs/>
          <w:lang w:val="en-GB"/>
        </w:rPr>
      </w:pPr>
      <w:bookmarkStart w:id="458" w:name="_Toc182327832"/>
      <w:bookmarkStart w:id="459" w:name="_Toc184808220"/>
      <w:r w:rsidRPr="00622F40">
        <w:rPr>
          <w:rStyle w:val="Heading2Char"/>
          <w:b/>
          <w:bCs/>
          <w:lang w:val="en-GB"/>
        </w:rPr>
        <w:t>Metal industry (</w:t>
      </w:r>
      <w:r w:rsidR="000F6001">
        <w:rPr>
          <w:rStyle w:val="Heading2Char"/>
          <w:b/>
          <w:bCs/>
          <w:lang w:val="en-GB"/>
        </w:rPr>
        <w:t>CRT</w:t>
      </w:r>
      <w:r w:rsidRPr="00622F40">
        <w:rPr>
          <w:rStyle w:val="Heading2Char"/>
          <w:b/>
          <w:bCs/>
          <w:lang w:val="en-GB"/>
        </w:rPr>
        <w:t xml:space="preserve"> 2C)</w:t>
      </w:r>
      <w:bookmarkEnd w:id="458"/>
      <w:bookmarkEnd w:id="459"/>
    </w:p>
    <w:p w14:paraId="68B213BA" w14:textId="77777777" w:rsidR="007600D3" w:rsidRPr="002462F0" w:rsidRDefault="007600D3" w:rsidP="007600D3">
      <w:r w:rsidRPr="002462F0">
        <w:t>In Serbia, the metal industry covers the following four sub-sectors:</w:t>
      </w:r>
    </w:p>
    <w:p w14:paraId="12ABC38E" w14:textId="03DC5A0C" w:rsidR="007600D3" w:rsidRPr="002462F0" w:rsidRDefault="007600D3" w:rsidP="00B1419E">
      <w:pPr>
        <w:pStyle w:val="ListParagraph"/>
        <w:numPr>
          <w:ilvl w:val="0"/>
          <w:numId w:val="15"/>
        </w:numPr>
      </w:pPr>
      <w:r w:rsidRPr="002462F0">
        <w:t>The production of iron and steel (</w:t>
      </w:r>
      <w:r w:rsidR="000F6001">
        <w:t>CRT</w:t>
      </w:r>
      <w:r w:rsidRPr="002462F0">
        <w:t xml:space="preserve"> 2C1),</w:t>
      </w:r>
      <w:r w:rsidR="00292BB0">
        <w:t xml:space="preserve"> disaggregated between the </w:t>
      </w:r>
      <w:r w:rsidR="00287F5F">
        <w:t>steel</w:t>
      </w:r>
      <w:r w:rsidR="00CC1174">
        <w:t xml:space="preserve"> (2C1a), sinter (2C1d) and pellet (2C1e) productions,</w:t>
      </w:r>
    </w:p>
    <w:p w14:paraId="6279D129" w14:textId="37772326" w:rsidR="007600D3" w:rsidRPr="002462F0" w:rsidRDefault="007600D3" w:rsidP="00B1419E">
      <w:pPr>
        <w:pStyle w:val="ListParagraph"/>
        <w:numPr>
          <w:ilvl w:val="0"/>
          <w:numId w:val="15"/>
        </w:numPr>
      </w:pPr>
      <w:r w:rsidRPr="002462F0">
        <w:t>The production of magnesium (</w:t>
      </w:r>
      <w:r w:rsidR="000F6001">
        <w:t>CRT</w:t>
      </w:r>
      <w:r w:rsidRPr="002462F0">
        <w:t xml:space="preserve"> 2C4),</w:t>
      </w:r>
    </w:p>
    <w:p w14:paraId="765A0309" w14:textId="708C49C2" w:rsidR="007600D3" w:rsidRPr="002462F0" w:rsidRDefault="007600D3" w:rsidP="00B1419E">
      <w:pPr>
        <w:pStyle w:val="ListParagraph"/>
        <w:numPr>
          <w:ilvl w:val="0"/>
          <w:numId w:val="15"/>
        </w:numPr>
      </w:pPr>
      <w:r w:rsidRPr="002462F0">
        <w:t>The production of lead (</w:t>
      </w:r>
      <w:r w:rsidR="000F6001">
        <w:t>CRT</w:t>
      </w:r>
      <w:r w:rsidRPr="002462F0">
        <w:t xml:space="preserve"> 2C5),</w:t>
      </w:r>
    </w:p>
    <w:p w14:paraId="4E752B11" w14:textId="50F69954" w:rsidR="004016FB" w:rsidRPr="002462F0" w:rsidRDefault="007600D3" w:rsidP="004016FB">
      <w:pPr>
        <w:pStyle w:val="ListParagraph"/>
        <w:numPr>
          <w:ilvl w:val="0"/>
          <w:numId w:val="15"/>
        </w:numPr>
      </w:pPr>
      <w:r w:rsidRPr="002462F0">
        <w:t>The production of zinc (</w:t>
      </w:r>
      <w:r w:rsidR="000F6001">
        <w:t>CRT</w:t>
      </w:r>
      <w:r w:rsidRPr="002462F0">
        <w:t xml:space="preserve"> 2C6)</w:t>
      </w:r>
      <w:r w:rsidR="000C69F5" w:rsidRPr="002462F0">
        <w:t>.</w:t>
      </w:r>
    </w:p>
    <w:p w14:paraId="01158659" w14:textId="6CF1A752" w:rsidR="00694927" w:rsidRDefault="00626325" w:rsidP="00626325">
      <w:pPr>
        <w:rPr>
          <w:lang w:eastAsia="fr-FR"/>
        </w:rPr>
      </w:pPr>
      <w:r w:rsidRPr="002462F0">
        <w:rPr>
          <w:lang w:eastAsia="fr-FR"/>
        </w:rPr>
        <w:t xml:space="preserve">In </w:t>
      </w:r>
      <w:r>
        <w:rPr>
          <w:lang w:eastAsia="fr-FR"/>
        </w:rPr>
        <w:t xml:space="preserve">the Republic of </w:t>
      </w:r>
      <w:r w:rsidRPr="002462F0">
        <w:rPr>
          <w:lang w:eastAsia="fr-FR"/>
        </w:rPr>
        <w:t xml:space="preserve">Serbia, </w:t>
      </w:r>
      <w:r w:rsidR="00CC1174">
        <w:rPr>
          <w:lang w:eastAsia="fr-FR"/>
        </w:rPr>
        <w:t>the sector of the metal</w:t>
      </w:r>
      <w:r w:rsidRPr="002462F0">
        <w:rPr>
          <w:lang w:eastAsia="fr-FR"/>
        </w:rPr>
        <w:t xml:space="preserve"> production</w:t>
      </w:r>
      <w:r w:rsidR="00817B73">
        <w:rPr>
          <w:lang w:eastAsia="fr-FR"/>
        </w:rPr>
        <w:t xml:space="preserve"> has always been among the highest contributor to the industry GHG emissions (its share was of </w:t>
      </w:r>
      <w:r w:rsidR="00A446DE">
        <w:rPr>
          <w:lang w:eastAsia="fr-FR"/>
        </w:rPr>
        <w:t>34%</w:t>
      </w:r>
      <w:r w:rsidR="00EE67CC">
        <w:rPr>
          <w:lang w:eastAsia="fr-FR"/>
        </w:rPr>
        <w:t xml:space="preserve"> in 1990</w:t>
      </w:r>
      <w:r w:rsidR="00A446DE">
        <w:rPr>
          <w:lang w:eastAsia="fr-FR"/>
        </w:rPr>
        <w:t>)</w:t>
      </w:r>
      <w:r w:rsidRPr="002462F0">
        <w:rPr>
          <w:lang w:eastAsia="fr-FR"/>
        </w:rPr>
        <w:t>.</w:t>
      </w:r>
      <w:r w:rsidR="00EE67CC">
        <w:rPr>
          <w:lang w:eastAsia="fr-FR"/>
        </w:rPr>
        <w:t xml:space="preserve"> Due to its significant and progressive growth,</w:t>
      </w:r>
      <w:r w:rsidR="00694927">
        <w:rPr>
          <w:lang w:eastAsia="fr-FR"/>
        </w:rPr>
        <w:t xml:space="preserve"> in particular in the most recent years, the metal industry is now the highest contributor to the GHG emissions of the CRT 2 with 59% in 2022.</w:t>
      </w:r>
      <w:r w:rsidRPr="002462F0">
        <w:rPr>
          <w:lang w:eastAsia="fr-FR"/>
        </w:rPr>
        <w:t xml:space="preserve"> </w:t>
      </w:r>
      <w:r w:rsidR="00527D25" w:rsidRPr="002462F0">
        <w:t>The Metal industry (CR</w:t>
      </w:r>
      <w:r w:rsidR="00527D25">
        <w:t>T</w:t>
      </w:r>
      <w:r w:rsidR="00527D25" w:rsidRPr="002462F0">
        <w:t xml:space="preserve"> 2C) contributes to </w:t>
      </w:r>
      <w:r w:rsidR="00527D25">
        <w:t>4.9</w:t>
      </w:r>
      <w:r w:rsidR="00527D25" w:rsidRPr="002462F0">
        <w:t>% of the total GHG emissions with</w:t>
      </w:r>
      <w:r w:rsidR="00527D25">
        <w:t>out considering</w:t>
      </w:r>
      <w:r w:rsidR="00527D25" w:rsidRPr="002462F0">
        <w:t xml:space="preserve"> LULUCF</w:t>
      </w:r>
      <w:r w:rsidR="00527D25">
        <w:t>.</w:t>
      </w:r>
    </w:p>
    <w:p w14:paraId="77AB9CD4" w14:textId="37FFCA95" w:rsidR="00626325" w:rsidRDefault="00694927" w:rsidP="00626325">
      <w:pPr>
        <w:rPr>
          <w:lang w:eastAsia="fr-FR"/>
        </w:rPr>
      </w:pPr>
      <w:r>
        <w:rPr>
          <w:lang w:eastAsia="fr-FR"/>
        </w:rPr>
        <w:t xml:space="preserve">As for the other industrial subsectors, the metal industries have been impacted negatively by </w:t>
      </w:r>
      <w:r w:rsidR="00626325">
        <w:rPr>
          <w:lang w:eastAsia="fr-FR"/>
        </w:rPr>
        <w:t>the period</w:t>
      </w:r>
      <w:r>
        <w:rPr>
          <w:lang w:eastAsia="fr-FR"/>
        </w:rPr>
        <w:t>s</w:t>
      </w:r>
      <w:r w:rsidR="00626325">
        <w:rPr>
          <w:lang w:eastAsia="fr-FR"/>
        </w:rPr>
        <w:t xml:space="preserve"> of</w:t>
      </w:r>
      <w:r w:rsidR="00724438">
        <w:rPr>
          <w:lang w:eastAsia="fr-FR"/>
        </w:rPr>
        <w:t xml:space="preserve"> economic downturn and</w:t>
      </w:r>
      <w:r w:rsidR="00626325">
        <w:rPr>
          <w:lang w:eastAsia="fr-FR"/>
        </w:rPr>
        <w:t xml:space="preserve"> hyperinflation (1990-1993) and </w:t>
      </w:r>
      <w:r>
        <w:rPr>
          <w:lang w:eastAsia="fr-FR"/>
        </w:rPr>
        <w:t xml:space="preserve">of </w:t>
      </w:r>
      <w:r w:rsidR="00626325">
        <w:rPr>
          <w:lang w:eastAsia="fr-FR"/>
        </w:rPr>
        <w:t>the NATO bombing</w:t>
      </w:r>
      <w:r>
        <w:rPr>
          <w:lang w:eastAsia="fr-FR"/>
        </w:rPr>
        <w:t xml:space="preserve"> (1999)</w:t>
      </w:r>
      <w:r w:rsidR="00626325" w:rsidRPr="002462F0">
        <w:rPr>
          <w:lang w:eastAsia="fr-FR"/>
        </w:rPr>
        <w:t xml:space="preserve">. </w:t>
      </w:r>
      <w:r w:rsidR="00246C9B">
        <w:rPr>
          <w:lang w:eastAsia="fr-FR"/>
        </w:rPr>
        <w:t>After a recovery, the emissions stagnate between 2000 and 200</w:t>
      </w:r>
      <w:r w:rsidR="00796BF3">
        <w:rPr>
          <w:lang w:eastAsia="fr-FR"/>
        </w:rPr>
        <w:t>3</w:t>
      </w:r>
      <w:r w:rsidR="00246C9B">
        <w:rPr>
          <w:lang w:eastAsia="fr-FR"/>
        </w:rPr>
        <w:t>, before increasing importantly with the development of the steel i</w:t>
      </w:r>
      <w:r w:rsidR="00E27B07">
        <w:rPr>
          <w:lang w:eastAsia="fr-FR"/>
        </w:rPr>
        <w:t xml:space="preserve">ndustry and the </w:t>
      </w:r>
      <w:r w:rsidR="003C595E">
        <w:rPr>
          <w:lang w:eastAsia="fr-FR"/>
        </w:rPr>
        <w:t>new development</w:t>
      </w:r>
      <w:r w:rsidR="00E27B07">
        <w:rPr>
          <w:lang w:eastAsia="fr-FR"/>
        </w:rPr>
        <w:t xml:space="preserve"> of sintering and pelletizing installations in </w:t>
      </w:r>
      <w:r w:rsidR="00796BF3">
        <w:rPr>
          <w:lang w:eastAsia="fr-FR"/>
        </w:rPr>
        <w:t xml:space="preserve">2004. </w:t>
      </w:r>
      <w:r w:rsidR="00626325" w:rsidRPr="002462F0">
        <w:rPr>
          <w:lang w:eastAsia="fr-FR"/>
        </w:rPr>
        <w:t xml:space="preserve">The </w:t>
      </w:r>
      <w:r w:rsidR="00796BF3">
        <w:rPr>
          <w:lang w:eastAsia="fr-FR"/>
        </w:rPr>
        <w:t xml:space="preserve">global </w:t>
      </w:r>
      <w:r w:rsidR="00626325" w:rsidRPr="002462F0">
        <w:rPr>
          <w:lang w:eastAsia="fr-FR"/>
        </w:rPr>
        <w:t xml:space="preserve">economic crisis in 2009 implied </w:t>
      </w:r>
      <w:r w:rsidR="00626325">
        <w:rPr>
          <w:lang w:eastAsia="fr-FR"/>
        </w:rPr>
        <w:t xml:space="preserve">a sudden </w:t>
      </w:r>
      <w:r w:rsidR="00626325" w:rsidRPr="002462F0">
        <w:rPr>
          <w:lang w:eastAsia="fr-FR"/>
        </w:rPr>
        <w:t>production decrease</w:t>
      </w:r>
      <w:r w:rsidR="00796BF3">
        <w:rPr>
          <w:lang w:eastAsia="fr-FR"/>
        </w:rPr>
        <w:t xml:space="preserve"> but the most abrupt reduction in emissions is observed in 2012, </w:t>
      </w:r>
      <w:r w:rsidR="003A21F4">
        <w:rPr>
          <w:lang w:eastAsia="fr-FR"/>
        </w:rPr>
        <w:t xml:space="preserve">following </w:t>
      </w:r>
      <w:r w:rsidR="00BB3490">
        <w:rPr>
          <w:lang w:eastAsia="fr-FR"/>
        </w:rPr>
        <w:t xml:space="preserve">the </w:t>
      </w:r>
      <w:r w:rsidR="00FE45E1">
        <w:rPr>
          <w:lang w:eastAsia="fr-FR"/>
        </w:rPr>
        <w:t xml:space="preserve">sale of the site </w:t>
      </w:r>
      <w:proofErr w:type="spellStart"/>
      <w:r w:rsidR="00583560" w:rsidRPr="00583560">
        <w:rPr>
          <w:lang w:eastAsia="fr-FR"/>
        </w:rPr>
        <w:t>Železara</w:t>
      </w:r>
      <w:proofErr w:type="spellEnd"/>
      <w:r w:rsidR="00583560" w:rsidRPr="00583560">
        <w:rPr>
          <w:lang w:eastAsia="fr-FR"/>
        </w:rPr>
        <w:t xml:space="preserve"> Smederevo</w:t>
      </w:r>
      <w:r w:rsidR="00E014C6">
        <w:rPr>
          <w:lang w:eastAsia="fr-FR"/>
        </w:rPr>
        <w:t xml:space="preserve"> by US Steel company</w:t>
      </w:r>
      <w:r w:rsidR="00626325" w:rsidRPr="002462F0">
        <w:rPr>
          <w:lang w:eastAsia="fr-FR"/>
        </w:rPr>
        <w:t xml:space="preserve">. </w:t>
      </w:r>
      <w:r w:rsidR="00796BF3">
        <w:rPr>
          <w:lang w:eastAsia="fr-FR"/>
        </w:rPr>
        <w:t xml:space="preserve">Since then, the GHG emissions of the metal industry have been in a constant increase, except in 2020 due to the pandemic, </w:t>
      </w:r>
      <w:r w:rsidR="00A423FE">
        <w:rPr>
          <w:lang w:eastAsia="fr-FR"/>
        </w:rPr>
        <w:t>in relation with the steel industry activity</w:t>
      </w:r>
      <w:r w:rsidR="00626325" w:rsidRPr="002462F0">
        <w:rPr>
          <w:lang w:eastAsia="fr-FR"/>
        </w:rPr>
        <w:t>.</w:t>
      </w:r>
      <w:r w:rsidR="00626325">
        <w:rPr>
          <w:lang w:eastAsia="fr-FR"/>
        </w:rPr>
        <w:t xml:space="preserve"> The GHG emissions </w:t>
      </w:r>
      <w:r w:rsidR="00A423FE">
        <w:rPr>
          <w:lang w:eastAsia="fr-FR"/>
        </w:rPr>
        <w:t xml:space="preserve">have been observed to increase by </w:t>
      </w:r>
      <w:r w:rsidR="00B6352C">
        <w:rPr>
          <w:lang w:eastAsia="fr-FR"/>
        </w:rPr>
        <w:t xml:space="preserve">63% </w:t>
      </w:r>
      <w:r w:rsidR="00626325">
        <w:rPr>
          <w:lang w:eastAsia="fr-FR"/>
        </w:rPr>
        <w:t>for the CRT 2</w:t>
      </w:r>
      <w:r w:rsidR="00A423FE">
        <w:rPr>
          <w:lang w:eastAsia="fr-FR"/>
        </w:rPr>
        <w:t>C</w:t>
      </w:r>
      <w:r w:rsidR="00626325">
        <w:rPr>
          <w:lang w:eastAsia="fr-FR"/>
        </w:rPr>
        <w:t xml:space="preserve"> in 2022</w:t>
      </w:r>
      <w:r w:rsidR="00A423FE">
        <w:rPr>
          <w:lang w:eastAsia="fr-FR"/>
        </w:rPr>
        <w:t>,</w:t>
      </w:r>
      <w:r w:rsidR="00626325">
        <w:rPr>
          <w:lang w:eastAsia="fr-FR"/>
        </w:rPr>
        <w:t xml:space="preserve"> </w:t>
      </w:r>
      <w:r w:rsidR="00A423FE">
        <w:rPr>
          <w:lang w:eastAsia="fr-FR"/>
        </w:rPr>
        <w:t xml:space="preserve">compared with the level of </w:t>
      </w:r>
      <w:r w:rsidR="00626325">
        <w:rPr>
          <w:lang w:eastAsia="fr-FR"/>
        </w:rPr>
        <w:t xml:space="preserve">1990. </w:t>
      </w:r>
    </w:p>
    <w:p w14:paraId="0DAC7B69" w14:textId="490893F4" w:rsidR="00626325" w:rsidRDefault="00367DB3" w:rsidP="00626325">
      <w:pPr>
        <w:rPr>
          <w:lang w:eastAsia="fr-FR"/>
        </w:rPr>
      </w:pPr>
      <w:r>
        <w:rPr>
          <w:lang w:eastAsia="fr-FR"/>
        </w:rPr>
        <w:t>Only a</w:t>
      </w:r>
      <w:r w:rsidR="00626325">
        <w:rPr>
          <w:lang w:eastAsia="fr-FR"/>
        </w:rPr>
        <w:t>lmost CO</w:t>
      </w:r>
      <w:r w:rsidR="00626325" w:rsidRPr="006374AD">
        <w:rPr>
          <w:vertAlign w:val="subscript"/>
          <w:lang w:eastAsia="fr-FR"/>
        </w:rPr>
        <w:t>2</w:t>
      </w:r>
      <w:r w:rsidR="00626325">
        <w:rPr>
          <w:lang w:eastAsia="fr-FR"/>
        </w:rPr>
        <w:t xml:space="preserve"> contributes to the total </w:t>
      </w:r>
      <w:r>
        <w:rPr>
          <w:lang w:eastAsia="fr-FR"/>
        </w:rPr>
        <w:t xml:space="preserve">GHG emissions of the metal industries over the </w:t>
      </w:r>
      <w:r w:rsidR="008F3558">
        <w:rPr>
          <w:lang w:eastAsia="fr-FR"/>
        </w:rPr>
        <w:t xml:space="preserve">whole timeseries, representing 99% </w:t>
      </w:r>
      <w:r w:rsidR="00626325">
        <w:rPr>
          <w:lang w:eastAsia="fr-FR"/>
        </w:rPr>
        <w:t xml:space="preserve">in 2022, the rest being </w:t>
      </w:r>
      <w:r w:rsidR="008F3558">
        <w:rPr>
          <w:lang w:eastAsia="fr-FR"/>
        </w:rPr>
        <w:t>SF</w:t>
      </w:r>
      <w:r w:rsidR="008F3558" w:rsidRPr="00622F40">
        <w:rPr>
          <w:vertAlign w:val="subscript"/>
          <w:lang w:eastAsia="fr-FR"/>
        </w:rPr>
        <w:t>6</w:t>
      </w:r>
      <w:r w:rsidR="008F3558">
        <w:rPr>
          <w:lang w:eastAsia="fr-FR"/>
        </w:rPr>
        <w:t xml:space="preserve"> and </w:t>
      </w:r>
      <w:r w:rsidR="00626325">
        <w:rPr>
          <w:lang w:eastAsia="fr-FR"/>
        </w:rPr>
        <w:t>CH</w:t>
      </w:r>
      <w:r w:rsidR="00626325" w:rsidRPr="006374AD">
        <w:rPr>
          <w:vertAlign w:val="subscript"/>
          <w:lang w:eastAsia="fr-FR"/>
        </w:rPr>
        <w:t>4</w:t>
      </w:r>
      <w:r w:rsidR="00626325">
        <w:rPr>
          <w:lang w:eastAsia="fr-FR"/>
        </w:rPr>
        <w:t xml:space="preserve">. </w:t>
      </w:r>
    </w:p>
    <w:p w14:paraId="2D073181" w14:textId="7BF9A37F" w:rsidR="00626325" w:rsidRDefault="00A6423D" w:rsidP="00626325">
      <w:pPr>
        <w:rPr>
          <w:lang w:eastAsia="fr-FR"/>
        </w:rPr>
      </w:pPr>
      <w:r>
        <w:rPr>
          <w:lang w:eastAsia="fr-FR"/>
        </w:rPr>
        <w:lastRenderedPageBreak/>
        <w:t>T</w:t>
      </w:r>
      <w:r w:rsidR="00626325">
        <w:rPr>
          <w:lang w:eastAsia="fr-FR"/>
        </w:rPr>
        <w:t xml:space="preserve">he </w:t>
      </w:r>
      <w:r>
        <w:rPr>
          <w:lang w:eastAsia="fr-FR"/>
        </w:rPr>
        <w:t>most predominant sub</w:t>
      </w:r>
      <w:r w:rsidR="00626325">
        <w:rPr>
          <w:lang w:eastAsia="fr-FR"/>
        </w:rPr>
        <w:t xml:space="preserve">sector </w:t>
      </w:r>
      <w:r>
        <w:rPr>
          <w:lang w:eastAsia="fr-FR"/>
        </w:rPr>
        <w:t xml:space="preserve">in terms of </w:t>
      </w:r>
      <w:r w:rsidR="00626325">
        <w:rPr>
          <w:lang w:eastAsia="fr-FR"/>
        </w:rPr>
        <w:t xml:space="preserve">GHG emissions </w:t>
      </w:r>
      <w:r>
        <w:rPr>
          <w:lang w:eastAsia="fr-FR"/>
        </w:rPr>
        <w:t xml:space="preserve">is the Iron and steel industry (CRT 2C1), </w:t>
      </w:r>
      <w:r w:rsidR="00626325">
        <w:rPr>
          <w:lang w:eastAsia="fr-FR"/>
        </w:rPr>
        <w:t xml:space="preserve">which represented </w:t>
      </w:r>
      <w:r>
        <w:rPr>
          <w:lang w:eastAsia="fr-FR"/>
        </w:rPr>
        <w:t>89</w:t>
      </w:r>
      <w:r w:rsidR="00626325">
        <w:rPr>
          <w:lang w:eastAsia="fr-FR"/>
        </w:rPr>
        <w:t>% of the sector emissions</w:t>
      </w:r>
      <w:r>
        <w:rPr>
          <w:lang w:eastAsia="fr-FR"/>
        </w:rPr>
        <w:t xml:space="preserve"> in 1990, and has now a share of </w:t>
      </w:r>
      <w:r w:rsidR="006C6313">
        <w:rPr>
          <w:lang w:eastAsia="fr-FR"/>
        </w:rPr>
        <w:t>98% in 2022</w:t>
      </w:r>
      <w:r w:rsidR="00626325">
        <w:rPr>
          <w:lang w:eastAsia="fr-FR"/>
        </w:rPr>
        <w:t xml:space="preserve">. </w:t>
      </w:r>
      <w:r w:rsidR="006C6313">
        <w:rPr>
          <w:lang w:eastAsia="fr-FR"/>
        </w:rPr>
        <w:t>Among the iron and steel industry, the main activity is the steel production throughout the timeseries, but the sinter and pellet productions which started in 2004 have gained importance and now represent respectively</w:t>
      </w:r>
      <w:r w:rsidR="00415561">
        <w:rPr>
          <w:lang w:eastAsia="fr-FR"/>
        </w:rPr>
        <w:t xml:space="preserve"> 8% and 3% in 2022.</w:t>
      </w:r>
      <w:r w:rsidR="006C6313">
        <w:rPr>
          <w:lang w:eastAsia="fr-FR"/>
        </w:rPr>
        <w:t xml:space="preserve"> </w:t>
      </w:r>
      <w:r w:rsidR="00415561">
        <w:rPr>
          <w:lang w:eastAsia="fr-FR"/>
        </w:rPr>
        <w:t xml:space="preserve">The other subsector contributing in a non-negligible way is the magnesium production, which has seen its share decreased from 9% in 1990 to 2% in 2022. </w:t>
      </w:r>
      <w:r w:rsidR="002A2154">
        <w:rPr>
          <w:lang w:eastAsia="fr-FR"/>
        </w:rPr>
        <w:t xml:space="preserve">The lead and </w:t>
      </w:r>
      <w:r w:rsidR="00071633">
        <w:rPr>
          <w:lang w:eastAsia="fr-FR"/>
        </w:rPr>
        <w:t xml:space="preserve">zinc </w:t>
      </w:r>
      <w:r w:rsidR="000B4F2A">
        <w:rPr>
          <w:lang w:eastAsia="fr-FR"/>
        </w:rPr>
        <w:t>industries</w:t>
      </w:r>
      <w:r w:rsidR="00071633">
        <w:rPr>
          <w:lang w:eastAsia="fr-FR"/>
        </w:rPr>
        <w:t xml:space="preserve">, which were representing 0.2% and 2.2% in 1990, </w:t>
      </w:r>
      <w:r w:rsidR="000B4F2A">
        <w:rPr>
          <w:lang w:eastAsia="fr-FR"/>
        </w:rPr>
        <w:t>respectively, stopped their activities in 2014 and 2005, respectively.</w:t>
      </w:r>
    </w:p>
    <w:p w14:paraId="72F83728" w14:textId="0EBBD1B5" w:rsidR="00626325" w:rsidRPr="002462F0" w:rsidRDefault="00AD3F38" w:rsidP="00724438">
      <w:pPr>
        <w:spacing w:after="0"/>
        <w:rPr>
          <w:lang w:eastAsia="fr-FR"/>
        </w:rPr>
      </w:pPr>
      <w:r>
        <w:rPr>
          <w:noProof/>
          <w:lang w:val="en-US"/>
        </w:rPr>
        <w:drawing>
          <wp:inline distT="0" distB="0" distL="0" distR="0" wp14:anchorId="22879495" wp14:editId="1717FFC4">
            <wp:extent cx="5651500" cy="3347085"/>
            <wp:effectExtent l="0" t="0" r="6350" b="5715"/>
            <wp:docPr id="1116613634"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51500" cy="3347085"/>
                    </a:xfrm>
                    <a:prstGeom prst="rect">
                      <a:avLst/>
                    </a:prstGeom>
                    <a:noFill/>
                  </pic:spPr>
                </pic:pic>
              </a:graphicData>
            </a:graphic>
          </wp:inline>
        </w:drawing>
      </w:r>
    </w:p>
    <w:p w14:paraId="2E0A31A0" w14:textId="77777777" w:rsidR="00724438" w:rsidRPr="002462F0" w:rsidRDefault="00724438" w:rsidP="00724438">
      <w:pPr>
        <w:pStyle w:val="Caption"/>
        <w:spacing w:before="0" w:after="0"/>
        <w:jc w:val="both"/>
        <w:rPr>
          <w:sz w:val="22"/>
          <w:lang w:eastAsia="fr-FR"/>
        </w:rPr>
      </w:pPr>
      <w:bookmarkStart w:id="460" w:name="_Toc184808446"/>
      <w:r w:rsidRPr="002462F0">
        <w:t xml:space="preserve">Figure </w:t>
      </w:r>
      <w:r w:rsidRPr="002462F0">
        <w:fldChar w:fldCharType="begin"/>
      </w:r>
      <w:r w:rsidRPr="002462F0">
        <w:instrText xml:space="preserve"> SEQ Figure \* ARABIC </w:instrText>
      </w:r>
      <w:r w:rsidRPr="002462F0">
        <w:fldChar w:fldCharType="separate"/>
      </w:r>
      <w:r>
        <w:rPr>
          <w:noProof/>
        </w:rPr>
        <w:t>59</w:t>
      </w:r>
      <w:r w:rsidRPr="002462F0">
        <w:fldChar w:fldCharType="end"/>
      </w:r>
      <w:r w:rsidRPr="002462F0">
        <w:t xml:space="preserve">: GHG emissions trends for </w:t>
      </w:r>
      <w:r>
        <w:t>the metal industries (CRT 2C), for the period 1990-2022, per subcategory</w:t>
      </w:r>
      <w:r w:rsidRPr="002462F0">
        <w:t xml:space="preserve"> (</w:t>
      </w:r>
      <w:r>
        <w:t xml:space="preserve">in </w:t>
      </w:r>
      <w:r w:rsidRPr="002462F0">
        <w:t>kt CO</w:t>
      </w:r>
      <w:r w:rsidRPr="002462F0">
        <w:rPr>
          <w:vertAlign w:val="subscript"/>
        </w:rPr>
        <w:t>2</w:t>
      </w:r>
      <w:r w:rsidRPr="002462F0">
        <w:t>e)</w:t>
      </w:r>
      <w:bookmarkEnd w:id="460"/>
    </w:p>
    <w:p w14:paraId="522A487E" w14:textId="21692DCD" w:rsidR="00626325" w:rsidRPr="002462F0" w:rsidRDefault="008D06F3" w:rsidP="00724438">
      <w:pPr>
        <w:spacing w:after="0"/>
        <w:jc w:val="center"/>
      </w:pPr>
      <w:r>
        <w:rPr>
          <w:noProof/>
          <w:lang w:val="en-US"/>
        </w:rPr>
        <w:drawing>
          <wp:inline distT="0" distB="0" distL="0" distR="0" wp14:anchorId="671750D3" wp14:editId="1B9BC7E8">
            <wp:extent cx="2880000" cy="1896000"/>
            <wp:effectExtent l="0" t="0" r="0" b="9525"/>
            <wp:docPr id="1007033194"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80000" cy="1896000"/>
                    </a:xfrm>
                    <a:prstGeom prst="rect">
                      <a:avLst/>
                    </a:prstGeom>
                    <a:noFill/>
                  </pic:spPr>
                </pic:pic>
              </a:graphicData>
            </a:graphic>
          </wp:inline>
        </w:drawing>
      </w:r>
      <w:r w:rsidR="00F34170">
        <w:rPr>
          <w:noProof/>
          <w:lang w:val="en-US"/>
        </w:rPr>
        <w:drawing>
          <wp:inline distT="0" distB="0" distL="0" distR="0" wp14:anchorId="7DD5F57C" wp14:editId="5C6DE6AB">
            <wp:extent cx="2880000" cy="1896000"/>
            <wp:effectExtent l="0" t="0" r="0" b="9525"/>
            <wp:docPr id="283187908"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80000" cy="1896000"/>
                    </a:xfrm>
                    <a:prstGeom prst="rect">
                      <a:avLst/>
                    </a:prstGeom>
                    <a:noFill/>
                  </pic:spPr>
                </pic:pic>
              </a:graphicData>
            </a:graphic>
          </wp:inline>
        </w:drawing>
      </w:r>
    </w:p>
    <w:p w14:paraId="7DF63C9D" w14:textId="77777777" w:rsidR="00724438" w:rsidRPr="002462F0" w:rsidRDefault="00724438" w:rsidP="00724438">
      <w:pPr>
        <w:pStyle w:val="Caption"/>
        <w:spacing w:before="0" w:after="0"/>
        <w:jc w:val="both"/>
        <w:rPr>
          <w:sz w:val="22"/>
          <w:lang w:eastAsia="fr-FR"/>
        </w:rPr>
      </w:pPr>
      <w:bookmarkStart w:id="461" w:name="_Toc184808447"/>
      <w:r w:rsidRPr="002462F0">
        <w:t xml:space="preserve">Figure </w:t>
      </w:r>
      <w:r w:rsidRPr="002462F0">
        <w:fldChar w:fldCharType="begin"/>
      </w:r>
      <w:r w:rsidRPr="002462F0">
        <w:instrText xml:space="preserve"> SEQ Figure \* ARABIC </w:instrText>
      </w:r>
      <w:r w:rsidRPr="002462F0">
        <w:fldChar w:fldCharType="separate"/>
      </w:r>
      <w:r>
        <w:rPr>
          <w:noProof/>
        </w:rPr>
        <w:t>60</w:t>
      </w:r>
      <w:r w:rsidRPr="002462F0">
        <w:fldChar w:fldCharType="end"/>
      </w:r>
      <w:r w:rsidRPr="002462F0">
        <w:t xml:space="preserve">: GHG emission </w:t>
      </w:r>
      <w:r>
        <w:t>distribution</w:t>
      </w:r>
      <w:r w:rsidRPr="002462F0">
        <w:t xml:space="preserve"> for </w:t>
      </w:r>
      <w:r>
        <w:t xml:space="preserve">metal industries (CRT 2C), for the years 1990 and 2022, per subcategory </w:t>
      </w:r>
      <w:r w:rsidRPr="002462F0">
        <w:t>(</w:t>
      </w:r>
      <w:r>
        <w:t>in %</w:t>
      </w:r>
      <w:r w:rsidRPr="002462F0">
        <w:t>)</w:t>
      </w:r>
      <w:bookmarkEnd w:id="461"/>
    </w:p>
    <w:p w14:paraId="2A47138E" w14:textId="004F13F6" w:rsidR="000C69F5" w:rsidRPr="002462F0" w:rsidRDefault="000C69F5" w:rsidP="000C69F5">
      <w:pPr>
        <w:jc w:val="center"/>
      </w:pPr>
    </w:p>
    <w:p w14:paraId="5EC554B3" w14:textId="4EE2AA0B" w:rsidR="003A1FCB" w:rsidRPr="002462F0" w:rsidRDefault="003A1FCB" w:rsidP="003A1FCB">
      <w:pPr>
        <w:pStyle w:val="Heading3"/>
        <w:rPr>
          <w:lang w:eastAsia="fr-FR"/>
        </w:rPr>
      </w:pPr>
      <w:bookmarkStart w:id="462" w:name="_Toc182327833"/>
      <w:bookmarkStart w:id="463" w:name="_Toc184808221"/>
      <w:r w:rsidRPr="002462F0">
        <w:rPr>
          <w:lang w:eastAsia="fr-FR"/>
        </w:rPr>
        <w:t>Iron and steel (</w:t>
      </w:r>
      <w:r w:rsidR="000F6001">
        <w:rPr>
          <w:lang w:eastAsia="fr-FR"/>
        </w:rPr>
        <w:t>CRT</w:t>
      </w:r>
      <w:r w:rsidRPr="002462F0">
        <w:rPr>
          <w:lang w:eastAsia="fr-FR"/>
        </w:rPr>
        <w:t xml:space="preserve"> 2C1)</w:t>
      </w:r>
      <w:bookmarkEnd w:id="462"/>
      <w:bookmarkEnd w:id="463"/>
    </w:p>
    <w:p w14:paraId="534F440C" w14:textId="77777777" w:rsidR="009549E4" w:rsidRPr="002462F0" w:rsidRDefault="003A1FCB" w:rsidP="009549E4">
      <w:pPr>
        <w:pStyle w:val="Titre4Bleu"/>
        <w:rPr>
          <w:lang w:eastAsia="fr-FR"/>
        </w:rPr>
      </w:pPr>
      <w:bookmarkStart w:id="464" w:name="_Toc182327834"/>
      <w:r w:rsidRPr="002462F0">
        <w:rPr>
          <w:lang w:eastAsia="fr-FR"/>
        </w:rPr>
        <w:t>Category description</w:t>
      </w:r>
      <w:bookmarkEnd w:id="464"/>
      <w:r w:rsidR="009549E4" w:rsidRPr="002462F0">
        <w:rPr>
          <w:lang w:eastAsia="fr-FR"/>
        </w:rPr>
        <w:t xml:space="preserve"> </w:t>
      </w:r>
    </w:p>
    <w:p w14:paraId="22F26537" w14:textId="78904839" w:rsidR="00BB0F4F" w:rsidRPr="007759DA" w:rsidRDefault="009549E4" w:rsidP="009549E4">
      <w:pPr>
        <w:rPr>
          <w:lang w:val="en-US" w:eastAsia="fr-FR"/>
        </w:rPr>
      </w:pPr>
      <w:r w:rsidRPr="002462F0">
        <w:rPr>
          <w:lang w:val="en-US" w:eastAsia="fr-FR"/>
        </w:rPr>
        <w:t xml:space="preserve">In </w:t>
      </w:r>
      <w:r w:rsidR="00AB080C">
        <w:rPr>
          <w:lang w:val="en-US" w:eastAsia="fr-FR"/>
        </w:rPr>
        <w:t xml:space="preserve">the Republic of </w:t>
      </w:r>
      <w:r w:rsidRPr="002462F0">
        <w:rPr>
          <w:lang w:val="en-US" w:eastAsia="fr-FR"/>
        </w:rPr>
        <w:t xml:space="preserve">Serbia, there is one integrated iron and steel plant, which operates </w:t>
      </w:r>
      <w:r w:rsidR="00427A14">
        <w:rPr>
          <w:lang w:val="en-US" w:eastAsia="fr-FR"/>
        </w:rPr>
        <w:t xml:space="preserve">with </w:t>
      </w:r>
      <w:r w:rsidRPr="002462F0">
        <w:rPr>
          <w:lang w:val="en-US" w:eastAsia="fr-FR"/>
        </w:rPr>
        <w:t>a basic oxygen furnace (BOF</w:t>
      </w:r>
      <w:r w:rsidR="006E536C" w:rsidRPr="002462F0">
        <w:rPr>
          <w:lang w:val="en-US" w:eastAsia="fr-FR"/>
        </w:rPr>
        <w:t>, or “</w:t>
      </w:r>
      <w:r w:rsidR="0011380C" w:rsidRPr="002462F0">
        <w:rPr>
          <w:lang w:val="en-US" w:eastAsia="fr-FR"/>
        </w:rPr>
        <w:t xml:space="preserve">oxygen </w:t>
      </w:r>
      <w:r w:rsidR="006E536C" w:rsidRPr="002462F0">
        <w:rPr>
          <w:lang w:val="en-US" w:eastAsia="fr-FR"/>
        </w:rPr>
        <w:t>converter”</w:t>
      </w:r>
      <w:r w:rsidRPr="002462F0">
        <w:rPr>
          <w:lang w:val="en-US" w:eastAsia="fr-FR"/>
        </w:rPr>
        <w:t xml:space="preserve">). </w:t>
      </w:r>
    </w:p>
    <w:p w14:paraId="4821B530" w14:textId="466D449F" w:rsidR="007369AF" w:rsidRPr="002462F0" w:rsidRDefault="009549E4" w:rsidP="009549E4">
      <w:pPr>
        <w:rPr>
          <w:lang w:val="en-US" w:eastAsia="fr-FR"/>
        </w:rPr>
      </w:pPr>
      <w:r w:rsidRPr="002462F0">
        <w:rPr>
          <w:lang w:val="en-US" w:eastAsia="fr-FR"/>
        </w:rPr>
        <w:lastRenderedPageBreak/>
        <w:t xml:space="preserve">The pig iron produced in the blast furnaces is converted into steel via the BOF. </w:t>
      </w:r>
      <w:r w:rsidR="007369AF" w:rsidRPr="002462F0">
        <w:rPr>
          <w:lang w:val="en-US" w:eastAsia="fr-FR"/>
        </w:rPr>
        <w:t>Sinter and pellet production</w:t>
      </w:r>
      <w:r w:rsidR="00427A14">
        <w:rPr>
          <w:lang w:val="en-US" w:eastAsia="fr-FR"/>
        </w:rPr>
        <w:t>s</w:t>
      </w:r>
      <w:r w:rsidR="007369AF" w:rsidRPr="002462F0">
        <w:rPr>
          <w:lang w:val="en-US" w:eastAsia="fr-FR"/>
        </w:rPr>
        <w:t xml:space="preserve"> began in 2004.</w:t>
      </w:r>
    </w:p>
    <w:p w14:paraId="7C3BE466" w14:textId="77777777" w:rsidR="007369AF" w:rsidRPr="002462F0" w:rsidRDefault="007369AF" w:rsidP="00724438">
      <w:pPr>
        <w:spacing w:after="0"/>
        <w:jc w:val="left"/>
        <w:rPr>
          <w:i/>
          <w:lang w:val="en-US" w:eastAsia="fr-FR"/>
        </w:rPr>
      </w:pPr>
      <w:r w:rsidRPr="002462F0">
        <w:rPr>
          <w:i/>
          <w:noProof/>
          <w:lang w:val="en-US"/>
        </w:rPr>
        <w:drawing>
          <wp:inline distT="0" distB="0" distL="0" distR="0" wp14:anchorId="377BE75E" wp14:editId="63DD473A">
            <wp:extent cx="5036820" cy="237128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ron &amp; steel.PNG"/>
                    <pic:cNvPicPr/>
                  </pic:nvPicPr>
                  <pic:blipFill>
                    <a:blip r:embed="rId105">
                      <a:extLst>
                        <a:ext uri="{28A0092B-C50C-407E-A947-70E740481C1C}">
                          <a14:useLocalDpi xmlns:a14="http://schemas.microsoft.com/office/drawing/2010/main" val="0"/>
                        </a:ext>
                      </a:extLst>
                    </a:blip>
                    <a:stretch>
                      <a:fillRect/>
                    </a:stretch>
                  </pic:blipFill>
                  <pic:spPr>
                    <a:xfrm>
                      <a:off x="0" y="0"/>
                      <a:ext cx="5042615" cy="2374009"/>
                    </a:xfrm>
                    <a:prstGeom prst="rect">
                      <a:avLst/>
                    </a:prstGeom>
                  </pic:spPr>
                </pic:pic>
              </a:graphicData>
            </a:graphic>
          </wp:inline>
        </w:drawing>
      </w:r>
    </w:p>
    <w:p w14:paraId="71AB52AC" w14:textId="77777777" w:rsidR="00724438" w:rsidRPr="002462F0" w:rsidRDefault="00724438" w:rsidP="00724438">
      <w:pPr>
        <w:pStyle w:val="Caption"/>
        <w:keepNext/>
        <w:spacing w:before="0" w:after="0"/>
        <w:jc w:val="left"/>
        <w:rPr>
          <w:i/>
          <w:lang w:eastAsia="fr-FR"/>
        </w:rPr>
      </w:pPr>
      <w:bookmarkStart w:id="465" w:name="_Toc184808448"/>
      <w:r w:rsidRPr="002462F0">
        <w:t xml:space="preserve">Figure </w:t>
      </w:r>
      <w:r w:rsidRPr="002462F0">
        <w:fldChar w:fldCharType="begin"/>
      </w:r>
      <w:r w:rsidRPr="002462F0">
        <w:instrText xml:space="preserve"> SEQ Figure \* ARABIC </w:instrText>
      </w:r>
      <w:r w:rsidRPr="002462F0">
        <w:fldChar w:fldCharType="separate"/>
      </w:r>
      <w:r>
        <w:rPr>
          <w:noProof/>
        </w:rPr>
        <w:t>61</w:t>
      </w:r>
      <w:r w:rsidRPr="002462F0">
        <w:fldChar w:fldCharType="end"/>
      </w:r>
      <w:r w:rsidRPr="002462F0">
        <w:t>: Overview of the integrated steel production</w:t>
      </w:r>
      <w:bookmarkEnd w:id="465"/>
    </w:p>
    <w:p w14:paraId="4446F82B" w14:textId="77777777" w:rsidR="00724438" w:rsidRDefault="00724438" w:rsidP="009549E4">
      <w:pPr>
        <w:rPr>
          <w:lang w:val="en-US" w:eastAsia="fr-FR"/>
        </w:rPr>
      </w:pPr>
    </w:p>
    <w:p w14:paraId="20B62294" w14:textId="65E1CCA9" w:rsidR="009549E4" w:rsidRPr="002462F0" w:rsidRDefault="007369AF" w:rsidP="009549E4">
      <w:pPr>
        <w:rPr>
          <w:lang w:val="en-US" w:eastAsia="fr-FR"/>
        </w:rPr>
      </w:pPr>
      <w:r w:rsidRPr="002462F0">
        <w:rPr>
          <w:lang w:val="en-US" w:eastAsia="fr-FR"/>
        </w:rPr>
        <w:t>In Serbia, t</w:t>
      </w:r>
      <w:r w:rsidR="009549E4" w:rsidRPr="002462F0">
        <w:rPr>
          <w:lang w:val="en-US" w:eastAsia="fr-FR"/>
        </w:rPr>
        <w:t xml:space="preserve">he iron and steel sector </w:t>
      </w:r>
      <w:r w:rsidR="00724438">
        <w:rPr>
          <w:lang w:val="en-US" w:eastAsia="fr-FR"/>
        </w:rPr>
        <w:t>includes</w:t>
      </w:r>
      <w:r w:rsidR="009549E4" w:rsidRPr="002462F0">
        <w:rPr>
          <w:lang w:val="en-US" w:eastAsia="fr-FR"/>
        </w:rPr>
        <w:t xml:space="preserve"> the following sub-sectors:</w:t>
      </w:r>
    </w:p>
    <w:p w14:paraId="5F15D278" w14:textId="229A681D" w:rsidR="00701827" w:rsidRDefault="00701827" w:rsidP="00B1419E">
      <w:pPr>
        <w:pStyle w:val="ListParagraph"/>
        <w:numPr>
          <w:ilvl w:val="0"/>
          <w:numId w:val="16"/>
        </w:numPr>
        <w:rPr>
          <w:lang w:val="en-US" w:eastAsia="fr-FR"/>
        </w:rPr>
      </w:pPr>
      <w:r w:rsidRPr="002462F0">
        <w:rPr>
          <w:lang w:val="en-US" w:eastAsia="fr-FR"/>
        </w:rPr>
        <w:t>Production of steel (</w:t>
      </w:r>
      <w:r w:rsidR="000F6001">
        <w:rPr>
          <w:lang w:val="en-US" w:eastAsia="fr-FR"/>
        </w:rPr>
        <w:t>CRT</w:t>
      </w:r>
      <w:r w:rsidRPr="002462F0">
        <w:rPr>
          <w:lang w:val="en-US" w:eastAsia="fr-FR"/>
        </w:rPr>
        <w:t xml:space="preserve"> 2C1a)</w:t>
      </w:r>
      <w:r>
        <w:rPr>
          <w:lang w:val="en-US" w:eastAsia="fr-FR"/>
        </w:rPr>
        <w:t>,</w:t>
      </w:r>
    </w:p>
    <w:p w14:paraId="0659559F" w14:textId="1BF524B0" w:rsidR="009549E4" w:rsidRPr="002462F0" w:rsidRDefault="009549E4" w:rsidP="00B1419E">
      <w:pPr>
        <w:pStyle w:val="ListParagraph"/>
        <w:numPr>
          <w:ilvl w:val="0"/>
          <w:numId w:val="16"/>
        </w:numPr>
        <w:rPr>
          <w:lang w:val="en-US" w:eastAsia="fr-FR"/>
        </w:rPr>
      </w:pPr>
      <w:r w:rsidRPr="002462F0">
        <w:rPr>
          <w:lang w:val="en-US" w:eastAsia="fr-FR"/>
        </w:rPr>
        <w:t>Production of sinter (</w:t>
      </w:r>
      <w:r w:rsidR="000F6001">
        <w:rPr>
          <w:lang w:val="en-US" w:eastAsia="fr-FR"/>
        </w:rPr>
        <w:t>CRT</w:t>
      </w:r>
      <w:r w:rsidRPr="002462F0">
        <w:rPr>
          <w:lang w:val="en-US" w:eastAsia="fr-FR"/>
        </w:rPr>
        <w:t xml:space="preserve"> 2C1d),</w:t>
      </w:r>
    </w:p>
    <w:p w14:paraId="2C365DAD" w14:textId="143E705E" w:rsidR="009549E4" w:rsidRPr="002462F0" w:rsidRDefault="009549E4" w:rsidP="00B1419E">
      <w:pPr>
        <w:pStyle w:val="ListParagraph"/>
        <w:numPr>
          <w:ilvl w:val="0"/>
          <w:numId w:val="16"/>
        </w:numPr>
        <w:rPr>
          <w:lang w:val="en-US" w:eastAsia="fr-FR"/>
        </w:rPr>
      </w:pPr>
      <w:r w:rsidRPr="002462F0">
        <w:rPr>
          <w:lang w:val="en-US" w:eastAsia="fr-FR"/>
        </w:rPr>
        <w:t>Production of pellets (</w:t>
      </w:r>
      <w:r w:rsidR="000F6001">
        <w:rPr>
          <w:lang w:val="en-US" w:eastAsia="fr-FR"/>
        </w:rPr>
        <w:t>CRT</w:t>
      </w:r>
      <w:r w:rsidRPr="002462F0">
        <w:rPr>
          <w:lang w:val="en-US" w:eastAsia="fr-FR"/>
        </w:rPr>
        <w:t xml:space="preserve"> 2C1e)</w:t>
      </w:r>
      <w:r w:rsidR="00701827">
        <w:rPr>
          <w:lang w:val="en-US" w:eastAsia="fr-FR"/>
        </w:rPr>
        <w:t>.</w:t>
      </w:r>
    </w:p>
    <w:p w14:paraId="713C1B2F" w14:textId="561DADD0" w:rsidR="00631BA8" w:rsidRPr="002462F0" w:rsidRDefault="00A82446" w:rsidP="00724438">
      <w:pPr>
        <w:spacing w:after="0" w:line="240" w:lineRule="auto"/>
        <w:rPr>
          <w:i/>
          <w:lang w:val="en-US" w:eastAsia="fr-FR"/>
        </w:rPr>
      </w:pPr>
      <w:r w:rsidRPr="002462F0">
        <w:rPr>
          <w:i/>
          <w:lang w:val="en-US" w:eastAsia="fr-FR"/>
        </w:rPr>
        <w:t>It has to be noticed that t</w:t>
      </w:r>
      <w:r w:rsidR="00631BA8" w:rsidRPr="002462F0">
        <w:rPr>
          <w:i/>
          <w:lang w:val="en-US" w:eastAsia="fr-FR"/>
        </w:rPr>
        <w:t>he production of coke</w:t>
      </w:r>
      <w:r w:rsidR="00F840B1" w:rsidRPr="002462F0">
        <w:rPr>
          <w:i/>
          <w:lang w:val="en-US" w:eastAsia="fr-FR"/>
        </w:rPr>
        <w:t xml:space="preserve"> (which is consumed in the blast furnace)</w:t>
      </w:r>
      <w:r w:rsidR="00631BA8" w:rsidRPr="002462F0">
        <w:rPr>
          <w:i/>
          <w:lang w:val="en-US" w:eastAsia="fr-FR"/>
        </w:rPr>
        <w:t xml:space="preserve"> is dealt in the 1A1c section.</w:t>
      </w:r>
      <w:r w:rsidR="00F840B1" w:rsidRPr="002462F0">
        <w:rPr>
          <w:i/>
          <w:lang w:val="en-US" w:eastAsia="fr-FR"/>
        </w:rPr>
        <w:t xml:space="preserve"> For the purpose of GHG emission calculations, the production of pig iron (</w:t>
      </w:r>
      <w:r w:rsidR="007369AF" w:rsidRPr="002462F0">
        <w:rPr>
          <w:i/>
          <w:lang w:val="en-US" w:eastAsia="fr-FR"/>
        </w:rPr>
        <w:t xml:space="preserve">occurring </w:t>
      </w:r>
      <w:r w:rsidR="00F840B1" w:rsidRPr="002462F0">
        <w:rPr>
          <w:i/>
          <w:lang w:val="en-US" w:eastAsia="fr-FR"/>
        </w:rPr>
        <w:t xml:space="preserve">in the blast furnace) is included in the </w:t>
      </w:r>
      <w:r w:rsidR="000F6001">
        <w:rPr>
          <w:i/>
          <w:lang w:val="en-US" w:eastAsia="fr-FR"/>
        </w:rPr>
        <w:t>CRT</w:t>
      </w:r>
      <w:r w:rsidR="00F840B1" w:rsidRPr="002462F0">
        <w:rPr>
          <w:i/>
          <w:lang w:val="en-US" w:eastAsia="fr-FR"/>
        </w:rPr>
        <w:t xml:space="preserve"> 2C1a.</w:t>
      </w:r>
    </w:p>
    <w:p w14:paraId="29EBC034" w14:textId="0C3EF696" w:rsidR="00B85B58" w:rsidRPr="002462F0" w:rsidRDefault="00B85B58" w:rsidP="00B85B58">
      <w:pPr>
        <w:rPr>
          <w:lang w:val="en-US" w:eastAsia="fr-FR"/>
        </w:rPr>
      </w:pPr>
      <w:r w:rsidRPr="002462F0">
        <w:rPr>
          <w:lang w:val="en-US" w:eastAsia="fr-FR"/>
        </w:rPr>
        <w:t xml:space="preserve">The use of raw </w:t>
      </w:r>
      <w:r w:rsidR="00724438" w:rsidRPr="002462F0">
        <w:rPr>
          <w:lang w:val="en-US" w:eastAsia="fr-FR"/>
        </w:rPr>
        <w:t>materials such</w:t>
      </w:r>
      <w:r w:rsidRPr="002462F0">
        <w:rPr>
          <w:lang w:val="en-US" w:eastAsia="fr-FR"/>
        </w:rPr>
        <w:t xml:space="preserve"> as coke</w:t>
      </w:r>
      <w:r w:rsidR="007369AF" w:rsidRPr="002462F0">
        <w:rPr>
          <w:lang w:val="en-US" w:eastAsia="fr-FR"/>
        </w:rPr>
        <w:t xml:space="preserve">, </w:t>
      </w:r>
      <w:r w:rsidRPr="002462F0">
        <w:rPr>
          <w:lang w:val="en-US" w:eastAsia="fr-FR"/>
        </w:rPr>
        <w:t xml:space="preserve">coal, </w:t>
      </w:r>
      <w:r w:rsidR="007369AF" w:rsidRPr="002462F0">
        <w:rPr>
          <w:lang w:val="en-US" w:eastAsia="fr-FR"/>
        </w:rPr>
        <w:t xml:space="preserve">and carbonates, </w:t>
      </w:r>
      <w:r w:rsidRPr="002462F0">
        <w:rPr>
          <w:lang w:val="en-US" w:eastAsia="fr-FR"/>
        </w:rPr>
        <w:t>which contain carbon, lead to the emissions of CO</w:t>
      </w:r>
      <w:r w:rsidRPr="002462F0">
        <w:rPr>
          <w:vertAlign w:val="subscript"/>
          <w:lang w:val="en-US" w:eastAsia="fr-FR"/>
        </w:rPr>
        <w:t>2</w:t>
      </w:r>
      <w:r w:rsidRPr="002462F0">
        <w:rPr>
          <w:lang w:val="en-US" w:eastAsia="fr-FR"/>
        </w:rPr>
        <w:t xml:space="preserve"> at all the steps of the iron and steel production process. Moreover, sinter production leads to CH</w:t>
      </w:r>
      <w:r w:rsidRPr="002462F0">
        <w:rPr>
          <w:vertAlign w:val="subscript"/>
          <w:lang w:val="en-US" w:eastAsia="fr-FR"/>
        </w:rPr>
        <w:t>4</w:t>
      </w:r>
      <w:r w:rsidRPr="002462F0">
        <w:rPr>
          <w:lang w:val="en-US" w:eastAsia="fr-FR"/>
        </w:rPr>
        <w:t xml:space="preserve"> emissions.</w:t>
      </w:r>
      <w:r w:rsidR="00577E61" w:rsidRPr="002462F0">
        <w:rPr>
          <w:lang w:val="en-US" w:eastAsia="fr-FR"/>
        </w:rPr>
        <w:t xml:space="preserve"> Other GHG emissions are not expected for this sector.</w:t>
      </w:r>
    </w:p>
    <w:p w14:paraId="5439548B" w14:textId="73C4B1C5" w:rsidR="00B131D7" w:rsidRPr="002462F0" w:rsidRDefault="00B131D7" w:rsidP="00B131D7">
      <w:pPr>
        <w:autoSpaceDE w:val="0"/>
        <w:autoSpaceDN w:val="0"/>
        <w:adjustRightInd w:val="0"/>
        <w:spacing w:after="0" w:line="240" w:lineRule="auto"/>
        <w:rPr>
          <w:rFonts w:cs="MyriadPro-Regular"/>
          <w:color w:val="1D1D1B"/>
          <w:szCs w:val="20"/>
          <w:lang w:val="en-US"/>
        </w:rPr>
      </w:pPr>
      <w:r w:rsidRPr="002462F0">
        <w:rPr>
          <w:rFonts w:cs="MyriadPro-Regular"/>
          <w:color w:val="1D1D1B"/>
          <w:szCs w:val="20"/>
          <w:lang w:val="en-US"/>
        </w:rPr>
        <w:t>In 20</w:t>
      </w:r>
      <w:r w:rsidR="00AE7A82">
        <w:rPr>
          <w:rFonts w:cs="MyriadPro-Regular"/>
          <w:color w:val="1D1D1B"/>
          <w:szCs w:val="20"/>
          <w:lang w:val="en-US"/>
        </w:rPr>
        <w:t>22</w:t>
      </w:r>
      <w:r w:rsidRPr="002462F0">
        <w:rPr>
          <w:rFonts w:cs="MyriadPro-Regular"/>
          <w:color w:val="1D1D1B"/>
          <w:szCs w:val="20"/>
          <w:lang w:val="en-US"/>
        </w:rPr>
        <w:t xml:space="preserve">, the sub-category </w:t>
      </w:r>
      <w:r w:rsidRPr="002462F0">
        <w:rPr>
          <w:rFonts w:cs="MyriadPro-Regular"/>
          <w:i/>
          <w:color w:val="1D1D1B"/>
          <w:szCs w:val="20"/>
          <w:lang w:val="en-US"/>
        </w:rPr>
        <w:t>Production of steel</w:t>
      </w:r>
      <w:r w:rsidR="00AE7A82">
        <w:rPr>
          <w:rFonts w:cs="MyriadPro-Regular"/>
          <w:i/>
          <w:color w:val="1D1D1B"/>
          <w:szCs w:val="20"/>
          <w:lang w:val="en-US"/>
        </w:rPr>
        <w:t xml:space="preserve"> (CRT 2</w:t>
      </w:r>
      <w:r w:rsidR="009C14D8">
        <w:rPr>
          <w:rFonts w:cs="MyriadPro-Regular"/>
          <w:i/>
          <w:color w:val="1D1D1B"/>
          <w:szCs w:val="20"/>
          <w:lang w:val="en-US"/>
        </w:rPr>
        <w:t>C1a)</w:t>
      </w:r>
      <w:r w:rsidRPr="002462F0">
        <w:rPr>
          <w:rFonts w:cs="MyriadPro-Regular"/>
          <w:color w:val="1D1D1B"/>
          <w:szCs w:val="20"/>
          <w:lang w:val="en-US"/>
        </w:rPr>
        <w:t xml:space="preserve"> is a key category for CO</w:t>
      </w:r>
      <w:r w:rsidRPr="002462F0">
        <w:rPr>
          <w:rFonts w:cs="MyriadPro-Regular"/>
          <w:color w:val="1D1D1B"/>
          <w:szCs w:val="20"/>
          <w:vertAlign w:val="subscript"/>
          <w:lang w:val="en-US"/>
        </w:rPr>
        <w:t>2</w:t>
      </w:r>
      <w:r w:rsidRPr="002462F0">
        <w:rPr>
          <w:rFonts w:cs="MyriadPro-Regular"/>
          <w:color w:val="1D1D1B"/>
          <w:szCs w:val="20"/>
          <w:lang w:val="en-US"/>
        </w:rPr>
        <w:t xml:space="preserve"> emissions in </w:t>
      </w:r>
      <w:r w:rsidR="000208B6">
        <w:rPr>
          <w:rFonts w:cs="MyriadPro-Regular"/>
          <w:color w:val="1D1D1B"/>
          <w:szCs w:val="20"/>
          <w:lang w:val="en-US"/>
        </w:rPr>
        <w:t xml:space="preserve">the Republic of </w:t>
      </w:r>
      <w:r w:rsidRPr="002462F0">
        <w:rPr>
          <w:rFonts w:cs="MyriadPro-Regular"/>
          <w:color w:val="1D1D1B"/>
          <w:szCs w:val="20"/>
          <w:lang w:val="en-US"/>
        </w:rPr>
        <w:t>Serbia</w:t>
      </w:r>
      <w:r w:rsidR="000208B6">
        <w:rPr>
          <w:rFonts w:cs="MyriadPro-Regular"/>
          <w:color w:val="1D1D1B"/>
          <w:szCs w:val="20"/>
          <w:lang w:val="en-US"/>
        </w:rPr>
        <w:t>, both in terms of emission levels and trend</w:t>
      </w:r>
      <w:r w:rsidRPr="002462F0">
        <w:rPr>
          <w:rFonts w:cs="MyriadPro-Regular"/>
          <w:color w:val="1D1D1B"/>
          <w:szCs w:val="20"/>
          <w:lang w:val="en-US"/>
        </w:rPr>
        <w:t xml:space="preserve">. This sub-sector contributes to </w:t>
      </w:r>
      <w:r w:rsidR="000208B6">
        <w:rPr>
          <w:rFonts w:cs="MyriadPro-Regular"/>
          <w:color w:val="1D1D1B"/>
          <w:szCs w:val="20"/>
          <w:lang w:val="en-US"/>
        </w:rPr>
        <w:t>4.2</w:t>
      </w:r>
      <w:r w:rsidRPr="002462F0">
        <w:rPr>
          <w:rFonts w:cs="MyriadPro-Regular"/>
          <w:color w:val="1D1D1B"/>
          <w:szCs w:val="20"/>
          <w:lang w:val="en-US"/>
        </w:rPr>
        <w:t xml:space="preserve">% in terms of emissions level (rank </w:t>
      </w:r>
      <w:r w:rsidR="000208B6">
        <w:rPr>
          <w:rFonts w:cs="MyriadPro-Regular"/>
          <w:color w:val="1D1D1B"/>
          <w:szCs w:val="20"/>
          <w:lang w:val="en-US"/>
        </w:rPr>
        <w:t>3</w:t>
      </w:r>
      <w:r w:rsidRPr="002462F0">
        <w:rPr>
          <w:rFonts w:cs="MyriadPro-Regular"/>
          <w:color w:val="1D1D1B"/>
          <w:szCs w:val="20"/>
          <w:lang w:val="en-US"/>
        </w:rPr>
        <w:t xml:space="preserve">) and </w:t>
      </w:r>
      <w:r w:rsidR="00EB10B6">
        <w:rPr>
          <w:rFonts w:cs="MyriadPro-Regular"/>
          <w:color w:val="1D1D1B"/>
          <w:szCs w:val="20"/>
          <w:lang w:val="en-US"/>
        </w:rPr>
        <w:t>5.1</w:t>
      </w:r>
      <w:r w:rsidRPr="002462F0">
        <w:rPr>
          <w:rFonts w:cs="MyriadPro-Regular"/>
          <w:color w:val="1D1D1B"/>
          <w:szCs w:val="20"/>
          <w:lang w:val="en-US"/>
        </w:rPr>
        <w:t xml:space="preserve">% in terms of emissions trend (rank </w:t>
      </w:r>
      <w:r w:rsidR="00EB10B6">
        <w:rPr>
          <w:rFonts w:cs="MyriadPro-Regular"/>
          <w:color w:val="1D1D1B"/>
          <w:szCs w:val="20"/>
          <w:lang w:val="en-US"/>
        </w:rPr>
        <w:t>4</w:t>
      </w:r>
      <w:r w:rsidRPr="002462F0">
        <w:rPr>
          <w:rFonts w:cs="MyriadPro-Regular"/>
          <w:color w:val="1D1D1B"/>
          <w:szCs w:val="20"/>
          <w:lang w:val="en-US"/>
        </w:rPr>
        <w:t>).</w:t>
      </w:r>
    </w:p>
    <w:p w14:paraId="195E5A51" w14:textId="5DB769DD" w:rsidR="00B131D7" w:rsidRPr="002462F0" w:rsidRDefault="00B131D7" w:rsidP="007759DA">
      <w:pPr>
        <w:autoSpaceDE w:val="0"/>
        <w:autoSpaceDN w:val="0"/>
        <w:adjustRightInd w:val="0"/>
        <w:spacing w:before="120" w:after="0" w:line="240" w:lineRule="auto"/>
        <w:rPr>
          <w:rFonts w:cs="MyriadPro-Regular"/>
          <w:color w:val="1D1D1B"/>
          <w:szCs w:val="20"/>
          <w:lang w:val="en-US"/>
        </w:rPr>
      </w:pPr>
      <w:r w:rsidRPr="002462F0">
        <w:rPr>
          <w:rFonts w:cs="MyriadPro-Regular"/>
          <w:color w:val="1D1D1B"/>
          <w:szCs w:val="20"/>
          <w:lang w:val="en-US"/>
        </w:rPr>
        <w:t>In 20</w:t>
      </w:r>
      <w:r w:rsidR="00DC3E8F">
        <w:rPr>
          <w:rFonts w:cs="MyriadPro-Regular"/>
          <w:color w:val="1D1D1B"/>
          <w:szCs w:val="20"/>
          <w:lang w:val="en-US"/>
        </w:rPr>
        <w:t>22</w:t>
      </w:r>
      <w:r w:rsidRPr="002462F0">
        <w:rPr>
          <w:rFonts w:cs="MyriadPro-Regular"/>
          <w:color w:val="1D1D1B"/>
          <w:szCs w:val="20"/>
          <w:lang w:val="en-US"/>
        </w:rPr>
        <w:t xml:space="preserve">, the sub-category </w:t>
      </w:r>
      <w:r w:rsidRPr="002462F0">
        <w:rPr>
          <w:rFonts w:cs="MyriadPro-Regular"/>
          <w:i/>
          <w:color w:val="1D1D1B"/>
          <w:szCs w:val="20"/>
          <w:lang w:val="en-US"/>
        </w:rPr>
        <w:t>Production of sinte</w:t>
      </w:r>
      <w:r w:rsidR="00DC3E8F">
        <w:rPr>
          <w:rFonts w:cs="MyriadPro-Regular"/>
          <w:i/>
          <w:color w:val="1D1D1B"/>
          <w:szCs w:val="20"/>
          <w:lang w:val="en-US"/>
        </w:rPr>
        <w:t xml:space="preserve">r (CRT 2C1d) </w:t>
      </w:r>
      <w:r w:rsidRPr="002462F0">
        <w:rPr>
          <w:rFonts w:cs="MyriadPro-Regular"/>
          <w:color w:val="1D1D1B"/>
          <w:szCs w:val="20"/>
          <w:lang w:val="en-US"/>
        </w:rPr>
        <w:t>is a key category for CO</w:t>
      </w:r>
      <w:r w:rsidRPr="002462F0">
        <w:rPr>
          <w:rFonts w:cs="MyriadPro-Regular"/>
          <w:color w:val="1D1D1B"/>
          <w:szCs w:val="20"/>
          <w:vertAlign w:val="subscript"/>
          <w:lang w:val="en-US"/>
        </w:rPr>
        <w:t>2</w:t>
      </w:r>
      <w:r w:rsidRPr="002462F0">
        <w:rPr>
          <w:rFonts w:cs="MyriadPro-Regular"/>
          <w:color w:val="1D1D1B"/>
          <w:szCs w:val="20"/>
          <w:lang w:val="en-US"/>
        </w:rPr>
        <w:t xml:space="preserve"> emissions in Serbia</w:t>
      </w:r>
      <w:r w:rsidR="00DC3E8F">
        <w:rPr>
          <w:rFonts w:cs="MyriadPro-Regular"/>
          <w:color w:val="1D1D1B"/>
          <w:szCs w:val="20"/>
          <w:lang w:val="en-US"/>
        </w:rPr>
        <w:t>, both in terms of emission levels and trend</w:t>
      </w:r>
      <w:r w:rsidRPr="002462F0">
        <w:rPr>
          <w:rFonts w:cs="MyriadPro-Regular"/>
          <w:color w:val="1D1D1B"/>
          <w:szCs w:val="20"/>
          <w:lang w:val="en-US"/>
        </w:rPr>
        <w:t xml:space="preserve">. This sub-sector contributes to </w:t>
      </w:r>
      <w:r w:rsidR="00DC3E8F">
        <w:rPr>
          <w:rFonts w:cs="MyriadPro-Regular"/>
          <w:color w:val="1D1D1B"/>
          <w:szCs w:val="20"/>
          <w:lang w:val="en-US"/>
        </w:rPr>
        <w:t>0.4</w:t>
      </w:r>
      <w:r w:rsidRPr="002462F0">
        <w:rPr>
          <w:rFonts w:cs="MyriadPro-Regular"/>
          <w:color w:val="1D1D1B"/>
          <w:szCs w:val="20"/>
          <w:lang w:val="en-US"/>
        </w:rPr>
        <w:t xml:space="preserve">% in terms of emissions level (rank </w:t>
      </w:r>
      <w:r w:rsidR="00DC3E8F">
        <w:rPr>
          <w:rFonts w:cs="MyriadPro-Regular"/>
          <w:color w:val="1D1D1B"/>
          <w:szCs w:val="20"/>
          <w:lang w:val="en-US"/>
        </w:rPr>
        <w:t>30</w:t>
      </w:r>
      <w:r w:rsidRPr="002462F0">
        <w:rPr>
          <w:rFonts w:cs="MyriadPro-Regular"/>
          <w:color w:val="1D1D1B"/>
          <w:szCs w:val="20"/>
          <w:lang w:val="en-US"/>
        </w:rPr>
        <w:t xml:space="preserve">) and </w:t>
      </w:r>
      <w:r w:rsidR="00DC3E8F">
        <w:rPr>
          <w:rFonts w:cs="MyriadPro-Regular"/>
          <w:color w:val="1D1D1B"/>
          <w:szCs w:val="20"/>
          <w:lang w:val="en-US"/>
        </w:rPr>
        <w:t>0.9</w:t>
      </w:r>
      <w:r w:rsidRPr="002462F0">
        <w:rPr>
          <w:rFonts w:cs="MyriadPro-Regular"/>
          <w:color w:val="1D1D1B"/>
          <w:szCs w:val="20"/>
          <w:lang w:val="en-US"/>
        </w:rPr>
        <w:t>% in terms of emissions trend (rank</w:t>
      </w:r>
      <w:r w:rsidR="00DC3E8F">
        <w:rPr>
          <w:rFonts w:cs="MyriadPro-Regular"/>
          <w:color w:val="1D1D1B"/>
          <w:szCs w:val="20"/>
          <w:lang w:val="en-US"/>
        </w:rPr>
        <w:t xml:space="preserve"> 27</w:t>
      </w:r>
      <w:r w:rsidRPr="002462F0">
        <w:rPr>
          <w:rFonts w:cs="MyriadPro-Regular"/>
          <w:color w:val="1D1D1B"/>
          <w:szCs w:val="20"/>
          <w:lang w:val="en-US"/>
        </w:rPr>
        <w:t>).</w:t>
      </w:r>
    </w:p>
    <w:p w14:paraId="5FE110A9" w14:textId="5304F725" w:rsidR="004D143B" w:rsidRPr="002462F0" w:rsidRDefault="004D143B" w:rsidP="007759DA">
      <w:pPr>
        <w:autoSpaceDE w:val="0"/>
        <w:autoSpaceDN w:val="0"/>
        <w:adjustRightInd w:val="0"/>
        <w:spacing w:before="120" w:after="0" w:line="240" w:lineRule="auto"/>
        <w:rPr>
          <w:lang w:val="en-US" w:eastAsia="fr-FR"/>
        </w:rPr>
      </w:pPr>
      <w:r w:rsidRPr="007759DA">
        <w:rPr>
          <w:rFonts w:cs="MyriadPro-Regular"/>
          <w:color w:val="1D1D1B"/>
          <w:szCs w:val="20"/>
          <w:lang w:val="en-US"/>
        </w:rPr>
        <w:t>In 20</w:t>
      </w:r>
      <w:r w:rsidR="000037B6" w:rsidRPr="007759DA">
        <w:rPr>
          <w:rFonts w:cs="MyriadPro-Regular"/>
          <w:color w:val="1D1D1B"/>
          <w:szCs w:val="20"/>
          <w:lang w:val="en-US"/>
        </w:rPr>
        <w:t>22</w:t>
      </w:r>
      <w:r w:rsidRPr="007759DA">
        <w:rPr>
          <w:rFonts w:cs="MyriadPro-Regular"/>
          <w:color w:val="1D1D1B"/>
          <w:szCs w:val="20"/>
          <w:lang w:val="en-US"/>
        </w:rPr>
        <w:t>, the sub-category Production of pellets</w:t>
      </w:r>
      <w:r w:rsidR="000037B6" w:rsidRPr="007759DA">
        <w:rPr>
          <w:rFonts w:cs="MyriadPro-Regular"/>
          <w:color w:val="1D1D1B"/>
          <w:szCs w:val="20"/>
          <w:lang w:val="en-US"/>
        </w:rPr>
        <w:t xml:space="preserve"> (CRT 2C1e)</w:t>
      </w:r>
      <w:r w:rsidRPr="007759DA">
        <w:rPr>
          <w:rFonts w:cs="MyriadPro-Regular"/>
          <w:color w:val="1D1D1B"/>
          <w:szCs w:val="20"/>
          <w:lang w:val="en-US"/>
        </w:rPr>
        <w:t xml:space="preserve"> is a key category </w:t>
      </w:r>
      <w:r w:rsidR="000037B6" w:rsidRPr="007759DA">
        <w:rPr>
          <w:rFonts w:cs="MyriadPro-Regular"/>
          <w:color w:val="1D1D1B"/>
          <w:szCs w:val="20"/>
          <w:lang w:val="en-US"/>
        </w:rPr>
        <w:t xml:space="preserve">solely </w:t>
      </w:r>
      <w:r w:rsidRPr="007759DA">
        <w:rPr>
          <w:rFonts w:cs="MyriadPro-Regular"/>
          <w:color w:val="1D1D1B"/>
          <w:szCs w:val="20"/>
          <w:lang w:val="en-US"/>
        </w:rPr>
        <w:t>in terms of emissions trend.</w:t>
      </w:r>
      <w:r w:rsidR="000037B6" w:rsidRPr="007759DA">
        <w:rPr>
          <w:rFonts w:cs="MyriadPro-Regular"/>
          <w:color w:val="1D1D1B"/>
          <w:szCs w:val="20"/>
          <w:lang w:val="en-US"/>
        </w:rPr>
        <w:t xml:space="preserve"> It</w:t>
      </w:r>
      <w:r w:rsidR="000037B6">
        <w:rPr>
          <w:lang w:val="en-US" w:eastAsia="fr-FR"/>
        </w:rPr>
        <w:t xml:space="preserve"> </w:t>
      </w:r>
      <w:r w:rsidR="00724438">
        <w:rPr>
          <w:lang w:val="en-US" w:eastAsia="fr-FR"/>
        </w:rPr>
        <w:t>contributes</w:t>
      </w:r>
      <w:r w:rsidR="000037B6">
        <w:rPr>
          <w:lang w:val="en-US" w:eastAsia="fr-FR"/>
        </w:rPr>
        <w:t xml:space="preserve"> 0.4% </w:t>
      </w:r>
      <w:r w:rsidR="006A35EE">
        <w:rPr>
          <w:lang w:val="en-US" w:eastAsia="fr-FR"/>
        </w:rPr>
        <w:t>to the national emission trend (rank 45).</w:t>
      </w:r>
    </w:p>
    <w:p w14:paraId="00715C3C" w14:textId="03EEA16A" w:rsidR="00DF3E81" w:rsidRPr="002462F0" w:rsidRDefault="00894440" w:rsidP="00724438">
      <w:pPr>
        <w:autoSpaceDE w:val="0"/>
        <w:autoSpaceDN w:val="0"/>
        <w:adjustRightInd w:val="0"/>
        <w:spacing w:after="0" w:line="240" w:lineRule="auto"/>
        <w:jc w:val="left"/>
        <w:rPr>
          <w:lang w:val="en-US" w:eastAsia="fr-FR"/>
        </w:rPr>
      </w:pPr>
      <w:r>
        <w:rPr>
          <w:noProof/>
          <w:lang w:val="en-US"/>
        </w:rPr>
        <w:drawing>
          <wp:inline distT="0" distB="0" distL="0" distR="0" wp14:anchorId="0D9B9422" wp14:editId="14C9A0C6">
            <wp:extent cx="5760000" cy="1753712"/>
            <wp:effectExtent l="0" t="0" r="0" b="0"/>
            <wp:docPr id="1023742747"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4DE87D1F" w14:textId="77777777" w:rsidR="00724438" w:rsidRDefault="00724438" w:rsidP="004341EC">
      <w:pPr>
        <w:pStyle w:val="Caption"/>
        <w:keepNext/>
        <w:spacing w:before="0"/>
        <w:jc w:val="left"/>
      </w:pPr>
      <w:bookmarkStart w:id="466" w:name="_Toc184808449"/>
      <w:r w:rsidRPr="002462F0">
        <w:t xml:space="preserve">Figure </w:t>
      </w:r>
      <w:r w:rsidRPr="002462F0">
        <w:fldChar w:fldCharType="begin"/>
      </w:r>
      <w:r w:rsidRPr="002462F0">
        <w:instrText xml:space="preserve"> SEQ Figure \* ARABIC </w:instrText>
      </w:r>
      <w:r w:rsidRPr="002462F0">
        <w:fldChar w:fldCharType="separate"/>
      </w:r>
      <w:r>
        <w:rPr>
          <w:noProof/>
        </w:rPr>
        <w:t>62</w:t>
      </w:r>
      <w:r w:rsidRPr="002462F0">
        <w:fldChar w:fldCharType="end"/>
      </w:r>
      <w:r w:rsidRPr="002462F0">
        <w:t>: GHG emissions for steel production</w:t>
      </w:r>
      <w:r>
        <w:t>, for the period 1990-2022</w:t>
      </w:r>
      <w:r w:rsidRPr="002462F0">
        <w:t xml:space="preserve"> (</w:t>
      </w:r>
      <w:r>
        <w:t xml:space="preserve">in </w:t>
      </w:r>
      <w:r w:rsidRPr="002462F0">
        <w:t>kt CO</w:t>
      </w:r>
      <w:r w:rsidRPr="002462F0">
        <w:rPr>
          <w:vertAlign w:val="subscript"/>
        </w:rPr>
        <w:t>2</w:t>
      </w:r>
      <w:r w:rsidRPr="002462F0">
        <w:t>e)</w:t>
      </w:r>
      <w:bookmarkEnd w:id="466"/>
    </w:p>
    <w:p w14:paraId="26CF59C7" w14:textId="77777777" w:rsidR="00A96EA1" w:rsidRPr="00A96EA1" w:rsidRDefault="00A96EA1" w:rsidP="007759DA"/>
    <w:p w14:paraId="06EAAD26" w14:textId="1485D759" w:rsidR="000F4928" w:rsidRPr="002462F0" w:rsidRDefault="00C718C7" w:rsidP="00724438">
      <w:pPr>
        <w:autoSpaceDE w:val="0"/>
        <w:autoSpaceDN w:val="0"/>
        <w:adjustRightInd w:val="0"/>
        <w:spacing w:after="0" w:line="240" w:lineRule="auto"/>
        <w:jc w:val="left"/>
        <w:rPr>
          <w:lang w:val="en-US" w:eastAsia="fr-FR"/>
        </w:rPr>
      </w:pPr>
      <w:r>
        <w:rPr>
          <w:noProof/>
          <w:lang w:val="en-US"/>
        </w:rPr>
        <w:lastRenderedPageBreak/>
        <w:drawing>
          <wp:inline distT="0" distB="0" distL="0" distR="0" wp14:anchorId="47368C2B" wp14:editId="37663BFA">
            <wp:extent cx="5760000" cy="1753712"/>
            <wp:effectExtent l="0" t="0" r="0" b="0"/>
            <wp:docPr id="1173920479"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19FA43BE" w14:textId="77777777" w:rsidR="00724438" w:rsidRPr="002462F0" w:rsidRDefault="00724438" w:rsidP="004341EC">
      <w:pPr>
        <w:pStyle w:val="Caption"/>
        <w:keepNext/>
        <w:spacing w:before="0"/>
        <w:jc w:val="left"/>
      </w:pPr>
      <w:bookmarkStart w:id="467" w:name="_Toc184808450"/>
      <w:r w:rsidRPr="002462F0">
        <w:t xml:space="preserve">Figure </w:t>
      </w:r>
      <w:r w:rsidRPr="002462F0">
        <w:fldChar w:fldCharType="begin"/>
      </w:r>
      <w:r w:rsidRPr="002462F0">
        <w:instrText xml:space="preserve"> SEQ Figure \* ARABIC </w:instrText>
      </w:r>
      <w:r w:rsidRPr="002462F0">
        <w:fldChar w:fldCharType="separate"/>
      </w:r>
      <w:r>
        <w:rPr>
          <w:noProof/>
        </w:rPr>
        <w:t>63</w:t>
      </w:r>
      <w:r w:rsidRPr="002462F0">
        <w:fldChar w:fldCharType="end"/>
      </w:r>
      <w:r w:rsidRPr="002462F0">
        <w:t>: GHG emissions for sinter production</w:t>
      </w:r>
      <w:r>
        <w:t>, for the period 1990-2022</w:t>
      </w:r>
      <w:r w:rsidRPr="002462F0">
        <w:t xml:space="preserve"> (</w:t>
      </w:r>
      <w:r>
        <w:t xml:space="preserve">in </w:t>
      </w:r>
      <w:r w:rsidRPr="002462F0">
        <w:t>kt CO</w:t>
      </w:r>
      <w:r w:rsidRPr="002462F0">
        <w:rPr>
          <w:vertAlign w:val="subscript"/>
        </w:rPr>
        <w:t>2</w:t>
      </w:r>
      <w:r w:rsidRPr="002462F0">
        <w:t>e)</w:t>
      </w:r>
      <w:bookmarkEnd w:id="467"/>
    </w:p>
    <w:p w14:paraId="6EC201B2" w14:textId="0A15774E" w:rsidR="000F4928" w:rsidRPr="002462F0" w:rsidRDefault="00824E4E" w:rsidP="00724438">
      <w:pPr>
        <w:autoSpaceDE w:val="0"/>
        <w:autoSpaceDN w:val="0"/>
        <w:adjustRightInd w:val="0"/>
        <w:spacing w:after="0" w:line="240" w:lineRule="auto"/>
        <w:jc w:val="left"/>
        <w:rPr>
          <w:rFonts w:cs="MyriadPro-Regular"/>
          <w:color w:val="1D1D1B"/>
          <w:szCs w:val="20"/>
          <w:lang w:val="en-US"/>
        </w:rPr>
      </w:pPr>
      <w:r>
        <w:rPr>
          <w:rFonts w:cs="MyriadPro-Regular"/>
          <w:noProof/>
          <w:color w:val="1D1D1B"/>
          <w:szCs w:val="20"/>
          <w:lang w:val="en-US"/>
        </w:rPr>
        <w:drawing>
          <wp:inline distT="0" distB="0" distL="0" distR="0" wp14:anchorId="225E0D65" wp14:editId="1B45D8F7">
            <wp:extent cx="5760000" cy="1753712"/>
            <wp:effectExtent l="0" t="0" r="0" b="0"/>
            <wp:docPr id="1549101936"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3C0B51BE" w14:textId="77777777" w:rsidR="00724438" w:rsidRPr="002462F0" w:rsidRDefault="00724438" w:rsidP="00724438">
      <w:pPr>
        <w:pStyle w:val="Caption"/>
        <w:keepNext/>
        <w:spacing w:before="0" w:after="0"/>
        <w:jc w:val="left"/>
      </w:pPr>
      <w:bookmarkStart w:id="468" w:name="_Toc184808451"/>
      <w:r w:rsidRPr="002462F0">
        <w:t xml:space="preserve">Figure </w:t>
      </w:r>
      <w:r w:rsidRPr="002462F0">
        <w:fldChar w:fldCharType="begin"/>
      </w:r>
      <w:r w:rsidRPr="002462F0">
        <w:instrText xml:space="preserve"> SEQ Figure \* ARABIC </w:instrText>
      </w:r>
      <w:r w:rsidRPr="002462F0">
        <w:fldChar w:fldCharType="separate"/>
      </w:r>
      <w:r>
        <w:rPr>
          <w:noProof/>
        </w:rPr>
        <w:t>64</w:t>
      </w:r>
      <w:r w:rsidRPr="002462F0">
        <w:fldChar w:fldCharType="end"/>
      </w:r>
      <w:r w:rsidRPr="002462F0">
        <w:t>: GHG emissions for pellet production</w:t>
      </w:r>
      <w:r>
        <w:t>, for the period 1990-2022</w:t>
      </w:r>
      <w:r w:rsidRPr="002462F0">
        <w:t xml:space="preserve"> (</w:t>
      </w:r>
      <w:r>
        <w:t xml:space="preserve">in </w:t>
      </w:r>
      <w:r w:rsidRPr="002462F0">
        <w:t>kt CO</w:t>
      </w:r>
      <w:r w:rsidRPr="002462F0">
        <w:rPr>
          <w:vertAlign w:val="subscript"/>
        </w:rPr>
        <w:t>2</w:t>
      </w:r>
      <w:r w:rsidRPr="002462F0">
        <w:t>e)</w:t>
      </w:r>
      <w:bookmarkEnd w:id="468"/>
    </w:p>
    <w:p w14:paraId="3596DA8D" w14:textId="77777777" w:rsidR="004341EC" w:rsidRPr="002462F0" w:rsidRDefault="000F4928" w:rsidP="004341EC">
      <w:pPr>
        <w:autoSpaceDE w:val="0"/>
        <w:autoSpaceDN w:val="0"/>
        <w:adjustRightInd w:val="0"/>
        <w:spacing w:before="240" w:after="0" w:line="240" w:lineRule="auto"/>
        <w:rPr>
          <w:rFonts w:cs="MyriadPro-Regular"/>
          <w:color w:val="1D1D1B"/>
          <w:szCs w:val="20"/>
          <w:lang w:val="en-US"/>
        </w:rPr>
      </w:pPr>
      <w:r w:rsidRPr="002462F0">
        <w:rPr>
          <w:rFonts w:cs="MyriadPro-Regular"/>
          <w:color w:val="1D1D1B"/>
          <w:szCs w:val="20"/>
        </w:rPr>
        <w:t>CO</w:t>
      </w:r>
      <w:r w:rsidRPr="002462F0">
        <w:rPr>
          <w:rFonts w:cs="MyriadPro-Regular"/>
          <w:color w:val="1D1D1B"/>
          <w:szCs w:val="20"/>
          <w:vertAlign w:val="subscript"/>
        </w:rPr>
        <w:t>2</w:t>
      </w:r>
      <w:r w:rsidRPr="002462F0">
        <w:rPr>
          <w:rFonts w:cs="MyriadPro-Regular"/>
          <w:color w:val="1D1D1B"/>
          <w:szCs w:val="20"/>
        </w:rPr>
        <w:t xml:space="preserve"> emissions from the iron and steel sector declined from 1990 to 1994 due to the decrease in industrial activities, caused by </w:t>
      </w:r>
      <w:r w:rsidR="00CB59C5">
        <w:rPr>
          <w:rFonts w:cs="MyriadPro-Regular"/>
          <w:color w:val="1D1D1B"/>
          <w:szCs w:val="20"/>
        </w:rPr>
        <w:t>the collapse of Yugoslavia</w:t>
      </w:r>
      <w:r w:rsidR="00724438">
        <w:rPr>
          <w:rFonts w:cs="MyriadPro-Regular"/>
          <w:color w:val="1D1D1B"/>
          <w:szCs w:val="20"/>
        </w:rPr>
        <w:t xml:space="preserve"> (common market) and economic downturn</w:t>
      </w:r>
      <w:r w:rsidRPr="002462F0">
        <w:rPr>
          <w:rFonts w:cs="MyriadPro-Regular"/>
          <w:color w:val="1D1D1B"/>
          <w:szCs w:val="20"/>
        </w:rPr>
        <w:t>.</w:t>
      </w:r>
      <w:r w:rsidR="002710C1">
        <w:rPr>
          <w:rFonts w:cs="MyriadPro-Regular"/>
          <w:color w:val="1D1D1B"/>
          <w:szCs w:val="20"/>
        </w:rPr>
        <w:t xml:space="preserve"> In addition, </w:t>
      </w:r>
      <w:r w:rsidR="007B2C02">
        <w:rPr>
          <w:rFonts w:cs="MyriadPro-Regular"/>
          <w:color w:val="1D1D1B"/>
          <w:szCs w:val="20"/>
        </w:rPr>
        <w:t xml:space="preserve">sudden declines </w:t>
      </w:r>
      <w:r w:rsidR="00925626">
        <w:rPr>
          <w:rFonts w:cs="MyriadPro-Regular"/>
          <w:color w:val="1D1D1B"/>
          <w:szCs w:val="20"/>
        </w:rPr>
        <w:t xml:space="preserve">in activities </w:t>
      </w:r>
      <w:r w:rsidR="007B2C02">
        <w:rPr>
          <w:rFonts w:cs="MyriadPro-Regular"/>
          <w:color w:val="1D1D1B"/>
          <w:szCs w:val="20"/>
        </w:rPr>
        <w:t>are observed in 1999, due to the NATO bombing, in 20</w:t>
      </w:r>
      <w:r w:rsidR="00925626">
        <w:rPr>
          <w:rFonts w:cs="MyriadPro-Regular"/>
          <w:color w:val="1D1D1B"/>
          <w:szCs w:val="20"/>
        </w:rPr>
        <w:t xml:space="preserve">09 due to the global economic crisis, and </w:t>
      </w:r>
      <w:r w:rsidR="00925626" w:rsidRPr="00925626">
        <w:rPr>
          <w:rFonts w:cs="MyriadPro-Regular"/>
          <w:color w:val="1D1D1B"/>
          <w:szCs w:val="20"/>
        </w:rPr>
        <w:t>in 2012 due to</w:t>
      </w:r>
      <w:r w:rsidR="00925626">
        <w:rPr>
          <w:rFonts w:cs="MyriadPro-Regular"/>
          <w:color w:val="1D1D1B"/>
          <w:szCs w:val="20"/>
        </w:rPr>
        <w:t xml:space="preserve"> </w:t>
      </w:r>
      <w:r w:rsidR="00925626" w:rsidRPr="002462F0">
        <w:rPr>
          <w:rFonts w:cs="MyriadPro-Regular"/>
          <w:color w:val="1D1D1B"/>
          <w:szCs w:val="20"/>
          <w:lang w:val="en-US"/>
        </w:rPr>
        <w:t>reduced market demand for iron and steel, which consequently led to a lower utilization of production capacities in these industries</w:t>
      </w:r>
      <w:r w:rsidR="00E41297">
        <w:rPr>
          <w:rFonts w:cs="MyriadPro-Regular"/>
          <w:color w:val="1D1D1B"/>
          <w:szCs w:val="20"/>
          <w:lang w:val="en-US"/>
        </w:rPr>
        <w:t xml:space="preserve">. </w:t>
      </w:r>
      <w:r w:rsidR="004341EC">
        <w:rPr>
          <w:rFonts w:cs="MyriadPro-Regular"/>
          <w:color w:val="1D1D1B"/>
          <w:szCs w:val="20"/>
          <w:lang w:val="en-US"/>
        </w:rPr>
        <w:t>The s</w:t>
      </w:r>
      <w:r w:rsidR="004341EC" w:rsidRPr="002462F0">
        <w:rPr>
          <w:rFonts w:cs="MyriadPro-Regular"/>
          <w:color w:val="1D1D1B"/>
          <w:szCs w:val="20"/>
          <w:lang w:val="en-US"/>
        </w:rPr>
        <w:t>teel</w:t>
      </w:r>
      <w:r w:rsidR="004341EC">
        <w:rPr>
          <w:rFonts w:cs="MyriadPro-Regular"/>
          <w:color w:val="1D1D1B"/>
          <w:szCs w:val="20"/>
          <w:lang w:val="en-US"/>
        </w:rPr>
        <w:t xml:space="preserve"> industry</w:t>
      </w:r>
      <w:r w:rsidR="004341EC" w:rsidRPr="002462F0">
        <w:rPr>
          <w:rFonts w:cs="MyriadPro-Regular"/>
          <w:color w:val="1D1D1B"/>
          <w:szCs w:val="20"/>
          <w:lang w:val="en-US"/>
        </w:rPr>
        <w:t xml:space="preserve"> has significant production capacities, which have</w:t>
      </w:r>
      <w:r w:rsidR="004341EC">
        <w:rPr>
          <w:rFonts w:cs="MyriadPro-Regular"/>
          <w:color w:val="1D1D1B"/>
          <w:szCs w:val="20"/>
          <w:lang w:val="en-US"/>
        </w:rPr>
        <w:t xml:space="preserve"> been</w:t>
      </w:r>
      <w:r w:rsidR="004341EC" w:rsidRPr="002462F0">
        <w:rPr>
          <w:rFonts w:cs="MyriadPro-Regular"/>
          <w:color w:val="1D1D1B"/>
          <w:szCs w:val="20"/>
          <w:lang w:val="en-US"/>
        </w:rPr>
        <w:t xml:space="preserve"> renewed</w:t>
      </w:r>
      <w:r w:rsidR="004341EC">
        <w:rPr>
          <w:rFonts w:cs="MyriadPro-Regular"/>
          <w:color w:val="1D1D1B"/>
          <w:szCs w:val="20"/>
          <w:lang w:val="en-US"/>
        </w:rPr>
        <w:t>,</w:t>
      </w:r>
      <w:r w:rsidR="004341EC" w:rsidRPr="002462F0">
        <w:rPr>
          <w:rFonts w:cs="MyriadPro-Regular"/>
          <w:color w:val="1D1D1B"/>
          <w:szCs w:val="20"/>
          <w:lang w:val="en-US"/>
        </w:rPr>
        <w:t xml:space="preserve"> and </w:t>
      </w:r>
      <w:r w:rsidR="004341EC">
        <w:rPr>
          <w:rFonts w:cs="MyriadPro-Regular"/>
          <w:color w:val="1D1D1B"/>
          <w:szCs w:val="20"/>
          <w:lang w:val="en-US"/>
        </w:rPr>
        <w:t xml:space="preserve">has </w:t>
      </w:r>
      <w:r w:rsidR="004341EC" w:rsidRPr="002462F0">
        <w:rPr>
          <w:rFonts w:cs="MyriadPro-Regular"/>
          <w:color w:val="1D1D1B"/>
          <w:szCs w:val="20"/>
          <w:lang w:val="en-US"/>
        </w:rPr>
        <w:t>significantly raised their production after privatization (</w:t>
      </w:r>
      <w:r w:rsidR="004341EC">
        <w:rPr>
          <w:rFonts w:cs="MyriadPro-Regular"/>
          <w:color w:val="1D1D1B"/>
          <w:szCs w:val="20"/>
          <w:lang w:val="en-US"/>
        </w:rPr>
        <w:t>since</w:t>
      </w:r>
      <w:r w:rsidR="004341EC" w:rsidRPr="002462F0">
        <w:rPr>
          <w:rFonts w:cs="MyriadPro-Regular"/>
          <w:color w:val="1D1D1B"/>
          <w:szCs w:val="20"/>
          <w:lang w:val="en-US"/>
        </w:rPr>
        <w:t xml:space="preserve"> 2001).</w:t>
      </w:r>
    </w:p>
    <w:p w14:paraId="03287AAA" w14:textId="5359838A" w:rsidR="000F4928" w:rsidRPr="002462F0" w:rsidRDefault="00E41297" w:rsidP="000F4928">
      <w:pPr>
        <w:autoSpaceDE w:val="0"/>
        <w:autoSpaceDN w:val="0"/>
        <w:adjustRightInd w:val="0"/>
        <w:spacing w:after="0" w:line="240" w:lineRule="auto"/>
        <w:rPr>
          <w:rFonts w:cs="MyriadPro-Regular"/>
          <w:color w:val="1D1D1B"/>
          <w:szCs w:val="20"/>
        </w:rPr>
      </w:pPr>
      <w:r>
        <w:rPr>
          <w:rFonts w:cs="MyriadPro-Regular"/>
          <w:color w:val="1D1D1B"/>
          <w:szCs w:val="20"/>
          <w:lang w:val="en-US"/>
        </w:rPr>
        <w:t xml:space="preserve">Between 2012 and 2018, the steel production has significantly and progressively increased, by </w:t>
      </w:r>
      <w:r w:rsidR="00412BED">
        <w:rPr>
          <w:rFonts w:cs="MyriadPro-Regular"/>
          <w:color w:val="1D1D1B"/>
          <w:szCs w:val="20"/>
          <w:lang w:val="en-US"/>
        </w:rPr>
        <w:t xml:space="preserve">470%, before slightly decreasing in 2020 due to the pandemic and being stable since then. </w:t>
      </w:r>
      <w:r w:rsidR="004341EC">
        <w:rPr>
          <w:rFonts w:cs="MyriadPro-Regular"/>
          <w:color w:val="1D1D1B"/>
          <w:szCs w:val="20"/>
          <w:lang w:val="en-US"/>
        </w:rPr>
        <w:t xml:space="preserve">It has to be noted that EU in 2019 introduced Tariff-Rate-Quotas (TRQs) which also affected the production in Serbia. </w:t>
      </w:r>
      <w:r w:rsidR="00412BED">
        <w:rPr>
          <w:rFonts w:cs="MyriadPro-Regular"/>
          <w:color w:val="1D1D1B"/>
          <w:szCs w:val="20"/>
          <w:lang w:val="en-US"/>
        </w:rPr>
        <w:t xml:space="preserve">Similar observations, to different extents, can be made for the other </w:t>
      </w:r>
      <w:r w:rsidR="00117B7E">
        <w:rPr>
          <w:rFonts w:cs="MyriadPro-Regular"/>
          <w:color w:val="1D1D1B"/>
          <w:szCs w:val="20"/>
          <w:lang w:val="en-US"/>
        </w:rPr>
        <w:t>subsectors of the pellet and sinter productions.</w:t>
      </w:r>
    </w:p>
    <w:p w14:paraId="61B5EDE5" w14:textId="51D85214" w:rsidR="003A1FCB" w:rsidRPr="002462F0" w:rsidRDefault="003A1FCB" w:rsidP="003A1FCB">
      <w:pPr>
        <w:pStyle w:val="Titre4Bleu"/>
        <w:rPr>
          <w:lang w:eastAsia="fr-FR"/>
        </w:rPr>
      </w:pPr>
      <w:bookmarkStart w:id="469" w:name="_Toc182327835"/>
      <w:r w:rsidRPr="002462F0">
        <w:rPr>
          <w:lang w:eastAsia="fr-FR"/>
        </w:rPr>
        <w:t>Methodological issues</w:t>
      </w:r>
      <w:bookmarkEnd w:id="469"/>
      <w:r w:rsidRPr="002462F0">
        <w:rPr>
          <w:lang w:eastAsia="fr-FR"/>
        </w:rPr>
        <w:t xml:space="preserve"> </w:t>
      </w:r>
    </w:p>
    <w:p w14:paraId="1B746081" w14:textId="63DCF34D" w:rsidR="00B4382A" w:rsidRPr="002462F0" w:rsidRDefault="00B4382A" w:rsidP="00B4382A">
      <w:pPr>
        <w:pStyle w:val="BodyText"/>
        <w:jc w:val="left"/>
        <w:rPr>
          <w:lang w:eastAsia="fr-FR"/>
        </w:rPr>
      </w:pPr>
      <w:r w:rsidRPr="002462F0">
        <w:rPr>
          <w:lang w:eastAsia="fr-FR"/>
        </w:rPr>
        <w:t>The Tier 1 method from the 2006 IPCC Guidelines is used to calculate the CO</w:t>
      </w:r>
      <w:r w:rsidRPr="002462F0">
        <w:rPr>
          <w:vertAlign w:val="subscript"/>
          <w:lang w:eastAsia="fr-FR"/>
        </w:rPr>
        <w:t>2</w:t>
      </w:r>
      <w:r w:rsidRPr="002462F0">
        <w:rPr>
          <w:lang w:eastAsia="fr-FR"/>
        </w:rPr>
        <w:t xml:space="preserve"> and CH</w:t>
      </w:r>
      <w:r w:rsidRPr="002462F0">
        <w:rPr>
          <w:vertAlign w:val="subscript"/>
          <w:lang w:eastAsia="fr-FR"/>
        </w:rPr>
        <w:t>4</w:t>
      </w:r>
      <w:r w:rsidRPr="002462F0">
        <w:rPr>
          <w:lang w:eastAsia="fr-FR"/>
        </w:rPr>
        <w:t xml:space="preserve"> emissions (equations 4.4, 4.7, 4.8 and 4.</w:t>
      </w:r>
      <w:r w:rsidR="00826E82">
        <w:rPr>
          <w:lang w:eastAsia="fr-FR"/>
        </w:rPr>
        <w:t xml:space="preserve">12 of the 2006 IPCC Guidelines </w:t>
      </w:r>
      <w:r w:rsidR="00826E82">
        <w:rPr>
          <w:lang w:eastAsia="fr-FR"/>
        </w:rPr>
        <w:fldChar w:fldCharType="begin"/>
      </w:r>
      <w:r w:rsidR="00826E82">
        <w:rPr>
          <w:lang w:eastAsia="fr-FR"/>
        </w:rPr>
        <w:instrText xml:space="preserve"> REF _Ref496788560 \r \h </w:instrText>
      </w:r>
      <w:r w:rsidR="00826E82">
        <w:rPr>
          <w:lang w:eastAsia="fr-FR"/>
        </w:rPr>
      </w:r>
      <w:r w:rsidR="00826E82">
        <w:rPr>
          <w:lang w:eastAsia="fr-FR"/>
        </w:rPr>
        <w:fldChar w:fldCharType="separate"/>
      </w:r>
      <w:r w:rsidR="00F14C78">
        <w:rPr>
          <w:lang w:eastAsia="fr-FR"/>
        </w:rPr>
        <w:t>[I22]</w:t>
      </w:r>
      <w:r w:rsidR="00826E82">
        <w:rPr>
          <w:lang w:eastAsia="fr-FR"/>
        </w:rPr>
        <w:fldChar w:fldCharType="end"/>
      </w:r>
      <w:r w:rsidR="00826E82">
        <w:rPr>
          <w:lang w:eastAsia="fr-FR"/>
        </w:rPr>
        <w:t>).</w:t>
      </w:r>
      <w:r w:rsidRPr="002462F0">
        <w:rPr>
          <w:lang w:eastAsia="fr-FR"/>
        </w:rPr>
        <w:t xml:space="preserve"> Tier 1 methodology provides equations for the calculation of:</w:t>
      </w:r>
    </w:p>
    <w:p w14:paraId="5AA7076F" w14:textId="77777777" w:rsidR="00B4382A" w:rsidRPr="002462F0" w:rsidRDefault="00B4382A" w:rsidP="00B1419E">
      <w:pPr>
        <w:pStyle w:val="BodyText"/>
        <w:numPr>
          <w:ilvl w:val="0"/>
          <w:numId w:val="17"/>
        </w:numPr>
        <w:jc w:val="left"/>
        <w:rPr>
          <w:lang w:eastAsia="fr-FR"/>
        </w:rPr>
      </w:pPr>
      <w:r w:rsidRPr="002462F0">
        <w:rPr>
          <w:lang w:eastAsia="fr-FR"/>
        </w:rPr>
        <w:t>CO</w:t>
      </w:r>
      <w:r w:rsidRPr="002462F0">
        <w:rPr>
          <w:vertAlign w:val="subscript"/>
          <w:lang w:eastAsia="fr-FR"/>
        </w:rPr>
        <w:t>2</w:t>
      </w:r>
      <w:r w:rsidRPr="002462F0">
        <w:rPr>
          <w:lang w:eastAsia="fr-FR"/>
        </w:rPr>
        <w:t xml:space="preserve"> and CH</w:t>
      </w:r>
      <w:r w:rsidRPr="002462F0">
        <w:rPr>
          <w:vertAlign w:val="subscript"/>
          <w:lang w:eastAsia="fr-FR"/>
        </w:rPr>
        <w:t>4</w:t>
      </w:r>
      <w:r w:rsidRPr="002462F0">
        <w:rPr>
          <w:lang w:eastAsia="fr-FR"/>
        </w:rPr>
        <w:t xml:space="preserve"> emissions for sinter production,</w:t>
      </w:r>
    </w:p>
    <w:p w14:paraId="54D50D9B" w14:textId="77777777" w:rsidR="00B4382A" w:rsidRPr="002462F0" w:rsidRDefault="00B4382A" w:rsidP="00B1419E">
      <w:pPr>
        <w:pStyle w:val="BodyText"/>
        <w:numPr>
          <w:ilvl w:val="0"/>
          <w:numId w:val="17"/>
        </w:numPr>
        <w:jc w:val="left"/>
        <w:rPr>
          <w:lang w:eastAsia="fr-FR"/>
        </w:rPr>
      </w:pPr>
      <w:r w:rsidRPr="002462F0">
        <w:rPr>
          <w:lang w:eastAsia="fr-FR"/>
        </w:rPr>
        <w:t>CO</w:t>
      </w:r>
      <w:r w:rsidRPr="002462F0">
        <w:rPr>
          <w:vertAlign w:val="subscript"/>
          <w:lang w:eastAsia="fr-FR"/>
        </w:rPr>
        <w:t>2</w:t>
      </w:r>
      <w:r w:rsidRPr="002462F0">
        <w:rPr>
          <w:lang w:eastAsia="fr-FR"/>
        </w:rPr>
        <w:t xml:space="preserve"> emissions for pellets production,</w:t>
      </w:r>
    </w:p>
    <w:p w14:paraId="0C77DCD0" w14:textId="77777777" w:rsidR="00B4382A" w:rsidRPr="002462F0" w:rsidRDefault="00B4382A" w:rsidP="00B1419E">
      <w:pPr>
        <w:pStyle w:val="BodyText"/>
        <w:numPr>
          <w:ilvl w:val="0"/>
          <w:numId w:val="17"/>
        </w:numPr>
        <w:jc w:val="left"/>
        <w:rPr>
          <w:lang w:eastAsia="fr-FR"/>
        </w:rPr>
      </w:pPr>
      <w:r w:rsidRPr="002462F0">
        <w:rPr>
          <w:lang w:eastAsia="fr-FR"/>
        </w:rPr>
        <w:t>CO</w:t>
      </w:r>
      <w:r w:rsidRPr="002462F0">
        <w:rPr>
          <w:vertAlign w:val="subscript"/>
          <w:lang w:eastAsia="fr-FR"/>
        </w:rPr>
        <w:t>2</w:t>
      </w:r>
      <w:r w:rsidRPr="002462F0">
        <w:rPr>
          <w:lang w:eastAsia="fr-FR"/>
        </w:rPr>
        <w:t xml:space="preserve"> emissions for iron and steel production (the equation includes pig iron production process and BOF steel production process).</w:t>
      </w:r>
    </w:p>
    <w:p w14:paraId="6D5EC172" w14:textId="0BF56396" w:rsidR="00B4382A" w:rsidRPr="002462F0" w:rsidRDefault="00234402" w:rsidP="00577E61">
      <w:pPr>
        <w:pStyle w:val="BodyText"/>
        <w:rPr>
          <w:lang w:eastAsia="fr-FR"/>
        </w:rPr>
      </w:pPr>
      <w:r w:rsidRPr="002462F0">
        <w:rPr>
          <w:lang w:eastAsia="fr-FR"/>
        </w:rPr>
        <w:t>The pig iron and crude steel production</w:t>
      </w:r>
      <w:r w:rsidR="008C7426" w:rsidRPr="002462F0">
        <w:rPr>
          <w:lang w:eastAsia="fr-FR"/>
        </w:rPr>
        <w:t>s</w:t>
      </w:r>
      <w:r w:rsidRPr="002462F0">
        <w:rPr>
          <w:lang w:eastAsia="fr-FR"/>
        </w:rPr>
        <w:t xml:space="preserve"> </w:t>
      </w:r>
      <w:r w:rsidR="00440E68">
        <w:rPr>
          <w:lang w:eastAsia="fr-FR"/>
        </w:rPr>
        <w:t>are sourced</w:t>
      </w:r>
      <w:r w:rsidRPr="002462F0">
        <w:rPr>
          <w:lang w:eastAsia="fr-FR"/>
        </w:rPr>
        <w:t xml:space="preserve"> from the </w:t>
      </w:r>
      <w:proofErr w:type="spellStart"/>
      <w:r w:rsidRPr="002462F0">
        <w:rPr>
          <w:lang w:eastAsia="fr-FR"/>
        </w:rPr>
        <w:t>Wo</w:t>
      </w:r>
      <w:r w:rsidR="00826E82">
        <w:rPr>
          <w:lang w:eastAsia="fr-FR"/>
        </w:rPr>
        <w:t>rldSteel</w:t>
      </w:r>
      <w:proofErr w:type="spellEnd"/>
      <w:r w:rsidR="00826E82">
        <w:rPr>
          <w:lang w:eastAsia="fr-FR"/>
        </w:rPr>
        <w:t xml:space="preserve"> statistical yearbook </w:t>
      </w:r>
      <w:r w:rsidR="00826E82">
        <w:rPr>
          <w:lang w:eastAsia="fr-FR"/>
        </w:rPr>
        <w:fldChar w:fldCharType="begin"/>
      </w:r>
      <w:r w:rsidR="00826E82">
        <w:rPr>
          <w:lang w:eastAsia="fr-FR"/>
        </w:rPr>
        <w:instrText xml:space="preserve"> REF _Ref496788572 \r \h </w:instrText>
      </w:r>
      <w:r w:rsidR="00826E82">
        <w:rPr>
          <w:lang w:eastAsia="fr-FR"/>
        </w:rPr>
      </w:r>
      <w:r w:rsidR="00826E82">
        <w:rPr>
          <w:lang w:eastAsia="fr-FR"/>
        </w:rPr>
        <w:fldChar w:fldCharType="separate"/>
      </w:r>
      <w:r w:rsidR="00F14C78">
        <w:rPr>
          <w:lang w:eastAsia="fr-FR"/>
        </w:rPr>
        <w:t>[I23]</w:t>
      </w:r>
      <w:r w:rsidR="00826E82">
        <w:rPr>
          <w:lang w:eastAsia="fr-FR"/>
        </w:rPr>
        <w:fldChar w:fldCharType="end"/>
      </w:r>
      <w:r w:rsidRPr="002462F0">
        <w:rPr>
          <w:lang w:eastAsia="fr-FR"/>
        </w:rPr>
        <w:t>.</w:t>
      </w:r>
      <w:r w:rsidR="008C7426" w:rsidRPr="002462F0">
        <w:rPr>
          <w:lang w:eastAsia="fr-FR"/>
        </w:rPr>
        <w:t xml:space="preserve"> It is assumed that all pig iron is converted into steel.</w:t>
      </w:r>
    </w:p>
    <w:p w14:paraId="673020DB" w14:textId="1CADB5A5" w:rsidR="00992527" w:rsidRPr="002462F0" w:rsidRDefault="00992527" w:rsidP="00577E61">
      <w:pPr>
        <w:pStyle w:val="BodyText"/>
        <w:rPr>
          <w:lang w:eastAsia="fr-FR"/>
        </w:rPr>
      </w:pPr>
      <w:r w:rsidRPr="00622F40">
        <w:rPr>
          <w:lang w:eastAsia="fr-FR"/>
        </w:rPr>
        <w:t xml:space="preserve">The sinter and pellet productions </w:t>
      </w:r>
      <w:r w:rsidR="00440E68">
        <w:rPr>
          <w:lang w:eastAsia="fr-FR"/>
        </w:rPr>
        <w:t>are sourced</w:t>
      </w:r>
      <w:r w:rsidRPr="00622F40">
        <w:rPr>
          <w:lang w:eastAsia="fr-FR"/>
        </w:rPr>
        <w:t xml:space="preserve"> from SEPA questionnaires with the </w:t>
      </w:r>
      <w:r w:rsidR="00A86FE4">
        <w:rPr>
          <w:lang w:eastAsia="fr-FR"/>
        </w:rPr>
        <w:t xml:space="preserve">only </w:t>
      </w:r>
      <w:r w:rsidRPr="00622F40">
        <w:rPr>
          <w:lang w:eastAsia="fr-FR"/>
        </w:rPr>
        <w:t>operator</w:t>
      </w:r>
      <w:r w:rsidR="00826E82" w:rsidRPr="00A86FE4">
        <w:rPr>
          <w:lang w:eastAsia="fr-FR"/>
        </w:rPr>
        <w:t xml:space="preserve"> </w:t>
      </w:r>
      <w:r w:rsidR="00826E82" w:rsidRPr="00A86FE4">
        <w:rPr>
          <w:lang w:eastAsia="fr-FR"/>
        </w:rPr>
        <w:fldChar w:fldCharType="begin"/>
      </w:r>
      <w:r w:rsidR="00826E82" w:rsidRPr="00A86FE4">
        <w:rPr>
          <w:lang w:eastAsia="fr-FR"/>
        </w:rPr>
        <w:instrText xml:space="preserve"> REF _Ref496788579 \r \h </w:instrText>
      </w:r>
      <w:r w:rsidR="00A86FE4">
        <w:rPr>
          <w:lang w:eastAsia="fr-FR"/>
        </w:rPr>
        <w:instrText xml:space="preserve"> \* MERGEFORMAT </w:instrText>
      </w:r>
      <w:r w:rsidR="00826E82" w:rsidRPr="00A86FE4">
        <w:rPr>
          <w:lang w:eastAsia="fr-FR"/>
        </w:rPr>
      </w:r>
      <w:r w:rsidR="00826E82" w:rsidRPr="00A86FE4">
        <w:rPr>
          <w:lang w:eastAsia="fr-FR"/>
        </w:rPr>
        <w:fldChar w:fldCharType="separate"/>
      </w:r>
      <w:r w:rsidR="00F14C78">
        <w:rPr>
          <w:lang w:eastAsia="fr-FR"/>
        </w:rPr>
        <w:t>[I24]</w:t>
      </w:r>
      <w:r w:rsidR="00826E82" w:rsidRPr="00A86FE4">
        <w:rPr>
          <w:lang w:eastAsia="fr-FR"/>
        </w:rPr>
        <w:fldChar w:fldCharType="end"/>
      </w:r>
      <w:r w:rsidRPr="00A86FE4">
        <w:rPr>
          <w:lang w:eastAsia="fr-FR"/>
        </w:rPr>
        <w:t>.</w:t>
      </w:r>
    </w:p>
    <w:p w14:paraId="32C2A895" w14:textId="7B7DCEC7" w:rsidR="00736F64" w:rsidRPr="002462F0" w:rsidRDefault="00736F64" w:rsidP="00577E61">
      <w:pPr>
        <w:pStyle w:val="BodyText"/>
        <w:rPr>
          <w:lang w:eastAsia="fr-FR"/>
        </w:rPr>
      </w:pPr>
      <w:r w:rsidRPr="002462F0">
        <w:rPr>
          <w:lang w:eastAsia="fr-FR"/>
        </w:rPr>
        <w:t>Default CO</w:t>
      </w:r>
      <w:r w:rsidRPr="002462F0">
        <w:rPr>
          <w:vertAlign w:val="subscript"/>
          <w:lang w:eastAsia="fr-FR"/>
        </w:rPr>
        <w:t>2</w:t>
      </w:r>
      <w:r w:rsidRPr="002462F0">
        <w:rPr>
          <w:lang w:eastAsia="fr-FR"/>
        </w:rPr>
        <w:t xml:space="preserve"> emission factors</w:t>
      </w:r>
      <w:r w:rsidR="00826E82">
        <w:rPr>
          <w:lang w:eastAsia="fr-FR"/>
        </w:rPr>
        <w:t xml:space="preserve"> from the 2006 IPCC Guidelines </w:t>
      </w:r>
      <w:r w:rsidR="00826E82">
        <w:rPr>
          <w:lang w:eastAsia="fr-FR"/>
        </w:rPr>
        <w:fldChar w:fldCharType="begin"/>
      </w:r>
      <w:r w:rsidR="00826E82">
        <w:rPr>
          <w:lang w:eastAsia="fr-FR"/>
        </w:rPr>
        <w:instrText xml:space="preserve"> REF _Ref496788560 \r \h </w:instrText>
      </w:r>
      <w:r w:rsidR="00826E82">
        <w:rPr>
          <w:lang w:eastAsia="fr-FR"/>
        </w:rPr>
      </w:r>
      <w:r w:rsidR="00826E82">
        <w:rPr>
          <w:lang w:eastAsia="fr-FR"/>
        </w:rPr>
        <w:fldChar w:fldCharType="separate"/>
      </w:r>
      <w:r w:rsidR="00F14C78">
        <w:rPr>
          <w:lang w:eastAsia="fr-FR"/>
        </w:rPr>
        <w:t>[I22]</w:t>
      </w:r>
      <w:r w:rsidR="00826E82">
        <w:rPr>
          <w:lang w:eastAsia="fr-FR"/>
        </w:rPr>
        <w:fldChar w:fldCharType="end"/>
      </w:r>
      <w:r w:rsidR="00A5102E" w:rsidRPr="002462F0">
        <w:rPr>
          <w:lang w:eastAsia="fr-FR"/>
        </w:rPr>
        <w:t xml:space="preserve"> </w:t>
      </w:r>
      <w:r w:rsidRPr="002462F0">
        <w:rPr>
          <w:lang w:eastAsia="fr-FR"/>
        </w:rPr>
        <w:t>are used for steel production</w:t>
      </w:r>
      <w:r w:rsidR="00A5102E" w:rsidRPr="002462F0">
        <w:rPr>
          <w:lang w:eastAsia="fr-FR"/>
        </w:rPr>
        <w:t xml:space="preserve"> (1</w:t>
      </w:r>
      <w:r w:rsidR="003D5B49">
        <w:rPr>
          <w:lang w:eastAsia="fr-FR"/>
        </w:rPr>
        <w:t>.</w:t>
      </w:r>
      <w:r w:rsidR="00A5102E" w:rsidRPr="002462F0">
        <w:rPr>
          <w:lang w:eastAsia="fr-FR"/>
        </w:rPr>
        <w:t>46 t CO</w:t>
      </w:r>
      <w:r w:rsidR="00A5102E" w:rsidRPr="002462F0">
        <w:rPr>
          <w:vertAlign w:val="subscript"/>
          <w:lang w:eastAsia="fr-FR"/>
        </w:rPr>
        <w:t>2</w:t>
      </w:r>
      <w:r w:rsidR="00A5102E" w:rsidRPr="002462F0">
        <w:rPr>
          <w:lang w:eastAsia="fr-FR"/>
        </w:rPr>
        <w:t>/t steel produced)</w:t>
      </w:r>
      <w:r w:rsidRPr="002462F0">
        <w:rPr>
          <w:lang w:eastAsia="fr-FR"/>
        </w:rPr>
        <w:t xml:space="preserve">, sinter production </w:t>
      </w:r>
      <w:r w:rsidR="00A5102E" w:rsidRPr="002462F0">
        <w:rPr>
          <w:lang w:eastAsia="fr-FR"/>
        </w:rPr>
        <w:t>(0</w:t>
      </w:r>
      <w:r w:rsidR="003D5B49">
        <w:rPr>
          <w:lang w:eastAsia="fr-FR"/>
        </w:rPr>
        <w:t>.</w:t>
      </w:r>
      <w:r w:rsidR="00A5102E" w:rsidRPr="002462F0">
        <w:rPr>
          <w:lang w:eastAsia="fr-FR"/>
        </w:rPr>
        <w:t>2 t CO</w:t>
      </w:r>
      <w:r w:rsidR="00A5102E" w:rsidRPr="002462F0">
        <w:rPr>
          <w:vertAlign w:val="subscript"/>
          <w:lang w:eastAsia="fr-FR"/>
        </w:rPr>
        <w:t>2</w:t>
      </w:r>
      <w:r w:rsidR="00A5102E" w:rsidRPr="002462F0">
        <w:rPr>
          <w:lang w:eastAsia="fr-FR"/>
        </w:rPr>
        <w:t xml:space="preserve">/t sinter produced) </w:t>
      </w:r>
      <w:r w:rsidRPr="002462F0">
        <w:rPr>
          <w:lang w:eastAsia="fr-FR"/>
        </w:rPr>
        <w:t>and pellets production</w:t>
      </w:r>
      <w:r w:rsidR="00A5102E" w:rsidRPr="002462F0">
        <w:rPr>
          <w:lang w:eastAsia="fr-FR"/>
        </w:rPr>
        <w:t xml:space="preserve"> (0</w:t>
      </w:r>
      <w:r w:rsidR="003D5B49">
        <w:rPr>
          <w:lang w:eastAsia="fr-FR"/>
        </w:rPr>
        <w:t>.</w:t>
      </w:r>
      <w:r w:rsidR="00A5102E" w:rsidRPr="002462F0">
        <w:rPr>
          <w:lang w:eastAsia="fr-FR"/>
        </w:rPr>
        <w:t>03 t CO</w:t>
      </w:r>
      <w:r w:rsidR="00A5102E" w:rsidRPr="002462F0">
        <w:rPr>
          <w:vertAlign w:val="subscript"/>
          <w:lang w:eastAsia="fr-FR"/>
        </w:rPr>
        <w:t>2</w:t>
      </w:r>
      <w:r w:rsidR="00A5102E" w:rsidRPr="002462F0">
        <w:rPr>
          <w:lang w:eastAsia="fr-FR"/>
        </w:rPr>
        <w:t>/t pellet produced).</w:t>
      </w:r>
    </w:p>
    <w:p w14:paraId="70CA3C69" w14:textId="5EE1D46F" w:rsidR="00A5102E" w:rsidRPr="002462F0" w:rsidRDefault="00A5102E" w:rsidP="00577E61">
      <w:pPr>
        <w:pStyle w:val="BodyText"/>
        <w:rPr>
          <w:lang w:eastAsia="fr-FR"/>
        </w:rPr>
      </w:pPr>
      <w:r w:rsidRPr="002462F0">
        <w:rPr>
          <w:lang w:eastAsia="fr-FR"/>
        </w:rPr>
        <w:lastRenderedPageBreak/>
        <w:t>Default CH</w:t>
      </w:r>
      <w:r w:rsidRPr="002462F0">
        <w:rPr>
          <w:vertAlign w:val="subscript"/>
          <w:lang w:eastAsia="fr-FR"/>
        </w:rPr>
        <w:t>4</w:t>
      </w:r>
      <w:r w:rsidRPr="002462F0">
        <w:rPr>
          <w:lang w:eastAsia="fr-FR"/>
        </w:rPr>
        <w:t xml:space="preserve"> emission factor</w:t>
      </w:r>
      <w:r w:rsidR="00826E82">
        <w:rPr>
          <w:lang w:eastAsia="fr-FR"/>
        </w:rPr>
        <w:t xml:space="preserve"> from the 2006 IPCC Guidelines </w:t>
      </w:r>
      <w:r w:rsidR="00826E82">
        <w:rPr>
          <w:lang w:eastAsia="fr-FR"/>
        </w:rPr>
        <w:fldChar w:fldCharType="begin"/>
      </w:r>
      <w:r w:rsidR="00826E82">
        <w:rPr>
          <w:lang w:eastAsia="fr-FR"/>
        </w:rPr>
        <w:instrText xml:space="preserve"> REF _Ref496788560 \r \h </w:instrText>
      </w:r>
      <w:r w:rsidR="00826E82">
        <w:rPr>
          <w:lang w:eastAsia="fr-FR"/>
        </w:rPr>
      </w:r>
      <w:r w:rsidR="00826E82">
        <w:rPr>
          <w:lang w:eastAsia="fr-FR"/>
        </w:rPr>
        <w:fldChar w:fldCharType="separate"/>
      </w:r>
      <w:r w:rsidR="00F14C78">
        <w:rPr>
          <w:lang w:eastAsia="fr-FR"/>
        </w:rPr>
        <w:t>[I22]</w:t>
      </w:r>
      <w:r w:rsidR="00826E82">
        <w:rPr>
          <w:lang w:eastAsia="fr-FR"/>
        </w:rPr>
        <w:fldChar w:fldCharType="end"/>
      </w:r>
      <w:r w:rsidRPr="002462F0">
        <w:rPr>
          <w:lang w:eastAsia="fr-FR"/>
        </w:rPr>
        <w:t xml:space="preserve"> is used for the sinter production (0</w:t>
      </w:r>
      <w:r w:rsidR="003D5B49">
        <w:rPr>
          <w:lang w:eastAsia="fr-FR"/>
        </w:rPr>
        <w:t>.</w:t>
      </w:r>
      <w:r w:rsidRPr="002462F0">
        <w:rPr>
          <w:lang w:eastAsia="fr-FR"/>
        </w:rPr>
        <w:t>07 kg CO</w:t>
      </w:r>
      <w:r w:rsidRPr="002462F0">
        <w:rPr>
          <w:vertAlign w:val="subscript"/>
          <w:lang w:eastAsia="fr-FR"/>
        </w:rPr>
        <w:t>2</w:t>
      </w:r>
      <w:r w:rsidRPr="002462F0">
        <w:rPr>
          <w:lang w:eastAsia="fr-FR"/>
        </w:rPr>
        <w:t>/t sinter produced).</w:t>
      </w:r>
    </w:p>
    <w:p w14:paraId="197C71A5" w14:textId="0BDEE459" w:rsidR="00652A0B" w:rsidRPr="009C1CF3" w:rsidRDefault="00652A0B" w:rsidP="009C1CF3">
      <w:pPr>
        <w:pStyle w:val="Heading3"/>
      </w:pPr>
      <w:bookmarkStart w:id="470" w:name="_Toc182327836"/>
      <w:bookmarkStart w:id="471" w:name="_Toc184808222"/>
      <w:r w:rsidRPr="009C1CF3">
        <w:rPr>
          <w:rStyle w:val="Heading2Char"/>
          <w:b/>
          <w:sz w:val="28"/>
        </w:rPr>
        <w:t>Magnesium production (</w:t>
      </w:r>
      <w:r w:rsidR="000F6001" w:rsidRPr="009C1CF3">
        <w:rPr>
          <w:rStyle w:val="Heading2Char"/>
          <w:b/>
          <w:sz w:val="28"/>
        </w:rPr>
        <w:t>CRT</w:t>
      </w:r>
      <w:r w:rsidRPr="009C1CF3">
        <w:rPr>
          <w:rStyle w:val="Heading2Char"/>
          <w:b/>
          <w:sz w:val="28"/>
        </w:rPr>
        <w:t xml:space="preserve"> 2C4)</w:t>
      </w:r>
      <w:bookmarkEnd w:id="470"/>
      <w:bookmarkEnd w:id="471"/>
    </w:p>
    <w:p w14:paraId="56209730" w14:textId="77777777" w:rsidR="00652A0B" w:rsidRPr="002462F0" w:rsidRDefault="00652A0B" w:rsidP="00652A0B">
      <w:pPr>
        <w:pStyle w:val="Heading4"/>
        <w:rPr>
          <w:lang w:eastAsia="fr-FR"/>
        </w:rPr>
      </w:pPr>
      <w:bookmarkStart w:id="472" w:name="_Toc182327837"/>
      <w:r w:rsidRPr="002462F0">
        <w:rPr>
          <w:lang w:eastAsia="fr-FR"/>
        </w:rPr>
        <w:t>Category description</w:t>
      </w:r>
      <w:bookmarkEnd w:id="472"/>
    </w:p>
    <w:p w14:paraId="46297FE6" w14:textId="3CA48C0A" w:rsidR="00652A0B" w:rsidRPr="002462F0" w:rsidRDefault="00652A0B" w:rsidP="006C3100">
      <w:pPr>
        <w:pStyle w:val="BodyText"/>
        <w:rPr>
          <w:lang w:eastAsia="fr-FR"/>
        </w:rPr>
      </w:pPr>
      <w:r w:rsidRPr="002462F0">
        <w:rPr>
          <w:lang w:eastAsia="fr-FR"/>
        </w:rPr>
        <w:t>This category refers to process emissions occurring in both primary and secondary magnesium production</w:t>
      </w:r>
      <w:r w:rsidR="00935BF6">
        <w:rPr>
          <w:lang w:eastAsia="fr-FR"/>
        </w:rPr>
        <w:t>s</w:t>
      </w:r>
      <w:r w:rsidRPr="002462F0">
        <w:rPr>
          <w:lang w:eastAsia="fr-FR"/>
        </w:rPr>
        <w:t>. During the primary production manufacturing, carbonated raw materials such as dolomite or magnesite are used and release CO</w:t>
      </w:r>
      <w:r w:rsidRPr="002462F0">
        <w:rPr>
          <w:vertAlign w:val="subscript"/>
          <w:lang w:eastAsia="fr-FR"/>
        </w:rPr>
        <w:t>2</w:t>
      </w:r>
      <w:r w:rsidRPr="002462F0">
        <w:rPr>
          <w:lang w:eastAsia="fr-FR"/>
        </w:rPr>
        <w:t xml:space="preserve"> during the calcination process. The secondary production includes recovery and recycling of magnesium. Magnesium casting process may involve primary and secondary magnesium. As molten magnesium burns in presence of oxygen, high GWP gaseous components such as SF</w:t>
      </w:r>
      <w:r w:rsidRPr="002462F0">
        <w:rPr>
          <w:vertAlign w:val="subscript"/>
          <w:lang w:eastAsia="fr-FR"/>
        </w:rPr>
        <w:t>6</w:t>
      </w:r>
      <w:r w:rsidRPr="002462F0">
        <w:rPr>
          <w:lang w:eastAsia="fr-FR"/>
        </w:rPr>
        <w:t xml:space="preserve"> or HFC are used in required protecti</w:t>
      </w:r>
      <w:r w:rsidR="00FF0A76">
        <w:rPr>
          <w:lang w:eastAsia="fr-FR"/>
        </w:rPr>
        <w:t xml:space="preserve">on systems to prevent burning. </w:t>
      </w:r>
    </w:p>
    <w:p w14:paraId="411C858D" w14:textId="0C98850B" w:rsidR="00652A0B" w:rsidRDefault="00652A0B" w:rsidP="006C3100">
      <w:pPr>
        <w:pStyle w:val="BodyText"/>
        <w:rPr>
          <w:lang w:eastAsia="fr-FR"/>
        </w:rPr>
      </w:pPr>
      <w:r w:rsidRPr="002462F0">
        <w:rPr>
          <w:lang w:eastAsia="fr-FR"/>
        </w:rPr>
        <w:t>In</w:t>
      </w:r>
      <w:r w:rsidR="00770D1F">
        <w:rPr>
          <w:lang w:eastAsia="fr-FR"/>
        </w:rPr>
        <w:t xml:space="preserve"> the Republic of</w:t>
      </w:r>
      <w:r w:rsidRPr="002462F0">
        <w:rPr>
          <w:lang w:eastAsia="fr-FR"/>
        </w:rPr>
        <w:t xml:space="preserve"> Serbia, primary magnesium is produced from dolomite casting. CO</w:t>
      </w:r>
      <w:r w:rsidRPr="002462F0">
        <w:rPr>
          <w:vertAlign w:val="subscript"/>
          <w:lang w:eastAsia="fr-FR"/>
        </w:rPr>
        <w:t>2</w:t>
      </w:r>
      <w:r w:rsidRPr="002462F0">
        <w:rPr>
          <w:lang w:eastAsia="fr-FR"/>
        </w:rPr>
        <w:t xml:space="preserve"> and F-gases emissions are expected.</w:t>
      </w:r>
    </w:p>
    <w:p w14:paraId="1B03B0EE" w14:textId="201B9849" w:rsidR="001E0C55" w:rsidRPr="002462F0" w:rsidRDefault="001E0C55" w:rsidP="006C3100">
      <w:pPr>
        <w:pStyle w:val="BodyText"/>
        <w:rPr>
          <w:lang w:eastAsia="fr-FR"/>
        </w:rPr>
      </w:pPr>
      <w:r>
        <w:rPr>
          <w:lang w:eastAsia="fr-FR"/>
        </w:rPr>
        <w:t xml:space="preserve">In the following graph, the GHG emissions from this source are displayed. </w:t>
      </w:r>
      <w:r w:rsidR="006C6A22">
        <w:rPr>
          <w:lang w:eastAsia="fr-FR"/>
        </w:rPr>
        <w:t xml:space="preserve">Many variations are observed </w:t>
      </w:r>
      <w:r w:rsidR="00532DB6">
        <w:rPr>
          <w:lang w:eastAsia="fr-FR"/>
        </w:rPr>
        <w:t xml:space="preserve">since </w:t>
      </w:r>
      <w:r w:rsidR="006F7CEE">
        <w:rPr>
          <w:lang w:eastAsia="fr-FR"/>
        </w:rPr>
        <w:t>1990</w:t>
      </w:r>
      <w:r w:rsidR="00532DB6">
        <w:rPr>
          <w:lang w:eastAsia="fr-FR"/>
        </w:rPr>
        <w:t>,</w:t>
      </w:r>
      <w:r w:rsidR="006F7CEE">
        <w:rPr>
          <w:lang w:eastAsia="fr-FR"/>
        </w:rPr>
        <w:t xml:space="preserve"> </w:t>
      </w:r>
      <w:r w:rsidR="00174315">
        <w:rPr>
          <w:lang w:eastAsia="fr-FR"/>
        </w:rPr>
        <w:t xml:space="preserve">being the highest </w:t>
      </w:r>
      <w:r w:rsidR="00532DB6">
        <w:rPr>
          <w:lang w:eastAsia="fr-FR"/>
        </w:rPr>
        <w:t xml:space="preserve">emission level </w:t>
      </w:r>
      <w:r w:rsidR="00174315">
        <w:rPr>
          <w:lang w:eastAsia="fr-FR"/>
        </w:rPr>
        <w:t>for the studied period</w:t>
      </w:r>
      <w:r w:rsidR="00532DB6">
        <w:rPr>
          <w:lang w:eastAsia="fr-FR"/>
        </w:rPr>
        <w:t xml:space="preserve">. </w:t>
      </w:r>
      <w:r w:rsidR="003A4134">
        <w:rPr>
          <w:lang w:eastAsia="fr-FR"/>
        </w:rPr>
        <w:t xml:space="preserve">After </w:t>
      </w:r>
      <w:r w:rsidR="00250A0C">
        <w:rPr>
          <w:lang w:eastAsia="fr-FR"/>
        </w:rPr>
        <w:t xml:space="preserve">a rapid decline between </w:t>
      </w:r>
      <w:r w:rsidR="000D2C10">
        <w:rPr>
          <w:lang w:eastAsia="fr-FR"/>
        </w:rPr>
        <w:t>1990 and 1993, where the activity stopped for two years (1993-1994</w:t>
      </w:r>
      <w:r w:rsidR="00B9715F">
        <w:rPr>
          <w:lang w:eastAsia="fr-FR"/>
        </w:rPr>
        <w:t xml:space="preserve">) </w:t>
      </w:r>
      <w:r w:rsidR="00071592">
        <w:rPr>
          <w:lang w:eastAsia="fr-FR"/>
        </w:rPr>
        <w:t xml:space="preserve">during the </w:t>
      </w:r>
      <w:r w:rsidR="004341EC">
        <w:rPr>
          <w:lang w:eastAsia="fr-FR"/>
        </w:rPr>
        <w:t>economic downturn</w:t>
      </w:r>
      <w:r w:rsidR="00071592">
        <w:rPr>
          <w:lang w:eastAsia="fr-FR"/>
        </w:rPr>
        <w:t xml:space="preserve">, the emissions recovered until 1999 where a </w:t>
      </w:r>
      <w:r w:rsidR="004341EC">
        <w:rPr>
          <w:lang w:eastAsia="fr-FR"/>
        </w:rPr>
        <w:t>decrease</w:t>
      </w:r>
      <w:r w:rsidR="00071592">
        <w:rPr>
          <w:lang w:eastAsia="fr-FR"/>
        </w:rPr>
        <w:t xml:space="preserve"> is observed due to the NATO bombing. </w:t>
      </w:r>
      <w:r w:rsidR="00C37650">
        <w:rPr>
          <w:lang w:eastAsia="fr-FR"/>
        </w:rPr>
        <w:t>Th</w:t>
      </w:r>
      <w:r w:rsidR="009F6243">
        <w:rPr>
          <w:lang w:eastAsia="fr-FR"/>
        </w:rPr>
        <w:t xml:space="preserve">e </w:t>
      </w:r>
      <w:r w:rsidR="00BA183A">
        <w:rPr>
          <w:lang w:eastAsia="fr-FR"/>
        </w:rPr>
        <w:t xml:space="preserve">GHG emissions are </w:t>
      </w:r>
      <w:r w:rsidR="000A2908">
        <w:rPr>
          <w:lang w:eastAsia="fr-FR"/>
        </w:rPr>
        <w:t xml:space="preserve">really marginal or even </w:t>
      </w:r>
      <w:r w:rsidR="004341EC">
        <w:rPr>
          <w:lang w:eastAsia="fr-FR"/>
        </w:rPr>
        <w:t>not occurring</w:t>
      </w:r>
      <w:r w:rsidR="000A2908">
        <w:rPr>
          <w:lang w:eastAsia="fr-FR"/>
        </w:rPr>
        <w:t xml:space="preserve"> for the period 2000-2006, </w:t>
      </w:r>
      <w:r w:rsidR="00220E7D">
        <w:rPr>
          <w:lang w:eastAsia="fr-FR"/>
        </w:rPr>
        <w:t>rather stable between 2007-</w:t>
      </w:r>
      <w:r w:rsidR="005D4CB5">
        <w:rPr>
          <w:lang w:eastAsia="fr-FR"/>
        </w:rPr>
        <w:t xml:space="preserve">2014, but at rather low levels </w:t>
      </w:r>
      <w:r w:rsidR="00DC5374">
        <w:rPr>
          <w:lang w:eastAsia="fr-FR"/>
        </w:rPr>
        <w:t>compared with the pre-crisis</w:t>
      </w:r>
      <w:r w:rsidR="00F34805">
        <w:rPr>
          <w:lang w:eastAsia="fr-FR"/>
        </w:rPr>
        <w:t xml:space="preserve"> levels</w:t>
      </w:r>
      <w:r w:rsidR="00DC5374">
        <w:rPr>
          <w:lang w:eastAsia="fr-FR"/>
        </w:rPr>
        <w:t xml:space="preserve"> </w:t>
      </w:r>
      <w:r w:rsidR="0035068A">
        <w:rPr>
          <w:lang w:eastAsia="fr-FR"/>
        </w:rPr>
        <w:t>(</w:t>
      </w:r>
      <w:r w:rsidR="00BD7B16">
        <w:rPr>
          <w:lang w:eastAsia="fr-FR"/>
        </w:rPr>
        <w:t xml:space="preserve">a ratio </w:t>
      </w:r>
      <w:r w:rsidR="0035068A">
        <w:rPr>
          <w:lang w:eastAsia="fr-FR"/>
        </w:rPr>
        <w:t>between half and a quarter</w:t>
      </w:r>
      <w:r w:rsidR="00F34805">
        <w:rPr>
          <w:lang w:eastAsia="fr-FR"/>
        </w:rPr>
        <w:t xml:space="preserve">). </w:t>
      </w:r>
      <w:r w:rsidR="00BD7B16">
        <w:rPr>
          <w:lang w:eastAsia="fr-FR"/>
        </w:rPr>
        <w:t xml:space="preserve">After a recovery of the GHG emission from this subsector between 2015 and </w:t>
      </w:r>
      <w:r w:rsidR="000D7267">
        <w:rPr>
          <w:lang w:eastAsia="fr-FR"/>
        </w:rPr>
        <w:t xml:space="preserve">2019, </w:t>
      </w:r>
      <w:r w:rsidR="00F3013D">
        <w:rPr>
          <w:lang w:eastAsia="fr-FR"/>
        </w:rPr>
        <w:t xml:space="preserve">a drop is observed in 2020 related to </w:t>
      </w:r>
      <w:r w:rsidR="008F14FB">
        <w:rPr>
          <w:lang w:eastAsia="fr-FR"/>
        </w:rPr>
        <w:t xml:space="preserve">the pandemic. Since then, the activity, and hence emissions, from this subsector, remain rather low and, in 2022, </w:t>
      </w:r>
      <w:r w:rsidR="004004DF">
        <w:rPr>
          <w:lang w:eastAsia="fr-FR"/>
        </w:rPr>
        <w:t xml:space="preserve">the GHG emissions from magnesium processes are </w:t>
      </w:r>
      <w:r w:rsidR="006728D0">
        <w:rPr>
          <w:lang w:eastAsia="fr-FR"/>
        </w:rPr>
        <w:t xml:space="preserve">69% lower than in 1990. </w:t>
      </w:r>
    </w:p>
    <w:p w14:paraId="752D2827" w14:textId="4DFB77FB" w:rsidR="00652A0B" w:rsidRPr="002462F0" w:rsidRDefault="00740A14" w:rsidP="004341EC">
      <w:pPr>
        <w:autoSpaceDE w:val="0"/>
        <w:autoSpaceDN w:val="0"/>
        <w:adjustRightInd w:val="0"/>
        <w:spacing w:after="0" w:line="240" w:lineRule="auto"/>
        <w:jc w:val="left"/>
        <w:rPr>
          <w:sz w:val="24"/>
          <w:szCs w:val="24"/>
          <w:lang w:eastAsia="fr-FR"/>
        </w:rPr>
      </w:pPr>
      <w:r>
        <w:rPr>
          <w:noProof/>
          <w:sz w:val="24"/>
          <w:szCs w:val="24"/>
          <w:lang w:val="en-US"/>
        </w:rPr>
        <w:drawing>
          <wp:inline distT="0" distB="0" distL="0" distR="0" wp14:anchorId="0BCC2CA1" wp14:editId="458DF45D">
            <wp:extent cx="5760000" cy="1753712"/>
            <wp:effectExtent l="0" t="0" r="0" b="0"/>
            <wp:docPr id="1640520247"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1179F43F" w14:textId="77777777" w:rsidR="004341EC" w:rsidRPr="002462F0" w:rsidRDefault="004341EC" w:rsidP="004341EC">
      <w:pPr>
        <w:pStyle w:val="Caption"/>
        <w:keepNext/>
        <w:spacing w:before="0" w:after="0"/>
        <w:jc w:val="left"/>
      </w:pPr>
      <w:bookmarkStart w:id="473" w:name="_Toc184808452"/>
      <w:r w:rsidRPr="002462F0">
        <w:t xml:space="preserve">Figure </w:t>
      </w:r>
      <w:r w:rsidRPr="002462F0">
        <w:fldChar w:fldCharType="begin"/>
      </w:r>
      <w:r w:rsidRPr="002462F0">
        <w:instrText xml:space="preserve"> SEQ Figure \* ARABIC </w:instrText>
      </w:r>
      <w:r w:rsidRPr="002462F0">
        <w:fldChar w:fldCharType="separate"/>
      </w:r>
      <w:r>
        <w:rPr>
          <w:noProof/>
        </w:rPr>
        <w:t>65</w:t>
      </w:r>
      <w:r w:rsidRPr="002462F0">
        <w:fldChar w:fldCharType="end"/>
      </w:r>
      <w:r w:rsidRPr="002462F0">
        <w:rPr>
          <w:noProof/>
        </w:rPr>
        <w:t xml:space="preserve"> : GHG emissions for magnesium production</w:t>
      </w:r>
      <w:r>
        <w:rPr>
          <w:noProof/>
        </w:rPr>
        <w:t>, for the period 1990-2022</w:t>
      </w:r>
      <w:r w:rsidRPr="002462F0">
        <w:rPr>
          <w:noProof/>
        </w:rPr>
        <w:t xml:space="preserve"> (</w:t>
      </w:r>
      <w:r>
        <w:rPr>
          <w:noProof/>
        </w:rPr>
        <w:t xml:space="preserve">in </w:t>
      </w:r>
      <w:r w:rsidRPr="002462F0">
        <w:rPr>
          <w:noProof/>
        </w:rPr>
        <w:t>kt CO</w:t>
      </w:r>
      <w:r w:rsidRPr="002462F0">
        <w:rPr>
          <w:noProof/>
          <w:vertAlign w:val="subscript"/>
        </w:rPr>
        <w:t>2</w:t>
      </w:r>
      <w:r w:rsidRPr="002462F0">
        <w:rPr>
          <w:noProof/>
        </w:rPr>
        <w:t>e)</w:t>
      </w:r>
      <w:bookmarkEnd w:id="473"/>
    </w:p>
    <w:p w14:paraId="6BDD6FCF" w14:textId="141399E9" w:rsidR="00652A0B" w:rsidRPr="002462F0" w:rsidRDefault="00652A0B" w:rsidP="004341EC">
      <w:pPr>
        <w:pStyle w:val="BodyText"/>
        <w:spacing w:before="240"/>
        <w:rPr>
          <w:lang w:eastAsia="fr-FR"/>
        </w:rPr>
      </w:pPr>
      <w:r w:rsidRPr="002462F0">
        <w:rPr>
          <w:lang w:val="en-US"/>
        </w:rPr>
        <w:t>In 20</w:t>
      </w:r>
      <w:r w:rsidR="00E3652D">
        <w:rPr>
          <w:lang w:val="en-US"/>
        </w:rPr>
        <w:t>22</w:t>
      </w:r>
      <w:r w:rsidRPr="002462F0">
        <w:rPr>
          <w:lang w:val="en-US"/>
        </w:rPr>
        <w:t xml:space="preserve">, the </w:t>
      </w:r>
      <w:r w:rsidR="00E3652D">
        <w:rPr>
          <w:lang w:val="en-US"/>
        </w:rPr>
        <w:t xml:space="preserve">subsector </w:t>
      </w:r>
      <w:r w:rsidRPr="002462F0">
        <w:rPr>
          <w:lang w:val="en-US"/>
        </w:rPr>
        <w:t xml:space="preserve">magnesium production is </w:t>
      </w:r>
      <w:r w:rsidR="00E3652D">
        <w:rPr>
          <w:lang w:val="en-US"/>
        </w:rPr>
        <w:t xml:space="preserve">neither </w:t>
      </w:r>
      <w:r w:rsidRPr="002462F0">
        <w:rPr>
          <w:lang w:val="en-US"/>
        </w:rPr>
        <w:t xml:space="preserve">a key category in terms of emissions level </w:t>
      </w:r>
      <w:r w:rsidR="00E3652D">
        <w:rPr>
          <w:lang w:val="en-US"/>
        </w:rPr>
        <w:t xml:space="preserve">nor </w:t>
      </w:r>
      <w:r w:rsidRPr="002462F0">
        <w:rPr>
          <w:lang w:val="en-US"/>
        </w:rPr>
        <w:t>in terms of emissions trend for GHG emissions</w:t>
      </w:r>
      <w:r w:rsidR="00E3652D">
        <w:rPr>
          <w:lang w:val="en-US"/>
        </w:rPr>
        <w:t>,</w:t>
      </w:r>
      <w:r w:rsidRPr="002462F0">
        <w:rPr>
          <w:lang w:val="en-US"/>
        </w:rPr>
        <w:t xml:space="preserve"> in Serbia.</w:t>
      </w:r>
      <w:r w:rsidR="001E0C55">
        <w:rPr>
          <w:lang w:val="en-US"/>
        </w:rPr>
        <w:t xml:space="preserve"> </w:t>
      </w:r>
    </w:p>
    <w:p w14:paraId="291743A6" w14:textId="77777777" w:rsidR="00652A0B" w:rsidRPr="002462F0" w:rsidRDefault="00652A0B" w:rsidP="00652A0B">
      <w:pPr>
        <w:pStyle w:val="Heading4"/>
        <w:rPr>
          <w:lang w:eastAsia="fr-FR"/>
        </w:rPr>
      </w:pPr>
      <w:r w:rsidRPr="002462F0">
        <w:rPr>
          <w:lang w:eastAsia="fr-FR"/>
        </w:rPr>
        <w:t xml:space="preserve"> </w:t>
      </w:r>
      <w:bookmarkStart w:id="474" w:name="_Toc182327838"/>
      <w:r w:rsidRPr="002462F0">
        <w:rPr>
          <w:lang w:eastAsia="fr-FR"/>
        </w:rPr>
        <w:t>Methodological issues</w:t>
      </w:r>
      <w:bookmarkEnd w:id="474"/>
      <w:r w:rsidRPr="002462F0">
        <w:rPr>
          <w:lang w:eastAsia="fr-FR"/>
        </w:rPr>
        <w:t xml:space="preserve"> </w:t>
      </w:r>
    </w:p>
    <w:p w14:paraId="7C8AFD0F" w14:textId="5590FD67" w:rsidR="00652A0B" w:rsidRPr="002462F0" w:rsidRDefault="00652A0B" w:rsidP="006C3100">
      <w:pPr>
        <w:pStyle w:val="BodyText"/>
        <w:rPr>
          <w:lang w:eastAsia="fr-FR"/>
        </w:rPr>
      </w:pPr>
      <w:r w:rsidRPr="002462F0">
        <w:rPr>
          <w:lang w:eastAsia="fr-FR"/>
        </w:rPr>
        <w:t>The methodology used is Tier 1. CO</w:t>
      </w:r>
      <w:r w:rsidRPr="002462F0">
        <w:rPr>
          <w:vertAlign w:val="subscript"/>
          <w:lang w:eastAsia="fr-FR"/>
        </w:rPr>
        <w:t>2</w:t>
      </w:r>
      <w:r w:rsidRPr="002462F0">
        <w:rPr>
          <w:lang w:eastAsia="fr-FR"/>
        </w:rPr>
        <w:t xml:space="preserve"> and SF</w:t>
      </w:r>
      <w:r w:rsidRPr="002462F0">
        <w:rPr>
          <w:vertAlign w:val="subscript"/>
          <w:lang w:eastAsia="fr-FR"/>
        </w:rPr>
        <w:t>6</w:t>
      </w:r>
      <w:r w:rsidRPr="002462F0">
        <w:rPr>
          <w:lang w:eastAsia="fr-FR"/>
        </w:rPr>
        <w:t xml:space="preserve"> emission estimate</w:t>
      </w:r>
      <w:r w:rsidR="00F539D6">
        <w:rPr>
          <w:lang w:eastAsia="fr-FR"/>
        </w:rPr>
        <w:t>s</w:t>
      </w:r>
      <w:r w:rsidRPr="002462F0">
        <w:rPr>
          <w:lang w:eastAsia="fr-FR"/>
        </w:rPr>
        <w:t xml:space="preserve"> </w:t>
      </w:r>
      <w:r w:rsidR="00440E68">
        <w:rPr>
          <w:lang w:eastAsia="fr-FR"/>
        </w:rPr>
        <w:t>are sourced</w:t>
      </w:r>
      <w:r w:rsidRPr="002462F0">
        <w:rPr>
          <w:lang w:eastAsia="fr-FR"/>
        </w:rPr>
        <w:t xml:space="preserve"> respectively from Equation 4.28 and 4.30 of magnesium production sect</w:t>
      </w:r>
      <w:r w:rsidR="00826E82">
        <w:rPr>
          <w:lang w:eastAsia="fr-FR"/>
        </w:rPr>
        <w:t xml:space="preserve">ion in 2006 IPCC Guidelines </w:t>
      </w:r>
      <w:r w:rsidR="00826E82">
        <w:rPr>
          <w:lang w:eastAsia="fr-FR"/>
        </w:rPr>
        <w:fldChar w:fldCharType="begin"/>
      </w:r>
      <w:r w:rsidR="00826E82">
        <w:rPr>
          <w:lang w:eastAsia="fr-FR"/>
        </w:rPr>
        <w:instrText xml:space="preserve"> REF _Ref496788607 \r \h </w:instrText>
      </w:r>
      <w:r w:rsidR="00826E82">
        <w:rPr>
          <w:lang w:eastAsia="fr-FR"/>
        </w:rPr>
      </w:r>
      <w:r w:rsidR="00826E82">
        <w:rPr>
          <w:lang w:eastAsia="fr-FR"/>
        </w:rPr>
        <w:fldChar w:fldCharType="separate"/>
      </w:r>
      <w:r w:rsidR="00F14C78">
        <w:rPr>
          <w:lang w:eastAsia="fr-FR"/>
        </w:rPr>
        <w:t>[I25]</w:t>
      </w:r>
      <w:r w:rsidR="00826E82">
        <w:rPr>
          <w:lang w:eastAsia="fr-FR"/>
        </w:rPr>
        <w:fldChar w:fldCharType="end"/>
      </w:r>
      <w:r w:rsidRPr="002462F0">
        <w:rPr>
          <w:lang w:eastAsia="fr-FR"/>
        </w:rPr>
        <w:t>. HFC emissions are not estimated since 2006 IPCC Guidelines do not provide Tier 1 or Tier 2 methodologies nor default emission factors, unless emissions can occur.</w:t>
      </w:r>
    </w:p>
    <w:p w14:paraId="7B1B2CC5" w14:textId="245719B4" w:rsidR="00652A0B" w:rsidRPr="002462F0" w:rsidRDefault="00652A0B" w:rsidP="006C3100">
      <w:pPr>
        <w:pStyle w:val="BodyText"/>
        <w:rPr>
          <w:lang w:eastAsia="fr-FR"/>
        </w:rPr>
      </w:pPr>
      <w:r w:rsidRPr="002462F0">
        <w:rPr>
          <w:lang w:eastAsia="fr-FR"/>
        </w:rPr>
        <w:t xml:space="preserve">Activity data used for the calculation </w:t>
      </w:r>
      <w:r w:rsidR="00F539D6">
        <w:rPr>
          <w:lang w:eastAsia="fr-FR"/>
        </w:rPr>
        <w:t>are</w:t>
      </w:r>
      <w:r w:rsidR="00F539D6" w:rsidRPr="002462F0">
        <w:rPr>
          <w:lang w:eastAsia="fr-FR"/>
        </w:rPr>
        <w:t xml:space="preserve"> </w:t>
      </w:r>
      <w:r w:rsidRPr="002462F0">
        <w:rPr>
          <w:lang w:eastAsia="fr-FR"/>
        </w:rPr>
        <w:t>national magnesium p</w:t>
      </w:r>
      <w:r w:rsidR="00826E82">
        <w:rPr>
          <w:lang w:eastAsia="fr-FR"/>
        </w:rPr>
        <w:t>roduction</w:t>
      </w:r>
      <w:r w:rsidR="00F539D6">
        <w:rPr>
          <w:lang w:eastAsia="fr-FR"/>
        </w:rPr>
        <w:t>s</w:t>
      </w:r>
      <w:r w:rsidR="00826E82">
        <w:rPr>
          <w:lang w:eastAsia="fr-FR"/>
        </w:rPr>
        <w:t xml:space="preserve"> and </w:t>
      </w:r>
      <w:r w:rsidR="00440E68">
        <w:rPr>
          <w:lang w:eastAsia="fr-FR"/>
        </w:rPr>
        <w:t>are sourced</w:t>
      </w:r>
      <w:r w:rsidR="00826E82">
        <w:rPr>
          <w:lang w:eastAsia="fr-FR"/>
        </w:rPr>
        <w:t xml:space="preserve"> from SORS </w:t>
      </w:r>
      <w:r w:rsidR="00826E82">
        <w:rPr>
          <w:lang w:eastAsia="fr-FR"/>
        </w:rPr>
        <w:fldChar w:fldCharType="begin"/>
      </w:r>
      <w:r w:rsidR="00826E82">
        <w:rPr>
          <w:lang w:eastAsia="fr-FR"/>
        </w:rPr>
        <w:instrText xml:space="preserve"> REF _Ref496788199 \r \h </w:instrText>
      </w:r>
      <w:r w:rsidR="00826E82">
        <w:rPr>
          <w:lang w:eastAsia="fr-FR"/>
        </w:rPr>
      </w:r>
      <w:r w:rsidR="00826E82">
        <w:rPr>
          <w:lang w:eastAsia="fr-FR"/>
        </w:rPr>
        <w:fldChar w:fldCharType="separate"/>
      </w:r>
      <w:r w:rsidR="00F14C78">
        <w:rPr>
          <w:lang w:eastAsia="fr-FR"/>
        </w:rPr>
        <w:t>[I2]</w:t>
      </w:r>
      <w:r w:rsidR="00826E82">
        <w:rPr>
          <w:lang w:eastAsia="fr-FR"/>
        </w:rPr>
        <w:fldChar w:fldCharType="end"/>
      </w:r>
      <w:r w:rsidRPr="002462F0">
        <w:rPr>
          <w:lang w:eastAsia="fr-FR"/>
        </w:rPr>
        <w:t xml:space="preserve"> for the time series.</w:t>
      </w:r>
    </w:p>
    <w:p w14:paraId="5C917960" w14:textId="593C3037" w:rsidR="00652A0B" w:rsidRPr="002462F0" w:rsidRDefault="00652A0B" w:rsidP="006C3100">
      <w:pPr>
        <w:pStyle w:val="BodyText"/>
        <w:rPr>
          <w:sz w:val="24"/>
          <w:szCs w:val="24"/>
          <w:lang w:eastAsia="fr-FR"/>
        </w:rPr>
      </w:pPr>
      <w:r w:rsidRPr="002462F0">
        <w:rPr>
          <w:lang w:eastAsia="fr-FR"/>
        </w:rPr>
        <w:lastRenderedPageBreak/>
        <w:t>Default emission factor</w:t>
      </w:r>
      <w:r w:rsidR="00F539D6">
        <w:rPr>
          <w:lang w:eastAsia="fr-FR"/>
        </w:rPr>
        <w:t>s</w:t>
      </w:r>
      <w:r w:rsidRPr="002462F0">
        <w:rPr>
          <w:lang w:eastAsia="fr-FR"/>
        </w:rPr>
        <w:t xml:space="preserve"> for CO</w:t>
      </w:r>
      <w:r w:rsidRPr="002462F0">
        <w:rPr>
          <w:vertAlign w:val="subscript"/>
          <w:lang w:eastAsia="fr-FR"/>
        </w:rPr>
        <w:t>2</w:t>
      </w:r>
      <w:r w:rsidRPr="002462F0">
        <w:rPr>
          <w:lang w:eastAsia="fr-FR"/>
        </w:rPr>
        <w:t xml:space="preserve"> and SF</w:t>
      </w:r>
      <w:r w:rsidRPr="002462F0">
        <w:rPr>
          <w:vertAlign w:val="subscript"/>
          <w:lang w:eastAsia="fr-FR"/>
        </w:rPr>
        <w:t>6</w:t>
      </w:r>
      <w:r w:rsidRPr="002462F0">
        <w:rPr>
          <w:lang w:eastAsia="fr-FR"/>
        </w:rPr>
        <w:t xml:space="preserve"> are constant on the time series and </w:t>
      </w:r>
      <w:r w:rsidR="00440E68">
        <w:rPr>
          <w:lang w:eastAsia="fr-FR"/>
        </w:rPr>
        <w:t>are sourced</w:t>
      </w:r>
      <w:r w:rsidRPr="002462F0">
        <w:rPr>
          <w:lang w:eastAsia="fr-FR"/>
        </w:rPr>
        <w:t xml:space="preserve"> from 2006 IPCC Guidelines. Recommended applied values are respectively 5</w:t>
      </w:r>
      <w:r w:rsidR="00F539D6">
        <w:rPr>
          <w:lang w:eastAsia="fr-FR"/>
        </w:rPr>
        <w:t>.</w:t>
      </w:r>
      <w:r w:rsidRPr="002462F0">
        <w:rPr>
          <w:lang w:eastAsia="fr-FR"/>
        </w:rPr>
        <w:t>13 t CO</w:t>
      </w:r>
      <w:r w:rsidRPr="002462F0">
        <w:rPr>
          <w:vertAlign w:val="subscript"/>
          <w:lang w:eastAsia="fr-FR"/>
        </w:rPr>
        <w:t>2</w:t>
      </w:r>
      <w:r w:rsidRPr="002462F0">
        <w:rPr>
          <w:lang w:eastAsia="fr-FR"/>
        </w:rPr>
        <w:t>/ t primary Mg [26] and 1 kg SF</w:t>
      </w:r>
      <w:r w:rsidRPr="002462F0">
        <w:rPr>
          <w:vertAlign w:val="subscript"/>
          <w:lang w:eastAsia="fr-FR"/>
        </w:rPr>
        <w:t>6</w:t>
      </w:r>
      <w:r w:rsidR="00826E82">
        <w:rPr>
          <w:lang w:eastAsia="fr-FR"/>
        </w:rPr>
        <w:t xml:space="preserve">/ t Mg casting </w:t>
      </w:r>
      <w:r w:rsidR="00826E82">
        <w:rPr>
          <w:lang w:eastAsia="fr-FR"/>
        </w:rPr>
        <w:fldChar w:fldCharType="begin"/>
      </w:r>
      <w:r w:rsidR="00826E82">
        <w:rPr>
          <w:lang w:eastAsia="fr-FR"/>
        </w:rPr>
        <w:instrText xml:space="preserve"> REF _Ref496788624 \r \h </w:instrText>
      </w:r>
      <w:r w:rsidR="00826E82">
        <w:rPr>
          <w:lang w:eastAsia="fr-FR"/>
        </w:rPr>
      </w:r>
      <w:r w:rsidR="00826E82">
        <w:rPr>
          <w:lang w:eastAsia="fr-FR"/>
        </w:rPr>
        <w:fldChar w:fldCharType="separate"/>
      </w:r>
      <w:r w:rsidR="00F14C78">
        <w:rPr>
          <w:lang w:eastAsia="fr-FR"/>
        </w:rPr>
        <w:t>[I27]</w:t>
      </w:r>
      <w:r w:rsidR="00826E82">
        <w:rPr>
          <w:lang w:eastAsia="fr-FR"/>
        </w:rPr>
        <w:fldChar w:fldCharType="end"/>
      </w:r>
      <w:r w:rsidRPr="002462F0">
        <w:rPr>
          <w:lang w:eastAsia="fr-FR"/>
        </w:rPr>
        <w:t>.</w:t>
      </w:r>
    </w:p>
    <w:p w14:paraId="53EA42CC" w14:textId="0D06505A" w:rsidR="00652A0B" w:rsidRPr="009C1CF3" w:rsidRDefault="00652A0B" w:rsidP="009C1CF3">
      <w:pPr>
        <w:pStyle w:val="Heading2"/>
      </w:pPr>
      <w:bookmarkStart w:id="475" w:name="_Toc182327839"/>
      <w:bookmarkStart w:id="476" w:name="_Toc184808223"/>
      <w:r w:rsidRPr="009C1CF3">
        <w:rPr>
          <w:rStyle w:val="Heading2Char"/>
          <w:b/>
        </w:rPr>
        <w:t>Lead production (</w:t>
      </w:r>
      <w:r w:rsidR="000F6001" w:rsidRPr="009C1CF3">
        <w:rPr>
          <w:rStyle w:val="Heading2Char"/>
          <w:b/>
        </w:rPr>
        <w:t>CRT</w:t>
      </w:r>
      <w:r w:rsidRPr="009C1CF3">
        <w:rPr>
          <w:rStyle w:val="Heading2Char"/>
          <w:b/>
        </w:rPr>
        <w:t xml:space="preserve"> 2C5)</w:t>
      </w:r>
      <w:bookmarkEnd w:id="475"/>
      <w:bookmarkEnd w:id="476"/>
    </w:p>
    <w:p w14:paraId="5D116DAA" w14:textId="77777777" w:rsidR="00652A0B" w:rsidRPr="002462F0" w:rsidRDefault="00652A0B" w:rsidP="00652A0B">
      <w:pPr>
        <w:pStyle w:val="Heading4"/>
        <w:rPr>
          <w:lang w:eastAsia="fr-FR"/>
        </w:rPr>
      </w:pPr>
      <w:bookmarkStart w:id="477" w:name="_Toc182327840"/>
      <w:r w:rsidRPr="002462F0">
        <w:rPr>
          <w:lang w:eastAsia="fr-FR"/>
        </w:rPr>
        <w:t>Category description</w:t>
      </w:r>
      <w:bookmarkEnd w:id="477"/>
    </w:p>
    <w:p w14:paraId="00A8FFA2" w14:textId="4E48BAB0" w:rsidR="00652A0B" w:rsidRPr="002462F0" w:rsidRDefault="00652A0B" w:rsidP="006C3100">
      <w:pPr>
        <w:pStyle w:val="BodyText"/>
        <w:rPr>
          <w:lang w:eastAsia="fr-FR"/>
        </w:rPr>
      </w:pPr>
      <w:r w:rsidRPr="002462F0">
        <w:rPr>
          <w:lang w:eastAsia="fr-FR"/>
        </w:rPr>
        <w:t>This category refers to process emissions occurring in both primary and secondary lead production</w:t>
      </w:r>
      <w:r w:rsidR="0060427F">
        <w:rPr>
          <w:lang w:eastAsia="fr-FR"/>
        </w:rPr>
        <w:t>s</w:t>
      </w:r>
      <w:r w:rsidRPr="002462F0">
        <w:rPr>
          <w:lang w:eastAsia="fr-FR"/>
        </w:rPr>
        <w:t>. GHG emissions expected are CO</w:t>
      </w:r>
      <w:r w:rsidRPr="002462F0">
        <w:rPr>
          <w:vertAlign w:val="subscript"/>
          <w:lang w:eastAsia="fr-FR"/>
        </w:rPr>
        <w:t>2</w:t>
      </w:r>
      <w:r w:rsidRPr="002462F0">
        <w:rPr>
          <w:lang w:eastAsia="fr-FR"/>
        </w:rPr>
        <w:t xml:space="preserve"> released from the use of carbonated reductants in the process. </w:t>
      </w:r>
    </w:p>
    <w:p w14:paraId="7E27563B" w14:textId="6AB5BE67" w:rsidR="00652A0B" w:rsidRPr="002462F0" w:rsidRDefault="000F7495" w:rsidP="004341EC">
      <w:pPr>
        <w:autoSpaceDE w:val="0"/>
        <w:autoSpaceDN w:val="0"/>
        <w:adjustRightInd w:val="0"/>
        <w:spacing w:after="0" w:line="240" w:lineRule="auto"/>
        <w:jc w:val="left"/>
        <w:rPr>
          <w:sz w:val="24"/>
          <w:szCs w:val="24"/>
          <w:lang w:eastAsia="fr-FR"/>
        </w:rPr>
      </w:pPr>
      <w:r>
        <w:rPr>
          <w:noProof/>
          <w:sz w:val="24"/>
          <w:szCs w:val="24"/>
          <w:lang w:val="en-US"/>
        </w:rPr>
        <w:drawing>
          <wp:inline distT="0" distB="0" distL="0" distR="0" wp14:anchorId="562B787A" wp14:editId="15DD6A42">
            <wp:extent cx="5760000" cy="1753712"/>
            <wp:effectExtent l="0" t="0" r="0" b="0"/>
            <wp:docPr id="1124204008"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4979593B" w14:textId="77777777" w:rsidR="004341EC" w:rsidRPr="002462F0" w:rsidRDefault="004341EC" w:rsidP="004341EC">
      <w:pPr>
        <w:pStyle w:val="Caption"/>
        <w:keepNext/>
        <w:spacing w:before="0" w:after="0"/>
        <w:jc w:val="left"/>
      </w:pPr>
      <w:bookmarkStart w:id="478" w:name="_Toc184808453"/>
      <w:r w:rsidRPr="002462F0">
        <w:t xml:space="preserve">Figure </w:t>
      </w:r>
      <w:r w:rsidRPr="002462F0">
        <w:fldChar w:fldCharType="begin"/>
      </w:r>
      <w:r w:rsidRPr="002462F0">
        <w:instrText xml:space="preserve"> SEQ Figure \* ARABIC </w:instrText>
      </w:r>
      <w:r w:rsidRPr="002462F0">
        <w:fldChar w:fldCharType="separate"/>
      </w:r>
      <w:r>
        <w:rPr>
          <w:noProof/>
        </w:rPr>
        <w:t>66</w:t>
      </w:r>
      <w:r w:rsidRPr="002462F0">
        <w:fldChar w:fldCharType="end"/>
      </w:r>
      <w:r w:rsidRPr="002462F0">
        <w:rPr>
          <w:noProof/>
        </w:rPr>
        <w:t xml:space="preserve"> : GHG emissions for lead production</w:t>
      </w:r>
      <w:r>
        <w:rPr>
          <w:noProof/>
        </w:rPr>
        <w:t>, for the period 1990-2022</w:t>
      </w:r>
      <w:r w:rsidRPr="002462F0">
        <w:rPr>
          <w:noProof/>
        </w:rPr>
        <w:t xml:space="preserve"> (</w:t>
      </w:r>
      <w:r>
        <w:rPr>
          <w:noProof/>
        </w:rPr>
        <w:t xml:space="preserve">in </w:t>
      </w:r>
      <w:r w:rsidRPr="002462F0">
        <w:rPr>
          <w:noProof/>
        </w:rPr>
        <w:t>kt CO</w:t>
      </w:r>
      <w:r w:rsidRPr="002462F0">
        <w:rPr>
          <w:noProof/>
          <w:vertAlign w:val="subscript"/>
        </w:rPr>
        <w:t>2</w:t>
      </w:r>
      <w:r w:rsidRPr="002462F0">
        <w:rPr>
          <w:noProof/>
        </w:rPr>
        <w:t>e)</w:t>
      </w:r>
      <w:bookmarkEnd w:id="478"/>
    </w:p>
    <w:p w14:paraId="462401B4" w14:textId="77777777" w:rsidR="00652A0B" w:rsidRPr="002462F0" w:rsidRDefault="00652A0B" w:rsidP="00652A0B">
      <w:pPr>
        <w:autoSpaceDE w:val="0"/>
        <w:autoSpaceDN w:val="0"/>
        <w:adjustRightInd w:val="0"/>
        <w:spacing w:after="0" w:line="240" w:lineRule="auto"/>
        <w:jc w:val="left"/>
        <w:rPr>
          <w:sz w:val="24"/>
          <w:szCs w:val="24"/>
          <w:lang w:eastAsia="fr-FR"/>
        </w:rPr>
      </w:pPr>
    </w:p>
    <w:p w14:paraId="6E62425C" w14:textId="57D897B9" w:rsidR="00652A0B" w:rsidRPr="002462F0" w:rsidRDefault="0060427F" w:rsidP="006C3100">
      <w:pPr>
        <w:pStyle w:val="BodyText"/>
        <w:rPr>
          <w:lang w:eastAsia="fr-FR"/>
        </w:rPr>
      </w:pPr>
      <w:r>
        <w:rPr>
          <w:lang w:eastAsia="fr-FR"/>
        </w:rPr>
        <w:t>Since</w:t>
      </w:r>
      <w:r w:rsidRPr="002462F0">
        <w:rPr>
          <w:lang w:eastAsia="fr-FR"/>
        </w:rPr>
        <w:t xml:space="preserve"> </w:t>
      </w:r>
      <w:r w:rsidR="00652A0B" w:rsidRPr="002462F0">
        <w:rPr>
          <w:lang w:eastAsia="fr-FR"/>
        </w:rPr>
        <w:t xml:space="preserve">2014, </w:t>
      </w:r>
      <w:r>
        <w:rPr>
          <w:lang w:eastAsia="fr-FR"/>
        </w:rPr>
        <w:t>the</w:t>
      </w:r>
      <w:r w:rsidR="002C46ED">
        <w:rPr>
          <w:lang w:eastAsia="fr-FR"/>
        </w:rPr>
        <w:t xml:space="preserve"> primary and secondary</w:t>
      </w:r>
      <w:r>
        <w:rPr>
          <w:lang w:eastAsia="fr-FR"/>
        </w:rPr>
        <w:t xml:space="preserve"> lead </w:t>
      </w:r>
      <w:r w:rsidR="00652A0B" w:rsidRPr="002462F0">
        <w:rPr>
          <w:lang w:eastAsia="fr-FR"/>
        </w:rPr>
        <w:t xml:space="preserve">production </w:t>
      </w:r>
      <w:r>
        <w:rPr>
          <w:lang w:eastAsia="fr-FR"/>
        </w:rPr>
        <w:t>stopped and is now considering as not occurring</w:t>
      </w:r>
      <w:r w:rsidR="00F07FF5">
        <w:rPr>
          <w:lang w:eastAsia="fr-FR"/>
        </w:rPr>
        <w:t xml:space="preserve"> (NO)</w:t>
      </w:r>
      <w:r w:rsidR="00652A0B" w:rsidRPr="002462F0">
        <w:rPr>
          <w:lang w:eastAsia="fr-FR"/>
        </w:rPr>
        <w:t>.</w:t>
      </w:r>
    </w:p>
    <w:p w14:paraId="4A98B9CF" w14:textId="2D24E042" w:rsidR="00652A0B" w:rsidRPr="002462F0" w:rsidRDefault="00F07FF5" w:rsidP="006C3100">
      <w:pPr>
        <w:pStyle w:val="BodyText"/>
        <w:rPr>
          <w:sz w:val="24"/>
          <w:szCs w:val="24"/>
          <w:lang w:eastAsia="fr-FR"/>
        </w:rPr>
      </w:pPr>
      <w:r>
        <w:rPr>
          <w:rFonts w:cs="Times New Roman"/>
          <w:lang w:val="en-US"/>
        </w:rPr>
        <w:t>Hence, i</w:t>
      </w:r>
      <w:r w:rsidR="00652A0B" w:rsidRPr="002462F0">
        <w:rPr>
          <w:rFonts w:cs="Times New Roman"/>
          <w:lang w:val="en-US"/>
        </w:rPr>
        <w:t xml:space="preserve">n </w:t>
      </w:r>
      <w:r>
        <w:rPr>
          <w:rFonts w:cs="Times New Roman"/>
          <w:lang w:val="en-US"/>
        </w:rPr>
        <w:t>2022</w:t>
      </w:r>
      <w:r w:rsidR="00652A0B" w:rsidRPr="002462F0">
        <w:rPr>
          <w:rFonts w:cs="Times New Roman"/>
          <w:lang w:val="en-US"/>
        </w:rPr>
        <w:t xml:space="preserve">, the category lead production is </w:t>
      </w:r>
      <w:r>
        <w:rPr>
          <w:rFonts w:cs="Times New Roman"/>
          <w:lang w:val="en-US"/>
        </w:rPr>
        <w:t>neither</w:t>
      </w:r>
      <w:r w:rsidRPr="002462F0">
        <w:rPr>
          <w:rFonts w:cs="Times New Roman"/>
          <w:lang w:val="en-US"/>
        </w:rPr>
        <w:t xml:space="preserve"> </w:t>
      </w:r>
      <w:r w:rsidR="00652A0B" w:rsidRPr="002462F0">
        <w:rPr>
          <w:rFonts w:cs="Times New Roman"/>
          <w:lang w:val="en-US"/>
        </w:rPr>
        <w:t>a key category in terms of emission level</w:t>
      </w:r>
      <w:r>
        <w:rPr>
          <w:rFonts w:cs="Times New Roman"/>
          <w:lang w:val="en-US"/>
        </w:rPr>
        <w:t>s</w:t>
      </w:r>
      <w:r w:rsidR="00652A0B" w:rsidRPr="002462F0">
        <w:rPr>
          <w:rFonts w:cs="Times New Roman"/>
          <w:lang w:val="en-US"/>
        </w:rPr>
        <w:t xml:space="preserve"> </w:t>
      </w:r>
      <w:r>
        <w:rPr>
          <w:rFonts w:cs="Times New Roman"/>
          <w:lang w:val="en-US"/>
        </w:rPr>
        <w:t>nor</w:t>
      </w:r>
      <w:r w:rsidRPr="002462F0">
        <w:rPr>
          <w:rFonts w:cs="Times New Roman"/>
          <w:lang w:val="en-US"/>
        </w:rPr>
        <w:t xml:space="preserve"> </w:t>
      </w:r>
      <w:r w:rsidR="00652A0B" w:rsidRPr="002462F0">
        <w:rPr>
          <w:rFonts w:cs="Times New Roman"/>
          <w:lang w:val="en-US"/>
        </w:rPr>
        <w:t>in terms of emission trend for GHG emissions in Serbia.</w:t>
      </w:r>
    </w:p>
    <w:p w14:paraId="601D13BD" w14:textId="77777777" w:rsidR="00652A0B" w:rsidRPr="002462F0" w:rsidRDefault="00652A0B" w:rsidP="00652A0B">
      <w:pPr>
        <w:pStyle w:val="Heading4"/>
        <w:rPr>
          <w:lang w:eastAsia="fr-FR"/>
        </w:rPr>
      </w:pPr>
      <w:bookmarkStart w:id="479" w:name="_Toc182327841"/>
      <w:r w:rsidRPr="002462F0">
        <w:rPr>
          <w:lang w:eastAsia="fr-FR"/>
        </w:rPr>
        <w:t>Methodological issues</w:t>
      </w:r>
      <w:bookmarkEnd w:id="479"/>
      <w:r w:rsidRPr="002462F0">
        <w:rPr>
          <w:lang w:eastAsia="fr-FR"/>
        </w:rPr>
        <w:t xml:space="preserve"> </w:t>
      </w:r>
    </w:p>
    <w:p w14:paraId="568B15D2" w14:textId="4B8284FC" w:rsidR="00652A0B" w:rsidRPr="002462F0" w:rsidRDefault="00652A0B" w:rsidP="006C3100">
      <w:pPr>
        <w:pStyle w:val="BodyText"/>
        <w:rPr>
          <w:lang w:eastAsia="fr-FR"/>
        </w:rPr>
      </w:pPr>
      <w:r w:rsidRPr="002462F0">
        <w:rPr>
          <w:lang w:eastAsia="fr-FR"/>
        </w:rPr>
        <w:t>The methodology used is Tier 1. CO</w:t>
      </w:r>
      <w:r w:rsidRPr="002462F0">
        <w:rPr>
          <w:vertAlign w:val="subscript"/>
          <w:lang w:eastAsia="fr-FR"/>
        </w:rPr>
        <w:t>2</w:t>
      </w:r>
      <w:r w:rsidRPr="002462F0">
        <w:rPr>
          <w:lang w:eastAsia="fr-FR"/>
        </w:rPr>
        <w:t xml:space="preserve"> emissions estimate </w:t>
      </w:r>
      <w:r w:rsidR="004341EC">
        <w:rPr>
          <w:lang w:eastAsia="fr-FR"/>
        </w:rPr>
        <w:t>is</w:t>
      </w:r>
      <w:r w:rsidR="00440E68">
        <w:rPr>
          <w:lang w:eastAsia="fr-FR"/>
        </w:rPr>
        <w:t xml:space="preserve"> sourced</w:t>
      </w:r>
      <w:r w:rsidRPr="002462F0">
        <w:rPr>
          <w:lang w:eastAsia="fr-FR"/>
        </w:rPr>
        <w:t xml:space="preserve"> from Equation 4.32 of lead production sect</w:t>
      </w:r>
      <w:r w:rsidR="00826E82">
        <w:rPr>
          <w:lang w:eastAsia="fr-FR"/>
        </w:rPr>
        <w:t xml:space="preserve">ion in 2006 IPCC Guidelines </w:t>
      </w:r>
      <w:r w:rsidR="00826E82">
        <w:rPr>
          <w:lang w:eastAsia="fr-FR"/>
        </w:rPr>
        <w:fldChar w:fldCharType="begin"/>
      </w:r>
      <w:r w:rsidR="00826E82">
        <w:rPr>
          <w:lang w:eastAsia="fr-FR"/>
        </w:rPr>
        <w:instrText xml:space="preserve"> REF _Ref496788640 \r \h </w:instrText>
      </w:r>
      <w:r w:rsidR="00826E82">
        <w:rPr>
          <w:lang w:eastAsia="fr-FR"/>
        </w:rPr>
      </w:r>
      <w:r w:rsidR="00826E82">
        <w:rPr>
          <w:lang w:eastAsia="fr-FR"/>
        </w:rPr>
        <w:fldChar w:fldCharType="separate"/>
      </w:r>
      <w:r w:rsidR="00F14C78">
        <w:rPr>
          <w:lang w:eastAsia="fr-FR"/>
        </w:rPr>
        <w:t>[I28]</w:t>
      </w:r>
      <w:r w:rsidR="00826E82">
        <w:rPr>
          <w:lang w:eastAsia="fr-FR"/>
        </w:rPr>
        <w:fldChar w:fldCharType="end"/>
      </w:r>
      <w:r w:rsidRPr="002462F0">
        <w:rPr>
          <w:lang w:eastAsia="fr-FR"/>
        </w:rPr>
        <w:t>.</w:t>
      </w:r>
    </w:p>
    <w:p w14:paraId="30D1032A" w14:textId="1FAF00AB" w:rsidR="00652A0B" w:rsidRPr="002462F0" w:rsidRDefault="00652A0B" w:rsidP="006C3100">
      <w:pPr>
        <w:pStyle w:val="BodyText"/>
        <w:rPr>
          <w:lang w:eastAsia="fr-FR"/>
        </w:rPr>
      </w:pPr>
      <w:r w:rsidRPr="002462F0">
        <w:rPr>
          <w:lang w:eastAsia="fr-FR"/>
        </w:rPr>
        <w:t>Activity data used for the calculation are national primary and secondary lead production</w:t>
      </w:r>
      <w:r w:rsidR="008A7CDD">
        <w:rPr>
          <w:lang w:eastAsia="fr-FR"/>
        </w:rPr>
        <w:t>s</w:t>
      </w:r>
      <w:r w:rsidRPr="002462F0">
        <w:rPr>
          <w:lang w:eastAsia="fr-FR"/>
        </w:rPr>
        <w:t xml:space="preserve">. The primary lead production does not occur in Serbia after 2003. The source </w:t>
      </w:r>
      <w:r w:rsidR="00A1703C">
        <w:rPr>
          <w:lang w:eastAsia="fr-FR"/>
        </w:rPr>
        <w:t>of</w:t>
      </w:r>
      <w:r w:rsidR="00A1703C" w:rsidRPr="002462F0">
        <w:rPr>
          <w:lang w:eastAsia="fr-FR"/>
        </w:rPr>
        <w:t xml:space="preserve"> </w:t>
      </w:r>
      <w:r w:rsidRPr="002462F0">
        <w:rPr>
          <w:lang w:eastAsia="fr-FR"/>
        </w:rPr>
        <w:t xml:space="preserve">activity data </w:t>
      </w:r>
      <w:r w:rsidR="00EC7F44">
        <w:rPr>
          <w:lang w:eastAsia="fr-FR"/>
        </w:rPr>
        <w:t xml:space="preserve">for lead production </w:t>
      </w:r>
      <w:r w:rsidRPr="002462F0">
        <w:rPr>
          <w:lang w:eastAsia="fr-FR"/>
        </w:rPr>
        <w:t xml:space="preserve">is </w:t>
      </w:r>
      <w:r w:rsidR="00EC7F44">
        <w:rPr>
          <w:lang w:eastAsia="fr-FR"/>
        </w:rPr>
        <w:t xml:space="preserve">direct communication with the </w:t>
      </w:r>
      <w:r w:rsidRPr="002462F0">
        <w:rPr>
          <w:lang w:eastAsia="fr-FR"/>
        </w:rPr>
        <w:t>o</w:t>
      </w:r>
      <w:r w:rsidR="00826E82">
        <w:rPr>
          <w:lang w:eastAsia="fr-FR"/>
        </w:rPr>
        <w:t xml:space="preserve">perator </w:t>
      </w:r>
      <w:r w:rsidR="00826E82">
        <w:rPr>
          <w:lang w:eastAsia="fr-FR"/>
        </w:rPr>
        <w:fldChar w:fldCharType="begin"/>
      </w:r>
      <w:r w:rsidR="00826E82">
        <w:rPr>
          <w:lang w:eastAsia="fr-FR"/>
        </w:rPr>
        <w:instrText xml:space="preserve"> REF _Ref496788646 \r \h </w:instrText>
      </w:r>
      <w:r w:rsidR="00826E82">
        <w:rPr>
          <w:lang w:eastAsia="fr-FR"/>
        </w:rPr>
      </w:r>
      <w:r w:rsidR="00826E82">
        <w:rPr>
          <w:lang w:eastAsia="fr-FR"/>
        </w:rPr>
        <w:fldChar w:fldCharType="separate"/>
      </w:r>
      <w:r w:rsidR="00F14C78">
        <w:rPr>
          <w:lang w:eastAsia="fr-FR"/>
        </w:rPr>
        <w:t>[I29]</w:t>
      </w:r>
      <w:r w:rsidR="00826E82">
        <w:rPr>
          <w:lang w:eastAsia="fr-FR"/>
        </w:rPr>
        <w:fldChar w:fldCharType="end"/>
      </w:r>
      <w:r w:rsidRPr="002462F0">
        <w:rPr>
          <w:lang w:eastAsia="fr-FR"/>
        </w:rPr>
        <w:t xml:space="preserve">. There were no data for secondary lead before 2000. As the process is not known, it is assumed that activity data </w:t>
      </w:r>
      <w:r w:rsidR="00AD4957">
        <w:rPr>
          <w:lang w:eastAsia="fr-FR"/>
        </w:rPr>
        <w:t>are</w:t>
      </w:r>
      <w:r w:rsidR="00AD4957" w:rsidRPr="002462F0">
        <w:rPr>
          <w:lang w:eastAsia="fr-FR"/>
        </w:rPr>
        <w:t xml:space="preserve"> </w:t>
      </w:r>
      <w:r w:rsidR="004341EC">
        <w:rPr>
          <w:lang w:eastAsia="fr-FR"/>
        </w:rPr>
        <w:t>disaggregated</w:t>
      </w:r>
      <w:r w:rsidRPr="002462F0">
        <w:rPr>
          <w:lang w:eastAsia="fr-FR"/>
        </w:rPr>
        <w:t xml:space="preserve"> between Direct Smelting process (20%) and Imperial Smelting Furnace process (80%)</w:t>
      </w:r>
      <w:r w:rsidR="00422FAC">
        <w:rPr>
          <w:lang w:eastAsia="fr-FR"/>
        </w:rPr>
        <w:t>,</w:t>
      </w:r>
      <w:r w:rsidRPr="002462F0">
        <w:rPr>
          <w:lang w:eastAsia="fr-FR"/>
        </w:rPr>
        <w:t xml:space="preserve"> </w:t>
      </w:r>
      <w:r w:rsidR="004341EC" w:rsidRPr="002462F0">
        <w:rPr>
          <w:lang w:eastAsia="fr-FR"/>
        </w:rPr>
        <w:t>accordingly,</w:t>
      </w:r>
      <w:r w:rsidRPr="002462F0">
        <w:rPr>
          <w:lang w:eastAsia="fr-FR"/>
        </w:rPr>
        <w:t xml:space="preserve"> to default ratios provi</w:t>
      </w:r>
      <w:r w:rsidR="00826E82">
        <w:rPr>
          <w:lang w:eastAsia="fr-FR"/>
        </w:rPr>
        <w:t xml:space="preserve">ded in 2006 IPCC Guidelines </w:t>
      </w:r>
      <w:r w:rsidR="00826E82">
        <w:rPr>
          <w:lang w:eastAsia="fr-FR"/>
        </w:rPr>
        <w:fldChar w:fldCharType="begin"/>
      </w:r>
      <w:r w:rsidR="00826E82">
        <w:rPr>
          <w:lang w:eastAsia="fr-FR"/>
        </w:rPr>
        <w:instrText xml:space="preserve"> REF _Ref496788640 \r \h </w:instrText>
      </w:r>
      <w:r w:rsidR="00826E82">
        <w:rPr>
          <w:lang w:eastAsia="fr-FR"/>
        </w:rPr>
      </w:r>
      <w:r w:rsidR="00826E82">
        <w:rPr>
          <w:lang w:eastAsia="fr-FR"/>
        </w:rPr>
        <w:fldChar w:fldCharType="separate"/>
      </w:r>
      <w:r w:rsidR="00F14C78">
        <w:rPr>
          <w:lang w:eastAsia="fr-FR"/>
        </w:rPr>
        <w:t>[I28]</w:t>
      </w:r>
      <w:r w:rsidR="00826E82">
        <w:rPr>
          <w:lang w:eastAsia="fr-FR"/>
        </w:rPr>
        <w:fldChar w:fldCharType="end"/>
      </w:r>
      <w:r w:rsidRPr="002462F0">
        <w:rPr>
          <w:lang w:eastAsia="fr-FR"/>
        </w:rPr>
        <w:t xml:space="preserve">. </w:t>
      </w:r>
    </w:p>
    <w:p w14:paraId="5D732EFC" w14:textId="4A0FB800" w:rsidR="00652A0B" w:rsidRPr="002462F0" w:rsidRDefault="00652A0B" w:rsidP="006C3100">
      <w:pPr>
        <w:pStyle w:val="BodyText"/>
        <w:rPr>
          <w:lang w:eastAsia="fr-FR"/>
        </w:rPr>
      </w:pPr>
      <w:r w:rsidRPr="002462F0">
        <w:rPr>
          <w:lang w:eastAsia="fr-FR"/>
        </w:rPr>
        <w:t>For primary production, default emission factor for CO</w:t>
      </w:r>
      <w:r w:rsidRPr="002462F0">
        <w:rPr>
          <w:vertAlign w:val="subscript"/>
          <w:lang w:eastAsia="fr-FR"/>
        </w:rPr>
        <w:t>2</w:t>
      </w:r>
      <w:r w:rsidRPr="002462F0">
        <w:rPr>
          <w:lang w:eastAsia="fr-FR"/>
        </w:rPr>
        <w:t xml:space="preserve"> is constant by process on the time series and </w:t>
      </w:r>
      <w:r w:rsidR="00440E68">
        <w:rPr>
          <w:lang w:eastAsia="fr-FR"/>
        </w:rPr>
        <w:t>is sourced</w:t>
      </w:r>
      <w:r w:rsidRPr="002462F0">
        <w:rPr>
          <w:lang w:eastAsia="fr-FR"/>
        </w:rPr>
        <w:t xml:space="preserve"> from 2006 IPCC Guidelines. Recommended applied values are 0</w:t>
      </w:r>
      <w:r w:rsidR="00422FAC">
        <w:rPr>
          <w:lang w:eastAsia="fr-FR"/>
        </w:rPr>
        <w:t>.</w:t>
      </w:r>
      <w:r w:rsidRPr="002462F0">
        <w:rPr>
          <w:lang w:eastAsia="fr-FR"/>
        </w:rPr>
        <w:t>59 t CO</w:t>
      </w:r>
      <w:r w:rsidRPr="002462F0">
        <w:rPr>
          <w:vertAlign w:val="subscript"/>
          <w:lang w:eastAsia="fr-FR"/>
        </w:rPr>
        <w:t>2</w:t>
      </w:r>
      <w:r w:rsidRPr="002462F0">
        <w:rPr>
          <w:lang w:eastAsia="fr-FR"/>
        </w:rPr>
        <w:t>/ t lead for ISF process and 0</w:t>
      </w:r>
      <w:r w:rsidR="00422FAC">
        <w:rPr>
          <w:lang w:eastAsia="fr-FR"/>
        </w:rPr>
        <w:t>.</w:t>
      </w:r>
      <w:r w:rsidRPr="002462F0">
        <w:rPr>
          <w:lang w:eastAsia="fr-FR"/>
        </w:rPr>
        <w:t>25 t CO</w:t>
      </w:r>
      <w:r w:rsidRPr="002462F0">
        <w:rPr>
          <w:vertAlign w:val="subscript"/>
          <w:lang w:eastAsia="fr-FR"/>
        </w:rPr>
        <w:t>2</w:t>
      </w:r>
      <w:r w:rsidR="00826E82">
        <w:rPr>
          <w:lang w:eastAsia="fr-FR"/>
        </w:rPr>
        <w:t xml:space="preserve">/ t lead for DS process </w:t>
      </w:r>
      <w:r w:rsidR="00826E82">
        <w:rPr>
          <w:lang w:eastAsia="fr-FR"/>
        </w:rPr>
        <w:fldChar w:fldCharType="begin"/>
      </w:r>
      <w:r w:rsidR="00826E82">
        <w:rPr>
          <w:lang w:eastAsia="fr-FR"/>
        </w:rPr>
        <w:instrText xml:space="preserve"> REF _Ref496788659 \r \h </w:instrText>
      </w:r>
      <w:r w:rsidR="00826E82">
        <w:rPr>
          <w:lang w:eastAsia="fr-FR"/>
        </w:rPr>
      </w:r>
      <w:r w:rsidR="00826E82">
        <w:rPr>
          <w:lang w:eastAsia="fr-FR"/>
        </w:rPr>
        <w:fldChar w:fldCharType="separate"/>
      </w:r>
      <w:r w:rsidR="00F14C78">
        <w:rPr>
          <w:lang w:eastAsia="fr-FR"/>
        </w:rPr>
        <w:t>[I30]</w:t>
      </w:r>
      <w:r w:rsidR="00826E82">
        <w:rPr>
          <w:lang w:eastAsia="fr-FR"/>
        </w:rPr>
        <w:fldChar w:fldCharType="end"/>
      </w:r>
      <w:r w:rsidRPr="002462F0">
        <w:rPr>
          <w:lang w:eastAsia="fr-FR"/>
        </w:rPr>
        <w:t>. For secondary production, default emissions factor for CO</w:t>
      </w:r>
      <w:r w:rsidRPr="002462F0">
        <w:rPr>
          <w:vertAlign w:val="subscript"/>
          <w:lang w:eastAsia="fr-FR"/>
        </w:rPr>
        <w:t>2</w:t>
      </w:r>
      <w:r w:rsidRPr="002462F0">
        <w:rPr>
          <w:lang w:eastAsia="fr-FR"/>
        </w:rPr>
        <w:t xml:space="preserve"> is constant on the time series. The value provided by 2006 IPCC Guidelines is 0</w:t>
      </w:r>
      <w:r w:rsidR="00422FAC">
        <w:rPr>
          <w:lang w:eastAsia="fr-FR"/>
        </w:rPr>
        <w:t>.</w:t>
      </w:r>
      <w:r w:rsidRPr="002462F0">
        <w:rPr>
          <w:lang w:eastAsia="fr-FR"/>
        </w:rPr>
        <w:t>2 t CO</w:t>
      </w:r>
      <w:r w:rsidRPr="002462F0">
        <w:rPr>
          <w:vertAlign w:val="subscript"/>
          <w:lang w:eastAsia="fr-FR"/>
        </w:rPr>
        <w:t>2</w:t>
      </w:r>
      <w:r w:rsidR="00826E82">
        <w:rPr>
          <w:lang w:eastAsia="fr-FR"/>
        </w:rPr>
        <w:t xml:space="preserve">/ t secondary lead </w:t>
      </w:r>
      <w:r w:rsidR="00826E82">
        <w:rPr>
          <w:lang w:eastAsia="fr-FR"/>
        </w:rPr>
        <w:fldChar w:fldCharType="begin"/>
      </w:r>
      <w:r w:rsidR="00826E82">
        <w:rPr>
          <w:lang w:eastAsia="fr-FR"/>
        </w:rPr>
        <w:instrText xml:space="preserve"> REF _Ref496788659 \r \h </w:instrText>
      </w:r>
      <w:r w:rsidR="00826E82">
        <w:rPr>
          <w:lang w:eastAsia="fr-FR"/>
        </w:rPr>
      </w:r>
      <w:r w:rsidR="00826E82">
        <w:rPr>
          <w:lang w:eastAsia="fr-FR"/>
        </w:rPr>
        <w:fldChar w:fldCharType="separate"/>
      </w:r>
      <w:r w:rsidR="00F14C78">
        <w:rPr>
          <w:lang w:eastAsia="fr-FR"/>
        </w:rPr>
        <w:t>[I30]</w:t>
      </w:r>
      <w:r w:rsidR="00826E82">
        <w:rPr>
          <w:lang w:eastAsia="fr-FR"/>
        </w:rPr>
        <w:fldChar w:fldCharType="end"/>
      </w:r>
      <w:r w:rsidRPr="002462F0">
        <w:rPr>
          <w:lang w:eastAsia="fr-FR"/>
        </w:rPr>
        <w:t>.</w:t>
      </w:r>
    </w:p>
    <w:p w14:paraId="26DE5363" w14:textId="60520DF7" w:rsidR="00652A0B" w:rsidRPr="002462F0" w:rsidRDefault="00652A0B" w:rsidP="007759DA">
      <w:pPr>
        <w:pStyle w:val="Heading2"/>
      </w:pPr>
      <w:bookmarkStart w:id="480" w:name="_Toc182327842"/>
      <w:bookmarkStart w:id="481" w:name="_Toc184808224"/>
      <w:r w:rsidRPr="002462F0">
        <w:rPr>
          <w:rStyle w:val="Heading2Char"/>
          <w:lang w:val="en-GB"/>
        </w:rPr>
        <w:t>Zinc production (</w:t>
      </w:r>
      <w:r w:rsidR="000F6001">
        <w:rPr>
          <w:rStyle w:val="Heading2Char"/>
          <w:lang w:val="en-GB"/>
        </w:rPr>
        <w:t>CRT</w:t>
      </w:r>
      <w:r w:rsidRPr="002462F0">
        <w:rPr>
          <w:rStyle w:val="Heading2Char"/>
          <w:lang w:val="en-GB"/>
        </w:rPr>
        <w:t xml:space="preserve"> 2C6)</w:t>
      </w:r>
      <w:bookmarkEnd w:id="480"/>
      <w:bookmarkEnd w:id="481"/>
    </w:p>
    <w:p w14:paraId="3A31CEA3" w14:textId="77777777" w:rsidR="00652A0B" w:rsidRPr="002462F0" w:rsidRDefault="00652A0B" w:rsidP="00652A0B">
      <w:pPr>
        <w:pStyle w:val="Heading4"/>
        <w:rPr>
          <w:lang w:eastAsia="fr-FR"/>
        </w:rPr>
      </w:pPr>
      <w:bookmarkStart w:id="482" w:name="_Toc182327843"/>
      <w:r w:rsidRPr="002462F0">
        <w:rPr>
          <w:lang w:eastAsia="fr-FR"/>
        </w:rPr>
        <w:t>Category description</w:t>
      </w:r>
      <w:bookmarkEnd w:id="482"/>
    </w:p>
    <w:p w14:paraId="23D11C9B" w14:textId="2A596E8F" w:rsidR="00652A0B" w:rsidRPr="002462F0" w:rsidRDefault="00652A0B" w:rsidP="006C3100">
      <w:pPr>
        <w:pStyle w:val="BodyText"/>
        <w:rPr>
          <w:lang w:eastAsia="fr-FR"/>
        </w:rPr>
      </w:pPr>
      <w:r w:rsidRPr="002462F0">
        <w:rPr>
          <w:lang w:eastAsia="fr-FR"/>
        </w:rPr>
        <w:lastRenderedPageBreak/>
        <w:t>This category refers to process emissions occurring in both primary and secondary zinc production</w:t>
      </w:r>
      <w:r w:rsidR="00954071">
        <w:rPr>
          <w:lang w:eastAsia="fr-FR"/>
        </w:rPr>
        <w:t>s</w:t>
      </w:r>
      <w:r w:rsidRPr="002462F0">
        <w:rPr>
          <w:lang w:eastAsia="fr-FR"/>
        </w:rPr>
        <w:t>. GHG emissions expected are CO</w:t>
      </w:r>
      <w:r w:rsidRPr="002462F0">
        <w:rPr>
          <w:vertAlign w:val="subscript"/>
          <w:lang w:eastAsia="fr-FR"/>
        </w:rPr>
        <w:t>2</w:t>
      </w:r>
      <w:r w:rsidRPr="002462F0">
        <w:rPr>
          <w:lang w:eastAsia="fr-FR"/>
        </w:rPr>
        <w:t xml:space="preserve"> released from the use of carbonates and reductants in the process. There is no more zinc production in</w:t>
      </w:r>
      <w:r w:rsidR="001F2772">
        <w:rPr>
          <w:lang w:eastAsia="fr-FR"/>
        </w:rPr>
        <w:t xml:space="preserve"> the Republic of</w:t>
      </w:r>
      <w:r w:rsidRPr="002462F0">
        <w:rPr>
          <w:lang w:eastAsia="fr-FR"/>
        </w:rPr>
        <w:t xml:space="preserve"> Serbia since 200</w:t>
      </w:r>
      <w:r w:rsidR="00FF0A76">
        <w:rPr>
          <w:lang w:eastAsia="fr-FR"/>
        </w:rPr>
        <w:t>4</w:t>
      </w:r>
      <w:r w:rsidRPr="002462F0">
        <w:rPr>
          <w:lang w:eastAsia="fr-FR"/>
        </w:rPr>
        <w:t>.</w:t>
      </w:r>
    </w:p>
    <w:p w14:paraId="35433786" w14:textId="4B945F61" w:rsidR="00652A0B" w:rsidRPr="002462F0" w:rsidRDefault="00441DCF" w:rsidP="004341EC">
      <w:pPr>
        <w:autoSpaceDE w:val="0"/>
        <w:autoSpaceDN w:val="0"/>
        <w:adjustRightInd w:val="0"/>
        <w:spacing w:after="0" w:line="240" w:lineRule="auto"/>
        <w:jc w:val="left"/>
        <w:rPr>
          <w:sz w:val="24"/>
          <w:szCs w:val="24"/>
          <w:lang w:eastAsia="fr-FR"/>
        </w:rPr>
      </w:pPr>
      <w:r>
        <w:rPr>
          <w:noProof/>
          <w:sz w:val="24"/>
          <w:szCs w:val="24"/>
          <w:lang w:val="en-US"/>
        </w:rPr>
        <w:drawing>
          <wp:inline distT="0" distB="0" distL="0" distR="0" wp14:anchorId="1BDF61D0" wp14:editId="7A21CE80">
            <wp:extent cx="5760000" cy="1753712"/>
            <wp:effectExtent l="0" t="0" r="0" b="0"/>
            <wp:docPr id="3803866"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04EEF35D" w14:textId="77777777" w:rsidR="004341EC" w:rsidRPr="002462F0" w:rsidRDefault="004341EC" w:rsidP="004341EC">
      <w:pPr>
        <w:pStyle w:val="Caption"/>
        <w:keepNext/>
        <w:spacing w:before="0" w:after="0"/>
        <w:jc w:val="left"/>
      </w:pPr>
      <w:bookmarkStart w:id="483" w:name="_Toc184808454"/>
      <w:r w:rsidRPr="002462F0">
        <w:t xml:space="preserve">Figure </w:t>
      </w:r>
      <w:r w:rsidRPr="002462F0">
        <w:fldChar w:fldCharType="begin"/>
      </w:r>
      <w:r w:rsidRPr="002462F0">
        <w:instrText xml:space="preserve"> SEQ Figure \* ARABIC </w:instrText>
      </w:r>
      <w:r w:rsidRPr="002462F0">
        <w:fldChar w:fldCharType="separate"/>
      </w:r>
      <w:r>
        <w:rPr>
          <w:noProof/>
        </w:rPr>
        <w:t>67</w:t>
      </w:r>
      <w:r w:rsidRPr="002462F0">
        <w:fldChar w:fldCharType="end"/>
      </w:r>
      <w:r w:rsidRPr="002462F0">
        <w:rPr>
          <w:noProof/>
        </w:rPr>
        <w:t xml:space="preserve"> : GHG emissions for zinc production</w:t>
      </w:r>
      <w:r>
        <w:rPr>
          <w:noProof/>
        </w:rPr>
        <w:t>, for the period 1990-2022</w:t>
      </w:r>
      <w:r w:rsidRPr="002462F0">
        <w:rPr>
          <w:noProof/>
        </w:rPr>
        <w:t xml:space="preserve"> (</w:t>
      </w:r>
      <w:r>
        <w:rPr>
          <w:noProof/>
        </w:rPr>
        <w:t xml:space="preserve">in </w:t>
      </w:r>
      <w:r w:rsidRPr="002462F0">
        <w:rPr>
          <w:noProof/>
        </w:rPr>
        <w:t>kt CO</w:t>
      </w:r>
      <w:r w:rsidRPr="002462F0">
        <w:rPr>
          <w:noProof/>
          <w:vertAlign w:val="subscript"/>
        </w:rPr>
        <w:t>2</w:t>
      </w:r>
      <w:r w:rsidRPr="002462F0">
        <w:rPr>
          <w:noProof/>
        </w:rPr>
        <w:t>e)</w:t>
      </w:r>
      <w:bookmarkEnd w:id="483"/>
    </w:p>
    <w:p w14:paraId="682F9834" w14:textId="77777777" w:rsidR="004341EC" w:rsidRPr="002462F0" w:rsidRDefault="004341EC" w:rsidP="00652A0B">
      <w:pPr>
        <w:autoSpaceDE w:val="0"/>
        <w:autoSpaceDN w:val="0"/>
        <w:adjustRightInd w:val="0"/>
        <w:spacing w:after="0" w:line="240" w:lineRule="auto"/>
        <w:jc w:val="left"/>
        <w:rPr>
          <w:sz w:val="24"/>
          <w:szCs w:val="24"/>
          <w:lang w:eastAsia="fr-FR"/>
        </w:rPr>
      </w:pPr>
    </w:p>
    <w:p w14:paraId="51B89CEA" w14:textId="0D9397A3" w:rsidR="00652A0B" w:rsidRPr="002462F0" w:rsidRDefault="00652A0B" w:rsidP="006C3100">
      <w:pPr>
        <w:pStyle w:val="BodyText"/>
        <w:rPr>
          <w:lang w:eastAsia="fr-FR"/>
        </w:rPr>
      </w:pPr>
      <w:r w:rsidRPr="002462F0">
        <w:rPr>
          <w:lang w:val="en-US"/>
        </w:rPr>
        <w:t xml:space="preserve">In </w:t>
      </w:r>
      <w:r w:rsidR="001F2772">
        <w:rPr>
          <w:lang w:val="en-US"/>
        </w:rPr>
        <w:t>2022</w:t>
      </w:r>
      <w:r w:rsidRPr="002462F0">
        <w:rPr>
          <w:lang w:val="en-US"/>
        </w:rPr>
        <w:t xml:space="preserve">, the category zinc production is </w:t>
      </w:r>
      <w:r w:rsidR="001F2772">
        <w:rPr>
          <w:lang w:val="en-US"/>
        </w:rPr>
        <w:t>neither</w:t>
      </w:r>
      <w:r w:rsidR="001F2772" w:rsidRPr="002462F0">
        <w:rPr>
          <w:lang w:val="en-US"/>
        </w:rPr>
        <w:t xml:space="preserve"> </w:t>
      </w:r>
      <w:r w:rsidRPr="002462F0">
        <w:rPr>
          <w:lang w:val="en-US"/>
        </w:rPr>
        <w:t xml:space="preserve">a key category in terms of emissions level </w:t>
      </w:r>
      <w:r w:rsidR="001F2772">
        <w:rPr>
          <w:lang w:val="en-US"/>
        </w:rPr>
        <w:t>nor</w:t>
      </w:r>
      <w:r w:rsidR="001F2772" w:rsidRPr="002462F0">
        <w:rPr>
          <w:lang w:val="en-US"/>
        </w:rPr>
        <w:t xml:space="preserve"> </w:t>
      </w:r>
      <w:r w:rsidRPr="002462F0">
        <w:rPr>
          <w:lang w:val="en-US"/>
        </w:rPr>
        <w:t>in terms of emissions trend for GHG emissions in Serbia.</w:t>
      </w:r>
    </w:p>
    <w:p w14:paraId="70A69D8E" w14:textId="3B9B85BA" w:rsidR="00652A0B" w:rsidRPr="002462F0" w:rsidRDefault="00652A0B" w:rsidP="00652A0B">
      <w:pPr>
        <w:pStyle w:val="Heading4"/>
        <w:rPr>
          <w:lang w:eastAsia="fr-FR"/>
        </w:rPr>
      </w:pPr>
      <w:bookmarkStart w:id="484" w:name="_Toc182327844"/>
      <w:r w:rsidRPr="002462F0">
        <w:rPr>
          <w:lang w:eastAsia="fr-FR"/>
        </w:rPr>
        <w:t>Methodological issues</w:t>
      </w:r>
      <w:bookmarkEnd w:id="484"/>
      <w:r w:rsidRPr="002462F0">
        <w:rPr>
          <w:lang w:eastAsia="fr-FR"/>
        </w:rPr>
        <w:t xml:space="preserve"> </w:t>
      </w:r>
    </w:p>
    <w:p w14:paraId="42F73DE8" w14:textId="6088136A" w:rsidR="00652A0B" w:rsidRPr="002462F0" w:rsidRDefault="00652A0B" w:rsidP="006C3100">
      <w:pPr>
        <w:pStyle w:val="BodyText"/>
        <w:rPr>
          <w:lang w:eastAsia="fr-FR"/>
        </w:rPr>
      </w:pPr>
      <w:r w:rsidRPr="002462F0">
        <w:rPr>
          <w:lang w:eastAsia="fr-FR"/>
        </w:rPr>
        <w:t>The methodology used is Tier 1. CO</w:t>
      </w:r>
      <w:r w:rsidRPr="002462F0">
        <w:rPr>
          <w:vertAlign w:val="subscript"/>
          <w:lang w:eastAsia="fr-FR"/>
        </w:rPr>
        <w:t>2</w:t>
      </w:r>
      <w:r w:rsidRPr="002462F0">
        <w:rPr>
          <w:lang w:eastAsia="fr-FR"/>
        </w:rPr>
        <w:t xml:space="preserve"> emission estimate</w:t>
      </w:r>
      <w:r w:rsidR="00231112">
        <w:rPr>
          <w:lang w:eastAsia="fr-FR"/>
        </w:rPr>
        <w:t>s</w:t>
      </w:r>
      <w:r w:rsidRPr="002462F0">
        <w:rPr>
          <w:lang w:eastAsia="fr-FR"/>
        </w:rPr>
        <w:t xml:space="preserve"> </w:t>
      </w:r>
      <w:r w:rsidR="00440E68">
        <w:rPr>
          <w:lang w:eastAsia="fr-FR"/>
        </w:rPr>
        <w:t>are sourced</w:t>
      </w:r>
      <w:r w:rsidRPr="002462F0">
        <w:rPr>
          <w:lang w:eastAsia="fr-FR"/>
        </w:rPr>
        <w:t xml:space="preserve"> from Equation 4.33 of zinc production sect</w:t>
      </w:r>
      <w:r w:rsidR="00826E82">
        <w:rPr>
          <w:lang w:eastAsia="fr-FR"/>
        </w:rPr>
        <w:t xml:space="preserve">ion in 2006 IPCC Guidelines </w:t>
      </w:r>
      <w:r w:rsidR="00826E82">
        <w:rPr>
          <w:lang w:eastAsia="fr-FR"/>
        </w:rPr>
        <w:fldChar w:fldCharType="begin"/>
      </w:r>
      <w:r w:rsidR="00826E82">
        <w:rPr>
          <w:lang w:eastAsia="fr-FR"/>
        </w:rPr>
        <w:instrText xml:space="preserve"> REF _Ref496788679 \r \h </w:instrText>
      </w:r>
      <w:r w:rsidR="00826E82">
        <w:rPr>
          <w:lang w:eastAsia="fr-FR"/>
        </w:rPr>
      </w:r>
      <w:r w:rsidR="00826E82">
        <w:rPr>
          <w:lang w:eastAsia="fr-FR"/>
        </w:rPr>
        <w:fldChar w:fldCharType="separate"/>
      </w:r>
      <w:r w:rsidR="00F14C78">
        <w:rPr>
          <w:lang w:eastAsia="fr-FR"/>
        </w:rPr>
        <w:t>[I31]</w:t>
      </w:r>
      <w:r w:rsidR="00826E82">
        <w:rPr>
          <w:lang w:eastAsia="fr-FR"/>
        </w:rPr>
        <w:fldChar w:fldCharType="end"/>
      </w:r>
      <w:r w:rsidRPr="002462F0">
        <w:rPr>
          <w:lang w:eastAsia="fr-FR"/>
        </w:rPr>
        <w:t>.</w:t>
      </w:r>
    </w:p>
    <w:p w14:paraId="220EC7B9" w14:textId="6690F3D6" w:rsidR="00652A0B" w:rsidRPr="002462F0" w:rsidRDefault="00652A0B" w:rsidP="006C3100">
      <w:pPr>
        <w:pStyle w:val="BodyText"/>
        <w:rPr>
          <w:lang w:eastAsia="fr-FR"/>
        </w:rPr>
      </w:pPr>
      <w:r w:rsidRPr="002462F0">
        <w:rPr>
          <w:lang w:eastAsia="fr-FR"/>
        </w:rPr>
        <w:t xml:space="preserve">Activity data used for the calculation </w:t>
      </w:r>
      <w:r w:rsidR="00231112">
        <w:rPr>
          <w:lang w:eastAsia="fr-FR"/>
        </w:rPr>
        <w:t>are the</w:t>
      </w:r>
      <w:r w:rsidR="00231112" w:rsidRPr="002462F0">
        <w:rPr>
          <w:lang w:eastAsia="fr-FR"/>
        </w:rPr>
        <w:t xml:space="preserve"> </w:t>
      </w:r>
      <w:r w:rsidRPr="002462F0">
        <w:rPr>
          <w:lang w:eastAsia="fr-FR"/>
        </w:rPr>
        <w:t>national zinc production</w:t>
      </w:r>
      <w:r w:rsidR="00E17F7E">
        <w:rPr>
          <w:lang w:eastAsia="fr-FR"/>
        </w:rPr>
        <w:t>s</w:t>
      </w:r>
      <w:r w:rsidRPr="002462F0">
        <w:rPr>
          <w:lang w:eastAsia="fr-FR"/>
        </w:rPr>
        <w:t>. The source for activity data conc</w:t>
      </w:r>
      <w:r w:rsidR="00826E82">
        <w:rPr>
          <w:lang w:eastAsia="fr-FR"/>
        </w:rPr>
        <w:t xml:space="preserve">erning this category is SORS </w:t>
      </w:r>
      <w:r w:rsidR="00826E82">
        <w:rPr>
          <w:lang w:eastAsia="fr-FR"/>
        </w:rPr>
        <w:fldChar w:fldCharType="begin"/>
      </w:r>
      <w:r w:rsidR="00826E82">
        <w:rPr>
          <w:lang w:eastAsia="fr-FR"/>
        </w:rPr>
        <w:instrText xml:space="preserve"> REF _Ref496788199 \r \h </w:instrText>
      </w:r>
      <w:r w:rsidR="00826E82">
        <w:rPr>
          <w:lang w:eastAsia="fr-FR"/>
        </w:rPr>
      </w:r>
      <w:r w:rsidR="00826E82">
        <w:rPr>
          <w:lang w:eastAsia="fr-FR"/>
        </w:rPr>
        <w:fldChar w:fldCharType="separate"/>
      </w:r>
      <w:r w:rsidR="00F14C78">
        <w:rPr>
          <w:lang w:eastAsia="fr-FR"/>
        </w:rPr>
        <w:t>[I2]</w:t>
      </w:r>
      <w:r w:rsidR="00826E82">
        <w:rPr>
          <w:lang w:eastAsia="fr-FR"/>
        </w:rPr>
        <w:fldChar w:fldCharType="end"/>
      </w:r>
      <w:r w:rsidRPr="002462F0">
        <w:rPr>
          <w:lang w:eastAsia="fr-FR"/>
        </w:rPr>
        <w:t>. From 200</w:t>
      </w:r>
      <w:r w:rsidR="00FF0A76">
        <w:rPr>
          <w:lang w:eastAsia="fr-FR"/>
        </w:rPr>
        <w:t>4</w:t>
      </w:r>
      <w:r w:rsidRPr="002462F0">
        <w:rPr>
          <w:lang w:eastAsia="fr-FR"/>
        </w:rPr>
        <w:t>, zinc production does not occur.</w:t>
      </w:r>
    </w:p>
    <w:p w14:paraId="2C10C0E7" w14:textId="276FD213" w:rsidR="00652A0B" w:rsidRPr="002462F0" w:rsidRDefault="00652A0B" w:rsidP="006C3100">
      <w:pPr>
        <w:pStyle w:val="BodyText"/>
        <w:rPr>
          <w:lang w:eastAsia="fr-FR"/>
        </w:rPr>
      </w:pPr>
      <w:r w:rsidRPr="002462F0">
        <w:rPr>
          <w:lang w:eastAsia="fr-FR"/>
        </w:rPr>
        <w:t>As the process is not known, default emission factor for CO</w:t>
      </w:r>
      <w:r w:rsidRPr="002462F0">
        <w:rPr>
          <w:vertAlign w:val="subscript"/>
          <w:lang w:eastAsia="fr-FR"/>
        </w:rPr>
        <w:t>2</w:t>
      </w:r>
      <w:r w:rsidRPr="002462F0">
        <w:rPr>
          <w:lang w:eastAsia="fr-FR"/>
        </w:rPr>
        <w:t xml:space="preserve"> of 2006 IPCC Guidelines is used and considered constant on the time series and </w:t>
      </w:r>
      <w:r w:rsidR="00440E68">
        <w:rPr>
          <w:lang w:eastAsia="fr-FR"/>
        </w:rPr>
        <w:t>are sourced</w:t>
      </w:r>
      <w:r w:rsidRPr="002462F0">
        <w:rPr>
          <w:lang w:eastAsia="fr-FR"/>
        </w:rPr>
        <w:t>. Recommended applied value is 1</w:t>
      </w:r>
      <w:r w:rsidR="00F67E7F">
        <w:rPr>
          <w:lang w:eastAsia="fr-FR"/>
        </w:rPr>
        <w:t>.</w:t>
      </w:r>
      <w:r w:rsidRPr="002462F0">
        <w:rPr>
          <w:lang w:eastAsia="fr-FR"/>
        </w:rPr>
        <w:t>72 t CO</w:t>
      </w:r>
      <w:r w:rsidRPr="002462F0">
        <w:rPr>
          <w:vertAlign w:val="subscript"/>
          <w:lang w:eastAsia="fr-FR"/>
        </w:rPr>
        <w:t>2</w:t>
      </w:r>
      <w:r w:rsidR="00826E82">
        <w:rPr>
          <w:lang w:eastAsia="fr-FR"/>
        </w:rPr>
        <w:t xml:space="preserve">/ t zinc </w:t>
      </w:r>
      <w:r w:rsidR="00826E82">
        <w:rPr>
          <w:lang w:eastAsia="fr-FR"/>
        </w:rPr>
        <w:fldChar w:fldCharType="begin"/>
      </w:r>
      <w:r w:rsidR="00826E82">
        <w:rPr>
          <w:lang w:eastAsia="fr-FR"/>
        </w:rPr>
        <w:instrText xml:space="preserve"> REF _Ref496788694 \r \h </w:instrText>
      </w:r>
      <w:r w:rsidR="00826E82">
        <w:rPr>
          <w:lang w:eastAsia="fr-FR"/>
        </w:rPr>
      </w:r>
      <w:r w:rsidR="00826E82">
        <w:rPr>
          <w:lang w:eastAsia="fr-FR"/>
        </w:rPr>
        <w:fldChar w:fldCharType="separate"/>
      </w:r>
      <w:r w:rsidR="00F14C78">
        <w:rPr>
          <w:lang w:eastAsia="fr-FR"/>
        </w:rPr>
        <w:t>[I33]</w:t>
      </w:r>
      <w:r w:rsidR="00826E82">
        <w:rPr>
          <w:lang w:eastAsia="fr-FR"/>
        </w:rPr>
        <w:fldChar w:fldCharType="end"/>
      </w:r>
      <w:r w:rsidRPr="002462F0">
        <w:rPr>
          <w:lang w:eastAsia="fr-FR"/>
        </w:rPr>
        <w:t>.</w:t>
      </w:r>
    </w:p>
    <w:p w14:paraId="19C51657" w14:textId="77777777" w:rsidR="00652A0B" w:rsidRPr="002462F0" w:rsidRDefault="00652A0B" w:rsidP="00652A0B">
      <w:pPr>
        <w:pStyle w:val="Heading3"/>
        <w:rPr>
          <w:lang w:eastAsia="fr-FR"/>
        </w:rPr>
      </w:pPr>
      <w:r w:rsidRPr="002462F0">
        <w:rPr>
          <w:lang w:eastAsia="fr-FR"/>
        </w:rPr>
        <w:t xml:space="preserve"> </w:t>
      </w:r>
      <w:bookmarkStart w:id="485" w:name="_Toc182327845"/>
      <w:bookmarkStart w:id="486" w:name="_Toc184808225"/>
      <w:r w:rsidRPr="002462F0">
        <w:rPr>
          <w:lang w:eastAsia="fr-FR"/>
        </w:rPr>
        <w:t>Uncertainties and time-series consistency</w:t>
      </w:r>
      <w:bookmarkEnd w:id="485"/>
      <w:bookmarkEnd w:id="486"/>
    </w:p>
    <w:p w14:paraId="38F6D8D4" w14:textId="77777777" w:rsidR="00652A0B" w:rsidRPr="006C3100" w:rsidRDefault="00652A0B" w:rsidP="006C3100">
      <w:pPr>
        <w:pStyle w:val="BodyText"/>
        <w:rPr>
          <w:b/>
          <w:lang w:eastAsia="fr-FR"/>
        </w:rPr>
      </w:pPr>
      <w:r w:rsidRPr="006C3100">
        <w:rPr>
          <w:b/>
          <w:lang w:eastAsia="fr-FR"/>
        </w:rPr>
        <w:t>CO</w:t>
      </w:r>
      <w:r w:rsidRPr="006C3100">
        <w:rPr>
          <w:b/>
          <w:vertAlign w:val="subscript"/>
          <w:lang w:eastAsia="fr-FR"/>
        </w:rPr>
        <w:t>2</w:t>
      </w:r>
    </w:p>
    <w:p w14:paraId="70E912F5" w14:textId="13890D54" w:rsidR="00652A0B" w:rsidRPr="002462F0" w:rsidRDefault="00652A0B" w:rsidP="006C3100">
      <w:pPr>
        <w:pStyle w:val="BodyText"/>
        <w:rPr>
          <w:lang w:val="en-US" w:eastAsia="fr-FR"/>
        </w:rPr>
      </w:pPr>
      <w:r w:rsidRPr="002462F0">
        <w:rPr>
          <w:lang w:val="en-US" w:eastAsia="fr-FR"/>
        </w:rPr>
        <w:t xml:space="preserve">Uncertainty estimate associated with activity data for </w:t>
      </w:r>
      <w:r w:rsidR="000F6001">
        <w:rPr>
          <w:lang w:val="en-US" w:eastAsia="fr-FR"/>
        </w:rPr>
        <w:t>CRT</w:t>
      </w:r>
      <w:r w:rsidRPr="002462F0">
        <w:rPr>
          <w:lang w:val="en-US" w:eastAsia="fr-FR"/>
        </w:rPr>
        <w:t xml:space="preserve"> 2C amounts to 10%, accordingly to values reported in 2006 IPCC Guidelines (Volume 3 Chapter 4 – Table 4.4).</w:t>
      </w:r>
    </w:p>
    <w:p w14:paraId="388927F5" w14:textId="77777777" w:rsidR="00652A0B" w:rsidRPr="002462F0" w:rsidRDefault="00652A0B" w:rsidP="006C3100">
      <w:pPr>
        <w:pStyle w:val="BodyText"/>
        <w:rPr>
          <w:lang w:val="en-US" w:eastAsia="fr-FR"/>
        </w:rPr>
      </w:pPr>
      <w:r w:rsidRPr="002462F0">
        <w:rPr>
          <w:lang w:val="en-US" w:eastAsia="fr-FR"/>
        </w:rPr>
        <w:t>Uncertainty estimate associated with default emission factor amounts to 25%, accordingly to values reported in 2006 IPCC Guidelines (Volume 3 Chapter 4 – Table 4.4).</w:t>
      </w:r>
    </w:p>
    <w:p w14:paraId="00CEABAA" w14:textId="0BD0FD60" w:rsidR="00652A0B" w:rsidRPr="002462F0" w:rsidRDefault="00652A0B" w:rsidP="006C3100">
      <w:pPr>
        <w:pStyle w:val="BodyText"/>
        <w:rPr>
          <w:lang w:val="en-US" w:eastAsia="fr-FR"/>
        </w:rPr>
      </w:pPr>
      <w:r w:rsidRPr="002462F0">
        <w:rPr>
          <w:lang w:val="en-US" w:eastAsia="fr-FR"/>
        </w:rPr>
        <w:t xml:space="preserve">Combined uncertainty for emissions is </w:t>
      </w:r>
      <w:r w:rsidR="008C197F">
        <w:rPr>
          <w:lang w:val="en-US" w:eastAsia="fr-FR"/>
        </w:rPr>
        <w:t>1.3</w:t>
      </w:r>
      <w:r w:rsidRPr="002462F0">
        <w:rPr>
          <w:lang w:val="en-US" w:eastAsia="fr-FR"/>
        </w:rPr>
        <w:t>%</w:t>
      </w:r>
      <w:r w:rsidR="003150A4">
        <w:rPr>
          <w:lang w:eastAsia="fr-FR"/>
        </w:rPr>
        <w:t xml:space="preserve"> in the total national levels of emission in 2022, excluding LULUCF contribution</w:t>
      </w:r>
      <w:r w:rsidRPr="002462F0">
        <w:rPr>
          <w:lang w:val="en-US" w:eastAsia="fr-FR"/>
        </w:rPr>
        <w:t>.</w:t>
      </w:r>
    </w:p>
    <w:p w14:paraId="139C3B14" w14:textId="77777777" w:rsidR="00652A0B" w:rsidRPr="006C3100" w:rsidRDefault="00652A0B" w:rsidP="006C3100">
      <w:pPr>
        <w:pStyle w:val="BodyText"/>
        <w:rPr>
          <w:b/>
          <w:vertAlign w:val="subscript"/>
          <w:lang w:val="en-US" w:eastAsia="fr-FR"/>
        </w:rPr>
      </w:pPr>
      <w:r w:rsidRPr="006C3100">
        <w:rPr>
          <w:b/>
          <w:lang w:val="en-US" w:eastAsia="fr-FR"/>
        </w:rPr>
        <w:t>CH</w:t>
      </w:r>
      <w:r w:rsidRPr="006C3100">
        <w:rPr>
          <w:b/>
          <w:vertAlign w:val="subscript"/>
          <w:lang w:val="en-US" w:eastAsia="fr-FR"/>
        </w:rPr>
        <w:t>4</w:t>
      </w:r>
    </w:p>
    <w:p w14:paraId="6B932915" w14:textId="6B9505A4" w:rsidR="00652A0B" w:rsidRPr="002462F0" w:rsidRDefault="00652A0B" w:rsidP="006C3100">
      <w:pPr>
        <w:pStyle w:val="BodyText"/>
        <w:rPr>
          <w:lang w:val="en-US" w:eastAsia="fr-FR"/>
        </w:rPr>
      </w:pPr>
      <w:r w:rsidRPr="002462F0">
        <w:rPr>
          <w:lang w:val="en-US" w:eastAsia="fr-FR"/>
        </w:rPr>
        <w:t xml:space="preserve">Uncertainty estimate associated with activity data for </w:t>
      </w:r>
      <w:r w:rsidR="000F6001">
        <w:rPr>
          <w:lang w:val="en-US" w:eastAsia="fr-FR"/>
        </w:rPr>
        <w:t>CRT</w:t>
      </w:r>
      <w:r w:rsidRPr="002462F0">
        <w:rPr>
          <w:lang w:val="en-US" w:eastAsia="fr-FR"/>
        </w:rPr>
        <w:t xml:space="preserve"> 2C amounts to 10%, accordingly to values reported in 2006 IPCC Guidelines (Volume 3 Chapter 4 – Table 4.4).</w:t>
      </w:r>
    </w:p>
    <w:p w14:paraId="079C0687" w14:textId="77777777" w:rsidR="00652A0B" w:rsidRPr="002462F0" w:rsidRDefault="00652A0B" w:rsidP="006C3100">
      <w:pPr>
        <w:pStyle w:val="BodyText"/>
        <w:rPr>
          <w:lang w:val="en-US" w:eastAsia="fr-FR"/>
        </w:rPr>
      </w:pPr>
      <w:r w:rsidRPr="002462F0">
        <w:rPr>
          <w:lang w:val="en-US" w:eastAsia="fr-FR"/>
        </w:rPr>
        <w:t>Uncertainty estimate associated with default emission factor amounts to 25%, accordingly to values reported in 2006 IPCC Guidelines (Volume 3 Chapter 4 – Table 4.4).</w:t>
      </w:r>
    </w:p>
    <w:p w14:paraId="07B31687" w14:textId="4F066681" w:rsidR="00652A0B" w:rsidRPr="002462F0" w:rsidRDefault="00652A0B" w:rsidP="006C3100">
      <w:pPr>
        <w:pStyle w:val="BodyText"/>
        <w:rPr>
          <w:lang w:val="en-US" w:eastAsia="fr-FR"/>
        </w:rPr>
      </w:pPr>
      <w:r w:rsidRPr="002462F0">
        <w:rPr>
          <w:lang w:val="en-US" w:eastAsia="fr-FR"/>
        </w:rPr>
        <w:t xml:space="preserve">Combined uncertainty for emissions is </w:t>
      </w:r>
      <w:r w:rsidR="001612A6">
        <w:rPr>
          <w:lang w:val="en-US" w:eastAsia="fr-FR"/>
        </w:rPr>
        <w:t>0.000001</w:t>
      </w:r>
      <w:r w:rsidRPr="002462F0">
        <w:rPr>
          <w:lang w:val="en-US" w:eastAsia="fr-FR"/>
        </w:rPr>
        <w:t>%</w:t>
      </w:r>
      <w:r w:rsidR="003150A4">
        <w:rPr>
          <w:lang w:eastAsia="fr-FR"/>
        </w:rPr>
        <w:t xml:space="preserve"> in the total national levels of emission in 2022, excluding LULUCF contribution</w:t>
      </w:r>
      <w:r w:rsidRPr="002462F0">
        <w:rPr>
          <w:lang w:val="en-US" w:eastAsia="fr-FR"/>
        </w:rPr>
        <w:t>.</w:t>
      </w:r>
    </w:p>
    <w:p w14:paraId="7C73F655" w14:textId="77777777" w:rsidR="00652A0B" w:rsidRPr="006C3100" w:rsidRDefault="00652A0B" w:rsidP="006C3100">
      <w:pPr>
        <w:pStyle w:val="BodyText"/>
        <w:rPr>
          <w:b/>
          <w:lang w:eastAsia="fr-FR"/>
        </w:rPr>
      </w:pPr>
      <w:r w:rsidRPr="006C3100">
        <w:rPr>
          <w:b/>
          <w:lang w:eastAsia="fr-FR"/>
        </w:rPr>
        <w:t>SF</w:t>
      </w:r>
      <w:r w:rsidRPr="006C3100">
        <w:rPr>
          <w:b/>
          <w:vertAlign w:val="subscript"/>
          <w:lang w:eastAsia="fr-FR"/>
        </w:rPr>
        <w:t>6</w:t>
      </w:r>
    </w:p>
    <w:p w14:paraId="07BE0B0D" w14:textId="43973B81" w:rsidR="00652A0B" w:rsidRPr="002462F0" w:rsidRDefault="00652A0B" w:rsidP="006C3100">
      <w:pPr>
        <w:pStyle w:val="BodyText"/>
        <w:rPr>
          <w:lang w:val="en-US" w:eastAsia="fr-FR"/>
        </w:rPr>
      </w:pPr>
      <w:r w:rsidRPr="002462F0">
        <w:rPr>
          <w:lang w:val="en-US" w:eastAsia="fr-FR"/>
        </w:rPr>
        <w:lastRenderedPageBreak/>
        <w:t xml:space="preserve">Uncertainty estimate associated with activity data for </w:t>
      </w:r>
      <w:r w:rsidR="000F6001">
        <w:rPr>
          <w:lang w:val="en-US" w:eastAsia="fr-FR"/>
        </w:rPr>
        <w:t>CRT</w:t>
      </w:r>
      <w:r w:rsidRPr="002462F0">
        <w:rPr>
          <w:lang w:val="en-US" w:eastAsia="fr-FR"/>
        </w:rPr>
        <w:t xml:space="preserve"> 2C amounts to 20% based on expert judgment. </w:t>
      </w:r>
    </w:p>
    <w:p w14:paraId="20BAA20E" w14:textId="77777777" w:rsidR="00652A0B" w:rsidRPr="002462F0" w:rsidRDefault="00652A0B" w:rsidP="006C3100">
      <w:pPr>
        <w:pStyle w:val="BodyText"/>
        <w:rPr>
          <w:lang w:val="en-US" w:eastAsia="fr-FR"/>
        </w:rPr>
      </w:pPr>
      <w:r w:rsidRPr="002462F0">
        <w:rPr>
          <w:lang w:val="en-US" w:eastAsia="fr-FR"/>
        </w:rPr>
        <w:t>Uncertainty estimate associated with default emission factor amounts to 5% based on expert judgment.</w:t>
      </w:r>
    </w:p>
    <w:p w14:paraId="32E7ACA2" w14:textId="1BD29922" w:rsidR="00652A0B" w:rsidRPr="002462F0" w:rsidRDefault="00652A0B" w:rsidP="006C3100">
      <w:pPr>
        <w:pStyle w:val="BodyText"/>
        <w:rPr>
          <w:lang w:val="en-US" w:eastAsia="fr-FR"/>
        </w:rPr>
      </w:pPr>
      <w:r w:rsidRPr="002462F0">
        <w:rPr>
          <w:lang w:val="en-US" w:eastAsia="fr-FR"/>
        </w:rPr>
        <w:t xml:space="preserve">Combined uncertainty for emissions is </w:t>
      </w:r>
      <w:r w:rsidR="001612A6">
        <w:rPr>
          <w:lang w:val="en-US" w:eastAsia="fr-FR"/>
        </w:rPr>
        <w:t>0.014</w:t>
      </w:r>
      <w:r w:rsidRPr="002462F0">
        <w:rPr>
          <w:lang w:val="en-US" w:eastAsia="fr-FR"/>
        </w:rPr>
        <w:t>%</w:t>
      </w:r>
      <w:r w:rsidR="003150A4">
        <w:rPr>
          <w:lang w:eastAsia="fr-FR"/>
        </w:rPr>
        <w:t xml:space="preserve"> in the total national levels of emission in 2022, excluding LULUCF contribution</w:t>
      </w:r>
      <w:r w:rsidRPr="002462F0">
        <w:rPr>
          <w:lang w:val="en-US" w:eastAsia="fr-FR"/>
        </w:rPr>
        <w:t>.</w:t>
      </w:r>
    </w:p>
    <w:p w14:paraId="7CD68981" w14:textId="77777777" w:rsidR="0085453B" w:rsidRPr="002462F0" w:rsidRDefault="0085453B" w:rsidP="0085453B">
      <w:pPr>
        <w:pStyle w:val="Heading3"/>
        <w:rPr>
          <w:lang w:eastAsia="fr-FR"/>
        </w:rPr>
      </w:pPr>
      <w:bookmarkStart w:id="487" w:name="_Toc182327846"/>
      <w:bookmarkStart w:id="488" w:name="_Toc184808226"/>
      <w:r w:rsidRPr="002462F0">
        <w:rPr>
          <w:lang w:eastAsia="fr-FR"/>
        </w:rPr>
        <w:t>Category-specific QA/QC and verification</w:t>
      </w:r>
      <w:bookmarkEnd w:id="487"/>
      <w:bookmarkEnd w:id="488"/>
    </w:p>
    <w:p w14:paraId="4D662514" w14:textId="79497BF3" w:rsidR="00F81D94" w:rsidRPr="002462F0" w:rsidRDefault="00F81D94" w:rsidP="009E0457">
      <w:pPr>
        <w:pStyle w:val="BodyText"/>
        <w:rPr>
          <w:lang w:val="en-US" w:eastAsia="fr-FR"/>
        </w:rPr>
      </w:pPr>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16611EE5" w14:textId="0FB0B7AC" w:rsidR="006D46DE" w:rsidRPr="002462F0" w:rsidRDefault="006D46DE" w:rsidP="009E0457">
      <w:pPr>
        <w:pStyle w:val="BodyText"/>
        <w:rPr>
          <w:lang w:val="en-US" w:eastAsia="fr-FR"/>
        </w:rPr>
      </w:pPr>
      <w:r w:rsidRPr="002462F0">
        <w:rPr>
          <w:lang w:val="en-US" w:eastAsia="fr-FR"/>
        </w:rPr>
        <w:t>Operators’ questionnaires are checked by the competent authorit</w:t>
      </w:r>
      <w:r w:rsidR="004341EC">
        <w:rPr>
          <w:lang w:val="en-US" w:eastAsia="fr-FR"/>
        </w:rPr>
        <w:t>y</w:t>
      </w:r>
      <w:r w:rsidRPr="002462F0">
        <w:rPr>
          <w:lang w:val="en-US" w:eastAsia="fr-FR"/>
        </w:rPr>
        <w:t>.</w:t>
      </w:r>
      <w:r w:rsidR="008316B3" w:rsidRPr="002462F0">
        <w:rPr>
          <w:lang w:val="en-US" w:eastAsia="fr-FR"/>
        </w:rPr>
        <w:t xml:space="preserve"> </w:t>
      </w:r>
    </w:p>
    <w:p w14:paraId="26EAE786" w14:textId="2C0A5F1A" w:rsidR="0085453B" w:rsidRPr="002462F0" w:rsidRDefault="0085453B" w:rsidP="0085453B">
      <w:pPr>
        <w:pStyle w:val="Heading3"/>
        <w:rPr>
          <w:lang w:eastAsia="fr-FR"/>
        </w:rPr>
      </w:pPr>
      <w:bookmarkStart w:id="489" w:name="_Toc182327847"/>
      <w:bookmarkStart w:id="490" w:name="_Toc184808227"/>
      <w:r w:rsidRPr="002462F0">
        <w:rPr>
          <w:lang w:eastAsia="fr-FR"/>
        </w:rPr>
        <w:t>Category-specific recalculations</w:t>
      </w:r>
      <w:bookmarkEnd w:id="489"/>
      <w:bookmarkEnd w:id="490"/>
    </w:p>
    <w:p w14:paraId="1CC0B93A" w14:textId="54E4B1FA" w:rsidR="001B14FC" w:rsidRPr="002462F0" w:rsidRDefault="001B14FC" w:rsidP="009E0457">
      <w:pPr>
        <w:pStyle w:val="BodyText"/>
        <w:rPr>
          <w:lang w:val="en-US" w:eastAsia="fr-FR"/>
        </w:rPr>
      </w:pPr>
      <w:r w:rsidRPr="002462F0">
        <w:t xml:space="preserve">The current report is the first </w:t>
      </w:r>
      <w:r w:rsidR="00CB4BC2">
        <w:t>National Inventory Document</w:t>
      </w:r>
      <w:r w:rsidRPr="002462F0">
        <w:t xml:space="preserve"> for Serbia. Consequently, there is no recalculation. Possible recalculation will be occurred and estimated in the next submission if necessary.</w:t>
      </w:r>
    </w:p>
    <w:p w14:paraId="288EACBB" w14:textId="77777777" w:rsidR="0085453B" w:rsidRPr="002462F0" w:rsidRDefault="0085453B" w:rsidP="0085453B">
      <w:pPr>
        <w:pStyle w:val="Heading3"/>
        <w:rPr>
          <w:lang w:eastAsia="fr-FR"/>
        </w:rPr>
      </w:pPr>
      <w:bookmarkStart w:id="491" w:name="_Toc182327848"/>
      <w:bookmarkStart w:id="492" w:name="_Toc184808228"/>
      <w:r w:rsidRPr="002462F0">
        <w:rPr>
          <w:lang w:eastAsia="fr-FR"/>
        </w:rPr>
        <w:t>Category-specific planned improvements</w:t>
      </w:r>
      <w:bookmarkEnd w:id="491"/>
      <w:bookmarkEnd w:id="492"/>
    </w:p>
    <w:p w14:paraId="0485406E" w14:textId="126240C7" w:rsidR="0085453B" w:rsidRDefault="001B14FC" w:rsidP="007600D3">
      <w:pPr>
        <w:rPr>
          <w:lang w:val="en-US"/>
        </w:rPr>
      </w:pPr>
      <w:r w:rsidRPr="002462F0">
        <w:rPr>
          <w:lang w:val="en-US"/>
        </w:rPr>
        <w:t xml:space="preserve">For the metal industry, </w:t>
      </w:r>
      <w:r w:rsidR="00D92157" w:rsidRPr="002462F0">
        <w:rPr>
          <w:lang w:val="en-US"/>
        </w:rPr>
        <w:t>especially for the iron and steel industry</w:t>
      </w:r>
      <w:r w:rsidR="004C1AEA" w:rsidRPr="002462F0">
        <w:rPr>
          <w:lang w:val="en-US"/>
        </w:rPr>
        <w:t xml:space="preserve">, </w:t>
      </w:r>
      <w:r w:rsidR="000B3F82" w:rsidRPr="002462F0">
        <w:rPr>
          <w:lang w:val="en-US"/>
        </w:rPr>
        <w:t>magnesium</w:t>
      </w:r>
      <w:r w:rsidR="004C1AEA" w:rsidRPr="002462F0">
        <w:rPr>
          <w:lang w:val="en-US"/>
        </w:rPr>
        <w:t xml:space="preserve"> production and the lead production</w:t>
      </w:r>
      <w:r w:rsidR="00D92157" w:rsidRPr="002462F0">
        <w:rPr>
          <w:lang w:val="en-US"/>
        </w:rPr>
        <w:t xml:space="preserve">, </w:t>
      </w:r>
      <w:r w:rsidRPr="002462F0">
        <w:rPr>
          <w:lang w:val="en-US"/>
        </w:rPr>
        <w:t xml:space="preserve">the completeness </w:t>
      </w:r>
      <w:r w:rsidR="001F4C46" w:rsidRPr="002462F0">
        <w:rPr>
          <w:lang w:val="en-US"/>
        </w:rPr>
        <w:t>and the consistency of the activity data set have</w:t>
      </w:r>
      <w:r w:rsidRPr="002462F0">
        <w:rPr>
          <w:lang w:val="en-US"/>
        </w:rPr>
        <w:t xml:space="preserve"> to be improved.</w:t>
      </w:r>
    </w:p>
    <w:p w14:paraId="3EBBF5D4" w14:textId="4318CA0A" w:rsidR="00B450CB" w:rsidRPr="00622F40" w:rsidRDefault="00B450CB" w:rsidP="00B450CB">
      <w:pPr>
        <w:pStyle w:val="Heading2"/>
      </w:pPr>
      <w:bookmarkStart w:id="493" w:name="_Toc182327849"/>
      <w:bookmarkStart w:id="494" w:name="_Toc184808229"/>
      <w:r w:rsidRPr="007F4599">
        <w:t>Non-energy product</w:t>
      </w:r>
      <w:r w:rsidR="00291293" w:rsidRPr="00622F40">
        <w:t>s from fuels and solvent use (CRT 2D)</w:t>
      </w:r>
      <w:bookmarkEnd w:id="493"/>
      <w:bookmarkEnd w:id="494"/>
    </w:p>
    <w:p w14:paraId="404997F8" w14:textId="6EF05320" w:rsidR="00291293" w:rsidRDefault="00291293" w:rsidP="00291293">
      <w:pPr>
        <w:rPr>
          <w:lang w:val="en-US"/>
        </w:rPr>
      </w:pPr>
      <w:r>
        <w:rPr>
          <w:lang w:val="en-US"/>
        </w:rPr>
        <w:t>This CRT 2D category covers the following emission sources:</w:t>
      </w:r>
    </w:p>
    <w:p w14:paraId="31A354B9" w14:textId="1A9A39B0" w:rsidR="002F6D66" w:rsidRDefault="002F6D66" w:rsidP="002F6D66">
      <w:pPr>
        <w:pStyle w:val="ListParagraph"/>
        <w:numPr>
          <w:ilvl w:val="0"/>
          <w:numId w:val="73"/>
        </w:numPr>
        <w:rPr>
          <w:lang w:val="en-US"/>
        </w:rPr>
      </w:pPr>
      <w:r>
        <w:rPr>
          <w:lang w:val="en-US"/>
        </w:rPr>
        <w:t>The use of lubricant (CRT 2D1),</w:t>
      </w:r>
    </w:p>
    <w:p w14:paraId="0EFE11A2" w14:textId="1B8400D8" w:rsidR="002F6D66" w:rsidRDefault="002F6D66" w:rsidP="002F6D66">
      <w:pPr>
        <w:pStyle w:val="ListParagraph"/>
        <w:numPr>
          <w:ilvl w:val="0"/>
          <w:numId w:val="73"/>
        </w:numPr>
        <w:rPr>
          <w:lang w:val="en-US"/>
        </w:rPr>
      </w:pPr>
      <w:r>
        <w:rPr>
          <w:lang w:val="en-US"/>
        </w:rPr>
        <w:t>The use of paraffin wax (CRT 2D2)</w:t>
      </w:r>
      <w:r w:rsidR="00320626">
        <w:rPr>
          <w:lang w:val="en-US"/>
        </w:rPr>
        <w:t>,</w:t>
      </w:r>
    </w:p>
    <w:p w14:paraId="395B66DB" w14:textId="0CB3ED07" w:rsidR="00320626" w:rsidRDefault="00F04AB6" w:rsidP="002F6D66">
      <w:pPr>
        <w:pStyle w:val="ListParagraph"/>
        <w:numPr>
          <w:ilvl w:val="0"/>
          <w:numId w:val="73"/>
        </w:numPr>
        <w:rPr>
          <w:lang w:val="en-US"/>
        </w:rPr>
      </w:pPr>
      <w:r>
        <w:rPr>
          <w:lang w:val="en-US"/>
        </w:rPr>
        <w:t>The use of solvents (CRT 2D3).</w:t>
      </w:r>
    </w:p>
    <w:p w14:paraId="19B0DEAD" w14:textId="74615822" w:rsidR="00F04AB6" w:rsidRDefault="001859E3" w:rsidP="00470767">
      <w:pPr>
        <w:rPr>
          <w:lang w:val="en-US"/>
        </w:rPr>
      </w:pPr>
      <w:r>
        <w:rPr>
          <w:lang w:val="en-US"/>
        </w:rPr>
        <w:t>All these emission sources are responsible of CO</w:t>
      </w:r>
      <w:r w:rsidRPr="00622F40">
        <w:rPr>
          <w:vertAlign w:val="subscript"/>
          <w:lang w:val="en-US"/>
        </w:rPr>
        <w:t>2</w:t>
      </w:r>
      <w:r>
        <w:rPr>
          <w:lang w:val="en-US"/>
        </w:rPr>
        <w:t xml:space="preserve"> emissions. </w:t>
      </w:r>
    </w:p>
    <w:p w14:paraId="74B78FC2" w14:textId="77777777" w:rsidR="00445C66" w:rsidRDefault="004B001E" w:rsidP="00470767">
      <w:pPr>
        <w:rPr>
          <w:lang w:val="en-US"/>
        </w:rPr>
      </w:pPr>
      <w:r>
        <w:rPr>
          <w:lang w:val="en-US"/>
        </w:rPr>
        <w:t>In 2022, in the Republic of Serbia, the CRT 2D is responsible of 0.1% of the national GHG emissions, excluding LULUCF contribution, and of 2% of the GHG emissions of CRT 2.</w:t>
      </w:r>
    </w:p>
    <w:p w14:paraId="59710DDF" w14:textId="69E836DC" w:rsidR="001B1973" w:rsidRDefault="00445C66" w:rsidP="00470767">
      <w:pPr>
        <w:rPr>
          <w:lang w:val="en-US"/>
        </w:rPr>
      </w:pPr>
      <w:r>
        <w:rPr>
          <w:lang w:val="en-US"/>
        </w:rPr>
        <w:t xml:space="preserve">The following graph presents the GHG emission trend of the CRT 2D. </w:t>
      </w:r>
      <w:r w:rsidR="00194310">
        <w:rPr>
          <w:lang w:val="en-US"/>
        </w:rPr>
        <w:t xml:space="preserve">After having </w:t>
      </w:r>
      <w:r w:rsidR="0012034E">
        <w:rPr>
          <w:lang w:val="en-US"/>
        </w:rPr>
        <w:t xml:space="preserve">undergone a significant reduction between 1990 and 1992, </w:t>
      </w:r>
      <w:r w:rsidR="00551635">
        <w:rPr>
          <w:lang w:val="en-US"/>
        </w:rPr>
        <w:t xml:space="preserve">due to </w:t>
      </w:r>
      <w:r w:rsidR="000B3F82">
        <w:rPr>
          <w:lang w:val="en-US"/>
        </w:rPr>
        <w:t>economic downturn</w:t>
      </w:r>
      <w:r w:rsidR="00551635">
        <w:rPr>
          <w:lang w:val="en-US"/>
        </w:rPr>
        <w:t>, and a relatively stable period from 1992 to 1998</w:t>
      </w:r>
      <w:r w:rsidR="00ED66D7">
        <w:rPr>
          <w:lang w:val="en-US"/>
        </w:rPr>
        <w:t xml:space="preserve">, the GHG emissions are in a slow and constant increase since then. </w:t>
      </w:r>
      <w:r w:rsidR="000B3F82">
        <w:rPr>
          <w:lang w:val="en-US"/>
        </w:rPr>
        <w:t>This</w:t>
      </w:r>
      <w:r w:rsidR="005B500A">
        <w:rPr>
          <w:lang w:val="en-US"/>
        </w:rPr>
        <w:t xml:space="preserve"> evolution </w:t>
      </w:r>
      <w:r w:rsidR="00ED66D7">
        <w:rPr>
          <w:lang w:val="en-US"/>
        </w:rPr>
        <w:t xml:space="preserve">is </w:t>
      </w:r>
      <w:r w:rsidR="00741916">
        <w:rPr>
          <w:lang w:val="en-US"/>
        </w:rPr>
        <w:t xml:space="preserve">in </w:t>
      </w:r>
      <w:r w:rsidR="00ED66D7">
        <w:rPr>
          <w:lang w:val="en-US"/>
        </w:rPr>
        <w:t>particular</w:t>
      </w:r>
      <w:r w:rsidR="00741916">
        <w:rPr>
          <w:lang w:val="en-US"/>
        </w:rPr>
        <w:t xml:space="preserve"> related to the </w:t>
      </w:r>
      <w:r w:rsidR="005B500A">
        <w:rPr>
          <w:lang w:val="en-US"/>
        </w:rPr>
        <w:t xml:space="preserve">increase in the use of lubricant, related to the traffic growth, whereas </w:t>
      </w:r>
      <w:r w:rsidR="00317490">
        <w:rPr>
          <w:lang w:val="en-US"/>
        </w:rPr>
        <w:t>the emissions related to the solvent use (CRT 2D3) are rather stable, and even slightly decreasing (-28% over the whole period).</w:t>
      </w:r>
      <w:r w:rsidR="00107A00">
        <w:rPr>
          <w:lang w:val="en-US"/>
        </w:rPr>
        <w:t xml:space="preserve"> In 2022, the emissions from this sector are almost evenly split between the CRT 2D1 and CRT 2D3 with respectively </w:t>
      </w:r>
      <w:r w:rsidR="00585C43">
        <w:rPr>
          <w:lang w:val="en-US"/>
        </w:rPr>
        <w:t xml:space="preserve">48% and 50%, the rest being the paraffin wax use (CRT 2D2). </w:t>
      </w:r>
    </w:p>
    <w:p w14:paraId="129711AC" w14:textId="2A5E1A59" w:rsidR="001C6823" w:rsidRDefault="00524B82" w:rsidP="000B3F82">
      <w:pPr>
        <w:spacing w:after="0"/>
        <w:rPr>
          <w:lang w:val="en-US"/>
        </w:rPr>
      </w:pPr>
      <w:r>
        <w:rPr>
          <w:noProof/>
          <w:lang w:val="en-US"/>
        </w:rPr>
        <w:lastRenderedPageBreak/>
        <w:drawing>
          <wp:inline distT="0" distB="0" distL="0" distR="0" wp14:anchorId="3E263A5D" wp14:editId="3C3E6D6E">
            <wp:extent cx="5650657" cy="2948574"/>
            <wp:effectExtent l="0" t="0" r="7620" b="4445"/>
            <wp:docPr id="195455453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58047" cy="2952430"/>
                    </a:xfrm>
                    <a:prstGeom prst="rect">
                      <a:avLst/>
                    </a:prstGeom>
                    <a:noFill/>
                  </pic:spPr>
                </pic:pic>
              </a:graphicData>
            </a:graphic>
          </wp:inline>
        </w:drawing>
      </w:r>
    </w:p>
    <w:p w14:paraId="6DBC579C" w14:textId="77777777" w:rsidR="000B3F82" w:rsidRPr="002462F0" w:rsidRDefault="000B3F82" w:rsidP="000B3F82">
      <w:pPr>
        <w:pStyle w:val="Caption"/>
        <w:spacing w:before="0" w:after="0"/>
        <w:jc w:val="both"/>
        <w:rPr>
          <w:sz w:val="22"/>
          <w:lang w:eastAsia="fr-FR"/>
        </w:rPr>
      </w:pPr>
      <w:bookmarkStart w:id="495" w:name="_Toc184808455"/>
      <w:r w:rsidRPr="002462F0">
        <w:t xml:space="preserve">Figure </w:t>
      </w:r>
      <w:r w:rsidRPr="002462F0">
        <w:fldChar w:fldCharType="begin"/>
      </w:r>
      <w:r w:rsidRPr="002462F0">
        <w:instrText xml:space="preserve"> SEQ Figure \* ARABIC </w:instrText>
      </w:r>
      <w:r w:rsidRPr="002462F0">
        <w:fldChar w:fldCharType="separate"/>
      </w:r>
      <w:r>
        <w:rPr>
          <w:noProof/>
        </w:rPr>
        <w:t>68</w:t>
      </w:r>
      <w:r w:rsidRPr="002462F0">
        <w:fldChar w:fldCharType="end"/>
      </w:r>
      <w:r w:rsidRPr="002462F0">
        <w:t xml:space="preserve">: GHG emissions trends for </w:t>
      </w:r>
      <w:r>
        <w:t>the non-energy product uses (CRT 2D), for the period 1990-2022, per subcategory</w:t>
      </w:r>
      <w:r w:rsidRPr="002462F0">
        <w:t xml:space="preserve"> (</w:t>
      </w:r>
      <w:r>
        <w:t xml:space="preserve">in </w:t>
      </w:r>
      <w:r w:rsidRPr="002462F0">
        <w:t>kt CO</w:t>
      </w:r>
      <w:r w:rsidRPr="002462F0">
        <w:rPr>
          <w:vertAlign w:val="subscript"/>
        </w:rPr>
        <w:t>2</w:t>
      </w:r>
      <w:r w:rsidRPr="002462F0">
        <w:t>e)</w:t>
      </w:r>
      <w:bookmarkEnd w:id="495"/>
    </w:p>
    <w:p w14:paraId="632E3F91" w14:textId="4AC6AABA" w:rsidR="00ED687D" w:rsidRPr="002462F0" w:rsidRDefault="00002453" w:rsidP="00ED687D">
      <w:pPr>
        <w:pStyle w:val="Heading3"/>
        <w:rPr>
          <w:lang w:eastAsia="fr-FR"/>
        </w:rPr>
      </w:pPr>
      <w:bookmarkStart w:id="496" w:name="_Toc182327850"/>
      <w:bookmarkStart w:id="497" w:name="_Toc184808230"/>
      <w:r>
        <w:rPr>
          <w:lang w:eastAsia="fr-FR"/>
        </w:rPr>
        <w:t>Lubricant use</w:t>
      </w:r>
      <w:r w:rsidR="00ED687D" w:rsidRPr="002462F0">
        <w:rPr>
          <w:lang w:eastAsia="fr-FR"/>
        </w:rPr>
        <w:t xml:space="preserve"> (CR</w:t>
      </w:r>
      <w:r w:rsidR="00793D16">
        <w:rPr>
          <w:lang w:eastAsia="fr-FR"/>
        </w:rPr>
        <w:t>T</w:t>
      </w:r>
      <w:r w:rsidR="00ED687D" w:rsidRPr="002462F0">
        <w:rPr>
          <w:lang w:eastAsia="fr-FR"/>
        </w:rPr>
        <w:t xml:space="preserve"> 2</w:t>
      </w:r>
      <w:r w:rsidR="00793D16">
        <w:rPr>
          <w:lang w:eastAsia="fr-FR"/>
        </w:rPr>
        <w:t>D1</w:t>
      </w:r>
      <w:r w:rsidR="00ED687D" w:rsidRPr="002462F0">
        <w:rPr>
          <w:lang w:eastAsia="fr-FR"/>
        </w:rPr>
        <w:t>)</w:t>
      </w:r>
      <w:bookmarkEnd w:id="496"/>
      <w:bookmarkEnd w:id="497"/>
    </w:p>
    <w:p w14:paraId="00499989" w14:textId="77777777" w:rsidR="00ED687D" w:rsidRPr="002462F0" w:rsidRDefault="00ED687D" w:rsidP="00ED687D">
      <w:pPr>
        <w:pStyle w:val="Titre4Bleu"/>
        <w:rPr>
          <w:lang w:eastAsia="fr-FR"/>
        </w:rPr>
      </w:pPr>
      <w:bookmarkStart w:id="498" w:name="_Toc182327851"/>
      <w:r w:rsidRPr="002462F0">
        <w:rPr>
          <w:lang w:eastAsia="fr-FR"/>
        </w:rPr>
        <w:t>Category description</w:t>
      </w:r>
      <w:bookmarkEnd w:id="498"/>
    </w:p>
    <w:p w14:paraId="2293D9EA" w14:textId="45A4A838" w:rsidR="00ED687D" w:rsidRPr="002462F0" w:rsidRDefault="00ED687D" w:rsidP="00ED687D">
      <w:pPr>
        <w:autoSpaceDE w:val="0"/>
        <w:autoSpaceDN w:val="0"/>
        <w:adjustRightInd w:val="0"/>
        <w:spacing w:after="0" w:line="240" w:lineRule="auto"/>
        <w:rPr>
          <w:lang w:eastAsia="fr-FR"/>
        </w:rPr>
      </w:pPr>
      <w:r w:rsidRPr="002462F0">
        <w:rPr>
          <w:lang w:eastAsia="fr-FR"/>
        </w:rPr>
        <w:t>CO</w:t>
      </w:r>
      <w:r w:rsidRPr="002462F0">
        <w:rPr>
          <w:vertAlign w:val="subscript"/>
          <w:lang w:eastAsia="fr-FR"/>
        </w:rPr>
        <w:t>2</w:t>
      </w:r>
      <w:r w:rsidRPr="002462F0">
        <w:rPr>
          <w:lang w:eastAsia="fr-FR"/>
        </w:rPr>
        <w:t xml:space="preserve"> emissions are </w:t>
      </w:r>
      <w:r w:rsidR="00F53516">
        <w:rPr>
          <w:lang w:eastAsia="fr-FR"/>
        </w:rPr>
        <w:t>implied by</w:t>
      </w:r>
      <w:r w:rsidRPr="002462F0">
        <w:rPr>
          <w:lang w:eastAsia="fr-FR"/>
        </w:rPr>
        <w:t xml:space="preserve"> the use of </w:t>
      </w:r>
      <w:r w:rsidR="00F53516">
        <w:rPr>
          <w:lang w:eastAsia="fr-FR"/>
        </w:rPr>
        <w:t xml:space="preserve">lubricant </w:t>
      </w:r>
      <w:r w:rsidRPr="002462F0">
        <w:rPr>
          <w:lang w:eastAsia="fr-FR"/>
        </w:rPr>
        <w:t xml:space="preserve">in </w:t>
      </w:r>
      <w:r w:rsidR="00C76FC9">
        <w:rPr>
          <w:lang w:eastAsia="fr-FR"/>
        </w:rPr>
        <w:t>industrial and road applications</w:t>
      </w:r>
      <w:r w:rsidRPr="002462F0">
        <w:rPr>
          <w:lang w:eastAsia="fr-FR"/>
        </w:rPr>
        <w:t xml:space="preserve">. </w:t>
      </w:r>
      <w:r w:rsidR="00C76FC9">
        <w:rPr>
          <w:lang w:eastAsia="fr-FR"/>
        </w:rPr>
        <w:t xml:space="preserve">In this sector, only emissions related to non-energy use of lubricants are considered. The use of lubricant </w:t>
      </w:r>
      <w:r w:rsidR="006638D3">
        <w:rPr>
          <w:lang w:eastAsia="fr-FR"/>
        </w:rPr>
        <w:t>in mixtures with fuel such as gasoline, where it is burned in engines, is not considered in this section but in the CRT</w:t>
      </w:r>
      <w:r w:rsidR="00C76FC9">
        <w:rPr>
          <w:lang w:eastAsia="fr-FR"/>
        </w:rPr>
        <w:t xml:space="preserve"> </w:t>
      </w:r>
      <w:r w:rsidR="006638D3">
        <w:rPr>
          <w:lang w:eastAsia="fr-FR"/>
        </w:rPr>
        <w:t xml:space="preserve">1A3b or the non-road mobile sectors. </w:t>
      </w:r>
    </w:p>
    <w:p w14:paraId="1D1BA1E1" w14:textId="77777777" w:rsidR="00ED687D" w:rsidRPr="002462F0" w:rsidRDefault="00ED687D" w:rsidP="00ED687D">
      <w:pPr>
        <w:autoSpaceDE w:val="0"/>
        <w:autoSpaceDN w:val="0"/>
        <w:adjustRightInd w:val="0"/>
        <w:spacing w:after="0" w:line="240" w:lineRule="auto"/>
        <w:rPr>
          <w:lang w:eastAsia="fr-FR"/>
        </w:rPr>
      </w:pPr>
    </w:p>
    <w:p w14:paraId="481DFB9F" w14:textId="53B8E7AD" w:rsidR="00ED687D" w:rsidRPr="002462F0" w:rsidRDefault="00ED687D" w:rsidP="000B3F82">
      <w:pPr>
        <w:autoSpaceDE w:val="0"/>
        <w:autoSpaceDN w:val="0"/>
        <w:adjustRightInd w:val="0"/>
        <w:spacing w:line="240" w:lineRule="auto"/>
        <w:rPr>
          <w:lang w:val="en-US" w:eastAsia="fr-FR"/>
        </w:rPr>
      </w:pPr>
      <w:r w:rsidRPr="002462F0">
        <w:rPr>
          <w:lang w:val="en-US" w:eastAsia="fr-FR"/>
        </w:rPr>
        <w:t>In 20</w:t>
      </w:r>
      <w:r>
        <w:rPr>
          <w:lang w:val="en-US" w:eastAsia="fr-FR"/>
        </w:rPr>
        <w:t>22</w:t>
      </w:r>
      <w:r w:rsidRPr="002462F0">
        <w:rPr>
          <w:lang w:val="en-US" w:eastAsia="fr-FR"/>
        </w:rPr>
        <w:t xml:space="preserve">, the category </w:t>
      </w:r>
      <w:r w:rsidR="00912F1B">
        <w:rPr>
          <w:lang w:val="en-US" w:eastAsia="fr-FR"/>
        </w:rPr>
        <w:t xml:space="preserve">Lubricant use </w:t>
      </w:r>
      <w:r w:rsidRPr="002462F0">
        <w:rPr>
          <w:lang w:val="en-US" w:eastAsia="fr-FR"/>
        </w:rPr>
        <w:t>is a key category in terms of emissions trend</w:t>
      </w:r>
      <w:r w:rsidR="006368E6">
        <w:rPr>
          <w:lang w:val="en-US" w:eastAsia="fr-FR"/>
        </w:rPr>
        <w:t>, in the Republic of Serbia</w:t>
      </w:r>
      <w:r w:rsidRPr="002462F0">
        <w:rPr>
          <w:lang w:val="en-US" w:eastAsia="fr-FR"/>
        </w:rPr>
        <w:t>.</w:t>
      </w:r>
      <w:r w:rsidR="00BC7A25">
        <w:rPr>
          <w:lang w:val="en-US" w:eastAsia="fr-FR"/>
        </w:rPr>
        <w:t xml:space="preserve"> </w:t>
      </w:r>
      <w:r w:rsidR="006368E6" w:rsidRPr="002462F0">
        <w:rPr>
          <w:lang w:val="en-US"/>
        </w:rPr>
        <w:t>This sector contributes to</w:t>
      </w:r>
      <w:r w:rsidR="006368E6" w:rsidRPr="002462F0">
        <w:rPr>
          <w:color w:val="FF0000"/>
          <w:lang w:val="en-US"/>
        </w:rPr>
        <w:t xml:space="preserve"> </w:t>
      </w:r>
      <w:r w:rsidR="006368E6">
        <w:rPr>
          <w:lang w:val="en-US"/>
        </w:rPr>
        <w:t>0.4</w:t>
      </w:r>
      <w:r w:rsidR="006368E6" w:rsidRPr="002B50EA">
        <w:rPr>
          <w:lang w:val="en-US"/>
        </w:rPr>
        <w:t xml:space="preserve">% </w:t>
      </w:r>
      <w:r w:rsidR="006368E6" w:rsidRPr="002462F0">
        <w:rPr>
          <w:lang w:val="en-US"/>
        </w:rPr>
        <w:t xml:space="preserve">in terms of emission trend (rank </w:t>
      </w:r>
      <w:r w:rsidR="006368E6">
        <w:rPr>
          <w:lang w:val="en-US"/>
        </w:rPr>
        <w:t>44</w:t>
      </w:r>
      <w:r w:rsidR="006368E6" w:rsidRPr="002462F0">
        <w:rPr>
          <w:lang w:val="en-US"/>
        </w:rPr>
        <w:t>).</w:t>
      </w:r>
    </w:p>
    <w:p w14:paraId="6F069CBD" w14:textId="0B9E33FE" w:rsidR="00ED687D" w:rsidRPr="002462F0" w:rsidRDefault="00A90F82" w:rsidP="000B3F82">
      <w:pPr>
        <w:autoSpaceDE w:val="0"/>
        <w:autoSpaceDN w:val="0"/>
        <w:adjustRightInd w:val="0"/>
        <w:spacing w:after="0" w:line="240" w:lineRule="auto"/>
        <w:jc w:val="left"/>
        <w:rPr>
          <w:lang w:eastAsia="fr-FR"/>
        </w:rPr>
      </w:pPr>
      <w:r>
        <w:rPr>
          <w:noProof/>
          <w:lang w:val="en-US"/>
        </w:rPr>
        <w:drawing>
          <wp:inline distT="0" distB="0" distL="0" distR="0" wp14:anchorId="7FD5A8C5" wp14:editId="6050BE82">
            <wp:extent cx="5760000" cy="1753712"/>
            <wp:effectExtent l="0" t="0" r="0" b="0"/>
            <wp:docPr id="106838598"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0F204D03" w14:textId="77777777" w:rsidR="000B3F82" w:rsidRPr="002462F0" w:rsidRDefault="000B3F82" w:rsidP="000B3F82">
      <w:pPr>
        <w:pStyle w:val="Caption"/>
        <w:keepNext/>
        <w:spacing w:before="0" w:after="0"/>
        <w:jc w:val="left"/>
      </w:pPr>
      <w:bookmarkStart w:id="499" w:name="_Toc184808456"/>
      <w:r w:rsidRPr="002462F0">
        <w:t xml:space="preserve">Figure </w:t>
      </w:r>
      <w:r w:rsidRPr="002462F0">
        <w:fldChar w:fldCharType="begin"/>
      </w:r>
      <w:r w:rsidRPr="002462F0">
        <w:instrText xml:space="preserve"> SEQ Figure \* ARABIC </w:instrText>
      </w:r>
      <w:r w:rsidRPr="002462F0">
        <w:fldChar w:fldCharType="separate"/>
      </w:r>
      <w:r>
        <w:rPr>
          <w:noProof/>
        </w:rPr>
        <w:t>69</w:t>
      </w:r>
      <w:r w:rsidRPr="002462F0">
        <w:fldChar w:fldCharType="end"/>
      </w:r>
      <w:r w:rsidRPr="002462F0">
        <w:t>: CO</w:t>
      </w:r>
      <w:r w:rsidRPr="002462F0">
        <w:rPr>
          <w:vertAlign w:val="subscript"/>
        </w:rPr>
        <w:t>2</w:t>
      </w:r>
      <w:r w:rsidRPr="002462F0">
        <w:t xml:space="preserve"> emissions for </w:t>
      </w:r>
      <w:r>
        <w:t>lubricant</w:t>
      </w:r>
      <w:r w:rsidRPr="002462F0">
        <w:t xml:space="preserve"> </w:t>
      </w:r>
      <w:r>
        <w:t xml:space="preserve">use, for the period 1990-2022 </w:t>
      </w:r>
      <w:r w:rsidRPr="002462F0">
        <w:t>(</w:t>
      </w:r>
      <w:r>
        <w:t xml:space="preserve">in </w:t>
      </w:r>
      <w:r w:rsidRPr="002462F0">
        <w:t>kt CO</w:t>
      </w:r>
      <w:r w:rsidRPr="002462F0">
        <w:rPr>
          <w:vertAlign w:val="subscript"/>
        </w:rPr>
        <w:t>2</w:t>
      </w:r>
      <w:r w:rsidRPr="002462F0">
        <w:t>e)</w:t>
      </w:r>
      <w:bookmarkEnd w:id="499"/>
    </w:p>
    <w:p w14:paraId="4B5ECE61" w14:textId="77777777" w:rsidR="000B3F82" w:rsidRPr="002462F0" w:rsidRDefault="000B3F82" w:rsidP="00ED687D">
      <w:pPr>
        <w:autoSpaceDE w:val="0"/>
        <w:autoSpaceDN w:val="0"/>
        <w:adjustRightInd w:val="0"/>
        <w:spacing w:after="0" w:line="240" w:lineRule="auto"/>
        <w:rPr>
          <w:rFonts w:cs="MyriadPro-Regular"/>
          <w:color w:val="1D1D1B"/>
          <w:szCs w:val="20"/>
        </w:rPr>
      </w:pPr>
    </w:p>
    <w:p w14:paraId="236EE4A3" w14:textId="6E2B872D" w:rsidR="00ED687D" w:rsidRPr="00622F40" w:rsidRDefault="00ED687D" w:rsidP="00ED687D">
      <w:pPr>
        <w:autoSpaceDE w:val="0"/>
        <w:autoSpaceDN w:val="0"/>
        <w:adjustRightInd w:val="0"/>
        <w:spacing w:after="0" w:line="240" w:lineRule="auto"/>
        <w:rPr>
          <w:rFonts w:cs="MyriadPro-Regular"/>
          <w:color w:val="1D1D1B"/>
          <w:szCs w:val="20"/>
        </w:rPr>
      </w:pPr>
      <w:r w:rsidRPr="002462F0">
        <w:rPr>
          <w:rFonts w:cs="MyriadPro-Regular"/>
          <w:color w:val="1D1D1B"/>
          <w:szCs w:val="20"/>
        </w:rPr>
        <w:t>CO</w:t>
      </w:r>
      <w:r w:rsidRPr="002462F0">
        <w:rPr>
          <w:rFonts w:cs="MyriadPro-Regular"/>
          <w:color w:val="1D1D1B"/>
          <w:szCs w:val="20"/>
          <w:vertAlign w:val="subscript"/>
        </w:rPr>
        <w:t>2</w:t>
      </w:r>
      <w:r w:rsidRPr="002462F0">
        <w:rPr>
          <w:rFonts w:cs="MyriadPro-Regular"/>
          <w:color w:val="1D1D1B"/>
          <w:szCs w:val="20"/>
        </w:rPr>
        <w:t xml:space="preserve"> emissions from </w:t>
      </w:r>
      <w:r w:rsidR="0032622B">
        <w:rPr>
          <w:rFonts w:cs="MyriadPro-Regular"/>
          <w:color w:val="1D1D1B"/>
          <w:szCs w:val="20"/>
        </w:rPr>
        <w:t>lubricant use d</w:t>
      </w:r>
      <w:r w:rsidR="006930F1">
        <w:rPr>
          <w:rFonts w:cs="MyriadPro-Regular"/>
          <w:color w:val="1D1D1B"/>
          <w:szCs w:val="20"/>
        </w:rPr>
        <w:t xml:space="preserve">eclined rapidly between 1990 and 1992, in relation with the </w:t>
      </w:r>
      <w:r w:rsidR="000B3F82">
        <w:rPr>
          <w:rFonts w:cs="MyriadPro-Regular"/>
          <w:color w:val="1D1D1B"/>
          <w:szCs w:val="20"/>
        </w:rPr>
        <w:t>economic downturn</w:t>
      </w:r>
      <w:r w:rsidR="006930F1">
        <w:rPr>
          <w:rFonts w:cs="MyriadPro-Regular"/>
          <w:color w:val="1D1D1B"/>
          <w:szCs w:val="20"/>
        </w:rPr>
        <w:t xml:space="preserve">. </w:t>
      </w:r>
      <w:r w:rsidR="004E3B6E">
        <w:rPr>
          <w:rFonts w:cs="MyriadPro-Regular"/>
          <w:color w:val="1D1D1B"/>
          <w:szCs w:val="20"/>
        </w:rPr>
        <w:t xml:space="preserve">Emissions related to </w:t>
      </w:r>
      <w:r w:rsidR="003B7501">
        <w:rPr>
          <w:rFonts w:cs="MyriadPro-Regular"/>
          <w:color w:val="1D1D1B"/>
          <w:szCs w:val="20"/>
        </w:rPr>
        <w:t xml:space="preserve">lubricant use are </w:t>
      </w:r>
      <w:r w:rsidR="00EC1853">
        <w:rPr>
          <w:rFonts w:cs="MyriadPro-Regular"/>
          <w:color w:val="1D1D1B"/>
          <w:szCs w:val="20"/>
        </w:rPr>
        <w:t xml:space="preserve">then </w:t>
      </w:r>
      <w:r w:rsidR="003B7501">
        <w:rPr>
          <w:rFonts w:cs="MyriadPro-Regular"/>
          <w:color w:val="1D1D1B"/>
          <w:szCs w:val="20"/>
        </w:rPr>
        <w:t>estimated from 1999</w:t>
      </w:r>
      <w:r w:rsidR="00EC1853">
        <w:rPr>
          <w:rFonts w:cs="MyriadPro-Regular"/>
          <w:color w:val="1D1D1B"/>
          <w:szCs w:val="20"/>
        </w:rPr>
        <w:t xml:space="preserve"> to </w:t>
      </w:r>
      <w:r w:rsidR="003B7501">
        <w:rPr>
          <w:rFonts w:cs="MyriadPro-Regular"/>
          <w:color w:val="1D1D1B"/>
          <w:szCs w:val="20"/>
        </w:rPr>
        <w:t xml:space="preserve">2022, </w:t>
      </w:r>
      <w:r w:rsidR="00EC1853">
        <w:rPr>
          <w:rFonts w:cs="MyriadPro-Regular"/>
          <w:color w:val="1D1D1B"/>
          <w:szCs w:val="20"/>
        </w:rPr>
        <w:t xml:space="preserve">increased progressively </w:t>
      </w:r>
      <w:r w:rsidR="002A012D">
        <w:rPr>
          <w:rFonts w:cs="MyriadPro-Regular"/>
          <w:color w:val="1D1D1B"/>
          <w:szCs w:val="20"/>
        </w:rPr>
        <w:t>until 2008, before being rather stable and slightly oscillating</w:t>
      </w:r>
      <w:r w:rsidR="002B60FB">
        <w:rPr>
          <w:rFonts w:cs="MyriadPro-Regular"/>
          <w:color w:val="1D1D1B"/>
          <w:szCs w:val="20"/>
        </w:rPr>
        <w:t xml:space="preserve"> up to 2022</w:t>
      </w:r>
      <w:r w:rsidR="002A012D">
        <w:rPr>
          <w:rFonts w:cs="MyriadPro-Regular"/>
          <w:color w:val="1D1D1B"/>
          <w:szCs w:val="20"/>
        </w:rPr>
        <w:t>.</w:t>
      </w:r>
      <w:r w:rsidR="002B60FB">
        <w:rPr>
          <w:rFonts w:cs="MyriadPro-Regular"/>
          <w:color w:val="1D1D1B"/>
          <w:szCs w:val="20"/>
        </w:rPr>
        <w:t xml:space="preserve"> </w:t>
      </w:r>
      <w:r w:rsidR="007F287F">
        <w:rPr>
          <w:rFonts w:cs="MyriadPro-Regular"/>
          <w:color w:val="1D1D1B"/>
          <w:szCs w:val="20"/>
        </w:rPr>
        <w:t>The lubricant consumption varies partly in consequence of the road traffic.</w:t>
      </w:r>
      <w:r w:rsidR="002A012D">
        <w:rPr>
          <w:rFonts w:cs="MyriadPro-Regular"/>
          <w:color w:val="1D1D1B"/>
          <w:szCs w:val="20"/>
        </w:rPr>
        <w:t xml:space="preserve"> </w:t>
      </w:r>
    </w:p>
    <w:p w14:paraId="70461761" w14:textId="77777777" w:rsidR="00ED687D" w:rsidRPr="002462F0" w:rsidRDefault="00ED687D" w:rsidP="00ED687D">
      <w:pPr>
        <w:pStyle w:val="Titre4Bleu"/>
        <w:rPr>
          <w:lang w:eastAsia="fr-FR"/>
        </w:rPr>
      </w:pPr>
      <w:bookmarkStart w:id="500" w:name="_Toc182327852"/>
      <w:r w:rsidRPr="002462F0">
        <w:rPr>
          <w:lang w:eastAsia="fr-FR"/>
        </w:rPr>
        <w:t>Methodological issues</w:t>
      </w:r>
      <w:bookmarkEnd w:id="500"/>
      <w:r w:rsidRPr="002462F0">
        <w:rPr>
          <w:lang w:eastAsia="fr-FR"/>
        </w:rPr>
        <w:t xml:space="preserve"> </w:t>
      </w:r>
    </w:p>
    <w:p w14:paraId="4BFBE018" w14:textId="73D58A60" w:rsidR="00ED687D" w:rsidRPr="002462F0" w:rsidRDefault="00ED687D" w:rsidP="00622F40">
      <w:pPr>
        <w:rPr>
          <w:lang w:eastAsia="fr-FR"/>
        </w:rPr>
      </w:pPr>
      <w:r w:rsidRPr="002462F0">
        <w:rPr>
          <w:lang w:eastAsia="fr-FR"/>
        </w:rPr>
        <w:lastRenderedPageBreak/>
        <w:t>The Tier 1 method from the 2006 IPCC Guidelines is used to calculate the CO</w:t>
      </w:r>
      <w:r w:rsidRPr="002462F0">
        <w:rPr>
          <w:vertAlign w:val="subscript"/>
          <w:lang w:eastAsia="fr-FR"/>
        </w:rPr>
        <w:t>2</w:t>
      </w:r>
      <w:r w:rsidRPr="002462F0">
        <w:rPr>
          <w:lang w:eastAsia="fr-FR"/>
        </w:rPr>
        <w:t xml:space="preserve"> emissions (equation </w:t>
      </w:r>
      <w:r w:rsidR="0043159F">
        <w:rPr>
          <w:lang w:eastAsia="fr-FR"/>
        </w:rPr>
        <w:t>5.2</w:t>
      </w:r>
      <w:r>
        <w:rPr>
          <w:lang w:eastAsia="fr-FR"/>
        </w:rPr>
        <w:t xml:space="preserve"> of the 2006 IPCC Guidelines</w:t>
      </w:r>
      <w:r w:rsidR="0043159F">
        <w:rPr>
          <w:lang w:eastAsia="fr-FR"/>
        </w:rPr>
        <w:t xml:space="preserve"> </w:t>
      </w:r>
      <w:r w:rsidR="003452F7">
        <w:rPr>
          <w:lang w:eastAsia="fr-FR"/>
        </w:rPr>
        <w:fldChar w:fldCharType="begin"/>
      </w:r>
      <w:r w:rsidR="003452F7">
        <w:rPr>
          <w:lang w:eastAsia="fr-FR"/>
        </w:rPr>
        <w:instrText xml:space="preserve"> REF _Ref177133827 \r \h </w:instrText>
      </w:r>
      <w:r w:rsidR="003452F7">
        <w:rPr>
          <w:lang w:eastAsia="fr-FR"/>
        </w:rPr>
      </w:r>
      <w:r w:rsidR="003452F7">
        <w:rPr>
          <w:lang w:eastAsia="fr-FR"/>
        </w:rPr>
        <w:fldChar w:fldCharType="separate"/>
      </w:r>
      <w:r w:rsidR="00F14C78">
        <w:rPr>
          <w:lang w:eastAsia="fr-FR"/>
        </w:rPr>
        <w:t>[I34]</w:t>
      </w:r>
      <w:r w:rsidR="003452F7">
        <w:rPr>
          <w:lang w:eastAsia="fr-FR"/>
        </w:rPr>
        <w:fldChar w:fldCharType="end"/>
      </w:r>
      <w:r w:rsidRPr="002462F0">
        <w:rPr>
          <w:lang w:eastAsia="fr-FR"/>
        </w:rPr>
        <w:t xml:space="preserve">). </w:t>
      </w:r>
    </w:p>
    <w:p w14:paraId="18D0DC4D" w14:textId="0FE41710" w:rsidR="00ED687D" w:rsidRPr="002462F0" w:rsidRDefault="00ED687D" w:rsidP="00622F40">
      <w:pPr>
        <w:rPr>
          <w:lang w:eastAsia="fr-FR"/>
        </w:rPr>
      </w:pPr>
      <w:r w:rsidRPr="002462F0">
        <w:rPr>
          <w:lang w:eastAsia="fr-FR"/>
        </w:rPr>
        <w:t xml:space="preserve">The national </w:t>
      </w:r>
      <w:r w:rsidR="004316A3">
        <w:rPr>
          <w:lang w:eastAsia="fr-FR"/>
        </w:rPr>
        <w:t>non-energy lubricant consumption</w:t>
      </w:r>
      <w:r w:rsidRPr="002462F0">
        <w:rPr>
          <w:lang w:eastAsia="fr-FR"/>
        </w:rPr>
        <w:t xml:space="preserve"> </w:t>
      </w:r>
      <w:r w:rsidR="00440E68">
        <w:rPr>
          <w:lang w:eastAsia="fr-FR"/>
        </w:rPr>
        <w:t>is sourced</w:t>
      </w:r>
      <w:r w:rsidRPr="002462F0">
        <w:rPr>
          <w:lang w:eastAsia="fr-FR"/>
        </w:rPr>
        <w:t xml:space="preserve"> from </w:t>
      </w:r>
      <w:r w:rsidR="004316A3">
        <w:rPr>
          <w:lang w:eastAsia="fr-FR"/>
        </w:rPr>
        <w:t xml:space="preserve">the </w:t>
      </w:r>
      <w:r w:rsidR="004316A3" w:rsidRPr="002462F0">
        <w:rPr>
          <w:lang w:eastAsia="fr-FR"/>
        </w:rPr>
        <w:t>energy balance of</w:t>
      </w:r>
      <w:r w:rsidR="004316A3">
        <w:rPr>
          <w:lang w:eastAsia="fr-FR"/>
        </w:rPr>
        <w:t xml:space="preserve"> Serbia </w:t>
      </w:r>
      <w:r w:rsidR="004316A3">
        <w:rPr>
          <w:lang w:eastAsia="fr-FR"/>
        </w:rPr>
        <w:fldChar w:fldCharType="begin"/>
      </w:r>
      <w:r w:rsidR="004316A3">
        <w:rPr>
          <w:lang w:eastAsia="fr-FR"/>
        </w:rPr>
        <w:instrText xml:space="preserve"> REF _Ref496787656 \r \h </w:instrText>
      </w:r>
      <w:r w:rsidR="004316A3">
        <w:rPr>
          <w:lang w:eastAsia="fr-FR"/>
        </w:rPr>
      </w:r>
      <w:r w:rsidR="004316A3">
        <w:rPr>
          <w:lang w:eastAsia="fr-FR"/>
        </w:rPr>
        <w:fldChar w:fldCharType="separate"/>
      </w:r>
      <w:r w:rsidR="00F14C78">
        <w:rPr>
          <w:lang w:eastAsia="fr-FR"/>
        </w:rPr>
        <w:t>[E2]</w:t>
      </w:r>
      <w:r w:rsidR="004316A3">
        <w:rPr>
          <w:lang w:eastAsia="fr-FR"/>
        </w:rPr>
        <w:fldChar w:fldCharType="end"/>
      </w:r>
      <w:r w:rsidR="004316A3" w:rsidRPr="002462F0">
        <w:rPr>
          <w:lang w:eastAsia="fr-FR"/>
        </w:rPr>
        <w:t>.</w:t>
      </w:r>
      <w:r w:rsidRPr="002462F0">
        <w:rPr>
          <w:lang w:eastAsia="fr-FR"/>
        </w:rPr>
        <w:t xml:space="preserve"> </w:t>
      </w:r>
    </w:p>
    <w:p w14:paraId="2A3DF1A4" w14:textId="76C86A99" w:rsidR="00585C43" w:rsidRDefault="002C5013" w:rsidP="00622F40">
      <w:pPr>
        <w:rPr>
          <w:lang w:eastAsia="fr-FR"/>
        </w:rPr>
      </w:pPr>
      <w:r>
        <w:rPr>
          <w:lang w:eastAsia="fr-FR"/>
        </w:rPr>
        <w:t>The</w:t>
      </w:r>
      <w:r w:rsidR="00ED687D" w:rsidRPr="002462F0">
        <w:rPr>
          <w:lang w:eastAsia="fr-FR"/>
        </w:rPr>
        <w:t xml:space="preserve"> default CO</w:t>
      </w:r>
      <w:r w:rsidR="00ED687D" w:rsidRPr="002462F0">
        <w:rPr>
          <w:vertAlign w:val="subscript"/>
          <w:lang w:eastAsia="fr-FR"/>
        </w:rPr>
        <w:t>2</w:t>
      </w:r>
      <w:r w:rsidR="00ED687D" w:rsidRPr="002462F0">
        <w:rPr>
          <w:lang w:eastAsia="fr-FR"/>
        </w:rPr>
        <w:t xml:space="preserve"> emission factor fr</w:t>
      </w:r>
      <w:r w:rsidR="00ED687D">
        <w:rPr>
          <w:lang w:eastAsia="fr-FR"/>
        </w:rPr>
        <w:t xml:space="preserve">om the 2006 IPCC Guidelines </w:t>
      </w:r>
      <w:r w:rsidR="00375AC1">
        <w:rPr>
          <w:lang w:eastAsia="fr-FR"/>
        </w:rPr>
        <w:fldChar w:fldCharType="begin"/>
      </w:r>
      <w:r w:rsidR="00375AC1">
        <w:rPr>
          <w:lang w:eastAsia="fr-FR"/>
        </w:rPr>
        <w:instrText xml:space="preserve"> REF _Ref177134798 \r \h </w:instrText>
      </w:r>
      <w:r w:rsidR="00375AC1">
        <w:rPr>
          <w:lang w:eastAsia="fr-FR"/>
        </w:rPr>
      </w:r>
      <w:r w:rsidR="00375AC1">
        <w:rPr>
          <w:lang w:eastAsia="fr-FR"/>
        </w:rPr>
        <w:fldChar w:fldCharType="separate"/>
      </w:r>
      <w:r w:rsidR="00F14C78">
        <w:rPr>
          <w:lang w:eastAsia="fr-FR"/>
        </w:rPr>
        <w:t>[I35]</w:t>
      </w:r>
      <w:r w:rsidR="00375AC1">
        <w:rPr>
          <w:lang w:eastAsia="fr-FR"/>
        </w:rPr>
        <w:fldChar w:fldCharType="end"/>
      </w:r>
      <w:r w:rsidR="00ED687D" w:rsidRPr="002462F0">
        <w:rPr>
          <w:lang w:eastAsia="fr-FR"/>
        </w:rPr>
        <w:t xml:space="preserve"> </w:t>
      </w:r>
      <w:r w:rsidR="005348ED">
        <w:rPr>
          <w:lang w:eastAsia="fr-FR"/>
        </w:rPr>
        <w:t xml:space="preserve">is used and its value is </w:t>
      </w:r>
      <w:r w:rsidR="00434755">
        <w:rPr>
          <w:lang w:eastAsia="fr-FR"/>
        </w:rPr>
        <w:t>20</w:t>
      </w:r>
      <w:r w:rsidR="00ED687D" w:rsidRPr="002462F0">
        <w:rPr>
          <w:lang w:eastAsia="fr-FR"/>
        </w:rPr>
        <w:t xml:space="preserve"> t C/</w:t>
      </w:r>
      <w:r w:rsidR="00375AC1">
        <w:rPr>
          <w:lang w:eastAsia="fr-FR"/>
        </w:rPr>
        <w:t>TJ</w:t>
      </w:r>
      <w:r w:rsidR="00ED687D" w:rsidRPr="002462F0">
        <w:rPr>
          <w:lang w:eastAsia="fr-FR"/>
        </w:rPr>
        <w:t>. It is considered constant for the entire time-series.</w:t>
      </w:r>
      <w:r w:rsidR="00434755">
        <w:rPr>
          <w:lang w:eastAsia="fr-FR"/>
        </w:rPr>
        <w:t xml:space="preserve"> The default oxidation fraction parameter for lubricants is taken as default value from the 2006 IPCC Guidelines and is of 0.2</w:t>
      </w:r>
      <w:r w:rsidR="00CC609C">
        <w:rPr>
          <w:lang w:eastAsia="fr-FR"/>
        </w:rPr>
        <w:t xml:space="preserve"> </w:t>
      </w:r>
      <w:r w:rsidR="00CC609C">
        <w:rPr>
          <w:lang w:eastAsia="fr-FR"/>
        </w:rPr>
        <w:fldChar w:fldCharType="begin"/>
      </w:r>
      <w:r w:rsidR="00CC609C">
        <w:rPr>
          <w:lang w:eastAsia="fr-FR"/>
        </w:rPr>
        <w:instrText xml:space="preserve"> REF _Ref177133827 \r \h </w:instrText>
      </w:r>
      <w:r w:rsidR="00CC609C">
        <w:rPr>
          <w:lang w:eastAsia="fr-FR"/>
        </w:rPr>
      </w:r>
      <w:r w:rsidR="00CC609C">
        <w:rPr>
          <w:lang w:eastAsia="fr-FR"/>
        </w:rPr>
        <w:fldChar w:fldCharType="separate"/>
      </w:r>
      <w:r w:rsidR="00F14C78">
        <w:rPr>
          <w:lang w:eastAsia="fr-FR"/>
        </w:rPr>
        <w:t>[I34]</w:t>
      </w:r>
      <w:r w:rsidR="00CC609C">
        <w:rPr>
          <w:lang w:eastAsia="fr-FR"/>
        </w:rPr>
        <w:fldChar w:fldCharType="end"/>
      </w:r>
      <w:r w:rsidR="00CC609C">
        <w:rPr>
          <w:lang w:eastAsia="fr-FR"/>
        </w:rPr>
        <w:t>.</w:t>
      </w:r>
    </w:p>
    <w:p w14:paraId="38302C48" w14:textId="71BDA946" w:rsidR="00CC609C" w:rsidRPr="002462F0" w:rsidRDefault="00CC609C" w:rsidP="00CC609C">
      <w:pPr>
        <w:pStyle w:val="Heading3"/>
        <w:rPr>
          <w:lang w:eastAsia="fr-FR"/>
        </w:rPr>
      </w:pPr>
      <w:bookmarkStart w:id="501" w:name="_Toc182327853"/>
      <w:bookmarkStart w:id="502" w:name="_Toc184808231"/>
      <w:r>
        <w:rPr>
          <w:lang w:eastAsia="fr-FR"/>
        </w:rPr>
        <w:t>Paraffin wax use</w:t>
      </w:r>
      <w:r w:rsidRPr="002462F0">
        <w:rPr>
          <w:lang w:eastAsia="fr-FR"/>
        </w:rPr>
        <w:t xml:space="preserve"> (CR</w:t>
      </w:r>
      <w:r>
        <w:rPr>
          <w:lang w:eastAsia="fr-FR"/>
        </w:rPr>
        <w:t>T</w:t>
      </w:r>
      <w:r w:rsidRPr="002462F0">
        <w:rPr>
          <w:lang w:eastAsia="fr-FR"/>
        </w:rPr>
        <w:t xml:space="preserve"> 2</w:t>
      </w:r>
      <w:r>
        <w:rPr>
          <w:lang w:eastAsia="fr-FR"/>
        </w:rPr>
        <w:t>D2</w:t>
      </w:r>
      <w:r w:rsidRPr="002462F0">
        <w:rPr>
          <w:lang w:eastAsia="fr-FR"/>
        </w:rPr>
        <w:t>)</w:t>
      </w:r>
      <w:bookmarkEnd w:id="501"/>
      <w:bookmarkEnd w:id="502"/>
    </w:p>
    <w:p w14:paraId="2B1F9DC0" w14:textId="77777777" w:rsidR="00CC609C" w:rsidRPr="002462F0" w:rsidRDefault="00CC609C" w:rsidP="00CC609C">
      <w:pPr>
        <w:pStyle w:val="Titre4Bleu"/>
        <w:rPr>
          <w:lang w:eastAsia="fr-FR"/>
        </w:rPr>
      </w:pPr>
      <w:bookmarkStart w:id="503" w:name="_Toc182327854"/>
      <w:r w:rsidRPr="002462F0">
        <w:rPr>
          <w:lang w:eastAsia="fr-FR"/>
        </w:rPr>
        <w:t>Category description</w:t>
      </w:r>
      <w:bookmarkEnd w:id="503"/>
    </w:p>
    <w:p w14:paraId="76F38F2F" w14:textId="1CAC9D6C" w:rsidR="00CC609C" w:rsidRPr="002462F0" w:rsidRDefault="00CC609C" w:rsidP="00CC609C">
      <w:pPr>
        <w:autoSpaceDE w:val="0"/>
        <w:autoSpaceDN w:val="0"/>
        <w:adjustRightInd w:val="0"/>
        <w:spacing w:after="0" w:line="240" w:lineRule="auto"/>
        <w:rPr>
          <w:lang w:eastAsia="fr-FR"/>
        </w:rPr>
      </w:pPr>
      <w:r w:rsidRPr="002462F0">
        <w:rPr>
          <w:lang w:eastAsia="fr-FR"/>
        </w:rPr>
        <w:t>CO</w:t>
      </w:r>
      <w:r w:rsidRPr="002462F0">
        <w:rPr>
          <w:vertAlign w:val="subscript"/>
          <w:lang w:eastAsia="fr-FR"/>
        </w:rPr>
        <w:t>2</w:t>
      </w:r>
      <w:r w:rsidRPr="002462F0">
        <w:rPr>
          <w:lang w:eastAsia="fr-FR"/>
        </w:rPr>
        <w:t xml:space="preserve"> emissions are </w:t>
      </w:r>
      <w:r>
        <w:rPr>
          <w:lang w:eastAsia="fr-FR"/>
        </w:rPr>
        <w:t>implied by</w:t>
      </w:r>
      <w:r w:rsidRPr="002462F0">
        <w:rPr>
          <w:lang w:eastAsia="fr-FR"/>
        </w:rPr>
        <w:t xml:space="preserve"> the use of </w:t>
      </w:r>
      <w:r w:rsidR="00DD3847">
        <w:rPr>
          <w:lang w:eastAsia="fr-FR"/>
        </w:rPr>
        <w:t>products such as paraffin wax, petroleum jelly, and other waxes, including ozokerite</w:t>
      </w:r>
      <w:r w:rsidRPr="002462F0">
        <w:rPr>
          <w:lang w:eastAsia="fr-FR"/>
        </w:rPr>
        <w:t xml:space="preserve">. </w:t>
      </w:r>
      <w:r w:rsidR="00D571C7">
        <w:rPr>
          <w:lang w:eastAsia="fr-FR"/>
        </w:rPr>
        <w:t xml:space="preserve">Paraffin waxes are used in various types of </w:t>
      </w:r>
      <w:r w:rsidR="000B3F82">
        <w:rPr>
          <w:lang w:eastAsia="fr-FR"/>
        </w:rPr>
        <w:t>products</w:t>
      </w:r>
      <w:r w:rsidR="00D571C7">
        <w:rPr>
          <w:lang w:eastAsia="fr-FR"/>
        </w:rPr>
        <w:t xml:space="preserve"> such as candles, paper coating, food production, surfactants, etc. Emissions arise </w:t>
      </w:r>
      <w:r w:rsidR="00745701">
        <w:rPr>
          <w:lang w:eastAsia="fr-FR"/>
        </w:rPr>
        <w:t xml:space="preserve">when these products are either burned or incinerated. However, when </w:t>
      </w:r>
      <w:r w:rsidR="00B511C2">
        <w:rPr>
          <w:lang w:eastAsia="fr-FR"/>
        </w:rPr>
        <w:t xml:space="preserve">paraffin wax products are incinerated, emissions should be considered in Energy or Waste sector </w:t>
      </w:r>
      <w:r w:rsidR="000B3F82">
        <w:rPr>
          <w:lang w:eastAsia="fr-FR"/>
        </w:rPr>
        <w:t>depending on</w:t>
      </w:r>
      <w:r w:rsidR="00B511C2">
        <w:rPr>
          <w:lang w:eastAsia="fr-FR"/>
        </w:rPr>
        <w:t xml:space="preserve"> </w:t>
      </w:r>
      <w:r w:rsidR="000B3F82">
        <w:rPr>
          <w:lang w:eastAsia="fr-FR"/>
        </w:rPr>
        <w:t>whether</w:t>
      </w:r>
      <w:r w:rsidR="00400434">
        <w:rPr>
          <w:lang w:eastAsia="fr-FR"/>
        </w:rPr>
        <w:t xml:space="preserve"> </w:t>
      </w:r>
      <w:r w:rsidR="00B511C2">
        <w:rPr>
          <w:lang w:eastAsia="fr-FR"/>
        </w:rPr>
        <w:t xml:space="preserve">there is </w:t>
      </w:r>
      <w:r w:rsidR="00400434">
        <w:rPr>
          <w:lang w:eastAsia="fr-FR"/>
        </w:rPr>
        <w:t>heat recovery.</w:t>
      </w:r>
    </w:p>
    <w:p w14:paraId="78C9065E" w14:textId="77777777" w:rsidR="00CC609C" w:rsidRPr="002462F0" w:rsidRDefault="00CC609C" w:rsidP="00CC609C">
      <w:pPr>
        <w:autoSpaceDE w:val="0"/>
        <w:autoSpaceDN w:val="0"/>
        <w:adjustRightInd w:val="0"/>
        <w:spacing w:after="0" w:line="240" w:lineRule="auto"/>
        <w:rPr>
          <w:lang w:eastAsia="fr-FR"/>
        </w:rPr>
      </w:pPr>
    </w:p>
    <w:p w14:paraId="53062D92" w14:textId="3E3AF747" w:rsidR="00CC609C" w:rsidRPr="002462F0" w:rsidRDefault="00CC609C" w:rsidP="00CC609C">
      <w:pPr>
        <w:autoSpaceDE w:val="0"/>
        <w:autoSpaceDN w:val="0"/>
        <w:adjustRightInd w:val="0"/>
        <w:spacing w:after="0" w:line="240" w:lineRule="auto"/>
        <w:rPr>
          <w:lang w:val="en-US" w:eastAsia="fr-FR"/>
        </w:rPr>
      </w:pPr>
      <w:r w:rsidRPr="002462F0">
        <w:rPr>
          <w:lang w:val="en-US" w:eastAsia="fr-FR"/>
        </w:rPr>
        <w:t>In 20</w:t>
      </w:r>
      <w:r>
        <w:rPr>
          <w:lang w:val="en-US" w:eastAsia="fr-FR"/>
        </w:rPr>
        <w:t>22</w:t>
      </w:r>
      <w:r w:rsidRPr="002462F0">
        <w:rPr>
          <w:lang w:val="en-US" w:eastAsia="fr-FR"/>
        </w:rPr>
        <w:t xml:space="preserve">, the category </w:t>
      </w:r>
      <w:r w:rsidR="00400434">
        <w:rPr>
          <w:lang w:val="en-US" w:eastAsia="fr-FR"/>
        </w:rPr>
        <w:t>Paraffin wax</w:t>
      </w:r>
      <w:r>
        <w:rPr>
          <w:lang w:val="en-US" w:eastAsia="fr-FR"/>
        </w:rPr>
        <w:t xml:space="preserve"> use </w:t>
      </w:r>
      <w:r w:rsidRPr="002462F0">
        <w:rPr>
          <w:lang w:val="en-US" w:eastAsia="fr-FR"/>
        </w:rPr>
        <w:t xml:space="preserve">is </w:t>
      </w:r>
      <w:r w:rsidR="00400434">
        <w:rPr>
          <w:lang w:val="en-US" w:eastAsia="fr-FR"/>
        </w:rPr>
        <w:t xml:space="preserve">neither a </w:t>
      </w:r>
      <w:r w:rsidRPr="002462F0">
        <w:rPr>
          <w:lang w:val="en-US" w:eastAsia="fr-FR"/>
        </w:rPr>
        <w:t>key category in terms of emission</w:t>
      </w:r>
      <w:r w:rsidR="00400434">
        <w:rPr>
          <w:lang w:val="en-US" w:eastAsia="fr-FR"/>
        </w:rPr>
        <w:t xml:space="preserve"> level</w:t>
      </w:r>
      <w:r w:rsidRPr="002462F0">
        <w:rPr>
          <w:lang w:val="en-US" w:eastAsia="fr-FR"/>
        </w:rPr>
        <w:t>s</w:t>
      </w:r>
      <w:r w:rsidR="00400434">
        <w:rPr>
          <w:lang w:val="en-US" w:eastAsia="fr-FR"/>
        </w:rPr>
        <w:t xml:space="preserve"> nor in emission</w:t>
      </w:r>
      <w:r w:rsidRPr="002462F0">
        <w:rPr>
          <w:lang w:val="en-US" w:eastAsia="fr-FR"/>
        </w:rPr>
        <w:t xml:space="preserve"> trend</w:t>
      </w:r>
      <w:r>
        <w:rPr>
          <w:lang w:val="en-US" w:eastAsia="fr-FR"/>
        </w:rPr>
        <w:t>, in the Republic of Serbia</w:t>
      </w:r>
      <w:r w:rsidRPr="002462F0">
        <w:rPr>
          <w:lang w:val="en-US" w:eastAsia="fr-FR"/>
        </w:rPr>
        <w:t>.</w:t>
      </w:r>
      <w:r>
        <w:rPr>
          <w:lang w:val="en-US" w:eastAsia="fr-FR"/>
        </w:rPr>
        <w:t xml:space="preserve"> </w:t>
      </w:r>
    </w:p>
    <w:p w14:paraId="73C1CAA5" w14:textId="71BDA946" w:rsidR="00CC609C" w:rsidRPr="002462F0" w:rsidRDefault="006A1852" w:rsidP="000B3F82">
      <w:pPr>
        <w:autoSpaceDE w:val="0"/>
        <w:autoSpaceDN w:val="0"/>
        <w:adjustRightInd w:val="0"/>
        <w:spacing w:after="0" w:line="240" w:lineRule="auto"/>
        <w:jc w:val="left"/>
        <w:rPr>
          <w:lang w:eastAsia="fr-FR"/>
        </w:rPr>
      </w:pPr>
      <w:r>
        <w:rPr>
          <w:noProof/>
          <w:lang w:val="en-US"/>
        </w:rPr>
        <w:drawing>
          <wp:inline distT="0" distB="0" distL="0" distR="0" wp14:anchorId="46E9EBD1" wp14:editId="0B00194A">
            <wp:extent cx="5760000" cy="1753712"/>
            <wp:effectExtent l="0" t="0" r="0" b="0"/>
            <wp:docPr id="1332435918"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220F285B" w14:textId="77777777" w:rsidR="000B3F82" w:rsidRPr="002462F0" w:rsidRDefault="000B3F82" w:rsidP="000B3F82">
      <w:pPr>
        <w:pStyle w:val="Caption"/>
        <w:keepNext/>
        <w:spacing w:before="0" w:after="0"/>
        <w:jc w:val="left"/>
      </w:pPr>
      <w:bookmarkStart w:id="504" w:name="_Toc184808457"/>
      <w:r w:rsidRPr="002462F0">
        <w:t xml:space="preserve">Figure </w:t>
      </w:r>
      <w:r w:rsidRPr="002462F0">
        <w:fldChar w:fldCharType="begin"/>
      </w:r>
      <w:r w:rsidRPr="002462F0">
        <w:instrText xml:space="preserve"> SEQ Figure \* ARABIC </w:instrText>
      </w:r>
      <w:r w:rsidRPr="002462F0">
        <w:fldChar w:fldCharType="separate"/>
      </w:r>
      <w:r>
        <w:rPr>
          <w:noProof/>
        </w:rPr>
        <w:t>70</w:t>
      </w:r>
      <w:r w:rsidRPr="002462F0">
        <w:fldChar w:fldCharType="end"/>
      </w:r>
      <w:r w:rsidRPr="002462F0">
        <w:t>: CO</w:t>
      </w:r>
      <w:r w:rsidRPr="002462F0">
        <w:rPr>
          <w:vertAlign w:val="subscript"/>
        </w:rPr>
        <w:t>2</w:t>
      </w:r>
      <w:r w:rsidRPr="002462F0">
        <w:t xml:space="preserve"> emissions for </w:t>
      </w:r>
      <w:r>
        <w:t xml:space="preserve">paraffin wax use, for the period 1990-2022 </w:t>
      </w:r>
      <w:r w:rsidRPr="002462F0">
        <w:t>(</w:t>
      </w:r>
      <w:r>
        <w:t xml:space="preserve">in </w:t>
      </w:r>
      <w:r w:rsidRPr="002462F0">
        <w:t>kt CO</w:t>
      </w:r>
      <w:r w:rsidRPr="002462F0">
        <w:rPr>
          <w:vertAlign w:val="subscript"/>
        </w:rPr>
        <w:t>2</w:t>
      </w:r>
      <w:r w:rsidRPr="002462F0">
        <w:t>e)</w:t>
      </w:r>
      <w:bookmarkEnd w:id="504"/>
    </w:p>
    <w:p w14:paraId="6C880D9B" w14:textId="77777777" w:rsidR="00CC609C" w:rsidRPr="002462F0" w:rsidRDefault="00CC609C" w:rsidP="00CC609C">
      <w:pPr>
        <w:autoSpaceDE w:val="0"/>
        <w:autoSpaceDN w:val="0"/>
        <w:adjustRightInd w:val="0"/>
        <w:spacing w:after="0" w:line="240" w:lineRule="auto"/>
        <w:rPr>
          <w:rFonts w:cs="MyriadPro-Regular"/>
          <w:color w:val="1D1D1B"/>
          <w:szCs w:val="20"/>
        </w:rPr>
      </w:pPr>
    </w:p>
    <w:p w14:paraId="30BB9815" w14:textId="77777777" w:rsidR="00CC609C" w:rsidRPr="002462F0" w:rsidRDefault="00CC609C" w:rsidP="00CC609C">
      <w:pPr>
        <w:pStyle w:val="Titre4Bleu"/>
        <w:rPr>
          <w:lang w:eastAsia="fr-FR"/>
        </w:rPr>
      </w:pPr>
      <w:bookmarkStart w:id="505" w:name="_Toc182327855"/>
      <w:r w:rsidRPr="002462F0">
        <w:rPr>
          <w:lang w:eastAsia="fr-FR"/>
        </w:rPr>
        <w:t>Methodological issues</w:t>
      </w:r>
      <w:bookmarkEnd w:id="505"/>
      <w:r w:rsidRPr="002462F0">
        <w:rPr>
          <w:lang w:eastAsia="fr-FR"/>
        </w:rPr>
        <w:t xml:space="preserve"> </w:t>
      </w:r>
    </w:p>
    <w:p w14:paraId="27C632C0" w14:textId="14E3C7F8" w:rsidR="00CC609C" w:rsidRPr="002462F0" w:rsidRDefault="00CC609C" w:rsidP="00622F40">
      <w:pPr>
        <w:rPr>
          <w:lang w:eastAsia="fr-FR"/>
        </w:rPr>
      </w:pPr>
      <w:r w:rsidRPr="002462F0">
        <w:rPr>
          <w:lang w:eastAsia="fr-FR"/>
        </w:rPr>
        <w:t>The Tier 1 method from the 2006 IPCC Guidelines is used to calculate the CO</w:t>
      </w:r>
      <w:r w:rsidRPr="002462F0">
        <w:rPr>
          <w:vertAlign w:val="subscript"/>
          <w:lang w:eastAsia="fr-FR"/>
        </w:rPr>
        <w:t>2</w:t>
      </w:r>
      <w:r w:rsidRPr="002462F0">
        <w:rPr>
          <w:lang w:eastAsia="fr-FR"/>
        </w:rPr>
        <w:t xml:space="preserve"> emissions (equation </w:t>
      </w:r>
      <w:r>
        <w:rPr>
          <w:lang w:eastAsia="fr-FR"/>
        </w:rPr>
        <w:t>5.</w:t>
      </w:r>
      <w:r w:rsidR="00C363A4">
        <w:rPr>
          <w:lang w:eastAsia="fr-FR"/>
        </w:rPr>
        <w:t>4</w:t>
      </w:r>
      <w:r>
        <w:rPr>
          <w:lang w:eastAsia="fr-FR"/>
        </w:rPr>
        <w:t xml:space="preserve"> of the 2006 IPCC Guidelines</w:t>
      </w:r>
      <w:r w:rsidR="00C363A4">
        <w:rPr>
          <w:lang w:eastAsia="fr-FR"/>
        </w:rPr>
        <w:t xml:space="preserve"> </w:t>
      </w:r>
      <w:r w:rsidR="00C363A4">
        <w:rPr>
          <w:lang w:eastAsia="fr-FR"/>
        </w:rPr>
        <w:fldChar w:fldCharType="begin"/>
      </w:r>
      <w:r w:rsidR="00C363A4">
        <w:rPr>
          <w:lang w:eastAsia="fr-FR"/>
        </w:rPr>
        <w:instrText xml:space="preserve"> REF _Ref177135956 \r \h </w:instrText>
      </w:r>
      <w:r w:rsidR="00C363A4">
        <w:rPr>
          <w:lang w:eastAsia="fr-FR"/>
        </w:rPr>
      </w:r>
      <w:r w:rsidR="00C363A4">
        <w:rPr>
          <w:lang w:eastAsia="fr-FR"/>
        </w:rPr>
        <w:fldChar w:fldCharType="separate"/>
      </w:r>
      <w:r w:rsidR="00F14C78">
        <w:rPr>
          <w:lang w:eastAsia="fr-FR"/>
        </w:rPr>
        <w:t>[I36]</w:t>
      </w:r>
      <w:r w:rsidR="00C363A4">
        <w:rPr>
          <w:lang w:eastAsia="fr-FR"/>
        </w:rPr>
        <w:fldChar w:fldCharType="end"/>
      </w:r>
      <w:r w:rsidRPr="002462F0">
        <w:rPr>
          <w:lang w:eastAsia="fr-FR"/>
        </w:rPr>
        <w:t xml:space="preserve">). </w:t>
      </w:r>
    </w:p>
    <w:p w14:paraId="7995B069" w14:textId="745F2F6F" w:rsidR="00CC609C" w:rsidRPr="002462F0" w:rsidRDefault="00CC609C" w:rsidP="00622F40">
      <w:pPr>
        <w:rPr>
          <w:lang w:eastAsia="fr-FR"/>
        </w:rPr>
      </w:pPr>
      <w:r w:rsidRPr="002462F0">
        <w:rPr>
          <w:lang w:eastAsia="fr-FR"/>
        </w:rPr>
        <w:t xml:space="preserve">The national </w:t>
      </w:r>
      <w:r>
        <w:rPr>
          <w:lang w:eastAsia="fr-FR"/>
        </w:rPr>
        <w:t xml:space="preserve">non-energy </w:t>
      </w:r>
      <w:r w:rsidR="00381FFA">
        <w:rPr>
          <w:lang w:eastAsia="fr-FR"/>
        </w:rPr>
        <w:t>paraffin wax</w:t>
      </w:r>
      <w:r>
        <w:rPr>
          <w:lang w:eastAsia="fr-FR"/>
        </w:rPr>
        <w:t xml:space="preserve"> consumption</w:t>
      </w:r>
      <w:r w:rsidRPr="002462F0">
        <w:rPr>
          <w:lang w:eastAsia="fr-FR"/>
        </w:rPr>
        <w:t xml:space="preserve"> </w:t>
      </w:r>
      <w:r w:rsidR="00440E68">
        <w:rPr>
          <w:lang w:eastAsia="fr-FR"/>
        </w:rPr>
        <w:t>is sourced</w:t>
      </w:r>
      <w:r w:rsidRPr="002462F0">
        <w:rPr>
          <w:lang w:eastAsia="fr-FR"/>
        </w:rPr>
        <w:t xml:space="preserve"> from </w:t>
      </w:r>
      <w:r>
        <w:rPr>
          <w:lang w:eastAsia="fr-FR"/>
        </w:rPr>
        <w:t xml:space="preserve">the </w:t>
      </w:r>
      <w:r w:rsidRPr="002462F0">
        <w:rPr>
          <w:lang w:eastAsia="fr-FR"/>
        </w:rPr>
        <w:t>energy balance of</w:t>
      </w:r>
      <w:r>
        <w:rPr>
          <w:lang w:eastAsia="fr-FR"/>
        </w:rPr>
        <w:t xml:space="preserve"> Serbia </w:t>
      </w:r>
      <w:r>
        <w:rPr>
          <w:lang w:eastAsia="fr-FR"/>
        </w:rPr>
        <w:fldChar w:fldCharType="begin"/>
      </w:r>
      <w:r>
        <w:rPr>
          <w:lang w:eastAsia="fr-FR"/>
        </w:rPr>
        <w:instrText xml:space="preserve"> REF _Ref496787656 \r \h </w:instrText>
      </w:r>
      <w:r>
        <w:rPr>
          <w:lang w:eastAsia="fr-FR"/>
        </w:rPr>
      </w:r>
      <w:r>
        <w:rPr>
          <w:lang w:eastAsia="fr-FR"/>
        </w:rPr>
        <w:fldChar w:fldCharType="separate"/>
      </w:r>
      <w:r w:rsidR="00F14C78">
        <w:rPr>
          <w:lang w:eastAsia="fr-FR"/>
        </w:rPr>
        <w:t>[E2]</w:t>
      </w:r>
      <w:r>
        <w:rPr>
          <w:lang w:eastAsia="fr-FR"/>
        </w:rPr>
        <w:fldChar w:fldCharType="end"/>
      </w:r>
      <w:r w:rsidRPr="002462F0">
        <w:rPr>
          <w:lang w:eastAsia="fr-FR"/>
        </w:rPr>
        <w:t xml:space="preserve">. </w:t>
      </w:r>
    </w:p>
    <w:p w14:paraId="7E9DA2FA" w14:textId="4269F8EB" w:rsidR="00CC609C" w:rsidRDefault="00CC609C" w:rsidP="00622F40">
      <w:pPr>
        <w:rPr>
          <w:lang w:eastAsia="fr-FR"/>
        </w:rPr>
      </w:pPr>
      <w:r>
        <w:rPr>
          <w:lang w:eastAsia="fr-FR"/>
        </w:rPr>
        <w:t>The</w:t>
      </w:r>
      <w:r w:rsidRPr="002462F0">
        <w:rPr>
          <w:lang w:eastAsia="fr-FR"/>
        </w:rPr>
        <w:t xml:space="preserve"> default CO</w:t>
      </w:r>
      <w:r w:rsidRPr="002462F0">
        <w:rPr>
          <w:vertAlign w:val="subscript"/>
          <w:lang w:eastAsia="fr-FR"/>
        </w:rPr>
        <w:t>2</w:t>
      </w:r>
      <w:r w:rsidRPr="002462F0">
        <w:rPr>
          <w:lang w:eastAsia="fr-FR"/>
        </w:rPr>
        <w:t xml:space="preserve"> </w:t>
      </w:r>
      <w:r w:rsidR="00457C6B">
        <w:rPr>
          <w:lang w:eastAsia="fr-FR"/>
        </w:rPr>
        <w:t xml:space="preserve">carbon content </w:t>
      </w:r>
      <w:r w:rsidRPr="002462F0">
        <w:rPr>
          <w:lang w:eastAsia="fr-FR"/>
        </w:rPr>
        <w:t>fr</w:t>
      </w:r>
      <w:r>
        <w:rPr>
          <w:lang w:eastAsia="fr-FR"/>
        </w:rPr>
        <w:t>om the 2006 IPCC Guidelines</w:t>
      </w:r>
      <w:r w:rsidR="00457C6B">
        <w:rPr>
          <w:lang w:eastAsia="fr-FR"/>
        </w:rPr>
        <w:t xml:space="preserve"> is applied and is of 20 t C/TJ </w:t>
      </w:r>
      <w:r w:rsidR="00457C6B">
        <w:rPr>
          <w:lang w:eastAsia="fr-FR"/>
        </w:rPr>
        <w:fldChar w:fldCharType="begin"/>
      </w:r>
      <w:r w:rsidR="00457C6B">
        <w:rPr>
          <w:lang w:eastAsia="fr-FR"/>
        </w:rPr>
        <w:instrText xml:space="preserve"> REF _Ref177135956 \r \h </w:instrText>
      </w:r>
      <w:r w:rsidR="00457C6B">
        <w:rPr>
          <w:lang w:eastAsia="fr-FR"/>
        </w:rPr>
      </w:r>
      <w:r w:rsidR="00457C6B">
        <w:rPr>
          <w:lang w:eastAsia="fr-FR"/>
        </w:rPr>
        <w:fldChar w:fldCharType="separate"/>
      </w:r>
      <w:r w:rsidR="00F14C78">
        <w:rPr>
          <w:lang w:eastAsia="fr-FR"/>
        </w:rPr>
        <w:t>[I36]</w:t>
      </w:r>
      <w:r w:rsidR="00457C6B">
        <w:rPr>
          <w:lang w:eastAsia="fr-FR"/>
        </w:rPr>
        <w:fldChar w:fldCharType="end"/>
      </w:r>
      <w:r w:rsidRPr="002462F0">
        <w:rPr>
          <w:lang w:eastAsia="fr-FR"/>
        </w:rPr>
        <w:t>. It is considered constant for the entire time-series.</w:t>
      </w:r>
      <w:r>
        <w:rPr>
          <w:lang w:eastAsia="fr-FR"/>
        </w:rPr>
        <w:t xml:space="preserve"> The default oxidation fraction parameter for lubricants is taken as default value from the 2006 IPCC Guidelines and is of 0.2 </w:t>
      </w:r>
      <w:r w:rsidR="00065D40">
        <w:rPr>
          <w:lang w:eastAsia="fr-FR"/>
        </w:rPr>
        <w:fldChar w:fldCharType="begin"/>
      </w:r>
      <w:r w:rsidR="00065D40">
        <w:rPr>
          <w:lang w:eastAsia="fr-FR"/>
        </w:rPr>
        <w:instrText xml:space="preserve"> REF _Ref177135956 \r \h </w:instrText>
      </w:r>
      <w:r w:rsidR="00065D40">
        <w:rPr>
          <w:lang w:eastAsia="fr-FR"/>
        </w:rPr>
      </w:r>
      <w:r w:rsidR="00065D40">
        <w:rPr>
          <w:lang w:eastAsia="fr-FR"/>
        </w:rPr>
        <w:fldChar w:fldCharType="separate"/>
      </w:r>
      <w:r w:rsidR="00F14C78">
        <w:rPr>
          <w:lang w:eastAsia="fr-FR"/>
        </w:rPr>
        <w:t>[I36]</w:t>
      </w:r>
      <w:r w:rsidR="00065D40">
        <w:rPr>
          <w:lang w:eastAsia="fr-FR"/>
        </w:rPr>
        <w:fldChar w:fldCharType="end"/>
      </w:r>
      <w:r>
        <w:rPr>
          <w:lang w:eastAsia="fr-FR"/>
        </w:rPr>
        <w:t>.</w:t>
      </w:r>
    </w:p>
    <w:p w14:paraId="1C768239" w14:textId="03E9D5CC" w:rsidR="00CC609C" w:rsidRPr="002462F0" w:rsidRDefault="0027726B" w:rsidP="00CC609C">
      <w:pPr>
        <w:pStyle w:val="Heading3"/>
        <w:rPr>
          <w:lang w:eastAsia="fr-FR"/>
        </w:rPr>
      </w:pPr>
      <w:bookmarkStart w:id="506" w:name="_Ref179994911"/>
      <w:bookmarkStart w:id="507" w:name="_Toc182327856"/>
      <w:bookmarkStart w:id="508" w:name="_Toc184808232"/>
      <w:r>
        <w:rPr>
          <w:lang w:eastAsia="fr-FR"/>
        </w:rPr>
        <w:t>Solvent</w:t>
      </w:r>
      <w:r w:rsidR="00CC609C">
        <w:rPr>
          <w:lang w:eastAsia="fr-FR"/>
        </w:rPr>
        <w:t xml:space="preserve"> use</w:t>
      </w:r>
      <w:r w:rsidR="00CC609C" w:rsidRPr="002462F0">
        <w:rPr>
          <w:lang w:eastAsia="fr-FR"/>
        </w:rPr>
        <w:t xml:space="preserve"> (CR</w:t>
      </w:r>
      <w:r w:rsidR="00CC609C">
        <w:rPr>
          <w:lang w:eastAsia="fr-FR"/>
        </w:rPr>
        <w:t>T</w:t>
      </w:r>
      <w:r w:rsidR="00CC609C" w:rsidRPr="002462F0">
        <w:rPr>
          <w:lang w:eastAsia="fr-FR"/>
        </w:rPr>
        <w:t xml:space="preserve"> 2</w:t>
      </w:r>
      <w:r w:rsidR="00CC609C">
        <w:rPr>
          <w:lang w:eastAsia="fr-FR"/>
        </w:rPr>
        <w:t>D</w:t>
      </w:r>
      <w:r>
        <w:rPr>
          <w:lang w:eastAsia="fr-FR"/>
        </w:rPr>
        <w:t>3</w:t>
      </w:r>
      <w:r w:rsidR="00CC609C" w:rsidRPr="002462F0">
        <w:rPr>
          <w:lang w:eastAsia="fr-FR"/>
        </w:rPr>
        <w:t>)</w:t>
      </w:r>
      <w:bookmarkEnd w:id="506"/>
      <w:bookmarkEnd w:id="507"/>
      <w:bookmarkEnd w:id="508"/>
    </w:p>
    <w:p w14:paraId="096E97E2" w14:textId="77777777" w:rsidR="00CC609C" w:rsidRPr="002462F0" w:rsidRDefault="00CC609C" w:rsidP="00CC609C">
      <w:pPr>
        <w:pStyle w:val="Titre4Bleu"/>
        <w:rPr>
          <w:lang w:eastAsia="fr-FR"/>
        </w:rPr>
      </w:pPr>
      <w:bookmarkStart w:id="509" w:name="_Toc182327857"/>
      <w:r w:rsidRPr="002462F0">
        <w:rPr>
          <w:lang w:eastAsia="fr-FR"/>
        </w:rPr>
        <w:t>Category description</w:t>
      </w:r>
      <w:bookmarkEnd w:id="509"/>
    </w:p>
    <w:p w14:paraId="72C55E0A" w14:textId="56801A96" w:rsidR="00CC609C" w:rsidRDefault="00D12B1D" w:rsidP="00CC609C">
      <w:pPr>
        <w:autoSpaceDE w:val="0"/>
        <w:autoSpaceDN w:val="0"/>
        <w:adjustRightInd w:val="0"/>
        <w:spacing w:after="0" w:line="240" w:lineRule="auto"/>
        <w:rPr>
          <w:lang w:eastAsia="fr-FR"/>
        </w:rPr>
      </w:pPr>
      <w:r>
        <w:rPr>
          <w:lang w:eastAsia="fr-FR"/>
        </w:rPr>
        <w:lastRenderedPageBreak/>
        <w:t>T</w:t>
      </w:r>
      <w:r w:rsidR="00CC609C" w:rsidRPr="002462F0">
        <w:rPr>
          <w:lang w:eastAsia="fr-FR"/>
        </w:rPr>
        <w:t xml:space="preserve">he use of </w:t>
      </w:r>
      <w:r w:rsidR="0027726B">
        <w:rPr>
          <w:lang w:eastAsia="fr-FR"/>
        </w:rPr>
        <w:t>solvents</w:t>
      </w:r>
      <w:r w:rsidR="00B61996">
        <w:rPr>
          <w:lang w:eastAsia="fr-FR"/>
        </w:rPr>
        <w:t xml:space="preserve"> is responsible for evaporative emissions of NMVOC, which can </w:t>
      </w:r>
      <w:r w:rsidR="00BA670C">
        <w:rPr>
          <w:lang w:eastAsia="fr-FR"/>
        </w:rPr>
        <w:t xml:space="preserve">further be oxidised in the atmosphere and induce </w:t>
      </w:r>
      <w:r w:rsidR="00BA670C" w:rsidRPr="002462F0">
        <w:rPr>
          <w:lang w:eastAsia="fr-FR"/>
        </w:rPr>
        <w:t>CO</w:t>
      </w:r>
      <w:r w:rsidR="00BA670C" w:rsidRPr="002462F0">
        <w:rPr>
          <w:vertAlign w:val="subscript"/>
          <w:lang w:eastAsia="fr-FR"/>
        </w:rPr>
        <w:t>2</w:t>
      </w:r>
      <w:r w:rsidR="00BA670C" w:rsidRPr="002462F0">
        <w:rPr>
          <w:lang w:eastAsia="fr-FR"/>
        </w:rPr>
        <w:t xml:space="preserve"> emissions</w:t>
      </w:r>
      <w:r w:rsidR="00CC609C" w:rsidRPr="002462F0">
        <w:rPr>
          <w:lang w:eastAsia="fr-FR"/>
        </w:rPr>
        <w:t xml:space="preserve">. </w:t>
      </w:r>
      <w:r w:rsidR="00082582">
        <w:rPr>
          <w:lang w:eastAsia="fr-FR"/>
        </w:rPr>
        <w:t>If the solvent</w:t>
      </w:r>
      <w:r w:rsidR="00A9058F">
        <w:rPr>
          <w:lang w:eastAsia="fr-FR"/>
        </w:rPr>
        <w:t>s</w:t>
      </w:r>
      <w:r w:rsidR="00082582">
        <w:rPr>
          <w:lang w:eastAsia="fr-FR"/>
        </w:rPr>
        <w:t xml:space="preserve"> are made from fossil fuels, hence the oxidi</w:t>
      </w:r>
      <w:r w:rsidR="00F27DB5">
        <w:rPr>
          <w:lang w:eastAsia="fr-FR"/>
        </w:rPr>
        <w:t xml:space="preserve">sed carbon needs to be accounted </w:t>
      </w:r>
      <w:r w:rsidR="005C19EF">
        <w:rPr>
          <w:lang w:eastAsia="fr-FR"/>
        </w:rPr>
        <w:t>the national totals</w:t>
      </w:r>
      <w:r w:rsidR="00F27DB5">
        <w:rPr>
          <w:lang w:eastAsia="fr-FR"/>
        </w:rPr>
        <w:t xml:space="preserve">. </w:t>
      </w:r>
      <w:r w:rsidR="00A9058F">
        <w:rPr>
          <w:lang w:eastAsia="fr-FR"/>
        </w:rPr>
        <w:t xml:space="preserve">Fossil fuels used as solvents are principally white spirit and kerosene. </w:t>
      </w:r>
    </w:p>
    <w:p w14:paraId="6435B47C" w14:textId="77777777" w:rsidR="00CF3C9A" w:rsidRDefault="00CF3C9A" w:rsidP="00CC609C">
      <w:pPr>
        <w:autoSpaceDE w:val="0"/>
        <w:autoSpaceDN w:val="0"/>
        <w:adjustRightInd w:val="0"/>
        <w:spacing w:after="0" w:line="240" w:lineRule="auto"/>
        <w:rPr>
          <w:lang w:eastAsia="fr-FR"/>
        </w:rPr>
      </w:pPr>
    </w:p>
    <w:p w14:paraId="6180B655" w14:textId="471783DE" w:rsidR="0043170D" w:rsidRPr="002462F0" w:rsidRDefault="0043170D" w:rsidP="000B3F82">
      <w:pPr>
        <w:autoSpaceDE w:val="0"/>
        <w:autoSpaceDN w:val="0"/>
        <w:adjustRightInd w:val="0"/>
        <w:spacing w:line="240" w:lineRule="auto"/>
        <w:rPr>
          <w:lang w:val="en-US" w:eastAsia="fr-FR"/>
        </w:rPr>
      </w:pPr>
      <w:r w:rsidRPr="002462F0">
        <w:rPr>
          <w:lang w:val="en-US" w:eastAsia="fr-FR"/>
        </w:rPr>
        <w:t>In 20</w:t>
      </w:r>
      <w:r>
        <w:rPr>
          <w:lang w:val="en-US" w:eastAsia="fr-FR"/>
        </w:rPr>
        <w:t>22</w:t>
      </w:r>
      <w:r w:rsidRPr="002462F0">
        <w:rPr>
          <w:lang w:val="en-US" w:eastAsia="fr-FR"/>
        </w:rPr>
        <w:t xml:space="preserve">, the category </w:t>
      </w:r>
      <w:r>
        <w:rPr>
          <w:lang w:val="en-US" w:eastAsia="fr-FR"/>
        </w:rPr>
        <w:t xml:space="preserve">Solvent use </w:t>
      </w:r>
      <w:r w:rsidRPr="002462F0">
        <w:rPr>
          <w:lang w:val="en-US" w:eastAsia="fr-FR"/>
        </w:rPr>
        <w:t xml:space="preserve">is </w:t>
      </w:r>
      <w:r>
        <w:rPr>
          <w:lang w:val="en-US" w:eastAsia="fr-FR"/>
        </w:rPr>
        <w:t xml:space="preserve">neither a </w:t>
      </w:r>
      <w:r w:rsidRPr="002462F0">
        <w:rPr>
          <w:lang w:val="en-US" w:eastAsia="fr-FR"/>
        </w:rPr>
        <w:t>key category in terms of emission</w:t>
      </w:r>
      <w:r>
        <w:rPr>
          <w:lang w:val="en-US" w:eastAsia="fr-FR"/>
        </w:rPr>
        <w:t xml:space="preserve"> level</w:t>
      </w:r>
      <w:r w:rsidRPr="002462F0">
        <w:rPr>
          <w:lang w:val="en-US" w:eastAsia="fr-FR"/>
        </w:rPr>
        <w:t>s</w:t>
      </w:r>
      <w:r>
        <w:rPr>
          <w:lang w:val="en-US" w:eastAsia="fr-FR"/>
        </w:rPr>
        <w:t xml:space="preserve"> nor in emission</w:t>
      </w:r>
      <w:r w:rsidRPr="002462F0">
        <w:rPr>
          <w:lang w:val="en-US" w:eastAsia="fr-FR"/>
        </w:rPr>
        <w:t xml:space="preserve"> trend</w:t>
      </w:r>
      <w:r>
        <w:rPr>
          <w:lang w:val="en-US" w:eastAsia="fr-FR"/>
        </w:rPr>
        <w:t>, in the Republic of Serbia</w:t>
      </w:r>
      <w:r w:rsidRPr="002462F0">
        <w:rPr>
          <w:lang w:val="en-US" w:eastAsia="fr-FR"/>
        </w:rPr>
        <w:t>.</w:t>
      </w:r>
      <w:r>
        <w:rPr>
          <w:lang w:val="en-US" w:eastAsia="fr-FR"/>
        </w:rPr>
        <w:t xml:space="preserve"> </w:t>
      </w:r>
    </w:p>
    <w:p w14:paraId="78CE49F0" w14:textId="4D432720" w:rsidR="00CC609C" w:rsidRPr="002462F0" w:rsidRDefault="00DC7A6A" w:rsidP="000B3F82">
      <w:pPr>
        <w:autoSpaceDE w:val="0"/>
        <w:autoSpaceDN w:val="0"/>
        <w:adjustRightInd w:val="0"/>
        <w:spacing w:after="0" w:line="240" w:lineRule="auto"/>
        <w:jc w:val="left"/>
        <w:rPr>
          <w:lang w:eastAsia="fr-FR"/>
        </w:rPr>
      </w:pPr>
      <w:r>
        <w:rPr>
          <w:noProof/>
          <w:lang w:val="en-US"/>
        </w:rPr>
        <w:drawing>
          <wp:inline distT="0" distB="0" distL="0" distR="0" wp14:anchorId="752B744F" wp14:editId="346FA098">
            <wp:extent cx="5760000" cy="1753712"/>
            <wp:effectExtent l="0" t="0" r="0" b="0"/>
            <wp:docPr id="643837403"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586B2B34" w14:textId="77777777" w:rsidR="000B3F82" w:rsidRPr="002462F0" w:rsidRDefault="000B3F82" w:rsidP="000B3F82">
      <w:pPr>
        <w:pStyle w:val="Caption"/>
        <w:keepNext/>
        <w:spacing w:before="0" w:after="0"/>
        <w:jc w:val="left"/>
      </w:pPr>
      <w:bookmarkStart w:id="510" w:name="_Toc184808458"/>
      <w:r w:rsidRPr="002462F0">
        <w:t xml:space="preserve">Figure </w:t>
      </w:r>
      <w:r w:rsidRPr="002462F0">
        <w:fldChar w:fldCharType="begin"/>
      </w:r>
      <w:r w:rsidRPr="002462F0">
        <w:instrText xml:space="preserve"> SEQ Figure \* ARABIC </w:instrText>
      </w:r>
      <w:r w:rsidRPr="002462F0">
        <w:fldChar w:fldCharType="separate"/>
      </w:r>
      <w:r>
        <w:rPr>
          <w:noProof/>
        </w:rPr>
        <w:t>71</w:t>
      </w:r>
      <w:r w:rsidRPr="002462F0">
        <w:fldChar w:fldCharType="end"/>
      </w:r>
      <w:r w:rsidRPr="002462F0">
        <w:t>: CO</w:t>
      </w:r>
      <w:r w:rsidRPr="002462F0">
        <w:rPr>
          <w:vertAlign w:val="subscript"/>
        </w:rPr>
        <w:t>2</w:t>
      </w:r>
      <w:r w:rsidRPr="002462F0">
        <w:t xml:space="preserve"> emissions for </w:t>
      </w:r>
      <w:r>
        <w:t>solvent</w:t>
      </w:r>
      <w:r w:rsidRPr="002462F0">
        <w:t xml:space="preserve"> </w:t>
      </w:r>
      <w:r>
        <w:t xml:space="preserve">use, for the period 1990-2022 </w:t>
      </w:r>
      <w:r w:rsidRPr="002462F0">
        <w:t>(</w:t>
      </w:r>
      <w:r>
        <w:t xml:space="preserve">in </w:t>
      </w:r>
      <w:r w:rsidRPr="002462F0">
        <w:t>kt CO</w:t>
      </w:r>
      <w:r w:rsidRPr="002462F0">
        <w:rPr>
          <w:vertAlign w:val="subscript"/>
        </w:rPr>
        <w:t>2</w:t>
      </w:r>
      <w:r w:rsidRPr="002462F0">
        <w:t>e)</w:t>
      </w:r>
      <w:bookmarkEnd w:id="510"/>
    </w:p>
    <w:p w14:paraId="1CF7762C" w14:textId="77777777" w:rsidR="00CC609C" w:rsidRDefault="00CC609C" w:rsidP="00CC609C">
      <w:pPr>
        <w:autoSpaceDE w:val="0"/>
        <w:autoSpaceDN w:val="0"/>
        <w:adjustRightInd w:val="0"/>
        <w:spacing w:after="0" w:line="240" w:lineRule="auto"/>
        <w:rPr>
          <w:rFonts w:cs="MyriadPro-Regular"/>
          <w:color w:val="1D1D1B"/>
          <w:szCs w:val="20"/>
        </w:rPr>
      </w:pPr>
    </w:p>
    <w:p w14:paraId="5D0EEE79" w14:textId="2782DFDC" w:rsidR="0043170D" w:rsidRPr="002462F0" w:rsidRDefault="0043170D" w:rsidP="00CC609C">
      <w:pPr>
        <w:autoSpaceDE w:val="0"/>
        <w:autoSpaceDN w:val="0"/>
        <w:adjustRightInd w:val="0"/>
        <w:spacing w:after="0" w:line="240" w:lineRule="auto"/>
        <w:rPr>
          <w:rFonts w:cs="MyriadPro-Regular"/>
          <w:color w:val="1D1D1B"/>
          <w:szCs w:val="20"/>
        </w:rPr>
      </w:pPr>
      <w:r>
        <w:rPr>
          <w:rFonts w:cs="MyriadPro-Regular"/>
          <w:color w:val="1D1D1B"/>
          <w:szCs w:val="20"/>
        </w:rPr>
        <w:t>The CO</w:t>
      </w:r>
      <w:r w:rsidRPr="00622F40">
        <w:rPr>
          <w:rFonts w:cs="MyriadPro-Regular"/>
          <w:color w:val="1D1D1B"/>
          <w:szCs w:val="20"/>
          <w:vertAlign w:val="subscript"/>
        </w:rPr>
        <w:t>2</w:t>
      </w:r>
      <w:r>
        <w:rPr>
          <w:rFonts w:cs="MyriadPro-Regular"/>
          <w:color w:val="1D1D1B"/>
          <w:szCs w:val="20"/>
        </w:rPr>
        <w:t xml:space="preserve"> emissions related to the use of solvent are slightly and continuously declining through the timeseries. The achieved emission reduction for the period 1990-2022 is of </w:t>
      </w:r>
      <w:r w:rsidR="0020375F">
        <w:rPr>
          <w:rFonts w:cs="MyriadPro-Regular"/>
          <w:color w:val="1D1D1B"/>
          <w:szCs w:val="20"/>
        </w:rPr>
        <w:t xml:space="preserve">28%. </w:t>
      </w:r>
    </w:p>
    <w:p w14:paraId="4CC2B677" w14:textId="77777777" w:rsidR="00CC609C" w:rsidRPr="002462F0" w:rsidRDefault="00CC609C" w:rsidP="00CC609C">
      <w:pPr>
        <w:pStyle w:val="Titre4Bleu"/>
        <w:rPr>
          <w:lang w:eastAsia="fr-FR"/>
        </w:rPr>
      </w:pPr>
      <w:bookmarkStart w:id="511" w:name="_Toc182327858"/>
      <w:r w:rsidRPr="002462F0">
        <w:rPr>
          <w:lang w:eastAsia="fr-FR"/>
        </w:rPr>
        <w:t>Methodological issues</w:t>
      </w:r>
      <w:bookmarkEnd w:id="511"/>
      <w:r w:rsidRPr="002462F0">
        <w:rPr>
          <w:lang w:eastAsia="fr-FR"/>
        </w:rPr>
        <w:t xml:space="preserve"> </w:t>
      </w:r>
    </w:p>
    <w:p w14:paraId="32ABB5FB" w14:textId="0C4C4D63" w:rsidR="00065D40" w:rsidRPr="002462F0" w:rsidRDefault="00D93D01" w:rsidP="00065D40">
      <w:pPr>
        <w:rPr>
          <w:lang w:eastAsia="fr-FR"/>
        </w:rPr>
      </w:pPr>
      <w:r>
        <w:rPr>
          <w:lang w:eastAsia="fr-FR"/>
        </w:rPr>
        <w:t xml:space="preserve">A mix of </w:t>
      </w:r>
      <w:r w:rsidR="00065D40" w:rsidRPr="002462F0">
        <w:rPr>
          <w:lang w:eastAsia="fr-FR"/>
        </w:rPr>
        <w:t xml:space="preserve">Tier 1 </w:t>
      </w:r>
      <w:r>
        <w:rPr>
          <w:lang w:eastAsia="fr-FR"/>
        </w:rPr>
        <w:t xml:space="preserve">ad Tier 2 </w:t>
      </w:r>
      <w:r w:rsidR="00065D40" w:rsidRPr="002462F0">
        <w:rPr>
          <w:lang w:eastAsia="fr-FR"/>
        </w:rPr>
        <w:t>method</w:t>
      </w:r>
      <w:r>
        <w:rPr>
          <w:lang w:eastAsia="fr-FR"/>
        </w:rPr>
        <w:t>s</w:t>
      </w:r>
      <w:r w:rsidR="00065D40" w:rsidRPr="002462F0">
        <w:rPr>
          <w:lang w:eastAsia="fr-FR"/>
        </w:rPr>
        <w:t xml:space="preserve"> from the </w:t>
      </w:r>
      <w:r w:rsidR="00D453A6">
        <w:rPr>
          <w:lang w:eastAsia="fr-FR"/>
        </w:rPr>
        <w:t>EMEP/EEA</w:t>
      </w:r>
      <w:r w:rsidR="00065D40" w:rsidRPr="002462F0">
        <w:rPr>
          <w:lang w:eastAsia="fr-FR"/>
        </w:rPr>
        <w:t xml:space="preserve"> Guidelines is used to calculate the </w:t>
      </w:r>
      <w:r w:rsidR="00D453A6">
        <w:rPr>
          <w:lang w:eastAsia="fr-FR"/>
        </w:rPr>
        <w:t xml:space="preserve">NMVOC </w:t>
      </w:r>
      <w:r w:rsidR="00065D40" w:rsidRPr="002462F0">
        <w:rPr>
          <w:lang w:eastAsia="fr-FR"/>
        </w:rPr>
        <w:t xml:space="preserve">emissions </w:t>
      </w:r>
      <w:r w:rsidR="00D453A6">
        <w:rPr>
          <w:lang w:eastAsia="fr-FR"/>
        </w:rPr>
        <w:t>related to the solvent use</w:t>
      </w:r>
      <w:r w:rsidR="009B578E">
        <w:rPr>
          <w:lang w:eastAsia="fr-FR"/>
        </w:rPr>
        <w:t>, depending on the subsector</w:t>
      </w:r>
      <w:r w:rsidR="00065D40" w:rsidRPr="002462F0">
        <w:rPr>
          <w:lang w:eastAsia="fr-FR"/>
        </w:rPr>
        <w:t>.</w:t>
      </w:r>
      <w:r w:rsidR="00D453A6">
        <w:rPr>
          <w:lang w:eastAsia="fr-FR"/>
        </w:rPr>
        <w:t xml:space="preserve"> Hence, </w:t>
      </w:r>
      <w:r w:rsidR="0008172E">
        <w:rPr>
          <w:lang w:eastAsia="fr-FR"/>
        </w:rPr>
        <w:t>the associated CO</w:t>
      </w:r>
      <w:r w:rsidR="0008172E" w:rsidRPr="00622F40">
        <w:rPr>
          <w:vertAlign w:val="subscript"/>
          <w:lang w:eastAsia="fr-FR"/>
        </w:rPr>
        <w:t>2</w:t>
      </w:r>
      <w:r w:rsidR="0008172E">
        <w:rPr>
          <w:lang w:eastAsia="fr-FR"/>
        </w:rPr>
        <w:t xml:space="preserve"> emissions are estimated based</w:t>
      </w:r>
      <w:r w:rsidR="00190B7A">
        <w:rPr>
          <w:lang w:eastAsia="fr-FR"/>
        </w:rPr>
        <w:t xml:space="preserve"> on the 2006 IPCC Guidelines </w:t>
      </w:r>
      <w:r w:rsidR="009F30F2">
        <w:rPr>
          <w:lang w:eastAsia="fr-FR"/>
        </w:rPr>
        <w:fldChar w:fldCharType="begin"/>
      </w:r>
      <w:r w:rsidR="009F30F2">
        <w:rPr>
          <w:lang w:eastAsia="fr-FR"/>
        </w:rPr>
        <w:instrText xml:space="preserve"> REF _Ref177138009 \r \h </w:instrText>
      </w:r>
      <w:r w:rsidR="009F30F2">
        <w:rPr>
          <w:lang w:eastAsia="fr-FR"/>
        </w:rPr>
      </w:r>
      <w:r w:rsidR="009F30F2">
        <w:rPr>
          <w:lang w:eastAsia="fr-FR"/>
        </w:rPr>
        <w:fldChar w:fldCharType="separate"/>
      </w:r>
      <w:r w:rsidR="00F14C78">
        <w:rPr>
          <w:lang w:eastAsia="fr-FR"/>
        </w:rPr>
        <w:t>[I37]</w:t>
      </w:r>
      <w:r w:rsidR="009F30F2">
        <w:rPr>
          <w:lang w:eastAsia="fr-FR"/>
        </w:rPr>
        <w:fldChar w:fldCharType="end"/>
      </w:r>
      <w:r w:rsidR="009F30F2">
        <w:rPr>
          <w:lang w:eastAsia="fr-FR"/>
        </w:rPr>
        <w:t xml:space="preserve">. </w:t>
      </w:r>
    </w:p>
    <w:p w14:paraId="00712FEF" w14:textId="0D605040" w:rsidR="00065D40" w:rsidRPr="002462F0" w:rsidRDefault="00065D40" w:rsidP="00065D40">
      <w:pPr>
        <w:rPr>
          <w:lang w:eastAsia="fr-FR"/>
        </w:rPr>
      </w:pPr>
      <w:r w:rsidRPr="002462F0">
        <w:rPr>
          <w:lang w:eastAsia="fr-FR"/>
        </w:rPr>
        <w:t xml:space="preserve">The </w:t>
      </w:r>
      <w:r w:rsidR="00455140">
        <w:rPr>
          <w:lang w:eastAsia="fr-FR"/>
        </w:rPr>
        <w:t>activity data vary depending on the emission source and can be either population</w:t>
      </w:r>
      <w:r w:rsidR="009741D3">
        <w:rPr>
          <w:lang w:eastAsia="fr-FR"/>
        </w:rPr>
        <w:t>,</w:t>
      </w:r>
      <w:r w:rsidR="00455140">
        <w:rPr>
          <w:lang w:eastAsia="fr-FR"/>
        </w:rPr>
        <w:t xml:space="preserve"> </w:t>
      </w:r>
      <w:r w:rsidR="009741D3">
        <w:rPr>
          <w:lang w:eastAsia="fr-FR"/>
        </w:rPr>
        <w:t xml:space="preserve">the </w:t>
      </w:r>
      <w:r w:rsidR="00455140">
        <w:rPr>
          <w:lang w:eastAsia="fr-FR"/>
        </w:rPr>
        <w:t>solvent-containing product consumptions such as paint</w:t>
      </w:r>
      <w:r w:rsidR="009741D3">
        <w:rPr>
          <w:lang w:eastAsia="fr-FR"/>
        </w:rPr>
        <w:t xml:space="preserve"> or the production of specific products such as rubber. The activity data </w:t>
      </w:r>
      <w:r w:rsidR="00440E68">
        <w:rPr>
          <w:lang w:eastAsia="fr-FR"/>
        </w:rPr>
        <w:t>are sourced</w:t>
      </w:r>
      <w:r w:rsidR="009741D3">
        <w:rPr>
          <w:lang w:eastAsia="fr-FR"/>
        </w:rPr>
        <w:t xml:space="preserve"> from</w:t>
      </w:r>
      <w:r w:rsidR="008F13D6">
        <w:rPr>
          <w:lang w:eastAsia="fr-FR"/>
        </w:rPr>
        <w:t xml:space="preserve"> the Statistical yearbook </w:t>
      </w:r>
      <w:r w:rsidR="00AA4EE0">
        <w:rPr>
          <w:lang w:eastAsia="fr-FR"/>
        </w:rPr>
        <w:fldChar w:fldCharType="begin"/>
      </w:r>
      <w:r w:rsidR="00AA4EE0">
        <w:rPr>
          <w:lang w:eastAsia="fr-FR"/>
        </w:rPr>
        <w:instrText xml:space="preserve"> REF _Ref496788199 \r \h </w:instrText>
      </w:r>
      <w:r w:rsidR="00AA4EE0">
        <w:rPr>
          <w:lang w:eastAsia="fr-FR"/>
        </w:rPr>
      </w:r>
      <w:r w:rsidR="00AA4EE0">
        <w:rPr>
          <w:lang w:eastAsia="fr-FR"/>
        </w:rPr>
        <w:fldChar w:fldCharType="separate"/>
      </w:r>
      <w:r w:rsidR="00F14C78">
        <w:rPr>
          <w:lang w:eastAsia="fr-FR"/>
        </w:rPr>
        <w:t>[I2]</w:t>
      </w:r>
      <w:r w:rsidR="00AA4EE0">
        <w:rPr>
          <w:lang w:eastAsia="fr-FR"/>
        </w:rPr>
        <w:fldChar w:fldCharType="end"/>
      </w:r>
      <w:r w:rsidRPr="002462F0">
        <w:rPr>
          <w:lang w:eastAsia="fr-FR"/>
        </w:rPr>
        <w:t xml:space="preserve">. </w:t>
      </w:r>
    </w:p>
    <w:p w14:paraId="51A84E09" w14:textId="6C59EC80" w:rsidR="00CC609C" w:rsidRDefault="00065D40" w:rsidP="00BC6F95">
      <w:pPr>
        <w:rPr>
          <w:lang w:eastAsia="fr-FR"/>
        </w:rPr>
      </w:pPr>
      <w:r>
        <w:rPr>
          <w:lang w:eastAsia="fr-FR"/>
        </w:rPr>
        <w:t>The</w:t>
      </w:r>
      <w:r w:rsidRPr="002462F0">
        <w:rPr>
          <w:lang w:eastAsia="fr-FR"/>
        </w:rPr>
        <w:t xml:space="preserve"> </w:t>
      </w:r>
      <w:r w:rsidR="00BC6F95">
        <w:rPr>
          <w:lang w:eastAsia="fr-FR"/>
        </w:rPr>
        <w:t>default fossil carbon content fraction</w:t>
      </w:r>
      <w:r w:rsidR="00AA4EE0">
        <w:rPr>
          <w:lang w:eastAsia="fr-FR"/>
        </w:rPr>
        <w:t xml:space="preserve"> </w:t>
      </w:r>
      <w:r w:rsidR="00BC6F95">
        <w:rPr>
          <w:lang w:eastAsia="fr-FR"/>
        </w:rPr>
        <w:t xml:space="preserve">of NMVOC applied </w:t>
      </w:r>
      <w:r w:rsidR="00440E68">
        <w:rPr>
          <w:lang w:eastAsia="fr-FR"/>
        </w:rPr>
        <w:t xml:space="preserve">is sourced </w:t>
      </w:r>
      <w:r w:rsidR="00BC6F95">
        <w:rPr>
          <w:lang w:eastAsia="fr-FR"/>
        </w:rPr>
        <w:t xml:space="preserve">from the 2006 IPCC Guidelines and </w:t>
      </w:r>
      <w:r w:rsidR="00213DE2">
        <w:rPr>
          <w:lang w:eastAsia="fr-FR"/>
        </w:rPr>
        <w:t>i</w:t>
      </w:r>
      <w:r w:rsidR="00BC6F95">
        <w:rPr>
          <w:lang w:eastAsia="fr-FR"/>
        </w:rPr>
        <w:t>t</w:t>
      </w:r>
      <w:r w:rsidR="00213DE2">
        <w:rPr>
          <w:lang w:eastAsia="fr-FR"/>
        </w:rPr>
        <w:t>s</w:t>
      </w:r>
      <w:r w:rsidR="00BC6F95">
        <w:rPr>
          <w:lang w:eastAsia="fr-FR"/>
        </w:rPr>
        <w:t xml:space="preserve"> value is</w:t>
      </w:r>
      <w:r w:rsidR="00213DE2">
        <w:rPr>
          <w:lang w:eastAsia="fr-FR"/>
        </w:rPr>
        <w:t xml:space="preserve"> of 60% </w:t>
      </w:r>
      <w:r w:rsidR="00213DE2">
        <w:rPr>
          <w:lang w:eastAsia="fr-FR"/>
        </w:rPr>
        <w:fldChar w:fldCharType="begin"/>
      </w:r>
      <w:r w:rsidR="00213DE2">
        <w:rPr>
          <w:lang w:eastAsia="fr-FR"/>
        </w:rPr>
        <w:instrText xml:space="preserve"> REF _Ref177138009 \r \h </w:instrText>
      </w:r>
      <w:r w:rsidR="00213DE2">
        <w:rPr>
          <w:lang w:eastAsia="fr-FR"/>
        </w:rPr>
      </w:r>
      <w:r w:rsidR="00213DE2">
        <w:rPr>
          <w:lang w:eastAsia="fr-FR"/>
        </w:rPr>
        <w:fldChar w:fldCharType="separate"/>
      </w:r>
      <w:r w:rsidR="00F14C78">
        <w:rPr>
          <w:lang w:eastAsia="fr-FR"/>
        </w:rPr>
        <w:t>[I37]</w:t>
      </w:r>
      <w:r w:rsidR="00213DE2">
        <w:rPr>
          <w:lang w:eastAsia="fr-FR"/>
        </w:rPr>
        <w:fldChar w:fldCharType="end"/>
      </w:r>
      <w:r w:rsidR="00213DE2">
        <w:rPr>
          <w:lang w:eastAsia="fr-FR"/>
        </w:rPr>
        <w:t xml:space="preserve">. </w:t>
      </w:r>
    </w:p>
    <w:p w14:paraId="57C7AA51" w14:textId="3B5F0A79" w:rsidR="007667FD" w:rsidRDefault="007667FD" w:rsidP="00BC6F95">
      <w:pPr>
        <w:rPr>
          <w:lang w:eastAsia="fr-FR"/>
        </w:rPr>
      </w:pPr>
      <w:r>
        <w:rPr>
          <w:lang w:eastAsia="fr-FR"/>
        </w:rPr>
        <w:t xml:space="preserve">Emissions related to the use of urea are not estimated as there is a lack of data accessibility concerning the imports and exports of this product. </w:t>
      </w:r>
    </w:p>
    <w:p w14:paraId="4A2A4946" w14:textId="77777777" w:rsidR="00217760" w:rsidRPr="002462F0" w:rsidRDefault="00217760" w:rsidP="00217760">
      <w:pPr>
        <w:pStyle w:val="Heading3"/>
        <w:rPr>
          <w:lang w:eastAsia="fr-FR"/>
        </w:rPr>
      </w:pPr>
      <w:bookmarkStart w:id="512" w:name="_Toc182327859"/>
      <w:bookmarkStart w:id="513" w:name="_Toc184808233"/>
      <w:r w:rsidRPr="002462F0">
        <w:rPr>
          <w:lang w:eastAsia="fr-FR"/>
        </w:rPr>
        <w:t>Uncertainties and time-series consistency</w:t>
      </w:r>
      <w:bookmarkEnd w:id="512"/>
      <w:bookmarkEnd w:id="513"/>
    </w:p>
    <w:p w14:paraId="5349EC74" w14:textId="77777777" w:rsidR="00217760" w:rsidRPr="006C3100" w:rsidRDefault="00217760" w:rsidP="00217760">
      <w:pPr>
        <w:pStyle w:val="BodyText"/>
        <w:rPr>
          <w:b/>
          <w:lang w:eastAsia="fr-FR"/>
        </w:rPr>
      </w:pPr>
      <w:r w:rsidRPr="006C3100">
        <w:rPr>
          <w:b/>
          <w:lang w:eastAsia="fr-FR"/>
        </w:rPr>
        <w:t>CO</w:t>
      </w:r>
      <w:r w:rsidRPr="006C3100">
        <w:rPr>
          <w:b/>
          <w:vertAlign w:val="subscript"/>
          <w:lang w:eastAsia="fr-FR"/>
        </w:rPr>
        <w:t>2</w:t>
      </w:r>
    </w:p>
    <w:p w14:paraId="5600F8CE" w14:textId="79AB343F" w:rsidR="00217760" w:rsidRPr="002462F0" w:rsidRDefault="00217760" w:rsidP="00217760">
      <w:pPr>
        <w:pStyle w:val="BodyText"/>
        <w:rPr>
          <w:lang w:val="en-US" w:eastAsia="fr-FR"/>
        </w:rPr>
      </w:pPr>
      <w:r w:rsidRPr="002462F0">
        <w:rPr>
          <w:lang w:val="en-US" w:eastAsia="fr-FR"/>
        </w:rPr>
        <w:t xml:space="preserve">Uncertainty estimate associated with activity data for </w:t>
      </w:r>
      <w:r w:rsidR="000F6001">
        <w:rPr>
          <w:lang w:val="en-US" w:eastAsia="fr-FR"/>
        </w:rPr>
        <w:t>CRT</w:t>
      </w:r>
      <w:r w:rsidRPr="002462F0">
        <w:rPr>
          <w:lang w:val="en-US" w:eastAsia="fr-FR"/>
        </w:rPr>
        <w:t xml:space="preserve"> 2</w:t>
      </w:r>
      <w:r>
        <w:rPr>
          <w:lang w:val="en-US" w:eastAsia="fr-FR"/>
        </w:rPr>
        <w:t>D</w:t>
      </w:r>
      <w:r w:rsidRPr="002462F0">
        <w:rPr>
          <w:lang w:val="en-US" w:eastAsia="fr-FR"/>
        </w:rPr>
        <w:t xml:space="preserve"> amounts to 1</w:t>
      </w:r>
      <w:r w:rsidR="00E70159">
        <w:rPr>
          <w:lang w:val="en-US" w:eastAsia="fr-FR"/>
        </w:rPr>
        <w:t>5</w:t>
      </w:r>
      <w:r w:rsidRPr="002462F0">
        <w:rPr>
          <w:lang w:val="en-US" w:eastAsia="fr-FR"/>
        </w:rPr>
        <w:t xml:space="preserve">%, accordingly to values reported in 2006 IPCC Guidelines (Volume 3 Chapter </w:t>
      </w:r>
      <w:r w:rsidR="00E70159">
        <w:rPr>
          <w:lang w:val="en-US" w:eastAsia="fr-FR"/>
        </w:rPr>
        <w:t>5</w:t>
      </w:r>
      <w:r w:rsidR="00AF4622">
        <w:rPr>
          <w:lang w:val="en-US" w:eastAsia="fr-FR"/>
        </w:rPr>
        <w:t>.2.3.2</w:t>
      </w:r>
      <w:r w:rsidRPr="002462F0">
        <w:rPr>
          <w:lang w:val="en-US" w:eastAsia="fr-FR"/>
        </w:rPr>
        <w:t>).</w:t>
      </w:r>
    </w:p>
    <w:p w14:paraId="7E55C86E" w14:textId="599B54BE" w:rsidR="00217760" w:rsidRPr="002462F0" w:rsidRDefault="00217760" w:rsidP="00217760">
      <w:pPr>
        <w:pStyle w:val="BodyText"/>
        <w:rPr>
          <w:lang w:val="en-US" w:eastAsia="fr-FR"/>
        </w:rPr>
      </w:pPr>
      <w:r w:rsidRPr="002462F0">
        <w:rPr>
          <w:lang w:val="en-US" w:eastAsia="fr-FR"/>
        </w:rPr>
        <w:t xml:space="preserve">Uncertainty estimate associated with default emission factor amounts to </w:t>
      </w:r>
      <w:r w:rsidR="00361B33">
        <w:rPr>
          <w:lang w:val="en-US" w:eastAsia="fr-FR"/>
        </w:rPr>
        <w:t>50</w:t>
      </w:r>
      <w:r w:rsidRPr="002462F0">
        <w:rPr>
          <w:lang w:val="en-US" w:eastAsia="fr-FR"/>
        </w:rPr>
        <w:t xml:space="preserve">%, accordingly to values reported in 2006 IPCC Guidelines (Volume 3 Chapter </w:t>
      </w:r>
      <w:r w:rsidR="00AF4622">
        <w:rPr>
          <w:lang w:val="en-US" w:eastAsia="fr-FR"/>
        </w:rPr>
        <w:t>5.2.3.1</w:t>
      </w:r>
      <w:r w:rsidRPr="002462F0">
        <w:rPr>
          <w:lang w:val="en-US" w:eastAsia="fr-FR"/>
        </w:rPr>
        <w:t>).</w:t>
      </w:r>
    </w:p>
    <w:p w14:paraId="3BF71CBF" w14:textId="13FC9CBA" w:rsidR="00217760" w:rsidRPr="002462F0" w:rsidRDefault="00217760" w:rsidP="00217760">
      <w:pPr>
        <w:pStyle w:val="BodyText"/>
        <w:rPr>
          <w:lang w:val="en-US" w:eastAsia="fr-FR"/>
        </w:rPr>
      </w:pPr>
      <w:r w:rsidRPr="002462F0">
        <w:rPr>
          <w:lang w:val="en-US" w:eastAsia="fr-FR"/>
        </w:rPr>
        <w:t xml:space="preserve">Combined uncertainty for emissions is </w:t>
      </w:r>
      <w:r w:rsidR="00C61A38">
        <w:rPr>
          <w:lang w:val="en-US" w:eastAsia="fr-FR"/>
        </w:rPr>
        <w:t>0.08</w:t>
      </w:r>
      <w:r w:rsidRPr="002462F0">
        <w:rPr>
          <w:lang w:val="en-US" w:eastAsia="fr-FR"/>
        </w:rPr>
        <w:t>%</w:t>
      </w:r>
      <w:r>
        <w:rPr>
          <w:lang w:eastAsia="fr-FR"/>
        </w:rPr>
        <w:t xml:space="preserve"> in the total national levels of emission in 2022, excluding LULUCF contribution</w:t>
      </w:r>
      <w:r w:rsidRPr="002462F0">
        <w:rPr>
          <w:lang w:val="en-US" w:eastAsia="fr-FR"/>
        </w:rPr>
        <w:t>.</w:t>
      </w:r>
    </w:p>
    <w:p w14:paraId="5FE3EA0F" w14:textId="77777777" w:rsidR="00217760" w:rsidRPr="002462F0" w:rsidRDefault="00217760" w:rsidP="00217760">
      <w:pPr>
        <w:pStyle w:val="Heading3"/>
        <w:rPr>
          <w:lang w:eastAsia="fr-FR"/>
        </w:rPr>
      </w:pPr>
      <w:bookmarkStart w:id="514" w:name="_Toc182327860"/>
      <w:bookmarkStart w:id="515" w:name="_Toc184808234"/>
      <w:r w:rsidRPr="002462F0">
        <w:rPr>
          <w:lang w:eastAsia="fr-FR"/>
        </w:rPr>
        <w:t>Category-specific QA/QC and verification</w:t>
      </w:r>
      <w:bookmarkEnd w:id="514"/>
      <w:bookmarkEnd w:id="515"/>
    </w:p>
    <w:p w14:paraId="45973D9B" w14:textId="7E5775E9" w:rsidR="00217760" w:rsidRPr="002462F0" w:rsidRDefault="00217760" w:rsidP="00217760">
      <w:pPr>
        <w:pStyle w:val="BodyText"/>
        <w:rPr>
          <w:lang w:val="en-US" w:eastAsia="fr-FR"/>
        </w:rPr>
      </w:pPr>
      <w:r w:rsidRPr="002462F0">
        <w:rPr>
          <w:lang w:eastAsia="fr-FR"/>
        </w:rPr>
        <w:lastRenderedPageBreak/>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20CE0DE7" w14:textId="77777777" w:rsidR="00217760" w:rsidRPr="002462F0" w:rsidRDefault="00217760" w:rsidP="00217760">
      <w:pPr>
        <w:pStyle w:val="Heading3"/>
        <w:rPr>
          <w:lang w:eastAsia="fr-FR"/>
        </w:rPr>
      </w:pPr>
      <w:bookmarkStart w:id="516" w:name="_Toc182327861"/>
      <w:bookmarkStart w:id="517" w:name="_Toc184808235"/>
      <w:r w:rsidRPr="002462F0">
        <w:rPr>
          <w:lang w:eastAsia="fr-FR"/>
        </w:rPr>
        <w:t>Category-specific recalculations</w:t>
      </w:r>
      <w:bookmarkEnd w:id="516"/>
      <w:bookmarkEnd w:id="517"/>
    </w:p>
    <w:p w14:paraId="1BF810EA" w14:textId="01D3EAB5" w:rsidR="00217760" w:rsidRPr="002462F0" w:rsidRDefault="00217760" w:rsidP="00217760">
      <w:pPr>
        <w:pStyle w:val="BodyText"/>
        <w:rPr>
          <w:lang w:val="en-US" w:eastAsia="fr-FR"/>
        </w:rPr>
      </w:pPr>
      <w:r w:rsidRPr="002462F0">
        <w:t xml:space="preserve">The current report is the first </w:t>
      </w:r>
      <w:r w:rsidR="00CB4BC2">
        <w:t>National Inventory Document</w:t>
      </w:r>
      <w:r w:rsidRPr="002462F0">
        <w:t xml:space="preserve"> for Serbia. Consequently, there is no recalculation. Possible recalculation will be occurred and estimated in the next submission if necessary.</w:t>
      </w:r>
    </w:p>
    <w:p w14:paraId="16ADAB1D" w14:textId="77777777" w:rsidR="00217760" w:rsidRPr="002462F0" w:rsidRDefault="00217760" w:rsidP="00217760">
      <w:pPr>
        <w:pStyle w:val="Heading3"/>
        <w:rPr>
          <w:lang w:eastAsia="fr-FR"/>
        </w:rPr>
      </w:pPr>
      <w:bookmarkStart w:id="518" w:name="_Toc182327862"/>
      <w:bookmarkStart w:id="519" w:name="_Toc184808236"/>
      <w:r w:rsidRPr="002462F0">
        <w:rPr>
          <w:lang w:eastAsia="fr-FR"/>
        </w:rPr>
        <w:t>Category-specific planned improvements</w:t>
      </w:r>
      <w:bookmarkEnd w:id="518"/>
      <w:bookmarkEnd w:id="519"/>
    </w:p>
    <w:p w14:paraId="1F8A43AA" w14:textId="12D33793" w:rsidR="00217760" w:rsidRDefault="00217760" w:rsidP="00217760">
      <w:pPr>
        <w:rPr>
          <w:lang w:val="en-US"/>
        </w:rPr>
      </w:pPr>
      <w:r w:rsidRPr="002462F0">
        <w:rPr>
          <w:lang w:val="en-US"/>
        </w:rPr>
        <w:t xml:space="preserve">For the </w:t>
      </w:r>
      <w:r w:rsidR="001E5EFC">
        <w:rPr>
          <w:lang w:val="en-US"/>
        </w:rPr>
        <w:t>use of non-energy products</w:t>
      </w:r>
      <w:r w:rsidRPr="002462F0">
        <w:rPr>
          <w:lang w:val="en-US"/>
        </w:rPr>
        <w:t xml:space="preserve">, the completeness and the consistency of the activity data set </w:t>
      </w:r>
      <w:r w:rsidR="00EA0C22">
        <w:rPr>
          <w:lang w:val="en-US"/>
        </w:rPr>
        <w:t>could</w:t>
      </w:r>
      <w:r w:rsidRPr="002462F0">
        <w:rPr>
          <w:lang w:val="en-US"/>
        </w:rPr>
        <w:t xml:space="preserve"> be improved</w:t>
      </w:r>
      <w:r w:rsidR="001E5EFC">
        <w:rPr>
          <w:lang w:val="en-US"/>
        </w:rPr>
        <w:t xml:space="preserve">, in particular for </w:t>
      </w:r>
      <w:r w:rsidR="000B3F82">
        <w:rPr>
          <w:lang w:val="en-US"/>
        </w:rPr>
        <w:t>lubricants</w:t>
      </w:r>
      <w:r w:rsidR="001E5EFC">
        <w:rPr>
          <w:lang w:val="en-US"/>
        </w:rPr>
        <w:t>, paraffin wax, as well as data about the imports and exports of urea</w:t>
      </w:r>
      <w:r w:rsidRPr="002462F0">
        <w:rPr>
          <w:lang w:val="en-US"/>
        </w:rPr>
        <w:t>.</w:t>
      </w:r>
      <w:r w:rsidR="00EA0C22">
        <w:rPr>
          <w:lang w:val="en-US"/>
        </w:rPr>
        <w:t xml:space="preserve"> Discussion with the Statistical office, which </w:t>
      </w:r>
      <w:r w:rsidR="000B3F82">
        <w:rPr>
          <w:lang w:val="en-US"/>
        </w:rPr>
        <w:t>provides</w:t>
      </w:r>
      <w:r w:rsidR="00EA0C22">
        <w:rPr>
          <w:lang w:val="en-US"/>
        </w:rPr>
        <w:t xml:space="preserve"> these data, will be </w:t>
      </w:r>
      <w:r w:rsidR="000B3F82">
        <w:rPr>
          <w:lang w:val="en-US"/>
        </w:rPr>
        <w:t>conducted</w:t>
      </w:r>
      <w:r w:rsidR="00EA0C22">
        <w:rPr>
          <w:lang w:val="en-US"/>
        </w:rPr>
        <w:t xml:space="preserve">. </w:t>
      </w:r>
    </w:p>
    <w:p w14:paraId="07055BCF" w14:textId="132507E0" w:rsidR="00F62B16" w:rsidRPr="00FB6D11" w:rsidRDefault="00F62B16" w:rsidP="00F62B16">
      <w:pPr>
        <w:pStyle w:val="Heading2"/>
        <w:rPr>
          <w:rStyle w:val="Heading2Char"/>
          <w:b/>
          <w:bCs/>
          <w:lang w:val="en-GB"/>
        </w:rPr>
      </w:pPr>
      <w:bookmarkStart w:id="520" w:name="_Toc184806337"/>
      <w:bookmarkStart w:id="521" w:name="_Toc184808237"/>
      <w:bookmarkStart w:id="522" w:name="_Toc495655030"/>
      <w:bookmarkStart w:id="523" w:name="_Toc182327863"/>
      <w:bookmarkStart w:id="524" w:name="_Toc184808238"/>
      <w:bookmarkEnd w:id="520"/>
      <w:bookmarkEnd w:id="521"/>
      <w:r w:rsidRPr="00622F40">
        <w:rPr>
          <w:rStyle w:val="Heading2Char"/>
          <w:b/>
          <w:bCs/>
          <w:lang w:val="en-GB"/>
        </w:rPr>
        <w:t>Product uses as substitutes for ODS (</w:t>
      </w:r>
      <w:r w:rsidR="000F6001">
        <w:rPr>
          <w:rStyle w:val="Heading2Char"/>
          <w:b/>
          <w:bCs/>
          <w:lang w:val="en-GB"/>
        </w:rPr>
        <w:t>CRT</w:t>
      </w:r>
      <w:r w:rsidRPr="00622F40">
        <w:rPr>
          <w:rStyle w:val="Heading2Char"/>
          <w:b/>
          <w:bCs/>
          <w:lang w:val="en-GB"/>
        </w:rPr>
        <w:t xml:space="preserve"> 2F)</w:t>
      </w:r>
      <w:bookmarkEnd w:id="522"/>
      <w:bookmarkEnd w:id="523"/>
      <w:bookmarkEnd w:id="524"/>
    </w:p>
    <w:p w14:paraId="54DE5C75" w14:textId="27DB5450" w:rsidR="00F62B16" w:rsidRPr="002462F0" w:rsidRDefault="00F62B16" w:rsidP="00622F40">
      <w:pPr>
        <w:pStyle w:val="BodyText"/>
        <w:ind w:left="708" w:hanging="708"/>
        <w:rPr>
          <w:lang w:eastAsia="fr-FR"/>
        </w:rPr>
      </w:pPr>
      <w:r w:rsidRPr="002462F0">
        <w:rPr>
          <w:lang w:eastAsia="fr-FR"/>
        </w:rPr>
        <w:t>Th</w:t>
      </w:r>
      <w:r w:rsidR="00195269">
        <w:rPr>
          <w:lang w:eastAsia="fr-FR"/>
        </w:rPr>
        <w:t>e</w:t>
      </w:r>
      <w:r w:rsidRPr="002462F0">
        <w:rPr>
          <w:lang w:eastAsia="fr-FR"/>
        </w:rPr>
        <w:t xml:space="preserve"> CR</w:t>
      </w:r>
      <w:r w:rsidR="00195269">
        <w:rPr>
          <w:lang w:eastAsia="fr-FR"/>
        </w:rPr>
        <w:t>T</w:t>
      </w:r>
      <w:r w:rsidRPr="002462F0">
        <w:rPr>
          <w:lang w:eastAsia="fr-FR"/>
        </w:rPr>
        <w:t xml:space="preserve"> 2F categor</w:t>
      </w:r>
      <w:r w:rsidR="009E0457">
        <w:rPr>
          <w:lang w:eastAsia="fr-FR"/>
        </w:rPr>
        <w:t xml:space="preserve">y covers the following </w:t>
      </w:r>
      <w:r w:rsidR="00195269">
        <w:rPr>
          <w:lang w:eastAsia="fr-FR"/>
        </w:rPr>
        <w:t>sub</w:t>
      </w:r>
      <w:r w:rsidR="009E0457">
        <w:rPr>
          <w:lang w:eastAsia="fr-FR"/>
        </w:rPr>
        <w:t>sectors:</w:t>
      </w:r>
    </w:p>
    <w:p w14:paraId="718DD3BC" w14:textId="77777777" w:rsidR="00F62B16" w:rsidRPr="002462F0" w:rsidRDefault="00F62B16" w:rsidP="00AB11C1">
      <w:pPr>
        <w:pStyle w:val="BodyText"/>
        <w:numPr>
          <w:ilvl w:val="0"/>
          <w:numId w:val="33"/>
        </w:numPr>
        <w:rPr>
          <w:lang w:eastAsia="fr-FR"/>
        </w:rPr>
      </w:pPr>
      <w:r w:rsidRPr="002462F0">
        <w:rPr>
          <w:lang w:eastAsia="fr-FR"/>
        </w:rPr>
        <w:t>Refrigeration and air conditioning (2F1),</w:t>
      </w:r>
    </w:p>
    <w:p w14:paraId="6900CE54" w14:textId="77777777" w:rsidR="00F62B16" w:rsidRPr="002462F0" w:rsidRDefault="00F62B16" w:rsidP="00AB11C1">
      <w:pPr>
        <w:pStyle w:val="BodyText"/>
        <w:numPr>
          <w:ilvl w:val="0"/>
          <w:numId w:val="33"/>
        </w:numPr>
        <w:rPr>
          <w:lang w:eastAsia="fr-FR"/>
        </w:rPr>
      </w:pPr>
      <w:r w:rsidRPr="002462F0">
        <w:rPr>
          <w:lang w:eastAsia="fr-FR"/>
        </w:rPr>
        <w:t>Foam blowing agents (2F2),</w:t>
      </w:r>
    </w:p>
    <w:p w14:paraId="5EF8503E" w14:textId="77777777" w:rsidR="00F62B16" w:rsidRPr="002462F0" w:rsidRDefault="00F62B16" w:rsidP="00AB11C1">
      <w:pPr>
        <w:pStyle w:val="BodyText"/>
        <w:numPr>
          <w:ilvl w:val="0"/>
          <w:numId w:val="33"/>
        </w:numPr>
        <w:rPr>
          <w:lang w:eastAsia="fr-FR"/>
        </w:rPr>
      </w:pPr>
      <w:r w:rsidRPr="002462F0">
        <w:rPr>
          <w:lang w:eastAsia="fr-FR"/>
        </w:rPr>
        <w:t>Fire protection (2F3),</w:t>
      </w:r>
    </w:p>
    <w:p w14:paraId="772B51A8" w14:textId="77777777" w:rsidR="00F62B16" w:rsidRPr="002462F0" w:rsidRDefault="00F62B16" w:rsidP="00AB11C1">
      <w:pPr>
        <w:pStyle w:val="BodyText"/>
        <w:numPr>
          <w:ilvl w:val="0"/>
          <w:numId w:val="33"/>
        </w:numPr>
        <w:rPr>
          <w:lang w:eastAsia="fr-FR"/>
        </w:rPr>
      </w:pPr>
      <w:r w:rsidRPr="002462F0">
        <w:rPr>
          <w:lang w:eastAsia="fr-FR"/>
        </w:rPr>
        <w:t>Aerosols (2F4).</w:t>
      </w:r>
    </w:p>
    <w:p w14:paraId="53E892E4" w14:textId="58039364" w:rsidR="00F62B16" w:rsidRDefault="00F62B16" w:rsidP="009E0457">
      <w:pPr>
        <w:pStyle w:val="BodyText"/>
        <w:rPr>
          <w:lang w:eastAsia="fr-FR"/>
        </w:rPr>
      </w:pPr>
      <w:r w:rsidRPr="002462F0">
        <w:rPr>
          <w:lang w:eastAsia="fr-FR"/>
        </w:rPr>
        <w:t>The Solvent sector (2F5) does not occur in</w:t>
      </w:r>
      <w:r w:rsidR="00F50843">
        <w:rPr>
          <w:lang w:eastAsia="fr-FR"/>
        </w:rPr>
        <w:t xml:space="preserve"> the Republic of</w:t>
      </w:r>
      <w:r w:rsidRPr="002462F0">
        <w:rPr>
          <w:lang w:eastAsia="fr-FR"/>
        </w:rPr>
        <w:t xml:space="preserve"> Serbia.</w:t>
      </w:r>
    </w:p>
    <w:p w14:paraId="2FF7DA2C" w14:textId="637F5CB3" w:rsidR="00A9255E" w:rsidRDefault="00582B1D" w:rsidP="00195269">
      <w:pPr>
        <w:pStyle w:val="BodyText"/>
        <w:rPr>
          <w:lang w:eastAsia="fr-FR"/>
        </w:rPr>
      </w:pPr>
      <w:r>
        <w:rPr>
          <w:lang w:eastAsia="fr-FR"/>
        </w:rPr>
        <w:t xml:space="preserve">The category CRT 2F is the only contributor to HFC emissions in the Serbian inventory. </w:t>
      </w:r>
      <w:r w:rsidR="00195269" w:rsidRPr="002462F0">
        <w:rPr>
          <w:lang w:eastAsia="fr-FR"/>
        </w:rPr>
        <w:t>In 20</w:t>
      </w:r>
      <w:r w:rsidR="00195269">
        <w:rPr>
          <w:lang w:eastAsia="fr-FR"/>
        </w:rPr>
        <w:t>22</w:t>
      </w:r>
      <w:r w:rsidR="00195269" w:rsidRPr="002462F0">
        <w:rPr>
          <w:lang w:eastAsia="fr-FR"/>
        </w:rPr>
        <w:t xml:space="preserve">, HFCs emissions contributed to </w:t>
      </w:r>
      <w:r w:rsidR="00A9255E">
        <w:rPr>
          <w:lang w:eastAsia="fr-FR"/>
        </w:rPr>
        <w:t>3.1</w:t>
      </w:r>
      <w:r w:rsidR="00195269" w:rsidRPr="002462F0">
        <w:rPr>
          <w:lang w:eastAsia="fr-FR"/>
        </w:rPr>
        <w:t xml:space="preserve">% of </w:t>
      </w:r>
      <w:r w:rsidR="00195269">
        <w:rPr>
          <w:lang w:eastAsia="fr-FR"/>
        </w:rPr>
        <w:t xml:space="preserve">the </w:t>
      </w:r>
      <w:r w:rsidR="000F6001">
        <w:rPr>
          <w:lang w:eastAsia="fr-FR"/>
        </w:rPr>
        <w:t>CRT</w:t>
      </w:r>
      <w:r w:rsidR="00195269">
        <w:rPr>
          <w:lang w:eastAsia="fr-FR"/>
        </w:rPr>
        <w:t xml:space="preserve"> 2 sectoral GHG emission</w:t>
      </w:r>
      <w:r w:rsidR="00665E0C">
        <w:rPr>
          <w:lang w:eastAsia="fr-FR"/>
        </w:rPr>
        <w:t>s</w:t>
      </w:r>
      <w:r w:rsidR="00195269" w:rsidRPr="002462F0">
        <w:rPr>
          <w:lang w:eastAsia="fr-FR"/>
        </w:rPr>
        <w:t xml:space="preserve">, as well </w:t>
      </w:r>
      <w:r w:rsidR="00195269">
        <w:rPr>
          <w:lang w:eastAsia="fr-FR"/>
        </w:rPr>
        <w:t>as 0</w:t>
      </w:r>
      <w:r w:rsidR="00547BB4">
        <w:rPr>
          <w:lang w:eastAsia="fr-FR"/>
        </w:rPr>
        <w:t>.3</w:t>
      </w:r>
      <w:r w:rsidR="00195269" w:rsidRPr="002462F0">
        <w:rPr>
          <w:lang w:eastAsia="fr-FR"/>
        </w:rPr>
        <w:t>% to the total GHG emissions</w:t>
      </w:r>
      <w:r w:rsidR="00547BB4">
        <w:rPr>
          <w:lang w:eastAsia="fr-FR"/>
        </w:rPr>
        <w:t xml:space="preserve">, excluding </w:t>
      </w:r>
      <w:r w:rsidR="00195269" w:rsidRPr="002462F0">
        <w:rPr>
          <w:lang w:eastAsia="fr-FR"/>
        </w:rPr>
        <w:t>LULUCF</w:t>
      </w:r>
      <w:r w:rsidR="00547BB4">
        <w:rPr>
          <w:lang w:eastAsia="fr-FR"/>
        </w:rPr>
        <w:t xml:space="preserve"> contribution</w:t>
      </w:r>
      <w:r w:rsidR="00195269" w:rsidRPr="002462F0">
        <w:rPr>
          <w:lang w:eastAsia="fr-FR"/>
        </w:rPr>
        <w:t>.</w:t>
      </w:r>
    </w:p>
    <w:p w14:paraId="118B5C29" w14:textId="19B3A31F" w:rsidR="00A9255E" w:rsidRDefault="00A9255E" w:rsidP="00195269">
      <w:pPr>
        <w:pStyle w:val="BodyText"/>
        <w:rPr>
          <w:lang w:eastAsia="fr-FR"/>
        </w:rPr>
      </w:pPr>
      <w:r>
        <w:rPr>
          <w:lang w:eastAsia="fr-FR"/>
        </w:rPr>
        <w:t xml:space="preserve">It can be observed that GHG emissions related to this activity </w:t>
      </w:r>
      <w:r w:rsidR="00D36B7F">
        <w:rPr>
          <w:lang w:eastAsia="fr-FR"/>
        </w:rPr>
        <w:t xml:space="preserve">appeared in 1997, </w:t>
      </w:r>
      <w:r w:rsidR="00662C7B">
        <w:rPr>
          <w:lang w:eastAsia="fr-FR"/>
        </w:rPr>
        <w:t xml:space="preserve">increased slowly </w:t>
      </w:r>
      <w:r w:rsidR="00557DE0">
        <w:rPr>
          <w:lang w:eastAsia="fr-FR"/>
        </w:rPr>
        <w:t>until 2007, and much faster between 2007 and 2014</w:t>
      </w:r>
      <w:r w:rsidR="00704A8E">
        <w:rPr>
          <w:lang w:eastAsia="fr-FR"/>
        </w:rPr>
        <w:t xml:space="preserve"> (+</w:t>
      </w:r>
      <w:r w:rsidR="009E2B45">
        <w:rPr>
          <w:lang w:eastAsia="fr-FR"/>
        </w:rPr>
        <w:t xml:space="preserve">542%), before decreasing progressively up to the latest year 2022. </w:t>
      </w:r>
      <w:r w:rsidR="00691126">
        <w:rPr>
          <w:lang w:eastAsia="fr-FR"/>
        </w:rPr>
        <w:t xml:space="preserve">The growth is related to the development of the use of </w:t>
      </w:r>
      <w:r w:rsidR="00F36961">
        <w:rPr>
          <w:lang w:eastAsia="fr-FR"/>
        </w:rPr>
        <w:t>fluorinated gases, whereas the decline corresponds to th</w:t>
      </w:r>
      <w:r w:rsidR="008533A1">
        <w:rPr>
          <w:lang w:eastAsia="fr-FR"/>
        </w:rPr>
        <w:t xml:space="preserve">e </w:t>
      </w:r>
      <w:r w:rsidR="004D43FB">
        <w:rPr>
          <w:lang w:eastAsia="fr-FR"/>
        </w:rPr>
        <w:t>impact of</w:t>
      </w:r>
      <w:r w:rsidR="002C424B">
        <w:rPr>
          <w:lang w:eastAsia="fr-FR"/>
        </w:rPr>
        <w:t xml:space="preserve"> the regulation </w:t>
      </w:r>
      <w:r w:rsidR="00DF3E21">
        <w:rPr>
          <w:lang w:eastAsia="fr-FR"/>
        </w:rPr>
        <w:t>on the use of such substances (</w:t>
      </w:r>
      <w:r w:rsidR="00DF3E21" w:rsidRPr="00DF3E21">
        <w:rPr>
          <w:lang w:eastAsia="fr-FR"/>
        </w:rPr>
        <w:t>Regulation on the treatment of fluorinated gases with a greenhouse effect, as well as on the conditions for issuing permits for the import and export of these gases (OJ No 120/13)</w:t>
      </w:r>
      <w:r w:rsidR="00DF3E21">
        <w:rPr>
          <w:lang w:eastAsia="fr-FR"/>
        </w:rPr>
        <w:t>).</w:t>
      </w:r>
      <w:r w:rsidR="00374FE0">
        <w:rPr>
          <w:lang w:eastAsia="fr-FR"/>
        </w:rPr>
        <w:t xml:space="preserve"> Between 2014 and 2022, the achieved emission reduction is of </w:t>
      </w:r>
      <w:r w:rsidR="007A540E">
        <w:rPr>
          <w:lang w:eastAsia="fr-FR"/>
        </w:rPr>
        <w:t xml:space="preserve">66%. </w:t>
      </w:r>
    </w:p>
    <w:p w14:paraId="63F935EC" w14:textId="7431C1C4" w:rsidR="00623C19" w:rsidRDefault="00623C19" w:rsidP="00622F40">
      <w:pPr>
        <w:pStyle w:val="BodyText"/>
        <w:rPr>
          <w:lang w:eastAsia="fr-FR"/>
        </w:rPr>
      </w:pPr>
      <w:r>
        <w:rPr>
          <w:lang w:eastAsia="fr-FR"/>
        </w:rPr>
        <w:t xml:space="preserve">The main emission source </w:t>
      </w:r>
      <w:r w:rsidR="00433C49">
        <w:rPr>
          <w:lang w:eastAsia="fr-FR"/>
        </w:rPr>
        <w:t>of the sector</w:t>
      </w:r>
      <w:r>
        <w:rPr>
          <w:lang w:eastAsia="fr-FR"/>
        </w:rPr>
        <w:t xml:space="preserve"> is </w:t>
      </w:r>
      <w:r w:rsidR="00063647">
        <w:rPr>
          <w:lang w:eastAsia="fr-FR"/>
        </w:rPr>
        <w:t>the stationary air conditioning, commercial and industrial refrigeration (CRT 2F1f)</w:t>
      </w:r>
      <w:r w:rsidR="00433C49">
        <w:rPr>
          <w:lang w:eastAsia="fr-FR"/>
        </w:rPr>
        <w:t>, which represents most of the emissions throughout the timeseries</w:t>
      </w:r>
      <w:r w:rsidR="002D0915">
        <w:rPr>
          <w:lang w:eastAsia="fr-FR"/>
        </w:rPr>
        <w:t>.</w:t>
      </w:r>
      <w:r w:rsidR="006E1FD7">
        <w:rPr>
          <w:lang w:eastAsia="fr-FR"/>
        </w:rPr>
        <w:t xml:space="preserve"> In 2022, this subsector contributes to </w:t>
      </w:r>
      <w:r w:rsidR="007C3CAC">
        <w:rPr>
          <w:lang w:eastAsia="fr-FR"/>
        </w:rPr>
        <w:t xml:space="preserve">73% of the sector GHG emissions. </w:t>
      </w:r>
    </w:p>
    <w:p w14:paraId="0930C3C2" w14:textId="493E9081" w:rsidR="00C569DB" w:rsidRDefault="00050C5C" w:rsidP="000B3F82">
      <w:pPr>
        <w:spacing w:after="0"/>
        <w:rPr>
          <w:lang w:eastAsia="fr-FR"/>
        </w:rPr>
      </w:pPr>
      <w:r>
        <w:rPr>
          <w:noProof/>
          <w:lang w:val="en-US"/>
        </w:rPr>
        <w:lastRenderedPageBreak/>
        <w:drawing>
          <wp:inline distT="0" distB="0" distL="0" distR="0" wp14:anchorId="2B5DF9A3" wp14:editId="4DD23037">
            <wp:extent cx="5651500" cy="3202845"/>
            <wp:effectExtent l="0" t="0" r="6350" b="0"/>
            <wp:docPr id="1181559675"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55448" cy="3205082"/>
                    </a:xfrm>
                    <a:prstGeom prst="rect">
                      <a:avLst/>
                    </a:prstGeom>
                    <a:noFill/>
                  </pic:spPr>
                </pic:pic>
              </a:graphicData>
            </a:graphic>
          </wp:inline>
        </w:drawing>
      </w:r>
    </w:p>
    <w:p w14:paraId="4645F097" w14:textId="77777777" w:rsidR="000B3F82" w:rsidRPr="002462F0" w:rsidRDefault="000B3F82" w:rsidP="000B3F82">
      <w:pPr>
        <w:pStyle w:val="Caption"/>
        <w:spacing w:before="0" w:after="0"/>
        <w:jc w:val="both"/>
        <w:rPr>
          <w:sz w:val="22"/>
          <w:lang w:eastAsia="fr-FR"/>
        </w:rPr>
      </w:pPr>
      <w:bookmarkStart w:id="525" w:name="_Toc184808459"/>
      <w:r w:rsidRPr="002462F0">
        <w:t xml:space="preserve">Figure </w:t>
      </w:r>
      <w:r w:rsidRPr="002462F0">
        <w:fldChar w:fldCharType="begin"/>
      </w:r>
      <w:r w:rsidRPr="002462F0">
        <w:instrText xml:space="preserve"> SEQ Figure \* ARABIC </w:instrText>
      </w:r>
      <w:r w:rsidRPr="002462F0">
        <w:fldChar w:fldCharType="separate"/>
      </w:r>
      <w:r>
        <w:rPr>
          <w:noProof/>
        </w:rPr>
        <w:t>72</w:t>
      </w:r>
      <w:r w:rsidRPr="002462F0">
        <w:fldChar w:fldCharType="end"/>
      </w:r>
      <w:r w:rsidRPr="002462F0">
        <w:t xml:space="preserve">: GHG emissions trends for </w:t>
      </w:r>
      <w:r>
        <w:t>the product uses as substitutes for ODS (CRT 2F), for the period 1990-2022, per subcategory</w:t>
      </w:r>
      <w:r w:rsidRPr="002462F0">
        <w:t xml:space="preserve"> (</w:t>
      </w:r>
      <w:r>
        <w:t xml:space="preserve">in </w:t>
      </w:r>
      <w:r w:rsidRPr="002462F0">
        <w:t>kt CO</w:t>
      </w:r>
      <w:r w:rsidRPr="002462F0">
        <w:rPr>
          <w:vertAlign w:val="subscript"/>
        </w:rPr>
        <w:t>2</w:t>
      </w:r>
      <w:r w:rsidRPr="002462F0">
        <w:t>e)</w:t>
      </w:r>
      <w:bookmarkEnd w:id="525"/>
    </w:p>
    <w:p w14:paraId="1C580E38" w14:textId="127B8320" w:rsidR="00F62B16" w:rsidRPr="002462F0" w:rsidRDefault="00F62B16" w:rsidP="00622F40">
      <w:pPr>
        <w:pStyle w:val="Heading3"/>
        <w:rPr>
          <w:lang w:eastAsia="fr-FR"/>
        </w:rPr>
      </w:pPr>
      <w:bookmarkStart w:id="526" w:name="_Toc182327864"/>
      <w:bookmarkStart w:id="527" w:name="_Toc184808239"/>
      <w:r w:rsidRPr="002462F0">
        <w:rPr>
          <w:lang w:eastAsia="fr-FR"/>
        </w:rPr>
        <w:t>Refrigeration and air-conditioning (</w:t>
      </w:r>
      <w:r w:rsidR="00FF2718">
        <w:rPr>
          <w:lang w:eastAsia="fr-FR"/>
        </w:rPr>
        <w:t xml:space="preserve">CRT </w:t>
      </w:r>
      <w:r w:rsidRPr="002462F0">
        <w:rPr>
          <w:lang w:eastAsia="fr-FR"/>
        </w:rPr>
        <w:t>2F1)</w:t>
      </w:r>
      <w:bookmarkEnd w:id="526"/>
      <w:bookmarkEnd w:id="527"/>
    </w:p>
    <w:p w14:paraId="79264891" w14:textId="77777777" w:rsidR="00F62B16" w:rsidRPr="002462F0" w:rsidRDefault="00F62B16" w:rsidP="00F62B16">
      <w:pPr>
        <w:pStyle w:val="Titre4Bleu"/>
        <w:rPr>
          <w:lang w:eastAsia="fr-FR"/>
        </w:rPr>
      </w:pPr>
      <w:bookmarkStart w:id="528" w:name="_Toc182327865"/>
      <w:r w:rsidRPr="002462F0">
        <w:rPr>
          <w:lang w:eastAsia="fr-FR"/>
        </w:rPr>
        <w:t>Category description</w:t>
      </w:r>
      <w:bookmarkEnd w:id="528"/>
      <w:r w:rsidRPr="002462F0">
        <w:rPr>
          <w:lang w:eastAsia="fr-FR"/>
        </w:rPr>
        <w:t xml:space="preserve"> </w:t>
      </w:r>
    </w:p>
    <w:p w14:paraId="4CBAD4CB" w14:textId="2B928ACB" w:rsidR="00F62B16" w:rsidRPr="002462F0" w:rsidRDefault="00F62B16" w:rsidP="009E0457">
      <w:pPr>
        <w:pStyle w:val="BodyText"/>
        <w:rPr>
          <w:lang w:eastAsia="fr-FR"/>
        </w:rPr>
      </w:pPr>
      <w:r w:rsidRPr="002462F0">
        <w:rPr>
          <w:lang w:eastAsia="fr-FR"/>
        </w:rPr>
        <w:t xml:space="preserve">Refrigeration and air conditioning accounts for the most of emissions in </w:t>
      </w:r>
      <w:r w:rsidR="000F6001">
        <w:rPr>
          <w:lang w:eastAsia="fr-FR"/>
        </w:rPr>
        <w:t>CRT</w:t>
      </w:r>
      <w:r w:rsidRPr="002462F0">
        <w:rPr>
          <w:lang w:eastAsia="fr-FR"/>
        </w:rPr>
        <w:t xml:space="preserve"> 2F sector (</w:t>
      </w:r>
      <w:r w:rsidR="00026090">
        <w:rPr>
          <w:lang w:eastAsia="fr-FR"/>
        </w:rPr>
        <w:t>96</w:t>
      </w:r>
      <w:r w:rsidRPr="002462F0">
        <w:rPr>
          <w:lang w:eastAsia="fr-FR"/>
        </w:rPr>
        <w:t>% in 20</w:t>
      </w:r>
      <w:r w:rsidR="00026090">
        <w:rPr>
          <w:lang w:eastAsia="fr-FR"/>
        </w:rPr>
        <w:t>22</w:t>
      </w:r>
      <w:r w:rsidRPr="002462F0">
        <w:rPr>
          <w:lang w:eastAsia="fr-FR"/>
        </w:rPr>
        <w:t xml:space="preserve">). Emissions are released by the consumption of synthetic greenhouse gases (HFC-32, HFC-125, HFC-134a and HFC-143a), which are used as substitutes for cooling gases in refrigerating and air-conditioning systems that deplete the ozone layer (CFCs and HCFCs). This category includes the use of these substances in Commercial Refrigeration, Domestic Refrigeration, Industrial Refrigeration, Mobile Air-Conditioning and Stationary Air-Conditioning.  </w:t>
      </w:r>
    </w:p>
    <w:p w14:paraId="36823BCD" w14:textId="77777777" w:rsidR="00F62B16" w:rsidRPr="002462F0" w:rsidRDefault="00F62B16" w:rsidP="009E0457">
      <w:pPr>
        <w:pStyle w:val="BodyText"/>
        <w:rPr>
          <w:lang w:eastAsia="fr-FR"/>
        </w:rPr>
      </w:pPr>
      <w:r w:rsidRPr="002462F0">
        <w:rPr>
          <w:lang w:eastAsia="fr-FR"/>
        </w:rPr>
        <w:t>The 2F1 sector is split between 2F1b (domestic refrigeration), 2F1e (mobile air conditioning) and 2F1f (aggregated emission for stationary air conditioning, commercial and industrial refrigeration).</w:t>
      </w:r>
    </w:p>
    <w:p w14:paraId="3D3CE8F6" w14:textId="61CB83E1" w:rsidR="00F62B16" w:rsidRPr="002462F0" w:rsidRDefault="00F62B16" w:rsidP="009E0457">
      <w:pPr>
        <w:pStyle w:val="BodyText"/>
        <w:rPr>
          <w:lang w:eastAsia="fr-FR"/>
        </w:rPr>
      </w:pPr>
      <w:r w:rsidRPr="002462F0">
        <w:rPr>
          <w:lang w:eastAsia="fr-FR"/>
        </w:rPr>
        <w:t>In 20</w:t>
      </w:r>
      <w:r w:rsidR="00F3224B">
        <w:rPr>
          <w:lang w:eastAsia="fr-FR"/>
        </w:rPr>
        <w:t>22</w:t>
      </w:r>
      <w:r w:rsidRPr="002462F0">
        <w:rPr>
          <w:lang w:eastAsia="fr-FR"/>
        </w:rPr>
        <w:t xml:space="preserve">, the 2F1f </w:t>
      </w:r>
      <w:r w:rsidR="009B5BB2">
        <w:rPr>
          <w:lang w:eastAsia="fr-FR"/>
        </w:rPr>
        <w:t>sub</w:t>
      </w:r>
      <w:r w:rsidRPr="002462F0">
        <w:rPr>
          <w:lang w:eastAsia="fr-FR"/>
        </w:rPr>
        <w:t>sector is a key category for HFCs emissions</w:t>
      </w:r>
      <w:r w:rsidR="00864CEE">
        <w:rPr>
          <w:lang w:eastAsia="fr-FR"/>
        </w:rPr>
        <w:t>, in terms of emission trend,</w:t>
      </w:r>
      <w:r w:rsidRPr="002462F0">
        <w:rPr>
          <w:lang w:eastAsia="fr-FR"/>
        </w:rPr>
        <w:t xml:space="preserve"> in </w:t>
      </w:r>
      <w:r w:rsidR="00864CEE">
        <w:rPr>
          <w:lang w:eastAsia="fr-FR"/>
        </w:rPr>
        <w:t xml:space="preserve">the Republic of </w:t>
      </w:r>
      <w:r w:rsidRPr="002462F0">
        <w:rPr>
          <w:lang w:eastAsia="fr-FR"/>
        </w:rPr>
        <w:t xml:space="preserve">Serbia. This sector contributes to </w:t>
      </w:r>
      <w:r w:rsidR="006233FD">
        <w:rPr>
          <w:lang w:eastAsia="fr-FR"/>
        </w:rPr>
        <w:t>0</w:t>
      </w:r>
      <w:r w:rsidR="009B5BB2">
        <w:rPr>
          <w:lang w:eastAsia="fr-FR"/>
        </w:rPr>
        <w:t>.4</w:t>
      </w:r>
      <w:r w:rsidRPr="002462F0">
        <w:rPr>
          <w:lang w:eastAsia="fr-FR"/>
        </w:rPr>
        <w:t xml:space="preserve">% in terms of emissions </w:t>
      </w:r>
      <w:r w:rsidR="009B5BB2">
        <w:rPr>
          <w:lang w:eastAsia="fr-FR"/>
        </w:rPr>
        <w:t>trend</w:t>
      </w:r>
      <w:r w:rsidR="009B5BB2" w:rsidRPr="002462F0">
        <w:rPr>
          <w:lang w:eastAsia="fr-FR"/>
        </w:rPr>
        <w:t xml:space="preserve"> </w:t>
      </w:r>
      <w:r w:rsidRPr="002462F0">
        <w:rPr>
          <w:lang w:eastAsia="fr-FR"/>
        </w:rPr>
        <w:t xml:space="preserve">(rank </w:t>
      </w:r>
      <w:r w:rsidR="009B5BB2">
        <w:rPr>
          <w:lang w:eastAsia="fr-FR"/>
        </w:rPr>
        <w:t>42</w:t>
      </w:r>
      <w:r w:rsidRPr="002462F0">
        <w:rPr>
          <w:lang w:eastAsia="fr-FR"/>
        </w:rPr>
        <w:t xml:space="preserve">). </w:t>
      </w:r>
      <w:r w:rsidR="009B5BB2">
        <w:rPr>
          <w:lang w:eastAsia="fr-FR"/>
        </w:rPr>
        <w:t>However, i</w:t>
      </w:r>
      <w:r w:rsidRPr="002462F0">
        <w:rPr>
          <w:lang w:eastAsia="fr-FR"/>
        </w:rPr>
        <w:t>n 20</w:t>
      </w:r>
      <w:r w:rsidR="009B5BB2">
        <w:rPr>
          <w:lang w:eastAsia="fr-FR"/>
        </w:rPr>
        <w:t>22</w:t>
      </w:r>
      <w:r w:rsidRPr="002462F0">
        <w:rPr>
          <w:lang w:eastAsia="fr-FR"/>
        </w:rPr>
        <w:t xml:space="preserve">, the 2F1b and 2F1e </w:t>
      </w:r>
      <w:r w:rsidR="009B5BB2">
        <w:rPr>
          <w:lang w:eastAsia="fr-FR"/>
        </w:rPr>
        <w:t>sub</w:t>
      </w:r>
      <w:r w:rsidRPr="002462F0">
        <w:rPr>
          <w:lang w:eastAsia="fr-FR"/>
        </w:rPr>
        <w:t xml:space="preserve">sectors are </w:t>
      </w:r>
      <w:r w:rsidR="009B5BB2">
        <w:rPr>
          <w:lang w:eastAsia="fr-FR"/>
        </w:rPr>
        <w:t>neither</w:t>
      </w:r>
      <w:r w:rsidR="009B5BB2" w:rsidRPr="002462F0">
        <w:rPr>
          <w:lang w:eastAsia="fr-FR"/>
        </w:rPr>
        <w:t xml:space="preserve"> </w:t>
      </w:r>
      <w:r w:rsidRPr="002462F0">
        <w:rPr>
          <w:lang w:eastAsia="fr-FR"/>
        </w:rPr>
        <w:t xml:space="preserve">key </w:t>
      </w:r>
      <w:r w:rsidR="000B3F82" w:rsidRPr="002462F0">
        <w:rPr>
          <w:lang w:eastAsia="fr-FR"/>
        </w:rPr>
        <w:t>categor</w:t>
      </w:r>
      <w:r w:rsidR="000B3F82">
        <w:rPr>
          <w:lang w:eastAsia="fr-FR"/>
        </w:rPr>
        <w:t>y</w:t>
      </w:r>
      <w:r w:rsidRPr="002462F0">
        <w:rPr>
          <w:lang w:eastAsia="fr-FR"/>
        </w:rPr>
        <w:t xml:space="preserve"> in terms </w:t>
      </w:r>
      <w:r w:rsidR="009B5BB2">
        <w:rPr>
          <w:lang w:eastAsia="fr-FR"/>
        </w:rPr>
        <w:t xml:space="preserve">of </w:t>
      </w:r>
      <w:r w:rsidRPr="002462F0">
        <w:rPr>
          <w:lang w:eastAsia="fr-FR"/>
        </w:rPr>
        <w:t>emission level</w:t>
      </w:r>
      <w:r w:rsidR="009B5BB2">
        <w:rPr>
          <w:lang w:eastAsia="fr-FR"/>
        </w:rPr>
        <w:t>s</w:t>
      </w:r>
      <w:r w:rsidRPr="002462F0">
        <w:rPr>
          <w:lang w:eastAsia="fr-FR"/>
        </w:rPr>
        <w:t xml:space="preserve"> and emission tre</w:t>
      </w:r>
      <w:r w:rsidR="009E0457">
        <w:rPr>
          <w:lang w:eastAsia="fr-FR"/>
        </w:rPr>
        <w:t>nd for GHG emissions in Serbia.</w:t>
      </w:r>
    </w:p>
    <w:p w14:paraId="64C1F5C3" w14:textId="77777777" w:rsidR="00F62B16" w:rsidRPr="002462F0" w:rsidRDefault="00F62B16" w:rsidP="009E0457">
      <w:pPr>
        <w:pStyle w:val="BodyText"/>
        <w:rPr>
          <w:lang w:eastAsia="fr-FR"/>
        </w:rPr>
      </w:pPr>
      <w:r w:rsidRPr="002462F0">
        <w:rPr>
          <w:lang w:eastAsia="fr-FR"/>
        </w:rPr>
        <w:t>Refrigerants used in Serbia are R-134a, R-404A, R-407C and R-410A. The emissions by subsectors are summarized below:</w:t>
      </w:r>
    </w:p>
    <w:p w14:paraId="5672F043" w14:textId="1C4B7680" w:rsidR="00F62B16" w:rsidRPr="002462F0" w:rsidRDefault="003C0778" w:rsidP="00775881">
      <w:pPr>
        <w:keepNext/>
        <w:autoSpaceDE w:val="0"/>
        <w:autoSpaceDN w:val="0"/>
        <w:adjustRightInd w:val="0"/>
        <w:spacing w:after="0" w:line="240" w:lineRule="auto"/>
        <w:jc w:val="left"/>
      </w:pPr>
      <w:r>
        <w:rPr>
          <w:noProof/>
          <w:lang w:val="en-US"/>
        </w:rPr>
        <w:lastRenderedPageBreak/>
        <w:drawing>
          <wp:inline distT="0" distB="0" distL="0" distR="0" wp14:anchorId="418433FC" wp14:editId="596F4061">
            <wp:extent cx="5760000" cy="1753712"/>
            <wp:effectExtent l="0" t="0" r="0" b="0"/>
            <wp:docPr id="2134003515"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5A2BBB7F" w14:textId="77777777" w:rsidR="000B3F82" w:rsidRPr="002462F0" w:rsidRDefault="000B3F82" w:rsidP="00775881">
      <w:pPr>
        <w:pStyle w:val="Caption"/>
        <w:spacing w:before="0"/>
        <w:jc w:val="left"/>
        <w:rPr>
          <w:sz w:val="22"/>
          <w:lang w:eastAsia="fr-FR"/>
        </w:rPr>
      </w:pPr>
      <w:bookmarkStart w:id="529" w:name="_Toc184808460"/>
      <w:r w:rsidRPr="002462F0">
        <w:t xml:space="preserve">Figure </w:t>
      </w:r>
      <w:r w:rsidRPr="002462F0">
        <w:fldChar w:fldCharType="begin"/>
      </w:r>
      <w:r w:rsidRPr="002462F0">
        <w:instrText xml:space="preserve"> SEQ Figure \* ARABIC </w:instrText>
      </w:r>
      <w:r w:rsidRPr="002462F0">
        <w:fldChar w:fldCharType="separate"/>
      </w:r>
      <w:r>
        <w:rPr>
          <w:noProof/>
        </w:rPr>
        <w:t>73</w:t>
      </w:r>
      <w:r w:rsidRPr="002462F0">
        <w:fldChar w:fldCharType="end"/>
      </w:r>
      <w:r w:rsidRPr="002462F0">
        <w:t>: GHG emissions for domestic refrigeration</w:t>
      </w:r>
      <w:r>
        <w:t>, for the period 1990-2022</w:t>
      </w:r>
      <w:r w:rsidRPr="002462F0">
        <w:t xml:space="preserve"> (</w:t>
      </w:r>
      <w:r>
        <w:t xml:space="preserve">in </w:t>
      </w:r>
      <w:r w:rsidRPr="002462F0">
        <w:t>kt CO</w:t>
      </w:r>
      <w:r w:rsidRPr="002462F0">
        <w:rPr>
          <w:vertAlign w:val="subscript"/>
        </w:rPr>
        <w:t>2</w:t>
      </w:r>
      <w:r w:rsidRPr="002462F0">
        <w:t>e)</w:t>
      </w:r>
      <w:bookmarkEnd w:id="529"/>
    </w:p>
    <w:p w14:paraId="5357A0C0" w14:textId="27C7344A" w:rsidR="00F62B16" w:rsidRPr="002462F0" w:rsidRDefault="008D4C7B" w:rsidP="00775881">
      <w:pPr>
        <w:keepNext/>
        <w:autoSpaceDE w:val="0"/>
        <w:autoSpaceDN w:val="0"/>
        <w:adjustRightInd w:val="0"/>
        <w:spacing w:after="0" w:line="240" w:lineRule="auto"/>
        <w:jc w:val="left"/>
      </w:pPr>
      <w:r>
        <w:rPr>
          <w:noProof/>
          <w:lang w:val="en-US"/>
        </w:rPr>
        <w:drawing>
          <wp:inline distT="0" distB="0" distL="0" distR="0" wp14:anchorId="3CC9F52A" wp14:editId="228775A1">
            <wp:extent cx="5760000" cy="1753712"/>
            <wp:effectExtent l="0" t="0" r="0" b="0"/>
            <wp:docPr id="1450496137"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614BD97D" w14:textId="77777777" w:rsidR="00775881" w:rsidRPr="002462F0" w:rsidRDefault="00775881" w:rsidP="00775881">
      <w:pPr>
        <w:pStyle w:val="Caption"/>
        <w:spacing w:before="0"/>
        <w:jc w:val="left"/>
        <w:rPr>
          <w:sz w:val="22"/>
          <w:lang w:eastAsia="fr-FR"/>
        </w:rPr>
      </w:pPr>
      <w:bookmarkStart w:id="530" w:name="_Toc184808461"/>
      <w:r w:rsidRPr="002462F0">
        <w:t xml:space="preserve">Figure </w:t>
      </w:r>
      <w:r w:rsidRPr="002462F0">
        <w:fldChar w:fldCharType="begin"/>
      </w:r>
      <w:r w:rsidRPr="002462F0">
        <w:instrText xml:space="preserve"> SEQ Figure \* ARABIC </w:instrText>
      </w:r>
      <w:r w:rsidRPr="002462F0">
        <w:fldChar w:fldCharType="separate"/>
      </w:r>
      <w:r>
        <w:rPr>
          <w:noProof/>
        </w:rPr>
        <w:t>74</w:t>
      </w:r>
      <w:r w:rsidRPr="002462F0">
        <w:fldChar w:fldCharType="end"/>
      </w:r>
      <w:r w:rsidRPr="002462F0">
        <w:t>: GHG emissions for mobile air-conditioning</w:t>
      </w:r>
      <w:r>
        <w:t>, for the period 1990-2022</w:t>
      </w:r>
      <w:r w:rsidRPr="002462F0">
        <w:t xml:space="preserve"> (</w:t>
      </w:r>
      <w:r>
        <w:t xml:space="preserve">in </w:t>
      </w:r>
      <w:r w:rsidRPr="002462F0">
        <w:t>kt CO</w:t>
      </w:r>
      <w:r w:rsidRPr="002462F0">
        <w:rPr>
          <w:vertAlign w:val="subscript"/>
        </w:rPr>
        <w:t>2</w:t>
      </w:r>
      <w:r w:rsidRPr="002462F0">
        <w:t>e)</w:t>
      </w:r>
      <w:bookmarkEnd w:id="530"/>
    </w:p>
    <w:p w14:paraId="6A7B2522" w14:textId="1535FDB3" w:rsidR="00F62B16" w:rsidRPr="002462F0" w:rsidRDefault="00E71AE6" w:rsidP="00775881">
      <w:pPr>
        <w:keepNext/>
        <w:autoSpaceDE w:val="0"/>
        <w:autoSpaceDN w:val="0"/>
        <w:adjustRightInd w:val="0"/>
        <w:spacing w:after="0" w:line="240" w:lineRule="auto"/>
        <w:jc w:val="left"/>
      </w:pPr>
      <w:r>
        <w:rPr>
          <w:noProof/>
          <w:lang w:val="en-US"/>
        </w:rPr>
        <w:drawing>
          <wp:inline distT="0" distB="0" distL="0" distR="0" wp14:anchorId="5422C51D" wp14:editId="0F9391D7">
            <wp:extent cx="5760000" cy="1753712"/>
            <wp:effectExtent l="0" t="0" r="0" b="0"/>
            <wp:docPr id="152112633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70532C36" w14:textId="77777777" w:rsidR="00775881" w:rsidRPr="002462F0" w:rsidRDefault="00775881" w:rsidP="00775881">
      <w:pPr>
        <w:pStyle w:val="Caption"/>
        <w:spacing w:before="0"/>
        <w:jc w:val="left"/>
        <w:rPr>
          <w:sz w:val="22"/>
          <w:lang w:eastAsia="fr-FR"/>
        </w:rPr>
      </w:pPr>
      <w:bookmarkStart w:id="531" w:name="_Toc184808462"/>
      <w:r w:rsidRPr="002462F0">
        <w:t xml:space="preserve">Figure </w:t>
      </w:r>
      <w:r w:rsidRPr="002462F0">
        <w:fldChar w:fldCharType="begin"/>
      </w:r>
      <w:r w:rsidRPr="002462F0">
        <w:instrText xml:space="preserve"> SEQ Figure \* ARABIC </w:instrText>
      </w:r>
      <w:r w:rsidRPr="002462F0">
        <w:fldChar w:fldCharType="separate"/>
      </w:r>
      <w:r>
        <w:rPr>
          <w:noProof/>
        </w:rPr>
        <w:t>75</w:t>
      </w:r>
      <w:r w:rsidRPr="002462F0">
        <w:fldChar w:fldCharType="end"/>
      </w:r>
      <w:r w:rsidRPr="002462F0">
        <w:t>: GHG emissions for commercial refrigeration, industrial refrigeration and stationary air-conditioning</w:t>
      </w:r>
      <w:r>
        <w:t xml:space="preserve">, </w:t>
      </w:r>
      <w:r>
        <w:br/>
        <w:t>for the period 1990-2022</w:t>
      </w:r>
      <w:r w:rsidRPr="002462F0">
        <w:t xml:space="preserve"> (</w:t>
      </w:r>
      <w:r>
        <w:t xml:space="preserve">in </w:t>
      </w:r>
      <w:r w:rsidRPr="002462F0">
        <w:t>kt CO</w:t>
      </w:r>
      <w:r w:rsidRPr="002462F0">
        <w:rPr>
          <w:vertAlign w:val="subscript"/>
        </w:rPr>
        <w:t>2</w:t>
      </w:r>
      <w:r w:rsidRPr="002462F0">
        <w:t>e)</w:t>
      </w:r>
      <w:bookmarkEnd w:id="531"/>
    </w:p>
    <w:p w14:paraId="3FB624B9" w14:textId="53526AB5" w:rsidR="00F62B16" w:rsidRDefault="00F62B16" w:rsidP="009E0457">
      <w:pPr>
        <w:pStyle w:val="BodyText"/>
        <w:rPr>
          <w:lang w:eastAsia="fr-FR"/>
        </w:rPr>
      </w:pPr>
      <w:r w:rsidRPr="002462F0">
        <w:rPr>
          <w:lang w:eastAsia="fr-FR"/>
        </w:rPr>
        <w:t>HFCs started to be used in larger extent in the middle of 2000s but, due to the increase of average annual stock of refrigerant, the emissions started to be high in early 2010s. Concerning HFC-134a domestic emissions, the high increase from 2012 is caused by emissions at the end of life of the freezers. Indeed, it</w:t>
      </w:r>
      <w:r w:rsidR="00E92105">
        <w:rPr>
          <w:lang w:eastAsia="fr-FR"/>
        </w:rPr>
        <w:t xml:space="preserve"> is</w:t>
      </w:r>
      <w:r w:rsidRPr="002462F0">
        <w:rPr>
          <w:lang w:eastAsia="fr-FR"/>
        </w:rPr>
        <w:t xml:space="preserve"> assumed that there is no recovery of HFC at the decommissioning.</w:t>
      </w:r>
    </w:p>
    <w:p w14:paraId="323AD181" w14:textId="5888B3C4" w:rsidR="00641274" w:rsidRPr="002462F0" w:rsidRDefault="00641274" w:rsidP="009E0457">
      <w:pPr>
        <w:pStyle w:val="BodyText"/>
        <w:rPr>
          <w:lang w:eastAsia="fr-FR"/>
        </w:rPr>
      </w:pPr>
      <w:r>
        <w:rPr>
          <w:lang w:eastAsia="fr-FR"/>
        </w:rPr>
        <w:t xml:space="preserve">The implementation of the regulation </w:t>
      </w:r>
      <w:r w:rsidRPr="00641274">
        <w:rPr>
          <w:lang w:eastAsia="fr-FR"/>
        </w:rPr>
        <w:t xml:space="preserve">on treatment </w:t>
      </w:r>
      <w:r w:rsidR="005330A2">
        <w:rPr>
          <w:lang w:eastAsia="fr-FR"/>
        </w:rPr>
        <w:t xml:space="preserve">and transfers </w:t>
      </w:r>
      <w:r w:rsidRPr="00641274">
        <w:rPr>
          <w:lang w:eastAsia="fr-FR"/>
        </w:rPr>
        <w:t xml:space="preserve">of fluorinated gases </w:t>
      </w:r>
      <w:r w:rsidR="00B66DBA">
        <w:rPr>
          <w:lang w:eastAsia="fr-FR"/>
        </w:rPr>
        <w:t xml:space="preserve">implemented in 2013 enabled to achieve important emission reductions in </w:t>
      </w:r>
      <w:r w:rsidR="004B09EA">
        <w:rPr>
          <w:lang w:eastAsia="fr-FR"/>
        </w:rPr>
        <w:t>CRT 2F1e and 2F1f</w:t>
      </w:r>
      <w:r w:rsidR="006B28D7">
        <w:rPr>
          <w:lang w:eastAsia="fr-FR"/>
        </w:rPr>
        <w:t xml:space="preserve"> since 2014</w:t>
      </w:r>
      <w:r w:rsidR="004B09EA">
        <w:rPr>
          <w:lang w:eastAsia="fr-FR"/>
        </w:rPr>
        <w:t xml:space="preserve">. </w:t>
      </w:r>
    </w:p>
    <w:p w14:paraId="49ABB4D5" w14:textId="4BDE057B" w:rsidR="00F62B16" w:rsidRPr="002462F0" w:rsidRDefault="00F62B16" w:rsidP="00F62B16">
      <w:pPr>
        <w:pStyle w:val="Titre4Bleu"/>
        <w:rPr>
          <w:lang w:eastAsia="fr-FR"/>
        </w:rPr>
      </w:pPr>
      <w:bookmarkStart w:id="532" w:name="_Toc495655032"/>
      <w:bookmarkStart w:id="533" w:name="_Toc182327866"/>
      <w:r w:rsidRPr="002462F0">
        <w:rPr>
          <w:lang w:eastAsia="fr-FR"/>
        </w:rPr>
        <w:t>Methodological issues</w:t>
      </w:r>
      <w:bookmarkEnd w:id="532"/>
      <w:bookmarkEnd w:id="533"/>
      <w:r w:rsidRPr="002462F0">
        <w:rPr>
          <w:lang w:eastAsia="fr-FR"/>
        </w:rPr>
        <w:t xml:space="preserve"> </w:t>
      </w:r>
    </w:p>
    <w:p w14:paraId="5B45313C" w14:textId="1BD481D1" w:rsidR="00F62B16" w:rsidRPr="002462F0" w:rsidRDefault="00F62B16" w:rsidP="009E0457">
      <w:pPr>
        <w:pStyle w:val="BodyText"/>
        <w:rPr>
          <w:lang w:eastAsia="fr-FR"/>
        </w:rPr>
      </w:pPr>
      <w:r w:rsidRPr="002462F0">
        <w:rPr>
          <w:lang w:eastAsia="fr-FR"/>
        </w:rPr>
        <w:t xml:space="preserve">On </w:t>
      </w:r>
      <w:r w:rsidR="00B1748F">
        <w:rPr>
          <w:lang w:eastAsia="fr-FR"/>
        </w:rPr>
        <w:t>one</w:t>
      </w:r>
      <w:r w:rsidR="00B1748F" w:rsidRPr="002462F0">
        <w:rPr>
          <w:lang w:eastAsia="fr-FR"/>
        </w:rPr>
        <w:t xml:space="preserve"> </w:t>
      </w:r>
      <w:r w:rsidRPr="002462F0">
        <w:rPr>
          <w:lang w:eastAsia="fr-FR"/>
        </w:rPr>
        <w:t>hand, Tier 1 methodology is used for 2F1e and 2F1f sectors due to the missing data on average annual stocks. On the other hand, Tier 2a methodology is used for 2F1b sector.</w:t>
      </w:r>
    </w:p>
    <w:p w14:paraId="087EAD2E" w14:textId="77777777" w:rsidR="00F62B16" w:rsidRPr="00775881" w:rsidRDefault="00F62B16" w:rsidP="00775881">
      <w:pPr>
        <w:pStyle w:val="Heading5"/>
      </w:pPr>
      <w:bookmarkStart w:id="534" w:name="_Toc182327867"/>
      <w:r w:rsidRPr="00775881">
        <w:lastRenderedPageBreak/>
        <w:t>Domestic refrigeration (2F1b)</w:t>
      </w:r>
      <w:bookmarkEnd w:id="534"/>
    </w:p>
    <w:p w14:paraId="7EC68424" w14:textId="3BBA9EA4" w:rsidR="00F62B16" w:rsidRPr="002462F0" w:rsidRDefault="00F62B16" w:rsidP="009E0457">
      <w:pPr>
        <w:pStyle w:val="BodyText"/>
        <w:rPr>
          <w:lang w:eastAsia="fr-FR"/>
        </w:rPr>
      </w:pPr>
      <w:r w:rsidRPr="002462F0">
        <w:rPr>
          <w:lang w:eastAsia="fr-FR"/>
        </w:rPr>
        <w:t xml:space="preserve">The amount of HFC-134a contained in freezers in </w:t>
      </w:r>
      <w:r w:rsidR="00D46693">
        <w:rPr>
          <w:lang w:eastAsia="fr-FR"/>
        </w:rPr>
        <w:t xml:space="preserve">the Republic of </w:t>
      </w:r>
      <w:r w:rsidRPr="002462F0">
        <w:rPr>
          <w:lang w:eastAsia="fr-FR"/>
        </w:rPr>
        <w:t>Serbia is estimated with the following parameters:</w:t>
      </w:r>
    </w:p>
    <w:p w14:paraId="20C84F64" w14:textId="77777777" w:rsidR="00F62B16" w:rsidRPr="002462F0" w:rsidRDefault="00F62B16" w:rsidP="00AB11C1">
      <w:pPr>
        <w:pStyle w:val="BodyText"/>
        <w:numPr>
          <w:ilvl w:val="0"/>
          <w:numId w:val="34"/>
        </w:numPr>
        <w:rPr>
          <w:lang w:eastAsia="fr-FR"/>
        </w:rPr>
      </w:pPr>
      <w:r w:rsidRPr="002462F0">
        <w:rPr>
          <w:lang w:eastAsia="fr-FR"/>
        </w:rPr>
        <w:t>number of households in Serbia each year,</w:t>
      </w:r>
    </w:p>
    <w:p w14:paraId="3F9A81F9" w14:textId="77777777" w:rsidR="00F62B16" w:rsidRPr="002462F0" w:rsidRDefault="00F62B16" w:rsidP="00AB11C1">
      <w:pPr>
        <w:pStyle w:val="BodyText"/>
        <w:numPr>
          <w:ilvl w:val="0"/>
          <w:numId w:val="34"/>
        </w:numPr>
        <w:rPr>
          <w:lang w:eastAsia="fr-FR"/>
        </w:rPr>
      </w:pPr>
      <w:r w:rsidRPr="002462F0">
        <w:rPr>
          <w:lang w:eastAsia="fr-FR"/>
        </w:rPr>
        <w:t>share of households equipped with a freezer each year,</w:t>
      </w:r>
    </w:p>
    <w:p w14:paraId="257914B6" w14:textId="77777777" w:rsidR="00F62B16" w:rsidRPr="002462F0" w:rsidRDefault="00F62B16" w:rsidP="00AB11C1">
      <w:pPr>
        <w:pStyle w:val="BodyText"/>
        <w:numPr>
          <w:ilvl w:val="0"/>
          <w:numId w:val="34"/>
        </w:numPr>
        <w:rPr>
          <w:lang w:eastAsia="fr-FR"/>
        </w:rPr>
      </w:pPr>
      <w:r w:rsidRPr="002462F0">
        <w:rPr>
          <w:lang w:eastAsia="fr-FR"/>
        </w:rPr>
        <w:t>repartition of gases introduced in new freezers,</w:t>
      </w:r>
    </w:p>
    <w:p w14:paraId="311C4922" w14:textId="77777777" w:rsidR="00F62B16" w:rsidRPr="002462F0" w:rsidRDefault="00F62B16" w:rsidP="00AB11C1">
      <w:pPr>
        <w:pStyle w:val="BodyText"/>
        <w:numPr>
          <w:ilvl w:val="0"/>
          <w:numId w:val="34"/>
        </w:numPr>
        <w:rPr>
          <w:lang w:eastAsia="fr-FR"/>
        </w:rPr>
      </w:pPr>
      <w:r w:rsidRPr="002462F0">
        <w:rPr>
          <w:lang w:eastAsia="fr-FR"/>
        </w:rPr>
        <w:t>gas amount per appliance.</w:t>
      </w:r>
    </w:p>
    <w:p w14:paraId="252E6DFA" w14:textId="58054DB8" w:rsidR="00F62B16" w:rsidRPr="002462F0" w:rsidRDefault="00F62B16" w:rsidP="009E0457">
      <w:pPr>
        <w:pStyle w:val="BodyText"/>
        <w:rPr>
          <w:lang w:eastAsia="fr-FR"/>
        </w:rPr>
      </w:pPr>
      <w:r w:rsidRPr="002462F0">
        <w:rPr>
          <w:lang w:eastAsia="fr-FR"/>
        </w:rPr>
        <w:t>The number of household</w:t>
      </w:r>
      <w:r w:rsidR="00451034">
        <w:rPr>
          <w:lang w:eastAsia="fr-FR"/>
        </w:rPr>
        <w:t>s</w:t>
      </w:r>
      <w:r w:rsidRPr="002462F0">
        <w:rPr>
          <w:lang w:eastAsia="fr-FR"/>
        </w:rPr>
        <w:t xml:space="preserve"> in Serbia and the share of households equipped with a freezer are collected e</w:t>
      </w:r>
      <w:r w:rsidR="00D45A6A">
        <w:rPr>
          <w:lang w:eastAsia="fr-FR"/>
        </w:rPr>
        <w:t xml:space="preserve">ach year in </w:t>
      </w:r>
      <w:r w:rsidR="00451034">
        <w:rPr>
          <w:lang w:eastAsia="fr-FR"/>
        </w:rPr>
        <w:t xml:space="preserve">the </w:t>
      </w:r>
      <w:r w:rsidR="00D45A6A">
        <w:rPr>
          <w:lang w:eastAsia="fr-FR"/>
        </w:rPr>
        <w:t xml:space="preserve">statistical book </w:t>
      </w:r>
      <w:r w:rsidR="00D45A6A">
        <w:rPr>
          <w:lang w:eastAsia="fr-FR"/>
        </w:rPr>
        <w:fldChar w:fldCharType="begin"/>
      </w:r>
      <w:r w:rsidR="00D45A6A">
        <w:rPr>
          <w:lang w:eastAsia="fr-FR"/>
        </w:rPr>
        <w:instrText xml:space="preserve"> REF _Ref496788199 \r \h </w:instrText>
      </w:r>
      <w:r w:rsidR="00D45A6A">
        <w:rPr>
          <w:lang w:eastAsia="fr-FR"/>
        </w:rPr>
      </w:r>
      <w:r w:rsidR="00D45A6A">
        <w:rPr>
          <w:lang w:eastAsia="fr-FR"/>
        </w:rPr>
        <w:fldChar w:fldCharType="separate"/>
      </w:r>
      <w:r w:rsidR="00F14C78">
        <w:rPr>
          <w:lang w:eastAsia="fr-FR"/>
        </w:rPr>
        <w:t>[I2]</w:t>
      </w:r>
      <w:r w:rsidR="00D45A6A">
        <w:rPr>
          <w:lang w:eastAsia="fr-FR"/>
        </w:rPr>
        <w:fldChar w:fldCharType="end"/>
      </w:r>
      <w:r w:rsidRPr="002462F0">
        <w:rPr>
          <w:lang w:eastAsia="fr-FR"/>
        </w:rPr>
        <w:t xml:space="preserve">. </w:t>
      </w:r>
    </w:p>
    <w:p w14:paraId="013DD462" w14:textId="726AB609" w:rsidR="00F62B16" w:rsidRPr="002462F0" w:rsidRDefault="00F62B16" w:rsidP="009E0457">
      <w:pPr>
        <w:pStyle w:val="BodyText"/>
        <w:rPr>
          <w:lang w:eastAsia="fr-FR"/>
        </w:rPr>
      </w:pPr>
      <w:r w:rsidRPr="002462F0">
        <w:rPr>
          <w:lang w:eastAsia="fr-FR"/>
        </w:rPr>
        <w:t>The repartition of the type</w:t>
      </w:r>
      <w:r w:rsidR="00451034">
        <w:rPr>
          <w:lang w:eastAsia="fr-FR"/>
        </w:rPr>
        <w:t>s</w:t>
      </w:r>
      <w:r w:rsidRPr="002462F0">
        <w:rPr>
          <w:lang w:eastAsia="fr-FR"/>
        </w:rPr>
        <w:t xml:space="preserve"> of gas introduced in the new freezers (CFC-12, HFC-134a, HC-600a) i</w:t>
      </w:r>
      <w:r w:rsidR="00D45A6A">
        <w:rPr>
          <w:lang w:eastAsia="fr-FR"/>
        </w:rPr>
        <w:t xml:space="preserve">s provided by a UNEP report </w:t>
      </w:r>
      <w:r w:rsidR="00D45A6A">
        <w:rPr>
          <w:lang w:eastAsia="fr-FR"/>
        </w:rPr>
        <w:fldChar w:fldCharType="begin"/>
      </w:r>
      <w:r w:rsidR="00D45A6A">
        <w:rPr>
          <w:lang w:eastAsia="fr-FR"/>
        </w:rPr>
        <w:instrText xml:space="preserve"> REF _Ref496789002 \r \h </w:instrText>
      </w:r>
      <w:r w:rsidR="00D45A6A">
        <w:rPr>
          <w:lang w:eastAsia="fr-FR"/>
        </w:rPr>
      </w:r>
      <w:r w:rsidR="00D45A6A">
        <w:rPr>
          <w:lang w:eastAsia="fr-FR"/>
        </w:rPr>
        <w:fldChar w:fldCharType="separate"/>
      </w:r>
      <w:r w:rsidR="00F14C78">
        <w:rPr>
          <w:lang w:eastAsia="fr-FR"/>
        </w:rPr>
        <w:t>[I38]</w:t>
      </w:r>
      <w:r w:rsidR="00D45A6A">
        <w:rPr>
          <w:lang w:eastAsia="fr-FR"/>
        </w:rPr>
        <w:fldChar w:fldCharType="end"/>
      </w:r>
      <w:r w:rsidRPr="002462F0">
        <w:rPr>
          <w:lang w:eastAsia="fr-FR"/>
        </w:rPr>
        <w:t xml:space="preserve"> and the knowledge of Serbia</w:t>
      </w:r>
      <w:r w:rsidR="00B12531">
        <w:rPr>
          <w:lang w:eastAsia="fr-FR"/>
        </w:rPr>
        <w:t>n</w:t>
      </w:r>
      <w:r w:rsidRPr="002462F0">
        <w:rPr>
          <w:lang w:eastAsia="fr-FR"/>
        </w:rPr>
        <w:t xml:space="preserve"> situation. UNEP report notice</w:t>
      </w:r>
      <w:r w:rsidR="00B12531">
        <w:rPr>
          <w:lang w:eastAsia="fr-FR"/>
        </w:rPr>
        <w:t>s</w:t>
      </w:r>
      <w:r w:rsidRPr="002462F0">
        <w:rPr>
          <w:lang w:eastAsia="fr-FR"/>
        </w:rPr>
        <w:t xml:space="preserve"> that 100% of the refrigerant</w:t>
      </w:r>
      <w:r w:rsidR="00B12531">
        <w:rPr>
          <w:lang w:eastAsia="fr-FR"/>
        </w:rPr>
        <w:t>s</w:t>
      </w:r>
      <w:r w:rsidRPr="002462F0">
        <w:rPr>
          <w:lang w:eastAsia="fr-FR"/>
        </w:rPr>
        <w:t xml:space="preserve"> used in 1992 </w:t>
      </w:r>
      <w:r w:rsidR="00B12531">
        <w:rPr>
          <w:lang w:eastAsia="fr-FR"/>
        </w:rPr>
        <w:t>are</w:t>
      </w:r>
      <w:r w:rsidR="00B12531" w:rsidRPr="002462F0">
        <w:rPr>
          <w:lang w:eastAsia="fr-FR"/>
        </w:rPr>
        <w:t xml:space="preserve"> </w:t>
      </w:r>
      <w:r w:rsidRPr="002462F0">
        <w:rPr>
          <w:lang w:eastAsia="fr-FR"/>
        </w:rPr>
        <w:t xml:space="preserve">CFC-12 for Eastern Europe region, then 53% of refrigerant used in new equipment </w:t>
      </w:r>
      <w:r w:rsidR="00B12531">
        <w:rPr>
          <w:lang w:eastAsia="fr-FR"/>
        </w:rPr>
        <w:t>are</w:t>
      </w:r>
      <w:r w:rsidR="00B12531" w:rsidRPr="002462F0">
        <w:rPr>
          <w:lang w:eastAsia="fr-FR"/>
        </w:rPr>
        <w:t xml:space="preserve"> </w:t>
      </w:r>
      <w:r w:rsidRPr="002462F0">
        <w:rPr>
          <w:lang w:eastAsia="fr-FR"/>
        </w:rPr>
        <w:t>HFC-134a in 1996, 66% in 2000, 40% in 2004 and 2008. Serbia</w:t>
      </w:r>
      <w:r w:rsidR="000A49D0">
        <w:rPr>
          <w:lang w:eastAsia="fr-FR"/>
        </w:rPr>
        <w:t>n</w:t>
      </w:r>
      <w:r w:rsidRPr="002462F0">
        <w:rPr>
          <w:lang w:eastAsia="fr-FR"/>
        </w:rPr>
        <w:t xml:space="preserve"> information </w:t>
      </w:r>
      <w:r w:rsidR="000A49D0">
        <w:rPr>
          <w:lang w:eastAsia="fr-FR"/>
        </w:rPr>
        <w:t>enables</w:t>
      </w:r>
      <w:r w:rsidR="000A49D0" w:rsidRPr="002462F0">
        <w:rPr>
          <w:lang w:eastAsia="fr-FR"/>
        </w:rPr>
        <w:t xml:space="preserve"> </w:t>
      </w:r>
      <w:r w:rsidRPr="002462F0">
        <w:rPr>
          <w:lang w:eastAsia="fr-FR"/>
        </w:rPr>
        <w:t>to know that the year of HFC introduction was 1997.</w:t>
      </w:r>
    </w:p>
    <w:p w14:paraId="3C096ECC" w14:textId="437FFD52" w:rsidR="00F62B16" w:rsidRPr="002462F0" w:rsidRDefault="00F62B16" w:rsidP="009E0457">
      <w:pPr>
        <w:pStyle w:val="BodyText"/>
        <w:rPr>
          <w:sz w:val="24"/>
          <w:szCs w:val="24"/>
          <w:lang w:eastAsia="fr-FR"/>
        </w:rPr>
      </w:pPr>
      <w:r w:rsidRPr="002462F0">
        <w:rPr>
          <w:lang w:eastAsia="fr-FR"/>
        </w:rPr>
        <w:t xml:space="preserve">The gas amount per appliance </w:t>
      </w:r>
      <w:r w:rsidR="00440E68">
        <w:rPr>
          <w:lang w:eastAsia="fr-FR"/>
        </w:rPr>
        <w:t>is sourced</w:t>
      </w:r>
      <w:r w:rsidR="00D45A6A">
        <w:rPr>
          <w:lang w:eastAsia="fr-FR"/>
        </w:rPr>
        <w:t xml:space="preserve"> from 2006 IPCC Guidelines </w:t>
      </w:r>
      <w:r w:rsidR="00D45A6A">
        <w:rPr>
          <w:lang w:eastAsia="fr-FR"/>
        </w:rPr>
        <w:fldChar w:fldCharType="begin"/>
      </w:r>
      <w:r w:rsidR="00D45A6A">
        <w:rPr>
          <w:lang w:eastAsia="fr-FR"/>
        </w:rPr>
        <w:instrText xml:space="preserve"> REF _Ref496789010 \r \h </w:instrText>
      </w:r>
      <w:r w:rsidR="00D45A6A">
        <w:rPr>
          <w:lang w:eastAsia="fr-FR"/>
        </w:rPr>
      </w:r>
      <w:r w:rsidR="00D45A6A">
        <w:rPr>
          <w:lang w:eastAsia="fr-FR"/>
        </w:rPr>
        <w:fldChar w:fldCharType="separate"/>
      </w:r>
      <w:r w:rsidR="00F14C78">
        <w:rPr>
          <w:lang w:eastAsia="fr-FR"/>
        </w:rPr>
        <w:t>[I39]</w:t>
      </w:r>
      <w:r w:rsidR="00D45A6A">
        <w:rPr>
          <w:lang w:eastAsia="fr-FR"/>
        </w:rPr>
        <w:fldChar w:fldCharType="end"/>
      </w:r>
      <w:r w:rsidRPr="002462F0">
        <w:rPr>
          <w:lang w:eastAsia="fr-FR"/>
        </w:rPr>
        <w:t>.</w:t>
      </w:r>
    </w:p>
    <w:p w14:paraId="50EC4E9E" w14:textId="14106CC9" w:rsidR="00F62B16" w:rsidRPr="002462F0" w:rsidRDefault="00F62B16" w:rsidP="009E0457">
      <w:pPr>
        <w:pStyle w:val="BodyText"/>
        <w:rPr>
          <w:lang w:eastAsia="fr-FR"/>
        </w:rPr>
      </w:pPr>
      <w:r w:rsidRPr="002462F0">
        <w:rPr>
          <w:lang w:eastAsia="fr-FR"/>
        </w:rPr>
        <w:t>The emissions are calculated with Equation 7.</w:t>
      </w:r>
      <w:r w:rsidR="00D45A6A">
        <w:rPr>
          <w:lang w:eastAsia="fr-FR"/>
        </w:rPr>
        <w:t xml:space="preserve">10 of the 2006 IPCC Guidelines </w:t>
      </w:r>
      <w:r w:rsidR="00D45A6A">
        <w:rPr>
          <w:lang w:eastAsia="fr-FR"/>
        </w:rPr>
        <w:fldChar w:fldCharType="begin"/>
      </w:r>
      <w:r w:rsidR="00D45A6A">
        <w:rPr>
          <w:lang w:eastAsia="fr-FR"/>
        </w:rPr>
        <w:instrText xml:space="preserve"> REF _Ref496789017 \r \h </w:instrText>
      </w:r>
      <w:r w:rsidR="00D45A6A">
        <w:rPr>
          <w:lang w:eastAsia="fr-FR"/>
        </w:rPr>
      </w:r>
      <w:r w:rsidR="00D45A6A">
        <w:rPr>
          <w:lang w:eastAsia="fr-FR"/>
        </w:rPr>
        <w:fldChar w:fldCharType="separate"/>
      </w:r>
      <w:r w:rsidR="00F14C78">
        <w:rPr>
          <w:lang w:eastAsia="fr-FR"/>
        </w:rPr>
        <w:t>[I44]</w:t>
      </w:r>
      <w:r w:rsidR="00D45A6A">
        <w:rPr>
          <w:lang w:eastAsia="fr-FR"/>
        </w:rPr>
        <w:fldChar w:fldCharType="end"/>
      </w:r>
      <w:r w:rsidRPr="002462F0">
        <w:rPr>
          <w:lang w:eastAsia="fr-FR"/>
        </w:rPr>
        <w:t xml:space="preserve">. The annual emission rate </w:t>
      </w:r>
      <w:r w:rsidR="00440E68">
        <w:rPr>
          <w:lang w:eastAsia="fr-FR"/>
        </w:rPr>
        <w:t>is sourced</w:t>
      </w:r>
      <w:r w:rsidR="00D45A6A">
        <w:rPr>
          <w:lang w:eastAsia="fr-FR"/>
        </w:rPr>
        <w:t xml:space="preserve"> from 2006 IPCC Guidelines </w:t>
      </w:r>
      <w:r w:rsidR="00D45A6A">
        <w:rPr>
          <w:lang w:eastAsia="fr-FR"/>
        </w:rPr>
        <w:fldChar w:fldCharType="begin"/>
      </w:r>
      <w:r w:rsidR="00D45A6A">
        <w:rPr>
          <w:lang w:eastAsia="fr-FR"/>
        </w:rPr>
        <w:instrText xml:space="preserve"> REF _Ref496789010 \r \h </w:instrText>
      </w:r>
      <w:r w:rsidR="00D45A6A">
        <w:rPr>
          <w:lang w:eastAsia="fr-FR"/>
        </w:rPr>
      </w:r>
      <w:r w:rsidR="00D45A6A">
        <w:rPr>
          <w:lang w:eastAsia="fr-FR"/>
        </w:rPr>
        <w:fldChar w:fldCharType="separate"/>
      </w:r>
      <w:r w:rsidR="00F14C78">
        <w:rPr>
          <w:lang w:eastAsia="fr-FR"/>
        </w:rPr>
        <w:t>[I39]</w:t>
      </w:r>
      <w:r w:rsidR="00D45A6A">
        <w:rPr>
          <w:lang w:eastAsia="fr-FR"/>
        </w:rPr>
        <w:fldChar w:fldCharType="end"/>
      </w:r>
      <w:r w:rsidRPr="002462F0">
        <w:rPr>
          <w:lang w:eastAsia="fr-FR"/>
        </w:rPr>
        <w:t xml:space="preserve"> and it is assumed that there is no recovery of HFC during decommissioning appliances.</w:t>
      </w:r>
    </w:p>
    <w:p w14:paraId="1490E5C8" w14:textId="77777777" w:rsidR="00F62B16" w:rsidRPr="00775881" w:rsidRDefault="00F62B16" w:rsidP="00775881">
      <w:pPr>
        <w:pStyle w:val="Heading5"/>
      </w:pPr>
      <w:bookmarkStart w:id="535" w:name="_Toc182327868"/>
      <w:r w:rsidRPr="00775881">
        <w:t>Mobile air conditioning (2F1e)</w:t>
      </w:r>
      <w:bookmarkEnd w:id="535"/>
    </w:p>
    <w:p w14:paraId="15CBF017" w14:textId="1F3A17C1" w:rsidR="00F62B16" w:rsidRPr="002462F0" w:rsidRDefault="00F62B16" w:rsidP="009E0457">
      <w:pPr>
        <w:pStyle w:val="BodyText"/>
        <w:rPr>
          <w:lang w:eastAsia="fr-FR"/>
        </w:rPr>
      </w:pPr>
      <w:r w:rsidRPr="002462F0">
        <w:rPr>
          <w:lang w:eastAsia="fr-FR"/>
        </w:rPr>
        <w:t xml:space="preserve">The </w:t>
      </w:r>
      <w:r w:rsidR="002601D7" w:rsidRPr="002601D7">
        <w:rPr>
          <w:lang w:eastAsia="fr-FR"/>
        </w:rPr>
        <w:t xml:space="preserve">Serbian Ministry </w:t>
      </w:r>
      <w:r w:rsidR="002601D7">
        <w:rPr>
          <w:lang w:eastAsia="fr-FR"/>
        </w:rPr>
        <w:t>of</w:t>
      </w:r>
      <w:r w:rsidR="002601D7" w:rsidRPr="002601D7">
        <w:rPr>
          <w:lang w:eastAsia="fr-FR"/>
        </w:rPr>
        <w:t xml:space="preserve"> Environmental protection </w:t>
      </w:r>
      <w:r w:rsidRPr="002462F0">
        <w:rPr>
          <w:lang w:eastAsia="fr-FR"/>
        </w:rPr>
        <w:t>yearly collects data on quantities of HFCs imported and exported. The share of HFC-134a imported and exported used for mobile air conditioning is distinguish</w:t>
      </w:r>
      <w:r w:rsidR="00A553CC">
        <w:rPr>
          <w:lang w:eastAsia="fr-FR"/>
        </w:rPr>
        <w:t>ed</w:t>
      </w:r>
      <w:r w:rsidRPr="002462F0">
        <w:rPr>
          <w:lang w:eastAsia="fr-FR"/>
        </w:rPr>
        <w:t xml:space="preserve">. </w:t>
      </w:r>
      <w:r w:rsidR="004679BA">
        <w:rPr>
          <w:lang w:eastAsia="fr-FR"/>
        </w:rPr>
        <w:t xml:space="preserve">The </w:t>
      </w:r>
      <w:r w:rsidRPr="002462F0">
        <w:rPr>
          <w:lang w:eastAsia="fr-FR"/>
        </w:rPr>
        <w:t xml:space="preserve">IPCC </w:t>
      </w:r>
      <w:r w:rsidR="00D45A6A">
        <w:rPr>
          <w:lang w:eastAsia="fr-FR"/>
        </w:rPr>
        <w:t xml:space="preserve">tool </w:t>
      </w:r>
      <w:r w:rsidR="00D45A6A">
        <w:rPr>
          <w:lang w:eastAsia="fr-FR"/>
        </w:rPr>
        <w:fldChar w:fldCharType="begin"/>
      </w:r>
      <w:r w:rsidR="00D45A6A">
        <w:rPr>
          <w:lang w:eastAsia="fr-FR"/>
        </w:rPr>
        <w:instrText xml:space="preserve"> REF _Ref496789035 \r \h </w:instrText>
      </w:r>
      <w:r w:rsidR="00D45A6A">
        <w:rPr>
          <w:lang w:eastAsia="fr-FR"/>
        </w:rPr>
      </w:r>
      <w:r w:rsidR="00D45A6A">
        <w:rPr>
          <w:lang w:eastAsia="fr-FR"/>
        </w:rPr>
        <w:fldChar w:fldCharType="separate"/>
      </w:r>
      <w:r w:rsidR="00F14C78">
        <w:rPr>
          <w:lang w:eastAsia="fr-FR"/>
        </w:rPr>
        <w:t>[I45]</w:t>
      </w:r>
      <w:r w:rsidR="00D45A6A">
        <w:rPr>
          <w:lang w:eastAsia="fr-FR"/>
        </w:rPr>
        <w:fldChar w:fldCharType="end"/>
      </w:r>
      <w:r w:rsidRPr="002462F0">
        <w:rPr>
          <w:lang w:eastAsia="fr-FR"/>
        </w:rPr>
        <w:t xml:space="preserve"> is used for the calculation of HFC-134a emissions. The different parameters used in this tool are presented below:</w:t>
      </w:r>
    </w:p>
    <w:p w14:paraId="4BC6724E" w14:textId="77777777" w:rsidR="00F62B16" w:rsidRPr="002462F0" w:rsidRDefault="00F62B16" w:rsidP="00AB11C1">
      <w:pPr>
        <w:pStyle w:val="BodyText"/>
        <w:numPr>
          <w:ilvl w:val="0"/>
          <w:numId w:val="35"/>
        </w:numPr>
        <w:rPr>
          <w:lang w:eastAsia="fr-FR"/>
        </w:rPr>
      </w:pPr>
      <w:r w:rsidRPr="002462F0">
        <w:rPr>
          <w:lang w:eastAsia="fr-FR"/>
        </w:rPr>
        <w:t>The year of introduction is 1997,</w:t>
      </w:r>
    </w:p>
    <w:p w14:paraId="171BECE9" w14:textId="77777777" w:rsidR="00F62B16" w:rsidRPr="002462F0" w:rsidRDefault="00F62B16" w:rsidP="00AB11C1">
      <w:pPr>
        <w:pStyle w:val="BodyText"/>
        <w:numPr>
          <w:ilvl w:val="0"/>
          <w:numId w:val="35"/>
        </w:numPr>
        <w:rPr>
          <w:lang w:eastAsia="fr-FR"/>
        </w:rPr>
      </w:pPr>
      <w:r w:rsidRPr="002462F0">
        <w:rPr>
          <w:lang w:eastAsia="fr-FR"/>
        </w:rPr>
        <w:t>The assumed equipment lifetime is 15 years,</w:t>
      </w:r>
    </w:p>
    <w:p w14:paraId="255C6091" w14:textId="77777777" w:rsidR="00F62B16" w:rsidRPr="002462F0" w:rsidRDefault="00F62B16" w:rsidP="00AB11C1">
      <w:pPr>
        <w:pStyle w:val="BodyText"/>
        <w:numPr>
          <w:ilvl w:val="0"/>
          <w:numId w:val="35"/>
        </w:numPr>
        <w:rPr>
          <w:lang w:eastAsia="fr-FR"/>
        </w:rPr>
      </w:pPr>
      <w:r w:rsidRPr="002462F0">
        <w:rPr>
          <w:lang w:eastAsia="fr-FR"/>
        </w:rPr>
        <w:t>The emission factor from installed base is 15%,</w:t>
      </w:r>
    </w:p>
    <w:p w14:paraId="63F15DCF" w14:textId="77777777" w:rsidR="00F62B16" w:rsidRPr="002462F0" w:rsidRDefault="00F62B16" w:rsidP="00AB11C1">
      <w:pPr>
        <w:pStyle w:val="BodyText"/>
        <w:numPr>
          <w:ilvl w:val="0"/>
          <w:numId w:val="35"/>
        </w:numPr>
        <w:rPr>
          <w:lang w:eastAsia="fr-FR"/>
        </w:rPr>
      </w:pPr>
      <w:r w:rsidRPr="002462F0">
        <w:rPr>
          <w:lang w:eastAsia="fr-FR"/>
        </w:rPr>
        <w:t>The percentage destroyed at end of life is 0% (no recovery).</w:t>
      </w:r>
    </w:p>
    <w:p w14:paraId="3DA8C4D0" w14:textId="77777777" w:rsidR="00F62B16" w:rsidRPr="00775881" w:rsidRDefault="00F62B16" w:rsidP="00775881">
      <w:pPr>
        <w:pStyle w:val="Heading5"/>
      </w:pPr>
      <w:bookmarkStart w:id="536" w:name="_Toc182327869"/>
      <w:r w:rsidRPr="00775881">
        <w:t>Stationary air conditioning, commercial and industrial refrigeration (2F1f)</w:t>
      </w:r>
      <w:bookmarkEnd w:id="536"/>
    </w:p>
    <w:p w14:paraId="0E9327A6" w14:textId="56174654" w:rsidR="00F62B16" w:rsidRPr="002462F0" w:rsidRDefault="00F62B16" w:rsidP="009E0457">
      <w:pPr>
        <w:pStyle w:val="BodyText"/>
        <w:rPr>
          <w:lang w:eastAsia="fr-FR"/>
        </w:rPr>
      </w:pPr>
      <w:r w:rsidRPr="002462F0">
        <w:rPr>
          <w:lang w:eastAsia="fr-FR"/>
        </w:rPr>
        <w:t>The</w:t>
      </w:r>
      <w:r w:rsidR="002601D7">
        <w:rPr>
          <w:lang w:eastAsia="fr-FR"/>
        </w:rPr>
        <w:t xml:space="preserve"> </w:t>
      </w:r>
      <w:r w:rsidR="002601D7" w:rsidRPr="002601D7">
        <w:rPr>
          <w:lang w:eastAsia="fr-FR"/>
        </w:rPr>
        <w:t>Serbia</w:t>
      </w:r>
      <w:r w:rsidR="00775881">
        <w:rPr>
          <w:lang w:eastAsia="fr-FR"/>
        </w:rPr>
        <w:t>’s</w:t>
      </w:r>
      <w:r w:rsidR="002601D7" w:rsidRPr="002601D7">
        <w:rPr>
          <w:lang w:eastAsia="fr-FR"/>
        </w:rPr>
        <w:t xml:space="preserve"> Ministry </w:t>
      </w:r>
      <w:r w:rsidR="002601D7">
        <w:rPr>
          <w:lang w:eastAsia="fr-FR"/>
        </w:rPr>
        <w:t>of</w:t>
      </w:r>
      <w:r w:rsidR="002601D7" w:rsidRPr="002601D7">
        <w:rPr>
          <w:lang w:eastAsia="fr-FR"/>
        </w:rPr>
        <w:t xml:space="preserve"> Environmental protection</w:t>
      </w:r>
      <w:r w:rsidR="002601D7">
        <w:rPr>
          <w:lang w:eastAsia="fr-FR"/>
        </w:rPr>
        <w:t xml:space="preserve"> </w:t>
      </w:r>
      <w:r w:rsidRPr="002462F0">
        <w:rPr>
          <w:lang w:eastAsia="fr-FR"/>
        </w:rPr>
        <w:t xml:space="preserve">yearly collects data on quantities of HFCs imported and exported. The share of refrigerant by sub-application (stationary air conditioning, commercial, industrial refrigeration) is not available. Consequently, emissions are aggregated in the same </w:t>
      </w:r>
      <w:r w:rsidR="000F6001">
        <w:rPr>
          <w:lang w:eastAsia="fr-FR"/>
        </w:rPr>
        <w:t>CRT</w:t>
      </w:r>
      <w:r w:rsidRPr="002462F0">
        <w:rPr>
          <w:lang w:eastAsia="fr-FR"/>
        </w:rPr>
        <w:t xml:space="preserve"> code. As </w:t>
      </w:r>
      <w:r w:rsidR="00D45A6A">
        <w:rPr>
          <w:lang w:eastAsia="fr-FR"/>
        </w:rPr>
        <w:t xml:space="preserve">for 2F1e subsector, IPCC tool </w:t>
      </w:r>
      <w:r w:rsidR="00D45A6A">
        <w:rPr>
          <w:lang w:eastAsia="fr-FR"/>
        </w:rPr>
        <w:fldChar w:fldCharType="begin"/>
      </w:r>
      <w:r w:rsidR="00D45A6A">
        <w:rPr>
          <w:lang w:eastAsia="fr-FR"/>
        </w:rPr>
        <w:instrText xml:space="preserve"> REF _Ref496789035 \r \h </w:instrText>
      </w:r>
      <w:r w:rsidR="00D45A6A">
        <w:rPr>
          <w:lang w:eastAsia="fr-FR"/>
        </w:rPr>
      </w:r>
      <w:r w:rsidR="00D45A6A">
        <w:rPr>
          <w:lang w:eastAsia="fr-FR"/>
        </w:rPr>
        <w:fldChar w:fldCharType="separate"/>
      </w:r>
      <w:r w:rsidR="00F14C78">
        <w:rPr>
          <w:lang w:eastAsia="fr-FR"/>
        </w:rPr>
        <w:t>[I45]</w:t>
      </w:r>
      <w:r w:rsidR="00D45A6A">
        <w:rPr>
          <w:lang w:eastAsia="fr-FR"/>
        </w:rPr>
        <w:fldChar w:fldCharType="end"/>
      </w:r>
      <w:r w:rsidRPr="002462F0">
        <w:rPr>
          <w:lang w:eastAsia="fr-FR"/>
        </w:rPr>
        <w:t xml:space="preserve"> is used for the calculation of HFCs emissions. The different parameters used in this tool are presented below:</w:t>
      </w:r>
    </w:p>
    <w:p w14:paraId="3E64B4BE" w14:textId="77777777" w:rsidR="00F62B16" w:rsidRPr="002462F0" w:rsidRDefault="00F62B16" w:rsidP="00AB11C1">
      <w:pPr>
        <w:pStyle w:val="BodyText"/>
        <w:numPr>
          <w:ilvl w:val="0"/>
          <w:numId w:val="36"/>
        </w:numPr>
        <w:rPr>
          <w:lang w:eastAsia="fr-FR"/>
        </w:rPr>
      </w:pPr>
      <w:r w:rsidRPr="002462F0">
        <w:rPr>
          <w:lang w:eastAsia="fr-FR"/>
        </w:rPr>
        <w:t>The year of introduction is 1997 for HFC-134a and 2001 for HFC-32, HFC-125 and HFC-143a,</w:t>
      </w:r>
    </w:p>
    <w:p w14:paraId="3876A1A9" w14:textId="77777777" w:rsidR="00F62B16" w:rsidRPr="002462F0" w:rsidRDefault="00F62B16" w:rsidP="00AB11C1">
      <w:pPr>
        <w:pStyle w:val="BodyText"/>
        <w:numPr>
          <w:ilvl w:val="0"/>
          <w:numId w:val="36"/>
        </w:numPr>
        <w:rPr>
          <w:lang w:eastAsia="fr-FR"/>
        </w:rPr>
      </w:pPr>
      <w:r w:rsidRPr="002462F0">
        <w:rPr>
          <w:lang w:eastAsia="fr-FR"/>
        </w:rPr>
        <w:t>The assumed equipment lifetime is 15 years,</w:t>
      </w:r>
    </w:p>
    <w:p w14:paraId="3A24928F" w14:textId="77777777" w:rsidR="00F62B16" w:rsidRPr="002462F0" w:rsidRDefault="00F62B16" w:rsidP="00AB11C1">
      <w:pPr>
        <w:pStyle w:val="BodyText"/>
        <w:numPr>
          <w:ilvl w:val="0"/>
          <w:numId w:val="36"/>
        </w:numPr>
        <w:rPr>
          <w:lang w:eastAsia="fr-FR"/>
        </w:rPr>
      </w:pPr>
      <w:r w:rsidRPr="002462F0">
        <w:rPr>
          <w:lang w:eastAsia="fr-FR"/>
        </w:rPr>
        <w:t>The emission factor from installed base is 15%,</w:t>
      </w:r>
    </w:p>
    <w:p w14:paraId="28173A56" w14:textId="77777777" w:rsidR="00F62B16" w:rsidRPr="002462F0" w:rsidRDefault="00F62B16" w:rsidP="00AB11C1">
      <w:pPr>
        <w:pStyle w:val="BodyText"/>
        <w:numPr>
          <w:ilvl w:val="0"/>
          <w:numId w:val="36"/>
        </w:numPr>
        <w:rPr>
          <w:lang w:eastAsia="fr-FR"/>
        </w:rPr>
      </w:pPr>
      <w:r w:rsidRPr="002462F0">
        <w:rPr>
          <w:lang w:eastAsia="fr-FR"/>
        </w:rPr>
        <w:t>The percentage destroyed at end of life is 0% (no recovery).</w:t>
      </w:r>
    </w:p>
    <w:p w14:paraId="1E25CC89" w14:textId="75D0CA7F" w:rsidR="00F62B16" w:rsidRPr="002462F0" w:rsidRDefault="00F62B16" w:rsidP="00622F40">
      <w:pPr>
        <w:pStyle w:val="Heading3"/>
        <w:rPr>
          <w:lang w:eastAsia="fr-FR"/>
        </w:rPr>
      </w:pPr>
      <w:bookmarkStart w:id="537" w:name="_Toc182327870"/>
      <w:bookmarkStart w:id="538" w:name="_Toc184808240"/>
      <w:r w:rsidRPr="002462F0">
        <w:rPr>
          <w:lang w:eastAsia="fr-FR"/>
        </w:rPr>
        <w:lastRenderedPageBreak/>
        <w:t>Foam blowing agents (</w:t>
      </w:r>
      <w:r w:rsidR="00FF2718">
        <w:rPr>
          <w:lang w:eastAsia="fr-FR"/>
        </w:rPr>
        <w:t xml:space="preserve">CRT </w:t>
      </w:r>
      <w:r w:rsidRPr="002462F0">
        <w:rPr>
          <w:lang w:eastAsia="fr-FR"/>
        </w:rPr>
        <w:t>2F2)</w:t>
      </w:r>
      <w:bookmarkEnd w:id="537"/>
      <w:bookmarkEnd w:id="538"/>
    </w:p>
    <w:p w14:paraId="2B246EB3" w14:textId="77777777" w:rsidR="00F62B16" w:rsidRPr="002462F0" w:rsidRDefault="00F62B16" w:rsidP="00F62B16">
      <w:pPr>
        <w:pStyle w:val="Titre4Bleu"/>
        <w:rPr>
          <w:lang w:eastAsia="fr-FR"/>
        </w:rPr>
      </w:pPr>
      <w:bookmarkStart w:id="539" w:name="_Toc182327871"/>
      <w:r w:rsidRPr="002462F0">
        <w:rPr>
          <w:lang w:eastAsia="fr-FR"/>
        </w:rPr>
        <w:t>Category description</w:t>
      </w:r>
      <w:bookmarkEnd w:id="539"/>
      <w:r w:rsidRPr="002462F0">
        <w:rPr>
          <w:lang w:eastAsia="fr-FR"/>
        </w:rPr>
        <w:t xml:space="preserve"> </w:t>
      </w:r>
    </w:p>
    <w:p w14:paraId="2FB79515" w14:textId="20D77088" w:rsidR="00F62B16" w:rsidRPr="002462F0" w:rsidRDefault="00F62B16" w:rsidP="009E0457">
      <w:pPr>
        <w:pStyle w:val="BodyText"/>
        <w:rPr>
          <w:lang w:eastAsia="fr-FR"/>
        </w:rPr>
      </w:pPr>
      <w:r w:rsidRPr="002462F0">
        <w:rPr>
          <w:lang w:eastAsia="fr-FR"/>
        </w:rPr>
        <w:t>This sector is currently not estimated because of the lack of activity data available.</w:t>
      </w:r>
      <w:r w:rsidR="00775881">
        <w:rPr>
          <w:lang w:eastAsia="fr-FR"/>
        </w:rPr>
        <w:t xml:space="preserve"> Preliminary assessment of the expected emissions show that they will </w:t>
      </w:r>
      <w:r w:rsidR="00FE232B">
        <w:rPr>
          <w:lang w:eastAsia="fr-FR"/>
        </w:rPr>
        <w:t>likely</w:t>
      </w:r>
      <w:r w:rsidR="00775881">
        <w:rPr>
          <w:lang w:eastAsia="fr-FR"/>
        </w:rPr>
        <w:t xml:space="preserve"> be below the level or relevance allowed in accordance with Decision 18/CMA.1</w:t>
      </w:r>
      <w:r w:rsidR="00FE232B">
        <w:rPr>
          <w:lang w:eastAsia="fr-FR"/>
        </w:rPr>
        <w:t xml:space="preserve"> and will likely continue to be reported as “NE”. Regardless that preliminary assessment the </w:t>
      </w:r>
      <w:r w:rsidRPr="002462F0">
        <w:rPr>
          <w:lang w:eastAsia="fr-FR"/>
        </w:rPr>
        <w:t xml:space="preserve">Questionnaire has been sent </w:t>
      </w:r>
      <w:r w:rsidR="00FE232B">
        <w:rPr>
          <w:lang w:eastAsia="fr-FR"/>
        </w:rPr>
        <w:t xml:space="preserve">to relevant institutions </w:t>
      </w:r>
      <w:r w:rsidRPr="002462F0">
        <w:rPr>
          <w:lang w:eastAsia="fr-FR"/>
        </w:rPr>
        <w:t xml:space="preserve">in order to </w:t>
      </w:r>
      <w:r w:rsidR="00FE232B">
        <w:rPr>
          <w:lang w:eastAsia="fr-FR"/>
        </w:rPr>
        <w:t>better assess</w:t>
      </w:r>
      <w:r w:rsidRPr="002462F0">
        <w:rPr>
          <w:lang w:eastAsia="fr-FR"/>
        </w:rPr>
        <w:t xml:space="preserve"> if HFCs are used in Serbia foam manufactur</w:t>
      </w:r>
      <w:r w:rsidR="00FE232B">
        <w:rPr>
          <w:lang w:eastAsia="fr-FR"/>
        </w:rPr>
        <w:t>ing industry</w:t>
      </w:r>
      <w:r w:rsidRPr="002462F0">
        <w:rPr>
          <w:lang w:eastAsia="fr-FR"/>
        </w:rPr>
        <w:t>.</w:t>
      </w:r>
    </w:p>
    <w:p w14:paraId="30DF081E" w14:textId="77777777" w:rsidR="00F62B16" w:rsidRPr="002462F0" w:rsidRDefault="00F62B16" w:rsidP="00F62B16">
      <w:pPr>
        <w:pStyle w:val="Titre4Bleu"/>
        <w:rPr>
          <w:lang w:eastAsia="fr-FR"/>
        </w:rPr>
      </w:pPr>
      <w:bookmarkStart w:id="540" w:name="_Toc182327872"/>
      <w:r w:rsidRPr="002462F0">
        <w:rPr>
          <w:lang w:eastAsia="fr-FR"/>
        </w:rPr>
        <w:t>Methodological issues</w:t>
      </w:r>
      <w:bookmarkEnd w:id="540"/>
      <w:r w:rsidRPr="002462F0">
        <w:rPr>
          <w:lang w:eastAsia="fr-FR"/>
        </w:rPr>
        <w:t xml:space="preserve"> </w:t>
      </w:r>
    </w:p>
    <w:p w14:paraId="7747374B" w14:textId="77777777" w:rsidR="00F62B16" w:rsidRPr="002462F0" w:rsidRDefault="00F62B16" w:rsidP="009E0457">
      <w:pPr>
        <w:pStyle w:val="BodyText"/>
        <w:rPr>
          <w:lang w:eastAsia="fr-FR"/>
        </w:rPr>
      </w:pPr>
      <w:r w:rsidRPr="002462F0">
        <w:rPr>
          <w:lang w:eastAsia="fr-FR"/>
        </w:rPr>
        <w:t>Not estimated.</w:t>
      </w:r>
    </w:p>
    <w:p w14:paraId="022134A2" w14:textId="77777777" w:rsidR="00F62B16" w:rsidRPr="002462F0" w:rsidRDefault="00F62B16" w:rsidP="00622F40">
      <w:pPr>
        <w:pStyle w:val="Heading3"/>
        <w:rPr>
          <w:lang w:eastAsia="fr-FR"/>
        </w:rPr>
      </w:pPr>
      <w:bookmarkStart w:id="541" w:name="_Toc182327873"/>
      <w:bookmarkStart w:id="542" w:name="_Toc184808241"/>
      <w:r w:rsidRPr="002462F0">
        <w:rPr>
          <w:lang w:eastAsia="fr-FR"/>
        </w:rPr>
        <w:t>Fire protection (2F3)</w:t>
      </w:r>
      <w:bookmarkEnd w:id="541"/>
      <w:bookmarkEnd w:id="542"/>
    </w:p>
    <w:p w14:paraId="4EECCC0B" w14:textId="77777777" w:rsidR="00F62B16" w:rsidRPr="002462F0" w:rsidRDefault="00F62B16" w:rsidP="00F62B16">
      <w:pPr>
        <w:pStyle w:val="Titre4Bleu"/>
        <w:rPr>
          <w:lang w:eastAsia="fr-FR"/>
        </w:rPr>
      </w:pPr>
      <w:bookmarkStart w:id="543" w:name="_Toc182327874"/>
      <w:r w:rsidRPr="002462F0">
        <w:rPr>
          <w:lang w:eastAsia="fr-FR"/>
        </w:rPr>
        <w:t>Category description</w:t>
      </w:r>
      <w:bookmarkEnd w:id="543"/>
      <w:r w:rsidRPr="002462F0">
        <w:rPr>
          <w:lang w:eastAsia="fr-FR"/>
        </w:rPr>
        <w:t xml:space="preserve"> </w:t>
      </w:r>
    </w:p>
    <w:p w14:paraId="6D5CADBE" w14:textId="77777777" w:rsidR="00F62B16" w:rsidRPr="002462F0" w:rsidRDefault="00F62B16" w:rsidP="009E0457">
      <w:pPr>
        <w:pStyle w:val="BodyText"/>
        <w:rPr>
          <w:lang w:eastAsia="fr-FR"/>
        </w:rPr>
      </w:pPr>
      <w:r w:rsidRPr="002462F0">
        <w:rPr>
          <w:lang w:eastAsia="fr-FR"/>
        </w:rPr>
        <w:t>This sector is currently not estimated because of the lack of activity data available. Questionnaire has been sent in order to know if HFCs are used in Serbia fire protection operators (Cf. chapter on planned improvements).</w:t>
      </w:r>
    </w:p>
    <w:p w14:paraId="17824A83" w14:textId="77777777" w:rsidR="00F62B16" w:rsidRPr="002462F0" w:rsidRDefault="00F62B16" w:rsidP="00F62B16">
      <w:pPr>
        <w:pStyle w:val="Titre4Bleu"/>
        <w:rPr>
          <w:lang w:eastAsia="fr-FR"/>
        </w:rPr>
      </w:pPr>
      <w:bookmarkStart w:id="544" w:name="_Toc182327875"/>
      <w:r w:rsidRPr="002462F0">
        <w:rPr>
          <w:lang w:eastAsia="fr-FR"/>
        </w:rPr>
        <w:t>Methodological issues</w:t>
      </w:r>
      <w:bookmarkEnd w:id="544"/>
      <w:r w:rsidRPr="002462F0">
        <w:rPr>
          <w:lang w:eastAsia="fr-FR"/>
        </w:rPr>
        <w:t xml:space="preserve"> </w:t>
      </w:r>
    </w:p>
    <w:p w14:paraId="7C713A0F" w14:textId="540BB023" w:rsidR="00F62B16" w:rsidRPr="002462F0" w:rsidRDefault="00C83924" w:rsidP="009E0457">
      <w:pPr>
        <w:pStyle w:val="BodyText"/>
        <w:rPr>
          <w:lang w:eastAsia="fr-FR"/>
        </w:rPr>
      </w:pPr>
      <w:r>
        <w:rPr>
          <w:lang w:eastAsia="fr-FR"/>
        </w:rPr>
        <w:t>Category is n</w:t>
      </w:r>
      <w:r w:rsidR="00F62B16" w:rsidRPr="002462F0">
        <w:rPr>
          <w:lang w:eastAsia="fr-FR"/>
        </w:rPr>
        <w:t>ot estimated.</w:t>
      </w:r>
    </w:p>
    <w:p w14:paraId="1ECD53AD" w14:textId="77777777" w:rsidR="00F62B16" w:rsidRPr="002462F0" w:rsidRDefault="00F62B16" w:rsidP="00622F40">
      <w:pPr>
        <w:pStyle w:val="Heading3"/>
        <w:rPr>
          <w:lang w:eastAsia="fr-FR"/>
        </w:rPr>
      </w:pPr>
      <w:bookmarkStart w:id="545" w:name="_Toc182327876"/>
      <w:bookmarkStart w:id="546" w:name="_Toc184808242"/>
      <w:r w:rsidRPr="002462F0">
        <w:rPr>
          <w:lang w:eastAsia="fr-FR"/>
        </w:rPr>
        <w:t>Aerosols (2F4)</w:t>
      </w:r>
      <w:bookmarkEnd w:id="545"/>
      <w:bookmarkEnd w:id="546"/>
    </w:p>
    <w:p w14:paraId="460FE1FF" w14:textId="77777777" w:rsidR="00F62B16" w:rsidRPr="002462F0" w:rsidRDefault="00F62B16" w:rsidP="00F62B16">
      <w:pPr>
        <w:pStyle w:val="Titre4Bleu"/>
        <w:rPr>
          <w:lang w:eastAsia="fr-FR"/>
        </w:rPr>
      </w:pPr>
      <w:bookmarkStart w:id="547" w:name="_Toc182327877"/>
      <w:r w:rsidRPr="002462F0">
        <w:rPr>
          <w:lang w:eastAsia="fr-FR"/>
        </w:rPr>
        <w:t>Category description</w:t>
      </w:r>
      <w:bookmarkEnd w:id="547"/>
      <w:r w:rsidRPr="002462F0">
        <w:rPr>
          <w:lang w:eastAsia="fr-FR"/>
        </w:rPr>
        <w:t xml:space="preserve"> </w:t>
      </w:r>
    </w:p>
    <w:p w14:paraId="6A5DDEC8" w14:textId="7057A01F" w:rsidR="00F62B16" w:rsidRPr="002462F0" w:rsidRDefault="00F62B16" w:rsidP="009E0457">
      <w:pPr>
        <w:pStyle w:val="BodyText"/>
        <w:rPr>
          <w:lang w:eastAsia="fr-FR"/>
        </w:rPr>
      </w:pPr>
      <w:r w:rsidRPr="002462F0">
        <w:rPr>
          <w:lang w:eastAsia="fr-FR"/>
        </w:rPr>
        <w:t>Metered dose inhalers (MDIs) are used to deliver certain pharmaceutical products as aerosol</w:t>
      </w:r>
      <w:r w:rsidR="009B31EC">
        <w:rPr>
          <w:lang w:eastAsia="fr-FR"/>
        </w:rPr>
        <w:t>s</w:t>
      </w:r>
      <w:r w:rsidRPr="002462F0">
        <w:rPr>
          <w:lang w:eastAsia="fr-FR"/>
        </w:rPr>
        <w:t>. For patients with respiratory illnesses, such as asthma and chronic obstructive pulmonary disease (COPD), medication needs to be delivered directly to the lungs. MDIs are one of the preferred means of delivering inhaled medication to patients with these illnesses. MDIs originally used CFC propellants but, as with industrial aerosols, concern over ozone destruction led to attempts to replace CFCs with HFCs.</w:t>
      </w:r>
    </w:p>
    <w:p w14:paraId="2E38951F" w14:textId="4951826F" w:rsidR="00F62B16" w:rsidRPr="002462F0" w:rsidRDefault="00F62B16" w:rsidP="009E0457">
      <w:pPr>
        <w:pStyle w:val="BodyText"/>
        <w:rPr>
          <w:lang w:eastAsia="fr-FR"/>
        </w:rPr>
      </w:pPr>
      <w:r w:rsidRPr="002462F0">
        <w:rPr>
          <w:lang w:eastAsia="fr-FR"/>
        </w:rPr>
        <w:t>In 20</w:t>
      </w:r>
      <w:r w:rsidR="000B197F">
        <w:rPr>
          <w:lang w:eastAsia="fr-FR"/>
        </w:rPr>
        <w:t>22</w:t>
      </w:r>
      <w:r w:rsidRPr="002462F0">
        <w:rPr>
          <w:lang w:eastAsia="fr-FR"/>
        </w:rPr>
        <w:t xml:space="preserve">, the category 2F4 aerosol is </w:t>
      </w:r>
      <w:r w:rsidR="00660943">
        <w:rPr>
          <w:lang w:eastAsia="fr-FR"/>
        </w:rPr>
        <w:t>neither</w:t>
      </w:r>
      <w:r w:rsidR="00660943" w:rsidRPr="002462F0">
        <w:rPr>
          <w:lang w:eastAsia="fr-FR"/>
        </w:rPr>
        <w:t xml:space="preserve"> </w:t>
      </w:r>
      <w:r w:rsidRPr="002462F0">
        <w:rPr>
          <w:lang w:eastAsia="fr-FR"/>
        </w:rPr>
        <w:t xml:space="preserve">a key category in terms on emission level </w:t>
      </w:r>
      <w:r w:rsidR="00660943">
        <w:rPr>
          <w:lang w:eastAsia="fr-FR"/>
        </w:rPr>
        <w:t>nor</w:t>
      </w:r>
      <w:r w:rsidR="00660943" w:rsidRPr="002462F0">
        <w:rPr>
          <w:lang w:eastAsia="fr-FR"/>
        </w:rPr>
        <w:t xml:space="preserve"> </w:t>
      </w:r>
      <w:r w:rsidRPr="002462F0">
        <w:rPr>
          <w:lang w:eastAsia="fr-FR"/>
        </w:rPr>
        <w:t xml:space="preserve">emission trend for GHG emissions in </w:t>
      </w:r>
      <w:r w:rsidR="00EF3E8A">
        <w:rPr>
          <w:lang w:eastAsia="fr-FR"/>
        </w:rPr>
        <w:t xml:space="preserve">the Republic of </w:t>
      </w:r>
      <w:r w:rsidRPr="002462F0">
        <w:rPr>
          <w:lang w:eastAsia="fr-FR"/>
        </w:rPr>
        <w:t>Serbia.</w:t>
      </w:r>
    </w:p>
    <w:p w14:paraId="4BBD8068" w14:textId="77777777" w:rsidR="00F62B16" w:rsidRPr="002462F0" w:rsidRDefault="00F62B16" w:rsidP="009E0457">
      <w:pPr>
        <w:pStyle w:val="BodyText"/>
        <w:rPr>
          <w:lang w:eastAsia="fr-FR"/>
        </w:rPr>
      </w:pPr>
      <w:r w:rsidRPr="002462F0">
        <w:rPr>
          <w:lang w:eastAsia="fr-FR"/>
        </w:rPr>
        <w:t>The type of HFCs used are HFC-134a and HFC-227a. The emissions are summarized below:</w:t>
      </w:r>
    </w:p>
    <w:p w14:paraId="0BF77B8A" w14:textId="1246CE21" w:rsidR="00F62B16" w:rsidRPr="002462F0" w:rsidRDefault="00A41E0A" w:rsidP="00FE232B">
      <w:pPr>
        <w:keepNext/>
        <w:autoSpaceDE w:val="0"/>
        <w:autoSpaceDN w:val="0"/>
        <w:adjustRightInd w:val="0"/>
        <w:spacing w:after="0" w:line="240" w:lineRule="auto"/>
        <w:jc w:val="left"/>
      </w:pPr>
      <w:r>
        <w:rPr>
          <w:noProof/>
          <w:lang w:val="en-US"/>
        </w:rPr>
        <w:lastRenderedPageBreak/>
        <w:drawing>
          <wp:inline distT="0" distB="0" distL="0" distR="0" wp14:anchorId="303B43D0" wp14:editId="52117A93">
            <wp:extent cx="5760000" cy="1753712"/>
            <wp:effectExtent l="0" t="0" r="0" b="0"/>
            <wp:docPr id="541084917"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308806DB" w14:textId="77777777" w:rsidR="00FE232B" w:rsidRPr="002462F0" w:rsidRDefault="00FE232B" w:rsidP="00FE232B">
      <w:pPr>
        <w:pStyle w:val="Caption"/>
        <w:spacing w:before="0" w:after="0"/>
        <w:jc w:val="left"/>
        <w:rPr>
          <w:sz w:val="22"/>
          <w:lang w:eastAsia="fr-FR"/>
        </w:rPr>
      </w:pPr>
      <w:bookmarkStart w:id="548" w:name="_Toc184808463"/>
      <w:r w:rsidRPr="002462F0">
        <w:t xml:space="preserve">Figure </w:t>
      </w:r>
      <w:r w:rsidRPr="002462F0">
        <w:fldChar w:fldCharType="begin"/>
      </w:r>
      <w:r w:rsidRPr="002462F0">
        <w:instrText xml:space="preserve"> SEQ Figure \* ARABIC </w:instrText>
      </w:r>
      <w:r w:rsidRPr="002462F0">
        <w:fldChar w:fldCharType="separate"/>
      </w:r>
      <w:r>
        <w:rPr>
          <w:noProof/>
        </w:rPr>
        <w:t>76</w:t>
      </w:r>
      <w:r w:rsidRPr="002462F0">
        <w:fldChar w:fldCharType="end"/>
      </w:r>
      <w:r w:rsidRPr="002462F0">
        <w:t>: GHG emissions for pharmaceutical aerosols</w:t>
      </w:r>
      <w:r>
        <w:t>, for the period 1990-2022</w:t>
      </w:r>
      <w:r w:rsidRPr="002462F0">
        <w:t xml:space="preserve"> (</w:t>
      </w:r>
      <w:r>
        <w:t xml:space="preserve">in </w:t>
      </w:r>
      <w:r w:rsidRPr="002462F0">
        <w:t>kt CO</w:t>
      </w:r>
      <w:r w:rsidRPr="002462F0">
        <w:rPr>
          <w:vertAlign w:val="subscript"/>
        </w:rPr>
        <w:t>2</w:t>
      </w:r>
      <w:r w:rsidRPr="002462F0">
        <w:t>e)</w:t>
      </w:r>
      <w:bookmarkEnd w:id="548"/>
    </w:p>
    <w:p w14:paraId="5965C6CA" w14:textId="77777777" w:rsidR="00FE232B" w:rsidRPr="002462F0" w:rsidRDefault="00FE232B" w:rsidP="00F62B16">
      <w:pPr>
        <w:autoSpaceDE w:val="0"/>
        <w:autoSpaceDN w:val="0"/>
        <w:adjustRightInd w:val="0"/>
        <w:spacing w:after="0" w:line="240" w:lineRule="auto"/>
        <w:rPr>
          <w:sz w:val="22"/>
          <w:lang w:eastAsia="fr-FR"/>
        </w:rPr>
      </w:pPr>
    </w:p>
    <w:p w14:paraId="4E0A9CD7" w14:textId="77777777" w:rsidR="00F62B16" w:rsidRPr="002462F0" w:rsidRDefault="00F62B16" w:rsidP="009E0457">
      <w:pPr>
        <w:pStyle w:val="BodyText"/>
        <w:rPr>
          <w:lang w:eastAsia="fr-FR"/>
        </w:rPr>
      </w:pPr>
      <w:r w:rsidRPr="002462F0">
        <w:rPr>
          <w:lang w:eastAsia="fr-FR"/>
        </w:rPr>
        <w:t xml:space="preserve">The number of MDIs sales which contained HFCs increase with the substitution of propellant gas (CFC to HFC) and the growth of respiratory illnesses. </w:t>
      </w:r>
    </w:p>
    <w:p w14:paraId="082FB7A7" w14:textId="77777777" w:rsidR="00F62B16" w:rsidRPr="002462F0" w:rsidRDefault="00F62B16" w:rsidP="00F62B16">
      <w:pPr>
        <w:pStyle w:val="Titre4Bleu"/>
        <w:rPr>
          <w:lang w:eastAsia="fr-FR"/>
        </w:rPr>
      </w:pPr>
      <w:bookmarkStart w:id="549" w:name="_Toc182327878"/>
      <w:r w:rsidRPr="002462F0">
        <w:rPr>
          <w:lang w:eastAsia="fr-FR"/>
        </w:rPr>
        <w:t>Methodological issues</w:t>
      </w:r>
      <w:bookmarkEnd w:id="549"/>
      <w:r w:rsidRPr="002462F0">
        <w:rPr>
          <w:lang w:eastAsia="fr-FR"/>
        </w:rPr>
        <w:t xml:space="preserve"> </w:t>
      </w:r>
    </w:p>
    <w:p w14:paraId="29A54973" w14:textId="77777777" w:rsidR="00F62B16" w:rsidRPr="002462F0" w:rsidRDefault="00F62B16" w:rsidP="009E0457">
      <w:pPr>
        <w:pStyle w:val="BodyText"/>
        <w:rPr>
          <w:lang w:eastAsia="fr-FR"/>
        </w:rPr>
      </w:pPr>
      <w:r w:rsidRPr="002462F0">
        <w:rPr>
          <w:lang w:eastAsia="fr-FR"/>
        </w:rPr>
        <w:t>The methodology used to estimate HFCs emissions corresponds to an IPCC Tier 2 method. Indeed, specific data for pharmaceutical aerosols have been collected. The amount of HFC is estimated with the following parameters:</w:t>
      </w:r>
    </w:p>
    <w:p w14:paraId="44FF9B11" w14:textId="77777777" w:rsidR="00F62B16" w:rsidRPr="002462F0" w:rsidRDefault="00F62B16" w:rsidP="00AB11C1">
      <w:pPr>
        <w:pStyle w:val="BodyText"/>
        <w:numPr>
          <w:ilvl w:val="0"/>
          <w:numId w:val="37"/>
        </w:numPr>
        <w:rPr>
          <w:lang w:eastAsia="fr-FR"/>
        </w:rPr>
      </w:pPr>
      <w:r w:rsidRPr="002462F0">
        <w:rPr>
          <w:lang w:eastAsia="fr-FR"/>
        </w:rPr>
        <w:t>quantity of MDIs sales (number of doses) in Serbia each year,</w:t>
      </w:r>
    </w:p>
    <w:p w14:paraId="1CECB04C" w14:textId="77777777" w:rsidR="00F62B16" w:rsidRPr="002462F0" w:rsidRDefault="00F62B16" w:rsidP="00AB11C1">
      <w:pPr>
        <w:pStyle w:val="BodyText"/>
        <w:numPr>
          <w:ilvl w:val="0"/>
          <w:numId w:val="37"/>
        </w:numPr>
        <w:rPr>
          <w:lang w:eastAsia="fr-FR"/>
        </w:rPr>
      </w:pPr>
      <w:r w:rsidRPr="002462F0">
        <w:rPr>
          <w:lang w:eastAsia="fr-FR"/>
        </w:rPr>
        <w:t>number of asthma patients,</w:t>
      </w:r>
    </w:p>
    <w:p w14:paraId="3F341446" w14:textId="77777777" w:rsidR="00F62B16" w:rsidRPr="002462F0" w:rsidRDefault="00F62B16" w:rsidP="00AB11C1">
      <w:pPr>
        <w:pStyle w:val="BodyText"/>
        <w:numPr>
          <w:ilvl w:val="0"/>
          <w:numId w:val="37"/>
        </w:numPr>
        <w:rPr>
          <w:lang w:eastAsia="fr-FR"/>
        </w:rPr>
      </w:pPr>
      <w:r w:rsidRPr="002462F0">
        <w:rPr>
          <w:lang w:eastAsia="fr-FR"/>
        </w:rPr>
        <w:t>amount of HFC in one dose,</w:t>
      </w:r>
    </w:p>
    <w:p w14:paraId="4BFA91E7" w14:textId="77777777" w:rsidR="00F62B16" w:rsidRPr="002462F0" w:rsidRDefault="00F62B16" w:rsidP="00AB11C1">
      <w:pPr>
        <w:pStyle w:val="BodyText"/>
        <w:numPr>
          <w:ilvl w:val="0"/>
          <w:numId w:val="37"/>
        </w:numPr>
        <w:rPr>
          <w:lang w:eastAsia="fr-FR"/>
        </w:rPr>
      </w:pPr>
      <w:r w:rsidRPr="002462F0">
        <w:rPr>
          <w:lang w:eastAsia="fr-FR"/>
        </w:rPr>
        <w:t>share of type of propellant (CFC, HFCs)</w:t>
      </w:r>
      <w:r w:rsidR="009E0457">
        <w:rPr>
          <w:lang w:eastAsia="fr-FR"/>
        </w:rPr>
        <w:t>.</w:t>
      </w:r>
    </w:p>
    <w:p w14:paraId="66BC27E7" w14:textId="39A7748B" w:rsidR="00F62B16" w:rsidRPr="002462F0" w:rsidRDefault="00F62B16" w:rsidP="009E0457">
      <w:pPr>
        <w:pStyle w:val="BodyText"/>
        <w:rPr>
          <w:lang w:eastAsia="fr-FR"/>
        </w:rPr>
      </w:pPr>
      <w:r w:rsidRPr="002462F0">
        <w:rPr>
          <w:lang w:eastAsia="fr-FR"/>
        </w:rPr>
        <w:t>The quantity of MDI sales is provided by</w:t>
      </w:r>
      <w:r w:rsidR="00D845F7">
        <w:rPr>
          <w:lang w:eastAsia="fr-FR"/>
        </w:rPr>
        <w:t xml:space="preserve"> </w:t>
      </w:r>
      <w:r w:rsidR="00D845F7" w:rsidRPr="00D845F7">
        <w:rPr>
          <w:lang w:eastAsia="fr-FR"/>
        </w:rPr>
        <w:t>Medicines and Medical Devices Agency of Serbia</w:t>
      </w:r>
      <w:r w:rsidR="00D845F7">
        <w:rPr>
          <w:lang w:eastAsia="fr-FR"/>
        </w:rPr>
        <w:t xml:space="preserve"> from 2004</w:t>
      </w:r>
      <w:r w:rsidRPr="002462F0">
        <w:rPr>
          <w:lang w:eastAsia="fr-FR"/>
        </w:rPr>
        <w:t xml:space="preserve">. </w:t>
      </w:r>
    </w:p>
    <w:p w14:paraId="5B53B2B7" w14:textId="414DF930" w:rsidR="00F62B16" w:rsidRPr="002462F0" w:rsidRDefault="00F62B16" w:rsidP="009E0457">
      <w:pPr>
        <w:pStyle w:val="BodyText"/>
        <w:rPr>
          <w:lang w:eastAsia="fr-FR"/>
        </w:rPr>
      </w:pPr>
      <w:r w:rsidRPr="002462F0">
        <w:rPr>
          <w:lang w:eastAsia="fr-FR"/>
        </w:rPr>
        <w:t>The number of asthma patient</w:t>
      </w:r>
      <w:r w:rsidR="00C410C5">
        <w:rPr>
          <w:lang w:eastAsia="fr-FR"/>
        </w:rPr>
        <w:t>s</w:t>
      </w:r>
      <w:r w:rsidRPr="002462F0">
        <w:rPr>
          <w:lang w:eastAsia="fr-FR"/>
        </w:rPr>
        <w:t xml:space="preserve"> is used in order to estimate the MDIs sales before 2016. Indeed, </w:t>
      </w:r>
      <w:r w:rsidR="00310851">
        <w:rPr>
          <w:lang w:eastAsia="fr-FR"/>
        </w:rPr>
        <w:t>the</w:t>
      </w:r>
      <w:r w:rsidRPr="002462F0">
        <w:rPr>
          <w:lang w:eastAsia="fr-FR"/>
        </w:rPr>
        <w:t xml:space="preserve"> ratio of number </w:t>
      </w:r>
      <w:r w:rsidR="00310851">
        <w:rPr>
          <w:lang w:eastAsia="fr-FR"/>
        </w:rPr>
        <w:t xml:space="preserve">of </w:t>
      </w:r>
      <w:r w:rsidRPr="002462F0">
        <w:rPr>
          <w:lang w:eastAsia="fr-FR"/>
        </w:rPr>
        <w:t>asthma patient</w:t>
      </w:r>
      <w:r w:rsidR="00310851">
        <w:rPr>
          <w:lang w:eastAsia="fr-FR"/>
        </w:rPr>
        <w:t>s</w:t>
      </w:r>
      <w:r w:rsidRPr="002462F0">
        <w:rPr>
          <w:lang w:eastAsia="fr-FR"/>
        </w:rPr>
        <w:t xml:space="preserve"> and MDI sales </w:t>
      </w:r>
      <w:r w:rsidR="00310851">
        <w:rPr>
          <w:lang w:eastAsia="fr-FR"/>
        </w:rPr>
        <w:t>of</w:t>
      </w:r>
      <w:r w:rsidR="00310851" w:rsidRPr="002462F0">
        <w:rPr>
          <w:lang w:eastAsia="fr-FR"/>
        </w:rPr>
        <w:t xml:space="preserve"> </w:t>
      </w:r>
      <w:r w:rsidRPr="002462F0">
        <w:rPr>
          <w:lang w:eastAsia="fr-FR"/>
        </w:rPr>
        <w:t>2016 is used to calculate MDI sales for years</w:t>
      </w:r>
      <w:r w:rsidR="00D845F7">
        <w:rPr>
          <w:lang w:eastAsia="fr-FR"/>
        </w:rPr>
        <w:t xml:space="preserve"> before 2004</w:t>
      </w:r>
      <w:r w:rsidRPr="002462F0">
        <w:rPr>
          <w:lang w:eastAsia="fr-FR"/>
        </w:rPr>
        <w:t>. The number of asthma patient</w:t>
      </w:r>
      <w:r w:rsidR="00310851">
        <w:rPr>
          <w:lang w:eastAsia="fr-FR"/>
        </w:rPr>
        <w:t>s</w:t>
      </w:r>
      <w:r w:rsidRPr="002462F0">
        <w:rPr>
          <w:lang w:eastAsia="fr-FR"/>
        </w:rPr>
        <w:t xml:space="preserve"> is provided in the health statistical </w:t>
      </w:r>
      <w:r w:rsidR="00D45A6A">
        <w:rPr>
          <w:lang w:eastAsia="fr-FR"/>
        </w:rPr>
        <w:t xml:space="preserve">yearbook of Republic of Serbia </w:t>
      </w:r>
      <w:r w:rsidR="00D45A6A">
        <w:rPr>
          <w:lang w:eastAsia="fr-FR"/>
        </w:rPr>
        <w:fldChar w:fldCharType="begin"/>
      </w:r>
      <w:r w:rsidR="00D45A6A">
        <w:rPr>
          <w:lang w:eastAsia="fr-FR"/>
        </w:rPr>
        <w:instrText xml:space="preserve"> REF _Ref496789078 \r \h </w:instrText>
      </w:r>
      <w:r w:rsidR="00D45A6A">
        <w:rPr>
          <w:lang w:eastAsia="fr-FR"/>
        </w:rPr>
      </w:r>
      <w:r w:rsidR="00D45A6A">
        <w:rPr>
          <w:lang w:eastAsia="fr-FR"/>
        </w:rPr>
        <w:fldChar w:fldCharType="separate"/>
      </w:r>
      <w:r w:rsidR="00F14C78">
        <w:rPr>
          <w:lang w:eastAsia="fr-FR"/>
        </w:rPr>
        <w:t>[I40]</w:t>
      </w:r>
      <w:r w:rsidR="00D45A6A">
        <w:rPr>
          <w:lang w:eastAsia="fr-FR"/>
        </w:rPr>
        <w:fldChar w:fldCharType="end"/>
      </w:r>
      <w:r w:rsidRPr="002462F0">
        <w:rPr>
          <w:lang w:eastAsia="fr-FR"/>
        </w:rPr>
        <w:t>.</w:t>
      </w:r>
    </w:p>
    <w:p w14:paraId="34FC029A" w14:textId="4A94A322" w:rsidR="00F62B16" w:rsidRPr="002462F0" w:rsidRDefault="00F62B16" w:rsidP="009E0457">
      <w:pPr>
        <w:pStyle w:val="BodyText"/>
        <w:rPr>
          <w:lang w:eastAsia="fr-FR"/>
        </w:rPr>
      </w:pPr>
      <w:r w:rsidRPr="002462F0">
        <w:rPr>
          <w:lang w:eastAsia="fr-FR"/>
        </w:rPr>
        <w:t xml:space="preserve">The average amount of HFC contained in one dose </w:t>
      </w:r>
      <w:r w:rsidR="00440E68">
        <w:rPr>
          <w:lang w:eastAsia="fr-FR"/>
        </w:rPr>
        <w:t>are sourced</w:t>
      </w:r>
      <w:r w:rsidRPr="002462F0">
        <w:rPr>
          <w:lang w:eastAsia="fr-FR"/>
        </w:rPr>
        <w:t xml:space="preserve"> from the</w:t>
      </w:r>
      <w:r w:rsidR="00D45A6A">
        <w:rPr>
          <w:lang w:eastAsia="fr-FR"/>
        </w:rPr>
        <w:t xml:space="preserve"> big manufacturer of MDI (GSK) </w:t>
      </w:r>
      <w:r w:rsidR="00D45A6A">
        <w:rPr>
          <w:lang w:eastAsia="fr-FR"/>
        </w:rPr>
        <w:fldChar w:fldCharType="begin"/>
      </w:r>
      <w:r w:rsidR="00D45A6A">
        <w:rPr>
          <w:lang w:eastAsia="fr-FR"/>
        </w:rPr>
        <w:instrText xml:space="preserve"> REF _Ref496789084 \r \h </w:instrText>
      </w:r>
      <w:r w:rsidR="00D45A6A">
        <w:rPr>
          <w:lang w:eastAsia="fr-FR"/>
        </w:rPr>
      </w:r>
      <w:r w:rsidR="00D45A6A">
        <w:rPr>
          <w:lang w:eastAsia="fr-FR"/>
        </w:rPr>
        <w:fldChar w:fldCharType="separate"/>
      </w:r>
      <w:r w:rsidR="00F14C78">
        <w:rPr>
          <w:lang w:eastAsia="fr-FR"/>
        </w:rPr>
        <w:t>[I41]</w:t>
      </w:r>
      <w:r w:rsidR="00D45A6A">
        <w:rPr>
          <w:lang w:eastAsia="fr-FR"/>
        </w:rPr>
        <w:fldChar w:fldCharType="end"/>
      </w:r>
      <w:r w:rsidRPr="002462F0">
        <w:rPr>
          <w:lang w:eastAsia="fr-FR"/>
        </w:rPr>
        <w:t>. This quantity used is 12 g of HFC per dose.</w:t>
      </w:r>
    </w:p>
    <w:p w14:paraId="42FCABE8" w14:textId="5718E30C" w:rsidR="00F62B16" w:rsidRPr="002462F0" w:rsidRDefault="00F62B16" w:rsidP="009E0457">
      <w:pPr>
        <w:pStyle w:val="BodyText"/>
        <w:rPr>
          <w:lang w:eastAsia="fr-FR"/>
        </w:rPr>
      </w:pPr>
      <w:r w:rsidRPr="002462F0">
        <w:rPr>
          <w:lang w:eastAsia="fr-FR"/>
        </w:rPr>
        <w:t xml:space="preserve">The type of propellant used comes from a UNEP report and French information. Thus, it is assumed that 95% of HFC-134a and 5% of </w:t>
      </w:r>
      <w:r w:rsidR="00D45A6A">
        <w:rPr>
          <w:lang w:eastAsia="fr-FR"/>
        </w:rPr>
        <w:t xml:space="preserve">HFC-227ea are used in 2014 </w:t>
      </w:r>
      <w:r w:rsidR="00D45A6A">
        <w:rPr>
          <w:lang w:eastAsia="fr-FR"/>
        </w:rPr>
        <w:fldChar w:fldCharType="begin"/>
      </w:r>
      <w:r w:rsidR="00D45A6A">
        <w:rPr>
          <w:lang w:eastAsia="fr-FR"/>
        </w:rPr>
        <w:instrText xml:space="preserve"> REF _Ref496789093 \r \h </w:instrText>
      </w:r>
      <w:r w:rsidR="00D45A6A">
        <w:rPr>
          <w:lang w:eastAsia="fr-FR"/>
        </w:rPr>
      </w:r>
      <w:r w:rsidR="00D45A6A">
        <w:rPr>
          <w:lang w:eastAsia="fr-FR"/>
        </w:rPr>
        <w:fldChar w:fldCharType="separate"/>
      </w:r>
      <w:r w:rsidR="00F14C78">
        <w:rPr>
          <w:lang w:eastAsia="fr-FR"/>
        </w:rPr>
        <w:t>[I42]</w:t>
      </w:r>
      <w:r w:rsidR="00D45A6A">
        <w:rPr>
          <w:lang w:eastAsia="fr-FR"/>
        </w:rPr>
        <w:fldChar w:fldCharType="end"/>
      </w:r>
      <w:r w:rsidRPr="002462F0">
        <w:rPr>
          <w:lang w:eastAsia="fr-FR"/>
        </w:rPr>
        <w:t xml:space="preserve">. The year of HFC-134a introduction to replace </w:t>
      </w:r>
      <w:r w:rsidR="00D45A6A">
        <w:rPr>
          <w:lang w:eastAsia="fr-FR"/>
        </w:rPr>
        <w:t xml:space="preserve">CFC is 1997 (approximately 4%) </w:t>
      </w:r>
      <w:r w:rsidR="00D45A6A">
        <w:rPr>
          <w:lang w:eastAsia="fr-FR"/>
        </w:rPr>
        <w:fldChar w:fldCharType="begin"/>
      </w:r>
      <w:r w:rsidR="00D45A6A">
        <w:rPr>
          <w:lang w:eastAsia="fr-FR"/>
        </w:rPr>
        <w:instrText xml:space="preserve"> REF _Ref496789099 \r \h </w:instrText>
      </w:r>
      <w:r w:rsidR="00D45A6A">
        <w:rPr>
          <w:lang w:eastAsia="fr-FR"/>
        </w:rPr>
      </w:r>
      <w:r w:rsidR="00D45A6A">
        <w:rPr>
          <w:lang w:eastAsia="fr-FR"/>
        </w:rPr>
        <w:fldChar w:fldCharType="separate"/>
      </w:r>
      <w:r w:rsidR="00F14C78">
        <w:rPr>
          <w:lang w:eastAsia="fr-FR"/>
        </w:rPr>
        <w:t>[I43]</w:t>
      </w:r>
      <w:r w:rsidR="00D45A6A">
        <w:rPr>
          <w:lang w:eastAsia="fr-FR"/>
        </w:rPr>
        <w:fldChar w:fldCharType="end"/>
      </w:r>
      <w:r w:rsidRPr="002462F0">
        <w:rPr>
          <w:lang w:eastAsia="fr-FR"/>
        </w:rPr>
        <w:t>. The share of HFC-134a increa</w:t>
      </w:r>
      <w:r w:rsidR="00D45A6A">
        <w:rPr>
          <w:lang w:eastAsia="fr-FR"/>
        </w:rPr>
        <w:t>se over time until 2005 (100%)</w:t>
      </w:r>
      <w:r w:rsidRPr="002462F0">
        <w:rPr>
          <w:lang w:eastAsia="fr-FR"/>
        </w:rPr>
        <w:t>. From 2005 to 2014, the share of HFC-227ea</w:t>
      </w:r>
      <w:r w:rsidR="009E0457">
        <w:rPr>
          <w:lang w:eastAsia="fr-FR"/>
        </w:rPr>
        <w:t xml:space="preserve"> gradually increase</w:t>
      </w:r>
      <w:r w:rsidR="007D20E3">
        <w:rPr>
          <w:lang w:eastAsia="fr-FR"/>
        </w:rPr>
        <w:t>d</w:t>
      </w:r>
      <w:r w:rsidR="009E0457">
        <w:rPr>
          <w:lang w:eastAsia="fr-FR"/>
        </w:rPr>
        <w:t xml:space="preserve"> until 2014.</w:t>
      </w:r>
    </w:p>
    <w:p w14:paraId="725BB493" w14:textId="3A4EA928" w:rsidR="00F62B16" w:rsidRPr="002462F0" w:rsidRDefault="00F62B16" w:rsidP="009E0457">
      <w:pPr>
        <w:pStyle w:val="BodyText"/>
        <w:rPr>
          <w:lang w:eastAsia="fr-FR"/>
        </w:rPr>
      </w:pPr>
      <w:r w:rsidRPr="002462F0">
        <w:rPr>
          <w:lang w:eastAsia="fr-FR"/>
        </w:rPr>
        <w:t>The emissions are calculated with Equation 7</w:t>
      </w:r>
      <w:r w:rsidR="00D45A6A">
        <w:rPr>
          <w:lang w:eastAsia="fr-FR"/>
        </w:rPr>
        <w:t xml:space="preserve">.6 of the 2006 IPCC Guidelines </w:t>
      </w:r>
      <w:r w:rsidR="00D45A6A">
        <w:rPr>
          <w:lang w:eastAsia="fr-FR"/>
        </w:rPr>
        <w:fldChar w:fldCharType="begin"/>
      </w:r>
      <w:r w:rsidR="00D45A6A">
        <w:rPr>
          <w:lang w:eastAsia="fr-FR"/>
        </w:rPr>
        <w:instrText xml:space="preserve"> REF _Ref496789112 \r \h </w:instrText>
      </w:r>
      <w:r w:rsidR="00D45A6A">
        <w:rPr>
          <w:lang w:eastAsia="fr-FR"/>
        </w:rPr>
      </w:r>
      <w:r w:rsidR="00D45A6A">
        <w:rPr>
          <w:lang w:eastAsia="fr-FR"/>
        </w:rPr>
        <w:fldChar w:fldCharType="separate"/>
      </w:r>
      <w:r w:rsidR="00F14C78">
        <w:rPr>
          <w:lang w:eastAsia="fr-FR"/>
        </w:rPr>
        <w:t>[I46]</w:t>
      </w:r>
      <w:r w:rsidR="00D45A6A">
        <w:rPr>
          <w:lang w:eastAsia="fr-FR"/>
        </w:rPr>
        <w:fldChar w:fldCharType="end"/>
      </w:r>
      <w:r w:rsidRPr="002462F0">
        <w:rPr>
          <w:lang w:eastAsia="fr-FR"/>
        </w:rPr>
        <w:t>. It is assumed that all the HFC contained in the MDI is emitted in one year. Consequently, the emission factor used is 100%.</w:t>
      </w:r>
    </w:p>
    <w:p w14:paraId="432B6EAD" w14:textId="77777777" w:rsidR="00F62B16" w:rsidRPr="002462F0" w:rsidRDefault="00F62B16" w:rsidP="00622F40">
      <w:pPr>
        <w:pStyle w:val="Heading3"/>
        <w:rPr>
          <w:lang w:eastAsia="fr-FR"/>
        </w:rPr>
      </w:pPr>
      <w:bookmarkStart w:id="550" w:name="_Toc495655033"/>
      <w:bookmarkStart w:id="551" w:name="_Toc182327879"/>
      <w:bookmarkStart w:id="552" w:name="_Toc184808243"/>
      <w:r w:rsidRPr="002462F0">
        <w:rPr>
          <w:lang w:eastAsia="fr-FR"/>
        </w:rPr>
        <w:t>Uncertainties and time-series consistency</w:t>
      </w:r>
      <w:bookmarkEnd w:id="550"/>
      <w:bookmarkEnd w:id="551"/>
      <w:bookmarkEnd w:id="552"/>
    </w:p>
    <w:p w14:paraId="7441C5AD" w14:textId="77777777" w:rsidR="00F62B16" w:rsidRPr="002462F0" w:rsidRDefault="00F62B16" w:rsidP="009E0457">
      <w:pPr>
        <w:pStyle w:val="BodyText"/>
        <w:rPr>
          <w:lang w:eastAsia="fr-FR"/>
        </w:rPr>
      </w:pPr>
      <w:bookmarkStart w:id="553" w:name="_Toc495655034"/>
      <w:r w:rsidRPr="002462F0">
        <w:rPr>
          <w:lang w:eastAsia="fr-FR"/>
        </w:rPr>
        <w:t>Uncertainty estimate associated with activity data amounts to 20%, based on expert judgment.</w:t>
      </w:r>
    </w:p>
    <w:p w14:paraId="1A496E18" w14:textId="77777777" w:rsidR="00F62B16" w:rsidRPr="002462F0" w:rsidRDefault="00F62B16" w:rsidP="009E0457">
      <w:pPr>
        <w:pStyle w:val="BodyText"/>
        <w:rPr>
          <w:lang w:eastAsia="fr-FR"/>
        </w:rPr>
      </w:pPr>
      <w:r w:rsidRPr="002462F0">
        <w:rPr>
          <w:lang w:eastAsia="fr-FR"/>
        </w:rPr>
        <w:t xml:space="preserve">Uncertainty estimate associated with HFC emission factor amounts to 20%, also based on expert judgment. </w:t>
      </w:r>
    </w:p>
    <w:p w14:paraId="0E114618" w14:textId="51B04BAC" w:rsidR="00F62B16" w:rsidRPr="002462F0" w:rsidRDefault="00F62B16" w:rsidP="009E0457">
      <w:pPr>
        <w:pStyle w:val="BodyText"/>
        <w:rPr>
          <w:lang w:eastAsia="fr-FR"/>
        </w:rPr>
      </w:pPr>
      <w:r w:rsidRPr="002462F0">
        <w:rPr>
          <w:lang w:eastAsia="fr-FR"/>
        </w:rPr>
        <w:t xml:space="preserve">Combined uncertainty for emissions is </w:t>
      </w:r>
      <w:r w:rsidR="00152976">
        <w:rPr>
          <w:lang w:eastAsia="fr-FR"/>
        </w:rPr>
        <w:t>0.07</w:t>
      </w:r>
      <w:r w:rsidRPr="002462F0">
        <w:rPr>
          <w:lang w:eastAsia="fr-FR"/>
        </w:rPr>
        <w:t>%</w:t>
      </w:r>
      <w:r w:rsidR="00F673BA">
        <w:rPr>
          <w:lang w:eastAsia="fr-FR"/>
        </w:rPr>
        <w:t xml:space="preserve"> in the total national levels of emission in 2022, excluding LULUCF contribution</w:t>
      </w:r>
      <w:r w:rsidRPr="002462F0">
        <w:rPr>
          <w:lang w:eastAsia="fr-FR"/>
        </w:rPr>
        <w:t>.</w:t>
      </w:r>
    </w:p>
    <w:p w14:paraId="47BAC31C" w14:textId="77777777" w:rsidR="00F62B16" w:rsidRPr="002462F0" w:rsidRDefault="00F62B16" w:rsidP="00622F40">
      <w:pPr>
        <w:pStyle w:val="Heading3"/>
        <w:rPr>
          <w:lang w:eastAsia="fr-FR"/>
        </w:rPr>
      </w:pPr>
      <w:bookmarkStart w:id="554" w:name="_Toc182327880"/>
      <w:bookmarkStart w:id="555" w:name="_Toc184808244"/>
      <w:r w:rsidRPr="002462F0">
        <w:rPr>
          <w:lang w:eastAsia="fr-FR"/>
        </w:rPr>
        <w:lastRenderedPageBreak/>
        <w:t>Category-specific QA/QC and verification</w:t>
      </w:r>
      <w:bookmarkEnd w:id="553"/>
      <w:bookmarkEnd w:id="554"/>
      <w:bookmarkEnd w:id="555"/>
    </w:p>
    <w:p w14:paraId="62DBF272" w14:textId="728BD1C1" w:rsidR="00F62B16" w:rsidRPr="002462F0" w:rsidRDefault="00F62B16" w:rsidP="009E0457">
      <w:pPr>
        <w:pStyle w:val="BodyText"/>
        <w:rPr>
          <w:sz w:val="24"/>
          <w:szCs w:val="24"/>
          <w:lang w:eastAsia="fr-FR"/>
        </w:rPr>
      </w:pPr>
      <w:bookmarkStart w:id="556" w:name="_Hlk496085913"/>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 Especially, new sectors have been estimated (domestic refrigeration and pharmaceutical aerosols).</w:t>
      </w:r>
      <w:bookmarkEnd w:id="556"/>
      <w:r w:rsidRPr="002462F0">
        <w:rPr>
          <w:lang w:eastAsia="fr-FR"/>
        </w:rPr>
        <w:t xml:space="preserve"> </w:t>
      </w:r>
    </w:p>
    <w:p w14:paraId="2AF0E11F" w14:textId="77777777" w:rsidR="00F62B16" w:rsidRPr="002462F0" w:rsidRDefault="00F62B16" w:rsidP="00622F40">
      <w:pPr>
        <w:pStyle w:val="Heading3"/>
        <w:rPr>
          <w:lang w:eastAsia="fr-FR"/>
        </w:rPr>
      </w:pPr>
      <w:bookmarkStart w:id="557" w:name="_Toc495655035"/>
      <w:bookmarkStart w:id="558" w:name="_Toc182327881"/>
      <w:bookmarkStart w:id="559" w:name="_Toc184808245"/>
      <w:r w:rsidRPr="002462F0">
        <w:rPr>
          <w:lang w:eastAsia="fr-FR"/>
        </w:rPr>
        <w:t>Category-specific recalculations</w:t>
      </w:r>
      <w:bookmarkEnd w:id="557"/>
      <w:bookmarkEnd w:id="558"/>
      <w:bookmarkEnd w:id="559"/>
    </w:p>
    <w:p w14:paraId="75F936B4" w14:textId="5C237D2C" w:rsidR="00F62B16" w:rsidRPr="002462F0" w:rsidRDefault="00F62B16" w:rsidP="009E0457">
      <w:pPr>
        <w:pStyle w:val="BodyText"/>
        <w:rPr>
          <w:sz w:val="24"/>
          <w:szCs w:val="24"/>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74B48C6D" w14:textId="77777777" w:rsidR="00F62B16" w:rsidRPr="002462F0" w:rsidRDefault="00F62B16" w:rsidP="00622F40">
      <w:pPr>
        <w:pStyle w:val="Heading3"/>
        <w:rPr>
          <w:lang w:eastAsia="fr-FR"/>
        </w:rPr>
      </w:pPr>
      <w:bookmarkStart w:id="560" w:name="_Toc495655036"/>
      <w:bookmarkStart w:id="561" w:name="_Toc182327882"/>
      <w:bookmarkStart w:id="562" w:name="_Toc184808246"/>
      <w:r w:rsidRPr="002462F0">
        <w:rPr>
          <w:lang w:eastAsia="fr-FR"/>
        </w:rPr>
        <w:t>Category-specific planned improvements</w:t>
      </w:r>
      <w:bookmarkEnd w:id="560"/>
      <w:bookmarkEnd w:id="561"/>
      <w:bookmarkEnd w:id="562"/>
    </w:p>
    <w:p w14:paraId="4D7C274F" w14:textId="4D117123" w:rsidR="00F62B16" w:rsidRPr="002462F0" w:rsidRDefault="00F62B16" w:rsidP="00F62B16">
      <w:pPr>
        <w:pStyle w:val="Titre4Bleu"/>
        <w:rPr>
          <w:lang w:eastAsia="fr-FR"/>
        </w:rPr>
      </w:pPr>
      <w:bookmarkStart w:id="563" w:name="_Toc182327883"/>
      <w:r w:rsidRPr="002462F0">
        <w:rPr>
          <w:lang w:eastAsia="fr-FR"/>
        </w:rPr>
        <w:t>Refrigeration and air conditioning (</w:t>
      </w:r>
      <w:r w:rsidR="00FF2718">
        <w:rPr>
          <w:lang w:eastAsia="fr-FR"/>
        </w:rPr>
        <w:t xml:space="preserve">CRT </w:t>
      </w:r>
      <w:r w:rsidRPr="002462F0">
        <w:rPr>
          <w:lang w:eastAsia="fr-FR"/>
        </w:rPr>
        <w:t>2F1)</w:t>
      </w:r>
      <w:bookmarkEnd w:id="563"/>
    </w:p>
    <w:p w14:paraId="378FF702" w14:textId="6ED63D49" w:rsidR="00F62B16" w:rsidRPr="00E04FC5" w:rsidRDefault="00F62B16" w:rsidP="00AB11C1">
      <w:pPr>
        <w:pStyle w:val="BodyText"/>
        <w:numPr>
          <w:ilvl w:val="0"/>
          <w:numId w:val="38"/>
        </w:numPr>
        <w:rPr>
          <w:sz w:val="24"/>
          <w:szCs w:val="24"/>
          <w:lang w:eastAsia="fr-FR"/>
        </w:rPr>
      </w:pPr>
      <w:r w:rsidRPr="002462F0">
        <w:rPr>
          <w:lang w:eastAsia="fr-FR"/>
        </w:rPr>
        <w:t>In the methodology used for 2F1e and 2F1f, estimated emissions based on the import/export data do</w:t>
      </w:r>
      <w:r w:rsidR="00963B91">
        <w:rPr>
          <w:lang w:eastAsia="fr-FR"/>
        </w:rPr>
        <w:t xml:space="preserve"> not</w:t>
      </w:r>
      <w:r w:rsidRPr="002462F0">
        <w:rPr>
          <w:lang w:eastAsia="fr-FR"/>
        </w:rPr>
        <w:t xml:space="preserve"> take into account the amount</w:t>
      </w:r>
      <w:r w:rsidR="00963B91">
        <w:rPr>
          <w:lang w:eastAsia="fr-FR"/>
        </w:rPr>
        <w:t>s</w:t>
      </w:r>
      <w:r w:rsidRPr="002462F0">
        <w:rPr>
          <w:lang w:eastAsia="fr-FR"/>
        </w:rPr>
        <w:t xml:space="preserve"> of F-gases which are contained in the imported equipment in Serbia (example: stationary air conditioning or mobiles air conditioning). Consequently, </w:t>
      </w:r>
      <w:r w:rsidR="00963B91">
        <w:rPr>
          <w:lang w:eastAsia="fr-FR"/>
        </w:rPr>
        <w:t>one</w:t>
      </w:r>
      <w:r w:rsidR="00963B91" w:rsidRPr="002462F0">
        <w:rPr>
          <w:lang w:eastAsia="fr-FR"/>
        </w:rPr>
        <w:t xml:space="preserve"> </w:t>
      </w:r>
      <w:r w:rsidRPr="002462F0">
        <w:rPr>
          <w:lang w:eastAsia="fr-FR"/>
        </w:rPr>
        <w:t xml:space="preserve">improvement </w:t>
      </w:r>
      <w:r w:rsidR="00963B91">
        <w:rPr>
          <w:lang w:eastAsia="fr-FR"/>
        </w:rPr>
        <w:t>would</w:t>
      </w:r>
      <w:r w:rsidR="00963B91" w:rsidRPr="002462F0">
        <w:rPr>
          <w:lang w:eastAsia="fr-FR"/>
        </w:rPr>
        <w:t xml:space="preserve"> </w:t>
      </w:r>
      <w:r w:rsidRPr="002462F0">
        <w:rPr>
          <w:lang w:eastAsia="fr-FR"/>
        </w:rPr>
        <w:t xml:space="preserve">be to develop the Tier 2 methodology from 2006 IPCC guidelines </w:t>
      </w:r>
      <w:r w:rsidR="00963B91">
        <w:rPr>
          <w:lang w:eastAsia="fr-FR"/>
        </w:rPr>
        <w:t>to consider</w:t>
      </w:r>
      <w:r w:rsidRPr="002462F0">
        <w:rPr>
          <w:lang w:eastAsia="fr-FR"/>
        </w:rPr>
        <w:t xml:space="preserve"> these quantities and</w:t>
      </w:r>
      <w:r w:rsidR="00963B91">
        <w:rPr>
          <w:lang w:eastAsia="fr-FR"/>
        </w:rPr>
        <w:t xml:space="preserve"> </w:t>
      </w:r>
      <w:r w:rsidRPr="002462F0">
        <w:rPr>
          <w:lang w:eastAsia="fr-FR"/>
        </w:rPr>
        <w:t xml:space="preserve">to distinguish the different sub-applications (stationary air conditioning, commercial refrigeration and industrial refrigeration).  </w:t>
      </w:r>
    </w:p>
    <w:p w14:paraId="2903EA1C" w14:textId="60E9A26D" w:rsidR="00F62B16" w:rsidRPr="002462F0" w:rsidRDefault="00F62B16" w:rsidP="00F62B16">
      <w:pPr>
        <w:pStyle w:val="Titre4Bleu"/>
        <w:rPr>
          <w:lang w:eastAsia="fr-FR"/>
        </w:rPr>
      </w:pPr>
      <w:bookmarkStart w:id="564" w:name="_Toc182327884"/>
      <w:r w:rsidRPr="002462F0">
        <w:rPr>
          <w:lang w:eastAsia="fr-FR"/>
        </w:rPr>
        <w:t>Foam blowing agents (</w:t>
      </w:r>
      <w:r w:rsidR="00FF2718">
        <w:rPr>
          <w:lang w:eastAsia="fr-FR"/>
        </w:rPr>
        <w:t xml:space="preserve">CRT </w:t>
      </w:r>
      <w:r w:rsidRPr="002462F0">
        <w:rPr>
          <w:lang w:eastAsia="fr-FR"/>
        </w:rPr>
        <w:t>2F2)</w:t>
      </w:r>
      <w:bookmarkEnd w:id="564"/>
    </w:p>
    <w:p w14:paraId="1638FA9B" w14:textId="77777777" w:rsidR="00F62B16" w:rsidRPr="002462F0" w:rsidRDefault="00F62B16" w:rsidP="00AB11C1">
      <w:pPr>
        <w:pStyle w:val="BodyText"/>
        <w:numPr>
          <w:ilvl w:val="0"/>
          <w:numId w:val="39"/>
        </w:numPr>
        <w:rPr>
          <w:lang w:eastAsia="fr-FR"/>
        </w:rPr>
      </w:pPr>
      <w:r w:rsidRPr="002462F0">
        <w:rPr>
          <w:lang w:eastAsia="fr-FR"/>
        </w:rPr>
        <w:t>This sector has been identified as a source of HFC emissions. This sector is currently not included in the inventory because no activity data is available. Survey was sent to concerned manufacturers/operators. Consequently, the improvement will be to estimate emission for foam blowing agents.</w:t>
      </w:r>
    </w:p>
    <w:p w14:paraId="22F2DC42" w14:textId="67A106AA" w:rsidR="00F62B16" w:rsidRPr="002462F0" w:rsidRDefault="00F62B16" w:rsidP="00F62B16">
      <w:pPr>
        <w:pStyle w:val="Titre4Bleu"/>
        <w:rPr>
          <w:lang w:eastAsia="fr-FR"/>
        </w:rPr>
      </w:pPr>
      <w:bookmarkStart w:id="565" w:name="_Toc182327885"/>
      <w:r w:rsidRPr="002462F0">
        <w:rPr>
          <w:lang w:eastAsia="fr-FR"/>
        </w:rPr>
        <w:t>Fire protection (</w:t>
      </w:r>
      <w:r w:rsidR="00FF2718">
        <w:rPr>
          <w:lang w:eastAsia="fr-FR"/>
        </w:rPr>
        <w:t xml:space="preserve">CRT </w:t>
      </w:r>
      <w:r w:rsidRPr="002462F0">
        <w:rPr>
          <w:lang w:eastAsia="fr-FR"/>
        </w:rPr>
        <w:t>2F3)</w:t>
      </w:r>
      <w:bookmarkEnd w:id="565"/>
    </w:p>
    <w:p w14:paraId="59F8A28C" w14:textId="77777777" w:rsidR="00F62B16" w:rsidRPr="009E0457" w:rsidRDefault="00F62B16" w:rsidP="00AB11C1">
      <w:pPr>
        <w:pStyle w:val="BodyText"/>
        <w:numPr>
          <w:ilvl w:val="0"/>
          <w:numId w:val="39"/>
        </w:numPr>
        <w:rPr>
          <w:lang w:eastAsia="fr-FR"/>
        </w:rPr>
      </w:pPr>
      <w:r w:rsidRPr="009E0457">
        <w:rPr>
          <w:lang w:eastAsia="fr-FR"/>
        </w:rPr>
        <w:t>This sector has been identified as a source of HFC emissions. This sector is currently not included in the inventory because no activity data is available. Survey was sent to concerned manufacturers/operators. Consequently, the improvement will be to estimate emission for fire protection.</w:t>
      </w:r>
    </w:p>
    <w:p w14:paraId="3280B525" w14:textId="3C443075" w:rsidR="00F62B16" w:rsidRPr="002462F0" w:rsidRDefault="00F62B16" w:rsidP="00F62B16">
      <w:pPr>
        <w:pStyle w:val="Titre4Bleu"/>
        <w:rPr>
          <w:lang w:eastAsia="fr-FR"/>
        </w:rPr>
      </w:pPr>
      <w:bookmarkStart w:id="566" w:name="_Toc182327886"/>
      <w:r w:rsidRPr="002462F0">
        <w:rPr>
          <w:lang w:eastAsia="fr-FR"/>
        </w:rPr>
        <w:t>Aerosols (</w:t>
      </w:r>
      <w:r w:rsidR="00FF2718">
        <w:rPr>
          <w:lang w:eastAsia="fr-FR"/>
        </w:rPr>
        <w:t xml:space="preserve">CRT </w:t>
      </w:r>
      <w:r w:rsidRPr="002462F0">
        <w:rPr>
          <w:lang w:eastAsia="fr-FR"/>
        </w:rPr>
        <w:t>2F4)</w:t>
      </w:r>
      <w:bookmarkEnd w:id="566"/>
    </w:p>
    <w:p w14:paraId="0EB20F95" w14:textId="5C2000CF" w:rsidR="00F62B16" w:rsidRPr="009E0457" w:rsidRDefault="00F62B16" w:rsidP="00AB11C1">
      <w:pPr>
        <w:pStyle w:val="BodyText"/>
        <w:numPr>
          <w:ilvl w:val="0"/>
          <w:numId w:val="39"/>
        </w:numPr>
        <w:rPr>
          <w:lang w:eastAsia="fr-FR"/>
        </w:rPr>
      </w:pPr>
      <w:r w:rsidRPr="009E0457">
        <w:rPr>
          <w:lang w:eastAsia="fr-FR"/>
        </w:rPr>
        <w:t xml:space="preserve">For the </w:t>
      </w:r>
      <w:r w:rsidR="000F6001">
        <w:rPr>
          <w:lang w:eastAsia="fr-FR"/>
        </w:rPr>
        <w:t>CRT</w:t>
      </w:r>
      <w:r w:rsidRPr="009E0457">
        <w:rPr>
          <w:lang w:eastAsia="fr-FR"/>
        </w:rPr>
        <w:t xml:space="preserve"> 2F4 (pharmaceutical aerosol), the quantities of pharmaceutical aerosol</w:t>
      </w:r>
      <w:r w:rsidR="009A5035">
        <w:rPr>
          <w:lang w:eastAsia="fr-FR"/>
        </w:rPr>
        <w:t>s</w:t>
      </w:r>
      <w:r w:rsidRPr="009E0457">
        <w:rPr>
          <w:lang w:eastAsia="fr-FR"/>
        </w:rPr>
        <w:t xml:space="preserve"> sold in Serbia are only available for the year</w:t>
      </w:r>
      <w:r w:rsidR="00E04FC5">
        <w:rPr>
          <w:lang w:eastAsia="fr-FR"/>
        </w:rPr>
        <w:t>s 2004 -</w:t>
      </w:r>
      <w:r w:rsidRPr="009E0457">
        <w:rPr>
          <w:lang w:eastAsia="fr-FR"/>
        </w:rPr>
        <w:t xml:space="preserve"> 20</w:t>
      </w:r>
      <w:r w:rsidR="009A5035">
        <w:rPr>
          <w:lang w:eastAsia="fr-FR"/>
        </w:rPr>
        <w:t>22</w:t>
      </w:r>
      <w:r w:rsidRPr="009E0457">
        <w:rPr>
          <w:lang w:eastAsia="fr-FR"/>
        </w:rPr>
        <w:t xml:space="preserve"> by type of MDI. Consequently, the improvement </w:t>
      </w:r>
      <w:r w:rsidR="00C15021">
        <w:rPr>
          <w:lang w:eastAsia="fr-FR"/>
        </w:rPr>
        <w:t>would</w:t>
      </w:r>
      <w:r w:rsidR="00C15021" w:rsidRPr="009E0457">
        <w:rPr>
          <w:lang w:eastAsia="fr-FR"/>
        </w:rPr>
        <w:t xml:space="preserve"> </w:t>
      </w:r>
      <w:r w:rsidRPr="009E0457">
        <w:rPr>
          <w:lang w:eastAsia="fr-FR"/>
        </w:rPr>
        <w:t>be to collect the amount of HFC contained in each product and to collect data MDI sales for the years before 20</w:t>
      </w:r>
      <w:r w:rsidR="00E04FC5">
        <w:rPr>
          <w:lang w:eastAsia="fr-FR"/>
        </w:rPr>
        <w:t>04</w:t>
      </w:r>
      <w:r w:rsidRPr="009E0457">
        <w:rPr>
          <w:lang w:eastAsia="fr-FR"/>
        </w:rPr>
        <w:t>.</w:t>
      </w:r>
    </w:p>
    <w:p w14:paraId="600C7103" w14:textId="52CBE52E" w:rsidR="00F62B16" w:rsidRPr="00FB6D11" w:rsidRDefault="00F62B16" w:rsidP="00F62B16">
      <w:pPr>
        <w:pStyle w:val="Heading2"/>
        <w:rPr>
          <w:rStyle w:val="Heading2Char"/>
          <w:b/>
          <w:bCs/>
          <w:lang w:val="en-GB"/>
        </w:rPr>
      </w:pPr>
      <w:bookmarkStart w:id="567" w:name="_Toc182327887"/>
      <w:bookmarkStart w:id="568" w:name="_Toc184808247"/>
      <w:r w:rsidRPr="00622F40">
        <w:rPr>
          <w:rStyle w:val="Heading2Char"/>
          <w:b/>
          <w:bCs/>
          <w:lang w:val="en-GB"/>
        </w:rPr>
        <w:t>Other product manufacture and use (</w:t>
      </w:r>
      <w:r w:rsidR="000F6001">
        <w:rPr>
          <w:rStyle w:val="Heading2Char"/>
          <w:b/>
          <w:bCs/>
          <w:lang w:val="en-GB"/>
        </w:rPr>
        <w:t>CRT</w:t>
      </w:r>
      <w:r w:rsidRPr="00622F40">
        <w:rPr>
          <w:rStyle w:val="Heading2Char"/>
          <w:b/>
          <w:bCs/>
          <w:lang w:val="en-GB"/>
        </w:rPr>
        <w:t xml:space="preserve"> 2G)</w:t>
      </w:r>
      <w:bookmarkEnd w:id="567"/>
      <w:bookmarkEnd w:id="568"/>
    </w:p>
    <w:p w14:paraId="58586E88" w14:textId="008F9EB3" w:rsidR="00F62B16" w:rsidRPr="002462F0" w:rsidRDefault="00F62B16" w:rsidP="00622F40">
      <w:pPr>
        <w:pStyle w:val="Heading3"/>
        <w:rPr>
          <w:lang w:eastAsia="fr-FR"/>
        </w:rPr>
      </w:pPr>
      <w:bookmarkStart w:id="569" w:name="_Toc182327888"/>
      <w:bookmarkStart w:id="570" w:name="_Toc184808248"/>
      <w:r w:rsidRPr="002462F0">
        <w:rPr>
          <w:lang w:eastAsia="fr-FR"/>
        </w:rPr>
        <w:lastRenderedPageBreak/>
        <w:t>Electrical equipment (</w:t>
      </w:r>
      <w:r w:rsidR="00FF2718">
        <w:rPr>
          <w:lang w:eastAsia="fr-FR"/>
        </w:rPr>
        <w:t xml:space="preserve">CRT </w:t>
      </w:r>
      <w:r w:rsidRPr="002462F0">
        <w:rPr>
          <w:lang w:eastAsia="fr-FR"/>
        </w:rPr>
        <w:t>2G1)</w:t>
      </w:r>
      <w:bookmarkEnd w:id="569"/>
      <w:bookmarkEnd w:id="570"/>
    </w:p>
    <w:p w14:paraId="53954D91" w14:textId="77777777" w:rsidR="00F62B16" w:rsidRPr="002462F0" w:rsidRDefault="00F62B16" w:rsidP="00F62B16">
      <w:pPr>
        <w:pStyle w:val="Titre4Bleu"/>
        <w:rPr>
          <w:lang w:eastAsia="fr-FR"/>
        </w:rPr>
      </w:pPr>
      <w:bookmarkStart w:id="571" w:name="_Toc182327889"/>
      <w:r w:rsidRPr="002462F0">
        <w:rPr>
          <w:lang w:eastAsia="fr-FR"/>
        </w:rPr>
        <w:t>Category description</w:t>
      </w:r>
      <w:bookmarkEnd w:id="571"/>
      <w:r w:rsidRPr="002462F0">
        <w:rPr>
          <w:lang w:eastAsia="fr-FR"/>
        </w:rPr>
        <w:t xml:space="preserve"> </w:t>
      </w:r>
    </w:p>
    <w:p w14:paraId="7ABE60AA" w14:textId="011B5E1B" w:rsidR="00F825FE" w:rsidRDefault="00F825FE" w:rsidP="009E0457">
      <w:pPr>
        <w:pStyle w:val="BodyText"/>
        <w:rPr>
          <w:lang w:eastAsia="fr-FR"/>
        </w:rPr>
      </w:pPr>
      <w:r>
        <w:rPr>
          <w:lang w:eastAsia="fr-FR"/>
        </w:rPr>
        <w:t>Sulphur hexafluoride (</w:t>
      </w:r>
      <w:r w:rsidRPr="00202A6D">
        <w:rPr>
          <w:lang w:eastAsia="fr-FR"/>
        </w:rPr>
        <w:t>SF</w:t>
      </w:r>
      <w:r w:rsidRPr="00622F40">
        <w:rPr>
          <w:vertAlign w:val="subscript"/>
          <w:lang w:eastAsia="fr-FR"/>
        </w:rPr>
        <w:t>6</w:t>
      </w:r>
      <w:r>
        <w:rPr>
          <w:lang w:eastAsia="fr-FR"/>
        </w:rPr>
        <w:t xml:space="preserve">) </w:t>
      </w:r>
      <w:r w:rsidR="00153AB5">
        <w:rPr>
          <w:lang w:eastAsia="fr-FR"/>
        </w:rPr>
        <w:t>is used in electrical equipment in</w:t>
      </w:r>
      <w:r w:rsidR="002323EC">
        <w:rPr>
          <w:lang w:eastAsia="fr-FR"/>
        </w:rPr>
        <w:t xml:space="preserve"> order to insulate </w:t>
      </w:r>
      <w:r w:rsidR="00767E7F">
        <w:rPr>
          <w:lang w:eastAsia="fr-FR"/>
        </w:rPr>
        <w:t xml:space="preserve">them and </w:t>
      </w:r>
      <w:r w:rsidR="001B3C18">
        <w:rPr>
          <w:lang w:eastAsia="fr-FR"/>
        </w:rPr>
        <w:t>prevent current transmission.</w:t>
      </w:r>
      <w:r w:rsidR="00202A6D">
        <w:rPr>
          <w:lang w:eastAsia="fr-FR"/>
        </w:rPr>
        <w:t xml:space="preserve"> </w:t>
      </w:r>
      <w:r w:rsidR="00751D2F">
        <w:rPr>
          <w:lang w:eastAsia="fr-FR"/>
        </w:rPr>
        <w:t xml:space="preserve">At each phase of the life cycle of the equipment, some emissions occur. </w:t>
      </w:r>
      <w:r w:rsidR="008D2CD7">
        <w:rPr>
          <w:lang w:eastAsia="fr-FR"/>
        </w:rPr>
        <w:t xml:space="preserve">The different phases of the life cycle include the manufacturing, installation, use, servicing and disposal. </w:t>
      </w:r>
      <w:r w:rsidR="00AC13D3">
        <w:rPr>
          <w:lang w:eastAsia="fr-FR"/>
        </w:rPr>
        <w:t>Two types of equipment need to be considered, the category “Sealed pressure systems” which do not require refilling</w:t>
      </w:r>
      <w:r w:rsidR="00685B72">
        <w:rPr>
          <w:lang w:eastAsia="fr-FR"/>
        </w:rPr>
        <w:t xml:space="preserve">, and the other “Closed pressure systems” which require refilling during its lifetime and contain much more </w:t>
      </w:r>
      <w:r w:rsidR="009C4275">
        <w:rPr>
          <w:lang w:eastAsia="fr-FR"/>
        </w:rPr>
        <w:t>gas (between 5 and several hundred kilograms).</w:t>
      </w:r>
    </w:p>
    <w:p w14:paraId="18DD01B1" w14:textId="3F59434A" w:rsidR="00064A8F" w:rsidRDefault="00064A8F" w:rsidP="00064A8F">
      <w:pPr>
        <w:pStyle w:val="BodyText"/>
        <w:rPr>
          <w:lang w:eastAsia="fr-FR"/>
        </w:rPr>
      </w:pPr>
      <w:r w:rsidRPr="002462F0">
        <w:rPr>
          <w:lang w:eastAsia="fr-FR"/>
        </w:rPr>
        <w:t>In 20</w:t>
      </w:r>
      <w:r>
        <w:rPr>
          <w:lang w:eastAsia="fr-FR"/>
        </w:rPr>
        <w:t>22</w:t>
      </w:r>
      <w:r w:rsidRPr="002462F0">
        <w:rPr>
          <w:lang w:eastAsia="fr-FR"/>
        </w:rPr>
        <w:t>, the category 2</w:t>
      </w:r>
      <w:r>
        <w:rPr>
          <w:lang w:eastAsia="fr-FR"/>
        </w:rPr>
        <w:t>G1</w:t>
      </w:r>
      <w:r w:rsidRPr="002462F0">
        <w:rPr>
          <w:lang w:eastAsia="fr-FR"/>
        </w:rPr>
        <w:t xml:space="preserve"> </w:t>
      </w:r>
      <w:r>
        <w:rPr>
          <w:lang w:eastAsia="fr-FR"/>
        </w:rPr>
        <w:t>electrical equipment</w:t>
      </w:r>
      <w:r w:rsidRPr="002462F0">
        <w:rPr>
          <w:lang w:eastAsia="fr-FR"/>
        </w:rPr>
        <w:t xml:space="preserve"> is </w:t>
      </w:r>
      <w:r>
        <w:rPr>
          <w:lang w:eastAsia="fr-FR"/>
        </w:rPr>
        <w:t>neither</w:t>
      </w:r>
      <w:r w:rsidRPr="002462F0">
        <w:rPr>
          <w:lang w:eastAsia="fr-FR"/>
        </w:rPr>
        <w:t xml:space="preserve"> a key category in terms on emission level </w:t>
      </w:r>
      <w:r>
        <w:rPr>
          <w:lang w:eastAsia="fr-FR"/>
        </w:rPr>
        <w:t>nor</w:t>
      </w:r>
      <w:r w:rsidRPr="002462F0">
        <w:rPr>
          <w:lang w:eastAsia="fr-FR"/>
        </w:rPr>
        <w:t xml:space="preserve"> emission trend for GHG emissions in </w:t>
      </w:r>
      <w:r>
        <w:rPr>
          <w:lang w:eastAsia="fr-FR"/>
        </w:rPr>
        <w:t xml:space="preserve">the Republic of </w:t>
      </w:r>
      <w:r w:rsidRPr="002462F0">
        <w:rPr>
          <w:lang w:eastAsia="fr-FR"/>
        </w:rPr>
        <w:t>Serbia.</w:t>
      </w:r>
    </w:p>
    <w:p w14:paraId="61E5B542" w14:textId="0ECFCF5E" w:rsidR="006E380F" w:rsidRPr="002462F0" w:rsidRDefault="006E380F" w:rsidP="00064A8F">
      <w:pPr>
        <w:pStyle w:val="BodyText"/>
        <w:rPr>
          <w:lang w:eastAsia="fr-FR"/>
        </w:rPr>
      </w:pPr>
      <w:r>
        <w:rPr>
          <w:lang w:eastAsia="fr-FR"/>
        </w:rPr>
        <w:t>SF</w:t>
      </w:r>
      <w:r w:rsidRPr="00622F40">
        <w:rPr>
          <w:vertAlign w:val="subscript"/>
          <w:lang w:eastAsia="fr-FR"/>
        </w:rPr>
        <w:t>6</w:t>
      </w:r>
      <w:r>
        <w:rPr>
          <w:lang w:eastAsia="fr-FR"/>
        </w:rPr>
        <w:t xml:space="preserve"> emissions related to electrical equipment started occurring in 2000 and </w:t>
      </w:r>
      <w:r w:rsidR="00052DC6">
        <w:rPr>
          <w:lang w:eastAsia="fr-FR"/>
        </w:rPr>
        <w:t>increased progressively until 2013</w:t>
      </w:r>
      <w:r w:rsidR="00BD1230">
        <w:rPr>
          <w:lang w:eastAsia="fr-FR"/>
        </w:rPr>
        <w:t>, before being rather stable until 2021</w:t>
      </w:r>
      <w:r w:rsidR="00747806">
        <w:rPr>
          <w:lang w:eastAsia="fr-FR"/>
        </w:rPr>
        <w:t xml:space="preserve">. </w:t>
      </w:r>
    </w:p>
    <w:p w14:paraId="7165B8CF" w14:textId="487A5E96" w:rsidR="00582268" w:rsidRDefault="00C840FC" w:rsidP="00FE232B">
      <w:pPr>
        <w:keepNext/>
        <w:autoSpaceDE w:val="0"/>
        <w:autoSpaceDN w:val="0"/>
        <w:adjustRightInd w:val="0"/>
        <w:spacing w:after="0" w:line="240" w:lineRule="auto"/>
        <w:jc w:val="left"/>
      </w:pPr>
      <w:r>
        <w:rPr>
          <w:noProof/>
          <w:lang w:val="en-US"/>
        </w:rPr>
        <w:drawing>
          <wp:inline distT="0" distB="0" distL="0" distR="0" wp14:anchorId="03098249" wp14:editId="57A2A087">
            <wp:extent cx="5760000" cy="1753712"/>
            <wp:effectExtent l="0" t="0" r="0" b="0"/>
            <wp:docPr id="654387145"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6252751E" w14:textId="77777777" w:rsidR="00FE232B" w:rsidRPr="002462F0" w:rsidRDefault="00FE232B" w:rsidP="00FE232B">
      <w:pPr>
        <w:pStyle w:val="Caption"/>
        <w:spacing w:before="0" w:after="0"/>
        <w:jc w:val="left"/>
        <w:rPr>
          <w:sz w:val="22"/>
          <w:lang w:eastAsia="fr-FR"/>
        </w:rPr>
      </w:pPr>
      <w:bookmarkStart w:id="572" w:name="_Toc184808464"/>
      <w:r w:rsidRPr="002462F0">
        <w:t xml:space="preserve">Figure </w:t>
      </w:r>
      <w:r w:rsidRPr="002462F0">
        <w:fldChar w:fldCharType="begin"/>
      </w:r>
      <w:r w:rsidRPr="002462F0">
        <w:instrText xml:space="preserve"> SEQ Figure \* ARABIC </w:instrText>
      </w:r>
      <w:r w:rsidRPr="002462F0">
        <w:fldChar w:fldCharType="separate"/>
      </w:r>
      <w:r>
        <w:rPr>
          <w:noProof/>
        </w:rPr>
        <w:t>77</w:t>
      </w:r>
      <w:r w:rsidRPr="002462F0">
        <w:fldChar w:fldCharType="end"/>
      </w:r>
      <w:r w:rsidRPr="002462F0">
        <w:t xml:space="preserve">: GHG emissions for </w:t>
      </w:r>
      <w:r>
        <w:t>electrical equipment, for the period 1990-2022</w:t>
      </w:r>
      <w:r w:rsidRPr="002462F0">
        <w:t xml:space="preserve"> (</w:t>
      </w:r>
      <w:r>
        <w:t xml:space="preserve">in </w:t>
      </w:r>
      <w:r w:rsidRPr="002462F0">
        <w:t>kt CO</w:t>
      </w:r>
      <w:r w:rsidRPr="002462F0">
        <w:rPr>
          <w:vertAlign w:val="subscript"/>
        </w:rPr>
        <w:t>2</w:t>
      </w:r>
      <w:r w:rsidRPr="002462F0">
        <w:t>e)</w:t>
      </w:r>
      <w:bookmarkEnd w:id="572"/>
    </w:p>
    <w:p w14:paraId="096395FD" w14:textId="01629E98" w:rsidR="00FE232B" w:rsidRDefault="00FE232B" w:rsidP="00FE232B">
      <w:pPr>
        <w:pStyle w:val="BodyText"/>
        <w:spacing w:before="120"/>
      </w:pPr>
      <w:r>
        <w:t xml:space="preserve">Sudden increase in emissions in 2022 is likely caused </w:t>
      </w:r>
      <w:r w:rsidR="002F7186">
        <w:t>by</w:t>
      </w:r>
      <w:r>
        <w:t xml:space="preserve"> the error in emission calculation as detected by the peer-review</w:t>
      </w:r>
      <w:r w:rsidR="002F7186">
        <w:t xml:space="preserve"> during preparation of the NID</w:t>
      </w:r>
      <w:r>
        <w:t>. This issue will be addressed for the next NID submission. In addition, QC procedures in this minor category will be adjusted in order to identify such errors in the future.</w:t>
      </w:r>
    </w:p>
    <w:p w14:paraId="684D1502" w14:textId="77777777" w:rsidR="00F62B16" w:rsidRPr="002462F0" w:rsidRDefault="00F62B16" w:rsidP="00F62B16">
      <w:pPr>
        <w:pStyle w:val="Titre4Bleu"/>
        <w:rPr>
          <w:lang w:eastAsia="fr-FR"/>
        </w:rPr>
      </w:pPr>
      <w:bookmarkStart w:id="573" w:name="_Toc182327890"/>
      <w:r w:rsidRPr="002462F0">
        <w:rPr>
          <w:lang w:eastAsia="fr-FR"/>
        </w:rPr>
        <w:t>Methodological issues</w:t>
      </w:r>
      <w:bookmarkEnd w:id="573"/>
      <w:r w:rsidRPr="002462F0">
        <w:rPr>
          <w:lang w:eastAsia="fr-FR"/>
        </w:rPr>
        <w:t xml:space="preserve"> </w:t>
      </w:r>
    </w:p>
    <w:p w14:paraId="1C5AB43A" w14:textId="05366FF5" w:rsidR="00765BB4" w:rsidRPr="002462F0" w:rsidRDefault="00765BB4" w:rsidP="00765BB4">
      <w:pPr>
        <w:pStyle w:val="BodyText"/>
        <w:rPr>
          <w:lang w:eastAsia="fr-FR"/>
        </w:rPr>
      </w:pPr>
      <w:r w:rsidRPr="002462F0">
        <w:rPr>
          <w:lang w:eastAsia="fr-FR"/>
        </w:rPr>
        <w:t xml:space="preserve">The methodology used is Tier 1. </w:t>
      </w:r>
      <w:r w:rsidR="00134D73">
        <w:rPr>
          <w:lang w:eastAsia="fr-FR"/>
        </w:rPr>
        <w:t>SF</w:t>
      </w:r>
      <w:r w:rsidR="00134D73">
        <w:rPr>
          <w:vertAlign w:val="subscript"/>
          <w:lang w:eastAsia="fr-FR"/>
        </w:rPr>
        <w:t>6</w:t>
      </w:r>
      <w:r w:rsidRPr="002462F0">
        <w:rPr>
          <w:lang w:eastAsia="fr-FR"/>
        </w:rPr>
        <w:t xml:space="preserve"> emission estimate</w:t>
      </w:r>
      <w:r>
        <w:rPr>
          <w:lang w:eastAsia="fr-FR"/>
        </w:rPr>
        <w:t>s</w:t>
      </w:r>
      <w:r w:rsidRPr="002462F0">
        <w:rPr>
          <w:lang w:eastAsia="fr-FR"/>
        </w:rPr>
        <w:t xml:space="preserve"> </w:t>
      </w:r>
      <w:r w:rsidR="00440E68">
        <w:rPr>
          <w:lang w:eastAsia="fr-FR"/>
        </w:rPr>
        <w:t>are sourced</w:t>
      </w:r>
      <w:r w:rsidRPr="002462F0">
        <w:rPr>
          <w:lang w:eastAsia="fr-FR"/>
        </w:rPr>
        <w:t xml:space="preserve"> from Equation </w:t>
      </w:r>
      <w:r w:rsidR="00D52EB9">
        <w:rPr>
          <w:lang w:eastAsia="fr-FR"/>
        </w:rPr>
        <w:t>8.1</w:t>
      </w:r>
      <w:r w:rsidRPr="002462F0">
        <w:rPr>
          <w:lang w:eastAsia="fr-FR"/>
        </w:rPr>
        <w:t xml:space="preserve"> of </w:t>
      </w:r>
      <w:r w:rsidR="00831956">
        <w:rPr>
          <w:lang w:eastAsia="fr-FR"/>
        </w:rPr>
        <w:t>emissions of SF</w:t>
      </w:r>
      <w:r w:rsidR="00831956" w:rsidRPr="00622F40">
        <w:rPr>
          <w:vertAlign w:val="subscript"/>
          <w:lang w:eastAsia="fr-FR"/>
        </w:rPr>
        <w:t>6</w:t>
      </w:r>
      <w:r w:rsidR="00831956">
        <w:rPr>
          <w:lang w:eastAsia="fr-FR"/>
        </w:rPr>
        <w:t xml:space="preserve"> and PFCs from e</w:t>
      </w:r>
      <w:r w:rsidR="00D52EB9">
        <w:rPr>
          <w:lang w:eastAsia="fr-FR"/>
        </w:rPr>
        <w:t xml:space="preserve">lectrical equipment </w:t>
      </w:r>
      <w:r w:rsidRPr="002462F0">
        <w:rPr>
          <w:lang w:eastAsia="fr-FR"/>
        </w:rPr>
        <w:t>sect</w:t>
      </w:r>
      <w:r>
        <w:rPr>
          <w:lang w:eastAsia="fr-FR"/>
        </w:rPr>
        <w:t>ion in 2006 IPCC Guidelines</w:t>
      </w:r>
      <w:r w:rsidR="007A6E66">
        <w:rPr>
          <w:lang w:eastAsia="fr-FR"/>
        </w:rPr>
        <w:t xml:space="preserve"> </w:t>
      </w:r>
      <w:r w:rsidR="007A6E66">
        <w:rPr>
          <w:lang w:eastAsia="fr-FR"/>
        </w:rPr>
        <w:fldChar w:fldCharType="begin"/>
      </w:r>
      <w:r w:rsidR="007A6E66">
        <w:rPr>
          <w:lang w:eastAsia="fr-FR"/>
        </w:rPr>
        <w:instrText xml:space="preserve"> REF _Ref177125638 \r \h </w:instrText>
      </w:r>
      <w:r w:rsidR="007A6E66">
        <w:rPr>
          <w:lang w:eastAsia="fr-FR"/>
        </w:rPr>
      </w:r>
      <w:r w:rsidR="007A6E66">
        <w:rPr>
          <w:lang w:eastAsia="fr-FR"/>
        </w:rPr>
        <w:fldChar w:fldCharType="separate"/>
      </w:r>
      <w:r w:rsidR="00F14C78">
        <w:rPr>
          <w:lang w:eastAsia="fr-FR"/>
        </w:rPr>
        <w:t>[I32]</w:t>
      </w:r>
      <w:r w:rsidR="007A6E66">
        <w:rPr>
          <w:lang w:eastAsia="fr-FR"/>
        </w:rPr>
        <w:fldChar w:fldCharType="end"/>
      </w:r>
      <w:r w:rsidRPr="002462F0">
        <w:rPr>
          <w:lang w:eastAsia="fr-FR"/>
        </w:rPr>
        <w:t>.</w:t>
      </w:r>
    </w:p>
    <w:p w14:paraId="5EC0D608" w14:textId="2608F05B" w:rsidR="00765BB4" w:rsidRPr="002462F0" w:rsidRDefault="00765BB4" w:rsidP="00765BB4">
      <w:pPr>
        <w:pStyle w:val="BodyText"/>
        <w:rPr>
          <w:lang w:eastAsia="fr-FR"/>
        </w:rPr>
      </w:pPr>
      <w:r w:rsidRPr="002462F0">
        <w:rPr>
          <w:lang w:eastAsia="fr-FR"/>
        </w:rPr>
        <w:t xml:space="preserve">Activity data used for the calculation </w:t>
      </w:r>
      <w:r>
        <w:rPr>
          <w:lang w:eastAsia="fr-FR"/>
        </w:rPr>
        <w:t>are the</w:t>
      </w:r>
      <w:r w:rsidRPr="002462F0">
        <w:rPr>
          <w:lang w:eastAsia="fr-FR"/>
        </w:rPr>
        <w:t xml:space="preserve"> </w:t>
      </w:r>
      <w:r w:rsidR="00381289">
        <w:rPr>
          <w:lang w:eastAsia="fr-FR"/>
        </w:rPr>
        <w:t>nameplate capacity of installed equipment</w:t>
      </w:r>
      <w:r w:rsidR="00F26F3F">
        <w:rPr>
          <w:lang w:eastAsia="fr-FR"/>
        </w:rPr>
        <w:t xml:space="preserve"> given for different </w:t>
      </w:r>
      <w:r w:rsidR="00B97A3A">
        <w:rPr>
          <w:lang w:eastAsia="fr-FR"/>
        </w:rPr>
        <w:t>values</w:t>
      </w:r>
      <w:r w:rsidR="00F26F3F">
        <w:rPr>
          <w:lang w:eastAsia="fr-FR"/>
        </w:rPr>
        <w:t xml:space="preserve"> of voltage (110, 220 and 400 kV)</w:t>
      </w:r>
      <w:r w:rsidR="00611E8D">
        <w:rPr>
          <w:lang w:eastAsia="fr-FR"/>
        </w:rPr>
        <w:t>, for the period 2000-2022</w:t>
      </w:r>
      <w:r w:rsidRPr="002462F0">
        <w:rPr>
          <w:lang w:eastAsia="fr-FR"/>
        </w:rPr>
        <w:t>. The source for activity data conc</w:t>
      </w:r>
      <w:r>
        <w:rPr>
          <w:lang w:eastAsia="fr-FR"/>
        </w:rPr>
        <w:t>erning this category is</w:t>
      </w:r>
      <w:r w:rsidR="004F0D47">
        <w:rPr>
          <w:lang w:eastAsia="fr-FR"/>
        </w:rPr>
        <w:t xml:space="preserve"> the electricity supplier </w:t>
      </w:r>
      <w:proofErr w:type="spellStart"/>
      <w:r w:rsidR="00B05EB9" w:rsidRPr="00B05EB9">
        <w:rPr>
          <w:lang w:eastAsia="fr-FR"/>
        </w:rPr>
        <w:t>Elektromreža</w:t>
      </w:r>
      <w:proofErr w:type="spellEnd"/>
      <w:r w:rsidR="00B05EB9" w:rsidRPr="00B05EB9">
        <w:rPr>
          <w:lang w:eastAsia="fr-FR"/>
        </w:rPr>
        <w:t xml:space="preserve"> </w:t>
      </w:r>
      <w:proofErr w:type="spellStart"/>
      <w:r w:rsidR="00B05EB9" w:rsidRPr="00B05EB9">
        <w:rPr>
          <w:lang w:eastAsia="fr-FR"/>
        </w:rPr>
        <w:t>Srbije</w:t>
      </w:r>
      <w:proofErr w:type="spellEnd"/>
      <w:r w:rsidR="00B05EB9" w:rsidRPr="00B05EB9">
        <w:rPr>
          <w:lang w:eastAsia="fr-FR"/>
        </w:rPr>
        <w:t xml:space="preserve"> (</w:t>
      </w:r>
      <w:r w:rsidR="00822938">
        <w:rPr>
          <w:lang w:eastAsia="fr-FR"/>
        </w:rPr>
        <w:t>EMS</w:t>
      </w:r>
      <w:r w:rsidR="004F0D47">
        <w:rPr>
          <w:lang w:eastAsia="fr-FR"/>
        </w:rPr>
        <w:t>)</w:t>
      </w:r>
      <w:r w:rsidRPr="002462F0">
        <w:rPr>
          <w:lang w:eastAsia="fr-FR"/>
        </w:rPr>
        <w:t xml:space="preserve">. </w:t>
      </w:r>
      <w:r w:rsidR="002D12F8">
        <w:rPr>
          <w:lang w:eastAsia="fr-FR"/>
        </w:rPr>
        <w:t xml:space="preserve">No </w:t>
      </w:r>
      <w:r w:rsidR="00EF2449">
        <w:rPr>
          <w:lang w:eastAsia="fr-FR"/>
        </w:rPr>
        <w:t xml:space="preserve">activity data are considered </w:t>
      </w:r>
      <w:r w:rsidR="005E6629">
        <w:rPr>
          <w:lang w:eastAsia="fr-FR"/>
        </w:rPr>
        <w:t>for medium</w:t>
      </w:r>
      <w:r w:rsidR="002D12F8">
        <w:rPr>
          <w:lang w:eastAsia="fr-FR"/>
        </w:rPr>
        <w:t xml:space="preserve"> vol</w:t>
      </w:r>
      <w:r w:rsidR="005E6629">
        <w:rPr>
          <w:lang w:eastAsia="fr-FR"/>
        </w:rPr>
        <w:t>tage</w:t>
      </w:r>
      <w:r w:rsidR="0019257B">
        <w:rPr>
          <w:lang w:eastAsia="fr-FR"/>
        </w:rPr>
        <w:t xml:space="preserve"> in the Republic of Serbia</w:t>
      </w:r>
      <w:r w:rsidR="005E6629">
        <w:rPr>
          <w:lang w:eastAsia="fr-FR"/>
        </w:rPr>
        <w:t xml:space="preserve">. </w:t>
      </w:r>
    </w:p>
    <w:p w14:paraId="26DFDD41" w14:textId="62476252" w:rsidR="00765BB4" w:rsidRDefault="0019257B" w:rsidP="00765BB4">
      <w:pPr>
        <w:pStyle w:val="BodyText"/>
        <w:rPr>
          <w:lang w:eastAsia="fr-FR"/>
        </w:rPr>
      </w:pPr>
      <w:r>
        <w:rPr>
          <w:lang w:eastAsia="fr-FR"/>
        </w:rPr>
        <w:t>Default Tier 1</w:t>
      </w:r>
      <w:r w:rsidR="00765BB4" w:rsidRPr="002462F0">
        <w:rPr>
          <w:lang w:eastAsia="fr-FR"/>
        </w:rPr>
        <w:t xml:space="preserve"> emission factor</w:t>
      </w:r>
      <w:r>
        <w:rPr>
          <w:lang w:eastAsia="fr-FR"/>
        </w:rPr>
        <w:t>s</w:t>
      </w:r>
      <w:r w:rsidR="00765BB4" w:rsidRPr="002462F0">
        <w:rPr>
          <w:lang w:eastAsia="fr-FR"/>
        </w:rPr>
        <w:t xml:space="preserve"> for </w:t>
      </w:r>
      <w:r>
        <w:rPr>
          <w:lang w:eastAsia="fr-FR"/>
        </w:rPr>
        <w:t>SF</w:t>
      </w:r>
      <w:r w:rsidRPr="00622F40">
        <w:rPr>
          <w:vertAlign w:val="subscript"/>
          <w:lang w:eastAsia="fr-FR"/>
        </w:rPr>
        <w:t>6</w:t>
      </w:r>
      <w:r>
        <w:rPr>
          <w:lang w:eastAsia="fr-FR"/>
        </w:rPr>
        <w:t xml:space="preserve"> </w:t>
      </w:r>
      <w:r w:rsidR="00765BB4" w:rsidRPr="002462F0">
        <w:rPr>
          <w:lang w:eastAsia="fr-FR"/>
        </w:rPr>
        <w:t xml:space="preserve">of 2006 IPCC Guidelines </w:t>
      </w:r>
      <w:r>
        <w:rPr>
          <w:lang w:eastAsia="fr-FR"/>
        </w:rPr>
        <w:t>are applied</w:t>
      </w:r>
      <w:r w:rsidR="00765BB4" w:rsidRPr="002462F0">
        <w:rPr>
          <w:lang w:eastAsia="fr-FR"/>
        </w:rPr>
        <w:t xml:space="preserve"> and considered constant on the time series. </w:t>
      </w:r>
      <w:r w:rsidR="00925139">
        <w:rPr>
          <w:lang w:eastAsia="fr-FR"/>
        </w:rPr>
        <w:t>The value</w:t>
      </w:r>
      <w:r w:rsidR="00DF72D8">
        <w:rPr>
          <w:lang w:eastAsia="fr-FR"/>
        </w:rPr>
        <w:t>s</w:t>
      </w:r>
      <w:r w:rsidR="00925139">
        <w:rPr>
          <w:lang w:eastAsia="fr-FR"/>
        </w:rPr>
        <w:t xml:space="preserve"> for</w:t>
      </w:r>
      <w:r w:rsidR="00DF72D8">
        <w:rPr>
          <w:lang w:eastAsia="fr-FR"/>
        </w:rPr>
        <w:t xml:space="preserve"> the SF</w:t>
      </w:r>
      <w:r w:rsidR="00DF72D8" w:rsidRPr="00622F40">
        <w:rPr>
          <w:vertAlign w:val="subscript"/>
          <w:lang w:eastAsia="fr-FR"/>
        </w:rPr>
        <w:t>6</w:t>
      </w:r>
      <w:r w:rsidR="00DF72D8">
        <w:rPr>
          <w:lang w:eastAsia="fr-FR"/>
        </w:rPr>
        <w:t xml:space="preserve"> fractions in</w:t>
      </w:r>
      <w:r w:rsidR="00925139">
        <w:rPr>
          <w:lang w:eastAsia="fr-FR"/>
        </w:rPr>
        <w:t xml:space="preserve"> high voltage equipment considered are as follows, depending on the phase: manufacturing 8</w:t>
      </w:r>
      <w:r w:rsidR="004E5E32">
        <w:rPr>
          <w:lang w:eastAsia="fr-FR"/>
        </w:rPr>
        <w:t>.</w:t>
      </w:r>
      <w:r w:rsidR="00925139">
        <w:rPr>
          <w:lang w:eastAsia="fr-FR"/>
        </w:rPr>
        <w:t>5</w:t>
      </w:r>
      <w:r w:rsidR="00C41F33">
        <w:rPr>
          <w:lang w:eastAsia="fr-FR"/>
        </w:rPr>
        <w:t>%</w:t>
      </w:r>
      <w:r w:rsidR="00DF72D8">
        <w:rPr>
          <w:lang w:eastAsia="fr-FR"/>
        </w:rPr>
        <w:t>,</w:t>
      </w:r>
      <w:r w:rsidR="00925139">
        <w:rPr>
          <w:lang w:eastAsia="fr-FR"/>
        </w:rPr>
        <w:t xml:space="preserve"> </w:t>
      </w:r>
      <w:r w:rsidR="00DF72D8">
        <w:rPr>
          <w:lang w:eastAsia="fr-FR"/>
        </w:rPr>
        <w:t>use 2</w:t>
      </w:r>
      <w:r w:rsidR="00C41F33">
        <w:rPr>
          <w:lang w:eastAsia="fr-FR"/>
        </w:rPr>
        <w:t>.</w:t>
      </w:r>
      <w:r w:rsidR="00DF72D8">
        <w:rPr>
          <w:lang w:eastAsia="fr-FR"/>
        </w:rPr>
        <w:t>6</w:t>
      </w:r>
      <w:r w:rsidR="00C41F33">
        <w:rPr>
          <w:lang w:eastAsia="fr-FR"/>
        </w:rPr>
        <w:t>%</w:t>
      </w:r>
      <w:r w:rsidR="00DF72D8">
        <w:rPr>
          <w:lang w:eastAsia="fr-FR"/>
        </w:rPr>
        <w:t xml:space="preserve">, </w:t>
      </w:r>
      <w:r w:rsidR="00DE5414">
        <w:rPr>
          <w:lang w:eastAsia="fr-FR"/>
        </w:rPr>
        <w:t>disposal 95</w:t>
      </w:r>
      <w:r w:rsidR="00C41F33">
        <w:rPr>
          <w:lang w:eastAsia="fr-FR"/>
        </w:rPr>
        <w:t>%</w:t>
      </w:r>
      <w:r w:rsidR="00DE5414">
        <w:rPr>
          <w:lang w:eastAsia="fr-FR"/>
        </w:rPr>
        <w:t xml:space="preserve">. </w:t>
      </w:r>
    </w:p>
    <w:p w14:paraId="7E80CE5D" w14:textId="6E6A54DA" w:rsidR="0014367A" w:rsidRPr="002462F0" w:rsidRDefault="0014367A" w:rsidP="00765BB4">
      <w:pPr>
        <w:pStyle w:val="BodyText"/>
        <w:rPr>
          <w:lang w:eastAsia="fr-FR"/>
        </w:rPr>
      </w:pPr>
      <w:r>
        <w:rPr>
          <w:lang w:eastAsia="fr-FR"/>
        </w:rPr>
        <w:t xml:space="preserve">Only emissions related to the use of high voltage equipment are estimated. For the other emission sources, there is a lack of </w:t>
      </w:r>
      <w:r w:rsidR="007057B4">
        <w:rPr>
          <w:lang w:eastAsia="fr-FR"/>
        </w:rPr>
        <w:t>activity data.</w:t>
      </w:r>
    </w:p>
    <w:p w14:paraId="5CCFDD9C" w14:textId="77777777" w:rsidR="00F62B16" w:rsidRPr="002462F0" w:rsidRDefault="00F62B16" w:rsidP="00F62B16">
      <w:pPr>
        <w:pStyle w:val="Titre4Bleu"/>
        <w:rPr>
          <w:lang w:eastAsia="fr-FR"/>
        </w:rPr>
      </w:pPr>
      <w:bookmarkStart w:id="574" w:name="_Toc182327891"/>
      <w:r w:rsidRPr="002462F0">
        <w:rPr>
          <w:lang w:eastAsia="fr-FR"/>
        </w:rPr>
        <w:t>Category-specific planned improvements</w:t>
      </w:r>
      <w:bookmarkEnd w:id="574"/>
    </w:p>
    <w:p w14:paraId="13C9A1A8" w14:textId="4777A776" w:rsidR="00F62B16" w:rsidRDefault="007057B4" w:rsidP="007600D3">
      <w:r>
        <w:lastRenderedPageBreak/>
        <w:t>In the upcoming emission inventories</w:t>
      </w:r>
      <w:r w:rsidR="00AC2B3D">
        <w:t>, activity data about the SF</w:t>
      </w:r>
      <w:r w:rsidR="00AC2B3D" w:rsidRPr="002F7186">
        <w:rPr>
          <w:vertAlign w:val="subscript"/>
        </w:rPr>
        <w:t>6</w:t>
      </w:r>
      <w:r w:rsidR="00AC2B3D">
        <w:t xml:space="preserve"> consumption by equipment manufacturers and the nameplate capacity of retiring equipment will need to be collected to estimate emissions related to manufacturing and disposal, for high voltage </w:t>
      </w:r>
      <w:r w:rsidR="002F66FB">
        <w:t xml:space="preserve">equipment. </w:t>
      </w:r>
    </w:p>
    <w:p w14:paraId="0C921710" w14:textId="13261F2B" w:rsidR="002F66FB" w:rsidRPr="002462F0" w:rsidRDefault="002F66FB" w:rsidP="007600D3">
      <w:r>
        <w:t>For medium voltage equipment, all activity data necessary to estimate associated emissions need to be collected.</w:t>
      </w:r>
    </w:p>
    <w:p w14:paraId="47173E8D" w14:textId="075C4F1E" w:rsidR="00947616" w:rsidRDefault="00947616">
      <w:pPr>
        <w:jc w:val="left"/>
        <w:rPr>
          <w:b/>
          <w:color w:val="698EC2"/>
          <w:sz w:val="40"/>
          <w:lang w:eastAsia="fr-FR"/>
        </w:rPr>
      </w:pPr>
      <w:bookmarkStart w:id="575" w:name="_Toc496101054"/>
      <w:r>
        <w:rPr>
          <w:lang w:eastAsia="fr-FR"/>
        </w:rPr>
        <w:br w:type="page"/>
      </w:r>
    </w:p>
    <w:p w14:paraId="1CCA84D4" w14:textId="4D7DF0F4" w:rsidR="00614555" w:rsidRPr="002462F0" w:rsidRDefault="00614555" w:rsidP="00947616">
      <w:pPr>
        <w:pStyle w:val="Title"/>
        <w:spacing w:after="240"/>
        <w:rPr>
          <w:lang w:eastAsia="fr-FR"/>
        </w:rPr>
      </w:pPr>
      <w:bookmarkStart w:id="576" w:name="_Toc182327892"/>
      <w:bookmarkStart w:id="577" w:name="_Toc184808249"/>
      <w:r w:rsidRPr="002462F0">
        <w:rPr>
          <w:lang w:eastAsia="fr-FR"/>
        </w:rPr>
        <w:lastRenderedPageBreak/>
        <w:t>Chapter 5: Agriculture (</w:t>
      </w:r>
      <w:r w:rsidR="000F6001">
        <w:rPr>
          <w:lang w:eastAsia="fr-FR"/>
        </w:rPr>
        <w:t>CRT</w:t>
      </w:r>
      <w:r w:rsidRPr="002462F0">
        <w:rPr>
          <w:lang w:eastAsia="fr-FR"/>
        </w:rPr>
        <w:t xml:space="preserve"> sector 3)</w:t>
      </w:r>
      <w:bookmarkEnd w:id="575"/>
      <w:bookmarkEnd w:id="576"/>
      <w:bookmarkEnd w:id="577"/>
    </w:p>
    <w:p w14:paraId="3332F9E8" w14:textId="77777777" w:rsidR="00EF33CB" w:rsidRPr="00947616" w:rsidRDefault="00EF33CB" w:rsidP="00947616">
      <w:pPr>
        <w:pStyle w:val="ListParagraph"/>
        <w:widowControl w:val="0"/>
        <w:numPr>
          <w:ilvl w:val="0"/>
          <w:numId w:val="1"/>
        </w:numPr>
        <w:spacing w:after="0" w:line="240" w:lineRule="auto"/>
        <w:ind w:left="431" w:hanging="431"/>
        <w:contextualSpacing w:val="0"/>
        <w:outlineLvl w:val="0"/>
        <w:rPr>
          <w:rStyle w:val="Heading2Char"/>
          <w:b w:val="0"/>
          <w:vanish/>
          <w:color w:val="FFFFFF" w:themeColor="background1"/>
        </w:rPr>
      </w:pPr>
      <w:bookmarkStart w:id="578" w:name="_Toc496101405"/>
      <w:bookmarkStart w:id="579" w:name="_Toc496217069"/>
      <w:bookmarkStart w:id="580" w:name="_Toc496269220"/>
      <w:bookmarkStart w:id="581" w:name="_Toc496617725"/>
      <w:bookmarkStart w:id="582" w:name="_Toc496618022"/>
      <w:bookmarkStart w:id="583" w:name="_Toc496627946"/>
      <w:bookmarkStart w:id="584" w:name="_Toc496628331"/>
      <w:bookmarkStart w:id="585" w:name="_Toc496631920"/>
      <w:bookmarkStart w:id="586" w:name="_Toc496687864"/>
      <w:bookmarkStart w:id="587" w:name="_Toc496692142"/>
      <w:bookmarkStart w:id="588" w:name="_Toc496785499"/>
      <w:bookmarkStart w:id="589" w:name="_Toc496786707"/>
      <w:bookmarkStart w:id="590" w:name="_Toc496787437"/>
      <w:bookmarkStart w:id="591" w:name="_Toc496868944"/>
      <w:bookmarkStart w:id="592" w:name="_Toc180742593"/>
      <w:bookmarkStart w:id="593" w:name="_Toc181897488"/>
      <w:bookmarkStart w:id="594" w:name="_Toc182314368"/>
      <w:bookmarkStart w:id="595" w:name="_Toc182315872"/>
      <w:bookmarkStart w:id="596" w:name="_Toc182319176"/>
      <w:bookmarkStart w:id="597" w:name="_Toc182323321"/>
      <w:bookmarkStart w:id="598" w:name="_Toc182324606"/>
      <w:bookmarkStart w:id="599" w:name="_Toc182325844"/>
      <w:bookmarkStart w:id="600" w:name="_Toc182326527"/>
      <w:bookmarkStart w:id="601" w:name="_Toc182327435"/>
      <w:bookmarkStart w:id="602" w:name="_Toc182327893"/>
      <w:bookmarkStart w:id="603" w:name="_Toc183737512"/>
      <w:bookmarkStart w:id="604" w:name="_Toc183738011"/>
      <w:bookmarkStart w:id="605" w:name="_Toc183738255"/>
      <w:bookmarkStart w:id="606" w:name="_Toc183738497"/>
      <w:bookmarkStart w:id="607" w:name="_Toc184804800"/>
      <w:bookmarkStart w:id="608" w:name="_Toc184806350"/>
      <w:bookmarkStart w:id="609" w:name="_Toc184808250"/>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45AA008A" w14:textId="77777777" w:rsidR="007B2433" w:rsidRPr="009C1CF3" w:rsidRDefault="007B2433" w:rsidP="009C1CF3">
      <w:pPr>
        <w:pStyle w:val="Heading2"/>
        <w:rPr>
          <w:rStyle w:val="Heading2Char"/>
          <w:b/>
        </w:rPr>
      </w:pPr>
      <w:bookmarkStart w:id="610" w:name="_Toc495655038"/>
      <w:bookmarkStart w:id="611" w:name="_Toc182327894"/>
      <w:bookmarkStart w:id="612" w:name="_Toc184808251"/>
      <w:r w:rsidRPr="009C1CF3">
        <w:rPr>
          <w:rStyle w:val="Heading2Char"/>
          <w:b/>
        </w:rPr>
        <w:t>Overview of sector</w:t>
      </w:r>
      <w:bookmarkEnd w:id="610"/>
      <w:bookmarkEnd w:id="611"/>
      <w:bookmarkEnd w:id="612"/>
      <w:r w:rsidRPr="009C1CF3">
        <w:rPr>
          <w:rStyle w:val="Heading2Char"/>
          <w:b/>
        </w:rPr>
        <w:t xml:space="preserve"> </w:t>
      </w:r>
    </w:p>
    <w:p w14:paraId="25E37E02" w14:textId="37DC05B1" w:rsidR="007B2433" w:rsidRPr="002462F0" w:rsidRDefault="00254DEC" w:rsidP="009E0457">
      <w:pPr>
        <w:pStyle w:val="BodyText"/>
        <w:rPr>
          <w:lang w:eastAsia="fr-FR"/>
        </w:rPr>
      </w:pPr>
      <w:r>
        <w:rPr>
          <w:lang w:eastAsia="fr-FR"/>
        </w:rPr>
        <w:t>The Agriculture sector gathers all emissions related to agricultural activities other than</w:t>
      </w:r>
      <w:r w:rsidR="007A393D">
        <w:rPr>
          <w:lang w:eastAsia="fr-FR"/>
        </w:rPr>
        <w:t xml:space="preserve"> </w:t>
      </w:r>
      <w:r w:rsidR="00C60EBA">
        <w:rPr>
          <w:lang w:eastAsia="fr-FR"/>
        </w:rPr>
        <w:t xml:space="preserve">the fuel combustion for the </w:t>
      </w:r>
      <w:r w:rsidR="00ED0E95">
        <w:rPr>
          <w:lang w:eastAsia="fr-FR"/>
        </w:rPr>
        <w:t>mobile engines, the heating of the buildings, the heating of greenhouses, etc</w:t>
      </w:r>
      <w:r w:rsidR="00C60EBA">
        <w:rPr>
          <w:lang w:eastAsia="fr-FR"/>
        </w:rPr>
        <w:t>.</w:t>
      </w:r>
      <w:r w:rsidR="00ED0E95">
        <w:rPr>
          <w:lang w:eastAsia="fr-FR"/>
        </w:rPr>
        <w:t>, which are included in the CRT category 1A4c. In addition, the CO</w:t>
      </w:r>
      <w:r w:rsidR="00ED0E95" w:rsidRPr="00622F40">
        <w:rPr>
          <w:vertAlign w:val="subscript"/>
          <w:lang w:eastAsia="fr-FR"/>
        </w:rPr>
        <w:t>2</w:t>
      </w:r>
      <w:r w:rsidR="00ED0E95">
        <w:rPr>
          <w:lang w:eastAsia="fr-FR"/>
        </w:rPr>
        <w:t xml:space="preserve"> emissions related to the </w:t>
      </w:r>
      <w:r w:rsidR="00F545ED">
        <w:rPr>
          <w:lang w:eastAsia="fr-FR"/>
        </w:rPr>
        <w:t>carbon from soils and biomass</w:t>
      </w:r>
      <w:r w:rsidR="004E0CD4">
        <w:rPr>
          <w:lang w:eastAsia="fr-FR"/>
        </w:rPr>
        <w:t xml:space="preserve"> related with agricultural activities are included in the LULUCF sector (CRT 4).</w:t>
      </w:r>
      <w:r>
        <w:rPr>
          <w:lang w:eastAsia="fr-FR"/>
        </w:rPr>
        <w:t xml:space="preserve"> </w:t>
      </w:r>
      <w:r w:rsidR="007B2433" w:rsidRPr="002462F0">
        <w:rPr>
          <w:lang w:eastAsia="fr-FR"/>
        </w:rPr>
        <w:t>This CR</w:t>
      </w:r>
      <w:r w:rsidR="00237CB1">
        <w:rPr>
          <w:lang w:eastAsia="fr-FR"/>
        </w:rPr>
        <w:t>T</w:t>
      </w:r>
      <w:r w:rsidR="007B2433" w:rsidRPr="002462F0">
        <w:rPr>
          <w:lang w:eastAsia="fr-FR"/>
        </w:rPr>
        <w:t xml:space="preserve"> 3 category covers the following sectors:</w:t>
      </w:r>
    </w:p>
    <w:p w14:paraId="2365DE55" w14:textId="77777777" w:rsidR="007B2433" w:rsidRPr="002462F0" w:rsidRDefault="007B2433" w:rsidP="00AB11C1">
      <w:pPr>
        <w:pStyle w:val="BodyText"/>
        <w:numPr>
          <w:ilvl w:val="0"/>
          <w:numId w:val="41"/>
        </w:numPr>
        <w:rPr>
          <w:lang w:eastAsia="fr-FR"/>
        </w:rPr>
      </w:pPr>
      <w:r w:rsidRPr="002462F0">
        <w:rPr>
          <w:lang w:eastAsia="fr-FR"/>
        </w:rPr>
        <w:t>Enteric fermentation (3A),</w:t>
      </w:r>
    </w:p>
    <w:p w14:paraId="160F20EC" w14:textId="77777777" w:rsidR="007B2433" w:rsidRPr="002462F0" w:rsidRDefault="007B2433" w:rsidP="00AB11C1">
      <w:pPr>
        <w:pStyle w:val="BodyText"/>
        <w:numPr>
          <w:ilvl w:val="0"/>
          <w:numId w:val="41"/>
        </w:numPr>
        <w:rPr>
          <w:lang w:eastAsia="fr-FR"/>
        </w:rPr>
      </w:pPr>
      <w:r w:rsidRPr="002462F0">
        <w:rPr>
          <w:lang w:eastAsia="fr-FR"/>
        </w:rPr>
        <w:t>Manure management (3B),</w:t>
      </w:r>
    </w:p>
    <w:p w14:paraId="5D6EC07E" w14:textId="77777777" w:rsidR="007B2433" w:rsidRPr="002462F0" w:rsidRDefault="007B2433" w:rsidP="00AB11C1">
      <w:pPr>
        <w:pStyle w:val="BodyText"/>
        <w:numPr>
          <w:ilvl w:val="0"/>
          <w:numId w:val="41"/>
        </w:numPr>
        <w:rPr>
          <w:lang w:eastAsia="fr-FR"/>
        </w:rPr>
      </w:pPr>
      <w:r w:rsidRPr="002462F0">
        <w:rPr>
          <w:lang w:eastAsia="fr-FR"/>
        </w:rPr>
        <w:t>Agricultural soils (3D),</w:t>
      </w:r>
    </w:p>
    <w:p w14:paraId="7CDB9BE7" w14:textId="751FA4AA" w:rsidR="007B2433" w:rsidRDefault="007B2433" w:rsidP="00AB11C1">
      <w:pPr>
        <w:pStyle w:val="BodyText"/>
        <w:numPr>
          <w:ilvl w:val="0"/>
          <w:numId w:val="41"/>
        </w:numPr>
        <w:rPr>
          <w:lang w:eastAsia="fr-FR"/>
        </w:rPr>
      </w:pPr>
      <w:r w:rsidRPr="002462F0">
        <w:rPr>
          <w:lang w:eastAsia="fr-FR"/>
        </w:rPr>
        <w:t>Field burning of agricultural residues (3F),</w:t>
      </w:r>
    </w:p>
    <w:p w14:paraId="59FCF648" w14:textId="75F2DAE3" w:rsidR="00FF5237" w:rsidRPr="002462F0" w:rsidRDefault="00FF5237" w:rsidP="00AB11C1">
      <w:pPr>
        <w:pStyle w:val="BodyText"/>
        <w:numPr>
          <w:ilvl w:val="0"/>
          <w:numId w:val="41"/>
        </w:numPr>
        <w:rPr>
          <w:lang w:eastAsia="fr-FR"/>
        </w:rPr>
      </w:pPr>
      <w:r>
        <w:rPr>
          <w:lang w:eastAsia="fr-FR"/>
        </w:rPr>
        <w:t>Lime application (3G),</w:t>
      </w:r>
    </w:p>
    <w:p w14:paraId="0FF8EFF9" w14:textId="77777777" w:rsidR="007B2433" w:rsidRPr="002462F0" w:rsidRDefault="007B2433" w:rsidP="00AB11C1">
      <w:pPr>
        <w:pStyle w:val="BodyText"/>
        <w:numPr>
          <w:ilvl w:val="0"/>
          <w:numId w:val="41"/>
        </w:numPr>
        <w:rPr>
          <w:lang w:eastAsia="fr-FR"/>
        </w:rPr>
      </w:pPr>
      <w:r w:rsidRPr="002462F0">
        <w:rPr>
          <w:lang w:eastAsia="fr-FR"/>
        </w:rPr>
        <w:t>Urea application (3H).</w:t>
      </w:r>
    </w:p>
    <w:p w14:paraId="5C1ACB18" w14:textId="3938AD33" w:rsidR="007B2433" w:rsidRDefault="007B2433" w:rsidP="009E0457">
      <w:pPr>
        <w:pStyle w:val="BodyText"/>
        <w:rPr>
          <w:lang w:eastAsia="fr-FR"/>
        </w:rPr>
      </w:pPr>
      <w:r w:rsidRPr="002462F0">
        <w:rPr>
          <w:lang w:eastAsia="fr-FR"/>
        </w:rPr>
        <w:t xml:space="preserve">The </w:t>
      </w:r>
      <w:r w:rsidR="00206EC6">
        <w:rPr>
          <w:lang w:eastAsia="fr-FR"/>
        </w:rPr>
        <w:t xml:space="preserve">activities of </w:t>
      </w:r>
      <w:r w:rsidRPr="002462F0">
        <w:rPr>
          <w:lang w:eastAsia="fr-FR"/>
        </w:rPr>
        <w:t xml:space="preserve">Rice cultivation (3C) and Prescribed burning of savannas (3E) do not occur in </w:t>
      </w:r>
      <w:r w:rsidR="00206EC6">
        <w:rPr>
          <w:lang w:eastAsia="fr-FR"/>
        </w:rPr>
        <w:t xml:space="preserve">the Republic of </w:t>
      </w:r>
      <w:r w:rsidRPr="002462F0">
        <w:rPr>
          <w:lang w:eastAsia="fr-FR"/>
        </w:rPr>
        <w:t>Serbia.</w:t>
      </w:r>
      <w:r w:rsidR="00922D76">
        <w:rPr>
          <w:lang w:eastAsia="fr-FR"/>
        </w:rPr>
        <w:t xml:space="preserve"> The emissions of the liming category (3G) are not estimated (NE), due to a lack of available activity data.</w:t>
      </w:r>
    </w:p>
    <w:p w14:paraId="1236395D" w14:textId="765FAACE" w:rsidR="0032487B" w:rsidRDefault="0032487B" w:rsidP="0032487B">
      <w:pPr>
        <w:pStyle w:val="BodyText"/>
        <w:rPr>
          <w:lang w:eastAsia="fr-FR"/>
        </w:rPr>
      </w:pPr>
      <w:r>
        <w:rPr>
          <w:lang w:eastAsia="fr-FR"/>
        </w:rPr>
        <w:t xml:space="preserve">In 1990, </w:t>
      </w:r>
      <w:r w:rsidR="00905B2C">
        <w:rPr>
          <w:lang w:eastAsia="fr-FR"/>
        </w:rPr>
        <w:t>without considering</w:t>
      </w:r>
      <w:r>
        <w:rPr>
          <w:lang w:eastAsia="fr-FR"/>
        </w:rPr>
        <w:t xml:space="preserve"> the LULUCF contribution, the CRT 3 category contributed to the national total emissions by: </w:t>
      </w:r>
      <w:r w:rsidR="00542402">
        <w:rPr>
          <w:lang w:eastAsia="fr-FR"/>
        </w:rPr>
        <w:t>0.05</w:t>
      </w:r>
      <w:r>
        <w:rPr>
          <w:lang w:eastAsia="fr-FR"/>
        </w:rPr>
        <w:t>% for CO</w:t>
      </w:r>
      <w:r w:rsidRPr="001F0275">
        <w:rPr>
          <w:vertAlign w:val="subscript"/>
          <w:lang w:eastAsia="fr-FR"/>
        </w:rPr>
        <w:t>2</w:t>
      </w:r>
      <w:r>
        <w:rPr>
          <w:lang w:eastAsia="fr-FR"/>
        </w:rPr>
        <w:t xml:space="preserve">, </w:t>
      </w:r>
      <w:r w:rsidR="00151706">
        <w:rPr>
          <w:lang w:eastAsia="fr-FR"/>
        </w:rPr>
        <w:t>40.7</w:t>
      </w:r>
      <w:r>
        <w:rPr>
          <w:lang w:eastAsia="fr-FR"/>
        </w:rPr>
        <w:t>% for CH</w:t>
      </w:r>
      <w:r w:rsidRPr="001F0275">
        <w:rPr>
          <w:vertAlign w:val="subscript"/>
          <w:lang w:eastAsia="fr-FR"/>
        </w:rPr>
        <w:t>4</w:t>
      </w:r>
      <w:r>
        <w:rPr>
          <w:lang w:eastAsia="fr-FR"/>
        </w:rPr>
        <w:t xml:space="preserve">, </w:t>
      </w:r>
      <w:r w:rsidR="008C2A9A">
        <w:rPr>
          <w:lang w:eastAsia="fr-FR"/>
        </w:rPr>
        <w:t>60</w:t>
      </w:r>
      <w:r>
        <w:rPr>
          <w:lang w:eastAsia="fr-FR"/>
        </w:rPr>
        <w:t>.6% for N</w:t>
      </w:r>
      <w:r w:rsidRPr="001F0275">
        <w:rPr>
          <w:vertAlign w:val="subscript"/>
          <w:lang w:eastAsia="fr-FR"/>
        </w:rPr>
        <w:t>2</w:t>
      </w:r>
      <w:r>
        <w:rPr>
          <w:lang w:eastAsia="fr-FR"/>
        </w:rPr>
        <w:t>O,</w:t>
      </w:r>
      <w:r w:rsidR="00B2686F">
        <w:rPr>
          <w:lang w:eastAsia="fr-FR"/>
        </w:rPr>
        <w:t xml:space="preserve"> and null for the other GHGs, which represented around</w:t>
      </w:r>
      <w:r>
        <w:rPr>
          <w:lang w:eastAsia="fr-FR"/>
        </w:rPr>
        <w:t xml:space="preserve"> </w:t>
      </w:r>
      <w:r w:rsidR="00B2686F">
        <w:rPr>
          <w:lang w:eastAsia="fr-FR"/>
        </w:rPr>
        <w:t>7.9</w:t>
      </w:r>
      <w:r>
        <w:rPr>
          <w:lang w:eastAsia="fr-FR"/>
        </w:rPr>
        <w:t>% in terms of GHG emissions.</w:t>
      </w:r>
      <w:r w:rsidR="00C9046D">
        <w:rPr>
          <w:lang w:eastAsia="fr-FR"/>
        </w:rPr>
        <w:t xml:space="preserve"> </w:t>
      </w:r>
      <w:r>
        <w:rPr>
          <w:lang w:eastAsia="fr-FR"/>
        </w:rPr>
        <w:t xml:space="preserve">In 2022, the same contributions evolved as follows: </w:t>
      </w:r>
      <w:r w:rsidR="00151706">
        <w:rPr>
          <w:lang w:eastAsia="fr-FR"/>
        </w:rPr>
        <w:t>0.4</w:t>
      </w:r>
      <w:r>
        <w:rPr>
          <w:lang w:eastAsia="fr-FR"/>
        </w:rPr>
        <w:t>% for CO</w:t>
      </w:r>
      <w:r w:rsidRPr="006374AD">
        <w:rPr>
          <w:vertAlign w:val="subscript"/>
          <w:lang w:eastAsia="fr-FR"/>
        </w:rPr>
        <w:t>2</w:t>
      </w:r>
      <w:r>
        <w:rPr>
          <w:lang w:eastAsia="fr-FR"/>
        </w:rPr>
        <w:t xml:space="preserve">, </w:t>
      </w:r>
      <w:r w:rsidR="002D4640">
        <w:rPr>
          <w:lang w:eastAsia="fr-FR"/>
        </w:rPr>
        <w:t>32.9</w:t>
      </w:r>
      <w:r>
        <w:rPr>
          <w:lang w:eastAsia="fr-FR"/>
        </w:rPr>
        <w:t>% for CH</w:t>
      </w:r>
      <w:r w:rsidRPr="006374AD">
        <w:rPr>
          <w:vertAlign w:val="subscript"/>
          <w:lang w:eastAsia="fr-FR"/>
        </w:rPr>
        <w:t>4</w:t>
      </w:r>
      <w:r>
        <w:rPr>
          <w:lang w:eastAsia="fr-FR"/>
        </w:rPr>
        <w:t xml:space="preserve">, </w:t>
      </w:r>
      <w:r w:rsidR="00B2686F">
        <w:rPr>
          <w:lang w:eastAsia="fr-FR"/>
        </w:rPr>
        <w:t>81.6</w:t>
      </w:r>
      <w:r>
        <w:rPr>
          <w:lang w:eastAsia="fr-FR"/>
        </w:rPr>
        <w:t>% for N</w:t>
      </w:r>
      <w:r w:rsidRPr="006374AD">
        <w:rPr>
          <w:vertAlign w:val="subscript"/>
          <w:lang w:eastAsia="fr-FR"/>
        </w:rPr>
        <w:t>2</w:t>
      </w:r>
      <w:r>
        <w:rPr>
          <w:lang w:eastAsia="fr-FR"/>
        </w:rPr>
        <w:t xml:space="preserve">O, </w:t>
      </w:r>
      <w:r w:rsidR="00B2686F">
        <w:rPr>
          <w:lang w:eastAsia="fr-FR"/>
        </w:rPr>
        <w:t>none for the other GHGs,</w:t>
      </w:r>
      <w:r>
        <w:rPr>
          <w:lang w:eastAsia="fr-FR"/>
        </w:rPr>
        <w:t xml:space="preserve"> </w:t>
      </w:r>
      <w:r w:rsidR="003D3C1A">
        <w:rPr>
          <w:lang w:eastAsia="fr-FR"/>
        </w:rPr>
        <w:t>leading to a rather similar overall contribution</w:t>
      </w:r>
      <w:r>
        <w:rPr>
          <w:lang w:eastAsia="fr-FR"/>
        </w:rPr>
        <w:t xml:space="preserve"> in terms of GHG </w:t>
      </w:r>
      <w:r w:rsidR="003D3C1A">
        <w:rPr>
          <w:lang w:eastAsia="fr-FR"/>
        </w:rPr>
        <w:t xml:space="preserve">with 7.8% of the national </w:t>
      </w:r>
      <w:r>
        <w:rPr>
          <w:lang w:eastAsia="fr-FR"/>
        </w:rPr>
        <w:t>emissions.</w:t>
      </w:r>
      <w:r w:rsidR="009E03C0">
        <w:rPr>
          <w:lang w:eastAsia="fr-FR"/>
        </w:rPr>
        <w:t xml:space="preserve"> </w:t>
      </w:r>
    </w:p>
    <w:p w14:paraId="7727C641" w14:textId="469200C0" w:rsidR="004F26EF" w:rsidRDefault="004F26EF" w:rsidP="0032487B">
      <w:pPr>
        <w:pStyle w:val="BodyText"/>
        <w:rPr>
          <w:lang w:eastAsia="fr-FR"/>
        </w:rPr>
      </w:pPr>
      <w:r>
        <w:rPr>
          <w:lang w:eastAsia="fr-FR"/>
        </w:rPr>
        <w:t>Hence, the agriculture sector is a</w:t>
      </w:r>
      <w:r w:rsidR="00D70F90">
        <w:rPr>
          <w:lang w:eastAsia="fr-FR"/>
        </w:rPr>
        <w:t>n important emissions source of methane and nitrous oxide</w:t>
      </w:r>
      <w:r w:rsidR="00D03C89">
        <w:rPr>
          <w:lang w:eastAsia="fr-FR"/>
        </w:rPr>
        <w:t xml:space="preserve"> in the Republic of Serbia</w:t>
      </w:r>
      <w:r w:rsidR="00D70F90">
        <w:rPr>
          <w:lang w:eastAsia="fr-FR"/>
        </w:rPr>
        <w:t>, however</w:t>
      </w:r>
      <w:r w:rsidR="00D03C89">
        <w:rPr>
          <w:lang w:eastAsia="fr-FR"/>
        </w:rPr>
        <w:t xml:space="preserve"> it</w:t>
      </w:r>
      <w:r w:rsidR="00D70F90">
        <w:rPr>
          <w:lang w:eastAsia="fr-FR"/>
        </w:rPr>
        <w:t xml:space="preserve"> is almost negligible </w:t>
      </w:r>
      <w:r w:rsidR="00D03C89">
        <w:rPr>
          <w:lang w:eastAsia="fr-FR"/>
        </w:rPr>
        <w:t>in terms of carbon dioxide, with only the application of urea (CRT 3G) being an emission source of this GHG.</w:t>
      </w:r>
    </w:p>
    <w:p w14:paraId="45436C57" w14:textId="4893C651" w:rsidR="0032487B" w:rsidRPr="002462F0" w:rsidRDefault="0032487B" w:rsidP="0032487B">
      <w:pPr>
        <w:pStyle w:val="BodyText"/>
        <w:rPr>
          <w:lang w:eastAsia="fr-FR"/>
        </w:rPr>
      </w:pPr>
      <w:r>
        <w:rPr>
          <w:lang w:eastAsia="fr-FR"/>
        </w:rPr>
        <w:t xml:space="preserve">The following graph presents the </w:t>
      </w:r>
      <w:r w:rsidR="00542402">
        <w:rPr>
          <w:lang w:eastAsia="fr-FR"/>
        </w:rPr>
        <w:t xml:space="preserve">overall </w:t>
      </w:r>
      <w:r>
        <w:rPr>
          <w:lang w:eastAsia="fr-FR"/>
        </w:rPr>
        <w:t xml:space="preserve">GHG emission </w:t>
      </w:r>
      <w:r w:rsidR="00542402">
        <w:rPr>
          <w:lang w:eastAsia="fr-FR"/>
        </w:rPr>
        <w:t>trend</w:t>
      </w:r>
      <w:r>
        <w:rPr>
          <w:lang w:eastAsia="fr-FR"/>
        </w:rPr>
        <w:t xml:space="preserve"> for the </w:t>
      </w:r>
      <w:r w:rsidR="00542402">
        <w:rPr>
          <w:lang w:eastAsia="fr-FR"/>
        </w:rPr>
        <w:t>agriculture</w:t>
      </w:r>
      <w:r>
        <w:rPr>
          <w:lang w:eastAsia="fr-FR"/>
        </w:rPr>
        <w:t xml:space="preserve"> in the Republic of Serbia, for the period 1990-2022, </w:t>
      </w:r>
      <w:r w:rsidR="00542402">
        <w:rPr>
          <w:lang w:eastAsia="fr-FR"/>
        </w:rPr>
        <w:t>detailed by subsector</w:t>
      </w:r>
      <w:r>
        <w:rPr>
          <w:lang w:eastAsia="fr-FR"/>
        </w:rPr>
        <w:t xml:space="preserve">. </w:t>
      </w:r>
    </w:p>
    <w:p w14:paraId="0BD73055" w14:textId="77777777" w:rsidR="009506E0" w:rsidRDefault="009506E0">
      <w:pPr>
        <w:jc w:val="left"/>
        <w:rPr>
          <w:b/>
          <w:bCs/>
          <w:color w:val="4F81BD" w:themeColor="accent1"/>
          <w:sz w:val="18"/>
          <w:szCs w:val="18"/>
        </w:rPr>
      </w:pPr>
      <w:r>
        <w:br w:type="page"/>
      </w:r>
    </w:p>
    <w:p w14:paraId="6F7166CC" w14:textId="50F3BE56" w:rsidR="007B2433" w:rsidRPr="002462F0" w:rsidRDefault="00955976" w:rsidP="00607DEB">
      <w:pPr>
        <w:spacing w:after="0" w:line="240" w:lineRule="auto"/>
      </w:pPr>
      <w:r>
        <w:rPr>
          <w:noProof/>
          <w:lang w:val="en-US"/>
        </w:rPr>
        <w:lastRenderedPageBreak/>
        <w:drawing>
          <wp:inline distT="0" distB="0" distL="0" distR="0" wp14:anchorId="148E7ADD" wp14:editId="694D228F">
            <wp:extent cx="5760000" cy="3481602"/>
            <wp:effectExtent l="0" t="0" r="0" b="5080"/>
            <wp:docPr id="1218125115"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00" cy="3481602"/>
                    </a:xfrm>
                    <a:prstGeom prst="rect">
                      <a:avLst/>
                    </a:prstGeom>
                    <a:noFill/>
                  </pic:spPr>
                </pic:pic>
              </a:graphicData>
            </a:graphic>
          </wp:inline>
        </w:drawing>
      </w:r>
    </w:p>
    <w:p w14:paraId="08AAF3AA" w14:textId="77777777" w:rsidR="00607DEB" w:rsidRPr="002462F0" w:rsidRDefault="00607DEB" w:rsidP="00607DEB">
      <w:pPr>
        <w:pStyle w:val="Caption"/>
        <w:spacing w:before="0" w:after="0"/>
        <w:jc w:val="left"/>
      </w:pPr>
      <w:bookmarkStart w:id="613" w:name="_Toc184808465"/>
      <w:r w:rsidRPr="00622F40">
        <w:t xml:space="preserve">Figure </w:t>
      </w:r>
      <w:r w:rsidRPr="00622F40">
        <w:fldChar w:fldCharType="begin"/>
      </w:r>
      <w:r w:rsidRPr="00622F40">
        <w:instrText xml:space="preserve"> SEQ Figure \* ARABIC </w:instrText>
      </w:r>
      <w:r w:rsidRPr="00622F40">
        <w:fldChar w:fldCharType="separate"/>
      </w:r>
      <w:r>
        <w:rPr>
          <w:noProof/>
        </w:rPr>
        <w:t>78</w:t>
      </w:r>
      <w:r w:rsidRPr="00622F40">
        <w:fldChar w:fldCharType="end"/>
      </w:r>
      <w:r w:rsidRPr="00622F40">
        <w:t>: GHG emission trends for agriculture</w:t>
      </w:r>
      <w:r>
        <w:t xml:space="preserve"> (CRT 3), for the period 1990-2022, per subcategory</w:t>
      </w:r>
      <w:r w:rsidRPr="00622F40">
        <w:t xml:space="preserve"> (</w:t>
      </w:r>
      <w:r>
        <w:t xml:space="preserve">in </w:t>
      </w:r>
      <w:r w:rsidRPr="00622F40">
        <w:t>kt CO</w:t>
      </w:r>
      <w:r w:rsidRPr="00622F40">
        <w:rPr>
          <w:vertAlign w:val="subscript"/>
        </w:rPr>
        <w:t>2</w:t>
      </w:r>
      <w:r w:rsidRPr="00622F40">
        <w:t>e)</w:t>
      </w:r>
      <w:bookmarkEnd w:id="613"/>
    </w:p>
    <w:p w14:paraId="427E7713" w14:textId="77777777" w:rsidR="00607DEB" w:rsidRDefault="00607DEB" w:rsidP="009E0457">
      <w:pPr>
        <w:pStyle w:val="BodyText"/>
        <w:rPr>
          <w:lang w:eastAsia="fr-FR"/>
        </w:rPr>
      </w:pPr>
    </w:p>
    <w:p w14:paraId="6C81A63B" w14:textId="0EA08D0F" w:rsidR="007B2433" w:rsidRPr="002462F0" w:rsidRDefault="003D3C1A" w:rsidP="009E0457">
      <w:pPr>
        <w:pStyle w:val="BodyText"/>
        <w:rPr>
          <w:lang w:eastAsia="fr-FR"/>
        </w:rPr>
      </w:pPr>
      <w:r>
        <w:rPr>
          <w:lang w:eastAsia="fr-FR"/>
        </w:rPr>
        <w:t xml:space="preserve">Contrary to the CRT 1 or CRT 2, the </w:t>
      </w:r>
      <w:r w:rsidR="0000795F">
        <w:rPr>
          <w:lang w:eastAsia="fr-FR"/>
        </w:rPr>
        <w:t xml:space="preserve">trend of emissions of the CRT 3 is rather </w:t>
      </w:r>
      <w:r w:rsidR="007D2347">
        <w:rPr>
          <w:lang w:eastAsia="fr-FR"/>
        </w:rPr>
        <w:t xml:space="preserve">stable and the different events which occurred in the Republic of Serbia over the studied period did not have </w:t>
      </w:r>
      <w:r w:rsidR="006C2942">
        <w:rPr>
          <w:lang w:eastAsia="fr-FR"/>
        </w:rPr>
        <w:t>as much impact on the emissions as it is the case for the two other sectors.</w:t>
      </w:r>
      <w:r w:rsidR="00B47056">
        <w:rPr>
          <w:lang w:eastAsia="fr-FR"/>
        </w:rPr>
        <w:t xml:space="preserve"> </w:t>
      </w:r>
      <w:r w:rsidR="00115086">
        <w:rPr>
          <w:lang w:eastAsia="fr-FR"/>
        </w:rPr>
        <w:t xml:space="preserve">Over the whole studied period, it can be observed that the emissions of both </w:t>
      </w:r>
      <w:r w:rsidR="00655B68">
        <w:rPr>
          <w:lang w:eastAsia="fr-FR"/>
        </w:rPr>
        <w:t>the enteric fermentation (3A) and manure management (3B)</w:t>
      </w:r>
      <w:r w:rsidR="00785058">
        <w:rPr>
          <w:lang w:eastAsia="fr-FR"/>
        </w:rPr>
        <w:t xml:space="preserve"> progressively </w:t>
      </w:r>
      <w:r w:rsidR="001E36BA">
        <w:rPr>
          <w:lang w:eastAsia="fr-FR"/>
        </w:rPr>
        <w:t>decrease</w:t>
      </w:r>
      <w:r w:rsidR="00353B83">
        <w:rPr>
          <w:lang w:eastAsia="fr-FR"/>
        </w:rPr>
        <w:t xml:space="preserve">, </w:t>
      </w:r>
      <w:r w:rsidR="00F66247">
        <w:rPr>
          <w:lang w:eastAsia="fr-FR"/>
        </w:rPr>
        <w:t>to achieve respectively -</w:t>
      </w:r>
      <w:r w:rsidR="00E75488">
        <w:rPr>
          <w:lang w:eastAsia="fr-FR"/>
        </w:rPr>
        <w:t> </w:t>
      </w:r>
      <w:r w:rsidR="00F66247">
        <w:rPr>
          <w:lang w:eastAsia="fr-FR"/>
        </w:rPr>
        <w:t xml:space="preserve">44% and -42% in 2022, </w:t>
      </w:r>
      <w:r w:rsidR="00F70823">
        <w:rPr>
          <w:lang w:eastAsia="fr-FR"/>
        </w:rPr>
        <w:t xml:space="preserve">compared with 1990, </w:t>
      </w:r>
      <w:r w:rsidR="00353B83">
        <w:rPr>
          <w:lang w:eastAsia="fr-FR"/>
        </w:rPr>
        <w:t>in relation with the</w:t>
      </w:r>
      <w:r w:rsidR="001E36BA">
        <w:rPr>
          <w:lang w:eastAsia="fr-FR"/>
        </w:rPr>
        <w:t xml:space="preserve"> decline of the livestock, </w:t>
      </w:r>
      <w:r w:rsidR="00C9023F">
        <w:rPr>
          <w:lang w:eastAsia="fr-FR"/>
        </w:rPr>
        <w:t>especially</w:t>
      </w:r>
      <w:r w:rsidR="001E36BA">
        <w:rPr>
          <w:lang w:eastAsia="fr-FR"/>
        </w:rPr>
        <w:t xml:space="preserve"> </w:t>
      </w:r>
      <w:r w:rsidR="00F70823">
        <w:rPr>
          <w:lang w:eastAsia="fr-FR"/>
        </w:rPr>
        <w:t xml:space="preserve">of </w:t>
      </w:r>
      <w:r w:rsidR="001E36BA">
        <w:rPr>
          <w:lang w:eastAsia="fr-FR"/>
        </w:rPr>
        <w:t>cattle</w:t>
      </w:r>
      <w:r w:rsidR="00464B1A">
        <w:rPr>
          <w:lang w:eastAsia="fr-FR"/>
        </w:rPr>
        <w:t xml:space="preserve"> and swine</w:t>
      </w:r>
      <w:r w:rsidR="00F70823">
        <w:rPr>
          <w:lang w:eastAsia="fr-FR"/>
        </w:rPr>
        <w:t xml:space="preserve">. </w:t>
      </w:r>
      <w:r w:rsidR="0021117B">
        <w:rPr>
          <w:lang w:eastAsia="fr-FR"/>
        </w:rPr>
        <w:t xml:space="preserve">The emissions related to the agricultural soils </w:t>
      </w:r>
      <w:r w:rsidR="0082789C">
        <w:rPr>
          <w:lang w:eastAsia="fr-FR"/>
        </w:rPr>
        <w:t xml:space="preserve">(3D) </w:t>
      </w:r>
      <w:r w:rsidR="00820C95">
        <w:rPr>
          <w:lang w:eastAsia="fr-FR"/>
        </w:rPr>
        <w:t xml:space="preserve">are more varying </w:t>
      </w:r>
      <w:r w:rsidR="00BC1A24">
        <w:rPr>
          <w:lang w:eastAsia="fr-FR"/>
        </w:rPr>
        <w:t>over the studied period</w:t>
      </w:r>
      <w:r w:rsidR="00B46460">
        <w:rPr>
          <w:lang w:eastAsia="fr-FR"/>
        </w:rPr>
        <w:t>, increased a lot between 2004 and 2009</w:t>
      </w:r>
      <w:r w:rsidR="00940331">
        <w:rPr>
          <w:lang w:eastAsia="fr-FR"/>
        </w:rPr>
        <w:t xml:space="preserve"> and reached its peak</w:t>
      </w:r>
      <w:r w:rsidR="00B46460">
        <w:rPr>
          <w:lang w:eastAsia="fr-FR"/>
        </w:rPr>
        <w:t xml:space="preserve">, </w:t>
      </w:r>
      <w:r w:rsidR="00940331">
        <w:rPr>
          <w:lang w:eastAsia="fr-FR"/>
        </w:rPr>
        <w:t xml:space="preserve">due to </w:t>
      </w:r>
      <w:r w:rsidR="00C47898">
        <w:rPr>
          <w:lang w:eastAsia="fr-FR"/>
        </w:rPr>
        <w:t>the increasing use of inorganic N-fertili</w:t>
      </w:r>
      <w:r w:rsidR="00BB2183">
        <w:rPr>
          <w:lang w:eastAsia="fr-FR"/>
        </w:rPr>
        <w:t>s</w:t>
      </w:r>
      <w:r w:rsidR="00C47898">
        <w:rPr>
          <w:lang w:eastAsia="fr-FR"/>
        </w:rPr>
        <w:t>ers</w:t>
      </w:r>
      <w:r w:rsidR="000F5F05">
        <w:rPr>
          <w:lang w:eastAsia="fr-FR"/>
        </w:rPr>
        <w:t xml:space="preserve">, </w:t>
      </w:r>
      <w:r w:rsidR="00940331">
        <w:rPr>
          <w:lang w:eastAsia="fr-FR"/>
        </w:rPr>
        <w:t xml:space="preserve">and decreased </w:t>
      </w:r>
      <w:r w:rsidR="00CF6A0D">
        <w:rPr>
          <w:lang w:eastAsia="fr-FR"/>
        </w:rPr>
        <w:t xml:space="preserve">significatively </w:t>
      </w:r>
      <w:r w:rsidR="008A2846">
        <w:rPr>
          <w:lang w:eastAsia="fr-FR"/>
        </w:rPr>
        <w:t>between 2016 and 2022 in relation with the same activity</w:t>
      </w:r>
      <w:r w:rsidR="009E4BD8">
        <w:rPr>
          <w:lang w:eastAsia="fr-FR"/>
        </w:rPr>
        <w:t>.</w:t>
      </w:r>
      <w:r w:rsidR="008A2846">
        <w:rPr>
          <w:lang w:eastAsia="fr-FR"/>
        </w:rPr>
        <w:t xml:space="preserve"> In overall, the e</w:t>
      </w:r>
      <w:r w:rsidR="009E114A">
        <w:rPr>
          <w:lang w:eastAsia="fr-FR"/>
        </w:rPr>
        <w:t>missions of N</w:t>
      </w:r>
      <w:r w:rsidR="009E114A" w:rsidRPr="00622F40">
        <w:rPr>
          <w:vertAlign w:val="subscript"/>
          <w:lang w:eastAsia="fr-FR"/>
        </w:rPr>
        <w:t>2</w:t>
      </w:r>
      <w:r w:rsidR="009E114A">
        <w:rPr>
          <w:lang w:eastAsia="fr-FR"/>
        </w:rPr>
        <w:t>O of this subsector increased by 71% for the period 1990-2022.</w:t>
      </w:r>
      <w:r w:rsidR="00EE0EE3">
        <w:rPr>
          <w:lang w:eastAsia="fr-FR"/>
        </w:rPr>
        <w:t xml:space="preserve"> Finally, the emissions related to the field burning (3F) are rather stable over the timeseries</w:t>
      </w:r>
      <w:r w:rsidR="00DB6A60">
        <w:rPr>
          <w:lang w:eastAsia="fr-FR"/>
        </w:rPr>
        <w:t xml:space="preserve"> (-7%) and the emissions of </w:t>
      </w:r>
      <w:r w:rsidR="0073520F">
        <w:rPr>
          <w:lang w:eastAsia="fr-FR"/>
        </w:rPr>
        <w:t>u</w:t>
      </w:r>
      <w:r w:rsidR="00DB6A60">
        <w:rPr>
          <w:lang w:eastAsia="fr-FR"/>
        </w:rPr>
        <w:t>rea application (</w:t>
      </w:r>
      <w:r w:rsidR="00557781">
        <w:rPr>
          <w:lang w:eastAsia="fr-FR"/>
        </w:rPr>
        <w:t>3H) are varying but overall increasing significantly (+574%)</w:t>
      </w:r>
      <w:r w:rsidR="00E12CC1">
        <w:rPr>
          <w:lang w:eastAsia="fr-FR"/>
        </w:rPr>
        <w:t xml:space="preserve"> over the period 1990-2022</w:t>
      </w:r>
      <w:r w:rsidR="005C092E">
        <w:rPr>
          <w:lang w:eastAsia="fr-FR"/>
        </w:rPr>
        <w:t>.</w:t>
      </w:r>
      <w:r w:rsidR="00557781">
        <w:rPr>
          <w:lang w:eastAsia="fr-FR"/>
        </w:rPr>
        <w:t xml:space="preserve"> </w:t>
      </w:r>
      <w:r w:rsidR="005C092E">
        <w:rPr>
          <w:lang w:eastAsia="fr-FR"/>
        </w:rPr>
        <w:t>B</w:t>
      </w:r>
      <w:r w:rsidR="00557781">
        <w:rPr>
          <w:lang w:eastAsia="fr-FR"/>
        </w:rPr>
        <w:t xml:space="preserve">oth </w:t>
      </w:r>
      <w:r w:rsidR="005C092E">
        <w:rPr>
          <w:lang w:eastAsia="fr-FR"/>
        </w:rPr>
        <w:t xml:space="preserve">these </w:t>
      </w:r>
      <w:r w:rsidR="00557781">
        <w:rPr>
          <w:lang w:eastAsia="fr-FR"/>
        </w:rPr>
        <w:t xml:space="preserve">subsectors are rather marginal </w:t>
      </w:r>
      <w:r w:rsidR="00C449FF">
        <w:rPr>
          <w:lang w:eastAsia="fr-FR"/>
        </w:rPr>
        <w:t>in the agriculture total emissions</w:t>
      </w:r>
      <w:r w:rsidR="005C092E">
        <w:rPr>
          <w:lang w:eastAsia="fr-FR"/>
        </w:rPr>
        <w:t>, contributing</w:t>
      </w:r>
      <w:r w:rsidR="00C449FF">
        <w:rPr>
          <w:lang w:eastAsia="fr-FR"/>
        </w:rPr>
        <w:t xml:space="preserve"> </w:t>
      </w:r>
      <w:r w:rsidR="005C092E">
        <w:rPr>
          <w:lang w:eastAsia="fr-FR"/>
        </w:rPr>
        <w:t xml:space="preserve">to 2% and 4%, respectively, in 2022. </w:t>
      </w:r>
      <w:r w:rsidR="003B4837">
        <w:rPr>
          <w:lang w:eastAsia="fr-FR"/>
        </w:rPr>
        <w:t xml:space="preserve">The main subsector contributing to the sector </w:t>
      </w:r>
      <w:r w:rsidR="00D71036">
        <w:rPr>
          <w:lang w:eastAsia="fr-FR"/>
        </w:rPr>
        <w:t xml:space="preserve">emissions is the category CRT 3A, which </w:t>
      </w:r>
      <w:r w:rsidR="00CD10F7">
        <w:rPr>
          <w:lang w:eastAsia="fr-FR"/>
        </w:rPr>
        <w:t xml:space="preserve">represented </w:t>
      </w:r>
      <w:r w:rsidR="00D71036">
        <w:rPr>
          <w:lang w:eastAsia="fr-FR"/>
        </w:rPr>
        <w:t xml:space="preserve">63% in 1990 but has a share of 47% in 2022. </w:t>
      </w:r>
      <w:r w:rsidR="00B86F6E">
        <w:rPr>
          <w:lang w:eastAsia="fr-FR"/>
        </w:rPr>
        <w:t xml:space="preserve">The subsector of the manure management (CRT 3B), which was the second highest contributing sector in 1990 with </w:t>
      </w:r>
      <w:r w:rsidR="000C3D45">
        <w:rPr>
          <w:lang w:eastAsia="fr-FR"/>
        </w:rPr>
        <w:t>23% has now being overpassed by the N</w:t>
      </w:r>
      <w:r w:rsidR="000C3D45" w:rsidRPr="00622F40">
        <w:rPr>
          <w:vertAlign w:val="subscript"/>
          <w:lang w:eastAsia="fr-FR"/>
        </w:rPr>
        <w:t>2</w:t>
      </w:r>
      <w:r w:rsidR="000C3D45">
        <w:rPr>
          <w:lang w:eastAsia="fr-FR"/>
        </w:rPr>
        <w:t>O emissions from agricultural soils (3D), which represent 29% of the share in 2022</w:t>
      </w:r>
      <w:r w:rsidR="00132E02">
        <w:rPr>
          <w:lang w:eastAsia="fr-FR"/>
        </w:rPr>
        <w:t xml:space="preserve"> (versus 18% for the CRT 3B)</w:t>
      </w:r>
      <w:r w:rsidR="000C3D45">
        <w:rPr>
          <w:lang w:eastAsia="fr-FR"/>
        </w:rPr>
        <w:t xml:space="preserve">, whereas it was </w:t>
      </w:r>
      <w:r w:rsidR="00132E02">
        <w:rPr>
          <w:lang w:eastAsia="fr-FR"/>
        </w:rPr>
        <w:t>contributing only</w:t>
      </w:r>
      <w:r w:rsidR="001F6664">
        <w:rPr>
          <w:lang w:eastAsia="fr-FR"/>
        </w:rPr>
        <w:t xml:space="preserve"> to</w:t>
      </w:r>
      <w:r w:rsidR="00132E02">
        <w:rPr>
          <w:lang w:eastAsia="fr-FR"/>
        </w:rPr>
        <w:t xml:space="preserve"> 13% in 1990.</w:t>
      </w:r>
    </w:p>
    <w:p w14:paraId="5539A0E0" w14:textId="5F712132" w:rsidR="00DA572D" w:rsidRDefault="007B2433" w:rsidP="007759DA">
      <w:pPr>
        <w:pStyle w:val="BodyText"/>
        <w:rPr>
          <w:rStyle w:val="Heading2Char"/>
          <w:b w:val="0"/>
        </w:rPr>
      </w:pPr>
      <w:r w:rsidRPr="002462F0">
        <w:rPr>
          <w:lang w:eastAsia="fr-FR"/>
        </w:rPr>
        <w:t xml:space="preserve">In </w:t>
      </w:r>
      <w:r w:rsidR="00BA5D70">
        <w:rPr>
          <w:lang w:eastAsia="fr-FR"/>
        </w:rPr>
        <w:t xml:space="preserve">overall, in </w:t>
      </w:r>
      <w:r w:rsidRPr="002462F0">
        <w:rPr>
          <w:lang w:eastAsia="fr-FR"/>
        </w:rPr>
        <w:t>20</w:t>
      </w:r>
      <w:r w:rsidR="001F6664">
        <w:rPr>
          <w:lang w:eastAsia="fr-FR"/>
        </w:rPr>
        <w:t>22</w:t>
      </w:r>
      <w:r w:rsidRPr="002462F0">
        <w:rPr>
          <w:lang w:eastAsia="fr-FR"/>
        </w:rPr>
        <w:t xml:space="preserve">, GHG emissions from </w:t>
      </w:r>
      <w:r w:rsidR="00FF5237">
        <w:rPr>
          <w:lang w:eastAsia="fr-FR"/>
        </w:rPr>
        <w:t>CR</w:t>
      </w:r>
      <w:r w:rsidR="00D66856">
        <w:rPr>
          <w:lang w:eastAsia="fr-FR"/>
        </w:rPr>
        <w:t>T</w:t>
      </w:r>
      <w:r w:rsidRPr="002462F0">
        <w:rPr>
          <w:lang w:eastAsia="fr-FR"/>
        </w:rPr>
        <w:t xml:space="preserve"> 3 amounted to </w:t>
      </w:r>
      <w:r w:rsidR="008F02C1">
        <w:rPr>
          <w:lang w:eastAsia="fr-FR"/>
        </w:rPr>
        <w:t>4.9 Mt</w:t>
      </w:r>
      <w:r w:rsidRPr="002462F0">
        <w:rPr>
          <w:lang w:eastAsia="fr-FR"/>
        </w:rPr>
        <w:t xml:space="preserve"> CO</w:t>
      </w:r>
      <w:r w:rsidRPr="002462F0">
        <w:rPr>
          <w:vertAlign w:val="subscript"/>
          <w:lang w:eastAsia="fr-FR"/>
        </w:rPr>
        <w:t>2</w:t>
      </w:r>
      <w:r w:rsidRPr="002462F0">
        <w:rPr>
          <w:lang w:eastAsia="fr-FR"/>
        </w:rPr>
        <w:t xml:space="preserve">e, compared to </w:t>
      </w:r>
      <w:r w:rsidR="008F02C1">
        <w:rPr>
          <w:lang w:eastAsia="fr-FR"/>
        </w:rPr>
        <w:t>6.5</w:t>
      </w:r>
      <w:r w:rsidRPr="002462F0">
        <w:rPr>
          <w:lang w:eastAsia="fr-FR"/>
        </w:rPr>
        <w:t xml:space="preserve"> </w:t>
      </w:r>
      <w:r w:rsidR="008F02C1">
        <w:rPr>
          <w:lang w:eastAsia="fr-FR"/>
        </w:rPr>
        <w:t>M</w:t>
      </w:r>
      <w:r w:rsidRPr="002462F0">
        <w:rPr>
          <w:lang w:eastAsia="fr-FR"/>
        </w:rPr>
        <w:t>t CO</w:t>
      </w:r>
      <w:r w:rsidRPr="002462F0">
        <w:rPr>
          <w:vertAlign w:val="subscript"/>
          <w:lang w:eastAsia="fr-FR"/>
        </w:rPr>
        <w:t>2</w:t>
      </w:r>
      <w:r w:rsidRPr="002462F0">
        <w:rPr>
          <w:lang w:eastAsia="fr-FR"/>
        </w:rPr>
        <w:t>e in 1990</w:t>
      </w:r>
      <w:r w:rsidR="00BA5D70">
        <w:rPr>
          <w:lang w:eastAsia="fr-FR"/>
        </w:rPr>
        <w:t xml:space="preserve">, which </w:t>
      </w:r>
      <w:r w:rsidR="00BA0DAF">
        <w:rPr>
          <w:lang w:eastAsia="fr-FR"/>
        </w:rPr>
        <w:t>correspond to</w:t>
      </w:r>
      <w:r w:rsidR="00E81A99">
        <w:rPr>
          <w:lang w:eastAsia="fr-FR"/>
        </w:rPr>
        <w:t xml:space="preserve"> a 25% reduction for the whole period</w:t>
      </w:r>
      <w:r w:rsidR="00FF5237">
        <w:rPr>
          <w:lang w:eastAsia="fr-FR"/>
        </w:rPr>
        <w:t xml:space="preserve">. </w:t>
      </w:r>
      <w:r w:rsidRPr="002462F0">
        <w:rPr>
          <w:lang w:eastAsia="fr-FR"/>
        </w:rPr>
        <w:t xml:space="preserve">GHG emissions </w:t>
      </w:r>
      <w:r w:rsidR="00FF5237">
        <w:rPr>
          <w:lang w:eastAsia="fr-FR"/>
        </w:rPr>
        <w:t xml:space="preserve">have </w:t>
      </w:r>
      <w:r w:rsidRPr="002462F0">
        <w:rPr>
          <w:lang w:eastAsia="fr-FR"/>
        </w:rPr>
        <w:t>decrease</w:t>
      </w:r>
      <w:r w:rsidR="00FF5237">
        <w:rPr>
          <w:lang w:eastAsia="fr-FR"/>
        </w:rPr>
        <w:t>d over the</w:t>
      </w:r>
      <w:r w:rsidRPr="002462F0">
        <w:rPr>
          <w:lang w:eastAsia="fr-FR"/>
        </w:rPr>
        <w:t xml:space="preserve"> reporting period</w:t>
      </w:r>
      <w:r w:rsidR="007F65C6">
        <w:rPr>
          <w:lang w:eastAsia="fr-FR"/>
        </w:rPr>
        <w:t>,</w:t>
      </w:r>
      <w:r w:rsidRPr="002462F0">
        <w:rPr>
          <w:lang w:eastAsia="fr-FR"/>
        </w:rPr>
        <w:t xml:space="preserve"> mainly as a result of the decrease in the total c</w:t>
      </w:r>
      <w:r w:rsidR="009E0457">
        <w:rPr>
          <w:lang w:eastAsia="fr-FR"/>
        </w:rPr>
        <w:t>attle</w:t>
      </w:r>
      <w:r w:rsidR="001D798E">
        <w:rPr>
          <w:lang w:eastAsia="fr-FR"/>
        </w:rPr>
        <w:t xml:space="preserve"> population</w:t>
      </w:r>
      <w:r w:rsidR="009E0457">
        <w:rPr>
          <w:lang w:eastAsia="fr-FR"/>
        </w:rPr>
        <w:t xml:space="preserve"> (-</w:t>
      </w:r>
      <w:r w:rsidR="00EC048C">
        <w:rPr>
          <w:lang w:eastAsia="fr-FR"/>
        </w:rPr>
        <w:t>49.7</w:t>
      </w:r>
      <w:r w:rsidR="009E0457">
        <w:rPr>
          <w:lang w:eastAsia="fr-FR"/>
        </w:rPr>
        <w:t>% from 1990 to 20</w:t>
      </w:r>
      <w:r w:rsidR="00EC048C">
        <w:rPr>
          <w:lang w:eastAsia="fr-FR"/>
        </w:rPr>
        <w:t>22</w:t>
      </w:r>
      <w:r w:rsidR="009E0457">
        <w:rPr>
          <w:lang w:eastAsia="fr-FR"/>
        </w:rPr>
        <w:t>)</w:t>
      </w:r>
      <w:r w:rsidR="00077020">
        <w:rPr>
          <w:lang w:eastAsia="fr-FR"/>
        </w:rPr>
        <w:t>, which has not be</w:t>
      </w:r>
      <w:r w:rsidR="0057710A">
        <w:rPr>
          <w:lang w:eastAsia="fr-FR"/>
        </w:rPr>
        <w:t>en</w:t>
      </w:r>
      <w:r w:rsidR="00077020">
        <w:rPr>
          <w:lang w:eastAsia="fr-FR"/>
        </w:rPr>
        <w:t xml:space="preserve"> compensated </w:t>
      </w:r>
      <w:r w:rsidR="00C8795C">
        <w:rPr>
          <w:lang w:eastAsia="fr-FR"/>
        </w:rPr>
        <w:t xml:space="preserve">in emission totals </w:t>
      </w:r>
      <w:r w:rsidR="00077020">
        <w:rPr>
          <w:lang w:eastAsia="fr-FR"/>
        </w:rPr>
        <w:t>by the increase in the use of inorganic N-fertili</w:t>
      </w:r>
      <w:r w:rsidR="00BB2183">
        <w:rPr>
          <w:lang w:eastAsia="fr-FR"/>
        </w:rPr>
        <w:t>s</w:t>
      </w:r>
      <w:r w:rsidR="00077020">
        <w:rPr>
          <w:lang w:eastAsia="fr-FR"/>
        </w:rPr>
        <w:t>ers</w:t>
      </w:r>
      <w:r w:rsidR="001B7B4C">
        <w:rPr>
          <w:lang w:eastAsia="fr-FR"/>
        </w:rPr>
        <w:t xml:space="preserve"> or the application of urea (+574%)</w:t>
      </w:r>
      <w:r w:rsidR="009E0457">
        <w:rPr>
          <w:lang w:eastAsia="fr-FR"/>
        </w:rPr>
        <w:t>.</w:t>
      </w:r>
      <w:r w:rsidR="00DA572D">
        <w:rPr>
          <w:rStyle w:val="Heading2Char"/>
        </w:rPr>
        <w:br w:type="page"/>
      </w:r>
    </w:p>
    <w:p w14:paraId="7D0050D4" w14:textId="642DD84B" w:rsidR="007B2433" w:rsidRPr="009C1CF3" w:rsidRDefault="007B2433" w:rsidP="009C1CF3">
      <w:pPr>
        <w:pStyle w:val="Heading2"/>
        <w:rPr>
          <w:rStyle w:val="Heading2Char"/>
          <w:b/>
        </w:rPr>
      </w:pPr>
      <w:bookmarkStart w:id="614" w:name="_Ref179202246"/>
      <w:bookmarkStart w:id="615" w:name="_Toc182327895"/>
      <w:bookmarkStart w:id="616" w:name="_Toc184808252"/>
      <w:r w:rsidRPr="009C1CF3">
        <w:rPr>
          <w:rStyle w:val="Heading2Char"/>
          <w:b/>
        </w:rPr>
        <w:lastRenderedPageBreak/>
        <w:t>Enteric fermentation (</w:t>
      </w:r>
      <w:r w:rsidR="00FF2718">
        <w:rPr>
          <w:rStyle w:val="Heading2Char"/>
          <w:b/>
        </w:rPr>
        <w:t xml:space="preserve">CRT </w:t>
      </w:r>
      <w:r w:rsidRPr="009C1CF3">
        <w:rPr>
          <w:rStyle w:val="Heading2Char"/>
          <w:b/>
        </w:rPr>
        <w:t>3A)</w:t>
      </w:r>
      <w:bookmarkEnd w:id="614"/>
      <w:bookmarkEnd w:id="615"/>
      <w:bookmarkEnd w:id="616"/>
    </w:p>
    <w:p w14:paraId="6A116708" w14:textId="7513B03D" w:rsidR="00287BDC" w:rsidRDefault="00130E34" w:rsidP="00287BDC">
      <w:pPr>
        <w:rPr>
          <w:lang w:val="en-US"/>
        </w:rPr>
      </w:pPr>
      <w:r>
        <w:rPr>
          <w:lang w:val="en-US"/>
        </w:rPr>
        <w:t xml:space="preserve">The enteric fermentation category covers </w:t>
      </w:r>
      <w:r w:rsidR="00220971">
        <w:rPr>
          <w:lang w:val="en-US"/>
        </w:rPr>
        <w:t xml:space="preserve">the emissions </w:t>
      </w:r>
      <w:r w:rsidR="00860CF7">
        <w:rPr>
          <w:lang w:val="en-US"/>
        </w:rPr>
        <w:t xml:space="preserve">of methane </w:t>
      </w:r>
      <w:r w:rsidR="00662442">
        <w:rPr>
          <w:lang w:val="en-US"/>
        </w:rPr>
        <w:t>(CH</w:t>
      </w:r>
      <w:r w:rsidR="00662442" w:rsidRPr="00622F40">
        <w:rPr>
          <w:vertAlign w:val="subscript"/>
          <w:lang w:val="en-US"/>
        </w:rPr>
        <w:t>4</w:t>
      </w:r>
      <w:r w:rsidR="00662442">
        <w:rPr>
          <w:lang w:val="en-US"/>
        </w:rPr>
        <w:t xml:space="preserve">) </w:t>
      </w:r>
      <w:r w:rsidR="00860CF7">
        <w:rPr>
          <w:lang w:val="en-US"/>
        </w:rPr>
        <w:t>from the different animal species: cattle (</w:t>
      </w:r>
      <w:r w:rsidR="00FF2718">
        <w:rPr>
          <w:lang w:val="en-US"/>
        </w:rPr>
        <w:t xml:space="preserve">CRT </w:t>
      </w:r>
      <w:r w:rsidR="00860CF7">
        <w:rPr>
          <w:lang w:val="en-US"/>
        </w:rPr>
        <w:t>3A1), sheep (</w:t>
      </w:r>
      <w:r w:rsidR="00FF2718">
        <w:rPr>
          <w:lang w:val="en-US"/>
        </w:rPr>
        <w:t xml:space="preserve">CRT </w:t>
      </w:r>
      <w:r w:rsidR="00860CF7">
        <w:rPr>
          <w:lang w:val="en-US"/>
        </w:rPr>
        <w:t>3A2), swine (</w:t>
      </w:r>
      <w:r w:rsidR="00FF2718">
        <w:rPr>
          <w:lang w:val="en-US"/>
        </w:rPr>
        <w:t xml:space="preserve">CRT </w:t>
      </w:r>
      <w:r w:rsidR="00860CF7">
        <w:rPr>
          <w:lang w:val="en-US"/>
        </w:rPr>
        <w:t>3A3) and others (</w:t>
      </w:r>
      <w:r w:rsidR="00FF2718">
        <w:rPr>
          <w:lang w:val="en-US"/>
        </w:rPr>
        <w:t xml:space="preserve">CRT </w:t>
      </w:r>
      <w:r w:rsidR="00BC4147">
        <w:rPr>
          <w:lang w:val="en-US"/>
        </w:rPr>
        <w:t xml:space="preserve">3A4), </w:t>
      </w:r>
      <w:r w:rsidR="00AA53A4">
        <w:rPr>
          <w:lang w:val="en-US"/>
        </w:rPr>
        <w:t xml:space="preserve">including goats and horses. </w:t>
      </w:r>
    </w:p>
    <w:p w14:paraId="51381634" w14:textId="12E4A251" w:rsidR="003F5038" w:rsidRDefault="00662442" w:rsidP="003F5038">
      <w:pPr>
        <w:rPr>
          <w:lang w:eastAsia="fr-FR"/>
        </w:rPr>
      </w:pPr>
      <w:r>
        <w:rPr>
          <w:lang w:eastAsia="fr-FR"/>
        </w:rPr>
        <w:t xml:space="preserve">Among the enteric fermentation, the </w:t>
      </w:r>
      <w:r w:rsidR="007011AD">
        <w:rPr>
          <w:lang w:eastAsia="fr-FR"/>
        </w:rPr>
        <w:t>cattle category</w:t>
      </w:r>
      <w:r w:rsidR="003F5038">
        <w:rPr>
          <w:lang w:eastAsia="fr-FR"/>
        </w:rPr>
        <w:t xml:space="preserve"> (CRT </w:t>
      </w:r>
      <w:r w:rsidR="007011AD">
        <w:rPr>
          <w:lang w:eastAsia="fr-FR"/>
        </w:rPr>
        <w:t>3A1</w:t>
      </w:r>
      <w:r w:rsidR="003F5038">
        <w:rPr>
          <w:lang w:eastAsia="fr-FR"/>
        </w:rPr>
        <w:t>)</w:t>
      </w:r>
      <w:r w:rsidR="007011AD">
        <w:rPr>
          <w:lang w:eastAsia="fr-FR"/>
        </w:rPr>
        <w:t xml:space="preserve"> is the main source of emissions</w:t>
      </w:r>
      <w:r w:rsidR="00EE1A50">
        <w:rPr>
          <w:lang w:eastAsia="fr-FR"/>
        </w:rPr>
        <w:t xml:space="preserve"> over the whole studied period</w:t>
      </w:r>
      <w:r w:rsidR="003F5038">
        <w:rPr>
          <w:lang w:eastAsia="fr-FR"/>
        </w:rPr>
        <w:t>, represent</w:t>
      </w:r>
      <w:r w:rsidR="007011AD">
        <w:rPr>
          <w:lang w:eastAsia="fr-FR"/>
        </w:rPr>
        <w:t>ing</w:t>
      </w:r>
      <w:r w:rsidR="003F5038">
        <w:rPr>
          <w:lang w:eastAsia="fr-FR"/>
        </w:rPr>
        <w:t xml:space="preserve"> </w:t>
      </w:r>
      <w:r w:rsidR="00EE1A50">
        <w:rPr>
          <w:lang w:eastAsia="fr-FR"/>
        </w:rPr>
        <w:t>81</w:t>
      </w:r>
      <w:r w:rsidR="003F5038">
        <w:rPr>
          <w:lang w:eastAsia="fr-FR"/>
        </w:rPr>
        <w:t xml:space="preserve">% of the sector emissions in 1990 and </w:t>
      </w:r>
      <w:r w:rsidR="00EE1A50">
        <w:rPr>
          <w:lang w:eastAsia="fr-FR"/>
        </w:rPr>
        <w:t>73</w:t>
      </w:r>
      <w:r w:rsidR="003F5038">
        <w:rPr>
          <w:lang w:eastAsia="fr-FR"/>
        </w:rPr>
        <w:t xml:space="preserve">% in 2022. </w:t>
      </w:r>
      <w:r w:rsidR="00B52E67">
        <w:rPr>
          <w:lang w:eastAsia="fr-FR"/>
        </w:rPr>
        <w:t>Among the cattle category</w:t>
      </w:r>
      <w:r w:rsidR="006862BA">
        <w:rPr>
          <w:lang w:eastAsia="fr-FR"/>
        </w:rPr>
        <w:t xml:space="preserve">, the subcategory of the dairy cattle (CRT 3A1a) is the most dominant in terms of emissions over the period, with 59% of the CRT 3A1 category in 2022. </w:t>
      </w:r>
      <w:r w:rsidR="003F5038">
        <w:rPr>
          <w:lang w:eastAsia="fr-FR"/>
        </w:rPr>
        <w:t xml:space="preserve">The other </w:t>
      </w:r>
      <w:r w:rsidR="006862BA">
        <w:rPr>
          <w:lang w:eastAsia="fr-FR"/>
        </w:rPr>
        <w:t>most pre</w:t>
      </w:r>
      <w:r w:rsidR="003F5038">
        <w:rPr>
          <w:lang w:eastAsia="fr-FR"/>
        </w:rPr>
        <w:t xml:space="preserve">dominant subsector is the </w:t>
      </w:r>
      <w:r w:rsidR="006862BA">
        <w:rPr>
          <w:lang w:eastAsia="fr-FR"/>
        </w:rPr>
        <w:t>sheep</w:t>
      </w:r>
      <w:r w:rsidR="003F5038">
        <w:rPr>
          <w:lang w:eastAsia="fr-FR"/>
        </w:rPr>
        <w:t xml:space="preserve"> </w:t>
      </w:r>
      <w:r w:rsidR="006862BA">
        <w:rPr>
          <w:lang w:eastAsia="fr-FR"/>
        </w:rPr>
        <w:t xml:space="preserve">livestock </w:t>
      </w:r>
      <w:r w:rsidR="003F5038">
        <w:rPr>
          <w:lang w:eastAsia="fr-FR"/>
        </w:rPr>
        <w:t xml:space="preserve">(CRT </w:t>
      </w:r>
      <w:r w:rsidR="006862BA">
        <w:rPr>
          <w:lang w:eastAsia="fr-FR"/>
        </w:rPr>
        <w:t>3</w:t>
      </w:r>
      <w:r w:rsidR="003F5038">
        <w:rPr>
          <w:lang w:eastAsia="fr-FR"/>
        </w:rPr>
        <w:t xml:space="preserve">A2), which </w:t>
      </w:r>
      <w:r w:rsidR="00271959">
        <w:rPr>
          <w:lang w:eastAsia="fr-FR"/>
        </w:rPr>
        <w:t>has an increasing contribution from 12% in 1990 to 19%, compensating the fall from the cattle subsector</w:t>
      </w:r>
      <w:r w:rsidR="001B3757">
        <w:rPr>
          <w:lang w:eastAsia="fr-FR"/>
        </w:rPr>
        <w:t xml:space="preserve"> although the emissions </w:t>
      </w:r>
      <w:r w:rsidR="00F71257">
        <w:rPr>
          <w:lang w:eastAsia="fr-FR"/>
        </w:rPr>
        <w:t>are also in decline (-12%)</w:t>
      </w:r>
      <w:r w:rsidR="003F5038">
        <w:rPr>
          <w:lang w:eastAsia="fr-FR"/>
        </w:rPr>
        <w:t>.</w:t>
      </w:r>
      <w:r w:rsidR="00812BB2">
        <w:rPr>
          <w:lang w:eastAsia="fr-FR"/>
        </w:rPr>
        <w:t xml:space="preserve"> Finally, the other </w:t>
      </w:r>
      <w:r w:rsidR="00E6733B">
        <w:rPr>
          <w:lang w:eastAsia="fr-FR"/>
        </w:rPr>
        <w:t>contributing subsectors are the swine (</w:t>
      </w:r>
      <w:r w:rsidR="00FF2718">
        <w:rPr>
          <w:lang w:eastAsia="fr-FR"/>
        </w:rPr>
        <w:t xml:space="preserve">CRT </w:t>
      </w:r>
      <w:r w:rsidR="00E6733B">
        <w:rPr>
          <w:lang w:eastAsia="fr-FR"/>
        </w:rPr>
        <w:t>3A3) and other (</w:t>
      </w:r>
      <w:r w:rsidR="00FF2718">
        <w:rPr>
          <w:lang w:eastAsia="fr-FR"/>
        </w:rPr>
        <w:t xml:space="preserve">CRT </w:t>
      </w:r>
      <w:r w:rsidR="00E6733B">
        <w:rPr>
          <w:lang w:eastAsia="fr-FR"/>
        </w:rPr>
        <w:t xml:space="preserve">3A4) livestock, which </w:t>
      </w:r>
      <w:r w:rsidR="0093707D">
        <w:rPr>
          <w:lang w:eastAsia="fr-FR"/>
        </w:rPr>
        <w:t>have rather stable contributions between 1990 and 2022</w:t>
      </w:r>
      <w:r w:rsidR="005D797D">
        <w:rPr>
          <w:lang w:eastAsia="fr-FR"/>
        </w:rPr>
        <w:t>, about 5% and 2%, respectively</w:t>
      </w:r>
      <w:r w:rsidR="0093707D">
        <w:rPr>
          <w:lang w:eastAsia="fr-FR"/>
        </w:rPr>
        <w:t>, although the</w:t>
      </w:r>
      <w:r w:rsidR="00590FF7">
        <w:rPr>
          <w:lang w:eastAsia="fr-FR"/>
        </w:rPr>
        <w:t xml:space="preserve">ir </w:t>
      </w:r>
      <w:r w:rsidR="008917D9">
        <w:rPr>
          <w:lang w:eastAsia="fr-FR"/>
        </w:rPr>
        <w:t xml:space="preserve">emissions </w:t>
      </w:r>
      <w:r w:rsidR="0093707D">
        <w:rPr>
          <w:lang w:eastAsia="fr-FR"/>
        </w:rPr>
        <w:t>decreas</w:t>
      </w:r>
      <w:r w:rsidR="002522DD">
        <w:rPr>
          <w:lang w:eastAsia="fr-FR"/>
        </w:rPr>
        <w:t>e</w:t>
      </w:r>
      <w:r w:rsidR="00590FF7">
        <w:rPr>
          <w:lang w:eastAsia="fr-FR"/>
        </w:rPr>
        <w:t>.</w:t>
      </w:r>
    </w:p>
    <w:p w14:paraId="2E422C81" w14:textId="4C7530DE" w:rsidR="00B75CFC" w:rsidRDefault="00B75CFC" w:rsidP="003F5038">
      <w:pPr>
        <w:rPr>
          <w:lang w:eastAsia="fr-FR"/>
        </w:rPr>
      </w:pPr>
      <w:r>
        <w:rPr>
          <w:lang w:eastAsia="fr-FR"/>
        </w:rPr>
        <w:t xml:space="preserve">In overall, for the studied period 1990-2022, the emissions of the CRT 3A category are in continuous and progressive decline, achieving a </w:t>
      </w:r>
      <w:r w:rsidR="007B1011">
        <w:rPr>
          <w:lang w:eastAsia="fr-FR"/>
        </w:rPr>
        <w:t xml:space="preserve">total </w:t>
      </w:r>
      <w:r>
        <w:rPr>
          <w:lang w:eastAsia="fr-FR"/>
        </w:rPr>
        <w:t xml:space="preserve">reduction of </w:t>
      </w:r>
      <w:r w:rsidR="007B1011">
        <w:rPr>
          <w:lang w:eastAsia="fr-FR"/>
        </w:rPr>
        <w:t>-44.4%.</w:t>
      </w:r>
    </w:p>
    <w:p w14:paraId="1ACBC026" w14:textId="63707334" w:rsidR="003F5038" w:rsidRPr="002462F0" w:rsidRDefault="00D1391B" w:rsidP="00E12CC1">
      <w:pPr>
        <w:spacing w:after="0"/>
        <w:rPr>
          <w:lang w:eastAsia="fr-FR"/>
        </w:rPr>
      </w:pPr>
      <w:r>
        <w:rPr>
          <w:noProof/>
          <w:lang w:val="en-US"/>
        </w:rPr>
        <w:drawing>
          <wp:inline distT="0" distB="0" distL="0" distR="0" wp14:anchorId="0281079B" wp14:editId="6D99568C">
            <wp:extent cx="5739465" cy="3399182"/>
            <wp:effectExtent l="0" t="0" r="0" b="0"/>
            <wp:docPr id="1590516283"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48669" cy="3404633"/>
                    </a:xfrm>
                    <a:prstGeom prst="rect">
                      <a:avLst/>
                    </a:prstGeom>
                    <a:noFill/>
                  </pic:spPr>
                </pic:pic>
              </a:graphicData>
            </a:graphic>
          </wp:inline>
        </w:drawing>
      </w:r>
    </w:p>
    <w:p w14:paraId="5EA95528" w14:textId="77777777" w:rsidR="00E12CC1" w:rsidRPr="002462F0" w:rsidRDefault="00E12CC1" w:rsidP="00E12CC1">
      <w:pPr>
        <w:pStyle w:val="Caption"/>
        <w:spacing w:before="0" w:after="0"/>
        <w:jc w:val="both"/>
        <w:rPr>
          <w:sz w:val="22"/>
          <w:lang w:eastAsia="fr-FR"/>
        </w:rPr>
      </w:pPr>
      <w:bookmarkStart w:id="617" w:name="_Toc184808466"/>
      <w:r w:rsidRPr="002462F0">
        <w:t xml:space="preserve">Figure </w:t>
      </w:r>
      <w:r w:rsidRPr="002462F0">
        <w:fldChar w:fldCharType="begin"/>
      </w:r>
      <w:r w:rsidRPr="002462F0">
        <w:instrText xml:space="preserve"> SEQ Figure \* ARABIC </w:instrText>
      </w:r>
      <w:r w:rsidRPr="002462F0">
        <w:fldChar w:fldCharType="separate"/>
      </w:r>
      <w:r>
        <w:rPr>
          <w:noProof/>
        </w:rPr>
        <w:t>79</w:t>
      </w:r>
      <w:r w:rsidRPr="002462F0">
        <w:fldChar w:fldCharType="end"/>
      </w:r>
      <w:r w:rsidRPr="002462F0">
        <w:t xml:space="preserve">: GHG emission trends for </w:t>
      </w:r>
      <w:r>
        <w:t>the enteric fermentation (CRT 3A), for the period 1990-2022, per subcategory</w:t>
      </w:r>
      <w:r w:rsidRPr="002462F0">
        <w:t xml:space="preserve"> (</w:t>
      </w:r>
      <w:r>
        <w:t xml:space="preserve">in </w:t>
      </w:r>
      <w:r w:rsidRPr="002462F0">
        <w:t>kt CO</w:t>
      </w:r>
      <w:r w:rsidRPr="002462F0">
        <w:rPr>
          <w:vertAlign w:val="subscript"/>
        </w:rPr>
        <w:t>2</w:t>
      </w:r>
      <w:r w:rsidRPr="002462F0">
        <w:t>e)</w:t>
      </w:r>
      <w:bookmarkEnd w:id="617"/>
    </w:p>
    <w:p w14:paraId="357C47CC" w14:textId="77777777" w:rsidR="009506E0" w:rsidRDefault="009506E0">
      <w:pPr>
        <w:jc w:val="left"/>
        <w:rPr>
          <w:b/>
          <w:bCs/>
          <w:color w:val="4F81BD" w:themeColor="accent1"/>
          <w:sz w:val="18"/>
          <w:szCs w:val="18"/>
        </w:rPr>
      </w:pPr>
      <w:r>
        <w:br w:type="page"/>
      </w:r>
    </w:p>
    <w:p w14:paraId="654CAC7F" w14:textId="05A0E072" w:rsidR="003F5038" w:rsidRPr="002462F0" w:rsidRDefault="00E1588A" w:rsidP="00E12CC1">
      <w:pPr>
        <w:spacing w:after="0"/>
        <w:jc w:val="center"/>
      </w:pPr>
      <w:r>
        <w:rPr>
          <w:noProof/>
          <w:lang w:val="en-US"/>
        </w:rPr>
        <w:lastRenderedPageBreak/>
        <w:drawing>
          <wp:inline distT="0" distB="0" distL="0" distR="0" wp14:anchorId="44BD28C3" wp14:editId="781A9611">
            <wp:extent cx="2880000" cy="1890545"/>
            <wp:effectExtent l="0" t="0" r="0" b="0"/>
            <wp:docPr id="2069523023"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80000" cy="1890545"/>
                    </a:xfrm>
                    <a:prstGeom prst="rect">
                      <a:avLst/>
                    </a:prstGeom>
                    <a:noFill/>
                  </pic:spPr>
                </pic:pic>
              </a:graphicData>
            </a:graphic>
          </wp:inline>
        </w:drawing>
      </w:r>
      <w:r>
        <w:rPr>
          <w:noProof/>
          <w:lang w:val="en-US"/>
        </w:rPr>
        <w:drawing>
          <wp:inline distT="0" distB="0" distL="0" distR="0" wp14:anchorId="39CC1DD8" wp14:editId="14E06191">
            <wp:extent cx="2880000" cy="1890545"/>
            <wp:effectExtent l="0" t="0" r="0" b="0"/>
            <wp:docPr id="1623459356"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80000" cy="1890545"/>
                    </a:xfrm>
                    <a:prstGeom prst="rect">
                      <a:avLst/>
                    </a:prstGeom>
                    <a:noFill/>
                  </pic:spPr>
                </pic:pic>
              </a:graphicData>
            </a:graphic>
          </wp:inline>
        </w:drawing>
      </w:r>
    </w:p>
    <w:p w14:paraId="5D7D4347" w14:textId="77777777" w:rsidR="00E12CC1" w:rsidRPr="002462F0" w:rsidRDefault="00E12CC1" w:rsidP="00E12CC1">
      <w:pPr>
        <w:pStyle w:val="Caption"/>
        <w:spacing w:before="0" w:after="0"/>
        <w:jc w:val="both"/>
        <w:rPr>
          <w:sz w:val="22"/>
          <w:lang w:eastAsia="fr-FR"/>
        </w:rPr>
      </w:pPr>
      <w:bookmarkStart w:id="618" w:name="_Toc184808467"/>
      <w:r w:rsidRPr="002462F0">
        <w:t xml:space="preserve">Figure </w:t>
      </w:r>
      <w:r w:rsidRPr="002462F0">
        <w:fldChar w:fldCharType="begin"/>
      </w:r>
      <w:r w:rsidRPr="002462F0">
        <w:instrText xml:space="preserve"> SEQ Figure \* ARABIC </w:instrText>
      </w:r>
      <w:r w:rsidRPr="002462F0">
        <w:fldChar w:fldCharType="separate"/>
      </w:r>
      <w:r>
        <w:rPr>
          <w:noProof/>
        </w:rPr>
        <w:t>80</w:t>
      </w:r>
      <w:r w:rsidRPr="002462F0">
        <w:fldChar w:fldCharType="end"/>
      </w:r>
      <w:r w:rsidRPr="002462F0">
        <w:t xml:space="preserve">: GHG emission </w:t>
      </w:r>
      <w:r>
        <w:t>distribution</w:t>
      </w:r>
      <w:r w:rsidRPr="002462F0">
        <w:t xml:space="preserve"> for </w:t>
      </w:r>
      <w:r>
        <w:t xml:space="preserve">enteric fermentation (CRT 3A), for the period 1990-2022, per subcategory </w:t>
      </w:r>
      <w:r w:rsidRPr="002462F0">
        <w:t>(</w:t>
      </w:r>
      <w:r>
        <w:t>in %</w:t>
      </w:r>
      <w:r w:rsidRPr="002462F0">
        <w:t>)</w:t>
      </w:r>
      <w:bookmarkEnd w:id="618"/>
    </w:p>
    <w:p w14:paraId="49826312" w14:textId="174B97D5" w:rsidR="003F5038" w:rsidRPr="002462F0" w:rsidRDefault="003F5038" w:rsidP="00E12CC1">
      <w:pPr>
        <w:spacing w:before="120"/>
      </w:pPr>
      <w:r w:rsidRPr="002462F0">
        <w:t xml:space="preserve">The </w:t>
      </w:r>
      <w:r w:rsidR="009C7D93">
        <w:t>Enteric</w:t>
      </w:r>
      <w:r w:rsidRPr="002462F0">
        <w:t xml:space="preserve"> </w:t>
      </w:r>
      <w:r w:rsidR="009C7D93">
        <w:t xml:space="preserve">fermentation </w:t>
      </w:r>
      <w:r w:rsidRPr="002462F0">
        <w:t>(CR</w:t>
      </w:r>
      <w:r w:rsidR="009C7D93">
        <w:t>T</w:t>
      </w:r>
      <w:r w:rsidRPr="002462F0">
        <w:t xml:space="preserve"> </w:t>
      </w:r>
      <w:r w:rsidR="009C7D93">
        <w:t>3</w:t>
      </w:r>
      <w:r w:rsidRPr="002462F0">
        <w:t xml:space="preserve">A) </w:t>
      </w:r>
      <w:r w:rsidR="005A557A">
        <w:t xml:space="preserve">has decreased its contributions </w:t>
      </w:r>
      <w:r w:rsidR="003C76B4">
        <w:t xml:space="preserve">to </w:t>
      </w:r>
      <w:r w:rsidR="00E2370F">
        <w:t xml:space="preserve">the total and sectoral GHG emissions. </w:t>
      </w:r>
      <w:r w:rsidR="006653F9">
        <w:t xml:space="preserve">This category </w:t>
      </w:r>
      <w:r w:rsidRPr="002462F0">
        <w:t xml:space="preserve">contributes to </w:t>
      </w:r>
      <w:r w:rsidR="00866251">
        <w:t>3.6</w:t>
      </w:r>
      <w:r w:rsidRPr="002462F0">
        <w:t xml:space="preserve">% of the total GHG emissions </w:t>
      </w:r>
      <w:r>
        <w:t>excluding</w:t>
      </w:r>
      <w:r w:rsidRPr="002462F0">
        <w:t xml:space="preserve"> LULUCF, </w:t>
      </w:r>
      <w:r w:rsidR="006653F9">
        <w:t xml:space="preserve">in 2022, whereas it represented 4.9% of the national share in 1990. Concerning its part in the </w:t>
      </w:r>
      <w:r w:rsidR="00866251">
        <w:t xml:space="preserve">Agriculture </w:t>
      </w:r>
      <w:r w:rsidRPr="002462F0">
        <w:t>(CR</w:t>
      </w:r>
      <w:r w:rsidR="00866251">
        <w:t>T 3</w:t>
      </w:r>
      <w:r w:rsidRPr="002462F0">
        <w:t>) sector</w:t>
      </w:r>
      <w:r w:rsidR="006653F9">
        <w:t>,</w:t>
      </w:r>
      <w:r w:rsidRPr="002462F0">
        <w:t xml:space="preserve"> in </w:t>
      </w:r>
      <w:r>
        <w:t xml:space="preserve">the Republic of </w:t>
      </w:r>
      <w:r w:rsidRPr="002462F0">
        <w:t>Serbia</w:t>
      </w:r>
      <w:r w:rsidR="006653F9">
        <w:t xml:space="preserve">, it is of </w:t>
      </w:r>
      <w:r w:rsidR="003118EE">
        <w:t>47%</w:t>
      </w:r>
      <w:r w:rsidRPr="002462F0">
        <w:t xml:space="preserve"> in </w:t>
      </w:r>
      <w:r>
        <w:t>2022</w:t>
      </w:r>
      <w:r w:rsidR="006653F9">
        <w:t>,</w:t>
      </w:r>
      <w:r w:rsidR="0022591E">
        <w:t xml:space="preserve"> </w:t>
      </w:r>
      <w:r w:rsidR="006653F9">
        <w:t xml:space="preserve">and it was of </w:t>
      </w:r>
      <w:r w:rsidR="0022591E">
        <w:t>63% in 1990</w:t>
      </w:r>
      <w:r w:rsidRPr="002462F0">
        <w:t>.</w:t>
      </w:r>
    </w:p>
    <w:p w14:paraId="1029E09C" w14:textId="7C62726B" w:rsidR="007B2433" w:rsidRPr="002462F0" w:rsidRDefault="007B2433" w:rsidP="007B2433">
      <w:pPr>
        <w:pStyle w:val="Heading3"/>
        <w:ind w:left="1430"/>
        <w:rPr>
          <w:lang w:eastAsia="fr-FR"/>
        </w:rPr>
      </w:pPr>
      <w:bookmarkStart w:id="619" w:name="_Toc184806353"/>
      <w:bookmarkStart w:id="620" w:name="_Toc184808253"/>
      <w:bookmarkStart w:id="621" w:name="_Ref178953971"/>
      <w:bookmarkStart w:id="622" w:name="_Toc182327896"/>
      <w:bookmarkStart w:id="623" w:name="_Toc184808254"/>
      <w:bookmarkEnd w:id="619"/>
      <w:bookmarkEnd w:id="620"/>
      <w:r w:rsidRPr="002462F0">
        <w:rPr>
          <w:lang w:eastAsia="fr-FR"/>
        </w:rPr>
        <w:t>Cattle (</w:t>
      </w:r>
      <w:r w:rsidR="00FF2718">
        <w:rPr>
          <w:lang w:eastAsia="fr-FR"/>
        </w:rPr>
        <w:t xml:space="preserve">CRT </w:t>
      </w:r>
      <w:r w:rsidRPr="002462F0">
        <w:rPr>
          <w:lang w:eastAsia="fr-FR"/>
        </w:rPr>
        <w:t>3A1)</w:t>
      </w:r>
      <w:bookmarkEnd w:id="621"/>
      <w:bookmarkEnd w:id="622"/>
      <w:bookmarkEnd w:id="623"/>
    </w:p>
    <w:p w14:paraId="319A836F" w14:textId="77777777" w:rsidR="007B2433" w:rsidRPr="002462F0" w:rsidRDefault="007B2433" w:rsidP="007B2433">
      <w:pPr>
        <w:pStyle w:val="Titre4Bleu"/>
        <w:rPr>
          <w:lang w:eastAsia="fr-FR"/>
        </w:rPr>
      </w:pPr>
      <w:bookmarkStart w:id="624" w:name="_Toc182327897"/>
      <w:r w:rsidRPr="002462F0">
        <w:rPr>
          <w:lang w:eastAsia="fr-FR"/>
        </w:rPr>
        <w:t>Category description</w:t>
      </w:r>
      <w:bookmarkEnd w:id="624"/>
      <w:r w:rsidRPr="002462F0">
        <w:rPr>
          <w:lang w:eastAsia="fr-FR"/>
        </w:rPr>
        <w:t xml:space="preserve"> </w:t>
      </w:r>
    </w:p>
    <w:p w14:paraId="6641B500" w14:textId="70384037" w:rsidR="00FF5237" w:rsidRDefault="00FF5237" w:rsidP="009E0457">
      <w:pPr>
        <w:pStyle w:val="BodyText"/>
        <w:rPr>
          <w:lang w:eastAsia="fr-FR"/>
        </w:rPr>
      </w:pPr>
      <w:r>
        <w:rPr>
          <w:lang w:eastAsia="fr-FR"/>
        </w:rPr>
        <w:t xml:space="preserve">The enteric fermentation for cattle is subdivided in </w:t>
      </w:r>
      <w:r w:rsidR="00834DE6">
        <w:rPr>
          <w:lang w:eastAsia="fr-FR"/>
        </w:rPr>
        <w:t xml:space="preserve">two subcategories: </w:t>
      </w:r>
      <w:r>
        <w:rPr>
          <w:lang w:eastAsia="fr-FR"/>
        </w:rPr>
        <w:t xml:space="preserve">dairy cattle </w:t>
      </w:r>
      <w:r w:rsidR="00287BDC">
        <w:rPr>
          <w:lang w:eastAsia="fr-FR"/>
        </w:rPr>
        <w:t xml:space="preserve">(CRT 3A1a) </w:t>
      </w:r>
      <w:r>
        <w:rPr>
          <w:lang w:eastAsia="fr-FR"/>
        </w:rPr>
        <w:t>and non-dairy cattle</w:t>
      </w:r>
      <w:r w:rsidR="00287BDC">
        <w:rPr>
          <w:lang w:eastAsia="fr-FR"/>
        </w:rPr>
        <w:t xml:space="preserve"> (CRT 3A1b)</w:t>
      </w:r>
      <w:r>
        <w:rPr>
          <w:lang w:eastAsia="fr-FR"/>
        </w:rPr>
        <w:t>.</w:t>
      </w:r>
      <w:r w:rsidR="00801FD4">
        <w:rPr>
          <w:lang w:eastAsia="fr-FR"/>
        </w:rPr>
        <w:t xml:space="preserve"> The following graph gives the evolution of the livestock (by number of heads) of </w:t>
      </w:r>
      <w:r w:rsidR="003B30F4">
        <w:rPr>
          <w:lang w:eastAsia="fr-FR"/>
        </w:rPr>
        <w:t>these two s</w:t>
      </w:r>
      <w:r w:rsidR="006A15DD">
        <w:rPr>
          <w:lang w:eastAsia="fr-FR"/>
        </w:rPr>
        <w:t>ubcategori</w:t>
      </w:r>
      <w:r w:rsidR="003B30F4">
        <w:rPr>
          <w:lang w:eastAsia="fr-FR"/>
        </w:rPr>
        <w:t>es.</w:t>
      </w:r>
      <w:r w:rsidR="00023A37">
        <w:rPr>
          <w:lang w:eastAsia="fr-FR"/>
        </w:rPr>
        <w:t xml:space="preserve"> It can be observed that both categories follow a progressive decreasing trend since 1990</w:t>
      </w:r>
      <w:r w:rsidR="00924EEA">
        <w:rPr>
          <w:lang w:eastAsia="fr-FR"/>
        </w:rPr>
        <w:t xml:space="preserve">. The number of dairy cattle </w:t>
      </w:r>
      <w:r w:rsidR="00C03EF7">
        <w:rPr>
          <w:lang w:eastAsia="fr-FR"/>
        </w:rPr>
        <w:t>has been reduced by 53% over the studied period, and the number of other cattle by 44%.</w:t>
      </w:r>
      <w:r w:rsidR="001F2EAA">
        <w:rPr>
          <w:lang w:eastAsia="fr-FR"/>
        </w:rPr>
        <w:t xml:space="preserve"> </w:t>
      </w:r>
    </w:p>
    <w:p w14:paraId="659DA287" w14:textId="77777777" w:rsidR="003B30F4" w:rsidRDefault="003B30F4" w:rsidP="00475E17">
      <w:pPr>
        <w:pStyle w:val="BodyText"/>
        <w:spacing w:after="0"/>
        <w:jc w:val="left"/>
        <w:rPr>
          <w:lang w:eastAsia="fr-FR"/>
        </w:rPr>
      </w:pPr>
      <w:r>
        <w:rPr>
          <w:noProof/>
          <w:lang w:val="en-US"/>
        </w:rPr>
        <w:drawing>
          <wp:inline distT="0" distB="0" distL="0" distR="0" wp14:anchorId="61D6A60D" wp14:editId="3A8D848E">
            <wp:extent cx="5762073" cy="3119865"/>
            <wp:effectExtent l="0" t="0" r="0" b="4445"/>
            <wp:docPr id="935465552"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70704" cy="3124538"/>
                    </a:xfrm>
                    <a:prstGeom prst="rect">
                      <a:avLst/>
                    </a:prstGeom>
                    <a:noFill/>
                  </pic:spPr>
                </pic:pic>
              </a:graphicData>
            </a:graphic>
          </wp:inline>
        </w:drawing>
      </w:r>
    </w:p>
    <w:p w14:paraId="20236D4C" w14:textId="77777777" w:rsidR="00475E17" w:rsidRDefault="00475E17" w:rsidP="00475E17">
      <w:pPr>
        <w:pStyle w:val="Caption"/>
        <w:keepNext/>
        <w:spacing w:before="0" w:after="0"/>
        <w:jc w:val="left"/>
        <w:rPr>
          <w:noProof/>
        </w:rPr>
      </w:pPr>
      <w:bookmarkStart w:id="625" w:name="_Toc184808468"/>
      <w:r w:rsidRPr="001F0275">
        <w:t xml:space="preserve">Figure </w:t>
      </w:r>
      <w:r w:rsidRPr="001F0275">
        <w:fldChar w:fldCharType="begin"/>
      </w:r>
      <w:r w:rsidRPr="001F0275">
        <w:instrText xml:space="preserve"> SEQ Figure \* ARABIC </w:instrText>
      </w:r>
      <w:r w:rsidRPr="001F0275">
        <w:fldChar w:fldCharType="separate"/>
      </w:r>
      <w:r>
        <w:rPr>
          <w:noProof/>
        </w:rPr>
        <w:t>81</w:t>
      </w:r>
      <w:r w:rsidRPr="001F0275">
        <w:fldChar w:fldCharType="end"/>
      </w:r>
      <w:r w:rsidRPr="001F0275">
        <w:rPr>
          <w:noProof/>
        </w:rPr>
        <w:t xml:space="preserve"> : </w:t>
      </w:r>
      <w:r>
        <w:rPr>
          <w:noProof/>
        </w:rPr>
        <w:t>Livestock evolution for</w:t>
      </w:r>
      <w:r w:rsidRPr="001F0275">
        <w:rPr>
          <w:noProof/>
        </w:rPr>
        <w:t xml:space="preserve"> cattle</w:t>
      </w:r>
      <w:r>
        <w:rPr>
          <w:noProof/>
        </w:rPr>
        <w:t>, in number of heads, for the period 1990-2022</w:t>
      </w:r>
      <w:bookmarkEnd w:id="625"/>
    </w:p>
    <w:p w14:paraId="4E514DD3" w14:textId="77777777" w:rsidR="00475E17" w:rsidRDefault="00475E17" w:rsidP="00622F40"/>
    <w:p w14:paraId="15FB4F00" w14:textId="14CE6DA7" w:rsidR="0016576E" w:rsidRDefault="0016576E" w:rsidP="00622F40">
      <w:r>
        <w:t>The evolution</w:t>
      </w:r>
      <w:r w:rsidR="003F0EFB">
        <w:t xml:space="preserve"> of CH</w:t>
      </w:r>
      <w:r w:rsidR="003F0EFB" w:rsidRPr="00622F40">
        <w:rPr>
          <w:vertAlign w:val="subscript"/>
        </w:rPr>
        <w:t>4</w:t>
      </w:r>
      <w:r w:rsidR="003F0EFB">
        <w:t xml:space="preserve"> emissions </w:t>
      </w:r>
      <w:r w:rsidR="006E1E34">
        <w:t>for</w:t>
      </w:r>
      <w:r w:rsidR="003F0EFB">
        <w:t xml:space="preserve"> the CRT 3A1a</w:t>
      </w:r>
      <w:r w:rsidR="00E954F3">
        <w:t xml:space="preserve"> </w:t>
      </w:r>
      <w:r w:rsidR="006E1E34">
        <w:t xml:space="preserve">and 3A1b </w:t>
      </w:r>
      <w:r w:rsidR="00A418A9">
        <w:t xml:space="preserve">are proportional to the evolution of the livestock presented in the previous figure as constant default EF are applied over the timeseries. </w:t>
      </w:r>
    </w:p>
    <w:p w14:paraId="4C2E9E5A" w14:textId="56E9FB39" w:rsidR="00FF5237" w:rsidRDefault="006765E4" w:rsidP="00475E17">
      <w:pPr>
        <w:spacing w:after="0"/>
        <w:jc w:val="left"/>
      </w:pPr>
      <w:r>
        <w:rPr>
          <w:noProof/>
          <w:lang w:val="en-US"/>
        </w:rPr>
        <w:lastRenderedPageBreak/>
        <w:drawing>
          <wp:inline distT="0" distB="0" distL="0" distR="0" wp14:anchorId="5DBFC0B8" wp14:editId="284ADB3A">
            <wp:extent cx="5760000" cy="1753712"/>
            <wp:effectExtent l="0" t="0" r="0" b="0"/>
            <wp:docPr id="33157636"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3B5792F0" w14:textId="77777777" w:rsidR="00475E17" w:rsidRDefault="00475E17" w:rsidP="00475E17">
      <w:pPr>
        <w:pStyle w:val="Caption"/>
        <w:keepNext/>
        <w:spacing w:before="0" w:after="0"/>
        <w:jc w:val="left"/>
        <w:rPr>
          <w:noProof/>
        </w:rPr>
      </w:pPr>
      <w:bookmarkStart w:id="626" w:name="_Toc184808469"/>
      <w:r w:rsidRPr="00622F40">
        <w:t xml:space="preserve">Figure </w:t>
      </w:r>
      <w:r w:rsidRPr="00622F40">
        <w:fldChar w:fldCharType="begin"/>
      </w:r>
      <w:r w:rsidRPr="00622F40">
        <w:instrText xml:space="preserve"> SEQ Figure \* ARABIC </w:instrText>
      </w:r>
      <w:r w:rsidRPr="00622F40">
        <w:fldChar w:fldCharType="separate"/>
      </w:r>
      <w:r>
        <w:rPr>
          <w:noProof/>
        </w:rPr>
        <w:t>82</w:t>
      </w:r>
      <w:r w:rsidRPr="00622F40">
        <w:fldChar w:fldCharType="end"/>
      </w:r>
      <w:r w:rsidRPr="00622F40">
        <w:rPr>
          <w:noProof/>
        </w:rPr>
        <w:t xml:space="preserve"> : GHG emissions for enteric fermentation of dairy cattle (CR</w:t>
      </w:r>
      <w:r>
        <w:rPr>
          <w:noProof/>
        </w:rPr>
        <w:t>T</w:t>
      </w:r>
      <w:r w:rsidRPr="00622F40">
        <w:rPr>
          <w:noProof/>
        </w:rPr>
        <w:t xml:space="preserve"> 3A1a) (kt CO</w:t>
      </w:r>
      <w:r w:rsidRPr="00622F40">
        <w:rPr>
          <w:noProof/>
          <w:vertAlign w:val="subscript"/>
        </w:rPr>
        <w:t>2</w:t>
      </w:r>
      <w:r w:rsidRPr="00622F40">
        <w:rPr>
          <w:noProof/>
        </w:rPr>
        <w:t>e)</w:t>
      </w:r>
      <w:bookmarkEnd w:id="626"/>
    </w:p>
    <w:p w14:paraId="1588C76E" w14:textId="77777777" w:rsidR="00475E17" w:rsidRDefault="00475E17" w:rsidP="00FF5237">
      <w:pPr>
        <w:pStyle w:val="Caption"/>
        <w:keepNext/>
        <w:spacing w:before="120"/>
      </w:pPr>
    </w:p>
    <w:p w14:paraId="56BA0897" w14:textId="47B4FAC9" w:rsidR="00FF5237" w:rsidRPr="00FF5237" w:rsidRDefault="002D0566" w:rsidP="00475E17">
      <w:pPr>
        <w:spacing w:after="0"/>
        <w:jc w:val="left"/>
      </w:pPr>
      <w:r>
        <w:rPr>
          <w:noProof/>
          <w:lang w:val="en-US"/>
        </w:rPr>
        <w:drawing>
          <wp:inline distT="0" distB="0" distL="0" distR="0" wp14:anchorId="2AE6DF9E" wp14:editId="787DD3B7">
            <wp:extent cx="5760000" cy="1753712"/>
            <wp:effectExtent l="0" t="0" r="0" b="0"/>
            <wp:docPr id="2101554875"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42756DCC" w14:textId="77777777" w:rsidR="00475E17" w:rsidRDefault="00475E17" w:rsidP="00475E17">
      <w:pPr>
        <w:pStyle w:val="Caption"/>
        <w:keepNext/>
        <w:spacing w:before="0" w:after="0"/>
        <w:jc w:val="left"/>
        <w:rPr>
          <w:noProof/>
        </w:rPr>
      </w:pPr>
      <w:bookmarkStart w:id="627" w:name="_Toc184808470"/>
      <w:r w:rsidRPr="00622F40">
        <w:t xml:space="preserve">Figure </w:t>
      </w:r>
      <w:r w:rsidRPr="00622F40">
        <w:fldChar w:fldCharType="begin"/>
      </w:r>
      <w:r w:rsidRPr="00622F40">
        <w:instrText xml:space="preserve"> SEQ Figure \* ARABIC </w:instrText>
      </w:r>
      <w:r w:rsidRPr="00622F40">
        <w:fldChar w:fldCharType="separate"/>
      </w:r>
      <w:r>
        <w:rPr>
          <w:noProof/>
        </w:rPr>
        <w:t>83</w:t>
      </w:r>
      <w:r w:rsidRPr="00622F40">
        <w:fldChar w:fldCharType="end"/>
      </w:r>
      <w:r w:rsidRPr="00622F40">
        <w:rPr>
          <w:noProof/>
        </w:rPr>
        <w:t xml:space="preserve"> : GHG emissions for enteric fermentation of non-dairy cattle (CR</w:t>
      </w:r>
      <w:r>
        <w:rPr>
          <w:noProof/>
        </w:rPr>
        <w:t>T</w:t>
      </w:r>
      <w:r w:rsidRPr="00622F40">
        <w:rPr>
          <w:noProof/>
        </w:rPr>
        <w:t xml:space="preserve"> 3A1b) (kt CO</w:t>
      </w:r>
      <w:r w:rsidRPr="00622F40">
        <w:rPr>
          <w:noProof/>
          <w:vertAlign w:val="subscript"/>
        </w:rPr>
        <w:t>2</w:t>
      </w:r>
      <w:r w:rsidRPr="00622F40">
        <w:rPr>
          <w:noProof/>
        </w:rPr>
        <w:t>e)</w:t>
      </w:r>
      <w:bookmarkEnd w:id="627"/>
    </w:p>
    <w:p w14:paraId="37549218" w14:textId="77777777" w:rsidR="00475E17" w:rsidRDefault="00475E17" w:rsidP="009E0457">
      <w:pPr>
        <w:pStyle w:val="BodyText"/>
        <w:rPr>
          <w:lang w:eastAsia="fr-FR"/>
        </w:rPr>
      </w:pPr>
    </w:p>
    <w:p w14:paraId="68BF5D82" w14:textId="7D10C258" w:rsidR="00FF5237" w:rsidRDefault="007B2433" w:rsidP="009E0457">
      <w:pPr>
        <w:pStyle w:val="BodyText"/>
        <w:rPr>
          <w:lang w:eastAsia="fr-FR"/>
        </w:rPr>
      </w:pPr>
      <w:r w:rsidRPr="002462F0">
        <w:rPr>
          <w:lang w:eastAsia="fr-FR"/>
        </w:rPr>
        <w:t>In 20</w:t>
      </w:r>
      <w:r w:rsidR="0016576E">
        <w:rPr>
          <w:lang w:eastAsia="fr-FR"/>
        </w:rPr>
        <w:t>22</w:t>
      </w:r>
      <w:r w:rsidRPr="002462F0">
        <w:rPr>
          <w:lang w:eastAsia="fr-FR"/>
        </w:rPr>
        <w:t xml:space="preserve">, the </w:t>
      </w:r>
      <w:r w:rsidR="00FF2718">
        <w:rPr>
          <w:lang w:eastAsia="fr-FR"/>
        </w:rPr>
        <w:t xml:space="preserve">CRT </w:t>
      </w:r>
      <w:r w:rsidRPr="002462F0">
        <w:rPr>
          <w:lang w:eastAsia="fr-FR"/>
        </w:rPr>
        <w:t>3A1a (dairy cattle) sector is a key category for CH</w:t>
      </w:r>
      <w:r w:rsidRPr="002462F0">
        <w:rPr>
          <w:vertAlign w:val="subscript"/>
          <w:lang w:eastAsia="fr-FR"/>
        </w:rPr>
        <w:t>4</w:t>
      </w:r>
      <w:r w:rsidRPr="002462F0">
        <w:rPr>
          <w:lang w:eastAsia="fr-FR"/>
        </w:rPr>
        <w:t xml:space="preserve"> emissions in</w:t>
      </w:r>
      <w:r w:rsidR="00E17E8D">
        <w:rPr>
          <w:lang w:eastAsia="fr-FR"/>
        </w:rPr>
        <w:t xml:space="preserve"> the Republic of</w:t>
      </w:r>
      <w:r w:rsidRPr="002462F0">
        <w:rPr>
          <w:lang w:eastAsia="fr-FR"/>
        </w:rPr>
        <w:t xml:space="preserve"> Serbia</w:t>
      </w:r>
      <w:r w:rsidR="00E17E8D">
        <w:rPr>
          <w:lang w:eastAsia="fr-FR"/>
        </w:rPr>
        <w:t xml:space="preserve">, both in terms of emission levels and </w:t>
      </w:r>
      <w:r w:rsidR="008762D9">
        <w:rPr>
          <w:lang w:eastAsia="fr-FR"/>
        </w:rPr>
        <w:t>trend</w:t>
      </w:r>
      <w:r w:rsidRPr="002462F0">
        <w:rPr>
          <w:lang w:eastAsia="fr-FR"/>
        </w:rPr>
        <w:t xml:space="preserve">. This sector contributes to </w:t>
      </w:r>
      <w:r w:rsidR="007F01B4" w:rsidRPr="007F01B4">
        <w:rPr>
          <w:lang w:eastAsia="fr-FR"/>
        </w:rPr>
        <w:t>1.</w:t>
      </w:r>
      <w:r w:rsidR="00605CC5">
        <w:rPr>
          <w:lang w:eastAsia="fr-FR"/>
        </w:rPr>
        <w:t>6</w:t>
      </w:r>
      <w:r w:rsidRPr="002462F0">
        <w:rPr>
          <w:lang w:eastAsia="fr-FR"/>
        </w:rPr>
        <w:t xml:space="preserve">% in terms of emissions level (rank </w:t>
      </w:r>
      <w:r w:rsidR="00605CC5">
        <w:rPr>
          <w:lang w:eastAsia="fr-FR"/>
        </w:rPr>
        <w:t>8</w:t>
      </w:r>
      <w:r w:rsidRPr="002462F0">
        <w:rPr>
          <w:lang w:eastAsia="fr-FR"/>
        </w:rPr>
        <w:t xml:space="preserve">) and </w:t>
      </w:r>
      <w:r w:rsidR="009F744F">
        <w:rPr>
          <w:lang w:eastAsia="fr-FR"/>
        </w:rPr>
        <w:t>2.2</w:t>
      </w:r>
      <w:r w:rsidRPr="002462F0">
        <w:rPr>
          <w:lang w:eastAsia="fr-FR"/>
        </w:rPr>
        <w:t>% in t</w:t>
      </w:r>
      <w:r w:rsidR="007F01B4">
        <w:rPr>
          <w:lang w:eastAsia="fr-FR"/>
        </w:rPr>
        <w:t>erms of emissions trend (rank 1</w:t>
      </w:r>
      <w:r w:rsidR="009F744F">
        <w:rPr>
          <w:lang w:eastAsia="fr-FR"/>
        </w:rPr>
        <w:t>2</w:t>
      </w:r>
      <w:r w:rsidRPr="002462F0">
        <w:rPr>
          <w:lang w:eastAsia="fr-FR"/>
        </w:rPr>
        <w:t xml:space="preserve">). </w:t>
      </w:r>
    </w:p>
    <w:p w14:paraId="0FB10D19" w14:textId="12121695" w:rsidR="007B2433" w:rsidRPr="002462F0" w:rsidRDefault="007B2433" w:rsidP="009E0457">
      <w:pPr>
        <w:pStyle w:val="BodyText"/>
        <w:rPr>
          <w:lang w:val="en-US" w:eastAsia="fr-FR"/>
        </w:rPr>
      </w:pPr>
      <w:r w:rsidRPr="002462F0">
        <w:rPr>
          <w:lang w:eastAsia="fr-FR"/>
        </w:rPr>
        <w:t>In 20</w:t>
      </w:r>
      <w:r w:rsidR="00E17E8D">
        <w:rPr>
          <w:lang w:eastAsia="fr-FR"/>
        </w:rPr>
        <w:t>22</w:t>
      </w:r>
      <w:r w:rsidRPr="002462F0">
        <w:rPr>
          <w:lang w:eastAsia="fr-FR"/>
        </w:rPr>
        <w:t xml:space="preserve">, the </w:t>
      </w:r>
      <w:r w:rsidR="00FF2718">
        <w:rPr>
          <w:lang w:eastAsia="fr-FR"/>
        </w:rPr>
        <w:t xml:space="preserve">CRT </w:t>
      </w:r>
      <w:r w:rsidRPr="002462F0">
        <w:rPr>
          <w:lang w:eastAsia="fr-FR"/>
        </w:rPr>
        <w:t xml:space="preserve">3A1b (non-dairy cattle) sector is a key category </w:t>
      </w:r>
      <w:r w:rsidR="009F744F">
        <w:rPr>
          <w:lang w:eastAsia="fr-FR"/>
        </w:rPr>
        <w:t xml:space="preserve">both in </w:t>
      </w:r>
      <w:r w:rsidRPr="002462F0">
        <w:rPr>
          <w:lang w:eastAsia="fr-FR"/>
        </w:rPr>
        <w:t xml:space="preserve">emission level </w:t>
      </w:r>
      <w:r w:rsidRPr="007F01B4">
        <w:rPr>
          <w:lang w:eastAsia="fr-FR"/>
        </w:rPr>
        <w:t>(1.</w:t>
      </w:r>
      <w:r w:rsidR="009F744F">
        <w:rPr>
          <w:lang w:eastAsia="fr-FR"/>
        </w:rPr>
        <w:t>1</w:t>
      </w:r>
      <w:r w:rsidR="007F01B4" w:rsidRPr="007F01B4">
        <w:rPr>
          <w:lang w:eastAsia="fr-FR"/>
        </w:rPr>
        <w:t>%</w:t>
      </w:r>
      <w:r w:rsidR="007F01B4">
        <w:rPr>
          <w:lang w:eastAsia="fr-FR"/>
        </w:rPr>
        <w:t xml:space="preserve"> of total emissions, rank 1</w:t>
      </w:r>
      <w:r w:rsidR="009F744F">
        <w:rPr>
          <w:lang w:eastAsia="fr-FR"/>
        </w:rPr>
        <w:t>3</w:t>
      </w:r>
      <w:r w:rsidRPr="002462F0">
        <w:rPr>
          <w:lang w:eastAsia="fr-FR"/>
        </w:rPr>
        <w:t>)</w:t>
      </w:r>
      <w:r w:rsidR="002F5A1F">
        <w:rPr>
          <w:lang w:eastAsia="fr-FR"/>
        </w:rPr>
        <w:t xml:space="preserve"> and in emission trend (</w:t>
      </w:r>
      <w:r w:rsidR="000D017A">
        <w:rPr>
          <w:lang w:eastAsia="fr-FR"/>
        </w:rPr>
        <w:t>1.0% of contribution, rank 23)</w:t>
      </w:r>
      <w:r w:rsidRPr="002462F0">
        <w:rPr>
          <w:lang w:eastAsia="fr-FR"/>
        </w:rPr>
        <w:t>.</w:t>
      </w:r>
    </w:p>
    <w:p w14:paraId="16502E68" w14:textId="15FE228D" w:rsidR="007B2433" w:rsidRDefault="007B2433" w:rsidP="007B2433">
      <w:pPr>
        <w:pStyle w:val="Titre4Bleu"/>
        <w:rPr>
          <w:lang w:val="en-GB" w:eastAsia="fr-FR"/>
        </w:rPr>
      </w:pPr>
      <w:bookmarkStart w:id="628" w:name="_Toc182327898"/>
      <w:r w:rsidRPr="002462F0">
        <w:rPr>
          <w:lang w:eastAsia="fr-FR"/>
        </w:rPr>
        <w:t>Methodological issues</w:t>
      </w:r>
      <w:bookmarkEnd w:id="628"/>
      <w:r w:rsidRPr="002462F0">
        <w:rPr>
          <w:lang w:val="en-GB" w:eastAsia="fr-FR"/>
        </w:rPr>
        <w:t xml:space="preserve"> </w:t>
      </w:r>
    </w:p>
    <w:p w14:paraId="683540D3" w14:textId="6AE9D017" w:rsidR="000050A4" w:rsidRPr="002462F0" w:rsidRDefault="000050A4" w:rsidP="000050A4">
      <w:pPr>
        <w:pStyle w:val="BodyText"/>
        <w:rPr>
          <w:lang w:val="en-US" w:eastAsia="fr-FR"/>
        </w:rPr>
      </w:pPr>
      <w:r w:rsidRPr="002462F0">
        <w:rPr>
          <w:lang w:val="en-US" w:eastAsia="fr-FR"/>
        </w:rPr>
        <w:t xml:space="preserve">Emissions of </w:t>
      </w:r>
      <w:r w:rsidR="000B3E09">
        <w:rPr>
          <w:lang w:val="en-US" w:eastAsia="fr-FR"/>
        </w:rPr>
        <w:t>CH</w:t>
      </w:r>
      <w:r w:rsidR="000B3E09" w:rsidRPr="00622F40">
        <w:rPr>
          <w:vertAlign w:val="subscript"/>
          <w:lang w:val="en-US" w:eastAsia="fr-FR"/>
        </w:rPr>
        <w:t>4</w:t>
      </w:r>
      <w:r w:rsidR="000B3E09">
        <w:rPr>
          <w:lang w:val="en-US" w:eastAsia="fr-FR"/>
        </w:rPr>
        <w:t xml:space="preserve"> </w:t>
      </w:r>
      <w:r w:rsidRPr="002462F0">
        <w:rPr>
          <w:lang w:val="en-US" w:eastAsia="fr-FR"/>
        </w:rPr>
        <w:t xml:space="preserve">from </w:t>
      </w:r>
      <w:r w:rsidR="0003002C">
        <w:rPr>
          <w:lang w:val="en-US" w:eastAsia="fr-FR"/>
        </w:rPr>
        <w:t>enteric fermentation</w:t>
      </w:r>
      <w:r w:rsidRPr="002462F0">
        <w:rPr>
          <w:lang w:val="en-US" w:eastAsia="fr-FR"/>
        </w:rPr>
        <w:t xml:space="preserve"> are calculated </w:t>
      </w:r>
      <w:r w:rsidR="009C425F">
        <w:rPr>
          <w:lang w:val="en-US" w:eastAsia="fr-FR"/>
        </w:rPr>
        <w:t xml:space="preserve">with a Tier 1 </w:t>
      </w:r>
      <w:r w:rsidRPr="002462F0">
        <w:rPr>
          <w:lang w:val="en-US" w:eastAsia="fr-FR"/>
        </w:rPr>
        <w:t xml:space="preserve">approach which is in line with the 2006 IPCC Guidelines </w:t>
      </w:r>
      <w:r w:rsidR="009C425F">
        <w:rPr>
          <w:lang w:val="en-US" w:eastAsia="fr-FR"/>
        </w:rPr>
        <w:fldChar w:fldCharType="begin"/>
      </w:r>
      <w:r w:rsidR="009C425F">
        <w:rPr>
          <w:lang w:val="en-US" w:eastAsia="fr-FR"/>
        </w:rPr>
        <w:instrText xml:space="preserve"> REF _Ref496712799 \r \h </w:instrText>
      </w:r>
      <w:r w:rsidR="009C425F">
        <w:rPr>
          <w:lang w:val="en-US" w:eastAsia="fr-FR"/>
        </w:rPr>
      </w:r>
      <w:r w:rsidR="009C425F">
        <w:rPr>
          <w:lang w:val="en-US" w:eastAsia="fr-FR"/>
        </w:rPr>
        <w:fldChar w:fldCharType="separate"/>
      </w:r>
      <w:r w:rsidR="00F14C78">
        <w:rPr>
          <w:lang w:val="en-US" w:eastAsia="fr-FR"/>
        </w:rPr>
        <w:t>[A1]</w:t>
      </w:r>
      <w:r w:rsidR="009C425F">
        <w:rPr>
          <w:lang w:val="en-US" w:eastAsia="fr-FR"/>
        </w:rPr>
        <w:fldChar w:fldCharType="end"/>
      </w:r>
      <w:r w:rsidRPr="002462F0">
        <w:rPr>
          <w:lang w:val="en-US" w:eastAsia="fr-FR"/>
        </w:rPr>
        <w:t xml:space="preserve">. </w:t>
      </w:r>
    </w:p>
    <w:p w14:paraId="5E04C7B3" w14:textId="1D188892" w:rsidR="000050A4" w:rsidRPr="002462F0" w:rsidRDefault="000050A4" w:rsidP="000050A4">
      <w:pPr>
        <w:pStyle w:val="BodyText"/>
        <w:rPr>
          <w:lang w:val="en-US" w:eastAsia="fr-FR"/>
        </w:rPr>
      </w:pPr>
      <w:r w:rsidRPr="002462F0">
        <w:rPr>
          <w:lang w:val="en-US" w:eastAsia="fr-FR"/>
        </w:rPr>
        <w:t xml:space="preserve">Activity data used </w:t>
      </w:r>
      <w:r w:rsidR="000D017A">
        <w:rPr>
          <w:lang w:val="en-US" w:eastAsia="fr-FR"/>
        </w:rPr>
        <w:t>are the</w:t>
      </w:r>
      <w:r w:rsidR="000D017A" w:rsidRPr="002462F0">
        <w:rPr>
          <w:lang w:val="en-US" w:eastAsia="fr-FR"/>
        </w:rPr>
        <w:t xml:space="preserve"> </w:t>
      </w:r>
      <w:r w:rsidR="009C425F">
        <w:rPr>
          <w:lang w:val="en-US" w:eastAsia="fr-FR"/>
        </w:rPr>
        <w:t>annual livestock (average population in heads)</w:t>
      </w:r>
      <w:r w:rsidR="000D017A">
        <w:rPr>
          <w:lang w:val="en-US" w:eastAsia="fr-FR"/>
        </w:rPr>
        <w:t>, for each subcategor</w:t>
      </w:r>
      <w:r w:rsidR="00056769">
        <w:rPr>
          <w:lang w:val="en-US" w:eastAsia="fr-FR"/>
        </w:rPr>
        <w:t>y</w:t>
      </w:r>
      <w:r w:rsidRPr="002462F0">
        <w:rPr>
          <w:lang w:val="en-US" w:eastAsia="fr-FR"/>
        </w:rPr>
        <w:t xml:space="preserve">. </w:t>
      </w:r>
      <w:r w:rsidR="009C425F">
        <w:rPr>
          <w:lang w:val="en-US" w:eastAsia="fr-FR"/>
        </w:rPr>
        <w:t xml:space="preserve">These activity data </w:t>
      </w:r>
      <w:r w:rsidRPr="002462F0">
        <w:rPr>
          <w:lang w:val="en-US" w:eastAsia="fr-FR"/>
        </w:rPr>
        <w:t xml:space="preserve">for the </w:t>
      </w:r>
      <w:r w:rsidR="0003002C">
        <w:rPr>
          <w:lang w:val="en-US" w:eastAsia="fr-FR"/>
        </w:rPr>
        <w:t>entire</w:t>
      </w:r>
      <w:r w:rsidRPr="002462F0">
        <w:rPr>
          <w:lang w:val="en-US" w:eastAsia="fr-FR"/>
        </w:rPr>
        <w:t xml:space="preserve"> time </w:t>
      </w:r>
      <w:r w:rsidR="009C425F">
        <w:rPr>
          <w:lang w:val="en-US" w:eastAsia="fr-FR"/>
        </w:rPr>
        <w:t>series</w:t>
      </w:r>
      <w:r w:rsidRPr="002462F0">
        <w:rPr>
          <w:lang w:val="en-US" w:eastAsia="fr-FR"/>
        </w:rPr>
        <w:t xml:space="preserve"> </w:t>
      </w:r>
      <w:r w:rsidR="000D017A">
        <w:rPr>
          <w:lang w:val="en-US" w:eastAsia="fr-FR"/>
        </w:rPr>
        <w:t xml:space="preserve">are taken </w:t>
      </w:r>
      <w:r w:rsidRPr="002462F0">
        <w:rPr>
          <w:lang w:val="en-US" w:eastAsia="fr-FR"/>
        </w:rPr>
        <w:t xml:space="preserve">from </w:t>
      </w:r>
      <w:r w:rsidR="009C425F">
        <w:rPr>
          <w:lang w:val="en-US" w:eastAsia="fr-FR"/>
        </w:rPr>
        <w:t>the Serbian Statistical Yearbook</w:t>
      </w:r>
      <w:r w:rsidRPr="002462F0">
        <w:rPr>
          <w:lang w:val="en-US" w:eastAsia="fr-FR"/>
        </w:rPr>
        <w:t xml:space="preserve"> </w:t>
      </w:r>
      <w:r w:rsidR="009623CE">
        <w:rPr>
          <w:lang w:val="en-US" w:eastAsia="fr-FR"/>
        </w:rPr>
        <w:fldChar w:fldCharType="begin"/>
      </w:r>
      <w:r w:rsidR="009623CE">
        <w:rPr>
          <w:lang w:val="en-US" w:eastAsia="fr-FR"/>
        </w:rPr>
        <w:instrText xml:space="preserve"> REF _Ref496713080 \r \h </w:instrText>
      </w:r>
      <w:r w:rsidR="009623CE">
        <w:rPr>
          <w:lang w:val="en-US" w:eastAsia="fr-FR"/>
        </w:rPr>
      </w:r>
      <w:r w:rsidR="009623CE">
        <w:rPr>
          <w:lang w:val="en-US" w:eastAsia="fr-FR"/>
        </w:rPr>
        <w:fldChar w:fldCharType="separate"/>
      </w:r>
      <w:r w:rsidR="00F14C78">
        <w:rPr>
          <w:lang w:val="en-US" w:eastAsia="fr-FR"/>
        </w:rPr>
        <w:t>[A2]</w:t>
      </w:r>
      <w:r w:rsidR="009623CE">
        <w:rPr>
          <w:lang w:val="en-US" w:eastAsia="fr-FR"/>
        </w:rPr>
        <w:fldChar w:fldCharType="end"/>
      </w:r>
      <w:r w:rsidRPr="002462F0">
        <w:rPr>
          <w:lang w:val="en-US" w:eastAsia="fr-FR"/>
        </w:rPr>
        <w:t>.</w:t>
      </w:r>
    </w:p>
    <w:p w14:paraId="786E1130" w14:textId="68684168" w:rsidR="000050A4" w:rsidRPr="002462F0" w:rsidRDefault="000050A4" w:rsidP="000050A4">
      <w:pPr>
        <w:pStyle w:val="BodyText"/>
        <w:rPr>
          <w:lang w:val="en-US" w:eastAsia="fr-FR"/>
        </w:rPr>
      </w:pPr>
      <w:r w:rsidRPr="002462F0">
        <w:rPr>
          <w:lang w:val="en-US" w:eastAsia="fr-FR"/>
        </w:rPr>
        <w:t>Emission factors used for calculating CH</w:t>
      </w:r>
      <w:r w:rsidRPr="002462F0">
        <w:rPr>
          <w:vertAlign w:val="subscript"/>
          <w:lang w:val="en-US" w:eastAsia="fr-FR"/>
        </w:rPr>
        <w:t>4</w:t>
      </w:r>
      <w:r w:rsidR="009C425F">
        <w:rPr>
          <w:lang w:val="en-US" w:eastAsia="fr-FR"/>
        </w:rPr>
        <w:t xml:space="preserve"> </w:t>
      </w:r>
      <w:r w:rsidRPr="002462F0">
        <w:rPr>
          <w:lang w:val="en-US" w:eastAsia="fr-FR"/>
        </w:rPr>
        <w:t xml:space="preserve">emissions </w:t>
      </w:r>
      <w:r w:rsidR="00440E68">
        <w:rPr>
          <w:lang w:val="en-US" w:eastAsia="fr-FR"/>
        </w:rPr>
        <w:t>are sourced</w:t>
      </w:r>
      <w:r w:rsidRPr="002462F0">
        <w:rPr>
          <w:lang w:val="en-US" w:eastAsia="fr-FR"/>
        </w:rPr>
        <w:t xml:space="preserve"> from 2006 IPCC guidelines </w:t>
      </w:r>
      <w:r w:rsidR="009623CE">
        <w:rPr>
          <w:lang w:val="en-US" w:eastAsia="fr-FR"/>
        </w:rPr>
        <w:fldChar w:fldCharType="begin"/>
      </w:r>
      <w:r w:rsidR="009623CE">
        <w:rPr>
          <w:lang w:val="en-US" w:eastAsia="fr-FR"/>
        </w:rPr>
        <w:instrText xml:space="preserve"> REF _Ref496713086 \r \h </w:instrText>
      </w:r>
      <w:r w:rsidR="009623CE">
        <w:rPr>
          <w:lang w:val="en-US" w:eastAsia="fr-FR"/>
        </w:rPr>
      </w:r>
      <w:r w:rsidR="009623CE">
        <w:rPr>
          <w:lang w:val="en-US" w:eastAsia="fr-FR"/>
        </w:rPr>
        <w:fldChar w:fldCharType="separate"/>
      </w:r>
      <w:r w:rsidR="00F14C78">
        <w:rPr>
          <w:lang w:val="en-US" w:eastAsia="fr-FR"/>
        </w:rPr>
        <w:t>[A3]</w:t>
      </w:r>
      <w:r w:rsidR="009623CE">
        <w:rPr>
          <w:lang w:val="en-US" w:eastAsia="fr-FR"/>
        </w:rPr>
        <w:fldChar w:fldCharType="end"/>
      </w:r>
      <w:r w:rsidRPr="002462F0">
        <w:rPr>
          <w:lang w:val="en-US" w:eastAsia="fr-FR"/>
        </w:rPr>
        <w:t>.</w:t>
      </w:r>
      <w:r w:rsidR="000D017A">
        <w:rPr>
          <w:lang w:val="en-US" w:eastAsia="fr-FR"/>
        </w:rPr>
        <w:t xml:space="preserve"> </w:t>
      </w:r>
      <w:r w:rsidR="007951C3">
        <w:rPr>
          <w:lang w:val="en-US" w:eastAsia="fr-FR"/>
        </w:rPr>
        <w:t>They are</w:t>
      </w:r>
      <w:r w:rsidR="0096304F">
        <w:rPr>
          <w:lang w:val="en-US" w:eastAsia="fr-FR"/>
        </w:rPr>
        <w:t xml:space="preserve"> </w:t>
      </w:r>
      <w:r w:rsidR="007951C3">
        <w:rPr>
          <w:lang w:val="en-US" w:eastAsia="fr-FR"/>
        </w:rPr>
        <w:t>of 93 kg CH</w:t>
      </w:r>
      <w:r w:rsidR="007951C3" w:rsidRPr="00622F40">
        <w:rPr>
          <w:vertAlign w:val="subscript"/>
          <w:lang w:val="en-US" w:eastAsia="fr-FR"/>
        </w:rPr>
        <w:t>4</w:t>
      </w:r>
      <w:r w:rsidR="007951C3">
        <w:rPr>
          <w:lang w:val="en-US" w:eastAsia="fr-FR"/>
        </w:rPr>
        <w:t xml:space="preserve">/head/year for dairy cattle and </w:t>
      </w:r>
      <w:r w:rsidR="009D03F0">
        <w:rPr>
          <w:lang w:val="en-US" w:eastAsia="fr-FR"/>
        </w:rPr>
        <w:t>58 kg CH</w:t>
      </w:r>
      <w:r w:rsidR="009D03F0" w:rsidRPr="001F0275">
        <w:rPr>
          <w:vertAlign w:val="subscript"/>
          <w:lang w:val="en-US" w:eastAsia="fr-FR"/>
        </w:rPr>
        <w:t>4</w:t>
      </w:r>
      <w:r w:rsidR="009D03F0">
        <w:rPr>
          <w:lang w:val="en-US" w:eastAsia="fr-FR"/>
        </w:rPr>
        <w:t>/head/year for other cattle.</w:t>
      </w:r>
    </w:p>
    <w:p w14:paraId="46D83F31" w14:textId="77777777" w:rsidR="00090E2F" w:rsidRDefault="00090E2F">
      <w:pPr>
        <w:jc w:val="left"/>
        <w:rPr>
          <w:b/>
          <w:color w:val="233F85"/>
          <w:sz w:val="28"/>
          <w:szCs w:val="32"/>
          <w:lang w:val="en-US" w:eastAsia="fr-FR"/>
        </w:rPr>
      </w:pPr>
      <w:r>
        <w:rPr>
          <w:lang w:eastAsia="fr-FR"/>
        </w:rPr>
        <w:br w:type="page"/>
      </w:r>
    </w:p>
    <w:p w14:paraId="1D1119B6" w14:textId="237D97C0" w:rsidR="007B2433" w:rsidRPr="002462F0" w:rsidRDefault="007B2433" w:rsidP="007B2433">
      <w:pPr>
        <w:pStyle w:val="Heading3"/>
        <w:ind w:left="1430"/>
        <w:rPr>
          <w:lang w:eastAsia="fr-FR"/>
        </w:rPr>
      </w:pPr>
      <w:bookmarkStart w:id="629" w:name="_Toc182327899"/>
      <w:bookmarkStart w:id="630" w:name="_Toc184808255"/>
      <w:r w:rsidRPr="002462F0">
        <w:rPr>
          <w:lang w:eastAsia="fr-FR"/>
        </w:rPr>
        <w:lastRenderedPageBreak/>
        <w:t>Sheep (</w:t>
      </w:r>
      <w:r w:rsidR="00FF2718">
        <w:rPr>
          <w:lang w:eastAsia="fr-FR"/>
        </w:rPr>
        <w:t xml:space="preserve">CRT </w:t>
      </w:r>
      <w:r w:rsidRPr="002462F0">
        <w:rPr>
          <w:lang w:eastAsia="fr-FR"/>
        </w:rPr>
        <w:t>3A2)</w:t>
      </w:r>
      <w:bookmarkEnd w:id="629"/>
      <w:bookmarkEnd w:id="630"/>
    </w:p>
    <w:p w14:paraId="34140AFF" w14:textId="77777777" w:rsidR="007B2433" w:rsidRPr="002462F0" w:rsidRDefault="007B2433" w:rsidP="007B2433">
      <w:pPr>
        <w:pStyle w:val="Titre4Bleu"/>
        <w:rPr>
          <w:lang w:eastAsia="fr-FR"/>
        </w:rPr>
      </w:pPr>
      <w:bookmarkStart w:id="631" w:name="_Toc182327900"/>
      <w:r w:rsidRPr="002462F0">
        <w:rPr>
          <w:lang w:eastAsia="fr-FR"/>
        </w:rPr>
        <w:t>Category description</w:t>
      </w:r>
      <w:bookmarkEnd w:id="631"/>
      <w:r w:rsidRPr="002462F0">
        <w:rPr>
          <w:lang w:eastAsia="fr-FR"/>
        </w:rPr>
        <w:t xml:space="preserve"> </w:t>
      </w:r>
    </w:p>
    <w:p w14:paraId="62A2AA16" w14:textId="16862BF2" w:rsidR="009D03F0" w:rsidRDefault="009D03F0" w:rsidP="009D03F0">
      <w:pPr>
        <w:pStyle w:val="BodyText"/>
        <w:rPr>
          <w:lang w:eastAsia="fr-FR"/>
        </w:rPr>
      </w:pPr>
      <w:r>
        <w:rPr>
          <w:lang w:eastAsia="fr-FR"/>
        </w:rPr>
        <w:t xml:space="preserve">The enteric fermentation for </w:t>
      </w:r>
      <w:r w:rsidR="00CF62D7">
        <w:rPr>
          <w:lang w:eastAsia="fr-FR"/>
        </w:rPr>
        <w:t>CRT 3A2 is based only on the population of sheep, without further distinction.</w:t>
      </w:r>
      <w:r>
        <w:rPr>
          <w:lang w:eastAsia="fr-FR"/>
        </w:rPr>
        <w:t xml:space="preserve"> </w:t>
      </w:r>
      <w:r w:rsidR="0062684D">
        <w:rPr>
          <w:lang w:eastAsia="fr-FR"/>
        </w:rPr>
        <w:t xml:space="preserve">The population of sheep </w:t>
      </w:r>
      <w:r>
        <w:rPr>
          <w:lang w:eastAsia="fr-FR"/>
        </w:rPr>
        <w:t xml:space="preserve">can be observed </w:t>
      </w:r>
      <w:r w:rsidR="0062684D">
        <w:rPr>
          <w:lang w:eastAsia="fr-FR"/>
        </w:rPr>
        <w:t xml:space="preserve">to be varying over the timeseries, being rather stable overall </w:t>
      </w:r>
      <w:r w:rsidR="00B428B2">
        <w:rPr>
          <w:lang w:eastAsia="fr-FR"/>
        </w:rPr>
        <w:t>although a slight decline of 12% is recorded between 1990 and 2022</w:t>
      </w:r>
      <w:r>
        <w:rPr>
          <w:lang w:eastAsia="fr-FR"/>
        </w:rPr>
        <w:t xml:space="preserve">. </w:t>
      </w:r>
      <w:r w:rsidR="00A77903">
        <w:rPr>
          <w:lang w:eastAsia="fr-FR"/>
        </w:rPr>
        <w:t xml:space="preserve">The total number of sheep in 2022 is </w:t>
      </w:r>
      <w:r w:rsidR="00D45901">
        <w:rPr>
          <w:lang w:eastAsia="fr-FR"/>
        </w:rPr>
        <w:t xml:space="preserve">around 1,721,000 </w:t>
      </w:r>
      <w:r w:rsidR="00F70CD2">
        <w:rPr>
          <w:lang w:eastAsia="fr-FR"/>
        </w:rPr>
        <w:t xml:space="preserve">heads. </w:t>
      </w:r>
      <w:r w:rsidR="00AF79DA">
        <w:rPr>
          <w:lang w:eastAsia="fr-FR"/>
        </w:rPr>
        <w:t xml:space="preserve">Except the </w:t>
      </w:r>
      <w:r w:rsidR="0012579B">
        <w:rPr>
          <w:lang w:eastAsia="fr-FR"/>
        </w:rPr>
        <w:t>sudden decline observed in 1992, a slow progressive reduction is observed until 2002</w:t>
      </w:r>
      <w:r w:rsidR="002549A8">
        <w:rPr>
          <w:lang w:eastAsia="fr-FR"/>
        </w:rPr>
        <w:t>, and after some variations between 2002 and 2011</w:t>
      </w:r>
      <w:r w:rsidR="00086387">
        <w:rPr>
          <w:lang w:eastAsia="fr-FR"/>
        </w:rPr>
        <w:t>, a slight increase is observed for the period 2011-2022.</w:t>
      </w:r>
    </w:p>
    <w:p w14:paraId="376249CA" w14:textId="4F2EE985" w:rsidR="009D03F0" w:rsidRDefault="005A02B2" w:rsidP="00475E17">
      <w:pPr>
        <w:pStyle w:val="BodyText"/>
        <w:spacing w:after="0"/>
        <w:jc w:val="left"/>
        <w:rPr>
          <w:lang w:eastAsia="fr-FR"/>
        </w:rPr>
      </w:pPr>
      <w:r>
        <w:rPr>
          <w:noProof/>
          <w:lang w:val="en-US"/>
        </w:rPr>
        <w:drawing>
          <wp:inline distT="0" distB="0" distL="0" distR="0" wp14:anchorId="3569F0B6" wp14:editId="18E5EB00">
            <wp:extent cx="5760000" cy="3118743"/>
            <wp:effectExtent l="0" t="0" r="0" b="5715"/>
            <wp:docPr id="459591965"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000" cy="3118743"/>
                    </a:xfrm>
                    <a:prstGeom prst="rect">
                      <a:avLst/>
                    </a:prstGeom>
                    <a:noFill/>
                  </pic:spPr>
                </pic:pic>
              </a:graphicData>
            </a:graphic>
          </wp:inline>
        </w:drawing>
      </w:r>
    </w:p>
    <w:p w14:paraId="67E5BDD2" w14:textId="77777777" w:rsidR="00475E17" w:rsidRDefault="00475E17" w:rsidP="00475E17">
      <w:pPr>
        <w:pStyle w:val="Caption"/>
        <w:keepNext/>
        <w:spacing w:before="0" w:after="0"/>
        <w:jc w:val="left"/>
        <w:rPr>
          <w:noProof/>
        </w:rPr>
      </w:pPr>
      <w:bookmarkStart w:id="632" w:name="_Toc184808471"/>
      <w:r w:rsidRPr="001F0275">
        <w:t xml:space="preserve">Figure </w:t>
      </w:r>
      <w:r w:rsidRPr="001F0275">
        <w:fldChar w:fldCharType="begin"/>
      </w:r>
      <w:r w:rsidRPr="001F0275">
        <w:instrText xml:space="preserve"> SEQ Figure \* ARABIC </w:instrText>
      </w:r>
      <w:r w:rsidRPr="001F0275">
        <w:fldChar w:fldCharType="separate"/>
      </w:r>
      <w:r>
        <w:rPr>
          <w:noProof/>
        </w:rPr>
        <w:t>84</w:t>
      </w:r>
      <w:r w:rsidRPr="001F0275">
        <w:fldChar w:fldCharType="end"/>
      </w:r>
      <w:r w:rsidRPr="001F0275">
        <w:rPr>
          <w:noProof/>
        </w:rPr>
        <w:t xml:space="preserve"> : </w:t>
      </w:r>
      <w:r>
        <w:rPr>
          <w:noProof/>
        </w:rPr>
        <w:t>Livestock evolution for</w:t>
      </w:r>
      <w:r w:rsidRPr="001F0275">
        <w:rPr>
          <w:noProof/>
        </w:rPr>
        <w:t xml:space="preserve"> </w:t>
      </w:r>
      <w:r>
        <w:rPr>
          <w:noProof/>
        </w:rPr>
        <w:t>sheep, in number of heads, for the period 1990-2022</w:t>
      </w:r>
      <w:bookmarkEnd w:id="632"/>
    </w:p>
    <w:p w14:paraId="43ECA0E8" w14:textId="77777777" w:rsidR="00475E17" w:rsidRDefault="00475E17" w:rsidP="00622F40"/>
    <w:p w14:paraId="63C41E4A" w14:textId="6BD4206B" w:rsidR="009D03F0" w:rsidRPr="00622F40" w:rsidRDefault="009D03F0" w:rsidP="00622F40">
      <w:r>
        <w:t>The evolutions of CH</w:t>
      </w:r>
      <w:r w:rsidRPr="001F0275">
        <w:rPr>
          <w:vertAlign w:val="subscript"/>
        </w:rPr>
        <w:t>4</w:t>
      </w:r>
      <w:r>
        <w:t xml:space="preserve"> emissions for the CRT </w:t>
      </w:r>
      <w:r w:rsidR="00086387">
        <w:t>3A2</w:t>
      </w:r>
      <w:r>
        <w:t xml:space="preserve"> are </w:t>
      </w:r>
      <w:r w:rsidR="00086387">
        <w:t xml:space="preserve">directly </w:t>
      </w:r>
      <w:r>
        <w:t xml:space="preserve">proportional to the evolution of the livestock presented in the previous figure. </w:t>
      </w:r>
    </w:p>
    <w:p w14:paraId="084820BF" w14:textId="543BF8B6" w:rsidR="0050367B" w:rsidRDefault="00182BD7" w:rsidP="00475E17">
      <w:pPr>
        <w:pStyle w:val="BodyText"/>
        <w:spacing w:after="0"/>
        <w:jc w:val="left"/>
        <w:rPr>
          <w:lang w:eastAsia="fr-FR"/>
        </w:rPr>
      </w:pPr>
      <w:r>
        <w:rPr>
          <w:noProof/>
          <w:lang w:val="en-US"/>
        </w:rPr>
        <w:drawing>
          <wp:inline distT="0" distB="0" distL="0" distR="0" wp14:anchorId="7C303BA7" wp14:editId="7413FE84">
            <wp:extent cx="5760000" cy="1753712"/>
            <wp:effectExtent l="0" t="0" r="0" b="0"/>
            <wp:docPr id="465012848"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5D18262B" w14:textId="77777777" w:rsidR="00475E17" w:rsidRDefault="00475E17" w:rsidP="00475E17">
      <w:pPr>
        <w:pStyle w:val="Caption"/>
        <w:keepNext/>
        <w:spacing w:before="0" w:after="0"/>
        <w:jc w:val="left"/>
        <w:rPr>
          <w:noProof/>
        </w:rPr>
      </w:pPr>
      <w:bookmarkStart w:id="633" w:name="_Toc184808472"/>
      <w:r w:rsidRPr="00622F40">
        <w:t xml:space="preserve">Figure </w:t>
      </w:r>
      <w:r w:rsidRPr="00622F40">
        <w:fldChar w:fldCharType="begin"/>
      </w:r>
      <w:r w:rsidRPr="00622F40">
        <w:instrText xml:space="preserve"> SEQ Figure \* ARABIC </w:instrText>
      </w:r>
      <w:r w:rsidRPr="00622F40">
        <w:fldChar w:fldCharType="separate"/>
      </w:r>
      <w:r>
        <w:rPr>
          <w:noProof/>
        </w:rPr>
        <w:t>85</w:t>
      </w:r>
      <w:r w:rsidRPr="00622F40">
        <w:fldChar w:fldCharType="end"/>
      </w:r>
      <w:r w:rsidRPr="00622F40">
        <w:rPr>
          <w:noProof/>
        </w:rPr>
        <w:t xml:space="preserve"> : GHG emissions for enteric fermentation of sheep (</w:t>
      </w:r>
      <w:r>
        <w:rPr>
          <w:noProof/>
        </w:rPr>
        <w:t>CRT</w:t>
      </w:r>
      <w:r w:rsidRPr="00622F40">
        <w:rPr>
          <w:noProof/>
        </w:rPr>
        <w:t xml:space="preserve"> 3A2) (kt CO</w:t>
      </w:r>
      <w:r w:rsidRPr="00622F40">
        <w:rPr>
          <w:noProof/>
          <w:vertAlign w:val="subscript"/>
        </w:rPr>
        <w:t>2</w:t>
      </w:r>
      <w:r w:rsidRPr="00622F40">
        <w:rPr>
          <w:noProof/>
        </w:rPr>
        <w:t>e)</w:t>
      </w:r>
      <w:bookmarkEnd w:id="633"/>
    </w:p>
    <w:p w14:paraId="79F8E939" w14:textId="77777777" w:rsidR="00475E17" w:rsidRDefault="00475E17" w:rsidP="009E0457">
      <w:pPr>
        <w:pStyle w:val="BodyText"/>
        <w:rPr>
          <w:lang w:eastAsia="fr-FR"/>
        </w:rPr>
      </w:pPr>
    </w:p>
    <w:p w14:paraId="7FF6B518" w14:textId="49AD90B8" w:rsidR="007B2433" w:rsidRPr="002462F0" w:rsidRDefault="007B2433" w:rsidP="009E0457">
      <w:pPr>
        <w:pStyle w:val="BodyText"/>
        <w:rPr>
          <w:lang w:val="en-US" w:eastAsia="fr-FR"/>
        </w:rPr>
      </w:pPr>
      <w:r w:rsidRPr="002462F0">
        <w:rPr>
          <w:lang w:eastAsia="fr-FR"/>
        </w:rPr>
        <w:t>In 20</w:t>
      </w:r>
      <w:r w:rsidR="00824459">
        <w:rPr>
          <w:lang w:eastAsia="fr-FR"/>
        </w:rPr>
        <w:t>22</w:t>
      </w:r>
      <w:r w:rsidRPr="002462F0">
        <w:rPr>
          <w:lang w:eastAsia="fr-FR"/>
        </w:rPr>
        <w:t xml:space="preserve">, the </w:t>
      </w:r>
      <w:r w:rsidR="00FF2718">
        <w:rPr>
          <w:lang w:eastAsia="fr-FR"/>
        </w:rPr>
        <w:t xml:space="preserve">CRT </w:t>
      </w:r>
      <w:r w:rsidRPr="002462F0">
        <w:rPr>
          <w:lang w:eastAsia="fr-FR"/>
        </w:rPr>
        <w:t>3A2 sector is a key category for CH</w:t>
      </w:r>
      <w:r w:rsidRPr="002462F0">
        <w:rPr>
          <w:vertAlign w:val="subscript"/>
          <w:lang w:eastAsia="fr-FR"/>
        </w:rPr>
        <w:t>4</w:t>
      </w:r>
      <w:r w:rsidRPr="002462F0">
        <w:rPr>
          <w:lang w:eastAsia="fr-FR"/>
        </w:rPr>
        <w:t xml:space="preserve"> emissions in </w:t>
      </w:r>
      <w:r w:rsidR="00E74083">
        <w:rPr>
          <w:lang w:eastAsia="fr-FR"/>
        </w:rPr>
        <w:t xml:space="preserve">the Republic of </w:t>
      </w:r>
      <w:r w:rsidRPr="002462F0">
        <w:rPr>
          <w:lang w:eastAsia="fr-FR"/>
        </w:rPr>
        <w:t>Serbi</w:t>
      </w:r>
      <w:r w:rsidR="0050367B">
        <w:rPr>
          <w:lang w:eastAsia="fr-FR"/>
        </w:rPr>
        <w:t>a</w:t>
      </w:r>
      <w:r w:rsidR="00E74083">
        <w:rPr>
          <w:lang w:eastAsia="fr-FR"/>
        </w:rPr>
        <w:t>, in emission levels but not in emission trend</w:t>
      </w:r>
      <w:r w:rsidR="0050367B">
        <w:rPr>
          <w:lang w:eastAsia="fr-FR"/>
        </w:rPr>
        <w:t xml:space="preserve">. This sector contributes to </w:t>
      </w:r>
      <w:r w:rsidR="0050367B" w:rsidRPr="000E5BC4">
        <w:rPr>
          <w:lang w:eastAsia="fr-FR"/>
        </w:rPr>
        <w:t>0</w:t>
      </w:r>
      <w:r w:rsidR="00E74083">
        <w:rPr>
          <w:lang w:eastAsia="fr-FR"/>
        </w:rPr>
        <w:t>.7</w:t>
      </w:r>
      <w:r w:rsidRPr="000E5BC4">
        <w:rPr>
          <w:lang w:eastAsia="fr-FR"/>
        </w:rPr>
        <w:t>%</w:t>
      </w:r>
      <w:r w:rsidRPr="002462F0">
        <w:rPr>
          <w:lang w:eastAsia="fr-FR"/>
        </w:rPr>
        <w:t xml:space="preserve"> in terms of </w:t>
      </w:r>
      <w:r w:rsidR="00754CD6">
        <w:rPr>
          <w:lang w:eastAsia="fr-FR"/>
        </w:rPr>
        <w:t>emissions level (rank</w:t>
      </w:r>
      <w:r w:rsidR="000E5BC4">
        <w:rPr>
          <w:lang w:eastAsia="fr-FR"/>
        </w:rPr>
        <w:t xml:space="preserve"> </w:t>
      </w:r>
      <w:r w:rsidR="00A85DF5">
        <w:rPr>
          <w:lang w:eastAsia="fr-FR"/>
        </w:rPr>
        <w:t>21</w:t>
      </w:r>
      <w:r w:rsidR="00754CD6">
        <w:rPr>
          <w:lang w:eastAsia="fr-FR"/>
        </w:rPr>
        <w:t>)</w:t>
      </w:r>
      <w:r w:rsidRPr="002462F0">
        <w:rPr>
          <w:lang w:eastAsia="fr-FR"/>
        </w:rPr>
        <w:t xml:space="preserve">. </w:t>
      </w:r>
    </w:p>
    <w:p w14:paraId="3AED8825" w14:textId="77777777" w:rsidR="00090E2F" w:rsidRDefault="00090E2F">
      <w:pPr>
        <w:jc w:val="left"/>
        <w:rPr>
          <w:b/>
          <w:color w:val="233F85"/>
          <w:sz w:val="24"/>
          <w:szCs w:val="32"/>
          <w:lang w:val="en-US" w:eastAsia="fr-FR"/>
        </w:rPr>
      </w:pPr>
      <w:r>
        <w:rPr>
          <w:lang w:eastAsia="fr-FR"/>
        </w:rPr>
        <w:br w:type="page"/>
      </w:r>
    </w:p>
    <w:p w14:paraId="368E5F77" w14:textId="70FD27D2" w:rsidR="007B2433" w:rsidRDefault="007B2433" w:rsidP="007B2433">
      <w:pPr>
        <w:pStyle w:val="Titre4Bleu"/>
        <w:rPr>
          <w:lang w:val="en-GB" w:eastAsia="fr-FR"/>
        </w:rPr>
      </w:pPr>
      <w:bookmarkStart w:id="634" w:name="_Toc182327901"/>
      <w:r w:rsidRPr="002462F0">
        <w:rPr>
          <w:lang w:eastAsia="fr-FR"/>
        </w:rPr>
        <w:lastRenderedPageBreak/>
        <w:t>Methodological issues</w:t>
      </w:r>
      <w:bookmarkEnd w:id="634"/>
      <w:r w:rsidRPr="002462F0">
        <w:rPr>
          <w:lang w:val="en-GB" w:eastAsia="fr-FR"/>
        </w:rPr>
        <w:t xml:space="preserve"> </w:t>
      </w:r>
    </w:p>
    <w:p w14:paraId="7DCE2798" w14:textId="63955A5C" w:rsidR="00754CD6" w:rsidRPr="002462F0" w:rsidRDefault="00754CD6" w:rsidP="00754CD6">
      <w:pPr>
        <w:pStyle w:val="BodyText"/>
        <w:rPr>
          <w:lang w:val="en-US" w:eastAsia="fr-FR"/>
        </w:rPr>
      </w:pPr>
      <w:r w:rsidRPr="002462F0">
        <w:rPr>
          <w:lang w:val="en-US" w:eastAsia="fr-FR"/>
        </w:rPr>
        <w:t xml:space="preserve">Emissions of </w:t>
      </w:r>
      <w:r w:rsidR="00B07CF7">
        <w:rPr>
          <w:lang w:val="en-US" w:eastAsia="fr-FR"/>
        </w:rPr>
        <w:t>CH</w:t>
      </w:r>
      <w:r w:rsidR="00B07CF7" w:rsidRPr="00622F40">
        <w:rPr>
          <w:vertAlign w:val="subscript"/>
          <w:lang w:val="en-US" w:eastAsia="fr-FR"/>
        </w:rPr>
        <w:t>4</w:t>
      </w:r>
      <w:r w:rsidR="00B07CF7" w:rsidRPr="002462F0">
        <w:rPr>
          <w:lang w:val="en-US" w:eastAsia="fr-FR"/>
        </w:rPr>
        <w:t xml:space="preserve"> </w:t>
      </w:r>
      <w:r w:rsidRPr="002462F0">
        <w:rPr>
          <w:lang w:val="en-US" w:eastAsia="fr-FR"/>
        </w:rPr>
        <w:t xml:space="preserve">from </w:t>
      </w:r>
      <w:r w:rsidR="0003002C">
        <w:rPr>
          <w:lang w:val="en-US" w:eastAsia="fr-FR"/>
        </w:rPr>
        <w:t>enteric fermentation</w:t>
      </w:r>
      <w:r w:rsidR="0003002C" w:rsidRPr="002462F0">
        <w:rPr>
          <w:lang w:val="en-US" w:eastAsia="fr-FR"/>
        </w:rPr>
        <w:t xml:space="preserve"> </w:t>
      </w:r>
      <w:r w:rsidRPr="002462F0">
        <w:rPr>
          <w:lang w:val="en-US" w:eastAsia="fr-FR"/>
        </w:rPr>
        <w:t xml:space="preserve">are calculated </w:t>
      </w:r>
      <w:r>
        <w:rPr>
          <w:lang w:val="en-US" w:eastAsia="fr-FR"/>
        </w:rPr>
        <w:t xml:space="preserve">with a Tier 1 </w:t>
      </w:r>
      <w:r w:rsidRPr="002462F0">
        <w:rPr>
          <w:lang w:val="en-US" w:eastAsia="fr-FR"/>
        </w:rPr>
        <w:t xml:space="preserve">approach which is in line with the 2006 IPCC Guidelines </w:t>
      </w:r>
      <w:r>
        <w:rPr>
          <w:lang w:val="en-US" w:eastAsia="fr-FR"/>
        </w:rPr>
        <w:fldChar w:fldCharType="begin"/>
      </w:r>
      <w:r>
        <w:rPr>
          <w:lang w:val="en-US" w:eastAsia="fr-FR"/>
        </w:rPr>
        <w:instrText xml:space="preserve"> REF _Ref496712799 \r \h </w:instrText>
      </w:r>
      <w:r>
        <w:rPr>
          <w:lang w:val="en-US" w:eastAsia="fr-FR"/>
        </w:rPr>
      </w:r>
      <w:r>
        <w:rPr>
          <w:lang w:val="en-US" w:eastAsia="fr-FR"/>
        </w:rPr>
        <w:fldChar w:fldCharType="separate"/>
      </w:r>
      <w:r w:rsidR="00F14C78">
        <w:rPr>
          <w:lang w:val="en-US" w:eastAsia="fr-FR"/>
        </w:rPr>
        <w:t>[A1]</w:t>
      </w:r>
      <w:r>
        <w:rPr>
          <w:lang w:val="en-US" w:eastAsia="fr-FR"/>
        </w:rPr>
        <w:fldChar w:fldCharType="end"/>
      </w:r>
      <w:r w:rsidRPr="002462F0">
        <w:rPr>
          <w:lang w:val="en-US" w:eastAsia="fr-FR"/>
        </w:rPr>
        <w:t xml:space="preserve">. </w:t>
      </w:r>
    </w:p>
    <w:p w14:paraId="68D1F365" w14:textId="235CC14A" w:rsidR="00754CD6" w:rsidRPr="002462F0" w:rsidRDefault="00754CD6" w:rsidP="00754CD6">
      <w:pPr>
        <w:pStyle w:val="BodyText"/>
        <w:rPr>
          <w:lang w:val="en-US" w:eastAsia="fr-FR"/>
        </w:rPr>
      </w:pPr>
      <w:r w:rsidRPr="002462F0">
        <w:rPr>
          <w:lang w:val="en-US" w:eastAsia="fr-FR"/>
        </w:rPr>
        <w:t xml:space="preserve">Activity data used </w:t>
      </w:r>
      <w:r w:rsidR="00960D29">
        <w:rPr>
          <w:lang w:val="en-US" w:eastAsia="fr-FR"/>
        </w:rPr>
        <w:t>are the</w:t>
      </w:r>
      <w:r w:rsidR="00960D29" w:rsidRPr="002462F0">
        <w:rPr>
          <w:lang w:val="en-US" w:eastAsia="fr-FR"/>
        </w:rPr>
        <w:t xml:space="preserve"> </w:t>
      </w:r>
      <w:r>
        <w:rPr>
          <w:lang w:val="en-US" w:eastAsia="fr-FR"/>
        </w:rPr>
        <w:t>annual livestock (average population in heads)</w:t>
      </w:r>
      <w:r w:rsidRPr="002462F0">
        <w:rPr>
          <w:lang w:val="en-US" w:eastAsia="fr-FR"/>
        </w:rPr>
        <w:t xml:space="preserve">. </w:t>
      </w:r>
      <w:r>
        <w:rPr>
          <w:lang w:val="en-US" w:eastAsia="fr-FR"/>
        </w:rPr>
        <w:t xml:space="preserve">These activity data </w:t>
      </w:r>
      <w:r w:rsidRPr="002462F0">
        <w:rPr>
          <w:lang w:val="en-US" w:eastAsia="fr-FR"/>
        </w:rPr>
        <w:t xml:space="preserve">for the </w:t>
      </w:r>
      <w:r w:rsidR="0003002C">
        <w:rPr>
          <w:lang w:val="en-US" w:eastAsia="fr-FR"/>
        </w:rPr>
        <w:t>entire</w:t>
      </w:r>
      <w:r w:rsidRPr="002462F0">
        <w:rPr>
          <w:lang w:val="en-US" w:eastAsia="fr-FR"/>
        </w:rPr>
        <w:t xml:space="preserve"> time </w:t>
      </w:r>
      <w:r>
        <w:rPr>
          <w:lang w:val="en-US" w:eastAsia="fr-FR"/>
        </w:rPr>
        <w:t>series</w:t>
      </w:r>
      <w:r w:rsidRPr="002462F0">
        <w:rPr>
          <w:lang w:val="en-US" w:eastAsia="fr-FR"/>
        </w:rPr>
        <w:t xml:space="preserve"> </w:t>
      </w:r>
      <w:r w:rsidR="00440E68">
        <w:rPr>
          <w:lang w:val="en-US" w:eastAsia="fr-FR"/>
        </w:rPr>
        <w:t>are sourced</w:t>
      </w:r>
      <w:r>
        <w:rPr>
          <w:lang w:val="en-US" w:eastAsia="fr-FR"/>
        </w:rPr>
        <w:t xml:space="preserve"> </w:t>
      </w:r>
      <w:r w:rsidRPr="002462F0">
        <w:rPr>
          <w:lang w:val="en-US" w:eastAsia="fr-FR"/>
        </w:rPr>
        <w:t xml:space="preserve">from </w:t>
      </w:r>
      <w:r>
        <w:rPr>
          <w:lang w:val="en-US" w:eastAsia="fr-FR"/>
        </w:rPr>
        <w:t>the Serbian Statistical Yearbook</w:t>
      </w:r>
      <w:r w:rsidRPr="002462F0">
        <w:rPr>
          <w:lang w:val="en-US" w:eastAsia="fr-FR"/>
        </w:rPr>
        <w:t xml:space="preserve"> </w:t>
      </w:r>
      <w:r>
        <w:rPr>
          <w:lang w:val="en-US" w:eastAsia="fr-FR"/>
        </w:rPr>
        <w:fldChar w:fldCharType="begin"/>
      </w:r>
      <w:r>
        <w:rPr>
          <w:lang w:val="en-US" w:eastAsia="fr-FR"/>
        </w:rPr>
        <w:instrText xml:space="preserve"> REF _Ref496713080 \r \h </w:instrText>
      </w:r>
      <w:r>
        <w:rPr>
          <w:lang w:val="en-US" w:eastAsia="fr-FR"/>
        </w:rPr>
      </w:r>
      <w:r>
        <w:rPr>
          <w:lang w:val="en-US" w:eastAsia="fr-FR"/>
        </w:rPr>
        <w:fldChar w:fldCharType="separate"/>
      </w:r>
      <w:r w:rsidR="00F14C78">
        <w:rPr>
          <w:lang w:val="en-US" w:eastAsia="fr-FR"/>
        </w:rPr>
        <w:t>[A2]</w:t>
      </w:r>
      <w:r>
        <w:rPr>
          <w:lang w:val="en-US" w:eastAsia="fr-FR"/>
        </w:rPr>
        <w:fldChar w:fldCharType="end"/>
      </w:r>
      <w:r w:rsidRPr="002462F0">
        <w:rPr>
          <w:lang w:val="en-US" w:eastAsia="fr-FR"/>
        </w:rPr>
        <w:t>.</w:t>
      </w:r>
    </w:p>
    <w:p w14:paraId="59734939" w14:textId="346BB888" w:rsidR="00754CD6" w:rsidRPr="002462F0" w:rsidRDefault="00754CD6" w:rsidP="00754CD6">
      <w:pPr>
        <w:pStyle w:val="BodyText"/>
        <w:rPr>
          <w:lang w:val="en-US" w:eastAsia="fr-FR"/>
        </w:rPr>
      </w:pPr>
      <w:r w:rsidRPr="002462F0">
        <w:rPr>
          <w:lang w:val="en-US" w:eastAsia="fr-FR"/>
        </w:rPr>
        <w:t>Emission factor used for calculating CH</w:t>
      </w:r>
      <w:r w:rsidRPr="002462F0">
        <w:rPr>
          <w:vertAlign w:val="subscript"/>
          <w:lang w:val="en-US" w:eastAsia="fr-FR"/>
        </w:rPr>
        <w:t>4</w:t>
      </w:r>
      <w:r>
        <w:rPr>
          <w:lang w:val="en-US" w:eastAsia="fr-FR"/>
        </w:rPr>
        <w:t xml:space="preserve"> </w:t>
      </w:r>
      <w:r w:rsidRPr="002462F0">
        <w:rPr>
          <w:lang w:val="en-US" w:eastAsia="fr-FR"/>
        </w:rPr>
        <w:t xml:space="preserve">emissions </w:t>
      </w:r>
      <w:r w:rsidR="00960D29">
        <w:rPr>
          <w:lang w:val="en-US" w:eastAsia="fr-FR"/>
        </w:rPr>
        <w:t>is taken</w:t>
      </w:r>
      <w:r w:rsidR="00960D29" w:rsidRPr="002462F0">
        <w:rPr>
          <w:lang w:val="en-US" w:eastAsia="fr-FR"/>
        </w:rPr>
        <w:t xml:space="preserve"> </w:t>
      </w:r>
      <w:r w:rsidRPr="002462F0">
        <w:rPr>
          <w:lang w:val="en-US" w:eastAsia="fr-FR"/>
        </w:rPr>
        <w:t xml:space="preserve">from 2006 IPCC guidelines </w:t>
      </w:r>
      <w:r>
        <w:rPr>
          <w:lang w:val="en-US" w:eastAsia="fr-FR"/>
        </w:rPr>
        <w:fldChar w:fldCharType="begin"/>
      </w:r>
      <w:r>
        <w:rPr>
          <w:lang w:val="en-US" w:eastAsia="fr-FR"/>
        </w:rPr>
        <w:instrText xml:space="preserve"> REF _Ref496713086 \r \h </w:instrText>
      </w:r>
      <w:r>
        <w:rPr>
          <w:lang w:val="en-US" w:eastAsia="fr-FR"/>
        </w:rPr>
      </w:r>
      <w:r>
        <w:rPr>
          <w:lang w:val="en-US" w:eastAsia="fr-FR"/>
        </w:rPr>
        <w:fldChar w:fldCharType="separate"/>
      </w:r>
      <w:r w:rsidR="00F14C78">
        <w:rPr>
          <w:lang w:val="en-US" w:eastAsia="fr-FR"/>
        </w:rPr>
        <w:t>[A3]</w:t>
      </w:r>
      <w:r>
        <w:rPr>
          <w:lang w:val="en-US" w:eastAsia="fr-FR"/>
        </w:rPr>
        <w:fldChar w:fldCharType="end"/>
      </w:r>
      <w:r w:rsidR="00D26A94">
        <w:rPr>
          <w:lang w:val="en-US" w:eastAsia="fr-FR"/>
        </w:rPr>
        <w:t xml:space="preserve">, is constant over the timeseries </w:t>
      </w:r>
      <w:r w:rsidR="008943B3">
        <w:rPr>
          <w:lang w:val="en-US" w:eastAsia="fr-FR"/>
        </w:rPr>
        <w:t xml:space="preserve">and the value is </w:t>
      </w:r>
      <w:r w:rsidR="002141B4">
        <w:rPr>
          <w:lang w:val="en-US" w:eastAsia="fr-FR"/>
        </w:rPr>
        <w:t xml:space="preserve">9 </w:t>
      </w:r>
      <w:r w:rsidR="008943B3">
        <w:rPr>
          <w:lang w:val="en-US" w:eastAsia="fr-FR"/>
        </w:rPr>
        <w:t>kg CH</w:t>
      </w:r>
      <w:r w:rsidR="008943B3" w:rsidRPr="001F0275">
        <w:rPr>
          <w:vertAlign w:val="subscript"/>
          <w:lang w:val="en-US" w:eastAsia="fr-FR"/>
        </w:rPr>
        <w:t>4</w:t>
      </w:r>
      <w:r w:rsidR="008943B3">
        <w:rPr>
          <w:lang w:val="en-US" w:eastAsia="fr-FR"/>
        </w:rPr>
        <w:t>/head/year</w:t>
      </w:r>
      <w:r w:rsidRPr="002462F0">
        <w:rPr>
          <w:lang w:val="en-US" w:eastAsia="fr-FR"/>
        </w:rPr>
        <w:t>.</w:t>
      </w:r>
    </w:p>
    <w:p w14:paraId="0EF13AEA" w14:textId="77777777" w:rsidR="007B2433" w:rsidRPr="002462F0" w:rsidRDefault="007B2433" w:rsidP="007B2433">
      <w:pPr>
        <w:pStyle w:val="Heading3"/>
        <w:ind w:left="1430"/>
        <w:rPr>
          <w:lang w:eastAsia="fr-FR"/>
        </w:rPr>
      </w:pPr>
      <w:bookmarkStart w:id="635" w:name="_Toc182327902"/>
      <w:bookmarkStart w:id="636" w:name="_Toc184808256"/>
      <w:r w:rsidRPr="002462F0">
        <w:rPr>
          <w:lang w:eastAsia="fr-FR"/>
        </w:rPr>
        <w:t>Swine (3A3)</w:t>
      </w:r>
      <w:bookmarkEnd w:id="635"/>
      <w:bookmarkEnd w:id="636"/>
    </w:p>
    <w:p w14:paraId="576DDEF3" w14:textId="77777777" w:rsidR="007B2433" w:rsidRPr="002462F0" w:rsidRDefault="007B2433" w:rsidP="007B2433">
      <w:pPr>
        <w:pStyle w:val="Titre4Bleu"/>
        <w:rPr>
          <w:lang w:eastAsia="fr-FR"/>
        </w:rPr>
      </w:pPr>
      <w:bookmarkStart w:id="637" w:name="_Toc182327903"/>
      <w:r w:rsidRPr="002462F0">
        <w:rPr>
          <w:lang w:eastAsia="fr-FR"/>
        </w:rPr>
        <w:t>Category description</w:t>
      </w:r>
      <w:bookmarkEnd w:id="637"/>
      <w:r w:rsidRPr="002462F0">
        <w:rPr>
          <w:lang w:eastAsia="fr-FR"/>
        </w:rPr>
        <w:t xml:space="preserve"> </w:t>
      </w:r>
    </w:p>
    <w:p w14:paraId="6A36C1DE" w14:textId="034894CD" w:rsidR="00754CD6" w:rsidRDefault="007C1404" w:rsidP="00475E17">
      <w:pPr>
        <w:pStyle w:val="BodyText"/>
        <w:spacing w:after="0"/>
        <w:jc w:val="left"/>
        <w:rPr>
          <w:lang w:eastAsia="fr-FR"/>
        </w:rPr>
      </w:pPr>
      <w:r>
        <w:rPr>
          <w:noProof/>
          <w:lang w:val="en-US"/>
        </w:rPr>
        <w:drawing>
          <wp:inline distT="0" distB="0" distL="0" distR="0" wp14:anchorId="492DE736" wp14:editId="06EBED20">
            <wp:extent cx="5760000" cy="1753712"/>
            <wp:effectExtent l="0" t="0" r="0" b="0"/>
            <wp:docPr id="1130888615"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763981A9" w14:textId="77777777" w:rsidR="00475E17" w:rsidRDefault="00475E17" w:rsidP="00475E17">
      <w:pPr>
        <w:pStyle w:val="Caption"/>
        <w:keepNext/>
        <w:spacing w:before="0" w:after="0"/>
        <w:jc w:val="left"/>
        <w:rPr>
          <w:noProof/>
        </w:rPr>
      </w:pPr>
      <w:bookmarkStart w:id="638" w:name="_Toc184808473"/>
      <w:r w:rsidRPr="00622F40">
        <w:t xml:space="preserve">Figure </w:t>
      </w:r>
      <w:r w:rsidRPr="00622F40">
        <w:fldChar w:fldCharType="begin"/>
      </w:r>
      <w:r w:rsidRPr="00622F40">
        <w:instrText xml:space="preserve"> SEQ Figure \* ARABIC </w:instrText>
      </w:r>
      <w:r w:rsidRPr="00622F40">
        <w:fldChar w:fldCharType="separate"/>
      </w:r>
      <w:r>
        <w:rPr>
          <w:noProof/>
        </w:rPr>
        <w:t>86</w:t>
      </w:r>
      <w:r w:rsidRPr="00622F40">
        <w:fldChar w:fldCharType="end"/>
      </w:r>
      <w:r w:rsidRPr="00622F40">
        <w:rPr>
          <w:noProof/>
        </w:rPr>
        <w:t xml:space="preserve"> : GHG emissions for enteric fermentation of swine (</w:t>
      </w:r>
      <w:r>
        <w:rPr>
          <w:noProof/>
        </w:rPr>
        <w:t>CRT</w:t>
      </w:r>
      <w:r w:rsidRPr="00622F40">
        <w:rPr>
          <w:noProof/>
        </w:rPr>
        <w:t xml:space="preserve"> 3A3) (kt CO</w:t>
      </w:r>
      <w:r w:rsidRPr="00622F40">
        <w:rPr>
          <w:noProof/>
          <w:vertAlign w:val="subscript"/>
        </w:rPr>
        <w:t>2</w:t>
      </w:r>
      <w:r w:rsidRPr="00622F40">
        <w:rPr>
          <w:noProof/>
        </w:rPr>
        <w:t>e)</w:t>
      </w:r>
      <w:bookmarkEnd w:id="638"/>
    </w:p>
    <w:p w14:paraId="59C85A35" w14:textId="77777777" w:rsidR="00475E17" w:rsidRDefault="00475E17" w:rsidP="009E0457">
      <w:pPr>
        <w:pStyle w:val="BodyText"/>
        <w:rPr>
          <w:lang w:eastAsia="fr-FR"/>
        </w:rPr>
      </w:pPr>
    </w:p>
    <w:p w14:paraId="2D0EF61B" w14:textId="26A8D580" w:rsidR="007B2433" w:rsidRPr="002462F0" w:rsidRDefault="007B2433" w:rsidP="009E0457">
      <w:pPr>
        <w:pStyle w:val="BodyText"/>
        <w:rPr>
          <w:lang w:eastAsia="fr-FR"/>
        </w:rPr>
      </w:pPr>
      <w:r w:rsidRPr="002462F0">
        <w:rPr>
          <w:lang w:eastAsia="fr-FR"/>
        </w:rPr>
        <w:t>In 20</w:t>
      </w:r>
      <w:r w:rsidR="0095223A">
        <w:rPr>
          <w:lang w:eastAsia="fr-FR"/>
        </w:rPr>
        <w:t>22</w:t>
      </w:r>
      <w:r w:rsidRPr="002462F0">
        <w:rPr>
          <w:lang w:eastAsia="fr-FR"/>
        </w:rPr>
        <w:t xml:space="preserve">, the category </w:t>
      </w:r>
      <w:r w:rsidR="00FF2718">
        <w:rPr>
          <w:lang w:eastAsia="fr-FR"/>
        </w:rPr>
        <w:t xml:space="preserve">CRT </w:t>
      </w:r>
      <w:r w:rsidRPr="002462F0">
        <w:rPr>
          <w:lang w:eastAsia="fr-FR"/>
        </w:rPr>
        <w:t>3A3 i</w:t>
      </w:r>
      <w:r w:rsidR="00754CD6">
        <w:rPr>
          <w:lang w:eastAsia="fr-FR"/>
        </w:rPr>
        <w:t xml:space="preserve">s </w:t>
      </w:r>
      <w:r w:rsidR="0095223A">
        <w:rPr>
          <w:lang w:eastAsia="fr-FR"/>
        </w:rPr>
        <w:t xml:space="preserve">neither </w:t>
      </w:r>
      <w:r w:rsidR="00754CD6">
        <w:rPr>
          <w:lang w:eastAsia="fr-FR"/>
        </w:rPr>
        <w:t>a key category in terms of</w:t>
      </w:r>
      <w:r w:rsidRPr="002462F0">
        <w:rPr>
          <w:lang w:eastAsia="fr-FR"/>
        </w:rPr>
        <w:t xml:space="preserve"> emission level </w:t>
      </w:r>
      <w:r w:rsidR="003B36AD">
        <w:rPr>
          <w:lang w:eastAsia="fr-FR"/>
        </w:rPr>
        <w:t>nor in terms of emission</w:t>
      </w:r>
      <w:r w:rsidR="003B36AD" w:rsidRPr="002462F0">
        <w:rPr>
          <w:lang w:eastAsia="fr-FR"/>
        </w:rPr>
        <w:t xml:space="preserve"> </w:t>
      </w:r>
      <w:r w:rsidRPr="002462F0">
        <w:rPr>
          <w:lang w:eastAsia="fr-FR"/>
        </w:rPr>
        <w:t>trend</w:t>
      </w:r>
      <w:r w:rsidR="003B36AD">
        <w:rPr>
          <w:lang w:eastAsia="fr-FR"/>
        </w:rPr>
        <w:t>,</w:t>
      </w:r>
      <w:r w:rsidRPr="002462F0">
        <w:rPr>
          <w:lang w:eastAsia="fr-FR"/>
        </w:rPr>
        <w:t xml:space="preserve"> for GHG emissions</w:t>
      </w:r>
      <w:r w:rsidR="003B36AD">
        <w:rPr>
          <w:lang w:eastAsia="fr-FR"/>
        </w:rPr>
        <w:t>,</w:t>
      </w:r>
      <w:r w:rsidRPr="002462F0">
        <w:rPr>
          <w:lang w:eastAsia="fr-FR"/>
        </w:rPr>
        <w:t xml:space="preserve"> in </w:t>
      </w:r>
      <w:r w:rsidR="003B36AD">
        <w:rPr>
          <w:lang w:eastAsia="fr-FR"/>
        </w:rPr>
        <w:t xml:space="preserve">the Republic of </w:t>
      </w:r>
      <w:r w:rsidRPr="002462F0">
        <w:rPr>
          <w:lang w:eastAsia="fr-FR"/>
        </w:rPr>
        <w:t>Serbia.</w:t>
      </w:r>
    </w:p>
    <w:p w14:paraId="32043DE1" w14:textId="555B2C36" w:rsidR="007B2433" w:rsidRDefault="007B2433" w:rsidP="007B2433">
      <w:pPr>
        <w:pStyle w:val="Titre4Bleu"/>
        <w:rPr>
          <w:lang w:val="en-GB" w:eastAsia="fr-FR"/>
        </w:rPr>
      </w:pPr>
      <w:bookmarkStart w:id="639" w:name="_Toc182327904"/>
      <w:r w:rsidRPr="002462F0">
        <w:rPr>
          <w:lang w:eastAsia="fr-FR"/>
        </w:rPr>
        <w:t>Methodological issues</w:t>
      </w:r>
      <w:bookmarkEnd w:id="639"/>
    </w:p>
    <w:p w14:paraId="6D2BFEE7" w14:textId="21FE844B" w:rsidR="00754CD6" w:rsidRPr="002462F0" w:rsidRDefault="00754CD6" w:rsidP="00754CD6">
      <w:pPr>
        <w:pStyle w:val="BodyText"/>
        <w:rPr>
          <w:lang w:val="en-US" w:eastAsia="fr-FR"/>
        </w:rPr>
      </w:pPr>
      <w:r w:rsidRPr="002462F0">
        <w:rPr>
          <w:lang w:val="en-US" w:eastAsia="fr-FR"/>
        </w:rPr>
        <w:t xml:space="preserve">Emissions of </w:t>
      </w:r>
      <w:r w:rsidR="009C61BB">
        <w:rPr>
          <w:lang w:val="en-US" w:eastAsia="fr-FR"/>
        </w:rPr>
        <w:t>CH</w:t>
      </w:r>
      <w:r w:rsidR="009C61BB" w:rsidRPr="00622F40">
        <w:rPr>
          <w:vertAlign w:val="subscript"/>
          <w:lang w:val="en-US" w:eastAsia="fr-FR"/>
        </w:rPr>
        <w:t>4</w:t>
      </w:r>
      <w:r w:rsidR="009C61BB">
        <w:rPr>
          <w:lang w:val="en-US" w:eastAsia="fr-FR"/>
        </w:rPr>
        <w:t xml:space="preserve"> </w:t>
      </w:r>
      <w:r w:rsidRPr="002462F0">
        <w:rPr>
          <w:lang w:val="en-US" w:eastAsia="fr-FR"/>
        </w:rPr>
        <w:t xml:space="preserve">from </w:t>
      </w:r>
      <w:r w:rsidR="0003002C">
        <w:rPr>
          <w:lang w:val="en-US" w:eastAsia="fr-FR"/>
        </w:rPr>
        <w:t>enteric fermentation</w:t>
      </w:r>
      <w:r w:rsidR="0003002C" w:rsidRPr="002462F0">
        <w:rPr>
          <w:lang w:val="en-US" w:eastAsia="fr-FR"/>
        </w:rPr>
        <w:t xml:space="preserve"> </w:t>
      </w:r>
      <w:r w:rsidRPr="002462F0">
        <w:rPr>
          <w:lang w:val="en-US" w:eastAsia="fr-FR"/>
        </w:rPr>
        <w:t xml:space="preserve">are calculated </w:t>
      </w:r>
      <w:r>
        <w:rPr>
          <w:lang w:val="en-US" w:eastAsia="fr-FR"/>
        </w:rPr>
        <w:t xml:space="preserve">with a Tier 1 </w:t>
      </w:r>
      <w:r w:rsidRPr="002462F0">
        <w:rPr>
          <w:lang w:val="en-US" w:eastAsia="fr-FR"/>
        </w:rPr>
        <w:t xml:space="preserve">approach which is in line with the 2006 IPCC Guidelines </w:t>
      </w:r>
      <w:r>
        <w:rPr>
          <w:lang w:val="en-US" w:eastAsia="fr-FR"/>
        </w:rPr>
        <w:fldChar w:fldCharType="begin"/>
      </w:r>
      <w:r>
        <w:rPr>
          <w:lang w:val="en-US" w:eastAsia="fr-FR"/>
        </w:rPr>
        <w:instrText xml:space="preserve"> REF _Ref496712799 \r \h </w:instrText>
      </w:r>
      <w:r>
        <w:rPr>
          <w:lang w:val="en-US" w:eastAsia="fr-FR"/>
        </w:rPr>
      </w:r>
      <w:r>
        <w:rPr>
          <w:lang w:val="en-US" w:eastAsia="fr-FR"/>
        </w:rPr>
        <w:fldChar w:fldCharType="separate"/>
      </w:r>
      <w:r w:rsidR="00F14C78">
        <w:rPr>
          <w:lang w:val="en-US" w:eastAsia="fr-FR"/>
        </w:rPr>
        <w:t>[A1]</w:t>
      </w:r>
      <w:r>
        <w:rPr>
          <w:lang w:val="en-US" w:eastAsia="fr-FR"/>
        </w:rPr>
        <w:fldChar w:fldCharType="end"/>
      </w:r>
      <w:r w:rsidRPr="002462F0">
        <w:rPr>
          <w:lang w:val="en-US" w:eastAsia="fr-FR"/>
        </w:rPr>
        <w:t xml:space="preserve">. </w:t>
      </w:r>
    </w:p>
    <w:p w14:paraId="4BDECD44" w14:textId="178D3ECF" w:rsidR="00754CD6" w:rsidRPr="002462F0" w:rsidRDefault="00754CD6" w:rsidP="00754CD6">
      <w:pPr>
        <w:pStyle w:val="BodyText"/>
        <w:rPr>
          <w:lang w:val="en-US" w:eastAsia="fr-FR"/>
        </w:rPr>
      </w:pPr>
      <w:r w:rsidRPr="002462F0">
        <w:rPr>
          <w:lang w:val="en-US" w:eastAsia="fr-FR"/>
        </w:rPr>
        <w:t xml:space="preserve">Activity data used </w:t>
      </w:r>
      <w:r w:rsidR="00CC09BF">
        <w:rPr>
          <w:lang w:val="en-US" w:eastAsia="fr-FR"/>
        </w:rPr>
        <w:t>are the</w:t>
      </w:r>
      <w:r w:rsidR="00CC09BF" w:rsidRPr="002462F0">
        <w:rPr>
          <w:lang w:val="en-US" w:eastAsia="fr-FR"/>
        </w:rPr>
        <w:t xml:space="preserve"> </w:t>
      </w:r>
      <w:r>
        <w:rPr>
          <w:lang w:val="en-US" w:eastAsia="fr-FR"/>
        </w:rPr>
        <w:t>annual livestock (average population in heads)</w:t>
      </w:r>
      <w:r w:rsidRPr="002462F0">
        <w:rPr>
          <w:lang w:val="en-US" w:eastAsia="fr-FR"/>
        </w:rPr>
        <w:t xml:space="preserve">. </w:t>
      </w:r>
      <w:r>
        <w:rPr>
          <w:lang w:val="en-US" w:eastAsia="fr-FR"/>
        </w:rPr>
        <w:t xml:space="preserve">These activity data </w:t>
      </w:r>
      <w:r w:rsidRPr="002462F0">
        <w:rPr>
          <w:lang w:val="en-US" w:eastAsia="fr-FR"/>
        </w:rPr>
        <w:t xml:space="preserve">for the </w:t>
      </w:r>
      <w:r>
        <w:rPr>
          <w:lang w:val="en-US" w:eastAsia="fr-FR"/>
        </w:rPr>
        <w:t>entire</w:t>
      </w:r>
      <w:r w:rsidRPr="002462F0">
        <w:rPr>
          <w:lang w:val="en-US" w:eastAsia="fr-FR"/>
        </w:rPr>
        <w:t xml:space="preserve"> time </w:t>
      </w:r>
      <w:r>
        <w:rPr>
          <w:lang w:val="en-US" w:eastAsia="fr-FR"/>
        </w:rPr>
        <w:t>series</w:t>
      </w:r>
      <w:r w:rsidRPr="002462F0">
        <w:rPr>
          <w:lang w:val="en-US" w:eastAsia="fr-FR"/>
        </w:rPr>
        <w:t xml:space="preserve"> </w:t>
      </w:r>
      <w:r w:rsidR="00CC09BF">
        <w:rPr>
          <w:lang w:val="en-US" w:eastAsia="fr-FR"/>
        </w:rPr>
        <w:t xml:space="preserve">are taken </w:t>
      </w:r>
      <w:r w:rsidRPr="002462F0">
        <w:rPr>
          <w:lang w:val="en-US" w:eastAsia="fr-FR"/>
        </w:rPr>
        <w:t xml:space="preserve">from </w:t>
      </w:r>
      <w:r>
        <w:rPr>
          <w:lang w:val="en-US" w:eastAsia="fr-FR"/>
        </w:rPr>
        <w:t>the Serbian Statistical Yearbook</w:t>
      </w:r>
      <w:r w:rsidRPr="002462F0">
        <w:rPr>
          <w:lang w:val="en-US" w:eastAsia="fr-FR"/>
        </w:rPr>
        <w:t xml:space="preserve"> </w:t>
      </w:r>
      <w:r>
        <w:rPr>
          <w:lang w:val="en-US" w:eastAsia="fr-FR"/>
        </w:rPr>
        <w:fldChar w:fldCharType="begin"/>
      </w:r>
      <w:r>
        <w:rPr>
          <w:lang w:val="en-US" w:eastAsia="fr-FR"/>
        </w:rPr>
        <w:instrText xml:space="preserve"> REF _Ref496713080 \r \h </w:instrText>
      </w:r>
      <w:r>
        <w:rPr>
          <w:lang w:val="en-US" w:eastAsia="fr-FR"/>
        </w:rPr>
      </w:r>
      <w:r>
        <w:rPr>
          <w:lang w:val="en-US" w:eastAsia="fr-FR"/>
        </w:rPr>
        <w:fldChar w:fldCharType="separate"/>
      </w:r>
      <w:r w:rsidR="00F14C78">
        <w:rPr>
          <w:lang w:val="en-US" w:eastAsia="fr-FR"/>
        </w:rPr>
        <w:t>[A2]</w:t>
      </w:r>
      <w:r>
        <w:rPr>
          <w:lang w:val="en-US" w:eastAsia="fr-FR"/>
        </w:rPr>
        <w:fldChar w:fldCharType="end"/>
      </w:r>
      <w:r w:rsidRPr="002462F0">
        <w:rPr>
          <w:lang w:val="en-US" w:eastAsia="fr-FR"/>
        </w:rPr>
        <w:t>.</w:t>
      </w:r>
    </w:p>
    <w:p w14:paraId="3D759287" w14:textId="3C1C2E48" w:rsidR="00754CD6" w:rsidRPr="002462F0" w:rsidRDefault="00754CD6" w:rsidP="00754CD6">
      <w:pPr>
        <w:pStyle w:val="BodyText"/>
        <w:rPr>
          <w:lang w:val="en-US" w:eastAsia="fr-FR"/>
        </w:rPr>
      </w:pPr>
      <w:r w:rsidRPr="002462F0">
        <w:rPr>
          <w:lang w:val="en-US" w:eastAsia="fr-FR"/>
        </w:rPr>
        <w:t>Emission factors used for calculating CH</w:t>
      </w:r>
      <w:r w:rsidRPr="002462F0">
        <w:rPr>
          <w:vertAlign w:val="subscript"/>
          <w:lang w:val="en-US" w:eastAsia="fr-FR"/>
        </w:rPr>
        <w:t>4</w:t>
      </w:r>
      <w:r>
        <w:rPr>
          <w:lang w:val="en-US" w:eastAsia="fr-FR"/>
        </w:rPr>
        <w:t xml:space="preserve"> </w:t>
      </w:r>
      <w:r w:rsidRPr="002462F0">
        <w:rPr>
          <w:lang w:val="en-US" w:eastAsia="fr-FR"/>
        </w:rPr>
        <w:t xml:space="preserve">emissions </w:t>
      </w:r>
      <w:r w:rsidR="00440E68">
        <w:rPr>
          <w:lang w:val="en-US" w:eastAsia="fr-FR"/>
        </w:rPr>
        <w:t>are sourced</w:t>
      </w:r>
      <w:r w:rsidRPr="002462F0">
        <w:rPr>
          <w:lang w:val="en-US" w:eastAsia="fr-FR"/>
        </w:rPr>
        <w:t xml:space="preserve"> from 2006 IPCC guidelines </w:t>
      </w:r>
      <w:r>
        <w:rPr>
          <w:lang w:val="en-US" w:eastAsia="fr-FR"/>
        </w:rPr>
        <w:fldChar w:fldCharType="begin"/>
      </w:r>
      <w:r>
        <w:rPr>
          <w:lang w:val="en-US" w:eastAsia="fr-FR"/>
        </w:rPr>
        <w:instrText xml:space="preserve"> REF _Ref496713086 \r \h </w:instrText>
      </w:r>
      <w:r>
        <w:rPr>
          <w:lang w:val="en-US" w:eastAsia="fr-FR"/>
        </w:rPr>
      </w:r>
      <w:r>
        <w:rPr>
          <w:lang w:val="en-US" w:eastAsia="fr-FR"/>
        </w:rPr>
        <w:fldChar w:fldCharType="separate"/>
      </w:r>
      <w:r w:rsidR="00F14C78">
        <w:rPr>
          <w:lang w:val="en-US" w:eastAsia="fr-FR"/>
        </w:rPr>
        <w:t>[A3]</w:t>
      </w:r>
      <w:r>
        <w:rPr>
          <w:lang w:val="en-US" w:eastAsia="fr-FR"/>
        </w:rPr>
        <w:fldChar w:fldCharType="end"/>
      </w:r>
      <w:r w:rsidR="002141B4">
        <w:rPr>
          <w:lang w:val="en-US" w:eastAsia="fr-FR"/>
        </w:rPr>
        <w:t>, are equal for fattening pigs and sows</w:t>
      </w:r>
      <w:r w:rsidR="00EE503C">
        <w:rPr>
          <w:lang w:val="en-US" w:eastAsia="fr-FR"/>
        </w:rPr>
        <w:t>, and the value is 1.5 kg CH</w:t>
      </w:r>
      <w:r w:rsidR="00EE503C" w:rsidRPr="001F0275">
        <w:rPr>
          <w:vertAlign w:val="subscript"/>
          <w:lang w:val="en-US" w:eastAsia="fr-FR"/>
        </w:rPr>
        <w:t>4</w:t>
      </w:r>
      <w:r w:rsidR="00EE503C">
        <w:rPr>
          <w:lang w:val="en-US" w:eastAsia="fr-FR"/>
        </w:rPr>
        <w:t>/head/year</w:t>
      </w:r>
      <w:r w:rsidRPr="002462F0">
        <w:rPr>
          <w:lang w:val="en-US" w:eastAsia="fr-FR"/>
        </w:rPr>
        <w:t>.</w:t>
      </w:r>
    </w:p>
    <w:p w14:paraId="67C6B2EF" w14:textId="77777777" w:rsidR="007B2433" w:rsidRPr="002462F0" w:rsidRDefault="007B2433" w:rsidP="007B2433">
      <w:pPr>
        <w:pStyle w:val="Heading3"/>
        <w:ind w:left="1430"/>
        <w:rPr>
          <w:lang w:eastAsia="fr-FR"/>
        </w:rPr>
      </w:pPr>
      <w:bookmarkStart w:id="640" w:name="_Ref178953977"/>
      <w:bookmarkStart w:id="641" w:name="_Toc182327905"/>
      <w:bookmarkStart w:id="642" w:name="_Toc184808257"/>
      <w:r w:rsidRPr="002462F0">
        <w:rPr>
          <w:lang w:eastAsia="fr-FR"/>
        </w:rPr>
        <w:t>Other livestock (3A4)</w:t>
      </w:r>
      <w:bookmarkEnd w:id="640"/>
      <w:bookmarkEnd w:id="641"/>
      <w:bookmarkEnd w:id="642"/>
    </w:p>
    <w:p w14:paraId="4CCB5EA1" w14:textId="77777777" w:rsidR="007B2433" w:rsidRPr="002462F0" w:rsidRDefault="007B2433" w:rsidP="007B2433">
      <w:pPr>
        <w:pStyle w:val="Titre4Bleu"/>
        <w:rPr>
          <w:lang w:eastAsia="fr-FR"/>
        </w:rPr>
      </w:pPr>
      <w:bookmarkStart w:id="643" w:name="_Toc182327906"/>
      <w:r w:rsidRPr="002462F0">
        <w:rPr>
          <w:lang w:eastAsia="fr-FR"/>
        </w:rPr>
        <w:t>Category description</w:t>
      </w:r>
      <w:bookmarkEnd w:id="643"/>
      <w:r w:rsidRPr="002462F0">
        <w:rPr>
          <w:lang w:eastAsia="fr-FR"/>
        </w:rPr>
        <w:t xml:space="preserve"> </w:t>
      </w:r>
    </w:p>
    <w:p w14:paraId="79394E6D" w14:textId="483085D4" w:rsidR="00AD42B8" w:rsidRDefault="00AD42B8" w:rsidP="00AD42B8">
      <w:pPr>
        <w:pStyle w:val="BodyText"/>
        <w:rPr>
          <w:lang w:eastAsia="fr-FR"/>
        </w:rPr>
      </w:pPr>
      <w:r>
        <w:rPr>
          <w:lang w:eastAsia="fr-FR"/>
        </w:rPr>
        <w:t xml:space="preserve">The enteric fermentation for </w:t>
      </w:r>
      <w:r w:rsidR="00D325E3">
        <w:rPr>
          <w:lang w:eastAsia="fr-FR"/>
        </w:rPr>
        <w:t>other livestock</w:t>
      </w:r>
      <w:r>
        <w:rPr>
          <w:lang w:eastAsia="fr-FR"/>
        </w:rPr>
        <w:t xml:space="preserve"> is subdivided in two subcategories</w:t>
      </w:r>
      <w:r w:rsidR="004961EB">
        <w:rPr>
          <w:lang w:eastAsia="fr-FR"/>
        </w:rPr>
        <w:t>: horses and goats</w:t>
      </w:r>
      <w:r>
        <w:rPr>
          <w:lang w:eastAsia="fr-FR"/>
        </w:rPr>
        <w:t xml:space="preserve">. The following graph gives the evolution of the livestock (by number of heads) of these two species. The number of </w:t>
      </w:r>
      <w:r w:rsidR="00DE2A7F">
        <w:rPr>
          <w:lang w:eastAsia="fr-FR"/>
        </w:rPr>
        <w:t>horses has reduced significantly for the period 1990-2022, by 77</w:t>
      </w:r>
      <w:r>
        <w:rPr>
          <w:lang w:eastAsia="fr-FR"/>
        </w:rPr>
        <w:t xml:space="preserve">%, </w:t>
      </w:r>
      <w:r w:rsidR="00486AF0">
        <w:rPr>
          <w:lang w:eastAsia="fr-FR"/>
        </w:rPr>
        <w:t xml:space="preserve">and is rather marginal in the total livestock of this </w:t>
      </w:r>
      <w:r w:rsidR="00486AF0">
        <w:rPr>
          <w:lang w:eastAsia="fr-FR"/>
        </w:rPr>
        <w:lastRenderedPageBreak/>
        <w:t xml:space="preserve">category, in number, with </w:t>
      </w:r>
      <w:r w:rsidR="00D4039B">
        <w:rPr>
          <w:lang w:eastAsia="fr-FR"/>
        </w:rPr>
        <w:t>24% of the share in 1990 and only 6% in 2022</w:t>
      </w:r>
      <w:r>
        <w:rPr>
          <w:lang w:eastAsia="fr-FR"/>
        </w:rPr>
        <w:t>.</w:t>
      </w:r>
      <w:r w:rsidR="00D4039B">
        <w:rPr>
          <w:lang w:eastAsia="fr-FR"/>
        </w:rPr>
        <w:t xml:space="preserve"> </w:t>
      </w:r>
      <w:r w:rsidR="00C45BE7">
        <w:rPr>
          <w:lang w:eastAsia="fr-FR"/>
        </w:rPr>
        <w:t xml:space="preserve">On contrary, the number of goats has increased by 12% </w:t>
      </w:r>
      <w:r w:rsidR="007B5189">
        <w:rPr>
          <w:lang w:eastAsia="fr-FR"/>
        </w:rPr>
        <w:t xml:space="preserve">between 1990 and 2022. </w:t>
      </w:r>
      <w:r>
        <w:rPr>
          <w:lang w:eastAsia="fr-FR"/>
        </w:rPr>
        <w:t xml:space="preserve"> </w:t>
      </w:r>
    </w:p>
    <w:p w14:paraId="7A1D5639" w14:textId="35C09A75" w:rsidR="00AD42B8" w:rsidRDefault="00896822" w:rsidP="00475E17">
      <w:pPr>
        <w:pStyle w:val="BodyText"/>
        <w:spacing w:after="0"/>
        <w:jc w:val="left"/>
        <w:rPr>
          <w:lang w:eastAsia="fr-FR"/>
        </w:rPr>
      </w:pPr>
      <w:r>
        <w:rPr>
          <w:noProof/>
          <w:lang w:val="en-US"/>
        </w:rPr>
        <w:drawing>
          <wp:inline distT="0" distB="0" distL="0" distR="0" wp14:anchorId="3DEA74AA" wp14:editId="09095862">
            <wp:extent cx="5760000" cy="3118743"/>
            <wp:effectExtent l="0" t="0" r="0" b="5715"/>
            <wp:docPr id="1959614835"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000" cy="3118743"/>
                    </a:xfrm>
                    <a:prstGeom prst="rect">
                      <a:avLst/>
                    </a:prstGeom>
                    <a:noFill/>
                  </pic:spPr>
                </pic:pic>
              </a:graphicData>
            </a:graphic>
          </wp:inline>
        </w:drawing>
      </w:r>
    </w:p>
    <w:p w14:paraId="0471AB68" w14:textId="77777777" w:rsidR="00475E17" w:rsidRDefault="00475E17" w:rsidP="00475E17">
      <w:pPr>
        <w:pStyle w:val="Caption"/>
        <w:keepNext/>
        <w:spacing w:before="0" w:after="0"/>
        <w:jc w:val="left"/>
        <w:rPr>
          <w:noProof/>
        </w:rPr>
      </w:pPr>
      <w:bookmarkStart w:id="644" w:name="_Toc184808474"/>
      <w:r w:rsidRPr="001F0275">
        <w:t xml:space="preserve">Figure </w:t>
      </w:r>
      <w:r w:rsidRPr="001F0275">
        <w:fldChar w:fldCharType="begin"/>
      </w:r>
      <w:r w:rsidRPr="001F0275">
        <w:instrText xml:space="preserve"> SEQ Figure \* ARABIC </w:instrText>
      </w:r>
      <w:r w:rsidRPr="001F0275">
        <w:fldChar w:fldCharType="separate"/>
      </w:r>
      <w:r>
        <w:rPr>
          <w:noProof/>
        </w:rPr>
        <w:t>87</w:t>
      </w:r>
      <w:r w:rsidRPr="001F0275">
        <w:fldChar w:fldCharType="end"/>
      </w:r>
      <w:r w:rsidRPr="001F0275">
        <w:rPr>
          <w:noProof/>
        </w:rPr>
        <w:t xml:space="preserve"> : </w:t>
      </w:r>
      <w:r>
        <w:rPr>
          <w:noProof/>
        </w:rPr>
        <w:t>Livestock evolution for</w:t>
      </w:r>
      <w:r w:rsidRPr="001F0275">
        <w:rPr>
          <w:noProof/>
        </w:rPr>
        <w:t xml:space="preserve"> </w:t>
      </w:r>
      <w:r>
        <w:rPr>
          <w:noProof/>
        </w:rPr>
        <w:t>other livestock, in number of heads, for the period 1990-2022</w:t>
      </w:r>
      <w:bookmarkEnd w:id="644"/>
    </w:p>
    <w:p w14:paraId="4D2AD792" w14:textId="26F447C2" w:rsidR="00BE2F62" w:rsidRPr="00622F40" w:rsidRDefault="00AD42B8" w:rsidP="00622F40">
      <w:pPr>
        <w:pStyle w:val="Caption"/>
        <w:keepNext/>
        <w:spacing w:before="120"/>
        <w:jc w:val="both"/>
        <w:rPr>
          <w:b w:val="0"/>
          <w:bCs w:val="0"/>
          <w:color w:val="auto"/>
          <w:sz w:val="20"/>
          <w:szCs w:val="20"/>
          <w:highlight w:val="green"/>
        </w:rPr>
      </w:pPr>
      <w:r w:rsidRPr="00622F40">
        <w:rPr>
          <w:b w:val="0"/>
          <w:bCs w:val="0"/>
          <w:color w:val="auto"/>
          <w:sz w:val="20"/>
          <w:szCs w:val="20"/>
        </w:rPr>
        <w:t>The evolutions of CH</w:t>
      </w:r>
      <w:r w:rsidRPr="00622F40">
        <w:rPr>
          <w:b w:val="0"/>
          <w:bCs w:val="0"/>
          <w:color w:val="auto"/>
          <w:sz w:val="20"/>
          <w:szCs w:val="20"/>
          <w:vertAlign w:val="subscript"/>
        </w:rPr>
        <w:t>4</w:t>
      </w:r>
      <w:r w:rsidRPr="00622F40">
        <w:rPr>
          <w:b w:val="0"/>
          <w:bCs w:val="0"/>
          <w:color w:val="auto"/>
          <w:sz w:val="20"/>
          <w:szCs w:val="20"/>
        </w:rPr>
        <w:t xml:space="preserve"> emissions for </w:t>
      </w:r>
      <w:r w:rsidR="007E55D3" w:rsidRPr="00622F40">
        <w:rPr>
          <w:b w:val="0"/>
          <w:bCs w:val="0"/>
          <w:color w:val="auto"/>
          <w:sz w:val="20"/>
          <w:szCs w:val="20"/>
        </w:rPr>
        <w:t>this sector</w:t>
      </w:r>
      <w:r w:rsidRPr="00622F40">
        <w:rPr>
          <w:b w:val="0"/>
          <w:bCs w:val="0"/>
          <w:color w:val="auto"/>
          <w:sz w:val="20"/>
          <w:szCs w:val="20"/>
        </w:rPr>
        <w:t xml:space="preserve"> are proportional to the evolution of the livestock presented in the previous figure</w:t>
      </w:r>
      <w:r w:rsidR="007E55D3" w:rsidRPr="00622F40">
        <w:rPr>
          <w:b w:val="0"/>
          <w:bCs w:val="0"/>
          <w:color w:val="auto"/>
          <w:sz w:val="20"/>
          <w:szCs w:val="20"/>
        </w:rPr>
        <w:t>,</w:t>
      </w:r>
      <w:r w:rsidRPr="00622F40">
        <w:rPr>
          <w:b w:val="0"/>
          <w:bCs w:val="0"/>
          <w:color w:val="auto"/>
          <w:sz w:val="20"/>
          <w:szCs w:val="20"/>
        </w:rPr>
        <w:t xml:space="preserve"> as constant default EF</w:t>
      </w:r>
      <w:r w:rsidR="007E55D3" w:rsidRPr="00622F40">
        <w:rPr>
          <w:b w:val="0"/>
          <w:bCs w:val="0"/>
          <w:color w:val="auto"/>
          <w:sz w:val="20"/>
          <w:szCs w:val="20"/>
        </w:rPr>
        <w:t>s</w:t>
      </w:r>
      <w:r w:rsidRPr="00622F40">
        <w:rPr>
          <w:b w:val="0"/>
          <w:bCs w:val="0"/>
          <w:color w:val="auto"/>
          <w:sz w:val="20"/>
          <w:szCs w:val="20"/>
        </w:rPr>
        <w:t xml:space="preserve"> are applied over the timeseries.</w:t>
      </w:r>
      <w:r w:rsidR="003363CD" w:rsidRPr="00622F40">
        <w:rPr>
          <w:b w:val="0"/>
          <w:bCs w:val="0"/>
          <w:color w:val="auto"/>
          <w:sz w:val="20"/>
          <w:szCs w:val="20"/>
        </w:rPr>
        <w:t xml:space="preserve"> </w:t>
      </w:r>
      <w:r w:rsidR="00AA5CB3" w:rsidRPr="00622F40">
        <w:rPr>
          <w:b w:val="0"/>
          <w:bCs w:val="0"/>
          <w:color w:val="auto"/>
          <w:sz w:val="20"/>
          <w:szCs w:val="20"/>
        </w:rPr>
        <w:t>The emissions related to the enteric formation of horses</w:t>
      </w:r>
      <w:r w:rsidR="005E4AD7" w:rsidRPr="00622F40">
        <w:rPr>
          <w:b w:val="0"/>
          <w:bCs w:val="0"/>
          <w:color w:val="auto"/>
          <w:sz w:val="20"/>
          <w:szCs w:val="20"/>
        </w:rPr>
        <w:t xml:space="preserve"> </w:t>
      </w:r>
      <w:r w:rsidR="001042D5" w:rsidRPr="00622F40">
        <w:rPr>
          <w:b w:val="0"/>
          <w:bCs w:val="0"/>
          <w:color w:val="auto"/>
          <w:sz w:val="20"/>
          <w:szCs w:val="20"/>
        </w:rPr>
        <w:t xml:space="preserve">are twice as </w:t>
      </w:r>
      <w:r w:rsidR="005A71BF" w:rsidRPr="00622F40">
        <w:rPr>
          <w:b w:val="0"/>
          <w:bCs w:val="0"/>
          <w:color w:val="auto"/>
          <w:sz w:val="20"/>
          <w:szCs w:val="20"/>
        </w:rPr>
        <w:t xml:space="preserve">much important by head than for </w:t>
      </w:r>
      <w:r w:rsidR="00514D90" w:rsidRPr="00622F40">
        <w:rPr>
          <w:b w:val="0"/>
          <w:bCs w:val="0"/>
          <w:color w:val="auto"/>
          <w:sz w:val="20"/>
          <w:szCs w:val="20"/>
        </w:rPr>
        <w:t>goats</w:t>
      </w:r>
      <w:r w:rsidR="005A4126" w:rsidRPr="00622F40">
        <w:rPr>
          <w:b w:val="0"/>
          <w:bCs w:val="0"/>
          <w:color w:val="auto"/>
          <w:sz w:val="20"/>
          <w:szCs w:val="20"/>
        </w:rPr>
        <w:t>.</w:t>
      </w:r>
      <w:r w:rsidR="00F935C8" w:rsidRPr="00622F40">
        <w:rPr>
          <w:b w:val="0"/>
          <w:bCs w:val="0"/>
          <w:color w:val="auto"/>
          <w:sz w:val="20"/>
          <w:szCs w:val="20"/>
        </w:rPr>
        <w:t xml:space="preserve"> </w:t>
      </w:r>
      <w:r w:rsidR="00984281" w:rsidRPr="00622F40">
        <w:rPr>
          <w:b w:val="0"/>
          <w:bCs w:val="0"/>
          <w:color w:val="auto"/>
          <w:sz w:val="20"/>
          <w:szCs w:val="20"/>
        </w:rPr>
        <w:t>As a consequence</w:t>
      </w:r>
      <w:r w:rsidR="00F935C8" w:rsidRPr="00622F40">
        <w:rPr>
          <w:b w:val="0"/>
          <w:bCs w:val="0"/>
          <w:color w:val="auto"/>
          <w:sz w:val="20"/>
          <w:szCs w:val="20"/>
        </w:rPr>
        <w:t xml:space="preserve">, the </w:t>
      </w:r>
      <w:r w:rsidR="00984281" w:rsidRPr="00622F40">
        <w:rPr>
          <w:b w:val="0"/>
          <w:bCs w:val="0"/>
          <w:color w:val="auto"/>
          <w:sz w:val="20"/>
          <w:szCs w:val="20"/>
        </w:rPr>
        <w:t xml:space="preserve">sectoral </w:t>
      </w:r>
      <w:r w:rsidR="00F935C8" w:rsidRPr="00622F40">
        <w:rPr>
          <w:b w:val="0"/>
          <w:bCs w:val="0"/>
          <w:color w:val="auto"/>
          <w:sz w:val="20"/>
          <w:szCs w:val="20"/>
        </w:rPr>
        <w:t>emissions decreas</w:t>
      </w:r>
      <w:r w:rsidR="00984281" w:rsidRPr="00622F40">
        <w:rPr>
          <w:b w:val="0"/>
          <w:bCs w:val="0"/>
          <w:color w:val="auto"/>
          <w:sz w:val="20"/>
          <w:szCs w:val="20"/>
        </w:rPr>
        <w:t>e</w:t>
      </w:r>
      <w:r w:rsidR="00F935C8" w:rsidRPr="00622F40">
        <w:rPr>
          <w:b w:val="0"/>
          <w:bCs w:val="0"/>
          <w:color w:val="auto"/>
          <w:sz w:val="20"/>
          <w:szCs w:val="20"/>
        </w:rPr>
        <w:t xml:space="preserve"> faster (-</w:t>
      </w:r>
      <w:r w:rsidR="004C0D27" w:rsidRPr="00622F40">
        <w:rPr>
          <w:b w:val="0"/>
          <w:bCs w:val="0"/>
          <w:color w:val="auto"/>
          <w:sz w:val="20"/>
          <w:szCs w:val="20"/>
        </w:rPr>
        <w:t>22</w:t>
      </w:r>
      <w:r w:rsidR="00F935C8" w:rsidRPr="00622F40">
        <w:rPr>
          <w:b w:val="0"/>
          <w:bCs w:val="0"/>
          <w:color w:val="auto"/>
          <w:sz w:val="20"/>
          <w:szCs w:val="20"/>
        </w:rPr>
        <w:t>%) than the total livestock (-</w:t>
      </w:r>
      <w:r w:rsidR="00984281" w:rsidRPr="00622F40">
        <w:rPr>
          <w:b w:val="0"/>
          <w:bCs w:val="0"/>
          <w:color w:val="auto"/>
          <w:sz w:val="20"/>
          <w:szCs w:val="20"/>
        </w:rPr>
        <w:t>9%), over the studied period</w:t>
      </w:r>
      <w:r w:rsidR="00762FE7" w:rsidRPr="00622F40">
        <w:rPr>
          <w:b w:val="0"/>
          <w:bCs w:val="0"/>
          <w:color w:val="auto"/>
          <w:sz w:val="20"/>
          <w:szCs w:val="20"/>
        </w:rPr>
        <w:t>, but follow a similar trend</w:t>
      </w:r>
      <w:r w:rsidR="00984281" w:rsidRPr="00622F40">
        <w:rPr>
          <w:b w:val="0"/>
          <w:bCs w:val="0"/>
          <w:color w:val="auto"/>
          <w:sz w:val="20"/>
          <w:szCs w:val="20"/>
        </w:rPr>
        <w:t xml:space="preserve">. </w:t>
      </w:r>
    </w:p>
    <w:p w14:paraId="5D1203D4" w14:textId="2813D671" w:rsidR="00754CD6" w:rsidRDefault="00856124" w:rsidP="00475E17">
      <w:pPr>
        <w:pStyle w:val="BodyText"/>
        <w:spacing w:after="0"/>
        <w:jc w:val="left"/>
        <w:rPr>
          <w:lang w:eastAsia="fr-FR"/>
        </w:rPr>
      </w:pPr>
      <w:r>
        <w:rPr>
          <w:noProof/>
          <w:lang w:val="en-US"/>
        </w:rPr>
        <w:drawing>
          <wp:inline distT="0" distB="0" distL="0" distR="0" wp14:anchorId="6C584C10" wp14:editId="64C27FA1">
            <wp:extent cx="5760000" cy="1753712"/>
            <wp:effectExtent l="0" t="0" r="0" b="0"/>
            <wp:docPr id="86744521"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2F1E42AD" w14:textId="77777777" w:rsidR="00475E17" w:rsidRDefault="00475E17" w:rsidP="00475E17">
      <w:pPr>
        <w:pStyle w:val="Caption"/>
        <w:keepNext/>
        <w:spacing w:before="0" w:after="0"/>
        <w:jc w:val="left"/>
        <w:rPr>
          <w:noProof/>
        </w:rPr>
      </w:pPr>
      <w:bookmarkStart w:id="645" w:name="_Toc184808475"/>
      <w:r w:rsidRPr="00622F40">
        <w:t xml:space="preserve">Figure </w:t>
      </w:r>
      <w:r w:rsidRPr="00622F40">
        <w:fldChar w:fldCharType="begin"/>
      </w:r>
      <w:r w:rsidRPr="00622F40">
        <w:instrText xml:space="preserve"> SEQ Figure \* ARABIC </w:instrText>
      </w:r>
      <w:r w:rsidRPr="00622F40">
        <w:fldChar w:fldCharType="separate"/>
      </w:r>
      <w:r>
        <w:rPr>
          <w:noProof/>
        </w:rPr>
        <w:t>88</w:t>
      </w:r>
      <w:r w:rsidRPr="00622F40">
        <w:fldChar w:fldCharType="end"/>
      </w:r>
      <w:r w:rsidRPr="00622F40">
        <w:rPr>
          <w:noProof/>
        </w:rPr>
        <w:t xml:space="preserve"> : GHG emissions for enteric fermentation of other livestock (</w:t>
      </w:r>
      <w:r>
        <w:rPr>
          <w:noProof/>
        </w:rPr>
        <w:t>CRT</w:t>
      </w:r>
      <w:r w:rsidRPr="00622F40">
        <w:rPr>
          <w:noProof/>
        </w:rPr>
        <w:t xml:space="preserve"> 3A4) (kt CO</w:t>
      </w:r>
      <w:r w:rsidRPr="00622F40">
        <w:rPr>
          <w:noProof/>
          <w:vertAlign w:val="subscript"/>
        </w:rPr>
        <w:t>2</w:t>
      </w:r>
      <w:r w:rsidRPr="00622F40">
        <w:rPr>
          <w:noProof/>
        </w:rPr>
        <w:t>e)</w:t>
      </w:r>
      <w:bookmarkEnd w:id="645"/>
    </w:p>
    <w:p w14:paraId="00148AD2" w14:textId="77777777" w:rsidR="00475E17" w:rsidRDefault="00475E17" w:rsidP="009E0457">
      <w:pPr>
        <w:pStyle w:val="BodyText"/>
        <w:rPr>
          <w:lang w:eastAsia="fr-FR"/>
        </w:rPr>
      </w:pPr>
    </w:p>
    <w:p w14:paraId="30FA1E3B" w14:textId="644F732A" w:rsidR="007B2433" w:rsidRDefault="007B2433" w:rsidP="009E0457">
      <w:pPr>
        <w:pStyle w:val="BodyText"/>
        <w:rPr>
          <w:lang w:eastAsia="fr-FR"/>
        </w:rPr>
      </w:pPr>
      <w:r w:rsidRPr="002462F0">
        <w:rPr>
          <w:lang w:eastAsia="fr-FR"/>
        </w:rPr>
        <w:t>In 20</w:t>
      </w:r>
      <w:r w:rsidR="00A852AE">
        <w:rPr>
          <w:lang w:eastAsia="fr-FR"/>
        </w:rPr>
        <w:t>22</w:t>
      </w:r>
      <w:r w:rsidRPr="002462F0">
        <w:rPr>
          <w:lang w:eastAsia="fr-FR"/>
        </w:rPr>
        <w:t xml:space="preserve">, the category </w:t>
      </w:r>
      <w:r w:rsidR="008931E5">
        <w:rPr>
          <w:lang w:eastAsia="fr-FR"/>
        </w:rPr>
        <w:t xml:space="preserve">CRT </w:t>
      </w:r>
      <w:r w:rsidRPr="002462F0">
        <w:rPr>
          <w:lang w:eastAsia="fr-FR"/>
        </w:rPr>
        <w:t>3A4 i</w:t>
      </w:r>
      <w:r w:rsidR="00754CD6">
        <w:rPr>
          <w:lang w:eastAsia="fr-FR"/>
        </w:rPr>
        <w:t xml:space="preserve">s </w:t>
      </w:r>
      <w:r w:rsidR="00A852AE">
        <w:rPr>
          <w:lang w:eastAsia="fr-FR"/>
        </w:rPr>
        <w:t xml:space="preserve">neither </w:t>
      </w:r>
      <w:r w:rsidR="00754CD6">
        <w:rPr>
          <w:lang w:eastAsia="fr-FR"/>
        </w:rPr>
        <w:t>a key category in terms of</w:t>
      </w:r>
      <w:r w:rsidRPr="002462F0">
        <w:rPr>
          <w:lang w:eastAsia="fr-FR"/>
        </w:rPr>
        <w:t xml:space="preserve"> emission level </w:t>
      </w:r>
      <w:r w:rsidR="00A852AE">
        <w:rPr>
          <w:lang w:eastAsia="fr-FR"/>
        </w:rPr>
        <w:t>nor in</w:t>
      </w:r>
      <w:r w:rsidR="00A852AE" w:rsidRPr="002462F0">
        <w:rPr>
          <w:lang w:eastAsia="fr-FR"/>
        </w:rPr>
        <w:t xml:space="preserve"> </w:t>
      </w:r>
      <w:r w:rsidRPr="002462F0">
        <w:rPr>
          <w:lang w:eastAsia="fr-FR"/>
        </w:rPr>
        <w:t xml:space="preserve">trend for GHG emissions in </w:t>
      </w:r>
      <w:r w:rsidR="00A852AE">
        <w:rPr>
          <w:lang w:eastAsia="fr-FR"/>
        </w:rPr>
        <w:t xml:space="preserve">the Republic of </w:t>
      </w:r>
      <w:r w:rsidRPr="002462F0">
        <w:rPr>
          <w:lang w:eastAsia="fr-FR"/>
        </w:rPr>
        <w:t>Serbia.</w:t>
      </w:r>
    </w:p>
    <w:p w14:paraId="6305B4A0" w14:textId="5CFE8C76" w:rsidR="00DB69AD" w:rsidRPr="002462F0" w:rsidRDefault="00DB69AD" w:rsidP="009E0457">
      <w:pPr>
        <w:pStyle w:val="BodyText"/>
        <w:rPr>
          <w:lang w:eastAsia="fr-FR"/>
        </w:rPr>
      </w:pPr>
      <w:r w:rsidRPr="00622F40">
        <w:rPr>
          <w:i/>
          <w:iCs/>
          <w:u w:val="single"/>
          <w:lang w:eastAsia="fr-FR"/>
        </w:rPr>
        <w:t>To be noted</w:t>
      </w:r>
      <w:r>
        <w:rPr>
          <w:lang w:eastAsia="fr-FR"/>
        </w:rPr>
        <w:t>: there is no CH</w:t>
      </w:r>
      <w:r w:rsidRPr="00622F40">
        <w:rPr>
          <w:vertAlign w:val="subscript"/>
          <w:lang w:eastAsia="fr-FR"/>
        </w:rPr>
        <w:t>4</w:t>
      </w:r>
      <w:r>
        <w:rPr>
          <w:lang w:eastAsia="fr-FR"/>
        </w:rPr>
        <w:t xml:space="preserve"> emissions from enteric fermentation from poultry</w:t>
      </w:r>
      <w:r w:rsidR="007958BF">
        <w:rPr>
          <w:lang w:eastAsia="fr-FR"/>
        </w:rPr>
        <w:t>.</w:t>
      </w:r>
    </w:p>
    <w:p w14:paraId="06668BD0" w14:textId="32C74882" w:rsidR="007B2433" w:rsidRDefault="007B2433" w:rsidP="007B2433">
      <w:pPr>
        <w:pStyle w:val="Titre4Bleu"/>
        <w:rPr>
          <w:lang w:val="en-GB" w:eastAsia="fr-FR"/>
        </w:rPr>
      </w:pPr>
      <w:bookmarkStart w:id="646" w:name="_Toc182327907"/>
      <w:r w:rsidRPr="002462F0">
        <w:rPr>
          <w:lang w:eastAsia="fr-FR"/>
        </w:rPr>
        <w:t>Methodological issues</w:t>
      </w:r>
      <w:bookmarkEnd w:id="646"/>
      <w:r w:rsidRPr="002462F0">
        <w:rPr>
          <w:lang w:val="en-GB" w:eastAsia="fr-FR"/>
        </w:rPr>
        <w:t xml:space="preserve"> </w:t>
      </w:r>
    </w:p>
    <w:p w14:paraId="5F264CD1" w14:textId="713A7437" w:rsidR="00754CD6" w:rsidRPr="002462F0" w:rsidRDefault="00754CD6" w:rsidP="00754CD6">
      <w:pPr>
        <w:pStyle w:val="BodyText"/>
        <w:rPr>
          <w:lang w:val="en-US" w:eastAsia="fr-FR"/>
        </w:rPr>
      </w:pPr>
      <w:r w:rsidRPr="002462F0">
        <w:rPr>
          <w:lang w:val="en-US" w:eastAsia="fr-FR"/>
        </w:rPr>
        <w:t xml:space="preserve">Emissions of GHG from </w:t>
      </w:r>
      <w:r w:rsidR="0003002C">
        <w:rPr>
          <w:lang w:val="en-US" w:eastAsia="fr-FR"/>
        </w:rPr>
        <w:t>enteric fermentation</w:t>
      </w:r>
      <w:r w:rsidR="0003002C" w:rsidRPr="002462F0">
        <w:rPr>
          <w:lang w:val="en-US" w:eastAsia="fr-FR"/>
        </w:rPr>
        <w:t xml:space="preserve"> </w:t>
      </w:r>
      <w:r w:rsidRPr="002462F0">
        <w:rPr>
          <w:lang w:val="en-US" w:eastAsia="fr-FR"/>
        </w:rPr>
        <w:t xml:space="preserve">are calculated </w:t>
      </w:r>
      <w:r>
        <w:rPr>
          <w:lang w:val="en-US" w:eastAsia="fr-FR"/>
        </w:rPr>
        <w:t xml:space="preserve">with a Tier 1 </w:t>
      </w:r>
      <w:r w:rsidRPr="002462F0">
        <w:rPr>
          <w:lang w:val="en-US" w:eastAsia="fr-FR"/>
        </w:rPr>
        <w:t xml:space="preserve">approach which is in line with the 2006 IPCC Guidelines </w:t>
      </w:r>
      <w:r>
        <w:rPr>
          <w:lang w:val="en-US" w:eastAsia="fr-FR"/>
        </w:rPr>
        <w:fldChar w:fldCharType="begin"/>
      </w:r>
      <w:r>
        <w:rPr>
          <w:lang w:val="en-US" w:eastAsia="fr-FR"/>
        </w:rPr>
        <w:instrText xml:space="preserve"> REF _Ref496712799 \r \h </w:instrText>
      </w:r>
      <w:r>
        <w:rPr>
          <w:lang w:val="en-US" w:eastAsia="fr-FR"/>
        </w:rPr>
      </w:r>
      <w:r>
        <w:rPr>
          <w:lang w:val="en-US" w:eastAsia="fr-FR"/>
        </w:rPr>
        <w:fldChar w:fldCharType="separate"/>
      </w:r>
      <w:r w:rsidR="00F14C78">
        <w:rPr>
          <w:lang w:val="en-US" w:eastAsia="fr-FR"/>
        </w:rPr>
        <w:t>[A1]</w:t>
      </w:r>
      <w:r>
        <w:rPr>
          <w:lang w:val="en-US" w:eastAsia="fr-FR"/>
        </w:rPr>
        <w:fldChar w:fldCharType="end"/>
      </w:r>
      <w:r w:rsidRPr="002462F0">
        <w:rPr>
          <w:lang w:val="en-US" w:eastAsia="fr-FR"/>
        </w:rPr>
        <w:t xml:space="preserve">. </w:t>
      </w:r>
    </w:p>
    <w:p w14:paraId="5B5DE463" w14:textId="32A560F7" w:rsidR="00754CD6" w:rsidRPr="002462F0" w:rsidRDefault="00754CD6" w:rsidP="00754CD6">
      <w:pPr>
        <w:pStyle w:val="BodyText"/>
        <w:rPr>
          <w:lang w:val="en-US" w:eastAsia="fr-FR"/>
        </w:rPr>
      </w:pPr>
      <w:r w:rsidRPr="002462F0">
        <w:rPr>
          <w:lang w:val="en-US" w:eastAsia="fr-FR"/>
        </w:rPr>
        <w:t xml:space="preserve">Activity data used </w:t>
      </w:r>
      <w:r w:rsidR="00A852AE">
        <w:rPr>
          <w:lang w:val="en-US" w:eastAsia="fr-FR"/>
        </w:rPr>
        <w:t>are the</w:t>
      </w:r>
      <w:r w:rsidR="00A852AE" w:rsidRPr="002462F0">
        <w:rPr>
          <w:lang w:val="en-US" w:eastAsia="fr-FR"/>
        </w:rPr>
        <w:t xml:space="preserve"> </w:t>
      </w:r>
      <w:r>
        <w:rPr>
          <w:lang w:val="en-US" w:eastAsia="fr-FR"/>
        </w:rPr>
        <w:t>annual livestock (average population in heads)</w:t>
      </w:r>
      <w:r w:rsidR="00A852AE">
        <w:rPr>
          <w:lang w:val="en-US" w:eastAsia="fr-FR"/>
        </w:rPr>
        <w:t>, for goats and horses</w:t>
      </w:r>
      <w:r w:rsidRPr="002462F0">
        <w:rPr>
          <w:lang w:val="en-US" w:eastAsia="fr-FR"/>
        </w:rPr>
        <w:t xml:space="preserve">. </w:t>
      </w:r>
      <w:r>
        <w:rPr>
          <w:lang w:val="en-US" w:eastAsia="fr-FR"/>
        </w:rPr>
        <w:t xml:space="preserve">These activity data </w:t>
      </w:r>
      <w:r w:rsidRPr="002462F0">
        <w:rPr>
          <w:lang w:val="en-US" w:eastAsia="fr-FR"/>
        </w:rPr>
        <w:t xml:space="preserve">for the </w:t>
      </w:r>
      <w:r>
        <w:rPr>
          <w:lang w:val="en-US" w:eastAsia="fr-FR"/>
        </w:rPr>
        <w:t>entire</w:t>
      </w:r>
      <w:r w:rsidRPr="002462F0">
        <w:rPr>
          <w:lang w:val="en-US" w:eastAsia="fr-FR"/>
        </w:rPr>
        <w:t xml:space="preserve"> time </w:t>
      </w:r>
      <w:r>
        <w:rPr>
          <w:lang w:val="en-US" w:eastAsia="fr-FR"/>
        </w:rPr>
        <w:t>series</w:t>
      </w:r>
      <w:r w:rsidRPr="002462F0">
        <w:rPr>
          <w:lang w:val="en-US" w:eastAsia="fr-FR"/>
        </w:rPr>
        <w:t xml:space="preserve"> </w:t>
      </w:r>
      <w:r w:rsidR="006A1F2C">
        <w:rPr>
          <w:lang w:val="en-US" w:eastAsia="fr-FR"/>
        </w:rPr>
        <w:t xml:space="preserve">are taken </w:t>
      </w:r>
      <w:r w:rsidRPr="002462F0">
        <w:rPr>
          <w:lang w:val="en-US" w:eastAsia="fr-FR"/>
        </w:rPr>
        <w:t xml:space="preserve">from </w:t>
      </w:r>
      <w:r>
        <w:rPr>
          <w:lang w:val="en-US" w:eastAsia="fr-FR"/>
        </w:rPr>
        <w:t>the Serbian Statistical Yearbook</w:t>
      </w:r>
      <w:r w:rsidRPr="002462F0">
        <w:rPr>
          <w:lang w:val="en-US" w:eastAsia="fr-FR"/>
        </w:rPr>
        <w:t xml:space="preserve"> </w:t>
      </w:r>
      <w:r>
        <w:rPr>
          <w:lang w:val="en-US" w:eastAsia="fr-FR"/>
        </w:rPr>
        <w:fldChar w:fldCharType="begin"/>
      </w:r>
      <w:r>
        <w:rPr>
          <w:lang w:val="en-US" w:eastAsia="fr-FR"/>
        </w:rPr>
        <w:instrText xml:space="preserve"> REF _Ref496713080 \r \h </w:instrText>
      </w:r>
      <w:r>
        <w:rPr>
          <w:lang w:val="en-US" w:eastAsia="fr-FR"/>
        </w:rPr>
      </w:r>
      <w:r>
        <w:rPr>
          <w:lang w:val="en-US" w:eastAsia="fr-FR"/>
        </w:rPr>
        <w:fldChar w:fldCharType="separate"/>
      </w:r>
      <w:r w:rsidR="00F14C78">
        <w:rPr>
          <w:lang w:val="en-US" w:eastAsia="fr-FR"/>
        </w:rPr>
        <w:t>[A2]</w:t>
      </w:r>
      <w:r>
        <w:rPr>
          <w:lang w:val="en-US" w:eastAsia="fr-FR"/>
        </w:rPr>
        <w:fldChar w:fldCharType="end"/>
      </w:r>
      <w:r w:rsidRPr="002462F0">
        <w:rPr>
          <w:lang w:val="en-US" w:eastAsia="fr-FR"/>
        </w:rPr>
        <w:t>.</w:t>
      </w:r>
    </w:p>
    <w:p w14:paraId="3C0F8A79" w14:textId="464B063B" w:rsidR="00754CD6" w:rsidRPr="002462F0" w:rsidRDefault="00754CD6" w:rsidP="00754CD6">
      <w:pPr>
        <w:pStyle w:val="BodyText"/>
        <w:rPr>
          <w:lang w:val="en-US" w:eastAsia="fr-FR"/>
        </w:rPr>
      </w:pPr>
      <w:r w:rsidRPr="002462F0">
        <w:rPr>
          <w:lang w:val="en-US" w:eastAsia="fr-FR"/>
        </w:rPr>
        <w:lastRenderedPageBreak/>
        <w:t>Emission factors used for calculating CH</w:t>
      </w:r>
      <w:r w:rsidRPr="002462F0">
        <w:rPr>
          <w:vertAlign w:val="subscript"/>
          <w:lang w:val="en-US" w:eastAsia="fr-FR"/>
        </w:rPr>
        <w:t>4</w:t>
      </w:r>
      <w:r>
        <w:rPr>
          <w:lang w:val="en-US" w:eastAsia="fr-FR"/>
        </w:rPr>
        <w:t xml:space="preserve"> </w:t>
      </w:r>
      <w:r w:rsidRPr="002462F0">
        <w:rPr>
          <w:lang w:val="en-US" w:eastAsia="fr-FR"/>
        </w:rPr>
        <w:t xml:space="preserve">emissions </w:t>
      </w:r>
      <w:r w:rsidR="00440E68">
        <w:rPr>
          <w:lang w:val="en-US" w:eastAsia="fr-FR"/>
        </w:rPr>
        <w:t>are sourced</w:t>
      </w:r>
      <w:r w:rsidRPr="002462F0">
        <w:rPr>
          <w:lang w:val="en-US" w:eastAsia="fr-FR"/>
        </w:rPr>
        <w:t xml:space="preserve"> from 2006 IPCC guidelines </w:t>
      </w:r>
      <w:r>
        <w:rPr>
          <w:lang w:val="en-US" w:eastAsia="fr-FR"/>
        </w:rPr>
        <w:fldChar w:fldCharType="begin"/>
      </w:r>
      <w:r>
        <w:rPr>
          <w:lang w:val="en-US" w:eastAsia="fr-FR"/>
        </w:rPr>
        <w:instrText xml:space="preserve"> REF _Ref496713086 \r \h </w:instrText>
      </w:r>
      <w:r>
        <w:rPr>
          <w:lang w:val="en-US" w:eastAsia="fr-FR"/>
        </w:rPr>
      </w:r>
      <w:r>
        <w:rPr>
          <w:lang w:val="en-US" w:eastAsia="fr-FR"/>
        </w:rPr>
        <w:fldChar w:fldCharType="separate"/>
      </w:r>
      <w:r w:rsidR="00F14C78">
        <w:rPr>
          <w:lang w:val="en-US" w:eastAsia="fr-FR"/>
        </w:rPr>
        <w:t>[A3]</w:t>
      </w:r>
      <w:r>
        <w:rPr>
          <w:lang w:val="en-US" w:eastAsia="fr-FR"/>
        </w:rPr>
        <w:fldChar w:fldCharType="end"/>
      </w:r>
      <w:r w:rsidR="006A1F2C">
        <w:rPr>
          <w:lang w:val="en-US" w:eastAsia="fr-FR"/>
        </w:rPr>
        <w:t>, are constant over the time</w:t>
      </w:r>
      <w:r w:rsidR="00506442">
        <w:rPr>
          <w:lang w:val="en-US" w:eastAsia="fr-FR"/>
        </w:rPr>
        <w:t>series</w:t>
      </w:r>
      <w:r w:rsidR="006A1F2C">
        <w:rPr>
          <w:lang w:val="en-US" w:eastAsia="fr-FR"/>
        </w:rPr>
        <w:t xml:space="preserve"> and equal to 18 kg CH</w:t>
      </w:r>
      <w:r w:rsidR="006A1F2C" w:rsidRPr="001F0275">
        <w:rPr>
          <w:vertAlign w:val="subscript"/>
          <w:lang w:val="en-US" w:eastAsia="fr-FR"/>
        </w:rPr>
        <w:t>4</w:t>
      </w:r>
      <w:r w:rsidR="006A1F2C">
        <w:rPr>
          <w:lang w:val="en-US" w:eastAsia="fr-FR"/>
        </w:rPr>
        <w:t>/head/year for horses and 9 kg CH</w:t>
      </w:r>
      <w:r w:rsidR="006A1F2C" w:rsidRPr="001F0275">
        <w:rPr>
          <w:vertAlign w:val="subscript"/>
          <w:lang w:val="en-US" w:eastAsia="fr-FR"/>
        </w:rPr>
        <w:t>4</w:t>
      </w:r>
      <w:r w:rsidR="006A1F2C">
        <w:rPr>
          <w:lang w:val="en-US" w:eastAsia="fr-FR"/>
        </w:rPr>
        <w:t>/head/year for goats</w:t>
      </w:r>
      <w:r w:rsidRPr="002462F0">
        <w:rPr>
          <w:lang w:val="en-US" w:eastAsia="fr-FR"/>
        </w:rPr>
        <w:t>.</w:t>
      </w:r>
    </w:p>
    <w:p w14:paraId="270E5DE4" w14:textId="77777777" w:rsidR="007B2433" w:rsidRPr="002462F0" w:rsidRDefault="007B2433" w:rsidP="007B2433">
      <w:pPr>
        <w:pStyle w:val="Heading3"/>
        <w:ind w:left="1430"/>
        <w:rPr>
          <w:lang w:val="en-GB" w:eastAsia="fr-FR"/>
        </w:rPr>
      </w:pPr>
      <w:bookmarkStart w:id="647" w:name="_Toc182327908"/>
      <w:bookmarkStart w:id="648" w:name="_Toc184808258"/>
      <w:r w:rsidRPr="002462F0">
        <w:rPr>
          <w:lang w:val="en-GB" w:eastAsia="fr-FR"/>
        </w:rPr>
        <w:t>Uncertainties and time-series consistency</w:t>
      </w:r>
      <w:bookmarkEnd w:id="647"/>
      <w:bookmarkEnd w:id="648"/>
    </w:p>
    <w:p w14:paraId="6D34B790" w14:textId="77777777" w:rsidR="007B2433" w:rsidRPr="002462F0" w:rsidRDefault="007B2433" w:rsidP="009E0457">
      <w:pPr>
        <w:pStyle w:val="BodyText"/>
        <w:rPr>
          <w:lang w:eastAsia="fr-FR"/>
        </w:rPr>
      </w:pPr>
      <w:r w:rsidRPr="002462F0">
        <w:rPr>
          <w:lang w:eastAsia="fr-FR"/>
        </w:rPr>
        <w:t>Uncertainty estimate associated with activity data amounts to 20%, based on 2006 IPCC Guidelines (Volume 4, Chapter 10, Section 10.2.3).</w:t>
      </w:r>
    </w:p>
    <w:p w14:paraId="1A72F0F2" w14:textId="77777777" w:rsidR="007B2433" w:rsidRPr="002462F0" w:rsidRDefault="007B2433" w:rsidP="009E0457">
      <w:pPr>
        <w:pStyle w:val="BodyText"/>
        <w:rPr>
          <w:lang w:eastAsia="fr-FR"/>
        </w:rPr>
      </w:pPr>
      <w:r w:rsidRPr="002462F0">
        <w:rPr>
          <w:lang w:eastAsia="fr-FR"/>
        </w:rPr>
        <w:t>Uncertainty estimate associated with CH</w:t>
      </w:r>
      <w:r w:rsidRPr="002462F0">
        <w:rPr>
          <w:vertAlign w:val="subscript"/>
          <w:lang w:eastAsia="fr-FR"/>
        </w:rPr>
        <w:t>4</w:t>
      </w:r>
      <w:r w:rsidRPr="002462F0">
        <w:rPr>
          <w:lang w:eastAsia="fr-FR"/>
        </w:rPr>
        <w:t xml:space="preserve"> emission factor amounts to 40%, also based on 2006 IPCC Guidelines (Volume 4, Chapter 10, Section 10.3.4). </w:t>
      </w:r>
    </w:p>
    <w:p w14:paraId="46924177" w14:textId="0040190D" w:rsidR="007B2433" w:rsidRPr="002462F0" w:rsidRDefault="00A0422A" w:rsidP="009E0457">
      <w:pPr>
        <w:pStyle w:val="BodyText"/>
        <w:rPr>
          <w:lang w:eastAsia="fr-FR"/>
        </w:rPr>
      </w:pPr>
      <w:r>
        <w:rPr>
          <w:lang w:eastAsia="fr-FR"/>
        </w:rPr>
        <w:t>The</w:t>
      </w:r>
      <w:r w:rsidRPr="002462F0">
        <w:rPr>
          <w:lang w:eastAsia="fr-FR"/>
        </w:rPr>
        <w:t xml:space="preserve"> </w:t>
      </w:r>
      <w:r w:rsidR="007B2433" w:rsidRPr="002462F0">
        <w:rPr>
          <w:lang w:eastAsia="fr-FR"/>
        </w:rPr>
        <w:t xml:space="preserve">uncertainty </w:t>
      </w:r>
      <w:r>
        <w:rPr>
          <w:lang w:eastAsia="fr-FR"/>
        </w:rPr>
        <w:t xml:space="preserve">combined </w:t>
      </w:r>
      <w:r w:rsidR="007B2433" w:rsidRPr="002462F0">
        <w:rPr>
          <w:lang w:eastAsia="fr-FR"/>
        </w:rPr>
        <w:t xml:space="preserve">for </w:t>
      </w:r>
      <w:r>
        <w:rPr>
          <w:lang w:eastAsia="fr-FR"/>
        </w:rPr>
        <w:t>CH</w:t>
      </w:r>
      <w:r w:rsidRPr="00622F40">
        <w:rPr>
          <w:vertAlign w:val="subscript"/>
          <w:lang w:eastAsia="fr-FR"/>
        </w:rPr>
        <w:t>4</w:t>
      </w:r>
      <w:r>
        <w:rPr>
          <w:lang w:eastAsia="fr-FR"/>
        </w:rPr>
        <w:t xml:space="preserve"> </w:t>
      </w:r>
      <w:r w:rsidR="007B2433" w:rsidRPr="002462F0">
        <w:rPr>
          <w:lang w:eastAsia="fr-FR"/>
        </w:rPr>
        <w:t xml:space="preserve">emissions is </w:t>
      </w:r>
      <w:r>
        <w:rPr>
          <w:lang w:eastAsia="fr-FR"/>
        </w:rPr>
        <w:t>1.6</w:t>
      </w:r>
      <w:r w:rsidR="007B2433" w:rsidRPr="002462F0">
        <w:rPr>
          <w:lang w:eastAsia="fr-FR"/>
        </w:rPr>
        <w:t>%</w:t>
      </w:r>
      <w:r w:rsidR="00DD61BD" w:rsidRPr="00DD61BD">
        <w:rPr>
          <w:lang w:eastAsia="fr-FR"/>
        </w:rPr>
        <w:t xml:space="preserve"> </w:t>
      </w:r>
      <w:r w:rsidR="00DD61BD">
        <w:rPr>
          <w:lang w:eastAsia="fr-FR"/>
        </w:rPr>
        <w:t>in the total national levels of emission in 2022, excluding LULUCF contribution</w:t>
      </w:r>
      <w:r w:rsidR="007B2433" w:rsidRPr="002462F0">
        <w:rPr>
          <w:lang w:eastAsia="fr-FR"/>
        </w:rPr>
        <w:t>.</w:t>
      </w:r>
      <w:r w:rsidR="00904CD0">
        <w:rPr>
          <w:lang w:eastAsia="fr-FR"/>
        </w:rPr>
        <w:t xml:space="preserve"> This makes </w:t>
      </w:r>
      <w:r w:rsidR="00817E15">
        <w:rPr>
          <w:lang w:eastAsia="fr-FR"/>
        </w:rPr>
        <w:t>it</w:t>
      </w:r>
      <w:r w:rsidR="00904CD0">
        <w:rPr>
          <w:lang w:eastAsia="fr-FR"/>
        </w:rPr>
        <w:t xml:space="preserve"> the 2</w:t>
      </w:r>
      <w:r w:rsidR="00904CD0" w:rsidRPr="00622F40">
        <w:rPr>
          <w:vertAlign w:val="superscript"/>
          <w:lang w:eastAsia="fr-FR"/>
        </w:rPr>
        <w:t>nd</w:t>
      </w:r>
      <w:r w:rsidR="00904CD0">
        <w:rPr>
          <w:lang w:eastAsia="fr-FR"/>
        </w:rPr>
        <w:t xml:space="preserve"> highest sector contributing to the overall national uncertainty in GHG emissions, after the methane emissions from solid waste disposal on land (CRT 5A).</w:t>
      </w:r>
    </w:p>
    <w:p w14:paraId="73E64BFE" w14:textId="0A451867" w:rsidR="007B2433" w:rsidRDefault="007B2433" w:rsidP="007B2433">
      <w:pPr>
        <w:pStyle w:val="Heading3"/>
        <w:ind w:left="1430"/>
        <w:rPr>
          <w:lang w:val="en-GB" w:eastAsia="fr-FR"/>
        </w:rPr>
      </w:pPr>
      <w:bookmarkStart w:id="649" w:name="_Toc182327909"/>
      <w:bookmarkStart w:id="650" w:name="_Toc184808259"/>
      <w:r w:rsidRPr="002462F0">
        <w:rPr>
          <w:lang w:val="en-GB" w:eastAsia="fr-FR"/>
        </w:rPr>
        <w:t>Category-specific QA/QC and verification</w:t>
      </w:r>
      <w:bookmarkEnd w:id="649"/>
      <w:bookmarkEnd w:id="650"/>
    </w:p>
    <w:p w14:paraId="25DDFF3E" w14:textId="193D42CA" w:rsidR="00904CD0" w:rsidRPr="002462F0" w:rsidRDefault="00904CD0" w:rsidP="00904CD0">
      <w:pPr>
        <w:pStyle w:val="BodyText"/>
        <w:rPr>
          <w:lang w:val="en-US" w:eastAsia="fr-FR"/>
        </w:rPr>
      </w:pPr>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64FE4057" w14:textId="17C5EE87" w:rsidR="007B2433" w:rsidRPr="002462F0" w:rsidRDefault="007B2433" w:rsidP="007B2433">
      <w:pPr>
        <w:pStyle w:val="Heading3"/>
        <w:ind w:left="1430"/>
        <w:rPr>
          <w:lang w:val="en-GB" w:eastAsia="fr-FR"/>
        </w:rPr>
      </w:pPr>
      <w:bookmarkStart w:id="651" w:name="_Toc182327910"/>
      <w:bookmarkStart w:id="652" w:name="_Toc184808260"/>
      <w:r w:rsidRPr="002462F0">
        <w:rPr>
          <w:lang w:val="en-GB" w:eastAsia="fr-FR"/>
        </w:rPr>
        <w:t>Category-specific recalculations</w:t>
      </w:r>
      <w:bookmarkEnd w:id="651"/>
      <w:bookmarkEnd w:id="652"/>
    </w:p>
    <w:p w14:paraId="08F72732" w14:textId="27054A54" w:rsidR="007B2433" w:rsidRPr="002462F0" w:rsidRDefault="007B2433" w:rsidP="009E0457">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w:t>
      </w:r>
      <w:r w:rsidR="00754CD6">
        <w:rPr>
          <w:lang w:eastAsia="fr-FR"/>
        </w:rPr>
        <w:t>occur</w:t>
      </w:r>
      <w:r w:rsidRPr="002462F0">
        <w:rPr>
          <w:lang w:eastAsia="fr-FR"/>
        </w:rPr>
        <w:t xml:space="preserve"> and </w:t>
      </w:r>
      <w:r w:rsidR="00754CD6">
        <w:rPr>
          <w:lang w:eastAsia="fr-FR"/>
        </w:rPr>
        <w:t xml:space="preserve">be </w:t>
      </w:r>
      <w:r w:rsidRPr="002462F0">
        <w:rPr>
          <w:lang w:eastAsia="fr-FR"/>
        </w:rPr>
        <w:t>estimated in the next submission if necessary.</w:t>
      </w:r>
    </w:p>
    <w:p w14:paraId="0CA757A0" w14:textId="1F5C72FB" w:rsidR="007B2433" w:rsidRPr="002462F0" w:rsidRDefault="007B2433" w:rsidP="007B2433">
      <w:pPr>
        <w:pStyle w:val="Heading3"/>
        <w:ind w:left="1430"/>
        <w:rPr>
          <w:lang w:val="en-GB" w:eastAsia="fr-FR"/>
        </w:rPr>
      </w:pPr>
      <w:bookmarkStart w:id="653" w:name="_Toc182327911"/>
      <w:bookmarkStart w:id="654" w:name="_Toc184808261"/>
      <w:r w:rsidRPr="002462F0">
        <w:rPr>
          <w:lang w:val="en-GB" w:eastAsia="fr-FR"/>
        </w:rPr>
        <w:t>Category-specific planned improvements</w:t>
      </w:r>
      <w:bookmarkEnd w:id="653"/>
      <w:bookmarkEnd w:id="654"/>
    </w:p>
    <w:p w14:paraId="0AD939EB" w14:textId="77777777" w:rsidR="007B2433" w:rsidRDefault="007B2433" w:rsidP="009E0457">
      <w:pPr>
        <w:pStyle w:val="BodyText"/>
        <w:rPr>
          <w:lang w:eastAsia="fr-FR"/>
        </w:rPr>
      </w:pPr>
      <w:r w:rsidRPr="002462F0">
        <w:rPr>
          <w:lang w:eastAsia="fr-FR"/>
        </w:rPr>
        <w:t>For enteric fermentation, in the current inventory, the methodology used is the Tier 1. An improvement could be to launch a research project, look for publications to implement a Tier 2 method. A Tier 2 method involves the use of a lot of new parameters, among other the average gross energy intake, the average CH</w:t>
      </w:r>
      <w:r w:rsidRPr="002462F0">
        <w:rPr>
          <w:vertAlign w:val="subscript"/>
          <w:lang w:eastAsia="fr-FR"/>
        </w:rPr>
        <w:t>4</w:t>
      </w:r>
      <w:r w:rsidRPr="002462F0">
        <w:rPr>
          <w:lang w:eastAsia="fr-FR"/>
        </w:rPr>
        <w:t xml:space="preserve"> conversion rate. This is a consequent improvement regarding the efforts, time, and research required.</w:t>
      </w:r>
    </w:p>
    <w:p w14:paraId="5F4361EB" w14:textId="7F66E5A3" w:rsidR="004526F1" w:rsidRPr="002462F0" w:rsidRDefault="004526F1" w:rsidP="009E0457">
      <w:pPr>
        <w:pStyle w:val="BodyText"/>
        <w:rPr>
          <w:color w:val="FF0000"/>
          <w:lang w:eastAsia="fr-FR"/>
        </w:rPr>
      </w:pPr>
      <w:r>
        <w:rPr>
          <w:lang w:eastAsia="fr-FR"/>
        </w:rPr>
        <w:t xml:space="preserve">Another significant improvement will be to move the emission estimation to </w:t>
      </w:r>
      <w:r w:rsidR="004E54FB">
        <w:rPr>
          <w:lang w:eastAsia="fr-FR"/>
        </w:rPr>
        <w:t>the 2019 IPCC refinement.</w:t>
      </w:r>
    </w:p>
    <w:p w14:paraId="4A8FA6F7" w14:textId="20908269" w:rsidR="007B2433" w:rsidRPr="009C1CF3" w:rsidRDefault="007B2433" w:rsidP="009C1CF3">
      <w:pPr>
        <w:pStyle w:val="Heading2"/>
        <w:rPr>
          <w:rStyle w:val="Heading2Char"/>
          <w:b/>
        </w:rPr>
      </w:pPr>
      <w:bookmarkStart w:id="655" w:name="_Toc182327912"/>
      <w:bookmarkStart w:id="656" w:name="_Toc184808262"/>
      <w:r w:rsidRPr="009C1CF3">
        <w:rPr>
          <w:rStyle w:val="Heading2Char"/>
          <w:b/>
        </w:rPr>
        <w:t>Manure management (</w:t>
      </w:r>
      <w:r w:rsidR="00FF2718">
        <w:rPr>
          <w:rStyle w:val="Heading2Char"/>
          <w:b/>
        </w:rPr>
        <w:t xml:space="preserve">CRT </w:t>
      </w:r>
      <w:r w:rsidRPr="009C1CF3">
        <w:rPr>
          <w:rStyle w:val="Heading2Char"/>
          <w:b/>
        </w:rPr>
        <w:t>3B)</w:t>
      </w:r>
      <w:bookmarkEnd w:id="655"/>
      <w:bookmarkEnd w:id="656"/>
    </w:p>
    <w:p w14:paraId="2224C2D4" w14:textId="4381F3A5" w:rsidR="0075133E" w:rsidRDefault="0075133E" w:rsidP="0075133E">
      <w:pPr>
        <w:rPr>
          <w:lang w:val="en-US"/>
        </w:rPr>
      </w:pPr>
      <w:r>
        <w:rPr>
          <w:lang w:val="en-US"/>
        </w:rPr>
        <w:t xml:space="preserve">The </w:t>
      </w:r>
      <w:r w:rsidR="00AC281C">
        <w:rPr>
          <w:lang w:val="en-US"/>
        </w:rPr>
        <w:t>manure management</w:t>
      </w:r>
      <w:r>
        <w:rPr>
          <w:lang w:val="en-US"/>
        </w:rPr>
        <w:t xml:space="preserve"> category covers the emissions of CH</w:t>
      </w:r>
      <w:r w:rsidRPr="001F0275">
        <w:rPr>
          <w:vertAlign w:val="subscript"/>
          <w:lang w:val="en-US"/>
        </w:rPr>
        <w:t>4</w:t>
      </w:r>
      <w:r>
        <w:rPr>
          <w:lang w:val="en-US"/>
        </w:rPr>
        <w:t xml:space="preserve"> </w:t>
      </w:r>
      <w:r w:rsidR="00EC0437">
        <w:rPr>
          <w:lang w:val="en-US"/>
        </w:rPr>
        <w:t>(CRT 3B1) and N</w:t>
      </w:r>
      <w:r w:rsidR="00EC0437" w:rsidRPr="00622F40">
        <w:rPr>
          <w:vertAlign w:val="subscript"/>
          <w:lang w:val="en-US"/>
        </w:rPr>
        <w:t>2</w:t>
      </w:r>
      <w:r w:rsidR="00EC0437">
        <w:rPr>
          <w:lang w:val="en-US"/>
        </w:rPr>
        <w:t xml:space="preserve">O (CRT 3B2) </w:t>
      </w:r>
      <w:r>
        <w:rPr>
          <w:lang w:val="en-US"/>
        </w:rPr>
        <w:t xml:space="preserve">from the different </w:t>
      </w:r>
      <w:r w:rsidR="00EC0437">
        <w:rPr>
          <w:lang w:val="en-US"/>
        </w:rPr>
        <w:t>livestock</w:t>
      </w:r>
      <w:r>
        <w:rPr>
          <w:lang w:val="en-US"/>
        </w:rPr>
        <w:t>: cattle (</w:t>
      </w:r>
      <w:r w:rsidR="00FF2718">
        <w:rPr>
          <w:lang w:val="en-US"/>
        </w:rPr>
        <w:t xml:space="preserve">CRT </w:t>
      </w:r>
      <w:r>
        <w:rPr>
          <w:lang w:val="en-US"/>
        </w:rPr>
        <w:t>3</w:t>
      </w:r>
      <w:r w:rsidR="00EC0437">
        <w:rPr>
          <w:lang w:val="en-US"/>
        </w:rPr>
        <w:t>B</w:t>
      </w:r>
      <w:r>
        <w:rPr>
          <w:lang w:val="en-US"/>
        </w:rPr>
        <w:t>1</w:t>
      </w:r>
      <w:r w:rsidR="008931E5">
        <w:rPr>
          <w:lang w:val="en-US"/>
        </w:rPr>
        <w:t>.</w:t>
      </w:r>
      <w:r w:rsidR="00EC0437">
        <w:rPr>
          <w:lang w:val="en-US"/>
        </w:rPr>
        <w:t>1 and 3B2</w:t>
      </w:r>
      <w:r w:rsidR="008931E5">
        <w:rPr>
          <w:lang w:val="en-US"/>
        </w:rPr>
        <w:t>.</w:t>
      </w:r>
      <w:r w:rsidR="00EC0437">
        <w:rPr>
          <w:lang w:val="en-US"/>
        </w:rPr>
        <w:t>1</w:t>
      </w:r>
      <w:r>
        <w:rPr>
          <w:lang w:val="en-US"/>
        </w:rPr>
        <w:t xml:space="preserve">), sheep </w:t>
      </w:r>
      <w:r w:rsidR="002F28C0">
        <w:rPr>
          <w:lang w:val="en-US"/>
        </w:rPr>
        <w:t>(</w:t>
      </w:r>
      <w:r w:rsidR="00FF2718">
        <w:rPr>
          <w:lang w:val="en-US"/>
        </w:rPr>
        <w:t xml:space="preserve">CRT </w:t>
      </w:r>
      <w:r w:rsidR="002F28C0">
        <w:rPr>
          <w:lang w:val="en-US"/>
        </w:rPr>
        <w:t xml:space="preserve">3B12 and 3B22), </w:t>
      </w:r>
      <w:r>
        <w:rPr>
          <w:lang w:val="en-US"/>
        </w:rPr>
        <w:t xml:space="preserve">swine </w:t>
      </w:r>
      <w:r w:rsidR="002F28C0">
        <w:rPr>
          <w:lang w:val="en-US"/>
        </w:rPr>
        <w:t>(</w:t>
      </w:r>
      <w:r w:rsidR="00FF2718">
        <w:rPr>
          <w:lang w:val="en-US"/>
        </w:rPr>
        <w:t xml:space="preserve">CRT </w:t>
      </w:r>
      <w:r w:rsidR="002F28C0">
        <w:rPr>
          <w:lang w:val="en-US"/>
        </w:rPr>
        <w:t>3B1</w:t>
      </w:r>
      <w:r w:rsidR="008931E5">
        <w:rPr>
          <w:lang w:val="en-US"/>
        </w:rPr>
        <w:t>.</w:t>
      </w:r>
      <w:r w:rsidR="002F28C0">
        <w:rPr>
          <w:lang w:val="en-US"/>
        </w:rPr>
        <w:t>3 and 3B23</w:t>
      </w:r>
      <w:r w:rsidR="008931E5">
        <w:rPr>
          <w:lang w:val="en-US"/>
        </w:rPr>
        <w:t>.</w:t>
      </w:r>
      <w:r w:rsidR="002F28C0">
        <w:rPr>
          <w:lang w:val="en-US"/>
        </w:rPr>
        <w:t xml:space="preserve">) </w:t>
      </w:r>
      <w:r>
        <w:rPr>
          <w:lang w:val="en-US"/>
        </w:rPr>
        <w:t>and o</w:t>
      </w:r>
      <w:r w:rsidR="00223443">
        <w:rPr>
          <w:lang w:val="en-US"/>
        </w:rPr>
        <w:t>t</w:t>
      </w:r>
      <w:r>
        <w:rPr>
          <w:lang w:val="en-US"/>
        </w:rPr>
        <w:t xml:space="preserve">hers </w:t>
      </w:r>
      <w:r w:rsidR="002F28C0">
        <w:rPr>
          <w:lang w:val="en-US"/>
        </w:rPr>
        <w:t>(</w:t>
      </w:r>
      <w:r w:rsidR="00FF2718">
        <w:rPr>
          <w:lang w:val="en-US"/>
        </w:rPr>
        <w:t xml:space="preserve">CRT </w:t>
      </w:r>
      <w:r w:rsidR="002F28C0">
        <w:rPr>
          <w:lang w:val="en-US"/>
        </w:rPr>
        <w:t xml:space="preserve">3B14 and 3B24), </w:t>
      </w:r>
      <w:r>
        <w:rPr>
          <w:lang w:val="en-US"/>
        </w:rPr>
        <w:t>including goats</w:t>
      </w:r>
      <w:r w:rsidR="002F28C0">
        <w:rPr>
          <w:lang w:val="en-US"/>
        </w:rPr>
        <w:t>,</w:t>
      </w:r>
      <w:r>
        <w:rPr>
          <w:lang w:val="en-US"/>
        </w:rPr>
        <w:t xml:space="preserve"> horses</w:t>
      </w:r>
      <w:r w:rsidR="002F28C0">
        <w:rPr>
          <w:lang w:val="en-US"/>
        </w:rPr>
        <w:t xml:space="preserve"> and poultry</w:t>
      </w:r>
      <w:r>
        <w:rPr>
          <w:lang w:val="en-US"/>
        </w:rPr>
        <w:t>.</w:t>
      </w:r>
      <w:r w:rsidR="002F28C0">
        <w:rPr>
          <w:lang w:val="en-US"/>
        </w:rPr>
        <w:t xml:space="preserve"> For the categories related to cattle, a distinction is made between dairy cattle and other</w:t>
      </w:r>
      <w:r w:rsidR="00AB55A8">
        <w:rPr>
          <w:lang w:val="en-US"/>
        </w:rPr>
        <w:t xml:space="preserve"> cattle</w:t>
      </w:r>
      <w:r w:rsidR="002F28C0">
        <w:rPr>
          <w:lang w:val="en-US"/>
        </w:rPr>
        <w:t xml:space="preserve">. </w:t>
      </w:r>
      <w:r w:rsidR="00AB55A8">
        <w:rPr>
          <w:lang w:val="en-US"/>
        </w:rPr>
        <w:t>T</w:t>
      </w:r>
      <w:r w:rsidR="00BB24CE">
        <w:rPr>
          <w:lang w:val="en-US"/>
        </w:rPr>
        <w:t>he swine category is separated between fattening pigs and sows. Finally,</w:t>
      </w:r>
      <w:r w:rsidR="006D6E64">
        <w:rPr>
          <w:lang w:val="en-US"/>
        </w:rPr>
        <w:t xml:space="preserve"> among the </w:t>
      </w:r>
      <w:r w:rsidR="00FF2718">
        <w:rPr>
          <w:lang w:val="en-US"/>
        </w:rPr>
        <w:t>O</w:t>
      </w:r>
      <w:r w:rsidR="006D6E64">
        <w:rPr>
          <w:lang w:val="en-US"/>
        </w:rPr>
        <w:t>ther category, the poultry are distinguished among several animal species: layers, broilers, turkeys and others.</w:t>
      </w:r>
      <w:r>
        <w:rPr>
          <w:lang w:val="en-US"/>
        </w:rPr>
        <w:t xml:space="preserve"> </w:t>
      </w:r>
      <w:r w:rsidR="002C7535">
        <w:rPr>
          <w:lang w:val="en-US"/>
        </w:rPr>
        <w:t>T</w:t>
      </w:r>
      <w:r w:rsidR="00124723">
        <w:rPr>
          <w:lang w:val="en-US"/>
        </w:rPr>
        <w:t xml:space="preserve">he emissions related to poultry </w:t>
      </w:r>
      <w:r w:rsidR="00BE1DC3">
        <w:rPr>
          <w:lang w:val="en-US"/>
        </w:rPr>
        <w:t xml:space="preserve">that </w:t>
      </w:r>
      <w:r w:rsidR="00124723">
        <w:rPr>
          <w:lang w:val="en-US"/>
        </w:rPr>
        <w:t xml:space="preserve">are estimated in the manure management, and are </w:t>
      </w:r>
      <w:r w:rsidR="00BE1DC3">
        <w:rPr>
          <w:lang w:val="en-US"/>
        </w:rPr>
        <w:t>rather</w:t>
      </w:r>
      <w:r w:rsidR="00124723">
        <w:rPr>
          <w:lang w:val="en-US"/>
        </w:rPr>
        <w:t xml:space="preserve"> negligible. </w:t>
      </w:r>
    </w:p>
    <w:p w14:paraId="4F358942" w14:textId="787E59D4" w:rsidR="006D6E64" w:rsidRDefault="006D6E64" w:rsidP="0075133E">
      <w:pPr>
        <w:rPr>
          <w:lang w:eastAsia="fr-FR"/>
        </w:rPr>
      </w:pPr>
      <w:r>
        <w:rPr>
          <w:lang w:eastAsia="fr-FR"/>
        </w:rPr>
        <w:t>The following graph describes the evolution of the emissions of GHG, in equivalent CO</w:t>
      </w:r>
      <w:r w:rsidRPr="00622F40">
        <w:rPr>
          <w:vertAlign w:val="subscript"/>
          <w:lang w:eastAsia="fr-FR"/>
        </w:rPr>
        <w:t>2</w:t>
      </w:r>
      <w:r w:rsidR="004133EF">
        <w:rPr>
          <w:lang w:eastAsia="fr-FR"/>
        </w:rPr>
        <w:t xml:space="preserve">, with details given by animal categories. In general, it can be observed that the GHG emissions from the manure management decrease </w:t>
      </w:r>
      <w:r w:rsidR="004133EF">
        <w:rPr>
          <w:lang w:eastAsia="fr-FR"/>
        </w:rPr>
        <w:lastRenderedPageBreak/>
        <w:t xml:space="preserve">progressively throughout the timeseries. In 2022, the achieved reduction for the sector is of </w:t>
      </w:r>
      <w:r w:rsidR="00086463">
        <w:rPr>
          <w:lang w:eastAsia="fr-FR"/>
        </w:rPr>
        <w:t xml:space="preserve">42%, compared with the emission levels from 1990. Both </w:t>
      </w:r>
      <w:r w:rsidR="004225BD">
        <w:rPr>
          <w:lang w:eastAsia="fr-FR"/>
        </w:rPr>
        <w:t>the emissions of CH</w:t>
      </w:r>
      <w:r w:rsidR="004225BD" w:rsidRPr="00622F40">
        <w:rPr>
          <w:vertAlign w:val="subscript"/>
          <w:lang w:eastAsia="fr-FR"/>
        </w:rPr>
        <w:t>4</w:t>
      </w:r>
      <w:r w:rsidR="004225BD">
        <w:rPr>
          <w:lang w:eastAsia="fr-FR"/>
        </w:rPr>
        <w:t xml:space="preserve"> and N</w:t>
      </w:r>
      <w:r w:rsidR="004225BD" w:rsidRPr="00622F40">
        <w:rPr>
          <w:vertAlign w:val="subscript"/>
          <w:lang w:eastAsia="fr-FR"/>
        </w:rPr>
        <w:t>2</w:t>
      </w:r>
      <w:r w:rsidR="004225BD">
        <w:rPr>
          <w:lang w:eastAsia="fr-FR"/>
        </w:rPr>
        <w:t xml:space="preserve">O have been reduced, at different rates, by 38% and 47%, respectively, over the same period. </w:t>
      </w:r>
      <w:r w:rsidR="00D503DF">
        <w:rPr>
          <w:lang w:eastAsia="fr-FR"/>
        </w:rPr>
        <w:t xml:space="preserve">The </w:t>
      </w:r>
      <w:r w:rsidR="00DA0FA7">
        <w:rPr>
          <w:lang w:eastAsia="fr-FR"/>
        </w:rPr>
        <w:t xml:space="preserve">share between the </w:t>
      </w:r>
      <w:r w:rsidR="00342026">
        <w:rPr>
          <w:lang w:eastAsia="fr-FR"/>
        </w:rPr>
        <w:t>CH</w:t>
      </w:r>
      <w:r w:rsidR="00342026" w:rsidRPr="001F0275">
        <w:rPr>
          <w:vertAlign w:val="subscript"/>
          <w:lang w:eastAsia="fr-FR"/>
        </w:rPr>
        <w:t>4</w:t>
      </w:r>
      <w:r w:rsidR="00342026">
        <w:rPr>
          <w:lang w:eastAsia="fr-FR"/>
        </w:rPr>
        <w:t xml:space="preserve"> and N</w:t>
      </w:r>
      <w:r w:rsidR="00342026" w:rsidRPr="001F0275">
        <w:rPr>
          <w:vertAlign w:val="subscript"/>
          <w:lang w:eastAsia="fr-FR"/>
        </w:rPr>
        <w:t>2</w:t>
      </w:r>
      <w:r w:rsidR="00342026">
        <w:rPr>
          <w:lang w:eastAsia="fr-FR"/>
        </w:rPr>
        <w:t>O</w:t>
      </w:r>
      <w:r w:rsidR="00D503DF">
        <w:rPr>
          <w:lang w:eastAsia="fr-FR"/>
        </w:rPr>
        <w:t xml:space="preserve"> emissions </w:t>
      </w:r>
      <w:r w:rsidR="00342026">
        <w:rPr>
          <w:lang w:eastAsia="fr-FR"/>
        </w:rPr>
        <w:t>is rather constant over the timeseries and, in 2022, methane represents 60% of the sector emissions.</w:t>
      </w:r>
      <w:r w:rsidR="000627D5">
        <w:rPr>
          <w:lang w:eastAsia="fr-FR"/>
        </w:rPr>
        <w:t xml:space="preserve"> In the light of the </w:t>
      </w:r>
      <w:r w:rsidR="00B46903">
        <w:rPr>
          <w:lang w:eastAsia="fr-FR"/>
        </w:rPr>
        <w:t>fall in livestock, a</w:t>
      </w:r>
      <w:r w:rsidR="000627D5">
        <w:rPr>
          <w:lang w:eastAsia="fr-FR"/>
        </w:rPr>
        <w:t xml:space="preserve">ll emissions from the </w:t>
      </w:r>
      <w:r w:rsidR="00B46903">
        <w:rPr>
          <w:lang w:eastAsia="fr-FR"/>
        </w:rPr>
        <w:t xml:space="preserve">subcategories of the </w:t>
      </w:r>
      <w:r w:rsidR="000627D5">
        <w:rPr>
          <w:lang w:eastAsia="fr-FR"/>
        </w:rPr>
        <w:t xml:space="preserve">CRT 3B are in decline between </w:t>
      </w:r>
      <w:r w:rsidR="00B46903">
        <w:rPr>
          <w:lang w:eastAsia="fr-FR"/>
        </w:rPr>
        <w:t xml:space="preserve">1990 and 2022. </w:t>
      </w:r>
    </w:p>
    <w:p w14:paraId="541C98A9" w14:textId="7B2F1D15" w:rsidR="00F13862" w:rsidRDefault="004D3098" w:rsidP="0075133E">
      <w:pPr>
        <w:rPr>
          <w:lang w:eastAsia="fr-FR"/>
        </w:rPr>
      </w:pPr>
      <w:r>
        <w:rPr>
          <w:lang w:eastAsia="fr-FR"/>
        </w:rPr>
        <w:t xml:space="preserve">The GHG emissions of the manure management are well distributed among several categories. </w:t>
      </w:r>
      <w:r w:rsidR="005B60EA">
        <w:rPr>
          <w:lang w:eastAsia="fr-FR"/>
        </w:rPr>
        <w:t>T</w:t>
      </w:r>
      <w:r w:rsidR="0075133E">
        <w:rPr>
          <w:lang w:eastAsia="fr-FR"/>
        </w:rPr>
        <w:t xml:space="preserve">he </w:t>
      </w:r>
      <w:r w:rsidR="005B60EA">
        <w:rPr>
          <w:lang w:eastAsia="fr-FR"/>
        </w:rPr>
        <w:t>CH</w:t>
      </w:r>
      <w:r w:rsidR="005B60EA" w:rsidRPr="00622F40">
        <w:rPr>
          <w:vertAlign w:val="subscript"/>
          <w:lang w:eastAsia="fr-FR"/>
        </w:rPr>
        <w:t>4</w:t>
      </w:r>
      <w:r w:rsidR="005B60EA">
        <w:rPr>
          <w:lang w:eastAsia="fr-FR"/>
        </w:rPr>
        <w:t xml:space="preserve"> emissions from manure management of </w:t>
      </w:r>
      <w:r>
        <w:rPr>
          <w:lang w:eastAsia="fr-FR"/>
        </w:rPr>
        <w:t>swine</w:t>
      </w:r>
      <w:r w:rsidR="0075133E">
        <w:rPr>
          <w:lang w:eastAsia="fr-FR"/>
        </w:rPr>
        <w:t xml:space="preserve"> (CRT 3</w:t>
      </w:r>
      <w:r w:rsidR="005B60EA">
        <w:rPr>
          <w:lang w:eastAsia="fr-FR"/>
        </w:rPr>
        <w:t>B1</w:t>
      </w:r>
      <w:r>
        <w:rPr>
          <w:lang w:eastAsia="fr-FR"/>
        </w:rPr>
        <w:t>3</w:t>
      </w:r>
      <w:r w:rsidR="0075133E">
        <w:rPr>
          <w:lang w:eastAsia="fr-FR"/>
        </w:rPr>
        <w:t xml:space="preserve">) </w:t>
      </w:r>
      <w:r w:rsidR="005B60EA">
        <w:rPr>
          <w:lang w:eastAsia="fr-FR"/>
        </w:rPr>
        <w:t>are</w:t>
      </w:r>
      <w:r w:rsidR="0075133E">
        <w:rPr>
          <w:lang w:eastAsia="fr-FR"/>
        </w:rPr>
        <w:t xml:space="preserve"> the main source of emissions, representing </w:t>
      </w:r>
      <w:r w:rsidR="00FF4608">
        <w:rPr>
          <w:lang w:eastAsia="fr-FR"/>
        </w:rPr>
        <w:t>about 3</w:t>
      </w:r>
      <w:r w:rsidR="0004293F">
        <w:rPr>
          <w:lang w:eastAsia="fr-FR"/>
        </w:rPr>
        <w:t>2</w:t>
      </w:r>
      <w:r w:rsidR="0075133E">
        <w:rPr>
          <w:lang w:eastAsia="fr-FR"/>
        </w:rPr>
        <w:t xml:space="preserve">% of the sector emissions in </w:t>
      </w:r>
      <w:r w:rsidR="00FF4608">
        <w:rPr>
          <w:lang w:eastAsia="fr-FR"/>
        </w:rPr>
        <w:t>2022,</w:t>
      </w:r>
      <w:r w:rsidR="0075133E">
        <w:rPr>
          <w:lang w:eastAsia="fr-FR"/>
        </w:rPr>
        <w:t xml:space="preserve"> </w:t>
      </w:r>
      <w:r w:rsidR="0004293F">
        <w:rPr>
          <w:lang w:eastAsia="fr-FR"/>
        </w:rPr>
        <w:t>and was at</w:t>
      </w:r>
      <w:r w:rsidR="00A40776">
        <w:rPr>
          <w:lang w:eastAsia="fr-FR"/>
        </w:rPr>
        <w:t xml:space="preserve"> 3</w:t>
      </w:r>
      <w:r w:rsidR="0004293F">
        <w:rPr>
          <w:lang w:eastAsia="fr-FR"/>
        </w:rPr>
        <w:t>1</w:t>
      </w:r>
      <w:r w:rsidR="0075133E">
        <w:rPr>
          <w:lang w:eastAsia="fr-FR"/>
        </w:rPr>
        <w:t xml:space="preserve">% in </w:t>
      </w:r>
      <w:r w:rsidR="0004293F">
        <w:rPr>
          <w:lang w:eastAsia="fr-FR"/>
        </w:rPr>
        <w:t>1990</w:t>
      </w:r>
      <w:r w:rsidR="00A40776">
        <w:rPr>
          <w:lang w:eastAsia="fr-FR"/>
        </w:rPr>
        <w:t>, although a 39% drop for the period</w:t>
      </w:r>
      <w:r w:rsidR="0075133E">
        <w:rPr>
          <w:lang w:eastAsia="fr-FR"/>
        </w:rPr>
        <w:t xml:space="preserve">. Among the </w:t>
      </w:r>
      <w:r w:rsidR="00A40776">
        <w:rPr>
          <w:lang w:eastAsia="fr-FR"/>
        </w:rPr>
        <w:t>swine</w:t>
      </w:r>
      <w:r w:rsidR="0075133E">
        <w:rPr>
          <w:lang w:eastAsia="fr-FR"/>
        </w:rPr>
        <w:t xml:space="preserve"> category, </w:t>
      </w:r>
      <w:r w:rsidR="00CF0EAD">
        <w:rPr>
          <w:lang w:eastAsia="fr-FR"/>
        </w:rPr>
        <w:t>the manure management of fattening pigs</w:t>
      </w:r>
      <w:r w:rsidR="0075133E">
        <w:rPr>
          <w:lang w:eastAsia="fr-FR"/>
        </w:rPr>
        <w:t xml:space="preserve"> is </w:t>
      </w:r>
      <w:r w:rsidR="00937631">
        <w:rPr>
          <w:lang w:eastAsia="fr-FR"/>
        </w:rPr>
        <w:t>more important than the one for sows</w:t>
      </w:r>
      <w:r w:rsidR="0075133E">
        <w:rPr>
          <w:lang w:eastAsia="fr-FR"/>
        </w:rPr>
        <w:t xml:space="preserve">, </w:t>
      </w:r>
      <w:r w:rsidR="008C6CA7">
        <w:rPr>
          <w:lang w:eastAsia="fr-FR"/>
        </w:rPr>
        <w:t>representing</w:t>
      </w:r>
      <w:r w:rsidR="0075133E">
        <w:rPr>
          <w:lang w:eastAsia="fr-FR"/>
        </w:rPr>
        <w:t xml:space="preserve"> </w:t>
      </w:r>
      <w:r w:rsidR="00937631">
        <w:rPr>
          <w:lang w:eastAsia="fr-FR"/>
        </w:rPr>
        <w:t>76</w:t>
      </w:r>
      <w:r w:rsidR="0075133E">
        <w:rPr>
          <w:lang w:eastAsia="fr-FR"/>
        </w:rPr>
        <w:t xml:space="preserve">% </w:t>
      </w:r>
      <w:r w:rsidR="00937631">
        <w:rPr>
          <w:lang w:eastAsia="fr-FR"/>
        </w:rPr>
        <w:t xml:space="preserve">of the emissions of this subcategory </w:t>
      </w:r>
      <w:r w:rsidR="0075133E">
        <w:rPr>
          <w:lang w:eastAsia="fr-FR"/>
        </w:rPr>
        <w:t xml:space="preserve">in 2022. </w:t>
      </w:r>
      <w:r w:rsidR="008C6CA7">
        <w:rPr>
          <w:lang w:eastAsia="fr-FR"/>
        </w:rPr>
        <w:t xml:space="preserve">This is in particular due to the fact </w:t>
      </w:r>
      <w:r w:rsidR="007E3E9F">
        <w:rPr>
          <w:lang w:eastAsia="fr-FR"/>
        </w:rPr>
        <w:t xml:space="preserve">that </w:t>
      </w:r>
      <w:r w:rsidR="008C6CA7">
        <w:rPr>
          <w:lang w:eastAsia="fr-FR"/>
        </w:rPr>
        <w:t>the number of fattening pigs is much bigger and represent</w:t>
      </w:r>
      <w:r w:rsidR="007E3E9F">
        <w:rPr>
          <w:lang w:eastAsia="fr-FR"/>
        </w:rPr>
        <w:t>s</w:t>
      </w:r>
      <w:r w:rsidR="008C6CA7">
        <w:rPr>
          <w:lang w:eastAsia="fr-FR"/>
        </w:rPr>
        <w:t xml:space="preserve"> </w:t>
      </w:r>
      <w:r w:rsidR="0042652F">
        <w:rPr>
          <w:lang w:eastAsia="fr-FR"/>
        </w:rPr>
        <w:t xml:space="preserve">84% of the swine livestock in 2022. </w:t>
      </w:r>
      <w:r w:rsidR="001269D4">
        <w:rPr>
          <w:lang w:eastAsia="fr-FR"/>
        </w:rPr>
        <w:t xml:space="preserve">In </w:t>
      </w:r>
      <w:r w:rsidR="0042652F">
        <w:rPr>
          <w:lang w:eastAsia="fr-FR"/>
        </w:rPr>
        <w:t xml:space="preserve">addition, </w:t>
      </w:r>
      <w:r w:rsidR="001269D4">
        <w:rPr>
          <w:lang w:eastAsia="fr-FR"/>
        </w:rPr>
        <w:t xml:space="preserve">the second most contributing sector </w:t>
      </w:r>
      <w:r w:rsidR="007E3E9F">
        <w:rPr>
          <w:lang w:eastAsia="fr-FR"/>
        </w:rPr>
        <w:t xml:space="preserve">in 2022 is </w:t>
      </w:r>
      <w:r w:rsidR="001269D4">
        <w:rPr>
          <w:lang w:eastAsia="fr-FR"/>
        </w:rPr>
        <w:t xml:space="preserve">the </w:t>
      </w:r>
      <w:r w:rsidR="00F13862">
        <w:rPr>
          <w:lang w:eastAsia="fr-FR"/>
        </w:rPr>
        <w:t>CH</w:t>
      </w:r>
      <w:r w:rsidR="00F13862" w:rsidRPr="001F0275">
        <w:rPr>
          <w:vertAlign w:val="subscript"/>
          <w:lang w:eastAsia="fr-FR"/>
        </w:rPr>
        <w:t>4</w:t>
      </w:r>
      <w:r w:rsidR="00F13862">
        <w:rPr>
          <w:lang w:eastAsia="fr-FR"/>
        </w:rPr>
        <w:t xml:space="preserve"> emissions from manure management of </w:t>
      </w:r>
      <w:r w:rsidR="00D03DC5">
        <w:rPr>
          <w:lang w:eastAsia="fr-FR"/>
        </w:rPr>
        <w:t>cattle</w:t>
      </w:r>
      <w:r w:rsidR="00F13862">
        <w:rPr>
          <w:lang w:eastAsia="fr-FR"/>
        </w:rPr>
        <w:t xml:space="preserve"> (CRT 3B1</w:t>
      </w:r>
      <w:r w:rsidR="00497864">
        <w:rPr>
          <w:lang w:eastAsia="fr-FR"/>
        </w:rPr>
        <w:t>.</w:t>
      </w:r>
      <w:r w:rsidR="00D03DC5">
        <w:rPr>
          <w:lang w:eastAsia="fr-FR"/>
        </w:rPr>
        <w:t>1</w:t>
      </w:r>
      <w:r w:rsidR="00F13862">
        <w:rPr>
          <w:lang w:eastAsia="fr-FR"/>
        </w:rPr>
        <w:t>)</w:t>
      </w:r>
      <w:r w:rsidR="00D03DC5">
        <w:rPr>
          <w:lang w:eastAsia="fr-FR"/>
        </w:rPr>
        <w:t>, which contributes to 21</w:t>
      </w:r>
      <w:r w:rsidR="00D64CB1">
        <w:rPr>
          <w:lang w:eastAsia="fr-FR"/>
        </w:rPr>
        <w:t>% of the sector emissions. Then, the N</w:t>
      </w:r>
      <w:r w:rsidR="00D64CB1" w:rsidRPr="00622F40">
        <w:rPr>
          <w:vertAlign w:val="subscript"/>
          <w:lang w:eastAsia="fr-FR"/>
        </w:rPr>
        <w:t>2</w:t>
      </w:r>
      <w:r w:rsidR="00D64CB1">
        <w:rPr>
          <w:lang w:eastAsia="fr-FR"/>
        </w:rPr>
        <w:t>O emissions from manure management of swine (CRT 3B</w:t>
      </w:r>
      <w:r w:rsidR="00223443">
        <w:rPr>
          <w:lang w:eastAsia="fr-FR"/>
        </w:rPr>
        <w:t>2</w:t>
      </w:r>
      <w:r w:rsidR="00497864">
        <w:rPr>
          <w:lang w:eastAsia="fr-FR"/>
        </w:rPr>
        <w:t>.</w:t>
      </w:r>
      <w:r w:rsidR="00D64CB1">
        <w:rPr>
          <w:lang w:eastAsia="fr-FR"/>
        </w:rPr>
        <w:t>3) and cattle (CRT 3B2</w:t>
      </w:r>
      <w:r w:rsidR="00497864">
        <w:rPr>
          <w:lang w:eastAsia="fr-FR"/>
        </w:rPr>
        <w:t>.</w:t>
      </w:r>
      <w:r w:rsidR="00D64CB1">
        <w:rPr>
          <w:lang w:eastAsia="fr-FR"/>
        </w:rPr>
        <w:t>1)</w:t>
      </w:r>
      <w:r w:rsidR="00223443">
        <w:rPr>
          <w:lang w:eastAsia="fr-FR"/>
        </w:rPr>
        <w:t xml:space="preserve"> </w:t>
      </w:r>
      <w:r w:rsidR="00202362">
        <w:rPr>
          <w:lang w:eastAsia="fr-FR"/>
        </w:rPr>
        <w:t>are respectively the 3</w:t>
      </w:r>
      <w:r w:rsidR="00202362" w:rsidRPr="00622F40">
        <w:rPr>
          <w:vertAlign w:val="superscript"/>
          <w:lang w:eastAsia="fr-FR"/>
        </w:rPr>
        <w:t>rd</w:t>
      </w:r>
      <w:r w:rsidR="00202362">
        <w:rPr>
          <w:lang w:eastAsia="fr-FR"/>
        </w:rPr>
        <w:t xml:space="preserve"> and 4</w:t>
      </w:r>
      <w:r w:rsidR="00202362" w:rsidRPr="00622F40">
        <w:rPr>
          <w:vertAlign w:val="superscript"/>
          <w:lang w:eastAsia="fr-FR"/>
        </w:rPr>
        <w:t>th</w:t>
      </w:r>
      <w:r w:rsidR="00202362">
        <w:rPr>
          <w:lang w:eastAsia="fr-FR"/>
        </w:rPr>
        <w:t xml:space="preserve"> biggest contributing categories, with </w:t>
      </w:r>
      <w:r w:rsidR="00D92AAC">
        <w:rPr>
          <w:lang w:eastAsia="fr-FR"/>
        </w:rPr>
        <w:t xml:space="preserve">respective shares of 18.5% and 16.8%. In 1990, the </w:t>
      </w:r>
      <w:r w:rsidR="007C21D3">
        <w:rPr>
          <w:lang w:eastAsia="fr-FR"/>
        </w:rPr>
        <w:t xml:space="preserve">shares of the </w:t>
      </w:r>
      <w:r w:rsidR="00E124B1">
        <w:rPr>
          <w:lang w:eastAsia="fr-FR"/>
        </w:rPr>
        <w:t>N</w:t>
      </w:r>
      <w:r w:rsidR="00E124B1" w:rsidRPr="001F0275">
        <w:rPr>
          <w:vertAlign w:val="subscript"/>
          <w:lang w:eastAsia="fr-FR"/>
        </w:rPr>
        <w:t>2</w:t>
      </w:r>
      <w:r w:rsidR="00E124B1">
        <w:rPr>
          <w:lang w:eastAsia="fr-FR"/>
        </w:rPr>
        <w:t xml:space="preserve">O </w:t>
      </w:r>
      <w:r w:rsidR="007C21D3">
        <w:rPr>
          <w:lang w:eastAsia="fr-FR"/>
        </w:rPr>
        <w:t xml:space="preserve">emissions from swine and cattle and of the </w:t>
      </w:r>
      <w:r w:rsidR="00E124B1">
        <w:rPr>
          <w:lang w:eastAsia="fr-FR"/>
        </w:rPr>
        <w:t>CH</w:t>
      </w:r>
      <w:r w:rsidR="00E124B1" w:rsidRPr="001F0275">
        <w:rPr>
          <w:vertAlign w:val="subscript"/>
          <w:lang w:eastAsia="fr-FR"/>
        </w:rPr>
        <w:t>4</w:t>
      </w:r>
      <w:r w:rsidR="00E124B1">
        <w:rPr>
          <w:lang w:eastAsia="fr-FR"/>
        </w:rPr>
        <w:t xml:space="preserve"> </w:t>
      </w:r>
      <w:r w:rsidR="007C21D3">
        <w:rPr>
          <w:lang w:eastAsia="fr-FR"/>
        </w:rPr>
        <w:t xml:space="preserve">emissions from cattle were slightly more </w:t>
      </w:r>
      <w:r w:rsidR="003D610C">
        <w:rPr>
          <w:lang w:eastAsia="fr-FR"/>
        </w:rPr>
        <w:t>equal with about 20%</w:t>
      </w:r>
      <w:r w:rsidR="00E124B1">
        <w:rPr>
          <w:lang w:eastAsia="fr-FR"/>
        </w:rPr>
        <w:t xml:space="preserve"> each</w:t>
      </w:r>
      <w:r w:rsidR="003D610C">
        <w:rPr>
          <w:lang w:eastAsia="fr-FR"/>
        </w:rPr>
        <w:t>, but the N</w:t>
      </w:r>
      <w:r w:rsidR="003D610C" w:rsidRPr="00622F40">
        <w:rPr>
          <w:vertAlign w:val="subscript"/>
          <w:lang w:eastAsia="fr-FR"/>
        </w:rPr>
        <w:t>2</w:t>
      </w:r>
      <w:r w:rsidR="003D610C">
        <w:rPr>
          <w:lang w:eastAsia="fr-FR"/>
        </w:rPr>
        <w:t xml:space="preserve">O emissions have been reduced at a faster rate </w:t>
      </w:r>
      <w:r w:rsidR="00E124B1">
        <w:rPr>
          <w:lang w:eastAsia="fr-FR"/>
        </w:rPr>
        <w:t>than the CH</w:t>
      </w:r>
      <w:r w:rsidR="00E124B1" w:rsidRPr="00622F40">
        <w:rPr>
          <w:vertAlign w:val="subscript"/>
          <w:lang w:eastAsia="fr-FR"/>
        </w:rPr>
        <w:t>4</w:t>
      </w:r>
      <w:r w:rsidR="00E124B1">
        <w:rPr>
          <w:lang w:eastAsia="fr-FR"/>
        </w:rPr>
        <w:t xml:space="preserve"> emissions for both these two animal </w:t>
      </w:r>
      <w:r w:rsidR="0024723C">
        <w:rPr>
          <w:lang w:eastAsia="fr-FR"/>
        </w:rPr>
        <w:t>categories</w:t>
      </w:r>
      <w:r w:rsidR="00E124B1">
        <w:rPr>
          <w:lang w:eastAsia="fr-FR"/>
        </w:rPr>
        <w:t xml:space="preserve">. </w:t>
      </w:r>
      <w:r w:rsidR="00244AC8">
        <w:rPr>
          <w:lang w:eastAsia="fr-FR"/>
        </w:rPr>
        <w:t xml:space="preserve">The emissions from the </w:t>
      </w:r>
      <w:r w:rsidR="00E026E0">
        <w:rPr>
          <w:lang w:eastAsia="fr-FR"/>
        </w:rPr>
        <w:t>sheep and other livestock are not negligible and represent about 11% of the sector totals in 2022, which is in slight progression compared with 1990</w:t>
      </w:r>
      <w:r w:rsidR="00291BE5">
        <w:rPr>
          <w:lang w:eastAsia="fr-FR"/>
        </w:rPr>
        <w:t>, in particular related to manure management from poultry</w:t>
      </w:r>
      <w:r w:rsidR="00E026E0">
        <w:rPr>
          <w:lang w:eastAsia="fr-FR"/>
        </w:rPr>
        <w:t>.</w:t>
      </w:r>
    </w:p>
    <w:p w14:paraId="7A19237C" w14:textId="593232F5" w:rsidR="0075133E" w:rsidRPr="00A02E2E" w:rsidRDefault="00AA0E26" w:rsidP="00BE1DC3">
      <w:pPr>
        <w:spacing w:after="0"/>
        <w:rPr>
          <w:lang w:eastAsia="fr-FR"/>
        </w:rPr>
      </w:pPr>
      <w:r w:rsidRPr="00A02E2E">
        <w:rPr>
          <w:noProof/>
          <w:lang w:val="en-US"/>
        </w:rPr>
        <w:drawing>
          <wp:inline distT="0" distB="0" distL="0" distR="0" wp14:anchorId="56400CA6" wp14:editId="32B3AAD5">
            <wp:extent cx="5760000" cy="3112826"/>
            <wp:effectExtent l="0" t="0" r="0" b="0"/>
            <wp:docPr id="2036739185"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000" cy="3112826"/>
                    </a:xfrm>
                    <a:prstGeom prst="rect">
                      <a:avLst/>
                    </a:prstGeom>
                    <a:noFill/>
                  </pic:spPr>
                </pic:pic>
              </a:graphicData>
            </a:graphic>
          </wp:inline>
        </w:drawing>
      </w:r>
    </w:p>
    <w:p w14:paraId="45AE5AF2" w14:textId="77777777" w:rsidR="00BE1DC3" w:rsidRPr="002462F0" w:rsidRDefault="00BE1DC3" w:rsidP="00BE1DC3">
      <w:pPr>
        <w:pStyle w:val="Caption"/>
        <w:spacing w:before="0" w:after="0"/>
        <w:jc w:val="both"/>
        <w:rPr>
          <w:sz w:val="22"/>
          <w:lang w:eastAsia="fr-FR"/>
        </w:rPr>
      </w:pPr>
      <w:bookmarkStart w:id="657" w:name="_Toc184808476"/>
      <w:r w:rsidRPr="007759DA">
        <w:t xml:space="preserve">Figure </w:t>
      </w:r>
      <w:r w:rsidRPr="007759DA">
        <w:fldChar w:fldCharType="begin"/>
      </w:r>
      <w:r w:rsidRPr="007759DA">
        <w:instrText xml:space="preserve"> SEQ Figure \* ARABIC </w:instrText>
      </w:r>
      <w:r w:rsidRPr="007759DA">
        <w:fldChar w:fldCharType="separate"/>
      </w:r>
      <w:r w:rsidRPr="007759DA">
        <w:rPr>
          <w:noProof/>
        </w:rPr>
        <w:t>89</w:t>
      </w:r>
      <w:r w:rsidRPr="007759DA">
        <w:fldChar w:fldCharType="end"/>
      </w:r>
      <w:r w:rsidRPr="007759DA">
        <w:t>: GHG emission trends for manure management (CRT 3B), for the period 1990-2022, per subcategory (in kt CO</w:t>
      </w:r>
      <w:r w:rsidRPr="007759DA">
        <w:rPr>
          <w:vertAlign w:val="subscript"/>
        </w:rPr>
        <w:t>2</w:t>
      </w:r>
      <w:r w:rsidRPr="007759DA">
        <w:t>e)</w:t>
      </w:r>
      <w:bookmarkEnd w:id="657"/>
    </w:p>
    <w:p w14:paraId="42C0B674" w14:textId="77777777" w:rsidR="00090E2F" w:rsidRDefault="00090E2F" w:rsidP="00BE1DC3">
      <w:pPr>
        <w:spacing w:after="0"/>
        <w:jc w:val="left"/>
        <w:rPr>
          <w:b/>
          <w:bCs/>
          <w:color w:val="4F81BD" w:themeColor="accent1"/>
          <w:sz w:val="18"/>
          <w:szCs w:val="18"/>
        </w:rPr>
      </w:pPr>
      <w:r>
        <w:br w:type="page"/>
      </w:r>
    </w:p>
    <w:p w14:paraId="30F03199" w14:textId="2E88614F" w:rsidR="0075133E" w:rsidRPr="002462F0" w:rsidRDefault="007922D7" w:rsidP="00A02E2E">
      <w:pPr>
        <w:spacing w:after="0" w:line="240" w:lineRule="auto"/>
        <w:jc w:val="center"/>
      </w:pPr>
      <w:r>
        <w:rPr>
          <w:noProof/>
          <w:lang w:val="en-US"/>
        </w:rPr>
        <w:lastRenderedPageBreak/>
        <w:drawing>
          <wp:inline distT="0" distB="0" distL="0" distR="0" wp14:anchorId="48069B57" wp14:editId="35EF9A36">
            <wp:extent cx="2880000" cy="1655678"/>
            <wp:effectExtent l="0" t="0" r="0" b="1905"/>
            <wp:docPr id="343193111"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80000" cy="1655678"/>
                    </a:xfrm>
                    <a:prstGeom prst="rect">
                      <a:avLst/>
                    </a:prstGeom>
                    <a:noFill/>
                  </pic:spPr>
                </pic:pic>
              </a:graphicData>
            </a:graphic>
          </wp:inline>
        </w:drawing>
      </w:r>
      <w:r w:rsidR="0084366D">
        <w:rPr>
          <w:noProof/>
          <w:lang w:val="en-US"/>
        </w:rPr>
        <w:drawing>
          <wp:inline distT="0" distB="0" distL="0" distR="0" wp14:anchorId="190CFAF1" wp14:editId="6511B4B2">
            <wp:extent cx="2235400" cy="1588922"/>
            <wp:effectExtent l="0" t="0" r="0" b="0"/>
            <wp:docPr id="2092931526"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6">
                      <a:extLst>
                        <a:ext uri="{28A0092B-C50C-407E-A947-70E740481C1C}">
                          <a14:useLocalDpi xmlns:a14="http://schemas.microsoft.com/office/drawing/2010/main" val="0"/>
                        </a:ext>
                      </a:extLst>
                    </a:blip>
                    <a:srcRect l="11472" r="14201"/>
                    <a:stretch/>
                  </pic:blipFill>
                  <pic:spPr bwMode="auto">
                    <a:xfrm>
                      <a:off x="0" y="0"/>
                      <a:ext cx="2247012" cy="1597176"/>
                    </a:xfrm>
                    <a:prstGeom prst="rect">
                      <a:avLst/>
                    </a:prstGeom>
                    <a:noFill/>
                    <a:ln>
                      <a:noFill/>
                    </a:ln>
                    <a:extLst>
                      <a:ext uri="{53640926-AAD7-44D8-BBD7-CCE9431645EC}">
                        <a14:shadowObscured xmlns:a14="http://schemas.microsoft.com/office/drawing/2010/main"/>
                      </a:ext>
                    </a:extLst>
                  </pic:spPr>
                </pic:pic>
              </a:graphicData>
            </a:graphic>
          </wp:inline>
        </w:drawing>
      </w:r>
    </w:p>
    <w:p w14:paraId="5AA3541C" w14:textId="77777777" w:rsidR="00A02E2E" w:rsidRPr="002462F0" w:rsidRDefault="00A02E2E" w:rsidP="00A02E2E">
      <w:pPr>
        <w:pStyle w:val="Caption"/>
        <w:spacing w:before="120"/>
        <w:jc w:val="both"/>
        <w:rPr>
          <w:sz w:val="22"/>
          <w:lang w:eastAsia="fr-FR"/>
        </w:rPr>
      </w:pPr>
      <w:bookmarkStart w:id="658" w:name="_Toc184808477"/>
      <w:r w:rsidRPr="002462F0">
        <w:t xml:space="preserve">Figure </w:t>
      </w:r>
      <w:r w:rsidRPr="002462F0">
        <w:fldChar w:fldCharType="begin"/>
      </w:r>
      <w:r w:rsidRPr="002462F0">
        <w:instrText xml:space="preserve"> SEQ Figure \* ARABIC </w:instrText>
      </w:r>
      <w:r w:rsidRPr="002462F0">
        <w:fldChar w:fldCharType="separate"/>
      </w:r>
      <w:r>
        <w:rPr>
          <w:noProof/>
        </w:rPr>
        <w:t>90</w:t>
      </w:r>
      <w:r w:rsidRPr="002462F0">
        <w:fldChar w:fldCharType="end"/>
      </w:r>
      <w:r w:rsidRPr="002462F0">
        <w:t xml:space="preserve">: GHG emission </w:t>
      </w:r>
      <w:r>
        <w:t>distribution</w:t>
      </w:r>
      <w:r w:rsidRPr="002462F0">
        <w:t xml:space="preserve"> for </w:t>
      </w:r>
      <w:r>
        <w:t xml:space="preserve">manure management (CRT 3B), for the period 1990-2022, per subcategory </w:t>
      </w:r>
      <w:r w:rsidRPr="002462F0">
        <w:t>(</w:t>
      </w:r>
      <w:r>
        <w:t>in %</w:t>
      </w:r>
      <w:r w:rsidRPr="002462F0">
        <w:t>)</w:t>
      </w:r>
      <w:bookmarkEnd w:id="658"/>
    </w:p>
    <w:p w14:paraId="09AB9699" w14:textId="25288FFE" w:rsidR="0075133E" w:rsidRPr="002462F0" w:rsidRDefault="0075133E" w:rsidP="0075133E">
      <w:r w:rsidRPr="002462F0">
        <w:t xml:space="preserve">The </w:t>
      </w:r>
      <w:r w:rsidR="001B44B6">
        <w:t>emissions from Manure management</w:t>
      </w:r>
      <w:r>
        <w:t xml:space="preserve"> </w:t>
      </w:r>
      <w:r w:rsidRPr="002462F0">
        <w:t>(CR</w:t>
      </w:r>
      <w:r>
        <w:t>T</w:t>
      </w:r>
      <w:r w:rsidRPr="002462F0">
        <w:t xml:space="preserve"> </w:t>
      </w:r>
      <w:r>
        <w:t>3</w:t>
      </w:r>
      <w:r w:rsidR="001B44B6">
        <w:t>B</w:t>
      </w:r>
      <w:r w:rsidRPr="002462F0">
        <w:t xml:space="preserve">) </w:t>
      </w:r>
      <w:r>
        <w:t>ha</w:t>
      </w:r>
      <w:r w:rsidR="001B44B6">
        <w:t>ve</w:t>
      </w:r>
      <w:r>
        <w:t xml:space="preserve"> </w:t>
      </w:r>
      <w:r w:rsidR="00F610FE">
        <w:t>a slightly decreasing but rather constant share</w:t>
      </w:r>
      <w:r>
        <w:t xml:space="preserve"> </w:t>
      </w:r>
      <w:r w:rsidR="00F610FE">
        <w:t xml:space="preserve">of </w:t>
      </w:r>
      <w:r>
        <w:t>the total and sectoral GHG emissions</w:t>
      </w:r>
      <w:r w:rsidR="00F610FE">
        <w:t xml:space="preserve"> in 2022, compared with 1990</w:t>
      </w:r>
      <w:r>
        <w:t xml:space="preserve">. This category </w:t>
      </w:r>
      <w:r w:rsidRPr="002462F0">
        <w:t xml:space="preserve">contributes to </w:t>
      </w:r>
      <w:r w:rsidR="00F610FE">
        <w:t>1.4</w:t>
      </w:r>
      <w:r w:rsidRPr="002462F0">
        <w:t xml:space="preserve">% of the total GHG emissions </w:t>
      </w:r>
      <w:r>
        <w:t>excluding</w:t>
      </w:r>
      <w:r w:rsidRPr="002462F0">
        <w:t xml:space="preserve"> LULUCF, </w:t>
      </w:r>
      <w:r>
        <w:t xml:space="preserve">in 2022, whereas it represented </w:t>
      </w:r>
      <w:r w:rsidR="00F610FE">
        <w:t>1.8</w:t>
      </w:r>
      <w:r>
        <w:t xml:space="preserve">% of the national share in 1990. Concerning its </w:t>
      </w:r>
      <w:r w:rsidR="00F610FE">
        <w:t xml:space="preserve">share </w:t>
      </w:r>
      <w:r>
        <w:t xml:space="preserve">in the Agriculture </w:t>
      </w:r>
      <w:r w:rsidRPr="002462F0">
        <w:t>(CR</w:t>
      </w:r>
      <w:r>
        <w:t>T 3</w:t>
      </w:r>
      <w:r w:rsidRPr="002462F0">
        <w:t>) sector</w:t>
      </w:r>
      <w:r>
        <w:t>,</w:t>
      </w:r>
      <w:r w:rsidRPr="002462F0">
        <w:t xml:space="preserve"> in </w:t>
      </w:r>
      <w:r>
        <w:t xml:space="preserve">the Republic of </w:t>
      </w:r>
      <w:r w:rsidRPr="002462F0">
        <w:t>Serbia</w:t>
      </w:r>
      <w:r>
        <w:t xml:space="preserve">, it </w:t>
      </w:r>
      <w:r w:rsidR="00F610FE">
        <w:t>went from 23</w:t>
      </w:r>
      <w:r>
        <w:t>%</w:t>
      </w:r>
      <w:r w:rsidRPr="002462F0">
        <w:t xml:space="preserve"> in </w:t>
      </w:r>
      <w:r w:rsidR="00F610FE">
        <w:t>1990 to</w:t>
      </w:r>
      <w:r>
        <w:t xml:space="preserve"> </w:t>
      </w:r>
      <w:r w:rsidR="00F610FE">
        <w:t>18</w:t>
      </w:r>
      <w:r>
        <w:t xml:space="preserve">% in </w:t>
      </w:r>
      <w:r w:rsidR="00545CA0">
        <w:t>2022</w:t>
      </w:r>
      <w:r w:rsidRPr="002462F0">
        <w:t>.</w:t>
      </w:r>
    </w:p>
    <w:p w14:paraId="2564CE2D" w14:textId="77777777" w:rsidR="00DC5844" w:rsidRPr="00622F40" w:rsidRDefault="00DC5844" w:rsidP="00622F40"/>
    <w:p w14:paraId="04052D39" w14:textId="747307B5" w:rsidR="007B2433" w:rsidRPr="002462F0" w:rsidRDefault="00901982" w:rsidP="006A39ED">
      <w:pPr>
        <w:pStyle w:val="Heading3"/>
        <w:spacing w:before="240"/>
        <w:ind w:left="1429"/>
        <w:rPr>
          <w:lang w:eastAsia="fr-FR"/>
        </w:rPr>
      </w:pPr>
      <w:bookmarkStart w:id="659" w:name="_Toc182327913"/>
      <w:bookmarkStart w:id="660" w:name="_Toc184808263"/>
      <w:r>
        <w:rPr>
          <w:lang w:eastAsia="fr-FR"/>
        </w:rPr>
        <w:t>CH</w:t>
      </w:r>
      <w:r w:rsidRPr="00901982">
        <w:rPr>
          <w:vertAlign w:val="subscript"/>
          <w:lang w:eastAsia="fr-FR"/>
        </w:rPr>
        <w:t>4</w:t>
      </w:r>
      <w:r>
        <w:rPr>
          <w:lang w:eastAsia="fr-FR"/>
        </w:rPr>
        <w:t xml:space="preserve"> emissions from Manure management</w:t>
      </w:r>
      <w:r w:rsidR="007B2433" w:rsidRPr="002462F0">
        <w:rPr>
          <w:lang w:eastAsia="fr-FR"/>
        </w:rPr>
        <w:t xml:space="preserve"> (</w:t>
      </w:r>
      <w:r w:rsidR="00FF2718">
        <w:rPr>
          <w:lang w:eastAsia="fr-FR"/>
        </w:rPr>
        <w:t xml:space="preserve">CRT </w:t>
      </w:r>
      <w:r w:rsidR="007B2433" w:rsidRPr="002462F0">
        <w:rPr>
          <w:lang w:eastAsia="fr-FR"/>
        </w:rPr>
        <w:t>3B1)</w:t>
      </w:r>
      <w:bookmarkEnd w:id="659"/>
      <w:bookmarkEnd w:id="660"/>
    </w:p>
    <w:p w14:paraId="55A48EDD" w14:textId="77777777" w:rsidR="007B2433" w:rsidRPr="002462F0" w:rsidRDefault="007B2433" w:rsidP="007B2433">
      <w:pPr>
        <w:pStyle w:val="Titre4Bleu"/>
        <w:rPr>
          <w:lang w:eastAsia="fr-FR"/>
        </w:rPr>
      </w:pPr>
      <w:bookmarkStart w:id="661" w:name="_Toc182327914"/>
      <w:r w:rsidRPr="002462F0">
        <w:rPr>
          <w:lang w:eastAsia="fr-FR"/>
        </w:rPr>
        <w:t>Category description</w:t>
      </w:r>
      <w:bookmarkEnd w:id="661"/>
      <w:r w:rsidRPr="002462F0">
        <w:rPr>
          <w:lang w:eastAsia="fr-FR"/>
        </w:rPr>
        <w:t xml:space="preserve"> </w:t>
      </w:r>
    </w:p>
    <w:p w14:paraId="217A8C98" w14:textId="041D558C" w:rsidR="00EC1339" w:rsidRDefault="00901982" w:rsidP="009E0457">
      <w:pPr>
        <w:pStyle w:val="BodyText"/>
        <w:rPr>
          <w:lang w:eastAsia="fr-FR"/>
        </w:rPr>
      </w:pPr>
      <w:r>
        <w:rPr>
          <w:lang w:eastAsia="fr-FR"/>
        </w:rPr>
        <w:t>Methane emissions from Manure management</w:t>
      </w:r>
      <w:r w:rsidR="004806D6">
        <w:rPr>
          <w:lang w:eastAsia="fr-FR"/>
        </w:rPr>
        <w:t xml:space="preserve"> are subdivided </w:t>
      </w:r>
      <w:r w:rsidR="00415B76">
        <w:rPr>
          <w:lang w:eastAsia="fr-FR"/>
        </w:rPr>
        <w:t>among the different</w:t>
      </w:r>
      <w:r w:rsidR="004806D6">
        <w:rPr>
          <w:lang w:eastAsia="fr-FR"/>
        </w:rPr>
        <w:t xml:space="preserve"> livestock (cattle, sheep, swine, </w:t>
      </w:r>
      <w:r w:rsidR="00415B76">
        <w:rPr>
          <w:lang w:eastAsia="fr-FR"/>
        </w:rPr>
        <w:t xml:space="preserve">and </w:t>
      </w:r>
      <w:r w:rsidR="004806D6">
        <w:rPr>
          <w:lang w:eastAsia="fr-FR"/>
        </w:rPr>
        <w:t>other</w:t>
      </w:r>
      <w:r w:rsidR="00415B76">
        <w:rPr>
          <w:lang w:eastAsia="fr-FR"/>
        </w:rPr>
        <w:t>s</w:t>
      </w:r>
      <w:r w:rsidR="004806D6">
        <w:rPr>
          <w:lang w:eastAsia="fr-FR"/>
        </w:rPr>
        <w:t>).</w:t>
      </w:r>
      <w:r w:rsidR="00EC1339">
        <w:rPr>
          <w:lang w:eastAsia="fr-FR"/>
        </w:rPr>
        <w:t xml:space="preserve"> </w:t>
      </w:r>
    </w:p>
    <w:p w14:paraId="05CF834F" w14:textId="5DD5EAA3" w:rsidR="002B520C" w:rsidRDefault="00EC1339" w:rsidP="009E0457">
      <w:pPr>
        <w:pStyle w:val="BodyText"/>
        <w:rPr>
          <w:lang w:eastAsia="fr-FR"/>
        </w:rPr>
      </w:pPr>
      <w:r>
        <w:rPr>
          <w:lang w:eastAsia="fr-FR"/>
        </w:rPr>
        <w:t xml:space="preserve">In addition of the graphs of the evolution of the different livestock categories already presented throughout </w:t>
      </w:r>
      <w:r w:rsidR="00FF2718">
        <w:rPr>
          <w:lang w:eastAsia="fr-FR"/>
        </w:rPr>
        <w:t>C</w:t>
      </w:r>
      <w:r>
        <w:rPr>
          <w:lang w:eastAsia="fr-FR"/>
        </w:rPr>
        <w:t xml:space="preserve">hapters </w:t>
      </w:r>
      <w:r>
        <w:rPr>
          <w:lang w:eastAsia="fr-FR"/>
        </w:rPr>
        <w:fldChar w:fldCharType="begin"/>
      </w:r>
      <w:r>
        <w:rPr>
          <w:lang w:eastAsia="fr-FR"/>
        </w:rPr>
        <w:instrText xml:space="preserve"> REF _Ref178953971 \r \h </w:instrText>
      </w:r>
      <w:r>
        <w:rPr>
          <w:lang w:eastAsia="fr-FR"/>
        </w:rPr>
      </w:r>
      <w:r>
        <w:rPr>
          <w:lang w:eastAsia="fr-FR"/>
        </w:rPr>
        <w:fldChar w:fldCharType="separate"/>
      </w:r>
      <w:r w:rsidR="00F14C78">
        <w:rPr>
          <w:lang w:eastAsia="fr-FR"/>
        </w:rPr>
        <w:t>5.2.1</w:t>
      </w:r>
      <w:r>
        <w:rPr>
          <w:lang w:eastAsia="fr-FR"/>
        </w:rPr>
        <w:fldChar w:fldCharType="end"/>
      </w:r>
      <w:r>
        <w:rPr>
          <w:lang w:eastAsia="fr-FR"/>
        </w:rPr>
        <w:t xml:space="preserve"> to </w:t>
      </w:r>
      <w:r>
        <w:rPr>
          <w:lang w:eastAsia="fr-FR"/>
        </w:rPr>
        <w:fldChar w:fldCharType="begin"/>
      </w:r>
      <w:r>
        <w:rPr>
          <w:lang w:eastAsia="fr-FR"/>
        </w:rPr>
        <w:instrText xml:space="preserve"> REF _Ref178953977 \r \h </w:instrText>
      </w:r>
      <w:r>
        <w:rPr>
          <w:lang w:eastAsia="fr-FR"/>
        </w:rPr>
      </w:r>
      <w:r>
        <w:rPr>
          <w:lang w:eastAsia="fr-FR"/>
        </w:rPr>
        <w:fldChar w:fldCharType="separate"/>
      </w:r>
      <w:r w:rsidR="00F14C78">
        <w:rPr>
          <w:lang w:eastAsia="fr-FR"/>
        </w:rPr>
        <w:t>5.2.4</w:t>
      </w:r>
      <w:r>
        <w:rPr>
          <w:lang w:eastAsia="fr-FR"/>
        </w:rPr>
        <w:fldChar w:fldCharType="end"/>
      </w:r>
      <w:r>
        <w:rPr>
          <w:lang w:eastAsia="fr-FR"/>
        </w:rPr>
        <w:t>, the evolution of the livestock of poultry, which impacts the CRT 3B14</w:t>
      </w:r>
      <w:r w:rsidR="002B520C">
        <w:rPr>
          <w:lang w:eastAsia="fr-FR"/>
        </w:rPr>
        <w:t xml:space="preserve"> </w:t>
      </w:r>
      <w:r w:rsidR="00A02E2E">
        <w:rPr>
          <w:lang w:eastAsia="fr-FR"/>
        </w:rPr>
        <w:t xml:space="preserve">Other livestock </w:t>
      </w:r>
      <w:r w:rsidR="002B520C">
        <w:rPr>
          <w:lang w:eastAsia="fr-FR"/>
        </w:rPr>
        <w:t xml:space="preserve">emissions, is presented in the following figure. </w:t>
      </w:r>
      <w:r w:rsidR="00CA4189">
        <w:rPr>
          <w:lang w:eastAsia="fr-FR"/>
        </w:rPr>
        <w:t xml:space="preserve">The two main subcategories of poultry </w:t>
      </w:r>
      <w:r w:rsidR="009F42B5">
        <w:rPr>
          <w:lang w:eastAsia="fr-FR"/>
        </w:rPr>
        <w:t xml:space="preserve">are layers and broilers, which represent 99% of the whole livestock of poultry in 2022. The population of broilers </w:t>
      </w:r>
      <w:r w:rsidR="00926966">
        <w:rPr>
          <w:lang w:eastAsia="fr-FR"/>
        </w:rPr>
        <w:t xml:space="preserve">varies quite significantly throughout the timeseries, but is rather stable in number of heads for 1990 and 2022, with a </w:t>
      </w:r>
      <w:r w:rsidR="00E311D3">
        <w:rPr>
          <w:lang w:eastAsia="fr-FR"/>
        </w:rPr>
        <w:t xml:space="preserve">small increase of 8%. However, the population of layers varies </w:t>
      </w:r>
      <w:r w:rsidR="00776527">
        <w:rPr>
          <w:lang w:eastAsia="fr-FR"/>
        </w:rPr>
        <w:t>also for the studied period but a progressive decline</w:t>
      </w:r>
      <w:r w:rsidR="007C3B0A">
        <w:rPr>
          <w:lang w:eastAsia="fr-FR"/>
        </w:rPr>
        <w:t xml:space="preserve"> </w:t>
      </w:r>
      <w:r w:rsidR="006418DF">
        <w:rPr>
          <w:lang w:eastAsia="fr-FR"/>
        </w:rPr>
        <w:t xml:space="preserve">is observed, until </w:t>
      </w:r>
      <w:r w:rsidR="007C3B0A">
        <w:rPr>
          <w:lang w:eastAsia="fr-FR"/>
        </w:rPr>
        <w:t>achiev</w:t>
      </w:r>
      <w:r w:rsidR="006418DF">
        <w:rPr>
          <w:lang w:eastAsia="fr-FR"/>
        </w:rPr>
        <w:t>ing</w:t>
      </w:r>
      <w:r w:rsidR="007C3B0A">
        <w:rPr>
          <w:lang w:eastAsia="fr-FR"/>
        </w:rPr>
        <w:t xml:space="preserve"> an overall reduction of 41% in 2022. Thus,</w:t>
      </w:r>
      <w:r w:rsidR="00955DF1">
        <w:rPr>
          <w:lang w:eastAsia="fr-FR"/>
        </w:rPr>
        <w:t xml:space="preserve"> although the important reductions of the population of turkeys (-72%) and others (-78%),</w:t>
      </w:r>
      <w:r w:rsidR="007C3B0A">
        <w:rPr>
          <w:lang w:eastAsia="fr-FR"/>
        </w:rPr>
        <w:t xml:space="preserve"> the livestock of poultry </w:t>
      </w:r>
      <w:r w:rsidR="006418DF">
        <w:rPr>
          <w:lang w:eastAsia="fr-FR"/>
        </w:rPr>
        <w:t>globally decreases by 2</w:t>
      </w:r>
      <w:r w:rsidR="00955DF1">
        <w:rPr>
          <w:lang w:eastAsia="fr-FR"/>
        </w:rPr>
        <w:t xml:space="preserve">4% over the period 1990-2022. </w:t>
      </w:r>
    </w:p>
    <w:p w14:paraId="600B0DBB" w14:textId="69A91B72" w:rsidR="002B520C" w:rsidRDefault="00667862" w:rsidP="00A02E2E">
      <w:pPr>
        <w:pStyle w:val="BodyText"/>
        <w:spacing w:after="0"/>
        <w:rPr>
          <w:lang w:eastAsia="fr-FR"/>
        </w:rPr>
      </w:pPr>
      <w:r>
        <w:rPr>
          <w:noProof/>
          <w:lang w:val="en-US"/>
        </w:rPr>
        <w:lastRenderedPageBreak/>
        <w:drawing>
          <wp:inline distT="0" distB="0" distL="0" distR="0" wp14:anchorId="3B936D14" wp14:editId="098C7D2E">
            <wp:extent cx="5759450" cy="3025472"/>
            <wp:effectExtent l="0" t="0" r="0" b="3810"/>
            <wp:docPr id="1243403273"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2034" cy="3026829"/>
                    </a:xfrm>
                    <a:prstGeom prst="rect">
                      <a:avLst/>
                    </a:prstGeom>
                    <a:noFill/>
                  </pic:spPr>
                </pic:pic>
              </a:graphicData>
            </a:graphic>
          </wp:inline>
        </w:drawing>
      </w:r>
    </w:p>
    <w:p w14:paraId="7E5BB15D" w14:textId="7F9F6614" w:rsidR="00A02E2E" w:rsidRDefault="00A02E2E" w:rsidP="00A02E2E">
      <w:pPr>
        <w:pStyle w:val="Caption"/>
        <w:keepNext/>
        <w:spacing w:before="0" w:after="0"/>
        <w:jc w:val="left"/>
        <w:rPr>
          <w:noProof/>
        </w:rPr>
      </w:pPr>
      <w:bookmarkStart w:id="662" w:name="_Ref179204284"/>
      <w:bookmarkStart w:id="663" w:name="_Ref179204280"/>
      <w:bookmarkStart w:id="664" w:name="_Toc184808478"/>
      <w:r w:rsidRPr="001F0275">
        <w:t xml:space="preserve">Figure </w:t>
      </w:r>
      <w:r w:rsidRPr="001F0275">
        <w:fldChar w:fldCharType="begin"/>
      </w:r>
      <w:r w:rsidRPr="001F0275">
        <w:instrText xml:space="preserve"> SEQ Figure \* ARABIC </w:instrText>
      </w:r>
      <w:r w:rsidRPr="001F0275">
        <w:fldChar w:fldCharType="separate"/>
      </w:r>
      <w:r>
        <w:rPr>
          <w:noProof/>
        </w:rPr>
        <w:t>91</w:t>
      </w:r>
      <w:r w:rsidRPr="001F0275">
        <w:fldChar w:fldCharType="end"/>
      </w:r>
      <w:bookmarkEnd w:id="662"/>
      <w:r w:rsidRPr="001F0275">
        <w:rPr>
          <w:noProof/>
        </w:rPr>
        <w:t xml:space="preserve"> : </w:t>
      </w:r>
      <w:r>
        <w:rPr>
          <w:noProof/>
        </w:rPr>
        <w:t>Livestock evolution for</w:t>
      </w:r>
      <w:r w:rsidRPr="001F0275">
        <w:rPr>
          <w:noProof/>
        </w:rPr>
        <w:t xml:space="preserve"> </w:t>
      </w:r>
      <w:r>
        <w:rPr>
          <w:noProof/>
        </w:rPr>
        <w:t>poultry, in number of heads, for the period 1990-2022, per different animal specie</w:t>
      </w:r>
      <w:bookmarkEnd w:id="663"/>
      <w:r w:rsidR="006E7301">
        <w:rPr>
          <w:noProof/>
        </w:rPr>
        <w:t>s</w:t>
      </w:r>
      <w:bookmarkEnd w:id="664"/>
    </w:p>
    <w:p w14:paraId="23AE4B12" w14:textId="1379A91E" w:rsidR="00955DF1" w:rsidRDefault="000758CC" w:rsidP="00A02E2E">
      <w:pPr>
        <w:spacing w:before="240" w:after="120" w:line="240" w:lineRule="auto"/>
      </w:pPr>
      <w:r>
        <w:t xml:space="preserve">The methane emissions associated with the manure management of dairy cattle, other cattle and sheep evolve </w:t>
      </w:r>
      <w:r w:rsidR="00091C88">
        <w:t>in direct relation with the evolution of their respective livestock</w:t>
      </w:r>
      <w:r w:rsidR="00C6478C">
        <w:t xml:space="preserve"> </w:t>
      </w:r>
      <w:r w:rsidR="00661F43">
        <w:t xml:space="preserve">population </w:t>
      </w:r>
      <w:r w:rsidR="00C6478C">
        <w:t xml:space="preserve">presented in the previous </w:t>
      </w:r>
      <w:r w:rsidR="00661F43">
        <w:t>section</w:t>
      </w:r>
      <w:r w:rsidR="00091C88">
        <w:t>.</w:t>
      </w:r>
      <w:r w:rsidR="00C6478C">
        <w:t xml:space="preserve"> </w:t>
      </w:r>
      <w:r w:rsidR="00CB5C8C">
        <w:t>In addition, t</w:t>
      </w:r>
      <w:r w:rsidR="00C6478C">
        <w:t xml:space="preserve">he EF </w:t>
      </w:r>
      <w:r w:rsidR="00CB5C8C">
        <w:t>from dairy cattle</w:t>
      </w:r>
      <w:r w:rsidR="00C6478C">
        <w:t xml:space="preserve"> </w:t>
      </w:r>
      <w:r w:rsidR="00CB5C8C">
        <w:t>increases by 7% between 1990 and 2022, whereas the one from other cattle increases by 28%</w:t>
      </w:r>
      <w:r w:rsidR="004E5BC7">
        <w:t xml:space="preserve"> (see </w:t>
      </w:r>
      <w:r w:rsidR="004E5BC7">
        <w:fldChar w:fldCharType="begin"/>
      </w:r>
      <w:r w:rsidR="004E5BC7">
        <w:instrText xml:space="preserve"> REF _Ref179192602 \h </w:instrText>
      </w:r>
      <w:r w:rsidR="00A02E2E">
        <w:instrText xml:space="preserve"> \* MERGEFORMAT </w:instrText>
      </w:r>
      <w:r w:rsidR="004E5BC7">
        <w:fldChar w:fldCharType="separate"/>
      </w:r>
      <w:r w:rsidR="00F14C78">
        <w:t xml:space="preserve">Table </w:t>
      </w:r>
      <w:r w:rsidR="00F14C78">
        <w:rPr>
          <w:noProof/>
        </w:rPr>
        <w:t>26</w:t>
      </w:r>
      <w:r w:rsidR="004E5BC7">
        <w:fldChar w:fldCharType="end"/>
      </w:r>
      <w:r w:rsidR="004E5BC7">
        <w:t xml:space="preserve"> and</w:t>
      </w:r>
      <w:r w:rsidR="00A02E2E">
        <w:t xml:space="preserve"> </w:t>
      </w:r>
      <w:r w:rsidR="00A02E2E">
        <w:fldChar w:fldCharType="begin"/>
      </w:r>
      <w:r w:rsidR="00A02E2E">
        <w:instrText xml:space="preserve"> REF _Ref184030627 \h </w:instrText>
      </w:r>
      <w:r w:rsidR="00A02E2E">
        <w:fldChar w:fldCharType="separate"/>
      </w:r>
      <w:r w:rsidR="00A02E2E">
        <w:t xml:space="preserve">Table </w:t>
      </w:r>
      <w:r w:rsidR="00A02E2E">
        <w:rPr>
          <w:noProof/>
        </w:rPr>
        <w:t>27</w:t>
      </w:r>
      <w:r w:rsidR="00A02E2E">
        <w:fldChar w:fldCharType="end"/>
      </w:r>
      <w:r w:rsidR="004E5BC7">
        <w:t>)</w:t>
      </w:r>
      <w:r w:rsidR="0020528F">
        <w:t>. The evolution of the CH</w:t>
      </w:r>
      <w:r w:rsidR="0020528F" w:rsidRPr="00622F40">
        <w:rPr>
          <w:vertAlign w:val="subscript"/>
        </w:rPr>
        <w:t>4</w:t>
      </w:r>
      <w:r w:rsidR="0020528F">
        <w:t xml:space="preserve"> EF </w:t>
      </w:r>
      <w:r w:rsidR="008D0ECE">
        <w:t>is</w:t>
      </w:r>
      <w:r w:rsidR="0020528F">
        <w:t xml:space="preserve"> due to </w:t>
      </w:r>
      <w:r w:rsidR="00593CBC">
        <w:t xml:space="preserve">the evolution </w:t>
      </w:r>
      <w:r w:rsidR="00AE4766">
        <w:t>in the methane conversion factors (MCFs)</w:t>
      </w:r>
      <w:r w:rsidR="00593CBC">
        <w:t>,</w:t>
      </w:r>
      <w:r w:rsidR="00A2258D">
        <w:t xml:space="preserve"> in relation with the evolution of the average annual temperature</w:t>
      </w:r>
      <w:r w:rsidR="00593CBC">
        <w:t>, which varies but has globally increased, and by 17% between 1990 and 2022</w:t>
      </w:r>
      <w:r w:rsidR="00C30D6C">
        <w:t xml:space="preserve">. Thus, the methane emissions from these two categories are being reduced at a slightly slower rate than the livestock, respectively by </w:t>
      </w:r>
      <w:r w:rsidR="00267E34">
        <w:t xml:space="preserve">50% (versus </w:t>
      </w:r>
      <w:r w:rsidR="00BB51CD">
        <w:t>53</w:t>
      </w:r>
      <w:r w:rsidR="00267E34">
        <w:t>% for the dairy cattle</w:t>
      </w:r>
      <w:r w:rsidR="00D436B7">
        <w:t xml:space="preserve"> population</w:t>
      </w:r>
      <w:r w:rsidR="00267E34">
        <w:t xml:space="preserve">) and by 29% (versus </w:t>
      </w:r>
      <w:r w:rsidR="00BB51CD">
        <w:t>44</w:t>
      </w:r>
      <w:r w:rsidR="00267E34">
        <w:t>% for the population of other cattle).</w:t>
      </w:r>
      <w:r w:rsidR="00BB51CD">
        <w:t xml:space="preserve"> </w:t>
      </w:r>
      <w:r w:rsidR="00D436B7">
        <w:t>For sheep,</w:t>
      </w:r>
      <w:r w:rsidR="00BB51CD">
        <w:t xml:space="preserve"> the EF considered for the manure management is constant over the timeseries and therefore the emission evolution is directly proportional to the </w:t>
      </w:r>
      <w:r w:rsidR="00287B8F">
        <w:t>livestock evolution (-12% for the same period).</w:t>
      </w:r>
    </w:p>
    <w:p w14:paraId="5DBD6FA8" w14:textId="4379BE85" w:rsidR="00AE790B" w:rsidRPr="00BD58A6" w:rsidRDefault="00415B76" w:rsidP="005D064D">
      <w:pPr>
        <w:pStyle w:val="BodyText"/>
        <w:spacing w:after="0"/>
      </w:pPr>
      <w:r w:rsidRPr="00BD58A6">
        <w:rPr>
          <w:noProof/>
          <w:lang w:val="en-US"/>
        </w:rPr>
        <w:drawing>
          <wp:inline distT="0" distB="0" distL="0" distR="0" wp14:anchorId="4F383CEA" wp14:editId="6C6F374F">
            <wp:extent cx="5760000" cy="1753712"/>
            <wp:effectExtent l="0" t="0" r="0" b="0"/>
            <wp:docPr id="1670185890"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5DFBC28F" w14:textId="77777777" w:rsidR="00A02E2E" w:rsidRPr="00A54F25" w:rsidRDefault="00A02E2E" w:rsidP="005D064D">
      <w:pPr>
        <w:pStyle w:val="Caption"/>
        <w:keepNext/>
        <w:spacing w:before="0" w:after="0"/>
        <w:jc w:val="left"/>
      </w:pPr>
      <w:bookmarkStart w:id="665" w:name="_Toc184808479"/>
      <w:r w:rsidRPr="00A54F25">
        <w:t xml:space="preserve">Figure </w:t>
      </w:r>
      <w:r w:rsidRPr="00A54F25">
        <w:fldChar w:fldCharType="begin"/>
      </w:r>
      <w:r w:rsidRPr="00A54F25">
        <w:instrText xml:space="preserve"> SEQ Figure \* ARABIC </w:instrText>
      </w:r>
      <w:r w:rsidRPr="00A54F25">
        <w:fldChar w:fldCharType="separate"/>
      </w:r>
      <w:r w:rsidRPr="00A54F25">
        <w:t>92</w:t>
      </w:r>
      <w:r w:rsidRPr="00A54F25">
        <w:fldChar w:fldCharType="end"/>
      </w:r>
      <w:r w:rsidRPr="00A54F25">
        <w:t xml:space="preserve"> : CH</w:t>
      </w:r>
      <w:r w:rsidRPr="005D064D">
        <w:rPr>
          <w:vertAlign w:val="subscript"/>
        </w:rPr>
        <w:t>4</w:t>
      </w:r>
      <w:r w:rsidRPr="00A54F25">
        <w:t xml:space="preserve"> emissions for manure management of dairy cattle (CRT 3B11a) (kt CO</w:t>
      </w:r>
      <w:r w:rsidRPr="005D064D">
        <w:rPr>
          <w:vertAlign w:val="subscript"/>
        </w:rPr>
        <w:t>2</w:t>
      </w:r>
      <w:r w:rsidRPr="00A54F25">
        <w:t>e)</w:t>
      </w:r>
      <w:bookmarkEnd w:id="665"/>
    </w:p>
    <w:p w14:paraId="416F321F" w14:textId="77777777" w:rsidR="00390440" w:rsidRDefault="00390440" w:rsidP="005D064D">
      <w:pPr>
        <w:spacing w:after="0" w:line="240" w:lineRule="auto"/>
      </w:pPr>
      <w:r w:rsidRPr="00A54F25">
        <w:rPr>
          <w:noProof/>
          <w:lang w:val="en-US"/>
        </w:rPr>
        <w:drawing>
          <wp:inline distT="0" distB="0" distL="0" distR="0" wp14:anchorId="61E29D43" wp14:editId="4DB7F08D">
            <wp:extent cx="5731510" cy="1744730"/>
            <wp:effectExtent l="0" t="0" r="2540" b="8255"/>
            <wp:docPr id="723607904" name="Image 145" descr="A graph with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07904" name="Image 145" descr="A graph with red bars&#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31510" cy="1744730"/>
                    </a:xfrm>
                    <a:prstGeom prst="rect">
                      <a:avLst/>
                    </a:prstGeom>
                    <a:noFill/>
                  </pic:spPr>
                </pic:pic>
              </a:graphicData>
            </a:graphic>
          </wp:inline>
        </w:drawing>
      </w:r>
    </w:p>
    <w:p w14:paraId="7851A09F" w14:textId="55C73AB9" w:rsidR="00A02E2E" w:rsidRDefault="00A02E2E" w:rsidP="005D064D">
      <w:pPr>
        <w:pStyle w:val="Caption"/>
        <w:keepNext/>
        <w:spacing w:before="0"/>
        <w:jc w:val="left"/>
      </w:pPr>
      <w:bookmarkStart w:id="666" w:name="_Toc184808480"/>
      <w:r w:rsidRPr="00A54F25">
        <w:t xml:space="preserve">Figure </w:t>
      </w:r>
      <w:r w:rsidRPr="00A54F25">
        <w:fldChar w:fldCharType="begin"/>
      </w:r>
      <w:r w:rsidRPr="00A54F25">
        <w:instrText xml:space="preserve"> SEQ Figure \* ARABIC </w:instrText>
      </w:r>
      <w:r w:rsidRPr="00A54F25">
        <w:fldChar w:fldCharType="separate"/>
      </w:r>
      <w:r w:rsidRPr="00A54F25">
        <w:t>93</w:t>
      </w:r>
      <w:r w:rsidRPr="00A54F25">
        <w:fldChar w:fldCharType="end"/>
      </w:r>
      <w:r w:rsidRPr="00A54F25">
        <w:t xml:space="preserve"> : CH</w:t>
      </w:r>
      <w:r w:rsidRPr="005D064D">
        <w:rPr>
          <w:vertAlign w:val="subscript"/>
        </w:rPr>
        <w:t>4</w:t>
      </w:r>
      <w:r w:rsidRPr="00A54F25">
        <w:t xml:space="preserve"> emissions for manure management of non-dairy cattle (CRT 3B11b) (kt CO</w:t>
      </w:r>
      <w:r w:rsidRPr="005D064D">
        <w:rPr>
          <w:vertAlign w:val="subscript"/>
        </w:rPr>
        <w:t>2</w:t>
      </w:r>
      <w:r w:rsidRPr="00A54F25">
        <w:t>e)</w:t>
      </w:r>
      <w:bookmarkEnd w:id="666"/>
    </w:p>
    <w:p w14:paraId="62C424FB" w14:textId="77777777" w:rsidR="005D064D" w:rsidRPr="005D064D" w:rsidRDefault="005D064D" w:rsidP="005D064D">
      <w:pPr>
        <w:pStyle w:val="BodyText"/>
      </w:pPr>
    </w:p>
    <w:p w14:paraId="645575F4" w14:textId="2E4B07E8" w:rsidR="00AE790B" w:rsidRPr="00BD58A6" w:rsidRDefault="00E41DCE" w:rsidP="00BD58A6">
      <w:pPr>
        <w:pStyle w:val="BodyText"/>
      </w:pPr>
      <w:r w:rsidRPr="00BD58A6">
        <w:rPr>
          <w:noProof/>
          <w:lang w:val="en-US"/>
        </w:rPr>
        <w:lastRenderedPageBreak/>
        <w:drawing>
          <wp:inline distT="0" distB="0" distL="0" distR="0" wp14:anchorId="2BF2BCAB" wp14:editId="0ABB732E">
            <wp:extent cx="5760000" cy="1753712"/>
            <wp:effectExtent l="0" t="0" r="0" b="0"/>
            <wp:docPr id="1291171381"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2B6263E4" w14:textId="77777777" w:rsidR="00A02E2E" w:rsidRDefault="00A02E2E" w:rsidP="00A02E2E">
      <w:pPr>
        <w:pStyle w:val="Caption"/>
        <w:keepNext/>
        <w:spacing w:before="0" w:after="0"/>
        <w:jc w:val="left"/>
        <w:rPr>
          <w:noProof/>
        </w:rPr>
      </w:pPr>
      <w:bookmarkStart w:id="667" w:name="_Toc184808481"/>
      <w:r w:rsidRPr="00622F40">
        <w:t xml:space="preserve">Figure </w:t>
      </w:r>
      <w:r w:rsidRPr="00622F40">
        <w:fldChar w:fldCharType="begin"/>
      </w:r>
      <w:r w:rsidRPr="00622F40">
        <w:instrText xml:space="preserve"> SEQ Figure \* ARABIC </w:instrText>
      </w:r>
      <w:r w:rsidRPr="00622F40">
        <w:fldChar w:fldCharType="separate"/>
      </w:r>
      <w:r>
        <w:rPr>
          <w:noProof/>
        </w:rPr>
        <w:t>94</w:t>
      </w:r>
      <w:r w:rsidRPr="00622F40">
        <w:fldChar w:fldCharType="end"/>
      </w:r>
      <w:r w:rsidRPr="00622F40">
        <w:rPr>
          <w:noProof/>
        </w:rPr>
        <w:t xml:space="preserve"> : CH</w:t>
      </w:r>
      <w:r w:rsidRPr="00A02E2E">
        <w:rPr>
          <w:noProof/>
          <w:vertAlign w:val="subscript"/>
        </w:rPr>
        <w:t>4</w:t>
      </w:r>
      <w:r w:rsidRPr="00622F40">
        <w:rPr>
          <w:noProof/>
        </w:rPr>
        <w:t xml:space="preserve"> emissions for manure management of sheep (</w:t>
      </w:r>
      <w:r>
        <w:rPr>
          <w:noProof/>
        </w:rPr>
        <w:t>CRT</w:t>
      </w:r>
      <w:r w:rsidRPr="00622F40">
        <w:rPr>
          <w:noProof/>
        </w:rPr>
        <w:t xml:space="preserve"> 3B12) (kt CO</w:t>
      </w:r>
      <w:r w:rsidRPr="00622F40">
        <w:rPr>
          <w:noProof/>
          <w:vertAlign w:val="subscript"/>
        </w:rPr>
        <w:t>2</w:t>
      </w:r>
      <w:r w:rsidRPr="00622F40">
        <w:rPr>
          <w:noProof/>
        </w:rPr>
        <w:t>e)</w:t>
      </w:r>
      <w:bookmarkEnd w:id="667"/>
    </w:p>
    <w:p w14:paraId="782C64C5" w14:textId="0404CBBE" w:rsidR="00593CBC" w:rsidRDefault="00593CBC" w:rsidP="00A02E2E">
      <w:pPr>
        <w:spacing w:before="120" w:after="0"/>
      </w:pPr>
      <w:r>
        <w:t xml:space="preserve">The methane emissions from the swine manure management </w:t>
      </w:r>
      <w:r w:rsidR="002F6BAD">
        <w:t xml:space="preserve">evolve </w:t>
      </w:r>
      <w:r w:rsidR="00605414">
        <w:t xml:space="preserve">according to the evolution of the livestock of fattening pigs and sows, </w:t>
      </w:r>
      <w:r w:rsidR="007E73B7">
        <w:t xml:space="preserve">as well as the evolution of the EF. </w:t>
      </w:r>
      <w:r w:rsidR="00607492">
        <w:t>The later var</w:t>
      </w:r>
      <w:r w:rsidR="00F90F8C">
        <w:t>ies</w:t>
      </w:r>
      <w:r w:rsidR="00607492">
        <w:t xml:space="preserve"> depending on the MCFs, and hence on the annual </w:t>
      </w:r>
      <w:r w:rsidR="001302DA">
        <w:t xml:space="preserve">average </w:t>
      </w:r>
      <w:r w:rsidR="00607492">
        <w:t>temperature</w:t>
      </w:r>
      <w:r w:rsidR="00F90F8C">
        <w:t xml:space="preserve">, </w:t>
      </w:r>
      <w:r w:rsidR="00066FC0">
        <w:t>which increased by 1</w:t>
      </w:r>
      <w:r w:rsidR="00E56884">
        <w:t xml:space="preserve">7% </w:t>
      </w:r>
      <w:r w:rsidR="001302DA">
        <w:t xml:space="preserve">for the period 1990-2022. </w:t>
      </w:r>
      <w:r w:rsidR="00084C52">
        <w:t>O</w:t>
      </w:r>
      <w:r w:rsidR="005C2A50">
        <w:t>verall, both EF from fattening pigs and sows increased by 15% for the studied period</w:t>
      </w:r>
      <w:r w:rsidR="0072206E">
        <w:t xml:space="preserve"> (see </w:t>
      </w:r>
      <w:r w:rsidR="0072206E">
        <w:fldChar w:fldCharType="begin"/>
      </w:r>
      <w:r w:rsidR="0072206E">
        <w:instrText xml:space="preserve"> REF _Ref179192602 \h </w:instrText>
      </w:r>
      <w:r w:rsidR="00A02E2E">
        <w:instrText xml:space="preserve"> \* MERGEFORMAT </w:instrText>
      </w:r>
      <w:r w:rsidR="0072206E">
        <w:fldChar w:fldCharType="separate"/>
      </w:r>
      <w:r w:rsidR="00F14C78">
        <w:t xml:space="preserve">Table </w:t>
      </w:r>
      <w:r w:rsidR="00F14C78">
        <w:rPr>
          <w:noProof/>
        </w:rPr>
        <w:t>26</w:t>
      </w:r>
      <w:r w:rsidR="0072206E">
        <w:fldChar w:fldCharType="end"/>
      </w:r>
      <w:r w:rsidR="0072206E">
        <w:t xml:space="preserve"> and </w:t>
      </w:r>
      <w:r w:rsidR="0072206E">
        <w:fldChar w:fldCharType="begin"/>
      </w:r>
      <w:r w:rsidR="0072206E">
        <w:instrText xml:space="preserve"> REF _Ref179192604 \h </w:instrText>
      </w:r>
      <w:r w:rsidR="00A02E2E">
        <w:instrText xml:space="preserve"> \* MERGEFORMAT </w:instrText>
      </w:r>
      <w:r w:rsidR="0072206E">
        <w:fldChar w:fldCharType="separate"/>
      </w:r>
      <w:r w:rsidR="00F14C78">
        <w:t xml:space="preserve">Table </w:t>
      </w:r>
      <w:r w:rsidR="00F14C78">
        <w:rPr>
          <w:noProof/>
        </w:rPr>
        <w:t>27</w:t>
      </w:r>
      <w:r w:rsidR="0072206E">
        <w:fldChar w:fldCharType="end"/>
      </w:r>
      <w:r w:rsidR="0072206E">
        <w:t>)</w:t>
      </w:r>
      <w:r w:rsidR="005C2A50">
        <w:t xml:space="preserve">. </w:t>
      </w:r>
      <w:r w:rsidR="00C00C4D">
        <w:t xml:space="preserve">All things combined, the methane emissions from these two categories have been reduced by </w:t>
      </w:r>
      <w:r w:rsidR="00523930">
        <w:t>33</w:t>
      </w:r>
      <w:r w:rsidR="00C00C4D">
        <w:t xml:space="preserve">% for fattening pigs (versus </w:t>
      </w:r>
      <w:r w:rsidR="00523930">
        <w:t>41</w:t>
      </w:r>
      <w:r w:rsidR="00C00C4D">
        <w:t xml:space="preserve">% for their population) and by </w:t>
      </w:r>
      <w:r w:rsidR="00523930">
        <w:t>53</w:t>
      </w:r>
      <w:r w:rsidR="00C00C4D">
        <w:t xml:space="preserve">% (versus </w:t>
      </w:r>
      <w:r w:rsidR="002B6AF4">
        <w:t>60</w:t>
      </w:r>
      <w:r w:rsidR="00C00C4D">
        <w:t>% for their population).</w:t>
      </w:r>
      <w:r w:rsidR="002B6AF4">
        <w:t xml:space="preserve"> In total, considering </w:t>
      </w:r>
      <w:r w:rsidR="00A43A29">
        <w:t xml:space="preserve">the fact </w:t>
      </w:r>
      <w:r w:rsidR="00DB1201">
        <w:t xml:space="preserve">that the </w:t>
      </w:r>
      <w:r w:rsidR="00F14F0C">
        <w:t>fattening pigs are more predominant in the swine livestock and represent 84%</w:t>
      </w:r>
      <w:r w:rsidR="00D80397">
        <w:t xml:space="preserve"> of the overall population in 2022</w:t>
      </w:r>
      <w:r w:rsidR="00232E92">
        <w:t xml:space="preserve">, </w:t>
      </w:r>
      <w:r w:rsidR="00A44433">
        <w:t xml:space="preserve">but the emission factor is 67% higher </w:t>
      </w:r>
      <w:r w:rsidR="00A53093">
        <w:t>for sows than for fattening pigs</w:t>
      </w:r>
      <w:r w:rsidR="00D80397">
        <w:t>, the emissions from the CRT 3</w:t>
      </w:r>
      <w:r w:rsidR="004D04E7">
        <w:t>B13 have been reduced by 39%</w:t>
      </w:r>
      <w:r w:rsidR="00CE5033">
        <w:t xml:space="preserve"> over the timeseries</w:t>
      </w:r>
      <w:r w:rsidR="004D04E7">
        <w:t xml:space="preserve">. </w:t>
      </w:r>
    </w:p>
    <w:p w14:paraId="7E9091F6" w14:textId="1AA05D0B" w:rsidR="00AE790B" w:rsidRPr="00AE790B" w:rsidRDefault="00F87499" w:rsidP="00A02E2E">
      <w:pPr>
        <w:spacing w:after="0"/>
        <w:jc w:val="left"/>
      </w:pPr>
      <w:r>
        <w:rPr>
          <w:noProof/>
          <w:lang w:val="en-US"/>
        </w:rPr>
        <w:drawing>
          <wp:inline distT="0" distB="0" distL="0" distR="0" wp14:anchorId="5198036A" wp14:editId="772361A1">
            <wp:extent cx="5760000" cy="1753712"/>
            <wp:effectExtent l="0" t="0" r="0" b="0"/>
            <wp:docPr id="1159262240"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26158BBA" w14:textId="77777777" w:rsidR="00A02E2E" w:rsidRDefault="00A02E2E" w:rsidP="00A02E2E">
      <w:pPr>
        <w:pStyle w:val="Caption"/>
        <w:keepNext/>
        <w:spacing w:before="0" w:after="0"/>
        <w:jc w:val="left"/>
        <w:rPr>
          <w:noProof/>
        </w:rPr>
      </w:pPr>
      <w:bookmarkStart w:id="668" w:name="_Toc184808482"/>
      <w:r w:rsidRPr="00622F40">
        <w:t xml:space="preserve">Figure </w:t>
      </w:r>
      <w:r w:rsidRPr="00622F40">
        <w:fldChar w:fldCharType="begin"/>
      </w:r>
      <w:r w:rsidRPr="00622F40">
        <w:instrText xml:space="preserve"> SEQ Figure \* ARABIC </w:instrText>
      </w:r>
      <w:r w:rsidRPr="00622F40">
        <w:fldChar w:fldCharType="separate"/>
      </w:r>
      <w:r>
        <w:rPr>
          <w:noProof/>
        </w:rPr>
        <w:t>95</w:t>
      </w:r>
      <w:r w:rsidRPr="00622F40">
        <w:fldChar w:fldCharType="end"/>
      </w:r>
      <w:r w:rsidRPr="00622F40">
        <w:rPr>
          <w:noProof/>
        </w:rPr>
        <w:t xml:space="preserve"> : CH4 emissions for manure management of swine (</w:t>
      </w:r>
      <w:r>
        <w:rPr>
          <w:noProof/>
        </w:rPr>
        <w:t>CRT</w:t>
      </w:r>
      <w:r w:rsidRPr="00622F40">
        <w:rPr>
          <w:noProof/>
        </w:rPr>
        <w:t xml:space="preserve"> 3B13) (kt CO</w:t>
      </w:r>
      <w:r w:rsidRPr="00622F40">
        <w:rPr>
          <w:noProof/>
          <w:vertAlign w:val="subscript"/>
        </w:rPr>
        <w:t>2</w:t>
      </w:r>
      <w:r w:rsidRPr="00622F40">
        <w:rPr>
          <w:noProof/>
        </w:rPr>
        <w:t>e)</w:t>
      </w:r>
      <w:bookmarkEnd w:id="668"/>
    </w:p>
    <w:p w14:paraId="11A47BC7" w14:textId="57030E8A" w:rsidR="00CE5033" w:rsidRDefault="000E4E8A" w:rsidP="00535F1D">
      <w:pPr>
        <w:spacing w:before="120" w:after="0"/>
      </w:pPr>
      <w:r>
        <w:t>The methane emissions for the manure management of other livestock</w:t>
      </w:r>
      <w:r w:rsidR="00F066B5">
        <w:t xml:space="preserve"> evolve depending on the evolution of the different livestock (goats, horses and poultry) and </w:t>
      </w:r>
      <w:r w:rsidR="00E7461B">
        <w:t xml:space="preserve">of </w:t>
      </w:r>
      <w:r w:rsidR="00F066B5">
        <w:t>the EF</w:t>
      </w:r>
      <w:r w:rsidR="001A2ADF">
        <w:t xml:space="preserve">. The emissions related to manure management of horses and goats </w:t>
      </w:r>
      <w:r w:rsidR="00623244">
        <w:t>are rather marginal in the total of the category and represent less than 3%</w:t>
      </w:r>
      <w:r w:rsidR="00367B99">
        <w:t xml:space="preserve"> over the timeseries</w:t>
      </w:r>
      <w:r w:rsidR="00623244">
        <w:t>.</w:t>
      </w:r>
      <w:r w:rsidR="00367B99">
        <w:t xml:space="preserve"> </w:t>
      </w:r>
      <w:r w:rsidR="00581734">
        <w:t xml:space="preserve">Among the poultry livestock, the layers </w:t>
      </w:r>
      <w:r w:rsidR="00B10115">
        <w:t xml:space="preserve">represent the most </w:t>
      </w:r>
      <w:r w:rsidR="00FF5094">
        <w:t xml:space="preserve">important share of </w:t>
      </w:r>
      <w:r w:rsidR="00B10115">
        <w:t xml:space="preserve">emissions with 91% in 2022. The EF from </w:t>
      </w:r>
      <w:r w:rsidR="004F0F38">
        <w:t>the layers</w:t>
      </w:r>
      <w:r w:rsidR="00623244">
        <w:t xml:space="preserve"> </w:t>
      </w:r>
      <w:r w:rsidR="004F0F38">
        <w:t>varies depending on the MCFs over the timeseries</w:t>
      </w:r>
      <w:r w:rsidR="00802019">
        <w:t xml:space="preserve">, which evolves according to the average annual temperature, and </w:t>
      </w:r>
      <w:r w:rsidR="00725E6B">
        <w:t>increases by 16% for the period 1990-2022</w:t>
      </w:r>
      <w:r w:rsidR="008540B0">
        <w:t xml:space="preserve"> (see </w:t>
      </w:r>
      <w:r w:rsidR="008540B0">
        <w:fldChar w:fldCharType="begin"/>
      </w:r>
      <w:r w:rsidR="008540B0">
        <w:instrText xml:space="preserve"> REF _Ref179192602 \h </w:instrText>
      </w:r>
      <w:r w:rsidR="00535F1D">
        <w:instrText xml:space="preserve"> \* MERGEFORMAT </w:instrText>
      </w:r>
      <w:r w:rsidR="008540B0">
        <w:fldChar w:fldCharType="separate"/>
      </w:r>
      <w:r w:rsidR="00F14C78">
        <w:t xml:space="preserve">Table </w:t>
      </w:r>
      <w:r w:rsidR="00F14C78">
        <w:rPr>
          <w:noProof/>
        </w:rPr>
        <w:t>26</w:t>
      </w:r>
      <w:r w:rsidR="008540B0">
        <w:fldChar w:fldCharType="end"/>
      </w:r>
      <w:r w:rsidR="008540B0">
        <w:t xml:space="preserve"> and</w:t>
      </w:r>
      <w:r w:rsidR="00535F1D">
        <w:t xml:space="preserve"> </w:t>
      </w:r>
      <w:r w:rsidR="00535F1D">
        <w:fldChar w:fldCharType="begin"/>
      </w:r>
      <w:r w:rsidR="00535F1D">
        <w:instrText xml:space="preserve"> REF _Ref184030627 \h </w:instrText>
      </w:r>
      <w:r w:rsidR="00535F1D">
        <w:fldChar w:fldCharType="separate"/>
      </w:r>
      <w:r w:rsidR="00535F1D">
        <w:t xml:space="preserve">Table </w:t>
      </w:r>
      <w:r w:rsidR="00535F1D">
        <w:rPr>
          <w:noProof/>
        </w:rPr>
        <w:t>27</w:t>
      </w:r>
      <w:r w:rsidR="00535F1D">
        <w:fldChar w:fldCharType="end"/>
      </w:r>
      <w:r w:rsidR="008540B0">
        <w:t>)</w:t>
      </w:r>
      <w:r w:rsidR="00725E6B">
        <w:t xml:space="preserve">. The EF from the other poultry species (broilers, turkeys and others) are all constant </w:t>
      </w:r>
      <w:r w:rsidR="00A95CE6">
        <w:t>over the timeseries. In total</w:t>
      </w:r>
      <w:r w:rsidR="002F3AF7">
        <w:t xml:space="preserve">, the emissions from the CRT 3.B.1.4 have been reduced by 30% between 1990 and 2022. </w:t>
      </w:r>
    </w:p>
    <w:p w14:paraId="4DD067E2" w14:textId="27BBE49C" w:rsidR="00AE790B" w:rsidRDefault="002B4128" w:rsidP="00535F1D">
      <w:pPr>
        <w:spacing w:after="0" w:line="240" w:lineRule="auto"/>
      </w:pPr>
      <w:r>
        <w:rPr>
          <w:noProof/>
          <w:lang w:val="en-US"/>
        </w:rPr>
        <w:drawing>
          <wp:inline distT="0" distB="0" distL="0" distR="0" wp14:anchorId="77D66915" wp14:editId="5130BDC8">
            <wp:extent cx="5760000" cy="1753712"/>
            <wp:effectExtent l="0" t="0" r="0" b="0"/>
            <wp:docPr id="163271429"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2896E952" w14:textId="77777777" w:rsidR="00535F1D" w:rsidRDefault="00535F1D" w:rsidP="00535F1D">
      <w:pPr>
        <w:pStyle w:val="Caption"/>
        <w:keepLines/>
        <w:spacing w:before="0" w:after="0"/>
        <w:jc w:val="left"/>
        <w:rPr>
          <w:noProof/>
        </w:rPr>
      </w:pPr>
      <w:bookmarkStart w:id="669" w:name="_Toc184808483"/>
      <w:r w:rsidRPr="002462F0">
        <w:t xml:space="preserve">Figure </w:t>
      </w:r>
      <w:r w:rsidRPr="002462F0">
        <w:fldChar w:fldCharType="begin"/>
      </w:r>
      <w:r w:rsidRPr="002462F0">
        <w:instrText xml:space="preserve"> SEQ Figure \* ARABIC </w:instrText>
      </w:r>
      <w:r w:rsidRPr="002462F0">
        <w:fldChar w:fldCharType="separate"/>
      </w:r>
      <w:r>
        <w:rPr>
          <w:noProof/>
        </w:rPr>
        <w:t>96</w:t>
      </w:r>
      <w:r w:rsidRPr="002462F0">
        <w:fldChar w:fldCharType="end"/>
      </w:r>
      <w:r w:rsidRPr="002462F0">
        <w:rPr>
          <w:noProof/>
        </w:rPr>
        <w:t xml:space="preserve"> : </w:t>
      </w:r>
      <w:r>
        <w:rPr>
          <w:noProof/>
        </w:rPr>
        <w:t>CH4</w:t>
      </w:r>
      <w:r w:rsidRPr="002462F0">
        <w:rPr>
          <w:noProof/>
        </w:rPr>
        <w:t xml:space="preserve"> emissions for </w:t>
      </w:r>
      <w:r>
        <w:rPr>
          <w:noProof/>
        </w:rPr>
        <w:t>manure management of other livestock (CRT 3B14)</w:t>
      </w:r>
      <w:r w:rsidRPr="002462F0">
        <w:rPr>
          <w:noProof/>
        </w:rPr>
        <w:t xml:space="preserve"> (kt CO</w:t>
      </w:r>
      <w:r w:rsidRPr="002462F0">
        <w:rPr>
          <w:noProof/>
          <w:vertAlign w:val="subscript"/>
        </w:rPr>
        <w:t>2</w:t>
      </w:r>
      <w:r w:rsidRPr="002462F0">
        <w:rPr>
          <w:noProof/>
        </w:rPr>
        <w:t>e)</w:t>
      </w:r>
      <w:bookmarkEnd w:id="669"/>
    </w:p>
    <w:p w14:paraId="26912075" w14:textId="77777777" w:rsidR="00535F1D" w:rsidRPr="00AE790B" w:rsidRDefault="00535F1D" w:rsidP="00AE790B"/>
    <w:p w14:paraId="2509A61A" w14:textId="50331443" w:rsidR="007B2433" w:rsidRPr="002462F0" w:rsidRDefault="007B2433" w:rsidP="009E0457">
      <w:pPr>
        <w:pStyle w:val="BodyText"/>
        <w:rPr>
          <w:lang w:val="en-US" w:eastAsia="fr-FR"/>
        </w:rPr>
      </w:pPr>
      <w:r w:rsidRPr="002462F0">
        <w:rPr>
          <w:lang w:eastAsia="fr-FR"/>
        </w:rPr>
        <w:t>In 20</w:t>
      </w:r>
      <w:r w:rsidR="00CC2D2F">
        <w:rPr>
          <w:lang w:eastAsia="fr-FR"/>
        </w:rPr>
        <w:t>22</w:t>
      </w:r>
      <w:r w:rsidRPr="002462F0">
        <w:rPr>
          <w:lang w:eastAsia="fr-FR"/>
        </w:rPr>
        <w:t xml:space="preserve">, none </w:t>
      </w:r>
      <w:r w:rsidR="00FF2718">
        <w:rPr>
          <w:lang w:eastAsia="fr-FR"/>
        </w:rPr>
        <w:t xml:space="preserve">CRT </w:t>
      </w:r>
      <w:r w:rsidRPr="002462F0">
        <w:rPr>
          <w:lang w:eastAsia="fr-FR"/>
        </w:rPr>
        <w:t>3B1 subcategories (</w:t>
      </w:r>
      <w:r w:rsidR="00FF2718">
        <w:rPr>
          <w:lang w:eastAsia="fr-FR"/>
        </w:rPr>
        <w:t xml:space="preserve">CRT </w:t>
      </w:r>
      <w:r w:rsidRPr="002462F0">
        <w:rPr>
          <w:lang w:eastAsia="fr-FR"/>
        </w:rPr>
        <w:t>3B11a,</w:t>
      </w:r>
      <w:r w:rsidR="00FF2718" w:rsidRPr="00FF2718">
        <w:rPr>
          <w:lang w:eastAsia="fr-FR"/>
        </w:rPr>
        <w:t xml:space="preserve"> </w:t>
      </w:r>
      <w:r w:rsidR="00FF2718">
        <w:rPr>
          <w:lang w:eastAsia="fr-FR"/>
        </w:rPr>
        <w:t>CRT</w:t>
      </w:r>
      <w:r w:rsidRPr="002462F0">
        <w:rPr>
          <w:lang w:eastAsia="fr-FR"/>
        </w:rPr>
        <w:t xml:space="preserve"> 3B11b,</w:t>
      </w:r>
      <w:r w:rsidR="00FF2718" w:rsidRPr="00FF2718">
        <w:rPr>
          <w:lang w:eastAsia="fr-FR"/>
        </w:rPr>
        <w:t xml:space="preserve"> </w:t>
      </w:r>
      <w:r w:rsidR="00FF2718">
        <w:rPr>
          <w:lang w:eastAsia="fr-FR"/>
        </w:rPr>
        <w:t>CRT</w:t>
      </w:r>
      <w:r w:rsidRPr="002462F0">
        <w:rPr>
          <w:lang w:eastAsia="fr-FR"/>
        </w:rPr>
        <w:t xml:space="preserve"> 3B12</w:t>
      </w:r>
      <w:r w:rsidR="00AE790B">
        <w:rPr>
          <w:lang w:eastAsia="fr-FR"/>
        </w:rPr>
        <w:t>,</w:t>
      </w:r>
      <w:r w:rsidR="00FF2718" w:rsidRPr="00FF2718">
        <w:rPr>
          <w:lang w:eastAsia="fr-FR"/>
        </w:rPr>
        <w:t xml:space="preserve"> </w:t>
      </w:r>
      <w:r w:rsidR="00FF2718">
        <w:rPr>
          <w:lang w:eastAsia="fr-FR"/>
        </w:rPr>
        <w:t>CRT</w:t>
      </w:r>
      <w:r w:rsidR="00AE790B">
        <w:rPr>
          <w:lang w:eastAsia="fr-FR"/>
        </w:rPr>
        <w:t xml:space="preserve"> 3B13,</w:t>
      </w:r>
      <w:r w:rsidR="00FF2718" w:rsidRPr="00FF2718">
        <w:rPr>
          <w:lang w:eastAsia="fr-FR"/>
        </w:rPr>
        <w:t xml:space="preserve"> </w:t>
      </w:r>
      <w:r w:rsidR="00FF2718">
        <w:rPr>
          <w:lang w:eastAsia="fr-FR"/>
        </w:rPr>
        <w:t>CRT</w:t>
      </w:r>
      <w:r w:rsidR="00AE790B">
        <w:rPr>
          <w:lang w:eastAsia="fr-FR"/>
        </w:rPr>
        <w:t xml:space="preserve"> 3B14) are key categories in terms of</w:t>
      </w:r>
      <w:r w:rsidRPr="002462F0">
        <w:rPr>
          <w:lang w:eastAsia="fr-FR"/>
        </w:rPr>
        <w:t xml:space="preserve"> emission level or trend</w:t>
      </w:r>
      <w:r w:rsidR="00CC2D2F">
        <w:rPr>
          <w:lang w:eastAsia="fr-FR"/>
        </w:rPr>
        <w:t>,</w:t>
      </w:r>
      <w:r w:rsidRPr="002462F0">
        <w:rPr>
          <w:lang w:eastAsia="fr-FR"/>
        </w:rPr>
        <w:t xml:space="preserve"> in </w:t>
      </w:r>
      <w:r w:rsidR="00CC2D2F">
        <w:rPr>
          <w:lang w:eastAsia="fr-FR"/>
        </w:rPr>
        <w:t xml:space="preserve">the Republic of </w:t>
      </w:r>
      <w:r w:rsidRPr="002462F0">
        <w:rPr>
          <w:lang w:eastAsia="fr-FR"/>
        </w:rPr>
        <w:t xml:space="preserve">Serbia. </w:t>
      </w:r>
    </w:p>
    <w:p w14:paraId="7E3609E9" w14:textId="0C07A651" w:rsidR="007B2433" w:rsidRDefault="007B2433" w:rsidP="007B2433">
      <w:pPr>
        <w:pStyle w:val="Titre4Bleu"/>
        <w:rPr>
          <w:lang w:val="en-GB" w:eastAsia="fr-FR"/>
        </w:rPr>
      </w:pPr>
      <w:bookmarkStart w:id="670" w:name="_Toc182327915"/>
      <w:r w:rsidRPr="002462F0">
        <w:rPr>
          <w:lang w:eastAsia="fr-FR"/>
        </w:rPr>
        <w:t>Methodological issues</w:t>
      </w:r>
      <w:bookmarkEnd w:id="670"/>
      <w:r w:rsidRPr="002462F0">
        <w:rPr>
          <w:lang w:val="en-GB" w:eastAsia="fr-FR"/>
        </w:rPr>
        <w:t xml:space="preserve"> </w:t>
      </w:r>
    </w:p>
    <w:p w14:paraId="09B4E34F" w14:textId="2A795C5A" w:rsidR="00AE790B" w:rsidRPr="002462F0" w:rsidRDefault="00AE790B" w:rsidP="00AE790B">
      <w:pPr>
        <w:pStyle w:val="BodyText"/>
        <w:rPr>
          <w:lang w:val="en-US" w:eastAsia="fr-FR"/>
        </w:rPr>
      </w:pPr>
      <w:r w:rsidRPr="002462F0">
        <w:rPr>
          <w:lang w:val="en-US" w:eastAsia="fr-FR"/>
        </w:rPr>
        <w:t xml:space="preserve">Emissions of </w:t>
      </w:r>
      <w:r w:rsidR="0003002C">
        <w:rPr>
          <w:lang w:val="en-US" w:eastAsia="fr-FR"/>
        </w:rPr>
        <w:t>CH</w:t>
      </w:r>
      <w:r w:rsidR="0003002C" w:rsidRPr="0003002C">
        <w:rPr>
          <w:vertAlign w:val="subscript"/>
          <w:lang w:val="en-US" w:eastAsia="fr-FR"/>
        </w:rPr>
        <w:t>4</w:t>
      </w:r>
      <w:r w:rsidRPr="002462F0">
        <w:rPr>
          <w:lang w:val="en-US" w:eastAsia="fr-FR"/>
        </w:rPr>
        <w:t xml:space="preserve"> from </w:t>
      </w:r>
      <w:r w:rsidR="0003002C">
        <w:rPr>
          <w:lang w:val="en-US" w:eastAsia="fr-FR"/>
        </w:rPr>
        <w:t>manure management</w:t>
      </w:r>
      <w:r w:rsidRPr="002462F0">
        <w:rPr>
          <w:lang w:val="en-US" w:eastAsia="fr-FR"/>
        </w:rPr>
        <w:t xml:space="preserve"> are calculated </w:t>
      </w:r>
      <w:r>
        <w:rPr>
          <w:lang w:val="en-US" w:eastAsia="fr-FR"/>
        </w:rPr>
        <w:t xml:space="preserve">with a Tier </w:t>
      </w:r>
      <w:r w:rsidR="00BC04B4">
        <w:rPr>
          <w:lang w:val="en-US" w:eastAsia="fr-FR"/>
        </w:rPr>
        <w:t>2</w:t>
      </w:r>
      <w:r>
        <w:rPr>
          <w:lang w:val="en-US" w:eastAsia="fr-FR"/>
        </w:rPr>
        <w:t xml:space="preserve"> </w:t>
      </w:r>
      <w:r w:rsidRPr="002462F0">
        <w:rPr>
          <w:lang w:val="en-US" w:eastAsia="fr-FR"/>
        </w:rPr>
        <w:t>approach</w:t>
      </w:r>
      <w:r w:rsidR="00BC04B4">
        <w:rPr>
          <w:lang w:val="en-US" w:eastAsia="fr-FR"/>
        </w:rPr>
        <w:t>,</w:t>
      </w:r>
      <w:r w:rsidRPr="002462F0">
        <w:rPr>
          <w:lang w:val="en-US" w:eastAsia="fr-FR"/>
        </w:rPr>
        <w:t xml:space="preserve"> which is in line with the 2006 IPCC Guidelines</w:t>
      </w:r>
      <w:r w:rsidR="00C92D97">
        <w:rPr>
          <w:lang w:val="en-US" w:eastAsia="fr-FR"/>
        </w:rPr>
        <w:t xml:space="preserve"> </w:t>
      </w:r>
      <w:r w:rsidR="00C92D97">
        <w:rPr>
          <w:lang w:val="en-US" w:eastAsia="fr-FR"/>
        </w:rPr>
        <w:fldChar w:fldCharType="begin"/>
      </w:r>
      <w:r w:rsidR="00C92D97">
        <w:rPr>
          <w:lang w:val="en-US" w:eastAsia="fr-FR"/>
        </w:rPr>
        <w:instrText xml:space="preserve"> REF _Ref496716390 \r \h </w:instrText>
      </w:r>
      <w:r w:rsidR="00C92D97">
        <w:rPr>
          <w:lang w:val="en-US" w:eastAsia="fr-FR"/>
        </w:rPr>
      </w:r>
      <w:r w:rsidR="00C92D97">
        <w:rPr>
          <w:lang w:val="en-US" w:eastAsia="fr-FR"/>
        </w:rPr>
        <w:fldChar w:fldCharType="separate"/>
      </w:r>
      <w:r w:rsidR="00F14C78">
        <w:rPr>
          <w:lang w:val="en-US" w:eastAsia="fr-FR"/>
        </w:rPr>
        <w:t>[A4]</w:t>
      </w:r>
      <w:r w:rsidR="00C92D97">
        <w:rPr>
          <w:lang w:val="en-US" w:eastAsia="fr-FR"/>
        </w:rPr>
        <w:fldChar w:fldCharType="end"/>
      </w:r>
      <w:r w:rsidRPr="002462F0">
        <w:rPr>
          <w:lang w:val="en-US" w:eastAsia="fr-FR"/>
        </w:rPr>
        <w:t xml:space="preserve">. </w:t>
      </w:r>
    </w:p>
    <w:p w14:paraId="04929152" w14:textId="3AE19797" w:rsidR="00AB22AC" w:rsidRDefault="00AE790B" w:rsidP="00AE790B">
      <w:pPr>
        <w:pStyle w:val="BodyText"/>
        <w:rPr>
          <w:lang w:val="en-US" w:eastAsia="fr-FR"/>
        </w:rPr>
      </w:pPr>
      <w:r w:rsidRPr="002462F0">
        <w:rPr>
          <w:lang w:val="en-US" w:eastAsia="fr-FR"/>
        </w:rPr>
        <w:t xml:space="preserve">Activity data used </w:t>
      </w:r>
      <w:r w:rsidR="00BC2D35">
        <w:rPr>
          <w:lang w:val="en-US" w:eastAsia="fr-FR"/>
        </w:rPr>
        <w:t>are the</w:t>
      </w:r>
      <w:r w:rsidR="00BC2D35" w:rsidRPr="002462F0">
        <w:rPr>
          <w:lang w:val="en-US" w:eastAsia="fr-FR"/>
        </w:rPr>
        <w:t xml:space="preserve"> </w:t>
      </w:r>
      <w:r>
        <w:rPr>
          <w:lang w:val="en-US" w:eastAsia="fr-FR"/>
        </w:rPr>
        <w:t>annual livestock (average population in heads)</w:t>
      </w:r>
      <w:r w:rsidR="00BC2D35">
        <w:rPr>
          <w:lang w:val="en-US" w:eastAsia="fr-FR"/>
        </w:rPr>
        <w:t>, for all different subcategories presented above</w:t>
      </w:r>
      <w:r w:rsidRPr="002462F0">
        <w:rPr>
          <w:lang w:val="en-US" w:eastAsia="fr-FR"/>
        </w:rPr>
        <w:t xml:space="preserve">. </w:t>
      </w:r>
      <w:r>
        <w:rPr>
          <w:lang w:val="en-US" w:eastAsia="fr-FR"/>
        </w:rPr>
        <w:t xml:space="preserve">These activity data </w:t>
      </w:r>
      <w:r w:rsidRPr="002462F0">
        <w:rPr>
          <w:lang w:val="en-US" w:eastAsia="fr-FR"/>
        </w:rPr>
        <w:t xml:space="preserve">for the </w:t>
      </w:r>
      <w:r>
        <w:rPr>
          <w:lang w:val="en-US" w:eastAsia="fr-FR"/>
        </w:rPr>
        <w:t>entire</w:t>
      </w:r>
      <w:r w:rsidRPr="002462F0">
        <w:rPr>
          <w:lang w:val="en-US" w:eastAsia="fr-FR"/>
        </w:rPr>
        <w:t xml:space="preserve"> time </w:t>
      </w:r>
      <w:r>
        <w:rPr>
          <w:lang w:val="en-US" w:eastAsia="fr-FR"/>
        </w:rPr>
        <w:t>series</w:t>
      </w:r>
      <w:r w:rsidRPr="002462F0">
        <w:rPr>
          <w:lang w:val="en-US" w:eastAsia="fr-FR"/>
        </w:rPr>
        <w:t xml:space="preserve"> </w:t>
      </w:r>
      <w:r w:rsidR="00440E68">
        <w:rPr>
          <w:lang w:val="en-US" w:eastAsia="fr-FR"/>
        </w:rPr>
        <w:t>are sourced</w:t>
      </w:r>
      <w:r>
        <w:rPr>
          <w:lang w:val="en-US" w:eastAsia="fr-FR"/>
        </w:rPr>
        <w:t xml:space="preserve"> </w:t>
      </w:r>
      <w:r w:rsidRPr="002462F0">
        <w:rPr>
          <w:lang w:val="en-US" w:eastAsia="fr-FR"/>
        </w:rPr>
        <w:t xml:space="preserve">from </w:t>
      </w:r>
      <w:r>
        <w:rPr>
          <w:lang w:val="en-US" w:eastAsia="fr-FR"/>
        </w:rPr>
        <w:t>the Serbian Statistical Yearbook</w:t>
      </w:r>
      <w:r w:rsidRPr="002462F0">
        <w:rPr>
          <w:lang w:val="en-US" w:eastAsia="fr-FR"/>
        </w:rPr>
        <w:t xml:space="preserve"> </w:t>
      </w:r>
      <w:r>
        <w:rPr>
          <w:lang w:val="en-US" w:eastAsia="fr-FR"/>
        </w:rPr>
        <w:fldChar w:fldCharType="begin"/>
      </w:r>
      <w:r>
        <w:rPr>
          <w:lang w:val="en-US" w:eastAsia="fr-FR"/>
        </w:rPr>
        <w:instrText xml:space="preserve"> REF _Ref496713080 \r \h </w:instrText>
      </w:r>
      <w:r>
        <w:rPr>
          <w:lang w:val="en-US" w:eastAsia="fr-FR"/>
        </w:rPr>
      </w:r>
      <w:r>
        <w:rPr>
          <w:lang w:val="en-US" w:eastAsia="fr-FR"/>
        </w:rPr>
        <w:fldChar w:fldCharType="separate"/>
      </w:r>
      <w:r w:rsidR="00F14C78">
        <w:rPr>
          <w:lang w:val="en-US" w:eastAsia="fr-FR"/>
        </w:rPr>
        <w:t>[A2]</w:t>
      </w:r>
      <w:r>
        <w:rPr>
          <w:lang w:val="en-US" w:eastAsia="fr-FR"/>
        </w:rPr>
        <w:fldChar w:fldCharType="end"/>
      </w:r>
      <w:r w:rsidRPr="002462F0">
        <w:rPr>
          <w:lang w:val="en-US" w:eastAsia="fr-FR"/>
        </w:rPr>
        <w:t>.</w:t>
      </w:r>
      <w:r w:rsidR="00C92D97">
        <w:rPr>
          <w:lang w:val="en-US" w:eastAsia="fr-FR"/>
        </w:rPr>
        <w:t xml:space="preserve"> Th</w:t>
      </w:r>
      <w:r w:rsidR="00A519FA">
        <w:rPr>
          <w:lang w:val="en-US" w:eastAsia="fr-FR"/>
        </w:rPr>
        <w:t>e</w:t>
      </w:r>
      <w:r w:rsidR="00C92D97">
        <w:rPr>
          <w:lang w:val="en-US" w:eastAsia="fr-FR"/>
        </w:rPr>
        <w:t xml:space="preserve"> activity data </w:t>
      </w:r>
      <w:r w:rsidR="00A519FA">
        <w:rPr>
          <w:lang w:val="en-US" w:eastAsia="fr-FR"/>
        </w:rPr>
        <w:t xml:space="preserve">are </w:t>
      </w:r>
      <w:r w:rsidR="00C92D97">
        <w:rPr>
          <w:lang w:val="en-US" w:eastAsia="fr-FR"/>
        </w:rPr>
        <w:t>then split by manure management system based on the 20</w:t>
      </w:r>
      <w:r w:rsidR="002A2D6B">
        <w:rPr>
          <w:lang w:val="en-US" w:eastAsia="fr-FR"/>
        </w:rPr>
        <w:t>19</w:t>
      </w:r>
      <w:r w:rsidR="00C92D97">
        <w:rPr>
          <w:lang w:val="en-US" w:eastAsia="fr-FR"/>
        </w:rPr>
        <w:t xml:space="preserve"> IPCC Guidelines </w:t>
      </w:r>
      <w:r w:rsidR="00AF3004">
        <w:rPr>
          <w:lang w:val="en-US" w:eastAsia="fr-FR"/>
        </w:rPr>
        <w:t>default values</w:t>
      </w:r>
      <w:r w:rsidR="00AD62CD">
        <w:rPr>
          <w:lang w:val="en-US" w:eastAsia="fr-FR"/>
        </w:rPr>
        <w:t xml:space="preserve"> </w:t>
      </w:r>
      <w:r w:rsidR="00AD62CD">
        <w:rPr>
          <w:lang w:val="en-US" w:eastAsia="fr-FR"/>
        </w:rPr>
        <w:fldChar w:fldCharType="begin"/>
      </w:r>
      <w:r w:rsidR="00AD62CD">
        <w:rPr>
          <w:lang w:val="en-US" w:eastAsia="fr-FR"/>
        </w:rPr>
        <w:instrText xml:space="preserve"> REF _Ref181803003 \r \h </w:instrText>
      </w:r>
      <w:r w:rsidR="00AD62CD">
        <w:rPr>
          <w:lang w:val="en-US" w:eastAsia="fr-FR"/>
        </w:rPr>
      </w:r>
      <w:r w:rsidR="00AD62CD">
        <w:rPr>
          <w:lang w:val="en-US" w:eastAsia="fr-FR"/>
        </w:rPr>
        <w:fldChar w:fldCharType="separate"/>
      </w:r>
      <w:r w:rsidR="00F14C78">
        <w:rPr>
          <w:lang w:val="en-US" w:eastAsia="fr-FR"/>
        </w:rPr>
        <w:t>[A20]</w:t>
      </w:r>
      <w:r w:rsidR="00AD62CD">
        <w:rPr>
          <w:lang w:val="en-US" w:eastAsia="fr-FR"/>
        </w:rPr>
        <w:fldChar w:fldCharType="end"/>
      </w:r>
      <w:r w:rsidR="00A519FA">
        <w:rPr>
          <w:lang w:val="en-US" w:eastAsia="fr-FR"/>
        </w:rPr>
        <w:t>.</w:t>
      </w:r>
      <w:r w:rsidR="00AF3004">
        <w:rPr>
          <w:lang w:val="en-US" w:eastAsia="fr-FR"/>
        </w:rPr>
        <w:t xml:space="preserve"> </w:t>
      </w:r>
      <w:r w:rsidRPr="002462F0">
        <w:rPr>
          <w:lang w:val="en-US" w:eastAsia="fr-FR"/>
        </w:rPr>
        <w:t>Emissions factors used for calculating CH</w:t>
      </w:r>
      <w:r w:rsidRPr="002462F0">
        <w:rPr>
          <w:vertAlign w:val="subscript"/>
          <w:lang w:val="en-US" w:eastAsia="fr-FR"/>
        </w:rPr>
        <w:t>4</w:t>
      </w:r>
      <w:r>
        <w:rPr>
          <w:lang w:val="en-US" w:eastAsia="fr-FR"/>
        </w:rPr>
        <w:t xml:space="preserve"> </w:t>
      </w:r>
      <w:r w:rsidRPr="002462F0">
        <w:rPr>
          <w:lang w:val="en-US" w:eastAsia="fr-FR"/>
        </w:rPr>
        <w:t xml:space="preserve">emissions </w:t>
      </w:r>
      <w:r w:rsidR="00A519FA">
        <w:rPr>
          <w:lang w:val="en-US" w:eastAsia="fr-FR"/>
        </w:rPr>
        <w:t>are taken</w:t>
      </w:r>
      <w:r w:rsidR="00A519FA" w:rsidRPr="002462F0">
        <w:rPr>
          <w:lang w:val="en-US" w:eastAsia="fr-FR"/>
        </w:rPr>
        <w:t xml:space="preserve"> </w:t>
      </w:r>
      <w:r w:rsidRPr="002462F0">
        <w:rPr>
          <w:lang w:val="en-US" w:eastAsia="fr-FR"/>
        </w:rPr>
        <w:t>from</w:t>
      </w:r>
      <w:r w:rsidR="00BC04B4">
        <w:rPr>
          <w:lang w:val="en-US" w:eastAsia="fr-FR"/>
        </w:rPr>
        <w:t xml:space="preserve"> the Tier 2 from</w:t>
      </w:r>
      <w:r w:rsidRPr="002462F0">
        <w:rPr>
          <w:lang w:val="en-US" w:eastAsia="fr-FR"/>
        </w:rPr>
        <w:t xml:space="preserve"> 2006 IPCC guidelines</w:t>
      </w:r>
      <w:r w:rsidR="00C92D97">
        <w:rPr>
          <w:lang w:val="en-US" w:eastAsia="fr-FR"/>
        </w:rPr>
        <w:t xml:space="preserve"> </w:t>
      </w:r>
      <w:r w:rsidR="00C92D97">
        <w:rPr>
          <w:lang w:val="en-US" w:eastAsia="fr-FR"/>
        </w:rPr>
        <w:fldChar w:fldCharType="begin"/>
      </w:r>
      <w:r w:rsidR="00C92D97">
        <w:rPr>
          <w:lang w:val="en-US" w:eastAsia="fr-FR"/>
        </w:rPr>
        <w:instrText xml:space="preserve"> REF _Ref496716516 \r \h </w:instrText>
      </w:r>
      <w:r w:rsidR="00C92D97">
        <w:rPr>
          <w:lang w:val="en-US" w:eastAsia="fr-FR"/>
        </w:rPr>
      </w:r>
      <w:r w:rsidR="00C92D97">
        <w:rPr>
          <w:lang w:val="en-US" w:eastAsia="fr-FR"/>
        </w:rPr>
        <w:fldChar w:fldCharType="separate"/>
      </w:r>
      <w:r w:rsidR="00F14C78">
        <w:rPr>
          <w:lang w:val="en-US" w:eastAsia="fr-FR"/>
        </w:rPr>
        <w:t>[A6]</w:t>
      </w:r>
      <w:r w:rsidR="00C92D97">
        <w:rPr>
          <w:lang w:val="en-US" w:eastAsia="fr-FR"/>
        </w:rPr>
        <w:fldChar w:fldCharType="end"/>
      </w:r>
      <w:r w:rsidRPr="002462F0">
        <w:rPr>
          <w:lang w:val="en-US" w:eastAsia="fr-FR"/>
        </w:rPr>
        <w:t>.</w:t>
      </w:r>
      <w:r w:rsidR="00BC04B4">
        <w:rPr>
          <w:lang w:val="en-US" w:eastAsia="fr-FR"/>
        </w:rPr>
        <w:t xml:space="preserve"> </w:t>
      </w:r>
      <w:r w:rsidR="004B0E16">
        <w:rPr>
          <w:lang w:val="en-US" w:eastAsia="fr-FR"/>
        </w:rPr>
        <w:t xml:space="preserve">The methane conversion factors (MCFs) vary depending </w:t>
      </w:r>
      <w:r w:rsidR="002A69F9">
        <w:rPr>
          <w:lang w:val="en-US" w:eastAsia="fr-FR"/>
        </w:rPr>
        <w:t>on the average annual temperature</w:t>
      </w:r>
      <w:r w:rsidR="005B2E32">
        <w:rPr>
          <w:lang w:val="en-US" w:eastAsia="fr-FR"/>
        </w:rPr>
        <w:t>, which is taken from the Copernicus website, and evolve</w:t>
      </w:r>
      <w:r w:rsidR="00B67750">
        <w:rPr>
          <w:lang w:val="en-US" w:eastAsia="fr-FR"/>
        </w:rPr>
        <w:t>s</w:t>
      </w:r>
      <w:r w:rsidR="005B2E32">
        <w:rPr>
          <w:lang w:val="en-US" w:eastAsia="fr-FR"/>
        </w:rPr>
        <w:t xml:space="preserve"> </w:t>
      </w:r>
      <w:r w:rsidR="005810B7">
        <w:rPr>
          <w:lang w:val="en-US" w:eastAsia="fr-FR"/>
        </w:rPr>
        <w:t>as presented in the following figure.</w:t>
      </w:r>
      <w:r w:rsidR="00D40206">
        <w:rPr>
          <w:lang w:val="en-US" w:eastAsia="fr-FR"/>
        </w:rPr>
        <w:t xml:space="preserve"> </w:t>
      </w:r>
      <w:r w:rsidR="00307407">
        <w:rPr>
          <w:lang w:val="en-US" w:eastAsia="fr-FR"/>
        </w:rPr>
        <w:t xml:space="preserve">Considering the range of temperatures, the climate is considered </w:t>
      </w:r>
      <w:r w:rsidR="00482533">
        <w:rPr>
          <w:lang w:val="en-US" w:eastAsia="fr-FR"/>
        </w:rPr>
        <w:t>to be</w:t>
      </w:r>
      <w:r w:rsidR="00307407">
        <w:rPr>
          <w:lang w:val="en-US" w:eastAsia="fr-FR"/>
        </w:rPr>
        <w:t xml:space="preserve"> cool. </w:t>
      </w:r>
      <w:r w:rsidR="00D40206">
        <w:rPr>
          <w:lang w:val="en-US" w:eastAsia="fr-FR"/>
        </w:rPr>
        <w:t xml:space="preserve">All other parameters are taken as default from the IPCC guidelines and are recalled in the following tables (the Bo values, </w:t>
      </w:r>
      <w:r w:rsidR="009E04C5">
        <w:rPr>
          <w:lang w:val="en-US" w:eastAsia="fr-FR"/>
        </w:rPr>
        <w:t>the excretion rates VS</w:t>
      </w:r>
      <w:r w:rsidR="00F52D23">
        <w:rPr>
          <w:lang w:val="en-US" w:eastAsia="fr-FR"/>
        </w:rPr>
        <w:t>, and the fraction</w:t>
      </w:r>
      <w:r w:rsidR="00307407">
        <w:rPr>
          <w:lang w:val="en-US" w:eastAsia="fr-FR"/>
        </w:rPr>
        <w:t>s</w:t>
      </w:r>
      <w:r w:rsidR="00F52D23">
        <w:rPr>
          <w:lang w:val="en-US" w:eastAsia="fr-FR"/>
        </w:rPr>
        <w:t xml:space="preserve"> of </w:t>
      </w:r>
      <w:r w:rsidR="00307407">
        <w:rPr>
          <w:lang w:val="en-US" w:eastAsia="fr-FR"/>
        </w:rPr>
        <w:t xml:space="preserve">manure management system used per </w:t>
      </w:r>
      <w:r w:rsidR="00F52D23">
        <w:rPr>
          <w:lang w:val="en-US" w:eastAsia="fr-FR"/>
        </w:rPr>
        <w:t>livestock category</w:t>
      </w:r>
      <w:r w:rsidR="004136E6">
        <w:rPr>
          <w:lang w:val="en-US" w:eastAsia="fr-FR"/>
        </w:rPr>
        <w:t>).</w:t>
      </w:r>
      <w:r w:rsidR="00D40206">
        <w:rPr>
          <w:lang w:val="en-US" w:eastAsia="fr-FR"/>
        </w:rPr>
        <w:t xml:space="preserve"> </w:t>
      </w:r>
    </w:p>
    <w:p w14:paraId="1D668C78" w14:textId="77777777" w:rsidR="00AC3194" w:rsidRDefault="00AC3194" w:rsidP="00535F1D">
      <w:pPr>
        <w:pStyle w:val="BodyText"/>
        <w:spacing w:after="0"/>
        <w:jc w:val="left"/>
        <w:rPr>
          <w:lang w:val="en-US" w:eastAsia="fr-FR"/>
        </w:rPr>
      </w:pPr>
      <w:r>
        <w:rPr>
          <w:noProof/>
          <w:lang w:val="en-US"/>
        </w:rPr>
        <w:drawing>
          <wp:inline distT="0" distB="0" distL="0" distR="0" wp14:anchorId="17A11232" wp14:editId="28D6CDF9">
            <wp:extent cx="4584700" cy="2755900"/>
            <wp:effectExtent l="0" t="0" r="6350" b="6350"/>
            <wp:docPr id="1611144876" name="Image 150"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44876" name="Image 150" descr="Une image contenant texte, capture d’écran, Police, ligne&#10;&#10;Description générée automatiquemen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D33D0AA" w14:textId="77777777" w:rsidR="00535F1D" w:rsidRDefault="00535F1D" w:rsidP="00535F1D">
      <w:pPr>
        <w:pStyle w:val="Caption"/>
        <w:keepNext/>
        <w:spacing w:before="0" w:after="0"/>
        <w:rPr>
          <w:noProof/>
        </w:rPr>
      </w:pPr>
      <w:bookmarkStart w:id="671" w:name="_Toc184808484"/>
      <w:r w:rsidRPr="00622F40">
        <w:t xml:space="preserve">Figure </w:t>
      </w:r>
      <w:r w:rsidRPr="00622F40">
        <w:fldChar w:fldCharType="begin"/>
      </w:r>
      <w:r w:rsidRPr="00622F40">
        <w:instrText xml:space="preserve"> SEQ Figure \* ARABIC </w:instrText>
      </w:r>
      <w:r w:rsidRPr="00622F40">
        <w:fldChar w:fldCharType="separate"/>
      </w:r>
      <w:r>
        <w:rPr>
          <w:noProof/>
        </w:rPr>
        <w:t>97</w:t>
      </w:r>
      <w:r w:rsidRPr="00622F40">
        <w:fldChar w:fldCharType="end"/>
      </w:r>
      <w:r w:rsidRPr="00622F40">
        <w:rPr>
          <w:noProof/>
        </w:rPr>
        <w:t xml:space="preserve"> : </w:t>
      </w:r>
      <w:r>
        <w:rPr>
          <w:noProof/>
        </w:rPr>
        <w:t>Evolution of the a</w:t>
      </w:r>
      <w:r w:rsidRPr="00F8254D">
        <w:rPr>
          <w:noProof/>
        </w:rPr>
        <w:t>verage</w:t>
      </w:r>
      <w:r>
        <w:rPr>
          <w:noProof/>
        </w:rPr>
        <w:t xml:space="preserve"> annual temperature, in the Republic of Serbia, for the period 1990-2022 (in °C)</w:t>
      </w:r>
      <w:bookmarkEnd w:id="671"/>
    </w:p>
    <w:p w14:paraId="4A46E7B4" w14:textId="77777777" w:rsidR="00535F1D" w:rsidRDefault="00535F1D" w:rsidP="00AC3194">
      <w:pPr>
        <w:pStyle w:val="BodyText"/>
        <w:jc w:val="center"/>
        <w:rPr>
          <w:lang w:val="en-US" w:eastAsia="fr-FR"/>
        </w:rPr>
      </w:pPr>
    </w:p>
    <w:p w14:paraId="02278D79" w14:textId="3616DA7C" w:rsidR="00AC3194" w:rsidRDefault="00AC3194" w:rsidP="00535F1D">
      <w:pPr>
        <w:pStyle w:val="Caption"/>
        <w:keepNext/>
        <w:jc w:val="both"/>
      </w:pPr>
      <w:bookmarkStart w:id="672" w:name="_Ref179195644"/>
      <w:bookmarkStart w:id="673" w:name="_Toc184808565"/>
      <w:r>
        <w:t xml:space="preserve">Table </w:t>
      </w:r>
      <w:r>
        <w:fldChar w:fldCharType="begin"/>
      </w:r>
      <w:r>
        <w:instrText xml:space="preserve"> SEQ Table \* ARABIC </w:instrText>
      </w:r>
      <w:r>
        <w:fldChar w:fldCharType="separate"/>
      </w:r>
      <w:r w:rsidR="00F14C78">
        <w:rPr>
          <w:noProof/>
        </w:rPr>
        <w:t>22</w:t>
      </w:r>
      <w:r>
        <w:fldChar w:fldCharType="end"/>
      </w:r>
      <w:bookmarkEnd w:id="672"/>
      <w:r>
        <w:t>: Fraction of livestock category’s manure handled by each manure management system (in %), from 2019 IPCC Guidelines, used in Serbian inventory</w:t>
      </w:r>
      <w:bookmarkEnd w:id="673"/>
    </w:p>
    <w:tbl>
      <w:tblPr>
        <w:tblStyle w:val="TableGrid"/>
        <w:tblW w:w="0" w:type="auto"/>
        <w:jc w:val="center"/>
        <w:tblLook w:val="04A0" w:firstRow="1" w:lastRow="0" w:firstColumn="1" w:lastColumn="0" w:noHBand="0" w:noVBand="1"/>
      </w:tblPr>
      <w:tblGrid>
        <w:gridCol w:w="1751"/>
        <w:gridCol w:w="1647"/>
        <w:gridCol w:w="1416"/>
        <w:gridCol w:w="1416"/>
        <w:gridCol w:w="1416"/>
        <w:gridCol w:w="1416"/>
      </w:tblGrid>
      <w:tr w:rsidR="00AC3194" w14:paraId="7AF107B3" w14:textId="77777777" w:rsidTr="00535F1D">
        <w:trPr>
          <w:tblHeader/>
          <w:jc w:val="center"/>
        </w:trPr>
        <w:tc>
          <w:tcPr>
            <w:tcW w:w="1751" w:type="dxa"/>
            <w:shd w:val="clear" w:color="auto" w:fill="B8CCE4" w:themeFill="accent1" w:themeFillTint="66"/>
          </w:tcPr>
          <w:p w14:paraId="426AFF13" w14:textId="77777777" w:rsidR="00AC3194" w:rsidRPr="001F0275" w:rsidRDefault="00AC3194" w:rsidP="00391F65">
            <w:pPr>
              <w:pStyle w:val="BodyText"/>
              <w:jc w:val="center"/>
              <w:rPr>
                <w:b/>
                <w:bCs/>
                <w:lang w:val="en-US" w:eastAsia="fr-FR"/>
              </w:rPr>
            </w:pPr>
            <w:r w:rsidRPr="001F0275">
              <w:rPr>
                <w:b/>
                <w:bCs/>
                <w:lang w:val="en-US" w:eastAsia="fr-FR"/>
              </w:rPr>
              <w:t>Livestock category</w:t>
            </w:r>
          </w:p>
        </w:tc>
        <w:tc>
          <w:tcPr>
            <w:tcW w:w="1647" w:type="dxa"/>
            <w:shd w:val="clear" w:color="auto" w:fill="B8CCE4" w:themeFill="accent1" w:themeFillTint="66"/>
          </w:tcPr>
          <w:p w14:paraId="1DC84483" w14:textId="77777777" w:rsidR="00AC3194" w:rsidRPr="001F0275" w:rsidRDefault="00AC3194" w:rsidP="00391F65">
            <w:pPr>
              <w:pStyle w:val="BodyText"/>
              <w:jc w:val="center"/>
              <w:rPr>
                <w:b/>
                <w:bCs/>
                <w:lang w:val="en-US" w:eastAsia="fr-FR"/>
              </w:rPr>
            </w:pPr>
            <w:r>
              <w:rPr>
                <w:b/>
                <w:bCs/>
                <w:lang w:val="en-US" w:eastAsia="fr-FR"/>
              </w:rPr>
              <w:t xml:space="preserve">MS lagoon </w:t>
            </w:r>
            <w:r>
              <w:rPr>
                <w:b/>
                <w:bCs/>
                <w:lang w:val="en-US" w:eastAsia="fr-FR"/>
              </w:rPr>
              <w:br/>
              <w:t>(%)</w:t>
            </w:r>
          </w:p>
        </w:tc>
        <w:tc>
          <w:tcPr>
            <w:tcW w:w="1416" w:type="dxa"/>
            <w:shd w:val="clear" w:color="auto" w:fill="B8CCE4" w:themeFill="accent1" w:themeFillTint="66"/>
          </w:tcPr>
          <w:p w14:paraId="26F92072" w14:textId="77777777" w:rsidR="00AC3194" w:rsidRDefault="00AC3194" w:rsidP="00391F65">
            <w:pPr>
              <w:pStyle w:val="BodyText"/>
              <w:jc w:val="center"/>
              <w:rPr>
                <w:b/>
                <w:bCs/>
                <w:lang w:val="en-US" w:eastAsia="fr-FR"/>
              </w:rPr>
            </w:pPr>
            <w:r>
              <w:rPr>
                <w:b/>
                <w:bCs/>
                <w:lang w:val="en-US" w:eastAsia="fr-FR"/>
              </w:rPr>
              <w:t>MS liquid/ slurry (%)</w:t>
            </w:r>
          </w:p>
        </w:tc>
        <w:tc>
          <w:tcPr>
            <w:tcW w:w="1416" w:type="dxa"/>
            <w:shd w:val="clear" w:color="auto" w:fill="B8CCE4" w:themeFill="accent1" w:themeFillTint="66"/>
          </w:tcPr>
          <w:p w14:paraId="3E5E7A80" w14:textId="77777777" w:rsidR="00AC3194" w:rsidRDefault="00AC3194" w:rsidP="00391F65">
            <w:pPr>
              <w:pStyle w:val="BodyText"/>
              <w:jc w:val="center"/>
              <w:rPr>
                <w:b/>
                <w:bCs/>
                <w:lang w:val="en-US" w:eastAsia="fr-FR"/>
              </w:rPr>
            </w:pPr>
            <w:r>
              <w:rPr>
                <w:b/>
                <w:bCs/>
                <w:lang w:val="en-US" w:eastAsia="fr-FR"/>
              </w:rPr>
              <w:t>MS solid storage (%)</w:t>
            </w:r>
          </w:p>
        </w:tc>
        <w:tc>
          <w:tcPr>
            <w:tcW w:w="1416" w:type="dxa"/>
            <w:shd w:val="clear" w:color="auto" w:fill="B8CCE4" w:themeFill="accent1" w:themeFillTint="66"/>
          </w:tcPr>
          <w:p w14:paraId="498E461C" w14:textId="77777777" w:rsidR="00AC3194" w:rsidRDefault="00AC3194" w:rsidP="00391F65">
            <w:pPr>
              <w:pStyle w:val="BodyText"/>
              <w:jc w:val="center"/>
              <w:rPr>
                <w:b/>
                <w:bCs/>
                <w:lang w:val="en-US" w:eastAsia="fr-FR"/>
              </w:rPr>
            </w:pPr>
            <w:r>
              <w:rPr>
                <w:b/>
                <w:bCs/>
                <w:lang w:val="en-US" w:eastAsia="fr-FR"/>
              </w:rPr>
              <w:t xml:space="preserve">MS dry lot </w:t>
            </w:r>
            <w:r>
              <w:rPr>
                <w:b/>
                <w:bCs/>
                <w:lang w:val="en-US" w:eastAsia="fr-FR"/>
              </w:rPr>
              <w:br/>
              <w:t>(%)</w:t>
            </w:r>
          </w:p>
        </w:tc>
        <w:tc>
          <w:tcPr>
            <w:tcW w:w="1416" w:type="dxa"/>
            <w:shd w:val="clear" w:color="auto" w:fill="B8CCE4" w:themeFill="accent1" w:themeFillTint="66"/>
          </w:tcPr>
          <w:p w14:paraId="72247031" w14:textId="77777777" w:rsidR="00AC3194" w:rsidRDefault="00AC3194" w:rsidP="00391F65">
            <w:pPr>
              <w:pStyle w:val="BodyText"/>
              <w:jc w:val="center"/>
              <w:rPr>
                <w:b/>
                <w:bCs/>
                <w:lang w:val="en-US" w:eastAsia="fr-FR"/>
              </w:rPr>
            </w:pPr>
            <w:r>
              <w:rPr>
                <w:b/>
                <w:bCs/>
                <w:lang w:val="en-US" w:eastAsia="fr-FR"/>
              </w:rPr>
              <w:t>MS pasture range (%)</w:t>
            </w:r>
          </w:p>
        </w:tc>
      </w:tr>
      <w:tr w:rsidR="00AC3194" w14:paraId="11EA73DC" w14:textId="77777777" w:rsidTr="00622F40">
        <w:trPr>
          <w:jc w:val="center"/>
        </w:trPr>
        <w:tc>
          <w:tcPr>
            <w:tcW w:w="1751" w:type="dxa"/>
          </w:tcPr>
          <w:p w14:paraId="0BC160A2" w14:textId="77777777" w:rsidR="00AC3194" w:rsidRDefault="00AC3194" w:rsidP="00391F65">
            <w:pPr>
              <w:pStyle w:val="BodyText"/>
              <w:jc w:val="center"/>
              <w:rPr>
                <w:lang w:val="en-US" w:eastAsia="fr-FR"/>
              </w:rPr>
            </w:pPr>
            <w:r>
              <w:rPr>
                <w:lang w:val="en-US" w:eastAsia="fr-FR"/>
              </w:rPr>
              <w:t>Dairy cattle</w:t>
            </w:r>
          </w:p>
        </w:tc>
        <w:tc>
          <w:tcPr>
            <w:tcW w:w="1647" w:type="dxa"/>
          </w:tcPr>
          <w:p w14:paraId="14A4CB0B" w14:textId="77777777" w:rsidR="00AC3194" w:rsidRDefault="00AC3194" w:rsidP="00391F65">
            <w:pPr>
              <w:pStyle w:val="BodyText"/>
              <w:jc w:val="center"/>
              <w:rPr>
                <w:lang w:val="en-US" w:eastAsia="fr-FR"/>
              </w:rPr>
            </w:pPr>
            <w:r>
              <w:rPr>
                <w:lang w:val="en-US" w:eastAsia="fr-FR"/>
              </w:rPr>
              <w:t>-</w:t>
            </w:r>
          </w:p>
        </w:tc>
        <w:tc>
          <w:tcPr>
            <w:tcW w:w="1416" w:type="dxa"/>
          </w:tcPr>
          <w:p w14:paraId="110E3493" w14:textId="77777777" w:rsidR="00AC3194" w:rsidRDefault="00AC3194" w:rsidP="00391F65">
            <w:pPr>
              <w:pStyle w:val="BodyText"/>
              <w:jc w:val="center"/>
              <w:rPr>
                <w:lang w:val="en-US" w:eastAsia="fr-FR"/>
              </w:rPr>
            </w:pPr>
            <w:r>
              <w:rPr>
                <w:lang w:val="en-US" w:eastAsia="fr-FR"/>
              </w:rPr>
              <w:t>5%</w:t>
            </w:r>
          </w:p>
        </w:tc>
        <w:tc>
          <w:tcPr>
            <w:tcW w:w="1416" w:type="dxa"/>
          </w:tcPr>
          <w:p w14:paraId="69039B21" w14:textId="77777777" w:rsidR="00AC3194" w:rsidRDefault="00AC3194" w:rsidP="00391F65">
            <w:pPr>
              <w:pStyle w:val="BodyText"/>
              <w:jc w:val="center"/>
              <w:rPr>
                <w:lang w:val="en-US" w:eastAsia="fr-FR"/>
              </w:rPr>
            </w:pPr>
            <w:r>
              <w:rPr>
                <w:lang w:val="en-US" w:eastAsia="fr-FR"/>
              </w:rPr>
              <w:t>74%</w:t>
            </w:r>
          </w:p>
        </w:tc>
        <w:tc>
          <w:tcPr>
            <w:tcW w:w="1416" w:type="dxa"/>
          </w:tcPr>
          <w:p w14:paraId="4A6335E0" w14:textId="77777777" w:rsidR="00AC3194" w:rsidRDefault="00AC3194" w:rsidP="00391F65">
            <w:pPr>
              <w:pStyle w:val="BodyText"/>
              <w:jc w:val="center"/>
              <w:rPr>
                <w:lang w:val="en-US" w:eastAsia="fr-FR"/>
              </w:rPr>
            </w:pPr>
            <w:r>
              <w:rPr>
                <w:lang w:val="en-US" w:eastAsia="fr-FR"/>
              </w:rPr>
              <w:t>-</w:t>
            </w:r>
          </w:p>
        </w:tc>
        <w:tc>
          <w:tcPr>
            <w:tcW w:w="1416" w:type="dxa"/>
          </w:tcPr>
          <w:p w14:paraId="5B16BA00" w14:textId="77777777" w:rsidR="00AC3194" w:rsidRDefault="00AC3194" w:rsidP="00391F65">
            <w:pPr>
              <w:pStyle w:val="BodyText"/>
              <w:jc w:val="center"/>
              <w:rPr>
                <w:lang w:val="en-US" w:eastAsia="fr-FR"/>
              </w:rPr>
            </w:pPr>
            <w:r>
              <w:rPr>
                <w:lang w:val="en-US" w:eastAsia="fr-FR"/>
              </w:rPr>
              <w:t>20%</w:t>
            </w:r>
          </w:p>
        </w:tc>
      </w:tr>
      <w:tr w:rsidR="00AC3194" w14:paraId="637FA5D0" w14:textId="77777777" w:rsidTr="00622F40">
        <w:trPr>
          <w:jc w:val="center"/>
        </w:trPr>
        <w:tc>
          <w:tcPr>
            <w:tcW w:w="1751" w:type="dxa"/>
          </w:tcPr>
          <w:p w14:paraId="6A6B7AF0" w14:textId="77777777" w:rsidR="00AC3194" w:rsidRDefault="00AC3194" w:rsidP="00391F65">
            <w:pPr>
              <w:pStyle w:val="BodyText"/>
              <w:jc w:val="center"/>
              <w:rPr>
                <w:lang w:val="en-US" w:eastAsia="fr-FR"/>
              </w:rPr>
            </w:pPr>
            <w:r>
              <w:rPr>
                <w:lang w:val="en-US" w:eastAsia="fr-FR"/>
              </w:rPr>
              <w:t>Other cattle</w:t>
            </w:r>
          </w:p>
        </w:tc>
        <w:tc>
          <w:tcPr>
            <w:tcW w:w="1647" w:type="dxa"/>
          </w:tcPr>
          <w:p w14:paraId="385835FC" w14:textId="77777777" w:rsidR="00AC3194" w:rsidRDefault="00AC3194" w:rsidP="00391F65">
            <w:pPr>
              <w:pStyle w:val="BodyText"/>
              <w:jc w:val="center"/>
              <w:rPr>
                <w:lang w:val="en-US" w:eastAsia="fr-FR"/>
              </w:rPr>
            </w:pPr>
            <w:r>
              <w:rPr>
                <w:lang w:val="en-US" w:eastAsia="fr-FR"/>
              </w:rPr>
              <w:t>-</w:t>
            </w:r>
          </w:p>
        </w:tc>
        <w:tc>
          <w:tcPr>
            <w:tcW w:w="1416" w:type="dxa"/>
          </w:tcPr>
          <w:p w14:paraId="2B1BD47F" w14:textId="77777777" w:rsidR="00AC3194" w:rsidRDefault="00AC3194" w:rsidP="00391F65">
            <w:pPr>
              <w:pStyle w:val="BodyText"/>
              <w:jc w:val="center"/>
              <w:rPr>
                <w:lang w:val="en-US" w:eastAsia="fr-FR"/>
              </w:rPr>
            </w:pPr>
            <w:r>
              <w:rPr>
                <w:lang w:val="en-US" w:eastAsia="fr-FR"/>
              </w:rPr>
              <w:t>64%</w:t>
            </w:r>
          </w:p>
        </w:tc>
        <w:tc>
          <w:tcPr>
            <w:tcW w:w="1416" w:type="dxa"/>
          </w:tcPr>
          <w:p w14:paraId="65B3DEB5" w14:textId="77777777" w:rsidR="00AC3194" w:rsidRDefault="00AC3194" w:rsidP="00391F65">
            <w:pPr>
              <w:pStyle w:val="BodyText"/>
              <w:jc w:val="center"/>
              <w:rPr>
                <w:lang w:val="en-US" w:eastAsia="fr-FR"/>
              </w:rPr>
            </w:pPr>
            <w:r>
              <w:rPr>
                <w:lang w:val="en-US" w:eastAsia="fr-FR"/>
              </w:rPr>
              <w:t>5%</w:t>
            </w:r>
          </w:p>
        </w:tc>
        <w:tc>
          <w:tcPr>
            <w:tcW w:w="1416" w:type="dxa"/>
          </w:tcPr>
          <w:p w14:paraId="4073A609" w14:textId="77777777" w:rsidR="00AC3194" w:rsidRDefault="00AC3194" w:rsidP="00391F65">
            <w:pPr>
              <w:pStyle w:val="BodyText"/>
              <w:jc w:val="center"/>
              <w:rPr>
                <w:lang w:val="en-US" w:eastAsia="fr-FR"/>
              </w:rPr>
            </w:pPr>
            <w:r>
              <w:rPr>
                <w:lang w:val="en-US" w:eastAsia="fr-FR"/>
              </w:rPr>
              <w:t>-</w:t>
            </w:r>
          </w:p>
        </w:tc>
        <w:tc>
          <w:tcPr>
            <w:tcW w:w="1416" w:type="dxa"/>
          </w:tcPr>
          <w:p w14:paraId="2FB590C5" w14:textId="77777777" w:rsidR="00AC3194" w:rsidRDefault="00AC3194" w:rsidP="00391F65">
            <w:pPr>
              <w:pStyle w:val="BodyText"/>
              <w:jc w:val="center"/>
              <w:rPr>
                <w:lang w:val="en-US" w:eastAsia="fr-FR"/>
              </w:rPr>
            </w:pPr>
            <w:r>
              <w:rPr>
                <w:lang w:val="en-US" w:eastAsia="fr-FR"/>
              </w:rPr>
              <w:t>31%</w:t>
            </w:r>
          </w:p>
        </w:tc>
      </w:tr>
      <w:tr w:rsidR="00AC3194" w14:paraId="3EB432C8" w14:textId="77777777" w:rsidTr="00622F40">
        <w:trPr>
          <w:jc w:val="center"/>
        </w:trPr>
        <w:tc>
          <w:tcPr>
            <w:tcW w:w="1751" w:type="dxa"/>
          </w:tcPr>
          <w:p w14:paraId="33090B02" w14:textId="77777777" w:rsidR="00AC3194" w:rsidRDefault="00AC3194" w:rsidP="00391F65">
            <w:pPr>
              <w:pStyle w:val="BodyText"/>
              <w:jc w:val="center"/>
              <w:rPr>
                <w:lang w:val="en-US" w:eastAsia="fr-FR"/>
              </w:rPr>
            </w:pPr>
            <w:r>
              <w:rPr>
                <w:lang w:val="en-US" w:eastAsia="fr-FR"/>
              </w:rPr>
              <w:t>Sheep</w:t>
            </w:r>
          </w:p>
        </w:tc>
        <w:tc>
          <w:tcPr>
            <w:tcW w:w="1647" w:type="dxa"/>
          </w:tcPr>
          <w:p w14:paraId="7CF81B86" w14:textId="77777777" w:rsidR="00AC3194" w:rsidRDefault="00AC3194" w:rsidP="00391F65">
            <w:pPr>
              <w:pStyle w:val="BodyText"/>
              <w:jc w:val="center"/>
              <w:rPr>
                <w:lang w:val="en-US" w:eastAsia="fr-FR"/>
              </w:rPr>
            </w:pPr>
            <w:r>
              <w:rPr>
                <w:lang w:val="en-US" w:eastAsia="fr-FR"/>
              </w:rPr>
              <w:t>-</w:t>
            </w:r>
          </w:p>
        </w:tc>
        <w:tc>
          <w:tcPr>
            <w:tcW w:w="1416" w:type="dxa"/>
          </w:tcPr>
          <w:p w14:paraId="5544CEAD" w14:textId="77777777" w:rsidR="00AC3194" w:rsidRDefault="00AC3194" w:rsidP="00391F65">
            <w:pPr>
              <w:pStyle w:val="BodyText"/>
              <w:jc w:val="center"/>
              <w:rPr>
                <w:lang w:val="en-US" w:eastAsia="fr-FR"/>
              </w:rPr>
            </w:pPr>
            <w:r>
              <w:rPr>
                <w:lang w:val="en-US" w:eastAsia="fr-FR"/>
              </w:rPr>
              <w:t>-</w:t>
            </w:r>
          </w:p>
        </w:tc>
        <w:tc>
          <w:tcPr>
            <w:tcW w:w="1416" w:type="dxa"/>
          </w:tcPr>
          <w:p w14:paraId="4BB9AB5F" w14:textId="77777777" w:rsidR="00AC3194" w:rsidRDefault="00AC3194" w:rsidP="00391F65">
            <w:pPr>
              <w:pStyle w:val="BodyText"/>
              <w:jc w:val="center"/>
              <w:rPr>
                <w:lang w:val="en-US" w:eastAsia="fr-FR"/>
              </w:rPr>
            </w:pPr>
            <w:r>
              <w:rPr>
                <w:lang w:val="en-US" w:eastAsia="fr-FR"/>
              </w:rPr>
              <w:t>42%</w:t>
            </w:r>
          </w:p>
        </w:tc>
        <w:tc>
          <w:tcPr>
            <w:tcW w:w="1416" w:type="dxa"/>
          </w:tcPr>
          <w:p w14:paraId="2CF04443" w14:textId="77777777" w:rsidR="00AC3194" w:rsidRDefault="00AC3194" w:rsidP="00391F65">
            <w:pPr>
              <w:pStyle w:val="BodyText"/>
              <w:jc w:val="center"/>
              <w:rPr>
                <w:lang w:val="en-US" w:eastAsia="fr-FR"/>
              </w:rPr>
            </w:pPr>
            <w:r>
              <w:rPr>
                <w:lang w:val="en-US" w:eastAsia="fr-FR"/>
              </w:rPr>
              <w:t>-</w:t>
            </w:r>
          </w:p>
        </w:tc>
        <w:tc>
          <w:tcPr>
            <w:tcW w:w="1416" w:type="dxa"/>
          </w:tcPr>
          <w:p w14:paraId="187795A2" w14:textId="77777777" w:rsidR="00AC3194" w:rsidRDefault="00AC3194" w:rsidP="00391F65">
            <w:pPr>
              <w:pStyle w:val="BodyText"/>
              <w:jc w:val="center"/>
              <w:rPr>
                <w:lang w:val="en-US" w:eastAsia="fr-FR"/>
              </w:rPr>
            </w:pPr>
            <w:r>
              <w:rPr>
                <w:lang w:val="en-US" w:eastAsia="fr-FR"/>
              </w:rPr>
              <w:t>58%</w:t>
            </w:r>
          </w:p>
        </w:tc>
      </w:tr>
      <w:tr w:rsidR="00AC3194" w14:paraId="774FC43A" w14:textId="77777777" w:rsidTr="00622F40">
        <w:trPr>
          <w:jc w:val="center"/>
        </w:trPr>
        <w:tc>
          <w:tcPr>
            <w:tcW w:w="1751" w:type="dxa"/>
          </w:tcPr>
          <w:p w14:paraId="220CEEB6" w14:textId="77777777" w:rsidR="00AC3194" w:rsidRDefault="00AC3194" w:rsidP="00391F65">
            <w:pPr>
              <w:pStyle w:val="BodyText"/>
              <w:jc w:val="center"/>
              <w:rPr>
                <w:lang w:val="en-US" w:eastAsia="fr-FR"/>
              </w:rPr>
            </w:pPr>
            <w:r>
              <w:rPr>
                <w:lang w:val="en-US" w:eastAsia="fr-FR"/>
              </w:rPr>
              <w:t>Fattening pigs</w:t>
            </w:r>
          </w:p>
        </w:tc>
        <w:tc>
          <w:tcPr>
            <w:tcW w:w="1647" w:type="dxa"/>
          </w:tcPr>
          <w:p w14:paraId="652E7D9A" w14:textId="77777777" w:rsidR="00AC3194" w:rsidRDefault="00AC3194" w:rsidP="00391F65">
            <w:pPr>
              <w:pStyle w:val="BodyText"/>
              <w:jc w:val="center"/>
              <w:rPr>
                <w:lang w:val="en-US" w:eastAsia="fr-FR"/>
              </w:rPr>
            </w:pPr>
            <w:r>
              <w:rPr>
                <w:lang w:val="en-US" w:eastAsia="fr-FR"/>
              </w:rPr>
              <w:t>5%</w:t>
            </w:r>
          </w:p>
        </w:tc>
        <w:tc>
          <w:tcPr>
            <w:tcW w:w="1416" w:type="dxa"/>
          </w:tcPr>
          <w:p w14:paraId="439573B5" w14:textId="77777777" w:rsidR="00AC3194" w:rsidRDefault="00AC3194" w:rsidP="00391F65">
            <w:pPr>
              <w:pStyle w:val="BodyText"/>
              <w:jc w:val="center"/>
              <w:rPr>
                <w:lang w:val="en-US" w:eastAsia="fr-FR"/>
              </w:rPr>
            </w:pPr>
            <w:r>
              <w:rPr>
                <w:lang w:val="en-US" w:eastAsia="fr-FR"/>
              </w:rPr>
              <w:t>31%</w:t>
            </w:r>
          </w:p>
        </w:tc>
        <w:tc>
          <w:tcPr>
            <w:tcW w:w="1416" w:type="dxa"/>
          </w:tcPr>
          <w:p w14:paraId="5784BCC5" w14:textId="77777777" w:rsidR="00AC3194" w:rsidRDefault="00AC3194" w:rsidP="00391F65">
            <w:pPr>
              <w:pStyle w:val="BodyText"/>
              <w:jc w:val="center"/>
              <w:rPr>
                <w:lang w:val="en-US" w:eastAsia="fr-FR"/>
              </w:rPr>
            </w:pPr>
            <w:r>
              <w:rPr>
                <w:lang w:val="en-US" w:eastAsia="fr-FR"/>
              </w:rPr>
              <w:t>55%</w:t>
            </w:r>
          </w:p>
        </w:tc>
        <w:tc>
          <w:tcPr>
            <w:tcW w:w="1416" w:type="dxa"/>
          </w:tcPr>
          <w:p w14:paraId="1A4ABF7D" w14:textId="77777777" w:rsidR="00AC3194" w:rsidRDefault="00AC3194" w:rsidP="00391F65">
            <w:pPr>
              <w:pStyle w:val="BodyText"/>
              <w:jc w:val="center"/>
              <w:rPr>
                <w:lang w:val="en-US" w:eastAsia="fr-FR"/>
              </w:rPr>
            </w:pPr>
            <w:r>
              <w:rPr>
                <w:lang w:val="en-US" w:eastAsia="fr-FR"/>
              </w:rPr>
              <w:t>1%</w:t>
            </w:r>
          </w:p>
        </w:tc>
        <w:tc>
          <w:tcPr>
            <w:tcW w:w="1416" w:type="dxa"/>
          </w:tcPr>
          <w:p w14:paraId="40A0E3CB" w14:textId="77777777" w:rsidR="00AC3194" w:rsidRDefault="00AC3194" w:rsidP="00391F65">
            <w:pPr>
              <w:pStyle w:val="BodyText"/>
              <w:jc w:val="center"/>
              <w:rPr>
                <w:lang w:val="en-US" w:eastAsia="fr-FR"/>
              </w:rPr>
            </w:pPr>
            <w:r>
              <w:rPr>
                <w:lang w:val="en-US" w:eastAsia="fr-FR"/>
              </w:rPr>
              <w:t>-</w:t>
            </w:r>
          </w:p>
        </w:tc>
      </w:tr>
      <w:tr w:rsidR="00AC3194" w14:paraId="7E847658" w14:textId="77777777" w:rsidTr="00622F40">
        <w:trPr>
          <w:jc w:val="center"/>
        </w:trPr>
        <w:tc>
          <w:tcPr>
            <w:tcW w:w="1751" w:type="dxa"/>
          </w:tcPr>
          <w:p w14:paraId="4A27CAF9" w14:textId="77777777" w:rsidR="00AC3194" w:rsidRDefault="00AC3194" w:rsidP="00391F65">
            <w:pPr>
              <w:pStyle w:val="BodyText"/>
              <w:jc w:val="center"/>
              <w:rPr>
                <w:lang w:val="en-US" w:eastAsia="fr-FR"/>
              </w:rPr>
            </w:pPr>
            <w:r>
              <w:rPr>
                <w:lang w:val="en-US" w:eastAsia="fr-FR"/>
              </w:rPr>
              <w:t>Sows</w:t>
            </w:r>
          </w:p>
        </w:tc>
        <w:tc>
          <w:tcPr>
            <w:tcW w:w="1647" w:type="dxa"/>
          </w:tcPr>
          <w:p w14:paraId="73A28D7E" w14:textId="77777777" w:rsidR="00AC3194" w:rsidRDefault="00AC3194" w:rsidP="00391F65">
            <w:pPr>
              <w:pStyle w:val="BodyText"/>
              <w:jc w:val="center"/>
              <w:rPr>
                <w:lang w:val="en-US" w:eastAsia="fr-FR"/>
              </w:rPr>
            </w:pPr>
            <w:r>
              <w:rPr>
                <w:lang w:val="en-US" w:eastAsia="fr-FR"/>
              </w:rPr>
              <w:t>5%</w:t>
            </w:r>
          </w:p>
        </w:tc>
        <w:tc>
          <w:tcPr>
            <w:tcW w:w="1416" w:type="dxa"/>
          </w:tcPr>
          <w:p w14:paraId="3E1B0F36" w14:textId="77777777" w:rsidR="00AC3194" w:rsidRDefault="00AC3194" w:rsidP="00391F65">
            <w:pPr>
              <w:pStyle w:val="BodyText"/>
              <w:jc w:val="center"/>
              <w:rPr>
                <w:lang w:val="en-US" w:eastAsia="fr-FR"/>
              </w:rPr>
            </w:pPr>
            <w:r>
              <w:rPr>
                <w:lang w:val="en-US" w:eastAsia="fr-FR"/>
              </w:rPr>
              <w:t>31%</w:t>
            </w:r>
          </w:p>
        </w:tc>
        <w:tc>
          <w:tcPr>
            <w:tcW w:w="1416" w:type="dxa"/>
          </w:tcPr>
          <w:p w14:paraId="2F236EF3" w14:textId="77777777" w:rsidR="00AC3194" w:rsidRDefault="00AC3194" w:rsidP="00391F65">
            <w:pPr>
              <w:pStyle w:val="BodyText"/>
              <w:jc w:val="center"/>
              <w:rPr>
                <w:lang w:val="en-US" w:eastAsia="fr-FR"/>
              </w:rPr>
            </w:pPr>
            <w:r>
              <w:rPr>
                <w:lang w:val="en-US" w:eastAsia="fr-FR"/>
              </w:rPr>
              <w:t>55%</w:t>
            </w:r>
          </w:p>
        </w:tc>
        <w:tc>
          <w:tcPr>
            <w:tcW w:w="1416" w:type="dxa"/>
          </w:tcPr>
          <w:p w14:paraId="7D641C11" w14:textId="77777777" w:rsidR="00AC3194" w:rsidRDefault="00AC3194" w:rsidP="00391F65">
            <w:pPr>
              <w:pStyle w:val="BodyText"/>
              <w:jc w:val="center"/>
              <w:rPr>
                <w:lang w:val="en-US" w:eastAsia="fr-FR"/>
              </w:rPr>
            </w:pPr>
            <w:r>
              <w:rPr>
                <w:lang w:val="en-US" w:eastAsia="fr-FR"/>
              </w:rPr>
              <w:t>1%</w:t>
            </w:r>
          </w:p>
        </w:tc>
        <w:tc>
          <w:tcPr>
            <w:tcW w:w="1416" w:type="dxa"/>
          </w:tcPr>
          <w:p w14:paraId="0495B66F" w14:textId="77777777" w:rsidR="00AC3194" w:rsidRDefault="00AC3194" w:rsidP="00391F65">
            <w:pPr>
              <w:pStyle w:val="BodyText"/>
              <w:jc w:val="center"/>
              <w:rPr>
                <w:lang w:val="en-US" w:eastAsia="fr-FR"/>
              </w:rPr>
            </w:pPr>
            <w:r>
              <w:rPr>
                <w:lang w:val="en-US" w:eastAsia="fr-FR"/>
              </w:rPr>
              <w:t>-</w:t>
            </w:r>
          </w:p>
        </w:tc>
      </w:tr>
      <w:tr w:rsidR="00AC3194" w14:paraId="363430E1" w14:textId="77777777" w:rsidTr="00622F40">
        <w:trPr>
          <w:jc w:val="center"/>
        </w:trPr>
        <w:tc>
          <w:tcPr>
            <w:tcW w:w="1751" w:type="dxa"/>
          </w:tcPr>
          <w:p w14:paraId="3ABD0CC0" w14:textId="77777777" w:rsidR="00AC3194" w:rsidRDefault="00AC3194" w:rsidP="00391F65">
            <w:pPr>
              <w:pStyle w:val="BodyText"/>
              <w:jc w:val="center"/>
              <w:rPr>
                <w:lang w:val="en-US" w:eastAsia="fr-FR"/>
              </w:rPr>
            </w:pPr>
            <w:r>
              <w:rPr>
                <w:lang w:val="en-US" w:eastAsia="fr-FR"/>
              </w:rPr>
              <w:t>Goats</w:t>
            </w:r>
          </w:p>
        </w:tc>
        <w:tc>
          <w:tcPr>
            <w:tcW w:w="1647" w:type="dxa"/>
          </w:tcPr>
          <w:p w14:paraId="019EE21E" w14:textId="77777777" w:rsidR="00AC3194" w:rsidRDefault="00AC3194" w:rsidP="00391F65">
            <w:pPr>
              <w:pStyle w:val="BodyText"/>
              <w:jc w:val="center"/>
              <w:rPr>
                <w:lang w:val="en-US" w:eastAsia="fr-FR"/>
              </w:rPr>
            </w:pPr>
            <w:r>
              <w:rPr>
                <w:lang w:val="en-US" w:eastAsia="fr-FR"/>
              </w:rPr>
              <w:t>-</w:t>
            </w:r>
          </w:p>
        </w:tc>
        <w:tc>
          <w:tcPr>
            <w:tcW w:w="1416" w:type="dxa"/>
          </w:tcPr>
          <w:p w14:paraId="47554D7F" w14:textId="77777777" w:rsidR="00AC3194" w:rsidRDefault="00AC3194" w:rsidP="00391F65">
            <w:pPr>
              <w:pStyle w:val="BodyText"/>
              <w:jc w:val="center"/>
              <w:rPr>
                <w:lang w:val="en-US" w:eastAsia="fr-FR"/>
              </w:rPr>
            </w:pPr>
            <w:r>
              <w:rPr>
                <w:lang w:val="en-US" w:eastAsia="fr-FR"/>
              </w:rPr>
              <w:t>-</w:t>
            </w:r>
          </w:p>
        </w:tc>
        <w:tc>
          <w:tcPr>
            <w:tcW w:w="1416" w:type="dxa"/>
          </w:tcPr>
          <w:p w14:paraId="2E8AEE9C" w14:textId="77777777" w:rsidR="00AC3194" w:rsidRDefault="00AC3194" w:rsidP="00391F65">
            <w:pPr>
              <w:pStyle w:val="BodyText"/>
              <w:jc w:val="center"/>
              <w:rPr>
                <w:lang w:val="en-US" w:eastAsia="fr-FR"/>
              </w:rPr>
            </w:pPr>
            <w:r>
              <w:rPr>
                <w:lang w:val="en-US" w:eastAsia="fr-FR"/>
              </w:rPr>
              <w:t>9%</w:t>
            </w:r>
          </w:p>
        </w:tc>
        <w:tc>
          <w:tcPr>
            <w:tcW w:w="1416" w:type="dxa"/>
          </w:tcPr>
          <w:p w14:paraId="22F0A413" w14:textId="77777777" w:rsidR="00AC3194" w:rsidRDefault="00AC3194" w:rsidP="00391F65">
            <w:pPr>
              <w:pStyle w:val="BodyText"/>
              <w:jc w:val="center"/>
              <w:rPr>
                <w:lang w:val="en-US" w:eastAsia="fr-FR"/>
              </w:rPr>
            </w:pPr>
            <w:r>
              <w:rPr>
                <w:lang w:val="en-US" w:eastAsia="fr-FR"/>
              </w:rPr>
              <w:t>-</w:t>
            </w:r>
          </w:p>
        </w:tc>
        <w:tc>
          <w:tcPr>
            <w:tcW w:w="1416" w:type="dxa"/>
          </w:tcPr>
          <w:p w14:paraId="04D338BC" w14:textId="77777777" w:rsidR="00AC3194" w:rsidRDefault="00AC3194" w:rsidP="00391F65">
            <w:pPr>
              <w:pStyle w:val="BodyText"/>
              <w:jc w:val="center"/>
              <w:rPr>
                <w:lang w:val="en-US" w:eastAsia="fr-FR"/>
              </w:rPr>
            </w:pPr>
            <w:r>
              <w:rPr>
                <w:lang w:val="en-US" w:eastAsia="fr-FR"/>
              </w:rPr>
              <w:t>91%</w:t>
            </w:r>
          </w:p>
        </w:tc>
      </w:tr>
      <w:tr w:rsidR="00AC3194" w14:paraId="08D27578" w14:textId="77777777" w:rsidTr="00622F40">
        <w:trPr>
          <w:jc w:val="center"/>
        </w:trPr>
        <w:tc>
          <w:tcPr>
            <w:tcW w:w="1751" w:type="dxa"/>
          </w:tcPr>
          <w:p w14:paraId="0B440481" w14:textId="77777777" w:rsidR="00AC3194" w:rsidRDefault="00AC3194" w:rsidP="00391F65">
            <w:pPr>
              <w:pStyle w:val="BodyText"/>
              <w:jc w:val="center"/>
              <w:rPr>
                <w:lang w:val="en-US" w:eastAsia="fr-FR"/>
              </w:rPr>
            </w:pPr>
            <w:r>
              <w:rPr>
                <w:lang w:val="en-US" w:eastAsia="fr-FR"/>
              </w:rPr>
              <w:lastRenderedPageBreak/>
              <w:t>Horses</w:t>
            </w:r>
          </w:p>
        </w:tc>
        <w:tc>
          <w:tcPr>
            <w:tcW w:w="1647" w:type="dxa"/>
          </w:tcPr>
          <w:p w14:paraId="4B6D7765" w14:textId="77777777" w:rsidR="00AC3194" w:rsidRDefault="00AC3194" w:rsidP="00391F65">
            <w:pPr>
              <w:pStyle w:val="BodyText"/>
              <w:jc w:val="center"/>
              <w:rPr>
                <w:lang w:val="en-US" w:eastAsia="fr-FR"/>
              </w:rPr>
            </w:pPr>
            <w:r>
              <w:rPr>
                <w:lang w:val="en-US" w:eastAsia="fr-FR"/>
              </w:rPr>
              <w:t>-</w:t>
            </w:r>
          </w:p>
        </w:tc>
        <w:tc>
          <w:tcPr>
            <w:tcW w:w="1416" w:type="dxa"/>
          </w:tcPr>
          <w:p w14:paraId="418A2FD0" w14:textId="77777777" w:rsidR="00AC3194" w:rsidRDefault="00AC3194" w:rsidP="00391F65">
            <w:pPr>
              <w:pStyle w:val="BodyText"/>
              <w:jc w:val="center"/>
              <w:rPr>
                <w:lang w:val="en-US" w:eastAsia="fr-FR"/>
              </w:rPr>
            </w:pPr>
            <w:r>
              <w:rPr>
                <w:lang w:val="en-US" w:eastAsia="fr-FR"/>
              </w:rPr>
              <w:t>-</w:t>
            </w:r>
          </w:p>
        </w:tc>
        <w:tc>
          <w:tcPr>
            <w:tcW w:w="1416" w:type="dxa"/>
          </w:tcPr>
          <w:p w14:paraId="6D591B65" w14:textId="77777777" w:rsidR="00AC3194" w:rsidRDefault="00AC3194" w:rsidP="00391F65">
            <w:pPr>
              <w:pStyle w:val="BodyText"/>
              <w:jc w:val="center"/>
              <w:rPr>
                <w:lang w:val="en-US" w:eastAsia="fr-FR"/>
              </w:rPr>
            </w:pPr>
            <w:r>
              <w:rPr>
                <w:lang w:val="en-US" w:eastAsia="fr-FR"/>
              </w:rPr>
              <w:t>-</w:t>
            </w:r>
          </w:p>
        </w:tc>
        <w:tc>
          <w:tcPr>
            <w:tcW w:w="1416" w:type="dxa"/>
          </w:tcPr>
          <w:p w14:paraId="0E7CF3EC" w14:textId="77777777" w:rsidR="00AC3194" w:rsidRDefault="00AC3194" w:rsidP="00391F65">
            <w:pPr>
              <w:pStyle w:val="BodyText"/>
              <w:jc w:val="center"/>
              <w:rPr>
                <w:lang w:val="en-US" w:eastAsia="fr-FR"/>
              </w:rPr>
            </w:pPr>
            <w:r>
              <w:rPr>
                <w:lang w:val="en-US" w:eastAsia="fr-FR"/>
              </w:rPr>
              <w:t>-</w:t>
            </w:r>
          </w:p>
        </w:tc>
        <w:tc>
          <w:tcPr>
            <w:tcW w:w="1416" w:type="dxa"/>
          </w:tcPr>
          <w:p w14:paraId="6AA64C85" w14:textId="77777777" w:rsidR="00AC3194" w:rsidRDefault="00AC3194" w:rsidP="00391F65">
            <w:pPr>
              <w:pStyle w:val="BodyText"/>
              <w:jc w:val="center"/>
              <w:rPr>
                <w:lang w:val="en-US" w:eastAsia="fr-FR"/>
              </w:rPr>
            </w:pPr>
            <w:r>
              <w:rPr>
                <w:lang w:val="en-US" w:eastAsia="fr-FR"/>
              </w:rPr>
              <w:t>50%</w:t>
            </w:r>
          </w:p>
        </w:tc>
      </w:tr>
      <w:tr w:rsidR="00AC3194" w14:paraId="373FC5ED" w14:textId="77777777" w:rsidTr="00622F40">
        <w:trPr>
          <w:jc w:val="center"/>
        </w:trPr>
        <w:tc>
          <w:tcPr>
            <w:tcW w:w="1751" w:type="dxa"/>
          </w:tcPr>
          <w:p w14:paraId="0CF12655" w14:textId="77777777" w:rsidR="00AC3194" w:rsidRDefault="00AC3194" w:rsidP="00391F65">
            <w:pPr>
              <w:pStyle w:val="BodyText"/>
              <w:jc w:val="center"/>
              <w:rPr>
                <w:lang w:val="en-US" w:eastAsia="fr-FR"/>
              </w:rPr>
            </w:pPr>
            <w:r>
              <w:rPr>
                <w:lang w:val="en-US" w:eastAsia="fr-FR"/>
              </w:rPr>
              <w:t>Layers</w:t>
            </w:r>
          </w:p>
        </w:tc>
        <w:tc>
          <w:tcPr>
            <w:tcW w:w="1647" w:type="dxa"/>
          </w:tcPr>
          <w:p w14:paraId="1A584507" w14:textId="77777777" w:rsidR="00AC3194" w:rsidRDefault="00AC3194" w:rsidP="00391F65">
            <w:pPr>
              <w:pStyle w:val="BodyText"/>
              <w:jc w:val="center"/>
              <w:rPr>
                <w:lang w:val="en-US" w:eastAsia="fr-FR"/>
              </w:rPr>
            </w:pPr>
            <w:r>
              <w:rPr>
                <w:lang w:val="en-US" w:eastAsia="fr-FR"/>
              </w:rPr>
              <w:t>-</w:t>
            </w:r>
          </w:p>
        </w:tc>
        <w:tc>
          <w:tcPr>
            <w:tcW w:w="1416" w:type="dxa"/>
          </w:tcPr>
          <w:p w14:paraId="475CCF38" w14:textId="77777777" w:rsidR="00AC3194" w:rsidRDefault="00AC3194" w:rsidP="00391F65">
            <w:pPr>
              <w:pStyle w:val="BodyText"/>
              <w:jc w:val="center"/>
              <w:rPr>
                <w:lang w:val="en-US" w:eastAsia="fr-FR"/>
              </w:rPr>
            </w:pPr>
            <w:r>
              <w:rPr>
                <w:lang w:val="en-US" w:eastAsia="fr-FR"/>
              </w:rPr>
              <w:t>-</w:t>
            </w:r>
          </w:p>
        </w:tc>
        <w:tc>
          <w:tcPr>
            <w:tcW w:w="1416" w:type="dxa"/>
          </w:tcPr>
          <w:p w14:paraId="4E868197" w14:textId="77777777" w:rsidR="00AC3194" w:rsidRDefault="00AC3194" w:rsidP="00391F65">
            <w:pPr>
              <w:pStyle w:val="BodyText"/>
              <w:jc w:val="center"/>
              <w:rPr>
                <w:lang w:val="en-US" w:eastAsia="fr-FR"/>
              </w:rPr>
            </w:pPr>
            <w:r>
              <w:rPr>
                <w:lang w:val="en-US" w:eastAsia="fr-FR"/>
              </w:rPr>
              <w:t>-</w:t>
            </w:r>
          </w:p>
        </w:tc>
        <w:tc>
          <w:tcPr>
            <w:tcW w:w="1416" w:type="dxa"/>
          </w:tcPr>
          <w:p w14:paraId="19266D6D" w14:textId="77777777" w:rsidR="00AC3194" w:rsidRDefault="00AC3194" w:rsidP="00391F65">
            <w:pPr>
              <w:pStyle w:val="BodyText"/>
              <w:jc w:val="center"/>
              <w:rPr>
                <w:lang w:val="en-US" w:eastAsia="fr-FR"/>
              </w:rPr>
            </w:pPr>
            <w:r>
              <w:rPr>
                <w:lang w:val="en-US" w:eastAsia="fr-FR"/>
              </w:rPr>
              <w:t>47%</w:t>
            </w:r>
          </w:p>
        </w:tc>
        <w:tc>
          <w:tcPr>
            <w:tcW w:w="1416" w:type="dxa"/>
          </w:tcPr>
          <w:p w14:paraId="7240B3D4" w14:textId="77777777" w:rsidR="00AC3194" w:rsidRDefault="00AC3194" w:rsidP="00391F65">
            <w:pPr>
              <w:pStyle w:val="BodyText"/>
              <w:jc w:val="center"/>
              <w:rPr>
                <w:lang w:val="en-US" w:eastAsia="fr-FR"/>
              </w:rPr>
            </w:pPr>
            <w:r>
              <w:rPr>
                <w:lang w:val="en-US" w:eastAsia="fr-FR"/>
              </w:rPr>
              <w:t>-</w:t>
            </w:r>
          </w:p>
        </w:tc>
      </w:tr>
      <w:tr w:rsidR="00AC3194" w14:paraId="0021389E" w14:textId="77777777" w:rsidTr="00622F40">
        <w:trPr>
          <w:jc w:val="center"/>
        </w:trPr>
        <w:tc>
          <w:tcPr>
            <w:tcW w:w="1751" w:type="dxa"/>
          </w:tcPr>
          <w:p w14:paraId="2498DCF5" w14:textId="77777777" w:rsidR="00AC3194" w:rsidRDefault="00AC3194" w:rsidP="00391F65">
            <w:pPr>
              <w:pStyle w:val="BodyText"/>
              <w:jc w:val="center"/>
              <w:rPr>
                <w:lang w:val="en-US" w:eastAsia="fr-FR"/>
              </w:rPr>
            </w:pPr>
            <w:r>
              <w:rPr>
                <w:lang w:val="en-US" w:eastAsia="fr-FR"/>
              </w:rPr>
              <w:t>Broilers</w:t>
            </w:r>
          </w:p>
        </w:tc>
        <w:tc>
          <w:tcPr>
            <w:tcW w:w="1647" w:type="dxa"/>
          </w:tcPr>
          <w:p w14:paraId="17615DE6" w14:textId="77777777" w:rsidR="00AC3194" w:rsidRDefault="00AC3194" w:rsidP="00391F65">
            <w:pPr>
              <w:pStyle w:val="BodyText"/>
              <w:jc w:val="center"/>
              <w:rPr>
                <w:lang w:val="en-US" w:eastAsia="fr-FR"/>
              </w:rPr>
            </w:pPr>
            <w:r>
              <w:rPr>
                <w:lang w:val="en-US" w:eastAsia="fr-FR"/>
              </w:rPr>
              <w:t>-</w:t>
            </w:r>
          </w:p>
        </w:tc>
        <w:tc>
          <w:tcPr>
            <w:tcW w:w="1416" w:type="dxa"/>
          </w:tcPr>
          <w:p w14:paraId="0D5C118E" w14:textId="77777777" w:rsidR="00AC3194" w:rsidRDefault="00AC3194" w:rsidP="00391F65">
            <w:pPr>
              <w:pStyle w:val="BodyText"/>
              <w:jc w:val="center"/>
              <w:rPr>
                <w:lang w:val="en-US" w:eastAsia="fr-FR"/>
              </w:rPr>
            </w:pPr>
            <w:r>
              <w:rPr>
                <w:lang w:val="en-US" w:eastAsia="fr-FR"/>
              </w:rPr>
              <w:t>-</w:t>
            </w:r>
          </w:p>
        </w:tc>
        <w:tc>
          <w:tcPr>
            <w:tcW w:w="1416" w:type="dxa"/>
          </w:tcPr>
          <w:p w14:paraId="201A35A0" w14:textId="77777777" w:rsidR="00AC3194" w:rsidRDefault="00AC3194" w:rsidP="00391F65">
            <w:pPr>
              <w:pStyle w:val="BodyText"/>
              <w:jc w:val="center"/>
              <w:rPr>
                <w:lang w:val="en-US" w:eastAsia="fr-FR"/>
              </w:rPr>
            </w:pPr>
            <w:r>
              <w:rPr>
                <w:lang w:val="en-US" w:eastAsia="fr-FR"/>
              </w:rPr>
              <w:t>-</w:t>
            </w:r>
          </w:p>
        </w:tc>
        <w:tc>
          <w:tcPr>
            <w:tcW w:w="1416" w:type="dxa"/>
          </w:tcPr>
          <w:p w14:paraId="28880814" w14:textId="77777777" w:rsidR="00AC3194" w:rsidRDefault="00AC3194" w:rsidP="00391F65">
            <w:pPr>
              <w:pStyle w:val="BodyText"/>
              <w:jc w:val="center"/>
              <w:rPr>
                <w:lang w:val="en-US" w:eastAsia="fr-FR"/>
              </w:rPr>
            </w:pPr>
            <w:r>
              <w:rPr>
                <w:lang w:val="en-US" w:eastAsia="fr-FR"/>
              </w:rPr>
              <w:t>-</w:t>
            </w:r>
          </w:p>
        </w:tc>
        <w:tc>
          <w:tcPr>
            <w:tcW w:w="1416" w:type="dxa"/>
          </w:tcPr>
          <w:p w14:paraId="05AAAFA6" w14:textId="77777777" w:rsidR="00AC3194" w:rsidRDefault="00AC3194" w:rsidP="00391F65">
            <w:pPr>
              <w:pStyle w:val="BodyText"/>
              <w:jc w:val="center"/>
              <w:rPr>
                <w:lang w:val="en-US" w:eastAsia="fr-FR"/>
              </w:rPr>
            </w:pPr>
            <w:r>
              <w:rPr>
                <w:lang w:val="en-US" w:eastAsia="fr-FR"/>
              </w:rPr>
              <w:t>-</w:t>
            </w:r>
          </w:p>
        </w:tc>
      </w:tr>
      <w:tr w:rsidR="00AC3194" w14:paraId="23FF3C91" w14:textId="77777777" w:rsidTr="00622F40">
        <w:trPr>
          <w:jc w:val="center"/>
        </w:trPr>
        <w:tc>
          <w:tcPr>
            <w:tcW w:w="1751" w:type="dxa"/>
          </w:tcPr>
          <w:p w14:paraId="1585B98D" w14:textId="77777777" w:rsidR="00AC3194" w:rsidRDefault="00AC3194" w:rsidP="00391F65">
            <w:pPr>
              <w:pStyle w:val="BodyText"/>
              <w:jc w:val="center"/>
              <w:rPr>
                <w:lang w:val="en-US" w:eastAsia="fr-FR"/>
              </w:rPr>
            </w:pPr>
            <w:r>
              <w:rPr>
                <w:lang w:val="en-US" w:eastAsia="fr-FR"/>
              </w:rPr>
              <w:t>Turkeys</w:t>
            </w:r>
          </w:p>
        </w:tc>
        <w:tc>
          <w:tcPr>
            <w:tcW w:w="1647" w:type="dxa"/>
          </w:tcPr>
          <w:p w14:paraId="462C19E2" w14:textId="77777777" w:rsidR="00AC3194" w:rsidRDefault="00AC3194" w:rsidP="00391F65">
            <w:pPr>
              <w:pStyle w:val="BodyText"/>
              <w:jc w:val="center"/>
              <w:rPr>
                <w:lang w:val="en-US" w:eastAsia="fr-FR"/>
              </w:rPr>
            </w:pPr>
            <w:r>
              <w:rPr>
                <w:lang w:val="en-US" w:eastAsia="fr-FR"/>
              </w:rPr>
              <w:t>-</w:t>
            </w:r>
          </w:p>
        </w:tc>
        <w:tc>
          <w:tcPr>
            <w:tcW w:w="1416" w:type="dxa"/>
          </w:tcPr>
          <w:p w14:paraId="24E9DC22" w14:textId="77777777" w:rsidR="00AC3194" w:rsidRDefault="00AC3194" w:rsidP="00391F65">
            <w:pPr>
              <w:pStyle w:val="BodyText"/>
              <w:jc w:val="center"/>
              <w:rPr>
                <w:lang w:val="en-US" w:eastAsia="fr-FR"/>
              </w:rPr>
            </w:pPr>
            <w:r>
              <w:rPr>
                <w:lang w:val="en-US" w:eastAsia="fr-FR"/>
              </w:rPr>
              <w:t>-</w:t>
            </w:r>
          </w:p>
        </w:tc>
        <w:tc>
          <w:tcPr>
            <w:tcW w:w="1416" w:type="dxa"/>
          </w:tcPr>
          <w:p w14:paraId="3AAED905" w14:textId="77777777" w:rsidR="00AC3194" w:rsidRDefault="00AC3194" w:rsidP="00391F65">
            <w:pPr>
              <w:pStyle w:val="BodyText"/>
              <w:jc w:val="center"/>
              <w:rPr>
                <w:lang w:val="en-US" w:eastAsia="fr-FR"/>
              </w:rPr>
            </w:pPr>
            <w:r>
              <w:rPr>
                <w:lang w:val="en-US" w:eastAsia="fr-FR"/>
              </w:rPr>
              <w:t>-</w:t>
            </w:r>
          </w:p>
        </w:tc>
        <w:tc>
          <w:tcPr>
            <w:tcW w:w="1416" w:type="dxa"/>
          </w:tcPr>
          <w:p w14:paraId="60C87865" w14:textId="77777777" w:rsidR="00AC3194" w:rsidRDefault="00AC3194" w:rsidP="00391F65">
            <w:pPr>
              <w:pStyle w:val="BodyText"/>
              <w:jc w:val="center"/>
              <w:rPr>
                <w:lang w:val="en-US" w:eastAsia="fr-FR"/>
              </w:rPr>
            </w:pPr>
            <w:r>
              <w:rPr>
                <w:lang w:val="en-US" w:eastAsia="fr-FR"/>
              </w:rPr>
              <w:t>-</w:t>
            </w:r>
          </w:p>
        </w:tc>
        <w:tc>
          <w:tcPr>
            <w:tcW w:w="1416" w:type="dxa"/>
          </w:tcPr>
          <w:p w14:paraId="05BFA3E5" w14:textId="77777777" w:rsidR="00AC3194" w:rsidRDefault="00AC3194" w:rsidP="00391F65">
            <w:pPr>
              <w:pStyle w:val="BodyText"/>
              <w:jc w:val="center"/>
              <w:rPr>
                <w:lang w:val="en-US" w:eastAsia="fr-FR"/>
              </w:rPr>
            </w:pPr>
            <w:r>
              <w:rPr>
                <w:lang w:val="en-US" w:eastAsia="fr-FR"/>
              </w:rPr>
              <w:t>-</w:t>
            </w:r>
          </w:p>
        </w:tc>
      </w:tr>
      <w:tr w:rsidR="00AC3194" w14:paraId="4E85F296" w14:textId="77777777" w:rsidTr="00622F40">
        <w:trPr>
          <w:jc w:val="center"/>
        </w:trPr>
        <w:tc>
          <w:tcPr>
            <w:tcW w:w="1751" w:type="dxa"/>
          </w:tcPr>
          <w:p w14:paraId="11C35F3F" w14:textId="77777777" w:rsidR="00AC3194" w:rsidRDefault="00AC3194" w:rsidP="00391F65">
            <w:pPr>
              <w:pStyle w:val="BodyText"/>
              <w:jc w:val="center"/>
              <w:rPr>
                <w:lang w:val="en-US" w:eastAsia="fr-FR"/>
              </w:rPr>
            </w:pPr>
            <w:r>
              <w:rPr>
                <w:lang w:val="en-US" w:eastAsia="fr-FR"/>
              </w:rPr>
              <w:t>Other poultry</w:t>
            </w:r>
          </w:p>
        </w:tc>
        <w:tc>
          <w:tcPr>
            <w:tcW w:w="1647" w:type="dxa"/>
          </w:tcPr>
          <w:p w14:paraId="0F299BD4" w14:textId="77777777" w:rsidR="00AC3194" w:rsidRDefault="00AC3194" w:rsidP="00391F65">
            <w:pPr>
              <w:pStyle w:val="BodyText"/>
              <w:jc w:val="center"/>
              <w:rPr>
                <w:lang w:val="en-US" w:eastAsia="fr-FR"/>
              </w:rPr>
            </w:pPr>
            <w:r>
              <w:rPr>
                <w:lang w:val="en-US" w:eastAsia="fr-FR"/>
              </w:rPr>
              <w:t>-</w:t>
            </w:r>
          </w:p>
        </w:tc>
        <w:tc>
          <w:tcPr>
            <w:tcW w:w="1416" w:type="dxa"/>
          </w:tcPr>
          <w:p w14:paraId="4A4BC05F" w14:textId="77777777" w:rsidR="00AC3194" w:rsidRDefault="00AC3194" w:rsidP="00391F65">
            <w:pPr>
              <w:pStyle w:val="BodyText"/>
              <w:jc w:val="center"/>
              <w:rPr>
                <w:lang w:val="en-US" w:eastAsia="fr-FR"/>
              </w:rPr>
            </w:pPr>
            <w:r>
              <w:rPr>
                <w:lang w:val="en-US" w:eastAsia="fr-FR"/>
              </w:rPr>
              <w:t>-</w:t>
            </w:r>
          </w:p>
        </w:tc>
        <w:tc>
          <w:tcPr>
            <w:tcW w:w="1416" w:type="dxa"/>
          </w:tcPr>
          <w:p w14:paraId="571FEABB" w14:textId="77777777" w:rsidR="00AC3194" w:rsidRDefault="00AC3194" w:rsidP="00391F65">
            <w:pPr>
              <w:pStyle w:val="BodyText"/>
              <w:jc w:val="center"/>
              <w:rPr>
                <w:lang w:val="en-US" w:eastAsia="fr-FR"/>
              </w:rPr>
            </w:pPr>
            <w:r>
              <w:rPr>
                <w:lang w:val="en-US" w:eastAsia="fr-FR"/>
              </w:rPr>
              <w:t>-</w:t>
            </w:r>
          </w:p>
        </w:tc>
        <w:tc>
          <w:tcPr>
            <w:tcW w:w="1416" w:type="dxa"/>
          </w:tcPr>
          <w:p w14:paraId="7E7CE930" w14:textId="77777777" w:rsidR="00AC3194" w:rsidRDefault="00AC3194" w:rsidP="00391F65">
            <w:pPr>
              <w:pStyle w:val="BodyText"/>
              <w:jc w:val="center"/>
              <w:rPr>
                <w:lang w:val="en-US" w:eastAsia="fr-FR"/>
              </w:rPr>
            </w:pPr>
            <w:r>
              <w:rPr>
                <w:lang w:val="en-US" w:eastAsia="fr-FR"/>
              </w:rPr>
              <w:t>-</w:t>
            </w:r>
          </w:p>
        </w:tc>
        <w:tc>
          <w:tcPr>
            <w:tcW w:w="1416" w:type="dxa"/>
          </w:tcPr>
          <w:p w14:paraId="190ACDCD" w14:textId="77777777" w:rsidR="00AC3194" w:rsidRDefault="00AC3194" w:rsidP="00391F65">
            <w:pPr>
              <w:pStyle w:val="BodyText"/>
              <w:jc w:val="center"/>
              <w:rPr>
                <w:lang w:val="en-US" w:eastAsia="fr-FR"/>
              </w:rPr>
            </w:pPr>
            <w:r>
              <w:rPr>
                <w:lang w:val="en-US" w:eastAsia="fr-FR"/>
              </w:rPr>
              <w:t>-</w:t>
            </w:r>
          </w:p>
        </w:tc>
      </w:tr>
      <w:tr w:rsidR="00AC3194" w14:paraId="20F32875" w14:textId="77777777" w:rsidTr="00391F65">
        <w:trPr>
          <w:jc w:val="center"/>
        </w:trPr>
        <w:tc>
          <w:tcPr>
            <w:tcW w:w="1751" w:type="dxa"/>
            <w:shd w:val="clear" w:color="auto" w:fill="B8CCE4" w:themeFill="accent1" w:themeFillTint="66"/>
          </w:tcPr>
          <w:p w14:paraId="4D58FEC4" w14:textId="77777777" w:rsidR="00AC3194" w:rsidRPr="001F0275" w:rsidRDefault="00AC3194" w:rsidP="00391F65">
            <w:pPr>
              <w:pStyle w:val="BodyText"/>
              <w:jc w:val="center"/>
              <w:rPr>
                <w:b/>
                <w:bCs/>
                <w:lang w:val="en-US" w:eastAsia="fr-FR"/>
              </w:rPr>
            </w:pPr>
            <w:r w:rsidRPr="001F0275">
              <w:rPr>
                <w:b/>
                <w:bCs/>
                <w:lang w:val="en-US" w:eastAsia="fr-FR"/>
              </w:rPr>
              <w:t>Livestock category</w:t>
            </w:r>
          </w:p>
        </w:tc>
        <w:tc>
          <w:tcPr>
            <w:tcW w:w="1647" w:type="dxa"/>
            <w:shd w:val="clear" w:color="auto" w:fill="B8CCE4" w:themeFill="accent1" w:themeFillTint="66"/>
          </w:tcPr>
          <w:p w14:paraId="6A32913F" w14:textId="77777777" w:rsidR="00AC3194" w:rsidRPr="001F0275" w:rsidRDefault="00AC3194" w:rsidP="00391F65">
            <w:pPr>
              <w:pStyle w:val="BodyText"/>
              <w:jc w:val="center"/>
              <w:rPr>
                <w:b/>
                <w:bCs/>
                <w:lang w:val="en-US" w:eastAsia="fr-FR"/>
              </w:rPr>
            </w:pPr>
            <w:r>
              <w:rPr>
                <w:b/>
                <w:bCs/>
                <w:lang w:val="en-US" w:eastAsia="fr-FR"/>
              </w:rPr>
              <w:t>MS pit &lt; 1 month (%)</w:t>
            </w:r>
          </w:p>
        </w:tc>
        <w:tc>
          <w:tcPr>
            <w:tcW w:w="1416" w:type="dxa"/>
            <w:shd w:val="clear" w:color="auto" w:fill="B8CCE4" w:themeFill="accent1" w:themeFillTint="66"/>
          </w:tcPr>
          <w:p w14:paraId="30FB1B3E" w14:textId="77777777" w:rsidR="00AC3194" w:rsidRDefault="00AC3194" w:rsidP="00391F65">
            <w:pPr>
              <w:pStyle w:val="BodyText"/>
              <w:jc w:val="center"/>
              <w:rPr>
                <w:b/>
                <w:bCs/>
                <w:lang w:val="en-US" w:eastAsia="fr-FR"/>
              </w:rPr>
            </w:pPr>
            <w:r>
              <w:rPr>
                <w:b/>
                <w:bCs/>
                <w:lang w:val="en-US" w:eastAsia="fr-FR"/>
              </w:rPr>
              <w:t>MS pit &gt; 1 month (%)</w:t>
            </w:r>
          </w:p>
        </w:tc>
        <w:tc>
          <w:tcPr>
            <w:tcW w:w="1416" w:type="dxa"/>
            <w:shd w:val="clear" w:color="auto" w:fill="B8CCE4" w:themeFill="accent1" w:themeFillTint="66"/>
          </w:tcPr>
          <w:p w14:paraId="2C50EEF1" w14:textId="77777777" w:rsidR="00AC3194" w:rsidRDefault="00AC3194" w:rsidP="00391F65">
            <w:pPr>
              <w:pStyle w:val="BodyText"/>
              <w:jc w:val="center"/>
              <w:rPr>
                <w:b/>
                <w:bCs/>
                <w:lang w:val="en-US" w:eastAsia="fr-FR"/>
              </w:rPr>
            </w:pPr>
            <w:r>
              <w:rPr>
                <w:b/>
                <w:bCs/>
                <w:lang w:val="en-US" w:eastAsia="fr-FR"/>
              </w:rPr>
              <w:t>MS daily spread (%)</w:t>
            </w:r>
          </w:p>
        </w:tc>
        <w:tc>
          <w:tcPr>
            <w:tcW w:w="1416" w:type="dxa"/>
            <w:shd w:val="clear" w:color="auto" w:fill="B8CCE4" w:themeFill="accent1" w:themeFillTint="66"/>
          </w:tcPr>
          <w:p w14:paraId="37EB7017" w14:textId="77777777" w:rsidR="00AC3194" w:rsidRDefault="00AC3194" w:rsidP="00391F65">
            <w:pPr>
              <w:pStyle w:val="BodyText"/>
              <w:jc w:val="center"/>
              <w:rPr>
                <w:b/>
                <w:bCs/>
                <w:lang w:val="en-US" w:eastAsia="fr-FR"/>
              </w:rPr>
            </w:pPr>
            <w:r>
              <w:rPr>
                <w:b/>
                <w:bCs/>
                <w:lang w:val="en-US" w:eastAsia="fr-FR"/>
              </w:rPr>
              <w:t>MS poultry with litter (%)</w:t>
            </w:r>
          </w:p>
        </w:tc>
        <w:tc>
          <w:tcPr>
            <w:tcW w:w="1416" w:type="dxa"/>
            <w:shd w:val="clear" w:color="auto" w:fill="B8CCE4" w:themeFill="accent1" w:themeFillTint="66"/>
          </w:tcPr>
          <w:p w14:paraId="5E37E258" w14:textId="77777777" w:rsidR="00AC3194" w:rsidRDefault="00AC3194" w:rsidP="00391F65">
            <w:pPr>
              <w:pStyle w:val="BodyText"/>
              <w:jc w:val="center"/>
              <w:rPr>
                <w:b/>
                <w:bCs/>
                <w:lang w:val="en-US" w:eastAsia="fr-FR"/>
              </w:rPr>
            </w:pPr>
            <w:r>
              <w:rPr>
                <w:b/>
                <w:bCs/>
                <w:lang w:val="en-US" w:eastAsia="fr-FR"/>
              </w:rPr>
              <w:t xml:space="preserve">MS other </w:t>
            </w:r>
            <w:r>
              <w:rPr>
                <w:b/>
                <w:bCs/>
                <w:lang w:val="en-US" w:eastAsia="fr-FR"/>
              </w:rPr>
              <w:br/>
              <w:t>(%)</w:t>
            </w:r>
          </w:p>
        </w:tc>
      </w:tr>
      <w:tr w:rsidR="00AC3194" w14:paraId="40814982" w14:textId="77777777" w:rsidTr="00391F65">
        <w:trPr>
          <w:jc w:val="center"/>
        </w:trPr>
        <w:tc>
          <w:tcPr>
            <w:tcW w:w="1751" w:type="dxa"/>
          </w:tcPr>
          <w:p w14:paraId="2B63C5DB" w14:textId="77777777" w:rsidR="00AC3194" w:rsidRDefault="00AC3194" w:rsidP="00391F65">
            <w:pPr>
              <w:pStyle w:val="BodyText"/>
              <w:jc w:val="center"/>
              <w:rPr>
                <w:lang w:val="en-US" w:eastAsia="fr-FR"/>
              </w:rPr>
            </w:pPr>
            <w:r>
              <w:rPr>
                <w:lang w:val="en-US" w:eastAsia="fr-FR"/>
              </w:rPr>
              <w:t>Dairy cattle</w:t>
            </w:r>
          </w:p>
        </w:tc>
        <w:tc>
          <w:tcPr>
            <w:tcW w:w="1647" w:type="dxa"/>
          </w:tcPr>
          <w:p w14:paraId="2DAA22A0" w14:textId="77777777" w:rsidR="00AC3194" w:rsidRDefault="00AC3194" w:rsidP="00391F65">
            <w:pPr>
              <w:pStyle w:val="BodyText"/>
              <w:jc w:val="center"/>
              <w:rPr>
                <w:lang w:val="en-US" w:eastAsia="fr-FR"/>
              </w:rPr>
            </w:pPr>
            <w:r>
              <w:rPr>
                <w:lang w:val="en-US" w:eastAsia="fr-FR"/>
              </w:rPr>
              <w:t>-</w:t>
            </w:r>
          </w:p>
        </w:tc>
        <w:tc>
          <w:tcPr>
            <w:tcW w:w="1416" w:type="dxa"/>
          </w:tcPr>
          <w:p w14:paraId="72FF1336" w14:textId="77777777" w:rsidR="00AC3194" w:rsidRDefault="00AC3194" w:rsidP="00391F65">
            <w:pPr>
              <w:pStyle w:val="BodyText"/>
              <w:jc w:val="center"/>
              <w:rPr>
                <w:lang w:val="en-US" w:eastAsia="fr-FR"/>
              </w:rPr>
            </w:pPr>
            <w:r>
              <w:rPr>
                <w:lang w:val="en-US" w:eastAsia="fr-FR"/>
              </w:rPr>
              <w:t>-</w:t>
            </w:r>
          </w:p>
        </w:tc>
        <w:tc>
          <w:tcPr>
            <w:tcW w:w="1416" w:type="dxa"/>
          </w:tcPr>
          <w:p w14:paraId="3E90FC92" w14:textId="77777777" w:rsidR="00AC3194" w:rsidRDefault="00AC3194" w:rsidP="00391F65">
            <w:pPr>
              <w:pStyle w:val="BodyText"/>
              <w:jc w:val="center"/>
              <w:rPr>
                <w:lang w:val="en-US" w:eastAsia="fr-FR"/>
              </w:rPr>
            </w:pPr>
            <w:r>
              <w:rPr>
                <w:lang w:val="en-US" w:eastAsia="fr-FR"/>
              </w:rPr>
              <w:t>1%</w:t>
            </w:r>
          </w:p>
        </w:tc>
        <w:tc>
          <w:tcPr>
            <w:tcW w:w="1416" w:type="dxa"/>
          </w:tcPr>
          <w:p w14:paraId="5B3653EA" w14:textId="77777777" w:rsidR="00AC3194" w:rsidRDefault="00AC3194" w:rsidP="00391F65">
            <w:pPr>
              <w:pStyle w:val="BodyText"/>
              <w:jc w:val="center"/>
              <w:rPr>
                <w:lang w:val="en-US" w:eastAsia="fr-FR"/>
              </w:rPr>
            </w:pPr>
            <w:r>
              <w:rPr>
                <w:lang w:val="en-US" w:eastAsia="fr-FR"/>
              </w:rPr>
              <w:t>-</w:t>
            </w:r>
          </w:p>
        </w:tc>
        <w:tc>
          <w:tcPr>
            <w:tcW w:w="1416" w:type="dxa"/>
          </w:tcPr>
          <w:p w14:paraId="4E3E20E8" w14:textId="77777777" w:rsidR="00AC3194" w:rsidRDefault="00AC3194" w:rsidP="00391F65">
            <w:pPr>
              <w:pStyle w:val="BodyText"/>
              <w:jc w:val="center"/>
              <w:rPr>
                <w:lang w:val="en-US" w:eastAsia="fr-FR"/>
              </w:rPr>
            </w:pPr>
            <w:r>
              <w:rPr>
                <w:lang w:val="en-US" w:eastAsia="fr-FR"/>
              </w:rPr>
              <w:t>-</w:t>
            </w:r>
          </w:p>
        </w:tc>
      </w:tr>
      <w:tr w:rsidR="00AC3194" w14:paraId="1E8A4301" w14:textId="77777777" w:rsidTr="00391F65">
        <w:trPr>
          <w:jc w:val="center"/>
        </w:trPr>
        <w:tc>
          <w:tcPr>
            <w:tcW w:w="1751" w:type="dxa"/>
          </w:tcPr>
          <w:p w14:paraId="3AEDE947" w14:textId="77777777" w:rsidR="00AC3194" w:rsidRDefault="00AC3194" w:rsidP="00391F65">
            <w:pPr>
              <w:pStyle w:val="BodyText"/>
              <w:jc w:val="center"/>
              <w:rPr>
                <w:lang w:val="en-US" w:eastAsia="fr-FR"/>
              </w:rPr>
            </w:pPr>
            <w:r>
              <w:rPr>
                <w:lang w:val="en-US" w:eastAsia="fr-FR"/>
              </w:rPr>
              <w:t>Other cattle</w:t>
            </w:r>
          </w:p>
        </w:tc>
        <w:tc>
          <w:tcPr>
            <w:tcW w:w="1647" w:type="dxa"/>
          </w:tcPr>
          <w:p w14:paraId="541B1598" w14:textId="77777777" w:rsidR="00AC3194" w:rsidRDefault="00AC3194" w:rsidP="00391F65">
            <w:pPr>
              <w:pStyle w:val="BodyText"/>
              <w:jc w:val="center"/>
              <w:rPr>
                <w:lang w:val="en-US" w:eastAsia="fr-FR"/>
              </w:rPr>
            </w:pPr>
            <w:r>
              <w:rPr>
                <w:lang w:val="en-US" w:eastAsia="fr-FR"/>
              </w:rPr>
              <w:t>-</w:t>
            </w:r>
          </w:p>
        </w:tc>
        <w:tc>
          <w:tcPr>
            <w:tcW w:w="1416" w:type="dxa"/>
          </w:tcPr>
          <w:p w14:paraId="2E184907" w14:textId="77777777" w:rsidR="00AC3194" w:rsidRDefault="00AC3194" w:rsidP="00391F65">
            <w:pPr>
              <w:pStyle w:val="BodyText"/>
              <w:jc w:val="center"/>
              <w:rPr>
                <w:lang w:val="en-US" w:eastAsia="fr-FR"/>
              </w:rPr>
            </w:pPr>
            <w:r>
              <w:rPr>
                <w:lang w:val="en-US" w:eastAsia="fr-FR"/>
              </w:rPr>
              <w:t>-</w:t>
            </w:r>
          </w:p>
        </w:tc>
        <w:tc>
          <w:tcPr>
            <w:tcW w:w="1416" w:type="dxa"/>
          </w:tcPr>
          <w:p w14:paraId="74B65F17" w14:textId="77777777" w:rsidR="00AC3194" w:rsidRDefault="00AC3194" w:rsidP="00391F65">
            <w:pPr>
              <w:pStyle w:val="BodyText"/>
              <w:jc w:val="center"/>
              <w:rPr>
                <w:lang w:val="en-US" w:eastAsia="fr-FR"/>
              </w:rPr>
            </w:pPr>
            <w:r>
              <w:rPr>
                <w:lang w:val="en-US" w:eastAsia="fr-FR"/>
              </w:rPr>
              <w:t>-</w:t>
            </w:r>
          </w:p>
        </w:tc>
        <w:tc>
          <w:tcPr>
            <w:tcW w:w="1416" w:type="dxa"/>
          </w:tcPr>
          <w:p w14:paraId="136AF57C" w14:textId="77777777" w:rsidR="00AC3194" w:rsidRDefault="00AC3194" w:rsidP="00391F65">
            <w:pPr>
              <w:pStyle w:val="BodyText"/>
              <w:jc w:val="center"/>
              <w:rPr>
                <w:lang w:val="en-US" w:eastAsia="fr-FR"/>
              </w:rPr>
            </w:pPr>
            <w:r>
              <w:rPr>
                <w:lang w:val="en-US" w:eastAsia="fr-FR"/>
              </w:rPr>
              <w:t>-</w:t>
            </w:r>
          </w:p>
        </w:tc>
        <w:tc>
          <w:tcPr>
            <w:tcW w:w="1416" w:type="dxa"/>
          </w:tcPr>
          <w:p w14:paraId="095860E7" w14:textId="77777777" w:rsidR="00AC3194" w:rsidRDefault="00AC3194" w:rsidP="00391F65">
            <w:pPr>
              <w:pStyle w:val="BodyText"/>
              <w:jc w:val="center"/>
              <w:rPr>
                <w:lang w:val="en-US" w:eastAsia="fr-FR"/>
              </w:rPr>
            </w:pPr>
            <w:r>
              <w:rPr>
                <w:lang w:val="en-US" w:eastAsia="fr-FR"/>
              </w:rPr>
              <w:t>-</w:t>
            </w:r>
          </w:p>
        </w:tc>
      </w:tr>
      <w:tr w:rsidR="00AC3194" w14:paraId="4768229F" w14:textId="77777777" w:rsidTr="00391F65">
        <w:trPr>
          <w:jc w:val="center"/>
        </w:trPr>
        <w:tc>
          <w:tcPr>
            <w:tcW w:w="1751" w:type="dxa"/>
          </w:tcPr>
          <w:p w14:paraId="393942F9" w14:textId="77777777" w:rsidR="00AC3194" w:rsidRDefault="00AC3194" w:rsidP="00391F65">
            <w:pPr>
              <w:pStyle w:val="BodyText"/>
              <w:jc w:val="center"/>
              <w:rPr>
                <w:lang w:val="en-US" w:eastAsia="fr-FR"/>
              </w:rPr>
            </w:pPr>
            <w:r>
              <w:rPr>
                <w:lang w:val="en-US" w:eastAsia="fr-FR"/>
              </w:rPr>
              <w:t>Sheep</w:t>
            </w:r>
          </w:p>
        </w:tc>
        <w:tc>
          <w:tcPr>
            <w:tcW w:w="1647" w:type="dxa"/>
          </w:tcPr>
          <w:p w14:paraId="64CB1A7B" w14:textId="77777777" w:rsidR="00AC3194" w:rsidRDefault="00AC3194" w:rsidP="00391F65">
            <w:pPr>
              <w:pStyle w:val="BodyText"/>
              <w:jc w:val="center"/>
              <w:rPr>
                <w:lang w:val="en-US" w:eastAsia="fr-FR"/>
              </w:rPr>
            </w:pPr>
            <w:r>
              <w:rPr>
                <w:lang w:val="en-US" w:eastAsia="fr-FR"/>
              </w:rPr>
              <w:t>-</w:t>
            </w:r>
          </w:p>
        </w:tc>
        <w:tc>
          <w:tcPr>
            <w:tcW w:w="1416" w:type="dxa"/>
          </w:tcPr>
          <w:p w14:paraId="5EC3BA39" w14:textId="77777777" w:rsidR="00AC3194" w:rsidRDefault="00AC3194" w:rsidP="00391F65">
            <w:pPr>
              <w:pStyle w:val="BodyText"/>
              <w:jc w:val="center"/>
              <w:rPr>
                <w:lang w:val="en-US" w:eastAsia="fr-FR"/>
              </w:rPr>
            </w:pPr>
            <w:r>
              <w:rPr>
                <w:lang w:val="en-US" w:eastAsia="fr-FR"/>
              </w:rPr>
              <w:t>-</w:t>
            </w:r>
          </w:p>
        </w:tc>
        <w:tc>
          <w:tcPr>
            <w:tcW w:w="1416" w:type="dxa"/>
          </w:tcPr>
          <w:p w14:paraId="15CBF8DF" w14:textId="77777777" w:rsidR="00AC3194" w:rsidRDefault="00AC3194" w:rsidP="00391F65">
            <w:pPr>
              <w:pStyle w:val="BodyText"/>
              <w:jc w:val="center"/>
              <w:rPr>
                <w:lang w:val="en-US" w:eastAsia="fr-FR"/>
              </w:rPr>
            </w:pPr>
            <w:r>
              <w:rPr>
                <w:lang w:val="en-US" w:eastAsia="fr-FR"/>
              </w:rPr>
              <w:t>-</w:t>
            </w:r>
          </w:p>
        </w:tc>
        <w:tc>
          <w:tcPr>
            <w:tcW w:w="1416" w:type="dxa"/>
          </w:tcPr>
          <w:p w14:paraId="4D174686" w14:textId="77777777" w:rsidR="00AC3194" w:rsidRDefault="00AC3194" w:rsidP="00391F65">
            <w:pPr>
              <w:pStyle w:val="BodyText"/>
              <w:jc w:val="center"/>
              <w:rPr>
                <w:lang w:val="en-US" w:eastAsia="fr-FR"/>
              </w:rPr>
            </w:pPr>
            <w:r>
              <w:rPr>
                <w:lang w:val="en-US" w:eastAsia="fr-FR"/>
              </w:rPr>
              <w:t>-</w:t>
            </w:r>
          </w:p>
        </w:tc>
        <w:tc>
          <w:tcPr>
            <w:tcW w:w="1416" w:type="dxa"/>
          </w:tcPr>
          <w:p w14:paraId="10F94F69" w14:textId="77777777" w:rsidR="00AC3194" w:rsidRDefault="00AC3194" w:rsidP="00391F65">
            <w:pPr>
              <w:pStyle w:val="BodyText"/>
              <w:jc w:val="center"/>
              <w:rPr>
                <w:lang w:val="en-US" w:eastAsia="fr-FR"/>
              </w:rPr>
            </w:pPr>
            <w:r>
              <w:rPr>
                <w:lang w:val="en-US" w:eastAsia="fr-FR"/>
              </w:rPr>
              <w:t>-</w:t>
            </w:r>
          </w:p>
        </w:tc>
      </w:tr>
      <w:tr w:rsidR="00AC3194" w14:paraId="1746047A" w14:textId="77777777" w:rsidTr="00391F65">
        <w:trPr>
          <w:jc w:val="center"/>
        </w:trPr>
        <w:tc>
          <w:tcPr>
            <w:tcW w:w="1751" w:type="dxa"/>
          </w:tcPr>
          <w:p w14:paraId="0104FF70" w14:textId="77777777" w:rsidR="00AC3194" w:rsidRDefault="00AC3194" w:rsidP="00391F65">
            <w:pPr>
              <w:pStyle w:val="BodyText"/>
              <w:jc w:val="center"/>
              <w:rPr>
                <w:lang w:val="en-US" w:eastAsia="fr-FR"/>
              </w:rPr>
            </w:pPr>
            <w:r>
              <w:rPr>
                <w:lang w:val="en-US" w:eastAsia="fr-FR"/>
              </w:rPr>
              <w:t>Fattening pigs</w:t>
            </w:r>
          </w:p>
        </w:tc>
        <w:tc>
          <w:tcPr>
            <w:tcW w:w="1647" w:type="dxa"/>
          </w:tcPr>
          <w:p w14:paraId="37C81EB7" w14:textId="77777777" w:rsidR="00AC3194" w:rsidRDefault="00AC3194" w:rsidP="00391F65">
            <w:pPr>
              <w:pStyle w:val="BodyText"/>
              <w:jc w:val="center"/>
              <w:rPr>
                <w:lang w:val="en-US" w:eastAsia="fr-FR"/>
              </w:rPr>
            </w:pPr>
            <w:r>
              <w:rPr>
                <w:lang w:val="en-US" w:eastAsia="fr-FR"/>
              </w:rPr>
              <w:t>4%</w:t>
            </w:r>
          </w:p>
        </w:tc>
        <w:tc>
          <w:tcPr>
            <w:tcW w:w="1416" w:type="dxa"/>
          </w:tcPr>
          <w:p w14:paraId="134F20B6" w14:textId="77777777" w:rsidR="00AC3194" w:rsidRDefault="00AC3194" w:rsidP="00391F65">
            <w:pPr>
              <w:pStyle w:val="BodyText"/>
              <w:jc w:val="center"/>
              <w:rPr>
                <w:lang w:val="en-US" w:eastAsia="fr-FR"/>
              </w:rPr>
            </w:pPr>
            <w:r>
              <w:rPr>
                <w:lang w:val="en-US" w:eastAsia="fr-FR"/>
              </w:rPr>
              <w:t>4%</w:t>
            </w:r>
          </w:p>
        </w:tc>
        <w:tc>
          <w:tcPr>
            <w:tcW w:w="1416" w:type="dxa"/>
          </w:tcPr>
          <w:p w14:paraId="5DA696F8" w14:textId="77777777" w:rsidR="00AC3194" w:rsidRDefault="00AC3194" w:rsidP="00391F65">
            <w:pPr>
              <w:pStyle w:val="BodyText"/>
              <w:jc w:val="center"/>
              <w:rPr>
                <w:lang w:val="en-US" w:eastAsia="fr-FR"/>
              </w:rPr>
            </w:pPr>
            <w:r>
              <w:rPr>
                <w:lang w:val="en-US" w:eastAsia="fr-FR"/>
              </w:rPr>
              <w:t>-</w:t>
            </w:r>
          </w:p>
        </w:tc>
        <w:tc>
          <w:tcPr>
            <w:tcW w:w="1416" w:type="dxa"/>
          </w:tcPr>
          <w:p w14:paraId="5AFA926A" w14:textId="77777777" w:rsidR="00AC3194" w:rsidRDefault="00AC3194" w:rsidP="00391F65">
            <w:pPr>
              <w:pStyle w:val="BodyText"/>
              <w:jc w:val="center"/>
              <w:rPr>
                <w:lang w:val="en-US" w:eastAsia="fr-FR"/>
              </w:rPr>
            </w:pPr>
            <w:r>
              <w:rPr>
                <w:lang w:val="en-US" w:eastAsia="fr-FR"/>
              </w:rPr>
              <w:t>-</w:t>
            </w:r>
          </w:p>
        </w:tc>
        <w:tc>
          <w:tcPr>
            <w:tcW w:w="1416" w:type="dxa"/>
          </w:tcPr>
          <w:p w14:paraId="59CFE30B" w14:textId="77777777" w:rsidR="00AC3194" w:rsidRDefault="00AC3194" w:rsidP="00391F65">
            <w:pPr>
              <w:pStyle w:val="BodyText"/>
              <w:jc w:val="center"/>
              <w:rPr>
                <w:lang w:val="en-US" w:eastAsia="fr-FR"/>
              </w:rPr>
            </w:pPr>
            <w:r>
              <w:rPr>
                <w:lang w:val="en-US" w:eastAsia="fr-FR"/>
              </w:rPr>
              <w:t>-</w:t>
            </w:r>
          </w:p>
        </w:tc>
      </w:tr>
      <w:tr w:rsidR="00AC3194" w14:paraId="56B4879B" w14:textId="77777777" w:rsidTr="00391F65">
        <w:trPr>
          <w:jc w:val="center"/>
        </w:trPr>
        <w:tc>
          <w:tcPr>
            <w:tcW w:w="1751" w:type="dxa"/>
          </w:tcPr>
          <w:p w14:paraId="742669E0" w14:textId="77777777" w:rsidR="00AC3194" w:rsidRDefault="00AC3194" w:rsidP="00391F65">
            <w:pPr>
              <w:pStyle w:val="BodyText"/>
              <w:jc w:val="center"/>
              <w:rPr>
                <w:lang w:val="en-US" w:eastAsia="fr-FR"/>
              </w:rPr>
            </w:pPr>
            <w:r>
              <w:rPr>
                <w:lang w:val="en-US" w:eastAsia="fr-FR"/>
              </w:rPr>
              <w:t>Sows</w:t>
            </w:r>
          </w:p>
        </w:tc>
        <w:tc>
          <w:tcPr>
            <w:tcW w:w="1647" w:type="dxa"/>
          </w:tcPr>
          <w:p w14:paraId="00B8A101" w14:textId="77777777" w:rsidR="00AC3194" w:rsidRDefault="00AC3194" w:rsidP="00391F65">
            <w:pPr>
              <w:pStyle w:val="BodyText"/>
              <w:jc w:val="center"/>
              <w:rPr>
                <w:lang w:val="en-US" w:eastAsia="fr-FR"/>
              </w:rPr>
            </w:pPr>
            <w:r>
              <w:rPr>
                <w:lang w:val="en-US" w:eastAsia="fr-FR"/>
              </w:rPr>
              <w:t>4%</w:t>
            </w:r>
          </w:p>
        </w:tc>
        <w:tc>
          <w:tcPr>
            <w:tcW w:w="1416" w:type="dxa"/>
          </w:tcPr>
          <w:p w14:paraId="460542C2" w14:textId="77777777" w:rsidR="00AC3194" w:rsidRDefault="00AC3194" w:rsidP="00391F65">
            <w:pPr>
              <w:pStyle w:val="BodyText"/>
              <w:jc w:val="center"/>
              <w:rPr>
                <w:lang w:val="en-US" w:eastAsia="fr-FR"/>
              </w:rPr>
            </w:pPr>
            <w:r>
              <w:rPr>
                <w:lang w:val="en-US" w:eastAsia="fr-FR"/>
              </w:rPr>
              <w:t>4%</w:t>
            </w:r>
          </w:p>
        </w:tc>
        <w:tc>
          <w:tcPr>
            <w:tcW w:w="1416" w:type="dxa"/>
          </w:tcPr>
          <w:p w14:paraId="52DEEA70" w14:textId="77777777" w:rsidR="00AC3194" w:rsidRDefault="00AC3194" w:rsidP="00391F65">
            <w:pPr>
              <w:pStyle w:val="BodyText"/>
              <w:jc w:val="center"/>
              <w:rPr>
                <w:lang w:val="en-US" w:eastAsia="fr-FR"/>
              </w:rPr>
            </w:pPr>
            <w:r>
              <w:rPr>
                <w:lang w:val="en-US" w:eastAsia="fr-FR"/>
              </w:rPr>
              <w:t>-</w:t>
            </w:r>
          </w:p>
        </w:tc>
        <w:tc>
          <w:tcPr>
            <w:tcW w:w="1416" w:type="dxa"/>
          </w:tcPr>
          <w:p w14:paraId="4CD4A773" w14:textId="77777777" w:rsidR="00AC3194" w:rsidRDefault="00AC3194" w:rsidP="00391F65">
            <w:pPr>
              <w:pStyle w:val="BodyText"/>
              <w:jc w:val="center"/>
              <w:rPr>
                <w:lang w:val="en-US" w:eastAsia="fr-FR"/>
              </w:rPr>
            </w:pPr>
            <w:r>
              <w:rPr>
                <w:lang w:val="en-US" w:eastAsia="fr-FR"/>
              </w:rPr>
              <w:t>-</w:t>
            </w:r>
          </w:p>
        </w:tc>
        <w:tc>
          <w:tcPr>
            <w:tcW w:w="1416" w:type="dxa"/>
          </w:tcPr>
          <w:p w14:paraId="1528BBAD" w14:textId="77777777" w:rsidR="00AC3194" w:rsidRDefault="00AC3194" w:rsidP="00391F65">
            <w:pPr>
              <w:pStyle w:val="BodyText"/>
              <w:jc w:val="center"/>
              <w:rPr>
                <w:lang w:val="en-US" w:eastAsia="fr-FR"/>
              </w:rPr>
            </w:pPr>
            <w:r>
              <w:rPr>
                <w:lang w:val="en-US" w:eastAsia="fr-FR"/>
              </w:rPr>
              <w:t>-</w:t>
            </w:r>
          </w:p>
        </w:tc>
      </w:tr>
      <w:tr w:rsidR="00AC3194" w14:paraId="702BF922" w14:textId="77777777" w:rsidTr="00391F65">
        <w:trPr>
          <w:jc w:val="center"/>
        </w:trPr>
        <w:tc>
          <w:tcPr>
            <w:tcW w:w="1751" w:type="dxa"/>
          </w:tcPr>
          <w:p w14:paraId="66C32225" w14:textId="77777777" w:rsidR="00AC3194" w:rsidRDefault="00AC3194" w:rsidP="00391F65">
            <w:pPr>
              <w:pStyle w:val="BodyText"/>
              <w:jc w:val="center"/>
              <w:rPr>
                <w:lang w:val="en-US" w:eastAsia="fr-FR"/>
              </w:rPr>
            </w:pPr>
            <w:r>
              <w:rPr>
                <w:lang w:val="en-US" w:eastAsia="fr-FR"/>
              </w:rPr>
              <w:t>Goats</w:t>
            </w:r>
          </w:p>
        </w:tc>
        <w:tc>
          <w:tcPr>
            <w:tcW w:w="1647" w:type="dxa"/>
          </w:tcPr>
          <w:p w14:paraId="6701C14D" w14:textId="77777777" w:rsidR="00AC3194" w:rsidRDefault="00AC3194" w:rsidP="00391F65">
            <w:pPr>
              <w:pStyle w:val="BodyText"/>
              <w:jc w:val="center"/>
              <w:rPr>
                <w:lang w:val="en-US" w:eastAsia="fr-FR"/>
              </w:rPr>
            </w:pPr>
            <w:r>
              <w:rPr>
                <w:lang w:val="en-US" w:eastAsia="fr-FR"/>
              </w:rPr>
              <w:t>-</w:t>
            </w:r>
          </w:p>
        </w:tc>
        <w:tc>
          <w:tcPr>
            <w:tcW w:w="1416" w:type="dxa"/>
          </w:tcPr>
          <w:p w14:paraId="49619B56" w14:textId="77777777" w:rsidR="00AC3194" w:rsidRDefault="00AC3194" w:rsidP="00391F65">
            <w:pPr>
              <w:pStyle w:val="BodyText"/>
              <w:jc w:val="center"/>
              <w:rPr>
                <w:lang w:val="en-US" w:eastAsia="fr-FR"/>
              </w:rPr>
            </w:pPr>
            <w:r>
              <w:rPr>
                <w:lang w:val="en-US" w:eastAsia="fr-FR"/>
              </w:rPr>
              <w:t>-</w:t>
            </w:r>
          </w:p>
        </w:tc>
        <w:tc>
          <w:tcPr>
            <w:tcW w:w="1416" w:type="dxa"/>
          </w:tcPr>
          <w:p w14:paraId="40910F74" w14:textId="77777777" w:rsidR="00AC3194" w:rsidRDefault="00AC3194" w:rsidP="00391F65">
            <w:pPr>
              <w:pStyle w:val="BodyText"/>
              <w:jc w:val="center"/>
              <w:rPr>
                <w:lang w:val="en-US" w:eastAsia="fr-FR"/>
              </w:rPr>
            </w:pPr>
            <w:r>
              <w:rPr>
                <w:lang w:val="en-US" w:eastAsia="fr-FR"/>
              </w:rPr>
              <w:t>-</w:t>
            </w:r>
          </w:p>
        </w:tc>
        <w:tc>
          <w:tcPr>
            <w:tcW w:w="1416" w:type="dxa"/>
          </w:tcPr>
          <w:p w14:paraId="180AAD7C" w14:textId="77777777" w:rsidR="00AC3194" w:rsidRDefault="00AC3194" w:rsidP="00391F65">
            <w:pPr>
              <w:pStyle w:val="BodyText"/>
              <w:jc w:val="center"/>
              <w:rPr>
                <w:lang w:val="en-US" w:eastAsia="fr-FR"/>
              </w:rPr>
            </w:pPr>
            <w:r>
              <w:rPr>
                <w:lang w:val="en-US" w:eastAsia="fr-FR"/>
              </w:rPr>
              <w:t>-</w:t>
            </w:r>
          </w:p>
        </w:tc>
        <w:tc>
          <w:tcPr>
            <w:tcW w:w="1416" w:type="dxa"/>
          </w:tcPr>
          <w:p w14:paraId="6CAE2771" w14:textId="77777777" w:rsidR="00AC3194" w:rsidRDefault="00AC3194" w:rsidP="00391F65">
            <w:pPr>
              <w:pStyle w:val="BodyText"/>
              <w:jc w:val="center"/>
              <w:rPr>
                <w:lang w:val="en-US" w:eastAsia="fr-FR"/>
              </w:rPr>
            </w:pPr>
            <w:r>
              <w:rPr>
                <w:lang w:val="en-US" w:eastAsia="fr-FR"/>
              </w:rPr>
              <w:t>-</w:t>
            </w:r>
          </w:p>
        </w:tc>
      </w:tr>
      <w:tr w:rsidR="00AC3194" w14:paraId="5D98969A" w14:textId="77777777" w:rsidTr="00391F65">
        <w:trPr>
          <w:jc w:val="center"/>
        </w:trPr>
        <w:tc>
          <w:tcPr>
            <w:tcW w:w="1751" w:type="dxa"/>
          </w:tcPr>
          <w:p w14:paraId="62017A85" w14:textId="77777777" w:rsidR="00AC3194" w:rsidRDefault="00AC3194" w:rsidP="00391F65">
            <w:pPr>
              <w:pStyle w:val="BodyText"/>
              <w:jc w:val="center"/>
              <w:rPr>
                <w:lang w:val="en-US" w:eastAsia="fr-FR"/>
              </w:rPr>
            </w:pPr>
            <w:r>
              <w:rPr>
                <w:lang w:val="en-US" w:eastAsia="fr-FR"/>
              </w:rPr>
              <w:t>Horses</w:t>
            </w:r>
          </w:p>
        </w:tc>
        <w:tc>
          <w:tcPr>
            <w:tcW w:w="1647" w:type="dxa"/>
          </w:tcPr>
          <w:p w14:paraId="6DC6332E" w14:textId="77777777" w:rsidR="00AC3194" w:rsidRDefault="00AC3194" w:rsidP="00391F65">
            <w:pPr>
              <w:pStyle w:val="BodyText"/>
              <w:jc w:val="center"/>
              <w:rPr>
                <w:lang w:val="en-US" w:eastAsia="fr-FR"/>
              </w:rPr>
            </w:pPr>
            <w:r>
              <w:rPr>
                <w:lang w:val="en-US" w:eastAsia="fr-FR"/>
              </w:rPr>
              <w:t>-</w:t>
            </w:r>
          </w:p>
        </w:tc>
        <w:tc>
          <w:tcPr>
            <w:tcW w:w="1416" w:type="dxa"/>
          </w:tcPr>
          <w:p w14:paraId="67A65702" w14:textId="77777777" w:rsidR="00AC3194" w:rsidRDefault="00AC3194" w:rsidP="00391F65">
            <w:pPr>
              <w:pStyle w:val="BodyText"/>
              <w:jc w:val="center"/>
              <w:rPr>
                <w:lang w:val="en-US" w:eastAsia="fr-FR"/>
              </w:rPr>
            </w:pPr>
            <w:r>
              <w:rPr>
                <w:lang w:val="en-US" w:eastAsia="fr-FR"/>
              </w:rPr>
              <w:t>-</w:t>
            </w:r>
          </w:p>
        </w:tc>
        <w:tc>
          <w:tcPr>
            <w:tcW w:w="1416" w:type="dxa"/>
          </w:tcPr>
          <w:p w14:paraId="7364C5C2" w14:textId="77777777" w:rsidR="00AC3194" w:rsidRDefault="00AC3194" w:rsidP="00391F65">
            <w:pPr>
              <w:pStyle w:val="BodyText"/>
              <w:jc w:val="center"/>
              <w:rPr>
                <w:lang w:val="en-US" w:eastAsia="fr-FR"/>
              </w:rPr>
            </w:pPr>
            <w:r>
              <w:rPr>
                <w:lang w:val="en-US" w:eastAsia="fr-FR"/>
              </w:rPr>
              <w:t>50%</w:t>
            </w:r>
          </w:p>
        </w:tc>
        <w:tc>
          <w:tcPr>
            <w:tcW w:w="1416" w:type="dxa"/>
          </w:tcPr>
          <w:p w14:paraId="7C03A21A" w14:textId="77777777" w:rsidR="00AC3194" w:rsidRDefault="00AC3194" w:rsidP="00391F65">
            <w:pPr>
              <w:pStyle w:val="BodyText"/>
              <w:jc w:val="center"/>
              <w:rPr>
                <w:lang w:val="en-US" w:eastAsia="fr-FR"/>
              </w:rPr>
            </w:pPr>
            <w:r>
              <w:rPr>
                <w:lang w:val="en-US" w:eastAsia="fr-FR"/>
              </w:rPr>
              <w:t>-</w:t>
            </w:r>
          </w:p>
        </w:tc>
        <w:tc>
          <w:tcPr>
            <w:tcW w:w="1416" w:type="dxa"/>
          </w:tcPr>
          <w:p w14:paraId="326EBEC0" w14:textId="77777777" w:rsidR="00AC3194" w:rsidRDefault="00AC3194" w:rsidP="00391F65">
            <w:pPr>
              <w:pStyle w:val="BodyText"/>
              <w:jc w:val="center"/>
              <w:rPr>
                <w:lang w:val="en-US" w:eastAsia="fr-FR"/>
              </w:rPr>
            </w:pPr>
            <w:r>
              <w:rPr>
                <w:lang w:val="en-US" w:eastAsia="fr-FR"/>
              </w:rPr>
              <w:t>-</w:t>
            </w:r>
          </w:p>
        </w:tc>
      </w:tr>
      <w:tr w:rsidR="00AC3194" w14:paraId="78D602FC" w14:textId="77777777" w:rsidTr="00391F65">
        <w:trPr>
          <w:jc w:val="center"/>
        </w:trPr>
        <w:tc>
          <w:tcPr>
            <w:tcW w:w="1751" w:type="dxa"/>
          </w:tcPr>
          <w:p w14:paraId="41D67D65" w14:textId="77777777" w:rsidR="00AC3194" w:rsidRDefault="00AC3194" w:rsidP="00391F65">
            <w:pPr>
              <w:pStyle w:val="BodyText"/>
              <w:jc w:val="center"/>
              <w:rPr>
                <w:lang w:val="en-US" w:eastAsia="fr-FR"/>
              </w:rPr>
            </w:pPr>
            <w:r>
              <w:rPr>
                <w:lang w:val="en-US" w:eastAsia="fr-FR"/>
              </w:rPr>
              <w:t>Layers</w:t>
            </w:r>
          </w:p>
        </w:tc>
        <w:tc>
          <w:tcPr>
            <w:tcW w:w="1647" w:type="dxa"/>
          </w:tcPr>
          <w:p w14:paraId="5C95514C" w14:textId="77777777" w:rsidR="00AC3194" w:rsidRDefault="00AC3194" w:rsidP="00391F65">
            <w:pPr>
              <w:pStyle w:val="BodyText"/>
              <w:jc w:val="center"/>
              <w:rPr>
                <w:lang w:val="en-US" w:eastAsia="fr-FR"/>
              </w:rPr>
            </w:pPr>
            <w:r>
              <w:rPr>
                <w:lang w:val="en-US" w:eastAsia="fr-FR"/>
              </w:rPr>
              <w:t>-</w:t>
            </w:r>
          </w:p>
        </w:tc>
        <w:tc>
          <w:tcPr>
            <w:tcW w:w="1416" w:type="dxa"/>
          </w:tcPr>
          <w:p w14:paraId="675CC6FE" w14:textId="77777777" w:rsidR="00AC3194" w:rsidRDefault="00AC3194" w:rsidP="00391F65">
            <w:pPr>
              <w:pStyle w:val="BodyText"/>
              <w:jc w:val="center"/>
              <w:rPr>
                <w:lang w:val="en-US" w:eastAsia="fr-FR"/>
              </w:rPr>
            </w:pPr>
            <w:r>
              <w:rPr>
                <w:lang w:val="en-US" w:eastAsia="fr-FR"/>
              </w:rPr>
              <w:t>34%</w:t>
            </w:r>
          </w:p>
        </w:tc>
        <w:tc>
          <w:tcPr>
            <w:tcW w:w="1416" w:type="dxa"/>
          </w:tcPr>
          <w:p w14:paraId="6D4AFE2C" w14:textId="77777777" w:rsidR="00AC3194" w:rsidRDefault="00AC3194" w:rsidP="00391F65">
            <w:pPr>
              <w:pStyle w:val="BodyText"/>
              <w:jc w:val="center"/>
              <w:rPr>
                <w:lang w:val="en-US" w:eastAsia="fr-FR"/>
              </w:rPr>
            </w:pPr>
            <w:r>
              <w:rPr>
                <w:lang w:val="en-US" w:eastAsia="fr-FR"/>
              </w:rPr>
              <w:t>-</w:t>
            </w:r>
          </w:p>
        </w:tc>
        <w:tc>
          <w:tcPr>
            <w:tcW w:w="1416" w:type="dxa"/>
          </w:tcPr>
          <w:p w14:paraId="7105E082" w14:textId="77777777" w:rsidR="00AC3194" w:rsidRDefault="00AC3194" w:rsidP="00391F65">
            <w:pPr>
              <w:pStyle w:val="BodyText"/>
              <w:jc w:val="center"/>
              <w:rPr>
                <w:lang w:val="en-US" w:eastAsia="fr-FR"/>
              </w:rPr>
            </w:pPr>
            <w:r>
              <w:rPr>
                <w:lang w:val="en-US" w:eastAsia="fr-FR"/>
              </w:rPr>
              <w:t>19%</w:t>
            </w:r>
          </w:p>
        </w:tc>
        <w:tc>
          <w:tcPr>
            <w:tcW w:w="1416" w:type="dxa"/>
          </w:tcPr>
          <w:p w14:paraId="0982C541" w14:textId="77777777" w:rsidR="00AC3194" w:rsidRDefault="00AC3194" w:rsidP="00391F65">
            <w:pPr>
              <w:pStyle w:val="BodyText"/>
              <w:jc w:val="center"/>
              <w:rPr>
                <w:lang w:val="en-US" w:eastAsia="fr-FR"/>
              </w:rPr>
            </w:pPr>
            <w:r>
              <w:rPr>
                <w:lang w:val="en-US" w:eastAsia="fr-FR"/>
              </w:rPr>
              <w:t>-</w:t>
            </w:r>
          </w:p>
        </w:tc>
      </w:tr>
      <w:tr w:rsidR="00AC3194" w14:paraId="1E2C132F" w14:textId="77777777" w:rsidTr="00391F65">
        <w:trPr>
          <w:jc w:val="center"/>
        </w:trPr>
        <w:tc>
          <w:tcPr>
            <w:tcW w:w="1751" w:type="dxa"/>
          </w:tcPr>
          <w:p w14:paraId="453D7C7A" w14:textId="77777777" w:rsidR="00AC3194" w:rsidRDefault="00AC3194" w:rsidP="00391F65">
            <w:pPr>
              <w:pStyle w:val="BodyText"/>
              <w:jc w:val="center"/>
              <w:rPr>
                <w:lang w:val="en-US" w:eastAsia="fr-FR"/>
              </w:rPr>
            </w:pPr>
            <w:r>
              <w:rPr>
                <w:lang w:val="en-US" w:eastAsia="fr-FR"/>
              </w:rPr>
              <w:t>Broilers</w:t>
            </w:r>
          </w:p>
        </w:tc>
        <w:tc>
          <w:tcPr>
            <w:tcW w:w="1647" w:type="dxa"/>
          </w:tcPr>
          <w:p w14:paraId="62DD22C5" w14:textId="77777777" w:rsidR="00AC3194" w:rsidRDefault="00AC3194" w:rsidP="00391F65">
            <w:pPr>
              <w:pStyle w:val="BodyText"/>
              <w:jc w:val="center"/>
              <w:rPr>
                <w:lang w:val="en-US" w:eastAsia="fr-FR"/>
              </w:rPr>
            </w:pPr>
            <w:r>
              <w:rPr>
                <w:lang w:val="en-US" w:eastAsia="fr-FR"/>
              </w:rPr>
              <w:t>-</w:t>
            </w:r>
          </w:p>
        </w:tc>
        <w:tc>
          <w:tcPr>
            <w:tcW w:w="1416" w:type="dxa"/>
          </w:tcPr>
          <w:p w14:paraId="588BC039" w14:textId="77777777" w:rsidR="00AC3194" w:rsidRDefault="00AC3194" w:rsidP="00391F65">
            <w:pPr>
              <w:pStyle w:val="BodyText"/>
              <w:jc w:val="center"/>
              <w:rPr>
                <w:lang w:val="en-US" w:eastAsia="fr-FR"/>
              </w:rPr>
            </w:pPr>
            <w:r>
              <w:rPr>
                <w:lang w:val="en-US" w:eastAsia="fr-FR"/>
              </w:rPr>
              <w:t>-</w:t>
            </w:r>
          </w:p>
        </w:tc>
        <w:tc>
          <w:tcPr>
            <w:tcW w:w="1416" w:type="dxa"/>
          </w:tcPr>
          <w:p w14:paraId="045A30B0" w14:textId="77777777" w:rsidR="00AC3194" w:rsidRDefault="00AC3194" w:rsidP="00391F65">
            <w:pPr>
              <w:pStyle w:val="BodyText"/>
              <w:jc w:val="center"/>
              <w:rPr>
                <w:lang w:val="en-US" w:eastAsia="fr-FR"/>
              </w:rPr>
            </w:pPr>
            <w:r>
              <w:rPr>
                <w:lang w:val="en-US" w:eastAsia="fr-FR"/>
              </w:rPr>
              <w:t>-</w:t>
            </w:r>
          </w:p>
        </w:tc>
        <w:tc>
          <w:tcPr>
            <w:tcW w:w="1416" w:type="dxa"/>
          </w:tcPr>
          <w:p w14:paraId="130A8B95" w14:textId="77777777" w:rsidR="00AC3194" w:rsidRDefault="00AC3194" w:rsidP="00391F65">
            <w:pPr>
              <w:pStyle w:val="BodyText"/>
              <w:jc w:val="center"/>
              <w:rPr>
                <w:lang w:val="en-US" w:eastAsia="fr-FR"/>
              </w:rPr>
            </w:pPr>
            <w:r>
              <w:rPr>
                <w:lang w:val="en-US" w:eastAsia="fr-FR"/>
              </w:rPr>
              <w:t>100%</w:t>
            </w:r>
          </w:p>
        </w:tc>
        <w:tc>
          <w:tcPr>
            <w:tcW w:w="1416" w:type="dxa"/>
          </w:tcPr>
          <w:p w14:paraId="16999D16" w14:textId="77777777" w:rsidR="00AC3194" w:rsidRDefault="00AC3194" w:rsidP="00391F65">
            <w:pPr>
              <w:pStyle w:val="BodyText"/>
              <w:jc w:val="center"/>
              <w:rPr>
                <w:lang w:val="en-US" w:eastAsia="fr-FR"/>
              </w:rPr>
            </w:pPr>
            <w:r>
              <w:rPr>
                <w:lang w:val="en-US" w:eastAsia="fr-FR"/>
              </w:rPr>
              <w:t>-</w:t>
            </w:r>
          </w:p>
        </w:tc>
      </w:tr>
      <w:tr w:rsidR="00AC3194" w14:paraId="4BEB7F41" w14:textId="77777777" w:rsidTr="00391F65">
        <w:trPr>
          <w:jc w:val="center"/>
        </w:trPr>
        <w:tc>
          <w:tcPr>
            <w:tcW w:w="1751" w:type="dxa"/>
          </w:tcPr>
          <w:p w14:paraId="1BE8C2C6" w14:textId="77777777" w:rsidR="00AC3194" w:rsidRDefault="00AC3194" w:rsidP="00391F65">
            <w:pPr>
              <w:pStyle w:val="BodyText"/>
              <w:jc w:val="center"/>
              <w:rPr>
                <w:lang w:val="en-US" w:eastAsia="fr-FR"/>
              </w:rPr>
            </w:pPr>
            <w:r>
              <w:rPr>
                <w:lang w:val="en-US" w:eastAsia="fr-FR"/>
              </w:rPr>
              <w:t>Turkeys</w:t>
            </w:r>
          </w:p>
        </w:tc>
        <w:tc>
          <w:tcPr>
            <w:tcW w:w="1647" w:type="dxa"/>
          </w:tcPr>
          <w:p w14:paraId="4B84F175" w14:textId="77777777" w:rsidR="00AC3194" w:rsidRDefault="00AC3194" w:rsidP="00391F65">
            <w:pPr>
              <w:pStyle w:val="BodyText"/>
              <w:jc w:val="center"/>
              <w:rPr>
                <w:lang w:val="en-US" w:eastAsia="fr-FR"/>
              </w:rPr>
            </w:pPr>
            <w:r>
              <w:rPr>
                <w:lang w:val="en-US" w:eastAsia="fr-FR"/>
              </w:rPr>
              <w:t>-</w:t>
            </w:r>
          </w:p>
        </w:tc>
        <w:tc>
          <w:tcPr>
            <w:tcW w:w="1416" w:type="dxa"/>
          </w:tcPr>
          <w:p w14:paraId="462FF2F0" w14:textId="77777777" w:rsidR="00AC3194" w:rsidRDefault="00AC3194" w:rsidP="00391F65">
            <w:pPr>
              <w:pStyle w:val="BodyText"/>
              <w:jc w:val="center"/>
              <w:rPr>
                <w:lang w:val="en-US" w:eastAsia="fr-FR"/>
              </w:rPr>
            </w:pPr>
            <w:r>
              <w:rPr>
                <w:lang w:val="en-US" w:eastAsia="fr-FR"/>
              </w:rPr>
              <w:t>-</w:t>
            </w:r>
          </w:p>
        </w:tc>
        <w:tc>
          <w:tcPr>
            <w:tcW w:w="1416" w:type="dxa"/>
          </w:tcPr>
          <w:p w14:paraId="3887CE6F" w14:textId="77777777" w:rsidR="00AC3194" w:rsidRDefault="00AC3194" w:rsidP="00391F65">
            <w:pPr>
              <w:pStyle w:val="BodyText"/>
              <w:jc w:val="center"/>
              <w:rPr>
                <w:lang w:val="en-US" w:eastAsia="fr-FR"/>
              </w:rPr>
            </w:pPr>
            <w:r>
              <w:rPr>
                <w:lang w:val="en-US" w:eastAsia="fr-FR"/>
              </w:rPr>
              <w:t>-</w:t>
            </w:r>
          </w:p>
        </w:tc>
        <w:tc>
          <w:tcPr>
            <w:tcW w:w="1416" w:type="dxa"/>
          </w:tcPr>
          <w:p w14:paraId="4D074BB8" w14:textId="77777777" w:rsidR="00AC3194" w:rsidRDefault="00AC3194" w:rsidP="00391F65">
            <w:pPr>
              <w:pStyle w:val="BodyText"/>
              <w:jc w:val="center"/>
              <w:rPr>
                <w:lang w:val="en-US" w:eastAsia="fr-FR"/>
              </w:rPr>
            </w:pPr>
            <w:r>
              <w:rPr>
                <w:lang w:val="en-US" w:eastAsia="fr-FR"/>
              </w:rPr>
              <w:t>100%</w:t>
            </w:r>
          </w:p>
        </w:tc>
        <w:tc>
          <w:tcPr>
            <w:tcW w:w="1416" w:type="dxa"/>
          </w:tcPr>
          <w:p w14:paraId="2BF0B20E" w14:textId="77777777" w:rsidR="00AC3194" w:rsidRDefault="00AC3194" w:rsidP="00391F65">
            <w:pPr>
              <w:pStyle w:val="BodyText"/>
              <w:jc w:val="center"/>
              <w:rPr>
                <w:lang w:val="en-US" w:eastAsia="fr-FR"/>
              </w:rPr>
            </w:pPr>
            <w:r>
              <w:rPr>
                <w:lang w:val="en-US" w:eastAsia="fr-FR"/>
              </w:rPr>
              <w:t>-</w:t>
            </w:r>
          </w:p>
        </w:tc>
      </w:tr>
      <w:tr w:rsidR="00AC3194" w14:paraId="18F7720B" w14:textId="77777777" w:rsidTr="00391F65">
        <w:trPr>
          <w:jc w:val="center"/>
        </w:trPr>
        <w:tc>
          <w:tcPr>
            <w:tcW w:w="1751" w:type="dxa"/>
          </w:tcPr>
          <w:p w14:paraId="247DB4FC" w14:textId="77777777" w:rsidR="00AC3194" w:rsidRDefault="00AC3194" w:rsidP="00391F65">
            <w:pPr>
              <w:pStyle w:val="BodyText"/>
              <w:jc w:val="center"/>
              <w:rPr>
                <w:lang w:val="en-US" w:eastAsia="fr-FR"/>
              </w:rPr>
            </w:pPr>
            <w:r>
              <w:rPr>
                <w:lang w:val="en-US" w:eastAsia="fr-FR"/>
              </w:rPr>
              <w:t>Other poultry</w:t>
            </w:r>
          </w:p>
        </w:tc>
        <w:tc>
          <w:tcPr>
            <w:tcW w:w="1647" w:type="dxa"/>
          </w:tcPr>
          <w:p w14:paraId="0594EF42" w14:textId="77777777" w:rsidR="00AC3194" w:rsidRDefault="00AC3194" w:rsidP="00391F65">
            <w:pPr>
              <w:pStyle w:val="BodyText"/>
              <w:jc w:val="center"/>
              <w:rPr>
                <w:lang w:val="en-US" w:eastAsia="fr-FR"/>
              </w:rPr>
            </w:pPr>
            <w:r>
              <w:rPr>
                <w:lang w:val="en-US" w:eastAsia="fr-FR"/>
              </w:rPr>
              <w:t>-</w:t>
            </w:r>
          </w:p>
        </w:tc>
        <w:tc>
          <w:tcPr>
            <w:tcW w:w="1416" w:type="dxa"/>
          </w:tcPr>
          <w:p w14:paraId="3DAB63EF" w14:textId="77777777" w:rsidR="00AC3194" w:rsidRDefault="00AC3194" w:rsidP="00391F65">
            <w:pPr>
              <w:pStyle w:val="BodyText"/>
              <w:jc w:val="center"/>
              <w:rPr>
                <w:lang w:val="en-US" w:eastAsia="fr-FR"/>
              </w:rPr>
            </w:pPr>
            <w:r>
              <w:rPr>
                <w:lang w:val="en-US" w:eastAsia="fr-FR"/>
              </w:rPr>
              <w:t>-</w:t>
            </w:r>
          </w:p>
        </w:tc>
        <w:tc>
          <w:tcPr>
            <w:tcW w:w="1416" w:type="dxa"/>
          </w:tcPr>
          <w:p w14:paraId="7325A110" w14:textId="77777777" w:rsidR="00AC3194" w:rsidRDefault="00AC3194" w:rsidP="00391F65">
            <w:pPr>
              <w:pStyle w:val="BodyText"/>
              <w:jc w:val="center"/>
              <w:rPr>
                <w:lang w:val="en-US" w:eastAsia="fr-FR"/>
              </w:rPr>
            </w:pPr>
            <w:r>
              <w:rPr>
                <w:lang w:val="en-US" w:eastAsia="fr-FR"/>
              </w:rPr>
              <w:t>-</w:t>
            </w:r>
          </w:p>
        </w:tc>
        <w:tc>
          <w:tcPr>
            <w:tcW w:w="1416" w:type="dxa"/>
          </w:tcPr>
          <w:p w14:paraId="05A0C978" w14:textId="77777777" w:rsidR="00AC3194" w:rsidRDefault="00AC3194" w:rsidP="00391F65">
            <w:pPr>
              <w:pStyle w:val="BodyText"/>
              <w:jc w:val="center"/>
              <w:rPr>
                <w:lang w:val="en-US" w:eastAsia="fr-FR"/>
              </w:rPr>
            </w:pPr>
            <w:r>
              <w:rPr>
                <w:lang w:val="en-US" w:eastAsia="fr-FR"/>
              </w:rPr>
              <w:t>100%</w:t>
            </w:r>
          </w:p>
        </w:tc>
        <w:tc>
          <w:tcPr>
            <w:tcW w:w="1416" w:type="dxa"/>
          </w:tcPr>
          <w:p w14:paraId="045DAE61" w14:textId="77777777" w:rsidR="00AC3194" w:rsidRDefault="00AC3194" w:rsidP="00391F65">
            <w:pPr>
              <w:pStyle w:val="BodyText"/>
              <w:jc w:val="center"/>
              <w:rPr>
                <w:lang w:val="en-US" w:eastAsia="fr-FR"/>
              </w:rPr>
            </w:pPr>
            <w:r>
              <w:rPr>
                <w:lang w:val="en-US" w:eastAsia="fr-FR"/>
              </w:rPr>
              <w:t>-</w:t>
            </w:r>
          </w:p>
        </w:tc>
      </w:tr>
    </w:tbl>
    <w:p w14:paraId="68DE008A" w14:textId="24ED0911" w:rsidR="00AC3194" w:rsidRDefault="00AC3194" w:rsidP="00535F1D">
      <w:pPr>
        <w:pStyle w:val="Caption"/>
        <w:keepNext/>
        <w:jc w:val="both"/>
      </w:pPr>
      <w:bookmarkStart w:id="674" w:name="_Toc184808566"/>
      <w:r>
        <w:t xml:space="preserve">Table </w:t>
      </w:r>
      <w:r>
        <w:fldChar w:fldCharType="begin"/>
      </w:r>
      <w:r>
        <w:instrText xml:space="preserve"> SEQ Table \* ARABIC </w:instrText>
      </w:r>
      <w:r>
        <w:fldChar w:fldCharType="separate"/>
      </w:r>
      <w:r w:rsidR="00F14C78">
        <w:rPr>
          <w:noProof/>
        </w:rPr>
        <w:t>23</w:t>
      </w:r>
      <w:r>
        <w:fldChar w:fldCharType="end"/>
      </w:r>
      <w:r>
        <w:t>: Methane conversion factors per manure management system (in %), depending on the average annual temperature, from 2006 IPCC Guidelines, used in Serbian inventory</w:t>
      </w:r>
      <w:bookmarkEnd w:id="674"/>
    </w:p>
    <w:tbl>
      <w:tblPr>
        <w:tblStyle w:val="TableGrid"/>
        <w:tblW w:w="0" w:type="auto"/>
        <w:jc w:val="center"/>
        <w:tblLook w:val="04A0" w:firstRow="1" w:lastRow="0" w:firstColumn="1" w:lastColumn="0" w:noHBand="0" w:noVBand="1"/>
      </w:tblPr>
      <w:tblGrid>
        <w:gridCol w:w="2843"/>
        <w:gridCol w:w="1315"/>
        <w:gridCol w:w="1226"/>
        <w:gridCol w:w="1226"/>
        <w:gridCol w:w="1226"/>
        <w:gridCol w:w="1226"/>
      </w:tblGrid>
      <w:tr w:rsidR="00AC3194" w14:paraId="3E70CFC1" w14:textId="77777777" w:rsidTr="00622F40">
        <w:trPr>
          <w:jc w:val="center"/>
        </w:trPr>
        <w:tc>
          <w:tcPr>
            <w:tcW w:w="2843" w:type="dxa"/>
            <w:shd w:val="clear" w:color="auto" w:fill="B8CCE4" w:themeFill="accent1" w:themeFillTint="66"/>
          </w:tcPr>
          <w:p w14:paraId="27C79F5A" w14:textId="77777777" w:rsidR="00AC3194" w:rsidRPr="001F0275" w:rsidRDefault="00AC3194" w:rsidP="00391F65">
            <w:pPr>
              <w:pStyle w:val="BodyText"/>
              <w:jc w:val="center"/>
              <w:rPr>
                <w:b/>
                <w:bCs/>
                <w:lang w:val="en-US" w:eastAsia="fr-FR"/>
              </w:rPr>
            </w:pPr>
            <w:r>
              <w:rPr>
                <w:b/>
                <w:bCs/>
                <w:lang w:val="en-US" w:eastAsia="fr-FR"/>
              </w:rPr>
              <w:t>Manure management system</w:t>
            </w:r>
          </w:p>
        </w:tc>
        <w:tc>
          <w:tcPr>
            <w:tcW w:w="1315" w:type="dxa"/>
            <w:shd w:val="clear" w:color="auto" w:fill="B8CCE4" w:themeFill="accent1" w:themeFillTint="66"/>
          </w:tcPr>
          <w:p w14:paraId="303904C8" w14:textId="77777777" w:rsidR="00AC3194" w:rsidRPr="001F0275" w:rsidRDefault="00AC3194" w:rsidP="00391F65">
            <w:pPr>
              <w:pStyle w:val="BodyText"/>
              <w:jc w:val="center"/>
              <w:rPr>
                <w:b/>
                <w:bCs/>
                <w:lang w:val="en-US" w:eastAsia="fr-FR"/>
              </w:rPr>
            </w:pPr>
            <w:r>
              <w:rPr>
                <w:b/>
                <w:bCs/>
                <w:lang w:val="en-US" w:eastAsia="fr-FR"/>
              </w:rPr>
              <w:t>T=10°C</w:t>
            </w:r>
          </w:p>
        </w:tc>
        <w:tc>
          <w:tcPr>
            <w:tcW w:w="1226" w:type="dxa"/>
            <w:shd w:val="clear" w:color="auto" w:fill="B8CCE4" w:themeFill="accent1" w:themeFillTint="66"/>
          </w:tcPr>
          <w:p w14:paraId="16793244" w14:textId="77777777" w:rsidR="00AC3194" w:rsidRDefault="00AC3194" w:rsidP="00391F65">
            <w:pPr>
              <w:pStyle w:val="BodyText"/>
              <w:jc w:val="center"/>
              <w:rPr>
                <w:b/>
                <w:bCs/>
                <w:lang w:val="en-US" w:eastAsia="fr-FR"/>
              </w:rPr>
            </w:pPr>
            <w:r>
              <w:rPr>
                <w:b/>
                <w:bCs/>
                <w:lang w:val="en-US" w:eastAsia="fr-FR"/>
              </w:rPr>
              <w:t>T=11°C</w:t>
            </w:r>
          </w:p>
        </w:tc>
        <w:tc>
          <w:tcPr>
            <w:tcW w:w="1226" w:type="dxa"/>
            <w:shd w:val="clear" w:color="auto" w:fill="B8CCE4" w:themeFill="accent1" w:themeFillTint="66"/>
          </w:tcPr>
          <w:p w14:paraId="428A2ABA" w14:textId="77777777" w:rsidR="00AC3194" w:rsidRDefault="00AC3194" w:rsidP="00391F65">
            <w:pPr>
              <w:pStyle w:val="BodyText"/>
              <w:jc w:val="center"/>
              <w:rPr>
                <w:b/>
                <w:bCs/>
                <w:lang w:val="en-US" w:eastAsia="fr-FR"/>
              </w:rPr>
            </w:pPr>
            <w:r>
              <w:rPr>
                <w:b/>
                <w:bCs/>
                <w:lang w:val="en-US" w:eastAsia="fr-FR"/>
              </w:rPr>
              <w:t>T=12°C</w:t>
            </w:r>
          </w:p>
        </w:tc>
        <w:tc>
          <w:tcPr>
            <w:tcW w:w="1226" w:type="dxa"/>
            <w:shd w:val="clear" w:color="auto" w:fill="B8CCE4" w:themeFill="accent1" w:themeFillTint="66"/>
          </w:tcPr>
          <w:p w14:paraId="4995FB1C" w14:textId="77777777" w:rsidR="00AC3194" w:rsidRDefault="00AC3194" w:rsidP="00391F65">
            <w:pPr>
              <w:pStyle w:val="BodyText"/>
              <w:jc w:val="center"/>
              <w:rPr>
                <w:b/>
                <w:bCs/>
                <w:lang w:val="en-US" w:eastAsia="fr-FR"/>
              </w:rPr>
            </w:pPr>
            <w:r>
              <w:rPr>
                <w:b/>
                <w:bCs/>
                <w:lang w:val="en-US" w:eastAsia="fr-FR"/>
              </w:rPr>
              <w:t>T=13°C</w:t>
            </w:r>
          </w:p>
        </w:tc>
        <w:tc>
          <w:tcPr>
            <w:tcW w:w="1226" w:type="dxa"/>
            <w:shd w:val="clear" w:color="auto" w:fill="B8CCE4" w:themeFill="accent1" w:themeFillTint="66"/>
          </w:tcPr>
          <w:p w14:paraId="19CF3D56" w14:textId="77777777" w:rsidR="00AC3194" w:rsidRDefault="00AC3194" w:rsidP="00391F65">
            <w:pPr>
              <w:pStyle w:val="BodyText"/>
              <w:jc w:val="center"/>
              <w:rPr>
                <w:b/>
                <w:bCs/>
                <w:lang w:val="en-US" w:eastAsia="fr-FR"/>
              </w:rPr>
            </w:pPr>
            <w:r>
              <w:rPr>
                <w:b/>
                <w:bCs/>
                <w:lang w:val="en-US" w:eastAsia="fr-FR"/>
              </w:rPr>
              <w:t>T=14°C</w:t>
            </w:r>
          </w:p>
        </w:tc>
      </w:tr>
      <w:tr w:rsidR="00AC3194" w14:paraId="5E0CDD73" w14:textId="77777777" w:rsidTr="00622F40">
        <w:trPr>
          <w:jc w:val="center"/>
        </w:trPr>
        <w:tc>
          <w:tcPr>
            <w:tcW w:w="2843" w:type="dxa"/>
          </w:tcPr>
          <w:p w14:paraId="08DEEBD8" w14:textId="77777777" w:rsidR="00AC3194" w:rsidRDefault="00AC3194" w:rsidP="00391F65">
            <w:pPr>
              <w:pStyle w:val="BodyText"/>
              <w:jc w:val="center"/>
              <w:rPr>
                <w:lang w:val="en-US" w:eastAsia="fr-FR"/>
              </w:rPr>
            </w:pPr>
            <w:r>
              <w:rPr>
                <w:lang w:val="en-US" w:eastAsia="fr-FR"/>
              </w:rPr>
              <w:t>Lagoon</w:t>
            </w:r>
          </w:p>
        </w:tc>
        <w:tc>
          <w:tcPr>
            <w:tcW w:w="1315" w:type="dxa"/>
            <w:vAlign w:val="bottom"/>
          </w:tcPr>
          <w:p w14:paraId="6B0A70F1" w14:textId="77777777" w:rsidR="00AC3194" w:rsidRDefault="00AC3194" w:rsidP="00391F65">
            <w:pPr>
              <w:pStyle w:val="BodyText"/>
              <w:jc w:val="center"/>
              <w:rPr>
                <w:lang w:val="en-US" w:eastAsia="fr-FR"/>
              </w:rPr>
            </w:pPr>
            <w:r w:rsidRPr="00622F40">
              <w:rPr>
                <w:lang w:val="en-US" w:eastAsia="fr-FR"/>
              </w:rPr>
              <w:t>66%</w:t>
            </w:r>
          </w:p>
        </w:tc>
        <w:tc>
          <w:tcPr>
            <w:tcW w:w="1226" w:type="dxa"/>
            <w:vAlign w:val="bottom"/>
          </w:tcPr>
          <w:p w14:paraId="0A9BC597" w14:textId="77777777" w:rsidR="00AC3194" w:rsidRDefault="00AC3194" w:rsidP="00391F65">
            <w:pPr>
              <w:pStyle w:val="BodyText"/>
              <w:jc w:val="center"/>
              <w:rPr>
                <w:lang w:val="en-US" w:eastAsia="fr-FR"/>
              </w:rPr>
            </w:pPr>
            <w:r w:rsidRPr="00622F40">
              <w:rPr>
                <w:lang w:val="en-US" w:eastAsia="fr-FR"/>
              </w:rPr>
              <w:t>68%</w:t>
            </w:r>
          </w:p>
        </w:tc>
        <w:tc>
          <w:tcPr>
            <w:tcW w:w="1226" w:type="dxa"/>
            <w:vAlign w:val="bottom"/>
          </w:tcPr>
          <w:p w14:paraId="14F7E509" w14:textId="77777777" w:rsidR="00AC3194" w:rsidRDefault="00AC3194" w:rsidP="00391F65">
            <w:pPr>
              <w:pStyle w:val="BodyText"/>
              <w:jc w:val="center"/>
              <w:rPr>
                <w:lang w:val="en-US" w:eastAsia="fr-FR"/>
              </w:rPr>
            </w:pPr>
            <w:r w:rsidRPr="00622F40">
              <w:rPr>
                <w:lang w:val="en-US" w:eastAsia="fr-FR"/>
              </w:rPr>
              <w:t>70%</w:t>
            </w:r>
          </w:p>
        </w:tc>
        <w:tc>
          <w:tcPr>
            <w:tcW w:w="1226" w:type="dxa"/>
            <w:vAlign w:val="bottom"/>
          </w:tcPr>
          <w:p w14:paraId="051A4012" w14:textId="77777777" w:rsidR="00AC3194" w:rsidRDefault="00AC3194" w:rsidP="00391F65">
            <w:pPr>
              <w:pStyle w:val="BodyText"/>
              <w:jc w:val="center"/>
              <w:rPr>
                <w:lang w:val="en-US" w:eastAsia="fr-FR"/>
              </w:rPr>
            </w:pPr>
            <w:r w:rsidRPr="00622F40">
              <w:rPr>
                <w:lang w:val="en-US" w:eastAsia="fr-FR"/>
              </w:rPr>
              <w:t>71%</w:t>
            </w:r>
          </w:p>
        </w:tc>
        <w:tc>
          <w:tcPr>
            <w:tcW w:w="1226" w:type="dxa"/>
            <w:vAlign w:val="bottom"/>
          </w:tcPr>
          <w:p w14:paraId="5B18B60C" w14:textId="77777777" w:rsidR="00AC3194" w:rsidRDefault="00AC3194" w:rsidP="00391F65">
            <w:pPr>
              <w:pStyle w:val="BodyText"/>
              <w:jc w:val="center"/>
              <w:rPr>
                <w:lang w:val="en-US" w:eastAsia="fr-FR"/>
              </w:rPr>
            </w:pPr>
            <w:r w:rsidRPr="00622F40">
              <w:rPr>
                <w:lang w:val="en-US" w:eastAsia="fr-FR"/>
              </w:rPr>
              <w:t>73%</w:t>
            </w:r>
          </w:p>
        </w:tc>
      </w:tr>
      <w:tr w:rsidR="00AC3194" w14:paraId="15AAA5D4" w14:textId="77777777" w:rsidTr="00622F40">
        <w:trPr>
          <w:jc w:val="center"/>
        </w:trPr>
        <w:tc>
          <w:tcPr>
            <w:tcW w:w="2843" w:type="dxa"/>
          </w:tcPr>
          <w:p w14:paraId="2E985E9E" w14:textId="77777777" w:rsidR="00AC3194" w:rsidRDefault="00AC3194" w:rsidP="00391F65">
            <w:pPr>
              <w:pStyle w:val="BodyText"/>
              <w:jc w:val="center"/>
              <w:rPr>
                <w:lang w:val="en-US" w:eastAsia="fr-FR"/>
              </w:rPr>
            </w:pPr>
            <w:r>
              <w:rPr>
                <w:lang w:val="en-US" w:eastAsia="fr-FR"/>
              </w:rPr>
              <w:t>Liquid/Slurry</w:t>
            </w:r>
          </w:p>
        </w:tc>
        <w:tc>
          <w:tcPr>
            <w:tcW w:w="1315" w:type="dxa"/>
            <w:vAlign w:val="bottom"/>
          </w:tcPr>
          <w:p w14:paraId="2672A512" w14:textId="77777777" w:rsidR="00AC3194" w:rsidRDefault="00AC3194" w:rsidP="00391F65">
            <w:pPr>
              <w:pStyle w:val="BodyText"/>
              <w:jc w:val="center"/>
              <w:rPr>
                <w:lang w:val="en-US" w:eastAsia="fr-FR"/>
              </w:rPr>
            </w:pPr>
            <w:r w:rsidRPr="00622F40">
              <w:rPr>
                <w:lang w:val="en-US" w:eastAsia="fr-FR"/>
              </w:rPr>
              <w:t>10%</w:t>
            </w:r>
          </w:p>
        </w:tc>
        <w:tc>
          <w:tcPr>
            <w:tcW w:w="1226" w:type="dxa"/>
            <w:vAlign w:val="bottom"/>
          </w:tcPr>
          <w:p w14:paraId="17337CEE" w14:textId="77777777" w:rsidR="00AC3194" w:rsidRDefault="00AC3194" w:rsidP="00391F65">
            <w:pPr>
              <w:pStyle w:val="BodyText"/>
              <w:jc w:val="center"/>
              <w:rPr>
                <w:lang w:val="en-US" w:eastAsia="fr-FR"/>
              </w:rPr>
            </w:pPr>
            <w:r w:rsidRPr="00622F40">
              <w:rPr>
                <w:lang w:val="en-US" w:eastAsia="fr-FR"/>
              </w:rPr>
              <w:t>11%</w:t>
            </w:r>
          </w:p>
        </w:tc>
        <w:tc>
          <w:tcPr>
            <w:tcW w:w="1226" w:type="dxa"/>
            <w:vAlign w:val="bottom"/>
          </w:tcPr>
          <w:p w14:paraId="2D4C84B0" w14:textId="77777777" w:rsidR="00AC3194" w:rsidRDefault="00AC3194" w:rsidP="00391F65">
            <w:pPr>
              <w:pStyle w:val="BodyText"/>
              <w:jc w:val="center"/>
              <w:rPr>
                <w:lang w:val="en-US" w:eastAsia="fr-FR"/>
              </w:rPr>
            </w:pPr>
            <w:r w:rsidRPr="00622F40">
              <w:rPr>
                <w:lang w:val="en-US" w:eastAsia="fr-FR"/>
              </w:rPr>
              <w:t>13%</w:t>
            </w:r>
          </w:p>
        </w:tc>
        <w:tc>
          <w:tcPr>
            <w:tcW w:w="1226" w:type="dxa"/>
            <w:vAlign w:val="bottom"/>
          </w:tcPr>
          <w:p w14:paraId="6B8B1FB0" w14:textId="77777777" w:rsidR="00AC3194" w:rsidRDefault="00AC3194" w:rsidP="00391F65">
            <w:pPr>
              <w:pStyle w:val="BodyText"/>
              <w:jc w:val="center"/>
              <w:rPr>
                <w:lang w:val="en-US" w:eastAsia="fr-FR"/>
              </w:rPr>
            </w:pPr>
            <w:r w:rsidRPr="00622F40">
              <w:rPr>
                <w:lang w:val="en-US" w:eastAsia="fr-FR"/>
              </w:rPr>
              <w:t>14%</w:t>
            </w:r>
          </w:p>
        </w:tc>
        <w:tc>
          <w:tcPr>
            <w:tcW w:w="1226" w:type="dxa"/>
            <w:vAlign w:val="bottom"/>
          </w:tcPr>
          <w:p w14:paraId="534B9547" w14:textId="77777777" w:rsidR="00AC3194" w:rsidRDefault="00AC3194" w:rsidP="00391F65">
            <w:pPr>
              <w:pStyle w:val="BodyText"/>
              <w:jc w:val="center"/>
              <w:rPr>
                <w:lang w:val="en-US" w:eastAsia="fr-FR"/>
              </w:rPr>
            </w:pPr>
            <w:r w:rsidRPr="00622F40">
              <w:rPr>
                <w:lang w:val="en-US" w:eastAsia="fr-FR"/>
              </w:rPr>
              <w:t>15%</w:t>
            </w:r>
          </w:p>
        </w:tc>
      </w:tr>
      <w:tr w:rsidR="00AC3194" w14:paraId="30C40750" w14:textId="77777777" w:rsidTr="00622F40">
        <w:trPr>
          <w:jc w:val="center"/>
        </w:trPr>
        <w:tc>
          <w:tcPr>
            <w:tcW w:w="2843" w:type="dxa"/>
          </w:tcPr>
          <w:p w14:paraId="4EA8721C" w14:textId="77777777" w:rsidR="00AC3194" w:rsidRDefault="00AC3194" w:rsidP="00391F65">
            <w:pPr>
              <w:pStyle w:val="BodyText"/>
              <w:jc w:val="center"/>
              <w:rPr>
                <w:lang w:val="en-US" w:eastAsia="fr-FR"/>
              </w:rPr>
            </w:pPr>
            <w:r>
              <w:rPr>
                <w:lang w:val="en-US" w:eastAsia="fr-FR"/>
              </w:rPr>
              <w:t>Solid storage</w:t>
            </w:r>
          </w:p>
        </w:tc>
        <w:tc>
          <w:tcPr>
            <w:tcW w:w="1315" w:type="dxa"/>
            <w:vAlign w:val="bottom"/>
          </w:tcPr>
          <w:p w14:paraId="2F2E6993" w14:textId="77777777" w:rsidR="00AC3194" w:rsidRDefault="00AC3194" w:rsidP="00391F65">
            <w:pPr>
              <w:pStyle w:val="BodyText"/>
              <w:jc w:val="center"/>
              <w:rPr>
                <w:lang w:val="en-US" w:eastAsia="fr-FR"/>
              </w:rPr>
            </w:pPr>
            <w:r w:rsidRPr="00622F40">
              <w:rPr>
                <w:lang w:val="en-US" w:eastAsia="fr-FR"/>
              </w:rPr>
              <w:t>2%</w:t>
            </w:r>
          </w:p>
        </w:tc>
        <w:tc>
          <w:tcPr>
            <w:tcW w:w="1226" w:type="dxa"/>
            <w:vAlign w:val="bottom"/>
          </w:tcPr>
          <w:p w14:paraId="2294F83B" w14:textId="77777777" w:rsidR="00AC3194" w:rsidRDefault="00AC3194" w:rsidP="00391F65">
            <w:pPr>
              <w:pStyle w:val="BodyText"/>
              <w:jc w:val="center"/>
              <w:rPr>
                <w:lang w:val="en-US" w:eastAsia="fr-FR"/>
              </w:rPr>
            </w:pPr>
            <w:r w:rsidRPr="00622F40">
              <w:rPr>
                <w:lang w:val="en-US" w:eastAsia="fr-FR"/>
              </w:rPr>
              <w:t>2%</w:t>
            </w:r>
          </w:p>
        </w:tc>
        <w:tc>
          <w:tcPr>
            <w:tcW w:w="1226" w:type="dxa"/>
            <w:vAlign w:val="bottom"/>
          </w:tcPr>
          <w:p w14:paraId="4803C261" w14:textId="77777777" w:rsidR="00AC3194" w:rsidRDefault="00AC3194" w:rsidP="00391F65">
            <w:pPr>
              <w:pStyle w:val="BodyText"/>
              <w:jc w:val="center"/>
              <w:rPr>
                <w:lang w:val="en-US" w:eastAsia="fr-FR"/>
              </w:rPr>
            </w:pPr>
            <w:r w:rsidRPr="00622F40">
              <w:rPr>
                <w:lang w:val="en-US" w:eastAsia="fr-FR"/>
              </w:rPr>
              <w:t>2%</w:t>
            </w:r>
          </w:p>
        </w:tc>
        <w:tc>
          <w:tcPr>
            <w:tcW w:w="1226" w:type="dxa"/>
            <w:vAlign w:val="bottom"/>
          </w:tcPr>
          <w:p w14:paraId="5344E000" w14:textId="77777777" w:rsidR="00AC3194" w:rsidRDefault="00AC3194" w:rsidP="00391F65">
            <w:pPr>
              <w:pStyle w:val="BodyText"/>
              <w:jc w:val="center"/>
              <w:rPr>
                <w:lang w:val="en-US" w:eastAsia="fr-FR"/>
              </w:rPr>
            </w:pPr>
            <w:r w:rsidRPr="00622F40">
              <w:rPr>
                <w:lang w:val="en-US" w:eastAsia="fr-FR"/>
              </w:rPr>
              <w:t>2%</w:t>
            </w:r>
          </w:p>
        </w:tc>
        <w:tc>
          <w:tcPr>
            <w:tcW w:w="1226" w:type="dxa"/>
            <w:vAlign w:val="bottom"/>
          </w:tcPr>
          <w:p w14:paraId="145234E6" w14:textId="77777777" w:rsidR="00AC3194" w:rsidRDefault="00AC3194" w:rsidP="00391F65">
            <w:pPr>
              <w:pStyle w:val="BodyText"/>
              <w:jc w:val="center"/>
              <w:rPr>
                <w:lang w:val="en-US" w:eastAsia="fr-FR"/>
              </w:rPr>
            </w:pPr>
            <w:r w:rsidRPr="00622F40">
              <w:rPr>
                <w:lang w:val="en-US" w:eastAsia="fr-FR"/>
              </w:rPr>
              <w:t>2%</w:t>
            </w:r>
          </w:p>
        </w:tc>
      </w:tr>
      <w:tr w:rsidR="00AC3194" w14:paraId="009BFCBA" w14:textId="77777777" w:rsidTr="00622F40">
        <w:trPr>
          <w:jc w:val="center"/>
        </w:trPr>
        <w:tc>
          <w:tcPr>
            <w:tcW w:w="2843" w:type="dxa"/>
          </w:tcPr>
          <w:p w14:paraId="6B5964E5" w14:textId="77777777" w:rsidR="00AC3194" w:rsidRDefault="00AC3194" w:rsidP="00391F65">
            <w:pPr>
              <w:pStyle w:val="BodyText"/>
              <w:jc w:val="center"/>
              <w:rPr>
                <w:lang w:val="en-US" w:eastAsia="fr-FR"/>
              </w:rPr>
            </w:pPr>
            <w:r>
              <w:rPr>
                <w:lang w:val="en-US" w:eastAsia="fr-FR"/>
              </w:rPr>
              <w:t>Dry lot</w:t>
            </w:r>
          </w:p>
        </w:tc>
        <w:tc>
          <w:tcPr>
            <w:tcW w:w="1315" w:type="dxa"/>
            <w:vAlign w:val="bottom"/>
          </w:tcPr>
          <w:p w14:paraId="5F80A76A" w14:textId="77777777" w:rsidR="00AC3194" w:rsidRDefault="00AC3194" w:rsidP="00391F65">
            <w:pPr>
              <w:pStyle w:val="BodyText"/>
              <w:jc w:val="center"/>
              <w:rPr>
                <w:lang w:val="en-US" w:eastAsia="fr-FR"/>
              </w:rPr>
            </w:pPr>
            <w:r w:rsidRPr="00622F40">
              <w:rPr>
                <w:lang w:val="en-US" w:eastAsia="fr-FR"/>
              </w:rPr>
              <w:t>1%</w:t>
            </w:r>
          </w:p>
        </w:tc>
        <w:tc>
          <w:tcPr>
            <w:tcW w:w="1226" w:type="dxa"/>
            <w:vAlign w:val="bottom"/>
          </w:tcPr>
          <w:p w14:paraId="65A38205" w14:textId="77777777" w:rsidR="00AC3194" w:rsidRDefault="00AC3194" w:rsidP="00391F65">
            <w:pPr>
              <w:pStyle w:val="BodyText"/>
              <w:jc w:val="center"/>
              <w:rPr>
                <w:lang w:val="en-US" w:eastAsia="fr-FR"/>
              </w:rPr>
            </w:pPr>
            <w:r w:rsidRPr="00622F40">
              <w:rPr>
                <w:lang w:val="en-US" w:eastAsia="fr-FR"/>
              </w:rPr>
              <w:t>1%</w:t>
            </w:r>
          </w:p>
        </w:tc>
        <w:tc>
          <w:tcPr>
            <w:tcW w:w="1226" w:type="dxa"/>
            <w:vAlign w:val="bottom"/>
          </w:tcPr>
          <w:p w14:paraId="4CBFE4F7" w14:textId="77777777" w:rsidR="00AC3194" w:rsidRDefault="00AC3194" w:rsidP="00391F65">
            <w:pPr>
              <w:pStyle w:val="BodyText"/>
              <w:jc w:val="center"/>
              <w:rPr>
                <w:lang w:val="en-US" w:eastAsia="fr-FR"/>
              </w:rPr>
            </w:pPr>
            <w:r w:rsidRPr="00622F40">
              <w:rPr>
                <w:lang w:val="en-US" w:eastAsia="fr-FR"/>
              </w:rPr>
              <w:t>1%</w:t>
            </w:r>
          </w:p>
        </w:tc>
        <w:tc>
          <w:tcPr>
            <w:tcW w:w="1226" w:type="dxa"/>
            <w:vAlign w:val="bottom"/>
          </w:tcPr>
          <w:p w14:paraId="78BFA7D3" w14:textId="77777777" w:rsidR="00AC3194" w:rsidRDefault="00AC3194" w:rsidP="00391F65">
            <w:pPr>
              <w:pStyle w:val="BodyText"/>
              <w:jc w:val="center"/>
              <w:rPr>
                <w:lang w:val="en-US" w:eastAsia="fr-FR"/>
              </w:rPr>
            </w:pPr>
            <w:r w:rsidRPr="00622F40">
              <w:rPr>
                <w:lang w:val="en-US" w:eastAsia="fr-FR"/>
              </w:rPr>
              <w:t>1%</w:t>
            </w:r>
          </w:p>
        </w:tc>
        <w:tc>
          <w:tcPr>
            <w:tcW w:w="1226" w:type="dxa"/>
            <w:vAlign w:val="bottom"/>
          </w:tcPr>
          <w:p w14:paraId="6B965085" w14:textId="77777777" w:rsidR="00AC3194" w:rsidRDefault="00AC3194" w:rsidP="00391F65">
            <w:pPr>
              <w:pStyle w:val="BodyText"/>
              <w:jc w:val="center"/>
              <w:rPr>
                <w:lang w:val="en-US" w:eastAsia="fr-FR"/>
              </w:rPr>
            </w:pPr>
            <w:r w:rsidRPr="00622F40">
              <w:rPr>
                <w:lang w:val="en-US" w:eastAsia="fr-FR"/>
              </w:rPr>
              <w:t>1%</w:t>
            </w:r>
          </w:p>
        </w:tc>
      </w:tr>
      <w:tr w:rsidR="00AC3194" w14:paraId="08253225" w14:textId="77777777" w:rsidTr="00622F40">
        <w:trPr>
          <w:jc w:val="center"/>
        </w:trPr>
        <w:tc>
          <w:tcPr>
            <w:tcW w:w="2843" w:type="dxa"/>
          </w:tcPr>
          <w:p w14:paraId="7B3B092A" w14:textId="77777777" w:rsidR="00AC3194" w:rsidRDefault="00AC3194" w:rsidP="00391F65">
            <w:pPr>
              <w:pStyle w:val="BodyText"/>
              <w:jc w:val="center"/>
              <w:rPr>
                <w:lang w:val="en-US" w:eastAsia="fr-FR"/>
              </w:rPr>
            </w:pPr>
            <w:r>
              <w:rPr>
                <w:lang w:val="en-US" w:eastAsia="fr-FR"/>
              </w:rPr>
              <w:t>Pasture/range</w:t>
            </w:r>
          </w:p>
        </w:tc>
        <w:tc>
          <w:tcPr>
            <w:tcW w:w="1315" w:type="dxa"/>
            <w:vAlign w:val="bottom"/>
          </w:tcPr>
          <w:p w14:paraId="22DB86CC" w14:textId="77777777" w:rsidR="00AC3194" w:rsidRDefault="00AC3194" w:rsidP="00391F65">
            <w:pPr>
              <w:pStyle w:val="BodyText"/>
              <w:jc w:val="center"/>
              <w:rPr>
                <w:lang w:val="en-US" w:eastAsia="fr-FR"/>
              </w:rPr>
            </w:pPr>
            <w:r w:rsidRPr="001F0275">
              <w:rPr>
                <w:lang w:val="en-US" w:eastAsia="fr-FR"/>
              </w:rPr>
              <w:t>1%</w:t>
            </w:r>
          </w:p>
        </w:tc>
        <w:tc>
          <w:tcPr>
            <w:tcW w:w="1226" w:type="dxa"/>
            <w:vAlign w:val="bottom"/>
          </w:tcPr>
          <w:p w14:paraId="5ACF0CC2" w14:textId="77777777" w:rsidR="00AC3194" w:rsidRDefault="00AC3194" w:rsidP="00391F65">
            <w:pPr>
              <w:pStyle w:val="BodyText"/>
              <w:jc w:val="center"/>
              <w:rPr>
                <w:lang w:val="en-US" w:eastAsia="fr-FR"/>
              </w:rPr>
            </w:pPr>
            <w:r w:rsidRPr="001F0275">
              <w:rPr>
                <w:lang w:val="en-US" w:eastAsia="fr-FR"/>
              </w:rPr>
              <w:t>1%</w:t>
            </w:r>
          </w:p>
        </w:tc>
        <w:tc>
          <w:tcPr>
            <w:tcW w:w="1226" w:type="dxa"/>
            <w:vAlign w:val="bottom"/>
          </w:tcPr>
          <w:p w14:paraId="542967B6" w14:textId="77777777" w:rsidR="00AC3194" w:rsidRDefault="00AC3194" w:rsidP="00391F65">
            <w:pPr>
              <w:pStyle w:val="BodyText"/>
              <w:jc w:val="center"/>
              <w:rPr>
                <w:lang w:val="en-US" w:eastAsia="fr-FR"/>
              </w:rPr>
            </w:pPr>
            <w:r w:rsidRPr="001F0275">
              <w:rPr>
                <w:lang w:val="en-US" w:eastAsia="fr-FR"/>
              </w:rPr>
              <w:t>1%</w:t>
            </w:r>
          </w:p>
        </w:tc>
        <w:tc>
          <w:tcPr>
            <w:tcW w:w="1226" w:type="dxa"/>
            <w:vAlign w:val="bottom"/>
          </w:tcPr>
          <w:p w14:paraId="537C86E9" w14:textId="77777777" w:rsidR="00AC3194" w:rsidRDefault="00AC3194" w:rsidP="00391F65">
            <w:pPr>
              <w:pStyle w:val="BodyText"/>
              <w:jc w:val="center"/>
              <w:rPr>
                <w:lang w:val="en-US" w:eastAsia="fr-FR"/>
              </w:rPr>
            </w:pPr>
            <w:r w:rsidRPr="001F0275">
              <w:rPr>
                <w:lang w:val="en-US" w:eastAsia="fr-FR"/>
              </w:rPr>
              <w:t>1%</w:t>
            </w:r>
          </w:p>
        </w:tc>
        <w:tc>
          <w:tcPr>
            <w:tcW w:w="1226" w:type="dxa"/>
            <w:vAlign w:val="bottom"/>
          </w:tcPr>
          <w:p w14:paraId="6B5071A8" w14:textId="77777777" w:rsidR="00AC3194" w:rsidRDefault="00AC3194" w:rsidP="00391F65">
            <w:pPr>
              <w:pStyle w:val="BodyText"/>
              <w:jc w:val="center"/>
              <w:rPr>
                <w:lang w:val="en-US" w:eastAsia="fr-FR"/>
              </w:rPr>
            </w:pPr>
            <w:r w:rsidRPr="001F0275">
              <w:rPr>
                <w:lang w:val="en-US" w:eastAsia="fr-FR"/>
              </w:rPr>
              <w:t>1%</w:t>
            </w:r>
          </w:p>
        </w:tc>
      </w:tr>
      <w:tr w:rsidR="00AC3194" w14:paraId="0C7124A9" w14:textId="77777777" w:rsidTr="00622F40">
        <w:trPr>
          <w:jc w:val="center"/>
        </w:trPr>
        <w:tc>
          <w:tcPr>
            <w:tcW w:w="2843" w:type="dxa"/>
          </w:tcPr>
          <w:p w14:paraId="16016F84" w14:textId="77777777" w:rsidR="00AC3194" w:rsidRDefault="00AC3194" w:rsidP="00391F65">
            <w:pPr>
              <w:pStyle w:val="BodyText"/>
              <w:jc w:val="center"/>
              <w:rPr>
                <w:lang w:val="en-US" w:eastAsia="fr-FR"/>
              </w:rPr>
            </w:pPr>
            <w:r>
              <w:rPr>
                <w:lang w:val="en-US" w:eastAsia="fr-FR"/>
              </w:rPr>
              <w:t>Pit &lt; 1 month</w:t>
            </w:r>
          </w:p>
        </w:tc>
        <w:tc>
          <w:tcPr>
            <w:tcW w:w="1315" w:type="dxa"/>
            <w:vAlign w:val="bottom"/>
          </w:tcPr>
          <w:p w14:paraId="501FC5A9" w14:textId="77777777" w:rsidR="00AC3194" w:rsidRDefault="00AC3194" w:rsidP="00391F65">
            <w:pPr>
              <w:pStyle w:val="BodyText"/>
              <w:jc w:val="center"/>
              <w:rPr>
                <w:lang w:val="en-US" w:eastAsia="fr-FR"/>
              </w:rPr>
            </w:pPr>
            <w:r w:rsidRPr="00622F40">
              <w:rPr>
                <w:lang w:val="en-US" w:eastAsia="fr-FR"/>
              </w:rPr>
              <w:t>3%</w:t>
            </w:r>
          </w:p>
        </w:tc>
        <w:tc>
          <w:tcPr>
            <w:tcW w:w="1226" w:type="dxa"/>
            <w:vAlign w:val="bottom"/>
          </w:tcPr>
          <w:p w14:paraId="6DEED2C3" w14:textId="77777777" w:rsidR="00AC3194" w:rsidRDefault="00AC3194" w:rsidP="00391F65">
            <w:pPr>
              <w:pStyle w:val="BodyText"/>
              <w:jc w:val="center"/>
              <w:rPr>
                <w:lang w:val="en-US" w:eastAsia="fr-FR"/>
              </w:rPr>
            </w:pPr>
            <w:r w:rsidRPr="001F0275">
              <w:rPr>
                <w:lang w:val="en-US" w:eastAsia="fr-FR"/>
              </w:rPr>
              <w:t>3%</w:t>
            </w:r>
          </w:p>
        </w:tc>
        <w:tc>
          <w:tcPr>
            <w:tcW w:w="1226" w:type="dxa"/>
            <w:vAlign w:val="bottom"/>
          </w:tcPr>
          <w:p w14:paraId="7E187208" w14:textId="77777777" w:rsidR="00AC3194" w:rsidRDefault="00AC3194" w:rsidP="00391F65">
            <w:pPr>
              <w:pStyle w:val="BodyText"/>
              <w:jc w:val="center"/>
              <w:rPr>
                <w:lang w:val="en-US" w:eastAsia="fr-FR"/>
              </w:rPr>
            </w:pPr>
            <w:r w:rsidRPr="001F0275">
              <w:rPr>
                <w:lang w:val="en-US" w:eastAsia="fr-FR"/>
              </w:rPr>
              <w:t>3%</w:t>
            </w:r>
          </w:p>
        </w:tc>
        <w:tc>
          <w:tcPr>
            <w:tcW w:w="1226" w:type="dxa"/>
            <w:vAlign w:val="bottom"/>
          </w:tcPr>
          <w:p w14:paraId="0ADB8C07" w14:textId="77777777" w:rsidR="00AC3194" w:rsidRDefault="00AC3194" w:rsidP="00391F65">
            <w:pPr>
              <w:pStyle w:val="BodyText"/>
              <w:jc w:val="center"/>
              <w:rPr>
                <w:lang w:val="en-US" w:eastAsia="fr-FR"/>
              </w:rPr>
            </w:pPr>
            <w:r w:rsidRPr="001F0275">
              <w:rPr>
                <w:lang w:val="en-US" w:eastAsia="fr-FR"/>
              </w:rPr>
              <w:t>3%</w:t>
            </w:r>
          </w:p>
        </w:tc>
        <w:tc>
          <w:tcPr>
            <w:tcW w:w="1226" w:type="dxa"/>
            <w:vAlign w:val="bottom"/>
          </w:tcPr>
          <w:p w14:paraId="2397AA68" w14:textId="77777777" w:rsidR="00AC3194" w:rsidRDefault="00AC3194" w:rsidP="00391F65">
            <w:pPr>
              <w:pStyle w:val="BodyText"/>
              <w:jc w:val="center"/>
              <w:rPr>
                <w:lang w:val="en-US" w:eastAsia="fr-FR"/>
              </w:rPr>
            </w:pPr>
            <w:r w:rsidRPr="001F0275">
              <w:rPr>
                <w:lang w:val="en-US" w:eastAsia="fr-FR"/>
              </w:rPr>
              <w:t>3%</w:t>
            </w:r>
          </w:p>
        </w:tc>
      </w:tr>
      <w:tr w:rsidR="00AC3194" w14:paraId="5A7174C0" w14:textId="77777777" w:rsidTr="00622F40">
        <w:trPr>
          <w:jc w:val="center"/>
        </w:trPr>
        <w:tc>
          <w:tcPr>
            <w:tcW w:w="2843" w:type="dxa"/>
          </w:tcPr>
          <w:p w14:paraId="6B9828CE" w14:textId="77777777" w:rsidR="00AC3194" w:rsidRDefault="00AC3194" w:rsidP="00391F65">
            <w:pPr>
              <w:pStyle w:val="BodyText"/>
              <w:jc w:val="center"/>
              <w:rPr>
                <w:lang w:val="en-US" w:eastAsia="fr-FR"/>
              </w:rPr>
            </w:pPr>
            <w:r>
              <w:rPr>
                <w:lang w:val="en-US" w:eastAsia="fr-FR"/>
              </w:rPr>
              <w:t>Pit &gt; 1 month</w:t>
            </w:r>
          </w:p>
        </w:tc>
        <w:tc>
          <w:tcPr>
            <w:tcW w:w="1315" w:type="dxa"/>
            <w:vAlign w:val="bottom"/>
          </w:tcPr>
          <w:p w14:paraId="476256A1" w14:textId="77777777" w:rsidR="00AC3194" w:rsidRDefault="00AC3194" w:rsidP="00391F65">
            <w:pPr>
              <w:pStyle w:val="BodyText"/>
              <w:jc w:val="center"/>
              <w:rPr>
                <w:lang w:val="en-US" w:eastAsia="fr-FR"/>
              </w:rPr>
            </w:pPr>
            <w:r w:rsidRPr="00622F40">
              <w:rPr>
                <w:lang w:val="en-US" w:eastAsia="fr-FR"/>
              </w:rPr>
              <w:t>17%</w:t>
            </w:r>
          </w:p>
        </w:tc>
        <w:tc>
          <w:tcPr>
            <w:tcW w:w="1226" w:type="dxa"/>
            <w:vAlign w:val="bottom"/>
          </w:tcPr>
          <w:p w14:paraId="22A238A1" w14:textId="77777777" w:rsidR="00AC3194" w:rsidRDefault="00AC3194" w:rsidP="00391F65">
            <w:pPr>
              <w:pStyle w:val="BodyText"/>
              <w:jc w:val="center"/>
              <w:rPr>
                <w:lang w:val="en-US" w:eastAsia="fr-FR"/>
              </w:rPr>
            </w:pPr>
            <w:r w:rsidRPr="00622F40">
              <w:rPr>
                <w:lang w:val="en-US" w:eastAsia="fr-FR"/>
              </w:rPr>
              <w:t>19%</w:t>
            </w:r>
          </w:p>
        </w:tc>
        <w:tc>
          <w:tcPr>
            <w:tcW w:w="1226" w:type="dxa"/>
            <w:vAlign w:val="bottom"/>
          </w:tcPr>
          <w:p w14:paraId="44633FAC" w14:textId="77777777" w:rsidR="00AC3194" w:rsidRDefault="00AC3194" w:rsidP="00391F65">
            <w:pPr>
              <w:pStyle w:val="BodyText"/>
              <w:jc w:val="center"/>
              <w:rPr>
                <w:lang w:val="en-US" w:eastAsia="fr-FR"/>
              </w:rPr>
            </w:pPr>
            <w:r w:rsidRPr="00622F40">
              <w:rPr>
                <w:lang w:val="en-US" w:eastAsia="fr-FR"/>
              </w:rPr>
              <w:t>20%</w:t>
            </w:r>
          </w:p>
        </w:tc>
        <w:tc>
          <w:tcPr>
            <w:tcW w:w="1226" w:type="dxa"/>
            <w:vAlign w:val="bottom"/>
          </w:tcPr>
          <w:p w14:paraId="2E8E7264" w14:textId="77777777" w:rsidR="00AC3194" w:rsidRDefault="00AC3194" w:rsidP="00391F65">
            <w:pPr>
              <w:pStyle w:val="BodyText"/>
              <w:jc w:val="center"/>
              <w:rPr>
                <w:lang w:val="en-US" w:eastAsia="fr-FR"/>
              </w:rPr>
            </w:pPr>
            <w:r w:rsidRPr="00622F40">
              <w:rPr>
                <w:lang w:val="en-US" w:eastAsia="fr-FR"/>
              </w:rPr>
              <w:t>22%</w:t>
            </w:r>
          </w:p>
        </w:tc>
        <w:tc>
          <w:tcPr>
            <w:tcW w:w="1226" w:type="dxa"/>
            <w:vAlign w:val="bottom"/>
          </w:tcPr>
          <w:p w14:paraId="29C7360E" w14:textId="77777777" w:rsidR="00AC3194" w:rsidRDefault="00AC3194" w:rsidP="00391F65">
            <w:pPr>
              <w:pStyle w:val="BodyText"/>
              <w:jc w:val="center"/>
              <w:rPr>
                <w:lang w:val="en-US" w:eastAsia="fr-FR"/>
              </w:rPr>
            </w:pPr>
            <w:r w:rsidRPr="00622F40">
              <w:rPr>
                <w:lang w:val="en-US" w:eastAsia="fr-FR"/>
              </w:rPr>
              <w:t>25%</w:t>
            </w:r>
          </w:p>
        </w:tc>
      </w:tr>
      <w:tr w:rsidR="00AC3194" w14:paraId="7D7438C2" w14:textId="77777777" w:rsidTr="00622F40">
        <w:trPr>
          <w:jc w:val="center"/>
        </w:trPr>
        <w:tc>
          <w:tcPr>
            <w:tcW w:w="2843" w:type="dxa"/>
          </w:tcPr>
          <w:p w14:paraId="4D98D665" w14:textId="77777777" w:rsidR="00AC3194" w:rsidRDefault="00AC3194" w:rsidP="00391F65">
            <w:pPr>
              <w:pStyle w:val="BodyText"/>
              <w:jc w:val="center"/>
              <w:rPr>
                <w:lang w:val="en-US" w:eastAsia="fr-FR"/>
              </w:rPr>
            </w:pPr>
            <w:r>
              <w:rPr>
                <w:lang w:val="en-US" w:eastAsia="fr-FR"/>
              </w:rPr>
              <w:t>Daily spread</w:t>
            </w:r>
          </w:p>
        </w:tc>
        <w:tc>
          <w:tcPr>
            <w:tcW w:w="1315" w:type="dxa"/>
            <w:vAlign w:val="bottom"/>
          </w:tcPr>
          <w:p w14:paraId="7B65C910" w14:textId="77777777" w:rsidR="00AC3194" w:rsidRDefault="00AC3194" w:rsidP="00391F65">
            <w:pPr>
              <w:pStyle w:val="BodyText"/>
              <w:jc w:val="center"/>
              <w:rPr>
                <w:lang w:val="en-US" w:eastAsia="fr-FR"/>
              </w:rPr>
            </w:pPr>
            <w:r w:rsidRPr="00622F40">
              <w:rPr>
                <w:lang w:val="en-US" w:eastAsia="fr-FR"/>
              </w:rPr>
              <w:t>0</w:t>
            </w:r>
            <w:r>
              <w:rPr>
                <w:lang w:val="en-US" w:eastAsia="fr-FR"/>
              </w:rPr>
              <w:t>.</w:t>
            </w:r>
            <w:r w:rsidRPr="00622F40">
              <w:rPr>
                <w:lang w:val="en-US" w:eastAsia="fr-FR"/>
              </w:rPr>
              <w:t>1%</w:t>
            </w:r>
          </w:p>
        </w:tc>
        <w:tc>
          <w:tcPr>
            <w:tcW w:w="1226" w:type="dxa"/>
            <w:vAlign w:val="bottom"/>
          </w:tcPr>
          <w:p w14:paraId="0ADF6BFE" w14:textId="77777777" w:rsidR="00AC3194" w:rsidRDefault="00AC3194" w:rsidP="00391F65">
            <w:pPr>
              <w:pStyle w:val="BodyText"/>
              <w:jc w:val="center"/>
              <w:rPr>
                <w:lang w:val="en-US" w:eastAsia="fr-FR"/>
              </w:rPr>
            </w:pPr>
            <w:r w:rsidRPr="00622F40">
              <w:rPr>
                <w:lang w:val="en-US" w:eastAsia="fr-FR"/>
              </w:rPr>
              <w:t>0</w:t>
            </w:r>
            <w:r>
              <w:rPr>
                <w:lang w:val="en-US" w:eastAsia="fr-FR"/>
              </w:rPr>
              <w:t>.</w:t>
            </w:r>
            <w:r w:rsidRPr="00622F40">
              <w:rPr>
                <w:lang w:val="en-US" w:eastAsia="fr-FR"/>
              </w:rPr>
              <w:t>1%</w:t>
            </w:r>
          </w:p>
        </w:tc>
        <w:tc>
          <w:tcPr>
            <w:tcW w:w="1226" w:type="dxa"/>
            <w:vAlign w:val="bottom"/>
          </w:tcPr>
          <w:p w14:paraId="383EA872" w14:textId="77777777" w:rsidR="00AC3194" w:rsidRDefault="00AC3194" w:rsidP="00391F65">
            <w:pPr>
              <w:pStyle w:val="BodyText"/>
              <w:jc w:val="center"/>
              <w:rPr>
                <w:lang w:val="en-US" w:eastAsia="fr-FR"/>
              </w:rPr>
            </w:pPr>
            <w:r w:rsidRPr="00622F40">
              <w:rPr>
                <w:lang w:val="en-US" w:eastAsia="fr-FR"/>
              </w:rPr>
              <w:t>0</w:t>
            </w:r>
            <w:r>
              <w:rPr>
                <w:lang w:val="en-US" w:eastAsia="fr-FR"/>
              </w:rPr>
              <w:t>.</w:t>
            </w:r>
            <w:r w:rsidRPr="00622F40">
              <w:rPr>
                <w:lang w:val="en-US" w:eastAsia="fr-FR"/>
              </w:rPr>
              <w:t>1%</w:t>
            </w:r>
          </w:p>
        </w:tc>
        <w:tc>
          <w:tcPr>
            <w:tcW w:w="1226" w:type="dxa"/>
            <w:vAlign w:val="bottom"/>
          </w:tcPr>
          <w:p w14:paraId="56D0E798" w14:textId="77777777" w:rsidR="00AC3194" w:rsidRDefault="00AC3194" w:rsidP="00391F65">
            <w:pPr>
              <w:pStyle w:val="BodyText"/>
              <w:jc w:val="center"/>
              <w:rPr>
                <w:lang w:val="en-US" w:eastAsia="fr-FR"/>
              </w:rPr>
            </w:pPr>
            <w:r w:rsidRPr="00622F40">
              <w:rPr>
                <w:lang w:val="en-US" w:eastAsia="fr-FR"/>
              </w:rPr>
              <w:t>0</w:t>
            </w:r>
            <w:r>
              <w:rPr>
                <w:lang w:val="en-US" w:eastAsia="fr-FR"/>
              </w:rPr>
              <w:t>.</w:t>
            </w:r>
            <w:r w:rsidRPr="00622F40">
              <w:rPr>
                <w:lang w:val="en-US" w:eastAsia="fr-FR"/>
              </w:rPr>
              <w:t>1%</w:t>
            </w:r>
          </w:p>
        </w:tc>
        <w:tc>
          <w:tcPr>
            <w:tcW w:w="1226" w:type="dxa"/>
            <w:vAlign w:val="bottom"/>
          </w:tcPr>
          <w:p w14:paraId="27518551" w14:textId="77777777" w:rsidR="00AC3194" w:rsidRDefault="00AC3194" w:rsidP="00391F65">
            <w:pPr>
              <w:pStyle w:val="BodyText"/>
              <w:jc w:val="center"/>
              <w:rPr>
                <w:lang w:val="en-US" w:eastAsia="fr-FR"/>
              </w:rPr>
            </w:pPr>
            <w:r w:rsidRPr="00622F40">
              <w:rPr>
                <w:lang w:val="en-US" w:eastAsia="fr-FR"/>
              </w:rPr>
              <w:t>0</w:t>
            </w:r>
            <w:r>
              <w:rPr>
                <w:lang w:val="en-US" w:eastAsia="fr-FR"/>
              </w:rPr>
              <w:t>.</w:t>
            </w:r>
            <w:r w:rsidRPr="00622F40">
              <w:rPr>
                <w:lang w:val="en-US" w:eastAsia="fr-FR"/>
              </w:rPr>
              <w:t>1%</w:t>
            </w:r>
          </w:p>
        </w:tc>
      </w:tr>
      <w:tr w:rsidR="00AC3194" w14:paraId="3715D254" w14:textId="77777777" w:rsidTr="00622F40">
        <w:trPr>
          <w:jc w:val="center"/>
        </w:trPr>
        <w:tc>
          <w:tcPr>
            <w:tcW w:w="2843" w:type="dxa"/>
          </w:tcPr>
          <w:p w14:paraId="6EB25D7D" w14:textId="77777777" w:rsidR="00AC3194" w:rsidRDefault="00AC3194" w:rsidP="00391F65">
            <w:pPr>
              <w:pStyle w:val="BodyText"/>
              <w:jc w:val="center"/>
              <w:rPr>
                <w:lang w:val="en-US" w:eastAsia="fr-FR"/>
              </w:rPr>
            </w:pPr>
            <w:r>
              <w:rPr>
                <w:lang w:val="en-US" w:eastAsia="fr-FR"/>
              </w:rPr>
              <w:t>Poultry manure with litter</w:t>
            </w:r>
          </w:p>
        </w:tc>
        <w:tc>
          <w:tcPr>
            <w:tcW w:w="1315" w:type="dxa"/>
            <w:vAlign w:val="bottom"/>
          </w:tcPr>
          <w:p w14:paraId="4BB97DB8" w14:textId="77777777" w:rsidR="00AC3194" w:rsidRDefault="00AC3194" w:rsidP="00391F65">
            <w:pPr>
              <w:pStyle w:val="BodyText"/>
              <w:jc w:val="center"/>
              <w:rPr>
                <w:lang w:val="en-US" w:eastAsia="fr-FR"/>
              </w:rPr>
            </w:pPr>
            <w:r w:rsidRPr="00622F40">
              <w:rPr>
                <w:lang w:val="en-US" w:eastAsia="fr-FR"/>
              </w:rPr>
              <w:t>1</w:t>
            </w:r>
            <w:r>
              <w:rPr>
                <w:lang w:val="en-US" w:eastAsia="fr-FR"/>
              </w:rPr>
              <w:t>.</w:t>
            </w:r>
            <w:r w:rsidRPr="00622F40">
              <w:rPr>
                <w:lang w:val="en-US" w:eastAsia="fr-FR"/>
              </w:rPr>
              <w:t>5%</w:t>
            </w:r>
          </w:p>
        </w:tc>
        <w:tc>
          <w:tcPr>
            <w:tcW w:w="1226" w:type="dxa"/>
            <w:vAlign w:val="bottom"/>
          </w:tcPr>
          <w:p w14:paraId="2618D8AF" w14:textId="77777777" w:rsidR="00AC3194" w:rsidRDefault="00AC3194" w:rsidP="00391F65">
            <w:pPr>
              <w:pStyle w:val="BodyText"/>
              <w:jc w:val="center"/>
              <w:rPr>
                <w:lang w:val="en-US" w:eastAsia="fr-FR"/>
              </w:rPr>
            </w:pPr>
            <w:r w:rsidRPr="00622F40">
              <w:rPr>
                <w:lang w:val="en-US" w:eastAsia="fr-FR"/>
              </w:rPr>
              <w:t>1</w:t>
            </w:r>
            <w:r>
              <w:rPr>
                <w:lang w:val="en-US" w:eastAsia="fr-FR"/>
              </w:rPr>
              <w:t>.</w:t>
            </w:r>
            <w:r w:rsidRPr="00622F40">
              <w:rPr>
                <w:lang w:val="en-US" w:eastAsia="fr-FR"/>
              </w:rPr>
              <w:t>5%</w:t>
            </w:r>
          </w:p>
        </w:tc>
        <w:tc>
          <w:tcPr>
            <w:tcW w:w="1226" w:type="dxa"/>
            <w:vAlign w:val="bottom"/>
          </w:tcPr>
          <w:p w14:paraId="223D6713" w14:textId="77777777" w:rsidR="00AC3194" w:rsidRDefault="00AC3194" w:rsidP="00391F65">
            <w:pPr>
              <w:pStyle w:val="BodyText"/>
              <w:jc w:val="center"/>
              <w:rPr>
                <w:lang w:val="en-US" w:eastAsia="fr-FR"/>
              </w:rPr>
            </w:pPr>
            <w:r w:rsidRPr="00622F40">
              <w:rPr>
                <w:lang w:val="en-US" w:eastAsia="fr-FR"/>
              </w:rPr>
              <w:t>1</w:t>
            </w:r>
            <w:r>
              <w:rPr>
                <w:lang w:val="en-US" w:eastAsia="fr-FR"/>
              </w:rPr>
              <w:t>.</w:t>
            </w:r>
            <w:r w:rsidRPr="00622F40">
              <w:rPr>
                <w:lang w:val="en-US" w:eastAsia="fr-FR"/>
              </w:rPr>
              <w:t>5%</w:t>
            </w:r>
          </w:p>
        </w:tc>
        <w:tc>
          <w:tcPr>
            <w:tcW w:w="1226" w:type="dxa"/>
            <w:vAlign w:val="bottom"/>
          </w:tcPr>
          <w:p w14:paraId="28A811E8" w14:textId="77777777" w:rsidR="00AC3194" w:rsidRDefault="00AC3194" w:rsidP="00391F65">
            <w:pPr>
              <w:pStyle w:val="BodyText"/>
              <w:jc w:val="center"/>
              <w:rPr>
                <w:lang w:val="en-US" w:eastAsia="fr-FR"/>
              </w:rPr>
            </w:pPr>
            <w:r w:rsidRPr="00622F40">
              <w:rPr>
                <w:lang w:val="en-US" w:eastAsia="fr-FR"/>
              </w:rPr>
              <w:t>1</w:t>
            </w:r>
            <w:r>
              <w:rPr>
                <w:lang w:val="en-US" w:eastAsia="fr-FR"/>
              </w:rPr>
              <w:t>.</w:t>
            </w:r>
            <w:r w:rsidRPr="00622F40">
              <w:rPr>
                <w:lang w:val="en-US" w:eastAsia="fr-FR"/>
              </w:rPr>
              <w:t>5%</w:t>
            </w:r>
          </w:p>
        </w:tc>
        <w:tc>
          <w:tcPr>
            <w:tcW w:w="1226" w:type="dxa"/>
            <w:vAlign w:val="bottom"/>
          </w:tcPr>
          <w:p w14:paraId="52C3A821" w14:textId="77777777" w:rsidR="00AC3194" w:rsidRDefault="00AC3194" w:rsidP="00391F65">
            <w:pPr>
              <w:pStyle w:val="BodyText"/>
              <w:jc w:val="center"/>
              <w:rPr>
                <w:lang w:val="en-US" w:eastAsia="fr-FR"/>
              </w:rPr>
            </w:pPr>
            <w:r w:rsidRPr="00622F40">
              <w:rPr>
                <w:lang w:val="en-US" w:eastAsia="fr-FR"/>
              </w:rPr>
              <w:t>1</w:t>
            </w:r>
            <w:r>
              <w:rPr>
                <w:lang w:val="en-US" w:eastAsia="fr-FR"/>
              </w:rPr>
              <w:t>.</w:t>
            </w:r>
            <w:r w:rsidRPr="00622F40">
              <w:rPr>
                <w:lang w:val="en-US" w:eastAsia="fr-FR"/>
              </w:rPr>
              <w:t>5%</w:t>
            </w:r>
          </w:p>
        </w:tc>
      </w:tr>
    </w:tbl>
    <w:p w14:paraId="5B32C046" w14:textId="4AB02AA4" w:rsidR="00AC3194" w:rsidRDefault="00AC3194" w:rsidP="00535F1D">
      <w:pPr>
        <w:pStyle w:val="Caption"/>
        <w:keepNext/>
        <w:jc w:val="both"/>
      </w:pPr>
      <w:bookmarkStart w:id="675" w:name="_Toc184808567"/>
      <w:r>
        <w:t xml:space="preserve">Table </w:t>
      </w:r>
      <w:r>
        <w:fldChar w:fldCharType="begin"/>
      </w:r>
      <w:r>
        <w:instrText xml:space="preserve"> SEQ Table \* ARABIC </w:instrText>
      </w:r>
      <w:r>
        <w:fldChar w:fldCharType="separate"/>
      </w:r>
      <w:r w:rsidR="00F14C78">
        <w:rPr>
          <w:noProof/>
        </w:rPr>
        <w:t>24</w:t>
      </w:r>
      <w:r>
        <w:fldChar w:fldCharType="end"/>
      </w:r>
      <w:r>
        <w:t>: Daily volatile solid excreted VS, for each livestock category (in kg dry matter/animal/day), from 2006 IPCC Guidelines, used in Serbian inventory</w:t>
      </w:r>
      <w:bookmarkEnd w:id="675"/>
    </w:p>
    <w:tbl>
      <w:tblPr>
        <w:tblStyle w:val="TableGrid"/>
        <w:tblW w:w="0" w:type="auto"/>
        <w:tblLook w:val="04A0" w:firstRow="1" w:lastRow="0" w:firstColumn="1" w:lastColumn="0" w:noHBand="0" w:noVBand="1"/>
      </w:tblPr>
      <w:tblGrid>
        <w:gridCol w:w="3118"/>
        <w:gridCol w:w="2263"/>
      </w:tblGrid>
      <w:tr w:rsidR="00AC3194" w14:paraId="214FB766" w14:textId="77777777" w:rsidTr="00535F1D">
        <w:trPr>
          <w:tblHeader/>
        </w:trPr>
        <w:tc>
          <w:tcPr>
            <w:tcW w:w="3118" w:type="dxa"/>
            <w:shd w:val="clear" w:color="auto" w:fill="B8CCE4" w:themeFill="accent1" w:themeFillTint="66"/>
          </w:tcPr>
          <w:p w14:paraId="45071C84" w14:textId="77777777" w:rsidR="00AC3194" w:rsidRPr="001F0275" w:rsidRDefault="00AC3194" w:rsidP="00391F65">
            <w:pPr>
              <w:pStyle w:val="BodyText"/>
              <w:jc w:val="center"/>
              <w:rPr>
                <w:b/>
                <w:bCs/>
                <w:lang w:val="en-US" w:eastAsia="fr-FR"/>
              </w:rPr>
            </w:pPr>
            <w:r w:rsidRPr="001F0275">
              <w:rPr>
                <w:b/>
                <w:bCs/>
                <w:lang w:val="en-US" w:eastAsia="fr-FR"/>
              </w:rPr>
              <w:t>Livestock category</w:t>
            </w:r>
          </w:p>
        </w:tc>
        <w:tc>
          <w:tcPr>
            <w:tcW w:w="2263" w:type="dxa"/>
            <w:shd w:val="clear" w:color="auto" w:fill="B8CCE4" w:themeFill="accent1" w:themeFillTint="66"/>
          </w:tcPr>
          <w:p w14:paraId="3CDDBAB0" w14:textId="77777777" w:rsidR="00AC3194" w:rsidRPr="001F0275" w:rsidRDefault="00AC3194" w:rsidP="00391F65">
            <w:pPr>
              <w:pStyle w:val="BodyText"/>
              <w:jc w:val="center"/>
              <w:rPr>
                <w:b/>
                <w:bCs/>
                <w:lang w:val="en-US" w:eastAsia="fr-FR"/>
              </w:rPr>
            </w:pPr>
            <w:r>
              <w:rPr>
                <w:b/>
                <w:bCs/>
                <w:lang w:val="en-US" w:eastAsia="fr-FR"/>
              </w:rPr>
              <w:t>VS</w:t>
            </w:r>
            <w:r w:rsidRPr="001F0275">
              <w:rPr>
                <w:b/>
                <w:bCs/>
                <w:lang w:val="en-US" w:eastAsia="fr-FR"/>
              </w:rPr>
              <w:t xml:space="preserve"> (</w:t>
            </w:r>
            <w:r>
              <w:rPr>
                <w:b/>
                <w:bCs/>
                <w:lang w:val="en-US" w:eastAsia="fr-FR"/>
              </w:rPr>
              <w:t>kg/animal/day</w:t>
            </w:r>
            <w:r w:rsidRPr="001F0275">
              <w:rPr>
                <w:b/>
                <w:bCs/>
                <w:lang w:val="en-US" w:eastAsia="fr-FR"/>
              </w:rPr>
              <w:t>)</w:t>
            </w:r>
          </w:p>
        </w:tc>
      </w:tr>
      <w:tr w:rsidR="00AC3194" w14:paraId="1BDF7756" w14:textId="77777777" w:rsidTr="00535F1D">
        <w:tc>
          <w:tcPr>
            <w:tcW w:w="3118" w:type="dxa"/>
          </w:tcPr>
          <w:p w14:paraId="0A3B8625" w14:textId="77777777" w:rsidR="00AC3194" w:rsidRDefault="00AC3194" w:rsidP="00391F65">
            <w:pPr>
              <w:pStyle w:val="BodyText"/>
              <w:jc w:val="center"/>
              <w:rPr>
                <w:lang w:val="en-US" w:eastAsia="fr-FR"/>
              </w:rPr>
            </w:pPr>
            <w:r>
              <w:rPr>
                <w:lang w:val="en-US" w:eastAsia="fr-FR"/>
              </w:rPr>
              <w:t>Dairy cattle</w:t>
            </w:r>
          </w:p>
        </w:tc>
        <w:tc>
          <w:tcPr>
            <w:tcW w:w="2263" w:type="dxa"/>
          </w:tcPr>
          <w:p w14:paraId="2895F4DC" w14:textId="77777777" w:rsidR="00AC3194" w:rsidRDefault="00AC3194" w:rsidP="00391F65">
            <w:pPr>
              <w:pStyle w:val="BodyText"/>
              <w:jc w:val="center"/>
              <w:rPr>
                <w:lang w:val="en-US" w:eastAsia="fr-FR"/>
              </w:rPr>
            </w:pPr>
            <w:r>
              <w:rPr>
                <w:lang w:val="en-US" w:eastAsia="fr-FR"/>
              </w:rPr>
              <w:t>4.5</w:t>
            </w:r>
          </w:p>
        </w:tc>
      </w:tr>
      <w:tr w:rsidR="00AC3194" w14:paraId="6E8674AA" w14:textId="77777777" w:rsidTr="00535F1D">
        <w:tc>
          <w:tcPr>
            <w:tcW w:w="3118" w:type="dxa"/>
          </w:tcPr>
          <w:p w14:paraId="66F1E8CB" w14:textId="77777777" w:rsidR="00AC3194" w:rsidRDefault="00AC3194" w:rsidP="00391F65">
            <w:pPr>
              <w:pStyle w:val="BodyText"/>
              <w:jc w:val="center"/>
              <w:rPr>
                <w:lang w:val="en-US" w:eastAsia="fr-FR"/>
              </w:rPr>
            </w:pPr>
            <w:r>
              <w:rPr>
                <w:lang w:val="en-US" w:eastAsia="fr-FR"/>
              </w:rPr>
              <w:t>Other cattle</w:t>
            </w:r>
          </w:p>
        </w:tc>
        <w:tc>
          <w:tcPr>
            <w:tcW w:w="2263" w:type="dxa"/>
          </w:tcPr>
          <w:p w14:paraId="697CA9AE" w14:textId="77777777" w:rsidR="00AC3194" w:rsidRDefault="00AC3194" w:rsidP="00391F65">
            <w:pPr>
              <w:pStyle w:val="BodyText"/>
              <w:jc w:val="center"/>
              <w:rPr>
                <w:lang w:val="en-US" w:eastAsia="fr-FR"/>
              </w:rPr>
            </w:pPr>
            <w:r>
              <w:rPr>
                <w:lang w:val="en-US" w:eastAsia="fr-FR"/>
              </w:rPr>
              <w:t>2.7</w:t>
            </w:r>
          </w:p>
        </w:tc>
      </w:tr>
      <w:tr w:rsidR="00AC3194" w14:paraId="1F56BB89" w14:textId="77777777" w:rsidTr="00535F1D">
        <w:tc>
          <w:tcPr>
            <w:tcW w:w="3118" w:type="dxa"/>
          </w:tcPr>
          <w:p w14:paraId="373692A6" w14:textId="77777777" w:rsidR="00AC3194" w:rsidRDefault="00AC3194" w:rsidP="00391F65">
            <w:pPr>
              <w:pStyle w:val="BodyText"/>
              <w:jc w:val="center"/>
              <w:rPr>
                <w:lang w:val="en-US" w:eastAsia="fr-FR"/>
              </w:rPr>
            </w:pPr>
            <w:r>
              <w:rPr>
                <w:lang w:val="en-US" w:eastAsia="fr-FR"/>
              </w:rPr>
              <w:lastRenderedPageBreak/>
              <w:t>Sheep</w:t>
            </w:r>
          </w:p>
        </w:tc>
        <w:tc>
          <w:tcPr>
            <w:tcW w:w="2263" w:type="dxa"/>
          </w:tcPr>
          <w:p w14:paraId="43A4AB91" w14:textId="77777777" w:rsidR="00AC3194" w:rsidRDefault="00AC3194" w:rsidP="00391F65">
            <w:pPr>
              <w:pStyle w:val="BodyText"/>
              <w:jc w:val="center"/>
              <w:rPr>
                <w:lang w:val="en-US" w:eastAsia="fr-FR"/>
              </w:rPr>
            </w:pPr>
            <w:r>
              <w:rPr>
                <w:lang w:val="en-US" w:eastAsia="fr-FR"/>
              </w:rPr>
              <w:t>0.4</w:t>
            </w:r>
          </w:p>
        </w:tc>
      </w:tr>
      <w:tr w:rsidR="00AC3194" w14:paraId="35CF62E0" w14:textId="77777777" w:rsidTr="00535F1D">
        <w:tc>
          <w:tcPr>
            <w:tcW w:w="3118" w:type="dxa"/>
          </w:tcPr>
          <w:p w14:paraId="5D6532C9" w14:textId="77777777" w:rsidR="00AC3194" w:rsidRDefault="00AC3194" w:rsidP="00391F65">
            <w:pPr>
              <w:pStyle w:val="BodyText"/>
              <w:jc w:val="center"/>
              <w:rPr>
                <w:lang w:val="en-US" w:eastAsia="fr-FR"/>
              </w:rPr>
            </w:pPr>
            <w:r>
              <w:rPr>
                <w:lang w:val="en-US" w:eastAsia="fr-FR"/>
              </w:rPr>
              <w:t>Fattening pigs</w:t>
            </w:r>
          </w:p>
        </w:tc>
        <w:tc>
          <w:tcPr>
            <w:tcW w:w="2263" w:type="dxa"/>
          </w:tcPr>
          <w:p w14:paraId="0E5A35D2" w14:textId="77777777" w:rsidR="00AC3194" w:rsidRDefault="00AC3194" w:rsidP="00391F65">
            <w:pPr>
              <w:pStyle w:val="BodyText"/>
              <w:jc w:val="center"/>
              <w:rPr>
                <w:lang w:val="en-US" w:eastAsia="fr-FR"/>
              </w:rPr>
            </w:pPr>
            <w:r>
              <w:rPr>
                <w:lang w:val="en-US" w:eastAsia="fr-FR"/>
              </w:rPr>
              <w:t>0.3</w:t>
            </w:r>
          </w:p>
        </w:tc>
      </w:tr>
      <w:tr w:rsidR="00AC3194" w14:paraId="126620BE" w14:textId="77777777" w:rsidTr="00535F1D">
        <w:tc>
          <w:tcPr>
            <w:tcW w:w="3118" w:type="dxa"/>
          </w:tcPr>
          <w:p w14:paraId="7010FDF2" w14:textId="77777777" w:rsidR="00AC3194" w:rsidRDefault="00AC3194" w:rsidP="00391F65">
            <w:pPr>
              <w:pStyle w:val="BodyText"/>
              <w:jc w:val="center"/>
              <w:rPr>
                <w:lang w:val="en-US" w:eastAsia="fr-FR"/>
              </w:rPr>
            </w:pPr>
            <w:r>
              <w:rPr>
                <w:lang w:val="en-US" w:eastAsia="fr-FR"/>
              </w:rPr>
              <w:t>Sows</w:t>
            </w:r>
          </w:p>
        </w:tc>
        <w:tc>
          <w:tcPr>
            <w:tcW w:w="2263" w:type="dxa"/>
          </w:tcPr>
          <w:p w14:paraId="56EB0D32" w14:textId="77777777" w:rsidR="00AC3194" w:rsidRDefault="00AC3194" w:rsidP="00391F65">
            <w:pPr>
              <w:pStyle w:val="BodyText"/>
              <w:jc w:val="center"/>
              <w:rPr>
                <w:lang w:val="en-US" w:eastAsia="fr-FR"/>
              </w:rPr>
            </w:pPr>
            <w:r>
              <w:rPr>
                <w:lang w:val="en-US" w:eastAsia="fr-FR"/>
              </w:rPr>
              <w:t>0.5</w:t>
            </w:r>
          </w:p>
        </w:tc>
      </w:tr>
      <w:tr w:rsidR="00AC3194" w14:paraId="33E12347" w14:textId="77777777" w:rsidTr="00535F1D">
        <w:tc>
          <w:tcPr>
            <w:tcW w:w="3118" w:type="dxa"/>
          </w:tcPr>
          <w:p w14:paraId="7302C9E0" w14:textId="77777777" w:rsidR="00AC3194" w:rsidRDefault="00AC3194" w:rsidP="00391F65">
            <w:pPr>
              <w:pStyle w:val="BodyText"/>
              <w:jc w:val="center"/>
              <w:rPr>
                <w:lang w:val="en-US" w:eastAsia="fr-FR"/>
              </w:rPr>
            </w:pPr>
            <w:r>
              <w:rPr>
                <w:lang w:val="en-US" w:eastAsia="fr-FR"/>
              </w:rPr>
              <w:t>Goats</w:t>
            </w:r>
          </w:p>
        </w:tc>
        <w:tc>
          <w:tcPr>
            <w:tcW w:w="2263" w:type="dxa"/>
          </w:tcPr>
          <w:p w14:paraId="4D0780B3" w14:textId="77777777" w:rsidR="00AC3194" w:rsidRDefault="00AC3194" w:rsidP="00391F65">
            <w:pPr>
              <w:pStyle w:val="BodyText"/>
              <w:jc w:val="center"/>
              <w:rPr>
                <w:lang w:val="en-US" w:eastAsia="fr-FR"/>
              </w:rPr>
            </w:pPr>
            <w:r>
              <w:rPr>
                <w:lang w:val="en-US" w:eastAsia="fr-FR"/>
              </w:rPr>
              <w:t>0.3</w:t>
            </w:r>
          </w:p>
        </w:tc>
      </w:tr>
      <w:tr w:rsidR="00AC3194" w14:paraId="017271FC" w14:textId="77777777" w:rsidTr="00535F1D">
        <w:tc>
          <w:tcPr>
            <w:tcW w:w="3118" w:type="dxa"/>
          </w:tcPr>
          <w:p w14:paraId="5F1322DF" w14:textId="77777777" w:rsidR="00AC3194" w:rsidRDefault="00AC3194" w:rsidP="00391F65">
            <w:pPr>
              <w:pStyle w:val="BodyText"/>
              <w:jc w:val="center"/>
              <w:rPr>
                <w:lang w:val="en-US" w:eastAsia="fr-FR"/>
              </w:rPr>
            </w:pPr>
            <w:r>
              <w:rPr>
                <w:lang w:val="en-US" w:eastAsia="fr-FR"/>
              </w:rPr>
              <w:t>Horses</w:t>
            </w:r>
          </w:p>
        </w:tc>
        <w:tc>
          <w:tcPr>
            <w:tcW w:w="2263" w:type="dxa"/>
          </w:tcPr>
          <w:p w14:paraId="7C2DBB2C" w14:textId="77777777" w:rsidR="00AC3194" w:rsidRDefault="00AC3194" w:rsidP="00391F65">
            <w:pPr>
              <w:pStyle w:val="BodyText"/>
              <w:jc w:val="center"/>
              <w:rPr>
                <w:lang w:val="en-US" w:eastAsia="fr-FR"/>
              </w:rPr>
            </w:pPr>
            <w:r>
              <w:rPr>
                <w:lang w:val="en-US" w:eastAsia="fr-FR"/>
              </w:rPr>
              <w:t>2.13</w:t>
            </w:r>
          </w:p>
        </w:tc>
      </w:tr>
      <w:tr w:rsidR="00AC3194" w14:paraId="5E3AC1A8" w14:textId="77777777" w:rsidTr="00535F1D">
        <w:tc>
          <w:tcPr>
            <w:tcW w:w="3118" w:type="dxa"/>
          </w:tcPr>
          <w:p w14:paraId="1E8B92B6" w14:textId="77777777" w:rsidR="00AC3194" w:rsidRDefault="00AC3194" w:rsidP="00391F65">
            <w:pPr>
              <w:pStyle w:val="BodyText"/>
              <w:jc w:val="center"/>
              <w:rPr>
                <w:lang w:val="en-US" w:eastAsia="fr-FR"/>
              </w:rPr>
            </w:pPr>
            <w:r>
              <w:rPr>
                <w:lang w:val="en-US" w:eastAsia="fr-FR"/>
              </w:rPr>
              <w:t>Layers</w:t>
            </w:r>
          </w:p>
        </w:tc>
        <w:tc>
          <w:tcPr>
            <w:tcW w:w="2263" w:type="dxa"/>
          </w:tcPr>
          <w:p w14:paraId="6B881281" w14:textId="77777777" w:rsidR="00AC3194" w:rsidRDefault="00AC3194" w:rsidP="00391F65">
            <w:pPr>
              <w:pStyle w:val="BodyText"/>
              <w:jc w:val="center"/>
              <w:rPr>
                <w:lang w:val="en-US" w:eastAsia="fr-FR"/>
              </w:rPr>
            </w:pPr>
            <w:r>
              <w:rPr>
                <w:lang w:val="en-US" w:eastAsia="fr-FR"/>
              </w:rPr>
              <w:t>0.02</w:t>
            </w:r>
          </w:p>
        </w:tc>
      </w:tr>
      <w:tr w:rsidR="00AC3194" w14:paraId="2984862F" w14:textId="77777777" w:rsidTr="00535F1D">
        <w:tc>
          <w:tcPr>
            <w:tcW w:w="3118" w:type="dxa"/>
          </w:tcPr>
          <w:p w14:paraId="0F2423B9" w14:textId="77777777" w:rsidR="00AC3194" w:rsidRDefault="00AC3194" w:rsidP="00391F65">
            <w:pPr>
              <w:pStyle w:val="BodyText"/>
              <w:jc w:val="center"/>
              <w:rPr>
                <w:lang w:val="en-US" w:eastAsia="fr-FR"/>
              </w:rPr>
            </w:pPr>
            <w:r>
              <w:rPr>
                <w:lang w:val="en-US" w:eastAsia="fr-FR"/>
              </w:rPr>
              <w:t>Broilers</w:t>
            </w:r>
          </w:p>
        </w:tc>
        <w:tc>
          <w:tcPr>
            <w:tcW w:w="2263" w:type="dxa"/>
          </w:tcPr>
          <w:p w14:paraId="787B33F0" w14:textId="77777777" w:rsidR="00AC3194" w:rsidRDefault="00AC3194" w:rsidP="00391F65">
            <w:pPr>
              <w:pStyle w:val="BodyText"/>
              <w:jc w:val="center"/>
              <w:rPr>
                <w:lang w:val="en-US" w:eastAsia="fr-FR"/>
              </w:rPr>
            </w:pPr>
            <w:r>
              <w:rPr>
                <w:lang w:val="en-US" w:eastAsia="fr-FR"/>
              </w:rPr>
              <w:t>0.01</w:t>
            </w:r>
          </w:p>
        </w:tc>
      </w:tr>
      <w:tr w:rsidR="00AC3194" w14:paraId="4A34D288" w14:textId="77777777" w:rsidTr="00535F1D">
        <w:tc>
          <w:tcPr>
            <w:tcW w:w="3118" w:type="dxa"/>
          </w:tcPr>
          <w:p w14:paraId="5C1C86A0" w14:textId="77777777" w:rsidR="00AC3194" w:rsidRDefault="00AC3194" w:rsidP="00391F65">
            <w:pPr>
              <w:pStyle w:val="BodyText"/>
              <w:jc w:val="center"/>
              <w:rPr>
                <w:lang w:val="en-US" w:eastAsia="fr-FR"/>
              </w:rPr>
            </w:pPr>
            <w:r>
              <w:rPr>
                <w:lang w:val="en-US" w:eastAsia="fr-FR"/>
              </w:rPr>
              <w:t>Turkeys</w:t>
            </w:r>
          </w:p>
        </w:tc>
        <w:tc>
          <w:tcPr>
            <w:tcW w:w="2263" w:type="dxa"/>
          </w:tcPr>
          <w:p w14:paraId="4D6581E3" w14:textId="77777777" w:rsidR="00AC3194" w:rsidRDefault="00AC3194" w:rsidP="00391F65">
            <w:pPr>
              <w:pStyle w:val="BodyText"/>
              <w:jc w:val="center"/>
              <w:rPr>
                <w:lang w:val="en-US" w:eastAsia="fr-FR"/>
              </w:rPr>
            </w:pPr>
            <w:r>
              <w:rPr>
                <w:lang w:val="en-US" w:eastAsia="fr-FR"/>
              </w:rPr>
              <w:t>0.07</w:t>
            </w:r>
          </w:p>
        </w:tc>
      </w:tr>
      <w:tr w:rsidR="00AC3194" w14:paraId="033CF2FC" w14:textId="77777777" w:rsidTr="00535F1D">
        <w:tc>
          <w:tcPr>
            <w:tcW w:w="3118" w:type="dxa"/>
          </w:tcPr>
          <w:p w14:paraId="677D88EA" w14:textId="77777777" w:rsidR="00AC3194" w:rsidRDefault="00AC3194" w:rsidP="00391F65">
            <w:pPr>
              <w:pStyle w:val="BodyText"/>
              <w:jc w:val="center"/>
              <w:rPr>
                <w:lang w:val="en-US" w:eastAsia="fr-FR"/>
              </w:rPr>
            </w:pPr>
            <w:r>
              <w:rPr>
                <w:lang w:val="en-US" w:eastAsia="fr-FR"/>
              </w:rPr>
              <w:t>Other poultry</w:t>
            </w:r>
          </w:p>
        </w:tc>
        <w:tc>
          <w:tcPr>
            <w:tcW w:w="2263" w:type="dxa"/>
          </w:tcPr>
          <w:p w14:paraId="55FA6D38" w14:textId="77777777" w:rsidR="00AC3194" w:rsidRDefault="00AC3194" w:rsidP="00391F65">
            <w:pPr>
              <w:pStyle w:val="BodyText"/>
              <w:jc w:val="center"/>
              <w:rPr>
                <w:lang w:val="en-US" w:eastAsia="fr-FR"/>
              </w:rPr>
            </w:pPr>
            <w:r>
              <w:rPr>
                <w:lang w:val="en-US" w:eastAsia="fr-FR"/>
              </w:rPr>
              <w:t>0.02</w:t>
            </w:r>
          </w:p>
        </w:tc>
      </w:tr>
    </w:tbl>
    <w:p w14:paraId="1293A938" w14:textId="1E87432E" w:rsidR="00AC3194" w:rsidRDefault="00AC3194" w:rsidP="00535F1D">
      <w:pPr>
        <w:pStyle w:val="Caption"/>
        <w:keepNext/>
        <w:jc w:val="both"/>
      </w:pPr>
      <w:bookmarkStart w:id="676" w:name="_Toc184808568"/>
      <w:r>
        <w:t xml:space="preserve">Table </w:t>
      </w:r>
      <w:r>
        <w:fldChar w:fldCharType="begin"/>
      </w:r>
      <w:r>
        <w:instrText xml:space="preserve"> SEQ Table \* ARABIC </w:instrText>
      </w:r>
      <w:r>
        <w:fldChar w:fldCharType="separate"/>
      </w:r>
      <w:r w:rsidR="00F14C78">
        <w:rPr>
          <w:noProof/>
        </w:rPr>
        <w:t>25</w:t>
      </w:r>
      <w:r>
        <w:fldChar w:fldCharType="end"/>
      </w:r>
      <w:r>
        <w:t>: Maximum methane producing capacities for manure produced by each livestock category (“Bo values”) (in m</w:t>
      </w:r>
      <w:r w:rsidRPr="00622F40">
        <w:rPr>
          <w:vertAlign w:val="superscript"/>
        </w:rPr>
        <w:t>3</w:t>
      </w:r>
      <w:r>
        <w:t xml:space="preserve"> CH</w:t>
      </w:r>
      <w:r w:rsidRPr="00622F40">
        <w:rPr>
          <w:vertAlign w:val="subscript"/>
        </w:rPr>
        <w:t>4</w:t>
      </w:r>
      <w:r>
        <w:t>/kg of VS excreted), from 2006 IPCC Guidelines, used in Serbian inventory</w:t>
      </w:r>
      <w:bookmarkEnd w:id="676"/>
    </w:p>
    <w:tbl>
      <w:tblPr>
        <w:tblStyle w:val="TableGrid"/>
        <w:tblW w:w="0" w:type="auto"/>
        <w:tblLook w:val="04A0" w:firstRow="1" w:lastRow="0" w:firstColumn="1" w:lastColumn="0" w:noHBand="0" w:noVBand="1"/>
      </w:tblPr>
      <w:tblGrid>
        <w:gridCol w:w="3118"/>
        <w:gridCol w:w="2263"/>
      </w:tblGrid>
      <w:tr w:rsidR="00AC3194" w14:paraId="664BA23D" w14:textId="77777777" w:rsidTr="00535F1D">
        <w:tc>
          <w:tcPr>
            <w:tcW w:w="3118" w:type="dxa"/>
            <w:shd w:val="clear" w:color="auto" w:fill="B8CCE4" w:themeFill="accent1" w:themeFillTint="66"/>
          </w:tcPr>
          <w:p w14:paraId="45CF79BF" w14:textId="77777777" w:rsidR="00AC3194" w:rsidRPr="00622F40" w:rsidRDefault="00AC3194" w:rsidP="00391F65">
            <w:pPr>
              <w:pStyle w:val="BodyText"/>
              <w:jc w:val="center"/>
              <w:rPr>
                <w:b/>
                <w:bCs/>
                <w:lang w:val="en-US" w:eastAsia="fr-FR"/>
              </w:rPr>
            </w:pPr>
            <w:r w:rsidRPr="00622F40">
              <w:rPr>
                <w:b/>
                <w:bCs/>
                <w:lang w:val="en-US" w:eastAsia="fr-FR"/>
              </w:rPr>
              <w:t>Livestock category</w:t>
            </w:r>
          </w:p>
        </w:tc>
        <w:tc>
          <w:tcPr>
            <w:tcW w:w="2263" w:type="dxa"/>
            <w:shd w:val="clear" w:color="auto" w:fill="B8CCE4" w:themeFill="accent1" w:themeFillTint="66"/>
          </w:tcPr>
          <w:p w14:paraId="437E7B43" w14:textId="77777777" w:rsidR="00AC3194" w:rsidRPr="00622F40" w:rsidRDefault="00AC3194" w:rsidP="00391F65">
            <w:pPr>
              <w:pStyle w:val="BodyText"/>
              <w:jc w:val="center"/>
              <w:rPr>
                <w:b/>
                <w:bCs/>
                <w:lang w:val="en-US" w:eastAsia="fr-FR"/>
              </w:rPr>
            </w:pPr>
            <w:r w:rsidRPr="00622F40">
              <w:rPr>
                <w:b/>
                <w:bCs/>
                <w:lang w:val="en-US" w:eastAsia="fr-FR"/>
              </w:rPr>
              <w:t>Bo (m</w:t>
            </w:r>
            <w:r w:rsidRPr="00622F40">
              <w:rPr>
                <w:b/>
                <w:bCs/>
                <w:vertAlign w:val="superscript"/>
                <w:lang w:val="en-US" w:eastAsia="fr-FR"/>
              </w:rPr>
              <w:t>3</w:t>
            </w:r>
            <w:r w:rsidRPr="00622F40">
              <w:rPr>
                <w:b/>
                <w:bCs/>
                <w:lang w:val="en-US" w:eastAsia="fr-FR"/>
              </w:rPr>
              <w:t>/kg of VS)</w:t>
            </w:r>
          </w:p>
        </w:tc>
      </w:tr>
      <w:tr w:rsidR="00AC3194" w14:paraId="6E780467" w14:textId="77777777" w:rsidTr="00535F1D">
        <w:tc>
          <w:tcPr>
            <w:tcW w:w="3118" w:type="dxa"/>
          </w:tcPr>
          <w:p w14:paraId="7E9BE363" w14:textId="77777777" w:rsidR="00AC3194" w:rsidRDefault="00AC3194" w:rsidP="00391F65">
            <w:pPr>
              <w:pStyle w:val="BodyText"/>
              <w:jc w:val="center"/>
              <w:rPr>
                <w:lang w:val="en-US" w:eastAsia="fr-FR"/>
              </w:rPr>
            </w:pPr>
            <w:r>
              <w:rPr>
                <w:lang w:val="en-US" w:eastAsia="fr-FR"/>
              </w:rPr>
              <w:t>Dairy cattle</w:t>
            </w:r>
          </w:p>
        </w:tc>
        <w:tc>
          <w:tcPr>
            <w:tcW w:w="2263" w:type="dxa"/>
          </w:tcPr>
          <w:p w14:paraId="3D6F3604" w14:textId="77777777" w:rsidR="00AC3194" w:rsidRDefault="00AC3194" w:rsidP="00391F65">
            <w:pPr>
              <w:pStyle w:val="BodyText"/>
              <w:jc w:val="center"/>
              <w:rPr>
                <w:lang w:val="en-US" w:eastAsia="fr-FR"/>
              </w:rPr>
            </w:pPr>
            <w:r>
              <w:rPr>
                <w:lang w:val="en-US" w:eastAsia="fr-FR"/>
              </w:rPr>
              <w:t>0.24</w:t>
            </w:r>
          </w:p>
        </w:tc>
      </w:tr>
      <w:tr w:rsidR="00AC3194" w14:paraId="599906EE" w14:textId="77777777" w:rsidTr="00535F1D">
        <w:tc>
          <w:tcPr>
            <w:tcW w:w="3118" w:type="dxa"/>
          </w:tcPr>
          <w:p w14:paraId="0D4DD22A" w14:textId="77777777" w:rsidR="00AC3194" w:rsidRDefault="00AC3194" w:rsidP="00391F65">
            <w:pPr>
              <w:pStyle w:val="BodyText"/>
              <w:jc w:val="center"/>
              <w:rPr>
                <w:lang w:val="en-US" w:eastAsia="fr-FR"/>
              </w:rPr>
            </w:pPr>
            <w:r>
              <w:rPr>
                <w:lang w:val="en-US" w:eastAsia="fr-FR"/>
              </w:rPr>
              <w:t>Other cattle</w:t>
            </w:r>
          </w:p>
        </w:tc>
        <w:tc>
          <w:tcPr>
            <w:tcW w:w="2263" w:type="dxa"/>
          </w:tcPr>
          <w:p w14:paraId="7D845AB7" w14:textId="77777777" w:rsidR="00AC3194" w:rsidRDefault="00AC3194" w:rsidP="00391F65">
            <w:pPr>
              <w:pStyle w:val="BodyText"/>
              <w:jc w:val="center"/>
              <w:rPr>
                <w:lang w:val="en-US" w:eastAsia="fr-FR"/>
              </w:rPr>
            </w:pPr>
            <w:r>
              <w:rPr>
                <w:lang w:val="en-US" w:eastAsia="fr-FR"/>
              </w:rPr>
              <w:t>0.17</w:t>
            </w:r>
          </w:p>
        </w:tc>
      </w:tr>
      <w:tr w:rsidR="00AC3194" w14:paraId="7B6E1085" w14:textId="77777777" w:rsidTr="00535F1D">
        <w:tc>
          <w:tcPr>
            <w:tcW w:w="3118" w:type="dxa"/>
          </w:tcPr>
          <w:p w14:paraId="5EABBA64" w14:textId="77777777" w:rsidR="00AC3194" w:rsidRDefault="00AC3194" w:rsidP="00391F65">
            <w:pPr>
              <w:pStyle w:val="BodyText"/>
              <w:jc w:val="center"/>
              <w:rPr>
                <w:lang w:val="en-US" w:eastAsia="fr-FR"/>
              </w:rPr>
            </w:pPr>
            <w:r>
              <w:rPr>
                <w:lang w:val="en-US" w:eastAsia="fr-FR"/>
              </w:rPr>
              <w:t>Sheep</w:t>
            </w:r>
          </w:p>
        </w:tc>
        <w:tc>
          <w:tcPr>
            <w:tcW w:w="2263" w:type="dxa"/>
          </w:tcPr>
          <w:p w14:paraId="7D1A77AD" w14:textId="77777777" w:rsidR="00AC3194" w:rsidRDefault="00AC3194" w:rsidP="00391F65">
            <w:pPr>
              <w:pStyle w:val="BodyText"/>
              <w:jc w:val="center"/>
              <w:rPr>
                <w:lang w:val="en-US" w:eastAsia="fr-FR"/>
              </w:rPr>
            </w:pPr>
            <w:r>
              <w:rPr>
                <w:lang w:val="en-US" w:eastAsia="fr-FR"/>
              </w:rPr>
              <w:t>0.19</w:t>
            </w:r>
          </w:p>
        </w:tc>
      </w:tr>
      <w:tr w:rsidR="00AC3194" w14:paraId="500415F2" w14:textId="77777777" w:rsidTr="00535F1D">
        <w:tc>
          <w:tcPr>
            <w:tcW w:w="3118" w:type="dxa"/>
          </w:tcPr>
          <w:p w14:paraId="487CB514" w14:textId="77777777" w:rsidR="00AC3194" w:rsidRDefault="00AC3194" w:rsidP="00391F65">
            <w:pPr>
              <w:pStyle w:val="BodyText"/>
              <w:jc w:val="center"/>
              <w:rPr>
                <w:lang w:val="en-US" w:eastAsia="fr-FR"/>
              </w:rPr>
            </w:pPr>
            <w:r>
              <w:rPr>
                <w:lang w:val="en-US" w:eastAsia="fr-FR"/>
              </w:rPr>
              <w:t>Fattening pigs</w:t>
            </w:r>
          </w:p>
        </w:tc>
        <w:tc>
          <w:tcPr>
            <w:tcW w:w="2263" w:type="dxa"/>
          </w:tcPr>
          <w:p w14:paraId="733B965B" w14:textId="77777777" w:rsidR="00AC3194" w:rsidRDefault="00AC3194" w:rsidP="00391F65">
            <w:pPr>
              <w:pStyle w:val="BodyText"/>
              <w:jc w:val="center"/>
              <w:rPr>
                <w:lang w:val="en-US" w:eastAsia="fr-FR"/>
              </w:rPr>
            </w:pPr>
            <w:r>
              <w:rPr>
                <w:lang w:val="en-US" w:eastAsia="fr-FR"/>
              </w:rPr>
              <w:t>0.45</w:t>
            </w:r>
          </w:p>
        </w:tc>
      </w:tr>
      <w:tr w:rsidR="00AC3194" w14:paraId="3C73EB4B" w14:textId="77777777" w:rsidTr="00535F1D">
        <w:tc>
          <w:tcPr>
            <w:tcW w:w="3118" w:type="dxa"/>
          </w:tcPr>
          <w:p w14:paraId="47CACC8A" w14:textId="77777777" w:rsidR="00AC3194" w:rsidRDefault="00AC3194" w:rsidP="00391F65">
            <w:pPr>
              <w:pStyle w:val="BodyText"/>
              <w:jc w:val="center"/>
              <w:rPr>
                <w:lang w:val="en-US" w:eastAsia="fr-FR"/>
              </w:rPr>
            </w:pPr>
            <w:r>
              <w:rPr>
                <w:lang w:val="en-US" w:eastAsia="fr-FR"/>
              </w:rPr>
              <w:t>Sows</w:t>
            </w:r>
          </w:p>
        </w:tc>
        <w:tc>
          <w:tcPr>
            <w:tcW w:w="2263" w:type="dxa"/>
          </w:tcPr>
          <w:p w14:paraId="4A15ABFD" w14:textId="77777777" w:rsidR="00AC3194" w:rsidRDefault="00AC3194" w:rsidP="00391F65">
            <w:pPr>
              <w:pStyle w:val="BodyText"/>
              <w:jc w:val="center"/>
              <w:rPr>
                <w:lang w:val="en-US" w:eastAsia="fr-FR"/>
              </w:rPr>
            </w:pPr>
            <w:r>
              <w:rPr>
                <w:lang w:val="en-US" w:eastAsia="fr-FR"/>
              </w:rPr>
              <w:t>0.45</w:t>
            </w:r>
          </w:p>
        </w:tc>
      </w:tr>
      <w:tr w:rsidR="00AC3194" w14:paraId="69D26077" w14:textId="77777777" w:rsidTr="00535F1D">
        <w:tc>
          <w:tcPr>
            <w:tcW w:w="3118" w:type="dxa"/>
          </w:tcPr>
          <w:p w14:paraId="461662AE" w14:textId="77777777" w:rsidR="00AC3194" w:rsidRDefault="00AC3194" w:rsidP="00391F65">
            <w:pPr>
              <w:pStyle w:val="BodyText"/>
              <w:jc w:val="center"/>
              <w:rPr>
                <w:lang w:val="en-US" w:eastAsia="fr-FR"/>
              </w:rPr>
            </w:pPr>
            <w:r>
              <w:rPr>
                <w:lang w:val="en-US" w:eastAsia="fr-FR"/>
              </w:rPr>
              <w:t>Goats</w:t>
            </w:r>
          </w:p>
        </w:tc>
        <w:tc>
          <w:tcPr>
            <w:tcW w:w="2263" w:type="dxa"/>
          </w:tcPr>
          <w:p w14:paraId="63D47D28" w14:textId="77777777" w:rsidR="00AC3194" w:rsidRDefault="00AC3194" w:rsidP="00391F65">
            <w:pPr>
              <w:pStyle w:val="BodyText"/>
              <w:jc w:val="center"/>
              <w:rPr>
                <w:lang w:val="en-US" w:eastAsia="fr-FR"/>
              </w:rPr>
            </w:pPr>
            <w:r>
              <w:rPr>
                <w:lang w:val="en-US" w:eastAsia="fr-FR"/>
              </w:rPr>
              <w:t>0.18</w:t>
            </w:r>
          </w:p>
        </w:tc>
      </w:tr>
      <w:tr w:rsidR="00AC3194" w14:paraId="585DBE9A" w14:textId="77777777" w:rsidTr="00535F1D">
        <w:tc>
          <w:tcPr>
            <w:tcW w:w="3118" w:type="dxa"/>
          </w:tcPr>
          <w:p w14:paraId="46CB9583" w14:textId="77777777" w:rsidR="00AC3194" w:rsidRDefault="00AC3194" w:rsidP="00391F65">
            <w:pPr>
              <w:pStyle w:val="BodyText"/>
              <w:jc w:val="center"/>
              <w:rPr>
                <w:lang w:val="en-US" w:eastAsia="fr-FR"/>
              </w:rPr>
            </w:pPr>
            <w:r>
              <w:rPr>
                <w:lang w:val="en-US" w:eastAsia="fr-FR"/>
              </w:rPr>
              <w:t>Horses</w:t>
            </w:r>
          </w:p>
        </w:tc>
        <w:tc>
          <w:tcPr>
            <w:tcW w:w="2263" w:type="dxa"/>
          </w:tcPr>
          <w:p w14:paraId="0B33AC18" w14:textId="77777777" w:rsidR="00AC3194" w:rsidRDefault="00AC3194" w:rsidP="00391F65">
            <w:pPr>
              <w:pStyle w:val="BodyText"/>
              <w:jc w:val="center"/>
              <w:rPr>
                <w:lang w:val="en-US" w:eastAsia="fr-FR"/>
              </w:rPr>
            </w:pPr>
            <w:r>
              <w:rPr>
                <w:lang w:val="en-US" w:eastAsia="fr-FR"/>
              </w:rPr>
              <w:t>0.3</w:t>
            </w:r>
          </w:p>
        </w:tc>
      </w:tr>
      <w:tr w:rsidR="00AC3194" w14:paraId="07771AA0" w14:textId="77777777" w:rsidTr="00535F1D">
        <w:tc>
          <w:tcPr>
            <w:tcW w:w="3118" w:type="dxa"/>
          </w:tcPr>
          <w:p w14:paraId="1F660864" w14:textId="77777777" w:rsidR="00AC3194" w:rsidRDefault="00AC3194" w:rsidP="00391F65">
            <w:pPr>
              <w:pStyle w:val="BodyText"/>
              <w:jc w:val="center"/>
              <w:rPr>
                <w:lang w:val="en-US" w:eastAsia="fr-FR"/>
              </w:rPr>
            </w:pPr>
            <w:r>
              <w:rPr>
                <w:lang w:val="en-US" w:eastAsia="fr-FR"/>
              </w:rPr>
              <w:t>Layers</w:t>
            </w:r>
          </w:p>
        </w:tc>
        <w:tc>
          <w:tcPr>
            <w:tcW w:w="2263" w:type="dxa"/>
          </w:tcPr>
          <w:p w14:paraId="285CB421" w14:textId="77777777" w:rsidR="00AC3194" w:rsidRDefault="00AC3194" w:rsidP="00391F65">
            <w:pPr>
              <w:pStyle w:val="BodyText"/>
              <w:jc w:val="center"/>
              <w:rPr>
                <w:lang w:val="en-US" w:eastAsia="fr-FR"/>
              </w:rPr>
            </w:pPr>
            <w:r>
              <w:rPr>
                <w:lang w:val="en-US" w:eastAsia="fr-FR"/>
              </w:rPr>
              <w:t>0.39</w:t>
            </w:r>
          </w:p>
        </w:tc>
      </w:tr>
      <w:tr w:rsidR="00AC3194" w14:paraId="4F3E2182" w14:textId="77777777" w:rsidTr="00535F1D">
        <w:tc>
          <w:tcPr>
            <w:tcW w:w="3118" w:type="dxa"/>
          </w:tcPr>
          <w:p w14:paraId="7F452E48" w14:textId="77777777" w:rsidR="00AC3194" w:rsidRDefault="00AC3194" w:rsidP="00391F65">
            <w:pPr>
              <w:pStyle w:val="BodyText"/>
              <w:jc w:val="center"/>
              <w:rPr>
                <w:lang w:val="en-US" w:eastAsia="fr-FR"/>
              </w:rPr>
            </w:pPr>
            <w:r>
              <w:rPr>
                <w:lang w:val="en-US" w:eastAsia="fr-FR"/>
              </w:rPr>
              <w:t>Broilers</w:t>
            </w:r>
          </w:p>
        </w:tc>
        <w:tc>
          <w:tcPr>
            <w:tcW w:w="2263" w:type="dxa"/>
          </w:tcPr>
          <w:p w14:paraId="1C0D8F46" w14:textId="77777777" w:rsidR="00AC3194" w:rsidRDefault="00AC3194" w:rsidP="00391F65">
            <w:pPr>
              <w:pStyle w:val="BodyText"/>
              <w:jc w:val="center"/>
              <w:rPr>
                <w:lang w:val="en-US" w:eastAsia="fr-FR"/>
              </w:rPr>
            </w:pPr>
            <w:r>
              <w:rPr>
                <w:lang w:val="en-US" w:eastAsia="fr-FR"/>
              </w:rPr>
              <w:t>0.36</w:t>
            </w:r>
          </w:p>
        </w:tc>
      </w:tr>
      <w:tr w:rsidR="00AC3194" w14:paraId="7D1F28A4" w14:textId="77777777" w:rsidTr="00535F1D">
        <w:tc>
          <w:tcPr>
            <w:tcW w:w="3118" w:type="dxa"/>
          </w:tcPr>
          <w:p w14:paraId="1D985118" w14:textId="77777777" w:rsidR="00AC3194" w:rsidRDefault="00AC3194" w:rsidP="00391F65">
            <w:pPr>
              <w:pStyle w:val="BodyText"/>
              <w:jc w:val="center"/>
              <w:rPr>
                <w:lang w:val="en-US" w:eastAsia="fr-FR"/>
              </w:rPr>
            </w:pPr>
            <w:r>
              <w:rPr>
                <w:lang w:val="en-US" w:eastAsia="fr-FR"/>
              </w:rPr>
              <w:t>Turkeys</w:t>
            </w:r>
          </w:p>
        </w:tc>
        <w:tc>
          <w:tcPr>
            <w:tcW w:w="2263" w:type="dxa"/>
          </w:tcPr>
          <w:p w14:paraId="776BC987" w14:textId="77777777" w:rsidR="00AC3194" w:rsidRDefault="00AC3194" w:rsidP="00391F65">
            <w:pPr>
              <w:pStyle w:val="BodyText"/>
              <w:jc w:val="center"/>
              <w:rPr>
                <w:lang w:val="en-US" w:eastAsia="fr-FR"/>
              </w:rPr>
            </w:pPr>
            <w:r>
              <w:rPr>
                <w:lang w:val="en-US" w:eastAsia="fr-FR"/>
              </w:rPr>
              <w:t>0.36</w:t>
            </w:r>
          </w:p>
        </w:tc>
      </w:tr>
      <w:tr w:rsidR="00AC3194" w14:paraId="0B03E4D5" w14:textId="77777777" w:rsidTr="00535F1D">
        <w:tc>
          <w:tcPr>
            <w:tcW w:w="3118" w:type="dxa"/>
          </w:tcPr>
          <w:p w14:paraId="2F670B4C" w14:textId="77777777" w:rsidR="00AC3194" w:rsidRDefault="00AC3194" w:rsidP="00391F65">
            <w:pPr>
              <w:pStyle w:val="BodyText"/>
              <w:jc w:val="center"/>
              <w:rPr>
                <w:lang w:val="en-US" w:eastAsia="fr-FR"/>
              </w:rPr>
            </w:pPr>
            <w:r>
              <w:rPr>
                <w:lang w:val="en-US" w:eastAsia="fr-FR"/>
              </w:rPr>
              <w:t>Other poultry</w:t>
            </w:r>
          </w:p>
        </w:tc>
        <w:tc>
          <w:tcPr>
            <w:tcW w:w="2263" w:type="dxa"/>
          </w:tcPr>
          <w:p w14:paraId="1F2935DB" w14:textId="77777777" w:rsidR="00AC3194" w:rsidRDefault="00AC3194" w:rsidP="00391F65">
            <w:pPr>
              <w:pStyle w:val="BodyText"/>
              <w:jc w:val="center"/>
              <w:rPr>
                <w:lang w:val="en-US" w:eastAsia="fr-FR"/>
              </w:rPr>
            </w:pPr>
            <w:r>
              <w:rPr>
                <w:lang w:val="en-US" w:eastAsia="fr-FR"/>
              </w:rPr>
              <w:t>0.36</w:t>
            </w:r>
          </w:p>
        </w:tc>
      </w:tr>
    </w:tbl>
    <w:p w14:paraId="2F6E83CA" w14:textId="77777777" w:rsidR="00AC3194" w:rsidRDefault="00AC3194" w:rsidP="00AC3194">
      <w:pPr>
        <w:pStyle w:val="BodyText"/>
        <w:jc w:val="center"/>
        <w:rPr>
          <w:lang w:val="en-US" w:eastAsia="fr-FR"/>
        </w:rPr>
      </w:pPr>
    </w:p>
    <w:p w14:paraId="3DC2B001" w14:textId="2834BCB5" w:rsidR="00AC3194" w:rsidRDefault="00AC3194" w:rsidP="00AC3194">
      <w:pPr>
        <w:pStyle w:val="BodyText"/>
        <w:jc w:val="left"/>
        <w:rPr>
          <w:lang w:val="en-US" w:eastAsia="fr-FR"/>
        </w:rPr>
      </w:pPr>
      <w:r>
        <w:rPr>
          <w:lang w:val="en-US" w:eastAsia="fr-FR"/>
        </w:rPr>
        <w:t xml:space="preserve">All </w:t>
      </w:r>
      <w:r w:rsidR="00535F1D">
        <w:rPr>
          <w:lang w:val="en-US" w:eastAsia="fr-FR"/>
        </w:rPr>
        <w:t>elements</w:t>
      </w:r>
      <w:r>
        <w:rPr>
          <w:lang w:val="en-US" w:eastAsia="fr-FR"/>
        </w:rPr>
        <w:t xml:space="preserve"> combined, the methane emission factors for manure management evolve as follows:</w:t>
      </w:r>
    </w:p>
    <w:p w14:paraId="70E6E51C" w14:textId="60657E03" w:rsidR="00AC3194" w:rsidRDefault="00AC3194" w:rsidP="00535F1D">
      <w:pPr>
        <w:pStyle w:val="Caption"/>
        <w:keepNext/>
        <w:jc w:val="left"/>
      </w:pPr>
      <w:bookmarkStart w:id="677" w:name="_Ref179192602"/>
      <w:bookmarkStart w:id="678" w:name="_Ref179192596"/>
      <w:bookmarkStart w:id="679" w:name="_Toc184808569"/>
      <w:r>
        <w:t xml:space="preserve">Table </w:t>
      </w:r>
      <w:r>
        <w:fldChar w:fldCharType="begin"/>
      </w:r>
      <w:r>
        <w:instrText xml:space="preserve"> SEQ Table \* ARABIC </w:instrText>
      </w:r>
      <w:r>
        <w:fldChar w:fldCharType="separate"/>
      </w:r>
      <w:r w:rsidR="00F14C78">
        <w:rPr>
          <w:noProof/>
        </w:rPr>
        <w:t>26</w:t>
      </w:r>
      <w:r>
        <w:fldChar w:fldCharType="end"/>
      </w:r>
      <w:bookmarkEnd w:id="677"/>
      <w:r>
        <w:t>: Manure management CH</w:t>
      </w:r>
      <w:r w:rsidRPr="00622F40">
        <w:rPr>
          <w:vertAlign w:val="subscript"/>
        </w:rPr>
        <w:t>4</w:t>
      </w:r>
      <w:r>
        <w:t xml:space="preserve"> EF (in kg/head), per livestock category, for the period 1990-2015, every 5 years</w:t>
      </w:r>
      <w:bookmarkEnd w:id="678"/>
      <w:bookmarkEnd w:id="679"/>
    </w:p>
    <w:tbl>
      <w:tblPr>
        <w:tblStyle w:val="TableGrid"/>
        <w:tblW w:w="0" w:type="auto"/>
        <w:jc w:val="center"/>
        <w:tblLook w:val="04A0" w:firstRow="1" w:lastRow="0" w:firstColumn="1" w:lastColumn="0" w:noHBand="0" w:noVBand="1"/>
      </w:tblPr>
      <w:tblGrid>
        <w:gridCol w:w="1922"/>
        <w:gridCol w:w="1264"/>
        <w:gridCol w:w="1181"/>
        <w:gridCol w:w="1181"/>
        <w:gridCol w:w="1181"/>
        <w:gridCol w:w="1181"/>
        <w:gridCol w:w="1152"/>
      </w:tblGrid>
      <w:tr w:rsidR="00AC3194" w14:paraId="090A5A4D" w14:textId="77777777" w:rsidTr="00535F1D">
        <w:trPr>
          <w:tblHeader/>
          <w:jc w:val="center"/>
        </w:trPr>
        <w:tc>
          <w:tcPr>
            <w:tcW w:w="1922" w:type="dxa"/>
            <w:shd w:val="clear" w:color="auto" w:fill="B8CCE4" w:themeFill="accent1" w:themeFillTint="66"/>
          </w:tcPr>
          <w:p w14:paraId="64F05FB3" w14:textId="77777777" w:rsidR="00AC3194" w:rsidRPr="001F0275" w:rsidRDefault="00AC3194" w:rsidP="00391F65">
            <w:pPr>
              <w:pStyle w:val="BodyText"/>
              <w:jc w:val="center"/>
              <w:rPr>
                <w:b/>
                <w:bCs/>
                <w:lang w:val="en-US" w:eastAsia="fr-FR"/>
              </w:rPr>
            </w:pPr>
            <w:r w:rsidRPr="001F0275">
              <w:rPr>
                <w:b/>
                <w:bCs/>
                <w:lang w:val="en-US" w:eastAsia="fr-FR"/>
              </w:rPr>
              <w:t>Livestock category</w:t>
            </w:r>
          </w:p>
        </w:tc>
        <w:tc>
          <w:tcPr>
            <w:tcW w:w="1264" w:type="dxa"/>
            <w:shd w:val="clear" w:color="auto" w:fill="B8CCE4" w:themeFill="accent1" w:themeFillTint="66"/>
          </w:tcPr>
          <w:p w14:paraId="74945208" w14:textId="77777777" w:rsidR="00AC3194" w:rsidRPr="001F0275" w:rsidRDefault="00AC3194" w:rsidP="00391F65">
            <w:pPr>
              <w:pStyle w:val="BodyText"/>
              <w:jc w:val="center"/>
              <w:rPr>
                <w:b/>
                <w:bCs/>
                <w:lang w:val="en-US" w:eastAsia="fr-FR"/>
              </w:rPr>
            </w:pPr>
            <w:r>
              <w:rPr>
                <w:b/>
                <w:bCs/>
                <w:lang w:val="en-US" w:eastAsia="fr-FR"/>
              </w:rPr>
              <w:t>1990</w:t>
            </w:r>
          </w:p>
        </w:tc>
        <w:tc>
          <w:tcPr>
            <w:tcW w:w="1181" w:type="dxa"/>
            <w:shd w:val="clear" w:color="auto" w:fill="B8CCE4" w:themeFill="accent1" w:themeFillTint="66"/>
          </w:tcPr>
          <w:p w14:paraId="791BEE58" w14:textId="77777777" w:rsidR="00AC3194" w:rsidRDefault="00AC3194" w:rsidP="00391F65">
            <w:pPr>
              <w:pStyle w:val="BodyText"/>
              <w:jc w:val="center"/>
              <w:rPr>
                <w:b/>
                <w:bCs/>
                <w:lang w:val="en-US" w:eastAsia="fr-FR"/>
              </w:rPr>
            </w:pPr>
            <w:r>
              <w:rPr>
                <w:b/>
                <w:bCs/>
                <w:lang w:val="en-US" w:eastAsia="fr-FR"/>
              </w:rPr>
              <w:t>1995</w:t>
            </w:r>
          </w:p>
        </w:tc>
        <w:tc>
          <w:tcPr>
            <w:tcW w:w="1181" w:type="dxa"/>
            <w:shd w:val="clear" w:color="auto" w:fill="B8CCE4" w:themeFill="accent1" w:themeFillTint="66"/>
          </w:tcPr>
          <w:p w14:paraId="3F93A679" w14:textId="77777777" w:rsidR="00AC3194" w:rsidRDefault="00AC3194" w:rsidP="00391F65">
            <w:pPr>
              <w:pStyle w:val="BodyText"/>
              <w:jc w:val="center"/>
              <w:rPr>
                <w:b/>
                <w:bCs/>
                <w:lang w:val="en-US" w:eastAsia="fr-FR"/>
              </w:rPr>
            </w:pPr>
            <w:r>
              <w:rPr>
                <w:b/>
                <w:bCs/>
                <w:lang w:val="en-US" w:eastAsia="fr-FR"/>
              </w:rPr>
              <w:t>2000</w:t>
            </w:r>
          </w:p>
        </w:tc>
        <w:tc>
          <w:tcPr>
            <w:tcW w:w="1181" w:type="dxa"/>
            <w:shd w:val="clear" w:color="auto" w:fill="B8CCE4" w:themeFill="accent1" w:themeFillTint="66"/>
          </w:tcPr>
          <w:p w14:paraId="1E663737" w14:textId="77777777" w:rsidR="00AC3194" w:rsidRDefault="00AC3194" w:rsidP="00391F65">
            <w:pPr>
              <w:pStyle w:val="BodyText"/>
              <w:jc w:val="center"/>
              <w:rPr>
                <w:b/>
                <w:bCs/>
                <w:lang w:val="en-US" w:eastAsia="fr-FR"/>
              </w:rPr>
            </w:pPr>
            <w:r>
              <w:rPr>
                <w:b/>
                <w:bCs/>
                <w:lang w:val="en-US" w:eastAsia="fr-FR"/>
              </w:rPr>
              <w:t>2005</w:t>
            </w:r>
          </w:p>
        </w:tc>
        <w:tc>
          <w:tcPr>
            <w:tcW w:w="1181" w:type="dxa"/>
            <w:shd w:val="clear" w:color="auto" w:fill="B8CCE4" w:themeFill="accent1" w:themeFillTint="66"/>
          </w:tcPr>
          <w:p w14:paraId="526108DA" w14:textId="77777777" w:rsidR="00AC3194" w:rsidRDefault="00AC3194" w:rsidP="00391F65">
            <w:pPr>
              <w:pStyle w:val="BodyText"/>
              <w:jc w:val="center"/>
              <w:rPr>
                <w:b/>
                <w:bCs/>
                <w:lang w:val="en-US" w:eastAsia="fr-FR"/>
              </w:rPr>
            </w:pPr>
            <w:r>
              <w:rPr>
                <w:b/>
                <w:bCs/>
                <w:lang w:val="en-US" w:eastAsia="fr-FR"/>
              </w:rPr>
              <w:t>2010</w:t>
            </w:r>
          </w:p>
        </w:tc>
        <w:tc>
          <w:tcPr>
            <w:tcW w:w="1152" w:type="dxa"/>
            <w:shd w:val="clear" w:color="auto" w:fill="B8CCE4" w:themeFill="accent1" w:themeFillTint="66"/>
          </w:tcPr>
          <w:p w14:paraId="6F9D8529" w14:textId="77777777" w:rsidR="00AC3194" w:rsidRDefault="00AC3194" w:rsidP="00391F65">
            <w:pPr>
              <w:pStyle w:val="BodyText"/>
              <w:jc w:val="center"/>
              <w:rPr>
                <w:b/>
                <w:bCs/>
                <w:lang w:val="en-US" w:eastAsia="fr-FR"/>
              </w:rPr>
            </w:pPr>
            <w:r>
              <w:rPr>
                <w:b/>
                <w:bCs/>
                <w:lang w:val="en-US" w:eastAsia="fr-FR"/>
              </w:rPr>
              <w:t>2015</w:t>
            </w:r>
          </w:p>
        </w:tc>
      </w:tr>
      <w:tr w:rsidR="00AC3194" w14:paraId="4FC45834" w14:textId="77777777" w:rsidTr="00622F40">
        <w:trPr>
          <w:jc w:val="center"/>
        </w:trPr>
        <w:tc>
          <w:tcPr>
            <w:tcW w:w="1922" w:type="dxa"/>
          </w:tcPr>
          <w:p w14:paraId="6D36FEBB" w14:textId="77777777" w:rsidR="00AC3194" w:rsidRDefault="00AC3194" w:rsidP="00391F65">
            <w:pPr>
              <w:pStyle w:val="BodyText"/>
              <w:jc w:val="center"/>
              <w:rPr>
                <w:lang w:val="en-US" w:eastAsia="fr-FR"/>
              </w:rPr>
            </w:pPr>
            <w:r>
              <w:rPr>
                <w:lang w:val="en-US" w:eastAsia="fr-FR"/>
              </w:rPr>
              <w:t>Dairy cattle</w:t>
            </w:r>
          </w:p>
        </w:tc>
        <w:tc>
          <w:tcPr>
            <w:tcW w:w="1264" w:type="dxa"/>
          </w:tcPr>
          <w:p w14:paraId="71D74610" w14:textId="77777777" w:rsidR="00AC3194" w:rsidRDefault="00AC3194" w:rsidP="00391F65">
            <w:pPr>
              <w:pStyle w:val="BodyText"/>
              <w:jc w:val="center"/>
              <w:rPr>
                <w:lang w:val="en-US" w:eastAsia="fr-FR"/>
              </w:rPr>
            </w:pPr>
            <w:r w:rsidRPr="00E40E12">
              <w:t>5,76</w:t>
            </w:r>
          </w:p>
        </w:tc>
        <w:tc>
          <w:tcPr>
            <w:tcW w:w="1181" w:type="dxa"/>
          </w:tcPr>
          <w:p w14:paraId="6AA7D702" w14:textId="77777777" w:rsidR="00AC3194" w:rsidRDefault="00AC3194" w:rsidP="00391F65">
            <w:pPr>
              <w:pStyle w:val="BodyText"/>
              <w:jc w:val="center"/>
              <w:rPr>
                <w:lang w:val="en-US" w:eastAsia="fr-FR"/>
              </w:rPr>
            </w:pPr>
            <w:r w:rsidRPr="008D700F">
              <w:t>5,76</w:t>
            </w:r>
          </w:p>
        </w:tc>
        <w:tc>
          <w:tcPr>
            <w:tcW w:w="1181" w:type="dxa"/>
          </w:tcPr>
          <w:p w14:paraId="43F06A07" w14:textId="77777777" w:rsidR="00AC3194" w:rsidRDefault="00AC3194" w:rsidP="00391F65">
            <w:pPr>
              <w:pStyle w:val="BodyText"/>
              <w:jc w:val="center"/>
              <w:rPr>
                <w:lang w:val="en-US" w:eastAsia="fr-FR"/>
              </w:rPr>
            </w:pPr>
            <w:r w:rsidRPr="00596087">
              <w:t>5,89</w:t>
            </w:r>
          </w:p>
        </w:tc>
        <w:tc>
          <w:tcPr>
            <w:tcW w:w="1181" w:type="dxa"/>
          </w:tcPr>
          <w:p w14:paraId="79206382" w14:textId="77777777" w:rsidR="00AC3194" w:rsidRDefault="00AC3194" w:rsidP="00391F65">
            <w:pPr>
              <w:pStyle w:val="BodyText"/>
              <w:jc w:val="center"/>
              <w:rPr>
                <w:lang w:val="en-US" w:eastAsia="fr-FR"/>
              </w:rPr>
            </w:pPr>
            <w:r w:rsidRPr="0045517F">
              <w:t>5,76</w:t>
            </w:r>
          </w:p>
        </w:tc>
        <w:tc>
          <w:tcPr>
            <w:tcW w:w="1181" w:type="dxa"/>
          </w:tcPr>
          <w:p w14:paraId="6A9671AD" w14:textId="77777777" w:rsidR="00AC3194" w:rsidRDefault="00AC3194" w:rsidP="00391F65">
            <w:pPr>
              <w:pStyle w:val="BodyText"/>
              <w:jc w:val="center"/>
              <w:rPr>
                <w:lang w:val="en-US" w:eastAsia="fr-FR"/>
              </w:rPr>
            </w:pPr>
            <w:r w:rsidRPr="00C90626">
              <w:t>5,76</w:t>
            </w:r>
          </w:p>
        </w:tc>
        <w:tc>
          <w:tcPr>
            <w:tcW w:w="1152" w:type="dxa"/>
          </w:tcPr>
          <w:p w14:paraId="2893F901" w14:textId="77777777" w:rsidR="00AC3194" w:rsidRDefault="00AC3194" w:rsidP="00391F65">
            <w:pPr>
              <w:pStyle w:val="BodyText"/>
              <w:jc w:val="center"/>
              <w:rPr>
                <w:lang w:val="en-US" w:eastAsia="fr-FR"/>
              </w:rPr>
            </w:pPr>
            <w:r w:rsidRPr="00AC6F3C">
              <w:t>5,89</w:t>
            </w:r>
          </w:p>
        </w:tc>
      </w:tr>
      <w:tr w:rsidR="00AC3194" w14:paraId="1220F65F" w14:textId="77777777" w:rsidTr="00622F40">
        <w:trPr>
          <w:jc w:val="center"/>
        </w:trPr>
        <w:tc>
          <w:tcPr>
            <w:tcW w:w="1922" w:type="dxa"/>
          </w:tcPr>
          <w:p w14:paraId="3A78AF9D" w14:textId="77777777" w:rsidR="00AC3194" w:rsidRDefault="00AC3194" w:rsidP="00391F65">
            <w:pPr>
              <w:pStyle w:val="BodyText"/>
              <w:jc w:val="center"/>
              <w:rPr>
                <w:lang w:val="en-US" w:eastAsia="fr-FR"/>
              </w:rPr>
            </w:pPr>
            <w:r>
              <w:rPr>
                <w:lang w:val="en-US" w:eastAsia="fr-FR"/>
              </w:rPr>
              <w:t>Other cattle</w:t>
            </w:r>
          </w:p>
        </w:tc>
        <w:tc>
          <w:tcPr>
            <w:tcW w:w="1264" w:type="dxa"/>
          </w:tcPr>
          <w:p w14:paraId="42F5E304" w14:textId="77777777" w:rsidR="00AC3194" w:rsidRDefault="00AC3194" w:rsidP="00391F65">
            <w:pPr>
              <w:pStyle w:val="BodyText"/>
              <w:jc w:val="center"/>
              <w:rPr>
                <w:lang w:val="en-US" w:eastAsia="fr-FR"/>
              </w:rPr>
            </w:pPr>
            <w:r w:rsidRPr="00E40E12">
              <w:t>7,64</w:t>
            </w:r>
          </w:p>
        </w:tc>
        <w:tc>
          <w:tcPr>
            <w:tcW w:w="1181" w:type="dxa"/>
          </w:tcPr>
          <w:p w14:paraId="6E12E725" w14:textId="77777777" w:rsidR="00AC3194" w:rsidRDefault="00AC3194" w:rsidP="00391F65">
            <w:pPr>
              <w:pStyle w:val="BodyText"/>
              <w:jc w:val="center"/>
              <w:rPr>
                <w:lang w:val="en-US" w:eastAsia="fr-FR"/>
              </w:rPr>
            </w:pPr>
            <w:r w:rsidRPr="008D700F">
              <w:t>7,64</w:t>
            </w:r>
          </w:p>
        </w:tc>
        <w:tc>
          <w:tcPr>
            <w:tcW w:w="1181" w:type="dxa"/>
          </w:tcPr>
          <w:p w14:paraId="663A5659" w14:textId="77777777" w:rsidR="00AC3194" w:rsidRDefault="00AC3194" w:rsidP="00391F65">
            <w:pPr>
              <w:pStyle w:val="BodyText"/>
              <w:jc w:val="center"/>
              <w:rPr>
                <w:lang w:val="en-US" w:eastAsia="fr-FR"/>
              </w:rPr>
            </w:pPr>
            <w:r w:rsidRPr="00596087">
              <w:t>8,36</w:t>
            </w:r>
          </w:p>
        </w:tc>
        <w:tc>
          <w:tcPr>
            <w:tcW w:w="1181" w:type="dxa"/>
          </w:tcPr>
          <w:p w14:paraId="670F815A" w14:textId="77777777" w:rsidR="00AC3194" w:rsidRDefault="00AC3194" w:rsidP="00391F65">
            <w:pPr>
              <w:pStyle w:val="BodyText"/>
              <w:jc w:val="center"/>
              <w:rPr>
                <w:lang w:val="en-US" w:eastAsia="fr-FR"/>
              </w:rPr>
            </w:pPr>
            <w:r w:rsidRPr="0045517F">
              <w:t>7,64</w:t>
            </w:r>
          </w:p>
        </w:tc>
        <w:tc>
          <w:tcPr>
            <w:tcW w:w="1181" w:type="dxa"/>
          </w:tcPr>
          <w:p w14:paraId="58E23E8C" w14:textId="77777777" w:rsidR="00AC3194" w:rsidRDefault="00AC3194" w:rsidP="00391F65">
            <w:pPr>
              <w:pStyle w:val="BodyText"/>
              <w:jc w:val="center"/>
              <w:rPr>
                <w:lang w:val="en-US" w:eastAsia="fr-FR"/>
              </w:rPr>
            </w:pPr>
            <w:r w:rsidRPr="00C90626">
              <w:t>7,64</w:t>
            </w:r>
          </w:p>
        </w:tc>
        <w:tc>
          <w:tcPr>
            <w:tcW w:w="1152" w:type="dxa"/>
          </w:tcPr>
          <w:p w14:paraId="7A866D6D" w14:textId="77777777" w:rsidR="00AC3194" w:rsidRDefault="00AC3194" w:rsidP="00391F65">
            <w:pPr>
              <w:pStyle w:val="BodyText"/>
              <w:jc w:val="center"/>
              <w:rPr>
                <w:lang w:val="en-US" w:eastAsia="fr-FR"/>
              </w:rPr>
            </w:pPr>
            <w:r w:rsidRPr="00AC6F3C">
              <w:t>8,36</w:t>
            </w:r>
          </w:p>
        </w:tc>
      </w:tr>
      <w:tr w:rsidR="00AC3194" w14:paraId="132994EF" w14:textId="77777777" w:rsidTr="00622F40">
        <w:trPr>
          <w:jc w:val="center"/>
        </w:trPr>
        <w:tc>
          <w:tcPr>
            <w:tcW w:w="1922" w:type="dxa"/>
          </w:tcPr>
          <w:p w14:paraId="15985316" w14:textId="77777777" w:rsidR="00AC3194" w:rsidRDefault="00AC3194" w:rsidP="00391F65">
            <w:pPr>
              <w:pStyle w:val="BodyText"/>
              <w:jc w:val="center"/>
              <w:rPr>
                <w:lang w:val="en-US" w:eastAsia="fr-FR"/>
              </w:rPr>
            </w:pPr>
            <w:r>
              <w:rPr>
                <w:lang w:val="en-US" w:eastAsia="fr-FR"/>
              </w:rPr>
              <w:t>Sheep</w:t>
            </w:r>
          </w:p>
        </w:tc>
        <w:tc>
          <w:tcPr>
            <w:tcW w:w="1264" w:type="dxa"/>
          </w:tcPr>
          <w:p w14:paraId="0FB82BCB" w14:textId="77777777" w:rsidR="00AC3194" w:rsidRDefault="00AC3194" w:rsidP="00391F65">
            <w:pPr>
              <w:pStyle w:val="BodyText"/>
              <w:jc w:val="center"/>
              <w:rPr>
                <w:lang w:val="en-US" w:eastAsia="fr-FR"/>
              </w:rPr>
            </w:pPr>
            <w:r w:rsidRPr="00E40E12">
              <w:t>0,26</w:t>
            </w:r>
          </w:p>
        </w:tc>
        <w:tc>
          <w:tcPr>
            <w:tcW w:w="1181" w:type="dxa"/>
          </w:tcPr>
          <w:p w14:paraId="2774B216" w14:textId="77777777" w:rsidR="00AC3194" w:rsidRDefault="00AC3194" w:rsidP="00391F65">
            <w:pPr>
              <w:pStyle w:val="BodyText"/>
              <w:jc w:val="center"/>
              <w:rPr>
                <w:lang w:val="en-US" w:eastAsia="fr-FR"/>
              </w:rPr>
            </w:pPr>
            <w:r w:rsidRPr="008D700F">
              <w:t>0,26</w:t>
            </w:r>
          </w:p>
        </w:tc>
        <w:tc>
          <w:tcPr>
            <w:tcW w:w="1181" w:type="dxa"/>
          </w:tcPr>
          <w:p w14:paraId="42E0B754" w14:textId="77777777" w:rsidR="00AC3194" w:rsidRDefault="00AC3194" w:rsidP="00391F65">
            <w:pPr>
              <w:pStyle w:val="BodyText"/>
              <w:jc w:val="center"/>
              <w:rPr>
                <w:lang w:val="en-US" w:eastAsia="fr-FR"/>
              </w:rPr>
            </w:pPr>
            <w:r w:rsidRPr="00596087">
              <w:t>0,26</w:t>
            </w:r>
          </w:p>
        </w:tc>
        <w:tc>
          <w:tcPr>
            <w:tcW w:w="1181" w:type="dxa"/>
          </w:tcPr>
          <w:p w14:paraId="41E5FA57" w14:textId="77777777" w:rsidR="00AC3194" w:rsidRDefault="00AC3194" w:rsidP="00391F65">
            <w:pPr>
              <w:pStyle w:val="BodyText"/>
              <w:jc w:val="center"/>
              <w:rPr>
                <w:lang w:val="en-US" w:eastAsia="fr-FR"/>
              </w:rPr>
            </w:pPr>
            <w:r w:rsidRPr="0045517F">
              <w:t>0,26</w:t>
            </w:r>
          </w:p>
        </w:tc>
        <w:tc>
          <w:tcPr>
            <w:tcW w:w="1181" w:type="dxa"/>
          </w:tcPr>
          <w:p w14:paraId="2EC1B9DE" w14:textId="77777777" w:rsidR="00AC3194" w:rsidRDefault="00AC3194" w:rsidP="00391F65">
            <w:pPr>
              <w:pStyle w:val="BodyText"/>
              <w:jc w:val="center"/>
              <w:rPr>
                <w:lang w:val="en-US" w:eastAsia="fr-FR"/>
              </w:rPr>
            </w:pPr>
            <w:r w:rsidRPr="00C90626">
              <w:t>0,26</w:t>
            </w:r>
          </w:p>
        </w:tc>
        <w:tc>
          <w:tcPr>
            <w:tcW w:w="1152" w:type="dxa"/>
          </w:tcPr>
          <w:p w14:paraId="59044074" w14:textId="77777777" w:rsidR="00AC3194" w:rsidRDefault="00AC3194" w:rsidP="00391F65">
            <w:pPr>
              <w:pStyle w:val="BodyText"/>
              <w:jc w:val="center"/>
              <w:rPr>
                <w:lang w:val="en-US" w:eastAsia="fr-FR"/>
              </w:rPr>
            </w:pPr>
            <w:r w:rsidRPr="00AC6F3C">
              <w:t>0,26</w:t>
            </w:r>
          </w:p>
        </w:tc>
      </w:tr>
      <w:tr w:rsidR="00AC3194" w14:paraId="2BD76FF5" w14:textId="77777777" w:rsidTr="00622F40">
        <w:trPr>
          <w:jc w:val="center"/>
        </w:trPr>
        <w:tc>
          <w:tcPr>
            <w:tcW w:w="1922" w:type="dxa"/>
          </w:tcPr>
          <w:p w14:paraId="3D4352CA" w14:textId="77777777" w:rsidR="00AC3194" w:rsidRDefault="00AC3194" w:rsidP="00391F65">
            <w:pPr>
              <w:pStyle w:val="BodyText"/>
              <w:jc w:val="center"/>
              <w:rPr>
                <w:lang w:val="en-US" w:eastAsia="fr-FR"/>
              </w:rPr>
            </w:pPr>
            <w:r>
              <w:rPr>
                <w:lang w:val="en-US" w:eastAsia="fr-FR"/>
              </w:rPr>
              <w:t>Fattening pigs</w:t>
            </w:r>
          </w:p>
        </w:tc>
        <w:tc>
          <w:tcPr>
            <w:tcW w:w="1264" w:type="dxa"/>
          </w:tcPr>
          <w:p w14:paraId="5ACBF18A" w14:textId="77777777" w:rsidR="00AC3194" w:rsidRDefault="00AC3194" w:rsidP="00391F65">
            <w:pPr>
              <w:pStyle w:val="BodyText"/>
              <w:jc w:val="center"/>
              <w:rPr>
                <w:lang w:val="en-US" w:eastAsia="fr-FR"/>
              </w:rPr>
            </w:pPr>
            <w:r w:rsidRPr="00E40E12">
              <w:t>2,74</w:t>
            </w:r>
          </w:p>
        </w:tc>
        <w:tc>
          <w:tcPr>
            <w:tcW w:w="1181" w:type="dxa"/>
          </w:tcPr>
          <w:p w14:paraId="5CFE1306" w14:textId="77777777" w:rsidR="00AC3194" w:rsidRDefault="00AC3194" w:rsidP="00391F65">
            <w:pPr>
              <w:pStyle w:val="BodyText"/>
              <w:jc w:val="center"/>
              <w:rPr>
                <w:lang w:val="en-US" w:eastAsia="fr-FR"/>
              </w:rPr>
            </w:pPr>
            <w:r w:rsidRPr="001E3F94">
              <w:t>2,74</w:t>
            </w:r>
          </w:p>
        </w:tc>
        <w:tc>
          <w:tcPr>
            <w:tcW w:w="1181" w:type="dxa"/>
          </w:tcPr>
          <w:p w14:paraId="1A2CA97E" w14:textId="77777777" w:rsidR="00AC3194" w:rsidRDefault="00AC3194" w:rsidP="00391F65">
            <w:pPr>
              <w:pStyle w:val="BodyText"/>
              <w:jc w:val="center"/>
              <w:rPr>
                <w:lang w:val="en-US" w:eastAsia="fr-FR"/>
              </w:rPr>
            </w:pPr>
            <w:r w:rsidRPr="00A67448">
              <w:t>2,91</w:t>
            </w:r>
          </w:p>
        </w:tc>
        <w:tc>
          <w:tcPr>
            <w:tcW w:w="1181" w:type="dxa"/>
          </w:tcPr>
          <w:p w14:paraId="3E6F1839" w14:textId="77777777" w:rsidR="00AC3194" w:rsidRDefault="00AC3194" w:rsidP="00391F65">
            <w:pPr>
              <w:pStyle w:val="BodyText"/>
              <w:jc w:val="center"/>
              <w:rPr>
                <w:lang w:val="en-US" w:eastAsia="fr-FR"/>
              </w:rPr>
            </w:pPr>
            <w:r w:rsidRPr="00C30090">
              <w:t>2,74</w:t>
            </w:r>
          </w:p>
        </w:tc>
        <w:tc>
          <w:tcPr>
            <w:tcW w:w="1181" w:type="dxa"/>
          </w:tcPr>
          <w:p w14:paraId="47010731" w14:textId="77777777" w:rsidR="00AC3194" w:rsidRDefault="00AC3194" w:rsidP="00391F65">
            <w:pPr>
              <w:pStyle w:val="BodyText"/>
              <w:jc w:val="center"/>
              <w:rPr>
                <w:lang w:val="en-US" w:eastAsia="fr-FR"/>
              </w:rPr>
            </w:pPr>
            <w:r w:rsidRPr="00967815">
              <w:t>2,74</w:t>
            </w:r>
          </w:p>
        </w:tc>
        <w:tc>
          <w:tcPr>
            <w:tcW w:w="1152" w:type="dxa"/>
          </w:tcPr>
          <w:p w14:paraId="0D7DBD64" w14:textId="77777777" w:rsidR="00AC3194" w:rsidRDefault="00AC3194" w:rsidP="00391F65">
            <w:pPr>
              <w:pStyle w:val="BodyText"/>
              <w:jc w:val="center"/>
              <w:rPr>
                <w:lang w:val="en-US" w:eastAsia="fr-FR"/>
              </w:rPr>
            </w:pPr>
            <w:r w:rsidRPr="006B6A1C">
              <w:t>2,91</w:t>
            </w:r>
          </w:p>
        </w:tc>
      </w:tr>
      <w:tr w:rsidR="00AC3194" w14:paraId="600913CA" w14:textId="77777777" w:rsidTr="00622F40">
        <w:trPr>
          <w:jc w:val="center"/>
        </w:trPr>
        <w:tc>
          <w:tcPr>
            <w:tcW w:w="1922" w:type="dxa"/>
          </w:tcPr>
          <w:p w14:paraId="02EEE08D" w14:textId="77777777" w:rsidR="00AC3194" w:rsidRDefault="00AC3194" w:rsidP="00391F65">
            <w:pPr>
              <w:pStyle w:val="BodyText"/>
              <w:jc w:val="center"/>
              <w:rPr>
                <w:lang w:val="en-US" w:eastAsia="fr-FR"/>
              </w:rPr>
            </w:pPr>
            <w:r>
              <w:rPr>
                <w:lang w:val="en-US" w:eastAsia="fr-FR"/>
              </w:rPr>
              <w:t>Sows</w:t>
            </w:r>
          </w:p>
        </w:tc>
        <w:tc>
          <w:tcPr>
            <w:tcW w:w="1264" w:type="dxa"/>
          </w:tcPr>
          <w:p w14:paraId="21292CD5" w14:textId="77777777" w:rsidR="00AC3194" w:rsidRDefault="00AC3194" w:rsidP="00391F65">
            <w:pPr>
              <w:pStyle w:val="BodyText"/>
              <w:jc w:val="center"/>
              <w:rPr>
                <w:lang w:val="en-US" w:eastAsia="fr-FR"/>
              </w:rPr>
            </w:pPr>
            <w:r w:rsidRPr="00E40E12">
              <w:t>4,57</w:t>
            </w:r>
          </w:p>
        </w:tc>
        <w:tc>
          <w:tcPr>
            <w:tcW w:w="1181" w:type="dxa"/>
          </w:tcPr>
          <w:p w14:paraId="43A9B648" w14:textId="77777777" w:rsidR="00AC3194" w:rsidRDefault="00AC3194" w:rsidP="00391F65">
            <w:pPr>
              <w:pStyle w:val="BodyText"/>
              <w:jc w:val="center"/>
              <w:rPr>
                <w:lang w:val="en-US" w:eastAsia="fr-FR"/>
              </w:rPr>
            </w:pPr>
            <w:r w:rsidRPr="001E3F94">
              <w:t>4,57</w:t>
            </w:r>
          </w:p>
        </w:tc>
        <w:tc>
          <w:tcPr>
            <w:tcW w:w="1181" w:type="dxa"/>
          </w:tcPr>
          <w:p w14:paraId="60C2BCE6" w14:textId="77777777" w:rsidR="00AC3194" w:rsidRDefault="00AC3194" w:rsidP="00391F65">
            <w:pPr>
              <w:pStyle w:val="BodyText"/>
              <w:jc w:val="center"/>
              <w:rPr>
                <w:lang w:val="en-US" w:eastAsia="fr-FR"/>
              </w:rPr>
            </w:pPr>
            <w:r w:rsidRPr="00A67448">
              <w:t>4,84</w:t>
            </w:r>
          </w:p>
        </w:tc>
        <w:tc>
          <w:tcPr>
            <w:tcW w:w="1181" w:type="dxa"/>
          </w:tcPr>
          <w:p w14:paraId="29D5AE1B" w14:textId="77777777" w:rsidR="00AC3194" w:rsidRDefault="00AC3194" w:rsidP="00391F65">
            <w:pPr>
              <w:pStyle w:val="BodyText"/>
              <w:jc w:val="center"/>
              <w:rPr>
                <w:lang w:val="en-US" w:eastAsia="fr-FR"/>
              </w:rPr>
            </w:pPr>
            <w:r w:rsidRPr="00C30090">
              <w:t>4,57</w:t>
            </w:r>
          </w:p>
        </w:tc>
        <w:tc>
          <w:tcPr>
            <w:tcW w:w="1181" w:type="dxa"/>
          </w:tcPr>
          <w:p w14:paraId="05850087" w14:textId="77777777" w:rsidR="00AC3194" w:rsidRDefault="00AC3194" w:rsidP="00391F65">
            <w:pPr>
              <w:pStyle w:val="BodyText"/>
              <w:jc w:val="center"/>
              <w:rPr>
                <w:lang w:val="en-US" w:eastAsia="fr-FR"/>
              </w:rPr>
            </w:pPr>
            <w:r w:rsidRPr="00967815">
              <w:t>4,57</w:t>
            </w:r>
          </w:p>
        </w:tc>
        <w:tc>
          <w:tcPr>
            <w:tcW w:w="1152" w:type="dxa"/>
          </w:tcPr>
          <w:p w14:paraId="5A71EFCB" w14:textId="77777777" w:rsidR="00AC3194" w:rsidRDefault="00AC3194" w:rsidP="00391F65">
            <w:pPr>
              <w:pStyle w:val="BodyText"/>
              <w:jc w:val="center"/>
              <w:rPr>
                <w:lang w:val="en-US" w:eastAsia="fr-FR"/>
              </w:rPr>
            </w:pPr>
            <w:r w:rsidRPr="006B6A1C">
              <w:t>4,84</w:t>
            </w:r>
          </w:p>
        </w:tc>
      </w:tr>
      <w:tr w:rsidR="00AC3194" w14:paraId="7BFB2BA1" w14:textId="77777777" w:rsidTr="00622F40">
        <w:trPr>
          <w:jc w:val="center"/>
        </w:trPr>
        <w:tc>
          <w:tcPr>
            <w:tcW w:w="1922" w:type="dxa"/>
          </w:tcPr>
          <w:p w14:paraId="57490C71" w14:textId="77777777" w:rsidR="00AC3194" w:rsidRDefault="00AC3194" w:rsidP="00391F65">
            <w:pPr>
              <w:pStyle w:val="BodyText"/>
              <w:jc w:val="center"/>
              <w:rPr>
                <w:lang w:val="en-US" w:eastAsia="fr-FR"/>
              </w:rPr>
            </w:pPr>
            <w:r>
              <w:rPr>
                <w:lang w:val="en-US" w:eastAsia="fr-FR"/>
              </w:rPr>
              <w:t>Goats</w:t>
            </w:r>
          </w:p>
        </w:tc>
        <w:tc>
          <w:tcPr>
            <w:tcW w:w="1264" w:type="dxa"/>
          </w:tcPr>
          <w:p w14:paraId="286F1FA6" w14:textId="77777777" w:rsidR="00AC3194" w:rsidRDefault="00AC3194" w:rsidP="00391F65">
            <w:pPr>
              <w:pStyle w:val="BodyText"/>
              <w:jc w:val="center"/>
              <w:rPr>
                <w:lang w:val="en-US" w:eastAsia="fr-FR"/>
              </w:rPr>
            </w:pPr>
            <w:r w:rsidRPr="00E40E12">
              <w:t>0,14</w:t>
            </w:r>
          </w:p>
        </w:tc>
        <w:tc>
          <w:tcPr>
            <w:tcW w:w="1181" w:type="dxa"/>
          </w:tcPr>
          <w:p w14:paraId="4A1DD98D" w14:textId="77777777" w:rsidR="00AC3194" w:rsidRDefault="00AC3194" w:rsidP="00391F65">
            <w:pPr>
              <w:pStyle w:val="BodyText"/>
              <w:jc w:val="center"/>
              <w:rPr>
                <w:lang w:val="en-US" w:eastAsia="fr-FR"/>
              </w:rPr>
            </w:pPr>
            <w:r w:rsidRPr="001E3F94">
              <w:t>0,14</w:t>
            </w:r>
          </w:p>
        </w:tc>
        <w:tc>
          <w:tcPr>
            <w:tcW w:w="1181" w:type="dxa"/>
          </w:tcPr>
          <w:p w14:paraId="762FE38A" w14:textId="77777777" w:rsidR="00AC3194" w:rsidRDefault="00AC3194" w:rsidP="00391F65">
            <w:pPr>
              <w:pStyle w:val="BodyText"/>
              <w:jc w:val="center"/>
              <w:rPr>
                <w:lang w:val="en-US" w:eastAsia="fr-FR"/>
              </w:rPr>
            </w:pPr>
            <w:r w:rsidRPr="00A67448">
              <w:t>0,14</w:t>
            </w:r>
          </w:p>
        </w:tc>
        <w:tc>
          <w:tcPr>
            <w:tcW w:w="1181" w:type="dxa"/>
          </w:tcPr>
          <w:p w14:paraId="263925DD" w14:textId="77777777" w:rsidR="00AC3194" w:rsidRDefault="00AC3194" w:rsidP="00391F65">
            <w:pPr>
              <w:pStyle w:val="BodyText"/>
              <w:jc w:val="center"/>
              <w:rPr>
                <w:lang w:val="en-US" w:eastAsia="fr-FR"/>
              </w:rPr>
            </w:pPr>
            <w:r w:rsidRPr="00C30090">
              <w:t>0,14</w:t>
            </w:r>
          </w:p>
        </w:tc>
        <w:tc>
          <w:tcPr>
            <w:tcW w:w="1181" w:type="dxa"/>
          </w:tcPr>
          <w:p w14:paraId="796E4528" w14:textId="77777777" w:rsidR="00AC3194" w:rsidRDefault="00AC3194" w:rsidP="00391F65">
            <w:pPr>
              <w:pStyle w:val="BodyText"/>
              <w:jc w:val="center"/>
              <w:rPr>
                <w:lang w:val="en-US" w:eastAsia="fr-FR"/>
              </w:rPr>
            </w:pPr>
            <w:r w:rsidRPr="00967815">
              <w:t>0,14</w:t>
            </w:r>
          </w:p>
        </w:tc>
        <w:tc>
          <w:tcPr>
            <w:tcW w:w="1152" w:type="dxa"/>
          </w:tcPr>
          <w:p w14:paraId="16600060" w14:textId="77777777" w:rsidR="00AC3194" w:rsidRDefault="00AC3194" w:rsidP="00391F65">
            <w:pPr>
              <w:pStyle w:val="BodyText"/>
              <w:jc w:val="center"/>
              <w:rPr>
                <w:lang w:val="en-US" w:eastAsia="fr-FR"/>
              </w:rPr>
            </w:pPr>
            <w:r w:rsidRPr="006B6A1C">
              <w:t>0,14</w:t>
            </w:r>
          </w:p>
        </w:tc>
      </w:tr>
      <w:tr w:rsidR="00AC3194" w14:paraId="20FEDEB8" w14:textId="77777777" w:rsidTr="00622F40">
        <w:trPr>
          <w:jc w:val="center"/>
        </w:trPr>
        <w:tc>
          <w:tcPr>
            <w:tcW w:w="1922" w:type="dxa"/>
          </w:tcPr>
          <w:p w14:paraId="6DC5A7A3" w14:textId="77777777" w:rsidR="00AC3194" w:rsidRDefault="00AC3194" w:rsidP="00391F65">
            <w:pPr>
              <w:pStyle w:val="BodyText"/>
              <w:jc w:val="center"/>
              <w:rPr>
                <w:lang w:val="en-US" w:eastAsia="fr-FR"/>
              </w:rPr>
            </w:pPr>
            <w:r>
              <w:rPr>
                <w:lang w:val="en-US" w:eastAsia="fr-FR"/>
              </w:rPr>
              <w:t>Horses</w:t>
            </w:r>
          </w:p>
        </w:tc>
        <w:tc>
          <w:tcPr>
            <w:tcW w:w="1264" w:type="dxa"/>
          </w:tcPr>
          <w:p w14:paraId="52BD04A3" w14:textId="77777777" w:rsidR="00AC3194" w:rsidRDefault="00AC3194" w:rsidP="00391F65">
            <w:pPr>
              <w:pStyle w:val="BodyText"/>
              <w:jc w:val="center"/>
              <w:rPr>
                <w:lang w:val="en-US" w:eastAsia="fr-FR"/>
              </w:rPr>
            </w:pPr>
            <w:r w:rsidRPr="00E40E12">
              <w:t>0,86</w:t>
            </w:r>
          </w:p>
        </w:tc>
        <w:tc>
          <w:tcPr>
            <w:tcW w:w="1181" w:type="dxa"/>
          </w:tcPr>
          <w:p w14:paraId="3867B4C3" w14:textId="77777777" w:rsidR="00AC3194" w:rsidRDefault="00AC3194" w:rsidP="00391F65">
            <w:pPr>
              <w:pStyle w:val="BodyText"/>
              <w:jc w:val="center"/>
              <w:rPr>
                <w:lang w:val="en-US" w:eastAsia="fr-FR"/>
              </w:rPr>
            </w:pPr>
            <w:r w:rsidRPr="001E3F94">
              <w:t>0,86</w:t>
            </w:r>
          </w:p>
        </w:tc>
        <w:tc>
          <w:tcPr>
            <w:tcW w:w="1181" w:type="dxa"/>
          </w:tcPr>
          <w:p w14:paraId="7D8E649E" w14:textId="77777777" w:rsidR="00AC3194" w:rsidRDefault="00AC3194" w:rsidP="00391F65">
            <w:pPr>
              <w:pStyle w:val="BodyText"/>
              <w:jc w:val="center"/>
              <w:rPr>
                <w:lang w:val="en-US" w:eastAsia="fr-FR"/>
              </w:rPr>
            </w:pPr>
            <w:r w:rsidRPr="00A67448">
              <w:t>0,86</w:t>
            </w:r>
          </w:p>
        </w:tc>
        <w:tc>
          <w:tcPr>
            <w:tcW w:w="1181" w:type="dxa"/>
          </w:tcPr>
          <w:p w14:paraId="5AB7020D" w14:textId="77777777" w:rsidR="00AC3194" w:rsidRDefault="00AC3194" w:rsidP="00391F65">
            <w:pPr>
              <w:pStyle w:val="BodyText"/>
              <w:jc w:val="center"/>
              <w:rPr>
                <w:lang w:val="en-US" w:eastAsia="fr-FR"/>
              </w:rPr>
            </w:pPr>
            <w:r w:rsidRPr="00C30090">
              <w:t>0,86</w:t>
            </w:r>
          </w:p>
        </w:tc>
        <w:tc>
          <w:tcPr>
            <w:tcW w:w="1181" w:type="dxa"/>
          </w:tcPr>
          <w:p w14:paraId="39D681EB" w14:textId="77777777" w:rsidR="00AC3194" w:rsidRDefault="00AC3194" w:rsidP="00391F65">
            <w:pPr>
              <w:pStyle w:val="BodyText"/>
              <w:jc w:val="center"/>
              <w:rPr>
                <w:lang w:val="en-US" w:eastAsia="fr-FR"/>
              </w:rPr>
            </w:pPr>
            <w:r w:rsidRPr="00967815">
              <w:t>0,86</w:t>
            </w:r>
          </w:p>
        </w:tc>
        <w:tc>
          <w:tcPr>
            <w:tcW w:w="1152" w:type="dxa"/>
          </w:tcPr>
          <w:p w14:paraId="7542DC00" w14:textId="77777777" w:rsidR="00AC3194" w:rsidRDefault="00AC3194" w:rsidP="00391F65">
            <w:pPr>
              <w:pStyle w:val="BodyText"/>
              <w:jc w:val="center"/>
              <w:rPr>
                <w:lang w:val="en-US" w:eastAsia="fr-FR"/>
              </w:rPr>
            </w:pPr>
            <w:r w:rsidRPr="006B6A1C">
              <w:t>0,86</w:t>
            </w:r>
          </w:p>
        </w:tc>
      </w:tr>
      <w:tr w:rsidR="00AC3194" w14:paraId="588E3A25" w14:textId="77777777" w:rsidTr="00622F40">
        <w:trPr>
          <w:jc w:val="center"/>
        </w:trPr>
        <w:tc>
          <w:tcPr>
            <w:tcW w:w="1922" w:type="dxa"/>
          </w:tcPr>
          <w:p w14:paraId="6CB2EFEA" w14:textId="77777777" w:rsidR="00AC3194" w:rsidRDefault="00AC3194" w:rsidP="00391F65">
            <w:pPr>
              <w:pStyle w:val="BodyText"/>
              <w:jc w:val="center"/>
              <w:rPr>
                <w:lang w:val="en-US" w:eastAsia="fr-FR"/>
              </w:rPr>
            </w:pPr>
            <w:r>
              <w:rPr>
                <w:lang w:val="en-US" w:eastAsia="fr-FR"/>
              </w:rPr>
              <w:t>Layers</w:t>
            </w:r>
          </w:p>
        </w:tc>
        <w:tc>
          <w:tcPr>
            <w:tcW w:w="1264" w:type="dxa"/>
          </w:tcPr>
          <w:p w14:paraId="27AAD141" w14:textId="77777777" w:rsidR="00AC3194" w:rsidRDefault="00AC3194" w:rsidP="00391F65">
            <w:pPr>
              <w:pStyle w:val="BodyText"/>
              <w:jc w:val="center"/>
              <w:rPr>
                <w:lang w:val="en-US" w:eastAsia="fr-FR"/>
              </w:rPr>
            </w:pPr>
            <w:r w:rsidRPr="00E40E12">
              <w:t>0,12</w:t>
            </w:r>
          </w:p>
        </w:tc>
        <w:tc>
          <w:tcPr>
            <w:tcW w:w="1181" w:type="dxa"/>
          </w:tcPr>
          <w:p w14:paraId="5F2A7E28" w14:textId="77777777" w:rsidR="00AC3194" w:rsidRDefault="00AC3194" w:rsidP="00391F65">
            <w:pPr>
              <w:pStyle w:val="BodyText"/>
              <w:jc w:val="center"/>
              <w:rPr>
                <w:lang w:val="en-US" w:eastAsia="fr-FR"/>
              </w:rPr>
            </w:pPr>
            <w:r w:rsidRPr="00AC5947">
              <w:t>0,12</w:t>
            </w:r>
          </w:p>
        </w:tc>
        <w:tc>
          <w:tcPr>
            <w:tcW w:w="1181" w:type="dxa"/>
          </w:tcPr>
          <w:p w14:paraId="7C36B2AC" w14:textId="77777777" w:rsidR="00AC3194" w:rsidRDefault="00AC3194" w:rsidP="00391F65">
            <w:pPr>
              <w:pStyle w:val="BodyText"/>
              <w:jc w:val="center"/>
              <w:rPr>
                <w:lang w:val="en-US" w:eastAsia="fr-FR"/>
              </w:rPr>
            </w:pPr>
            <w:r w:rsidRPr="00720A12">
              <w:t>0,14</w:t>
            </w:r>
          </w:p>
        </w:tc>
        <w:tc>
          <w:tcPr>
            <w:tcW w:w="1181" w:type="dxa"/>
          </w:tcPr>
          <w:p w14:paraId="59717123" w14:textId="77777777" w:rsidR="00AC3194" w:rsidRDefault="00AC3194" w:rsidP="00391F65">
            <w:pPr>
              <w:pStyle w:val="BodyText"/>
              <w:jc w:val="center"/>
              <w:rPr>
                <w:lang w:val="en-US" w:eastAsia="fr-FR"/>
              </w:rPr>
            </w:pPr>
            <w:r w:rsidRPr="00BF1297">
              <w:t>0,12</w:t>
            </w:r>
          </w:p>
        </w:tc>
        <w:tc>
          <w:tcPr>
            <w:tcW w:w="1181" w:type="dxa"/>
          </w:tcPr>
          <w:p w14:paraId="700E20E8" w14:textId="77777777" w:rsidR="00AC3194" w:rsidRDefault="00AC3194" w:rsidP="00391F65">
            <w:pPr>
              <w:pStyle w:val="BodyText"/>
              <w:jc w:val="center"/>
              <w:rPr>
                <w:lang w:val="en-US" w:eastAsia="fr-FR"/>
              </w:rPr>
            </w:pPr>
            <w:r w:rsidRPr="00BC3D7D">
              <w:t>0,12</w:t>
            </w:r>
          </w:p>
        </w:tc>
        <w:tc>
          <w:tcPr>
            <w:tcW w:w="1152" w:type="dxa"/>
          </w:tcPr>
          <w:p w14:paraId="69115246" w14:textId="77777777" w:rsidR="00AC3194" w:rsidRDefault="00AC3194" w:rsidP="00391F65">
            <w:pPr>
              <w:pStyle w:val="BodyText"/>
              <w:jc w:val="center"/>
              <w:rPr>
                <w:lang w:val="en-US" w:eastAsia="fr-FR"/>
              </w:rPr>
            </w:pPr>
            <w:r w:rsidRPr="000A403B">
              <w:t>0,14</w:t>
            </w:r>
          </w:p>
        </w:tc>
      </w:tr>
      <w:tr w:rsidR="00AC3194" w14:paraId="6C83C17A" w14:textId="77777777" w:rsidTr="00622F40">
        <w:trPr>
          <w:jc w:val="center"/>
        </w:trPr>
        <w:tc>
          <w:tcPr>
            <w:tcW w:w="1922" w:type="dxa"/>
          </w:tcPr>
          <w:p w14:paraId="63597ACD" w14:textId="77777777" w:rsidR="00AC3194" w:rsidRDefault="00AC3194" w:rsidP="00391F65">
            <w:pPr>
              <w:pStyle w:val="BodyText"/>
              <w:jc w:val="center"/>
              <w:rPr>
                <w:lang w:val="en-US" w:eastAsia="fr-FR"/>
              </w:rPr>
            </w:pPr>
            <w:r>
              <w:rPr>
                <w:lang w:val="en-US" w:eastAsia="fr-FR"/>
              </w:rPr>
              <w:lastRenderedPageBreak/>
              <w:t>Broilers</w:t>
            </w:r>
          </w:p>
        </w:tc>
        <w:tc>
          <w:tcPr>
            <w:tcW w:w="1264" w:type="dxa"/>
          </w:tcPr>
          <w:p w14:paraId="7AC8F0BF" w14:textId="77777777" w:rsidR="00AC3194" w:rsidRDefault="00AC3194" w:rsidP="00391F65">
            <w:pPr>
              <w:pStyle w:val="BodyText"/>
              <w:jc w:val="center"/>
              <w:rPr>
                <w:lang w:val="en-US" w:eastAsia="fr-FR"/>
              </w:rPr>
            </w:pPr>
            <w:r w:rsidRPr="00E40E12">
              <w:t>0,01</w:t>
            </w:r>
          </w:p>
        </w:tc>
        <w:tc>
          <w:tcPr>
            <w:tcW w:w="1181" w:type="dxa"/>
          </w:tcPr>
          <w:p w14:paraId="09C8CD45" w14:textId="77777777" w:rsidR="00AC3194" w:rsidRDefault="00AC3194" w:rsidP="00391F65">
            <w:pPr>
              <w:pStyle w:val="BodyText"/>
              <w:jc w:val="center"/>
              <w:rPr>
                <w:lang w:val="en-US" w:eastAsia="fr-FR"/>
              </w:rPr>
            </w:pPr>
            <w:r w:rsidRPr="00AC5947">
              <w:t>0,01</w:t>
            </w:r>
          </w:p>
        </w:tc>
        <w:tc>
          <w:tcPr>
            <w:tcW w:w="1181" w:type="dxa"/>
          </w:tcPr>
          <w:p w14:paraId="77778989" w14:textId="77777777" w:rsidR="00AC3194" w:rsidRDefault="00AC3194" w:rsidP="00391F65">
            <w:pPr>
              <w:pStyle w:val="BodyText"/>
              <w:jc w:val="center"/>
              <w:rPr>
                <w:lang w:val="en-US" w:eastAsia="fr-FR"/>
              </w:rPr>
            </w:pPr>
            <w:r w:rsidRPr="00720A12">
              <w:t>0,01</w:t>
            </w:r>
          </w:p>
        </w:tc>
        <w:tc>
          <w:tcPr>
            <w:tcW w:w="1181" w:type="dxa"/>
          </w:tcPr>
          <w:p w14:paraId="3FE432D2" w14:textId="77777777" w:rsidR="00AC3194" w:rsidRDefault="00AC3194" w:rsidP="00391F65">
            <w:pPr>
              <w:pStyle w:val="BodyText"/>
              <w:jc w:val="center"/>
              <w:rPr>
                <w:lang w:val="en-US" w:eastAsia="fr-FR"/>
              </w:rPr>
            </w:pPr>
            <w:r w:rsidRPr="00BF1297">
              <w:t>0,01</w:t>
            </w:r>
          </w:p>
        </w:tc>
        <w:tc>
          <w:tcPr>
            <w:tcW w:w="1181" w:type="dxa"/>
          </w:tcPr>
          <w:p w14:paraId="307E8B6A" w14:textId="77777777" w:rsidR="00AC3194" w:rsidRDefault="00AC3194" w:rsidP="00391F65">
            <w:pPr>
              <w:pStyle w:val="BodyText"/>
              <w:jc w:val="center"/>
              <w:rPr>
                <w:lang w:val="en-US" w:eastAsia="fr-FR"/>
              </w:rPr>
            </w:pPr>
            <w:r w:rsidRPr="00BC3D7D">
              <w:t>0,01</w:t>
            </w:r>
          </w:p>
        </w:tc>
        <w:tc>
          <w:tcPr>
            <w:tcW w:w="1152" w:type="dxa"/>
          </w:tcPr>
          <w:p w14:paraId="01B73548" w14:textId="77777777" w:rsidR="00AC3194" w:rsidRDefault="00AC3194" w:rsidP="00391F65">
            <w:pPr>
              <w:pStyle w:val="BodyText"/>
              <w:jc w:val="center"/>
              <w:rPr>
                <w:lang w:val="en-US" w:eastAsia="fr-FR"/>
              </w:rPr>
            </w:pPr>
            <w:r w:rsidRPr="000A403B">
              <w:t>0,01</w:t>
            </w:r>
          </w:p>
        </w:tc>
      </w:tr>
      <w:tr w:rsidR="00AC3194" w14:paraId="6CD48411" w14:textId="77777777" w:rsidTr="00622F40">
        <w:trPr>
          <w:jc w:val="center"/>
        </w:trPr>
        <w:tc>
          <w:tcPr>
            <w:tcW w:w="1922" w:type="dxa"/>
          </w:tcPr>
          <w:p w14:paraId="15A2599D" w14:textId="77777777" w:rsidR="00AC3194" w:rsidRDefault="00AC3194" w:rsidP="00391F65">
            <w:pPr>
              <w:pStyle w:val="BodyText"/>
              <w:jc w:val="center"/>
              <w:rPr>
                <w:lang w:val="en-US" w:eastAsia="fr-FR"/>
              </w:rPr>
            </w:pPr>
            <w:r>
              <w:rPr>
                <w:lang w:val="en-US" w:eastAsia="fr-FR"/>
              </w:rPr>
              <w:t>Turkeys</w:t>
            </w:r>
          </w:p>
        </w:tc>
        <w:tc>
          <w:tcPr>
            <w:tcW w:w="1264" w:type="dxa"/>
          </w:tcPr>
          <w:p w14:paraId="1054A2FF" w14:textId="77777777" w:rsidR="00AC3194" w:rsidRDefault="00AC3194" w:rsidP="00391F65">
            <w:pPr>
              <w:pStyle w:val="BodyText"/>
              <w:jc w:val="center"/>
              <w:rPr>
                <w:lang w:val="en-US" w:eastAsia="fr-FR"/>
              </w:rPr>
            </w:pPr>
            <w:r w:rsidRPr="00E40E12">
              <w:t>0,0</w:t>
            </w:r>
            <w:r>
              <w:t>9</w:t>
            </w:r>
          </w:p>
        </w:tc>
        <w:tc>
          <w:tcPr>
            <w:tcW w:w="1181" w:type="dxa"/>
          </w:tcPr>
          <w:p w14:paraId="19FDC4A4" w14:textId="77777777" w:rsidR="00AC3194" w:rsidRDefault="00AC3194" w:rsidP="00391F65">
            <w:pPr>
              <w:pStyle w:val="BodyText"/>
              <w:jc w:val="center"/>
              <w:rPr>
                <w:lang w:val="en-US" w:eastAsia="fr-FR"/>
              </w:rPr>
            </w:pPr>
            <w:r w:rsidRPr="00AC5947">
              <w:t>0,09</w:t>
            </w:r>
          </w:p>
        </w:tc>
        <w:tc>
          <w:tcPr>
            <w:tcW w:w="1181" w:type="dxa"/>
          </w:tcPr>
          <w:p w14:paraId="376D7D4D" w14:textId="77777777" w:rsidR="00AC3194" w:rsidRDefault="00AC3194" w:rsidP="00391F65">
            <w:pPr>
              <w:pStyle w:val="BodyText"/>
              <w:jc w:val="center"/>
              <w:rPr>
                <w:lang w:val="en-US" w:eastAsia="fr-FR"/>
              </w:rPr>
            </w:pPr>
            <w:r w:rsidRPr="00720A12">
              <w:t>0,09</w:t>
            </w:r>
          </w:p>
        </w:tc>
        <w:tc>
          <w:tcPr>
            <w:tcW w:w="1181" w:type="dxa"/>
          </w:tcPr>
          <w:p w14:paraId="7E6CD5E0" w14:textId="77777777" w:rsidR="00AC3194" w:rsidRDefault="00AC3194" w:rsidP="00391F65">
            <w:pPr>
              <w:pStyle w:val="BodyText"/>
              <w:jc w:val="center"/>
              <w:rPr>
                <w:lang w:val="en-US" w:eastAsia="fr-FR"/>
              </w:rPr>
            </w:pPr>
            <w:r w:rsidRPr="00BF1297">
              <w:t>0,09</w:t>
            </w:r>
          </w:p>
        </w:tc>
        <w:tc>
          <w:tcPr>
            <w:tcW w:w="1181" w:type="dxa"/>
          </w:tcPr>
          <w:p w14:paraId="3055E996" w14:textId="77777777" w:rsidR="00AC3194" w:rsidRDefault="00AC3194" w:rsidP="00391F65">
            <w:pPr>
              <w:pStyle w:val="BodyText"/>
              <w:jc w:val="center"/>
              <w:rPr>
                <w:lang w:val="en-US" w:eastAsia="fr-FR"/>
              </w:rPr>
            </w:pPr>
            <w:r w:rsidRPr="00BC3D7D">
              <w:t>0,09</w:t>
            </w:r>
          </w:p>
        </w:tc>
        <w:tc>
          <w:tcPr>
            <w:tcW w:w="1152" w:type="dxa"/>
          </w:tcPr>
          <w:p w14:paraId="6AEEF907" w14:textId="77777777" w:rsidR="00AC3194" w:rsidRDefault="00AC3194" w:rsidP="00391F65">
            <w:pPr>
              <w:pStyle w:val="BodyText"/>
              <w:jc w:val="center"/>
              <w:rPr>
                <w:lang w:val="en-US" w:eastAsia="fr-FR"/>
              </w:rPr>
            </w:pPr>
            <w:r w:rsidRPr="000A403B">
              <w:t>0,09</w:t>
            </w:r>
          </w:p>
        </w:tc>
      </w:tr>
      <w:tr w:rsidR="00AC3194" w14:paraId="6E047347" w14:textId="77777777" w:rsidTr="00622F40">
        <w:trPr>
          <w:jc w:val="center"/>
        </w:trPr>
        <w:tc>
          <w:tcPr>
            <w:tcW w:w="1922" w:type="dxa"/>
          </w:tcPr>
          <w:p w14:paraId="2FDB6A33" w14:textId="77777777" w:rsidR="00AC3194" w:rsidRDefault="00AC3194" w:rsidP="00391F65">
            <w:pPr>
              <w:pStyle w:val="BodyText"/>
              <w:jc w:val="center"/>
              <w:rPr>
                <w:lang w:val="en-US" w:eastAsia="fr-FR"/>
              </w:rPr>
            </w:pPr>
            <w:r>
              <w:rPr>
                <w:lang w:val="en-US" w:eastAsia="fr-FR"/>
              </w:rPr>
              <w:t>Other poultry</w:t>
            </w:r>
          </w:p>
        </w:tc>
        <w:tc>
          <w:tcPr>
            <w:tcW w:w="1264" w:type="dxa"/>
          </w:tcPr>
          <w:p w14:paraId="0F860145" w14:textId="77777777" w:rsidR="00AC3194" w:rsidRDefault="00AC3194" w:rsidP="00391F65">
            <w:pPr>
              <w:pStyle w:val="BodyText"/>
              <w:jc w:val="center"/>
              <w:rPr>
                <w:lang w:val="en-US" w:eastAsia="fr-FR"/>
              </w:rPr>
            </w:pPr>
            <w:r w:rsidRPr="00E40E12">
              <w:t>0,0</w:t>
            </w:r>
            <w:r>
              <w:t>3</w:t>
            </w:r>
          </w:p>
        </w:tc>
        <w:tc>
          <w:tcPr>
            <w:tcW w:w="1181" w:type="dxa"/>
          </w:tcPr>
          <w:p w14:paraId="22EB6645" w14:textId="77777777" w:rsidR="00AC3194" w:rsidRDefault="00AC3194" w:rsidP="00391F65">
            <w:pPr>
              <w:pStyle w:val="BodyText"/>
              <w:jc w:val="center"/>
              <w:rPr>
                <w:lang w:val="en-US" w:eastAsia="fr-FR"/>
              </w:rPr>
            </w:pPr>
            <w:r w:rsidRPr="00AC5947">
              <w:t>0,03</w:t>
            </w:r>
          </w:p>
        </w:tc>
        <w:tc>
          <w:tcPr>
            <w:tcW w:w="1181" w:type="dxa"/>
          </w:tcPr>
          <w:p w14:paraId="3BBF335E" w14:textId="77777777" w:rsidR="00AC3194" w:rsidRDefault="00AC3194" w:rsidP="00391F65">
            <w:pPr>
              <w:pStyle w:val="BodyText"/>
              <w:jc w:val="center"/>
              <w:rPr>
                <w:lang w:val="en-US" w:eastAsia="fr-FR"/>
              </w:rPr>
            </w:pPr>
            <w:r w:rsidRPr="00720A12">
              <w:t>0,03</w:t>
            </w:r>
          </w:p>
        </w:tc>
        <w:tc>
          <w:tcPr>
            <w:tcW w:w="1181" w:type="dxa"/>
          </w:tcPr>
          <w:p w14:paraId="31226FDF" w14:textId="77777777" w:rsidR="00AC3194" w:rsidRDefault="00AC3194" w:rsidP="00391F65">
            <w:pPr>
              <w:pStyle w:val="BodyText"/>
              <w:jc w:val="center"/>
              <w:rPr>
                <w:lang w:val="en-US" w:eastAsia="fr-FR"/>
              </w:rPr>
            </w:pPr>
            <w:r w:rsidRPr="00BF1297">
              <w:t>0,03</w:t>
            </w:r>
          </w:p>
        </w:tc>
        <w:tc>
          <w:tcPr>
            <w:tcW w:w="1181" w:type="dxa"/>
          </w:tcPr>
          <w:p w14:paraId="112A85DF" w14:textId="77777777" w:rsidR="00AC3194" w:rsidRDefault="00AC3194" w:rsidP="00391F65">
            <w:pPr>
              <w:pStyle w:val="BodyText"/>
              <w:jc w:val="center"/>
              <w:rPr>
                <w:lang w:val="en-US" w:eastAsia="fr-FR"/>
              </w:rPr>
            </w:pPr>
            <w:r w:rsidRPr="00BC3D7D">
              <w:t>0,03</w:t>
            </w:r>
          </w:p>
        </w:tc>
        <w:tc>
          <w:tcPr>
            <w:tcW w:w="1152" w:type="dxa"/>
          </w:tcPr>
          <w:p w14:paraId="275E76E8" w14:textId="77777777" w:rsidR="00AC3194" w:rsidRDefault="00AC3194" w:rsidP="00391F65">
            <w:pPr>
              <w:pStyle w:val="BodyText"/>
              <w:jc w:val="center"/>
              <w:rPr>
                <w:lang w:val="en-US" w:eastAsia="fr-FR"/>
              </w:rPr>
            </w:pPr>
            <w:r w:rsidRPr="000A403B">
              <w:t>0,03</w:t>
            </w:r>
          </w:p>
        </w:tc>
      </w:tr>
    </w:tbl>
    <w:p w14:paraId="68A9151D" w14:textId="70E4E35D" w:rsidR="00AC3194" w:rsidRDefault="00AC3194" w:rsidP="00535F1D">
      <w:pPr>
        <w:pStyle w:val="Caption"/>
        <w:keepNext/>
        <w:jc w:val="left"/>
      </w:pPr>
      <w:bookmarkStart w:id="680" w:name="_Ref179192604"/>
      <w:bookmarkStart w:id="681" w:name="_Ref184030627"/>
      <w:bookmarkStart w:id="682" w:name="_Toc184808570"/>
      <w:r>
        <w:t xml:space="preserve">Table </w:t>
      </w:r>
      <w:r>
        <w:fldChar w:fldCharType="begin"/>
      </w:r>
      <w:r>
        <w:instrText xml:space="preserve"> SEQ Table \* ARABIC </w:instrText>
      </w:r>
      <w:r>
        <w:fldChar w:fldCharType="separate"/>
      </w:r>
      <w:r w:rsidR="00F14C78">
        <w:rPr>
          <w:noProof/>
        </w:rPr>
        <w:t>27</w:t>
      </w:r>
      <w:r>
        <w:fldChar w:fldCharType="end"/>
      </w:r>
      <w:bookmarkEnd w:id="680"/>
      <w:bookmarkEnd w:id="681"/>
      <w:r>
        <w:t>: Manure management CH</w:t>
      </w:r>
      <w:r w:rsidRPr="001F0275">
        <w:rPr>
          <w:vertAlign w:val="subscript"/>
        </w:rPr>
        <w:t>4</w:t>
      </w:r>
      <w:r>
        <w:t xml:space="preserve"> EF (in kg/head), per livestock category, for the period 2016-2022</w:t>
      </w:r>
      <w:bookmarkEnd w:id="682"/>
    </w:p>
    <w:tbl>
      <w:tblPr>
        <w:tblStyle w:val="TableGrid"/>
        <w:tblW w:w="0" w:type="auto"/>
        <w:jc w:val="center"/>
        <w:tblLook w:val="04A0" w:firstRow="1" w:lastRow="0" w:firstColumn="1" w:lastColumn="0" w:noHBand="0" w:noVBand="1"/>
      </w:tblPr>
      <w:tblGrid>
        <w:gridCol w:w="1961"/>
        <w:gridCol w:w="1105"/>
        <w:gridCol w:w="1040"/>
        <w:gridCol w:w="1040"/>
        <w:gridCol w:w="1040"/>
        <w:gridCol w:w="1040"/>
        <w:gridCol w:w="918"/>
        <w:gridCol w:w="918"/>
      </w:tblGrid>
      <w:tr w:rsidR="00AC3194" w14:paraId="4D022565" w14:textId="77777777" w:rsidTr="00535F1D">
        <w:trPr>
          <w:tblHeader/>
          <w:jc w:val="center"/>
        </w:trPr>
        <w:tc>
          <w:tcPr>
            <w:tcW w:w="1961" w:type="dxa"/>
            <w:shd w:val="clear" w:color="auto" w:fill="B8CCE4" w:themeFill="accent1" w:themeFillTint="66"/>
          </w:tcPr>
          <w:p w14:paraId="399BE848" w14:textId="77777777" w:rsidR="00AC3194" w:rsidRPr="001F0275" w:rsidRDefault="00AC3194" w:rsidP="00391F65">
            <w:pPr>
              <w:pStyle w:val="BodyText"/>
              <w:jc w:val="center"/>
              <w:rPr>
                <w:b/>
                <w:bCs/>
                <w:lang w:val="en-US" w:eastAsia="fr-FR"/>
              </w:rPr>
            </w:pPr>
            <w:r w:rsidRPr="001F0275">
              <w:rPr>
                <w:b/>
                <w:bCs/>
                <w:lang w:val="en-US" w:eastAsia="fr-FR"/>
              </w:rPr>
              <w:t>Livestock category</w:t>
            </w:r>
          </w:p>
        </w:tc>
        <w:tc>
          <w:tcPr>
            <w:tcW w:w="1105" w:type="dxa"/>
            <w:shd w:val="clear" w:color="auto" w:fill="B8CCE4" w:themeFill="accent1" w:themeFillTint="66"/>
          </w:tcPr>
          <w:p w14:paraId="2D2AD777" w14:textId="77777777" w:rsidR="00AC3194" w:rsidRPr="001F0275" w:rsidRDefault="00AC3194" w:rsidP="00391F65">
            <w:pPr>
              <w:pStyle w:val="BodyText"/>
              <w:jc w:val="center"/>
              <w:rPr>
                <w:b/>
                <w:bCs/>
                <w:lang w:val="en-US" w:eastAsia="fr-FR"/>
              </w:rPr>
            </w:pPr>
            <w:r>
              <w:rPr>
                <w:b/>
                <w:bCs/>
                <w:lang w:val="en-US" w:eastAsia="fr-FR"/>
              </w:rPr>
              <w:t>2016</w:t>
            </w:r>
          </w:p>
        </w:tc>
        <w:tc>
          <w:tcPr>
            <w:tcW w:w="1040" w:type="dxa"/>
            <w:shd w:val="clear" w:color="auto" w:fill="B8CCE4" w:themeFill="accent1" w:themeFillTint="66"/>
          </w:tcPr>
          <w:p w14:paraId="5F98CABE" w14:textId="77777777" w:rsidR="00AC3194" w:rsidRDefault="00AC3194" w:rsidP="00391F65">
            <w:pPr>
              <w:pStyle w:val="BodyText"/>
              <w:jc w:val="center"/>
              <w:rPr>
                <w:b/>
                <w:bCs/>
                <w:lang w:val="en-US" w:eastAsia="fr-FR"/>
              </w:rPr>
            </w:pPr>
            <w:r>
              <w:rPr>
                <w:b/>
                <w:bCs/>
                <w:lang w:val="en-US" w:eastAsia="fr-FR"/>
              </w:rPr>
              <w:t>2017</w:t>
            </w:r>
          </w:p>
        </w:tc>
        <w:tc>
          <w:tcPr>
            <w:tcW w:w="1040" w:type="dxa"/>
            <w:shd w:val="clear" w:color="auto" w:fill="B8CCE4" w:themeFill="accent1" w:themeFillTint="66"/>
          </w:tcPr>
          <w:p w14:paraId="03A6C50D" w14:textId="77777777" w:rsidR="00AC3194" w:rsidRDefault="00AC3194" w:rsidP="00391F65">
            <w:pPr>
              <w:pStyle w:val="BodyText"/>
              <w:jc w:val="center"/>
              <w:rPr>
                <w:b/>
                <w:bCs/>
                <w:lang w:val="en-US" w:eastAsia="fr-FR"/>
              </w:rPr>
            </w:pPr>
            <w:r>
              <w:rPr>
                <w:b/>
                <w:bCs/>
                <w:lang w:val="en-US" w:eastAsia="fr-FR"/>
              </w:rPr>
              <w:t>2018</w:t>
            </w:r>
          </w:p>
        </w:tc>
        <w:tc>
          <w:tcPr>
            <w:tcW w:w="1040" w:type="dxa"/>
            <w:shd w:val="clear" w:color="auto" w:fill="B8CCE4" w:themeFill="accent1" w:themeFillTint="66"/>
          </w:tcPr>
          <w:p w14:paraId="2FE23806" w14:textId="77777777" w:rsidR="00AC3194" w:rsidRDefault="00AC3194" w:rsidP="00391F65">
            <w:pPr>
              <w:pStyle w:val="BodyText"/>
              <w:jc w:val="center"/>
              <w:rPr>
                <w:b/>
                <w:bCs/>
                <w:lang w:val="en-US" w:eastAsia="fr-FR"/>
              </w:rPr>
            </w:pPr>
            <w:r>
              <w:rPr>
                <w:b/>
                <w:bCs/>
                <w:lang w:val="en-US" w:eastAsia="fr-FR"/>
              </w:rPr>
              <w:t>2019</w:t>
            </w:r>
          </w:p>
        </w:tc>
        <w:tc>
          <w:tcPr>
            <w:tcW w:w="1040" w:type="dxa"/>
            <w:shd w:val="clear" w:color="auto" w:fill="B8CCE4" w:themeFill="accent1" w:themeFillTint="66"/>
          </w:tcPr>
          <w:p w14:paraId="148C0FC8" w14:textId="77777777" w:rsidR="00AC3194" w:rsidRDefault="00AC3194" w:rsidP="00391F65">
            <w:pPr>
              <w:pStyle w:val="BodyText"/>
              <w:jc w:val="center"/>
              <w:rPr>
                <w:b/>
                <w:bCs/>
                <w:lang w:val="en-US" w:eastAsia="fr-FR"/>
              </w:rPr>
            </w:pPr>
            <w:r>
              <w:rPr>
                <w:b/>
                <w:bCs/>
                <w:lang w:val="en-US" w:eastAsia="fr-FR"/>
              </w:rPr>
              <w:t>2020</w:t>
            </w:r>
          </w:p>
        </w:tc>
        <w:tc>
          <w:tcPr>
            <w:tcW w:w="918" w:type="dxa"/>
            <w:shd w:val="clear" w:color="auto" w:fill="B8CCE4" w:themeFill="accent1" w:themeFillTint="66"/>
          </w:tcPr>
          <w:p w14:paraId="5C4617B6" w14:textId="77777777" w:rsidR="00AC3194" w:rsidRDefault="00AC3194" w:rsidP="00391F65">
            <w:pPr>
              <w:pStyle w:val="BodyText"/>
              <w:jc w:val="center"/>
              <w:rPr>
                <w:b/>
                <w:bCs/>
                <w:lang w:val="en-US" w:eastAsia="fr-FR"/>
              </w:rPr>
            </w:pPr>
            <w:r>
              <w:rPr>
                <w:b/>
                <w:bCs/>
                <w:lang w:val="en-US" w:eastAsia="fr-FR"/>
              </w:rPr>
              <w:t>2021</w:t>
            </w:r>
          </w:p>
        </w:tc>
        <w:tc>
          <w:tcPr>
            <w:tcW w:w="918" w:type="dxa"/>
            <w:shd w:val="clear" w:color="auto" w:fill="B8CCE4" w:themeFill="accent1" w:themeFillTint="66"/>
          </w:tcPr>
          <w:p w14:paraId="080899D5" w14:textId="77777777" w:rsidR="00AC3194" w:rsidRDefault="00AC3194" w:rsidP="00391F65">
            <w:pPr>
              <w:pStyle w:val="BodyText"/>
              <w:jc w:val="center"/>
              <w:rPr>
                <w:b/>
                <w:bCs/>
                <w:lang w:val="en-US" w:eastAsia="fr-FR"/>
              </w:rPr>
            </w:pPr>
            <w:r>
              <w:rPr>
                <w:b/>
                <w:bCs/>
                <w:lang w:val="en-US" w:eastAsia="fr-FR"/>
              </w:rPr>
              <w:t>2022</w:t>
            </w:r>
          </w:p>
        </w:tc>
      </w:tr>
      <w:tr w:rsidR="00AC3194" w14:paraId="6FEF86DA" w14:textId="77777777" w:rsidTr="00622F40">
        <w:trPr>
          <w:jc w:val="center"/>
        </w:trPr>
        <w:tc>
          <w:tcPr>
            <w:tcW w:w="1961" w:type="dxa"/>
          </w:tcPr>
          <w:p w14:paraId="66616330" w14:textId="77777777" w:rsidR="00AC3194" w:rsidRDefault="00AC3194" w:rsidP="00391F65">
            <w:pPr>
              <w:pStyle w:val="BodyText"/>
              <w:jc w:val="center"/>
              <w:rPr>
                <w:lang w:val="en-US" w:eastAsia="fr-FR"/>
              </w:rPr>
            </w:pPr>
            <w:r>
              <w:rPr>
                <w:lang w:val="en-US" w:eastAsia="fr-FR"/>
              </w:rPr>
              <w:t>Dairy cattle</w:t>
            </w:r>
          </w:p>
        </w:tc>
        <w:tc>
          <w:tcPr>
            <w:tcW w:w="1105" w:type="dxa"/>
          </w:tcPr>
          <w:p w14:paraId="41271DED" w14:textId="77777777" w:rsidR="00AC3194" w:rsidRDefault="00AC3194" w:rsidP="00391F65">
            <w:pPr>
              <w:pStyle w:val="BodyText"/>
              <w:jc w:val="center"/>
              <w:rPr>
                <w:lang w:val="en-US" w:eastAsia="fr-FR"/>
              </w:rPr>
            </w:pPr>
            <w:r w:rsidRPr="00A317AE">
              <w:t>5</w:t>
            </w:r>
            <w:r>
              <w:t>.</w:t>
            </w:r>
            <w:r w:rsidRPr="00A317AE">
              <w:t>76</w:t>
            </w:r>
          </w:p>
        </w:tc>
        <w:tc>
          <w:tcPr>
            <w:tcW w:w="1040" w:type="dxa"/>
          </w:tcPr>
          <w:p w14:paraId="14B3DFBF" w14:textId="77777777" w:rsidR="00AC3194" w:rsidRDefault="00AC3194" w:rsidP="00391F65">
            <w:pPr>
              <w:pStyle w:val="BodyText"/>
              <w:jc w:val="center"/>
              <w:rPr>
                <w:lang w:val="en-US" w:eastAsia="fr-FR"/>
              </w:rPr>
            </w:pPr>
            <w:r w:rsidRPr="00A317AE">
              <w:t>5</w:t>
            </w:r>
            <w:r>
              <w:t>.</w:t>
            </w:r>
            <w:r w:rsidRPr="00A317AE">
              <w:t>76</w:t>
            </w:r>
          </w:p>
        </w:tc>
        <w:tc>
          <w:tcPr>
            <w:tcW w:w="1040" w:type="dxa"/>
          </w:tcPr>
          <w:p w14:paraId="539B6346" w14:textId="77777777" w:rsidR="00AC3194" w:rsidRDefault="00AC3194" w:rsidP="00391F65">
            <w:pPr>
              <w:pStyle w:val="BodyText"/>
              <w:jc w:val="center"/>
              <w:rPr>
                <w:lang w:val="en-US" w:eastAsia="fr-FR"/>
              </w:rPr>
            </w:pPr>
            <w:r w:rsidRPr="00A317AE">
              <w:t>6</w:t>
            </w:r>
            <w:r>
              <w:t>.</w:t>
            </w:r>
            <w:r w:rsidRPr="00A317AE">
              <w:t>16</w:t>
            </w:r>
          </w:p>
        </w:tc>
        <w:tc>
          <w:tcPr>
            <w:tcW w:w="1040" w:type="dxa"/>
          </w:tcPr>
          <w:p w14:paraId="0B3C59D0" w14:textId="77777777" w:rsidR="00AC3194" w:rsidRDefault="00AC3194" w:rsidP="00391F65">
            <w:pPr>
              <w:pStyle w:val="BodyText"/>
              <w:jc w:val="center"/>
              <w:rPr>
                <w:lang w:val="en-US" w:eastAsia="fr-FR"/>
              </w:rPr>
            </w:pPr>
            <w:r w:rsidRPr="00A317AE">
              <w:t>6</w:t>
            </w:r>
            <w:r>
              <w:t>.</w:t>
            </w:r>
            <w:r w:rsidRPr="00A317AE">
              <w:t>16</w:t>
            </w:r>
          </w:p>
        </w:tc>
        <w:tc>
          <w:tcPr>
            <w:tcW w:w="1040" w:type="dxa"/>
          </w:tcPr>
          <w:p w14:paraId="254E2AD3" w14:textId="77777777" w:rsidR="00AC3194" w:rsidRDefault="00AC3194" w:rsidP="00391F65">
            <w:pPr>
              <w:pStyle w:val="BodyText"/>
              <w:jc w:val="center"/>
              <w:rPr>
                <w:lang w:val="en-US" w:eastAsia="fr-FR"/>
              </w:rPr>
            </w:pPr>
            <w:r w:rsidRPr="00A317AE">
              <w:t>5</w:t>
            </w:r>
            <w:r>
              <w:t>.</w:t>
            </w:r>
            <w:r w:rsidRPr="00A317AE">
              <w:t>89</w:t>
            </w:r>
          </w:p>
        </w:tc>
        <w:tc>
          <w:tcPr>
            <w:tcW w:w="918" w:type="dxa"/>
          </w:tcPr>
          <w:p w14:paraId="42CDA536" w14:textId="77777777" w:rsidR="00AC3194" w:rsidRDefault="00AC3194" w:rsidP="00391F65">
            <w:pPr>
              <w:pStyle w:val="BodyText"/>
              <w:jc w:val="center"/>
              <w:rPr>
                <w:lang w:val="en-US" w:eastAsia="fr-FR"/>
              </w:rPr>
            </w:pPr>
            <w:r w:rsidRPr="00A317AE">
              <w:t>5</w:t>
            </w:r>
            <w:r>
              <w:t>.</w:t>
            </w:r>
            <w:r w:rsidRPr="00A317AE">
              <w:t>89</w:t>
            </w:r>
          </w:p>
        </w:tc>
        <w:tc>
          <w:tcPr>
            <w:tcW w:w="918" w:type="dxa"/>
          </w:tcPr>
          <w:p w14:paraId="6647EA2C" w14:textId="77777777" w:rsidR="00AC3194" w:rsidRDefault="00AC3194" w:rsidP="00391F65">
            <w:pPr>
              <w:pStyle w:val="BodyText"/>
              <w:jc w:val="center"/>
              <w:rPr>
                <w:lang w:val="en-US" w:eastAsia="fr-FR"/>
              </w:rPr>
            </w:pPr>
            <w:r w:rsidRPr="00A317AE">
              <w:t>6</w:t>
            </w:r>
            <w:r>
              <w:t>.</w:t>
            </w:r>
            <w:r w:rsidRPr="00A317AE">
              <w:t>16</w:t>
            </w:r>
          </w:p>
        </w:tc>
      </w:tr>
      <w:tr w:rsidR="00AC3194" w14:paraId="694ADB08" w14:textId="77777777" w:rsidTr="00622F40">
        <w:trPr>
          <w:jc w:val="center"/>
        </w:trPr>
        <w:tc>
          <w:tcPr>
            <w:tcW w:w="1961" w:type="dxa"/>
          </w:tcPr>
          <w:p w14:paraId="53155679" w14:textId="77777777" w:rsidR="00AC3194" w:rsidRDefault="00AC3194" w:rsidP="00391F65">
            <w:pPr>
              <w:pStyle w:val="BodyText"/>
              <w:jc w:val="center"/>
              <w:rPr>
                <w:lang w:val="en-US" w:eastAsia="fr-FR"/>
              </w:rPr>
            </w:pPr>
            <w:r>
              <w:rPr>
                <w:lang w:val="en-US" w:eastAsia="fr-FR"/>
              </w:rPr>
              <w:t>Other cattle</w:t>
            </w:r>
          </w:p>
        </w:tc>
        <w:tc>
          <w:tcPr>
            <w:tcW w:w="1105" w:type="dxa"/>
          </w:tcPr>
          <w:p w14:paraId="74A354C4" w14:textId="77777777" w:rsidR="00AC3194" w:rsidRDefault="00AC3194" w:rsidP="00391F65">
            <w:pPr>
              <w:pStyle w:val="BodyText"/>
              <w:jc w:val="center"/>
              <w:rPr>
                <w:lang w:val="en-US" w:eastAsia="fr-FR"/>
              </w:rPr>
            </w:pPr>
            <w:r w:rsidRPr="00A317AE">
              <w:t>7</w:t>
            </w:r>
            <w:r>
              <w:t>.</w:t>
            </w:r>
            <w:r w:rsidRPr="00A317AE">
              <w:t>64</w:t>
            </w:r>
          </w:p>
        </w:tc>
        <w:tc>
          <w:tcPr>
            <w:tcW w:w="1040" w:type="dxa"/>
          </w:tcPr>
          <w:p w14:paraId="38F7EA3A" w14:textId="77777777" w:rsidR="00AC3194" w:rsidRDefault="00AC3194" w:rsidP="00391F65">
            <w:pPr>
              <w:pStyle w:val="BodyText"/>
              <w:jc w:val="center"/>
              <w:rPr>
                <w:lang w:val="en-US" w:eastAsia="fr-FR"/>
              </w:rPr>
            </w:pPr>
            <w:r w:rsidRPr="00A317AE">
              <w:t>7</w:t>
            </w:r>
            <w:r>
              <w:t>.</w:t>
            </w:r>
            <w:r w:rsidRPr="00A317AE">
              <w:t>64</w:t>
            </w:r>
          </w:p>
        </w:tc>
        <w:tc>
          <w:tcPr>
            <w:tcW w:w="1040" w:type="dxa"/>
          </w:tcPr>
          <w:p w14:paraId="19E172D6" w14:textId="77777777" w:rsidR="00AC3194" w:rsidRDefault="00AC3194" w:rsidP="00391F65">
            <w:pPr>
              <w:pStyle w:val="BodyText"/>
              <w:jc w:val="center"/>
              <w:rPr>
                <w:lang w:val="en-US" w:eastAsia="fr-FR"/>
              </w:rPr>
            </w:pPr>
            <w:r w:rsidRPr="00A317AE">
              <w:t>9</w:t>
            </w:r>
            <w:r>
              <w:t>.</w:t>
            </w:r>
            <w:r w:rsidRPr="00A317AE">
              <w:t>80</w:t>
            </w:r>
          </w:p>
        </w:tc>
        <w:tc>
          <w:tcPr>
            <w:tcW w:w="1040" w:type="dxa"/>
          </w:tcPr>
          <w:p w14:paraId="78FF4552" w14:textId="77777777" w:rsidR="00AC3194" w:rsidRDefault="00AC3194" w:rsidP="00391F65">
            <w:pPr>
              <w:pStyle w:val="BodyText"/>
              <w:jc w:val="center"/>
              <w:rPr>
                <w:lang w:val="en-US" w:eastAsia="fr-FR"/>
              </w:rPr>
            </w:pPr>
            <w:r w:rsidRPr="00A317AE">
              <w:t>9</w:t>
            </w:r>
            <w:r>
              <w:t>.</w:t>
            </w:r>
            <w:r w:rsidRPr="00A317AE">
              <w:t>80</w:t>
            </w:r>
          </w:p>
        </w:tc>
        <w:tc>
          <w:tcPr>
            <w:tcW w:w="1040" w:type="dxa"/>
          </w:tcPr>
          <w:p w14:paraId="741342DD" w14:textId="77777777" w:rsidR="00AC3194" w:rsidRDefault="00AC3194" w:rsidP="00391F65">
            <w:pPr>
              <w:pStyle w:val="BodyText"/>
              <w:jc w:val="center"/>
              <w:rPr>
                <w:lang w:val="en-US" w:eastAsia="fr-FR"/>
              </w:rPr>
            </w:pPr>
            <w:r w:rsidRPr="00A317AE">
              <w:t>8</w:t>
            </w:r>
            <w:r>
              <w:t>.</w:t>
            </w:r>
            <w:r w:rsidRPr="00A317AE">
              <w:t>36</w:t>
            </w:r>
          </w:p>
        </w:tc>
        <w:tc>
          <w:tcPr>
            <w:tcW w:w="918" w:type="dxa"/>
          </w:tcPr>
          <w:p w14:paraId="21F8FDAA" w14:textId="77777777" w:rsidR="00AC3194" w:rsidRDefault="00AC3194" w:rsidP="00391F65">
            <w:pPr>
              <w:pStyle w:val="BodyText"/>
              <w:jc w:val="center"/>
              <w:rPr>
                <w:lang w:val="en-US" w:eastAsia="fr-FR"/>
              </w:rPr>
            </w:pPr>
            <w:r w:rsidRPr="00A317AE">
              <w:t>8</w:t>
            </w:r>
            <w:r>
              <w:t>.</w:t>
            </w:r>
            <w:r w:rsidRPr="00A317AE">
              <w:t>36</w:t>
            </w:r>
          </w:p>
        </w:tc>
        <w:tc>
          <w:tcPr>
            <w:tcW w:w="918" w:type="dxa"/>
          </w:tcPr>
          <w:p w14:paraId="68283374" w14:textId="77777777" w:rsidR="00AC3194" w:rsidRDefault="00AC3194" w:rsidP="00391F65">
            <w:pPr>
              <w:pStyle w:val="BodyText"/>
              <w:jc w:val="center"/>
              <w:rPr>
                <w:lang w:val="en-US" w:eastAsia="fr-FR"/>
              </w:rPr>
            </w:pPr>
            <w:r w:rsidRPr="00A317AE">
              <w:t>9</w:t>
            </w:r>
            <w:r>
              <w:t>.</w:t>
            </w:r>
            <w:r w:rsidRPr="00A317AE">
              <w:t>80</w:t>
            </w:r>
          </w:p>
        </w:tc>
      </w:tr>
      <w:tr w:rsidR="00AC3194" w14:paraId="6832764C" w14:textId="77777777" w:rsidTr="00622F40">
        <w:trPr>
          <w:jc w:val="center"/>
        </w:trPr>
        <w:tc>
          <w:tcPr>
            <w:tcW w:w="1961" w:type="dxa"/>
          </w:tcPr>
          <w:p w14:paraId="77C19F57" w14:textId="77777777" w:rsidR="00AC3194" w:rsidRDefault="00AC3194" w:rsidP="00391F65">
            <w:pPr>
              <w:pStyle w:val="BodyText"/>
              <w:jc w:val="center"/>
              <w:rPr>
                <w:lang w:val="en-US" w:eastAsia="fr-FR"/>
              </w:rPr>
            </w:pPr>
            <w:r>
              <w:rPr>
                <w:lang w:val="en-US" w:eastAsia="fr-FR"/>
              </w:rPr>
              <w:t>Sheep</w:t>
            </w:r>
          </w:p>
        </w:tc>
        <w:tc>
          <w:tcPr>
            <w:tcW w:w="1105" w:type="dxa"/>
          </w:tcPr>
          <w:p w14:paraId="5A0AB9DA" w14:textId="77777777" w:rsidR="00AC3194" w:rsidRDefault="00AC3194" w:rsidP="00391F65">
            <w:pPr>
              <w:pStyle w:val="BodyText"/>
              <w:jc w:val="center"/>
              <w:rPr>
                <w:lang w:val="en-US" w:eastAsia="fr-FR"/>
              </w:rPr>
            </w:pPr>
            <w:r w:rsidRPr="00A317AE">
              <w:t>0</w:t>
            </w:r>
            <w:r>
              <w:t>.</w:t>
            </w:r>
            <w:r w:rsidRPr="00A317AE">
              <w:t>26</w:t>
            </w:r>
          </w:p>
        </w:tc>
        <w:tc>
          <w:tcPr>
            <w:tcW w:w="1040" w:type="dxa"/>
          </w:tcPr>
          <w:p w14:paraId="6888B3BD" w14:textId="77777777" w:rsidR="00AC3194" w:rsidRDefault="00AC3194" w:rsidP="00391F65">
            <w:pPr>
              <w:pStyle w:val="BodyText"/>
              <w:jc w:val="center"/>
              <w:rPr>
                <w:lang w:val="en-US" w:eastAsia="fr-FR"/>
              </w:rPr>
            </w:pPr>
            <w:r w:rsidRPr="00A317AE">
              <w:t>0</w:t>
            </w:r>
            <w:r>
              <w:t>.</w:t>
            </w:r>
            <w:r w:rsidRPr="00A317AE">
              <w:t>26</w:t>
            </w:r>
          </w:p>
        </w:tc>
        <w:tc>
          <w:tcPr>
            <w:tcW w:w="1040" w:type="dxa"/>
          </w:tcPr>
          <w:p w14:paraId="5F6447CE" w14:textId="77777777" w:rsidR="00AC3194" w:rsidRDefault="00AC3194" w:rsidP="00391F65">
            <w:pPr>
              <w:pStyle w:val="BodyText"/>
              <w:jc w:val="center"/>
              <w:rPr>
                <w:lang w:val="en-US" w:eastAsia="fr-FR"/>
              </w:rPr>
            </w:pPr>
            <w:r w:rsidRPr="00A317AE">
              <w:t>0</w:t>
            </w:r>
            <w:r>
              <w:t>.</w:t>
            </w:r>
            <w:r w:rsidRPr="00A317AE">
              <w:t>26</w:t>
            </w:r>
          </w:p>
        </w:tc>
        <w:tc>
          <w:tcPr>
            <w:tcW w:w="1040" w:type="dxa"/>
          </w:tcPr>
          <w:p w14:paraId="25238420" w14:textId="77777777" w:rsidR="00AC3194" w:rsidRDefault="00AC3194" w:rsidP="00391F65">
            <w:pPr>
              <w:pStyle w:val="BodyText"/>
              <w:jc w:val="center"/>
              <w:rPr>
                <w:lang w:val="en-US" w:eastAsia="fr-FR"/>
              </w:rPr>
            </w:pPr>
            <w:r w:rsidRPr="00A317AE">
              <w:t>0</w:t>
            </w:r>
            <w:r>
              <w:t>.</w:t>
            </w:r>
            <w:r w:rsidRPr="00A317AE">
              <w:t>26</w:t>
            </w:r>
          </w:p>
        </w:tc>
        <w:tc>
          <w:tcPr>
            <w:tcW w:w="1040" w:type="dxa"/>
          </w:tcPr>
          <w:p w14:paraId="5E9094BE" w14:textId="77777777" w:rsidR="00AC3194" w:rsidRDefault="00AC3194" w:rsidP="00391F65">
            <w:pPr>
              <w:pStyle w:val="BodyText"/>
              <w:jc w:val="center"/>
              <w:rPr>
                <w:lang w:val="en-US" w:eastAsia="fr-FR"/>
              </w:rPr>
            </w:pPr>
            <w:r w:rsidRPr="00A317AE">
              <w:t>0</w:t>
            </w:r>
            <w:r>
              <w:t>.</w:t>
            </w:r>
            <w:r w:rsidRPr="00A317AE">
              <w:t>26</w:t>
            </w:r>
          </w:p>
        </w:tc>
        <w:tc>
          <w:tcPr>
            <w:tcW w:w="918" w:type="dxa"/>
          </w:tcPr>
          <w:p w14:paraId="6BA7240C" w14:textId="77777777" w:rsidR="00AC3194" w:rsidRDefault="00AC3194" w:rsidP="00391F65">
            <w:pPr>
              <w:pStyle w:val="BodyText"/>
              <w:jc w:val="center"/>
              <w:rPr>
                <w:lang w:val="en-US" w:eastAsia="fr-FR"/>
              </w:rPr>
            </w:pPr>
            <w:r w:rsidRPr="00A317AE">
              <w:t>0</w:t>
            </w:r>
            <w:r>
              <w:t>.</w:t>
            </w:r>
            <w:r w:rsidRPr="00A317AE">
              <w:t>26</w:t>
            </w:r>
          </w:p>
        </w:tc>
        <w:tc>
          <w:tcPr>
            <w:tcW w:w="918" w:type="dxa"/>
          </w:tcPr>
          <w:p w14:paraId="061ED733" w14:textId="77777777" w:rsidR="00AC3194" w:rsidRDefault="00AC3194" w:rsidP="00391F65">
            <w:pPr>
              <w:pStyle w:val="BodyText"/>
              <w:jc w:val="center"/>
              <w:rPr>
                <w:lang w:val="en-US" w:eastAsia="fr-FR"/>
              </w:rPr>
            </w:pPr>
            <w:r w:rsidRPr="00A317AE">
              <w:t>0</w:t>
            </w:r>
            <w:r>
              <w:t>.</w:t>
            </w:r>
            <w:r w:rsidRPr="00A317AE">
              <w:t>26</w:t>
            </w:r>
          </w:p>
        </w:tc>
      </w:tr>
      <w:tr w:rsidR="00AC3194" w14:paraId="12AFF93D" w14:textId="77777777" w:rsidTr="00622F40">
        <w:trPr>
          <w:jc w:val="center"/>
        </w:trPr>
        <w:tc>
          <w:tcPr>
            <w:tcW w:w="1961" w:type="dxa"/>
          </w:tcPr>
          <w:p w14:paraId="72F13958" w14:textId="77777777" w:rsidR="00AC3194" w:rsidRDefault="00AC3194" w:rsidP="00391F65">
            <w:pPr>
              <w:pStyle w:val="BodyText"/>
              <w:jc w:val="center"/>
              <w:rPr>
                <w:lang w:val="en-US" w:eastAsia="fr-FR"/>
              </w:rPr>
            </w:pPr>
            <w:r>
              <w:rPr>
                <w:lang w:val="en-US" w:eastAsia="fr-FR"/>
              </w:rPr>
              <w:t>Fattening pigs</w:t>
            </w:r>
          </w:p>
        </w:tc>
        <w:tc>
          <w:tcPr>
            <w:tcW w:w="1105" w:type="dxa"/>
          </w:tcPr>
          <w:p w14:paraId="2B31C8DA" w14:textId="77777777" w:rsidR="00AC3194" w:rsidRDefault="00AC3194" w:rsidP="00391F65">
            <w:pPr>
              <w:pStyle w:val="BodyText"/>
              <w:jc w:val="center"/>
              <w:rPr>
                <w:lang w:val="en-US" w:eastAsia="fr-FR"/>
              </w:rPr>
            </w:pPr>
            <w:r w:rsidRPr="009D54B1">
              <w:t>2</w:t>
            </w:r>
            <w:r>
              <w:t>.</w:t>
            </w:r>
            <w:r w:rsidRPr="009D54B1">
              <w:t>74</w:t>
            </w:r>
          </w:p>
        </w:tc>
        <w:tc>
          <w:tcPr>
            <w:tcW w:w="1040" w:type="dxa"/>
          </w:tcPr>
          <w:p w14:paraId="2FF30B9E" w14:textId="77777777" w:rsidR="00AC3194" w:rsidRDefault="00AC3194" w:rsidP="00391F65">
            <w:pPr>
              <w:pStyle w:val="BodyText"/>
              <w:jc w:val="center"/>
              <w:rPr>
                <w:lang w:val="en-US" w:eastAsia="fr-FR"/>
              </w:rPr>
            </w:pPr>
            <w:r w:rsidRPr="009D54B1">
              <w:t>2</w:t>
            </w:r>
            <w:r>
              <w:t>.</w:t>
            </w:r>
            <w:r w:rsidRPr="009D54B1">
              <w:t>74</w:t>
            </w:r>
          </w:p>
        </w:tc>
        <w:tc>
          <w:tcPr>
            <w:tcW w:w="1040" w:type="dxa"/>
          </w:tcPr>
          <w:p w14:paraId="1A117DA0" w14:textId="77777777" w:rsidR="00AC3194" w:rsidRDefault="00AC3194" w:rsidP="00391F65">
            <w:pPr>
              <w:pStyle w:val="BodyText"/>
              <w:jc w:val="center"/>
              <w:rPr>
                <w:lang w:val="en-US" w:eastAsia="fr-FR"/>
              </w:rPr>
            </w:pPr>
            <w:r w:rsidRPr="009D54B1">
              <w:t>3</w:t>
            </w:r>
            <w:r>
              <w:t>.</w:t>
            </w:r>
            <w:r w:rsidRPr="009D54B1">
              <w:t>16</w:t>
            </w:r>
          </w:p>
        </w:tc>
        <w:tc>
          <w:tcPr>
            <w:tcW w:w="1040" w:type="dxa"/>
          </w:tcPr>
          <w:p w14:paraId="2C0D12B5" w14:textId="77777777" w:rsidR="00AC3194" w:rsidRDefault="00AC3194" w:rsidP="00391F65">
            <w:pPr>
              <w:pStyle w:val="BodyText"/>
              <w:jc w:val="center"/>
              <w:rPr>
                <w:lang w:val="en-US" w:eastAsia="fr-FR"/>
              </w:rPr>
            </w:pPr>
            <w:r w:rsidRPr="009D54B1">
              <w:t>3</w:t>
            </w:r>
            <w:r>
              <w:t>.</w:t>
            </w:r>
            <w:r w:rsidRPr="009D54B1">
              <w:t>16</w:t>
            </w:r>
          </w:p>
        </w:tc>
        <w:tc>
          <w:tcPr>
            <w:tcW w:w="1040" w:type="dxa"/>
          </w:tcPr>
          <w:p w14:paraId="0C936A58" w14:textId="77777777" w:rsidR="00AC3194" w:rsidRDefault="00AC3194" w:rsidP="00391F65">
            <w:pPr>
              <w:pStyle w:val="BodyText"/>
              <w:jc w:val="center"/>
              <w:rPr>
                <w:lang w:val="en-US" w:eastAsia="fr-FR"/>
              </w:rPr>
            </w:pPr>
            <w:r w:rsidRPr="009D54B1">
              <w:t>2</w:t>
            </w:r>
            <w:r>
              <w:t>.</w:t>
            </w:r>
            <w:r w:rsidRPr="009D54B1">
              <w:t>91</w:t>
            </w:r>
          </w:p>
        </w:tc>
        <w:tc>
          <w:tcPr>
            <w:tcW w:w="918" w:type="dxa"/>
          </w:tcPr>
          <w:p w14:paraId="0E637B7A" w14:textId="77777777" w:rsidR="00AC3194" w:rsidRDefault="00AC3194" w:rsidP="00391F65">
            <w:pPr>
              <w:pStyle w:val="BodyText"/>
              <w:jc w:val="center"/>
              <w:rPr>
                <w:lang w:val="en-US" w:eastAsia="fr-FR"/>
              </w:rPr>
            </w:pPr>
            <w:r w:rsidRPr="009D54B1">
              <w:t>2</w:t>
            </w:r>
            <w:r>
              <w:t>.</w:t>
            </w:r>
            <w:r w:rsidRPr="009D54B1">
              <w:t>91</w:t>
            </w:r>
          </w:p>
        </w:tc>
        <w:tc>
          <w:tcPr>
            <w:tcW w:w="918" w:type="dxa"/>
          </w:tcPr>
          <w:p w14:paraId="1984B211" w14:textId="77777777" w:rsidR="00AC3194" w:rsidRDefault="00AC3194" w:rsidP="00391F65">
            <w:pPr>
              <w:pStyle w:val="BodyText"/>
              <w:jc w:val="center"/>
              <w:rPr>
                <w:lang w:val="en-US" w:eastAsia="fr-FR"/>
              </w:rPr>
            </w:pPr>
            <w:r w:rsidRPr="009D54B1">
              <w:t>3</w:t>
            </w:r>
            <w:r>
              <w:t>.</w:t>
            </w:r>
            <w:r w:rsidRPr="009D54B1">
              <w:t>16</w:t>
            </w:r>
          </w:p>
        </w:tc>
      </w:tr>
      <w:tr w:rsidR="00AC3194" w14:paraId="59C1B61A" w14:textId="77777777" w:rsidTr="00622F40">
        <w:trPr>
          <w:jc w:val="center"/>
        </w:trPr>
        <w:tc>
          <w:tcPr>
            <w:tcW w:w="1961" w:type="dxa"/>
          </w:tcPr>
          <w:p w14:paraId="03F96272" w14:textId="77777777" w:rsidR="00AC3194" w:rsidRDefault="00AC3194" w:rsidP="00391F65">
            <w:pPr>
              <w:pStyle w:val="BodyText"/>
              <w:jc w:val="center"/>
              <w:rPr>
                <w:lang w:val="en-US" w:eastAsia="fr-FR"/>
              </w:rPr>
            </w:pPr>
            <w:r>
              <w:rPr>
                <w:lang w:val="en-US" w:eastAsia="fr-FR"/>
              </w:rPr>
              <w:t>Sows</w:t>
            </w:r>
          </w:p>
        </w:tc>
        <w:tc>
          <w:tcPr>
            <w:tcW w:w="1105" w:type="dxa"/>
          </w:tcPr>
          <w:p w14:paraId="11425542" w14:textId="77777777" w:rsidR="00AC3194" w:rsidRDefault="00AC3194" w:rsidP="00391F65">
            <w:pPr>
              <w:pStyle w:val="BodyText"/>
              <w:jc w:val="center"/>
              <w:rPr>
                <w:lang w:val="en-US" w:eastAsia="fr-FR"/>
              </w:rPr>
            </w:pPr>
            <w:r w:rsidRPr="009D54B1">
              <w:t>4</w:t>
            </w:r>
            <w:r>
              <w:t>.</w:t>
            </w:r>
            <w:r w:rsidRPr="009D54B1">
              <w:t>57</w:t>
            </w:r>
          </w:p>
        </w:tc>
        <w:tc>
          <w:tcPr>
            <w:tcW w:w="1040" w:type="dxa"/>
          </w:tcPr>
          <w:p w14:paraId="38CD6E0A" w14:textId="77777777" w:rsidR="00AC3194" w:rsidRDefault="00AC3194" w:rsidP="00391F65">
            <w:pPr>
              <w:pStyle w:val="BodyText"/>
              <w:jc w:val="center"/>
              <w:rPr>
                <w:lang w:val="en-US" w:eastAsia="fr-FR"/>
              </w:rPr>
            </w:pPr>
            <w:r w:rsidRPr="009D54B1">
              <w:t>4</w:t>
            </w:r>
            <w:r>
              <w:t>.</w:t>
            </w:r>
            <w:r w:rsidRPr="009D54B1">
              <w:t>57</w:t>
            </w:r>
          </w:p>
        </w:tc>
        <w:tc>
          <w:tcPr>
            <w:tcW w:w="1040" w:type="dxa"/>
          </w:tcPr>
          <w:p w14:paraId="3C033DCA" w14:textId="77777777" w:rsidR="00AC3194" w:rsidRDefault="00AC3194" w:rsidP="00391F65">
            <w:pPr>
              <w:pStyle w:val="BodyText"/>
              <w:jc w:val="center"/>
              <w:rPr>
                <w:lang w:val="en-US" w:eastAsia="fr-FR"/>
              </w:rPr>
            </w:pPr>
            <w:r w:rsidRPr="009D54B1">
              <w:t>5</w:t>
            </w:r>
            <w:r>
              <w:t>.</w:t>
            </w:r>
            <w:r w:rsidRPr="009D54B1">
              <w:t>26</w:t>
            </w:r>
          </w:p>
        </w:tc>
        <w:tc>
          <w:tcPr>
            <w:tcW w:w="1040" w:type="dxa"/>
          </w:tcPr>
          <w:p w14:paraId="63664526" w14:textId="77777777" w:rsidR="00AC3194" w:rsidRDefault="00AC3194" w:rsidP="00391F65">
            <w:pPr>
              <w:pStyle w:val="BodyText"/>
              <w:jc w:val="center"/>
              <w:rPr>
                <w:lang w:val="en-US" w:eastAsia="fr-FR"/>
              </w:rPr>
            </w:pPr>
            <w:r w:rsidRPr="009D54B1">
              <w:t>5</w:t>
            </w:r>
            <w:r>
              <w:t>.</w:t>
            </w:r>
            <w:r w:rsidRPr="009D54B1">
              <w:t>26</w:t>
            </w:r>
          </w:p>
        </w:tc>
        <w:tc>
          <w:tcPr>
            <w:tcW w:w="1040" w:type="dxa"/>
          </w:tcPr>
          <w:p w14:paraId="6577A9AE" w14:textId="77777777" w:rsidR="00AC3194" w:rsidRDefault="00AC3194" w:rsidP="00391F65">
            <w:pPr>
              <w:pStyle w:val="BodyText"/>
              <w:jc w:val="center"/>
              <w:rPr>
                <w:lang w:val="en-US" w:eastAsia="fr-FR"/>
              </w:rPr>
            </w:pPr>
            <w:r w:rsidRPr="009D54B1">
              <w:t>4</w:t>
            </w:r>
            <w:r>
              <w:t>.</w:t>
            </w:r>
            <w:r w:rsidRPr="009D54B1">
              <w:t>84</w:t>
            </w:r>
          </w:p>
        </w:tc>
        <w:tc>
          <w:tcPr>
            <w:tcW w:w="918" w:type="dxa"/>
          </w:tcPr>
          <w:p w14:paraId="3AB5611C" w14:textId="77777777" w:rsidR="00AC3194" w:rsidRDefault="00AC3194" w:rsidP="00391F65">
            <w:pPr>
              <w:pStyle w:val="BodyText"/>
              <w:jc w:val="center"/>
              <w:rPr>
                <w:lang w:val="en-US" w:eastAsia="fr-FR"/>
              </w:rPr>
            </w:pPr>
            <w:r w:rsidRPr="009D54B1">
              <w:t>4</w:t>
            </w:r>
            <w:r>
              <w:t>.</w:t>
            </w:r>
            <w:r w:rsidRPr="009D54B1">
              <w:t>84</w:t>
            </w:r>
          </w:p>
        </w:tc>
        <w:tc>
          <w:tcPr>
            <w:tcW w:w="918" w:type="dxa"/>
          </w:tcPr>
          <w:p w14:paraId="5B5B5466" w14:textId="77777777" w:rsidR="00AC3194" w:rsidRDefault="00AC3194" w:rsidP="00391F65">
            <w:pPr>
              <w:pStyle w:val="BodyText"/>
              <w:jc w:val="center"/>
              <w:rPr>
                <w:lang w:val="en-US" w:eastAsia="fr-FR"/>
              </w:rPr>
            </w:pPr>
            <w:r w:rsidRPr="009D54B1">
              <w:t>5</w:t>
            </w:r>
            <w:r>
              <w:t>.</w:t>
            </w:r>
            <w:r w:rsidRPr="009D54B1">
              <w:t>26</w:t>
            </w:r>
          </w:p>
        </w:tc>
      </w:tr>
      <w:tr w:rsidR="00AC3194" w14:paraId="40A6EF00" w14:textId="77777777" w:rsidTr="00622F40">
        <w:trPr>
          <w:jc w:val="center"/>
        </w:trPr>
        <w:tc>
          <w:tcPr>
            <w:tcW w:w="1961" w:type="dxa"/>
          </w:tcPr>
          <w:p w14:paraId="7773F69B" w14:textId="77777777" w:rsidR="00AC3194" w:rsidRDefault="00AC3194" w:rsidP="00391F65">
            <w:pPr>
              <w:pStyle w:val="BodyText"/>
              <w:jc w:val="center"/>
              <w:rPr>
                <w:lang w:val="en-US" w:eastAsia="fr-FR"/>
              </w:rPr>
            </w:pPr>
            <w:r>
              <w:rPr>
                <w:lang w:val="en-US" w:eastAsia="fr-FR"/>
              </w:rPr>
              <w:t>Goats</w:t>
            </w:r>
          </w:p>
        </w:tc>
        <w:tc>
          <w:tcPr>
            <w:tcW w:w="1105" w:type="dxa"/>
          </w:tcPr>
          <w:p w14:paraId="36C89F7B" w14:textId="77777777" w:rsidR="00AC3194" w:rsidRDefault="00AC3194" w:rsidP="00391F65">
            <w:pPr>
              <w:pStyle w:val="BodyText"/>
              <w:jc w:val="center"/>
              <w:rPr>
                <w:lang w:val="en-US" w:eastAsia="fr-FR"/>
              </w:rPr>
            </w:pPr>
            <w:r w:rsidRPr="009D54B1">
              <w:t>0</w:t>
            </w:r>
            <w:r>
              <w:t>.</w:t>
            </w:r>
            <w:r w:rsidRPr="009D54B1">
              <w:t>14</w:t>
            </w:r>
          </w:p>
        </w:tc>
        <w:tc>
          <w:tcPr>
            <w:tcW w:w="1040" w:type="dxa"/>
          </w:tcPr>
          <w:p w14:paraId="499AFF3C" w14:textId="77777777" w:rsidR="00AC3194" w:rsidRDefault="00AC3194" w:rsidP="00391F65">
            <w:pPr>
              <w:pStyle w:val="BodyText"/>
              <w:jc w:val="center"/>
              <w:rPr>
                <w:lang w:val="en-US" w:eastAsia="fr-FR"/>
              </w:rPr>
            </w:pPr>
            <w:r w:rsidRPr="009D54B1">
              <w:t>0</w:t>
            </w:r>
            <w:r>
              <w:t>.</w:t>
            </w:r>
            <w:r w:rsidRPr="009D54B1">
              <w:t>14</w:t>
            </w:r>
          </w:p>
        </w:tc>
        <w:tc>
          <w:tcPr>
            <w:tcW w:w="1040" w:type="dxa"/>
          </w:tcPr>
          <w:p w14:paraId="5A3E7A8F" w14:textId="77777777" w:rsidR="00AC3194" w:rsidRDefault="00AC3194" w:rsidP="00391F65">
            <w:pPr>
              <w:pStyle w:val="BodyText"/>
              <w:jc w:val="center"/>
              <w:rPr>
                <w:lang w:val="en-US" w:eastAsia="fr-FR"/>
              </w:rPr>
            </w:pPr>
            <w:r w:rsidRPr="009D54B1">
              <w:t>0</w:t>
            </w:r>
            <w:r>
              <w:t>.</w:t>
            </w:r>
            <w:r w:rsidRPr="009D54B1">
              <w:t>14</w:t>
            </w:r>
          </w:p>
        </w:tc>
        <w:tc>
          <w:tcPr>
            <w:tcW w:w="1040" w:type="dxa"/>
          </w:tcPr>
          <w:p w14:paraId="29F0B105" w14:textId="77777777" w:rsidR="00AC3194" w:rsidRDefault="00AC3194" w:rsidP="00391F65">
            <w:pPr>
              <w:pStyle w:val="BodyText"/>
              <w:jc w:val="center"/>
              <w:rPr>
                <w:lang w:val="en-US" w:eastAsia="fr-FR"/>
              </w:rPr>
            </w:pPr>
            <w:r w:rsidRPr="009D54B1">
              <w:t>0</w:t>
            </w:r>
            <w:r>
              <w:t>.</w:t>
            </w:r>
            <w:r w:rsidRPr="009D54B1">
              <w:t>14</w:t>
            </w:r>
          </w:p>
        </w:tc>
        <w:tc>
          <w:tcPr>
            <w:tcW w:w="1040" w:type="dxa"/>
          </w:tcPr>
          <w:p w14:paraId="11C3C3F7" w14:textId="77777777" w:rsidR="00AC3194" w:rsidRDefault="00AC3194" w:rsidP="00391F65">
            <w:pPr>
              <w:pStyle w:val="BodyText"/>
              <w:jc w:val="center"/>
              <w:rPr>
                <w:lang w:val="en-US" w:eastAsia="fr-FR"/>
              </w:rPr>
            </w:pPr>
            <w:r w:rsidRPr="009D54B1">
              <w:t>0</w:t>
            </w:r>
            <w:r>
              <w:t>.</w:t>
            </w:r>
            <w:r w:rsidRPr="009D54B1">
              <w:t>14</w:t>
            </w:r>
          </w:p>
        </w:tc>
        <w:tc>
          <w:tcPr>
            <w:tcW w:w="918" w:type="dxa"/>
          </w:tcPr>
          <w:p w14:paraId="1E41A895" w14:textId="77777777" w:rsidR="00AC3194" w:rsidRDefault="00AC3194" w:rsidP="00391F65">
            <w:pPr>
              <w:pStyle w:val="BodyText"/>
              <w:jc w:val="center"/>
              <w:rPr>
                <w:lang w:val="en-US" w:eastAsia="fr-FR"/>
              </w:rPr>
            </w:pPr>
            <w:r w:rsidRPr="009D54B1">
              <w:t>0</w:t>
            </w:r>
            <w:r>
              <w:t>.</w:t>
            </w:r>
            <w:r w:rsidRPr="009D54B1">
              <w:t>14</w:t>
            </w:r>
          </w:p>
        </w:tc>
        <w:tc>
          <w:tcPr>
            <w:tcW w:w="918" w:type="dxa"/>
          </w:tcPr>
          <w:p w14:paraId="57ED2B67" w14:textId="77777777" w:rsidR="00AC3194" w:rsidRDefault="00AC3194" w:rsidP="00391F65">
            <w:pPr>
              <w:pStyle w:val="BodyText"/>
              <w:jc w:val="center"/>
              <w:rPr>
                <w:lang w:val="en-US" w:eastAsia="fr-FR"/>
              </w:rPr>
            </w:pPr>
            <w:r w:rsidRPr="009D54B1">
              <w:t>0</w:t>
            </w:r>
            <w:r>
              <w:t>.</w:t>
            </w:r>
            <w:r w:rsidRPr="009D54B1">
              <w:t>14</w:t>
            </w:r>
          </w:p>
        </w:tc>
      </w:tr>
      <w:tr w:rsidR="00AC3194" w14:paraId="5320CFB0" w14:textId="77777777" w:rsidTr="00622F40">
        <w:trPr>
          <w:jc w:val="center"/>
        </w:trPr>
        <w:tc>
          <w:tcPr>
            <w:tcW w:w="1961" w:type="dxa"/>
          </w:tcPr>
          <w:p w14:paraId="5F2BB202" w14:textId="77777777" w:rsidR="00AC3194" w:rsidRDefault="00AC3194" w:rsidP="00391F65">
            <w:pPr>
              <w:pStyle w:val="BodyText"/>
              <w:jc w:val="center"/>
              <w:rPr>
                <w:lang w:val="en-US" w:eastAsia="fr-FR"/>
              </w:rPr>
            </w:pPr>
            <w:r>
              <w:rPr>
                <w:lang w:val="en-US" w:eastAsia="fr-FR"/>
              </w:rPr>
              <w:t>Horses</w:t>
            </w:r>
          </w:p>
        </w:tc>
        <w:tc>
          <w:tcPr>
            <w:tcW w:w="1105" w:type="dxa"/>
          </w:tcPr>
          <w:p w14:paraId="2A58DCDB" w14:textId="77777777" w:rsidR="00AC3194" w:rsidRDefault="00AC3194" w:rsidP="00391F65">
            <w:pPr>
              <w:pStyle w:val="BodyText"/>
              <w:jc w:val="center"/>
              <w:rPr>
                <w:lang w:val="en-US" w:eastAsia="fr-FR"/>
              </w:rPr>
            </w:pPr>
            <w:r w:rsidRPr="009D54B1">
              <w:t>0</w:t>
            </w:r>
            <w:r>
              <w:t>.</w:t>
            </w:r>
            <w:r w:rsidRPr="009D54B1">
              <w:t>86</w:t>
            </w:r>
          </w:p>
        </w:tc>
        <w:tc>
          <w:tcPr>
            <w:tcW w:w="1040" w:type="dxa"/>
          </w:tcPr>
          <w:p w14:paraId="2E1D8724" w14:textId="77777777" w:rsidR="00AC3194" w:rsidRDefault="00AC3194" w:rsidP="00391F65">
            <w:pPr>
              <w:pStyle w:val="BodyText"/>
              <w:jc w:val="center"/>
              <w:rPr>
                <w:lang w:val="en-US" w:eastAsia="fr-FR"/>
              </w:rPr>
            </w:pPr>
            <w:r w:rsidRPr="009D54B1">
              <w:t>0</w:t>
            </w:r>
            <w:r>
              <w:t>.</w:t>
            </w:r>
            <w:r w:rsidRPr="009D54B1">
              <w:t>86</w:t>
            </w:r>
          </w:p>
        </w:tc>
        <w:tc>
          <w:tcPr>
            <w:tcW w:w="1040" w:type="dxa"/>
          </w:tcPr>
          <w:p w14:paraId="3DD631CA" w14:textId="77777777" w:rsidR="00AC3194" w:rsidRDefault="00AC3194" w:rsidP="00391F65">
            <w:pPr>
              <w:pStyle w:val="BodyText"/>
              <w:jc w:val="center"/>
              <w:rPr>
                <w:lang w:val="en-US" w:eastAsia="fr-FR"/>
              </w:rPr>
            </w:pPr>
            <w:r w:rsidRPr="009D54B1">
              <w:t>0</w:t>
            </w:r>
            <w:r>
              <w:t>.</w:t>
            </w:r>
            <w:r w:rsidRPr="009D54B1">
              <w:t>86</w:t>
            </w:r>
          </w:p>
        </w:tc>
        <w:tc>
          <w:tcPr>
            <w:tcW w:w="1040" w:type="dxa"/>
          </w:tcPr>
          <w:p w14:paraId="5D40F7AF" w14:textId="77777777" w:rsidR="00AC3194" w:rsidRDefault="00AC3194" w:rsidP="00391F65">
            <w:pPr>
              <w:pStyle w:val="BodyText"/>
              <w:jc w:val="center"/>
              <w:rPr>
                <w:lang w:val="en-US" w:eastAsia="fr-FR"/>
              </w:rPr>
            </w:pPr>
            <w:r w:rsidRPr="009D54B1">
              <w:t>0</w:t>
            </w:r>
            <w:r>
              <w:t>.</w:t>
            </w:r>
            <w:r w:rsidRPr="009D54B1">
              <w:t>86</w:t>
            </w:r>
          </w:p>
        </w:tc>
        <w:tc>
          <w:tcPr>
            <w:tcW w:w="1040" w:type="dxa"/>
          </w:tcPr>
          <w:p w14:paraId="206AE498" w14:textId="77777777" w:rsidR="00AC3194" w:rsidRDefault="00AC3194" w:rsidP="00391F65">
            <w:pPr>
              <w:pStyle w:val="BodyText"/>
              <w:jc w:val="center"/>
              <w:rPr>
                <w:lang w:val="en-US" w:eastAsia="fr-FR"/>
              </w:rPr>
            </w:pPr>
            <w:r w:rsidRPr="009D54B1">
              <w:t>0</w:t>
            </w:r>
            <w:r>
              <w:t>.</w:t>
            </w:r>
            <w:r w:rsidRPr="009D54B1">
              <w:t>86</w:t>
            </w:r>
          </w:p>
        </w:tc>
        <w:tc>
          <w:tcPr>
            <w:tcW w:w="918" w:type="dxa"/>
          </w:tcPr>
          <w:p w14:paraId="3FD063E6" w14:textId="77777777" w:rsidR="00AC3194" w:rsidRDefault="00AC3194" w:rsidP="00391F65">
            <w:pPr>
              <w:pStyle w:val="BodyText"/>
              <w:jc w:val="center"/>
              <w:rPr>
                <w:lang w:val="en-US" w:eastAsia="fr-FR"/>
              </w:rPr>
            </w:pPr>
            <w:r w:rsidRPr="009D54B1">
              <w:t>0</w:t>
            </w:r>
            <w:r>
              <w:t>.</w:t>
            </w:r>
            <w:r w:rsidRPr="009D54B1">
              <w:t>86</w:t>
            </w:r>
          </w:p>
        </w:tc>
        <w:tc>
          <w:tcPr>
            <w:tcW w:w="918" w:type="dxa"/>
          </w:tcPr>
          <w:p w14:paraId="38954FBD" w14:textId="77777777" w:rsidR="00AC3194" w:rsidRDefault="00AC3194" w:rsidP="00391F65">
            <w:pPr>
              <w:pStyle w:val="BodyText"/>
              <w:jc w:val="center"/>
              <w:rPr>
                <w:lang w:val="en-US" w:eastAsia="fr-FR"/>
              </w:rPr>
            </w:pPr>
            <w:r w:rsidRPr="009D54B1">
              <w:t>0</w:t>
            </w:r>
            <w:r>
              <w:t>.</w:t>
            </w:r>
            <w:r w:rsidRPr="009D54B1">
              <w:t>86</w:t>
            </w:r>
          </w:p>
        </w:tc>
      </w:tr>
      <w:tr w:rsidR="00AC3194" w14:paraId="79823E10" w14:textId="77777777" w:rsidTr="00622F40">
        <w:trPr>
          <w:jc w:val="center"/>
        </w:trPr>
        <w:tc>
          <w:tcPr>
            <w:tcW w:w="1961" w:type="dxa"/>
          </w:tcPr>
          <w:p w14:paraId="2CCC7E76" w14:textId="77777777" w:rsidR="00AC3194" w:rsidRDefault="00AC3194" w:rsidP="00391F65">
            <w:pPr>
              <w:pStyle w:val="BodyText"/>
              <w:jc w:val="center"/>
              <w:rPr>
                <w:lang w:val="en-US" w:eastAsia="fr-FR"/>
              </w:rPr>
            </w:pPr>
            <w:r>
              <w:rPr>
                <w:lang w:val="en-US" w:eastAsia="fr-FR"/>
              </w:rPr>
              <w:t>Layers</w:t>
            </w:r>
          </w:p>
        </w:tc>
        <w:tc>
          <w:tcPr>
            <w:tcW w:w="1105" w:type="dxa"/>
          </w:tcPr>
          <w:p w14:paraId="3C1C4172" w14:textId="77777777" w:rsidR="00AC3194" w:rsidRDefault="00AC3194" w:rsidP="00391F65">
            <w:pPr>
              <w:pStyle w:val="BodyText"/>
              <w:jc w:val="center"/>
              <w:rPr>
                <w:lang w:val="en-US" w:eastAsia="fr-FR"/>
              </w:rPr>
            </w:pPr>
            <w:r w:rsidRPr="00516443">
              <w:t>0</w:t>
            </w:r>
            <w:r>
              <w:t>.</w:t>
            </w:r>
            <w:r w:rsidRPr="00516443">
              <w:t>12</w:t>
            </w:r>
          </w:p>
        </w:tc>
        <w:tc>
          <w:tcPr>
            <w:tcW w:w="1040" w:type="dxa"/>
          </w:tcPr>
          <w:p w14:paraId="23077E52" w14:textId="77777777" w:rsidR="00AC3194" w:rsidRDefault="00AC3194" w:rsidP="00391F65">
            <w:pPr>
              <w:pStyle w:val="BodyText"/>
              <w:jc w:val="center"/>
              <w:rPr>
                <w:lang w:val="en-US" w:eastAsia="fr-FR"/>
              </w:rPr>
            </w:pPr>
            <w:r w:rsidRPr="00516443">
              <w:t>0</w:t>
            </w:r>
            <w:r>
              <w:t>.</w:t>
            </w:r>
            <w:r w:rsidRPr="00516443">
              <w:t>12</w:t>
            </w:r>
          </w:p>
        </w:tc>
        <w:tc>
          <w:tcPr>
            <w:tcW w:w="1040" w:type="dxa"/>
          </w:tcPr>
          <w:p w14:paraId="7185C356" w14:textId="77777777" w:rsidR="00AC3194" w:rsidRDefault="00AC3194" w:rsidP="00391F65">
            <w:pPr>
              <w:pStyle w:val="BodyText"/>
              <w:jc w:val="center"/>
              <w:rPr>
                <w:lang w:val="en-US" w:eastAsia="fr-FR"/>
              </w:rPr>
            </w:pPr>
            <w:r w:rsidRPr="00516443">
              <w:t>0</w:t>
            </w:r>
            <w:r>
              <w:t>.</w:t>
            </w:r>
            <w:r w:rsidRPr="00516443">
              <w:t>14</w:t>
            </w:r>
          </w:p>
        </w:tc>
        <w:tc>
          <w:tcPr>
            <w:tcW w:w="1040" w:type="dxa"/>
          </w:tcPr>
          <w:p w14:paraId="33A3B93F" w14:textId="77777777" w:rsidR="00AC3194" w:rsidRDefault="00AC3194" w:rsidP="00391F65">
            <w:pPr>
              <w:pStyle w:val="BodyText"/>
              <w:jc w:val="center"/>
              <w:rPr>
                <w:lang w:val="en-US" w:eastAsia="fr-FR"/>
              </w:rPr>
            </w:pPr>
            <w:r w:rsidRPr="00516443">
              <w:t>0</w:t>
            </w:r>
            <w:r>
              <w:t>.</w:t>
            </w:r>
            <w:r w:rsidRPr="00516443">
              <w:t>14</w:t>
            </w:r>
          </w:p>
        </w:tc>
        <w:tc>
          <w:tcPr>
            <w:tcW w:w="1040" w:type="dxa"/>
          </w:tcPr>
          <w:p w14:paraId="2B067B3B" w14:textId="77777777" w:rsidR="00AC3194" w:rsidRDefault="00AC3194" w:rsidP="00391F65">
            <w:pPr>
              <w:pStyle w:val="BodyText"/>
              <w:jc w:val="center"/>
              <w:rPr>
                <w:lang w:val="en-US" w:eastAsia="fr-FR"/>
              </w:rPr>
            </w:pPr>
            <w:r w:rsidRPr="00516443">
              <w:t>0</w:t>
            </w:r>
            <w:r>
              <w:t>.</w:t>
            </w:r>
            <w:r w:rsidRPr="00516443">
              <w:t>14</w:t>
            </w:r>
          </w:p>
        </w:tc>
        <w:tc>
          <w:tcPr>
            <w:tcW w:w="918" w:type="dxa"/>
          </w:tcPr>
          <w:p w14:paraId="32B25C01" w14:textId="77777777" w:rsidR="00AC3194" w:rsidRDefault="00AC3194" w:rsidP="00391F65">
            <w:pPr>
              <w:pStyle w:val="BodyText"/>
              <w:jc w:val="center"/>
              <w:rPr>
                <w:lang w:val="en-US" w:eastAsia="fr-FR"/>
              </w:rPr>
            </w:pPr>
            <w:r w:rsidRPr="00516443">
              <w:t>0</w:t>
            </w:r>
            <w:r>
              <w:t>.</w:t>
            </w:r>
            <w:r w:rsidRPr="00516443">
              <w:t>14</w:t>
            </w:r>
          </w:p>
        </w:tc>
        <w:tc>
          <w:tcPr>
            <w:tcW w:w="918" w:type="dxa"/>
          </w:tcPr>
          <w:p w14:paraId="7F805678" w14:textId="77777777" w:rsidR="00AC3194" w:rsidRDefault="00AC3194" w:rsidP="00391F65">
            <w:pPr>
              <w:pStyle w:val="BodyText"/>
              <w:jc w:val="center"/>
              <w:rPr>
                <w:lang w:val="en-US" w:eastAsia="fr-FR"/>
              </w:rPr>
            </w:pPr>
            <w:r w:rsidRPr="00516443">
              <w:t>0</w:t>
            </w:r>
            <w:r>
              <w:t>.</w:t>
            </w:r>
            <w:r w:rsidRPr="00516443">
              <w:t>14</w:t>
            </w:r>
          </w:p>
        </w:tc>
      </w:tr>
      <w:tr w:rsidR="00AC3194" w14:paraId="5CC9E14E" w14:textId="77777777" w:rsidTr="00622F40">
        <w:trPr>
          <w:jc w:val="center"/>
        </w:trPr>
        <w:tc>
          <w:tcPr>
            <w:tcW w:w="1961" w:type="dxa"/>
          </w:tcPr>
          <w:p w14:paraId="1493F16A" w14:textId="77777777" w:rsidR="00AC3194" w:rsidRDefault="00AC3194" w:rsidP="00391F65">
            <w:pPr>
              <w:pStyle w:val="BodyText"/>
              <w:jc w:val="center"/>
              <w:rPr>
                <w:lang w:val="en-US" w:eastAsia="fr-FR"/>
              </w:rPr>
            </w:pPr>
            <w:r>
              <w:rPr>
                <w:lang w:val="en-US" w:eastAsia="fr-FR"/>
              </w:rPr>
              <w:t>Broilers</w:t>
            </w:r>
          </w:p>
        </w:tc>
        <w:tc>
          <w:tcPr>
            <w:tcW w:w="1105" w:type="dxa"/>
          </w:tcPr>
          <w:p w14:paraId="0AA11DE4" w14:textId="77777777" w:rsidR="00AC3194" w:rsidRDefault="00AC3194" w:rsidP="00391F65">
            <w:pPr>
              <w:pStyle w:val="BodyText"/>
              <w:jc w:val="center"/>
              <w:rPr>
                <w:lang w:val="en-US" w:eastAsia="fr-FR"/>
              </w:rPr>
            </w:pPr>
            <w:r w:rsidRPr="00516443">
              <w:t>0</w:t>
            </w:r>
            <w:r>
              <w:t>.</w:t>
            </w:r>
            <w:r w:rsidRPr="00516443">
              <w:t>01</w:t>
            </w:r>
          </w:p>
        </w:tc>
        <w:tc>
          <w:tcPr>
            <w:tcW w:w="1040" w:type="dxa"/>
          </w:tcPr>
          <w:p w14:paraId="62047803" w14:textId="77777777" w:rsidR="00AC3194" w:rsidRDefault="00AC3194" w:rsidP="00391F65">
            <w:pPr>
              <w:pStyle w:val="BodyText"/>
              <w:jc w:val="center"/>
              <w:rPr>
                <w:lang w:val="en-US" w:eastAsia="fr-FR"/>
              </w:rPr>
            </w:pPr>
            <w:r w:rsidRPr="00516443">
              <w:t>0</w:t>
            </w:r>
            <w:r>
              <w:t>.</w:t>
            </w:r>
            <w:r w:rsidRPr="00516443">
              <w:t>01</w:t>
            </w:r>
          </w:p>
        </w:tc>
        <w:tc>
          <w:tcPr>
            <w:tcW w:w="1040" w:type="dxa"/>
          </w:tcPr>
          <w:p w14:paraId="607CF02B" w14:textId="77777777" w:rsidR="00AC3194" w:rsidRDefault="00AC3194" w:rsidP="00391F65">
            <w:pPr>
              <w:pStyle w:val="BodyText"/>
              <w:jc w:val="center"/>
              <w:rPr>
                <w:lang w:val="en-US" w:eastAsia="fr-FR"/>
              </w:rPr>
            </w:pPr>
            <w:r w:rsidRPr="00516443">
              <w:t>0</w:t>
            </w:r>
            <w:r>
              <w:t>.</w:t>
            </w:r>
            <w:r w:rsidRPr="00516443">
              <w:t>01</w:t>
            </w:r>
          </w:p>
        </w:tc>
        <w:tc>
          <w:tcPr>
            <w:tcW w:w="1040" w:type="dxa"/>
          </w:tcPr>
          <w:p w14:paraId="34167CBC" w14:textId="77777777" w:rsidR="00AC3194" w:rsidRDefault="00AC3194" w:rsidP="00391F65">
            <w:pPr>
              <w:pStyle w:val="BodyText"/>
              <w:jc w:val="center"/>
              <w:rPr>
                <w:lang w:val="en-US" w:eastAsia="fr-FR"/>
              </w:rPr>
            </w:pPr>
            <w:r w:rsidRPr="00516443">
              <w:t>0</w:t>
            </w:r>
            <w:r>
              <w:t>.</w:t>
            </w:r>
            <w:r w:rsidRPr="00516443">
              <w:t>01</w:t>
            </w:r>
          </w:p>
        </w:tc>
        <w:tc>
          <w:tcPr>
            <w:tcW w:w="1040" w:type="dxa"/>
          </w:tcPr>
          <w:p w14:paraId="5DBC0D57" w14:textId="77777777" w:rsidR="00AC3194" w:rsidRDefault="00AC3194" w:rsidP="00391F65">
            <w:pPr>
              <w:pStyle w:val="BodyText"/>
              <w:jc w:val="center"/>
              <w:rPr>
                <w:lang w:val="en-US" w:eastAsia="fr-FR"/>
              </w:rPr>
            </w:pPr>
            <w:r w:rsidRPr="00516443">
              <w:t>0</w:t>
            </w:r>
            <w:r>
              <w:t>.</w:t>
            </w:r>
            <w:r w:rsidRPr="00516443">
              <w:t>01</w:t>
            </w:r>
          </w:p>
        </w:tc>
        <w:tc>
          <w:tcPr>
            <w:tcW w:w="918" w:type="dxa"/>
          </w:tcPr>
          <w:p w14:paraId="1258A2AB" w14:textId="77777777" w:rsidR="00AC3194" w:rsidRDefault="00AC3194" w:rsidP="00391F65">
            <w:pPr>
              <w:pStyle w:val="BodyText"/>
              <w:jc w:val="center"/>
              <w:rPr>
                <w:lang w:val="en-US" w:eastAsia="fr-FR"/>
              </w:rPr>
            </w:pPr>
            <w:r w:rsidRPr="00516443">
              <w:t>0</w:t>
            </w:r>
            <w:r>
              <w:t>.</w:t>
            </w:r>
            <w:r w:rsidRPr="00516443">
              <w:t>01</w:t>
            </w:r>
          </w:p>
        </w:tc>
        <w:tc>
          <w:tcPr>
            <w:tcW w:w="918" w:type="dxa"/>
          </w:tcPr>
          <w:p w14:paraId="6D652859" w14:textId="77777777" w:rsidR="00AC3194" w:rsidRDefault="00AC3194" w:rsidP="00391F65">
            <w:pPr>
              <w:pStyle w:val="BodyText"/>
              <w:jc w:val="center"/>
              <w:rPr>
                <w:lang w:val="en-US" w:eastAsia="fr-FR"/>
              </w:rPr>
            </w:pPr>
            <w:r w:rsidRPr="00516443">
              <w:t>0</w:t>
            </w:r>
            <w:r>
              <w:t>.</w:t>
            </w:r>
            <w:r w:rsidRPr="00516443">
              <w:t>01</w:t>
            </w:r>
          </w:p>
        </w:tc>
      </w:tr>
      <w:tr w:rsidR="00AC3194" w14:paraId="0285335E" w14:textId="77777777" w:rsidTr="00622F40">
        <w:trPr>
          <w:jc w:val="center"/>
        </w:trPr>
        <w:tc>
          <w:tcPr>
            <w:tcW w:w="1961" w:type="dxa"/>
          </w:tcPr>
          <w:p w14:paraId="47D55AA8" w14:textId="77777777" w:rsidR="00AC3194" w:rsidRDefault="00AC3194" w:rsidP="00391F65">
            <w:pPr>
              <w:pStyle w:val="BodyText"/>
              <w:jc w:val="center"/>
              <w:rPr>
                <w:lang w:val="en-US" w:eastAsia="fr-FR"/>
              </w:rPr>
            </w:pPr>
            <w:r>
              <w:rPr>
                <w:lang w:val="en-US" w:eastAsia="fr-FR"/>
              </w:rPr>
              <w:t>Turkeys</w:t>
            </w:r>
          </w:p>
        </w:tc>
        <w:tc>
          <w:tcPr>
            <w:tcW w:w="1105" w:type="dxa"/>
          </w:tcPr>
          <w:p w14:paraId="5F03B965" w14:textId="77777777" w:rsidR="00AC3194" w:rsidRDefault="00AC3194" w:rsidP="00391F65">
            <w:pPr>
              <w:pStyle w:val="BodyText"/>
              <w:jc w:val="center"/>
              <w:rPr>
                <w:lang w:val="en-US" w:eastAsia="fr-FR"/>
              </w:rPr>
            </w:pPr>
            <w:r w:rsidRPr="00516443">
              <w:t>0</w:t>
            </w:r>
            <w:r>
              <w:t>.</w:t>
            </w:r>
            <w:r w:rsidRPr="00516443">
              <w:t>09</w:t>
            </w:r>
          </w:p>
        </w:tc>
        <w:tc>
          <w:tcPr>
            <w:tcW w:w="1040" w:type="dxa"/>
          </w:tcPr>
          <w:p w14:paraId="2CEC33C8" w14:textId="77777777" w:rsidR="00AC3194" w:rsidRDefault="00AC3194" w:rsidP="00391F65">
            <w:pPr>
              <w:pStyle w:val="BodyText"/>
              <w:jc w:val="center"/>
              <w:rPr>
                <w:lang w:val="en-US" w:eastAsia="fr-FR"/>
              </w:rPr>
            </w:pPr>
            <w:r w:rsidRPr="00516443">
              <w:t>0</w:t>
            </w:r>
            <w:r>
              <w:t>.</w:t>
            </w:r>
            <w:r w:rsidRPr="00516443">
              <w:t>09</w:t>
            </w:r>
          </w:p>
        </w:tc>
        <w:tc>
          <w:tcPr>
            <w:tcW w:w="1040" w:type="dxa"/>
          </w:tcPr>
          <w:p w14:paraId="7C8B3C32" w14:textId="77777777" w:rsidR="00AC3194" w:rsidRDefault="00AC3194" w:rsidP="00391F65">
            <w:pPr>
              <w:pStyle w:val="BodyText"/>
              <w:jc w:val="center"/>
              <w:rPr>
                <w:lang w:val="en-US" w:eastAsia="fr-FR"/>
              </w:rPr>
            </w:pPr>
            <w:r w:rsidRPr="00516443">
              <w:t>0</w:t>
            </w:r>
            <w:r>
              <w:t>.</w:t>
            </w:r>
            <w:r w:rsidRPr="00516443">
              <w:t>09</w:t>
            </w:r>
          </w:p>
        </w:tc>
        <w:tc>
          <w:tcPr>
            <w:tcW w:w="1040" w:type="dxa"/>
          </w:tcPr>
          <w:p w14:paraId="04914161" w14:textId="77777777" w:rsidR="00AC3194" w:rsidRDefault="00AC3194" w:rsidP="00391F65">
            <w:pPr>
              <w:pStyle w:val="BodyText"/>
              <w:jc w:val="center"/>
              <w:rPr>
                <w:lang w:val="en-US" w:eastAsia="fr-FR"/>
              </w:rPr>
            </w:pPr>
            <w:r w:rsidRPr="00516443">
              <w:t>0</w:t>
            </w:r>
            <w:r>
              <w:t>.</w:t>
            </w:r>
            <w:r w:rsidRPr="00516443">
              <w:t>09</w:t>
            </w:r>
          </w:p>
        </w:tc>
        <w:tc>
          <w:tcPr>
            <w:tcW w:w="1040" w:type="dxa"/>
          </w:tcPr>
          <w:p w14:paraId="5385D96A" w14:textId="77777777" w:rsidR="00AC3194" w:rsidRDefault="00AC3194" w:rsidP="00391F65">
            <w:pPr>
              <w:pStyle w:val="BodyText"/>
              <w:jc w:val="center"/>
              <w:rPr>
                <w:lang w:val="en-US" w:eastAsia="fr-FR"/>
              </w:rPr>
            </w:pPr>
            <w:r w:rsidRPr="00516443">
              <w:t>0</w:t>
            </w:r>
            <w:r>
              <w:t>.</w:t>
            </w:r>
            <w:r w:rsidRPr="00516443">
              <w:t>09</w:t>
            </w:r>
          </w:p>
        </w:tc>
        <w:tc>
          <w:tcPr>
            <w:tcW w:w="918" w:type="dxa"/>
          </w:tcPr>
          <w:p w14:paraId="50F293AB" w14:textId="77777777" w:rsidR="00AC3194" w:rsidRDefault="00AC3194" w:rsidP="00391F65">
            <w:pPr>
              <w:pStyle w:val="BodyText"/>
              <w:jc w:val="center"/>
              <w:rPr>
                <w:lang w:val="en-US" w:eastAsia="fr-FR"/>
              </w:rPr>
            </w:pPr>
            <w:r w:rsidRPr="00516443">
              <w:t>0</w:t>
            </w:r>
            <w:r>
              <w:t>.</w:t>
            </w:r>
            <w:r w:rsidRPr="00516443">
              <w:t>09</w:t>
            </w:r>
          </w:p>
        </w:tc>
        <w:tc>
          <w:tcPr>
            <w:tcW w:w="918" w:type="dxa"/>
          </w:tcPr>
          <w:p w14:paraId="0517F100" w14:textId="77777777" w:rsidR="00AC3194" w:rsidRDefault="00AC3194" w:rsidP="00391F65">
            <w:pPr>
              <w:pStyle w:val="BodyText"/>
              <w:jc w:val="center"/>
              <w:rPr>
                <w:lang w:val="en-US" w:eastAsia="fr-FR"/>
              </w:rPr>
            </w:pPr>
            <w:r w:rsidRPr="00516443">
              <w:t>0</w:t>
            </w:r>
            <w:r>
              <w:t>.</w:t>
            </w:r>
            <w:r w:rsidRPr="00516443">
              <w:t>09</w:t>
            </w:r>
          </w:p>
        </w:tc>
      </w:tr>
      <w:tr w:rsidR="00AC3194" w14:paraId="68D6E877" w14:textId="77777777" w:rsidTr="00622F40">
        <w:trPr>
          <w:jc w:val="center"/>
        </w:trPr>
        <w:tc>
          <w:tcPr>
            <w:tcW w:w="1961" w:type="dxa"/>
          </w:tcPr>
          <w:p w14:paraId="4B1050A0" w14:textId="77777777" w:rsidR="00AC3194" w:rsidRDefault="00AC3194" w:rsidP="00391F65">
            <w:pPr>
              <w:pStyle w:val="BodyText"/>
              <w:jc w:val="center"/>
              <w:rPr>
                <w:lang w:val="en-US" w:eastAsia="fr-FR"/>
              </w:rPr>
            </w:pPr>
            <w:r>
              <w:rPr>
                <w:lang w:val="en-US" w:eastAsia="fr-FR"/>
              </w:rPr>
              <w:t>Other poultry</w:t>
            </w:r>
          </w:p>
        </w:tc>
        <w:tc>
          <w:tcPr>
            <w:tcW w:w="1105" w:type="dxa"/>
          </w:tcPr>
          <w:p w14:paraId="4BF1DBCC" w14:textId="77777777" w:rsidR="00AC3194" w:rsidRDefault="00AC3194" w:rsidP="00391F65">
            <w:pPr>
              <w:pStyle w:val="BodyText"/>
              <w:jc w:val="center"/>
              <w:rPr>
                <w:lang w:val="en-US" w:eastAsia="fr-FR"/>
              </w:rPr>
            </w:pPr>
            <w:r w:rsidRPr="00516443">
              <w:t>0</w:t>
            </w:r>
            <w:r>
              <w:t>.</w:t>
            </w:r>
            <w:r w:rsidRPr="00516443">
              <w:t>03</w:t>
            </w:r>
          </w:p>
        </w:tc>
        <w:tc>
          <w:tcPr>
            <w:tcW w:w="1040" w:type="dxa"/>
          </w:tcPr>
          <w:p w14:paraId="188A1181" w14:textId="77777777" w:rsidR="00AC3194" w:rsidRDefault="00AC3194" w:rsidP="00391F65">
            <w:pPr>
              <w:pStyle w:val="BodyText"/>
              <w:jc w:val="center"/>
              <w:rPr>
                <w:lang w:val="en-US" w:eastAsia="fr-FR"/>
              </w:rPr>
            </w:pPr>
            <w:r w:rsidRPr="00516443">
              <w:t>0</w:t>
            </w:r>
            <w:r>
              <w:t>.</w:t>
            </w:r>
            <w:r w:rsidRPr="00516443">
              <w:t>03</w:t>
            </w:r>
          </w:p>
        </w:tc>
        <w:tc>
          <w:tcPr>
            <w:tcW w:w="1040" w:type="dxa"/>
          </w:tcPr>
          <w:p w14:paraId="03CE4707" w14:textId="77777777" w:rsidR="00AC3194" w:rsidRDefault="00AC3194" w:rsidP="00391F65">
            <w:pPr>
              <w:pStyle w:val="BodyText"/>
              <w:jc w:val="center"/>
              <w:rPr>
                <w:lang w:val="en-US" w:eastAsia="fr-FR"/>
              </w:rPr>
            </w:pPr>
            <w:r w:rsidRPr="00516443">
              <w:t>0</w:t>
            </w:r>
            <w:r>
              <w:t>.</w:t>
            </w:r>
            <w:r w:rsidRPr="00516443">
              <w:t>03</w:t>
            </w:r>
          </w:p>
        </w:tc>
        <w:tc>
          <w:tcPr>
            <w:tcW w:w="1040" w:type="dxa"/>
          </w:tcPr>
          <w:p w14:paraId="1B877DC2" w14:textId="77777777" w:rsidR="00AC3194" w:rsidRDefault="00AC3194" w:rsidP="00391F65">
            <w:pPr>
              <w:pStyle w:val="BodyText"/>
              <w:jc w:val="center"/>
              <w:rPr>
                <w:lang w:val="en-US" w:eastAsia="fr-FR"/>
              </w:rPr>
            </w:pPr>
            <w:r w:rsidRPr="00516443">
              <w:t>0</w:t>
            </w:r>
            <w:r>
              <w:t>.</w:t>
            </w:r>
            <w:r w:rsidRPr="00516443">
              <w:t>03</w:t>
            </w:r>
          </w:p>
        </w:tc>
        <w:tc>
          <w:tcPr>
            <w:tcW w:w="1040" w:type="dxa"/>
          </w:tcPr>
          <w:p w14:paraId="37F04761" w14:textId="77777777" w:rsidR="00AC3194" w:rsidRDefault="00AC3194" w:rsidP="00391F65">
            <w:pPr>
              <w:pStyle w:val="BodyText"/>
              <w:jc w:val="center"/>
              <w:rPr>
                <w:lang w:val="en-US" w:eastAsia="fr-FR"/>
              </w:rPr>
            </w:pPr>
            <w:r w:rsidRPr="00516443">
              <w:t>0</w:t>
            </w:r>
            <w:r>
              <w:t>.</w:t>
            </w:r>
            <w:r w:rsidRPr="00516443">
              <w:t>03</w:t>
            </w:r>
          </w:p>
        </w:tc>
        <w:tc>
          <w:tcPr>
            <w:tcW w:w="918" w:type="dxa"/>
          </w:tcPr>
          <w:p w14:paraId="17EF2E28" w14:textId="77777777" w:rsidR="00AC3194" w:rsidRDefault="00AC3194" w:rsidP="00391F65">
            <w:pPr>
              <w:pStyle w:val="BodyText"/>
              <w:jc w:val="center"/>
              <w:rPr>
                <w:lang w:val="en-US" w:eastAsia="fr-FR"/>
              </w:rPr>
            </w:pPr>
            <w:r w:rsidRPr="00516443">
              <w:t>0</w:t>
            </w:r>
            <w:r>
              <w:t>.</w:t>
            </w:r>
            <w:r w:rsidRPr="00516443">
              <w:t>03</w:t>
            </w:r>
          </w:p>
        </w:tc>
        <w:tc>
          <w:tcPr>
            <w:tcW w:w="918" w:type="dxa"/>
          </w:tcPr>
          <w:p w14:paraId="4DCA66CF" w14:textId="77777777" w:rsidR="00AC3194" w:rsidRDefault="00AC3194" w:rsidP="00391F65">
            <w:pPr>
              <w:pStyle w:val="BodyText"/>
              <w:jc w:val="center"/>
              <w:rPr>
                <w:lang w:val="en-US" w:eastAsia="fr-FR"/>
              </w:rPr>
            </w:pPr>
            <w:r w:rsidRPr="00516443">
              <w:t>0</w:t>
            </w:r>
            <w:r>
              <w:t>.</w:t>
            </w:r>
            <w:r w:rsidRPr="00516443">
              <w:t>03</w:t>
            </w:r>
          </w:p>
        </w:tc>
      </w:tr>
    </w:tbl>
    <w:p w14:paraId="73170D4D" w14:textId="77777777" w:rsidR="00F76108" w:rsidRPr="002462F0" w:rsidRDefault="00F76108" w:rsidP="00622F40">
      <w:pPr>
        <w:pStyle w:val="BodyText"/>
        <w:jc w:val="left"/>
        <w:rPr>
          <w:lang w:val="en-US" w:eastAsia="fr-FR"/>
        </w:rPr>
      </w:pPr>
    </w:p>
    <w:p w14:paraId="7A272102" w14:textId="28559F99" w:rsidR="007B2433" w:rsidRPr="002462F0" w:rsidRDefault="00901982" w:rsidP="00901982">
      <w:pPr>
        <w:pStyle w:val="Heading3"/>
        <w:spacing w:before="240"/>
        <w:ind w:left="1429"/>
        <w:rPr>
          <w:lang w:eastAsia="fr-FR"/>
        </w:rPr>
      </w:pPr>
      <w:bookmarkStart w:id="683" w:name="_Toc182327916"/>
      <w:bookmarkStart w:id="684" w:name="_Toc184808264"/>
      <w:r>
        <w:rPr>
          <w:lang w:eastAsia="fr-FR"/>
        </w:rPr>
        <w:t>N</w:t>
      </w:r>
      <w:r w:rsidRPr="00901982">
        <w:rPr>
          <w:vertAlign w:val="subscript"/>
          <w:lang w:eastAsia="fr-FR"/>
        </w:rPr>
        <w:t>2</w:t>
      </w:r>
      <w:r>
        <w:rPr>
          <w:lang w:eastAsia="fr-FR"/>
        </w:rPr>
        <w:t>O emissions from manure management</w:t>
      </w:r>
      <w:r w:rsidR="007B2433" w:rsidRPr="002462F0">
        <w:rPr>
          <w:lang w:eastAsia="fr-FR"/>
        </w:rPr>
        <w:t xml:space="preserve"> (</w:t>
      </w:r>
      <w:r w:rsidR="00FF2718">
        <w:rPr>
          <w:lang w:eastAsia="fr-FR"/>
        </w:rPr>
        <w:t xml:space="preserve">CRT </w:t>
      </w:r>
      <w:r w:rsidR="007B2433" w:rsidRPr="002462F0">
        <w:rPr>
          <w:lang w:eastAsia="fr-FR"/>
        </w:rPr>
        <w:t>3B2)</w:t>
      </w:r>
      <w:bookmarkEnd w:id="683"/>
      <w:bookmarkEnd w:id="684"/>
    </w:p>
    <w:p w14:paraId="4A2A432F" w14:textId="77777777" w:rsidR="007B2433" w:rsidRPr="002462F0" w:rsidRDefault="007B2433" w:rsidP="007B2433">
      <w:pPr>
        <w:pStyle w:val="Titre4Bleu"/>
        <w:rPr>
          <w:lang w:eastAsia="fr-FR"/>
        </w:rPr>
      </w:pPr>
      <w:bookmarkStart w:id="685" w:name="_Toc182327917"/>
      <w:r w:rsidRPr="002462F0">
        <w:rPr>
          <w:lang w:eastAsia="fr-FR"/>
        </w:rPr>
        <w:t>Category description</w:t>
      </w:r>
      <w:bookmarkEnd w:id="685"/>
      <w:r w:rsidRPr="002462F0">
        <w:rPr>
          <w:lang w:eastAsia="fr-FR"/>
        </w:rPr>
        <w:t xml:space="preserve"> </w:t>
      </w:r>
    </w:p>
    <w:p w14:paraId="552BE00A" w14:textId="529D2422" w:rsidR="00C92D97" w:rsidRDefault="00C92D97" w:rsidP="00C92D97">
      <w:pPr>
        <w:pStyle w:val="BodyText"/>
        <w:rPr>
          <w:lang w:eastAsia="fr-FR"/>
        </w:rPr>
      </w:pPr>
      <w:r>
        <w:rPr>
          <w:lang w:eastAsia="fr-FR"/>
        </w:rPr>
        <w:t xml:space="preserve">Nitrous dioxide emissions from Manure management are subdivided by type of livestock (cattle, sheep, swine, other livestock). There is an extra </w:t>
      </w:r>
      <w:r w:rsidR="000F6001">
        <w:rPr>
          <w:lang w:eastAsia="fr-FR"/>
        </w:rPr>
        <w:t>CRT</w:t>
      </w:r>
      <w:r>
        <w:rPr>
          <w:lang w:eastAsia="fr-FR"/>
        </w:rPr>
        <w:t xml:space="preserve"> category (</w:t>
      </w:r>
      <w:r w:rsidR="00FF2718">
        <w:rPr>
          <w:lang w:eastAsia="fr-FR"/>
        </w:rPr>
        <w:t xml:space="preserve">CRT </w:t>
      </w:r>
      <w:r>
        <w:rPr>
          <w:lang w:eastAsia="fr-FR"/>
        </w:rPr>
        <w:t>3B25) in which indirect N</w:t>
      </w:r>
      <w:r w:rsidRPr="00622F40">
        <w:rPr>
          <w:vertAlign w:val="subscript"/>
          <w:lang w:eastAsia="fr-FR"/>
        </w:rPr>
        <w:t>2</w:t>
      </w:r>
      <w:r>
        <w:rPr>
          <w:lang w:eastAsia="fr-FR"/>
        </w:rPr>
        <w:t>O emissions from volatilisation and leaching are reported.</w:t>
      </w:r>
      <w:r w:rsidR="00571C1A">
        <w:rPr>
          <w:lang w:eastAsia="fr-FR"/>
        </w:rPr>
        <w:t xml:space="preserve"> </w:t>
      </w:r>
      <w:r w:rsidR="00C7330B">
        <w:rPr>
          <w:lang w:eastAsia="fr-FR"/>
        </w:rPr>
        <w:t>However, i</w:t>
      </w:r>
      <w:r w:rsidR="00571C1A">
        <w:rPr>
          <w:lang w:eastAsia="fr-FR"/>
        </w:rPr>
        <w:t xml:space="preserve">n a Tier 1 </w:t>
      </w:r>
      <w:r w:rsidR="00C7330B">
        <w:rPr>
          <w:lang w:eastAsia="fr-FR"/>
        </w:rPr>
        <w:t>methodology, as used in the Serbian inventory for this category</w:t>
      </w:r>
      <w:r w:rsidR="00571C1A">
        <w:rPr>
          <w:lang w:eastAsia="fr-FR"/>
        </w:rPr>
        <w:t>, indirect N</w:t>
      </w:r>
      <w:r w:rsidR="00571C1A" w:rsidRPr="00622F40">
        <w:rPr>
          <w:vertAlign w:val="subscript"/>
          <w:lang w:eastAsia="fr-FR"/>
        </w:rPr>
        <w:t>2</w:t>
      </w:r>
      <w:r w:rsidR="00571C1A">
        <w:rPr>
          <w:lang w:eastAsia="fr-FR"/>
        </w:rPr>
        <w:t xml:space="preserve">O emissions from leaching and run-off </w:t>
      </w:r>
      <w:r w:rsidR="002640E8">
        <w:rPr>
          <w:lang w:eastAsia="fr-FR"/>
        </w:rPr>
        <w:t>from manure management are not estimated</w:t>
      </w:r>
      <w:r w:rsidR="003D30D7">
        <w:rPr>
          <w:lang w:eastAsia="fr-FR"/>
        </w:rPr>
        <w:t>, according to the IPCC guidelines</w:t>
      </w:r>
      <w:r w:rsidR="002640E8">
        <w:rPr>
          <w:lang w:eastAsia="fr-FR"/>
        </w:rPr>
        <w:t xml:space="preserve">.  </w:t>
      </w:r>
    </w:p>
    <w:p w14:paraId="13F9CBDC" w14:textId="4BB76719" w:rsidR="00C74045" w:rsidRDefault="00C74045" w:rsidP="00C92D97">
      <w:pPr>
        <w:pStyle w:val="BodyText"/>
        <w:rPr>
          <w:lang w:eastAsia="fr-FR"/>
        </w:rPr>
      </w:pPr>
      <w:r>
        <w:rPr>
          <w:lang w:eastAsia="fr-FR"/>
        </w:rPr>
        <w:t>The direct emissions of N</w:t>
      </w:r>
      <w:r w:rsidRPr="00535F1D">
        <w:rPr>
          <w:vertAlign w:val="subscript"/>
          <w:lang w:eastAsia="fr-FR"/>
        </w:rPr>
        <w:t>2</w:t>
      </w:r>
      <w:r>
        <w:rPr>
          <w:lang w:eastAsia="fr-FR"/>
        </w:rPr>
        <w:t>O from manure management are estimated based on a Tier 1 methodology, and the EF applied for each live</w:t>
      </w:r>
      <w:r w:rsidR="004618CB">
        <w:rPr>
          <w:lang w:eastAsia="fr-FR"/>
        </w:rPr>
        <w:t>stock</w:t>
      </w:r>
      <w:r>
        <w:rPr>
          <w:lang w:eastAsia="fr-FR"/>
        </w:rPr>
        <w:t xml:space="preserve"> category </w:t>
      </w:r>
      <w:r w:rsidR="004618CB">
        <w:rPr>
          <w:lang w:eastAsia="fr-FR"/>
        </w:rPr>
        <w:t>are constant over the timeseries</w:t>
      </w:r>
      <w:r w:rsidR="00241141">
        <w:rPr>
          <w:lang w:eastAsia="fr-FR"/>
        </w:rPr>
        <w:t xml:space="preserve"> (see chapter </w:t>
      </w:r>
      <w:r w:rsidR="00241141">
        <w:rPr>
          <w:lang w:eastAsia="fr-FR"/>
        </w:rPr>
        <w:fldChar w:fldCharType="begin"/>
      </w:r>
      <w:r w:rsidR="00241141">
        <w:rPr>
          <w:lang w:eastAsia="fr-FR"/>
        </w:rPr>
        <w:instrText xml:space="preserve"> REF _Ref179202033 \r \h </w:instrText>
      </w:r>
      <w:r w:rsidR="00241141">
        <w:rPr>
          <w:lang w:eastAsia="fr-FR"/>
        </w:rPr>
      </w:r>
      <w:r w:rsidR="00241141">
        <w:rPr>
          <w:lang w:eastAsia="fr-FR"/>
        </w:rPr>
        <w:fldChar w:fldCharType="separate"/>
      </w:r>
      <w:r w:rsidR="00F14C78">
        <w:rPr>
          <w:lang w:eastAsia="fr-FR"/>
        </w:rPr>
        <w:t>5.3.2.2</w:t>
      </w:r>
      <w:r w:rsidR="00241141">
        <w:rPr>
          <w:lang w:eastAsia="fr-FR"/>
        </w:rPr>
        <w:fldChar w:fldCharType="end"/>
      </w:r>
      <w:r w:rsidR="00241141">
        <w:rPr>
          <w:lang w:eastAsia="fr-FR"/>
        </w:rPr>
        <w:t>)</w:t>
      </w:r>
      <w:r w:rsidR="004618CB">
        <w:rPr>
          <w:lang w:eastAsia="fr-FR"/>
        </w:rPr>
        <w:t>. Hence, the emissions for the CRT 3B21a, 3B21b and 3B22</w:t>
      </w:r>
      <w:r w:rsidR="002B3D64">
        <w:rPr>
          <w:lang w:eastAsia="fr-FR"/>
        </w:rPr>
        <w:t xml:space="preserve"> are all directly proportional to the livestock and </w:t>
      </w:r>
      <w:r w:rsidR="00241141">
        <w:rPr>
          <w:lang w:eastAsia="fr-FR"/>
        </w:rPr>
        <w:t>vary based on their evolution</w:t>
      </w:r>
      <w:r w:rsidR="002B3D64">
        <w:rPr>
          <w:lang w:eastAsia="fr-FR"/>
        </w:rPr>
        <w:t>, as presented in the various graphs about the livestock</w:t>
      </w:r>
      <w:r w:rsidR="00202E48">
        <w:rPr>
          <w:lang w:eastAsia="fr-FR"/>
        </w:rPr>
        <w:t xml:space="preserve"> in chapter </w:t>
      </w:r>
      <w:r w:rsidR="00202E48">
        <w:rPr>
          <w:lang w:eastAsia="fr-FR"/>
        </w:rPr>
        <w:fldChar w:fldCharType="begin"/>
      </w:r>
      <w:r w:rsidR="00202E48">
        <w:rPr>
          <w:lang w:eastAsia="fr-FR"/>
        </w:rPr>
        <w:instrText xml:space="preserve"> REF _Ref179202246 \r \h </w:instrText>
      </w:r>
      <w:r w:rsidR="00202E48">
        <w:rPr>
          <w:lang w:eastAsia="fr-FR"/>
        </w:rPr>
      </w:r>
      <w:r w:rsidR="00202E48">
        <w:rPr>
          <w:lang w:eastAsia="fr-FR"/>
        </w:rPr>
        <w:fldChar w:fldCharType="separate"/>
      </w:r>
      <w:r w:rsidR="00F14C78">
        <w:rPr>
          <w:lang w:eastAsia="fr-FR"/>
        </w:rPr>
        <w:t>5.2</w:t>
      </w:r>
      <w:r w:rsidR="00202E48">
        <w:rPr>
          <w:lang w:eastAsia="fr-FR"/>
        </w:rPr>
        <w:fldChar w:fldCharType="end"/>
      </w:r>
      <w:r w:rsidR="002B3D64">
        <w:rPr>
          <w:lang w:eastAsia="fr-FR"/>
        </w:rPr>
        <w:t>.</w:t>
      </w:r>
    </w:p>
    <w:p w14:paraId="75807B90" w14:textId="660DDAAA" w:rsidR="00C92D97" w:rsidRDefault="001776F6" w:rsidP="00535F1D">
      <w:pPr>
        <w:spacing w:after="0"/>
      </w:pPr>
      <w:r>
        <w:rPr>
          <w:noProof/>
          <w:lang w:val="en-US"/>
        </w:rPr>
        <w:drawing>
          <wp:inline distT="0" distB="0" distL="0" distR="0" wp14:anchorId="02C73293" wp14:editId="09A82A3C">
            <wp:extent cx="5760000" cy="1753712"/>
            <wp:effectExtent l="0" t="0" r="0" b="0"/>
            <wp:docPr id="418681217"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081F62FE" w14:textId="77777777" w:rsidR="00535F1D" w:rsidRDefault="00535F1D" w:rsidP="00535F1D">
      <w:pPr>
        <w:pStyle w:val="Caption"/>
        <w:keepNext/>
        <w:spacing w:before="0" w:after="0"/>
        <w:jc w:val="left"/>
        <w:rPr>
          <w:noProof/>
        </w:rPr>
      </w:pPr>
      <w:bookmarkStart w:id="686" w:name="_Toc184808485"/>
      <w:r w:rsidRPr="00622F40">
        <w:lastRenderedPageBreak/>
        <w:t xml:space="preserve">Figure </w:t>
      </w:r>
      <w:r w:rsidRPr="00622F40">
        <w:fldChar w:fldCharType="begin"/>
      </w:r>
      <w:r w:rsidRPr="00622F40">
        <w:instrText xml:space="preserve"> SEQ Figure \* ARABIC </w:instrText>
      </w:r>
      <w:r w:rsidRPr="00622F40">
        <w:fldChar w:fldCharType="separate"/>
      </w:r>
      <w:r>
        <w:rPr>
          <w:noProof/>
        </w:rPr>
        <w:t>98</w:t>
      </w:r>
      <w:r w:rsidRPr="00622F40">
        <w:fldChar w:fldCharType="end"/>
      </w:r>
      <w:r w:rsidRPr="00622F40">
        <w:rPr>
          <w:noProof/>
        </w:rPr>
        <w:t xml:space="preserve"> : N</w:t>
      </w:r>
      <w:r w:rsidRPr="00535F1D">
        <w:rPr>
          <w:noProof/>
          <w:vertAlign w:val="subscript"/>
        </w:rPr>
        <w:t>2</w:t>
      </w:r>
      <w:r w:rsidRPr="00622F40">
        <w:rPr>
          <w:noProof/>
        </w:rPr>
        <w:t>O emissions for manure management of dairy cattle (</w:t>
      </w:r>
      <w:r>
        <w:rPr>
          <w:noProof/>
        </w:rPr>
        <w:t>CRT</w:t>
      </w:r>
      <w:r w:rsidRPr="00622F40">
        <w:rPr>
          <w:noProof/>
        </w:rPr>
        <w:t xml:space="preserve"> 3B21a) (kt CO</w:t>
      </w:r>
      <w:r w:rsidRPr="00622F40">
        <w:rPr>
          <w:noProof/>
          <w:vertAlign w:val="subscript"/>
        </w:rPr>
        <w:t>2</w:t>
      </w:r>
      <w:r w:rsidRPr="00622F40">
        <w:rPr>
          <w:noProof/>
        </w:rPr>
        <w:t>e)</w:t>
      </w:r>
      <w:bookmarkEnd w:id="686"/>
    </w:p>
    <w:p w14:paraId="489BC652" w14:textId="77777777" w:rsidR="00535F1D" w:rsidRPr="00AE790B" w:rsidRDefault="00535F1D" w:rsidP="00535F1D">
      <w:pPr>
        <w:spacing w:after="0"/>
      </w:pPr>
    </w:p>
    <w:p w14:paraId="7B240797" w14:textId="31C70541" w:rsidR="00C92D97" w:rsidRPr="00AE790B" w:rsidRDefault="00D832BB" w:rsidP="00535F1D">
      <w:pPr>
        <w:spacing w:after="0"/>
        <w:jc w:val="left"/>
      </w:pPr>
      <w:r>
        <w:rPr>
          <w:noProof/>
          <w:lang w:val="en-US"/>
        </w:rPr>
        <w:drawing>
          <wp:inline distT="0" distB="0" distL="0" distR="0" wp14:anchorId="3FEB5555" wp14:editId="0B178CA3">
            <wp:extent cx="5760000" cy="1753712"/>
            <wp:effectExtent l="0" t="0" r="0" b="0"/>
            <wp:docPr id="122114791"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0AC0D09A" w14:textId="77777777" w:rsidR="00535F1D" w:rsidRDefault="00535F1D" w:rsidP="00535F1D">
      <w:pPr>
        <w:pStyle w:val="Caption"/>
        <w:keepNext/>
        <w:spacing w:before="0"/>
        <w:jc w:val="left"/>
        <w:rPr>
          <w:noProof/>
        </w:rPr>
      </w:pPr>
      <w:bookmarkStart w:id="687" w:name="_Toc184808486"/>
      <w:r w:rsidRPr="00622F40">
        <w:t xml:space="preserve">Figure </w:t>
      </w:r>
      <w:r w:rsidRPr="00622F40">
        <w:fldChar w:fldCharType="begin"/>
      </w:r>
      <w:r w:rsidRPr="00622F40">
        <w:instrText xml:space="preserve"> SEQ Figure \* ARABIC </w:instrText>
      </w:r>
      <w:r w:rsidRPr="00622F40">
        <w:fldChar w:fldCharType="separate"/>
      </w:r>
      <w:r>
        <w:rPr>
          <w:noProof/>
        </w:rPr>
        <w:t>99</w:t>
      </w:r>
      <w:r w:rsidRPr="00622F40">
        <w:fldChar w:fldCharType="end"/>
      </w:r>
      <w:r w:rsidRPr="00622F40">
        <w:rPr>
          <w:noProof/>
        </w:rPr>
        <w:t xml:space="preserve"> : N</w:t>
      </w:r>
      <w:r w:rsidRPr="00535F1D">
        <w:rPr>
          <w:noProof/>
          <w:vertAlign w:val="subscript"/>
        </w:rPr>
        <w:t>2</w:t>
      </w:r>
      <w:r w:rsidRPr="00622F40">
        <w:rPr>
          <w:noProof/>
        </w:rPr>
        <w:t>O emissions for manure management of non-dairy cattle (</w:t>
      </w:r>
      <w:r>
        <w:rPr>
          <w:noProof/>
        </w:rPr>
        <w:t>CRT</w:t>
      </w:r>
      <w:r w:rsidRPr="00622F40">
        <w:rPr>
          <w:noProof/>
        </w:rPr>
        <w:t xml:space="preserve"> 3B21b) (kt CO</w:t>
      </w:r>
      <w:r w:rsidRPr="00622F40">
        <w:rPr>
          <w:noProof/>
          <w:vertAlign w:val="subscript"/>
        </w:rPr>
        <w:t>2</w:t>
      </w:r>
      <w:r w:rsidRPr="00622F40">
        <w:rPr>
          <w:noProof/>
        </w:rPr>
        <w:t>e)</w:t>
      </w:r>
      <w:bookmarkEnd w:id="687"/>
    </w:p>
    <w:p w14:paraId="40C5BF82" w14:textId="51182E27" w:rsidR="00C92D97" w:rsidRPr="00AE790B" w:rsidRDefault="004363E8" w:rsidP="00535F1D">
      <w:pPr>
        <w:spacing w:after="0" w:line="240" w:lineRule="auto"/>
        <w:jc w:val="left"/>
      </w:pPr>
      <w:r>
        <w:rPr>
          <w:noProof/>
          <w:lang w:val="en-US"/>
        </w:rPr>
        <w:drawing>
          <wp:inline distT="0" distB="0" distL="0" distR="0" wp14:anchorId="782EB6CF" wp14:editId="6900306D">
            <wp:extent cx="5760000" cy="1753712"/>
            <wp:effectExtent l="0" t="0" r="0" b="0"/>
            <wp:docPr id="1205016022"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47662A97" w14:textId="77777777" w:rsidR="00535F1D" w:rsidRDefault="00535F1D" w:rsidP="00535F1D">
      <w:pPr>
        <w:pStyle w:val="Caption"/>
        <w:keepNext/>
        <w:spacing w:before="0" w:after="0"/>
        <w:jc w:val="left"/>
        <w:rPr>
          <w:noProof/>
        </w:rPr>
      </w:pPr>
      <w:bookmarkStart w:id="688" w:name="_Toc184808487"/>
      <w:r w:rsidRPr="00622F40">
        <w:t xml:space="preserve">Figure </w:t>
      </w:r>
      <w:r w:rsidRPr="00622F40">
        <w:fldChar w:fldCharType="begin"/>
      </w:r>
      <w:r w:rsidRPr="00622F40">
        <w:instrText xml:space="preserve"> SEQ Figure \* ARABIC </w:instrText>
      </w:r>
      <w:r w:rsidRPr="00622F40">
        <w:fldChar w:fldCharType="separate"/>
      </w:r>
      <w:r>
        <w:rPr>
          <w:noProof/>
        </w:rPr>
        <w:t>100</w:t>
      </w:r>
      <w:r w:rsidRPr="00622F40">
        <w:fldChar w:fldCharType="end"/>
      </w:r>
      <w:r w:rsidRPr="00622F40">
        <w:rPr>
          <w:noProof/>
        </w:rPr>
        <w:t xml:space="preserve"> : N</w:t>
      </w:r>
      <w:r w:rsidRPr="00535F1D">
        <w:rPr>
          <w:noProof/>
          <w:vertAlign w:val="subscript"/>
        </w:rPr>
        <w:t>2</w:t>
      </w:r>
      <w:r w:rsidRPr="00622F40">
        <w:rPr>
          <w:noProof/>
        </w:rPr>
        <w:t>O emissions for manure management of sheep (</w:t>
      </w:r>
      <w:r>
        <w:rPr>
          <w:noProof/>
        </w:rPr>
        <w:t>CRT</w:t>
      </w:r>
      <w:r w:rsidRPr="00622F40">
        <w:rPr>
          <w:noProof/>
        </w:rPr>
        <w:t xml:space="preserve"> 3B22) (kt CO</w:t>
      </w:r>
      <w:r w:rsidRPr="00622F40">
        <w:rPr>
          <w:noProof/>
          <w:vertAlign w:val="subscript"/>
        </w:rPr>
        <w:t>2</w:t>
      </w:r>
      <w:r w:rsidRPr="00622F40">
        <w:rPr>
          <w:noProof/>
        </w:rPr>
        <w:t>e)</w:t>
      </w:r>
      <w:bookmarkEnd w:id="688"/>
    </w:p>
    <w:p w14:paraId="13EB45DB" w14:textId="48876229" w:rsidR="002B3D64" w:rsidRDefault="00241141" w:rsidP="00535F1D">
      <w:pPr>
        <w:spacing w:before="240"/>
      </w:pPr>
      <w:r>
        <w:t xml:space="preserve">For manure management from swine, the emissions evolve according to </w:t>
      </w:r>
      <w:r w:rsidR="0045122A">
        <w:t>the variation of the livestock</w:t>
      </w:r>
      <w:r w:rsidR="00270517">
        <w:t xml:space="preserve">, as well as the share of </w:t>
      </w:r>
      <w:r w:rsidR="0032168A">
        <w:t>livestock between fattening pigs and sows</w:t>
      </w:r>
      <w:r w:rsidR="009329F0">
        <w:t xml:space="preserve">, considering </w:t>
      </w:r>
      <w:r w:rsidR="0080514F">
        <w:t>the fact that the EF for sows is 62% higher than for fattening pigs</w:t>
      </w:r>
      <w:r w:rsidR="009329F0">
        <w:t xml:space="preserve"> </w:t>
      </w:r>
      <w:r w:rsidR="009329F0">
        <w:rPr>
          <w:lang w:eastAsia="fr-FR"/>
        </w:rPr>
        <w:t xml:space="preserve">(see chapter </w:t>
      </w:r>
      <w:r w:rsidR="009329F0">
        <w:rPr>
          <w:lang w:eastAsia="fr-FR"/>
        </w:rPr>
        <w:fldChar w:fldCharType="begin"/>
      </w:r>
      <w:r w:rsidR="009329F0">
        <w:rPr>
          <w:lang w:eastAsia="fr-FR"/>
        </w:rPr>
        <w:instrText xml:space="preserve"> REF _Ref179202033 \r \h </w:instrText>
      </w:r>
      <w:r w:rsidR="009329F0">
        <w:rPr>
          <w:lang w:eastAsia="fr-FR"/>
        </w:rPr>
      </w:r>
      <w:r w:rsidR="009329F0">
        <w:rPr>
          <w:lang w:eastAsia="fr-FR"/>
        </w:rPr>
        <w:fldChar w:fldCharType="separate"/>
      </w:r>
      <w:r w:rsidR="00F14C78">
        <w:rPr>
          <w:lang w:eastAsia="fr-FR"/>
        </w:rPr>
        <w:t>5.3.2.2</w:t>
      </w:r>
      <w:r w:rsidR="009329F0">
        <w:rPr>
          <w:lang w:eastAsia="fr-FR"/>
        </w:rPr>
        <w:fldChar w:fldCharType="end"/>
      </w:r>
      <w:r w:rsidR="009329F0">
        <w:rPr>
          <w:lang w:eastAsia="fr-FR"/>
        </w:rPr>
        <w:t>).</w:t>
      </w:r>
      <w:r w:rsidR="00FD5EE3">
        <w:rPr>
          <w:lang w:eastAsia="fr-FR"/>
        </w:rPr>
        <w:t xml:space="preserve"> However, as the population of fattening pigs is </w:t>
      </w:r>
      <w:r w:rsidR="00A906DA">
        <w:rPr>
          <w:lang w:eastAsia="fr-FR"/>
        </w:rPr>
        <w:t>larger</w:t>
      </w:r>
      <w:r w:rsidR="00AB351E">
        <w:rPr>
          <w:lang w:eastAsia="fr-FR"/>
        </w:rPr>
        <w:t xml:space="preserve">, the emissions related to </w:t>
      </w:r>
      <w:r w:rsidR="00A26383">
        <w:rPr>
          <w:lang w:eastAsia="fr-FR"/>
        </w:rPr>
        <w:t>this livestock contribute to 69% of the share in 1990 and 76% in 2022.</w:t>
      </w:r>
      <w:r w:rsidR="0060026E">
        <w:rPr>
          <w:lang w:eastAsia="fr-FR"/>
        </w:rPr>
        <w:t xml:space="preserve"> Overall, the emissions from this category </w:t>
      </w:r>
      <w:r w:rsidR="00B167D9">
        <w:rPr>
          <w:lang w:eastAsia="fr-FR"/>
        </w:rPr>
        <w:t>have been reduced by 47% for the period 1990-2022.</w:t>
      </w:r>
    </w:p>
    <w:p w14:paraId="19CF7716" w14:textId="60E13E69" w:rsidR="00C92D97" w:rsidRPr="00AE790B" w:rsidRDefault="00DA4B8C" w:rsidP="00535F1D">
      <w:pPr>
        <w:spacing w:after="0"/>
        <w:jc w:val="left"/>
      </w:pPr>
      <w:r>
        <w:rPr>
          <w:noProof/>
          <w:lang w:val="en-US"/>
        </w:rPr>
        <w:drawing>
          <wp:inline distT="0" distB="0" distL="0" distR="0" wp14:anchorId="4414ECCE" wp14:editId="187E8333">
            <wp:extent cx="5760000" cy="1753712"/>
            <wp:effectExtent l="0" t="0" r="0" b="0"/>
            <wp:docPr id="1971870478"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22CB6AD2" w14:textId="77777777" w:rsidR="00535F1D" w:rsidRDefault="00535F1D" w:rsidP="00535F1D">
      <w:pPr>
        <w:pStyle w:val="Caption"/>
        <w:keepNext/>
        <w:spacing w:before="0" w:after="0"/>
        <w:jc w:val="left"/>
        <w:rPr>
          <w:noProof/>
        </w:rPr>
      </w:pPr>
      <w:bookmarkStart w:id="689" w:name="_Toc184808488"/>
      <w:r w:rsidRPr="00622F40">
        <w:t xml:space="preserve">Figure </w:t>
      </w:r>
      <w:r w:rsidRPr="00622F40">
        <w:fldChar w:fldCharType="begin"/>
      </w:r>
      <w:r w:rsidRPr="00622F40">
        <w:instrText xml:space="preserve"> SEQ Figure \* ARABIC </w:instrText>
      </w:r>
      <w:r w:rsidRPr="00622F40">
        <w:fldChar w:fldCharType="separate"/>
      </w:r>
      <w:r>
        <w:rPr>
          <w:noProof/>
        </w:rPr>
        <w:t>101</w:t>
      </w:r>
      <w:r w:rsidRPr="00622F40">
        <w:fldChar w:fldCharType="end"/>
      </w:r>
      <w:r w:rsidRPr="00622F40">
        <w:rPr>
          <w:noProof/>
        </w:rPr>
        <w:t xml:space="preserve"> : N</w:t>
      </w:r>
      <w:r w:rsidRPr="00535F1D">
        <w:rPr>
          <w:noProof/>
          <w:vertAlign w:val="subscript"/>
        </w:rPr>
        <w:t>2</w:t>
      </w:r>
      <w:r w:rsidRPr="00622F40">
        <w:rPr>
          <w:noProof/>
        </w:rPr>
        <w:t>O emissions for manure management of swine (</w:t>
      </w:r>
      <w:r>
        <w:rPr>
          <w:noProof/>
        </w:rPr>
        <w:t>CRT</w:t>
      </w:r>
      <w:r w:rsidRPr="00622F40">
        <w:rPr>
          <w:noProof/>
        </w:rPr>
        <w:t xml:space="preserve"> 3B23) (kt CO</w:t>
      </w:r>
      <w:r w:rsidRPr="00622F40">
        <w:rPr>
          <w:noProof/>
          <w:vertAlign w:val="subscript"/>
        </w:rPr>
        <w:t>2</w:t>
      </w:r>
      <w:r w:rsidRPr="00622F40">
        <w:rPr>
          <w:noProof/>
        </w:rPr>
        <w:t>e)</w:t>
      </w:r>
      <w:bookmarkEnd w:id="689"/>
    </w:p>
    <w:p w14:paraId="7AF17A0C" w14:textId="0AB3A91E" w:rsidR="00B167D9" w:rsidRDefault="00B167D9" w:rsidP="00535F1D">
      <w:pPr>
        <w:spacing w:before="240"/>
      </w:pPr>
      <w:r>
        <w:t>For the other livestock (i.e., horses, goats, poultry)</w:t>
      </w:r>
      <w:r w:rsidR="008073DF">
        <w:t xml:space="preserve">, </w:t>
      </w:r>
      <w:r w:rsidR="008B564E">
        <w:t xml:space="preserve">the emission evolve depending on the population evolution of each animal category, as well as </w:t>
      </w:r>
      <w:r w:rsidR="00A279F1">
        <w:t>the manure produced by each of them. And, for the emissions related to manure management</w:t>
      </w:r>
      <w:r w:rsidR="005E5E83">
        <w:t xml:space="preserve"> of other livestock</w:t>
      </w:r>
      <w:r w:rsidR="00A279F1">
        <w:t xml:space="preserve">, </w:t>
      </w:r>
      <w:r w:rsidR="005E5E83">
        <w:t xml:space="preserve">layers </w:t>
      </w:r>
      <w:r w:rsidR="006C3FD6">
        <w:t xml:space="preserve">are predominant with 94% of the share in 1990 and 90% in 2022. </w:t>
      </w:r>
      <w:r w:rsidR="00B45062">
        <w:t xml:space="preserve">Thus, the emissions from this category evolve principally in relation with the evolution of the population of layers, as presented in </w:t>
      </w:r>
      <w:r w:rsidR="00B45062">
        <w:fldChar w:fldCharType="begin"/>
      </w:r>
      <w:r w:rsidR="00B45062">
        <w:instrText xml:space="preserve"> REF _Ref179204284 \h </w:instrText>
      </w:r>
      <w:r w:rsidR="00B45062">
        <w:fldChar w:fldCharType="separate"/>
      </w:r>
      <w:r w:rsidR="00F14C78" w:rsidRPr="001F0275">
        <w:t xml:space="preserve">Figure </w:t>
      </w:r>
      <w:r w:rsidR="00F14C78">
        <w:rPr>
          <w:noProof/>
        </w:rPr>
        <w:t>91</w:t>
      </w:r>
      <w:r w:rsidR="00B45062">
        <w:fldChar w:fldCharType="end"/>
      </w:r>
      <w:r w:rsidR="00B45062">
        <w:t xml:space="preserve">. </w:t>
      </w:r>
    </w:p>
    <w:p w14:paraId="0AF777B2" w14:textId="074C028B" w:rsidR="00C92D97" w:rsidRDefault="00DA4B8C" w:rsidP="00535F1D">
      <w:pPr>
        <w:spacing w:after="0" w:line="240" w:lineRule="auto"/>
        <w:jc w:val="left"/>
      </w:pPr>
      <w:r>
        <w:rPr>
          <w:noProof/>
          <w:lang w:val="en-US"/>
        </w:rPr>
        <w:lastRenderedPageBreak/>
        <w:drawing>
          <wp:inline distT="0" distB="0" distL="0" distR="0" wp14:anchorId="1659549B" wp14:editId="6E43F79F">
            <wp:extent cx="5760000" cy="1753712"/>
            <wp:effectExtent l="0" t="0" r="0" b="0"/>
            <wp:docPr id="635654346"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4B0FDFCF" w14:textId="77777777" w:rsidR="00535F1D" w:rsidRDefault="00535F1D" w:rsidP="00535F1D">
      <w:pPr>
        <w:pStyle w:val="Caption"/>
        <w:keepNext/>
        <w:spacing w:before="0" w:after="0"/>
        <w:jc w:val="left"/>
        <w:rPr>
          <w:noProof/>
        </w:rPr>
      </w:pPr>
      <w:bookmarkStart w:id="690" w:name="_Toc184808489"/>
      <w:r w:rsidRPr="00622F40">
        <w:t xml:space="preserve">Figure </w:t>
      </w:r>
      <w:r w:rsidRPr="00622F40">
        <w:fldChar w:fldCharType="begin"/>
      </w:r>
      <w:r w:rsidRPr="00622F40">
        <w:instrText xml:space="preserve"> SEQ Figure \* ARABIC </w:instrText>
      </w:r>
      <w:r w:rsidRPr="00622F40">
        <w:fldChar w:fldCharType="separate"/>
      </w:r>
      <w:r>
        <w:rPr>
          <w:noProof/>
        </w:rPr>
        <w:t>102</w:t>
      </w:r>
      <w:r w:rsidRPr="00622F40">
        <w:fldChar w:fldCharType="end"/>
      </w:r>
      <w:r w:rsidRPr="00622F40">
        <w:rPr>
          <w:noProof/>
        </w:rPr>
        <w:t xml:space="preserve"> : N</w:t>
      </w:r>
      <w:r w:rsidRPr="00535F1D">
        <w:rPr>
          <w:noProof/>
          <w:vertAlign w:val="subscript"/>
        </w:rPr>
        <w:t>2</w:t>
      </w:r>
      <w:r w:rsidRPr="00622F40">
        <w:rPr>
          <w:noProof/>
        </w:rPr>
        <w:t>O emissions for manure management of other livestocks (</w:t>
      </w:r>
      <w:r>
        <w:rPr>
          <w:noProof/>
        </w:rPr>
        <w:t>CRT</w:t>
      </w:r>
      <w:r w:rsidRPr="00622F40">
        <w:rPr>
          <w:noProof/>
        </w:rPr>
        <w:t xml:space="preserve"> 3B24) (kt CO</w:t>
      </w:r>
      <w:r w:rsidRPr="00622F40">
        <w:rPr>
          <w:noProof/>
          <w:vertAlign w:val="subscript"/>
        </w:rPr>
        <w:t>2</w:t>
      </w:r>
      <w:r w:rsidRPr="00622F40">
        <w:rPr>
          <w:noProof/>
        </w:rPr>
        <w:t>e)</w:t>
      </w:r>
      <w:bookmarkEnd w:id="690"/>
    </w:p>
    <w:p w14:paraId="7D6C9EAA" w14:textId="77777777" w:rsidR="00535F1D" w:rsidRDefault="00535F1D" w:rsidP="00A32868"/>
    <w:p w14:paraId="6C77EB91" w14:textId="3F6E16C7" w:rsidR="00A32868" w:rsidRDefault="00A32868" w:rsidP="00A32868">
      <w:r>
        <w:t>The indirect N</w:t>
      </w:r>
      <w:r w:rsidRPr="00622F40">
        <w:rPr>
          <w:vertAlign w:val="subscript"/>
        </w:rPr>
        <w:t>2</w:t>
      </w:r>
      <w:r>
        <w:t xml:space="preserve">O emissions from volatilisation are mainly driven by </w:t>
      </w:r>
      <w:r w:rsidR="00827545">
        <w:t>cattle and pigs subcategories</w:t>
      </w:r>
      <w:r w:rsidR="0029367B">
        <w:t xml:space="preserve">, as these animals produce around </w:t>
      </w:r>
      <w:r w:rsidR="00C60D6F">
        <w:t>85% of the</w:t>
      </w:r>
      <w:r w:rsidR="00692560">
        <w:t xml:space="preserve"> N volatilised as</w:t>
      </w:r>
      <w:r w:rsidR="00C60D6F">
        <w:t xml:space="preserve"> NH</w:t>
      </w:r>
      <w:r w:rsidR="00C60D6F" w:rsidRPr="00622F40">
        <w:rPr>
          <w:vertAlign w:val="subscript"/>
        </w:rPr>
        <w:t>3</w:t>
      </w:r>
      <w:r w:rsidR="00C60D6F">
        <w:t xml:space="preserve"> </w:t>
      </w:r>
      <w:r w:rsidR="00692560">
        <w:t xml:space="preserve">and NOx </w:t>
      </w:r>
      <w:r w:rsidR="00C60D6F">
        <w:t xml:space="preserve">(building and storage) for the whole period. </w:t>
      </w:r>
    </w:p>
    <w:p w14:paraId="7A2476AF" w14:textId="1346B553" w:rsidR="00916E55" w:rsidRPr="00AE790B" w:rsidRDefault="00595519" w:rsidP="00535F1D">
      <w:pPr>
        <w:spacing w:after="0"/>
        <w:jc w:val="left"/>
      </w:pPr>
      <w:r>
        <w:rPr>
          <w:noProof/>
          <w:lang w:val="en-US"/>
        </w:rPr>
        <w:drawing>
          <wp:inline distT="0" distB="0" distL="0" distR="0" wp14:anchorId="38E0E262" wp14:editId="0799F3CB">
            <wp:extent cx="5760000" cy="1753712"/>
            <wp:effectExtent l="0" t="0" r="0" b="0"/>
            <wp:docPr id="1038094345"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4B30C200" w14:textId="77777777" w:rsidR="00535F1D" w:rsidRDefault="00535F1D" w:rsidP="00535F1D">
      <w:pPr>
        <w:pStyle w:val="Caption"/>
        <w:keepNext/>
        <w:spacing w:before="0" w:after="0"/>
        <w:jc w:val="left"/>
        <w:rPr>
          <w:noProof/>
        </w:rPr>
      </w:pPr>
      <w:bookmarkStart w:id="691" w:name="_Toc184808490"/>
      <w:r w:rsidRPr="00622F40">
        <w:t xml:space="preserve">Figure </w:t>
      </w:r>
      <w:r w:rsidRPr="00622F40">
        <w:fldChar w:fldCharType="begin"/>
      </w:r>
      <w:r w:rsidRPr="00622F40">
        <w:instrText xml:space="preserve"> SEQ Figure \* ARABIC </w:instrText>
      </w:r>
      <w:r w:rsidRPr="00622F40">
        <w:fldChar w:fldCharType="separate"/>
      </w:r>
      <w:r>
        <w:rPr>
          <w:noProof/>
        </w:rPr>
        <w:t>103</w:t>
      </w:r>
      <w:r w:rsidRPr="00622F40">
        <w:fldChar w:fldCharType="end"/>
      </w:r>
      <w:r w:rsidRPr="00622F40">
        <w:rPr>
          <w:noProof/>
        </w:rPr>
        <w:t xml:space="preserve"> : Indirect N</w:t>
      </w:r>
      <w:r w:rsidRPr="00535F1D">
        <w:rPr>
          <w:noProof/>
          <w:vertAlign w:val="subscript"/>
        </w:rPr>
        <w:t>2</w:t>
      </w:r>
      <w:r w:rsidRPr="00622F40">
        <w:rPr>
          <w:noProof/>
        </w:rPr>
        <w:t>O emissions from volatilisation and leaching in manure management (</w:t>
      </w:r>
      <w:r>
        <w:rPr>
          <w:noProof/>
        </w:rPr>
        <w:t>CRT</w:t>
      </w:r>
      <w:r w:rsidRPr="00622F40">
        <w:rPr>
          <w:noProof/>
        </w:rPr>
        <w:t xml:space="preserve"> 3B25) (kt CO</w:t>
      </w:r>
      <w:r w:rsidRPr="00622F40">
        <w:rPr>
          <w:noProof/>
          <w:vertAlign w:val="subscript"/>
        </w:rPr>
        <w:t>2</w:t>
      </w:r>
      <w:r w:rsidRPr="00622F40">
        <w:rPr>
          <w:noProof/>
        </w:rPr>
        <w:t>e)</w:t>
      </w:r>
      <w:bookmarkEnd w:id="691"/>
    </w:p>
    <w:p w14:paraId="3BE494E4" w14:textId="77777777" w:rsidR="00535F1D" w:rsidRDefault="00535F1D" w:rsidP="009E0457">
      <w:pPr>
        <w:pStyle w:val="BodyText"/>
        <w:rPr>
          <w:lang w:eastAsia="fr-FR"/>
        </w:rPr>
      </w:pPr>
    </w:p>
    <w:p w14:paraId="0B6E5CD6" w14:textId="3CA48BB4" w:rsidR="00214CCB" w:rsidRDefault="007B2433" w:rsidP="009E0457">
      <w:pPr>
        <w:pStyle w:val="BodyText"/>
        <w:rPr>
          <w:lang w:eastAsia="fr-FR"/>
        </w:rPr>
      </w:pPr>
      <w:r w:rsidRPr="002462F0">
        <w:rPr>
          <w:lang w:eastAsia="fr-FR"/>
        </w:rPr>
        <w:t xml:space="preserve">In </w:t>
      </w:r>
      <w:r w:rsidR="004D6B91">
        <w:rPr>
          <w:lang w:eastAsia="fr-FR"/>
        </w:rPr>
        <w:t>2022</w:t>
      </w:r>
      <w:r w:rsidRPr="002462F0">
        <w:rPr>
          <w:lang w:eastAsia="fr-FR"/>
        </w:rPr>
        <w:t xml:space="preserve">, </w:t>
      </w:r>
      <w:r w:rsidR="008B6528">
        <w:rPr>
          <w:lang w:eastAsia="fr-FR"/>
        </w:rPr>
        <w:t>only N</w:t>
      </w:r>
      <w:r w:rsidR="008B6528" w:rsidRPr="00622F40">
        <w:rPr>
          <w:vertAlign w:val="subscript"/>
          <w:lang w:eastAsia="fr-FR"/>
        </w:rPr>
        <w:t>2</w:t>
      </w:r>
      <w:r w:rsidR="008B6528">
        <w:rPr>
          <w:lang w:eastAsia="fr-FR"/>
        </w:rPr>
        <w:t xml:space="preserve">O emissions from manure management for swine (CRT 3B23) is a key category in emission level in </w:t>
      </w:r>
      <w:r w:rsidR="008A6160">
        <w:rPr>
          <w:lang w:eastAsia="fr-FR"/>
        </w:rPr>
        <w:t>the Republic</w:t>
      </w:r>
      <w:r w:rsidRPr="002462F0">
        <w:rPr>
          <w:lang w:eastAsia="fr-FR"/>
        </w:rPr>
        <w:t xml:space="preserve"> </w:t>
      </w:r>
      <w:r w:rsidR="008A6160">
        <w:rPr>
          <w:lang w:eastAsia="fr-FR"/>
        </w:rPr>
        <w:t>of Serbia, contributing to 0.3% (rank 38)</w:t>
      </w:r>
      <w:r w:rsidR="00C73861">
        <w:rPr>
          <w:lang w:eastAsia="fr-FR"/>
        </w:rPr>
        <w:t xml:space="preserve"> in the national totals</w:t>
      </w:r>
      <w:r w:rsidR="008A6160">
        <w:rPr>
          <w:lang w:eastAsia="fr-FR"/>
        </w:rPr>
        <w:t>. If the emissions from cattle were consider</w:t>
      </w:r>
      <w:r w:rsidR="00FE7235">
        <w:rPr>
          <w:lang w:eastAsia="fr-FR"/>
        </w:rPr>
        <w:t>ed</w:t>
      </w:r>
      <w:r w:rsidR="008A6160">
        <w:rPr>
          <w:lang w:eastAsia="fr-FR"/>
        </w:rPr>
        <w:t xml:space="preserve"> </w:t>
      </w:r>
      <w:r w:rsidR="00214CCB">
        <w:rPr>
          <w:lang w:eastAsia="fr-FR"/>
        </w:rPr>
        <w:t>aggregating</w:t>
      </w:r>
      <w:r w:rsidR="008A6160">
        <w:rPr>
          <w:lang w:eastAsia="fr-FR"/>
        </w:rPr>
        <w:t xml:space="preserve"> dairy and other cattle</w:t>
      </w:r>
      <w:r w:rsidR="00214CCB">
        <w:rPr>
          <w:lang w:eastAsia="fr-FR"/>
        </w:rPr>
        <w:t>, it would also be a key category in emission level.</w:t>
      </w:r>
    </w:p>
    <w:p w14:paraId="52604CD9" w14:textId="5D154EAE" w:rsidR="007B2433" w:rsidRPr="00622F40" w:rsidRDefault="00214CCB" w:rsidP="009E0457">
      <w:pPr>
        <w:pStyle w:val="BodyText"/>
        <w:rPr>
          <w:lang w:eastAsia="fr-FR"/>
        </w:rPr>
      </w:pPr>
      <w:r>
        <w:rPr>
          <w:lang w:eastAsia="fr-FR"/>
        </w:rPr>
        <w:t xml:space="preserve">In terms of emission trend, in 2022, </w:t>
      </w:r>
      <w:r w:rsidR="005D10AF">
        <w:rPr>
          <w:lang w:eastAsia="fr-FR"/>
        </w:rPr>
        <w:t>the N</w:t>
      </w:r>
      <w:r w:rsidR="005D10AF" w:rsidRPr="00622F40">
        <w:rPr>
          <w:vertAlign w:val="subscript"/>
          <w:lang w:eastAsia="fr-FR"/>
        </w:rPr>
        <w:t>2</w:t>
      </w:r>
      <w:r w:rsidR="005D10AF">
        <w:rPr>
          <w:lang w:eastAsia="fr-FR"/>
        </w:rPr>
        <w:t>O</w:t>
      </w:r>
      <w:r w:rsidR="008A6160">
        <w:rPr>
          <w:lang w:eastAsia="fr-FR"/>
        </w:rPr>
        <w:t xml:space="preserve"> </w:t>
      </w:r>
      <w:r w:rsidR="005D10AF">
        <w:rPr>
          <w:lang w:eastAsia="fr-FR"/>
        </w:rPr>
        <w:t>emissions from manure management of swine (CRT 3B23)</w:t>
      </w:r>
      <w:r w:rsidR="005D10AF" w:rsidRPr="002462F0" w:rsidDel="00214CCB">
        <w:rPr>
          <w:lang w:eastAsia="fr-FR"/>
        </w:rPr>
        <w:t xml:space="preserve"> </w:t>
      </w:r>
      <w:r w:rsidR="005D10AF">
        <w:rPr>
          <w:lang w:eastAsia="fr-FR"/>
        </w:rPr>
        <w:t xml:space="preserve">and </w:t>
      </w:r>
      <w:r w:rsidR="00C73861">
        <w:rPr>
          <w:lang w:eastAsia="fr-FR"/>
        </w:rPr>
        <w:t xml:space="preserve">dairy cattle (CRT 3B21a) are key categories, contributing respectively to </w:t>
      </w:r>
      <w:r w:rsidR="00F55C1D">
        <w:rPr>
          <w:lang w:eastAsia="fr-FR"/>
        </w:rPr>
        <w:t xml:space="preserve">0.3% (rank 54) and 0.2% (rank 56) in the national totals. </w:t>
      </w:r>
    </w:p>
    <w:p w14:paraId="5370F473" w14:textId="6341A971" w:rsidR="007B2433" w:rsidRDefault="007B2433" w:rsidP="007B2433">
      <w:pPr>
        <w:pStyle w:val="Titre4Bleu"/>
        <w:rPr>
          <w:lang w:val="en-GB" w:eastAsia="fr-FR"/>
        </w:rPr>
      </w:pPr>
      <w:bookmarkStart w:id="692" w:name="_Ref179202033"/>
      <w:bookmarkStart w:id="693" w:name="_Toc182327918"/>
      <w:r w:rsidRPr="002462F0">
        <w:rPr>
          <w:lang w:eastAsia="fr-FR"/>
        </w:rPr>
        <w:t>Methodological issues</w:t>
      </w:r>
      <w:bookmarkEnd w:id="692"/>
      <w:bookmarkEnd w:id="693"/>
      <w:r w:rsidRPr="002462F0">
        <w:rPr>
          <w:lang w:val="en-GB" w:eastAsia="fr-FR"/>
        </w:rPr>
        <w:t xml:space="preserve"> </w:t>
      </w:r>
    </w:p>
    <w:p w14:paraId="357E68F8" w14:textId="4C6EA1D9" w:rsidR="00916E55" w:rsidRPr="0003002C" w:rsidRDefault="00916E55" w:rsidP="00916E55">
      <w:pPr>
        <w:pStyle w:val="BodyText"/>
        <w:rPr>
          <w:lang w:val="en-US" w:eastAsia="fr-FR"/>
        </w:rPr>
      </w:pPr>
      <w:r w:rsidRPr="0003002C">
        <w:rPr>
          <w:lang w:val="en-US" w:eastAsia="fr-FR"/>
        </w:rPr>
        <w:t xml:space="preserve">Emissions of </w:t>
      </w:r>
      <w:r w:rsidR="0003002C" w:rsidRPr="0003002C">
        <w:rPr>
          <w:lang w:val="en-US" w:eastAsia="fr-FR"/>
        </w:rPr>
        <w:t>N</w:t>
      </w:r>
      <w:r w:rsidR="0003002C" w:rsidRPr="0003002C">
        <w:rPr>
          <w:vertAlign w:val="subscript"/>
          <w:lang w:val="en-US" w:eastAsia="fr-FR"/>
        </w:rPr>
        <w:t>2</w:t>
      </w:r>
      <w:r w:rsidR="0003002C" w:rsidRPr="0003002C">
        <w:rPr>
          <w:lang w:val="en-US" w:eastAsia="fr-FR"/>
        </w:rPr>
        <w:t>O</w:t>
      </w:r>
      <w:r w:rsidRPr="0003002C">
        <w:rPr>
          <w:lang w:val="en-US" w:eastAsia="fr-FR"/>
        </w:rPr>
        <w:t xml:space="preserve"> from </w:t>
      </w:r>
      <w:r w:rsidR="0003002C" w:rsidRPr="0003002C">
        <w:rPr>
          <w:lang w:val="en-US" w:eastAsia="fr-FR"/>
        </w:rPr>
        <w:t>manure management</w:t>
      </w:r>
      <w:r w:rsidRPr="0003002C">
        <w:rPr>
          <w:lang w:val="en-US" w:eastAsia="fr-FR"/>
        </w:rPr>
        <w:t xml:space="preserve"> are calculated with a Tier 1 approach which is in line with the 2006 IPCC Guidelines</w:t>
      </w:r>
      <w:r w:rsidR="0003002C" w:rsidRPr="0003002C">
        <w:rPr>
          <w:lang w:val="en-US" w:eastAsia="fr-FR"/>
        </w:rPr>
        <w:t xml:space="preserve"> </w:t>
      </w:r>
      <w:r w:rsidR="0003002C" w:rsidRPr="0003002C">
        <w:rPr>
          <w:lang w:val="en-US" w:eastAsia="fr-FR"/>
        </w:rPr>
        <w:fldChar w:fldCharType="begin"/>
      </w:r>
      <w:r w:rsidR="0003002C" w:rsidRPr="0003002C">
        <w:rPr>
          <w:lang w:val="en-US" w:eastAsia="fr-FR"/>
        </w:rPr>
        <w:instrText xml:space="preserve"> REF _Ref496774874 \r \h </w:instrText>
      </w:r>
      <w:r w:rsidR="0003002C">
        <w:rPr>
          <w:lang w:val="en-US" w:eastAsia="fr-FR"/>
        </w:rPr>
        <w:instrText xml:space="preserve"> \* MERGEFORMAT </w:instrText>
      </w:r>
      <w:r w:rsidR="0003002C" w:rsidRPr="0003002C">
        <w:rPr>
          <w:lang w:val="en-US" w:eastAsia="fr-FR"/>
        </w:rPr>
      </w:r>
      <w:r w:rsidR="0003002C" w:rsidRPr="0003002C">
        <w:rPr>
          <w:lang w:val="en-US" w:eastAsia="fr-FR"/>
        </w:rPr>
        <w:fldChar w:fldCharType="separate"/>
      </w:r>
      <w:r w:rsidR="00F14C78">
        <w:rPr>
          <w:lang w:val="en-US" w:eastAsia="fr-FR"/>
        </w:rPr>
        <w:t>[A7]</w:t>
      </w:r>
      <w:r w:rsidR="0003002C" w:rsidRPr="0003002C">
        <w:rPr>
          <w:lang w:val="en-US" w:eastAsia="fr-FR"/>
        </w:rPr>
        <w:fldChar w:fldCharType="end"/>
      </w:r>
      <w:r w:rsidRPr="0003002C">
        <w:rPr>
          <w:lang w:val="en-US" w:eastAsia="fr-FR"/>
        </w:rPr>
        <w:t xml:space="preserve">. </w:t>
      </w:r>
    </w:p>
    <w:p w14:paraId="4D8DC364" w14:textId="2B908189" w:rsidR="00916E55" w:rsidRPr="0003002C" w:rsidRDefault="00916E55" w:rsidP="00916E55">
      <w:pPr>
        <w:pStyle w:val="BodyText"/>
        <w:rPr>
          <w:lang w:val="en-US" w:eastAsia="fr-FR"/>
        </w:rPr>
      </w:pPr>
      <w:r w:rsidRPr="0003002C">
        <w:rPr>
          <w:lang w:val="en-US" w:eastAsia="fr-FR"/>
        </w:rPr>
        <w:t xml:space="preserve">Activity data used </w:t>
      </w:r>
      <w:r w:rsidR="003D30D7">
        <w:rPr>
          <w:lang w:val="en-US" w:eastAsia="fr-FR"/>
        </w:rPr>
        <w:t>are</w:t>
      </w:r>
      <w:r w:rsidR="003D30D7" w:rsidRPr="0003002C">
        <w:rPr>
          <w:lang w:val="en-US" w:eastAsia="fr-FR"/>
        </w:rPr>
        <w:t xml:space="preserve"> </w:t>
      </w:r>
      <w:r w:rsidRPr="0003002C">
        <w:rPr>
          <w:lang w:val="en-US" w:eastAsia="fr-FR"/>
        </w:rPr>
        <w:t xml:space="preserve">annual livestock (average population in heads). These activity data for the entire time series </w:t>
      </w:r>
      <w:r w:rsidR="00440E68">
        <w:rPr>
          <w:lang w:val="en-US" w:eastAsia="fr-FR"/>
        </w:rPr>
        <w:t>are sourced</w:t>
      </w:r>
      <w:r w:rsidRPr="0003002C">
        <w:rPr>
          <w:lang w:val="en-US" w:eastAsia="fr-FR"/>
        </w:rPr>
        <w:t xml:space="preserve"> from the Serbian Statistical Yearbook </w:t>
      </w:r>
      <w:r w:rsidRPr="0003002C">
        <w:rPr>
          <w:lang w:val="en-US" w:eastAsia="fr-FR"/>
        </w:rPr>
        <w:fldChar w:fldCharType="begin"/>
      </w:r>
      <w:r w:rsidRPr="0003002C">
        <w:rPr>
          <w:lang w:val="en-US" w:eastAsia="fr-FR"/>
        </w:rPr>
        <w:instrText xml:space="preserve"> REF _Ref496713080 \r \h  \* MERGEFORMAT </w:instrText>
      </w:r>
      <w:r w:rsidRPr="0003002C">
        <w:rPr>
          <w:lang w:val="en-US" w:eastAsia="fr-FR"/>
        </w:rPr>
      </w:r>
      <w:r w:rsidRPr="0003002C">
        <w:rPr>
          <w:lang w:val="en-US" w:eastAsia="fr-FR"/>
        </w:rPr>
        <w:fldChar w:fldCharType="separate"/>
      </w:r>
      <w:r w:rsidR="00F14C78">
        <w:rPr>
          <w:lang w:val="en-US" w:eastAsia="fr-FR"/>
        </w:rPr>
        <w:t>[A2]</w:t>
      </w:r>
      <w:r w:rsidRPr="0003002C">
        <w:rPr>
          <w:lang w:val="en-US" w:eastAsia="fr-FR"/>
        </w:rPr>
        <w:fldChar w:fldCharType="end"/>
      </w:r>
      <w:r w:rsidRPr="0003002C">
        <w:rPr>
          <w:lang w:val="en-US" w:eastAsia="fr-FR"/>
        </w:rPr>
        <w:t>. Th</w:t>
      </w:r>
      <w:r w:rsidR="003D30D7">
        <w:rPr>
          <w:lang w:val="en-US" w:eastAsia="fr-FR"/>
        </w:rPr>
        <w:t>e</w:t>
      </w:r>
      <w:r w:rsidRPr="0003002C">
        <w:rPr>
          <w:lang w:val="en-US" w:eastAsia="fr-FR"/>
        </w:rPr>
        <w:t xml:space="preserve"> activity data </w:t>
      </w:r>
      <w:r w:rsidR="003D30D7">
        <w:rPr>
          <w:lang w:val="en-US" w:eastAsia="fr-FR"/>
        </w:rPr>
        <w:t xml:space="preserve">are </w:t>
      </w:r>
      <w:r w:rsidRPr="0003002C">
        <w:rPr>
          <w:lang w:val="en-US" w:eastAsia="fr-FR"/>
        </w:rPr>
        <w:t xml:space="preserve">then split by manure management system </w:t>
      </w:r>
      <w:r w:rsidR="0003002C" w:rsidRPr="0003002C">
        <w:rPr>
          <w:lang w:val="en-US" w:eastAsia="fr-FR"/>
        </w:rPr>
        <w:t xml:space="preserve">and also consider the typical mass of each type of livestock </w:t>
      </w:r>
      <w:r w:rsidRPr="0003002C">
        <w:rPr>
          <w:lang w:val="en-US" w:eastAsia="fr-FR"/>
        </w:rPr>
        <w:t>based on the 20</w:t>
      </w:r>
      <w:r w:rsidR="000B4E2C">
        <w:rPr>
          <w:lang w:val="en-US" w:eastAsia="fr-FR"/>
        </w:rPr>
        <w:t>19</w:t>
      </w:r>
      <w:r w:rsidRPr="0003002C">
        <w:rPr>
          <w:lang w:val="en-US" w:eastAsia="fr-FR"/>
        </w:rPr>
        <w:t xml:space="preserve"> IPCC Guidelines </w:t>
      </w:r>
      <w:r w:rsidR="00812333">
        <w:rPr>
          <w:lang w:val="en-US" w:eastAsia="fr-FR"/>
        </w:rPr>
        <w:t>default values</w:t>
      </w:r>
      <w:r w:rsidR="00AD62CD">
        <w:rPr>
          <w:lang w:val="en-US" w:eastAsia="fr-FR"/>
        </w:rPr>
        <w:t xml:space="preserve"> </w:t>
      </w:r>
      <w:r w:rsidR="00AD62CD">
        <w:rPr>
          <w:lang w:val="en-US" w:eastAsia="fr-FR"/>
        </w:rPr>
        <w:fldChar w:fldCharType="begin"/>
      </w:r>
      <w:r w:rsidR="00AD62CD">
        <w:rPr>
          <w:lang w:val="en-US" w:eastAsia="fr-FR"/>
        </w:rPr>
        <w:instrText xml:space="preserve"> REF _Ref181803003 \r \h </w:instrText>
      </w:r>
      <w:r w:rsidR="00AD62CD">
        <w:rPr>
          <w:lang w:val="en-US" w:eastAsia="fr-FR"/>
        </w:rPr>
      </w:r>
      <w:r w:rsidR="00AD62CD">
        <w:rPr>
          <w:lang w:val="en-US" w:eastAsia="fr-FR"/>
        </w:rPr>
        <w:fldChar w:fldCharType="separate"/>
      </w:r>
      <w:r w:rsidR="00F14C78">
        <w:rPr>
          <w:lang w:val="en-US" w:eastAsia="fr-FR"/>
        </w:rPr>
        <w:t>[A20]</w:t>
      </w:r>
      <w:r w:rsidR="00AD62CD">
        <w:rPr>
          <w:lang w:val="en-US" w:eastAsia="fr-FR"/>
        </w:rPr>
        <w:fldChar w:fldCharType="end"/>
      </w:r>
      <w:r w:rsidR="0003002C" w:rsidRPr="0003002C">
        <w:rPr>
          <w:lang w:val="en-US" w:eastAsia="fr-FR"/>
        </w:rPr>
        <w:t>.</w:t>
      </w:r>
    </w:p>
    <w:p w14:paraId="528DB03D" w14:textId="476B8C54" w:rsidR="00916E55" w:rsidRPr="0003002C" w:rsidRDefault="00916E55" w:rsidP="00916E55">
      <w:pPr>
        <w:pStyle w:val="BodyText"/>
        <w:rPr>
          <w:lang w:val="en-US" w:eastAsia="fr-FR"/>
        </w:rPr>
      </w:pPr>
      <w:r w:rsidRPr="0003002C">
        <w:rPr>
          <w:lang w:val="en-US" w:eastAsia="fr-FR"/>
        </w:rPr>
        <w:t xml:space="preserve">Emissions factors </w:t>
      </w:r>
      <w:r w:rsidR="008A2EF0">
        <w:rPr>
          <w:lang w:val="en-US" w:eastAsia="fr-FR"/>
        </w:rPr>
        <w:t xml:space="preserve">and all parameters </w:t>
      </w:r>
      <w:r w:rsidRPr="0003002C">
        <w:rPr>
          <w:lang w:val="en-US" w:eastAsia="fr-FR"/>
        </w:rPr>
        <w:t xml:space="preserve">used for calculating </w:t>
      </w:r>
      <w:r w:rsidR="0003002C" w:rsidRPr="0003002C">
        <w:rPr>
          <w:lang w:val="en-US" w:eastAsia="fr-FR"/>
        </w:rPr>
        <w:t>N</w:t>
      </w:r>
      <w:r w:rsidR="0003002C" w:rsidRPr="0003002C">
        <w:rPr>
          <w:vertAlign w:val="subscript"/>
          <w:lang w:val="en-US" w:eastAsia="fr-FR"/>
        </w:rPr>
        <w:t>2</w:t>
      </w:r>
      <w:r w:rsidR="0003002C" w:rsidRPr="0003002C">
        <w:rPr>
          <w:lang w:val="en-US" w:eastAsia="fr-FR"/>
        </w:rPr>
        <w:t>O</w:t>
      </w:r>
      <w:r w:rsidRPr="0003002C">
        <w:rPr>
          <w:lang w:val="en-US" w:eastAsia="fr-FR"/>
        </w:rPr>
        <w:t xml:space="preserve"> emissions </w:t>
      </w:r>
      <w:r w:rsidR="00BD54F7">
        <w:rPr>
          <w:lang w:val="en-US" w:eastAsia="fr-FR"/>
        </w:rPr>
        <w:t xml:space="preserve">are based on the </w:t>
      </w:r>
      <w:r w:rsidRPr="0003002C">
        <w:rPr>
          <w:lang w:val="en-US" w:eastAsia="fr-FR"/>
        </w:rPr>
        <w:t>20</w:t>
      </w:r>
      <w:r w:rsidR="008A2EF0">
        <w:rPr>
          <w:lang w:val="en-US" w:eastAsia="fr-FR"/>
        </w:rPr>
        <w:t>19</w:t>
      </w:r>
      <w:r w:rsidRPr="0003002C">
        <w:rPr>
          <w:lang w:val="en-US" w:eastAsia="fr-FR"/>
        </w:rPr>
        <w:t xml:space="preserve"> IPCC guidelines</w:t>
      </w:r>
      <w:r w:rsidR="00AD62CD">
        <w:rPr>
          <w:lang w:val="en-US" w:eastAsia="fr-FR"/>
        </w:rPr>
        <w:t xml:space="preserve"> </w:t>
      </w:r>
      <w:r w:rsidR="00AD62CD">
        <w:rPr>
          <w:lang w:val="en-US" w:eastAsia="fr-FR"/>
        </w:rPr>
        <w:fldChar w:fldCharType="begin"/>
      </w:r>
      <w:r w:rsidR="00AD62CD">
        <w:rPr>
          <w:lang w:val="en-US" w:eastAsia="fr-FR"/>
        </w:rPr>
        <w:instrText xml:space="preserve"> REF _Ref181803003 \r \h </w:instrText>
      </w:r>
      <w:r w:rsidR="00AD62CD">
        <w:rPr>
          <w:lang w:val="en-US" w:eastAsia="fr-FR"/>
        </w:rPr>
      </w:r>
      <w:r w:rsidR="00AD62CD">
        <w:rPr>
          <w:lang w:val="en-US" w:eastAsia="fr-FR"/>
        </w:rPr>
        <w:fldChar w:fldCharType="separate"/>
      </w:r>
      <w:r w:rsidR="00F14C78">
        <w:rPr>
          <w:lang w:val="en-US" w:eastAsia="fr-FR"/>
        </w:rPr>
        <w:t>[A20]</w:t>
      </w:r>
      <w:r w:rsidR="00AD62CD">
        <w:rPr>
          <w:lang w:val="en-US" w:eastAsia="fr-FR"/>
        </w:rPr>
        <w:fldChar w:fldCharType="end"/>
      </w:r>
      <w:r w:rsidRPr="0003002C">
        <w:rPr>
          <w:lang w:val="en-US" w:eastAsia="fr-FR"/>
        </w:rPr>
        <w:t>.</w:t>
      </w:r>
      <w:r w:rsidR="00DE1E56">
        <w:rPr>
          <w:lang w:val="en-US" w:eastAsia="fr-FR"/>
        </w:rPr>
        <w:t xml:space="preserve"> </w:t>
      </w:r>
      <w:r w:rsidR="008A2EF0">
        <w:rPr>
          <w:lang w:val="en-US" w:eastAsia="fr-FR"/>
        </w:rPr>
        <w:t>The</w:t>
      </w:r>
      <w:r w:rsidR="00364EBD">
        <w:rPr>
          <w:lang w:val="en-US" w:eastAsia="fr-FR"/>
        </w:rPr>
        <w:t xml:space="preserve"> values used </w:t>
      </w:r>
      <w:r w:rsidR="00EE2A94">
        <w:rPr>
          <w:lang w:val="en-US" w:eastAsia="fr-FR"/>
        </w:rPr>
        <w:t>are</w:t>
      </w:r>
      <w:r w:rsidR="00127CBA">
        <w:rPr>
          <w:lang w:val="en-US" w:eastAsia="fr-FR"/>
        </w:rPr>
        <w:t xml:space="preserve"> </w:t>
      </w:r>
      <w:r w:rsidR="000759B4">
        <w:rPr>
          <w:lang w:val="en-US" w:eastAsia="fr-FR"/>
        </w:rPr>
        <w:t xml:space="preserve">presented in the following tables. The fraction of manure management system used per livestock category are the same as the ones used for the methane emissions, presented in </w:t>
      </w:r>
      <w:r w:rsidR="000759B4">
        <w:rPr>
          <w:lang w:val="en-US" w:eastAsia="fr-FR"/>
        </w:rPr>
        <w:fldChar w:fldCharType="begin"/>
      </w:r>
      <w:r w:rsidR="000759B4">
        <w:rPr>
          <w:lang w:val="en-US" w:eastAsia="fr-FR"/>
        </w:rPr>
        <w:instrText xml:space="preserve"> REF _Ref179195644 \h </w:instrText>
      </w:r>
      <w:r w:rsidR="000759B4">
        <w:rPr>
          <w:lang w:val="en-US" w:eastAsia="fr-FR"/>
        </w:rPr>
      </w:r>
      <w:r w:rsidR="000759B4">
        <w:rPr>
          <w:lang w:val="en-US" w:eastAsia="fr-FR"/>
        </w:rPr>
        <w:fldChar w:fldCharType="separate"/>
      </w:r>
      <w:r w:rsidR="00F14C78">
        <w:t xml:space="preserve">Table </w:t>
      </w:r>
      <w:r w:rsidR="00F14C78">
        <w:rPr>
          <w:noProof/>
        </w:rPr>
        <w:t>22</w:t>
      </w:r>
      <w:r w:rsidR="000759B4">
        <w:rPr>
          <w:lang w:val="en-US" w:eastAsia="fr-FR"/>
        </w:rPr>
        <w:fldChar w:fldCharType="end"/>
      </w:r>
      <w:r w:rsidR="000759B4">
        <w:rPr>
          <w:lang w:val="en-US" w:eastAsia="fr-FR"/>
        </w:rPr>
        <w:t>.</w:t>
      </w:r>
    </w:p>
    <w:p w14:paraId="2F9D86D5" w14:textId="5C161BEC" w:rsidR="000759B4" w:rsidRDefault="000759B4" w:rsidP="000759B4">
      <w:pPr>
        <w:pStyle w:val="Caption"/>
        <w:keepNext/>
      </w:pPr>
      <w:bookmarkStart w:id="694" w:name="_Toc184808571"/>
      <w:r>
        <w:lastRenderedPageBreak/>
        <w:t xml:space="preserve">Table </w:t>
      </w:r>
      <w:r>
        <w:fldChar w:fldCharType="begin"/>
      </w:r>
      <w:r>
        <w:instrText xml:space="preserve"> SEQ Table \* ARABIC </w:instrText>
      </w:r>
      <w:r>
        <w:fldChar w:fldCharType="separate"/>
      </w:r>
      <w:r w:rsidR="00F14C78">
        <w:rPr>
          <w:noProof/>
        </w:rPr>
        <w:t>28</w:t>
      </w:r>
      <w:r>
        <w:fldChar w:fldCharType="end"/>
      </w:r>
      <w:r>
        <w:t xml:space="preserve">: </w:t>
      </w:r>
      <w:r w:rsidR="00922994">
        <w:t>Typical animal mass per livestock category (in kg/animal)</w:t>
      </w:r>
      <w:r>
        <w:t>, from 20</w:t>
      </w:r>
      <w:r w:rsidR="0017328C">
        <w:t>19</w:t>
      </w:r>
      <w:r>
        <w:t xml:space="preserve"> IPCC Guidelines, used in Serbian inventory</w:t>
      </w:r>
      <w:bookmarkEnd w:id="694"/>
    </w:p>
    <w:tbl>
      <w:tblPr>
        <w:tblStyle w:val="TableGrid"/>
        <w:tblW w:w="0" w:type="auto"/>
        <w:tblLook w:val="04A0" w:firstRow="1" w:lastRow="0" w:firstColumn="1" w:lastColumn="0" w:noHBand="0" w:noVBand="1"/>
      </w:tblPr>
      <w:tblGrid>
        <w:gridCol w:w="3118"/>
        <w:gridCol w:w="2263"/>
      </w:tblGrid>
      <w:tr w:rsidR="000759B4" w14:paraId="4A1D8A75" w14:textId="77777777" w:rsidTr="00F53C04">
        <w:tc>
          <w:tcPr>
            <w:tcW w:w="3118" w:type="dxa"/>
            <w:shd w:val="clear" w:color="auto" w:fill="B8CCE4" w:themeFill="accent1" w:themeFillTint="66"/>
          </w:tcPr>
          <w:p w14:paraId="494A5E3D" w14:textId="77777777" w:rsidR="000759B4" w:rsidRPr="001F0275" w:rsidRDefault="000759B4">
            <w:pPr>
              <w:pStyle w:val="BodyText"/>
              <w:jc w:val="center"/>
              <w:rPr>
                <w:b/>
                <w:bCs/>
                <w:lang w:val="en-US" w:eastAsia="fr-FR"/>
              </w:rPr>
            </w:pPr>
            <w:r w:rsidRPr="001F0275">
              <w:rPr>
                <w:b/>
                <w:bCs/>
                <w:lang w:val="en-US" w:eastAsia="fr-FR"/>
              </w:rPr>
              <w:t>Livestock category</w:t>
            </w:r>
          </w:p>
        </w:tc>
        <w:tc>
          <w:tcPr>
            <w:tcW w:w="2263" w:type="dxa"/>
            <w:shd w:val="clear" w:color="auto" w:fill="B8CCE4" w:themeFill="accent1" w:themeFillTint="66"/>
          </w:tcPr>
          <w:p w14:paraId="450E213A" w14:textId="40DE3018" w:rsidR="000759B4" w:rsidRPr="001F0275" w:rsidRDefault="00922994">
            <w:pPr>
              <w:pStyle w:val="BodyText"/>
              <w:jc w:val="center"/>
              <w:rPr>
                <w:b/>
                <w:bCs/>
                <w:lang w:val="en-US" w:eastAsia="fr-FR"/>
              </w:rPr>
            </w:pPr>
            <w:r>
              <w:rPr>
                <w:b/>
                <w:bCs/>
                <w:lang w:val="en-US" w:eastAsia="fr-FR"/>
              </w:rPr>
              <w:t>TAM</w:t>
            </w:r>
            <w:r w:rsidR="000759B4" w:rsidRPr="001F0275">
              <w:rPr>
                <w:b/>
                <w:bCs/>
                <w:lang w:val="en-US" w:eastAsia="fr-FR"/>
              </w:rPr>
              <w:t xml:space="preserve"> (</w:t>
            </w:r>
            <w:r w:rsidR="000759B4">
              <w:rPr>
                <w:b/>
                <w:bCs/>
                <w:lang w:val="en-US" w:eastAsia="fr-FR"/>
              </w:rPr>
              <w:t>kg/animal</w:t>
            </w:r>
            <w:r w:rsidR="000759B4" w:rsidRPr="001F0275">
              <w:rPr>
                <w:b/>
                <w:bCs/>
                <w:lang w:val="en-US" w:eastAsia="fr-FR"/>
              </w:rPr>
              <w:t>)</w:t>
            </w:r>
          </w:p>
        </w:tc>
      </w:tr>
      <w:tr w:rsidR="00865DB0" w14:paraId="3B6457A1" w14:textId="77777777" w:rsidTr="00F53C04">
        <w:tc>
          <w:tcPr>
            <w:tcW w:w="3118" w:type="dxa"/>
          </w:tcPr>
          <w:p w14:paraId="6A5582EB" w14:textId="77777777" w:rsidR="000759B4" w:rsidRDefault="000759B4">
            <w:pPr>
              <w:pStyle w:val="BodyText"/>
              <w:jc w:val="center"/>
              <w:rPr>
                <w:lang w:val="en-US" w:eastAsia="fr-FR"/>
              </w:rPr>
            </w:pPr>
            <w:r>
              <w:rPr>
                <w:lang w:val="en-US" w:eastAsia="fr-FR"/>
              </w:rPr>
              <w:t>Dairy cattle</w:t>
            </w:r>
          </w:p>
        </w:tc>
        <w:tc>
          <w:tcPr>
            <w:tcW w:w="2263" w:type="dxa"/>
          </w:tcPr>
          <w:p w14:paraId="6D8C5818" w14:textId="30D03BA2" w:rsidR="000759B4" w:rsidRDefault="00922994">
            <w:pPr>
              <w:pStyle w:val="BodyText"/>
              <w:jc w:val="center"/>
              <w:rPr>
                <w:lang w:val="en-US" w:eastAsia="fr-FR"/>
              </w:rPr>
            </w:pPr>
            <w:r>
              <w:rPr>
                <w:lang w:val="en-US" w:eastAsia="fr-FR"/>
              </w:rPr>
              <w:t>550</w:t>
            </w:r>
          </w:p>
        </w:tc>
      </w:tr>
      <w:tr w:rsidR="00865DB0" w14:paraId="6DEDD6CC" w14:textId="77777777" w:rsidTr="00F53C04">
        <w:tc>
          <w:tcPr>
            <w:tcW w:w="3118" w:type="dxa"/>
          </w:tcPr>
          <w:p w14:paraId="2F1B9D9E" w14:textId="77777777" w:rsidR="000759B4" w:rsidRDefault="000759B4">
            <w:pPr>
              <w:pStyle w:val="BodyText"/>
              <w:jc w:val="center"/>
              <w:rPr>
                <w:lang w:val="en-US" w:eastAsia="fr-FR"/>
              </w:rPr>
            </w:pPr>
            <w:r>
              <w:rPr>
                <w:lang w:val="en-US" w:eastAsia="fr-FR"/>
              </w:rPr>
              <w:t>Other cattle</w:t>
            </w:r>
          </w:p>
        </w:tc>
        <w:tc>
          <w:tcPr>
            <w:tcW w:w="2263" w:type="dxa"/>
          </w:tcPr>
          <w:p w14:paraId="517A8645" w14:textId="06EDCA48" w:rsidR="000759B4" w:rsidRDefault="00922994">
            <w:pPr>
              <w:pStyle w:val="BodyText"/>
              <w:jc w:val="center"/>
              <w:rPr>
                <w:lang w:val="en-US" w:eastAsia="fr-FR"/>
              </w:rPr>
            </w:pPr>
            <w:r>
              <w:rPr>
                <w:lang w:val="en-US" w:eastAsia="fr-FR"/>
              </w:rPr>
              <w:t>389</w:t>
            </w:r>
          </w:p>
        </w:tc>
      </w:tr>
      <w:tr w:rsidR="00865DB0" w14:paraId="2867A936" w14:textId="77777777" w:rsidTr="00F53C04">
        <w:tc>
          <w:tcPr>
            <w:tcW w:w="3118" w:type="dxa"/>
          </w:tcPr>
          <w:p w14:paraId="4F7AD24F" w14:textId="77777777" w:rsidR="000759B4" w:rsidRDefault="000759B4">
            <w:pPr>
              <w:pStyle w:val="BodyText"/>
              <w:jc w:val="center"/>
              <w:rPr>
                <w:lang w:val="en-US" w:eastAsia="fr-FR"/>
              </w:rPr>
            </w:pPr>
            <w:r>
              <w:rPr>
                <w:lang w:val="en-US" w:eastAsia="fr-FR"/>
              </w:rPr>
              <w:t>Sheep</w:t>
            </w:r>
          </w:p>
        </w:tc>
        <w:tc>
          <w:tcPr>
            <w:tcW w:w="2263" w:type="dxa"/>
          </w:tcPr>
          <w:p w14:paraId="35E309D3" w14:textId="2FC30D8F" w:rsidR="000759B4" w:rsidRDefault="00922994">
            <w:pPr>
              <w:pStyle w:val="BodyText"/>
              <w:jc w:val="center"/>
              <w:rPr>
                <w:lang w:val="en-US" w:eastAsia="fr-FR"/>
              </w:rPr>
            </w:pPr>
            <w:r>
              <w:rPr>
                <w:lang w:val="en-US" w:eastAsia="fr-FR"/>
              </w:rPr>
              <w:t>40</w:t>
            </w:r>
          </w:p>
        </w:tc>
      </w:tr>
      <w:tr w:rsidR="00865DB0" w14:paraId="41DD5B79" w14:textId="77777777" w:rsidTr="00F53C04">
        <w:tc>
          <w:tcPr>
            <w:tcW w:w="3118" w:type="dxa"/>
          </w:tcPr>
          <w:p w14:paraId="371586EC" w14:textId="77777777" w:rsidR="000759B4" w:rsidRDefault="000759B4">
            <w:pPr>
              <w:pStyle w:val="BodyText"/>
              <w:jc w:val="center"/>
              <w:rPr>
                <w:lang w:val="en-US" w:eastAsia="fr-FR"/>
              </w:rPr>
            </w:pPr>
            <w:r>
              <w:rPr>
                <w:lang w:val="en-US" w:eastAsia="fr-FR"/>
              </w:rPr>
              <w:t>Fattening pigs</w:t>
            </w:r>
          </w:p>
        </w:tc>
        <w:tc>
          <w:tcPr>
            <w:tcW w:w="2263" w:type="dxa"/>
          </w:tcPr>
          <w:p w14:paraId="4FE5D9A9" w14:textId="51400C1D" w:rsidR="000759B4" w:rsidRDefault="00922994">
            <w:pPr>
              <w:pStyle w:val="BodyText"/>
              <w:jc w:val="center"/>
              <w:rPr>
                <w:lang w:val="en-US" w:eastAsia="fr-FR"/>
              </w:rPr>
            </w:pPr>
            <w:r>
              <w:rPr>
                <w:lang w:val="en-US" w:eastAsia="fr-FR"/>
              </w:rPr>
              <w:t>59</w:t>
            </w:r>
          </w:p>
        </w:tc>
      </w:tr>
      <w:tr w:rsidR="00865DB0" w14:paraId="7C3E60BE" w14:textId="77777777" w:rsidTr="00F53C04">
        <w:tc>
          <w:tcPr>
            <w:tcW w:w="3118" w:type="dxa"/>
          </w:tcPr>
          <w:p w14:paraId="75C48FAC" w14:textId="77777777" w:rsidR="000759B4" w:rsidRDefault="000759B4">
            <w:pPr>
              <w:pStyle w:val="BodyText"/>
              <w:jc w:val="center"/>
              <w:rPr>
                <w:lang w:val="en-US" w:eastAsia="fr-FR"/>
              </w:rPr>
            </w:pPr>
            <w:r>
              <w:rPr>
                <w:lang w:val="en-US" w:eastAsia="fr-FR"/>
              </w:rPr>
              <w:t>Sows</w:t>
            </w:r>
          </w:p>
        </w:tc>
        <w:tc>
          <w:tcPr>
            <w:tcW w:w="2263" w:type="dxa"/>
          </w:tcPr>
          <w:p w14:paraId="10C8BF3C" w14:textId="47D5AFA8" w:rsidR="000759B4" w:rsidRDefault="00922994">
            <w:pPr>
              <w:pStyle w:val="BodyText"/>
              <w:jc w:val="center"/>
              <w:rPr>
                <w:lang w:val="en-US" w:eastAsia="fr-FR"/>
              </w:rPr>
            </w:pPr>
            <w:r>
              <w:rPr>
                <w:lang w:val="en-US" w:eastAsia="fr-FR"/>
              </w:rPr>
              <w:t>204</w:t>
            </w:r>
          </w:p>
        </w:tc>
      </w:tr>
      <w:tr w:rsidR="00865DB0" w14:paraId="776FACBE" w14:textId="77777777" w:rsidTr="00F53C04">
        <w:tc>
          <w:tcPr>
            <w:tcW w:w="3118" w:type="dxa"/>
          </w:tcPr>
          <w:p w14:paraId="0F32C3D8" w14:textId="77777777" w:rsidR="000759B4" w:rsidRDefault="000759B4">
            <w:pPr>
              <w:pStyle w:val="BodyText"/>
              <w:jc w:val="center"/>
              <w:rPr>
                <w:lang w:val="en-US" w:eastAsia="fr-FR"/>
              </w:rPr>
            </w:pPr>
            <w:r>
              <w:rPr>
                <w:lang w:val="en-US" w:eastAsia="fr-FR"/>
              </w:rPr>
              <w:t>Goats</w:t>
            </w:r>
          </w:p>
        </w:tc>
        <w:tc>
          <w:tcPr>
            <w:tcW w:w="2263" w:type="dxa"/>
          </w:tcPr>
          <w:p w14:paraId="298FF4F0" w14:textId="2DB1E8FB" w:rsidR="000759B4" w:rsidRDefault="00F51BAA">
            <w:pPr>
              <w:pStyle w:val="BodyText"/>
              <w:jc w:val="center"/>
              <w:rPr>
                <w:lang w:val="en-US" w:eastAsia="fr-FR"/>
              </w:rPr>
            </w:pPr>
            <w:r>
              <w:rPr>
                <w:lang w:val="en-US" w:eastAsia="fr-FR"/>
              </w:rPr>
              <w:t>36</w:t>
            </w:r>
          </w:p>
        </w:tc>
      </w:tr>
      <w:tr w:rsidR="000759B4" w14:paraId="554C22A9" w14:textId="77777777" w:rsidTr="00F53C04">
        <w:tc>
          <w:tcPr>
            <w:tcW w:w="3118" w:type="dxa"/>
          </w:tcPr>
          <w:p w14:paraId="2B847A9C" w14:textId="77777777" w:rsidR="000759B4" w:rsidRDefault="000759B4">
            <w:pPr>
              <w:pStyle w:val="BodyText"/>
              <w:jc w:val="center"/>
              <w:rPr>
                <w:lang w:val="en-US" w:eastAsia="fr-FR"/>
              </w:rPr>
            </w:pPr>
            <w:r>
              <w:rPr>
                <w:lang w:val="en-US" w:eastAsia="fr-FR"/>
              </w:rPr>
              <w:t>Horses</w:t>
            </w:r>
          </w:p>
        </w:tc>
        <w:tc>
          <w:tcPr>
            <w:tcW w:w="2263" w:type="dxa"/>
          </w:tcPr>
          <w:p w14:paraId="14608146" w14:textId="65EC7D95" w:rsidR="000759B4" w:rsidRDefault="00F51BAA">
            <w:pPr>
              <w:pStyle w:val="BodyText"/>
              <w:jc w:val="center"/>
              <w:rPr>
                <w:lang w:val="en-US" w:eastAsia="fr-FR"/>
              </w:rPr>
            </w:pPr>
            <w:r>
              <w:rPr>
                <w:lang w:val="en-US" w:eastAsia="fr-FR"/>
              </w:rPr>
              <w:t>377</w:t>
            </w:r>
          </w:p>
        </w:tc>
      </w:tr>
      <w:tr w:rsidR="000759B4" w14:paraId="5351894C" w14:textId="77777777" w:rsidTr="00F53C04">
        <w:tc>
          <w:tcPr>
            <w:tcW w:w="3118" w:type="dxa"/>
          </w:tcPr>
          <w:p w14:paraId="64DA8B21" w14:textId="77777777" w:rsidR="000759B4" w:rsidRDefault="000759B4">
            <w:pPr>
              <w:pStyle w:val="BodyText"/>
              <w:jc w:val="center"/>
              <w:rPr>
                <w:lang w:val="en-US" w:eastAsia="fr-FR"/>
              </w:rPr>
            </w:pPr>
            <w:r>
              <w:rPr>
                <w:lang w:val="en-US" w:eastAsia="fr-FR"/>
              </w:rPr>
              <w:t>Layers</w:t>
            </w:r>
          </w:p>
        </w:tc>
        <w:tc>
          <w:tcPr>
            <w:tcW w:w="2263" w:type="dxa"/>
          </w:tcPr>
          <w:p w14:paraId="2F1853BF" w14:textId="17C5661C" w:rsidR="000759B4" w:rsidRDefault="00F51BAA">
            <w:pPr>
              <w:pStyle w:val="BodyText"/>
              <w:jc w:val="center"/>
              <w:rPr>
                <w:lang w:val="en-US" w:eastAsia="fr-FR"/>
              </w:rPr>
            </w:pPr>
            <w:r>
              <w:rPr>
                <w:lang w:val="en-US" w:eastAsia="fr-FR"/>
              </w:rPr>
              <w:t>1.9</w:t>
            </w:r>
          </w:p>
        </w:tc>
      </w:tr>
      <w:tr w:rsidR="00865DB0" w14:paraId="00072B4A" w14:textId="77777777" w:rsidTr="00F53C04">
        <w:tc>
          <w:tcPr>
            <w:tcW w:w="3118" w:type="dxa"/>
          </w:tcPr>
          <w:p w14:paraId="7A0D0A50" w14:textId="77777777" w:rsidR="000759B4" w:rsidRDefault="000759B4">
            <w:pPr>
              <w:pStyle w:val="BodyText"/>
              <w:jc w:val="center"/>
              <w:rPr>
                <w:lang w:val="en-US" w:eastAsia="fr-FR"/>
              </w:rPr>
            </w:pPr>
            <w:r>
              <w:rPr>
                <w:lang w:val="en-US" w:eastAsia="fr-FR"/>
              </w:rPr>
              <w:t>Broilers</w:t>
            </w:r>
          </w:p>
        </w:tc>
        <w:tc>
          <w:tcPr>
            <w:tcW w:w="2263" w:type="dxa"/>
          </w:tcPr>
          <w:p w14:paraId="615199DE" w14:textId="356E2642" w:rsidR="000759B4" w:rsidRDefault="00F51BAA">
            <w:pPr>
              <w:pStyle w:val="BodyText"/>
              <w:jc w:val="center"/>
              <w:rPr>
                <w:lang w:val="en-US" w:eastAsia="fr-FR"/>
              </w:rPr>
            </w:pPr>
            <w:r>
              <w:rPr>
                <w:lang w:val="en-US" w:eastAsia="fr-FR"/>
              </w:rPr>
              <w:t>1.1</w:t>
            </w:r>
          </w:p>
        </w:tc>
      </w:tr>
      <w:tr w:rsidR="000759B4" w14:paraId="7B9B6ED8" w14:textId="77777777" w:rsidTr="00F53C04">
        <w:tc>
          <w:tcPr>
            <w:tcW w:w="3118" w:type="dxa"/>
          </w:tcPr>
          <w:p w14:paraId="2570E502" w14:textId="77777777" w:rsidR="000759B4" w:rsidRDefault="000759B4">
            <w:pPr>
              <w:pStyle w:val="BodyText"/>
              <w:jc w:val="center"/>
              <w:rPr>
                <w:lang w:val="en-US" w:eastAsia="fr-FR"/>
              </w:rPr>
            </w:pPr>
            <w:r>
              <w:rPr>
                <w:lang w:val="en-US" w:eastAsia="fr-FR"/>
              </w:rPr>
              <w:t>Turkeys</w:t>
            </w:r>
          </w:p>
        </w:tc>
        <w:tc>
          <w:tcPr>
            <w:tcW w:w="2263" w:type="dxa"/>
          </w:tcPr>
          <w:p w14:paraId="770E5337" w14:textId="7B8365BA" w:rsidR="000759B4" w:rsidRDefault="00F51BAA">
            <w:pPr>
              <w:pStyle w:val="BodyText"/>
              <w:jc w:val="center"/>
              <w:rPr>
                <w:lang w:val="en-US" w:eastAsia="fr-FR"/>
              </w:rPr>
            </w:pPr>
            <w:r>
              <w:rPr>
                <w:lang w:val="en-US" w:eastAsia="fr-FR"/>
              </w:rPr>
              <w:t>6.8</w:t>
            </w:r>
          </w:p>
        </w:tc>
      </w:tr>
      <w:tr w:rsidR="000759B4" w14:paraId="6A77378B" w14:textId="77777777" w:rsidTr="00F53C04">
        <w:tc>
          <w:tcPr>
            <w:tcW w:w="3118" w:type="dxa"/>
          </w:tcPr>
          <w:p w14:paraId="14F85D11" w14:textId="77777777" w:rsidR="000759B4" w:rsidRDefault="000759B4">
            <w:pPr>
              <w:pStyle w:val="BodyText"/>
              <w:jc w:val="center"/>
              <w:rPr>
                <w:lang w:val="en-US" w:eastAsia="fr-FR"/>
              </w:rPr>
            </w:pPr>
            <w:r>
              <w:rPr>
                <w:lang w:val="en-US" w:eastAsia="fr-FR"/>
              </w:rPr>
              <w:t>Other poultry</w:t>
            </w:r>
          </w:p>
        </w:tc>
        <w:tc>
          <w:tcPr>
            <w:tcW w:w="2263" w:type="dxa"/>
          </w:tcPr>
          <w:p w14:paraId="17170DC0" w14:textId="404AE901" w:rsidR="000759B4" w:rsidRDefault="00F51BAA">
            <w:pPr>
              <w:pStyle w:val="BodyText"/>
              <w:jc w:val="center"/>
              <w:rPr>
                <w:lang w:val="en-US" w:eastAsia="fr-FR"/>
              </w:rPr>
            </w:pPr>
            <w:r>
              <w:rPr>
                <w:lang w:val="en-US" w:eastAsia="fr-FR"/>
              </w:rPr>
              <w:t>2.7</w:t>
            </w:r>
          </w:p>
        </w:tc>
      </w:tr>
    </w:tbl>
    <w:p w14:paraId="7BDE9B5F" w14:textId="4124A5DF" w:rsidR="00F51BAA" w:rsidRDefault="00F51BAA" w:rsidP="00F51BAA">
      <w:pPr>
        <w:pStyle w:val="Caption"/>
        <w:keepNext/>
      </w:pPr>
      <w:bookmarkStart w:id="695" w:name="_Toc184808572"/>
      <w:r>
        <w:t xml:space="preserve">Table </w:t>
      </w:r>
      <w:r>
        <w:fldChar w:fldCharType="begin"/>
      </w:r>
      <w:r>
        <w:instrText xml:space="preserve"> SEQ Table \* ARABIC </w:instrText>
      </w:r>
      <w:r>
        <w:fldChar w:fldCharType="separate"/>
      </w:r>
      <w:r w:rsidR="00F14C78">
        <w:rPr>
          <w:noProof/>
        </w:rPr>
        <w:t>29</w:t>
      </w:r>
      <w:r>
        <w:fldChar w:fldCharType="end"/>
      </w:r>
      <w:r>
        <w:t xml:space="preserve">: </w:t>
      </w:r>
      <w:r w:rsidR="00C20FC7">
        <w:t>Daily N excretion rate per animal</w:t>
      </w:r>
      <w:r>
        <w:t xml:space="preserve"> (in kg</w:t>
      </w:r>
      <w:r w:rsidR="00F73EC9">
        <w:t xml:space="preserve"> N</w:t>
      </w:r>
      <w:r>
        <w:t>/</w:t>
      </w:r>
      <w:r w:rsidR="00C20FC7">
        <w:t>t animal/day</w:t>
      </w:r>
      <w:r>
        <w:t>), from 20</w:t>
      </w:r>
      <w:r w:rsidR="00DE1E56">
        <w:t>19</w:t>
      </w:r>
      <w:r>
        <w:t xml:space="preserve"> IPCC Guidelines, used in Serbian inventory</w:t>
      </w:r>
      <w:bookmarkEnd w:id="695"/>
    </w:p>
    <w:tbl>
      <w:tblPr>
        <w:tblStyle w:val="TableGrid"/>
        <w:tblW w:w="0" w:type="auto"/>
        <w:tblLook w:val="04A0" w:firstRow="1" w:lastRow="0" w:firstColumn="1" w:lastColumn="0" w:noHBand="0" w:noVBand="1"/>
      </w:tblPr>
      <w:tblGrid>
        <w:gridCol w:w="3118"/>
        <w:gridCol w:w="2547"/>
      </w:tblGrid>
      <w:tr w:rsidR="00F51BAA" w14:paraId="11C52ED5" w14:textId="77777777" w:rsidTr="00F53C04">
        <w:tc>
          <w:tcPr>
            <w:tcW w:w="3118" w:type="dxa"/>
            <w:shd w:val="clear" w:color="auto" w:fill="B8CCE4" w:themeFill="accent1" w:themeFillTint="66"/>
          </w:tcPr>
          <w:p w14:paraId="25FB807A" w14:textId="77777777" w:rsidR="00F51BAA" w:rsidRPr="001F0275" w:rsidRDefault="00F51BAA">
            <w:pPr>
              <w:pStyle w:val="BodyText"/>
              <w:jc w:val="center"/>
              <w:rPr>
                <w:b/>
                <w:bCs/>
                <w:lang w:val="en-US" w:eastAsia="fr-FR"/>
              </w:rPr>
            </w:pPr>
            <w:r w:rsidRPr="001F0275">
              <w:rPr>
                <w:b/>
                <w:bCs/>
                <w:lang w:val="en-US" w:eastAsia="fr-FR"/>
              </w:rPr>
              <w:t>Livestock category</w:t>
            </w:r>
          </w:p>
        </w:tc>
        <w:tc>
          <w:tcPr>
            <w:tcW w:w="2547" w:type="dxa"/>
            <w:shd w:val="clear" w:color="auto" w:fill="B8CCE4" w:themeFill="accent1" w:themeFillTint="66"/>
          </w:tcPr>
          <w:p w14:paraId="3C7C90A0" w14:textId="180BA640" w:rsidR="00F51BAA" w:rsidRPr="001F0275" w:rsidRDefault="001A6833">
            <w:pPr>
              <w:pStyle w:val="BodyText"/>
              <w:jc w:val="center"/>
              <w:rPr>
                <w:b/>
                <w:bCs/>
                <w:lang w:val="en-US" w:eastAsia="fr-FR"/>
              </w:rPr>
            </w:pPr>
            <w:proofErr w:type="spellStart"/>
            <w:r>
              <w:rPr>
                <w:b/>
                <w:bCs/>
                <w:lang w:val="en-US" w:eastAsia="fr-FR"/>
              </w:rPr>
              <w:t>Nrate</w:t>
            </w:r>
            <w:proofErr w:type="spellEnd"/>
            <w:r w:rsidR="00F51BAA" w:rsidRPr="001F0275">
              <w:rPr>
                <w:b/>
                <w:bCs/>
                <w:lang w:val="en-US" w:eastAsia="fr-FR"/>
              </w:rPr>
              <w:t xml:space="preserve"> (</w:t>
            </w:r>
            <w:r w:rsidR="00F51BAA">
              <w:rPr>
                <w:b/>
                <w:bCs/>
                <w:lang w:val="en-US" w:eastAsia="fr-FR"/>
              </w:rPr>
              <w:t>kg</w:t>
            </w:r>
            <w:r w:rsidR="00F73EC9">
              <w:rPr>
                <w:b/>
                <w:bCs/>
                <w:lang w:val="en-US" w:eastAsia="fr-FR"/>
              </w:rPr>
              <w:t xml:space="preserve"> N</w:t>
            </w:r>
            <w:r w:rsidR="00F51BAA">
              <w:rPr>
                <w:b/>
                <w:bCs/>
                <w:lang w:val="en-US" w:eastAsia="fr-FR"/>
              </w:rPr>
              <w:t>/</w:t>
            </w:r>
            <w:r w:rsidR="00C20FC7">
              <w:rPr>
                <w:b/>
                <w:bCs/>
                <w:lang w:val="en-US" w:eastAsia="fr-FR"/>
              </w:rPr>
              <w:t>t animal/day</w:t>
            </w:r>
            <w:r w:rsidR="00F51BAA" w:rsidRPr="001F0275">
              <w:rPr>
                <w:b/>
                <w:bCs/>
                <w:lang w:val="en-US" w:eastAsia="fr-FR"/>
              </w:rPr>
              <w:t>)</w:t>
            </w:r>
          </w:p>
        </w:tc>
      </w:tr>
      <w:tr w:rsidR="00F51BAA" w14:paraId="49EE54D3" w14:textId="77777777" w:rsidTr="00F53C04">
        <w:tc>
          <w:tcPr>
            <w:tcW w:w="3118" w:type="dxa"/>
          </w:tcPr>
          <w:p w14:paraId="54A259A6" w14:textId="77777777" w:rsidR="00F51BAA" w:rsidRDefault="00F51BAA">
            <w:pPr>
              <w:pStyle w:val="BodyText"/>
              <w:jc w:val="center"/>
              <w:rPr>
                <w:lang w:val="en-US" w:eastAsia="fr-FR"/>
              </w:rPr>
            </w:pPr>
            <w:r>
              <w:rPr>
                <w:lang w:val="en-US" w:eastAsia="fr-FR"/>
              </w:rPr>
              <w:t>Dairy cattle</w:t>
            </w:r>
          </w:p>
        </w:tc>
        <w:tc>
          <w:tcPr>
            <w:tcW w:w="2547" w:type="dxa"/>
          </w:tcPr>
          <w:p w14:paraId="73561EF3" w14:textId="0567A82C" w:rsidR="00F51BAA" w:rsidRDefault="001A6833">
            <w:pPr>
              <w:pStyle w:val="BodyText"/>
              <w:jc w:val="center"/>
              <w:rPr>
                <w:lang w:val="en-US" w:eastAsia="fr-FR"/>
              </w:rPr>
            </w:pPr>
            <w:r>
              <w:rPr>
                <w:lang w:val="en-US" w:eastAsia="fr-FR"/>
              </w:rPr>
              <w:t>0.42</w:t>
            </w:r>
          </w:p>
        </w:tc>
      </w:tr>
      <w:tr w:rsidR="00F51BAA" w14:paraId="3DA67BA7" w14:textId="77777777" w:rsidTr="00F53C04">
        <w:tc>
          <w:tcPr>
            <w:tcW w:w="3118" w:type="dxa"/>
          </w:tcPr>
          <w:p w14:paraId="573908EE" w14:textId="77777777" w:rsidR="00F51BAA" w:rsidRDefault="00F51BAA">
            <w:pPr>
              <w:pStyle w:val="BodyText"/>
              <w:jc w:val="center"/>
              <w:rPr>
                <w:lang w:val="en-US" w:eastAsia="fr-FR"/>
              </w:rPr>
            </w:pPr>
            <w:r>
              <w:rPr>
                <w:lang w:val="en-US" w:eastAsia="fr-FR"/>
              </w:rPr>
              <w:t>Other cattle</w:t>
            </w:r>
          </w:p>
        </w:tc>
        <w:tc>
          <w:tcPr>
            <w:tcW w:w="2547" w:type="dxa"/>
          </w:tcPr>
          <w:p w14:paraId="421869FA" w14:textId="1D38C22C" w:rsidR="00F51BAA" w:rsidRDefault="001A6833">
            <w:pPr>
              <w:pStyle w:val="BodyText"/>
              <w:jc w:val="center"/>
              <w:rPr>
                <w:lang w:val="en-US" w:eastAsia="fr-FR"/>
              </w:rPr>
            </w:pPr>
            <w:r>
              <w:rPr>
                <w:lang w:val="en-US" w:eastAsia="fr-FR"/>
              </w:rPr>
              <w:t>0.47</w:t>
            </w:r>
          </w:p>
        </w:tc>
      </w:tr>
      <w:tr w:rsidR="00F51BAA" w14:paraId="047DA020" w14:textId="77777777" w:rsidTr="00F53C04">
        <w:tc>
          <w:tcPr>
            <w:tcW w:w="3118" w:type="dxa"/>
          </w:tcPr>
          <w:p w14:paraId="36E29BB9" w14:textId="77777777" w:rsidR="00F51BAA" w:rsidRDefault="00F51BAA">
            <w:pPr>
              <w:pStyle w:val="BodyText"/>
              <w:jc w:val="center"/>
              <w:rPr>
                <w:lang w:val="en-US" w:eastAsia="fr-FR"/>
              </w:rPr>
            </w:pPr>
            <w:r>
              <w:rPr>
                <w:lang w:val="en-US" w:eastAsia="fr-FR"/>
              </w:rPr>
              <w:t>Sheep</w:t>
            </w:r>
          </w:p>
        </w:tc>
        <w:tc>
          <w:tcPr>
            <w:tcW w:w="2547" w:type="dxa"/>
          </w:tcPr>
          <w:p w14:paraId="2E7CCAD2" w14:textId="05C1D84D" w:rsidR="00F51BAA" w:rsidRDefault="001A6833">
            <w:pPr>
              <w:pStyle w:val="BodyText"/>
              <w:jc w:val="center"/>
              <w:rPr>
                <w:lang w:val="en-US" w:eastAsia="fr-FR"/>
              </w:rPr>
            </w:pPr>
            <w:r>
              <w:rPr>
                <w:lang w:val="en-US" w:eastAsia="fr-FR"/>
              </w:rPr>
              <w:t>0.36</w:t>
            </w:r>
          </w:p>
        </w:tc>
      </w:tr>
      <w:tr w:rsidR="00F51BAA" w14:paraId="33F6E21B" w14:textId="77777777" w:rsidTr="00F53C04">
        <w:tc>
          <w:tcPr>
            <w:tcW w:w="3118" w:type="dxa"/>
          </w:tcPr>
          <w:p w14:paraId="6274AA30" w14:textId="77777777" w:rsidR="00F51BAA" w:rsidRDefault="00F51BAA">
            <w:pPr>
              <w:pStyle w:val="BodyText"/>
              <w:jc w:val="center"/>
              <w:rPr>
                <w:lang w:val="en-US" w:eastAsia="fr-FR"/>
              </w:rPr>
            </w:pPr>
            <w:r>
              <w:rPr>
                <w:lang w:val="en-US" w:eastAsia="fr-FR"/>
              </w:rPr>
              <w:t>Fattening pigs</w:t>
            </w:r>
          </w:p>
        </w:tc>
        <w:tc>
          <w:tcPr>
            <w:tcW w:w="2547" w:type="dxa"/>
          </w:tcPr>
          <w:p w14:paraId="30B1E6FA" w14:textId="4020AFB6" w:rsidR="00F51BAA" w:rsidRDefault="001A6833">
            <w:pPr>
              <w:pStyle w:val="BodyText"/>
              <w:jc w:val="center"/>
              <w:rPr>
                <w:lang w:val="en-US" w:eastAsia="fr-FR"/>
              </w:rPr>
            </w:pPr>
            <w:r>
              <w:rPr>
                <w:lang w:val="en-US" w:eastAsia="fr-FR"/>
              </w:rPr>
              <w:t>0.77</w:t>
            </w:r>
          </w:p>
        </w:tc>
      </w:tr>
      <w:tr w:rsidR="00F51BAA" w14:paraId="40F5063A" w14:textId="77777777" w:rsidTr="00F53C04">
        <w:tc>
          <w:tcPr>
            <w:tcW w:w="3118" w:type="dxa"/>
          </w:tcPr>
          <w:p w14:paraId="214D051F" w14:textId="77777777" w:rsidR="00F51BAA" w:rsidRDefault="00F51BAA">
            <w:pPr>
              <w:pStyle w:val="BodyText"/>
              <w:jc w:val="center"/>
              <w:rPr>
                <w:lang w:val="en-US" w:eastAsia="fr-FR"/>
              </w:rPr>
            </w:pPr>
            <w:r>
              <w:rPr>
                <w:lang w:val="en-US" w:eastAsia="fr-FR"/>
              </w:rPr>
              <w:t>Sows</w:t>
            </w:r>
          </w:p>
        </w:tc>
        <w:tc>
          <w:tcPr>
            <w:tcW w:w="2547" w:type="dxa"/>
          </w:tcPr>
          <w:p w14:paraId="22CA2B8A" w14:textId="236B914F" w:rsidR="00F51BAA" w:rsidRDefault="001A6833">
            <w:pPr>
              <w:pStyle w:val="BodyText"/>
              <w:jc w:val="center"/>
              <w:rPr>
                <w:lang w:val="en-US" w:eastAsia="fr-FR"/>
              </w:rPr>
            </w:pPr>
            <w:r>
              <w:rPr>
                <w:lang w:val="en-US" w:eastAsia="fr-FR"/>
              </w:rPr>
              <w:t>0.36</w:t>
            </w:r>
          </w:p>
        </w:tc>
      </w:tr>
      <w:tr w:rsidR="00F51BAA" w14:paraId="4B5F9DDB" w14:textId="77777777" w:rsidTr="00F53C04">
        <w:tc>
          <w:tcPr>
            <w:tcW w:w="3118" w:type="dxa"/>
          </w:tcPr>
          <w:p w14:paraId="12FCC8A6" w14:textId="77777777" w:rsidR="00F51BAA" w:rsidRDefault="00F51BAA">
            <w:pPr>
              <w:pStyle w:val="BodyText"/>
              <w:jc w:val="center"/>
              <w:rPr>
                <w:lang w:val="en-US" w:eastAsia="fr-FR"/>
              </w:rPr>
            </w:pPr>
            <w:r>
              <w:rPr>
                <w:lang w:val="en-US" w:eastAsia="fr-FR"/>
              </w:rPr>
              <w:t>Goats</w:t>
            </w:r>
          </w:p>
        </w:tc>
        <w:tc>
          <w:tcPr>
            <w:tcW w:w="2547" w:type="dxa"/>
          </w:tcPr>
          <w:p w14:paraId="06AA3929" w14:textId="12401AF9" w:rsidR="00F51BAA" w:rsidRDefault="001A6833">
            <w:pPr>
              <w:pStyle w:val="BodyText"/>
              <w:jc w:val="center"/>
              <w:rPr>
                <w:lang w:val="en-US" w:eastAsia="fr-FR"/>
              </w:rPr>
            </w:pPr>
            <w:r>
              <w:rPr>
                <w:lang w:val="en-US" w:eastAsia="fr-FR"/>
              </w:rPr>
              <w:t>0.44</w:t>
            </w:r>
          </w:p>
        </w:tc>
      </w:tr>
      <w:tr w:rsidR="00F51BAA" w14:paraId="445F2310" w14:textId="77777777" w:rsidTr="00F53C04">
        <w:tc>
          <w:tcPr>
            <w:tcW w:w="3118" w:type="dxa"/>
          </w:tcPr>
          <w:p w14:paraId="2E37AABC" w14:textId="77777777" w:rsidR="00F51BAA" w:rsidRDefault="00F51BAA">
            <w:pPr>
              <w:pStyle w:val="BodyText"/>
              <w:jc w:val="center"/>
              <w:rPr>
                <w:lang w:val="en-US" w:eastAsia="fr-FR"/>
              </w:rPr>
            </w:pPr>
            <w:r>
              <w:rPr>
                <w:lang w:val="en-US" w:eastAsia="fr-FR"/>
              </w:rPr>
              <w:t>Horses</w:t>
            </w:r>
          </w:p>
        </w:tc>
        <w:tc>
          <w:tcPr>
            <w:tcW w:w="2547" w:type="dxa"/>
          </w:tcPr>
          <w:p w14:paraId="289DAF69" w14:textId="7C913F41" w:rsidR="00F51BAA" w:rsidRDefault="001A6833">
            <w:pPr>
              <w:pStyle w:val="BodyText"/>
              <w:jc w:val="center"/>
              <w:rPr>
                <w:lang w:val="en-US" w:eastAsia="fr-FR"/>
              </w:rPr>
            </w:pPr>
            <w:r>
              <w:rPr>
                <w:lang w:val="en-US" w:eastAsia="fr-FR"/>
              </w:rPr>
              <w:t>0.3</w:t>
            </w:r>
            <w:r w:rsidR="007A0D16">
              <w:rPr>
                <w:lang w:val="en-US" w:eastAsia="fr-FR"/>
              </w:rPr>
              <w:t>0</w:t>
            </w:r>
          </w:p>
        </w:tc>
      </w:tr>
      <w:tr w:rsidR="00F51BAA" w14:paraId="17352882" w14:textId="77777777" w:rsidTr="00F53C04">
        <w:tc>
          <w:tcPr>
            <w:tcW w:w="3118" w:type="dxa"/>
          </w:tcPr>
          <w:p w14:paraId="10D10770" w14:textId="77777777" w:rsidR="00F51BAA" w:rsidRDefault="00F51BAA">
            <w:pPr>
              <w:pStyle w:val="BodyText"/>
              <w:jc w:val="center"/>
              <w:rPr>
                <w:lang w:val="en-US" w:eastAsia="fr-FR"/>
              </w:rPr>
            </w:pPr>
            <w:r>
              <w:rPr>
                <w:lang w:val="en-US" w:eastAsia="fr-FR"/>
              </w:rPr>
              <w:t>Layers</w:t>
            </w:r>
          </w:p>
        </w:tc>
        <w:tc>
          <w:tcPr>
            <w:tcW w:w="2547" w:type="dxa"/>
          </w:tcPr>
          <w:p w14:paraId="3E17195F" w14:textId="06D43F05" w:rsidR="00F51BAA" w:rsidRDefault="001A6833">
            <w:pPr>
              <w:pStyle w:val="BodyText"/>
              <w:jc w:val="center"/>
              <w:rPr>
                <w:lang w:val="en-US" w:eastAsia="fr-FR"/>
              </w:rPr>
            </w:pPr>
            <w:r>
              <w:rPr>
                <w:lang w:val="en-US" w:eastAsia="fr-FR"/>
              </w:rPr>
              <w:t>0.81</w:t>
            </w:r>
          </w:p>
        </w:tc>
      </w:tr>
      <w:tr w:rsidR="00F51BAA" w14:paraId="49EF7CBA" w14:textId="77777777" w:rsidTr="00F53C04">
        <w:tc>
          <w:tcPr>
            <w:tcW w:w="3118" w:type="dxa"/>
          </w:tcPr>
          <w:p w14:paraId="6D5FB247" w14:textId="77777777" w:rsidR="00F51BAA" w:rsidRDefault="00F51BAA">
            <w:pPr>
              <w:pStyle w:val="BodyText"/>
              <w:jc w:val="center"/>
              <w:rPr>
                <w:lang w:val="en-US" w:eastAsia="fr-FR"/>
              </w:rPr>
            </w:pPr>
            <w:r>
              <w:rPr>
                <w:lang w:val="en-US" w:eastAsia="fr-FR"/>
              </w:rPr>
              <w:t>Broilers</w:t>
            </w:r>
          </w:p>
        </w:tc>
        <w:tc>
          <w:tcPr>
            <w:tcW w:w="2547" w:type="dxa"/>
          </w:tcPr>
          <w:p w14:paraId="0B4750B2" w14:textId="1BD6FACA" w:rsidR="00F51BAA" w:rsidRDefault="001A6833">
            <w:pPr>
              <w:pStyle w:val="BodyText"/>
              <w:jc w:val="center"/>
              <w:rPr>
                <w:lang w:val="en-US" w:eastAsia="fr-FR"/>
              </w:rPr>
            </w:pPr>
            <w:r>
              <w:rPr>
                <w:lang w:val="en-US" w:eastAsia="fr-FR"/>
              </w:rPr>
              <w:t>1.12</w:t>
            </w:r>
          </w:p>
        </w:tc>
      </w:tr>
      <w:tr w:rsidR="00F51BAA" w14:paraId="1F372E5F" w14:textId="77777777" w:rsidTr="00F53C04">
        <w:tc>
          <w:tcPr>
            <w:tcW w:w="3118" w:type="dxa"/>
          </w:tcPr>
          <w:p w14:paraId="0390D107" w14:textId="77777777" w:rsidR="00F51BAA" w:rsidRDefault="00F51BAA">
            <w:pPr>
              <w:pStyle w:val="BodyText"/>
              <w:jc w:val="center"/>
              <w:rPr>
                <w:lang w:val="en-US" w:eastAsia="fr-FR"/>
              </w:rPr>
            </w:pPr>
            <w:r>
              <w:rPr>
                <w:lang w:val="en-US" w:eastAsia="fr-FR"/>
              </w:rPr>
              <w:t>Turkeys</w:t>
            </w:r>
          </w:p>
        </w:tc>
        <w:tc>
          <w:tcPr>
            <w:tcW w:w="2547" w:type="dxa"/>
          </w:tcPr>
          <w:p w14:paraId="65AFAAC5" w14:textId="34803769" w:rsidR="00F51BAA" w:rsidRDefault="001A6833">
            <w:pPr>
              <w:pStyle w:val="BodyText"/>
              <w:jc w:val="center"/>
              <w:rPr>
                <w:lang w:val="en-US" w:eastAsia="fr-FR"/>
              </w:rPr>
            </w:pPr>
            <w:r>
              <w:rPr>
                <w:lang w:val="en-US" w:eastAsia="fr-FR"/>
              </w:rPr>
              <w:t>0.74</w:t>
            </w:r>
          </w:p>
        </w:tc>
      </w:tr>
      <w:tr w:rsidR="00F51BAA" w14:paraId="27A455B6" w14:textId="77777777" w:rsidTr="00F53C04">
        <w:tc>
          <w:tcPr>
            <w:tcW w:w="3118" w:type="dxa"/>
          </w:tcPr>
          <w:p w14:paraId="22FAAE15" w14:textId="77777777" w:rsidR="00F51BAA" w:rsidRDefault="00F51BAA">
            <w:pPr>
              <w:pStyle w:val="BodyText"/>
              <w:jc w:val="center"/>
              <w:rPr>
                <w:lang w:val="en-US" w:eastAsia="fr-FR"/>
              </w:rPr>
            </w:pPr>
            <w:r>
              <w:rPr>
                <w:lang w:val="en-US" w:eastAsia="fr-FR"/>
              </w:rPr>
              <w:t>Other poultry</w:t>
            </w:r>
          </w:p>
        </w:tc>
        <w:tc>
          <w:tcPr>
            <w:tcW w:w="2547" w:type="dxa"/>
          </w:tcPr>
          <w:p w14:paraId="05F51E9E" w14:textId="59EE986D" w:rsidR="00F51BAA" w:rsidRDefault="001A6833">
            <w:pPr>
              <w:pStyle w:val="BodyText"/>
              <w:jc w:val="center"/>
              <w:rPr>
                <w:lang w:val="en-US" w:eastAsia="fr-FR"/>
              </w:rPr>
            </w:pPr>
            <w:r>
              <w:rPr>
                <w:lang w:val="en-US" w:eastAsia="fr-FR"/>
              </w:rPr>
              <w:t>0.83</w:t>
            </w:r>
          </w:p>
        </w:tc>
      </w:tr>
    </w:tbl>
    <w:p w14:paraId="0A4FDC6D" w14:textId="21D17201" w:rsidR="004A00F9" w:rsidRDefault="004A00F9" w:rsidP="00F53C04">
      <w:pPr>
        <w:pStyle w:val="Caption"/>
        <w:keepNext/>
        <w:jc w:val="both"/>
      </w:pPr>
      <w:bookmarkStart w:id="696" w:name="_Toc184808573"/>
      <w:r>
        <w:t xml:space="preserve">Table </w:t>
      </w:r>
      <w:r>
        <w:fldChar w:fldCharType="begin"/>
      </w:r>
      <w:r>
        <w:instrText xml:space="preserve"> SEQ Table \* ARABIC </w:instrText>
      </w:r>
      <w:r>
        <w:fldChar w:fldCharType="separate"/>
      </w:r>
      <w:r w:rsidR="00F14C78">
        <w:rPr>
          <w:noProof/>
        </w:rPr>
        <w:t>30</w:t>
      </w:r>
      <w:r>
        <w:fldChar w:fldCharType="end"/>
      </w:r>
      <w:r>
        <w:t xml:space="preserve">: </w:t>
      </w:r>
      <w:r w:rsidR="00E25FE5">
        <w:t>N</w:t>
      </w:r>
      <w:r w:rsidR="00E25FE5" w:rsidRPr="00622F40">
        <w:rPr>
          <w:vertAlign w:val="subscript"/>
        </w:rPr>
        <w:t>2</w:t>
      </w:r>
      <w:r w:rsidR="00E25FE5">
        <w:t xml:space="preserve">O EF </w:t>
      </w:r>
      <w:r w:rsidR="00F47975">
        <w:t>per manure management system (in kg</w:t>
      </w:r>
      <w:r w:rsidR="00C27764">
        <w:t xml:space="preserve"> N</w:t>
      </w:r>
      <w:r w:rsidR="00C27764" w:rsidRPr="00622F40">
        <w:rPr>
          <w:vertAlign w:val="subscript"/>
        </w:rPr>
        <w:t>2</w:t>
      </w:r>
      <w:r w:rsidR="00C27764">
        <w:t>O-N</w:t>
      </w:r>
      <w:r w:rsidR="00F47975">
        <w:t>/</w:t>
      </w:r>
      <w:r w:rsidR="00C27764">
        <w:t xml:space="preserve">kg Nex) </w:t>
      </w:r>
      <w:r>
        <w:t>from 20</w:t>
      </w:r>
      <w:r w:rsidR="008A2EF0">
        <w:t>19</w:t>
      </w:r>
      <w:r>
        <w:t xml:space="preserve"> IPCC Guidelines, used in Serbian inventory</w:t>
      </w:r>
      <w:bookmarkEnd w:id="696"/>
    </w:p>
    <w:tbl>
      <w:tblPr>
        <w:tblStyle w:val="TableGrid"/>
        <w:tblW w:w="0" w:type="auto"/>
        <w:tblLook w:val="04A0" w:firstRow="1" w:lastRow="0" w:firstColumn="1" w:lastColumn="0" w:noHBand="0" w:noVBand="1"/>
      </w:tblPr>
      <w:tblGrid>
        <w:gridCol w:w="3118"/>
        <w:gridCol w:w="2263"/>
      </w:tblGrid>
      <w:tr w:rsidR="004A00F9" w:rsidRPr="00393F04" w14:paraId="3C512880" w14:textId="77777777" w:rsidTr="00F53C04">
        <w:trPr>
          <w:tblHeader/>
        </w:trPr>
        <w:tc>
          <w:tcPr>
            <w:tcW w:w="3118" w:type="dxa"/>
            <w:shd w:val="clear" w:color="auto" w:fill="B8CCE4" w:themeFill="accent1" w:themeFillTint="66"/>
          </w:tcPr>
          <w:p w14:paraId="34C7FB71" w14:textId="15DB5A9E" w:rsidR="004A00F9" w:rsidRPr="001F0275" w:rsidRDefault="007E26F6">
            <w:pPr>
              <w:pStyle w:val="BodyText"/>
              <w:jc w:val="center"/>
              <w:rPr>
                <w:b/>
                <w:bCs/>
                <w:lang w:val="en-US" w:eastAsia="fr-FR"/>
              </w:rPr>
            </w:pPr>
            <w:r>
              <w:rPr>
                <w:b/>
                <w:bCs/>
                <w:lang w:val="en-US" w:eastAsia="fr-FR"/>
              </w:rPr>
              <w:t>Manure management system</w:t>
            </w:r>
          </w:p>
        </w:tc>
        <w:tc>
          <w:tcPr>
            <w:tcW w:w="2263" w:type="dxa"/>
            <w:shd w:val="clear" w:color="auto" w:fill="B8CCE4" w:themeFill="accent1" w:themeFillTint="66"/>
          </w:tcPr>
          <w:p w14:paraId="77060094" w14:textId="3ADB13AB" w:rsidR="004A00F9" w:rsidRPr="00622F40" w:rsidRDefault="00C27764">
            <w:pPr>
              <w:pStyle w:val="BodyText"/>
              <w:jc w:val="center"/>
              <w:rPr>
                <w:b/>
                <w:bCs/>
                <w:lang w:val="pt-BR" w:eastAsia="fr-FR"/>
              </w:rPr>
            </w:pPr>
            <w:r w:rsidRPr="00622F40">
              <w:rPr>
                <w:b/>
                <w:bCs/>
                <w:lang w:val="pt-BR" w:eastAsia="fr-FR"/>
              </w:rPr>
              <w:t>EF (kg N</w:t>
            </w:r>
            <w:r w:rsidRPr="00622F40">
              <w:rPr>
                <w:b/>
                <w:bCs/>
                <w:vertAlign w:val="subscript"/>
                <w:lang w:val="pt-BR" w:eastAsia="fr-FR"/>
              </w:rPr>
              <w:t>2</w:t>
            </w:r>
            <w:r w:rsidRPr="00622F40">
              <w:rPr>
                <w:b/>
                <w:bCs/>
                <w:lang w:val="pt-BR" w:eastAsia="fr-FR"/>
              </w:rPr>
              <w:t>O-N/kg Nex)</w:t>
            </w:r>
          </w:p>
        </w:tc>
      </w:tr>
      <w:tr w:rsidR="007E26F6" w14:paraId="5EDED66C" w14:textId="77777777" w:rsidTr="00F53C04">
        <w:tc>
          <w:tcPr>
            <w:tcW w:w="3118" w:type="dxa"/>
          </w:tcPr>
          <w:p w14:paraId="108B7E5C" w14:textId="553ED084" w:rsidR="007E26F6" w:rsidRDefault="007E26F6" w:rsidP="007E26F6">
            <w:pPr>
              <w:pStyle w:val="BodyText"/>
              <w:jc w:val="center"/>
              <w:rPr>
                <w:lang w:val="en-US" w:eastAsia="fr-FR"/>
              </w:rPr>
            </w:pPr>
            <w:r>
              <w:rPr>
                <w:lang w:val="en-US" w:eastAsia="fr-FR"/>
              </w:rPr>
              <w:t>Lagoon</w:t>
            </w:r>
          </w:p>
        </w:tc>
        <w:tc>
          <w:tcPr>
            <w:tcW w:w="2263" w:type="dxa"/>
          </w:tcPr>
          <w:p w14:paraId="527B4A51" w14:textId="6B2773FE" w:rsidR="007E26F6" w:rsidRDefault="007E26F6" w:rsidP="007E26F6">
            <w:pPr>
              <w:pStyle w:val="BodyText"/>
              <w:jc w:val="center"/>
              <w:rPr>
                <w:lang w:val="en-US" w:eastAsia="fr-FR"/>
              </w:rPr>
            </w:pPr>
            <w:r>
              <w:rPr>
                <w:lang w:val="en-US" w:eastAsia="fr-FR"/>
              </w:rPr>
              <w:t>0</w:t>
            </w:r>
          </w:p>
        </w:tc>
      </w:tr>
      <w:tr w:rsidR="007E26F6" w14:paraId="7ED3C000" w14:textId="77777777" w:rsidTr="00F53C04">
        <w:tc>
          <w:tcPr>
            <w:tcW w:w="3118" w:type="dxa"/>
          </w:tcPr>
          <w:p w14:paraId="25D4D4A3" w14:textId="65D2286D" w:rsidR="007E26F6" w:rsidRDefault="007E26F6" w:rsidP="007E26F6">
            <w:pPr>
              <w:pStyle w:val="BodyText"/>
              <w:jc w:val="center"/>
              <w:rPr>
                <w:lang w:val="en-US" w:eastAsia="fr-FR"/>
              </w:rPr>
            </w:pPr>
            <w:r>
              <w:rPr>
                <w:lang w:val="en-US" w:eastAsia="fr-FR"/>
              </w:rPr>
              <w:t>Liquid/Slurry</w:t>
            </w:r>
          </w:p>
        </w:tc>
        <w:tc>
          <w:tcPr>
            <w:tcW w:w="2263" w:type="dxa"/>
          </w:tcPr>
          <w:p w14:paraId="70EE3E2A" w14:textId="28A2221B" w:rsidR="007E26F6" w:rsidRDefault="007E26F6" w:rsidP="007E26F6">
            <w:pPr>
              <w:pStyle w:val="BodyText"/>
              <w:jc w:val="center"/>
              <w:rPr>
                <w:lang w:val="en-US" w:eastAsia="fr-FR"/>
              </w:rPr>
            </w:pPr>
            <w:r>
              <w:rPr>
                <w:lang w:val="en-US" w:eastAsia="fr-FR"/>
              </w:rPr>
              <w:t>0.005</w:t>
            </w:r>
          </w:p>
        </w:tc>
      </w:tr>
      <w:tr w:rsidR="007E26F6" w14:paraId="54513750" w14:textId="77777777" w:rsidTr="00F53C04">
        <w:tc>
          <w:tcPr>
            <w:tcW w:w="3118" w:type="dxa"/>
          </w:tcPr>
          <w:p w14:paraId="1C79ABD3" w14:textId="4A65BA95" w:rsidR="007E26F6" w:rsidRDefault="007E26F6" w:rsidP="007E26F6">
            <w:pPr>
              <w:pStyle w:val="BodyText"/>
              <w:jc w:val="center"/>
              <w:rPr>
                <w:lang w:val="en-US" w:eastAsia="fr-FR"/>
              </w:rPr>
            </w:pPr>
            <w:r>
              <w:rPr>
                <w:lang w:val="en-US" w:eastAsia="fr-FR"/>
              </w:rPr>
              <w:t>Solid storage</w:t>
            </w:r>
          </w:p>
        </w:tc>
        <w:tc>
          <w:tcPr>
            <w:tcW w:w="2263" w:type="dxa"/>
          </w:tcPr>
          <w:p w14:paraId="02C17FD1" w14:textId="7503F17C" w:rsidR="007E26F6" w:rsidRDefault="007A0D16" w:rsidP="007E26F6">
            <w:pPr>
              <w:pStyle w:val="BodyText"/>
              <w:jc w:val="center"/>
              <w:rPr>
                <w:lang w:val="en-US" w:eastAsia="fr-FR"/>
              </w:rPr>
            </w:pPr>
            <w:r>
              <w:rPr>
                <w:lang w:val="en-US" w:eastAsia="fr-FR"/>
              </w:rPr>
              <w:t>0.01</w:t>
            </w:r>
          </w:p>
        </w:tc>
      </w:tr>
      <w:tr w:rsidR="007E26F6" w14:paraId="17FD4E43" w14:textId="77777777" w:rsidTr="00F53C04">
        <w:tc>
          <w:tcPr>
            <w:tcW w:w="3118" w:type="dxa"/>
          </w:tcPr>
          <w:p w14:paraId="4AC3CF5B" w14:textId="3BB3CFEE" w:rsidR="007E26F6" w:rsidRDefault="007E26F6" w:rsidP="007E26F6">
            <w:pPr>
              <w:pStyle w:val="BodyText"/>
              <w:jc w:val="center"/>
              <w:rPr>
                <w:lang w:val="en-US" w:eastAsia="fr-FR"/>
              </w:rPr>
            </w:pPr>
            <w:r>
              <w:rPr>
                <w:lang w:val="en-US" w:eastAsia="fr-FR"/>
              </w:rPr>
              <w:t>Dry lot</w:t>
            </w:r>
          </w:p>
        </w:tc>
        <w:tc>
          <w:tcPr>
            <w:tcW w:w="2263" w:type="dxa"/>
          </w:tcPr>
          <w:p w14:paraId="54F6B7FD" w14:textId="72BDCA0E" w:rsidR="007E26F6" w:rsidRDefault="007A0D16" w:rsidP="007E26F6">
            <w:pPr>
              <w:pStyle w:val="BodyText"/>
              <w:jc w:val="center"/>
              <w:rPr>
                <w:lang w:val="en-US" w:eastAsia="fr-FR"/>
              </w:rPr>
            </w:pPr>
            <w:r>
              <w:rPr>
                <w:lang w:val="en-US" w:eastAsia="fr-FR"/>
              </w:rPr>
              <w:t>0.02</w:t>
            </w:r>
          </w:p>
        </w:tc>
      </w:tr>
      <w:tr w:rsidR="007E26F6" w14:paraId="0A1A4F54" w14:textId="77777777" w:rsidTr="00F53C04">
        <w:tc>
          <w:tcPr>
            <w:tcW w:w="3118" w:type="dxa"/>
          </w:tcPr>
          <w:p w14:paraId="6BB022A6" w14:textId="7C3CA337" w:rsidR="007E26F6" w:rsidRDefault="007E26F6" w:rsidP="007E26F6">
            <w:pPr>
              <w:pStyle w:val="BodyText"/>
              <w:jc w:val="center"/>
              <w:rPr>
                <w:lang w:val="en-US" w:eastAsia="fr-FR"/>
              </w:rPr>
            </w:pPr>
            <w:r>
              <w:rPr>
                <w:lang w:val="en-US" w:eastAsia="fr-FR"/>
              </w:rPr>
              <w:t>Pasture/range</w:t>
            </w:r>
          </w:p>
        </w:tc>
        <w:tc>
          <w:tcPr>
            <w:tcW w:w="2263" w:type="dxa"/>
          </w:tcPr>
          <w:p w14:paraId="5F2E30FD" w14:textId="4FFB5DAC" w:rsidR="007E26F6" w:rsidRDefault="007A0D16" w:rsidP="007E26F6">
            <w:pPr>
              <w:pStyle w:val="BodyText"/>
              <w:jc w:val="center"/>
              <w:rPr>
                <w:lang w:val="en-US" w:eastAsia="fr-FR"/>
              </w:rPr>
            </w:pPr>
            <w:r>
              <w:rPr>
                <w:lang w:val="en-US" w:eastAsia="fr-FR"/>
              </w:rPr>
              <w:t>-</w:t>
            </w:r>
          </w:p>
        </w:tc>
      </w:tr>
      <w:tr w:rsidR="007E26F6" w14:paraId="661188F7" w14:textId="77777777" w:rsidTr="00F53C04">
        <w:tc>
          <w:tcPr>
            <w:tcW w:w="3118" w:type="dxa"/>
          </w:tcPr>
          <w:p w14:paraId="2E61EED5" w14:textId="3D4E794E" w:rsidR="007E26F6" w:rsidRDefault="007E26F6" w:rsidP="007E26F6">
            <w:pPr>
              <w:pStyle w:val="BodyText"/>
              <w:jc w:val="center"/>
              <w:rPr>
                <w:lang w:val="en-US" w:eastAsia="fr-FR"/>
              </w:rPr>
            </w:pPr>
            <w:r>
              <w:rPr>
                <w:lang w:val="en-US" w:eastAsia="fr-FR"/>
              </w:rPr>
              <w:t>Pit &lt; 1 month</w:t>
            </w:r>
          </w:p>
        </w:tc>
        <w:tc>
          <w:tcPr>
            <w:tcW w:w="2263" w:type="dxa"/>
          </w:tcPr>
          <w:p w14:paraId="7E142662" w14:textId="71492683" w:rsidR="007E26F6" w:rsidRDefault="007A0D16" w:rsidP="007E26F6">
            <w:pPr>
              <w:pStyle w:val="BodyText"/>
              <w:jc w:val="center"/>
              <w:rPr>
                <w:lang w:val="en-US" w:eastAsia="fr-FR"/>
              </w:rPr>
            </w:pPr>
            <w:r>
              <w:rPr>
                <w:lang w:val="en-US" w:eastAsia="fr-FR"/>
              </w:rPr>
              <w:t>0.002</w:t>
            </w:r>
          </w:p>
        </w:tc>
      </w:tr>
      <w:tr w:rsidR="007E26F6" w14:paraId="43024ED6" w14:textId="77777777" w:rsidTr="00F53C04">
        <w:tc>
          <w:tcPr>
            <w:tcW w:w="3118" w:type="dxa"/>
          </w:tcPr>
          <w:p w14:paraId="49C0663D" w14:textId="069076C9" w:rsidR="007E26F6" w:rsidRDefault="007E26F6" w:rsidP="007E26F6">
            <w:pPr>
              <w:pStyle w:val="BodyText"/>
              <w:jc w:val="center"/>
              <w:rPr>
                <w:lang w:val="en-US" w:eastAsia="fr-FR"/>
              </w:rPr>
            </w:pPr>
            <w:r>
              <w:rPr>
                <w:lang w:val="en-US" w:eastAsia="fr-FR"/>
              </w:rPr>
              <w:t>Pit &gt; 1 month</w:t>
            </w:r>
          </w:p>
        </w:tc>
        <w:tc>
          <w:tcPr>
            <w:tcW w:w="2263" w:type="dxa"/>
          </w:tcPr>
          <w:p w14:paraId="751F0B52" w14:textId="1B146D73" w:rsidR="007E26F6" w:rsidRDefault="007A0D16" w:rsidP="007E26F6">
            <w:pPr>
              <w:pStyle w:val="BodyText"/>
              <w:jc w:val="center"/>
              <w:rPr>
                <w:lang w:val="en-US" w:eastAsia="fr-FR"/>
              </w:rPr>
            </w:pPr>
            <w:r>
              <w:rPr>
                <w:lang w:val="en-US" w:eastAsia="fr-FR"/>
              </w:rPr>
              <w:t>0.002</w:t>
            </w:r>
          </w:p>
        </w:tc>
      </w:tr>
      <w:tr w:rsidR="007E26F6" w14:paraId="6F1FF244" w14:textId="77777777" w:rsidTr="00F53C04">
        <w:tc>
          <w:tcPr>
            <w:tcW w:w="3118" w:type="dxa"/>
          </w:tcPr>
          <w:p w14:paraId="4A973FEF" w14:textId="6F29C180" w:rsidR="007E26F6" w:rsidRDefault="007E26F6" w:rsidP="007E26F6">
            <w:pPr>
              <w:pStyle w:val="BodyText"/>
              <w:jc w:val="center"/>
              <w:rPr>
                <w:lang w:val="en-US" w:eastAsia="fr-FR"/>
              </w:rPr>
            </w:pPr>
            <w:r>
              <w:rPr>
                <w:lang w:val="en-US" w:eastAsia="fr-FR"/>
              </w:rPr>
              <w:lastRenderedPageBreak/>
              <w:t>Daily spread</w:t>
            </w:r>
          </w:p>
        </w:tc>
        <w:tc>
          <w:tcPr>
            <w:tcW w:w="2263" w:type="dxa"/>
          </w:tcPr>
          <w:p w14:paraId="277C85A6" w14:textId="74408CF6" w:rsidR="007E26F6" w:rsidRDefault="007A0D16" w:rsidP="007E26F6">
            <w:pPr>
              <w:pStyle w:val="BodyText"/>
              <w:jc w:val="center"/>
              <w:rPr>
                <w:lang w:val="en-US" w:eastAsia="fr-FR"/>
              </w:rPr>
            </w:pPr>
            <w:r>
              <w:rPr>
                <w:lang w:val="en-US" w:eastAsia="fr-FR"/>
              </w:rPr>
              <w:t>0</w:t>
            </w:r>
          </w:p>
        </w:tc>
      </w:tr>
      <w:tr w:rsidR="007E26F6" w14:paraId="2F0F17BF" w14:textId="77777777" w:rsidTr="00F53C04">
        <w:tc>
          <w:tcPr>
            <w:tcW w:w="3118" w:type="dxa"/>
          </w:tcPr>
          <w:p w14:paraId="379E070D" w14:textId="2FF14C74" w:rsidR="007E26F6" w:rsidRDefault="007E26F6" w:rsidP="007E26F6">
            <w:pPr>
              <w:pStyle w:val="BodyText"/>
              <w:jc w:val="center"/>
              <w:rPr>
                <w:lang w:val="en-US" w:eastAsia="fr-FR"/>
              </w:rPr>
            </w:pPr>
            <w:r>
              <w:rPr>
                <w:lang w:val="en-US" w:eastAsia="fr-FR"/>
              </w:rPr>
              <w:t>Poultry manure with litter</w:t>
            </w:r>
          </w:p>
        </w:tc>
        <w:tc>
          <w:tcPr>
            <w:tcW w:w="2263" w:type="dxa"/>
          </w:tcPr>
          <w:p w14:paraId="44814A60" w14:textId="60DCAA21" w:rsidR="007E26F6" w:rsidRDefault="007A0D16" w:rsidP="007E26F6">
            <w:pPr>
              <w:pStyle w:val="BodyText"/>
              <w:jc w:val="center"/>
              <w:rPr>
                <w:lang w:val="en-US" w:eastAsia="fr-FR"/>
              </w:rPr>
            </w:pPr>
            <w:r>
              <w:rPr>
                <w:lang w:val="en-US" w:eastAsia="fr-FR"/>
              </w:rPr>
              <w:t>0.001</w:t>
            </w:r>
          </w:p>
        </w:tc>
      </w:tr>
    </w:tbl>
    <w:p w14:paraId="5D91E65F" w14:textId="21CE28B2" w:rsidR="00F865EA" w:rsidRDefault="00F865EA" w:rsidP="0003002C">
      <w:pPr>
        <w:pStyle w:val="BodyText"/>
        <w:rPr>
          <w:lang w:val="en-US" w:eastAsia="fr-FR"/>
        </w:rPr>
      </w:pPr>
    </w:p>
    <w:p w14:paraId="5D52E299" w14:textId="289A871F" w:rsidR="00553FAF" w:rsidRDefault="00F865EA" w:rsidP="0003002C">
      <w:pPr>
        <w:pStyle w:val="BodyText"/>
        <w:rPr>
          <w:lang w:val="en-US" w:eastAsia="fr-FR"/>
        </w:rPr>
      </w:pPr>
      <w:r>
        <w:rPr>
          <w:lang w:val="en-US" w:eastAsia="fr-FR"/>
        </w:rPr>
        <w:t>T</w:t>
      </w:r>
      <w:r w:rsidR="00553FAF">
        <w:rPr>
          <w:lang w:val="en-US" w:eastAsia="fr-FR"/>
        </w:rPr>
        <w:t xml:space="preserve">he </w:t>
      </w:r>
      <w:r>
        <w:rPr>
          <w:lang w:val="en-US" w:eastAsia="fr-FR"/>
        </w:rPr>
        <w:t xml:space="preserve">resulting </w:t>
      </w:r>
      <w:r w:rsidR="00553FAF">
        <w:rPr>
          <w:lang w:val="en-US" w:eastAsia="fr-FR"/>
        </w:rPr>
        <w:t>EF for direct emissions of N</w:t>
      </w:r>
      <w:r w:rsidR="00553FAF" w:rsidRPr="00F53C04">
        <w:rPr>
          <w:vertAlign w:val="subscript"/>
          <w:lang w:val="en-US" w:eastAsia="fr-FR"/>
        </w:rPr>
        <w:t>2</w:t>
      </w:r>
      <w:r w:rsidR="00364EBD">
        <w:rPr>
          <w:lang w:val="en-US" w:eastAsia="fr-FR"/>
        </w:rPr>
        <w:t>O</w:t>
      </w:r>
      <w:r w:rsidR="00553FAF">
        <w:rPr>
          <w:lang w:val="en-US" w:eastAsia="fr-FR"/>
        </w:rPr>
        <w:t xml:space="preserve"> are as follows, for each livestock category:</w:t>
      </w:r>
    </w:p>
    <w:p w14:paraId="37122546" w14:textId="4EDC607F" w:rsidR="00553FAF" w:rsidRDefault="00553FAF" w:rsidP="00553FAF">
      <w:pPr>
        <w:pStyle w:val="Caption"/>
        <w:keepNext/>
      </w:pPr>
      <w:bookmarkStart w:id="697" w:name="_Toc184808574"/>
      <w:r>
        <w:t xml:space="preserve">Table </w:t>
      </w:r>
      <w:r>
        <w:fldChar w:fldCharType="begin"/>
      </w:r>
      <w:r>
        <w:instrText xml:space="preserve"> SEQ Table \* ARABIC </w:instrText>
      </w:r>
      <w:r>
        <w:fldChar w:fldCharType="separate"/>
      </w:r>
      <w:r w:rsidR="00F14C78">
        <w:rPr>
          <w:noProof/>
        </w:rPr>
        <w:t>31</w:t>
      </w:r>
      <w:r>
        <w:fldChar w:fldCharType="end"/>
      </w:r>
      <w:r>
        <w:t>: N</w:t>
      </w:r>
      <w:r w:rsidRPr="00622F40">
        <w:rPr>
          <w:vertAlign w:val="subscript"/>
        </w:rPr>
        <w:t>2</w:t>
      </w:r>
      <w:r>
        <w:t xml:space="preserve">O Emission factor </w:t>
      </w:r>
      <w:r w:rsidR="00902464">
        <w:t xml:space="preserve">for direct emissions from manure management (CRT 3B2) </w:t>
      </w:r>
      <w:r>
        <w:t>used in Serbian inventory</w:t>
      </w:r>
      <w:bookmarkEnd w:id="697"/>
    </w:p>
    <w:tbl>
      <w:tblPr>
        <w:tblStyle w:val="TableGrid"/>
        <w:tblW w:w="0" w:type="auto"/>
        <w:tblLook w:val="04A0" w:firstRow="1" w:lastRow="0" w:firstColumn="1" w:lastColumn="0" w:noHBand="0" w:noVBand="1"/>
      </w:tblPr>
      <w:tblGrid>
        <w:gridCol w:w="3118"/>
        <w:gridCol w:w="2264"/>
      </w:tblGrid>
      <w:tr w:rsidR="00553FAF" w14:paraId="347B9476" w14:textId="77777777" w:rsidTr="00F53C04">
        <w:tc>
          <w:tcPr>
            <w:tcW w:w="3118" w:type="dxa"/>
            <w:shd w:val="clear" w:color="auto" w:fill="B8CCE4" w:themeFill="accent1" w:themeFillTint="66"/>
          </w:tcPr>
          <w:p w14:paraId="4E2CD036" w14:textId="77777777" w:rsidR="00553FAF" w:rsidRPr="001F0275" w:rsidRDefault="00553FAF">
            <w:pPr>
              <w:pStyle w:val="BodyText"/>
              <w:jc w:val="center"/>
              <w:rPr>
                <w:b/>
                <w:bCs/>
                <w:lang w:val="en-US" w:eastAsia="fr-FR"/>
              </w:rPr>
            </w:pPr>
            <w:r w:rsidRPr="001F0275">
              <w:rPr>
                <w:b/>
                <w:bCs/>
                <w:lang w:val="en-US" w:eastAsia="fr-FR"/>
              </w:rPr>
              <w:t>Livestock category</w:t>
            </w:r>
          </w:p>
        </w:tc>
        <w:tc>
          <w:tcPr>
            <w:tcW w:w="2264" w:type="dxa"/>
            <w:shd w:val="clear" w:color="auto" w:fill="B8CCE4" w:themeFill="accent1" w:themeFillTint="66"/>
          </w:tcPr>
          <w:p w14:paraId="283C8308" w14:textId="4B3E80F6" w:rsidR="00553FAF" w:rsidRPr="001F0275" w:rsidRDefault="00553FAF">
            <w:pPr>
              <w:pStyle w:val="BodyText"/>
              <w:jc w:val="center"/>
              <w:rPr>
                <w:b/>
                <w:bCs/>
                <w:lang w:val="en-US" w:eastAsia="fr-FR"/>
              </w:rPr>
            </w:pPr>
            <w:r>
              <w:rPr>
                <w:b/>
                <w:bCs/>
                <w:lang w:val="en-US" w:eastAsia="fr-FR"/>
              </w:rPr>
              <w:t>EF N</w:t>
            </w:r>
            <w:r w:rsidRPr="00622F40">
              <w:rPr>
                <w:b/>
                <w:bCs/>
                <w:vertAlign w:val="subscript"/>
                <w:lang w:val="en-US" w:eastAsia="fr-FR"/>
              </w:rPr>
              <w:t>2</w:t>
            </w:r>
            <w:r>
              <w:rPr>
                <w:b/>
                <w:bCs/>
                <w:lang w:val="en-US" w:eastAsia="fr-FR"/>
              </w:rPr>
              <w:t>O (</w:t>
            </w:r>
            <w:r w:rsidR="006F0ACA">
              <w:rPr>
                <w:b/>
                <w:bCs/>
                <w:lang w:val="en-US" w:eastAsia="fr-FR"/>
              </w:rPr>
              <w:t>k</w:t>
            </w:r>
            <w:r>
              <w:rPr>
                <w:b/>
                <w:bCs/>
                <w:lang w:val="en-US" w:eastAsia="fr-FR"/>
              </w:rPr>
              <w:t>g/animal)</w:t>
            </w:r>
          </w:p>
        </w:tc>
      </w:tr>
      <w:tr w:rsidR="00553FAF" w14:paraId="3E21BCF7" w14:textId="77777777" w:rsidTr="00F53C04">
        <w:tc>
          <w:tcPr>
            <w:tcW w:w="3118" w:type="dxa"/>
          </w:tcPr>
          <w:p w14:paraId="03FB4272" w14:textId="77777777" w:rsidR="00553FAF" w:rsidRDefault="00553FAF">
            <w:pPr>
              <w:pStyle w:val="BodyText"/>
              <w:jc w:val="center"/>
              <w:rPr>
                <w:lang w:val="en-US" w:eastAsia="fr-FR"/>
              </w:rPr>
            </w:pPr>
            <w:r>
              <w:rPr>
                <w:lang w:val="en-US" w:eastAsia="fr-FR"/>
              </w:rPr>
              <w:t>Dairy cattle</w:t>
            </w:r>
          </w:p>
        </w:tc>
        <w:tc>
          <w:tcPr>
            <w:tcW w:w="2264" w:type="dxa"/>
          </w:tcPr>
          <w:p w14:paraId="5930BF24" w14:textId="37E628E5" w:rsidR="00553FAF" w:rsidRDefault="00902464">
            <w:pPr>
              <w:pStyle w:val="BodyText"/>
              <w:jc w:val="center"/>
              <w:rPr>
                <w:lang w:val="en-US" w:eastAsia="fr-FR"/>
              </w:rPr>
            </w:pPr>
            <w:r>
              <w:rPr>
                <w:lang w:val="en-US" w:eastAsia="fr-FR"/>
              </w:rPr>
              <w:t>1</w:t>
            </w:r>
            <w:r w:rsidR="008C540D">
              <w:rPr>
                <w:lang w:val="en-US" w:eastAsia="fr-FR"/>
              </w:rPr>
              <w:t>.</w:t>
            </w:r>
            <w:r>
              <w:rPr>
                <w:lang w:val="en-US" w:eastAsia="fr-FR"/>
              </w:rPr>
              <w:t>01</w:t>
            </w:r>
          </w:p>
        </w:tc>
      </w:tr>
      <w:tr w:rsidR="00553FAF" w14:paraId="72A31663" w14:textId="77777777" w:rsidTr="00F53C04">
        <w:tc>
          <w:tcPr>
            <w:tcW w:w="3118" w:type="dxa"/>
          </w:tcPr>
          <w:p w14:paraId="2F5B375C" w14:textId="77777777" w:rsidR="00553FAF" w:rsidRDefault="00553FAF">
            <w:pPr>
              <w:pStyle w:val="BodyText"/>
              <w:jc w:val="center"/>
              <w:rPr>
                <w:lang w:val="en-US" w:eastAsia="fr-FR"/>
              </w:rPr>
            </w:pPr>
            <w:r>
              <w:rPr>
                <w:lang w:val="en-US" w:eastAsia="fr-FR"/>
              </w:rPr>
              <w:t>Other cattle</w:t>
            </w:r>
          </w:p>
        </w:tc>
        <w:tc>
          <w:tcPr>
            <w:tcW w:w="2264" w:type="dxa"/>
          </w:tcPr>
          <w:p w14:paraId="59677FEA" w14:textId="13BBB6A1" w:rsidR="00553FAF" w:rsidRDefault="00C508A9">
            <w:pPr>
              <w:pStyle w:val="BodyText"/>
              <w:jc w:val="center"/>
              <w:rPr>
                <w:lang w:val="en-US" w:eastAsia="fr-FR"/>
              </w:rPr>
            </w:pPr>
            <w:r>
              <w:rPr>
                <w:lang w:val="en-US" w:eastAsia="fr-FR"/>
              </w:rPr>
              <w:t>0</w:t>
            </w:r>
            <w:r w:rsidR="008C540D">
              <w:rPr>
                <w:lang w:val="en-US" w:eastAsia="fr-FR"/>
              </w:rPr>
              <w:t>.</w:t>
            </w:r>
            <w:r w:rsidR="00902464">
              <w:rPr>
                <w:lang w:val="en-US" w:eastAsia="fr-FR"/>
              </w:rPr>
              <w:t>3</w:t>
            </w:r>
            <w:r>
              <w:rPr>
                <w:lang w:val="en-US" w:eastAsia="fr-FR"/>
              </w:rPr>
              <w:t>9</w:t>
            </w:r>
          </w:p>
        </w:tc>
      </w:tr>
      <w:tr w:rsidR="00553FAF" w14:paraId="0404C008" w14:textId="77777777" w:rsidTr="00F53C04">
        <w:tc>
          <w:tcPr>
            <w:tcW w:w="3118" w:type="dxa"/>
          </w:tcPr>
          <w:p w14:paraId="759EC0C2" w14:textId="77777777" w:rsidR="00553FAF" w:rsidRDefault="00553FAF">
            <w:pPr>
              <w:pStyle w:val="BodyText"/>
              <w:jc w:val="center"/>
              <w:rPr>
                <w:lang w:val="en-US" w:eastAsia="fr-FR"/>
              </w:rPr>
            </w:pPr>
            <w:r>
              <w:rPr>
                <w:lang w:val="en-US" w:eastAsia="fr-FR"/>
              </w:rPr>
              <w:t>Sheep</w:t>
            </w:r>
          </w:p>
        </w:tc>
        <w:tc>
          <w:tcPr>
            <w:tcW w:w="2264" w:type="dxa"/>
          </w:tcPr>
          <w:p w14:paraId="6655C8C9" w14:textId="235A055F" w:rsidR="00553FAF" w:rsidRDefault="00B45DE6">
            <w:pPr>
              <w:pStyle w:val="BodyText"/>
              <w:jc w:val="center"/>
              <w:rPr>
                <w:lang w:val="en-US" w:eastAsia="fr-FR"/>
              </w:rPr>
            </w:pPr>
            <w:r>
              <w:rPr>
                <w:lang w:val="en-US" w:eastAsia="fr-FR"/>
              </w:rPr>
              <w:t>0</w:t>
            </w:r>
            <w:r w:rsidR="008C540D">
              <w:rPr>
                <w:lang w:val="en-US" w:eastAsia="fr-FR"/>
              </w:rPr>
              <w:t>.</w:t>
            </w:r>
            <w:r>
              <w:rPr>
                <w:lang w:val="en-US" w:eastAsia="fr-FR"/>
              </w:rPr>
              <w:t>03</w:t>
            </w:r>
          </w:p>
        </w:tc>
      </w:tr>
      <w:tr w:rsidR="00553FAF" w14:paraId="4946943F" w14:textId="77777777" w:rsidTr="00F53C04">
        <w:tc>
          <w:tcPr>
            <w:tcW w:w="3118" w:type="dxa"/>
          </w:tcPr>
          <w:p w14:paraId="4547B3CB" w14:textId="77777777" w:rsidR="00553FAF" w:rsidRDefault="00553FAF">
            <w:pPr>
              <w:pStyle w:val="BodyText"/>
              <w:jc w:val="center"/>
              <w:rPr>
                <w:lang w:val="en-US" w:eastAsia="fr-FR"/>
              </w:rPr>
            </w:pPr>
            <w:r>
              <w:rPr>
                <w:lang w:val="en-US" w:eastAsia="fr-FR"/>
              </w:rPr>
              <w:t>Fattening pigs</w:t>
            </w:r>
          </w:p>
        </w:tc>
        <w:tc>
          <w:tcPr>
            <w:tcW w:w="2264" w:type="dxa"/>
          </w:tcPr>
          <w:p w14:paraId="6AC9581F" w14:textId="4F8CE0E8" w:rsidR="00553FAF" w:rsidRDefault="002E144E">
            <w:pPr>
              <w:pStyle w:val="BodyText"/>
              <w:jc w:val="center"/>
              <w:rPr>
                <w:lang w:val="en-US" w:eastAsia="fr-FR"/>
              </w:rPr>
            </w:pPr>
            <w:r>
              <w:rPr>
                <w:lang w:val="en-US" w:eastAsia="fr-FR"/>
              </w:rPr>
              <w:t>0</w:t>
            </w:r>
            <w:r w:rsidR="008C540D">
              <w:rPr>
                <w:lang w:val="en-US" w:eastAsia="fr-FR"/>
              </w:rPr>
              <w:t>.</w:t>
            </w:r>
            <w:r w:rsidR="00902464">
              <w:rPr>
                <w:lang w:val="en-US" w:eastAsia="fr-FR"/>
              </w:rPr>
              <w:t>1</w:t>
            </w:r>
            <w:r>
              <w:rPr>
                <w:lang w:val="en-US" w:eastAsia="fr-FR"/>
              </w:rPr>
              <w:t>9</w:t>
            </w:r>
          </w:p>
        </w:tc>
      </w:tr>
      <w:tr w:rsidR="00553FAF" w14:paraId="36FDBDFC" w14:textId="77777777" w:rsidTr="00F53C04">
        <w:tc>
          <w:tcPr>
            <w:tcW w:w="3118" w:type="dxa"/>
          </w:tcPr>
          <w:p w14:paraId="33B21FCF" w14:textId="77777777" w:rsidR="00553FAF" w:rsidRDefault="00553FAF">
            <w:pPr>
              <w:pStyle w:val="BodyText"/>
              <w:jc w:val="center"/>
              <w:rPr>
                <w:lang w:val="en-US" w:eastAsia="fr-FR"/>
              </w:rPr>
            </w:pPr>
            <w:r>
              <w:rPr>
                <w:lang w:val="en-US" w:eastAsia="fr-FR"/>
              </w:rPr>
              <w:t>Sows</w:t>
            </w:r>
          </w:p>
        </w:tc>
        <w:tc>
          <w:tcPr>
            <w:tcW w:w="2264" w:type="dxa"/>
          </w:tcPr>
          <w:p w14:paraId="537B29C1" w14:textId="6A9D047D" w:rsidR="00553FAF" w:rsidRDefault="009C24D5">
            <w:pPr>
              <w:pStyle w:val="BodyText"/>
              <w:jc w:val="center"/>
              <w:rPr>
                <w:lang w:val="en-US" w:eastAsia="fr-FR"/>
              </w:rPr>
            </w:pPr>
            <w:r>
              <w:rPr>
                <w:lang w:val="en-US" w:eastAsia="fr-FR"/>
              </w:rPr>
              <w:t>0</w:t>
            </w:r>
            <w:r w:rsidR="008C540D">
              <w:rPr>
                <w:lang w:val="en-US" w:eastAsia="fr-FR"/>
              </w:rPr>
              <w:t>.</w:t>
            </w:r>
            <w:r w:rsidR="00902464">
              <w:rPr>
                <w:lang w:val="en-US" w:eastAsia="fr-FR"/>
              </w:rPr>
              <w:t>31</w:t>
            </w:r>
          </w:p>
        </w:tc>
      </w:tr>
      <w:tr w:rsidR="00553FAF" w14:paraId="3383C5DF" w14:textId="77777777" w:rsidTr="00F53C04">
        <w:tc>
          <w:tcPr>
            <w:tcW w:w="3118" w:type="dxa"/>
          </w:tcPr>
          <w:p w14:paraId="3F6E4377" w14:textId="77777777" w:rsidR="00553FAF" w:rsidRDefault="00553FAF">
            <w:pPr>
              <w:pStyle w:val="BodyText"/>
              <w:jc w:val="center"/>
              <w:rPr>
                <w:lang w:val="en-US" w:eastAsia="fr-FR"/>
              </w:rPr>
            </w:pPr>
            <w:r>
              <w:rPr>
                <w:lang w:val="en-US" w:eastAsia="fr-FR"/>
              </w:rPr>
              <w:t>Goats</w:t>
            </w:r>
          </w:p>
        </w:tc>
        <w:tc>
          <w:tcPr>
            <w:tcW w:w="2264" w:type="dxa"/>
          </w:tcPr>
          <w:p w14:paraId="041EFAAF" w14:textId="44371EEC" w:rsidR="00553FAF" w:rsidRDefault="008C540D">
            <w:pPr>
              <w:pStyle w:val="BodyText"/>
              <w:jc w:val="center"/>
              <w:rPr>
                <w:lang w:val="en-US" w:eastAsia="fr-FR"/>
              </w:rPr>
            </w:pPr>
            <w:r>
              <w:rPr>
                <w:lang w:val="en-US" w:eastAsia="fr-FR"/>
              </w:rPr>
              <w:t>0</w:t>
            </w:r>
            <w:r w:rsidR="00226FAD">
              <w:rPr>
                <w:lang w:val="en-US" w:eastAsia="fr-FR"/>
              </w:rPr>
              <w:t>.</w:t>
            </w:r>
            <w:r>
              <w:rPr>
                <w:lang w:val="en-US" w:eastAsia="fr-FR"/>
              </w:rPr>
              <w:t>008</w:t>
            </w:r>
          </w:p>
        </w:tc>
      </w:tr>
      <w:tr w:rsidR="00553FAF" w14:paraId="04D9A14F" w14:textId="77777777" w:rsidTr="00F53C04">
        <w:tc>
          <w:tcPr>
            <w:tcW w:w="3118" w:type="dxa"/>
          </w:tcPr>
          <w:p w14:paraId="614ABBA0" w14:textId="77777777" w:rsidR="00553FAF" w:rsidRDefault="00553FAF">
            <w:pPr>
              <w:pStyle w:val="BodyText"/>
              <w:jc w:val="center"/>
              <w:rPr>
                <w:lang w:val="en-US" w:eastAsia="fr-FR"/>
              </w:rPr>
            </w:pPr>
            <w:r>
              <w:rPr>
                <w:lang w:val="en-US" w:eastAsia="fr-FR"/>
              </w:rPr>
              <w:t>Horses</w:t>
            </w:r>
          </w:p>
        </w:tc>
        <w:tc>
          <w:tcPr>
            <w:tcW w:w="2264" w:type="dxa"/>
          </w:tcPr>
          <w:p w14:paraId="0B0CCB22" w14:textId="5A6717D4" w:rsidR="00553FAF" w:rsidRDefault="001A3A64">
            <w:pPr>
              <w:pStyle w:val="BodyText"/>
              <w:jc w:val="center"/>
              <w:rPr>
                <w:lang w:val="en-US" w:eastAsia="fr-FR"/>
              </w:rPr>
            </w:pPr>
            <w:r>
              <w:rPr>
                <w:lang w:val="en-US" w:eastAsia="fr-FR"/>
              </w:rPr>
              <w:t>0</w:t>
            </w:r>
          </w:p>
        </w:tc>
      </w:tr>
      <w:tr w:rsidR="00553FAF" w14:paraId="1D0C8E93" w14:textId="77777777" w:rsidTr="00F53C04">
        <w:tc>
          <w:tcPr>
            <w:tcW w:w="3118" w:type="dxa"/>
          </w:tcPr>
          <w:p w14:paraId="2C0E11E4" w14:textId="77777777" w:rsidR="00553FAF" w:rsidRDefault="00553FAF">
            <w:pPr>
              <w:pStyle w:val="BodyText"/>
              <w:jc w:val="center"/>
              <w:rPr>
                <w:lang w:val="en-US" w:eastAsia="fr-FR"/>
              </w:rPr>
            </w:pPr>
            <w:r>
              <w:rPr>
                <w:lang w:val="en-US" w:eastAsia="fr-FR"/>
              </w:rPr>
              <w:t>Layers</w:t>
            </w:r>
          </w:p>
        </w:tc>
        <w:tc>
          <w:tcPr>
            <w:tcW w:w="2264" w:type="dxa"/>
          </w:tcPr>
          <w:p w14:paraId="32D12887" w14:textId="11AA0B72" w:rsidR="00553FAF" w:rsidRDefault="009B51FB">
            <w:pPr>
              <w:pStyle w:val="BodyText"/>
              <w:jc w:val="center"/>
              <w:rPr>
                <w:lang w:val="en-US" w:eastAsia="fr-FR"/>
              </w:rPr>
            </w:pPr>
            <w:r>
              <w:rPr>
                <w:lang w:val="en-US" w:eastAsia="fr-FR"/>
              </w:rPr>
              <w:t>0.00</w:t>
            </w:r>
            <w:r w:rsidR="00493BDC">
              <w:rPr>
                <w:lang w:val="en-US" w:eastAsia="fr-FR"/>
              </w:rPr>
              <w:t>9</w:t>
            </w:r>
          </w:p>
        </w:tc>
      </w:tr>
      <w:tr w:rsidR="00553FAF" w14:paraId="32530549" w14:textId="77777777" w:rsidTr="00F53C04">
        <w:tc>
          <w:tcPr>
            <w:tcW w:w="3118" w:type="dxa"/>
          </w:tcPr>
          <w:p w14:paraId="05C6547B" w14:textId="77777777" w:rsidR="00553FAF" w:rsidRDefault="00553FAF">
            <w:pPr>
              <w:pStyle w:val="BodyText"/>
              <w:jc w:val="center"/>
              <w:rPr>
                <w:lang w:val="en-US" w:eastAsia="fr-FR"/>
              </w:rPr>
            </w:pPr>
            <w:r>
              <w:rPr>
                <w:lang w:val="en-US" w:eastAsia="fr-FR"/>
              </w:rPr>
              <w:t>Broilers</w:t>
            </w:r>
          </w:p>
        </w:tc>
        <w:tc>
          <w:tcPr>
            <w:tcW w:w="2264" w:type="dxa"/>
          </w:tcPr>
          <w:p w14:paraId="24A39334" w14:textId="4385C15F" w:rsidR="00553FAF" w:rsidRDefault="00493BDC">
            <w:pPr>
              <w:pStyle w:val="BodyText"/>
              <w:jc w:val="center"/>
              <w:rPr>
                <w:lang w:val="en-US" w:eastAsia="fr-FR"/>
              </w:rPr>
            </w:pPr>
            <w:r>
              <w:rPr>
                <w:lang w:val="en-US" w:eastAsia="fr-FR"/>
              </w:rPr>
              <w:t>0.</w:t>
            </w:r>
            <w:r w:rsidR="00FE505B">
              <w:rPr>
                <w:lang w:val="en-US" w:eastAsia="fr-FR"/>
              </w:rPr>
              <w:t>00</w:t>
            </w:r>
            <w:r>
              <w:rPr>
                <w:lang w:val="en-US" w:eastAsia="fr-FR"/>
              </w:rPr>
              <w:t>07</w:t>
            </w:r>
          </w:p>
        </w:tc>
      </w:tr>
      <w:tr w:rsidR="00553FAF" w14:paraId="06749CD2" w14:textId="77777777" w:rsidTr="00F53C04">
        <w:tc>
          <w:tcPr>
            <w:tcW w:w="3118" w:type="dxa"/>
          </w:tcPr>
          <w:p w14:paraId="35FEA1BA" w14:textId="77777777" w:rsidR="00553FAF" w:rsidRDefault="00553FAF">
            <w:pPr>
              <w:pStyle w:val="BodyText"/>
              <w:jc w:val="center"/>
              <w:rPr>
                <w:lang w:val="en-US" w:eastAsia="fr-FR"/>
              </w:rPr>
            </w:pPr>
            <w:r>
              <w:rPr>
                <w:lang w:val="en-US" w:eastAsia="fr-FR"/>
              </w:rPr>
              <w:t>Turkeys</w:t>
            </w:r>
          </w:p>
        </w:tc>
        <w:tc>
          <w:tcPr>
            <w:tcW w:w="2264" w:type="dxa"/>
          </w:tcPr>
          <w:p w14:paraId="048F3F1B" w14:textId="7D5832BF" w:rsidR="00553FAF" w:rsidRDefault="00BA701A">
            <w:pPr>
              <w:pStyle w:val="BodyText"/>
              <w:jc w:val="center"/>
              <w:rPr>
                <w:lang w:val="en-US" w:eastAsia="fr-FR"/>
              </w:rPr>
            </w:pPr>
            <w:r>
              <w:rPr>
                <w:lang w:val="en-US" w:eastAsia="fr-FR"/>
              </w:rPr>
              <w:t>0.003</w:t>
            </w:r>
          </w:p>
        </w:tc>
      </w:tr>
      <w:tr w:rsidR="00553FAF" w14:paraId="52A59039" w14:textId="77777777" w:rsidTr="00F53C04">
        <w:tc>
          <w:tcPr>
            <w:tcW w:w="3118" w:type="dxa"/>
          </w:tcPr>
          <w:p w14:paraId="42B0C5A2" w14:textId="77777777" w:rsidR="00553FAF" w:rsidRDefault="00553FAF">
            <w:pPr>
              <w:pStyle w:val="BodyText"/>
              <w:jc w:val="center"/>
              <w:rPr>
                <w:lang w:val="en-US" w:eastAsia="fr-FR"/>
              </w:rPr>
            </w:pPr>
            <w:r>
              <w:rPr>
                <w:lang w:val="en-US" w:eastAsia="fr-FR"/>
              </w:rPr>
              <w:t>Other poultry</w:t>
            </w:r>
          </w:p>
        </w:tc>
        <w:tc>
          <w:tcPr>
            <w:tcW w:w="2264" w:type="dxa"/>
          </w:tcPr>
          <w:p w14:paraId="129AAB2D" w14:textId="3B9FD667" w:rsidR="00553FAF" w:rsidRDefault="00263C25">
            <w:pPr>
              <w:pStyle w:val="BodyText"/>
              <w:jc w:val="center"/>
              <w:rPr>
                <w:lang w:val="en-US" w:eastAsia="fr-FR"/>
              </w:rPr>
            </w:pPr>
            <w:r>
              <w:rPr>
                <w:lang w:val="en-US" w:eastAsia="fr-FR"/>
              </w:rPr>
              <w:t>0.00</w:t>
            </w:r>
            <w:r w:rsidR="00493BDC">
              <w:rPr>
                <w:lang w:val="en-US" w:eastAsia="fr-FR"/>
              </w:rPr>
              <w:t>13</w:t>
            </w:r>
          </w:p>
        </w:tc>
      </w:tr>
    </w:tbl>
    <w:p w14:paraId="15313193" w14:textId="77777777" w:rsidR="00553FAF" w:rsidRDefault="00553FAF" w:rsidP="0003002C">
      <w:pPr>
        <w:pStyle w:val="BodyText"/>
        <w:rPr>
          <w:lang w:val="en-US" w:eastAsia="fr-FR"/>
        </w:rPr>
      </w:pPr>
    </w:p>
    <w:p w14:paraId="16C4B5A0" w14:textId="6D2BBB7A" w:rsidR="0003002C" w:rsidRPr="0003002C" w:rsidRDefault="0003002C" w:rsidP="0003002C">
      <w:pPr>
        <w:pStyle w:val="BodyText"/>
        <w:rPr>
          <w:lang w:val="en-US" w:eastAsia="fr-FR"/>
        </w:rPr>
      </w:pPr>
      <w:r w:rsidRPr="0003002C">
        <w:rPr>
          <w:lang w:val="en-US" w:eastAsia="fr-FR"/>
        </w:rPr>
        <w:t>Indirect emissions of N</w:t>
      </w:r>
      <w:r w:rsidRPr="0003002C">
        <w:rPr>
          <w:vertAlign w:val="subscript"/>
          <w:lang w:val="en-US" w:eastAsia="fr-FR"/>
        </w:rPr>
        <w:t>2</w:t>
      </w:r>
      <w:r w:rsidRPr="0003002C">
        <w:rPr>
          <w:lang w:val="en-US" w:eastAsia="fr-FR"/>
        </w:rPr>
        <w:t xml:space="preserve">O from volatilization and leaching in manure management are calculated with a Tier 1 approach which is in line with the 2006 IPCC Guidelines </w:t>
      </w:r>
      <w:r w:rsidRPr="0003002C">
        <w:rPr>
          <w:lang w:val="en-US" w:eastAsia="fr-FR"/>
        </w:rPr>
        <w:fldChar w:fldCharType="begin"/>
      </w:r>
      <w:r w:rsidRPr="0003002C">
        <w:rPr>
          <w:lang w:val="en-US" w:eastAsia="fr-FR"/>
        </w:rPr>
        <w:instrText xml:space="preserve"> REF _Ref496716390 \r \h  \* MERGEFORMAT </w:instrText>
      </w:r>
      <w:r w:rsidRPr="0003002C">
        <w:rPr>
          <w:lang w:val="en-US" w:eastAsia="fr-FR"/>
        </w:rPr>
      </w:r>
      <w:r w:rsidRPr="0003002C">
        <w:rPr>
          <w:lang w:val="en-US" w:eastAsia="fr-FR"/>
        </w:rPr>
        <w:fldChar w:fldCharType="separate"/>
      </w:r>
      <w:r w:rsidR="00F14C78">
        <w:rPr>
          <w:lang w:val="en-US" w:eastAsia="fr-FR"/>
        </w:rPr>
        <w:t>[A4]</w:t>
      </w:r>
      <w:r w:rsidRPr="0003002C">
        <w:rPr>
          <w:lang w:val="en-US" w:eastAsia="fr-FR"/>
        </w:rPr>
        <w:fldChar w:fldCharType="end"/>
      </w:r>
      <w:r w:rsidRPr="0003002C">
        <w:rPr>
          <w:lang w:val="en-US" w:eastAsia="fr-FR"/>
        </w:rPr>
        <w:t xml:space="preserve">. </w:t>
      </w:r>
    </w:p>
    <w:p w14:paraId="0E7CD884" w14:textId="1B431317" w:rsidR="0003002C" w:rsidRPr="002462F0" w:rsidRDefault="009C5907" w:rsidP="0003002C">
      <w:pPr>
        <w:pStyle w:val="BodyText"/>
        <w:rPr>
          <w:lang w:val="en-US" w:eastAsia="fr-FR"/>
        </w:rPr>
      </w:pPr>
      <w:r>
        <w:rPr>
          <w:lang w:val="en-US" w:eastAsia="fr-FR"/>
        </w:rPr>
        <w:t>For indirect N</w:t>
      </w:r>
      <w:r w:rsidRPr="00622F40">
        <w:rPr>
          <w:vertAlign w:val="subscript"/>
          <w:lang w:val="en-US" w:eastAsia="fr-FR"/>
        </w:rPr>
        <w:t>2</w:t>
      </w:r>
      <w:r>
        <w:rPr>
          <w:lang w:val="en-US" w:eastAsia="fr-FR"/>
        </w:rPr>
        <w:t xml:space="preserve">O emission from volatilization, the activity data </w:t>
      </w:r>
      <w:r w:rsidR="00A76B7D">
        <w:rPr>
          <w:lang w:val="en-US" w:eastAsia="fr-FR"/>
        </w:rPr>
        <w:t>are</w:t>
      </w:r>
      <w:r>
        <w:rPr>
          <w:lang w:val="en-US" w:eastAsia="fr-FR"/>
        </w:rPr>
        <w:t xml:space="preserve"> the N volatilized as NH</w:t>
      </w:r>
      <w:r w:rsidRPr="00622F40">
        <w:rPr>
          <w:vertAlign w:val="subscript"/>
          <w:lang w:val="en-US" w:eastAsia="fr-FR"/>
        </w:rPr>
        <w:t>3</w:t>
      </w:r>
      <w:r>
        <w:rPr>
          <w:lang w:val="en-US" w:eastAsia="fr-FR"/>
        </w:rPr>
        <w:t xml:space="preserve"> and NOx. </w:t>
      </w:r>
      <w:r w:rsidR="00945F49">
        <w:rPr>
          <w:lang w:val="en-US" w:eastAsia="fr-FR"/>
        </w:rPr>
        <w:t>Relevant NH</w:t>
      </w:r>
      <w:r w:rsidR="00945F49" w:rsidRPr="00622F40">
        <w:rPr>
          <w:vertAlign w:val="subscript"/>
          <w:lang w:val="en-US" w:eastAsia="fr-FR"/>
        </w:rPr>
        <w:t>3</w:t>
      </w:r>
      <w:r w:rsidR="00945F49">
        <w:rPr>
          <w:lang w:val="en-US" w:eastAsia="fr-FR"/>
        </w:rPr>
        <w:t xml:space="preserve"> and NOx emissions</w:t>
      </w:r>
      <w:r>
        <w:rPr>
          <w:lang w:val="en-US" w:eastAsia="fr-FR"/>
        </w:rPr>
        <w:t xml:space="preserve"> are taken from the pollutants inventory produced by Serbia for the CLRTAP. </w:t>
      </w:r>
      <w:r w:rsidR="00FE2FCE">
        <w:rPr>
          <w:lang w:val="en-US" w:eastAsia="fr-FR"/>
        </w:rPr>
        <w:t>Th</w:t>
      </w:r>
      <w:r w:rsidR="00DF523B">
        <w:rPr>
          <w:lang w:val="en-US" w:eastAsia="fr-FR"/>
        </w:rPr>
        <w:t xml:space="preserve">e emission factor applied comes from the </w:t>
      </w:r>
      <w:r w:rsidR="0003002C" w:rsidRPr="0003002C">
        <w:rPr>
          <w:lang w:val="en-US" w:eastAsia="fr-FR"/>
        </w:rPr>
        <w:t xml:space="preserve">2006 IPCC guidelines </w:t>
      </w:r>
      <w:r w:rsidR="0003002C" w:rsidRPr="0003002C">
        <w:rPr>
          <w:lang w:val="en-US" w:eastAsia="fr-FR"/>
        </w:rPr>
        <w:fldChar w:fldCharType="begin"/>
      </w:r>
      <w:r w:rsidR="0003002C" w:rsidRPr="0003002C">
        <w:rPr>
          <w:lang w:val="en-US" w:eastAsia="fr-FR"/>
        </w:rPr>
        <w:instrText xml:space="preserve"> REF _Ref496775084 \r \h </w:instrText>
      </w:r>
      <w:r w:rsidR="0003002C">
        <w:rPr>
          <w:lang w:val="en-US" w:eastAsia="fr-FR"/>
        </w:rPr>
        <w:instrText xml:space="preserve"> \* MERGEFORMAT </w:instrText>
      </w:r>
      <w:r w:rsidR="0003002C" w:rsidRPr="0003002C">
        <w:rPr>
          <w:lang w:val="en-US" w:eastAsia="fr-FR"/>
        </w:rPr>
      </w:r>
      <w:r w:rsidR="0003002C" w:rsidRPr="0003002C">
        <w:rPr>
          <w:lang w:val="en-US" w:eastAsia="fr-FR"/>
        </w:rPr>
        <w:fldChar w:fldCharType="separate"/>
      </w:r>
      <w:r w:rsidR="00F14C78">
        <w:rPr>
          <w:lang w:val="en-US" w:eastAsia="fr-FR"/>
        </w:rPr>
        <w:t>[A9]</w:t>
      </w:r>
      <w:r w:rsidR="0003002C" w:rsidRPr="0003002C">
        <w:rPr>
          <w:lang w:val="en-US" w:eastAsia="fr-FR"/>
        </w:rPr>
        <w:fldChar w:fldCharType="end"/>
      </w:r>
      <w:r w:rsidR="0003002C" w:rsidRPr="0003002C">
        <w:rPr>
          <w:lang w:val="en-US" w:eastAsia="fr-FR"/>
        </w:rPr>
        <w:t>.</w:t>
      </w:r>
    </w:p>
    <w:p w14:paraId="2F5ED4E4" w14:textId="77777777" w:rsidR="007B2433" w:rsidRPr="002462F0" w:rsidRDefault="007B2433" w:rsidP="007B2433">
      <w:pPr>
        <w:pStyle w:val="Heading3"/>
        <w:ind w:left="1430"/>
        <w:rPr>
          <w:lang w:val="en-GB" w:eastAsia="fr-FR"/>
        </w:rPr>
      </w:pPr>
      <w:bookmarkStart w:id="698" w:name="_Toc182327919"/>
      <w:bookmarkStart w:id="699" w:name="_Toc184808265"/>
      <w:r w:rsidRPr="002462F0">
        <w:rPr>
          <w:lang w:val="en-GB" w:eastAsia="fr-FR"/>
        </w:rPr>
        <w:t>Uncertainties and time-series consistency</w:t>
      </w:r>
      <w:bookmarkEnd w:id="698"/>
      <w:bookmarkEnd w:id="699"/>
    </w:p>
    <w:p w14:paraId="641A04FE" w14:textId="77777777" w:rsidR="007B2433" w:rsidRPr="002462F0" w:rsidRDefault="007B2433" w:rsidP="007B2433">
      <w:pPr>
        <w:autoSpaceDE w:val="0"/>
        <w:autoSpaceDN w:val="0"/>
        <w:adjustRightInd w:val="0"/>
        <w:spacing w:after="0" w:line="240" w:lineRule="auto"/>
        <w:rPr>
          <w:b/>
          <w:sz w:val="24"/>
          <w:szCs w:val="24"/>
          <w:lang w:eastAsia="fr-FR"/>
        </w:rPr>
      </w:pPr>
      <w:r w:rsidRPr="002462F0">
        <w:rPr>
          <w:b/>
          <w:sz w:val="24"/>
          <w:szCs w:val="24"/>
          <w:lang w:eastAsia="fr-FR"/>
        </w:rPr>
        <w:t>CH</w:t>
      </w:r>
      <w:r w:rsidRPr="002462F0">
        <w:rPr>
          <w:b/>
          <w:sz w:val="24"/>
          <w:szCs w:val="24"/>
          <w:vertAlign w:val="subscript"/>
          <w:lang w:eastAsia="fr-FR"/>
        </w:rPr>
        <w:t>4</w:t>
      </w:r>
    </w:p>
    <w:p w14:paraId="553E8021" w14:textId="77777777" w:rsidR="007B2433" w:rsidRPr="002462F0" w:rsidRDefault="007B2433" w:rsidP="00D916DB">
      <w:pPr>
        <w:pStyle w:val="BodyText"/>
        <w:rPr>
          <w:lang w:eastAsia="fr-FR"/>
        </w:rPr>
      </w:pPr>
      <w:r w:rsidRPr="002462F0">
        <w:rPr>
          <w:lang w:eastAsia="fr-FR"/>
        </w:rPr>
        <w:t>Uncertainty estimate associated with activity data amounts to 20%, based on 2006 IPCC Guidelines (Volume 4, Chapter 10, Section 10.2.3).</w:t>
      </w:r>
    </w:p>
    <w:p w14:paraId="59C6557E" w14:textId="77777777" w:rsidR="007B2433" w:rsidRPr="002462F0" w:rsidRDefault="007B2433" w:rsidP="00D916DB">
      <w:pPr>
        <w:pStyle w:val="BodyText"/>
        <w:rPr>
          <w:lang w:eastAsia="fr-FR"/>
        </w:rPr>
      </w:pPr>
      <w:r w:rsidRPr="002462F0">
        <w:rPr>
          <w:lang w:eastAsia="fr-FR"/>
        </w:rPr>
        <w:t>Uncertainty estimate associated with CH</w:t>
      </w:r>
      <w:r w:rsidRPr="002462F0">
        <w:rPr>
          <w:vertAlign w:val="subscript"/>
          <w:lang w:eastAsia="fr-FR"/>
        </w:rPr>
        <w:t>4</w:t>
      </w:r>
      <w:r w:rsidRPr="002462F0">
        <w:rPr>
          <w:lang w:eastAsia="fr-FR"/>
        </w:rPr>
        <w:t xml:space="preserve"> emission factor amounts to 30%, also based on 2006 IPCC Guidelines (Volume 4, Chapter 10, Section 10.4.4). </w:t>
      </w:r>
    </w:p>
    <w:p w14:paraId="28CAA502" w14:textId="5A24FC8F" w:rsidR="007B2433" w:rsidRPr="002462F0" w:rsidRDefault="00671AD8" w:rsidP="00D916DB">
      <w:pPr>
        <w:pStyle w:val="BodyText"/>
        <w:rPr>
          <w:lang w:eastAsia="fr-FR"/>
        </w:rPr>
      </w:pPr>
      <w:r>
        <w:rPr>
          <w:lang w:eastAsia="fr-FR"/>
        </w:rPr>
        <w:t>The u</w:t>
      </w:r>
      <w:r w:rsidR="007B2433" w:rsidRPr="002462F0">
        <w:rPr>
          <w:lang w:eastAsia="fr-FR"/>
        </w:rPr>
        <w:t xml:space="preserve">ncertainty </w:t>
      </w:r>
      <w:r>
        <w:rPr>
          <w:lang w:eastAsia="fr-FR"/>
        </w:rPr>
        <w:t xml:space="preserve">combined </w:t>
      </w:r>
      <w:r w:rsidR="007B2433" w:rsidRPr="002462F0">
        <w:rPr>
          <w:lang w:eastAsia="fr-FR"/>
        </w:rPr>
        <w:t xml:space="preserve">for emissions is </w:t>
      </w:r>
      <w:r>
        <w:rPr>
          <w:lang w:eastAsia="fr-FR"/>
        </w:rPr>
        <w:t>0</w:t>
      </w:r>
      <w:r w:rsidR="006B5064">
        <w:rPr>
          <w:lang w:eastAsia="fr-FR"/>
        </w:rPr>
        <w:t>.3</w:t>
      </w:r>
      <w:r w:rsidR="007B2433" w:rsidRPr="002462F0">
        <w:rPr>
          <w:lang w:eastAsia="fr-FR"/>
        </w:rPr>
        <w:t>%</w:t>
      </w:r>
      <w:r>
        <w:rPr>
          <w:lang w:eastAsia="fr-FR"/>
        </w:rPr>
        <w:t xml:space="preserve"> in the total national levels of emission in 2022, excluding LULUCF contribution</w:t>
      </w:r>
      <w:r w:rsidR="007B2433" w:rsidRPr="002462F0">
        <w:rPr>
          <w:lang w:eastAsia="fr-FR"/>
        </w:rPr>
        <w:t>.</w:t>
      </w:r>
    </w:p>
    <w:p w14:paraId="0128F63A" w14:textId="77777777" w:rsidR="007B2433" w:rsidRPr="002462F0" w:rsidRDefault="007B2433" w:rsidP="007B2433">
      <w:pPr>
        <w:autoSpaceDE w:val="0"/>
        <w:autoSpaceDN w:val="0"/>
        <w:adjustRightInd w:val="0"/>
        <w:spacing w:after="0" w:line="240" w:lineRule="auto"/>
        <w:rPr>
          <w:b/>
          <w:sz w:val="24"/>
          <w:szCs w:val="24"/>
          <w:lang w:eastAsia="fr-FR"/>
        </w:rPr>
      </w:pPr>
      <w:r w:rsidRPr="002462F0">
        <w:rPr>
          <w:b/>
          <w:sz w:val="24"/>
          <w:szCs w:val="24"/>
          <w:lang w:eastAsia="fr-FR"/>
        </w:rPr>
        <w:t>N</w:t>
      </w:r>
      <w:r w:rsidRPr="002462F0">
        <w:rPr>
          <w:b/>
          <w:sz w:val="24"/>
          <w:szCs w:val="24"/>
          <w:vertAlign w:val="subscript"/>
          <w:lang w:eastAsia="fr-FR"/>
        </w:rPr>
        <w:t>2</w:t>
      </w:r>
      <w:r w:rsidRPr="002462F0">
        <w:rPr>
          <w:b/>
          <w:sz w:val="24"/>
          <w:szCs w:val="24"/>
          <w:lang w:eastAsia="fr-FR"/>
        </w:rPr>
        <w:t>O</w:t>
      </w:r>
    </w:p>
    <w:p w14:paraId="1B7AC0E6" w14:textId="77777777" w:rsidR="007B2433" w:rsidRPr="002462F0" w:rsidRDefault="007B2433" w:rsidP="00D916DB">
      <w:pPr>
        <w:pStyle w:val="BodyText"/>
        <w:rPr>
          <w:lang w:eastAsia="fr-FR"/>
        </w:rPr>
      </w:pPr>
      <w:r w:rsidRPr="002462F0">
        <w:rPr>
          <w:lang w:eastAsia="fr-FR"/>
        </w:rPr>
        <w:t>Uncertainty estimate associated with activity data amounts to 20%, based on 2006 IPCC Guidelines (Volume 4, Chapter 10, Section 10.2.3).</w:t>
      </w:r>
    </w:p>
    <w:p w14:paraId="4F470960" w14:textId="77777777" w:rsidR="007B2433" w:rsidRPr="002462F0" w:rsidRDefault="007B2433" w:rsidP="00D916DB">
      <w:pPr>
        <w:pStyle w:val="BodyText"/>
        <w:rPr>
          <w:lang w:eastAsia="fr-FR"/>
        </w:rPr>
      </w:pPr>
      <w:r w:rsidRPr="002462F0">
        <w:rPr>
          <w:lang w:eastAsia="fr-FR"/>
        </w:rPr>
        <w:t xml:space="preserve">Uncertainty estimate associated with CH4 emission factor amounts to 50%, also based on 2006 IPCC Guidelines (Volume 4, Chapter 10, Section 10.5.5). </w:t>
      </w:r>
    </w:p>
    <w:p w14:paraId="733F9AB3" w14:textId="57F9ED43" w:rsidR="007B2433" w:rsidRPr="002462F0" w:rsidRDefault="007B2433" w:rsidP="00D916DB">
      <w:pPr>
        <w:pStyle w:val="BodyText"/>
        <w:rPr>
          <w:lang w:eastAsia="fr-FR"/>
        </w:rPr>
      </w:pPr>
      <w:r w:rsidRPr="002462F0">
        <w:rPr>
          <w:lang w:eastAsia="fr-FR"/>
        </w:rPr>
        <w:lastRenderedPageBreak/>
        <w:t xml:space="preserve">Combined uncertainty for emissions is </w:t>
      </w:r>
      <w:r w:rsidR="00671AD8">
        <w:rPr>
          <w:lang w:eastAsia="fr-FR"/>
        </w:rPr>
        <w:t>0.3</w:t>
      </w:r>
      <w:r w:rsidRPr="002462F0">
        <w:rPr>
          <w:lang w:eastAsia="fr-FR"/>
        </w:rPr>
        <w:t>%</w:t>
      </w:r>
      <w:r w:rsidR="00671AD8">
        <w:rPr>
          <w:lang w:eastAsia="fr-FR"/>
        </w:rPr>
        <w:t xml:space="preserve"> in the total national levels of emission in 2022, excluding LULUCF contribution</w:t>
      </w:r>
      <w:r w:rsidRPr="002462F0">
        <w:rPr>
          <w:lang w:eastAsia="fr-FR"/>
        </w:rPr>
        <w:t>.</w:t>
      </w:r>
    </w:p>
    <w:p w14:paraId="6A1EC00F" w14:textId="6F8F51C4" w:rsidR="007B2433" w:rsidRDefault="007B2433" w:rsidP="007B2433">
      <w:pPr>
        <w:pStyle w:val="Heading3"/>
        <w:ind w:left="709" w:hanging="709"/>
        <w:rPr>
          <w:lang w:val="en-GB" w:eastAsia="fr-FR"/>
        </w:rPr>
      </w:pPr>
      <w:bookmarkStart w:id="700" w:name="_Toc182327920"/>
      <w:bookmarkStart w:id="701" w:name="_Toc184808266"/>
      <w:r w:rsidRPr="002462F0">
        <w:rPr>
          <w:lang w:val="en-GB" w:eastAsia="fr-FR"/>
        </w:rPr>
        <w:t>Category-specific QA/QC and verification</w:t>
      </w:r>
      <w:bookmarkEnd w:id="700"/>
      <w:bookmarkEnd w:id="701"/>
    </w:p>
    <w:p w14:paraId="3E76B452" w14:textId="461B269B" w:rsidR="004E54FB" w:rsidRPr="002462F0" w:rsidRDefault="004E54FB" w:rsidP="004E54FB">
      <w:pPr>
        <w:pStyle w:val="BodyText"/>
        <w:rPr>
          <w:lang w:val="en-US" w:eastAsia="fr-FR"/>
        </w:rPr>
      </w:pPr>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38BAE32E" w14:textId="6840AF7B" w:rsidR="007B2433" w:rsidRPr="002462F0" w:rsidRDefault="007B2433" w:rsidP="007B2433">
      <w:pPr>
        <w:pStyle w:val="Heading3"/>
        <w:ind w:left="709" w:hanging="709"/>
        <w:rPr>
          <w:lang w:val="en-GB" w:eastAsia="fr-FR"/>
        </w:rPr>
      </w:pPr>
      <w:bookmarkStart w:id="702" w:name="_Toc182327921"/>
      <w:bookmarkStart w:id="703" w:name="_Toc184808267"/>
      <w:r w:rsidRPr="002462F0">
        <w:rPr>
          <w:lang w:val="en-GB" w:eastAsia="fr-FR"/>
        </w:rPr>
        <w:t>Category-specific recalculations</w:t>
      </w:r>
      <w:bookmarkEnd w:id="702"/>
      <w:bookmarkEnd w:id="703"/>
    </w:p>
    <w:p w14:paraId="74AA2C7B" w14:textId="77BC0184" w:rsidR="007B2433" w:rsidRPr="002462F0" w:rsidRDefault="007B2433" w:rsidP="00D916DB">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3F79638B" w14:textId="1498F573" w:rsidR="007B2433" w:rsidRPr="002462F0" w:rsidRDefault="007B2433" w:rsidP="007B2433">
      <w:pPr>
        <w:pStyle w:val="Heading3"/>
        <w:ind w:left="709" w:hanging="709"/>
        <w:rPr>
          <w:lang w:val="en-GB" w:eastAsia="fr-FR"/>
        </w:rPr>
      </w:pPr>
      <w:bookmarkStart w:id="704" w:name="_Toc182327922"/>
      <w:bookmarkStart w:id="705" w:name="_Toc184808268"/>
      <w:r w:rsidRPr="002462F0">
        <w:rPr>
          <w:lang w:val="en-GB" w:eastAsia="fr-FR"/>
        </w:rPr>
        <w:t>Category-specific planned improvements</w:t>
      </w:r>
      <w:bookmarkEnd w:id="704"/>
      <w:bookmarkEnd w:id="705"/>
    </w:p>
    <w:p w14:paraId="190EA1F8" w14:textId="77777777" w:rsidR="00D315F4" w:rsidRDefault="00D315F4" w:rsidP="00D315F4">
      <w:pPr>
        <w:pStyle w:val="BodyText"/>
        <w:rPr>
          <w:lang w:eastAsia="fr-FR"/>
        </w:rPr>
      </w:pPr>
      <w:r>
        <w:rPr>
          <w:lang w:eastAsia="fr-FR"/>
        </w:rPr>
        <w:t>Currently, the estimation of CH</w:t>
      </w:r>
      <w:r w:rsidRPr="00622F40">
        <w:rPr>
          <w:vertAlign w:val="subscript"/>
          <w:lang w:eastAsia="fr-FR"/>
        </w:rPr>
        <w:t>4</w:t>
      </w:r>
      <w:r>
        <w:rPr>
          <w:lang w:eastAsia="fr-FR"/>
        </w:rPr>
        <w:t xml:space="preserve"> and N</w:t>
      </w:r>
      <w:r w:rsidRPr="00622F40">
        <w:rPr>
          <w:vertAlign w:val="subscript"/>
          <w:lang w:eastAsia="fr-FR"/>
        </w:rPr>
        <w:t>2</w:t>
      </w:r>
      <w:r>
        <w:rPr>
          <w:lang w:eastAsia="fr-FR"/>
        </w:rPr>
        <w:t xml:space="preserve">O emissions from manure management mobilize many default parameters from the IPCC. An important improvement would be to move to national specific parameters to better reflect national circumstances. </w:t>
      </w:r>
    </w:p>
    <w:p w14:paraId="4B58385D" w14:textId="199B8CD5" w:rsidR="004E54FB" w:rsidRPr="00622F40" w:rsidRDefault="00D315F4" w:rsidP="00037962">
      <w:pPr>
        <w:pStyle w:val="BodyText"/>
        <w:rPr>
          <w:color w:val="FF0000"/>
          <w:lang w:eastAsia="fr-FR"/>
        </w:rPr>
      </w:pPr>
      <w:r>
        <w:rPr>
          <w:lang w:eastAsia="fr-FR"/>
        </w:rPr>
        <w:t>Another</w:t>
      </w:r>
      <w:r w:rsidR="004E54FB">
        <w:rPr>
          <w:lang w:eastAsia="fr-FR"/>
        </w:rPr>
        <w:t xml:space="preserve"> significant improvement will be to move the emission estimation to the 2019 IPCC refinement.</w:t>
      </w:r>
    </w:p>
    <w:p w14:paraId="477E66B1" w14:textId="65952BB9" w:rsidR="007B2433" w:rsidRPr="009C1CF3" w:rsidRDefault="007B2433" w:rsidP="009C1CF3">
      <w:pPr>
        <w:pStyle w:val="Heading2"/>
        <w:rPr>
          <w:rStyle w:val="Heading2Char"/>
          <w:b/>
        </w:rPr>
      </w:pPr>
      <w:bookmarkStart w:id="706" w:name="_Toc182327923"/>
      <w:bookmarkStart w:id="707" w:name="_Toc184808269"/>
      <w:r w:rsidRPr="009C1CF3">
        <w:rPr>
          <w:rStyle w:val="Heading2Char"/>
          <w:b/>
        </w:rPr>
        <w:t>Agricultural soils (</w:t>
      </w:r>
      <w:r w:rsidR="008931E5">
        <w:rPr>
          <w:rStyle w:val="Heading2Char"/>
          <w:b/>
        </w:rPr>
        <w:t xml:space="preserve">CRT </w:t>
      </w:r>
      <w:r w:rsidRPr="009C1CF3">
        <w:rPr>
          <w:rStyle w:val="Heading2Char"/>
          <w:b/>
        </w:rPr>
        <w:t>3D)</w:t>
      </w:r>
      <w:bookmarkEnd w:id="706"/>
      <w:bookmarkEnd w:id="707"/>
    </w:p>
    <w:p w14:paraId="599D0546" w14:textId="23AC8E45" w:rsidR="001F6D8D" w:rsidRDefault="00835783" w:rsidP="00835783">
      <w:pPr>
        <w:rPr>
          <w:lang w:val="en-US"/>
        </w:rPr>
      </w:pPr>
      <w:r>
        <w:rPr>
          <w:lang w:val="en-US"/>
        </w:rPr>
        <w:t xml:space="preserve">The </w:t>
      </w:r>
      <w:r w:rsidR="00EE1867">
        <w:rPr>
          <w:lang w:val="en-US"/>
        </w:rPr>
        <w:t>agricultural soils</w:t>
      </w:r>
      <w:r>
        <w:rPr>
          <w:lang w:val="en-US"/>
        </w:rPr>
        <w:t xml:space="preserve"> category covers the </w:t>
      </w:r>
      <w:r w:rsidR="003334D3">
        <w:rPr>
          <w:lang w:val="en-US"/>
        </w:rPr>
        <w:t>direct (</w:t>
      </w:r>
      <w:r w:rsidR="00334DFC">
        <w:rPr>
          <w:lang w:val="en-US"/>
        </w:rPr>
        <w:t xml:space="preserve">3D1) and indirect (3D2) </w:t>
      </w:r>
      <w:r>
        <w:rPr>
          <w:lang w:val="en-US"/>
        </w:rPr>
        <w:t xml:space="preserve">emissions of </w:t>
      </w:r>
      <w:r w:rsidR="003334D3">
        <w:rPr>
          <w:lang w:val="en-US"/>
        </w:rPr>
        <w:t>N</w:t>
      </w:r>
      <w:r w:rsidR="003334D3">
        <w:rPr>
          <w:vertAlign w:val="subscript"/>
          <w:lang w:val="en-US"/>
        </w:rPr>
        <w:t>2</w:t>
      </w:r>
      <w:r w:rsidR="003334D3" w:rsidRPr="00622F40">
        <w:rPr>
          <w:lang w:val="en-US"/>
        </w:rPr>
        <w:t>O</w:t>
      </w:r>
      <w:r w:rsidR="00B4790F">
        <w:rPr>
          <w:lang w:val="en-US"/>
        </w:rPr>
        <w:t xml:space="preserve">. For direct emissions, </w:t>
      </w:r>
      <w:r w:rsidR="00215FF4">
        <w:rPr>
          <w:lang w:val="en-US"/>
        </w:rPr>
        <w:t>the following emission sources are covered in the Serbian inventory</w:t>
      </w:r>
      <w:r w:rsidR="001F6D8D">
        <w:rPr>
          <w:lang w:val="en-US"/>
        </w:rPr>
        <w:t>:</w:t>
      </w:r>
    </w:p>
    <w:p w14:paraId="2ACF0CD6" w14:textId="1EC364A7" w:rsidR="00835783" w:rsidRDefault="000F4E4C" w:rsidP="001F6D8D">
      <w:pPr>
        <w:pStyle w:val="ListParagraph"/>
        <w:numPr>
          <w:ilvl w:val="0"/>
          <w:numId w:val="74"/>
        </w:numPr>
        <w:rPr>
          <w:lang w:val="en-US"/>
        </w:rPr>
      </w:pPr>
      <w:r>
        <w:rPr>
          <w:lang w:val="en-US"/>
        </w:rPr>
        <w:t xml:space="preserve">Application of inorganic N </w:t>
      </w:r>
      <w:proofErr w:type="spellStart"/>
      <w:r>
        <w:rPr>
          <w:lang w:val="en-US"/>
        </w:rPr>
        <w:t>fertili</w:t>
      </w:r>
      <w:r w:rsidR="00BB2183">
        <w:rPr>
          <w:lang w:val="en-US"/>
        </w:rPr>
        <w:t>s</w:t>
      </w:r>
      <w:r>
        <w:rPr>
          <w:lang w:val="en-US"/>
        </w:rPr>
        <w:t>ers</w:t>
      </w:r>
      <w:proofErr w:type="spellEnd"/>
      <w:r>
        <w:rPr>
          <w:lang w:val="en-US"/>
        </w:rPr>
        <w:t xml:space="preserve"> (</w:t>
      </w:r>
      <w:r w:rsidR="008931E5">
        <w:rPr>
          <w:lang w:val="en-US"/>
        </w:rPr>
        <w:t xml:space="preserve">CRT </w:t>
      </w:r>
      <w:r>
        <w:rPr>
          <w:lang w:val="en-US"/>
        </w:rPr>
        <w:t>3D1</w:t>
      </w:r>
      <w:r w:rsidR="00497864">
        <w:rPr>
          <w:lang w:val="en-US"/>
        </w:rPr>
        <w:t>.</w:t>
      </w:r>
      <w:r>
        <w:rPr>
          <w:lang w:val="en-US"/>
        </w:rPr>
        <w:t>1),</w:t>
      </w:r>
    </w:p>
    <w:p w14:paraId="0913126F" w14:textId="238038E8" w:rsidR="000F4E4C" w:rsidRDefault="007A7293" w:rsidP="001F6D8D">
      <w:pPr>
        <w:pStyle w:val="ListParagraph"/>
        <w:numPr>
          <w:ilvl w:val="0"/>
          <w:numId w:val="74"/>
        </w:numPr>
        <w:rPr>
          <w:lang w:val="en-US"/>
        </w:rPr>
      </w:pPr>
      <w:r>
        <w:rPr>
          <w:lang w:val="en-US"/>
        </w:rPr>
        <w:t>Application of animal manure (</w:t>
      </w:r>
      <w:r w:rsidR="008931E5">
        <w:rPr>
          <w:lang w:val="en-US"/>
        </w:rPr>
        <w:t xml:space="preserve">CRT </w:t>
      </w:r>
      <w:r>
        <w:rPr>
          <w:lang w:val="en-US"/>
        </w:rPr>
        <w:t>3D1</w:t>
      </w:r>
      <w:r w:rsidR="00497864">
        <w:rPr>
          <w:lang w:val="en-US"/>
        </w:rPr>
        <w:t>.</w:t>
      </w:r>
      <w:r>
        <w:rPr>
          <w:lang w:val="en-US"/>
        </w:rPr>
        <w:t>2</w:t>
      </w:r>
      <w:r w:rsidR="00497864">
        <w:rPr>
          <w:lang w:val="en-US"/>
        </w:rPr>
        <w:t>.</w:t>
      </w:r>
      <w:r w:rsidR="004D16C0">
        <w:rPr>
          <w:lang w:val="en-US"/>
        </w:rPr>
        <w:t>a</w:t>
      </w:r>
      <w:r>
        <w:rPr>
          <w:lang w:val="en-US"/>
        </w:rPr>
        <w:t>),</w:t>
      </w:r>
    </w:p>
    <w:p w14:paraId="7EFF4840" w14:textId="1F4B38C8" w:rsidR="007A7293" w:rsidRDefault="004D16C0" w:rsidP="001F6D8D">
      <w:pPr>
        <w:pStyle w:val="ListParagraph"/>
        <w:numPr>
          <w:ilvl w:val="0"/>
          <w:numId w:val="74"/>
        </w:numPr>
        <w:rPr>
          <w:lang w:val="en-US"/>
        </w:rPr>
      </w:pPr>
      <w:r>
        <w:rPr>
          <w:lang w:val="en-US"/>
        </w:rPr>
        <w:t>Urine and dung deposited by grazing animals (</w:t>
      </w:r>
      <w:r w:rsidR="008931E5">
        <w:rPr>
          <w:lang w:val="en-US"/>
        </w:rPr>
        <w:t xml:space="preserve">CRT </w:t>
      </w:r>
      <w:r>
        <w:rPr>
          <w:lang w:val="en-US"/>
        </w:rPr>
        <w:t>3D1</w:t>
      </w:r>
      <w:r w:rsidR="00497864">
        <w:rPr>
          <w:lang w:val="en-US"/>
        </w:rPr>
        <w:t>.</w:t>
      </w:r>
      <w:r>
        <w:rPr>
          <w:lang w:val="en-US"/>
        </w:rPr>
        <w:t>3),</w:t>
      </w:r>
    </w:p>
    <w:p w14:paraId="31D6641B" w14:textId="29749D6B" w:rsidR="004D16C0" w:rsidRDefault="00AF235E" w:rsidP="001F6D8D">
      <w:pPr>
        <w:pStyle w:val="ListParagraph"/>
        <w:numPr>
          <w:ilvl w:val="0"/>
          <w:numId w:val="74"/>
        </w:numPr>
        <w:rPr>
          <w:lang w:val="en-US"/>
        </w:rPr>
      </w:pPr>
      <w:r>
        <w:rPr>
          <w:lang w:val="en-US"/>
        </w:rPr>
        <w:t>Crop residues (</w:t>
      </w:r>
      <w:r w:rsidR="008931E5">
        <w:rPr>
          <w:lang w:val="en-US"/>
        </w:rPr>
        <w:t xml:space="preserve">CRT </w:t>
      </w:r>
      <w:r>
        <w:rPr>
          <w:lang w:val="en-US"/>
        </w:rPr>
        <w:t>3D1</w:t>
      </w:r>
      <w:r w:rsidR="00497864">
        <w:rPr>
          <w:lang w:val="en-US"/>
        </w:rPr>
        <w:t>.</w:t>
      </w:r>
      <w:r>
        <w:rPr>
          <w:lang w:val="en-US"/>
        </w:rPr>
        <w:t>4),</w:t>
      </w:r>
    </w:p>
    <w:p w14:paraId="0A027FF8" w14:textId="7E68AEFF" w:rsidR="00AF235E" w:rsidRDefault="004F16B4" w:rsidP="001F6D8D">
      <w:pPr>
        <w:pStyle w:val="ListParagraph"/>
        <w:numPr>
          <w:ilvl w:val="0"/>
          <w:numId w:val="74"/>
        </w:numPr>
        <w:rPr>
          <w:lang w:val="en-US"/>
        </w:rPr>
      </w:pPr>
      <w:r>
        <w:rPr>
          <w:lang w:val="en-US"/>
        </w:rPr>
        <w:t>Cultivation of organic soils (</w:t>
      </w:r>
      <w:r w:rsidR="008931E5">
        <w:rPr>
          <w:lang w:val="en-US"/>
        </w:rPr>
        <w:t xml:space="preserve">CRT </w:t>
      </w:r>
      <w:r>
        <w:rPr>
          <w:lang w:val="en-US"/>
        </w:rPr>
        <w:t>3D1</w:t>
      </w:r>
      <w:r w:rsidR="00497864">
        <w:rPr>
          <w:lang w:val="en-US"/>
        </w:rPr>
        <w:t>.</w:t>
      </w:r>
      <w:r>
        <w:rPr>
          <w:lang w:val="en-US"/>
        </w:rPr>
        <w:t>6)</w:t>
      </w:r>
      <w:r w:rsidR="00096CC6">
        <w:rPr>
          <w:lang w:val="en-US"/>
        </w:rPr>
        <w:t>.</w:t>
      </w:r>
    </w:p>
    <w:p w14:paraId="16183AA0" w14:textId="2E7F71BC" w:rsidR="004F16B4" w:rsidRDefault="00096CC6" w:rsidP="00096CC6">
      <w:pPr>
        <w:rPr>
          <w:lang w:val="en-US"/>
        </w:rPr>
      </w:pPr>
      <w:r>
        <w:rPr>
          <w:lang w:val="en-US"/>
        </w:rPr>
        <w:t xml:space="preserve">Emissions related </w:t>
      </w:r>
      <w:r w:rsidR="00215FF4">
        <w:rPr>
          <w:lang w:val="en-US"/>
        </w:rPr>
        <w:t xml:space="preserve">to the application of </w:t>
      </w:r>
      <w:r w:rsidR="00CD2669">
        <w:rPr>
          <w:lang w:val="en-US"/>
        </w:rPr>
        <w:t>sewage sludge (</w:t>
      </w:r>
      <w:r w:rsidR="008931E5">
        <w:rPr>
          <w:lang w:val="en-US"/>
        </w:rPr>
        <w:t xml:space="preserve">CRT </w:t>
      </w:r>
      <w:r w:rsidR="00CD2669">
        <w:rPr>
          <w:lang w:val="en-US"/>
        </w:rPr>
        <w:t>3D12b)</w:t>
      </w:r>
      <w:r w:rsidR="00C509F8">
        <w:rPr>
          <w:lang w:val="en-US"/>
        </w:rPr>
        <w:t>,</w:t>
      </w:r>
      <w:r w:rsidR="00CD2669">
        <w:rPr>
          <w:lang w:val="en-US"/>
        </w:rPr>
        <w:t xml:space="preserve"> other organic </w:t>
      </w:r>
      <w:proofErr w:type="spellStart"/>
      <w:r w:rsidR="00CD2669">
        <w:rPr>
          <w:lang w:val="en-US"/>
        </w:rPr>
        <w:t>fertili</w:t>
      </w:r>
      <w:r w:rsidR="00BB2183">
        <w:rPr>
          <w:lang w:val="en-US"/>
        </w:rPr>
        <w:t>s</w:t>
      </w:r>
      <w:r w:rsidR="00CD2669">
        <w:rPr>
          <w:lang w:val="en-US"/>
        </w:rPr>
        <w:t>ers</w:t>
      </w:r>
      <w:proofErr w:type="spellEnd"/>
      <w:r w:rsidR="00CD2669">
        <w:rPr>
          <w:lang w:val="en-US"/>
        </w:rPr>
        <w:t xml:space="preserve"> (</w:t>
      </w:r>
      <w:r w:rsidR="008931E5">
        <w:rPr>
          <w:lang w:val="en-US"/>
        </w:rPr>
        <w:t xml:space="preserve">CRT </w:t>
      </w:r>
      <w:r w:rsidR="00CD2669">
        <w:rPr>
          <w:lang w:val="en-US"/>
        </w:rPr>
        <w:t>3D1</w:t>
      </w:r>
      <w:r w:rsidR="00497864">
        <w:rPr>
          <w:lang w:val="en-US"/>
        </w:rPr>
        <w:t>.</w:t>
      </w:r>
      <w:r w:rsidR="00CD2669">
        <w:rPr>
          <w:lang w:val="en-US"/>
        </w:rPr>
        <w:t>2</w:t>
      </w:r>
      <w:r w:rsidR="00497864">
        <w:rPr>
          <w:lang w:val="en-US"/>
        </w:rPr>
        <w:t>.</w:t>
      </w:r>
      <w:r w:rsidR="00CD2669">
        <w:rPr>
          <w:lang w:val="en-US"/>
        </w:rPr>
        <w:t>c), mineralization/ immobilization associated with loss/gain of soil organic matter (</w:t>
      </w:r>
      <w:r w:rsidR="008931E5">
        <w:rPr>
          <w:lang w:val="en-US"/>
        </w:rPr>
        <w:t xml:space="preserve">CRT </w:t>
      </w:r>
      <w:r w:rsidR="00CD2669">
        <w:rPr>
          <w:lang w:val="en-US"/>
        </w:rPr>
        <w:t>3D15)</w:t>
      </w:r>
      <w:r w:rsidR="00C764EF">
        <w:rPr>
          <w:lang w:val="en-US"/>
        </w:rPr>
        <w:t xml:space="preserve">, are all considered as “not occurring” (NO). </w:t>
      </w:r>
    </w:p>
    <w:p w14:paraId="7C73DBBB" w14:textId="4316FB8E" w:rsidR="00311A39" w:rsidRPr="00A64137" w:rsidRDefault="00311A39" w:rsidP="00096CC6">
      <w:pPr>
        <w:rPr>
          <w:lang w:val="en-US"/>
        </w:rPr>
      </w:pPr>
      <w:r>
        <w:rPr>
          <w:lang w:val="en-US"/>
        </w:rPr>
        <w:t>For indirect e</w:t>
      </w:r>
      <w:r w:rsidR="00F80A02">
        <w:rPr>
          <w:lang w:val="en-US"/>
        </w:rPr>
        <w:t xml:space="preserve">missions, the emissions are distinguished </w:t>
      </w:r>
      <w:r w:rsidR="006958E8">
        <w:rPr>
          <w:lang w:val="en-US"/>
        </w:rPr>
        <w:t>between</w:t>
      </w:r>
      <w:r w:rsidR="00F80A02">
        <w:rPr>
          <w:lang w:val="en-US"/>
        </w:rPr>
        <w:t xml:space="preserve"> the </w:t>
      </w:r>
      <w:r w:rsidR="007F5950">
        <w:rPr>
          <w:lang w:val="en-US"/>
        </w:rPr>
        <w:t>atmospheric deposition (</w:t>
      </w:r>
      <w:r w:rsidR="008931E5">
        <w:rPr>
          <w:lang w:val="en-US"/>
        </w:rPr>
        <w:t xml:space="preserve">CRT </w:t>
      </w:r>
      <w:r w:rsidR="006958E8">
        <w:rPr>
          <w:lang w:val="en-US"/>
        </w:rPr>
        <w:t>3D21)</w:t>
      </w:r>
      <w:r w:rsidR="005433BF">
        <w:rPr>
          <w:lang w:val="en-US"/>
        </w:rPr>
        <w:t xml:space="preserve"> and</w:t>
      </w:r>
      <w:r w:rsidR="006958E8">
        <w:rPr>
          <w:lang w:val="en-US"/>
        </w:rPr>
        <w:t xml:space="preserve"> the nitrogen leaching and run-off (</w:t>
      </w:r>
      <w:r w:rsidR="008931E5">
        <w:rPr>
          <w:lang w:val="en-US"/>
        </w:rPr>
        <w:t xml:space="preserve">CRT </w:t>
      </w:r>
      <w:r w:rsidR="006958E8">
        <w:rPr>
          <w:lang w:val="en-US"/>
        </w:rPr>
        <w:t>3D2</w:t>
      </w:r>
      <w:r w:rsidR="00497864">
        <w:rPr>
          <w:lang w:val="en-US"/>
        </w:rPr>
        <w:t>.</w:t>
      </w:r>
      <w:r w:rsidR="006958E8">
        <w:rPr>
          <w:lang w:val="en-US"/>
        </w:rPr>
        <w:t>2)</w:t>
      </w:r>
      <w:r w:rsidR="005433BF">
        <w:rPr>
          <w:lang w:val="en-US"/>
        </w:rPr>
        <w:t>.</w:t>
      </w:r>
    </w:p>
    <w:p w14:paraId="533496FC" w14:textId="68797B46" w:rsidR="005D697D" w:rsidRDefault="00371419" w:rsidP="00835783">
      <w:pPr>
        <w:rPr>
          <w:lang w:eastAsia="fr-FR"/>
        </w:rPr>
      </w:pPr>
      <w:r>
        <w:rPr>
          <w:lang w:eastAsia="fr-FR"/>
        </w:rPr>
        <w:t xml:space="preserve">For the period 1990-2022, the emissions of the CRT </w:t>
      </w:r>
      <w:r w:rsidR="008D386B">
        <w:rPr>
          <w:lang w:eastAsia="fr-FR"/>
        </w:rPr>
        <w:t>3D</w:t>
      </w:r>
      <w:r>
        <w:rPr>
          <w:lang w:eastAsia="fr-FR"/>
        </w:rPr>
        <w:t xml:space="preserve"> category </w:t>
      </w:r>
      <w:r w:rsidR="008D386B">
        <w:rPr>
          <w:lang w:eastAsia="fr-FR"/>
        </w:rPr>
        <w:t xml:space="preserve">vary significantly </w:t>
      </w:r>
      <w:r w:rsidR="001615DC">
        <w:rPr>
          <w:lang w:eastAsia="fr-FR"/>
        </w:rPr>
        <w:t xml:space="preserve">and, after having </w:t>
      </w:r>
      <w:r w:rsidR="006F56DF">
        <w:rPr>
          <w:lang w:eastAsia="fr-FR"/>
        </w:rPr>
        <w:t>peaked in 2009, follow a</w:t>
      </w:r>
      <w:r w:rsidR="00D43CA1">
        <w:rPr>
          <w:lang w:eastAsia="fr-FR"/>
        </w:rPr>
        <w:t xml:space="preserve"> global </w:t>
      </w:r>
      <w:r w:rsidR="006F56DF">
        <w:rPr>
          <w:lang w:eastAsia="fr-FR"/>
        </w:rPr>
        <w:t>decline since then</w:t>
      </w:r>
      <w:r w:rsidR="00D43CA1">
        <w:rPr>
          <w:lang w:eastAsia="fr-FR"/>
        </w:rPr>
        <w:t xml:space="preserve">. Overall, the emissions have increased by </w:t>
      </w:r>
      <w:r w:rsidR="006B4246">
        <w:rPr>
          <w:lang w:eastAsia="fr-FR"/>
        </w:rPr>
        <w:t>71% over the studied period</w:t>
      </w:r>
      <w:r w:rsidR="00FA6F1B">
        <w:rPr>
          <w:lang w:eastAsia="fr-FR"/>
        </w:rPr>
        <w:t xml:space="preserve">. </w:t>
      </w:r>
      <w:r w:rsidR="005D697D">
        <w:rPr>
          <w:lang w:eastAsia="fr-FR"/>
        </w:rPr>
        <w:t>From 2000 onwards, t</w:t>
      </w:r>
      <w:r w:rsidR="00FA6F1B">
        <w:rPr>
          <w:lang w:eastAsia="fr-FR"/>
        </w:rPr>
        <w:t>he emissions vary in particular in relation with the change in the amount</w:t>
      </w:r>
      <w:r w:rsidR="008F7AAF">
        <w:rPr>
          <w:lang w:eastAsia="fr-FR"/>
        </w:rPr>
        <w:t>s of inorganic fertili</w:t>
      </w:r>
      <w:r w:rsidR="00BB2183">
        <w:rPr>
          <w:lang w:eastAsia="fr-FR"/>
        </w:rPr>
        <w:t>s</w:t>
      </w:r>
      <w:r w:rsidR="008F7AAF">
        <w:rPr>
          <w:lang w:eastAsia="fr-FR"/>
        </w:rPr>
        <w:t xml:space="preserve">ers applied to the soils. </w:t>
      </w:r>
      <w:r w:rsidR="005D697D">
        <w:rPr>
          <w:lang w:eastAsia="fr-FR"/>
        </w:rPr>
        <w:t>Indeed, in 2022</w:t>
      </w:r>
      <w:r w:rsidR="00835783">
        <w:rPr>
          <w:lang w:eastAsia="fr-FR"/>
        </w:rPr>
        <w:t>, the CRT 3</w:t>
      </w:r>
      <w:r w:rsidR="001E14FA">
        <w:rPr>
          <w:lang w:eastAsia="fr-FR"/>
        </w:rPr>
        <w:t>D</w:t>
      </w:r>
      <w:r w:rsidR="00B26D05">
        <w:rPr>
          <w:lang w:eastAsia="fr-FR"/>
        </w:rPr>
        <w:t>1</w:t>
      </w:r>
      <w:r w:rsidR="00497864">
        <w:rPr>
          <w:lang w:eastAsia="fr-FR"/>
        </w:rPr>
        <w:t>.</w:t>
      </w:r>
      <w:r w:rsidR="00B26D05">
        <w:rPr>
          <w:lang w:eastAsia="fr-FR"/>
        </w:rPr>
        <w:t>1</w:t>
      </w:r>
      <w:r w:rsidR="001E14FA">
        <w:rPr>
          <w:lang w:eastAsia="fr-FR"/>
        </w:rPr>
        <w:t xml:space="preserve"> </w:t>
      </w:r>
      <w:r w:rsidR="00B26D05">
        <w:rPr>
          <w:lang w:eastAsia="fr-FR"/>
        </w:rPr>
        <w:t>i</w:t>
      </w:r>
      <w:r w:rsidR="00835783">
        <w:rPr>
          <w:lang w:eastAsia="fr-FR"/>
        </w:rPr>
        <w:t xml:space="preserve">s the </w:t>
      </w:r>
      <w:r w:rsidR="00B26D05">
        <w:rPr>
          <w:lang w:eastAsia="fr-FR"/>
        </w:rPr>
        <w:t xml:space="preserve">most important </w:t>
      </w:r>
      <w:r w:rsidR="00835783">
        <w:rPr>
          <w:lang w:eastAsia="fr-FR"/>
        </w:rPr>
        <w:t>emission</w:t>
      </w:r>
      <w:r w:rsidR="00B26D05">
        <w:rPr>
          <w:lang w:eastAsia="fr-FR"/>
        </w:rPr>
        <w:t xml:space="preserve"> source</w:t>
      </w:r>
      <w:r w:rsidR="00835783">
        <w:rPr>
          <w:lang w:eastAsia="fr-FR"/>
        </w:rPr>
        <w:t xml:space="preserve">, </w:t>
      </w:r>
      <w:r w:rsidR="00B26D05">
        <w:rPr>
          <w:lang w:eastAsia="fr-FR"/>
        </w:rPr>
        <w:t>contributing to 44</w:t>
      </w:r>
      <w:r w:rsidR="00835783">
        <w:rPr>
          <w:lang w:eastAsia="fr-FR"/>
        </w:rPr>
        <w:t xml:space="preserve">% </w:t>
      </w:r>
      <w:r w:rsidR="00B26D05">
        <w:rPr>
          <w:lang w:eastAsia="fr-FR"/>
        </w:rPr>
        <w:t xml:space="preserve">to </w:t>
      </w:r>
      <w:r w:rsidR="00835783">
        <w:rPr>
          <w:lang w:eastAsia="fr-FR"/>
        </w:rPr>
        <w:t>the sector</w:t>
      </w:r>
      <w:r w:rsidR="00B26D05">
        <w:rPr>
          <w:lang w:eastAsia="fr-FR"/>
        </w:rPr>
        <w:t>al</w:t>
      </w:r>
      <w:r w:rsidR="00835783">
        <w:rPr>
          <w:lang w:eastAsia="fr-FR"/>
        </w:rPr>
        <w:t xml:space="preserve"> emissions</w:t>
      </w:r>
      <w:r w:rsidR="00B26D05">
        <w:rPr>
          <w:lang w:eastAsia="fr-FR"/>
        </w:rPr>
        <w:t xml:space="preserve">, whereas it was way less predominant </w:t>
      </w:r>
      <w:r w:rsidR="00835783">
        <w:rPr>
          <w:lang w:eastAsia="fr-FR"/>
        </w:rPr>
        <w:t xml:space="preserve">in 1990 </w:t>
      </w:r>
      <w:r w:rsidR="00B26D05">
        <w:rPr>
          <w:lang w:eastAsia="fr-FR"/>
        </w:rPr>
        <w:t>with 11</w:t>
      </w:r>
      <w:r w:rsidR="00835783">
        <w:rPr>
          <w:lang w:eastAsia="fr-FR"/>
        </w:rPr>
        <w:t xml:space="preserve">%. </w:t>
      </w:r>
      <w:r w:rsidR="00B26D05">
        <w:rPr>
          <w:lang w:eastAsia="fr-FR"/>
        </w:rPr>
        <w:t>This is due to an important increase in the use of inorganic fertili</w:t>
      </w:r>
      <w:r w:rsidR="00BB2183">
        <w:rPr>
          <w:lang w:eastAsia="fr-FR"/>
        </w:rPr>
        <w:t>s</w:t>
      </w:r>
      <w:r w:rsidR="00B26D05">
        <w:rPr>
          <w:lang w:eastAsia="fr-FR"/>
        </w:rPr>
        <w:t xml:space="preserve">ers, whereas </w:t>
      </w:r>
      <w:r w:rsidR="004618DB">
        <w:rPr>
          <w:lang w:eastAsia="fr-FR"/>
        </w:rPr>
        <w:t xml:space="preserve">other important emissions sources </w:t>
      </w:r>
      <w:r w:rsidR="00173BD6">
        <w:rPr>
          <w:lang w:eastAsia="fr-FR"/>
        </w:rPr>
        <w:t>such as crop residues (</w:t>
      </w:r>
      <w:r w:rsidR="008931E5">
        <w:rPr>
          <w:lang w:eastAsia="fr-FR"/>
        </w:rPr>
        <w:t xml:space="preserve">CRT </w:t>
      </w:r>
      <w:r w:rsidR="00173BD6">
        <w:rPr>
          <w:lang w:eastAsia="fr-FR"/>
        </w:rPr>
        <w:t>3D</w:t>
      </w:r>
      <w:r w:rsidR="00414A72">
        <w:rPr>
          <w:lang w:eastAsia="fr-FR"/>
        </w:rPr>
        <w:t>1</w:t>
      </w:r>
      <w:r w:rsidR="00497864">
        <w:rPr>
          <w:lang w:eastAsia="fr-FR"/>
        </w:rPr>
        <w:t>.</w:t>
      </w:r>
      <w:r w:rsidR="00173BD6">
        <w:rPr>
          <w:lang w:eastAsia="fr-FR"/>
        </w:rPr>
        <w:t>4) remain</w:t>
      </w:r>
      <w:r w:rsidR="008C2294">
        <w:rPr>
          <w:lang w:eastAsia="fr-FR"/>
        </w:rPr>
        <w:t>ed</w:t>
      </w:r>
      <w:r w:rsidR="00173BD6">
        <w:rPr>
          <w:lang w:eastAsia="fr-FR"/>
        </w:rPr>
        <w:t xml:space="preserve"> stable or</w:t>
      </w:r>
      <w:r w:rsidR="00617B09">
        <w:rPr>
          <w:lang w:eastAsia="fr-FR"/>
        </w:rPr>
        <w:t xml:space="preserve"> decrease</w:t>
      </w:r>
      <w:r w:rsidR="008C2294">
        <w:rPr>
          <w:lang w:eastAsia="fr-FR"/>
        </w:rPr>
        <w:t>d</w:t>
      </w:r>
      <w:r w:rsidR="00617B09">
        <w:rPr>
          <w:lang w:eastAsia="fr-FR"/>
        </w:rPr>
        <w:t xml:space="preserve">, </w:t>
      </w:r>
      <w:r w:rsidR="008C2294">
        <w:rPr>
          <w:lang w:eastAsia="fr-FR"/>
        </w:rPr>
        <w:t xml:space="preserve">such as the application of animal manure </w:t>
      </w:r>
      <w:r w:rsidR="008C2294">
        <w:rPr>
          <w:lang w:val="en-US"/>
        </w:rPr>
        <w:t>(</w:t>
      </w:r>
      <w:r w:rsidR="008931E5">
        <w:rPr>
          <w:lang w:val="en-US"/>
        </w:rPr>
        <w:t xml:space="preserve">CRT </w:t>
      </w:r>
      <w:r w:rsidR="008C2294">
        <w:rPr>
          <w:lang w:val="en-US"/>
        </w:rPr>
        <w:t>3D1</w:t>
      </w:r>
      <w:r w:rsidR="00497864">
        <w:rPr>
          <w:lang w:val="en-US"/>
        </w:rPr>
        <w:t>.</w:t>
      </w:r>
      <w:r w:rsidR="008C2294">
        <w:rPr>
          <w:lang w:val="en-US"/>
        </w:rPr>
        <w:t>2</w:t>
      </w:r>
      <w:r w:rsidR="00497864">
        <w:rPr>
          <w:lang w:val="en-US"/>
        </w:rPr>
        <w:t>.</w:t>
      </w:r>
      <w:r w:rsidR="008C2294">
        <w:rPr>
          <w:lang w:val="en-US"/>
        </w:rPr>
        <w:t xml:space="preserve">a). </w:t>
      </w:r>
      <w:r w:rsidR="005D4778">
        <w:rPr>
          <w:lang w:val="en-US"/>
        </w:rPr>
        <w:t xml:space="preserve">The </w:t>
      </w:r>
      <w:r w:rsidR="005D4778">
        <w:rPr>
          <w:lang w:val="en-US"/>
        </w:rPr>
        <w:lastRenderedPageBreak/>
        <w:t xml:space="preserve">two other </w:t>
      </w:r>
      <w:r w:rsidR="006E7273">
        <w:rPr>
          <w:lang w:val="en-US"/>
        </w:rPr>
        <w:t xml:space="preserve">important categories </w:t>
      </w:r>
      <w:r w:rsidR="003133A2">
        <w:rPr>
          <w:lang w:val="en-US"/>
        </w:rPr>
        <w:t>of this sector are the</w:t>
      </w:r>
      <w:r w:rsidR="00BF4F3C">
        <w:rPr>
          <w:lang w:val="en-US"/>
        </w:rPr>
        <w:t xml:space="preserve"> </w:t>
      </w:r>
      <w:r w:rsidR="008931E5">
        <w:rPr>
          <w:lang w:val="en-US"/>
        </w:rPr>
        <w:t xml:space="preserve">CRT </w:t>
      </w:r>
      <w:r w:rsidR="00414A72">
        <w:rPr>
          <w:lang w:val="en-US"/>
        </w:rPr>
        <w:t>3D1</w:t>
      </w:r>
      <w:r w:rsidR="00497864">
        <w:rPr>
          <w:lang w:val="en-US"/>
        </w:rPr>
        <w:t>.</w:t>
      </w:r>
      <w:r w:rsidR="00414A72">
        <w:rPr>
          <w:lang w:val="en-US"/>
        </w:rPr>
        <w:t>4</w:t>
      </w:r>
      <w:r w:rsidR="0091615C">
        <w:rPr>
          <w:lang w:val="en-US"/>
        </w:rPr>
        <w:t xml:space="preserve">, which </w:t>
      </w:r>
      <w:r w:rsidR="00210E4D">
        <w:rPr>
          <w:lang w:val="en-US"/>
        </w:rPr>
        <w:t xml:space="preserve">contributed to 33% in 1990 and 20% in 2022, </w:t>
      </w:r>
      <w:r w:rsidR="00D478F7">
        <w:rPr>
          <w:lang w:val="en-US"/>
        </w:rPr>
        <w:t>and the indirect emissions from leaching and run-off (</w:t>
      </w:r>
      <w:r w:rsidR="008931E5">
        <w:rPr>
          <w:lang w:val="en-US"/>
        </w:rPr>
        <w:t xml:space="preserve">CRT </w:t>
      </w:r>
      <w:r w:rsidR="00D478F7">
        <w:rPr>
          <w:lang w:val="en-US"/>
        </w:rPr>
        <w:t>3D2</w:t>
      </w:r>
      <w:r w:rsidR="00497864">
        <w:rPr>
          <w:lang w:val="en-US"/>
        </w:rPr>
        <w:t>.</w:t>
      </w:r>
      <w:r w:rsidR="00D478F7">
        <w:rPr>
          <w:lang w:val="en-US"/>
        </w:rPr>
        <w:t xml:space="preserve">2) which </w:t>
      </w:r>
      <w:r w:rsidR="00E61B63">
        <w:rPr>
          <w:lang w:val="en-US"/>
        </w:rPr>
        <w:t xml:space="preserve">as a rather stable to 20-21%. </w:t>
      </w:r>
    </w:p>
    <w:p w14:paraId="74F23C70" w14:textId="3C0A8533" w:rsidR="00835783" w:rsidRDefault="00F93BFD" w:rsidP="00F53C04">
      <w:pPr>
        <w:spacing w:after="0"/>
        <w:rPr>
          <w:lang w:eastAsia="fr-FR"/>
        </w:rPr>
      </w:pPr>
      <w:r>
        <w:rPr>
          <w:noProof/>
          <w:lang w:val="en-US"/>
        </w:rPr>
        <w:drawing>
          <wp:inline distT="0" distB="0" distL="0" distR="0" wp14:anchorId="0B0BCE68" wp14:editId="13B8A39B">
            <wp:extent cx="5760000" cy="3260746"/>
            <wp:effectExtent l="0" t="0" r="0" b="0"/>
            <wp:docPr id="1198500689"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0000" cy="3260746"/>
                    </a:xfrm>
                    <a:prstGeom prst="rect">
                      <a:avLst/>
                    </a:prstGeom>
                    <a:noFill/>
                  </pic:spPr>
                </pic:pic>
              </a:graphicData>
            </a:graphic>
          </wp:inline>
        </w:drawing>
      </w:r>
    </w:p>
    <w:p w14:paraId="775B1147" w14:textId="77777777" w:rsidR="00F53C04" w:rsidRPr="002462F0" w:rsidRDefault="00F53C04" w:rsidP="00F53C04">
      <w:pPr>
        <w:pStyle w:val="Caption"/>
        <w:spacing w:before="0" w:after="0"/>
        <w:jc w:val="both"/>
        <w:rPr>
          <w:sz w:val="22"/>
          <w:lang w:eastAsia="fr-FR"/>
        </w:rPr>
      </w:pPr>
      <w:bookmarkStart w:id="708" w:name="_Toc184808491"/>
      <w:r w:rsidRPr="002462F0">
        <w:t xml:space="preserve">Figure </w:t>
      </w:r>
      <w:r w:rsidRPr="002462F0">
        <w:fldChar w:fldCharType="begin"/>
      </w:r>
      <w:r w:rsidRPr="002462F0">
        <w:instrText xml:space="preserve"> SEQ Figure \* ARABIC </w:instrText>
      </w:r>
      <w:r w:rsidRPr="002462F0">
        <w:fldChar w:fldCharType="separate"/>
      </w:r>
      <w:r>
        <w:rPr>
          <w:noProof/>
        </w:rPr>
        <w:t>104</w:t>
      </w:r>
      <w:r w:rsidRPr="002462F0">
        <w:fldChar w:fldCharType="end"/>
      </w:r>
      <w:r w:rsidRPr="002462F0">
        <w:t xml:space="preserve">: GHG emission trends for </w:t>
      </w:r>
      <w:r>
        <w:t>agricultural soils (CRT 3D), for the period 1990-2022, per subcategory</w:t>
      </w:r>
      <w:r w:rsidRPr="002462F0">
        <w:t xml:space="preserve"> (</w:t>
      </w:r>
      <w:r>
        <w:t xml:space="preserve">in </w:t>
      </w:r>
      <w:r w:rsidRPr="002462F0">
        <w:t>kt CO</w:t>
      </w:r>
      <w:r w:rsidRPr="002462F0">
        <w:rPr>
          <w:vertAlign w:val="subscript"/>
        </w:rPr>
        <w:t>2</w:t>
      </w:r>
      <w:r w:rsidRPr="002462F0">
        <w:t>e)</w:t>
      </w:r>
      <w:bookmarkEnd w:id="708"/>
    </w:p>
    <w:p w14:paraId="4BD7AFE4" w14:textId="448C3A96" w:rsidR="00835783" w:rsidRPr="002462F0" w:rsidRDefault="008A6548" w:rsidP="00F53C04">
      <w:pPr>
        <w:spacing w:before="240" w:after="0"/>
        <w:jc w:val="center"/>
      </w:pPr>
      <w:r>
        <w:rPr>
          <w:noProof/>
          <w:lang w:val="en-US"/>
        </w:rPr>
        <w:drawing>
          <wp:inline distT="0" distB="0" distL="0" distR="0" wp14:anchorId="7CE5CB4E" wp14:editId="422AA376">
            <wp:extent cx="2880000" cy="1660454"/>
            <wp:effectExtent l="0" t="0" r="0" b="0"/>
            <wp:docPr id="886595857"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80000" cy="1660454"/>
                    </a:xfrm>
                    <a:prstGeom prst="rect">
                      <a:avLst/>
                    </a:prstGeom>
                    <a:noFill/>
                  </pic:spPr>
                </pic:pic>
              </a:graphicData>
            </a:graphic>
          </wp:inline>
        </w:drawing>
      </w:r>
      <w:r w:rsidR="008827C4">
        <w:rPr>
          <w:noProof/>
          <w:lang w:val="en-US"/>
        </w:rPr>
        <w:drawing>
          <wp:inline distT="0" distB="0" distL="0" distR="0" wp14:anchorId="06659D5D" wp14:editId="0BC8CF7B">
            <wp:extent cx="2880000" cy="1661997"/>
            <wp:effectExtent l="0" t="0" r="0" b="0"/>
            <wp:docPr id="590983844"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80000" cy="1661997"/>
                    </a:xfrm>
                    <a:prstGeom prst="rect">
                      <a:avLst/>
                    </a:prstGeom>
                    <a:noFill/>
                  </pic:spPr>
                </pic:pic>
              </a:graphicData>
            </a:graphic>
          </wp:inline>
        </w:drawing>
      </w:r>
    </w:p>
    <w:p w14:paraId="2FB5E590" w14:textId="77777777" w:rsidR="00F53C04" w:rsidRPr="002462F0" w:rsidRDefault="00F53C04" w:rsidP="00F53C04">
      <w:pPr>
        <w:pStyle w:val="Caption"/>
        <w:spacing w:before="0" w:after="0"/>
        <w:jc w:val="both"/>
        <w:rPr>
          <w:sz w:val="22"/>
          <w:lang w:eastAsia="fr-FR"/>
        </w:rPr>
      </w:pPr>
      <w:bookmarkStart w:id="709" w:name="_Toc184808492"/>
      <w:r w:rsidRPr="002462F0">
        <w:t xml:space="preserve">Figure </w:t>
      </w:r>
      <w:r w:rsidRPr="002462F0">
        <w:fldChar w:fldCharType="begin"/>
      </w:r>
      <w:r w:rsidRPr="002462F0">
        <w:instrText xml:space="preserve"> SEQ Figure \* ARABIC </w:instrText>
      </w:r>
      <w:r w:rsidRPr="002462F0">
        <w:fldChar w:fldCharType="separate"/>
      </w:r>
      <w:r>
        <w:rPr>
          <w:noProof/>
        </w:rPr>
        <w:t>105</w:t>
      </w:r>
      <w:r w:rsidRPr="002462F0">
        <w:fldChar w:fldCharType="end"/>
      </w:r>
      <w:r w:rsidRPr="002462F0">
        <w:t xml:space="preserve">: GHG emission </w:t>
      </w:r>
      <w:r>
        <w:t>distribution</w:t>
      </w:r>
      <w:r w:rsidRPr="002462F0">
        <w:t xml:space="preserve"> for </w:t>
      </w:r>
      <w:r>
        <w:t xml:space="preserve">agricultural soils (CRT 3D), for the period 1990-2022, per subcategory </w:t>
      </w:r>
      <w:r w:rsidRPr="002462F0">
        <w:t>(</w:t>
      </w:r>
      <w:r>
        <w:t>in %</w:t>
      </w:r>
      <w:r w:rsidRPr="002462F0">
        <w:t>)</w:t>
      </w:r>
      <w:bookmarkEnd w:id="709"/>
    </w:p>
    <w:p w14:paraId="2C838EE7" w14:textId="595E7011" w:rsidR="00835783" w:rsidRPr="002462F0" w:rsidRDefault="00835783" w:rsidP="00F53C04">
      <w:pPr>
        <w:spacing w:before="240"/>
      </w:pPr>
      <w:r w:rsidRPr="002462F0">
        <w:t xml:space="preserve">The </w:t>
      </w:r>
      <w:r w:rsidR="001F500A">
        <w:t xml:space="preserve">share of </w:t>
      </w:r>
      <w:r w:rsidR="009D3065">
        <w:t xml:space="preserve">GHG emissions of the </w:t>
      </w:r>
      <w:r w:rsidR="001F500A">
        <w:t>Agricultural soils</w:t>
      </w:r>
      <w:r>
        <w:t xml:space="preserve"> </w:t>
      </w:r>
      <w:r w:rsidRPr="002462F0">
        <w:t>(CR</w:t>
      </w:r>
      <w:r>
        <w:t>T</w:t>
      </w:r>
      <w:r w:rsidRPr="002462F0">
        <w:t xml:space="preserve"> </w:t>
      </w:r>
      <w:r>
        <w:t>3</w:t>
      </w:r>
      <w:r w:rsidR="001F500A">
        <w:t>D</w:t>
      </w:r>
      <w:r w:rsidRPr="002462F0">
        <w:t>)</w:t>
      </w:r>
      <w:r w:rsidR="009D3065">
        <w:t xml:space="preserve"> category in the national totals,</w:t>
      </w:r>
      <w:r w:rsidR="009D3065" w:rsidRPr="009D3065">
        <w:t xml:space="preserve"> </w:t>
      </w:r>
      <w:r w:rsidR="009D3065">
        <w:t>excluding</w:t>
      </w:r>
      <w:r w:rsidR="009D3065" w:rsidRPr="002462F0">
        <w:t xml:space="preserve"> LULUCF,</w:t>
      </w:r>
      <w:r w:rsidRPr="002462F0">
        <w:t xml:space="preserve"> </w:t>
      </w:r>
      <w:r>
        <w:t xml:space="preserve">has </w:t>
      </w:r>
      <w:r w:rsidR="009D3065">
        <w:t xml:space="preserve">increased </w:t>
      </w:r>
      <w:r w:rsidR="00BE1786">
        <w:t xml:space="preserve">from 1.0% in 1990 to 2.3% </w:t>
      </w:r>
      <w:r>
        <w:t xml:space="preserve">in 2022. Concerning its </w:t>
      </w:r>
      <w:r w:rsidR="00BE1786">
        <w:t>contribution</w:t>
      </w:r>
      <w:r>
        <w:t xml:space="preserve"> in the Agriculture </w:t>
      </w:r>
      <w:r w:rsidRPr="002462F0">
        <w:t>(CR</w:t>
      </w:r>
      <w:r>
        <w:t>T 3</w:t>
      </w:r>
      <w:r w:rsidRPr="002462F0">
        <w:t>) sector</w:t>
      </w:r>
      <w:r>
        <w:t>,</w:t>
      </w:r>
      <w:r w:rsidRPr="002462F0">
        <w:t xml:space="preserve"> in </w:t>
      </w:r>
      <w:r>
        <w:t xml:space="preserve">the Republic of </w:t>
      </w:r>
      <w:r w:rsidRPr="002462F0">
        <w:t>Serbia</w:t>
      </w:r>
      <w:r>
        <w:t xml:space="preserve">, it </w:t>
      </w:r>
      <w:r w:rsidR="00BE1786">
        <w:t>increased from 13</w:t>
      </w:r>
      <w:r>
        <w:t>%</w:t>
      </w:r>
      <w:r w:rsidRPr="002462F0">
        <w:t xml:space="preserve"> in </w:t>
      </w:r>
      <w:r w:rsidR="00646CF7">
        <w:t xml:space="preserve">1990 </w:t>
      </w:r>
      <w:r w:rsidR="00BE1786">
        <w:t xml:space="preserve">to </w:t>
      </w:r>
      <w:r w:rsidR="00646CF7">
        <w:t>29</w:t>
      </w:r>
      <w:r>
        <w:t xml:space="preserve">% in </w:t>
      </w:r>
      <w:r w:rsidR="00646CF7">
        <w:t>2022</w:t>
      </w:r>
      <w:r w:rsidRPr="002462F0">
        <w:t>.</w:t>
      </w:r>
      <w:r w:rsidR="00EA600E">
        <w:t xml:space="preserve"> In terms of N</w:t>
      </w:r>
      <w:r w:rsidR="00EA600E" w:rsidRPr="00622F40">
        <w:rPr>
          <w:vertAlign w:val="subscript"/>
        </w:rPr>
        <w:t>2</w:t>
      </w:r>
      <w:r w:rsidR="00EA600E">
        <w:t xml:space="preserve">O emissions, this </w:t>
      </w:r>
      <w:r w:rsidR="009C1110">
        <w:t xml:space="preserve">sector represents more than 65% of the national emissions in 2022, whereas </w:t>
      </w:r>
      <w:r w:rsidR="007D5457">
        <w:t>its share was only of 34% in 1990</w:t>
      </w:r>
      <w:r w:rsidR="009C1110">
        <w:t>.</w:t>
      </w:r>
    </w:p>
    <w:p w14:paraId="6BF0EB9D" w14:textId="77777777" w:rsidR="00482533" w:rsidRDefault="00482533">
      <w:pPr>
        <w:jc w:val="left"/>
        <w:rPr>
          <w:b/>
          <w:color w:val="233F85"/>
          <w:sz w:val="28"/>
          <w:szCs w:val="32"/>
          <w:lang w:eastAsia="fr-FR"/>
        </w:rPr>
      </w:pPr>
      <w:bookmarkStart w:id="710" w:name="_Ref179277834"/>
      <w:r>
        <w:rPr>
          <w:lang w:eastAsia="fr-FR"/>
        </w:rPr>
        <w:br w:type="page"/>
      </w:r>
    </w:p>
    <w:p w14:paraId="5736600D" w14:textId="0B967E10" w:rsidR="007B2433" w:rsidRDefault="007B2433" w:rsidP="007B2433">
      <w:pPr>
        <w:pStyle w:val="Heading3"/>
        <w:ind w:left="709" w:hanging="709"/>
        <w:rPr>
          <w:lang w:val="en-GB" w:eastAsia="fr-FR"/>
        </w:rPr>
      </w:pPr>
      <w:bookmarkStart w:id="711" w:name="_Toc182327924"/>
      <w:bookmarkStart w:id="712" w:name="_Toc184808270"/>
      <w:r w:rsidRPr="002462F0">
        <w:rPr>
          <w:lang w:val="en-GB" w:eastAsia="fr-FR"/>
        </w:rPr>
        <w:lastRenderedPageBreak/>
        <w:t>Direct N</w:t>
      </w:r>
      <w:r w:rsidRPr="002462F0">
        <w:rPr>
          <w:vertAlign w:val="subscript"/>
          <w:lang w:val="en-GB" w:eastAsia="fr-FR"/>
        </w:rPr>
        <w:t>2</w:t>
      </w:r>
      <w:r w:rsidRPr="002462F0">
        <w:rPr>
          <w:lang w:val="en-GB" w:eastAsia="fr-FR"/>
        </w:rPr>
        <w:t>O emissions from managed soils (</w:t>
      </w:r>
      <w:r w:rsidR="008931E5">
        <w:rPr>
          <w:lang w:val="en-GB" w:eastAsia="fr-FR"/>
        </w:rPr>
        <w:t xml:space="preserve">CRT </w:t>
      </w:r>
      <w:r w:rsidRPr="002462F0">
        <w:rPr>
          <w:lang w:val="en-GB" w:eastAsia="fr-FR"/>
        </w:rPr>
        <w:t>3D1)</w:t>
      </w:r>
      <w:bookmarkEnd w:id="710"/>
      <w:bookmarkEnd w:id="711"/>
      <w:bookmarkEnd w:id="712"/>
    </w:p>
    <w:p w14:paraId="5C0FC510" w14:textId="77777777" w:rsidR="007B2433" w:rsidRPr="002462F0" w:rsidRDefault="007B2433" w:rsidP="007B2433">
      <w:pPr>
        <w:pStyle w:val="Titre4Bleu"/>
        <w:rPr>
          <w:lang w:eastAsia="fr-FR"/>
        </w:rPr>
      </w:pPr>
      <w:bookmarkStart w:id="713" w:name="_Toc182327925"/>
      <w:r w:rsidRPr="002462F0">
        <w:rPr>
          <w:lang w:eastAsia="fr-FR"/>
        </w:rPr>
        <w:t>Category description</w:t>
      </w:r>
      <w:bookmarkEnd w:id="713"/>
      <w:r w:rsidRPr="002462F0">
        <w:rPr>
          <w:lang w:eastAsia="fr-FR"/>
        </w:rPr>
        <w:t xml:space="preserve"> </w:t>
      </w:r>
    </w:p>
    <w:p w14:paraId="6E356793" w14:textId="06BB9835" w:rsidR="00F8455C" w:rsidRDefault="007E1550" w:rsidP="007E1550">
      <w:r>
        <w:t xml:space="preserve">The activity data considered for the </w:t>
      </w:r>
      <w:r w:rsidR="00292646">
        <w:t>direct N</w:t>
      </w:r>
      <w:r w:rsidR="00292646" w:rsidRPr="00B05631">
        <w:rPr>
          <w:vertAlign w:val="subscript"/>
        </w:rPr>
        <w:t>2</w:t>
      </w:r>
      <w:r w:rsidR="00292646">
        <w:t xml:space="preserve">O </w:t>
      </w:r>
      <w:r>
        <w:t xml:space="preserve">emissions from </w:t>
      </w:r>
      <w:r w:rsidR="00292646">
        <w:t xml:space="preserve">agricultural soils </w:t>
      </w:r>
      <w:r w:rsidR="00A8540B">
        <w:t>evolve</w:t>
      </w:r>
      <w:r w:rsidR="00292646">
        <w:t xml:space="preserve"> as follows:</w:t>
      </w:r>
    </w:p>
    <w:p w14:paraId="432078D6" w14:textId="004DCA92" w:rsidR="00A8540B" w:rsidRDefault="00A8540B" w:rsidP="00A8540B">
      <w:pPr>
        <w:pStyle w:val="Caption"/>
        <w:keepNext/>
      </w:pPr>
      <w:bookmarkStart w:id="714" w:name="_Ref179288685"/>
      <w:bookmarkStart w:id="715" w:name="_Toc184808575"/>
      <w:r>
        <w:t xml:space="preserve">Table </w:t>
      </w:r>
      <w:r>
        <w:fldChar w:fldCharType="begin"/>
      </w:r>
      <w:r>
        <w:instrText xml:space="preserve"> SEQ Table \* ARABIC </w:instrText>
      </w:r>
      <w:r>
        <w:fldChar w:fldCharType="separate"/>
      </w:r>
      <w:r w:rsidR="00F14C78">
        <w:rPr>
          <w:noProof/>
        </w:rPr>
        <w:t>32</w:t>
      </w:r>
      <w:r>
        <w:fldChar w:fldCharType="end"/>
      </w:r>
      <w:bookmarkEnd w:id="714"/>
      <w:r>
        <w:t xml:space="preserve">: </w:t>
      </w:r>
      <w:r w:rsidR="000F5C07">
        <w:t>Activity data for direct N</w:t>
      </w:r>
      <w:r w:rsidR="000F5C07" w:rsidRPr="001F0275">
        <w:rPr>
          <w:vertAlign w:val="subscript"/>
        </w:rPr>
        <w:t>2</w:t>
      </w:r>
      <w:r w:rsidR="000F5C07">
        <w:t>O emissions from a</w:t>
      </w:r>
      <w:r w:rsidR="00D83CEA">
        <w:t>gricultural soils</w:t>
      </w:r>
      <w:r w:rsidR="000F5C07">
        <w:t xml:space="preserve"> (3D</w:t>
      </w:r>
      <w:r w:rsidR="00A17496">
        <w:t>1</w:t>
      </w:r>
      <w:r w:rsidR="000F5C07">
        <w:t>)</w:t>
      </w:r>
      <w:r>
        <w:t>, for the period 1990-201</w:t>
      </w:r>
      <w:r w:rsidR="00062D3A">
        <w:t>0</w:t>
      </w:r>
      <w:r>
        <w:t>, every 5 years</w:t>
      </w:r>
      <w:bookmarkEnd w:id="715"/>
    </w:p>
    <w:tbl>
      <w:tblPr>
        <w:tblStyle w:val="TableGrid"/>
        <w:tblW w:w="5000" w:type="pct"/>
        <w:jc w:val="center"/>
        <w:tblLook w:val="04A0" w:firstRow="1" w:lastRow="0" w:firstColumn="1" w:lastColumn="0" w:noHBand="0" w:noVBand="1"/>
      </w:tblPr>
      <w:tblGrid>
        <w:gridCol w:w="2299"/>
        <w:gridCol w:w="1127"/>
        <w:gridCol w:w="1127"/>
        <w:gridCol w:w="1127"/>
        <w:gridCol w:w="1229"/>
        <w:gridCol w:w="2153"/>
      </w:tblGrid>
      <w:tr w:rsidR="00C305B1" w14:paraId="65A77D78" w14:textId="57343EDF" w:rsidTr="00F53C04">
        <w:trPr>
          <w:jc w:val="center"/>
        </w:trPr>
        <w:tc>
          <w:tcPr>
            <w:tcW w:w="1292" w:type="pct"/>
            <w:shd w:val="clear" w:color="auto" w:fill="B8CCE4" w:themeFill="accent1" w:themeFillTint="66"/>
            <w:vAlign w:val="center"/>
          </w:tcPr>
          <w:p w14:paraId="4FC879FD" w14:textId="0659914E" w:rsidR="00C305B1" w:rsidRPr="001F0275" w:rsidRDefault="00C305B1" w:rsidP="00B05631">
            <w:pPr>
              <w:pStyle w:val="BodyText"/>
              <w:jc w:val="left"/>
              <w:rPr>
                <w:b/>
                <w:bCs/>
                <w:lang w:val="en-US" w:eastAsia="fr-FR"/>
              </w:rPr>
            </w:pPr>
            <w:r>
              <w:rPr>
                <w:b/>
                <w:bCs/>
                <w:lang w:val="en-US" w:eastAsia="fr-FR"/>
              </w:rPr>
              <w:t>Management system</w:t>
            </w:r>
          </w:p>
        </w:tc>
        <w:tc>
          <w:tcPr>
            <w:tcW w:w="607" w:type="pct"/>
            <w:shd w:val="clear" w:color="auto" w:fill="B8CCE4" w:themeFill="accent1" w:themeFillTint="66"/>
          </w:tcPr>
          <w:p w14:paraId="58FCCD5A" w14:textId="77777777" w:rsidR="00C305B1" w:rsidRPr="001F0275" w:rsidRDefault="00C305B1">
            <w:pPr>
              <w:pStyle w:val="BodyText"/>
              <w:jc w:val="center"/>
              <w:rPr>
                <w:b/>
                <w:bCs/>
                <w:lang w:val="en-US" w:eastAsia="fr-FR"/>
              </w:rPr>
            </w:pPr>
            <w:r>
              <w:rPr>
                <w:b/>
                <w:bCs/>
                <w:lang w:val="en-US" w:eastAsia="fr-FR"/>
              </w:rPr>
              <w:t>1990</w:t>
            </w:r>
          </w:p>
        </w:tc>
        <w:tc>
          <w:tcPr>
            <w:tcW w:w="607" w:type="pct"/>
            <w:shd w:val="clear" w:color="auto" w:fill="B8CCE4" w:themeFill="accent1" w:themeFillTint="66"/>
          </w:tcPr>
          <w:p w14:paraId="39FB70C8" w14:textId="4BD314B2" w:rsidR="00C305B1" w:rsidRDefault="00C305B1">
            <w:pPr>
              <w:pStyle w:val="BodyText"/>
              <w:jc w:val="center"/>
              <w:rPr>
                <w:b/>
                <w:bCs/>
                <w:lang w:val="en-US" w:eastAsia="fr-FR"/>
              </w:rPr>
            </w:pPr>
            <w:r>
              <w:rPr>
                <w:b/>
                <w:bCs/>
                <w:lang w:val="en-US" w:eastAsia="fr-FR"/>
              </w:rPr>
              <w:t>1995</w:t>
            </w:r>
          </w:p>
        </w:tc>
        <w:tc>
          <w:tcPr>
            <w:tcW w:w="607" w:type="pct"/>
            <w:shd w:val="clear" w:color="auto" w:fill="B8CCE4" w:themeFill="accent1" w:themeFillTint="66"/>
          </w:tcPr>
          <w:p w14:paraId="7E2289C3" w14:textId="077B284C" w:rsidR="00C305B1" w:rsidRDefault="00C305B1">
            <w:pPr>
              <w:pStyle w:val="BodyText"/>
              <w:jc w:val="center"/>
              <w:rPr>
                <w:b/>
                <w:bCs/>
                <w:lang w:val="en-US" w:eastAsia="fr-FR"/>
              </w:rPr>
            </w:pPr>
            <w:r>
              <w:rPr>
                <w:b/>
                <w:bCs/>
                <w:lang w:val="en-US" w:eastAsia="fr-FR"/>
              </w:rPr>
              <w:t>2000</w:t>
            </w:r>
          </w:p>
        </w:tc>
        <w:tc>
          <w:tcPr>
            <w:tcW w:w="675" w:type="pct"/>
            <w:shd w:val="clear" w:color="auto" w:fill="B8CCE4" w:themeFill="accent1" w:themeFillTint="66"/>
          </w:tcPr>
          <w:p w14:paraId="5C231218" w14:textId="32122E8C" w:rsidR="00C305B1" w:rsidRDefault="00C305B1">
            <w:pPr>
              <w:pStyle w:val="BodyText"/>
              <w:jc w:val="center"/>
              <w:rPr>
                <w:b/>
                <w:bCs/>
                <w:lang w:val="en-US" w:eastAsia="fr-FR"/>
              </w:rPr>
            </w:pPr>
            <w:r>
              <w:rPr>
                <w:b/>
                <w:bCs/>
                <w:lang w:val="en-US" w:eastAsia="fr-FR"/>
              </w:rPr>
              <w:t>2005</w:t>
            </w:r>
          </w:p>
        </w:tc>
        <w:tc>
          <w:tcPr>
            <w:tcW w:w="1211" w:type="pct"/>
            <w:shd w:val="clear" w:color="auto" w:fill="B8CCE4" w:themeFill="accent1" w:themeFillTint="66"/>
          </w:tcPr>
          <w:p w14:paraId="0A5CCF20" w14:textId="7B9B72FC" w:rsidR="00C305B1" w:rsidRDefault="00062D3A">
            <w:pPr>
              <w:pStyle w:val="BodyText"/>
              <w:jc w:val="center"/>
              <w:rPr>
                <w:b/>
                <w:bCs/>
                <w:lang w:val="en-US" w:eastAsia="fr-FR"/>
              </w:rPr>
            </w:pPr>
            <w:r>
              <w:rPr>
                <w:b/>
                <w:bCs/>
                <w:lang w:val="en-US" w:eastAsia="fr-FR"/>
              </w:rPr>
              <w:t>2010</w:t>
            </w:r>
          </w:p>
        </w:tc>
      </w:tr>
      <w:tr w:rsidR="00062D3A" w14:paraId="76B81C49" w14:textId="2E235D6B" w:rsidTr="00F53C04">
        <w:trPr>
          <w:jc w:val="center"/>
        </w:trPr>
        <w:tc>
          <w:tcPr>
            <w:tcW w:w="1292" w:type="pct"/>
            <w:vAlign w:val="center"/>
          </w:tcPr>
          <w:p w14:paraId="5BA328DA" w14:textId="1DECD7E0" w:rsidR="00F53C04" w:rsidRDefault="00062D3A" w:rsidP="00F53C04">
            <w:pPr>
              <w:pStyle w:val="BodyText"/>
              <w:spacing w:after="0"/>
              <w:jc w:val="left"/>
              <w:rPr>
                <w:lang w:val="en-US" w:eastAsia="fr-FR"/>
              </w:rPr>
            </w:pPr>
            <w:r>
              <w:rPr>
                <w:lang w:val="en-US" w:eastAsia="fr-FR"/>
              </w:rPr>
              <w:t xml:space="preserve">Inorganic </w:t>
            </w:r>
            <w:r w:rsidR="00F53C04">
              <w:rPr>
                <w:lang w:val="en-US" w:eastAsia="fr-FR"/>
              </w:rPr>
              <w:t>fertilizers</w:t>
            </w:r>
            <w:r>
              <w:rPr>
                <w:lang w:val="en-US" w:eastAsia="fr-FR"/>
              </w:rPr>
              <w:t xml:space="preserve"> </w:t>
            </w:r>
          </w:p>
          <w:p w14:paraId="65855702" w14:textId="1C9A0449" w:rsidR="00062D3A" w:rsidRDefault="00062D3A" w:rsidP="00F53C04">
            <w:pPr>
              <w:pStyle w:val="BodyText"/>
              <w:spacing w:after="0"/>
              <w:jc w:val="left"/>
              <w:rPr>
                <w:lang w:val="en-US" w:eastAsia="fr-FR"/>
              </w:rPr>
            </w:pPr>
            <w:r>
              <w:rPr>
                <w:lang w:val="en-US" w:eastAsia="fr-FR"/>
              </w:rPr>
              <w:t>(kg N)</w:t>
            </w:r>
          </w:p>
        </w:tc>
        <w:tc>
          <w:tcPr>
            <w:tcW w:w="607" w:type="pct"/>
            <w:vAlign w:val="center"/>
          </w:tcPr>
          <w:p w14:paraId="4767CF94" w14:textId="3E03E39B" w:rsidR="00062D3A" w:rsidRDefault="00062D3A" w:rsidP="00F53C04">
            <w:pPr>
              <w:pStyle w:val="BodyText"/>
              <w:spacing w:after="0"/>
              <w:jc w:val="center"/>
              <w:rPr>
                <w:lang w:val="en-US" w:eastAsia="fr-FR"/>
              </w:rPr>
            </w:pPr>
            <w:r w:rsidRPr="00EE1FF9">
              <w:t>21</w:t>
            </w:r>
            <w:r w:rsidR="008C23EB">
              <w:t>,</w:t>
            </w:r>
            <w:r w:rsidRPr="00EE1FF9">
              <w:t>781</w:t>
            </w:r>
            <w:r w:rsidR="008C23EB">
              <w:t>,</w:t>
            </w:r>
            <w:r w:rsidRPr="00EE1FF9">
              <w:t>776</w:t>
            </w:r>
          </w:p>
        </w:tc>
        <w:tc>
          <w:tcPr>
            <w:tcW w:w="607" w:type="pct"/>
            <w:vAlign w:val="center"/>
          </w:tcPr>
          <w:p w14:paraId="6599F636" w14:textId="6FE931F0" w:rsidR="00062D3A" w:rsidRPr="00EE1FF9" w:rsidRDefault="00062D3A" w:rsidP="00F53C04">
            <w:pPr>
              <w:pStyle w:val="BodyText"/>
              <w:spacing w:after="0"/>
              <w:jc w:val="center"/>
            </w:pPr>
            <w:r w:rsidRPr="00797B36">
              <w:t>40</w:t>
            </w:r>
            <w:r w:rsidR="008C23EB">
              <w:t>,</w:t>
            </w:r>
            <w:r w:rsidRPr="00797B36">
              <w:t>740</w:t>
            </w:r>
            <w:r w:rsidR="008C23EB">
              <w:t>,</w:t>
            </w:r>
            <w:r w:rsidRPr="00797B36">
              <w:t>000</w:t>
            </w:r>
          </w:p>
        </w:tc>
        <w:tc>
          <w:tcPr>
            <w:tcW w:w="607" w:type="pct"/>
            <w:vAlign w:val="center"/>
          </w:tcPr>
          <w:p w14:paraId="5E877272" w14:textId="1CC65DE1" w:rsidR="00062D3A" w:rsidRPr="00EE1FF9" w:rsidRDefault="00062D3A" w:rsidP="00F53C04">
            <w:pPr>
              <w:pStyle w:val="BodyText"/>
              <w:spacing w:after="0"/>
              <w:jc w:val="center"/>
            </w:pPr>
            <w:r w:rsidRPr="00415C9B">
              <w:t>45</w:t>
            </w:r>
            <w:r w:rsidR="008C23EB">
              <w:t>,</w:t>
            </w:r>
            <w:r w:rsidRPr="00415C9B">
              <w:t>101</w:t>
            </w:r>
            <w:r w:rsidR="008C23EB">
              <w:t>,</w:t>
            </w:r>
            <w:r w:rsidRPr="00415C9B">
              <w:t>000</w:t>
            </w:r>
          </w:p>
        </w:tc>
        <w:tc>
          <w:tcPr>
            <w:tcW w:w="675" w:type="pct"/>
            <w:vAlign w:val="center"/>
          </w:tcPr>
          <w:p w14:paraId="7FFAC2DA" w14:textId="131D0C4F" w:rsidR="00062D3A" w:rsidRPr="00EE1FF9" w:rsidRDefault="00062D3A" w:rsidP="00F53C04">
            <w:pPr>
              <w:pStyle w:val="BodyText"/>
              <w:spacing w:after="0"/>
              <w:jc w:val="center"/>
            </w:pPr>
            <w:r w:rsidRPr="006F2D46">
              <w:t>245</w:t>
            </w:r>
            <w:r w:rsidR="008C23EB">
              <w:t>,</w:t>
            </w:r>
            <w:r w:rsidRPr="006F2D46">
              <w:t>487</w:t>
            </w:r>
            <w:r w:rsidR="008C23EB">
              <w:t>,</w:t>
            </w:r>
            <w:r w:rsidRPr="006F2D46">
              <w:t>662</w:t>
            </w:r>
          </w:p>
        </w:tc>
        <w:tc>
          <w:tcPr>
            <w:tcW w:w="1211" w:type="pct"/>
            <w:vAlign w:val="center"/>
          </w:tcPr>
          <w:p w14:paraId="1DC394B6" w14:textId="4CA44226" w:rsidR="00062D3A" w:rsidRPr="006F2D46" w:rsidRDefault="00062D3A" w:rsidP="00F53C04">
            <w:pPr>
              <w:pStyle w:val="BodyText"/>
              <w:spacing w:after="0"/>
              <w:jc w:val="center"/>
            </w:pPr>
            <w:r w:rsidRPr="00C275A6">
              <w:t>191</w:t>
            </w:r>
            <w:r w:rsidR="008C23EB">
              <w:t>,</w:t>
            </w:r>
            <w:r w:rsidRPr="00C275A6">
              <w:t>248</w:t>
            </w:r>
            <w:r w:rsidR="008C23EB">
              <w:t>,</w:t>
            </w:r>
            <w:r w:rsidRPr="00C275A6">
              <w:t>900</w:t>
            </w:r>
          </w:p>
        </w:tc>
      </w:tr>
      <w:tr w:rsidR="00062D3A" w14:paraId="5D292E81" w14:textId="63A3980E" w:rsidTr="00F53C04">
        <w:trPr>
          <w:jc w:val="center"/>
        </w:trPr>
        <w:tc>
          <w:tcPr>
            <w:tcW w:w="1292" w:type="pct"/>
            <w:vAlign w:val="center"/>
          </w:tcPr>
          <w:p w14:paraId="10221DED" w14:textId="1C67BCF6" w:rsidR="00062D3A" w:rsidRDefault="00062D3A" w:rsidP="00F53C04">
            <w:pPr>
              <w:pStyle w:val="BodyText"/>
              <w:spacing w:after="0"/>
              <w:jc w:val="left"/>
              <w:rPr>
                <w:lang w:val="en-US" w:eastAsia="fr-FR"/>
              </w:rPr>
            </w:pPr>
            <w:r>
              <w:rPr>
                <w:lang w:val="en-US" w:eastAsia="fr-FR"/>
              </w:rPr>
              <w:t>Animal manure applied to soils (kg N)</w:t>
            </w:r>
          </w:p>
        </w:tc>
        <w:tc>
          <w:tcPr>
            <w:tcW w:w="607" w:type="pct"/>
            <w:vAlign w:val="center"/>
          </w:tcPr>
          <w:p w14:paraId="07E2B4E3" w14:textId="14FD6F9F" w:rsidR="00062D3A" w:rsidRDefault="00062D3A" w:rsidP="00F53C04">
            <w:pPr>
              <w:pStyle w:val="BodyText"/>
              <w:spacing w:after="0"/>
              <w:jc w:val="center"/>
              <w:rPr>
                <w:lang w:val="en-US" w:eastAsia="fr-FR"/>
              </w:rPr>
            </w:pPr>
            <w:r w:rsidRPr="00EE1FF9">
              <w:t>37</w:t>
            </w:r>
            <w:r w:rsidR="008C23EB">
              <w:t>,</w:t>
            </w:r>
            <w:r w:rsidRPr="00EE1FF9">
              <w:t>189</w:t>
            </w:r>
            <w:r w:rsidR="008C23EB">
              <w:t>,</w:t>
            </w:r>
            <w:r w:rsidRPr="00EE1FF9">
              <w:t>925</w:t>
            </w:r>
          </w:p>
        </w:tc>
        <w:tc>
          <w:tcPr>
            <w:tcW w:w="607" w:type="pct"/>
            <w:vAlign w:val="center"/>
          </w:tcPr>
          <w:p w14:paraId="764D2189" w14:textId="0047B23A" w:rsidR="00062D3A" w:rsidRPr="00EE1FF9" w:rsidRDefault="00062D3A" w:rsidP="00F53C04">
            <w:pPr>
              <w:pStyle w:val="BodyText"/>
              <w:spacing w:after="0"/>
              <w:jc w:val="center"/>
            </w:pPr>
            <w:r w:rsidRPr="00797B36">
              <w:t>33</w:t>
            </w:r>
            <w:r w:rsidR="008C23EB">
              <w:t>,</w:t>
            </w:r>
            <w:r w:rsidRPr="00797B36">
              <w:t>171</w:t>
            </w:r>
            <w:r w:rsidR="008C23EB">
              <w:t>,</w:t>
            </w:r>
            <w:r w:rsidRPr="00797B36">
              <w:t>550</w:t>
            </w:r>
          </w:p>
        </w:tc>
        <w:tc>
          <w:tcPr>
            <w:tcW w:w="607" w:type="pct"/>
            <w:vAlign w:val="center"/>
          </w:tcPr>
          <w:p w14:paraId="080C7DA2" w14:textId="722515F9" w:rsidR="00062D3A" w:rsidRPr="00EE1FF9" w:rsidRDefault="00062D3A" w:rsidP="00F53C04">
            <w:pPr>
              <w:pStyle w:val="BodyText"/>
              <w:spacing w:after="0"/>
              <w:jc w:val="center"/>
            </w:pPr>
            <w:r w:rsidRPr="00415C9B">
              <w:t>29</w:t>
            </w:r>
            <w:r w:rsidR="008C23EB">
              <w:t>,</w:t>
            </w:r>
            <w:r w:rsidRPr="00415C9B">
              <w:t>716</w:t>
            </w:r>
            <w:r w:rsidR="008C23EB">
              <w:t>,</w:t>
            </w:r>
            <w:r w:rsidRPr="00415C9B">
              <w:t>000</w:t>
            </w:r>
          </w:p>
        </w:tc>
        <w:tc>
          <w:tcPr>
            <w:tcW w:w="675" w:type="pct"/>
            <w:vAlign w:val="center"/>
          </w:tcPr>
          <w:p w14:paraId="249730DA" w14:textId="3ECDD71E" w:rsidR="00062D3A" w:rsidRPr="00EE1FF9" w:rsidRDefault="00062D3A" w:rsidP="00F53C04">
            <w:pPr>
              <w:pStyle w:val="BodyText"/>
              <w:spacing w:after="0"/>
              <w:jc w:val="center"/>
            </w:pPr>
            <w:r w:rsidRPr="006F2D46">
              <w:t>26</w:t>
            </w:r>
            <w:r w:rsidR="008C23EB">
              <w:t>,</w:t>
            </w:r>
            <w:r w:rsidRPr="006F2D46">
              <w:t>089</w:t>
            </w:r>
            <w:r w:rsidR="008C23EB">
              <w:t>,</w:t>
            </w:r>
            <w:r w:rsidRPr="006F2D46">
              <w:t>769</w:t>
            </w:r>
          </w:p>
        </w:tc>
        <w:tc>
          <w:tcPr>
            <w:tcW w:w="1211" w:type="pct"/>
            <w:vAlign w:val="center"/>
          </w:tcPr>
          <w:p w14:paraId="160D31BF" w14:textId="18D4B122" w:rsidR="00062D3A" w:rsidRPr="006F2D46" w:rsidRDefault="00062D3A" w:rsidP="00F53C04">
            <w:pPr>
              <w:pStyle w:val="BodyText"/>
              <w:spacing w:after="0"/>
              <w:jc w:val="center"/>
            </w:pPr>
            <w:r w:rsidRPr="00C275A6">
              <w:t>23</w:t>
            </w:r>
            <w:r w:rsidR="008C23EB">
              <w:t>,</w:t>
            </w:r>
            <w:r w:rsidRPr="00C275A6">
              <w:t>634</w:t>
            </w:r>
            <w:r w:rsidR="008C23EB">
              <w:t>,</w:t>
            </w:r>
            <w:r w:rsidRPr="00C275A6">
              <w:t>764</w:t>
            </w:r>
          </w:p>
        </w:tc>
      </w:tr>
      <w:tr w:rsidR="00062D3A" w14:paraId="013692F3" w14:textId="376FBCAE" w:rsidTr="00F53C04">
        <w:trPr>
          <w:jc w:val="center"/>
        </w:trPr>
        <w:tc>
          <w:tcPr>
            <w:tcW w:w="1292" w:type="pct"/>
            <w:vAlign w:val="center"/>
          </w:tcPr>
          <w:p w14:paraId="0FE9F677" w14:textId="77C2E05D" w:rsidR="00062D3A" w:rsidRDefault="00062D3A" w:rsidP="00F53C04">
            <w:pPr>
              <w:pStyle w:val="BodyText"/>
              <w:spacing w:after="0"/>
              <w:jc w:val="left"/>
              <w:rPr>
                <w:lang w:val="en-US" w:eastAsia="fr-FR"/>
              </w:rPr>
            </w:pPr>
            <w:r>
              <w:rPr>
                <w:lang w:val="en-US" w:eastAsia="fr-FR"/>
              </w:rPr>
              <w:t>Urine and dung deposited by cattle, poultry and pigs (kg N)</w:t>
            </w:r>
          </w:p>
        </w:tc>
        <w:tc>
          <w:tcPr>
            <w:tcW w:w="607" w:type="pct"/>
            <w:vAlign w:val="center"/>
          </w:tcPr>
          <w:p w14:paraId="1DA0E06A" w14:textId="43A61897" w:rsidR="00062D3A" w:rsidRDefault="00062D3A" w:rsidP="00F53C04">
            <w:pPr>
              <w:pStyle w:val="BodyText"/>
              <w:spacing w:after="0"/>
              <w:jc w:val="center"/>
              <w:rPr>
                <w:lang w:val="en-US" w:eastAsia="fr-FR"/>
              </w:rPr>
            </w:pPr>
            <w:r w:rsidRPr="00EE1FF9">
              <w:t>29</w:t>
            </w:r>
            <w:r w:rsidR="008C23EB">
              <w:t>,</w:t>
            </w:r>
            <w:r w:rsidRPr="00EE1FF9">
              <w:t>234</w:t>
            </w:r>
            <w:r w:rsidR="008C23EB">
              <w:t>,</w:t>
            </w:r>
            <w:r w:rsidRPr="00EE1FF9">
              <w:t>787</w:t>
            </w:r>
          </w:p>
        </w:tc>
        <w:tc>
          <w:tcPr>
            <w:tcW w:w="607" w:type="pct"/>
            <w:vAlign w:val="center"/>
          </w:tcPr>
          <w:p w14:paraId="2966EB07" w14:textId="0A531058" w:rsidR="00062D3A" w:rsidRPr="00EE1FF9" w:rsidRDefault="00062D3A" w:rsidP="00F53C04">
            <w:pPr>
              <w:pStyle w:val="BodyText"/>
              <w:spacing w:after="0"/>
              <w:jc w:val="center"/>
            </w:pPr>
            <w:r w:rsidRPr="00797B36">
              <w:t>25</w:t>
            </w:r>
            <w:r w:rsidR="008C23EB">
              <w:t>,</w:t>
            </w:r>
            <w:r w:rsidRPr="00797B36">
              <w:t>232</w:t>
            </w:r>
            <w:r w:rsidR="008C23EB">
              <w:t>,</w:t>
            </w:r>
            <w:r w:rsidRPr="00797B36">
              <w:t>239</w:t>
            </w:r>
          </w:p>
        </w:tc>
        <w:tc>
          <w:tcPr>
            <w:tcW w:w="607" w:type="pct"/>
            <w:vAlign w:val="center"/>
          </w:tcPr>
          <w:p w14:paraId="6C53260F" w14:textId="23F2DB64" w:rsidR="00062D3A" w:rsidRPr="00EE1FF9" w:rsidRDefault="00062D3A" w:rsidP="00F53C04">
            <w:pPr>
              <w:pStyle w:val="BodyText"/>
              <w:spacing w:after="0"/>
              <w:jc w:val="center"/>
            </w:pPr>
            <w:r w:rsidRPr="00415C9B">
              <w:t>23</w:t>
            </w:r>
            <w:r w:rsidR="008C23EB">
              <w:t>,</w:t>
            </w:r>
            <w:r w:rsidRPr="00415C9B">
              <w:t>084</w:t>
            </w:r>
            <w:r w:rsidR="008C23EB">
              <w:t>,</w:t>
            </w:r>
            <w:r w:rsidRPr="00415C9B">
              <w:t>754</w:t>
            </w:r>
          </w:p>
        </w:tc>
        <w:tc>
          <w:tcPr>
            <w:tcW w:w="675" w:type="pct"/>
            <w:vAlign w:val="center"/>
          </w:tcPr>
          <w:p w14:paraId="757F18EC" w14:textId="77B8FC71" w:rsidR="00062D3A" w:rsidRPr="00EE1FF9" w:rsidRDefault="00062D3A" w:rsidP="00F53C04">
            <w:pPr>
              <w:pStyle w:val="BodyText"/>
              <w:spacing w:after="0"/>
              <w:jc w:val="center"/>
            </w:pPr>
            <w:r w:rsidRPr="006F2D46">
              <w:t>19</w:t>
            </w:r>
            <w:r w:rsidR="008C23EB">
              <w:t>,</w:t>
            </w:r>
            <w:r w:rsidRPr="006F2D46">
              <w:t>969</w:t>
            </w:r>
            <w:r w:rsidR="008C23EB">
              <w:t>,</w:t>
            </w:r>
            <w:r w:rsidRPr="006F2D46">
              <w:t>635</w:t>
            </w:r>
          </w:p>
        </w:tc>
        <w:tc>
          <w:tcPr>
            <w:tcW w:w="1211" w:type="pct"/>
            <w:vAlign w:val="center"/>
          </w:tcPr>
          <w:p w14:paraId="54A643C4" w14:textId="4DB5D927" w:rsidR="00062D3A" w:rsidRPr="006F2D46" w:rsidRDefault="00062D3A" w:rsidP="00F53C04">
            <w:pPr>
              <w:pStyle w:val="BodyText"/>
              <w:spacing w:after="0"/>
              <w:jc w:val="center"/>
            </w:pPr>
            <w:r w:rsidRPr="00C275A6">
              <w:t>17</w:t>
            </w:r>
            <w:r w:rsidR="008C23EB">
              <w:t>,</w:t>
            </w:r>
            <w:r w:rsidRPr="00C275A6">
              <w:t>602</w:t>
            </w:r>
            <w:r w:rsidR="008C23EB">
              <w:t>,</w:t>
            </w:r>
            <w:r w:rsidRPr="00C275A6">
              <w:t>710</w:t>
            </w:r>
          </w:p>
        </w:tc>
      </w:tr>
      <w:tr w:rsidR="00062D3A" w14:paraId="4984EDF9" w14:textId="53564DD9" w:rsidTr="00F53C04">
        <w:trPr>
          <w:jc w:val="center"/>
        </w:trPr>
        <w:tc>
          <w:tcPr>
            <w:tcW w:w="1292" w:type="pct"/>
            <w:vAlign w:val="center"/>
          </w:tcPr>
          <w:p w14:paraId="25B037CA" w14:textId="78A22399" w:rsidR="00062D3A" w:rsidRDefault="00062D3A" w:rsidP="00F53C04">
            <w:pPr>
              <w:pStyle w:val="BodyText"/>
              <w:spacing w:after="0"/>
              <w:jc w:val="left"/>
              <w:rPr>
                <w:lang w:val="en-US" w:eastAsia="fr-FR"/>
              </w:rPr>
            </w:pPr>
            <w:r>
              <w:rPr>
                <w:lang w:val="en-US" w:eastAsia="fr-FR"/>
              </w:rPr>
              <w:t>Urine and dung deposited by sheep and others (kg N)</w:t>
            </w:r>
          </w:p>
        </w:tc>
        <w:tc>
          <w:tcPr>
            <w:tcW w:w="607" w:type="pct"/>
            <w:vAlign w:val="center"/>
          </w:tcPr>
          <w:p w14:paraId="74590D1C" w14:textId="124DE69B" w:rsidR="00062D3A" w:rsidRDefault="00062D3A" w:rsidP="00F53C04">
            <w:pPr>
              <w:pStyle w:val="BodyText"/>
              <w:spacing w:after="0"/>
              <w:jc w:val="center"/>
              <w:rPr>
                <w:lang w:val="en-US" w:eastAsia="fr-FR"/>
              </w:rPr>
            </w:pPr>
            <w:r w:rsidRPr="00EE1FF9">
              <w:t>7</w:t>
            </w:r>
            <w:r w:rsidR="008C23EB">
              <w:t>,</w:t>
            </w:r>
            <w:r w:rsidRPr="00EE1FF9">
              <w:t>955</w:t>
            </w:r>
            <w:r w:rsidR="008C23EB">
              <w:t>,</w:t>
            </w:r>
            <w:r w:rsidRPr="00EE1FF9">
              <w:t>138</w:t>
            </w:r>
          </w:p>
        </w:tc>
        <w:tc>
          <w:tcPr>
            <w:tcW w:w="607" w:type="pct"/>
            <w:vAlign w:val="center"/>
          </w:tcPr>
          <w:p w14:paraId="4BDAB99D" w14:textId="56C34D58" w:rsidR="00062D3A" w:rsidRPr="00EE1FF9" w:rsidRDefault="00062D3A" w:rsidP="00F53C04">
            <w:pPr>
              <w:pStyle w:val="BodyText"/>
              <w:spacing w:after="0"/>
              <w:jc w:val="center"/>
            </w:pPr>
            <w:r w:rsidRPr="00797B36">
              <w:t>7</w:t>
            </w:r>
            <w:r w:rsidR="008C23EB">
              <w:t>,</w:t>
            </w:r>
            <w:r w:rsidRPr="00797B36">
              <w:t>939</w:t>
            </w:r>
            <w:r w:rsidR="008C23EB">
              <w:t>,</w:t>
            </w:r>
            <w:r w:rsidRPr="00797B36">
              <w:t>311</w:t>
            </w:r>
          </w:p>
        </w:tc>
        <w:tc>
          <w:tcPr>
            <w:tcW w:w="607" w:type="pct"/>
            <w:vAlign w:val="center"/>
          </w:tcPr>
          <w:p w14:paraId="210FA995" w14:textId="04200836" w:rsidR="00062D3A" w:rsidRPr="00EE1FF9" w:rsidRDefault="00062D3A" w:rsidP="00F53C04">
            <w:pPr>
              <w:pStyle w:val="BodyText"/>
              <w:spacing w:after="0"/>
              <w:jc w:val="center"/>
            </w:pPr>
            <w:r w:rsidRPr="00415C9B">
              <w:t>6</w:t>
            </w:r>
            <w:r w:rsidR="008C23EB">
              <w:t>,</w:t>
            </w:r>
            <w:r w:rsidRPr="00415C9B">
              <w:t>631</w:t>
            </w:r>
            <w:r w:rsidR="008C23EB">
              <w:t>,</w:t>
            </w:r>
            <w:r w:rsidRPr="00415C9B">
              <w:t>246</w:t>
            </w:r>
          </w:p>
        </w:tc>
        <w:tc>
          <w:tcPr>
            <w:tcW w:w="675" w:type="pct"/>
            <w:vAlign w:val="center"/>
          </w:tcPr>
          <w:p w14:paraId="3937F2B3" w14:textId="52B45AA0" w:rsidR="00062D3A" w:rsidRPr="00EE1FF9" w:rsidRDefault="00062D3A" w:rsidP="00F53C04">
            <w:pPr>
              <w:pStyle w:val="BodyText"/>
              <w:spacing w:after="0"/>
              <w:jc w:val="center"/>
            </w:pPr>
            <w:r w:rsidRPr="006F2D46">
              <w:t>6</w:t>
            </w:r>
            <w:r w:rsidR="008C23EB">
              <w:t>,</w:t>
            </w:r>
            <w:r w:rsidRPr="006F2D46">
              <w:t>120</w:t>
            </w:r>
            <w:r w:rsidR="008C23EB">
              <w:t>,</w:t>
            </w:r>
            <w:r w:rsidRPr="006F2D46">
              <w:t>134</w:t>
            </w:r>
          </w:p>
        </w:tc>
        <w:tc>
          <w:tcPr>
            <w:tcW w:w="1211" w:type="pct"/>
            <w:vAlign w:val="center"/>
          </w:tcPr>
          <w:p w14:paraId="30F56B27" w14:textId="5E6FF26B" w:rsidR="00062D3A" w:rsidRPr="006F2D46" w:rsidRDefault="00062D3A" w:rsidP="00F53C04">
            <w:pPr>
              <w:pStyle w:val="BodyText"/>
              <w:spacing w:after="0"/>
              <w:jc w:val="center"/>
            </w:pPr>
            <w:r w:rsidRPr="00C275A6">
              <w:t>6</w:t>
            </w:r>
            <w:r w:rsidR="008C23EB">
              <w:t>,</w:t>
            </w:r>
            <w:r w:rsidRPr="00C275A6">
              <w:t>032</w:t>
            </w:r>
            <w:r w:rsidR="008C23EB">
              <w:t>,</w:t>
            </w:r>
            <w:r w:rsidRPr="00C275A6">
              <w:t>054</w:t>
            </w:r>
          </w:p>
        </w:tc>
      </w:tr>
      <w:tr w:rsidR="00062D3A" w14:paraId="2C5E2AF4" w14:textId="23BBC6AE" w:rsidTr="00F53C04">
        <w:trPr>
          <w:jc w:val="center"/>
        </w:trPr>
        <w:tc>
          <w:tcPr>
            <w:tcW w:w="1292" w:type="pct"/>
            <w:vAlign w:val="center"/>
          </w:tcPr>
          <w:p w14:paraId="0BAA519C" w14:textId="250B542A" w:rsidR="00062D3A" w:rsidRDefault="00062D3A" w:rsidP="00F53C04">
            <w:pPr>
              <w:pStyle w:val="BodyText"/>
              <w:spacing w:after="0"/>
              <w:jc w:val="left"/>
              <w:rPr>
                <w:lang w:val="en-US" w:eastAsia="fr-FR"/>
              </w:rPr>
            </w:pPr>
            <w:r>
              <w:rPr>
                <w:lang w:val="en-US" w:eastAsia="fr-FR"/>
              </w:rPr>
              <w:t>Crop residues (kg N)</w:t>
            </w:r>
          </w:p>
        </w:tc>
        <w:tc>
          <w:tcPr>
            <w:tcW w:w="607" w:type="pct"/>
            <w:vAlign w:val="center"/>
          </w:tcPr>
          <w:p w14:paraId="20099395" w14:textId="1C12B0DF" w:rsidR="00062D3A" w:rsidRDefault="00062D3A" w:rsidP="00F53C04">
            <w:pPr>
              <w:pStyle w:val="BodyText"/>
              <w:spacing w:after="0"/>
              <w:jc w:val="center"/>
              <w:rPr>
                <w:lang w:val="en-US" w:eastAsia="fr-FR"/>
              </w:rPr>
            </w:pPr>
            <w:r w:rsidRPr="00EE1FF9">
              <w:t>66</w:t>
            </w:r>
            <w:r w:rsidR="008C23EB">
              <w:t>,</w:t>
            </w:r>
            <w:r w:rsidRPr="00EE1FF9">
              <w:t>613</w:t>
            </w:r>
            <w:r w:rsidR="008C23EB">
              <w:t>,</w:t>
            </w:r>
            <w:r w:rsidRPr="00EE1FF9">
              <w:t>208</w:t>
            </w:r>
          </w:p>
        </w:tc>
        <w:tc>
          <w:tcPr>
            <w:tcW w:w="607" w:type="pct"/>
            <w:vAlign w:val="center"/>
          </w:tcPr>
          <w:p w14:paraId="5E980C9E" w14:textId="023FC61D" w:rsidR="00062D3A" w:rsidRPr="00EE1FF9" w:rsidRDefault="00062D3A" w:rsidP="00F53C04">
            <w:pPr>
              <w:pStyle w:val="BodyText"/>
              <w:spacing w:after="0"/>
              <w:jc w:val="center"/>
            </w:pPr>
            <w:r w:rsidRPr="00797B36">
              <w:t>77</w:t>
            </w:r>
            <w:r w:rsidR="008C23EB">
              <w:t>,</w:t>
            </w:r>
            <w:r w:rsidRPr="00797B36">
              <w:t>220</w:t>
            </w:r>
            <w:r w:rsidR="008C23EB">
              <w:t>,</w:t>
            </w:r>
            <w:r w:rsidRPr="00797B36">
              <w:t>224</w:t>
            </w:r>
          </w:p>
        </w:tc>
        <w:tc>
          <w:tcPr>
            <w:tcW w:w="607" w:type="pct"/>
            <w:vAlign w:val="center"/>
          </w:tcPr>
          <w:p w14:paraId="0A28F1C7" w14:textId="15787056" w:rsidR="00062D3A" w:rsidRPr="00EE1FF9" w:rsidRDefault="00062D3A" w:rsidP="00F53C04">
            <w:pPr>
              <w:pStyle w:val="BodyText"/>
              <w:spacing w:after="0"/>
              <w:jc w:val="center"/>
            </w:pPr>
            <w:r w:rsidRPr="00415C9B">
              <w:t>48</w:t>
            </w:r>
            <w:r w:rsidR="008C23EB">
              <w:t>,</w:t>
            </w:r>
            <w:r w:rsidRPr="00415C9B">
              <w:t>779</w:t>
            </w:r>
            <w:r w:rsidR="008C23EB">
              <w:t>,</w:t>
            </w:r>
            <w:r w:rsidRPr="00415C9B">
              <w:t>955</w:t>
            </w:r>
          </w:p>
        </w:tc>
        <w:tc>
          <w:tcPr>
            <w:tcW w:w="675" w:type="pct"/>
            <w:vAlign w:val="center"/>
          </w:tcPr>
          <w:p w14:paraId="20AEFCB4" w14:textId="3A91DD3B" w:rsidR="00062D3A" w:rsidRPr="00EE1FF9" w:rsidRDefault="00062D3A" w:rsidP="00F53C04">
            <w:pPr>
              <w:pStyle w:val="BodyText"/>
              <w:spacing w:after="0"/>
              <w:jc w:val="center"/>
            </w:pPr>
            <w:r w:rsidRPr="006F2D46">
              <w:t>85</w:t>
            </w:r>
            <w:r w:rsidR="008C23EB">
              <w:t>,</w:t>
            </w:r>
            <w:r w:rsidRPr="006F2D46">
              <w:t>302</w:t>
            </w:r>
            <w:r w:rsidR="008C23EB">
              <w:t>,</w:t>
            </w:r>
            <w:r w:rsidRPr="006F2D46">
              <w:t>693</w:t>
            </w:r>
          </w:p>
        </w:tc>
        <w:tc>
          <w:tcPr>
            <w:tcW w:w="1211" w:type="pct"/>
            <w:vAlign w:val="center"/>
          </w:tcPr>
          <w:p w14:paraId="75C1D20E" w14:textId="36101CC2" w:rsidR="00062D3A" w:rsidRPr="006F2D46" w:rsidRDefault="00062D3A" w:rsidP="00F53C04">
            <w:pPr>
              <w:pStyle w:val="BodyText"/>
              <w:spacing w:after="0"/>
              <w:jc w:val="center"/>
            </w:pPr>
            <w:r w:rsidRPr="00C275A6">
              <w:t>84</w:t>
            </w:r>
            <w:r w:rsidR="008C23EB">
              <w:t>,</w:t>
            </w:r>
            <w:r w:rsidRPr="00C275A6">
              <w:t>458</w:t>
            </w:r>
            <w:r w:rsidR="008C23EB">
              <w:t>,</w:t>
            </w:r>
            <w:r w:rsidRPr="00C275A6">
              <w:t>050</w:t>
            </w:r>
          </w:p>
        </w:tc>
      </w:tr>
      <w:tr w:rsidR="00062D3A" w14:paraId="6549A347" w14:textId="320FD244" w:rsidTr="00F53C04">
        <w:trPr>
          <w:jc w:val="center"/>
        </w:trPr>
        <w:tc>
          <w:tcPr>
            <w:tcW w:w="1292" w:type="pct"/>
            <w:vAlign w:val="center"/>
          </w:tcPr>
          <w:p w14:paraId="33A2AA9C" w14:textId="1DF4FA33" w:rsidR="00062D3A" w:rsidRDefault="00062D3A" w:rsidP="00F53C04">
            <w:pPr>
              <w:pStyle w:val="BodyText"/>
              <w:spacing w:after="0"/>
              <w:jc w:val="left"/>
              <w:rPr>
                <w:lang w:val="en-US" w:eastAsia="fr-FR"/>
              </w:rPr>
            </w:pPr>
            <w:r>
              <w:rPr>
                <w:lang w:val="en-US" w:eastAsia="fr-FR"/>
              </w:rPr>
              <w:t xml:space="preserve">Managed/drained organic soils </w:t>
            </w:r>
            <w:r w:rsidR="008F4E7C">
              <w:rPr>
                <w:lang w:val="en-US" w:eastAsia="fr-FR"/>
              </w:rPr>
              <w:t>(ha)</w:t>
            </w:r>
          </w:p>
        </w:tc>
        <w:tc>
          <w:tcPr>
            <w:tcW w:w="607" w:type="pct"/>
            <w:vAlign w:val="center"/>
          </w:tcPr>
          <w:p w14:paraId="0277EB18" w14:textId="20DB2D05" w:rsidR="00062D3A" w:rsidRDefault="00062D3A" w:rsidP="00F53C04">
            <w:pPr>
              <w:pStyle w:val="BodyText"/>
              <w:spacing w:after="0"/>
              <w:jc w:val="center"/>
              <w:rPr>
                <w:lang w:val="en-US" w:eastAsia="fr-FR"/>
              </w:rPr>
            </w:pPr>
            <w:r w:rsidRPr="00EE1FF9">
              <w:t>88</w:t>
            </w:r>
          </w:p>
        </w:tc>
        <w:tc>
          <w:tcPr>
            <w:tcW w:w="607" w:type="pct"/>
            <w:vAlign w:val="center"/>
          </w:tcPr>
          <w:p w14:paraId="23269416" w14:textId="1439DED1" w:rsidR="00062D3A" w:rsidRPr="00EE1FF9" w:rsidRDefault="00062D3A" w:rsidP="00F53C04">
            <w:pPr>
              <w:pStyle w:val="BodyText"/>
              <w:spacing w:after="0"/>
              <w:jc w:val="center"/>
            </w:pPr>
            <w:r w:rsidRPr="00797B36">
              <w:t>88</w:t>
            </w:r>
          </w:p>
        </w:tc>
        <w:tc>
          <w:tcPr>
            <w:tcW w:w="607" w:type="pct"/>
            <w:vAlign w:val="center"/>
          </w:tcPr>
          <w:p w14:paraId="1A0BD454" w14:textId="4DB83520" w:rsidR="00062D3A" w:rsidRPr="00EE1FF9" w:rsidRDefault="00062D3A" w:rsidP="00F53C04">
            <w:pPr>
              <w:pStyle w:val="BodyText"/>
              <w:spacing w:after="0"/>
              <w:jc w:val="center"/>
            </w:pPr>
            <w:r w:rsidRPr="00415C9B">
              <w:t>88</w:t>
            </w:r>
          </w:p>
        </w:tc>
        <w:tc>
          <w:tcPr>
            <w:tcW w:w="675" w:type="pct"/>
            <w:vAlign w:val="center"/>
          </w:tcPr>
          <w:p w14:paraId="3906B519" w14:textId="2ECEBBAB" w:rsidR="00062D3A" w:rsidRPr="00EE1FF9" w:rsidRDefault="00062D3A" w:rsidP="00F53C04">
            <w:pPr>
              <w:pStyle w:val="BodyText"/>
              <w:spacing w:after="0"/>
              <w:jc w:val="center"/>
            </w:pPr>
            <w:r w:rsidRPr="006F2D46">
              <w:t>88</w:t>
            </w:r>
          </w:p>
        </w:tc>
        <w:tc>
          <w:tcPr>
            <w:tcW w:w="1211" w:type="pct"/>
            <w:vAlign w:val="center"/>
          </w:tcPr>
          <w:p w14:paraId="24023ED1" w14:textId="3A72C333" w:rsidR="00062D3A" w:rsidRPr="006F2D46" w:rsidRDefault="00062D3A" w:rsidP="00F53C04">
            <w:pPr>
              <w:pStyle w:val="BodyText"/>
              <w:spacing w:after="0"/>
              <w:jc w:val="center"/>
            </w:pPr>
            <w:r w:rsidRPr="00C275A6">
              <w:t>88</w:t>
            </w:r>
          </w:p>
        </w:tc>
      </w:tr>
    </w:tbl>
    <w:p w14:paraId="4C06ACC3" w14:textId="77777777" w:rsidR="00A8540B" w:rsidRDefault="00A8540B" w:rsidP="00A8540B">
      <w:pPr>
        <w:pStyle w:val="BodyText"/>
        <w:jc w:val="left"/>
        <w:rPr>
          <w:lang w:val="en-US" w:eastAsia="fr-FR"/>
        </w:rPr>
      </w:pPr>
    </w:p>
    <w:p w14:paraId="371E9520" w14:textId="6B78DD19" w:rsidR="00A8540B" w:rsidRDefault="00A8540B" w:rsidP="00F53C04">
      <w:pPr>
        <w:pStyle w:val="Caption"/>
        <w:keepNext/>
        <w:jc w:val="left"/>
      </w:pPr>
      <w:bookmarkStart w:id="716" w:name="_Ref179288688"/>
      <w:bookmarkStart w:id="717" w:name="_Toc184808576"/>
      <w:r>
        <w:t xml:space="preserve">Table </w:t>
      </w:r>
      <w:r>
        <w:fldChar w:fldCharType="begin"/>
      </w:r>
      <w:r>
        <w:instrText xml:space="preserve"> SEQ Table \* ARABIC </w:instrText>
      </w:r>
      <w:r>
        <w:fldChar w:fldCharType="separate"/>
      </w:r>
      <w:r w:rsidR="00F14C78">
        <w:rPr>
          <w:noProof/>
        </w:rPr>
        <w:t>33</w:t>
      </w:r>
      <w:r>
        <w:fldChar w:fldCharType="end"/>
      </w:r>
      <w:bookmarkEnd w:id="716"/>
      <w:r>
        <w:t xml:space="preserve">: </w:t>
      </w:r>
      <w:r w:rsidR="00A17496">
        <w:t>Activity data for direct N</w:t>
      </w:r>
      <w:r w:rsidR="00A17496" w:rsidRPr="001F0275">
        <w:rPr>
          <w:vertAlign w:val="subscript"/>
        </w:rPr>
        <w:t>2</w:t>
      </w:r>
      <w:r w:rsidR="00A17496">
        <w:t>O emissions from agricultural soils (3D1)</w:t>
      </w:r>
      <w:r>
        <w:t xml:space="preserve">, for </w:t>
      </w:r>
      <w:r w:rsidR="00062D3A">
        <w:t xml:space="preserve">2015 and </w:t>
      </w:r>
      <w:r>
        <w:t>201</w:t>
      </w:r>
      <w:r w:rsidR="00EF38D5">
        <w:t>9</w:t>
      </w:r>
      <w:r>
        <w:t>-2022</w:t>
      </w:r>
      <w:bookmarkEnd w:id="717"/>
    </w:p>
    <w:tbl>
      <w:tblPr>
        <w:tblStyle w:val="TableGrid"/>
        <w:tblW w:w="5000" w:type="pct"/>
        <w:jc w:val="center"/>
        <w:tblLook w:val="04A0" w:firstRow="1" w:lastRow="0" w:firstColumn="1" w:lastColumn="0" w:noHBand="0" w:noVBand="1"/>
      </w:tblPr>
      <w:tblGrid>
        <w:gridCol w:w="2917"/>
        <w:gridCol w:w="1229"/>
        <w:gridCol w:w="1229"/>
        <w:gridCol w:w="1229"/>
        <w:gridCol w:w="1229"/>
        <w:gridCol w:w="1229"/>
      </w:tblGrid>
      <w:tr w:rsidR="00B5154F" w14:paraId="654B2928" w14:textId="77777777" w:rsidTr="00F53C04">
        <w:trPr>
          <w:jc w:val="center"/>
        </w:trPr>
        <w:tc>
          <w:tcPr>
            <w:tcW w:w="1691" w:type="pct"/>
            <w:shd w:val="clear" w:color="auto" w:fill="B8CCE4" w:themeFill="accent1" w:themeFillTint="66"/>
          </w:tcPr>
          <w:p w14:paraId="154426D0" w14:textId="77777777" w:rsidR="00062D3A" w:rsidRPr="001F0275" w:rsidRDefault="00062D3A">
            <w:pPr>
              <w:pStyle w:val="BodyText"/>
              <w:jc w:val="center"/>
              <w:rPr>
                <w:b/>
                <w:bCs/>
                <w:lang w:val="en-US" w:eastAsia="fr-FR"/>
              </w:rPr>
            </w:pPr>
            <w:r>
              <w:rPr>
                <w:b/>
                <w:bCs/>
                <w:lang w:val="en-US" w:eastAsia="fr-FR"/>
              </w:rPr>
              <w:t>Management system</w:t>
            </w:r>
          </w:p>
        </w:tc>
        <w:tc>
          <w:tcPr>
            <w:tcW w:w="662" w:type="pct"/>
            <w:shd w:val="clear" w:color="auto" w:fill="B8CCE4" w:themeFill="accent1" w:themeFillTint="66"/>
          </w:tcPr>
          <w:p w14:paraId="7291BAE6" w14:textId="1333146A" w:rsidR="00062D3A" w:rsidRPr="001F0275" w:rsidRDefault="00062D3A">
            <w:pPr>
              <w:pStyle w:val="BodyText"/>
              <w:jc w:val="center"/>
              <w:rPr>
                <w:b/>
                <w:bCs/>
                <w:lang w:val="en-US" w:eastAsia="fr-FR"/>
              </w:rPr>
            </w:pPr>
            <w:r>
              <w:rPr>
                <w:b/>
                <w:bCs/>
                <w:lang w:val="en-US" w:eastAsia="fr-FR"/>
              </w:rPr>
              <w:t>2015</w:t>
            </w:r>
          </w:p>
        </w:tc>
        <w:tc>
          <w:tcPr>
            <w:tcW w:w="662" w:type="pct"/>
            <w:shd w:val="clear" w:color="auto" w:fill="B8CCE4" w:themeFill="accent1" w:themeFillTint="66"/>
          </w:tcPr>
          <w:p w14:paraId="5BBBF261" w14:textId="424DF550" w:rsidR="00062D3A" w:rsidRDefault="00062D3A">
            <w:pPr>
              <w:pStyle w:val="BodyText"/>
              <w:jc w:val="center"/>
              <w:rPr>
                <w:b/>
                <w:bCs/>
                <w:lang w:val="en-US" w:eastAsia="fr-FR"/>
              </w:rPr>
            </w:pPr>
            <w:r>
              <w:rPr>
                <w:b/>
                <w:bCs/>
                <w:lang w:val="en-US" w:eastAsia="fr-FR"/>
              </w:rPr>
              <w:t>2019</w:t>
            </w:r>
          </w:p>
        </w:tc>
        <w:tc>
          <w:tcPr>
            <w:tcW w:w="661" w:type="pct"/>
            <w:shd w:val="clear" w:color="auto" w:fill="B8CCE4" w:themeFill="accent1" w:themeFillTint="66"/>
          </w:tcPr>
          <w:p w14:paraId="544E5192" w14:textId="18471050" w:rsidR="00062D3A" w:rsidRDefault="00062D3A">
            <w:pPr>
              <w:pStyle w:val="BodyText"/>
              <w:jc w:val="center"/>
              <w:rPr>
                <w:b/>
                <w:bCs/>
                <w:lang w:val="en-US" w:eastAsia="fr-FR"/>
              </w:rPr>
            </w:pPr>
            <w:r>
              <w:rPr>
                <w:b/>
                <w:bCs/>
                <w:lang w:val="en-US" w:eastAsia="fr-FR"/>
              </w:rPr>
              <w:t>2020</w:t>
            </w:r>
          </w:p>
        </w:tc>
        <w:tc>
          <w:tcPr>
            <w:tcW w:w="662" w:type="pct"/>
            <w:shd w:val="clear" w:color="auto" w:fill="B8CCE4" w:themeFill="accent1" w:themeFillTint="66"/>
          </w:tcPr>
          <w:p w14:paraId="5B9C422D" w14:textId="7E2A5A13" w:rsidR="00062D3A" w:rsidRDefault="00062D3A">
            <w:pPr>
              <w:pStyle w:val="BodyText"/>
              <w:jc w:val="center"/>
              <w:rPr>
                <w:b/>
                <w:bCs/>
                <w:lang w:val="en-US" w:eastAsia="fr-FR"/>
              </w:rPr>
            </w:pPr>
            <w:r>
              <w:rPr>
                <w:b/>
                <w:bCs/>
                <w:lang w:val="en-US" w:eastAsia="fr-FR"/>
              </w:rPr>
              <w:t>2021</w:t>
            </w:r>
          </w:p>
        </w:tc>
        <w:tc>
          <w:tcPr>
            <w:tcW w:w="662" w:type="pct"/>
            <w:shd w:val="clear" w:color="auto" w:fill="B8CCE4" w:themeFill="accent1" w:themeFillTint="66"/>
          </w:tcPr>
          <w:p w14:paraId="14A3A705" w14:textId="5B020FF2" w:rsidR="00062D3A" w:rsidRDefault="00062D3A">
            <w:pPr>
              <w:pStyle w:val="BodyText"/>
              <w:jc w:val="center"/>
              <w:rPr>
                <w:b/>
                <w:bCs/>
                <w:lang w:val="en-US" w:eastAsia="fr-FR"/>
              </w:rPr>
            </w:pPr>
            <w:r>
              <w:rPr>
                <w:b/>
                <w:bCs/>
                <w:lang w:val="en-US" w:eastAsia="fr-FR"/>
              </w:rPr>
              <w:t>2022</w:t>
            </w:r>
          </w:p>
        </w:tc>
      </w:tr>
      <w:tr w:rsidR="00B5154F" w14:paraId="03D3C090" w14:textId="77777777" w:rsidTr="00F53C04">
        <w:trPr>
          <w:jc w:val="center"/>
        </w:trPr>
        <w:tc>
          <w:tcPr>
            <w:tcW w:w="1691" w:type="pct"/>
          </w:tcPr>
          <w:p w14:paraId="0F76C22B" w14:textId="2E007BE9" w:rsidR="00A17496" w:rsidRDefault="00A17496" w:rsidP="00F53C04">
            <w:pPr>
              <w:pStyle w:val="BodyText"/>
              <w:spacing w:after="0"/>
              <w:jc w:val="center"/>
              <w:rPr>
                <w:lang w:val="en-US" w:eastAsia="fr-FR"/>
              </w:rPr>
            </w:pPr>
            <w:r>
              <w:rPr>
                <w:lang w:val="en-US" w:eastAsia="fr-FR"/>
              </w:rPr>
              <w:t xml:space="preserve">Inorganic </w:t>
            </w:r>
            <w:r w:rsidR="00F53C04">
              <w:rPr>
                <w:lang w:val="en-US" w:eastAsia="fr-FR"/>
              </w:rPr>
              <w:t>fertilizers</w:t>
            </w:r>
            <w:r>
              <w:rPr>
                <w:lang w:val="en-US" w:eastAsia="fr-FR"/>
              </w:rPr>
              <w:t xml:space="preserve"> (kg N)</w:t>
            </w:r>
          </w:p>
        </w:tc>
        <w:tc>
          <w:tcPr>
            <w:tcW w:w="662" w:type="pct"/>
          </w:tcPr>
          <w:p w14:paraId="5A03AEE8" w14:textId="04B094EA" w:rsidR="00A17496" w:rsidRDefault="00A17496" w:rsidP="00F53C04">
            <w:pPr>
              <w:pStyle w:val="BodyText"/>
              <w:spacing w:after="0"/>
              <w:jc w:val="center"/>
              <w:rPr>
                <w:lang w:val="en-US" w:eastAsia="fr-FR"/>
              </w:rPr>
            </w:pPr>
            <w:r w:rsidRPr="00201DA9">
              <w:t>208</w:t>
            </w:r>
            <w:r w:rsidR="008C23EB">
              <w:t>,</w:t>
            </w:r>
            <w:r w:rsidRPr="00201DA9">
              <w:t>354</w:t>
            </w:r>
            <w:r w:rsidR="008C23EB">
              <w:t>,</w:t>
            </w:r>
            <w:r w:rsidRPr="00201DA9">
              <w:t>610</w:t>
            </w:r>
          </w:p>
        </w:tc>
        <w:tc>
          <w:tcPr>
            <w:tcW w:w="662" w:type="pct"/>
          </w:tcPr>
          <w:p w14:paraId="5A59D877" w14:textId="6C13804E" w:rsidR="00A17496" w:rsidRPr="00EE1FF9" w:rsidRDefault="00A17496" w:rsidP="00F53C04">
            <w:pPr>
              <w:pStyle w:val="BodyText"/>
              <w:spacing w:after="0"/>
              <w:jc w:val="center"/>
            </w:pPr>
            <w:r w:rsidRPr="00E4164C">
              <w:t>147</w:t>
            </w:r>
            <w:r w:rsidR="008C23EB">
              <w:t>,</w:t>
            </w:r>
            <w:r w:rsidRPr="00E4164C">
              <w:t>451</w:t>
            </w:r>
            <w:r w:rsidR="008C23EB">
              <w:t>,</w:t>
            </w:r>
            <w:r w:rsidRPr="00E4164C">
              <w:t>663</w:t>
            </w:r>
          </w:p>
        </w:tc>
        <w:tc>
          <w:tcPr>
            <w:tcW w:w="661" w:type="pct"/>
          </w:tcPr>
          <w:p w14:paraId="43D2336F" w14:textId="354D69C6" w:rsidR="00A17496" w:rsidRPr="00EE1FF9" w:rsidRDefault="00A17496" w:rsidP="00F53C04">
            <w:pPr>
              <w:pStyle w:val="BodyText"/>
              <w:spacing w:after="0"/>
              <w:jc w:val="center"/>
            </w:pPr>
            <w:r w:rsidRPr="00E4164C">
              <w:t>213</w:t>
            </w:r>
            <w:r w:rsidR="008C23EB">
              <w:t>,</w:t>
            </w:r>
            <w:r w:rsidRPr="00E4164C">
              <w:t>373</w:t>
            </w:r>
            <w:r w:rsidR="008C23EB">
              <w:t>,</w:t>
            </w:r>
            <w:r w:rsidRPr="00E4164C">
              <w:t>773</w:t>
            </w:r>
          </w:p>
        </w:tc>
        <w:tc>
          <w:tcPr>
            <w:tcW w:w="662" w:type="pct"/>
          </w:tcPr>
          <w:p w14:paraId="720BF9DF" w14:textId="7FEC3C5B" w:rsidR="00A17496" w:rsidRPr="00EE1FF9" w:rsidRDefault="00A17496" w:rsidP="00F53C04">
            <w:pPr>
              <w:pStyle w:val="BodyText"/>
              <w:spacing w:after="0"/>
              <w:jc w:val="center"/>
            </w:pPr>
            <w:r w:rsidRPr="00E4164C">
              <w:t>101</w:t>
            </w:r>
            <w:r w:rsidR="008C23EB">
              <w:t>,</w:t>
            </w:r>
            <w:r w:rsidRPr="00E4164C">
              <w:t>021</w:t>
            </w:r>
            <w:r w:rsidR="008C23EB">
              <w:t>,</w:t>
            </w:r>
            <w:r w:rsidRPr="00E4164C">
              <w:t>198</w:t>
            </w:r>
          </w:p>
        </w:tc>
        <w:tc>
          <w:tcPr>
            <w:tcW w:w="662" w:type="pct"/>
          </w:tcPr>
          <w:p w14:paraId="507DC3F7" w14:textId="03304558" w:rsidR="00A17496" w:rsidRPr="006F2D46" w:rsidRDefault="00A17496" w:rsidP="00F53C04">
            <w:pPr>
              <w:pStyle w:val="BodyText"/>
              <w:spacing w:after="0"/>
              <w:jc w:val="center"/>
            </w:pPr>
            <w:r w:rsidRPr="00E4164C">
              <w:t>151</w:t>
            </w:r>
            <w:r w:rsidR="008C23EB">
              <w:t>,</w:t>
            </w:r>
            <w:r w:rsidRPr="00E4164C">
              <w:t>994</w:t>
            </w:r>
            <w:r w:rsidR="008C23EB">
              <w:t>,</w:t>
            </w:r>
            <w:r w:rsidRPr="00E4164C">
              <w:t>841</w:t>
            </w:r>
          </w:p>
        </w:tc>
      </w:tr>
      <w:tr w:rsidR="00B5154F" w14:paraId="1A73F673" w14:textId="77777777" w:rsidTr="00F53C04">
        <w:trPr>
          <w:jc w:val="center"/>
        </w:trPr>
        <w:tc>
          <w:tcPr>
            <w:tcW w:w="1691" w:type="pct"/>
          </w:tcPr>
          <w:p w14:paraId="6D8F0204" w14:textId="77777777" w:rsidR="00A17496" w:rsidRDefault="00A17496" w:rsidP="00F53C04">
            <w:pPr>
              <w:pStyle w:val="BodyText"/>
              <w:spacing w:after="0"/>
              <w:jc w:val="center"/>
              <w:rPr>
                <w:lang w:val="en-US" w:eastAsia="fr-FR"/>
              </w:rPr>
            </w:pPr>
            <w:r>
              <w:rPr>
                <w:lang w:val="en-US" w:eastAsia="fr-FR"/>
              </w:rPr>
              <w:t>Animal manure applied to soils (kg N)</w:t>
            </w:r>
          </w:p>
        </w:tc>
        <w:tc>
          <w:tcPr>
            <w:tcW w:w="662" w:type="pct"/>
          </w:tcPr>
          <w:p w14:paraId="224D4C04" w14:textId="58B0871E" w:rsidR="00A17496" w:rsidRDefault="00A17496" w:rsidP="00F53C04">
            <w:pPr>
              <w:pStyle w:val="BodyText"/>
              <w:spacing w:after="0"/>
              <w:jc w:val="center"/>
              <w:rPr>
                <w:lang w:val="en-US" w:eastAsia="fr-FR"/>
              </w:rPr>
            </w:pPr>
            <w:r w:rsidRPr="00201DA9">
              <w:t>24</w:t>
            </w:r>
            <w:r w:rsidR="008C23EB">
              <w:t>,</w:t>
            </w:r>
            <w:r w:rsidRPr="00201DA9">
              <w:t>161</w:t>
            </w:r>
            <w:r w:rsidR="008C23EB">
              <w:t>,</w:t>
            </w:r>
            <w:r w:rsidRPr="00201DA9">
              <w:t>257</w:t>
            </w:r>
          </w:p>
        </w:tc>
        <w:tc>
          <w:tcPr>
            <w:tcW w:w="662" w:type="pct"/>
          </w:tcPr>
          <w:p w14:paraId="0A69F2F9" w14:textId="7053B92A" w:rsidR="00A17496" w:rsidRPr="00EE1FF9" w:rsidRDefault="00A17496" w:rsidP="00F53C04">
            <w:pPr>
              <w:pStyle w:val="BodyText"/>
              <w:spacing w:after="0"/>
              <w:jc w:val="center"/>
            </w:pPr>
            <w:r w:rsidRPr="00E4164C">
              <w:t>23</w:t>
            </w:r>
            <w:r w:rsidR="008C23EB">
              <w:t>,</w:t>
            </w:r>
            <w:r w:rsidRPr="00E4164C">
              <w:t>259</w:t>
            </w:r>
            <w:r w:rsidR="008C23EB">
              <w:t>,</w:t>
            </w:r>
            <w:r w:rsidRPr="00E4164C">
              <w:t>414</w:t>
            </w:r>
          </w:p>
        </w:tc>
        <w:tc>
          <w:tcPr>
            <w:tcW w:w="661" w:type="pct"/>
          </w:tcPr>
          <w:p w14:paraId="1D9AF2CE" w14:textId="14FA4794" w:rsidR="00A17496" w:rsidRPr="00EE1FF9" w:rsidRDefault="00A17496" w:rsidP="00F53C04">
            <w:pPr>
              <w:pStyle w:val="BodyText"/>
              <w:spacing w:after="0"/>
              <w:jc w:val="center"/>
            </w:pPr>
            <w:r w:rsidRPr="00E4164C">
              <w:t>23</w:t>
            </w:r>
            <w:r w:rsidR="008C23EB">
              <w:t>,</w:t>
            </w:r>
            <w:r w:rsidRPr="00E4164C">
              <w:t>245</w:t>
            </w:r>
            <w:r w:rsidR="008C23EB">
              <w:t>,</w:t>
            </w:r>
            <w:r w:rsidRPr="00E4164C">
              <w:t>750</w:t>
            </w:r>
          </w:p>
        </w:tc>
        <w:tc>
          <w:tcPr>
            <w:tcW w:w="662" w:type="pct"/>
          </w:tcPr>
          <w:p w14:paraId="5C619317" w14:textId="47BCD764" w:rsidR="00A17496" w:rsidRPr="00EE1FF9" w:rsidRDefault="00A17496" w:rsidP="00F53C04">
            <w:pPr>
              <w:pStyle w:val="BodyText"/>
              <w:spacing w:after="0"/>
              <w:jc w:val="center"/>
            </w:pPr>
            <w:r w:rsidRPr="00E4164C">
              <w:t>22</w:t>
            </w:r>
            <w:r w:rsidR="008C23EB">
              <w:t>,</w:t>
            </w:r>
            <w:r w:rsidRPr="00E4164C">
              <w:t>678</w:t>
            </w:r>
            <w:r w:rsidR="008C23EB">
              <w:t>,</w:t>
            </w:r>
            <w:r w:rsidRPr="00E4164C">
              <w:t>425</w:t>
            </w:r>
          </w:p>
        </w:tc>
        <w:tc>
          <w:tcPr>
            <w:tcW w:w="662" w:type="pct"/>
          </w:tcPr>
          <w:p w14:paraId="2654B36C" w14:textId="632FB607" w:rsidR="00A17496" w:rsidRPr="006F2D46" w:rsidRDefault="00A17496" w:rsidP="00F53C04">
            <w:pPr>
              <w:pStyle w:val="BodyText"/>
              <w:spacing w:after="0"/>
              <w:jc w:val="center"/>
            </w:pPr>
            <w:r w:rsidRPr="00E4164C">
              <w:t>21</w:t>
            </w:r>
            <w:r w:rsidR="008C23EB">
              <w:t>,</w:t>
            </w:r>
            <w:r w:rsidRPr="00E4164C">
              <w:t>624</w:t>
            </w:r>
            <w:r w:rsidR="008C23EB">
              <w:t>,</w:t>
            </w:r>
            <w:r w:rsidRPr="00E4164C">
              <w:t>571</w:t>
            </w:r>
          </w:p>
        </w:tc>
      </w:tr>
      <w:tr w:rsidR="00B5154F" w14:paraId="2A9B2FA2" w14:textId="77777777" w:rsidTr="00F53C04">
        <w:trPr>
          <w:jc w:val="center"/>
        </w:trPr>
        <w:tc>
          <w:tcPr>
            <w:tcW w:w="1691" w:type="pct"/>
          </w:tcPr>
          <w:p w14:paraId="6DC266CD" w14:textId="77777777" w:rsidR="00A17496" w:rsidRDefault="00A17496" w:rsidP="00F53C04">
            <w:pPr>
              <w:pStyle w:val="BodyText"/>
              <w:spacing w:after="0"/>
              <w:jc w:val="center"/>
              <w:rPr>
                <w:lang w:val="en-US" w:eastAsia="fr-FR"/>
              </w:rPr>
            </w:pPr>
            <w:r>
              <w:rPr>
                <w:lang w:val="en-US" w:eastAsia="fr-FR"/>
              </w:rPr>
              <w:t>Urine and dung deposited by cattle, poultry and pigs (kg N)</w:t>
            </w:r>
          </w:p>
        </w:tc>
        <w:tc>
          <w:tcPr>
            <w:tcW w:w="662" w:type="pct"/>
          </w:tcPr>
          <w:p w14:paraId="55EEBC2F" w14:textId="2C9D7918" w:rsidR="00A17496" w:rsidRDefault="00A17496" w:rsidP="00F53C04">
            <w:pPr>
              <w:pStyle w:val="BodyText"/>
              <w:spacing w:after="0"/>
              <w:jc w:val="center"/>
              <w:rPr>
                <w:lang w:val="en-US" w:eastAsia="fr-FR"/>
              </w:rPr>
            </w:pPr>
            <w:r w:rsidRPr="00201DA9">
              <w:t>17</w:t>
            </w:r>
            <w:r w:rsidR="008C23EB">
              <w:t>,</w:t>
            </w:r>
            <w:r w:rsidRPr="00201DA9">
              <w:t>325</w:t>
            </w:r>
            <w:r w:rsidR="008C23EB">
              <w:t>,</w:t>
            </w:r>
            <w:r w:rsidRPr="00201DA9">
              <w:t>763</w:t>
            </w:r>
          </w:p>
        </w:tc>
        <w:tc>
          <w:tcPr>
            <w:tcW w:w="662" w:type="pct"/>
          </w:tcPr>
          <w:p w14:paraId="42B63EB3" w14:textId="2BA78994" w:rsidR="00A17496" w:rsidRPr="00EE1FF9" w:rsidRDefault="00A17496" w:rsidP="00F53C04">
            <w:pPr>
              <w:pStyle w:val="BodyText"/>
              <w:spacing w:after="0"/>
              <w:jc w:val="center"/>
            </w:pPr>
            <w:r w:rsidRPr="00E4164C">
              <w:t>16</w:t>
            </w:r>
            <w:r w:rsidR="008C23EB">
              <w:t>,</w:t>
            </w:r>
            <w:r w:rsidRPr="00E4164C">
              <w:t>964</w:t>
            </w:r>
            <w:r w:rsidR="008C23EB">
              <w:t>,</w:t>
            </w:r>
            <w:r w:rsidRPr="00E4164C">
              <w:t>753</w:t>
            </w:r>
          </w:p>
        </w:tc>
        <w:tc>
          <w:tcPr>
            <w:tcW w:w="661" w:type="pct"/>
          </w:tcPr>
          <w:p w14:paraId="64903AE2" w14:textId="52C580CD" w:rsidR="00A17496" w:rsidRPr="00EE1FF9" w:rsidRDefault="00A17496" w:rsidP="00F53C04">
            <w:pPr>
              <w:pStyle w:val="BodyText"/>
              <w:spacing w:after="0"/>
              <w:jc w:val="center"/>
            </w:pPr>
            <w:r w:rsidRPr="00E4164C">
              <w:t>16</w:t>
            </w:r>
            <w:r w:rsidR="008C23EB">
              <w:t>,</w:t>
            </w:r>
            <w:r w:rsidRPr="00E4164C">
              <w:t>775</w:t>
            </w:r>
            <w:r w:rsidR="008C23EB">
              <w:t>,</w:t>
            </w:r>
            <w:r w:rsidRPr="00E4164C">
              <w:t>549</w:t>
            </w:r>
          </w:p>
        </w:tc>
        <w:tc>
          <w:tcPr>
            <w:tcW w:w="662" w:type="pct"/>
          </w:tcPr>
          <w:p w14:paraId="0C2FD27C" w14:textId="5462C6C2" w:rsidR="00A17496" w:rsidRPr="00EE1FF9" w:rsidRDefault="00A17496" w:rsidP="00F53C04">
            <w:pPr>
              <w:pStyle w:val="BodyText"/>
              <w:spacing w:after="0"/>
              <w:jc w:val="center"/>
            </w:pPr>
            <w:r w:rsidRPr="00E4164C">
              <w:t>16</w:t>
            </w:r>
            <w:r w:rsidR="008C23EB">
              <w:t>,</w:t>
            </w:r>
            <w:r w:rsidRPr="00E4164C">
              <w:t>221</w:t>
            </w:r>
            <w:r w:rsidR="008C23EB">
              <w:t>,</w:t>
            </w:r>
            <w:r w:rsidRPr="00E4164C">
              <w:t>214</w:t>
            </w:r>
          </w:p>
        </w:tc>
        <w:tc>
          <w:tcPr>
            <w:tcW w:w="662" w:type="pct"/>
          </w:tcPr>
          <w:p w14:paraId="21AAA57B" w14:textId="741F4DA1" w:rsidR="00A17496" w:rsidRPr="006F2D46" w:rsidRDefault="00A17496" w:rsidP="00F53C04">
            <w:pPr>
              <w:pStyle w:val="BodyText"/>
              <w:spacing w:after="0"/>
              <w:jc w:val="center"/>
            </w:pPr>
            <w:r w:rsidRPr="00E4164C">
              <w:t>15</w:t>
            </w:r>
            <w:r w:rsidR="008C23EB">
              <w:t>,</w:t>
            </w:r>
            <w:r w:rsidRPr="00E4164C">
              <w:t>115</w:t>
            </w:r>
            <w:r w:rsidR="008C23EB">
              <w:t>,</w:t>
            </w:r>
            <w:r w:rsidRPr="00E4164C">
              <w:t>527</w:t>
            </w:r>
          </w:p>
        </w:tc>
      </w:tr>
      <w:tr w:rsidR="00B5154F" w14:paraId="32A05F50" w14:textId="77777777" w:rsidTr="00F53C04">
        <w:trPr>
          <w:jc w:val="center"/>
        </w:trPr>
        <w:tc>
          <w:tcPr>
            <w:tcW w:w="1691" w:type="pct"/>
          </w:tcPr>
          <w:p w14:paraId="1E7F2C6D" w14:textId="77777777" w:rsidR="00A17496" w:rsidRDefault="00A17496" w:rsidP="00F53C04">
            <w:pPr>
              <w:pStyle w:val="BodyText"/>
              <w:spacing w:after="0"/>
              <w:jc w:val="center"/>
              <w:rPr>
                <w:lang w:val="en-US" w:eastAsia="fr-FR"/>
              </w:rPr>
            </w:pPr>
            <w:r>
              <w:rPr>
                <w:lang w:val="en-US" w:eastAsia="fr-FR"/>
              </w:rPr>
              <w:t>Urine and dung deposited by sheep and others (kg N)</w:t>
            </w:r>
          </w:p>
        </w:tc>
        <w:tc>
          <w:tcPr>
            <w:tcW w:w="662" w:type="pct"/>
          </w:tcPr>
          <w:p w14:paraId="0FD80B85" w14:textId="618E4280" w:rsidR="00A17496" w:rsidRDefault="00A17496" w:rsidP="00F53C04">
            <w:pPr>
              <w:pStyle w:val="BodyText"/>
              <w:spacing w:after="0"/>
              <w:jc w:val="center"/>
              <w:rPr>
                <w:lang w:val="en-US" w:eastAsia="fr-FR"/>
              </w:rPr>
            </w:pPr>
            <w:r w:rsidRPr="00201DA9">
              <w:t>6</w:t>
            </w:r>
            <w:r w:rsidR="008C23EB">
              <w:t>,</w:t>
            </w:r>
            <w:r w:rsidRPr="00201DA9">
              <w:t>835</w:t>
            </w:r>
            <w:r w:rsidR="008C23EB">
              <w:t>,</w:t>
            </w:r>
            <w:r w:rsidRPr="00201DA9">
              <w:t>493</w:t>
            </w:r>
          </w:p>
        </w:tc>
        <w:tc>
          <w:tcPr>
            <w:tcW w:w="662" w:type="pct"/>
          </w:tcPr>
          <w:p w14:paraId="6E3EB073" w14:textId="1BF3D125" w:rsidR="00A17496" w:rsidRPr="00EE1FF9" w:rsidRDefault="00A17496" w:rsidP="00F53C04">
            <w:pPr>
              <w:pStyle w:val="BodyText"/>
              <w:spacing w:after="0"/>
              <w:jc w:val="center"/>
            </w:pPr>
            <w:r w:rsidRPr="00E4164C">
              <w:t>6</w:t>
            </w:r>
            <w:r w:rsidR="008C23EB">
              <w:t>,</w:t>
            </w:r>
            <w:r w:rsidRPr="00E4164C">
              <w:t>294</w:t>
            </w:r>
            <w:r w:rsidR="008C23EB">
              <w:t>,</w:t>
            </w:r>
            <w:r w:rsidRPr="00E4164C">
              <w:t>662</w:t>
            </w:r>
          </w:p>
        </w:tc>
        <w:tc>
          <w:tcPr>
            <w:tcW w:w="661" w:type="pct"/>
          </w:tcPr>
          <w:p w14:paraId="76042263" w14:textId="32346885" w:rsidR="00A17496" w:rsidRPr="00EE1FF9" w:rsidRDefault="00A17496" w:rsidP="00F53C04">
            <w:pPr>
              <w:pStyle w:val="BodyText"/>
              <w:spacing w:after="0"/>
              <w:jc w:val="center"/>
            </w:pPr>
            <w:r w:rsidRPr="00E4164C">
              <w:t>6</w:t>
            </w:r>
            <w:r w:rsidR="008C23EB">
              <w:t>,</w:t>
            </w:r>
            <w:r w:rsidRPr="00E4164C">
              <w:t>470</w:t>
            </w:r>
            <w:r w:rsidR="008C23EB">
              <w:t>,</w:t>
            </w:r>
            <w:r w:rsidRPr="00E4164C">
              <w:t>201</w:t>
            </w:r>
          </w:p>
        </w:tc>
        <w:tc>
          <w:tcPr>
            <w:tcW w:w="662" w:type="pct"/>
          </w:tcPr>
          <w:p w14:paraId="17A81E7D" w14:textId="1838A8A9" w:rsidR="00A17496" w:rsidRPr="00EE1FF9" w:rsidRDefault="00A17496" w:rsidP="00F53C04">
            <w:pPr>
              <w:pStyle w:val="BodyText"/>
              <w:spacing w:after="0"/>
              <w:jc w:val="center"/>
            </w:pPr>
            <w:r w:rsidRPr="00E4164C">
              <w:t>6</w:t>
            </w:r>
            <w:r w:rsidR="008C23EB">
              <w:t>,</w:t>
            </w:r>
            <w:r w:rsidRPr="00E4164C">
              <w:t>457</w:t>
            </w:r>
            <w:r w:rsidR="008C23EB">
              <w:t>,</w:t>
            </w:r>
            <w:r w:rsidRPr="00E4164C">
              <w:t>211</w:t>
            </w:r>
          </w:p>
        </w:tc>
        <w:tc>
          <w:tcPr>
            <w:tcW w:w="662" w:type="pct"/>
          </w:tcPr>
          <w:p w14:paraId="27A651E4" w14:textId="31A6BC5F" w:rsidR="00A17496" w:rsidRPr="006F2D46" w:rsidRDefault="00A17496" w:rsidP="00F53C04">
            <w:pPr>
              <w:pStyle w:val="BodyText"/>
              <w:spacing w:after="0"/>
              <w:jc w:val="center"/>
            </w:pPr>
            <w:r w:rsidRPr="00E4164C">
              <w:t>6</w:t>
            </w:r>
            <w:r w:rsidR="008C23EB">
              <w:t>,</w:t>
            </w:r>
            <w:r w:rsidRPr="00E4164C">
              <w:t>509</w:t>
            </w:r>
            <w:r w:rsidR="008C23EB">
              <w:t>,</w:t>
            </w:r>
            <w:r w:rsidRPr="00E4164C">
              <w:t>044</w:t>
            </w:r>
          </w:p>
        </w:tc>
      </w:tr>
      <w:tr w:rsidR="00B5154F" w14:paraId="66ACC745" w14:textId="77777777" w:rsidTr="00F53C04">
        <w:trPr>
          <w:jc w:val="center"/>
        </w:trPr>
        <w:tc>
          <w:tcPr>
            <w:tcW w:w="1691" w:type="pct"/>
          </w:tcPr>
          <w:p w14:paraId="4D753E7A" w14:textId="77777777" w:rsidR="00A17496" w:rsidRDefault="00A17496" w:rsidP="00F53C04">
            <w:pPr>
              <w:pStyle w:val="BodyText"/>
              <w:spacing w:after="0"/>
              <w:jc w:val="center"/>
              <w:rPr>
                <w:lang w:val="en-US" w:eastAsia="fr-FR"/>
              </w:rPr>
            </w:pPr>
            <w:r>
              <w:rPr>
                <w:lang w:val="en-US" w:eastAsia="fr-FR"/>
              </w:rPr>
              <w:t>Crop residues (kg N)</w:t>
            </w:r>
          </w:p>
        </w:tc>
        <w:tc>
          <w:tcPr>
            <w:tcW w:w="662" w:type="pct"/>
          </w:tcPr>
          <w:p w14:paraId="25EAB3ED" w14:textId="633E892A" w:rsidR="00A17496" w:rsidRDefault="00A17496" w:rsidP="00F53C04">
            <w:pPr>
              <w:pStyle w:val="BodyText"/>
              <w:spacing w:after="0"/>
              <w:jc w:val="center"/>
              <w:rPr>
                <w:lang w:val="en-US" w:eastAsia="fr-FR"/>
              </w:rPr>
            </w:pPr>
            <w:r w:rsidRPr="00201DA9">
              <w:t>69</w:t>
            </w:r>
            <w:r w:rsidR="008C23EB">
              <w:t>,</w:t>
            </w:r>
            <w:r w:rsidRPr="00201DA9">
              <w:t>780</w:t>
            </w:r>
            <w:r w:rsidR="008C23EB">
              <w:t>,</w:t>
            </w:r>
            <w:r w:rsidRPr="00201DA9">
              <w:t>682</w:t>
            </w:r>
          </w:p>
        </w:tc>
        <w:tc>
          <w:tcPr>
            <w:tcW w:w="662" w:type="pct"/>
          </w:tcPr>
          <w:p w14:paraId="38054A43" w14:textId="4441BC2C" w:rsidR="00A17496" w:rsidRPr="00EE1FF9" w:rsidRDefault="00A17496" w:rsidP="00F53C04">
            <w:pPr>
              <w:pStyle w:val="BodyText"/>
              <w:spacing w:after="0"/>
              <w:jc w:val="center"/>
            </w:pPr>
            <w:r w:rsidRPr="00E4164C">
              <w:t>87</w:t>
            </w:r>
            <w:r w:rsidR="008C23EB">
              <w:t>,</w:t>
            </w:r>
            <w:r w:rsidRPr="00E4164C">
              <w:t>247</w:t>
            </w:r>
            <w:r w:rsidR="008C23EB">
              <w:t>,</w:t>
            </w:r>
            <w:r w:rsidRPr="00E4164C">
              <w:t>786</w:t>
            </w:r>
          </w:p>
        </w:tc>
        <w:tc>
          <w:tcPr>
            <w:tcW w:w="661" w:type="pct"/>
          </w:tcPr>
          <w:p w14:paraId="3DFECAE6" w14:textId="23375C27" w:rsidR="00A17496" w:rsidRPr="00EE1FF9" w:rsidRDefault="00A17496" w:rsidP="00F53C04">
            <w:pPr>
              <w:pStyle w:val="BodyText"/>
              <w:spacing w:after="0"/>
              <w:jc w:val="center"/>
            </w:pPr>
            <w:r w:rsidRPr="00E4164C">
              <w:t>92</w:t>
            </w:r>
            <w:r w:rsidR="008C23EB">
              <w:t>,</w:t>
            </w:r>
            <w:r w:rsidRPr="00E4164C">
              <w:t>001</w:t>
            </w:r>
            <w:r w:rsidR="008C23EB">
              <w:t>,</w:t>
            </w:r>
            <w:r w:rsidRPr="00E4164C">
              <w:t>374</w:t>
            </w:r>
          </w:p>
        </w:tc>
        <w:tc>
          <w:tcPr>
            <w:tcW w:w="662" w:type="pct"/>
          </w:tcPr>
          <w:p w14:paraId="72BABC3C" w14:textId="5FEC9BE3" w:rsidR="00A17496" w:rsidRPr="00EE1FF9" w:rsidRDefault="00A17496" w:rsidP="00F53C04">
            <w:pPr>
              <w:pStyle w:val="BodyText"/>
              <w:spacing w:after="0"/>
              <w:jc w:val="center"/>
            </w:pPr>
            <w:r w:rsidRPr="00E4164C">
              <w:t>82</w:t>
            </w:r>
            <w:r w:rsidR="008C23EB">
              <w:t>,</w:t>
            </w:r>
            <w:r w:rsidRPr="00E4164C">
              <w:t>071</w:t>
            </w:r>
            <w:r w:rsidR="008C23EB">
              <w:t>,</w:t>
            </w:r>
            <w:r w:rsidRPr="00E4164C">
              <w:t>115</w:t>
            </w:r>
          </w:p>
        </w:tc>
        <w:tc>
          <w:tcPr>
            <w:tcW w:w="662" w:type="pct"/>
          </w:tcPr>
          <w:p w14:paraId="00D42C1B" w14:textId="24C7E406" w:rsidR="00A17496" w:rsidRPr="006F2D46" w:rsidRDefault="00A17496" w:rsidP="00F53C04">
            <w:pPr>
              <w:pStyle w:val="BodyText"/>
              <w:spacing w:after="0"/>
              <w:jc w:val="center"/>
            </w:pPr>
            <w:r w:rsidRPr="00E4164C">
              <w:t>67</w:t>
            </w:r>
            <w:r w:rsidR="008C23EB">
              <w:t>,</w:t>
            </w:r>
            <w:r w:rsidRPr="00E4164C">
              <w:t>300</w:t>
            </w:r>
            <w:r w:rsidR="008C23EB">
              <w:t>,</w:t>
            </w:r>
            <w:r w:rsidRPr="00E4164C">
              <w:t>966</w:t>
            </w:r>
          </w:p>
        </w:tc>
      </w:tr>
      <w:tr w:rsidR="00B5154F" w14:paraId="185121C7" w14:textId="77777777" w:rsidTr="00F53C04">
        <w:trPr>
          <w:jc w:val="center"/>
        </w:trPr>
        <w:tc>
          <w:tcPr>
            <w:tcW w:w="1691" w:type="pct"/>
          </w:tcPr>
          <w:p w14:paraId="0D659C81" w14:textId="05F7971C" w:rsidR="00A17496" w:rsidRDefault="00A17496" w:rsidP="00F53C04">
            <w:pPr>
              <w:pStyle w:val="BodyText"/>
              <w:spacing w:after="0"/>
              <w:jc w:val="center"/>
              <w:rPr>
                <w:lang w:val="en-US" w:eastAsia="fr-FR"/>
              </w:rPr>
            </w:pPr>
            <w:r>
              <w:rPr>
                <w:lang w:val="en-US" w:eastAsia="fr-FR"/>
              </w:rPr>
              <w:t xml:space="preserve">Managed/drained organic soils </w:t>
            </w:r>
            <w:r w:rsidR="008F4E7C">
              <w:rPr>
                <w:lang w:val="en-US" w:eastAsia="fr-FR"/>
              </w:rPr>
              <w:t>(ha)</w:t>
            </w:r>
          </w:p>
        </w:tc>
        <w:tc>
          <w:tcPr>
            <w:tcW w:w="662" w:type="pct"/>
          </w:tcPr>
          <w:p w14:paraId="0E31B82A" w14:textId="34872686" w:rsidR="00A17496" w:rsidRDefault="00A17496" w:rsidP="00F53C04">
            <w:pPr>
              <w:pStyle w:val="BodyText"/>
              <w:spacing w:after="0"/>
              <w:jc w:val="center"/>
              <w:rPr>
                <w:lang w:val="en-US" w:eastAsia="fr-FR"/>
              </w:rPr>
            </w:pPr>
            <w:r w:rsidRPr="00201DA9">
              <w:t>88</w:t>
            </w:r>
          </w:p>
        </w:tc>
        <w:tc>
          <w:tcPr>
            <w:tcW w:w="662" w:type="pct"/>
          </w:tcPr>
          <w:p w14:paraId="2472D8AF" w14:textId="0A134CA9" w:rsidR="00A17496" w:rsidRPr="00EE1FF9" w:rsidRDefault="00A17496" w:rsidP="00F53C04">
            <w:pPr>
              <w:pStyle w:val="BodyText"/>
              <w:spacing w:after="0"/>
              <w:jc w:val="center"/>
            </w:pPr>
            <w:r w:rsidRPr="00E4164C">
              <w:t>88</w:t>
            </w:r>
          </w:p>
        </w:tc>
        <w:tc>
          <w:tcPr>
            <w:tcW w:w="661" w:type="pct"/>
          </w:tcPr>
          <w:p w14:paraId="64EF789B" w14:textId="79DD0E67" w:rsidR="00A17496" w:rsidRPr="00EE1FF9" w:rsidRDefault="00A17496" w:rsidP="00F53C04">
            <w:pPr>
              <w:pStyle w:val="BodyText"/>
              <w:spacing w:after="0"/>
              <w:jc w:val="center"/>
            </w:pPr>
            <w:r w:rsidRPr="00E4164C">
              <w:t>88</w:t>
            </w:r>
          </w:p>
        </w:tc>
        <w:tc>
          <w:tcPr>
            <w:tcW w:w="662" w:type="pct"/>
          </w:tcPr>
          <w:p w14:paraId="51F2B3A4" w14:textId="017FAF03" w:rsidR="00A17496" w:rsidRPr="00EE1FF9" w:rsidRDefault="00A17496" w:rsidP="00F53C04">
            <w:pPr>
              <w:pStyle w:val="BodyText"/>
              <w:spacing w:after="0"/>
              <w:jc w:val="center"/>
            </w:pPr>
            <w:r w:rsidRPr="00E4164C">
              <w:t>88</w:t>
            </w:r>
          </w:p>
        </w:tc>
        <w:tc>
          <w:tcPr>
            <w:tcW w:w="662" w:type="pct"/>
          </w:tcPr>
          <w:p w14:paraId="66E2728B" w14:textId="64A7A55B" w:rsidR="00A17496" w:rsidRPr="006F2D46" w:rsidRDefault="00A17496" w:rsidP="00F53C04">
            <w:pPr>
              <w:pStyle w:val="BodyText"/>
              <w:spacing w:after="0"/>
              <w:jc w:val="center"/>
            </w:pPr>
            <w:r w:rsidRPr="00E4164C">
              <w:t>88</w:t>
            </w:r>
          </w:p>
        </w:tc>
      </w:tr>
    </w:tbl>
    <w:p w14:paraId="171805A4" w14:textId="57AE1BD5" w:rsidR="00A17496" w:rsidRDefault="00EF38D5" w:rsidP="00F53C04">
      <w:pPr>
        <w:spacing w:before="240"/>
      </w:pPr>
      <w:r>
        <w:t xml:space="preserve">In short, </w:t>
      </w:r>
      <w:r w:rsidR="00C8011B">
        <w:t xml:space="preserve">the noticeable </w:t>
      </w:r>
      <w:r w:rsidR="00B5154F">
        <w:t>change in activity data is accounted for the application of inorganic N-fertili</w:t>
      </w:r>
      <w:r w:rsidR="004A6587">
        <w:t>s</w:t>
      </w:r>
      <w:r w:rsidR="00B5154F">
        <w:t xml:space="preserve">ers </w:t>
      </w:r>
      <w:r w:rsidR="00444B6A">
        <w:t xml:space="preserve">where a drastic increase is observed, and the overall </w:t>
      </w:r>
      <w:r w:rsidR="00814F41">
        <w:t xml:space="preserve">growth for the period 1990-2022 is of +598%. </w:t>
      </w:r>
      <w:r w:rsidR="00C94064">
        <w:t>In the</w:t>
      </w:r>
      <w:r w:rsidR="002178DF">
        <w:t xml:space="preserve"> most</w:t>
      </w:r>
      <w:r w:rsidR="00C94064">
        <w:t xml:space="preserve"> recent years, the activity related to this </w:t>
      </w:r>
      <w:r w:rsidR="002657C1">
        <w:t xml:space="preserve">emission source </w:t>
      </w:r>
      <w:r w:rsidR="00C94064">
        <w:t xml:space="preserve">fluctuates </w:t>
      </w:r>
      <w:r w:rsidR="002657C1">
        <w:t xml:space="preserve">quite significantly but </w:t>
      </w:r>
      <w:r w:rsidR="002178DF">
        <w:t xml:space="preserve">follows a downward trend </w:t>
      </w:r>
      <w:r w:rsidR="000E456D">
        <w:t xml:space="preserve">since 2012 (-54% in 2022, compared with this year). </w:t>
      </w:r>
      <w:r w:rsidR="00D82ED1">
        <w:t xml:space="preserve">The activity data </w:t>
      </w:r>
      <w:r w:rsidR="006C67E3">
        <w:t>related to the</w:t>
      </w:r>
      <w:r w:rsidR="00D82ED1">
        <w:t xml:space="preserve"> amounts of animal manure applied to soils and urine and dung deposited by the different livestock follow the same trend</w:t>
      </w:r>
      <w:r w:rsidR="001D54A2">
        <w:t xml:space="preserve"> and know a progressive and continuous decline, to achieve a reduction of 42% in 2022, compared with 1990 levels. </w:t>
      </w:r>
      <w:r w:rsidR="00E964D1">
        <w:t xml:space="preserve">This decreasing trend is explained by the </w:t>
      </w:r>
      <w:r w:rsidR="00B752D5">
        <w:t xml:space="preserve">declining livestock as described earlier. </w:t>
      </w:r>
      <w:r w:rsidR="006C67E3">
        <w:t xml:space="preserve">Finally, the amounts of nitrogen for crop residues </w:t>
      </w:r>
      <w:r w:rsidR="003163F0">
        <w:t xml:space="preserve">vary </w:t>
      </w:r>
      <w:r w:rsidR="00D75AFB">
        <w:t xml:space="preserve">also importantly </w:t>
      </w:r>
      <w:r w:rsidR="00666229">
        <w:t>over the timeseries</w:t>
      </w:r>
      <w:r w:rsidR="00505DC6">
        <w:t xml:space="preserve">, </w:t>
      </w:r>
      <w:r w:rsidR="00296BBF">
        <w:t xml:space="preserve">from -27% to +60% compared with the level of 1990, but the </w:t>
      </w:r>
      <w:r w:rsidR="00091A68">
        <w:t xml:space="preserve">activity recorded for 2022 is rather stable with the level of 1990, after </w:t>
      </w:r>
      <w:r w:rsidR="001E3A1D">
        <w:t>being among the highest levels in 2018-202</w:t>
      </w:r>
      <w:r w:rsidR="009E23D3">
        <w:t>0</w:t>
      </w:r>
      <w:r w:rsidR="001E3A1D">
        <w:t>.</w:t>
      </w:r>
    </w:p>
    <w:p w14:paraId="674E8936" w14:textId="68D87568" w:rsidR="003D31C0" w:rsidRDefault="003D31C0" w:rsidP="00622F40">
      <w:r>
        <w:t>The estimation methodology for this sector is based on the Tier 1 from the IPCC, and therefore the EF applied to the activity data are constant over the timeseries</w:t>
      </w:r>
      <w:r w:rsidR="007679D6">
        <w:t xml:space="preserve"> (</w:t>
      </w:r>
      <w:r w:rsidR="00647E3E">
        <w:t xml:space="preserve">see chapter </w:t>
      </w:r>
      <w:r w:rsidR="00647E3E">
        <w:fldChar w:fldCharType="begin"/>
      </w:r>
      <w:r w:rsidR="00647E3E">
        <w:instrText xml:space="preserve"> REF _Ref179276257 \r \h </w:instrText>
      </w:r>
      <w:r w:rsidR="00647E3E">
        <w:fldChar w:fldCharType="separate"/>
      </w:r>
      <w:r w:rsidR="00F14C78">
        <w:t>5.4.1.2</w:t>
      </w:r>
      <w:r w:rsidR="00647E3E">
        <w:fldChar w:fldCharType="end"/>
      </w:r>
      <w:r w:rsidR="00647E3E">
        <w:t xml:space="preserve">). Hence, the </w:t>
      </w:r>
      <w:r w:rsidR="00D602C6">
        <w:t>direct emissions of N</w:t>
      </w:r>
      <w:r w:rsidR="00D602C6" w:rsidRPr="00622F40">
        <w:rPr>
          <w:vertAlign w:val="subscript"/>
        </w:rPr>
        <w:t>2</w:t>
      </w:r>
      <w:r w:rsidR="00D602C6">
        <w:t xml:space="preserve">O from agricultural soils for the following categories evolve directly proportional to the activity data presented previously. </w:t>
      </w:r>
    </w:p>
    <w:p w14:paraId="65A53577" w14:textId="17710062" w:rsidR="000E44C1" w:rsidRDefault="00CC0D2B" w:rsidP="00F53C04">
      <w:pPr>
        <w:pStyle w:val="BodyText"/>
        <w:spacing w:after="0"/>
        <w:jc w:val="left"/>
      </w:pPr>
      <w:r>
        <w:rPr>
          <w:noProof/>
          <w:lang w:val="en-US"/>
        </w:rPr>
        <w:lastRenderedPageBreak/>
        <w:drawing>
          <wp:inline distT="0" distB="0" distL="0" distR="0" wp14:anchorId="2051A6D4" wp14:editId="1F14297C">
            <wp:extent cx="5760000" cy="1753712"/>
            <wp:effectExtent l="0" t="0" r="0" b="0"/>
            <wp:docPr id="1554740398"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7C2309A1" w14:textId="177B0CB7" w:rsidR="00F53C04" w:rsidRPr="00622F40" w:rsidRDefault="00F53C04" w:rsidP="00F53C04">
      <w:pPr>
        <w:pStyle w:val="Caption"/>
        <w:keepNext/>
        <w:spacing w:before="0"/>
        <w:jc w:val="left"/>
        <w:rPr>
          <w:noProof/>
          <w:lang w:val="pt-BR"/>
        </w:rPr>
      </w:pPr>
      <w:bookmarkStart w:id="718" w:name="_Toc184808493"/>
      <w:r w:rsidRPr="00622F40">
        <w:rPr>
          <w:lang w:val="pt-BR"/>
        </w:rPr>
        <w:t xml:space="preserve">Figure </w:t>
      </w:r>
      <w:r w:rsidRPr="00622F40">
        <w:fldChar w:fldCharType="begin"/>
      </w:r>
      <w:r w:rsidRPr="00622F40">
        <w:rPr>
          <w:lang w:val="pt-BR"/>
        </w:rPr>
        <w:instrText xml:space="preserve"> SEQ Figure \* ARABIC </w:instrText>
      </w:r>
      <w:r w:rsidRPr="00622F40">
        <w:fldChar w:fldCharType="separate"/>
      </w:r>
      <w:r>
        <w:rPr>
          <w:noProof/>
          <w:lang w:val="pt-BR"/>
        </w:rPr>
        <w:t>106</w:t>
      </w:r>
      <w:r w:rsidRPr="00622F40">
        <w:fldChar w:fldCharType="end"/>
      </w:r>
      <w:r w:rsidRPr="00622F40">
        <w:rPr>
          <w:noProof/>
          <w:lang w:val="pt-BR"/>
        </w:rPr>
        <w:t xml:space="preserve"> : N</w:t>
      </w:r>
      <w:r w:rsidRPr="00F53C04">
        <w:rPr>
          <w:noProof/>
          <w:vertAlign w:val="subscript"/>
          <w:lang w:val="pt-BR"/>
        </w:rPr>
        <w:t>2</w:t>
      </w:r>
      <w:r w:rsidRPr="00622F40">
        <w:rPr>
          <w:noProof/>
          <w:lang w:val="pt-BR"/>
        </w:rPr>
        <w:t>O emissions from inorganic N fertilisers (</w:t>
      </w:r>
      <w:r>
        <w:rPr>
          <w:noProof/>
          <w:lang w:val="pt-BR"/>
        </w:rPr>
        <w:t>CRT</w:t>
      </w:r>
      <w:r w:rsidRPr="00622F40">
        <w:rPr>
          <w:noProof/>
          <w:lang w:val="pt-BR"/>
        </w:rPr>
        <w:t xml:space="preserve"> 3D1</w:t>
      </w:r>
      <w:r w:rsidR="00497864">
        <w:rPr>
          <w:noProof/>
          <w:lang w:val="pt-BR"/>
        </w:rPr>
        <w:t>.</w:t>
      </w:r>
      <w:r w:rsidRPr="00622F40">
        <w:rPr>
          <w:noProof/>
          <w:lang w:val="pt-BR"/>
        </w:rPr>
        <w:t>1) (kt CO</w:t>
      </w:r>
      <w:r w:rsidRPr="00622F40">
        <w:rPr>
          <w:noProof/>
          <w:vertAlign w:val="subscript"/>
          <w:lang w:val="pt-BR"/>
        </w:rPr>
        <w:t>2</w:t>
      </w:r>
      <w:r w:rsidRPr="00622F40">
        <w:rPr>
          <w:noProof/>
          <w:lang w:val="pt-BR"/>
        </w:rPr>
        <w:t>e)</w:t>
      </w:r>
      <w:bookmarkEnd w:id="718"/>
    </w:p>
    <w:p w14:paraId="4BDA108C" w14:textId="22D014C8" w:rsidR="000E44C1" w:rsidRDefault="004F70B9" w:rsidP="00F53C04">
      <w:pPr>
        <w:pStyle w:val="BodyText"/>
        <w:spacing w:after="0"/>
        <w:jc w:val="left"/>
        <w:rPr>
          <w:noProof/>
        </w:rPr>
      </w:pPr>
      <w:r>
        <w:rPr>
          <w:noProof/>
          <w:lang w:val="en-US"/>
        </w:rPr>
        <w:drawing>
          <wp:inline distT="0" distB="0" distL="0" distR="0" wp14:anchorId="3AB56471" wp14:editId="38EF660F">
            <wp:extent cx="5760000" cy="1753712"/>
            <wp:effectExtent l="0" t="0" r="0" b="0"/>
            <wp:docPr id="102447873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0E68365E" w14:textId="66A38B9D" w:rsidR="00F53C04" w:rsidRPr="00622F40" w:rsidRDefault="00F53C04" w:rsidP="00F53C04">
      <w:pPr>
        <w:pStyle w:val="Caption"/>
        <w:keepNext/>
        <w:spacing w:before="0"/>
        <w:jc w:val="left"/>
        <w:rPr>
          <w:noProof/>
          <w:lang w:val="pt-BR"/>
        </w:rPr>
      </w:pPr>
      <w:bookmarkStart w:id="719" w:name="_Toc184808494"/>
      <w:r w:rsidRPr="00622F40">
        <w:rPr>
          <w:lang w:val="pt-BR"/>
        </w:rPr>
        <w:t xml:space="preserve">Figure </w:t>
      </w:r>
      <w:r w:rsidRPr="00622F40">
        <w:fldChar w:fldCharType="begin"/>
      </w:r>
      <w:r w:rsidRPr="00622F40">
        <w:rPr>
          <w:lang w:val="pt-BR"/>
        </w:rPr>
        <w:instrText xml:space="preserve"> SEQ Figure \* ARABIC </w:instrText>
      </w:r>
      <w:r w:rsidRPr="00622F40">
        <w:fldChar w:fldCharType="separate"/>
      </w:r>
      <w:r>
        <w:rPr>
          <w:noProof/>
          <w:lang w:val="pt-BR"/>
        </w:rPr>
        <w:t>107</w:t>
      </w:r>
      <w:r w:rsidRPr="00622F40">
        <w:fldChar w:fldCharType="end"/>
      </w:r>
      <w:r w:rsidRPr="00622F40">
        <w:rPr>
          <w:noProof/>
          <w:lang w:val="pt-BR"/>
        </w:rPr>
        <w:t xml:space="preserve"> : N</w:t>
      </w:r>
      <w:r w:rsidRPr="00F53C04">
        <w:rPr>
          <w:noProof/>
          <w:vertAlign w:val="subscript"/>
          <w:lang w:val="pt-BR"/>
        </w:rPr>
        <w:t>2</w:t>
      </w:r>
      <w:r w:rsidRPr="00622F40">
        <w:rPr>
          <w:noProof/>
          <w:lang w:val="pt-BR"/>
        </w:rPr>
        <w:t>O emissions from organic N fertilisers (</w:t>
      </w:r>
      <w:r>
        <w:rPr>
          <w:noProof/>
          <w:lang w:val="pt-BR"/>
        </w:rPr>
        <w:t>CRT</w:t>
      </w:r>
      <w:r w:rsidRPr="00622F40">
        <w:rPr>
          <w:noProof/>
          <w:lang w:val="pt-BR"/>
        </w:rPr>
        <w:t xml:space="preserve"> 3D1</w:t>
      </w:r>
      <w:r w:rsidR="00497864">
        <w:rPr>
          <w:noProof/>
          <w:lang w:val="pt-BR"/>
        </w:rPr>
        <w:t>.</w:t>
      </w:r>
      <w:r w:rsidRPr="00622F40">
        <w:rPr>
          <w:noProof/>
          <w:lang w:val="pt-BR"/>
        </w:rPr>
        <w:t>2</w:t>
      </w:r>
      <w:r w:rsidR="00497864">
        <w:rPr>
          <w:noProof/>
          <w:lang w:val="pt-BR"/>
        </w:rPr>
        <w:t>.</w:t>
      </w:r>
      <w:r w:rsidRPr="00622F40">
        <w:rPr>
          <w:noProof/>
          <w:lang w:val="pt-BR"/>
        </w:rPr>
        <w:t>a) (kt CO</w:t>
      </w:r>
      <w:r w:rsidRPr="00622F40">
        <w:rPr>
          <w:noProof/>
          <w:vertAlign w:val="subscript"/>
          <w:lang w:val="pt-BR"/>
        </w:rPr>
        <w:t>2</w:t>
      </w:r>
      <w:r w:rsidRPr="00622F40">
        <w:rPr>
          <w:noProof/>
          <w:lang w:val="pt-BR"/>
        </w:rPr>
        <w:t>e)</w:t>
      </w:r>
      <w:bookmarkEnd w:id="719"/>
    </w:p>
    <w:p w14:paraId="47571B1F" w14:textId="4CC2E138" w:rsidR="000E44C1" w:rsidRDefault="004F70B9" w:rsidP="00F53C04">
      <w:pPr>
        <w:pStyle w:val="BodyText"/>
        <w:spacing w:after="0"/>
        <w:jc w:val="left"/>
      </w:pPr>
      <w:r>
        <w:rPr>
          <w:noProof/>
          <w:lang w:val="en-US"/>
        </w:rPr>
        <w:drawing>
          <wp:inline distT="0" distB="0" distL="0" distR="0" wp14:anchorId="5B746DFD" wp14:editId="2AD11EA1">
            <wp:extent cx="5760000" cy="1753712"/>
            <wp:effectExtent l="0" t="0" r="0" b="0"/>
            <wp:docPr id="1159501427"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3AADFE80" w14:textId="2B2FFCA6" w:rsidR="00F53C04" w:rsidRDefault="00F53C04" w:rsidP="00F53C04">
      <w:pPr>
        <w:pStyle w:val="Caption"/>
        <w:keepNext/>
        <w:spacing w:before="0"/>
        <w:jc w:val="left"/>
        <w:rPr>
          <w:noProof/>
        </w:rPr>
      </w:pPr>
      <w:bookmarkStart w:id="720" w:name="_Toc184808495"/>
      <w:r w:rsidRPr="00622F40">
        <w:t xml:space="preserve">Figure </w:t>
      </w:r>
      <w:r w:rsidRPr="00622F40">
        <w:fldChar w:fldCharType="begin"/>
      </w:r>
      <w:r w:rsidRPr="00622F40">
        <w:instrText xml:space="preserve"> SEQ Figure \* ARABIC </w:instrText>
      </w:r>
      <w:r w:rsidRPr="00622F40">
        <w:fldChar w:fldCharType="separate"/>
      </w:r>
      <w:r>
        <w:rPr>
          <w:noProof/>
        </w:rPr>
        <w:t>108</w:t>
      </w:r>
      <w:r w:rsidRPr="00622F40">
        <w:fldChar w:fldCharType="end"/>
      </w:r>
      <w:r w:rsidRPr="00622F40">
        <w:rPr>
          <w:noProof/>
        </w:rPr>
        <w:t xml:space="preserve"> : N</w:t>
      </w:r>
      <w:r w:rsidRPr="00F53C04">
        <w:rPr>
          <w:noProof/>
          <w:vertAlign w:val="subscript"/>
        </w:rPr>
        <w:t>2</w:t>
      </w:r>
      <w:r w:rsidRPr="00622F40">
        <w:rPr>
          <w:noProof/>
        </w:rPr>
        <w:t>O emissions from urine and dung deposited by grazing animals (</w:t>
      </w:r>
      <w:r>
        <w:rPr>
          <w:noProof/>
        </w:rPr>
        <w:t>CRT</w:t>
      </w:r>
      <w:r w:rsidRPr="00622F40">
        <w:rPr>
          <w:noProof/>
        </w:rPr>
        <w:t xml:space="preserve"> 3D1</w:t>
      </w:r>
      <w:r w:rsidR="00497864">
        <w:rPr>
          <w:noProof/>
        </w:rPr>
        <w:t>.</w:t>
      </w:r>
      <w:r w:rsidRPr="00622F40">
        <w:rPr>
          <w:noProof/>
        </w:rPr>
        <w:t>3) (kt CO</w:t>
      </w:r>
      <w:r w:rsidRPr="00622F40">
        <w:rPr>
          <w:noProof/>
          <w:vertAlign w:val="subscript"/>
        </w:rPr>
        <w:t>2</w:t>
      </w:r>
      <w:r w:rsidRPr="00622F40">
        <w:rPr>
          <w:noProof/>
        </w:rPr>
        <w:t>e)</w:t>
      </w:r>
      <w:bookmarkEnd w:id="720"/>
    </w:p>
    <w:p w14:paraId="18FA12F7" w14:textId="7E3938EE" w:rsidR="000E44C1" w:rsidRDefault="00F8455C" w:rsidP="00F53C04">
      <w:pPr>
        <w:pStyle w:val="BodyText"/>
        <w:spacing w:after="0"/>
        <w:jc w:val="left"/>
      </w:pPr>
      <w:r>
        <w:rPr>
          <w:noProof/>
          <w:lang w:val="en-US"/>
        </w:rPr>
        <w:drawing>
          <wp:inline distT="0" distB="0" distL="0" distR="0" wp14:anchorId="5C20DE35" wp14:editId="374A1206">
            <wp:extent cx="5760000" cy="1753712"/>
            <wp:effectExtent l="0" t="0" r="0" b="0"/>
            <wp:docPr id="986816634"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03509BB1" w14:textId="6AFC3462" w:rsidR="00F53C04" w:rsidRDefault="00F53C04" w:rsidP="00F53C04">
      <w:pPr>
        <w:pStyle w:val="Caption"/>
        <w:keepNext/>
        <w:spacing w:before="0"/>
        <w:jc w:val="left"/>
        <w:rPr>
          <w:noProof/>
        </w:rPr>
      </w:pPr>
      <w:bookmarkStart w:id="721" w:name="_Toc184808496"/>
      <w:r w:rsidRPr="00622F40">
        <w:t xml:space="preserve">Figure </w:t>
      </w:r>
      <w:r w:rsidRPr="00622F40">
        <w:fldChar w:fldCharType="begin"/>
      </w:r>
      <w:r w:rsidRPr="00622F40">
        <w:instrText xml:space="preserve"> SEQ Figure \* ARABIC </w:instrText>
      </w:r>
      <w:r w:rsidRPr="00622F40">
        <w:fldChar w:fldCharType="separate"/>
      </w:r>
      <w:r>
        <w:rPr>
          <w:noProof/>
        </w:rPr>
        <w:t>109</w:t>
      </w:r>
      <w:r w:rsidRPr="00622F40">
        <w:fldChar w:fldCharType="end"/>
      </w:r>
      <w:r w:rsidRPr="00622F40">
        <w:rPr>
          <w:noProof/>
        </w:rPr>
        <w:t xml:space="preserve"> : N</w:t>
      </w:r>
      <w:r w:rsidRPr="00F53C04">
        <w:rPr>
          <w:noProof/>
          <w:vertAlign w:val="subscript"/>
        </w:rPr>
        <w:t>2</w:t>
      </w:r>
      <w:r w:rsidRPr="00622F40">
        <w:rPr>
          <w:noProof/>
        </w:rPr>
        <w:t>O emissions from crop residues (</w:t>
      </w:r>
      <w:r>
        <w:rPr>
          <w:noProof/>
        </w:rPr>
        <w:t>CRT</w:t>
      </w:r>
      <w:r w:rsidRPr="00622F40">
        <w:rPr>
          <w:noProof/>
        </w:rPr>
        <w:t xml:space="preserve"> 3D1</w:t>
      </w:r>
      <w:r w:rsidR="00497864">
        <w:rPr>
          <w:noProof/>
        </w:rPr>
        <w:t>.</w:t>
      </w:r>
      <w:r w:rsidRPr="00622F40">
        <w:rPr>
          <w:noProof/>
        </w:rPr>
        <w:t>4) (kt CO</w:t>
      </w:r>
      <w:r w:rsidRPr="00622F40">
        <w:rPr>
          <w:noProof/>
          <w:vertAlign w:val="subscript"/>
        </w:rPr>
        <w:t>2</w:t>
      </w:r>
      <w:r w:rsidRPr="00622F40">
        <w:rPr>
          <w:noProof/>
        </w:rPr>
        <w:t>e)</w:t>
      </w:r>
      <w:bookmarkEnd w:id="721"/>
    </w:p>
    <w:p w14:paraId="19B96F0A" w14:textId="77777777" w:rsidR="00F53C04" w:rsidRPr="00F53C04" w:rsidRDefault="00F53C04" w:rsidP="00F53C04"/>
    <w:p w14:paraId="35987845" w14:textId="51E38EE6" w:rsidR="000E44C1" w:rsidRDefault="00F8455C" w:rsidP="00F53C04">
      <w:pPr>
        <w:pStyle w:val="BodyText"/>
        <w:spacing w:after="0"/>
        <w:jc w:val="left"/>
      </w:pPr>
      <w:r>
        <w:rPr>
          <w:noProof/>
          <w:lang w:val="en-US"/>
        </w:rPr>
        <w:lastRenderedPageBreak/>
        <w:drawing>
          <wp:inline distT="0" distB="0" distL="0" distR="0" wp14:anchorId="564A39CC" wp14:editId="3CFEDA76">
            <wp:extent cx="5760000" cy="1753712"/>
            <wp:effectExtent l="0" t="0" r="0" b="0"/>
            <wp:docPr id="875993802"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076838F8" w14:textId="687289C3" w:rsidR="00F53C04" w:rsidRDefault="00F53C04" w:rsidP="00F53C04">
      <w:pPr>
        <w:pStyle w:val="Caption"/>
        <w:keepNext/>
        <w:spacing w:before="0" w:after="0"/>
        <w:jc w:val="left"/>
        <w:rPr>
          <w:noProof/>
        </w:rPr>
      </w:pPr>
      <w:bookmarkStart w:id="722" w:name="_Toc184808497"/>
      <w:r w:rsidRPr="00622F40">
        <w:t xml:space="preserve">Figure </w:t>
      </w:r>
      <w:r w:rsidRPr="00622F40">
        <w:fldChar w:fldCharType="begin"/>
      </w:r>
      <w:r w:rsidRPr="00622F40">
        <w:instrText xml:space="preserve"> SEQ Figure \* ARABIC </w:instrText>
      </w:r>
      <w:r w:rsidRPr="00622F40">
        <w:fldChar w:fldCharType="separate"/>
      </w:r>
      <w:r>
        <w:rPr>
          <w:noProof/>
        </w:rPr>
        <w:t>110</w:t>
      </w:r>
      <w:r w:rsidRPr="00622F40">
        <w:fldChar w:fldCharType="end"/>
      </w:r>
      <w:r w:rsidRPr="00622F40">
        <w:rPr>
          <w:noProof/>
        </w:rPr>
        <w:t xml:space="preserve"> : N</w:t>
      </w:r>
      <w:r w:rsidRPr="00F53C04">
        <w:rPr>
          <w:noProof/>
          <w:vertAlign w:val="subscript"/>
        </w:rPr>
        <w:t>2</w:t>
      </w:r>
      <w:r w:rsidRPr="00622F40">
        <w:rPr>
          <w:noProof/>
        </w:rPr>
        <w:t>O emissions from cultivation of organic soils (</w:t>
      </w:r>
      <w:r>
        <w:rPr>
          <w:noProof/>
        </w:rPr>
        <w:t>CRT</w:t>
      </w:r>
      <w:r w:rsidRPr="00622F40">
        <w:rPr>
          <w:noProof/>
        </w:rPr>
        <w:t xml:space="preserve"> 3D1</w:t>
      </w:r>
      <w:r w:rsidR="00497864">
        <w:rPr>
          <w:noProof/>
        </w:rPr>
        <w:t>.</w:t>
      </w:r>
      <w:r w:rsidRPr="00622F40">
        <w:rPr>
          <w:noProof/>
        </w:rPr>
        <w:t>6) (kt CO</w:t>
      </w:r>
      <w:r w:rsidRPr="00622F40">
        <w:rPr>
          <w:noProof/>
          <w:vertAlign w:val="subscript"/>
        </w:rPr>
        <w:t>2</w:t>
      </w:r>
      <w:r w:rsidRPr="00622F40">
        <w:rPr>
          <w:noProof/>
        </w:rPr>
        <w:t>e)</w:t>
      </w:r>
      <w:bookmarkEnd w:id="722"/>
    </w:p>
    <w:p w14:paraId="6C9E13BD" w14:textId="77777777" w:rsidR="00F53C04" w:rsidRDefault="00F53C04" w:rsidP="000E5BC4">
      <w:pPr>
        <w:pStyle w:val="BodyText"/>
      </w:pPr>
    </w:p>
    <w:p w14:paraId="6E536732" w14:textId="481CFDDE" w:rsidR="001D039E" w:rsidRDefault="000E5BC4" w:rsidP="000E5BC4">
      <w:pPr>
        <w:pStyle w:val="BodyText"/>
      </w:pPr>
      <w:r w:rsidRPr="00D916DB">
        <w:t xml:space="preserve">In </w:t>
      </w:r>
      <w:r w:rsidR="00226427">
        <w:t>2022</w:t>
      </w:r>
      <w:r w:rsidRPr="00D916DB">
        <w:t>,</w:t>
      </w:r>
      <w:r w:rsidR="00236896">
        <w:t xml:space="preserve"> the CRT categories </w:t>
      </w:r>
      <w:r w:rsidR="008931E5">
        <w:t xml:space="preserve">CRT </w:t>
      </w:r>
      <w:r w:rsidR="00236896">
        <w:t>3D1</w:t>
      </w:r>
      <w:r w:rsidR="00497864">
        <w:t>.</w:t>
      </w:r>
      <w:r w:rsidR="00236896">
        <w:t xml:space="preserve">1 (inorganic </w:t>
      </w:r>
      <w:r w:rsidR="001D039E">
        <w:t xml:space="preserve">N </w:t>
      </w:r>
      <w:r w:rsidR="00236896">
        <w:t>fertili</w:t>
      </w:r>
      <w:r w:rsidR="004A6587">
        <w:t>s</w:t>
      </w:r>
      <w:r w:rsidR="00236896">
        <w:t xml:space="preserve">ers) and </w:t>
      </w:r>
      <w:r w:rsidR="008931E5">
        <w:t xml:space="preserve">CRT </w:t>
      </w:r>
      <w:r w:rsidR="00236896">
        <w:t>3D1</w:t>
      </w:r>
      <w:r w:rsidR="00497864">
        <w:t>.</w:t>
      </w:r>
      <w:r w:rsidR="00236896">
        <w:t xml:space="preserve">4 (crop residues) are both key categories in terms of emission levels and trend, but all the other </w:t>
      </w:r>
      <w:r w:rsidR="001D039E">
        <w:t>subsectors are not key categories in one or the other.</w:t>
      </w:r>
      <w:r w:rsidRPr="00D916DB">
        <w:t xml:space="preserve"> </w:t>
      </w:r>
    </w:p>
    <w:p w14:paraId="125268B2" w14:textId="0121FE53" w:rsidR="000E5BC4" w:rsidRPr="00D916DB" w:rsidRDefault="00504FF9" w:rsidP="000E5BC4">
      <w:pPr>
        <w:pStyle w:val="BodyText"/>
      </w:pPr>
      <w:r>
        <w:t>T</w:t>
      </w:r>
      <w:r w:rsidR="001D039E">
        <w:t xml:space="preserve">he </w:t>
      </w:r>
      <w:r w:rsidRPr="00D916DB">
        <w:t>N</w:t>
      </w:r>
      <w:r w:rsidRPr="001F0275">
        <w:rPr>
          <w:vertAlign w:val="subscript"/>
        </w:rPr>
        <w:t>2</w:t>
      </w:r>
      <w:r w:rsidRPr="00D916DB">
        <w:t>O emissions</w:t>
      </w:r>
      <w:r>
        <w:t xml:space="preserve"> from the </w:t>
      </w:r>
      <w:r w:rsidR="001D039E">
        <w:t xml:space="preserve">subsector </w:t>
      </w:r>
      <w:r>
        <w:t>i</w:t>
      </w:r>
      <w:r w:rsidR="000E5BC4">
        <w:t>nor</w:t>
      </w:r>
      <w:r w:rsidR="000E5BC4" w:rsidRPr="00D916DB">
        <w:t>ganic N fertili</w:t>
      </w:r>
      <w:r w:rsidR="004A6587">
        <w:t>s</w:t>
      </w:r>
      <w:r w:rsidR="000E5BC4" w:rsidRPr="00D916DB">
        <w:t xml:space="preserve">ers </w:t>
      </w:r>
      <w:r>
        <w:t>are</w:t>
      </w:r>
      <w:r w:rsidRPr="00D916DB">
        <w:t xml:space="preserve"> </w:t>
      </w:r>
      <w:r w:rsidR="000E5BC4" w:rsidRPr="00D916DB">
        <w:t xml:space="preserve">a key category </w:t>
      </w:r>
      <w:r>
        <w:t>and</w:t>
      </w:r>
      <w:r w:rsidR="000E5BC4" w:rsidRPr="00D916DB">
        <w:t xml:space="preserve"> contribute to </w:t>
      </w:r>
      <w:r>
        <w:t>1.0</w:t>
      </w:r>
      <w:r w:rsidR="000E5BC4" w:rsidRPr="00D916DB">
        <w:t xml:space="preserve">% in terms of emissions level (rank </w:t>
      </w:r>
      <w:r>
        <w:t>15</w:t>
      </w:r>
      <w:r w:rsidR="000E5BC4" w:rsidRPr="00D916DB">
        <w:t>)</w:t>
      </w:r>
      <w:r w:rsidR="00F15DCD">
        <w:t xml:space="preserve"> and </w:t>
      </w:r>
      <w:r w:rsidR="00487077">
        <w:t>2.1</w:t>
      </w:r>
      <w:r w:rsidR="00F15DCD">
        <w:t>% in terms of emissions trend (rank</w:t>
      </w:r>
      <w:r w:rsidR="00487077">
        <w:t xml:space="preserve"> 14</w:t>
      </w:r>
      <w:r w:rsidR="00F15DCD">
        <w:t>)</w:t>
      </w:r>
      <w:r w:rsidR="000E5BC4" w:rsidRPr="00D916DB">
        <w:t>.</w:t>
      </w:r>
    </w:p>
    <w:p w14:paraId="1BEA9C30" w14:textId="002CFA30" w:rsidR="007B2433" w:rsidRPr="00D916DB" w:rsidRDefault="00504FF9" w:rsidP="00D916DB">
      <w:pPr>
        <w:pStyle w:val="BodyText"/>
      </w:pPr>
      <w:r>
        <w:t>T</w:t>
      </w:r>
      <w:r w:rsidR="007B2433" w:rsidRPr="00D916DB">
        <w:t xml:space="preserve">he </w:t>
      </w:r>
      <w:r w:rsidRPr="00D916DB">
        <w:t>N</w:t>
      </w:r>
      <w:r w:rsidRPr="001F0275">
        <w:rPr>
          <w:vertAlign w:val="subscript"/>
        </w:rPr>
        <w:t>2</w:t>
      </w:r>
      <w:r w:rsidRPr="00D916DB">
        <w:t>O emissions</w:t>
      </w:r>
      <w:r>
        <w:t xml:space="preserve"> from subsector crop</w:t>
      </w:r>
      <w:r w:rsidR="007B2433" w:rsidRPr="00D916DB">
        <w:t xml:space="preserve"> residues</w:t>
      </w:r>
      <w:r>
        <w:t xml:space="preserve"> </w:t>
      </w:r>
      <w:r w:rsidR="00487077">
        <w:t>are</w:t>
      </w:r>
      <w:r w:rsidR="007B2433" w:rsidRPr="00D916DB">
        <w:t xml:space="preserve"> a key category </w:t>
      </w:r>
      <w:r w:rsidR="00487077">
        <w:t>and</w:t>
      </w:r>
      <w:r w:rsidR="007B2433" w:rsidRPr="00D916DB">
        <w:t xml:space="preserve"> contribute </w:t>
      </w:r>
      <w:r w:rsidR="007B2433" w:rsidRPr="00A92873">
        <w:t>to 0.</w:t>
      </w:r>
      <w:r w:rsidR="00487077">
        <w:t>4</w:t>
      </w:r>
      <w:r w:rsidR="007B2433" w:rsidRPr="00A92873">
        <w:t xml:space="preserve">% in terms of emissions level (rank </w:t>
      </w:r>
      <w:r w:rsidR="00487077">
        <w:t>27</w:t>
      </w:r>
      <w:r w:rsidR="007B2433" w:rsidRPr="00A92873">
        <w:t xml:space="preserve">) and </w:t>
      </w:r>
      <w:r w:rsidR="00A92873" w:rsidRPr="00A92873">
        <w:t>0</w:t>
      </w:r>
      <w:r w:rsidR="00DD15EF">
        <w:t>.3</w:t>
      </w:r>
      <w:r w:rsidR="007B2433" w:rsidRPr="00A92873">
        <w:t xml:space="preserve">% in terms of emissions trend (rank </w:t>
      </w:r>
      <w:r w:rsidR="00DD15EF">
        <w:t>55</w:t>
      </w:r>
      <w:r w:rsidR="007B2433" w:rsidRPr="00A92873">
        <w:t>).</w:t>
      </w:r>
    </w:p>
    <w:p w14:paraId="12768CB8" w14:textId="6BF6B5D5" w:rsidR="007B2433" w:rsidRDefault="007B2433" w:rsidP="007B2433">
      <w:pPr>
        <w:pStyle w:val="Titre4Bleu"/>
        <w:rPr>
          <w:lang w:eastAsia="fr-FR"/>
        </w:rPr>
      </w:pPr>
      <w:bookmarkStart w:id="723" w:name="_Ref179217269"/>
      <w:bookmarkStart w:id="724" w:name="_Ref179276257"/>
      <w:bookmarkStart w:id="725" w:name="_Ref179277830"/>
      <w:bookmarkStart w:id="726" w:name="_Toc182327926"/>
      <w:r w:rsidRPr="002462F0">
        <w:rPr>
          <w:lang w:eastAsia="fr-FR"/>
        </w:rPr>
        <w:t>Methodological issues</w:t>
      </w:r>
      <w:bookmarkEnd w:id="723"/>
      <w:bookmarkEnd w:id="724"/>
      <w:bookmarkEnd w:id="725"/>
      <w:bookmarkEnd w:id="726"/>
      <w:r w:rsidRPr="002462F0">
        <w:rPr>
          <w:lang w:eastAsia="fr-FR"/>
        </w:rPr>
        <w:t xml:space="preserve"> </w:t>
      </w:r>
    </w:p>
    <w:p w14:paraId="6992BA84" w14:textId="250EA20D" w:rsidR="000E44C1" w:rsidRPr="0003002C" w:rsidRDefault="000E44C1" w:rsidP="000E44C1">
      <w:pPr>
        <w:pStyle w:val="BodyText"/>
        <w:rPr>
          <w:lang w:val="en-US" w:eastAsia="fr-FR"/>
        </w:rPr>
      </w:pPr>
      <w:r>
        <w:rPr>
          <w:lang w:val="en-US" w:eastAsia="fr-FR"/>
        </w:rPr>
        <w:t>Direct e</w:t>
      </w:r>
      <w:r w:rsidRPr="0003002C">
        <w:rPr>
          <w:lang w:val="en-US" w:eastAsia="fr-FR"/>
        </w:rPr>
        <w:t>missions of N</w:t>
      </w:r>
      <w:r w:rsidRPr="0003002C">
        <w:rPr>
          <w:vertAlign w:val="subscript"/>
          <w:lang w:val="en-US" w:eastAsia="fr-FR"/>
        </w:rPr>
        <w:t>2</w:t>
      </w:r>
      <w:r w:rsidRPr="0003002C">
        <w:rPr>
          <w:lang w:val="en-US" w:eastAsia="fr-FR"/>
        </w:rPr>
        <w:t xml:space="preserve">O from </w:t>
      </w:r>
      <w:r>
        <w:rPr>
          <w:lang w:val="en-US" w:eastAsia="fr-FR"/>
        </w:rPr>
        <w:t>managed soils</w:t>
      </w:r>
      <w:r w:rsidRPr="0003002C">
        <w:rPr>
          <w:lang w:val="en-US" w:eastAsia="fr-FR"/>
        </w:rPr>
        <w:t xml:space="preserve"> are calculated with a Tier 1 approach which is in line with the 20</w:t>
      </w:r>
      <w:r w:rsidR="00680066">
        <w:rPr>
          <w:lang w:val="en-US" w:eastAsia="fr-FR"/>
        </w:rPr>
        <w:t>19</w:t>
      </w:r>
      <w:r w:rsidRPr="0003002C">
        <w:rPr>
          <w:lang w:val="en-US" w:eastAsia="fr-FR"/>
        </w:rPr>
        <w:t xml:space="preserve"> IPCC Guidelines</w:t>
      </w:r>
      <w:r w:rsidR="00FC7E4D">
        <w:rPr>
          <w:lang w:val="en-US" w:eastAsia="fr-FR"/>
        </w:rPr>
        <w:t xml:space="preserve"> </w:t>
      </w:r>
      <w:r w:rsidR="00FC7E4D">
        <w:rPr>
          <w:lang w:val="en-US" w:eastAsia="fr-FR"/>
        </w:rPr>
        <w:fldChar w:fldCharType="begin"/>
      </w:r>
      <w:r w:rsidR="00FC7E4D">
        <w:rPr>
          <w:lang w:val="en-US" w:eastAsia="fr-FR"/>
        </w:rPr>
        <w:instrText xml:space="preserve"> REF _Ref181802803 \r \h </w:instrText>
      </w:r>
      <w:r w:rsidR="00FC7E4D">
        <w:rPr>
          <w:lang w:val="en-US" w:eastAsia="fr-FR"/>
        </w:rPr>
      </w:r>
      <w:r w:rsidR="00FC7E4D">
        <w:rPr>
          <w:lang w:val="en-US" w:eastAsia="fr-FR"/>
        </w:rPr>
        <w:fldChar w:fldCharType="separate"/>
      </w:r>
      <w:r w:rsidR="00F14C78">
        <w:rPr>
          <w:lang w:val="en-US" w:eastAsia="fr-FR"/>
        </w:rPr>
        <w:t>[A21]</w:t>
      </w:r>
      <w:r w:rsidR="00FC7E4D">
        <w:rPr>
          <w:lang w:val="en-US" w:eastAsia="fr-FR"/>
        </w:rPr>
        <w:fldChar w:fldCharType="end"/>
      </w:r>
      <w:r w:rsidRPr="0003002C">
        <w:rPr>
          <w:lang w:val="en-US" w:eastAsia="fr-FR"/>
        </w:rPr>
        <w:t xml:space="preserve">. </w:t>
      </w:r>
    </w:p>
    <w:p w14:paraId="3D0A57D5" w14:textId="018AE414" w:rsidR="000E44C1" w:rsidRDefault="000E44C1" w:rsidP="000E44C1">
      <w:pPr>
        <w:pStyle w:val="BodyText"/>
        <w:rPr>
          <w:lang w:val="en-US" w:eastAsia="fr-FR"/>
        </w:rPr>
      </w:pPr>
      <w:r w:rsidRPr="0003002C">
        <w:rPr>
          <w:lang w:val="en-US" w:eastAsia="fr-FR"/>
        </w:rPr>
        <w:t xml:space="preserve">Activity data used </w:t>
      </w:r>
      <w:r w:rsidR="009832AA">
        <w:rPr>
          <w:lang w:val="en-US" w:eastAsia="fr-FR"/>
        </w:rPr>
        <w:t>are</w:t>
      </w:r>
      <w:r w:rsidR="009832AA" w:rsidRPr="0003002C">
        <w:rPr>
          <w:lang w:val="en-US" w:eastAsia="fr-FR"/>
        </w:rPr>
        <w:t xml:space="preserve"> </w:t>
      </w:r>
      <w:r>
        <w:rPr>
          <w:lang w:val="en-US" w:eastAsia="fr-FR"/>
        </w:rPr>
        <w:t>the quantit</w:t>
      </w:r>
      <w:r w:rsidR="009832AA">
        <w:rPr>
          <w:lang w:val="en-US" w:eastAsia="fr-FR"/>
        </w:rPr>
        <w:t>ies</w:t>
      </w:r>
      <w:r>
        <w:rPr>
          <w:lang w:val="en-US" w:eastAsia="fr-FR"/>
        </w:rPr>
        <w:t xml:space="preserve"> of inorganic </w:t>
      </w:r>
      <w:r w:rsidR="00F53C04">
        <w:rPr>
          <w:lang w:val="en-US" w:eastAsia="fr-FR"/>
        </w:rPr>
        <w:t>fertilizer</w:t>
      </w:r>
      <w:r>
        <w:rPr>
          <w:lang w:val="en-US" w:eastAsia="fr-FR"/>
        </w:rPr>
        <w:t xml:space="preserve"> </w:t>
      </w:r>
      <w:r>
        <w:rPr>
          <w:lang w:val="en-US" w:eastAsia="fr-FR"/>
        </w:rPr>
        <w:fldChar w:fldCharType="begin"/>
      </w:r>
      <w:r>
        <w:rPr>
          <w:lang w:val="en-US" w:eastAsia="fr-FR"/>
        </w:rPr>
        <w:instrText xml:space="preserve"> REF _Ref496776342 \r \h </w:instrText>
      </w:r>
      <w:r>
        <w:rPr>
          <w:lang w:val="en-US" w:eastAsia="fr-FR"/>
        </w:rPr>
      </w:r>
      <w:r>
        <w:rPr>
          <w:lang w:val="en-US" w:eastAsia="fr-FR"/>
        </w:rPr>
        <w:fldChar w:fldCharType="separate"/>
      </w:r>
      <w:r w:rsidR="00F14C78">
        <w:rPr>
          <w:lang w:val="en-US" w:eastAsia="fr-FR"/>
        </w:rPr>
        <w:t>[A2]</w:t>
      </w:r>
      <w:r>
        <w:rPr>
          <w:lang w:val="en-US" w:eastAsia="fr-FR"/>
        </w:rPr>
        <w:fldChar w:fldCharType="end"/>
      </w:r>
      <w:r>
        <w:rPr>
          <w:lang w:val="en-US" w:eastAsia="fr-FR"/>
        </w:rPr>
        <w:t xml:space="preserve">, </w:t>
      </w:r>
      <w:r w:rsidR="006254BE">
        <w:rPr>
          <w:lang w:val="en-US" w:eastAsia="fr-FR"/>
        </w:rPr>
        <w:t>the amount</w:t>
      </w:r>
      <w:r w:rsidR="00381AF8">
        <w:rPr>
          <w:lang w:val="en-US" w:eastAsia="fr-FR"/>
        </w:rPr>
        <w:t>s</w:t>
      </w:r>
      <w:r w:rsidR="006254BE">
        <w:rPr>
          <w:lang w:val="en-US" w:eastAsia="fr-FR"/>
        </w:rPr>
        <w:t xml:space="preserve"> of animal manure and urine and dung </w:t>
      </w:r>
      <w:r w:rsidR="00381AF8">
        <w:rPr>
          <w:lang w:val="en-US" w:eastAsia="fr-FR"/>
        </w:rPr>
        <w:t>deposited by animals</w:t>
      </w:r>
      <w:r w:rsidR="00F8455C">
        <w:rPr>
          <w:lang w:val="en-US" w:eastAsia="fr-FR"/>
        </w:rPr>
        <w:t>, which</w:t>
      </w:r>
      <w:r w:rsidR="00381AF8">
        <w:rPr>
          <w:lang w:val="en-US" w:eastAsia="fr-FR"/>
        </w:rPr>
        <w:t xml:space="preserve"> are calculated through CRT </w:t>
      </w:r>
      <w:r>
        <w:rPr>
          <w:lang w:val="en-US" w:eastAsia="fr-FR"/>
        </w:rPr>
        <w:t>3B categories (livestock)</w:t>
      </w:r>
      <w:r w:rsidR="00F8455C">
        <w:rPr>
          <w:lang w:val="en-US" w:eastAsia="fr-FR"/>
        </w:rPr>
        <w:t>,</w:t>
      </w:r>
      <w:r w:rsidR="00BE1E83">
        <w:rPr>
          <w:lang w:val="en-US" w:eastAsia="fr-FR"/>
        </w:rPr>
        <w:t xml:space="preserve"> the amounts of </w:t>
      </w:r>
      <w:r w:rsidR="005627B2">
        <w:rPr>
          <w:lang w:val="en-US" w:eastAsia="fr-FR"/>
        </w:rPr>
        <w:t>N from crop residues</w:t>
      </w:r>
      <w:r w:rsidR="00663446">
        <w:rPr>
          <w:lang w:val="en-US" w:eastAsia="fr-FR"/>
        </w:rPr>
        <w:t xml:space="preserve"> </w:t>
      </w:r>
      <w:r>
        <w:rPr>
          <w:lang w:val="en-US" w:eastAsia="fr-FR"/>
        </w:rPr>
        <w:t xml:space="preserve">and </w:t>
      </w:r>
      <w:r w:rsidR="00F8455C">
        <w:rPr>
          <w:lang w:val="en-US" w:eastAsia="fr-FR"/>
        </w:rPr>
        <w:t xml:space="preserve">the </w:t>
      </w:r>
      <w:r>
        <w:rPr>
          <w:lang w:val="en-US" w:eastAsia="fr-FR"/>
        </w:rPr>
        <w:t xml:space="preserve">surface of managed/drained organic soils </w:t>
      </w:r>
      <w:r>
        <w:rPr>
          <w:lang w:val="en-US" w:eastAsia="fr-FR"/>
        </w:rPr>
        <w:fldChar w:fldCharType="begin"/>
      </w:r>
      <w:r>
        <w:rPr>
          <w:lang w:val="en-US" w:eastAsia="fr-FR"/>
        </w:rPr>
        <w:instrText xml:space="preserve"> REF _Ref496776312 \r \h </w:instrText>
      </w:r>
      <w:r>
        <w:rPr>
          <w:lang w:val="en-US" w:eastAsia="fr-FR"/>
        </w:rPr>
      </w:r>
      <w:r>
        <w:rPr>
          <w:lang w:val="en-US" w:eastAsia="fr-FR"/>
        </w:rPr>
        <w:fldChar w:fldCharType="separate"/>
      </w:r>
      <w:r w:rsidR="00F14C78">
        <w:rPr>
          <w:lang w:val="en-US" w:eastAsia="fr-FR"/>
        </w:rPr>
        <w:t>[A11]</w:t>
      </w:r>
      <w:r>
        <w:rPr>
          <w:lang w:val="en-US" w:eastAsia="fr-FR"/>
        </w:rPr>
        <w:fldChar w:fldCharType="end"/>
      </w:r>
      <w:r>
        <w:rPr>
          <w:lang w:val="en-US" w:eastAsia="fr-FR"/>
        </w:rPr>
        <w:t>.</w:t>
      </w:r>
      <w:r w:rsidRPr="0003002C">
        <w:rPr>
          <w:lang w:val="en-US" w:eastAsia="fr-FR"/>
        </w:rPr>
        <w:t xml:space="preserve"> </w:t>
      </w:r>
    </w:p>
    <w:p w14:paraId="7B849990" w14:textId="3198095A" w:rsidR="005627B2" w:rsidRPr="0003002C" w:rsidRDefault="005627B2" w:rsidP="000E44C1">
      <w:pPr>
        <w:pStyle w:val="BodyText"/>
        <w:rPr>
          <w:lang w:val="en-US" w:eastAsia="fr-FR"/>
        </w:rPr>
      </w:pPr>
      <w:r>
        <w:rPr>
          <w:lang w:val="en-US" w:eastAsia="fr-FR"/>
        </w:rPr>
        <w:t xml:space="preserve">For the crop residues, the </w:t>
      </w:r>
      <w:r w:rsidR="00481DB7">
        <w:rPr>
          <w:lang w:val="en-US" w:eastAsia="fr-FR"/>
        </w:rPr>
        <w:t xml:space="preserve">estimations are based on </w:t>
      </w:r>
      <w:r w:rsidR="00203F03">
        <w:rPr>
          <w:lang w:val="en-US" w:eastAsia="fr-FR"/>
        </w:rPr>
        <w:t>calc</w:t>
      </w:r>
      <w:r w:rsidR="00AC66D8">
        <w:rPr>
          <w:lang w:val="en-US" w:eastAsia="fr-FR"/>
        </w:rPr>
        <w:t xml:space="preserve">ulations </w:t>
      </w:r>
      <w:r w:rsidR="00203F03">
        <w:rPr>
          <w:lang w:val="en-US" w:eastAsia="fr-FR"/>
        </w:rPr>
        <w:t xml:space="preserve">related to </w:t>
      </w:r>
      <w:r w:rsidR="00481DB7">
        <w:rPr>
          <w:lang w:val="en-US" w:eastAsia="fr-FR"/>
        </w:rPr>
        <w:t>the total annual harvested crop areas</w:t>
      </w:r>
      <w:r w:rsidR="0095757A">
        <w:rPr>
          <w:lang w:val="en-US" w:eastAsia="fr-FR"/>
        </w:rPr>
        <w:t xml:space="preserve"> </w:t>
      </w:r>
      <w:r w:rsidR="0095757A">
        <w:rPr>
          <w:lang w:val="en-US" w:eastAsia="fr-FR"/>
        </w:rPr>
        <w:fldChar w:fldCharType="begin"/>
      </w:r>
      <w:r w:rsidR="0095757A">
        <w:rPr>
          <w:lang w:val="en-US" w:eastAsia="fr-FR"/>
        </w:rPr>
        <w:instrText xml:space="preserve"> REF _Ref179215394 \r \h </w:instrText>
      </w:r>
      <w:r w:rsidR="0095757A">
        <w:rPr>
          <w:lang w:val="en-US" w:eastAsia="fr-FR"/>
        </w:rPr>
      </w:r>
      <w:r w:rsidR="0095757A">
        <w:rPr>
          <w:lang w:val="en-US" w:eastAsia="fr-FR"/>
        </w:rPr>
        <w:fldChar w:fldCharType="separate"/>
      </w:r>
      <w:r w:rsidR="00F14C78">
        <w:rPr>
          <w:lang w:val="en-US" w:eastAsia="fr-FR"/>
        </w:rPr>
        <w:t>[A2]</w:t>
      </w:r>
      <w:r w:rsidR="0095757A">
        <w:rPr>
          <w:lang w:val="en-US" w:eastAsia="fr-FR"/>
        </w:rPr>
        <w:fldChar w:fldCharType="end"/>
      </w:r>
      <w:r w:rsidR="00203F03">
        <w:rPr>
          <w:lang w:val="en-US" w:eastAsia="fr-FR"/>
        </w:rPr>
        <w:t>, the production</w:t>
      </w:r>
      <w:r w:rsidR="0095757A">
        <w:rPr>
          <w:lang w:val="en-US" w:eastAsia="fr-FR"/>
        </w:rPr>
        <w:t>s</w:t>
      </w:r>
      <w:r w:rsidR="00203F03">
        <w:rPr>
          <w:lang w:val="en-US" w:eastAsia="fr-FR"/>
        </w:rPr>
        <w:t xml:space="preserve"> </w:t>
      </w:r>
      <w:r w:rsidR="00395EDC">
        <w:rPr>
          <w:lang w:val="en-US" w:eastAsia="fr-FR"/>
        </w:rPr>
        <w:t>of</w:t>
      </w:r>
      <w:r w:rsidR="00203F03">
        <w:rPr>
          <w:lang w:val="en-US" w:eastAsia="fr-FR"/>
        </w:rPr>
        <w:t xml:space="preserve"> crop </w:t>
      </w:r>
      <w:r w:rsidR="0095757A">
        <w:rPr>
          <w:lang w:val="en-US" w:eastAsia="fr-FR"/>
        </w:rPr>
        <w:fldChar w:fldCharType="begin"/>
      </w:r>
      <w:r w:rsidR="0095757A">
        <w:rPr>
          <w:lang w:val="en-US" w:eastAsia="fr-FR"/>
        </w:rPr>
        <w:instrText xml:space="preserve"> REF _Ref179215394 \r \h </w:instrText>
      </w:r>
      <w:r w:rsidR="0095757A">
        <w:rPr>
          <w:lang w:val="en-US" w:eastAsia="fr-FR"/>
        </w:rPr>
      </w:r>
      <w:r w:rsidR="0095757A">
        <w:rPr>
          <w:lang w:val="en-US" w:eastAsia="fr-FR"/>
        </w:rPr>
        <w:fldChar w:fldCharType="separate"/>
      </w:r>
      <w:r w:rsidR="00F14C78">
        <w:rPr>
          <w:lang w:val="en-US" w:eastAsia="fr-FR"/>
        </w:rPr>
        <w:t>[A2]</w:t>
      </w:r>
      <w:r w:rsidR="0095757A">
        <w:rPr>
          <w:lang w:val="en-US" w:eastAsia="fr-FR"/>
        </w:rPr>
        <w:fldChar w:fldCharType="end"/>
      </w:r>
      <w:r w:rsidR="0095757A">
        <w:rPr>
          <w:lang w:val="en-US" w:eastAsia="fr-FR"/>
        </w:rPr>
        <w:t xml:space="preserve"> </w:t>
      </w:r>
      <w:r w:rsidR="00203F03">
        <w:rPr>
          <w:lang w:val="en-US" w:eastAsia="fr-FR"/>
        </w:rPr>
        <w:t xml:space="preserve">and the </w:t>
      </w:r>
      <w:r w:rsidR="007E7F32">
        <w:rPr>
          <w:lang w:val="en-US" w:eastAsia="fr-FR"/>
        </w:rPr>
        <w:t>amount of biomass burned in agriculture</w:t>
      </w:r>
      <w:r w:rsidR="00395EDC">
        <w:rPr>
          <w:lang w:val="en-US" w:eastAsia="fr-FR"/>
        </w:rPr>
        <w:t xml:space="preserve"> </w:t>
      </w:r>
      <w:r w:rsidR="00F02B20">
        <w:rPr>
          <w:lang w:val="en-US" w:eastAsia="fr-FR"/>
        </w:rPr>
        <w:fldChar w:fldCharType="begin"/>
      </w:r>
      <w:r w:rsidR="00F02B20">
        <w:rPr>
          <w:lang w:val="en-US" w:eastAsia="fr-FR"/>
        </w:rPr>
        <w:instrText xml:space="preserve"> REF _Ref179215625 \r \h </w:instrText>
      </w:r>
      <w:r w:rsidR="00F02B20">
        <w:rPr>
          <w:lang w:val="en-US" w:eastAsia="fr-FR"/>
        </w:rPr>
      </w:r>
      <w:r w:rsidR="00F02B20">
        <w:rPr>
          <w:lang w:val="en-US" w:eastAsia="fr-FR"/>
        </w:rPr>
        <w:fldChar w:fldCharType="separate"/>
      </w:r>
      <w:r w:rsidR="00F14C78">
        <w:rPr>
          <w:lang w:val="en-US" w:eastAsia="fr-FR"/>
        </w:rPr>
        <w:t>[A12]</w:t>
      </w:r>
      <w:r w:rsidR="00F02B20">
        <w:rPr>
          <w:lang w:val="en-US" w:eastAsia="fr-FR"/>
        </w:rPr>
        <w:fldChar w:fldCharType="end"/>
      </w:r>
      <w:r w:rsidR="007E7F32">
        <w:rPr>
          <w:lang w:val="en-US" w:eastAsia="fr-FR"/>
        </w:rPr>
        <w:t>,</w:t>
      </w:r>
      <w:r w:rsidR="00203F03">
        <w:rPr>
          <w:lang w:val="en-US" w:eastAsia="fr-FR"/>
        </w:rPr>
        <w:t xml:space="preserve"> for each type of crop. </w:t>
      </w:r>
      <w:r w:rsidR="008C45FD">
        <w:rPr>
          <w:lang w:val="en-US" w:eastAsia="fr-FR"/>
        </w:rPr>
        <w:t>Default parameters from the 2006 IPCC guidelines are used (</w:t>
      </w:r>
      <w:r w:rsidR="00E86A10">
        <w:rPr>
          <w:lang w:val="en-US" w:eastAsia="fr-FR"/>
        </w:rPr>
        <w:t>dry matter content, N content of above and below ground residues,</w:t>
      </w:r>
      <w:r w:rsidR="00720FCB">
        <w:rPr>
          <w:lang w:val="en-US" w:eastAsia="fr-FR"/>
        </w:rPr>
        <w:t xml:space="preserve"> etc.</w:t>
      </w:r>
      <w:r w:rsidR="00E86A10">
        <w:rPr>
          <w:lang w:val="en-US" w:eastAsia="fr-FR"/>
        </w:rPr>
        <w:t>)</w:t>
      </w:r>
      <w:r w:rsidR="008C45FD">
        <w:rPr>
          <w:lang w:val="en-US" w:eastAsia="fr-FR"/>
        </w:rPr>
        <w:t xml:space="preserve">. </w:t>
      </w:r>
    </w:p>
    <w:p w14:paraId="50D86636" w14:textId="0C4E8481" w:rsidR="000E44C1" w:rsidRDefault="000E44C1" w:rsidP="000E44C1">
      <w:pPr>
        <w:pStyle w:val="BodyText"/>
        <w:rPr>
          <w:lang w:val="en-US" w:eastAsia="fr-FR"/>
        </w:rPr>
      </w:pPr>
      <w:r w:rsidRPr="0003002C">
        <w:rPr>
          <w:lang w:val="en-US" w:eastAsia="fr-FR"/>
        </w:rPr>
        <w:t>Emissions factors used for calculating N</w:t>
      </w:r>
      <w:r w:rsidRPr="0003002C">
        <w:rPr>
          <w:vertAlign w:val="subscript"/>
          <w:lang w:val="en-US" w:eastAsia="fr-FR"/>
        </w:rPr>
        <w:t>2</w:t>
      </w:r>
      <w:r w:rsidRPr="0003002C">
        <w:rPr>
          <w:lang w:val="en-US" w:eastAsia="fr-FR"/>
        </w:rPr>
        <w:t xml:space="preserve">O emissions </w:t>
      </w:r>
      <w:r w:rsidR="00440E68">
        <w:rPr>
          <w:lang w:val="en-US" w:eastAsia="fr-FR"/>
        </w:rPr>
        <w:t>are sourced</w:t>
      </w:r>
      <w:r w:rsidRPr="0003002C">
        <w:rPr>
          <w:lang w:val="en-US" w:eastAsia="fr-FR"/>
        </w:rPr>
        <w:t xml:space="preserve"> from </w:t>
      </w:r>
      <w:r w:rsidR="00E86A10">
        <w:rPr>
          <w:lang w:val="en-US" w:eastAsia="fr-FR"/>
        </w:rPr>
        <w:t>the</w:t>
      </w:r>
      <w:r w:rsidRPr="0003002C">
        <w:rPr>
          <w:lang w:val="en-US" w:eastAsia="fr-FR"/>
        </w:rPr>
        <w:t xml:space="preserve"> 20</w:t>
      </w:r>
      <w:r w:rsidR="00E86A10">
        <w:rPr>
          <w:lang w:val="en-US" w:eastAsia="fr-FR"/>
        </w:rPr>
        <w:t>19</w:t>
      </w:r>
      <w:r w:rsidRPr="0003002C">
        <w:rPr>
          <w:lang w:val="en-US" w:eastAsia="fr-FR"/>
        </w:rPr>
        <w:t xml:space="preserve"> IPCC guidelines</w:t>
      </w:r>
      <w:r>
        <w:rPr>
          <w:lang w:val="en-US" w:eastAsia="fr-FR"/>
        </w:rPr>
        <w:t xml:space="preserve"> </w:t>
      </w:r>
      <w:r w:rsidR="00FC7E4D">
        <w:rPr>
          <w:lang w:val="en-US" w:eastAsia="fr-FR"/>
        </w:rPr>
        <w:fldChar w:fldCharType="begin"/>
      </w:r>
      <w:r w:rsidR="00FC7E4D">
        <w:rPr>
          <w:lang w:val="en-US" w:eastAsia="fr-FR"/>
        </w:rPr>
        <w:instrText xml:space="preserve"> REF _Ref181802803 \r \h </w:instrText>
      </w:r>
      <w:r w:rsidR="00FC7E4D">
        <w:rPr>
          <w:lang w:val="en-US" w:eastAsia="fr-FR"/>
        </w:rPr>
      </w:r>
      <w:r w:rsidR="00FC7E4D">
        <w:rPr>
          <w:lang w:val="en-US" w:eastAsia="fr-FR"/>
        </w:rPr>
        <w:fldChar w:fldCharType="separate"/>
      </w:r>
      <w:r w:rsidR="00F14C78">
        <w:rPr>
          <w:lang w:val="en-US" w:eastAsia="fr-FR"/>
        </w:rPr>
        <w:t>[A21]</w:t>
      </w:r>
      <w:r w:rsidR="00FC7E4D">
        <w:rPr>
          <w:lang w:val="en-US" w:eastAsia="fr-FR"/>
        </w:rPr>
        <w:fldChar w:fldCharType="end"/>
      </w:r>
      <w:r>
        <w:rPr>
          <w:lang w:val="en-US" w:eastAsia="fr-FR"/>
        </w:rPr>
        <w:fldChar w:fldCharType="begin"/>
      </w:r>
      <w:r>
        <w:rPr>
          <w:lang w:val="en-US" w:eastAsia="fr-FR"/>
        </w:rPr>
        <w:instrText xml:space="preserve"> REF _Ref496776443 \r \h </w:instrText>
      </w:r>
      <w:r>
        <w:rPr>
          <w:lang w:val="en-US" w:eastAsia="fr-FR"/>
        </w:rPr>
      </w:r>
      <w:r>
        <w:rPr>
          <w:lang w:val="en-US" w:eastAsia="fr-FR"/>
        </w:rPr>
        <w:fldChar w:fldCharType="separate"/>
      </w:r>
      <w:r w:rsidR="00F14C78">
        <w:rPr>
          <w:lang w:val="en-US" w:eastAsia="fr-FR"/>
        </w:rPr>
        <w:t>[A13]</w:t>
      </w:r>
      <w:r>
        <w:rPr>
          <w:lang w:val="en-US" w:eastAsia="fr-FR"/>
        </w:rPr>
        <w:fldChar w:fldCharType="end"/>
      </w:r>
      <w:r w:rsidR="00E86A10">
        <w:rPr>
          <w:lang w:val="en-US" w:eastAsia="fr-FR"/>
        </w:rPr>
        <w:t xml:space="preserve"> and the 2013 Wetland supplement </w:t>
      </w:r>
      <w:r w:rsidR="00FC7E4D">
        <w:rPr>
          <w:lang w:val="en-US" w:eastAsia="fr-FR"/>
        </w:rPr>
        <w:fldChar w:fldCharType="begin"/>
      </w:r>
      <w:r w:rsidR="00FC7E4D">
        <w:rPr>
          <w:lang w:val="en-US" w:eastAsia="fr-FR"/>
        </w:rPr>
        <w:instrText xml:space="preserve"> REF _Ref181802851 \r \h </w:instrText>
      </w:r>
      <w:r w:rsidR="00FC7E4D">
        <w:rPr>
          <w:lang w:val="en-US" w:eastAsia="fr-FR"/>
        </w:rPr>
      </w:r>
      <w:r w:rsidR="00FC7E4D">
        <w:rPr>
          <w:lang w:val="en-US" w:eastAsia="fr-FR"/>
        </w:rPr>
        <w:fldChar w:fldCharType="separate"/>
      </w:r>
      <w:r w:rsidR="00F14C78">
        <w:rPr>
          <w:lang w:val="en-US" w:eastAsia="fr-FR"/>
        </w:rPr>
        <w:t>[A22]</w:t>
      </w:r>
      <w:r w:rsidR="00FC7E4D">
        <w:rPr>
          <w:lang w:val="en-US" w:eastAsia="fr-FR"/>
        </w:rPr>
        <w:fldChar w:fldCharType="end"/>
      </w:r>
      <w:r w:rsidR="00E86A10">
        <w:rPr>
          <w:lang w:val="en-US" w:eastAsia="fr-FR"/>
        </w:rPr>
        <w:t>. Those factors</w:t>
      </w:r>
      <w:r w:rsidR="00F02B20">
        <w:rPr>
          <w:lang w:val="en-US" w:eastAsia="fr-FR"/>
        </w:rPr>
        <w:t xml:space="preserve"> are presented in the following table.</w:t>
      </w:r>
    </w:p>
    <w:p w14:paraId="00D75410" w14:textId="3FCE137F" w:rsidR="00F02B20" w:rsidRDefault="00F02B20" w:rsidP="00F53C04">
      <w:pPr>
        <w:pStyle w:val="Caption"/>
        <w:keepNext/>
        <w:jc w:val="both"/>
      </w:pPr>
      <w:bookmarkStart w:id="727" w:name="_Toc184808577"/>
      <w:r>
        <w:t xml:space="preserve">Table </w:t>
      </w:r>
      <w:r>
        <w:fldChar w:fldCharType="begin"/>
      </w:r>
      <w:r>
        <w:instrText xml:space="preserve"> SEQ Table \* ARABIC </w:instrText>
      </w:r>
      <w:r>
        <w:fldChar w:fldCharType="separate"/>
      </w:r>
      <w:r w:rsidR="00F14C78">
        <w:rPr>
          <w:noProof/>
        </w:rPr>
        <w:t>34</w:t>
      </w:r>
      <w:r>
        <w:fldChar w:fldCharType="end"/>
      </w:r>
      <w:r>
        <w:t>:</w:t>
      </w:r>
      <w:r w:rsidR="008F2AA9">
        <w:t xml:space="preserve"> N</w:t>
      </w:r>
      <w:r w:rsidR="008F2AA9" w:rsidRPr="00622F40">
        <w:rPr>
          <w:vertAlign w:val="subscript"/>
        </w:rPr>
        <w:t>2</w:t>
      </w:r>
      <w:r w:rsidR="008F2AA9">
        <w:t xml:space="preserve">O </w:t>
      </w:r>
      <w:r w:rsidR="00F52C62">
        <w:t>e</w:t>
      </w:r>
      <w:r w:rsidR="00FB44D4">
        <w:t>mission factor</w:t>
      </w:r>
      <w:r w:rsidR="00F52C62">
        <w:t>s</w:t>
      </w:r>
      <w:r w:rsidR="00FB44D4">
        <w:t xml:space="preserve"> for </w:t>
      </w:r>
      <w:r w:rsidR="00BA5EC2">
        <w:t>agricultural soils (3D1</w:t>
      </w:r>
      <w:r w:rsidR="00033E58">
        <w:t>)</w:t>
      </w:r>
      <w:r>
        <w:t xml:space="preserve">, </w:t>
      </w:r>
      <w:r w:rsidR="000F5C07">
        <w:t xml:space="preserve">per management system, </w:t>
      </w:r>
      <w:r>
        <w:t xml:space="preserve">from </w:t>
      </w:r>
      <w:r w:rsidR="00F42000">
        <w:t xml:space="preserve">2019 </w:t>
      </w:r>
      <w:r>
        <w:t>IPCC Guidelines</w:t>
      </w:r>
      <w:r w:rsidR="00F42000">
        <w:t xml:space="preserve"> and 2013 Wetland supplement</w:t>
      </w:r>
      <w:r>
        <w:t>, used in Serbian inventory</w:t>
      </w:r>
      <w:bookmarkEnd w:id="727"/>
    </w:p>
    <w:tbl>
      <w:tblPr>
        <w:tblStyle w:val="TableGrid"/>
        <w:tblW w:w="0" w:type="auto"/>
        <w:tblLook w:val="04A0" w:firstRow="1" w:lastRow="0" w:firstColumn="1" w:lastColumn="0" w:noHBand="0" w:noVBand="1"/>
      </w:tblPr>
      <w:tblGrid>
        <w:gridCol w:w="3118"/>
        <w:gridCol w:w="2263"/>
      </w:tblGrid>
      <w:tr w:rsidR="00F02B20" w:rsidRPr="00393F04" w14:paraId="4F19DA01" w14:textId="77777777" w:rsidTr="00F53C04">
        <w:tc>
          <w:tcPr>
            <w:tcW w:w="3118" w:type="dxa"/>
            <w:shd w:val="clear" w:color="auto" w:fill="B8CCE4" w:themeFill="accent1" w:themeFillTint="66"/>
          </w:tcPr>
          <w:p w14:paraId="5FC0A262" w14:textId="7A7CBE5A" w:rsidR="00F02B20" w:rsidRPr="001F0275" w:rsidRDefault="000F5C07">
            <w:pPr>
              <w:pStyle w:val="BodyText"/>
              <w:jc w:val="center"/>
              <w:rPr>
                <w:b/>
                <w:bCs/>
                <w:lang w:val="en-US" w:eastAsia="fr-FR"/>
              </w:rPr>
            </w:pPr>
            <w:r>
              <w:rPr>
                <w:b/>
                <w:bCs/>
                <w:lang w:val="en-US" w:eastAsia="fr-FR"/>
              </w:rPr>
              <w:t>Management system</w:t>
            </w:r>
          </w:p>
        </w:tc>
        <w:tc>
          <w:tcPr>
            <w:tcW w:w="2263" w:type="dxa"/>
            <w:shd w:val="clear" w:color="auto" w:fill="B8CCE4" w:themeFill="accent1" w:themeFillTint="66"/>
          </w:tcPr>
          <w:p w14:paraId="7C2268C2" w14:textId="6250D0AE" w:rsidR="00F02B20" w:rsidRPr="00622F40" w:rsidRDefault="000C68C7">
            <w:pPr>
              <w:pStyle w:val="BodyText"/>
              <w:jc w:val="center"/>
              <w:rPr>
                <w:b/>
                <w:bCs/>
                <w:lang w:val="es-ES" w:eastAsia="fr-FR"/>
              </w:rPr>
            </w:pPr>
            <w:r w:rsidRPr="00622F40">
              <w:rPr>
                <w:b/>
                <w:bCs/>
                <w:lang w:val="es-ES" w:eastAsia="fr-FR"/>
              </w:rPr>
              <w:t>EF</w:t>
            </w:r>
            <w:r w:rsidR="00F02B20" w:rsidRPr="00622F40">
              <w:rPr>
                <w:b/>
                <w:bCs/>
                <w:lang w:val="es-ES" w:eastAsia="fr-FR"/>
              </w:rPr>
              <w:t xml:space="preserve"> (kg</w:t>
            </w:r>
            <w:r w:rsidRPr="00622F40">
              <w:rPr>
                <w:b/>
                <w:bCs/>
                <w:lang w:val="es-ES" w:eastAsia="fr-FR"/>
              </w:rPr>
              <w:t xml:space="preserve"> N</w:t>
            </w:r>
            <w:r w:rsidRPr="00622F40">
              <w:rPr>
                <w:b/>
                <w:bCs/>
                <w:vertAlign w:val="subscript"/>
                <w:lang w:val="es-ES" w:eastAsia="fr-FR"/>
              </w:rPr>
              <w:t>2</w:t>
            </w:r>
            <w:r w:rsidRPr="00622F40">
              <w:rPr>
                <w:b/>
                <w:bCs/>
                <w:lang w:val="es-ES" w:eastAsia="fr-FR"/>
              </w:rPr>
              <w:t>O-N/kg N</w:t>
            </w:r>
            <w:r w:rsidR="00F02B20" w:rsidRPr="00622F40">
              <w:rPr>
                <w:b/>
                <w:bCs/>
                <w:lang w:val="es-ES" w:eastAsia="fr-FR"/>
              </w:rPr>
              <w:t>)</w:t>
            </w:r>
          </w:p>
        </w:tc>
      </w:tr>
      <w:tr w:rsidR="00F02B20" w14:paraId="38CE72F5" w14:textId="77777777" w:rsidTr="00F53C04">
        <w:tc>
          <w:tcPr>
            <w:tcW w:w="3118" w:type="dxa"/>
          </w:tcPr>
          <w:p w14:paraId="2DCD3833" w14:textId="00FE5A26" w:rsidR="00F02B20" w:rsidRDefault="00460ECB">
            <w:pPr>
              <w:pStyle w:val="BodyText"/>
              <w:jc w:val="center"/>
              <w:rPr>
                <w:lang w:val="en-US" w:eastAsia="fr-FR"/>
              </w:rPr>
            </w:pPr>
            <w:r>
              <w:rPr>
                <w:lang w:val="en-US" w:eastAsia="fr-FR"/>
              </w:rPr>
              <w:t xml:space="preserve">Inorganic </w:t>
            </w:r>
            <w:proofErr w:type="spellStart"/>
            <w:r>
              <w:rPr>
                <w:lang w:val="en-US" w:eastAsia="fr-FR"/>
              </w:rPr>
              <w:t>fertili</w:t>
            </w:r>
            <w:r w:rsidR="009701FB">
              <w:rPr>
                <w:lang w:val="en-US" w:eastAsia="fr-FR"/>
              </w:rPr>
              <w:t>s</w:t>
            </w:r>
            <w:r>
              <w:rPr>
                <w:lang w:val="en-US" w:eastAsia="fr-FR"/>
              </w:rPr>
              <w:t>ers</w:t>
            </w:r>
            <w:proofErr w:type="spellEnd"/>
            <w:r>
              <w:rPr>
                <w:lang w:val="en-US" w:eastAsia="fr-FR"/>
              </w:rPr>
              <w:t xml:space="preserve"> </w:t>
            </w:r>
          </w:p>
        </w:tc>
        <w:tc>
          <w:tcPr>
            <w:tcW w:w="2263" w:type="dxa"/>
          </w:tcPr>
          <w:p w14:paraId="34F1BC38" w14:textId="743F7B32" w:rsidR="00F02B20" w:rsidRDefault="000C68C7">
            <w:pPr>
              <w:pStyle w:val="BodyText"/>
              <w:jc w:val="center"/>
              <w:rPr>
                <w:lang w:val="en-US" w:eastAsia="fr-FR"/>
              </w:rPr>
            </w:pPr>
            <w:r>
              <w:rPr>
                <w:lang w:val="en-US" w:eastAsia="fr-FR"/>
              </w:rPr>
              <w:t>0.01</w:t>
            </w:r>
          </w:p>
        </w:tc>
      </w:tr>
      <w:tr w:rsidR="00F02B20" w14:paraId="687E87A9" w14:textId="77777777" w:rsidTr="00F53C04">
        <w:tc>
          <w:tcPr>
            <w:tcW w:w="3118" w:type="dxa"/>
          </w:tcPr>
          <w:p w14:paraId="631CE6D6" w14:textId="7F86F379" w:rsidR="00F02B20" w:rsidRDefault="00250F5F">
            <w:pPr>
              <w:pStyle w:val="BodyText"/>
              <w:jc w:val="center"/>
              <w:rPr>
                <w:lang w:val="en-US" w:eastAsia="fr-FR"/>
              </w:rPr>
            </w:pPr>
            <w:r>
              <w:rPr>
                <w:lang w:val="en-US" w:eastAsia="fr-FR"/>
              </w:rPr>
              <w:t>Animal manure applied to soils</w:t>
            </w:r>
          </w:p>
        </w:tc>
        <w:tc>
          <w:tcPr>
            <w:tcW w:w="2263" w:type="dxa"/>
          </w:tcPr>
          <w:p w14:paraId="66D084AB" w14:textId="50FCECB9" w:rsidR="00F02B20" w:rsidRDefault="000C68C7">
            <w:pPr>
              <w:pStyle w:val="BodyText"/>
              <w:jc w:val="center"/>
              <w:rPr>
                <w:lang w:val="en-US" w:eastAsia="fr-FR"/>
              </w:rPr>
            </w:pPr>
            <w:r>
              <w:rPr>
                <w:lang w:val="en-US" w:eastAsia="fr-FR"/>
              </w:rPr>
              <w:t>0.01</w:t>
            </w:r>
          </w:p>
        </w:tc>
      </w:tr>
      <w:tr w:rsidR="00F02B20" w14:paraId="3B8F06F4" w14:textId="77777777" w:rsidTr="00F53C04">
        <w:tc>
          <w:tcPr>
            <w:tcW w:w="3118" w:type="dxa"/>
          </w:tcPr>
          <w:p w14:paraId="59273BAE" w14:textId="44AFDFA8" w:rsidR="00F02B20" w:rsidRDefault="00250F5F">
            <w:pPr>
              <w:pStyle w:val="BodyText"/>
              <w:jc w:val="center"/>
              <w:rPr>
                <w:lang w:val="en-US" w:eastAsia="fr-FR"/>
              </w:rPr>
            </w:pPr>
            <w:r>
              <w:rPr>
                <w:lang w:val="en-US" w:eastAsia="fr-FR"/>
              </w:rPr>
              <w:t>Urine and dung deposited by cattle, poultry and pigs</w:t>
            </w:r>
          </w:p>
        </w:tc>
        <w:tc>
          <w:tcPr>
            <w:tcW w:w="2263" w:type="dxa"/>
          </w:tcPr>
          <w:p w14:paraId="51296185" w14:textId="6BCBC16A" w:rsidR="00F02B20" w:rsidRDefault="000C68C7">
            <w:pPr>
              <w:pStyle w:val="BodyText"/>
              <w:jc w:val="center"/>
              <w:rPr>
                <w:lang w:val="en-US" w:eastAsia="fr-FR"/>
              </w:rPr>
            </w:pPr>
            <w:r>
              <w:rPr>
                <w:lang w:val="en-US" w:eastAsia="fr-FR"/>
              </w:rPr>
              <w:t>0.004</w:t>
            </w:r>
          </w:p>
        </w:tc>
      </w:tr>
      <w:tr w:rsidR="00F02B20" w14:paraId="2B1F1A53" w14:textId="77777777" w:rsidTr="00F53C04">
        <w:tc>
          <w:tcPr>
            <w:tcW w:w="3118" w:type="dxa"/>
          </w:tcPr>
          <w:p w14:paraId="790A9E19" w14:textId="66DD2515" w:rsidR="00F02B20" w:rsidRDefault="00250F5F">
            <w:pPr>
              <w:pStyle w:val="BodyText"/>
              <w:jc w:val="center"/>
              <w:rPr>
                <w:lang w:val="en-US" w:eastAsia="fr-FR"/>
              </w:rPr>
            </w:pPr>
            <w:r>
              <w:rPr>
                <w:lang w:val="en-US" w:eastAsia="fr-FR"/>
              </w:rPr>
              <w:t>Urine and dung deposited by sheep and others</w:t>
            </w:r>
          </w:p>
        </w:tc>
        <w:tc>
          <w:tcPr>
            <w:tcW w:w="2263" w:type="dxa"/>
          </w:tcPr>
          <w:p w14:paraId="27600EA8" w14:textId="287A1D4B" w:rsidR="00F02B20" w:rsidRDefault="00460ECB">
            <w:pPr>
              <w:pStyle w:val="BodyText"/>
              <w:jc w:val="center"/>
              <w:rPr>
                <w:lang w:val="en-US" w:eastAsia="fr-FR"/>
              </w:rPr>
            </w:pPr>
            <w:r>
              <w:rPr>
                <w:lang w:val="en-US" w:eastAsia="fr-FR"/>
              </w:rPr>
              <w:t>0.003</w:t>
            </w:r>
          </w:p>
        </w:tc>
      </w:tr>
      <w:tr w:rsidR="00F02B20" w14:paraId="4C015D10" w14:textId="77777777" w:rsidTr="00F53C04">
        <w:tc>
          <w:tcPr>
            <w:tcW w:w="3118" w:type="dxa"/>
          </w:tcPr>
          <w:p w14:paraId="6341AD14" w14:textId="4AE6DF2B" w:rsidR="00F02B20" w:rsidRDefault="00250F5F">
            <w:pPr>
              <w:pStyle w:val="BodyText"/>
              <w:jc w:val="center"/>
              <w:rPr>
                <w:lang w:val="en-US" w:eastAsia="fr-FR"/>
              </w:rPr>
            </w:pPr>
            <w:r>
              <w:rPr>
                <w:lang w:val="en-US" w:eastAsia="fr-FR"/>
              </w:rPr>
              <w:t>Crop residues</w:t>
            </w:r>
          </w:p>
        </w:tc>
        <w:tc>
          <w:tcPr>
            <w:tcW w:w="2263" w:type="dxa"/>
          </w:tcPr>
          <w:p w14:paraId="6999CAAE" w14:textId="1789F4F4" w:rsidR="00F02B20" w:rsidRDefault="00460ECB">
            <w:pPr>
              <w:pStyle w:val="BodyText"/>
              <w:jc w:val="center"/>
              <w:rPr>
                <w:lang w:val="en-US" w:eastAsia="fr-FR"/>
              </w:rPr>
            </w:pPr>
            <w:r>
              <w:rPr>
                <w:lang w:val="en-US" w:eastAsia="fr-FR"/>
              </w:rPr>
              <w:t>0.01</w:t>
            </w:r>
          </w:p>
        </w:tc>
      </w:tr>
      <w:tr w:rsidR="00F02B20" w14:paraId="046B84C6" w14:textId="77777777" w:rsidTr="00F53C04">
        <w:tc>
          <w:tcPr>
            <w:tcW w:w="3118" w:type="dxa"/>
          </w:tcPr>
          <w:p w14:paraId="6B5BFF35" w14:textId="538E0EFF" w:rsidR="00F02B20" w:rsidRDefault="00BA5EC2">
            <w:pPr>
              <w:pStyle w:val="BodyText"/>
              <w:jc w:val="center"/>
              <w:rPr>
                <w:lang w:val="en-US" w:eastAsia="fr-FR"/>
              </w:rPr>
            </w:pPr>
            <w:r>
              <w:rPr>
                <w:lang w:val="en-US" w:eastAsia="fr-FR"/>
              </w:rPr>
              <w:t>Managed/drained organic soils</w:t>
            </w:r>
          </w:p>
        </w:tc>
        <w:tc>
          <w:tcPr>
            <w:tcW w:w="2263" w:type="dxa"/>
          </w:tcPr>
          <w:p w14:paraId="435A90A3" w14:textId="389E16B9" w:rsidR="00F02B20" w:rsidRDefault="00460ECB">
            <w:pPr>
              <w:pStyle w:val="BodyText"/>
              <w:jc w:val="center"/>
              <w:rPr>
                <w:lang w:val="en-US" w:eastAsia="fr-FR"/>
              </w:rPr>
            </w:pPr>
            <w:r>
              <w:rPr>
                <w:lang w:val="en-US" w:eastAsia="fr-FR"/>
              </w:rPr>
              <w:t>5</w:t>
            </w:r>
          </w:p>
        </w:tc>
      </w:tr>
    </w:tbl>
    <w:p w14:paraId="690139EB" w14:textId="3255BB50" w:rsidR="007B2433" w:rsidRPr="002462F0" w:rsidRDefault="007B2433" w:rsidP="007B2433">
      <w:pPr>
        <w:pStyle w:val="Heading3"/>
        <w:ind w:left="709" w:hanging="709"/>
        <w:rPr>
          <w:lang w:val="en-GB" w:eastAsia="fr-FR"/>
        </w:rPr>
      </w:pPr>
      <w:bookmarkStart w:id="728" w:name="_Toc184808271"/>
      <w:bookmarkStart w:id="729" w:name="_Ref179994974"/>
      <w:bookmarkStart w:id="730" w:name="_Toc182327927"/>
      <w:bookmarkStart w:id="731" w:name="_Toc184808272"/>
      <w:bookmarkEnd w:id="728"/>
      <w:r w:rsidRPr="002462F0">
        <w:rPr>
          <w:lang w:val="en-GB" w:eastAsia="fr-FR"/>
        </w:rPr>
        <w:lastRenderedPageBreak/>
        <w:t>Indirect N</w:t>
      </w:r>
      <w:r w:rsidRPr="002462F0">
        <w:rPr>
          <w:vertAlign w:val="subscript"/>
          <w:lang w:val="en-GB" w:eastAsia="fr-FR"/>
        </w:rPr>
        <w:t>2</w:t>
      </w:r>
      <w:r w:rsidRPr="002462F0">
        <w:rPr>
          <w:lang w:val="en-GB" w:eastAsia="fr-FR"/>
        </w:rPr>
        <w:t>O emissions from managed soils (</w:t>
      </w:r>
      <w:r w:rsidR="008931E5">
        <w:rPr>
          <w:lang w:val="en-GB" w:eastAsia="fr-FR"/>
        </w:rPr>
        <w:t xml:space="preserve">CRT </w:t>
      </w:r>
      <w:r w:rsidRPr="002462F0">
        <w:rPr>
          <w:lang w:val="en-GB" w:eastAsia="fr-FR"/>
        </w:rPr>
        <w:t>3D2)</w:t>
      </w:r>
      <w:bookmarkEnd w:id="729"/>
      <w:bookmarkEnd w:id="730"/>
      <w:bookmarkEnd w:id="731"/>
    </w:p>
    <w:p w14:paraId="6F17ECB9" w14:textId="77777777" w:rsidR="007B2433" w:rsidRPr="002462F0" w:rsidRDefault="007B2433" w:rsidP="007B2433">
      <w:pPr>
        <w:pStyle w:val="Titre4Bleu"/>
        <w:rPr>
          <w:lang w:eastAsia="fr-FR"/>
        </w:rPr>
      </w:pPr>
      <w:bookmarkStart w:id="732" w:name="_Toc182327928"/>
      <w:r w:rsidRPr="002462F0">
        <w:rPr>
          <w:lang w:eastAsia="fr-FR"/>
        </w:rPr>
        <w:t xml:space="preserve">Category description </w:t>
      </w:r>
      <w:bookmarkEnd w:id="732"/>
    </w:p>
    <w:p w14:paraId="13B2F497" w14:textId="0C34AEAA" w:rsidR="00A6789E" w:rsidRDefault="00D05544" w:rsidP="00D05544">
      <w:r w:rsidRPr="00622F40">
        <w:t xml:space="preserve">The </w:t>
      </w:r>
      <w:r w:rsidR="001868C7">
        <w:t>in</w:t>
      </w:r>
      <w:r w:rsidRPr="00622F40">
        <w:t>direc</w:t>
      </w:r>
      <w:r>
        <w:t xml:space="preserve">t </w:t>
      </w:r>
      <w:r w:rsidR="001868C7">
        <w:t>emissions of N</w:t>
      </w:r>
      <w:r w:rsidR="001868C7" w:rsidRPr="00622F40">
        <w:rPr>
          <w:vertAlign w:val="subscript"/>
        </w:rPr>
        <w:t>2</w:t>
      </w:r>
      <w:r w:rsidR="001868C7">
        <w:t>O from</w:t>
      </w:r>
      <w:r w:rsidR="002A5160">
        <w:t xml:space="preserve"> managed soils</w:t>
      </w:r>
      <w:r w:rsidR="001868C7">
        <w:t xml:space="preserve"> </w:t>
      </w:r>
      <w:r w:rsidR="00AE2ADF">
        <w:t>are separated between two subcategories</w:t>
      </w:r>
      <w:r w:rsidR="00ED0D3F">
        <w:t xml:space="preserve">: atmospheric deposition, and leaching and run-off. </w:t>
      </w:r>
      <w:r w:rsidR="00B749A9">
        <w:t xml:space="preserve">The emission estimation methodology used is based on Tier 1 from 2006 IPCC guidelines. </w:t>
      </w:r>
      <w:r w:rsidR="00DF2B9A">
        <w:t xml:space="preserve">The activity data used are the same as in the previous chapter, the amounts of N applied to soils, </w:t>
      </w:r>
      <w:r w:rsidR="00032E34">
        <w:t xml:space="preserve">recalculated to obtain </w:t>
      </w:r>
      <w:r w:rsidR="00192F7D">
        <w:t xml:space="preserve">the amounts of N volatilised and </w:t>
      </w:r>
      <w:r w:rsidR="00C95179">
        <w:t xml:space="preserve">added to/mineralised in soils </w:t>
      </w:r>
      <w:r w:rsidR="00CC7D05">
        <w:t xml:space="preserve">through </w:t>
      </w:r>
      <w:r w:rsidR="00E12D51">
        <w:t xml:space="preserve">leaching and run-off. </w:t>
      </w:r>
    </w:p>
    <w:p w14:paraId="3F43EC7A" w14:textId="77192F00" w:rsidR="00384824" w:rsidRDefault="00384824" w:rsidP="00D05544">
      <w:r>
        <w:t xml:space="preserve">The </w:t>
      </w:r>
      <w:r w:rsidR="00A43F27">
        <w:t xml:space="preserve">indirect </w:t>
      </w:r>
      <w:r>
        <w:t xml:space="preserve">emissions </w:t>
      </w:r>
      <w:r w:rsidR="001A5C06">
        <w:t>from</w:t>
      </w:r>
      <w:r>
        <w:t xml:space="preserve"> leaching and</w:t>
      </w:r>
      <w:r w:rsidR="001A5C06">
        <w:t xml:space="preserve"> run-off </w:t>
      </w:r>
      <w:r w:rsidR="00AB02D7">
        <w:t xml:space="preserve">are directly proportional to the evolution of </w:t>
      </w:r>
      <w:r w:rsidR="00A43F27">
        <w:t xml:space="preserve">the sum of all activities </w:t>
      </w:r>
      <w:r w:rsidR="00292778">
        <w:t xml:space="preserve">from </w:t>
      </w:r>
      <w:r w:rsidR="00292778">
        <w:fldChar w:fldCharType="begin"/>
      </w:r>
      <w:r w:rsidR="00292778">
        <w:instrText xml:space="preserve"> REF _Ref179288685 \h </w:instrText>
      </w:r>
      <w:r w:rsidR="00292778">
        <w:fldChar w:fldCharType="separate"/>
      </w:r>
      <w:r w:rsidR="00F14C78">
        <w:t xml:space="preserve">Table </w:t>
      </w:r>
      <w:r w:rsidR="00F14C78">
        <w:rPr>
          <w:noProof/>
        </w:rPr>
        <w:t>32</w:t>
      </w:r>
      <w:r w:rsidR="00292778">
        <w:fldChar w:fldCharType="end"/>
      </w:r>
      <w:r w:rsidR="00292778">
        <w:t xml:space="preserve"> and </w:t>
      </w:r>
      <w:r w:rsidR="00292778">
        <w:fldChar w:fldCharType="begin"/>
      </w:r>
      <w:r w:rsidR="00292778">
        <w:instrText xml:space="preserve"> REF _Ref179288688 \h </w:instrText>
      </w:r>
      <w:r w:rsidR="00292778">
        <w:fldChar w:fldCharType="separate"/>
      </w:r>
      <w:r w:rsidR="00F14C78">
        <w:t xml:space="preserve">Table </w:t>
      </w:r>
      <w:r w:rsidR="00F14C78">
        <w:rPr>
          <w:noProof/>
        </w:rPr>
        <w:t>33</w:t>
      </w:r>
      <w:r w:rsidR="00292778">
        <w:fldChar w:fldCharType="end"/>
      </w:r>
      <w:r w:rsidR="00292778">
        <w:t xml:space="preserve">, except </w:t>
      </w:r>
      <w:r w:rsidR="00F33354">
        <w:t xml:space="preserve">for organic soils. </w:t>
      </w:r>
      <w:r w:rsidR="00DA046C">
        <w:t>The emissions are slightly varying but rather stable from 1990 to 2001, before increasing progressively until 2009, where they reached their peak</w:t>
      </w:r>
      <w:r w:rsidR="007E0077">
        <w:t xml:space="preserve"> (+</w:t>
      </w:r>
      <w:r w:rsidR="00137A34">
        <w:t>1</w:t>
      </w:r>
      <w:r w:rsidR="00172544">
        <w:t>21</w:t>
      </w:r>
      <w:r w:rsidR="00137A34">
        <w:t xml:space="preserve">% compared with </w:t>
      </w:r>
      <w:r w:rsidR="00172544">
        <w:t xml:space="preserve">2001). From 2009 onwards, the emissions vary significantly </w:t>
      </w:r>
      <w:r w:rsidR="00BC680B">
        <w:t xml:space="preserve">but a global reduction is observed, and the emission levels achieved in 2022 are </w:t>
      </w:r>
      <w:r w:rsidR="007924E3">
        <w:t xml:space="preserve">43% below </w:t>
      </w:r>
      <w:r w:rsidR="00553AEC">
        <w:t xml:space="preserve">the one from </w:t>
      </w:r>
      <w:r w:rsidR="00AC0D14">
        <w:t>2009</w:t>
      </w:r>
      <w:r w:rsidR="00553AEC">
        <w:t>, but 61% higher than the one from 1990.</w:t>
      </w:r>
    </w:p>
    <w:p w14:paraId="6F447409" w14:textId="215950CF" w:rsidR="00553AEC" w:rsidRPr="00622F40" w:rsidRDefault="00553AEC" w:rsidP="00622F40">
      <w:r>
        <w:t xml:space="preserve">The indirect emissions related to volatilisation are lower in </w:t>
      </w:r>
      <w:r w:rsidR="00F53C04">
        <w:t>magnitude and</w:t>
      </w:r>
      <w:r>
        <w:t xml:space="preserve"> represent </w:t>
      </w:r>
      <w:r w:rsidR="00DE4DA6">
        <w:t xml:space="preserve">only 27% of the total </w:t>
      </w:r>
      <w:r w:rsidR="004E7F17">
        <w:t xml:space="preserve">of the category 3D2 in 2022 (versus 30% in 1990). This is due to the fact the </w:t>
      </w:r>
      <w:r w:rsidR="000179D6">
        <w:t xml:space="preserve">fractions of volatilised N are lower than the fraction of N leaching </w:t>
      </w:r>
      <w:r w:rsidR="00801006">
        <w:t xml:space="preserve">and running off (see chapter </w:t>
      </w:r>
      <w:r w:rsidR="00801006">
        <w:fldChar w:fldCharType="begin"/>
      </w:r>
      <w:r w:rsidR="00801006">
        <w:instrText xml:space="preserve"> REF _Ref179289445 \r \h </w:instrText>
      </w:r>
      <w:r w:rsidR="00801006">
        <w:fldChar w:fldCharType="separate"/>
      </w:r>
      <w:r w:rsidR="00F14C78">
        <w:t>5.4.2.2</w:t>
      </w:r>
      <w:r w:rsidR="00801006">
        <w:fldChar w:fldCharType="end"/>
      </w:r>
      <w:r w:rsidR="00801006">
        <w:t>)</w:t>
      </w:r>
      <w:r w:rsidR="002476CD">
        <w:t>, in particular for synthetic fertiliser</w:t>
      </w:r>
      <w:r w:rsidR="00801006">
        <w:t>.</w:t>
      </w:r>
      <w:r w:rsidR="002476CD">
        <w:t xml:space="preserve"> </w:t>
      </w:r>
      <w:r w:rsidR="000719E7">
        <w:t xml:space="preserve">Hence, the large variations of the amounts of inorganic N-fertilisers applied to soils have a more moderate impact on the emissions by atmospheric deposition. However, the observed trend </w:t>
      </w:r>
      <w:r w:rsidR="0098715C">
        <w:t xml:space="preserve">is rather similar, and the same observations made previously for the emissions </w:t>
      </w:r>
      <w:r w:rsidR="008C7B91">
        <w:t xml:space="preserve">from leaching and run-off can be adapted to this subsector, with a different order of magnitude. </w:t>
      </w:r>
      <w:r w:rsidR="00497018">
        <w:t xml:space="preserve">Overall, an increase of 43% has been observed in the indirect emissions from atmospheric deposition, for the period 1990-2022. </w:t>
      </w:r>
    </w:p>
    <w:p w14:paraId="3D8C5126" w14:textId="67F7BF89" w:rsidR="000E44C1" w:rsidRDefault="007E0C2B" w:rsidP="00F53C04">
      <w:pPr>
        <w:pStyle w:val="BodyText"/>
        <w:spacing w:after="0"/>
        <w:jc w:val="left"/>
        <w:rPr>
          <w:lang w:eastAsia="fr-FR"/>
        </w:rPr>
      </w:pPr>
      <w:r>
        <w:rPr>
          <w:noProof/>
          <w:lang w:val="en-US"/>
        </w:rPr>
        <w:drawing>
          <wp:inline distT="0" distB="0" distL="0" distR="0" wp14:anchorId="57FC0206" wp14:editId="465CA29F">
            <wp:extent cx="5760000" cy="1753712"/>
            <wp:effectExtent l="0" t="0" r="0" b="0"/>
            <wp:docPr id="2122714012"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5A1BDAF6" w14:textId="77777777" w:rsidR="00F53C04" w:rsidRDefault="00F53C04" w:rsidP="00F53C04">
      <w:pPr>
        <w:pStyle w:val="Caption"/>
        <w:keepNext/>
        <w:spacing w:before="0"/>
        <w:jc w:val="left"/>
      </w:pPr>
      <w:bookmarkStart w:id="733" w:name="_Toc184808498"/>
      <w:r w:rsidRPr="00622F40">
        <w:t xml:space="preserve">Figure </w:t>
      </w:r>
      <w:r w:rsidRPr="00622F40">
        <w:fldChar w:fldCharType="begin"/>
      </w:r>
      <w:r w:rsidRPr="00622F40">
        <w:instrText xml:space="preserve"> SEQ Figure \* ARABIC </w:instrText>
      </w:r>
      <w:r w:rsidRPr="00622F40">
        <w:fldChar w:fldCharType="separate"/>
      </w:r>
      <w:r>
        <w:t>111</w:t>
      </w:r>
      <w:r w:rsidRPr="00622F40">
        <w:fldChar w:fldCharType="end"/>
      </w:r>
      <w:r w:rsidRPr="00622F40">
        <w:t xml:space="preserve"> : Indirect N2O emissions from atmospheric deposition (</w:t>
      </w:r>
      <w:r>
        <w:t>CRT</w:t>
      </w:r>
      <w:r w:rsidRPr="00622F40">
        <w:t xml:space="preserve"> 3D2.1) (kt CO</w:t>
      </w:r>
      <w:r w:rsidRPr="00F53C04">
        <w:t>2</w:t>
      </w:r>
      <w:r w:rsidRPr="00622F40">
        <w:t>e)</w:t>
      </w:r>
      <w:bookmarkEnd w:id="733"/>
    </w:p>
    <w:p w14:paraId="17D08848" w14:textId="22FE9F6C" w:rsidR="000E44C1" w:rsidRDefault="007E0C2B" w:rsidP="00F53C04">
      <w:pPr>
        <w:pStyle w:val="BodyText"/>
        <w:spacing w:after="0"/>
        <w:jc w:val="left"/>
        <w:rPr>
          <w:lang w:eastAsia="fr-FR"/>
        </w:rPr>
      </w:pPr>
      <w:r>
        <w:rPr>
          <w:noProof/>
          <w:lang w:val="en-US"/>
        </w:rPr>
        <w:drawing>
          <wp:inline distT="0" distB="0" distL="0" distR="0" wp14:anchorId="3E2EC816" wp14:editId="0A4445DB">
            <wp:extent cx="5760000" cy="1753712"/>
            <wp:effectExtent l="0" t="0" r="0" b="0"/>
            <wp:docPr id="268182632"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2B37DBF8" w14:textId="1B441833" w:rsidR="00F53C04" w:rsidRDefault="00F53C04" w:rsidP="00F53C04">
      <w:pPr>
        <w:pStyle w:val="Caption"/>
        <w:keepNext/>
        <w:spacing w:before="0"/>
        <w:jc w:val="left"/>
        <w:rPr>
          <w:noProof/>
        </w:rPr>
      </w:pPr>
      <w:bookmarkStart w:id="734" w:name="_Toc184808499"/>
      <w:r w:rsidRPr="00622F40">
        <w:t xml:space="preserve">Figure </w:t>
      </w:r>
      <w:r w:rsidRPr="00622F40">
        <w:fldChar w:fldCharType="begin"/>
      </w:r>
      <w:r w:rsidRPr="00622F40">
        <w:instrText xml:space="preserve"> SEQ Figure \* ARABIC </w:instrText>
      </w:r>
      <w:r w:rsidRPr="00622F40">
        <w:fldChar w:fldCharType="separate"/>
      </w:r>
      <w:r>
        <w:rPr>
          <w:noProof/>
        </w:rPr>
        <w:t>112</w:t>
      </w:r>
      <w:r w:rsidRPr="00622F40">
        <w:fldChar w:fldCharType="end"/>
      </w:r>
      <w:r w:rsidRPr="00622F40">
        <w:rPr>
          <w:noProof/>
        </w:rPr>
        <w:t xml:space="preserve"> : Indirect N2O emissions from nitrogen leaching and run-off (</w:t>
      </w:r>
      <w:r>
        <w:rPr>
          <w:noProof/>
        </w:rPr>
        <w:t>CRT</w:t>
      </w:r>
      <w:r w:rsidRPr="00622F40">
        <w:rPr>
          <w:noProof/>
        </w:rPr>
        <w:t xml:space="preserve"> 3D2</w:t>
      </w:r>
      <w:r w:rsidR="00497864">
        <w:rPr>
          <w:noProof/>
        </w:rPr>
        <w:t>.</w:t>
      </w:r>
      <w:r w:rsidRPr="00622F40">
        <w:rPr>
          <w:noProof/>
        </w:rPr>
        <w:t>2) (kt CO</w:t>
      </w:r>
      <w:r w:rsidRPr="00622F40">
        <w:rPr>
          <w:noProof/>
          <w:vertAlign w:val="subscript"/>
        </w:rPr>
        <w:t>2</w:t>
      </w:r>
      <w:r w:rsidRPr="00622F40">
        <w:rPr>
          <w:noProof/>
        </w:rPr>
        <w:t>e)</w:t>
      </w:r>
      <w:bookmarkEnd w:id="734"/>
    </w:p>
    <w:p w14:paraId="0B595317" w14:textId="77777777" w:rsidR="00497864" w:rsidRPr="007759DA" w:rsidRDefault="00497864" w:rsidP="007759DA"/>
    <w:p w14:paraId="03E154D2" w14:textId="6E1D5208" w:rsidR="007B2433" w:rsidRPr="00D916DB" w:rsidRDefault="007B2433" w:rsidP="007B2433">
      <w:pPr>
        <w:pStyle w:val="BodyText"/>
        <w:rPr>
          <w:lang w:eastAsia="fr-FR"/>
        </w:rPr>
      </w:pPr>
      <w:r w:rsidRPr="002462F0">
        <w:rPr>
          <w:lang w:eastAsia="fr-FR"/>
        </w:rPr>
        <w:lastRenderedPageBreak/>
        <w:t xml:space="preserve">In </w:t>
      </w:r>
      <w:r w:rsidR="00107836">
        <w:rPr>
          <w:lang w:eastAsia="fr-FR"/>
        </w:rPr>
        <w:t>2022</w:t>
      </w:r>
      <w:r w:rsidRPr="002462F0">
        <w:rPr>
          <w:lang w:eastAsia="fr-FR"/>
        </w:rPr>
        <w:t xml:space="preserve">, </w:t>
      </w:r>
      <w:r w:rsidR="00107836">
        <w:rPr>
          <w:lang w:eastAsia="fr-FR"/>
        </w:rPr>
        <w:t xml:space="preserve">only the </w:t>
      </w:r>
      <w:r w:rsidR="00107836" w:rsidRPr="002462F0">
        <w:rPr>
          <w:lang w:eastAsia="fr-FR"/>
        </w:rPr>
        <w:t>N</w:t>
      </w:r>
      <w:r w:rsidR="00107836" w:rsidRPr="002462F0">
        <w:rPr>
          <w:vertAlign w:val="subscript"/>
          <w:lang w:eastAsia="fr-FR"/>
        </w:rPr>
        <w:t>2</w:t>
      </w:r>
      <w:r w:rsidR="00107836" w:rsidRPr="002462F0">
        <w:rPr>
          <w:lang w:eastAsia="fr-FR"/>
        </w:rPr>
        <w:t xml:space="preserve">O emissions </w:t>
      </w:r>
      <w:r w:rsidR="00107836">
        <w:rPr>
          <w:lang w:eastAsia="fr-FR"/>
        </w:rPr>
        <w:t xml:space="preserve">from the </w:t>
      </w:r>
      <w:r w:rsidR="000F6001">
        <w:rPr>
          <w:lang w:eastAsia="fr-FR"/>
        </w:rPr>
        <w:t>CRT</w:t>
      </w:r>
      <w:r w:rsidRPr="002462F0">
        <w:rPr>
          <w:lang w:eastAsia="fr-FR"/>
        </w:rPr>
        <w:t xml:space="preserve"> 3D22 (Nitrogen leaching and run-off) </w:t>
      </w:r>
      <w:r w:rsidR="008931E5">
        <w:rPr>
          <w:lang w:eastAsia="fr-FR"/>
        </w:rPr>
        <w:t>is</w:t>
      </w:r>
      <w:r w:rsidR="00107836" w:rsidRPr="002462F0">
        <w:rPr>
          <w:lang w:eastAsia="fr-FR"/>
        </w:rPr>
        <w:t xml:space="preserve"> </w:t>
      </w:r>
      <w:r w:rsidRPr="002462F0">
        <w:rPr>
          <w:lang w:eastAsia="fr-FR"/>
        </w:rPr>
        <w:t xml:space="preserve">a key category in </w:t>
      </w:r>
      <w:r w:rsidR="00107836">
        <w:rPr>
          <w:lang w:eastAsia="fr-FR"/>
        </w:rPr>
        <w:t xml:space="preserve">the Republic of </w:t>
      </w:r>
      <w:r w:rsidRPr="002462F0">
        <w:rPr>
          <w:lang w:eastAsia="fr-FR"/>
        </w:rPr>
        <w:t xml:space="preserve">Serbia. This sector contributes to </w:t>
      </w:r>
      <w:r w:rsidR="00DF4DD4">
        <w:rPr>
          <w:lang w:eastAsia="fr-FR"/>
        </w:rPr>
        <w:t>0.5</w:t>
      </w:r>
      <w:r w:rsidRPr="002462F0">
        <w:rPr>
          <w:lang w:eastAsia="fr-FR"/>
        </w:rPr>
        <w:t>% in ter</w:t>
      </w:r>
      <w:r w:rsidR="00311470">
        <w:rPr>
          <w:lang w:eastAsia="fr-FR"/>
        </w:rPr>
        <w:t xml:space="preserve">ms of emissions level (rank </w:t>
      </w:r>
      <w:r w:rsidR="00DF4DD4">
        <w:rPr>
          <w:lang w:eastAsia="fr-FR"/>
        </w:rPr>
        <w:t>24</w:t>
      </w:r>
      <w:r w:rsidR="00311470">
        <w:rPr>
          <w:lang w:eastAsia="fr-FR"/>
        </w:rPr>
        <w:t xml:space="preserve">), and </w:t>
      </w:r>
      <w:r w:rsidR="00DF4DD4">
        <w:rPr>
          <w:lang w:eastAsia="fr-FR"/>
        </w:rPr>
        <w:t>0.6</w:t>
      </w:r>
      <w:r w:rsidR="00311470">
        <w:rPr>
          <w:lang w:eastAsia="fr-FR"/>
        </w:rPr>
        <w:t xml:space="preserve">% in terms of trend (rank </w:t>
      </w:r>
      <w:r w:rsidR="00DF4DD4">
        <w:rPr>
          <w:lang w:eastAsia="fr-FR"/>
        </w:rPr>
        <w:t>38</w:t>
      </w:r>
      <w:r w:rsidR="00311470">
        <w:rPr>
          <w:lang w:eastAsia="fr-FR"/>
        </w:rPr>
        <w:t>).</w:t>
      </w:r>
    </w:p>
    <w:p w14:paraId="767FA712" w14:textId="309A1764" w:rsidR="007B2433" w:rsidRDefault="007B2433" w:rsidP="007B2433">
      <w:pPr>
        <w:pStyle w:val="Titre4Bleu"/>
        <w:rPr>
          <w:lang w:eastAsia="fr-FR"/>
        </w:rPr>
      </w:pPr>
      <w:bookmarkStart w:id="735" w:name="_Ref179289445"/>
      <w:bookmarkStart w:id="736" w:name="_Toc182327929"/>
      <w:r w:rsidRPr="002462F0">
        <w:rPr>
          <w:lang w:eastAsia="fr-FR"/>
        </w:rPr>
        <w:t>Methodological issues</w:t>
      </w:r>
      <w:bookmarkEnd w:id="735"/>
      <w:bookmarkEnd w:id="736"/>
      <w:r w:rsidRPr="002462F0">
        <w:rPr>
          <w:lang w:eastAsia="fr-FR"/>
        </w:rPr>
        <w:t xml:space="preserve"> </w:t>
      </w:r>
    </w:p>
    <w:p w14:paraId="588A68C9" w14:textId="5ADF7C08" w:rsidR="000E44C1" w:rsidRPr="0003002C" w:rsidRDefault="000E44C1" w:rsidP="000E44C1">
      <w:pPr>
        <w:pStyle w:val="BodyText"/>
        <w:rPr>
          <w:lang w:val="en-US" w:eastAsia="fr-FR"/>
        </w:rPr>
      </w:pPr>
      <w:r>
        <w:rPr>
          <w:lang w:val="en-US" w:eastAsia="fr-FR"/>
        </w:rPr>
        <w:t>Direct e</w:t>
      </w:r>
      <w:r w:rsidRPr="0003002C">
        <w:rPr>
          <w:lang w:val="en-US" w:eastAsia="fr-FR"/>
        </w:rPr>
        <w:t>missions of N</w:t>
      </w:r>
      <w:r w:rsidRPr="0003002C">
        <w:rPr>
          <w:vertAlign w:val="subscript"/>
          <w:lang w:val="en-US" w:eastAsia="fr-FR"/>
        </w:rPr>
        <w:t>2</w:t>
      </w:r>
      <w:r w:rsidRPr="0003002C">
        <w:rPr>
          <w:lang w:val="en-US" w:eastAsia="fr-FR"/>
        </w:rPr>
        <w:t xml:space="preserve">O from </w:t>
      </w:r>
      <w:r>
        <w:rPr>
          <w:lang w:val="en-US" w:eastAsia="fr-FR"/>
        </w:rPr>
        <w:t>managed soils</w:t>
      </w:r>
      <w:r w:rsidRPr="0003002C">
        <w:rPr>
          <w:lang w:val="en-US" w:eastAsia="fr-FR"/>
        </w:rPr>
        <w:t xml:space="preserve"> are calculated with a Tier 1 approach in line with the 20</w:t>
      </w:r>
      <w:r w:rsidR="00A817D3">
        <w:rPr>
          <w:lang w:val="en-US" w:eastAsia="fr-FR"/>
        </w:rPr>
        <w:t>19</w:t>
      </w:r>
      <w:r w:rsidRPr="0003002C">
        <w:rPr>
          <w:lang w:val="en-US" w:eastAsia="fr-FR"/>
        </w:rPr>
        <w:t xml:space="preserve"> IPCC Guidelines</w:t>
      </w:r>
      <w:r w:rsidR="001F6725">
        <w:rPr>
          <w:lang w:val="en-US" w:eastAsia="fr-FR"/>
        </w:rPr>
        <w:t xml:space="preserve"> </w:t>
      </w:r>
      <w:r w:rsidR="00734AAE">
        <w:rPr>
          <w:lang w:val="en-US" w:eastAsia="fr-FR"/>
        </w:rPr>
        <w:fldChar w:fldCharType="begin"/>
      </w:r>
      <w:r w:rsidR="00734AAE">
        <w:rPr>
          <w:lang w:val="en-US" w:eastAsia="fr-FR"/>
        </w:rPr>
        <w:instrText xml:space="preserve"> REF _Ref181802803 \r \h </w:instrText>
      </w:r>
      <w:r w:rsidR="00734AAE">
        <w:rPr>
          <w:lang w:val="en-US" w:eastAsia="fr-FR"/>
        </w:rPr>
      </w:r>
      <w:r w:rsidR="00734AAE">
        <w:rPr>
          <w:lang w:val="en-US" w:eastAsia="fr-FR"/>
        </w:rPr>
        <w:fldChar w:fldCharType="separate"/>
      </w:r>
      <w:r w:rsidR="00F14C78">
        <w:rPr>
          <w:lang w:val="en-US" w:eastAsia="fr-FR"/>
        </w:rPr>
        <w:t>[A21]</w:t>
      </w:r>
      <w:r w:rsidR="00734AAE">
        <w:rPr>
          <w:lang w:val="en-US" w:eastAsia="fr-FR"/>
        </w:rPr>
        <w:fldChar w:fldCharType="end"/>
      </w:r>
      <w:r w:rsidRPr="0003002C">
        <w:rPr>
          <w:lang w:val="en-US" w:eastAsia="fr-FR"/>
        </w:rPr>
        <w:t xml:space="preserve">. </w:t>
      </w:r>
    </w:p>
    <w:p w14:paraId="50E2CD12" w14:textId="5D799510" w:rsidR="000E44C1" w:rsidRDefault="000E44C1" w:rsidP="000E44C1">
      <w:pPr>
        <w:pStyle w:val="BodyText"/>
        <w:rPr>
          <w:lang w:val="en-US" w:eastAsia="fr-FR"/>
        </w:rPr>
      </w:pPr>
      <w:r w:rsidRPr="0003002C">
        <w:rPr>
          <w:lang w:val="en-US" w:eastAsia="fr-FR"/>
        </w:rPr>
        <w:t xml:space="preserve">Activity data used </w:t>
      </w:r>
      <w:r w:rsidR="00AC30F0">
        <w:rPr>
          <w:lang w:val="en-US" w:eastAsia="fr-FR"/>
        </w:rPr>
        <w:t>are</w:t>
      </w:r>
      <w:r w:rsidR="006B69CB">
        <w:rPr>
          <w:lang w:val="en-US" w:eastAsia="fr-FR"/>
        </w:rPr>
        <w:t xml:space="preserve"> the same as the one given in chapter </w:t>
      </w:r>
      <w:r w:rsidR="000B023B">
        <w:rPr>
          <w:lang w:val="en-US" w:eastAsia="fr-FR"/>
        </w:rPr>
        <w:fldChar w:fldCharType="begin"/>
      </w:r>
      <w:r w:rsidR="000B023B">
        <w:rPr>
          <w:lang w:val="en-US" w:eastAsia="fr-FR"/>
        </w:rPr>
        <w:instrText xml:space="preserve"> REF _Ref179277830 \r \h </w:instrText>
      </w:r>
      <w:r w:rsidR="000B023B">
        <w:rPr>
          <w:lang w:val="en-US" w:eastAsia="fr-FR"/>
        </w:rPr>
      </w:r>
      <w:r w:rsidR="000B023B">
        <w:rPr>
          <w:lang w:val="en-US" w:eastAsia="fr-FR"/>
        </w:rPr>
        <w:fldChar w:fldCharType="separate"/>
      </w:r>
      <w:r w:rsidR="00F14C78">
        <w:rPr>
          <w:lang w:val="en-US" w:eastAsia="fr-FR"/>
        </w:rPr>
        <w:t>5.4.1.2</w:t>
      </w:r>
      <w:r w:rsidR="000B023B">
        <w:rPr>
          <w:lang w:val="en-US" w:eastAsia="fr-FR"/>
        </w:rPr>
        <w:fldChar w:fldCharType="end"/>
      </w:r>
      <w:r w:rsidR="000B023B">
        <w:rPr>
          <w:lang w:val="en-US" w:eastAsia="fr-FR"/>
        </w:rPr>
        <w:fldChar w:fldCharType="begin"/>
      </w:r>
      <w:r w:rsidR="000B023B">
        <w:rPr>
          <w:lang w:val="en-US" w:eastAsia="fr-FR"/>
        </w:rPr>
        <w:instrText xml:space="preserve"> REF _Ref179277834 \r \h </w:instrText>
      </w:r>
      <w:r w:rsidR="000B023B">
        <w:rPr>
          <w:lang w:val="en-US" w:eastAsia="fr-FR"/>
        </w:rPr>
      </w:r>
      <w:r w:rsidR="000B023B">
        <w:rPr>
          <w:lang w:val="en-US" w:eastAsia="fr-FR"/>
        </w:rPr>
        <w:fldChar w:fldCharType="separate"/>
      </w:r>
      <w:r w:rsidR="00F14C78">
        <w:rPr>
          <w:lang w:val="en-US" w:eastAsia="fr-FR"/>
        </w:rPr>
        <w:t>0</w:t>
      </w:r>
      <w:r w:rsidR="000B023B">
        <w:rPr>
          <w:lang w:val="en-US" w:eastAsia="fr-FR"/>
        </w:rPr>
        <w:fldChar w:fldCharType="end"/>
      </w:r>
      <w:r w:rsidR="00EE5005">
        <w:rPr>
          <w:lang w:val="en-US" w:eastAsia="fr-FR"/>
        </w:rPr>
        <w:t xml:space="preserve">, with some </w:t>
      </w:r>
      <w:r w:rsidR="0033117A">
        <w:rPr>
          <w:lang w:val="en-US" w:eastAsia="fr-FR"/>
        </w:rPr>
        <w:t xml:space="preserve">additional calculations in order to calculate  the amounts of </w:t>
      </w:r>
      <w:r w:rsidR="00F53C04">
        <w:rPr>
          <w:lang w:val="en-US" w:eastAsia="fr-FR"/>
        </w:rPr>
        <w:t>volatilized</w:t>
      </w:r>
      <w:r w:rsidR="0033117A">
        <w:rPr>
          <w:lang w:val="en-US" w:eastAsia="fr-FR"/>
        </w:rPr>
        <w:t xml:space="preserve"> N </w:t>
      </w:r>
      <w:r w:rsidR="00FE1758">
        <w:rPr>
          <w:lang w:val="en-US" w:eastAsia="fr-FR"/>
        </w:rPr>
        <w:t>and N lost through leaching and run-off, according to IPCC 20</w:t>
      </w:r>
      <w:r w:rsidR="003311A0">
        <w:rPr>
          <w:lang w:val="en-US" w:eastAsia="fr-FR"/>
        </w:rPr>
        <w:t>19</w:t>
      </w:r>
      <w:r w:rsidR="00FE1758">
        <w:rPr>
          <w:lang w:val="en-US" w:eastAsia="fr-FR"/>
        </w:rPr>
        <w:t xml:space="preserve"> guidelines. </w:t>
      </w:r>
      <w:r w:rsidR="00DC2CEC">
        <w:rPr>
          <w:lang w:val="en-US" w:eastAsia="fr-FR"/>
        </w:rPr>
        <w:t xml:space="preserve">The </w:t>
      </w:r>
      <w:r w:rsidR="00CE6071">
        <w:rPr>
          <w:lang w:val="en-US" w:eastAsia="fr-FR"/>
        </w:rPr>
        <w:t>parameters used to estimate the appropriate activity data are:</w:t>
      </w:r>
      <w:r w:rsidR="00DC2CEC">
        <w:rPr>
          <w:lang w:val="en-US" w:eastAsia="fr-FR"/>
        </w:rPr>
        <w:t xml:space="preserve"> </w:t>
      </w:r>
      <w:r>
        <w:rPr>
          <w:lang w:val="en-US" w:eastAsia="fr-FR"/>
        </w:rPr>
        <w:t>.</w:t>
      </w:r>
      <w:r w:rsidRPr="0003002C">
        <w:rPr>
          <w:lang w:val="en-US" w:eastAsia="fr-FR"/>
        </w:rPr>
        <w:t xml:space="preserve"> </w:t>
      </w:r>
    </w:p>
    <w:p w14:paraId="2E127FAB" w14:textId="25CD4F80" w:rsidR="00CE6071" w:rsidRDefault="00CE6071" w:rsidP="00CE6071">
      <w:pPr>
        <w:pStyle w:val="BodyText"/>
        <w:numPr>
          <w:ilvl w:val="0"/>
          <w:numId w:val="75"/>
        </w:numPr>
        <w:rPr>
          <w:lang w:val="en-US" w:eastAsia="fr-FR"/>
        </w:rPr>
      </w:pPr>
      <w:r>
        <w:rPr>
          <w:lang w:val="en-US" w:eastAsia="fr-FR"/>
        </w:rPr>
        <w:t xml:space="preserve">Fraction of </w:t>
      </w:r>
      <w:r w:rsidR="00702F9A">
        <w:rPr>
          <w:lang w:val="en-US" w:eastAsia="fr-FR"/>
        </w:rPr>
        <w:t xml:space="preserve">synthetic </w:t>
      </w:r>
      <w:r w:rsidR="00F53C04">
        <w:rPr>
          <w:lang w:val="en-US" w:eastAsia="fr-FR"/>
        </w:rPr>
        <w:t>fertilizer</w:t>
      </w:r>
      <w:r w:rsidR="00702F9A">
        <w:rPr>
          <w:lang w:val="en-US" w:eastAsia="fr-FR"/>
        </w:rPr>
        <w:t xml:space="preserve"> N that </w:t>
      </w:r>
      <w:r w:rsidR="00F53C04">
        <w:rPr>
          <w:lang w:val="en-US" w:eastAsia="fr-FR"/>
        </w:rPr>
        <w:t>volatilizes</w:t>
      </w:r>
      <w:r w:rsidR="00702F9A">
        <w:rPr>
          <w:lang w:val="en-US" w:eastAsia="fr-FR"/>
        </w:rPr>
        <w:t xml:space="preserve"> </w:t>
      </w:r>
      <w:r w:rsidR="00F268D6">
        <w:rPr>
          <w:lang w:val="en-US" w:eastAsia="fr-FR"/>
        </w:rPr>
        <w:t>as NH</w:t>
      </w:r>
      <w:r w:rsidR="00F268D6" w:rsidRPr="00622F40">
        <w:rPr>
          <w:vertAlign w:val="subscript"/>
          <w:lang w:val="en-US" w:eastAsia="fr-FR"/>
        </w:rPr>
        <w:t>3</w:t>
      </w:r>
      <w:r w:rsidR="00F268D6">
        <w:rPr>
          <w:lang w:val="en-US" w:eastAsia="fr-FR"/>
        </w:rPr>
        <w:t xml:space="preserve"> an</w:t>
      </w:r>
      <w:r w:rsidR="00611E9A">
        <w:rPr>
          <w:lang w:val="en-US" w:eastAsia="fr-FR"/>
        </w:rPr>
        <w:t>d NOx: F</w:t>
      </w:r>
      <w:r w:rsidR="00611E9A" w:rsidRPr="00622F40">
        <w:rPr>
          <w:vertAlign w:val="subscript"/>
          <w:lang w:val="en-US" w:eastAsia="fr-FR"/>
        </w:rPr>
        <w:t>GASF</w:t>
      </w:r>
      <w:r w:rsidR="00611E9A">
        <w:rPr>
          <w:lang w:val="en-US" w:eastAsia="fr-FR"/>
        </w:rPr>
        <w:t xml:space="preserve"> = </w:t>
      </w:r>
      <w:r w:rsidR="00D756CD">
        <w:rPr>
          <w:lang w:val="en-US" w:eastAsia="fr-FR"/>
        </w:rPr>
        <w:t xml:space="preserve">0.11 kg N </w:t>
      </w:r>
      <w:r w:rsidR="00F53C04">
        <w:rPr>
          <w:lang w:val="en-US" w:eastAsia="fr-FR"/>
        </w:rPr>
        <w:t>volatilized</w:t>
      </w:r>
      <w:r w:rsidR="00D756CD">
        <w:rPr>
          <w:lang w:val="en-US" w:eastAsia="fr-FR"/>
        </w:rPr>
        <w:t>/kg N applied;</w:t>
      </w:r>
    </w:p>
    <w:p w14:paraId="024BE529" w14:textId="78C423FC" w:rsidR="00D756CD" w:rsidRPr="0003002C" w:rsidRDefault="00D756CD" w:rsidP="00D756CD">
      <w:pPr>
        <w:pStyle w:val="BodyText"/>
        <w:numPr>
          <w:ilvl w:val="0"/>
          <w:numId w:val="75"/>
        </w:numPr>
        <w:rPr>
          <w:lang w:val="en-US" w:eastAsia="fr-FR"/>
        </w:rPr>
      </w:pPr>
      <w:r>
        <w:rPr>
          <w:lang w:val="en-US" w:eastAsia="fr-FR"/>
        </w:rPr>
        <w:t xml:space="preserve">Fraction of </w:t>
      </w:r>
      <w:r w:rsidR="006D698E">
        <w:rPr>
          <w:lang w:val="en-US" w:eastAsia="fr-FR"/>
        </w:rPr>
        <w:t>organic</w:t>
      </w:r>
      <w:r>
        <w:rPr>
          <w:lang w:val="en-US" w:eastAsia="fr-FR"/>
        </w:rPr>
        <w:t xml:space="preserve"> </w:t>
      </w:r>
      <w:r w:rsidR="00F53C04">
        <w:rPr>
          <w:lang w:val="en-US" w:eastAsia="fr-FR"/>
        </w:rPr>
        <w:t>fertilizer</w:t>
      </w:r>
      <w:r>
        <w:rPr>
          <w:lang w:val="en-US" w:eastAsia="fr-FR"/>
        </w:rPr>
        <w:t xml:space="preserve"> N </w:t>
      </w:r>
      <w:r w:rsidR="00533E23">
        <w:rPr>
          <w:lang w:val="en-US" w:eastAsia="fr-FR"/>
        </w:rPr>
        <w:t xml:space="preserve">(including urine and dung deposited by grazing animals) </w:t>
      </w:r>
      <w:r>
        <w:rPr>
          <w:lang w:val="en-US" w:eastAsia="fr-FR"/>
        </w:rPr>
        <w:t xml:space="preserve">that </w:t>
      </w:r>
      <w:r w:rsidR="00F53C04">
        <w:rPr>
          <w:lang w:val="en-US" w:eastAsia="fr-FR"/>
        </w:rPr>
        <w:t>volatilizes</w:t>
      </w:r>
      <w:r>
        <w:rPr>
          <w:lang w:val="en-US" w:eastAsia="fr-FR"/>
        </w:rPr>
        <w:t xml:space="preserve"> as NH</w:t>
      </w:r>
      <w:r w:rsidRPr="001F0275">
        <w:rPr>
          <w:vertAlign w:val="subscript"/>
          <w:lang w:val="en-US" w:eastAsia="fr-FR"/>
        </w:rPr>
        <w:t>3</w:t>
      </w:r>
      <w:r>
        <w:rPr>
          <w:lang w:val="en-US" w:eastAsia="fr-FR"/>
        </w:rPr>
        <w:t xml:space="preserve"> and NOx: F</w:t>
      </w:r>
      <w:r w:rsidRPr="001F0275">
        <w:rPr>
          <w:vertAlign w:val="subscript"/>
          <w:lang w:val="en-US" w:eastAsia="fr-FR"/>
        </w:rPr>
        <w:t>GAS</w:t>
      </w:r>
      <w:r w:rsidR="007D6B0E">
        <w:rPr>
          <w:vertAlign w:val="subscript"/>
          <w:lang w:val="en-US" w:eastAsia="fr-FR"/>
        </w:rPr>
        <w:t>M</w:t>
      </w:r>
      <w:r>
        <w:rPr>
          <w:lang w:val="en-US" w:eastAsia="fr-FR"/>
        </w:rPr>
        <w:t xml:space="preserve"> = 0.</w:t>
      </w:r>
      <w:r w:rsidR="007D6B0E">
        <w:rPr>
          <w:lang w:val="en-US" w:eastAsia="fr-FR"/>
        </w:rPr>
        <w:t>21</w:t>
      </w:r>
      <w:r>
        <w:rPr>
          <w:lang w:val="en-US" w:eastAsia="fr-FR"/>
        </w:rPr>
        <w:t xml:space="preserve"> kg N </w:t>
      </w:r>
      <w:r w:rsidR="00F53C04">
        <w:rPr>
          <w:lang w:val="en-US" w:eastAsia="fr-FR"/>
        </w:rPr>
        <w:t>volatilized</w:t>
      </w:r>
      <w:r>
        <w:rPr>
          <w:lang w:val="en-US" w:eastAsia="fr-FR"/>
        </w:rPr>
        <w:t>/kg N applied</w:t>
      </w:r>
      <w:r w:rsidR="007D6B0E">
        <w:rPr>
          <w:lang w:val="en-US" w:eastAsia="fr-FR"/>
        </w:rPr>
        <w:t xml:space="preserve"> or deposited</w:t>
      </w:r>
      <w:r>
        <w:rPr>
          <w:lang w:val="en-US" w:eastAsia="fr-FR"/>
        </w:rPr>
        <w:t>;</w:t>
      </w:r>
    </w:p>
    <w:p w14:paraId="34B742E7" w14:textId="7958CA4E" w:rsidR="00D756CD" w:rsidRPr="00D756CD" w:rsidRDefault="00D756CD" w:rsidP="00622F40">
      <w:pPr>
        <w:pStyle w:val="BodyText"/>
        <w:numPr>
          <w:ilvl w:val="0"/>
          <w:numId w:val="75"/>
        </w:numPr>
        <w:rPr>
          <w:lang w:val="en-US" w:eastAsia="fr-FR"/>
        </w:rPr>
      </w:pPr>
      <w:r>
        <w:rPr>
          <w:lang w:val="en-US" w:eastAsia="fr-FR"/>
        </w:rPr>
        <w:t xml:space="preserve">Fraction of </w:t>
      </w:r>
      <w:r w:rsidR="00AF57BE">
        <w:rPr>
          <w:lang w:val="en-US" w:eastAsia="fr-FR"/>
        </w:rPr>
        <w:t>all N added to/</w:t>
      </w:r>
      <w:r w:rsidR="00F53C04">
        <w:rPr>
          <w:lang w:val="en-US" w:eastAsia="fr-FR"/>
        </w:rPr>
        <w:t>mineralized</w:t>
      </w:r>
      <w:r w:rsidR="00AF57BE">
        <w:rPr>
          <w:lang w:val="en-US" w:eastAsia="fr-FR"/>
        </w:rPr>
        <w:t xml:space="preserve"> in managed soils </w:t>
      </w:r>
      <w:r w:rsidR="00BD0CC1">
        <w:rPr>
          <w:lang w:val="en-US" w:eastAsia="fr-FR"/>
        </w:rPr>
        <w:t>in regions where leaching/runoff occurs</w:t>
      </w:r>
      <w:r>
        <w:rPr>
          <w:lang w:val="en-US" w:eastAsia="fr-FR"/>
        </w:rPr>
        <w:t xml:space="preserve">: </w:t>
      </w:r>
      <w:r w:rsidR="00BD0CC1">
        <w:rPr>
          <w:lang w:val="en-US" w:eastAsia="fr-FR"/>
        </w:rPr>
        <w:br/>
      </w:r>
      <w:r>
        <w:rPr>
          <w:lang w:val="en-US" w:eastAsia="fr-FR"/>
        </w:rPr>
        <w:t>F</w:t>
      </w:r>
      <w:r w:rsidRPr="001F0275">
        <w:rPr>
          <w:vertAlign w:val="subscript"/>
          <w:lang w:val="en-US" w:eastAsia="fr-FR"/>
        </w:rPr>
        <w:t>GASF</w:t>
      </w:r>
      <w:r>
        <w:rPr>
          <w:lang w:val="en-US" w:eastAsia="fr-FR"/>
        </w:rPr>
        <w:t xml:space="preserve"> = 0.</w:t>
      </w:r>
      <w:r w:rsidR="00BD0CC1">
        <w:rPr>
          <w:lang w:val="en-US" w:eastAsia="fr-FR"/>
        </w:rPr>
        <w:t>24</w:t>
      </w:r>
      <w:r>
        <w:rPr>
          <w:lang w:val="en-US" w:eastAsia="fr-FR"/>
        </w:rPr>
        <w:t xml:space="preserve"> kg N </w:t>
      </w:r>
      <w:r w:rsidR="00F53C04">
        <w:rPr>
          <w:lang w:val="en-US" w:eastAsia="fr-FR"/>
        </w:rPr>
        <w:t>volatilized</w:t>
      </w:r>
      <w:r>
        <w:rPr>
          <w:lang w:val="en-US" w:eastAsia="fr-FR"/>
        </w:rPr>
        <w:t xml:space="preserve">/kg N </w:t>
      </w:r>
      <w:r w:rsidR="00BD0CC1">
        <w:rPr>
          <w:lang w:val="en-US" w:eastAsia="fr-FR"/>
        </w:rPr>
        <w:t>additions.</w:t>
      </w:r>
    </w:p>
    <w:p w14:paraId="55845BE4" w14:textId="5484E196" w:rsidR="00FF0AA2" w:rsidRDefault="000E44C1" w:rsidP="000E44C1">
      <w:pPr>
        <w:pStyle w:val="BodyText"/>
        <w:rPr>
          <w:lang w:val="en-US" w:eastAsia="fr-FR"/>
        </w:rPr>
      </w:pPr>
      <w:r w:rsidRPr="0003002C">
        <w:rPr>
          <w:lang w:val="en-US" w:eastAsia="fr-FR"/>
        </w:rPr>
        <w:t>Emissions factors used for calculating N</w:t>
      </w:r>
      <w:r w:rsidRPr="0003002C">
        <w:rPr>
          <w:vertAlign w:val="subscript"/>
          <w:lang w:val="en-US" w:eastAsia="fr-FR"/>
        </w:rPr>
        <w:t>2</w:t>
      </w:r>
      <w:r w:rsidRPr="0003002C">
        <w:rPr>
          <w:lang w:val="en-US" w:eastAsia="fr-FR"/>
        </w:rPr>
        <w:t xml:space="preserve">O emissions </w:t>
      </w:r>
      <w:r w:rsidR="00440E68">
        <w:rPr>
          <w:lang w:val="en-US" w:eastAsia="fr-FR"/>
        </w:rPr>
        <w:t>are sourced</w:t>
      </w:r>
      <w:r w:rsidRPr="0003002C">
        <w:rPr>
          <w:lang w:val="en-US" w:eastAsia="fr-FR"/>
        </w:rPr>
        <w:t xml:space="preserve"> from 20</w:t>
      </w:r>
      <w:r w:rsidR="003311A0">
        <w:rPr>
          <w:lang w:val="en-US" w:eastAsia="fr-FR"/>
        </w:rPr>
        <w:t>19</w:t>
      </w:r>
      <w:r w:rsidRPr="0003002C">
        <w:rPr>
          <w:lang w:val="en-US" w:eastAsia="fr-FR"/>
        </w:rPr>
        <w:t xml:space="preserve"> IPCC guidelines</w:t>
      </w:r>
      <w:r w:rsidR="001F6725">
        <w:rPr>
          <w:lang w:val="en-US" w:eastAsia="fr-FR"/>
        </w:rPr>
        <w:t xml:space="preserve"> </w:t>
      </w:r>
      <w:r w:rsidR="00734AAE">
        <w:rPr>
          <w:lang w:val="en-US" w:eastAsia="fr-FR"/>
        </w:rPr>
        <w:fldChar w:fldCharType="begin"/>
      </w:r>
      <w:r w:rsidR="00734AAE">
        <w:rPr>
          <w:lang w:val="en-US" w:eastAsia="fr-FR"/>
        </w:rPr>
        <w:instrText xml:space="preserve"> REF _Ref181802803 \r \h </w:instrText>
      </w:r>
      <w:r w:rsidR="00734AAE">
        <w:rPr>
          <w:lang w:val="en-US" w:eastAsia="fr-FR"/>
        </w:rPr>
      </w:r>
      <w:r w:rsidR="00734AAE">
        <w:rPr>
          <w:lang w:val="en-US" w:eastAsia="fr-FR"/>
        </w:rPr>
        <w:fldChar w:fldCharType="separate"/>
      </w:r>
      <w:r w:rsidR="00F14C78">
        <w:rPr>
          <w:lang w:val="en-US" w:eastAsia="fr-FR"/>
        </w:rPr>
        <w:t>[A21]</w:t>
      </w:r>
      <w:r w:rsidR="00734AAE">
        <w:rPr>
          <w:lang w:val="en-US" w:eastAsia="fr-FR"/>
        </w:rPr>
        <w:fldChar w:fldCharType="end"/>
      </w:r>
      <w:r w:rsidR="00FF0AA2">
        <w:rPr>
          <w:lang w:val="en-US" w:eastAsia="fr-FR"/>
        </w:rPr>
        <w:t xml:space="preserve"> and are given in the following table:</w:t>
      </w:r>
    </w:p>
    <w:p w14:paraId="71DAB28F" w14:textId="63CBF7BB" w:rsidR="00FF0AA2" w:rsidRDefault="00FF0AA2" w:rsidP="00FF0AA2">
      <w:pPr>
        <w:pStyle w:val="Caption"/>
        <w:keepNext/>
      </w:pPr>
      <w:bookmarkStart w:id="737" w:name="_Toc184808578"/>
      <w:r>
        <w:t xml:space="preserve">Table </w:t>
      </w:r>
      <w:r>
        <w:fldChar w:fldCharType="begin"/>
      </w:r>
      <w:r>
        <w:instrText xml:space="preserve"> SEQ Table \* ARABIC </w:instrText>
      </w:r>
      <w:r>
        <w:fldChar w:fldCharType="separate"/>
      </w:r>
      <w:r w:rsidR="00F14C78">
        <w:rPr>
          <w:noProof/>
        </w:rPr>
        <w:t>35</w:t>
      </w:r>
      <w:r>
        <w:fldChar w:fldCharType="end"/>
      </w:r>
      <w:r>
        <w:t>: N</w:t>
      </w:r>
      <w:r w:rsidRPr="001F0275">
        <w:rPr>
          <w:vertAlign w:val="subscript"/>
        </w:rPr>
        <w:t>2</w:t>
      </w:r>
      <w:r>
        <w:t>O emission factors for indirect emissions from agricultural soils (</w:t>
      </w:r>
      <w:r w:rsidR="00497864">
        <w:t xml:space="preserve">CRT </w:t>
      </w:r>
      <w:r>
        <w:t>3D1) from 20</w:t>
      </w:r>
      <w:r w:rsidR="00574290">
        <w:t>19</w:t>
      </w:r>
      <w:r>
        <w:t xml:space="preserve"> IPCC Guidelines, used in Serbian inventory</w:t>
      </w:r>
      <w:bookmarkEnd w:id="737"/>
    </w:p>
    <w:tbl>
      <w:tblPr>
        <w:tblStyle w:val="TableGrid"/>
        <w:tblW w:w="0" w:type="auto"/>
        <w:jc w:val="center"/>
        <w:tblLook w:val="04A0" w:firstRow="1" w:lastRow="0" w:firstColumn="1" w:lastColumn="0" w:noHBand="0" w:noVBand="1"/>
      </w:tblPr>
      <w:tblGrid>
        <w:gridCol w:w="4248"/>
        <w:gridCol w:w="1133"/>
      </w:tblGrid>
      <w:tr w:rsidR="00FF0AA2" w14:paraId="1062689A" w14:textId="77777777" w:rsidTr="00622F40">
        <w:trPr>
          <w:jc w:val="center"/>
        </w:trPr>
        <w:tc>
          <w:tcPr>
            <w:tcW w:w="4248" w:type="dxa"/>
            <w:shd w:val="clear" w:color="auto" w:fill="B8CCE4" w:themeFill="accent1" w:themeFillTint="66"/>
          </w:tcPr>
          <w:p w14:paraId="6E011EE5" w14:textId="71A5DB03" w:rsidR="00FF0AA2" w:rsidRPr="00622F40" w:rsidRDefault="00FF0AA2">
            <w:pPr>
              <w:pStyle w:val="BodyText"/>
              <w:jc w:val="center"/>
              <w:rPr>
                <w:b/>
                <w:bCs/>
                <w:lang w:eastAsia="fr-FR"/>
              </w:rPr>
            </w:pPr>
          </w:p>
        </w:tc>
        <w:tc>
          <w:tcPr>
            <w:tcW w:w="1133" w:type="dxa"/>
            <w:shd w:val="clear" w:color="auto" w:fill="B8CCE4" w:themeFill="accent1" w:themeFillTint="66"/>
          </w:tcPr>
          <w:p w14:paraId="3C0B1647" w14:textId="09272F8A" w:rsidR="00FF0AA2" w:rsidRPr="001F0275" w:rsidRDefault="00FF0AA2">
            <w:pPr>
              <w:pStyle w:val="BodyText"/>
              <w:jc w:val="center"/>
              <w:rPr>
                <w:b/>
                <w:bCs/>
                <w:lang w:val="en-US" w:eastAsia="fr-FR"/>
              </w:rPr>
            </w:pPr>
            <w:r>
              <w:rPr>
                <w:b/>
                <w:bCs/>
                <w:lang w:val="en-US" w:eastAsia="fr-FR"/>
              </w:rPr>
              <w:t>EF</w:t>
            </w:r>
          </w:p>
        </w:tc>
      </w:tr>
      <w:tr w:rsidR="00FF0AA2" w14:paraId="517EA243" w14:textId="77777777" w:rsidTr="00622F40">
        <w:trPr>
          <w:jc w:val="center"/>
        </w:trPr>
        <w:tc>
          <w:tcPr>
            <w:tcW w:w="4248" w:type="dxa"/>
          </w:tcPr>
          <w:p w14:paraId="2A53A860" w14:textId="2EB5E88D" w:rsidR="00FF0AA2" w:rsidRDefault="00B3065D">
            <w:pPr>
              <w:pStyle w:val="BodyText"/>
              <w:jc w:val="center"/>
              <w:rPr>
                <w:lang w:val="en-US" w:eastAsia="fr-FR"/>
              </w:rPr>
            </w:pPr>
            <w:r>
              <w:rPr>
                <w:lang w:val="en-US" w:eastAsia="fr-FR"/>
              </w:rPr>
              <w:t xml:space="preserve">Atmospheric deposition </w:t>
            </w:r>
            <w:r w:rsidR="005750E6">
              <w:rPr>
                <w:lang w:val="en-US" w:eastAsia="fr-FR"/>
              </w:rPr>
              <w:br/>
            </w:r>
            <w:r w:rsidRPr="00B3065D">
              <w:rPr>
                <w:lang w:val="en-US" w:eastAsia="fr-FR"/>
              </w:rPr>
              <w:t>(</w:t>
            </w:r>
            <w:r w:rsidR="005750E6">
              <w:rPr>
                <w:lang w:val="en-US" w:eastAsia="fr-FR"/>
              </w:rPr>
              <w:t xml:space="preserve">in </w:t>
            </w:r>
            <w:r w:rsidRPr="00622F40">
              <w:rPr>
                <w:lang w:val="en-US" w:eastAsia="fr-FR"/>
              </w:rPr>
              <w:t>kg N</w:t>
            </w:r>
            <w:r w:rsidRPr="00622F40">
              <w:rPr>
                <w:vertAlign w:val="subscript"/>
                <w:lang w:val="en-US" w:eastAsia="fr-FR"/>
              </w:rPr>
              <w:t>2</w:t>
            </w:r>
            <w:r w:rsidRPr="00622F40">
              <w:rPr>
                <w:lang w:val="en-US" w:eastAsia="fr-FR"/>
              </w:rPr>
              <w:t>O-N/kg N</w:t>
            </w:r>
            <w:r w:rsidR="005750E6">
              <w:rPr>
                <w:lang w:val="en-US" w:eastAsia="fr-FR"/>
              </w:rPr>
              <w:t>H</w:t>
            </w:r>
            <w:r w:rsidR="005750E6" w:rsidRPr="00622F40">
              <w:rPr>
                <w:vertAlign w:val="subscript"/>
                <w:lang w:val="en-US" w:eastAsia="fr-FR"/>
              </w:rPr>
              <w:t>3</w:t>
            </w:r>
            <w:r w:rsidR="005750E6">
              <w:rPr>
                <w:lang w:val="en-US" w:eastAsia="fr-FR"/>
              </w:rPr>
              <w:t xml:space="preserve">-N+Nox-N </w:t>
            </w:r>
            <w:r w:rsidR="007B27F8">
              <w:rPr>
                <w:lang w:val="en-US" w:eastAsia="fr-FR"/>
              </w:rPr>
              <w:t>volatilized</w:t>
            </w:r>
            <w:r>
              <w:rPr>
                <w:lang w:val="en-US" w:eastAsia="fr-FR"/>
              </w:rPr>
              <w:t>)</w:t>
            </w:r>
          </w:p>
        </w:tc>
        <w:tc>
          <w:tcPr>
            <w:tcW w:w="1133" w:type="dxa"/>
          </w:tcPr>
          <w:p w14:paraId="666F28D7" w14:textId="77777777" w:rsidR="00FF0AA2" w:rsidRDefault="00FF0AA2">
            <w:pPr>
              <w:pStyle w:val="BodyText"/>
              <w:jc w:val="center"/>
              <w:rPr>
                <w:lang w:val="en-US" w:eastAsia="fr-FR"/>
              </w:rPr>
            </w:pPr>
            <w:r>
              <w:rPr>
                <w:lang w:val="en-US" w:eastAsia="fr-FR"/>
              </w:rPr>
              <w:t>0.01</w:t>
            </w:r>
          </w:p>
        </w:tc>
      </w:tr>
      <w:tr w:rsidR="00FF0AA2" w14:paraId="7E7813D5" w14:textId="77777777" w:rsidTr="00622F40">
        <w:trPr>
          <w:jc w:val="center"/>
        </w:trPr>
        <w:tc>
          <w:tcPr>
            <w:tcW w:w="4248" w:type="dxa"/>
          </w:tcPr>
          <w:p w14:paraId="0223BC3C" w14:textId="6A1145FC" w:rsidR="00FF0AA2" w:rsidRDefault="00B3065D">
            <w:pPr>
              <w:pStyle w:val="BodyText"/>
              <w:jc w:val="center"/>
              <w:rPr>
                <w:lang w:val="en-US" w:eastAsia="fr-FR"/>
              </w:rPr>
            </w:pPr>
            <w:r>
              <w:rPr>
                <w:lang w:val="en-US" w:eastAsia="fr-FR"/>
              </w:rPr>
              <w:t>Leaching and run-off</w:t>
            </w:r>
            <w:r w:rsidR="005750E6">
              <w:rPr>
                <w:lang w:val="en-US" w:eastAsia="fr-FR"/>
              </w:rPr>
              <w:t xml:space="preserve"> </w:t>
            </w:r>
            <w:r w:rsidR="005750E6">
              <w:rPr>
                <w:lang w:val="en-US" w:eastAsia="fr-FR"/>
              </w:rPr>
              <w:br/>
            </w:r>
            <w:r w:rsidR="005750E6" w:rsidRPr="00B3065D">
              <w:rPr>
                <w:lang w:val="en-US" w:eastAsia="fr-FR"/>
              </w:rPr>
              <w:t>(</w:t>
            </w:r>
            <w:r w:rsidR="005750E6">
              <w:rPr>
                <w:lang w:val="en-US" w:eastAsia="fr-FR"/>
              </w:rPr>
              <w:t xml:space="preserve">in </w:t>
            </w:r>
            <w:r w:rsidR="005750E6" w:rsidRPr="001F0275">
              <w:rPr>
                <w:lang w:val="en-US" w:eastAsia="fr-FR"/>
              </w:rPr>
              <w:t>kg N</w:t>
            </w:r>
            <w:r w:rsidR="005750E6" w:rsidRPr="001F0275">
              <w:rPr>
                <w:vertAlign w:val="subscript"/>
                <w:lang w:val="en-US" w:eastAsia="fr-FR"/>
              </w:rPr>
              <w:t>2</w:t>
            </w:r>
            <w:r w:rsidR="005750E6" w:rsidRPr="001F0275">
              <w:rPr>
                <w:lang w:val="en-US" w:eastAsia="fr-FR"/>
              </w:rPr>
              <w:t>O-N/kg N</w:t>
            </w:r>
            <w:r w:rsidR="005750E6">
              <w:rPr>
                <w:lang w:val="en-US" w:eastAsia="fr-FR"/>
              </w:rPr>
              <w:t xml:space="preserve"> leaching/runoff)</w:t>
            </w:r>
          </w:p>
        </w:tc>
        <w:tc>
          <w:tcPr>
            <w:tcW w:w="1133" w:type="dxa"/>
          </w:tcPr>
          <w:p w14:paraId="2FF8FFBF" w14:textId="028BFA78" w:rsidR="00FF0AA2" w:rsidRDefault="00FF0AA2">
            <w:pPr>
              <w:pStyle w:val="BodyText"/>
              <w:jc w:val="center"/>
              <w:rPr>
                <w:lang w:val="en-US" w:eastAsia="fr-FR"/>
              </w:rPr>
            </w:pPr>
            <w:r>
              <w:rPr>
                <w:lang w:val="en-US" w:eastAsia="fr-FR"/>
              </w:rPr>
              <w:t>0.01</w:t>
            </w:r>
            <w:r w:rsidR="00B3065D">
              <w:rPr>
                <w:lang w:val="en-US" w:eastAsia="fr-FR"/>
              </w:rPr>
              <w:t>1</w:t>
            </w:r>
          </w:p>
        </w:tc>
      </w:tr>
    </w:tbl>
    <w:p w14:paraId="1A3952E1" w14:textId="77777777" w:rsidR="007B2433" w:rsidRPr="002462F0" w:rsidRDefault="007B2433" w:rsidP="007B2433">
      <w:pPr>
        <w:pStyle w:val="Heading3"/>
        <w:ind w:left="709" w:hanging="709"/>
        <w:rPr>
          <w:lang w:val="en-GB" w:eastAsia="fr-FR"/>
        </w:rPr>
      </w:pPr>
      <w:bookmarkStart w:id="738" w:name="_Toc184806372"/>
      <w:bookmarkStart w:id="739" w:name="_Toc184808273"/>
      <w:bookmarkStart w:id="740" w:name="_Toc182327930"/>
      <w:bookmarkStart w:id="741" w:name="_Toc184808274"/>
      <w:bookmarkEnd w:id="738"/>
      <w:bookmarkEnd w:id="739"/>
      <w:r w:rsidRPr="002462F0">
        <w:rPr>
          <w:lang w:val="en-GB" w:eastAsia="fr-FR"/>
        </w:rPr>
        <w:t>Uncertainties and time-series consistency</w:t>
      </w:r>
      <w:bookmarkEnd w:id="740"/>
      <w:bookmarkEnd w:id="741"/>
    </w:p>
    <w:p w14:paraId="242D4699" w14:textId="1E3C477A" w:rsidR="007B2433" w:rsidRPr="002462F0" w:rsidRDefault="008931E5" w:rsidP="007B27F8">
      <w:pPr>
        <w:autoSpaceDE w:val="0"/>
        <w:autoSpaceDN w:val="0"/>
        <w:adjustRightInd w:val="0"/>
        <w:spacing w:after="0" w:line="240" w:lineRule="auto"/>
        <w:rPr>
          <w:b/>
          <w:sz w:val="24"/>
          <w:szCs w:val="24"/>
          <w:lang w:eastAsia="fr-FR"/>
        </w:rPr>
      </w:pPr>
      <w:r>
        <w:rPr>
          <w:b/>
          <w:sz w:val="24"/>
          <w:szCs w:val="24"/>
          <w:lang w:eastAsia="fr-FR"/>
        </w:rPr>
        <w:t>C</w:t>
      </w:r>
      <w:r w:rsidR="00497864">
        <w:rPr>
          <w:b/>
          <w:sz w:val="24"/>
          <w:szCs w:val="24"/>
          <w:lang w:eastAsia="fr-FR"/>
        </w:rPr>
        <w:t>R</w:t>
      </w:r>
      <w:r>
        <w:rPr>
          <w:b/>
          <w:sz w:val="24"/>
          <w:szCs w:val="24"/>
          <w:lang w:eastAsia="fr-FR"/>
        </w:rPr>
        <w:t xml:space="preserve">T </w:t>
      </w:r>
      <w:r w:rsidR="007B2433" w:rsidRPr="002462F0">
        <w:rPr>
          <w:b/>
          <w:sz w:val="24"/>
          <w:szCs w:val="24"/>
          <w:lang w:eastAsia="fr-FR"/>
        </w:rPr>
        <w:t>3D1</w:t>
      </w:r>
    </w:p>
    <w:p w14:paraId="77FA32A5" w14:textId="77777777" w:rsidR="007B2433" w:rsidRPr="002462F0" w:rsidRDefault="007B2433" w:rsidP="007B27F8">
      <w:pPr>
        <w:pStyle w:val="BodyText"/>
        <w:spacing w:after="0"/>
        <w:rPr>
          <w:lang w:eastAsia="fr-FR"/>
        </w:rPr>
      </w:pPr>
      <w:r w:rsidRPr="002462F0">
        <w:rPr>
          <w:lang w:eastAsia="fr-FR"/>
        </w:rPr>
        <w:t>Uncertainty estimate associated with activity data amounts to 5%, based on expert judgment.</w:t>
      </w:r>
    </w:p>
    <w:p w14:paraId="5475E6B1" w14:textId="48EEA5E6" w:rsidR="007B2433" w:rsidRPr="002462F0" w:rsidRDefault="007B2433" w:rsidP="007B27F8">
      <w:pPr>
        <w:pStyle w:val="BodyText"/>
        <w:spacing w:after="0"/>
        <w:rPr>
          <w:lang w:eastAsia="fr-FR"/>
        </w:rPr>
      </w:pPr>
      <w:r w:rsidRPr="002462F0">
        <w:rPr>
          <w:lang w:eastAsia="fr-FR"/>
        </w:rPr>
        <w:t xml:space="preserve">Uncertainty estimate associated with </w:t>
      </w:r>
      <w:r w:rsidR="00A75E58">
        <w:rPr>
          <w:lang w:eastAsia="fr-FR"/>
        </w:rPr>
        <w:t>N</w:t>
      </w:r>
      <w:r w:rsidR="00A75E58" w:rsidRPr="001F0275">
        <w:rPr>
          <w:vertAlign w:val="subscript"/>
          <w:lang w:eastAsia="fr-FR"/>
        </w:rPr>
        <w:t>2</w:t>
      </w:r>
      <w:r w:rsidR="00A75E58">
        <w:rPr>
          <w:lang w:eastAsia="fr-FR"/>
        </w:rPr>
        <w:t xml:space="preserve">O </w:t>
      </w:r>
      <w:r w:rsidRPr="002462F0">
        <w:rPr>
          <w:lang w:eastAsia="fr-FR"/>
        </w:rPr>
        <w:t xml:space="preserve">emission factor amounts to 28%. </w:t>
      </w:r>
    </w:p>
    <w:p w14:paraId="4A1FECCA" w14:textId="409FB959" w:rsidR="007B2433" w:rsidRPr="002462F0" w:rsidRDefault="005C5345" w:rsidP="007B27F8">
      <w:pPr>
        <w:pStyle w:val="BodyText"/>
        <w:spacing w:after="0"/>
        <w:rPr>
          <w:lang w:eastAsia="fr-FR"/>
        </w:rPr>
      </w:pPr>
      <w:r>
        <w:rPr>
          <w:lang w:eastAsia="fr-FR"/>
        </w:rPr>
        <w:t xml:space="preserve">The </w:t>
      </w:r>
      <w:r w:rsidR="007B2433" w:rsidRPr="002462F0">
        <w:rPr>
          <w:lang w:eastAsia="fr-FR"/>
        </w:rPr>
        <w:t xml:space="preserve">uncertainty </w:t>
      </w:r>
      <w:r>
        <w:rPr>
          <w:lang w:eastAsia="fr-FR"/>
        </w:rPr>
        <w:t xml:space="preserve">combined </w:t>
      </w:r>
      <w:r w:rsidR="007B2433" w:rsidRPr="002462F0">
        <w:rPr>
          <w:lang w:eastAsia="fr-FR"/>
        </w:rPr>
        <w:t xml:space="preserve">for </w:t>
      </w:r>
      <w:r>
        <w:rPr>
          <w:lang w:eastAsia="fr-FR"/>
        </w:rPr>
        <w:t>N</w:t>
      </w:r>
      <w:r w:rsidRPr="00622F40">
        <w:rPr>
          <w:vertAlign w:val="subscript"/>
          <w:lang w:eastAsia="fr-FR"/>
        </w:rPr>
        <w:t>2</w:t>
      </w:r>
      <w:r>
        <w:rPr>
          <w:lang w:eastAsia="fr-FR"/>
        </w:rPr>
        <w:t xml:space="preserve">O </w:t>
      </w:r>
      <w:r w:rsidR="007B2433" w:rsidRPr="002462F0">
        <w:rPr>
          <w:lang w:eastAsia="fr-FR"/>
        </w:rPr>
        <w:t xml:space="preserve">emissions </w:t>
      </w:r>
      <w:r>
        <w:rPr>
          <w:lang w:eastAsia="fr-FR"/>
        </w:rPr>
        <w:t xml:space="preserve">from this category </w:t>
      </w:r>
      <w:r w:rsidR="007B2433" w:rsidRPr="002462F0">
        <w:rPr>
          <w:lang w:eastAsia="fr-FR"/>
        </w:rPr>
        <w:t xml:space="preserve">is </w:t>
      </w:r>
      <w:r>
        <w:rPr>
          <w:lang w:eastAsia="fr-FR"/>
        </w:rPr>
        <w:t>of 0.5</w:t>
      </w:r>
      <w:r w:rsidR="00324DD9">
        <w:rPr>
          <w:lang w:eastAsia="fr-FR"/>
        </w:rPr>
        <w:t>%</w:t>
      </w:r>
      <w:r w:rsidR="00324DD9" w:rsidRPr="00324DD9">
        <w:rPr>
          <w:lang w:eastAsia="fr-FR"/>
        </w:rPr>
        <w:t xml:space="preserve"> </w:t>
      </w:r>
      <w:r w:rsidR="00324DD9">
        <w:rPr>
          <w:lang w:eastAsia="fr-FR"/>
        </w:rPr>
        <w:t>in the total national levels of emission in 2022, excluding LULUCF contribution</w:t>
      </w:r>
      <w:r w:rsidR="007B2433" w:rsidRPr="002462F0">
        <w:rPr>
          <w:lang w:eastAsia="fr-FR"/>
        </w:rPr>
        <w:t>.</w:t>
      </w:r>
    </w:p>
    <w:p w14:paraId="129533AE" w14:textId="77777777" w:rsidR="007B27F8" w:rsidRDefault="007B27F8" w:rsidP="007B27F8">
      <w:pPr>
        <w:autoSpaceDE w:val="0"/>
        <w:autoSpaceDN w:val="0"/>
        <w:adjustRightInd w:val="0"/>
        <w:spacing w:after="0" w:line="240" w:lineRule="auto"/>
        <w:rPr>
          <w:b/>
          <w:sz w:val="24"/>
          <w:szCs w:val="24"/>
          <w:lang w:eastAsia="fr-FR"/>
        </w:rPr>
      </w:pPr>
    </w:p>
    <w:p w14:paraId="45CBEF14" w14:textId="107C05B3" w:rsidR="007B2433" w:rsidRPr="002462F0" w:rsidRDefault="008931E5" w:rsidP="007B27F8">
      <w:pPr>
        <w:autoSpaceDE w:val="0"/>
        <w:autoSpaceDN w:val="0"/>
        <w:adjustRightInd w:val="0"/>
        <w:spacing w:after="0" w:line="240" w:lineRule="auto"/>
        <w:rPr>
          <w:b/>
          <w:sz w:val="24"/>
          <w:szCs w:val="24"/>
          <w:lang w:eastAsia="fr-FR"/>
        </w:rPr>
      </w:pPr>
      <w:r>
        <w:rPr>
          <w:b/>
          <w:sz w:val="24"/>
          <w:szCs w:val="24"/>
          <w:lang w:eastAsia="fr-FR"/>
        </w:rPr>
        <w:t xml:space="preserve">CRT </w:t>
      </w:r>
      <w:r w:rsidR="007B2433" w:rsidRPr="002462F0">
        <w:rPr>
          <w:b/>
          <w:sz w:val="24"/>
          <w:szCs w:val="24"/>
          <w:lang w:eastAsia="fr-FR"/>
        </w:rPr>
        <w:t>3D2</w:t>
      </w:r>
    </w:p>
    <w:p w14:paraId="3B9FA91C" w14:textId="77777777" w:rsidR="007B2433" w:rsidRPr="002462F0" w:rsidRDefault="007B2433" w:rsidP="007B27F8">
      <w:pPr>
        <w:pStyle w:val="BodyText"/>
        <w:spacing w:after="0"/>
        <w:rPr>
          <w:lang w:eastAsia="fr-FR"/>
        </w:rPr>
      </w:pPr>
      <w:r w:rsidRPr="002462F0">
        <w:rPr>
          <w:lang w:eastAsia="fr-FR"/>
        </w:rPr>
        <w:t>Uncertainty estimate associated with activity data amounts to 5%, based on expert judgment.</w:t>
      </w:r>
    </w:p>
    <w:p w14:paraId="77275EA7" w14:textId="4A9666AB" w:rsidR="007B2433" w:rsidRPr="002462F0" w:rsidRDefault="007B2433" w:rsidP="007B27F8">
      <w:pPr>
        <w:pStyle w:val="BodyText"/>
        <w:spacing w:after="0"/>
        <w:rPr>
          <w:lang w:eastAsia="fr-FR"/>
        </w:rPr>
      </w:pPr>
      <w:r w:rsidRPr="002462F0">
        <w:rPr>
          <w:lang w:eastAsia="fr-FR"/>
        </w:rPr>
        <w:t xml:space="preserve">Uncertainty estimate associated with </w:t>
      </w:r>
      <w:r w:rsidR="00A75E58">
        <w:rPr>
          <w:lang w:eastAsia="fr-FR"/>
        </w:rPr>
        <w:t>N</w:t>
      </w:r>
      <w:r w:rsidR="00A75E58" w:rsidRPr="001F0275">
        <w:rPr>
          <w:vertAlign w:val="subscript"/>
          <w:lang w:eastAsia="fr-FR"/>
        </w:rPr>
        <w:t>2</w:t>
      </w:r>
      <w:r w:rsidR="00A75E58">
        <w:rPr>
          <w:lang w:eastAsia="fr-FR"/>
        </w:rPr>
        <w:t xml:space="preserve">O </w:t>
      </w:r>
      <w:r w:rsidRPr="002462F0">
        <w:rPr>
          <w:lang w:eastAsia="fr-FR"/>
        </w:rPr>
        <w:t>emission factor amounts to 101%, also based on 2006 IPCC Guidelines (Volume 4, Chapter 11,</w:t>
      </w:r>
      <w:r w:rsidR="00E310F7">
        <w:rPr>
          <w:lang w:eastAsia="fr-FR"/>
        </w:rPr>
        <w:t xml:space="preserve"> </w:t>
      </w:r>
      <w:r w:rsidRPr="002462F0">
        <w:rPr>
          <w:lang w:eastAsia="fr-FR"/>
        </w:rPr>
        <w:t xml:space="preserve">Table 11.3). </w:t>
      </w:r>
    </w:p>
    <w:p w14:paraId="3C671172" w14:textId="63EFBE3B" w:rsidR="007B2433" w:rsidRPr="002462F0" w:rsidRDefault="00324DD9" w:rsidP="007B27F8">
      <w:pPr>
        <w:pStyle w:val="BodyText"/>
        <w:spacing w:after="0"/>
        <w:rPr>
          <w:lang w:eastAsia="fr-FR"/>
        </w:rPr>
      </w:pPr>
      <w:r>
        <w:rPr>
          <w:lang w:eastAsia="fr-FR"/>
        </w:rPr>
        <w:t>The</w:t>
      </w:r>
      <w:r w:rsidRPr="002462F0">
        <w:rPr>
          <w:lang w:eastAsia="fr-FR"/>
        </w:rPr>
        <w:t xml:space="preserve"> </w:t>
      </w:r>
      <w:r w:rsidR="007B2433" w:rsidRPr="002462F0">
        <w:rPr>
          <w:lang w:eastAsia="fr-FR"/>
        </w:rPr>
        <w:t xml:space="preserve">uncertainty </w:t>
      </w:r>
      <w:r>
        <w:rPr>
          <w:lang w:eastAsia="fr-FR"/>
        </w:rPr>
        <w:t xml:space="preserve">combined </w:t>
      </w:r>
      <w:r w:rsidR="007B2433" w:rsidRPr="002462F0">
        <w:rPr>
          <w:lang w:eastAsia="fr-FR"/>
        </w:rPr>
        <w:t xml:space="preserve">for </w:t>
      </w:r>
      <w:r>
        <w:rPr>
          <w:lang w:eastAsia="fr-FR"/>
        </w:rPr>
        <w:t>N</w:t>
      </w:r>
      <w:r w:rsidRPr="001F0275">
        <w:rPr>
          <w:vertAlign w:val="subscript"/>
          <w:lang w:eastAsia="fr-FR"/>
        </w:rPr>
        <w:t>2</w:t>
      </w:r>
      <w:r>
        <w:rPr>
          <w:lang w:eastAsia="fr-FR"/>
        </w:rPr>
        <w:t xml:space="preserve">O </w:t>
      </w:r>
      <w:r w:rsidR="007B2433" w:rsidRPr="002462F0">
        <w:rPr>
          <w:lang w:eastAsia="fr-FR"/>
        </w:rPr>
        <w:t xml:space="preserve">emissions is </w:t>
      </w:r>
      <w:r>
        <w:rPr>
          <w:lang w:eastAsia="fr-FR"/>
        </w:rPr>
        <w:t>0.6</w:t>
      </w:r>
      <w:r w:rsidR="007B2433" w:rsidRPr="002462F0">
        <w:rPr>
          <w:lang w:eastAsia="fr-FR"/>
        </w:rPr>
        <w:t>%</w:t>
      </w:r>
      <w:r>
        <w:rPr>
          <w:lang w:eastAsia="fr-FR"/>
        </w:rPr>
        <w:t xml:space="preserve"> in the total national levels of emission in 2022, excluding LULUCF contribution</w:t>
      </w:r>
      <w:r w:rsidR="007B2433" w:rsidRPr="002462F0">
        <w:rPr>
          <w:lang w:eastAsia="fr-FR"/>
        </w:rPr>
        <w:t>.</w:t>
      </w:r>
    </w:p>
    <w:p w14:paraId="59152817" w14:textId="225622DD" w:rsidR="007B2433" w:rsidRDefault="007B2433" w:rsidP="007B2433">
      <w:pPr>
        <w:pStyle w:val="Heading3"/>
        <w:ind w:left="709" w:hanging="709"/>
        <w:rPr>
          <w:lang w:val="en-GB" w:eastAsia="fr-FR"/>
        </w:rPr>
      </w:pPr>
      <w:bookmarkStart w:id="742" w:name="_Toc182327931"/>
      <w:bookmarkStart w:id="743" w:name="_Toc184808275"/>
      <w:r w:rsidRPr="002462F0">
        <w:rPr>
          <w:lang w:val="en-GB" w:eastAsia="fr-FR"/>
        </w:rPr>
        <w:t>Category-specific QA/QC and verification</w:t>
      </w:r>
      <w:bookmarkEnd w:id="742"/>
      <w:bookmarkEnd w:id="743"/>
    </w:p>
    <w:p w14:paraId="24967B95" w14:textId="471546B3" w:rsidR="00A75E58" w:rsidRPr="002462F0" w:rsidRDefault="00A75E58" w:rsidP="00A75E58">
      <w:pPr>
        <w:pStyle w:val="BodyText"/>
        <w:rPr>
          <w:lang w:val="en-US" w:eastAsia="fr-FR"/>
        </w:rPr>
      </w:pPr>
      <w:r w:rsidRPr="002462F0">
        <w:rPr>
          <w:lang w:eastAsia="fr-FR"/>
        </w:rPr>
        <w:lastRenderedPageBreak/>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1BAFE6DB" w14:textId="5D844E27" w:rsidR="007B2433" w:rsidRPr="002462F0" w:rsidRDefault="007B2433" w:rsidP="007B2433">
      <w:pPr>
        <w:pStyle w:val="Heading3"/>
        <w:ind w:left="709" w:hanging="709"/>
        <w:rPr>
          <w:lang w:val="en-GB" w:eastAsia="fr-FR"/>
        </w:rPr>
      </w:pPr>
      <w:bookmarkStart w:id="744" w:name="_Toc182327932"/>
      <w:bookmarkStart w:id="745" w:name="_Toc184808276"/>
      <w:r w:rsidRPr="002462F0">
        <w:rPr>
          <w:lang w:val="en-GB" w:eastAsia="fr-FR"/>
        </w:rPr>
        <w:t>Category-specific recalculations</w:t>
      </w:r>
      <w:bookmarkEnd w:id="744"/>
      <w:bookmarkEnd w:id="745"/>
    </w:p>
    <w:p w14:paraId="463813A2" w14:textId="615BA8D5" w:rsidR="007B2433" w:rsidRPr="002462F0" w:rsidRDefault="007B2433" w:rsidP="00D916DB">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705610E7" w14:textId="37B70E27" w:rsidR="007B2433" w:rsidRPr="002462F0" w:rsidRDefault="007B2433" w:rsidP="007B2433">
      <w:pPr>
        <w:pStyle w:val="Heading3"/>
        <w:ind w:left="709" w:hanging="709"/>
        <w:rPr>
          <w:lang w:val="en-GB" w:eastAsia="fr-FR"/>
        </w:rPr>
      </w:pPr>
      <w:bookmarkStart w:id="746" w:name="_Toc182327933"/>
      <w:bookmarkStart w:id="747" w:name="_Toc184808277"/>
      <w:r w:rsidRPr="002462F0">
        <w:rPr>
          <w:lang w:val="en-GB" w:eastAsia="fr-FR"/>
        </w:rPr>
        <w:t>Category-specific planned improvements</w:t>
      </w:r>
      <w:bookmarkEnd w:id="746"/>
      <w:bookmarkEnd w:id="747"/>
    </w:p>
    <w:p w14:paraId="30D37311" w14:textId="7F61D983" w:rsidR="007B2433" w:rsidRPr="002462F0" w:rsidRDefault="007B2433" w:rsidP="000E44C1">
      <w:pPr>
        <w:pStyle w:val="BodyText"/>
        <w:rPr>
          <w:lang w:eastAsia="fr-FR"/>
        </w:rPr>
      </w:pPr>
      <w:r w:rsidRPr="002462F0">
        <w:rPr>
          <w:lang w:eastAsia="fr-FR"/>
        </w:rPr>
        <w:t xml:space="preserve">For the </w:t>
      </w:r>
      <w:r w:rsidR="000F6001">
        <w:rPr>
          <w:lang w:eastAsia="fr-FR"/>
        </w:rPr>
        <w:t>CRT</w:t>
      </w:r>
      <w:r w:rsidRPr="002462F0">
        <w:rPr>
          <w:lang w:eastAsia="fr-FR"/>
        </w:rPr>
        <w:t xml:space="preserve"> 3D1.4, not all crops have been taken into account in the calculation. Regarding the crop residues, progress can be made by adding</w:t>
      </w:r>
      <w:r w:rsidR="00553AC9">
        <w:rPr>
          <w:lang w:eastAsia="fr-FR"/>
        </w:rPr>
        <w:t xml:space="preserve"> other crops in the calculation.</w:t>
      </w:r>
    </w:p>
    <w:p w14:paraId="3AF22479" w14:textId="4F045731" w:rsidR="007B2433" w:rsidRDefault="007B2433" w:rsidP="000E44C1">
      <w:pPr>
        <w:pStyle w:val="BodyText"/>
        <w:rPr>
          <w:lang w:eastAsia="fr-FR"/>
        </w:rPr>
      </w:pPr>
      <w:r w:rsidRPr="002462F0">
        <w:rPr>
          <w:lang w:eastAsia="fr-FR"/>
        </w:rPr>
        <w:t xml:space="preserve">For the </w:t>
      </w:r>
      <w:r w:rsidR="000F6001">
        <w:rPr>
          <w:lang w:eastAsia="fr-FR"/>
        </w:rPr>
        <w:t>CRT</w:t>
      </w:r>
      <w:r w:rsidRPr="002462F0">
        <w:rPr>
          <w:lang w:eastAsia="fr-FR"/>
        </w:rPr>
        <w:t xml:space="preserve"> code 3D2, indirect N</w:t>
      </w:r>
      <w:r w:rsidRPr="002462F0">
        <w:rPr>
          <w:vertAlign w:val="subscript"/>
          <w:lang w:eastAsia="fr-FR"/>
        </w:rPr>
        <w:t>2</w:t>
      </w:r>
      <w:r w:rsidRPr="002462F0">
        <w:rPr>
          <w:lang w:eastAsia="fr-FR"/>
        </w:rPr>
        <w:t>O emissions are estimated based on fractions that take the default values from the 20</w:t>
      </w:r>
      <w:r w:rsidR="000E315D">
        <w:rPr>
          <w:lang w:eastAsia="fr-FR"/>
        </w:rPr>
        <w:t>19</w:t>
      </w:r>
      <w:r w:rsidRPr="002462F0">
        <w:rPr>
          <w:lang w:eastAsia="fr-FR"/>
        </w:rPr>
        <w:t xml:space="preserve"> IPCC Guidelines. However, for atmospheric deposition, this can be improved by estimating the NH</w:t>
      </w:r>
      <w:r w:rsidRPr="002462F0">
        <w:rPr>
          <w:vertAlign w:val="subscript"/>
          <w:lang w:eastAsia="fr-FR"/>
        </w:rPr>
        <w:t>3</w:t>
      </w:r>
      <w:r w:rsidRPr="002462F0">
        <w:rPr>
          <w:lang w:eastAsia="fr-FR"/>
        </w:rPr>
        <w:t xml:space="preserve"> and NOx emissions with the EMEP methodology. The work has been done for </w:t>
      </w:r>
      <w:r w:rsidR="00AF6BD5">
        <w:rPr>
          <w:lang w:eastAsia="fr-FR"/>
        </w:rPr>
        <w:t>indirect N</w:t>
      </w:r>
      <w:r w:rsidR="00AF6BD5" w:rsidRPr="00622F40">
        <w:rPr>
          <w:vertAlign w:val="subscript"/>
          <w:lang w:eastAsia="fr-FR"/>
        </w:rPr>
        <w:t>2</w:t>
      </w:r>
      <w:r w:rsidR="00AF6BD5">
        <w:rPr>
          <w:lang w:eastAsia="fr-FR"/>
        </w:rPr>
        <w:t xml:space="preserve">O from </w:t>
      </w:r>
      <w:r w:rsidR="008931E5">
        <w:rPr>
          <w:lang w:eastAsia="fr-FR"/>
        </w:rPr>
        <w:t xml:space="preserve">CRT </w:t>
      </w:r>
      <w:r w:rsidR="00AF6BD5">
        <w:rPr>
          <w:lang w:eastAsia="fr-FR"/>
        </w:rPr>
        <w:t>3B</w:t>
      </w:r>
      <w:r w:rsidRPr="002462F0">
        <w:rPr>
          <w:lang w:eastAsia="fr-FR"/>
        </w:rPr>
        <w:t xml:space="preserve">. Consequently, an improvement would be to also implement this methodology for </w:t>
      </w:r>
      <w:r w:rsidR="003A7F44">
        <w:rPr>
          <w:lang w:eastAsia="fr-FR"/>
        </w:rPr>
        <w:t>3.D</w:t>
      </w:r>
      <w:r w:rsidRPr="002462F0">
        <w:rPr>
          <w:lang w:eastAsia="fr-FR"/>
        </w:rPr>
        <w:t xml:space="preserve"> to develop more accurate fraction of volatilization for future N</w:t>
      </w:r>
      <w:r w:rsidRPr="002462F0">
        <w:rPr>
          <w:vertAlign w:val="subscript"/>
          <w:lang w:eastAsia="fr-FR"/>
        </w:rPr>
        <w:t>2</w:t>
      </w:r>
      <w:r w:rsidRPr="002462F0">
        <w:rPr>
          <w:lang w:eastAsia="fr-FR"/>
        </w:rPr>
        <w:t>O deposition.</w:t>
      </w:r>
    </w:p>
    <w:p w14:paraId="3EBF5ED5" w14:textId="1BDD7FD2" w:rsidR="003A72CF" w:rsidRPr="007B27F8" w:rsidRDefault="003A72CF" w:rsidP="003A72CF">
      <w:pPr>
        <w:pStyle w:val="BodyText"/>
        <w:rPr>
          <w:lang w:eastAsia="fr-FR"/>
        </w:rPr>
      </w:pPr>
      <w:r>
        <w:rPr>
          <w:lang w:eastAsia="fr-FR"/>
        </w:rPr>
        <w:t xml:space="preserve">In addition, another improvement will be to </w:t>
      </w:r>
      <w:r w:rsidR="00FA1535">
        <w:rPr>
          <w:lang w:eastAsia="fr-FR"/>
        </w:rPr>
        <w:t xml:space="preserve">use the disaggregated EF included in the </w:t>
      </w:r>
      <w:r>
        <w:rPr>
          <w:lang w:eastAsia="fr-FR"/>
        </w:rPr>
        <w:t>2019 IPCC refinement to estimate the emissions</w:t>
      </w:r>
      <w:r w:rsidR="00FA1535">
        <w:rPr>
          <w:lang w:eastAsia="fr-FR"/>
        </w:rPr>
        <w:t xml:space="preserve"> by climate region</w:t>
      </w:r>
      <w:r w:rsidR="002745EE">
        <w:rPr>
          <w:lang w:eastAsia="fr-FR"/>
        </w:rPr>
        <w:t xml:space="preserve"> (wet/d</w:t>
      </w:r>
      <w:r w:rsidR="002745EE" w:rsidRPr="007B27F8">
        <w:rPr>
          <w:lang w:eastAsia="fr-FR"/>
        </w:rPr>
        <w:t>ry)</w:t>
      </w:r>
      <w:r w:rsidRPr="007B27F8">
        <w:rPr>
          <w:lang w:eastAsia="fr-FR"/>
        </w:rPr>
        <w:t>.</w:t>
      </w:r>
    </w:p>
    <w:p w14:paraId="766E12DD" w14:textId="05222DF1" w:rsidR="007B2433" w:rsidRPr="009C1CF3" w:rsidRDefault="007B2433" w:rsidP="009C1CF3">
      <w:pPr>
        <w:pStyle w:val="Heading2"/>
        <w:rPr>
          <w:rStyle w:val="Heading2Char"/>
          <w:b/>
        </w:rPr>
      </w:pPr>
      <w:bookmarkStart w:id="748" w:name="_Toc495655039"/>
      <w:bookmarkStart w:id="749" w:name="_Toc182327934"/>
      <w:bookmarkStart w:id="750" w:name="_Toc184808278"/>
      <w:r w:rsidRPr="009C1CF3">
        <w:rPr>
          <w:rStyle w:val="Heading2Char"/>
          <w:b/>
        </w:rPr>
        <w:t>Field burning of agricultural residues (</w:t>
      </w:r>
      <w:r w:rsidR="008931E5">
        <w:rPr>
          <w:rStyle w:val="Heading2Char"/>
          <w:b/>
        </w:rPr>
        <w:t xml:space="preserve">CRF </w:t>
      </w:r>
      <w:r w:rsidRPr="009C1CF3">
        <w:rPr>
          <w:rStyle w:val="Heading2Char"/>
          <w:b/>
        </w:rPr>
        <w:t>3F)</w:t>
      </w:r>
      <w:bookmarkEnd w:id="748"/>
      <w:bookmarkEnd w:id="749"/>
      <w:bookmarkEnd w:id="750"/>
    </w:p>
    <w:p w14:paraId="1E0641B2" w14:textId="15147741" w:rsidR="003A72CF" w:rsidRDefault="003A72CF" w:rsidP="003A72CF">
      <w:pPr>
        <w:rPr>
          <w:lang w:val="en-US"/>
        </w:rPr>
      </w:pPr>
      <w:r>
        <w:rPr>
          <w:lang w:val="en-US"/>
        </w:rPr>
        <w:t xml:space="preserve">The </w:t>
      </w:r>
      <w:r w:rsidR="006E66FE">
        <w:rPr>
          <w:lang w:val="en-US"/>
        </w:rPr>
        <w:t>field burning of agricultural residues</w:t>
      </w:r>
      <w:r>
        <w:rPr>
          <w:lang w:val="en-US"/>
        </w:rPr>
        <w:t xml:space="preserve"> category covers the emissions of CH</w:t>
      </w:r>
      <w:r w:rsidRPr="001F0275">
        <w:rPr>
          <w:vertAlign w:val="subscript"/>
          <w:lang w:val="en-US"/>
        </w:rPr>
        <w:t>4</w:t>
      </w:r>
      <w:r>
        <w:rPr>
          <w:lang w:val="en-US"/>
        </w:rPr>
        <w:t xml:space="preserve"> and N</w:t>
      </w:r>
      <w:r w:rsidRPr="001F0275">
        <w:rPr>
          <w:vertAlign w:val="subscript"/>
          <w:lang w:val="en-US"/>
        </w:rPr>
        <w:t>2</w:t>
      </w:r>
      <w:r>
        <w:rPr>
          <w:lang w:val="en-US"/>
        </w:rPr>
        <w:t>O</w:t>
      </w:r>
      <w:r w:rsidR="0001215C">
        <w:rPr>
          <w:lang w:val="en-US"/>
        </w:rPr>
        <w:t xml:space="preserve"> from the burning of </w:t>
      </w:r>
      <w:r w:rsidR="00F55D95">
        <w:rPr>
          <w:lang w:val="en-US"/>
        </w:rPr>
        <w:t>wheat (</w:t>
      </w:r>
      <w:r w:rsidR="008931E5">
        <w:rPr>
          <w:lang w:val="en-US"/>
        </w:rPr>
        <w:t xml:space="preserve">CRT </w:t>
      </w:r>
      <w:r w:rsidR="00F55D95">
        <w:rPr>
          <w:lang w:val="en-US"/>
        </w:rPr>
        <w:t>3F11) and maize (</w:t>
      </w:r>
      <w:r w:rsidR="008931E5">
        <w:rPr>
          <w:lang w:val="en-US"/>
        </w:rPr>
        <w:t xml:space="preserve">CRT </w:t>
      </w:r>
      <w:r w:rsidR="00F55D95">
        <w:rPr>
          <w:lang w:val="en-US"/>
        </w:rPr>
        <w:t>3F13)</w:t>
      </w:r>
      <w:r>
        <w:rPr>
          <w:lang w:val="en-US"/>
        </w:rPr>
        <w:t>.</w:t>
      </w:r>
      <w:r w:rsidR="00F55D95">
        <w:rPr>
          <w:lang w:val="en-US"/>
        </w:rPr>
        <w:t xml:space="preserve"> </w:t>
      </w:r>
      <w:r w:rsidR="00CF0BAE">
        <w:rPr>
          <w:lang w:val="en-US"/>
        </w:rPr>
        <w:t xml:space="preserve">The </w:t>
      </w:r>
      <w:r w:rsidR="00261A5A">
        <w:rPr>
          <w:lang w:val="en-US"/>
        </w:rPr>
        <w:t xml:space="preserve">field burning from cultures of </w:t>
      </w:r>
      <w:r w:rsidR="00CF0BAE">
        <w:rPr>
          <w:lang w:val="en-US"/>
        </w:rPr>
        <w:t>other cereals (i.e., barley</w:t>
      </w:r>
      <w:r w:rsidR="00261A5A">
        <w:rPr>
          <w:lang w:val="en-US"/>
        </w:rPr>
        <w:t xml:space="preserve"> and others</w:t>
      </w:r>
      <w:r w:rsidR="00CF0BAE">
        <w:rPr>
          <w:lang w:val="en-US"/>
        </w:rPr>
        <w:t xml:space="preserve">) </w:t>
      </w:r>
      <w:r w:rsidR="00261A5A">
        <w:rPr>
          <w:lang w:val="en-US"/>
        </w:rPr>
        <w:t>is</w:t>
      </w:r>
      <w:r w:rsidR="00CF0BAE">
        <w:rPr>
          <w:lang w:val="en-US"/>
        </w:rPr>
        <w:t xml:space="preserve"> </w:t>
      </w:r>
      <w:r w:rsidR="00261A5A">
        <w:rPr>
          <w:lang w:val="en-US"/>
        </w:rPr>
        <w:t xml:space="preserve">not occurring, as well as for the other </w:t>
      </w:r>
      <w:r w:rsidR="00FF1492">
        <w:rPr>
          <w:lang w:val="en-US"/>
        </w:rPr>
        <w:t>cultures: pulses (</w:t>
      </w:r>
      <w:r w:rsidR="008931E5">
        <w:rPr>
          <w:lang w:val="en-US"/>
        </w:rPr>
        <w:t xml:space="preserve">CRT </w:t>
      </w:r>
      <w:r w:rsidR="00FF1492">
        <w:rPr>
          <w:lang w:val="en-US"/>
        </w:rPr>
        <w:t xml:space="preserve">3F2), </w:t>
      </w:r>
      <w:r w:rsidR="00F40FC5">
        <w:rPr>
          <w:lang w:val="en-US"/>
        </w:rPr>
        <w:t>tubers and roots (</w:t>
      </w:r>
      <w:r w:rsidR="008931E5">
        <w:rPr>
          <w:lang w:val="en-US"/>
        </w:rPr>
        <w:t xml:space="preserve">CRT </w:t>
      </w:r>
      <w:r w:rsidR="00F40FC5">
        <w:rPr>
          <w:lang w:val="en-US"/>
        </w:rPr>
        <w:t>3F3), sugar cane (</w:t>
      </w:r>
      <w:r w:rsidR="008931E5">
        <w:rPr>
          <w:lang w:val="en-US"/>
        </w:rPr>
        <w:t xml:space="preserve">CRT </w:t>
      </w:r>
      <w:r w:rsidR="00F40FC5">
        <w:rPr>
          <w:lang w:val="en-US"/>
        </w:rPr>
        <w:t>3F4) and others (</w:t>
      </w:r>
      <w:r w:rsidR="008931E5">
        <w:rPr>
          <w:lang w:val="en-US"/>
        </w:rPr>
        <w:t xml:space="preserve">CRF </w:t>
      </w:r>
      <w:r w:rsidR="00F40FC5">
        <w:rPr>
          <w:lang w:val="en-US"/>
        </w:rPr>
        <w:t>3F5).</w:t>
      </w:r>
      <w:r w:rsidR="007C108D">
        <w:rPr>
          <w:lang w:val="en-US"/>
        </w:rPr>
        <w:t xml:space="preserve"> </w:t>
      </w:r>
    </w:p>
    <w:p w14:paraId="4283DBFF" w14:textId="43AA7B4C" w:rsidR="00000368" w:rsidRDefault="004C0085" w:rsidP="003A72CF">
      <w:r>
        <w:t>Overall, t</w:t>
      </w:r>
      <w:r w:rsidRPr="002462F0">
        <w:t xml:space="preserve">he </w:t>
      </w:r>
      <w:r>
        <w:t xml:space="preserve">GHG emissions from Field burning </w:t>
      </w:r>
      <w:r w:rsidRPr="002462F0">
        <w:t>(CR</w:t>
      </w:r>
      <w:r>
        <w:t>T</w:t>
      </w:r>
      <w:r w:rsidRPr="002462F0">
        <w:t xml:space="preserve"> </w:t>
      </w:r>
      <w:r>
        <w:t>3F</w:t>
      </w:r>
      <w:r w:rsidRPr="002462F0">
        <w:t xml:space="preserve">) </w:t>
      </w:r>
      <w:r>
        <w:t>have slightly reduced, by 7%, between 1990 and 2022</w:t>
      </w:r>
      <w:r w:rsidR="009B5A25">
        <w:t>, but follow an oscillating bu</w:t>
      </w:r>
      <w:r w:rsidR="008F1A92">
        <w:t>t</w:t>
      </w:r>
      <w:r w:rsidR="009B5A25">
        <w:t xml:space="preserve"> rather stable trend.</w:t>
      </w:r>
      <w:r>
        <w:t xml:space="preserve"> </w:t>
      </w:r>
      <w:r w:rsidR="00BC2443">
        <w:t>For the whole studied period, t</w:t>
      </w:r>
      <w:r>
        <w:t xml:space="preserve">his </w:t>
      </w:r>
      <w:r w:rsidR="009B5A25">
        <w:t xml:space="preserve">sector is marginal in the </w:t>
      </w:r>
      <w:r w:rsidR="00000368">
        <w:t xml:space="preserve">national totals </w:t>
      </w:r>
      <w:r w:rsidR="00BC2443">
        <w:t xml:space="preserve">as well as </w:t>
      </w:r>
      <w:r w:rsidR="00000368">
        <w:t xml:space="preserve">in the </w:t>
      </w:r>
      <w:r w:rsidR="00BC2443">
        <w:t xml:space="preserve">agriculture </w:t>
      </w:r>
      <w:r w:rsidR="00000368">
        <w:t>totals.</w:t>
      </w:r>
      <w:r w:rsidR="00BC2443">
        <w:t xml:space="preserve"> In 2022, it represents </w:t>
      </w:r>
      <w:r w:rsidR="008A22DF">
        <w:t>2% of the CRT 3 GHG emissions and 0.2% of the national totals, excluding LULUCF contribution.</w:t>
      </w:r>
      <w:r w:rsidR="00000368">
        <w:t xml:space="preserve"> </w:t>
      </w:r>
    </w:p>
    <w:p w14:paraId="66BE2483" w14:textId="37CD2CD5" w:rsidR="007C108D" w:rsidRDefault="007C108D" w:rsidP="003A72CF">
      <w:pPr>
        <w:rPr>
          <w:lang w:val="en-US"/>
        </w:rPr>
      </w:pPr>
      <w:r>
        <w:rPr>
          <w:lang w:val="en-US"/>
        </w:rPr>
        <w:t xml:space="preserve">As there are only emissions related to the CRT 3F1 category, the </w:t>
      </w:r>
      <w:r w:rsidR="00B43E8A">
        <w:rPr>
          <w:lang w:val="en-US"/>
        </w:rPr>
        <w:t xml:space="preserve">emission trend </w:t>
      </w:r>
      <w:r>
        <w:rPr>
          <w:lang w:val="en-US"/>
        </w:rPr>
        <w:t>description</w:t>
      </w:r>
      <w:r w:rsidR="00B43E8A">
        <w:rPr>
          <w:lang w:val="en-US"/>
        </w:rPr>
        <w:t xml:space="preserve"> is</w:t>
      </w:r>
      <w:r>
        <w:rPr>
          <w:lang w:val="en-US"/>
        </w:rPr>
        <w:t xml:space="preserve"> given in the following chapter.</w:t>
      </w:r>
    </w:p>
    <w:p w14:paraId="77D6B17A" w14:textId="14C2E85A" w:rsidR="007B2433" w:rsidRPr="002462F0" w:rsidRDefault="007B2433" w:rsidP="007B2433">
      <w:pPr>
        <w:pStyle w:val="Heading3"/>
        <w:ind w:left="709" w:hanging="709"/>
        <w:rPr>
          <w:lang w:val="en-GB" w:eastAsia="fr-FR"/>
        </w:rPr>
      </w:pPr>
      <w:bookmarkStart w:id="751" w:name="_Toc182327935"/>
      <w:bookmarkStart w:id="752" w:name="_Toc184808279"/>
      <w:r w:rsidRPr="002462F0">
        <w:rPr>
          <w:lang w:val="en-GB" w:eastAsia="fr-FR"/>
        </w:rPr>
        <w:t>Cereals (</w:t>
      </w:r>
      <w:r w:rsidR="008931E5">
        <w:rPr>
          <w:lang w:val="en-GB" w:eastAsia="fr-FR"/>
        </w:rPr>
        <w:t xml:space="preserve">CRF </w:t>
      </w:r>
      <w:r w:rsidRPr="002462F0">
        <w:rPr>
          <w:lang w:val="en-GB" w:eastAsia="fr-FR"/>
        </w:rPr>
        <w:t>3F1)</w:t>
      </w:r>
      <w:bookmarkEnd w:id="751"/>
      <w:bookmarkEnd w:id="752"/>
    </w:p>
    <w:p w14:paraId="026385A4" w14:textId="77777777" w:rsidR="007B2433" w:rsidRDefault="007B2433" w:rsidP="007B2433">
      <w:pPr>
        <w:pStyle w:val="Titre4Bleu"/>
        <w:rPr>
          <w:lang w:eastAsia="fr-FR"/>
        </w:rPr>
      </w:pPr>
      <w:bookmarkStart w:id="753" w:name="_Toc495655040"/>
      <w:bookmarkStart w:id="754" w:name="_Toc182327936"/>
      <w:r w:rsidRPr="002462F0">
        <w:rPr>
          <w:lang w:eastAsia="fr-FR"/>
        </w:rPr>
        <w:t>Category description</w:t>
      </w:r>
      <w:bookmarkEnd w:id="753"/>
      <w:bookmarkEnd w:id="754"/>
      <w:r w:rsidRPr="002462F0">
        <w:rPr>
          <w:lang w:eastAsia="fr-FR"/>
        </w:rPr>
        <w:t xml:space="preserve"> </w:t>
      </w:r>
    </w:p>
    <w:p w14:paraId="5BF0F451" w14:textId="745C6E3F" w:rsidR="00842F22" w:rsidRDefault="00842F22" w:rsidP="00842F22">
      <w:r>
        <w:t xml:space="preserve">The following figures give the evolution of the GHG </w:t>
      </w:r>
      <w:r w:rsidR="00CA457E">
        <w:t xml:space="preserve">emissions from both subcategories from this sector, </w:t>
      </w:r>
      <w:r w:rsidR="005A7EF6">
        <w:t>distinguished between CH</w:t>
      </w:r>
      <w:r w:rsidR="005A7EF6" w:rsidRPr="00622F40">
        <w:rPr>
          <w:vertAlign w:val="subscript"/>
        </w:rPr>
        <w:t>4</w:t>
      </w:r>
      <w:r w:rsidR="005A7EF6">
        <w:t xml:space="preserve"> and N</w:t>
      </w:r>
      <w:r w:rsidR="005A7EF6" w:rsidRPr="00622F40">
        <w:rPr>
          <w:vertAlign w:val="subscript"/>
        </w:rPr>
        <w:t>2</w:t>
      </w:r>
      <w:r w:rsidR="005A7EF6">
        <w:t>O emissions</w:t>
      </w:r>
      <w:r w:rsidR="005F12F6">
        <w:t xml:space="preserve">. </w:t>
      </w:r>
      <w:r w:rsidR="00D14447">
        <w:t xml:space="preserve">For both </w:t>
      </w:r>
      <w:r w:rsidR="00013D4D">
        <w:t>emission sources</w:t>
      </w:r>
      <w:r w:rsidR="00D14447">
        <w:t xml:space="preserve">, the emissions from </w:t>
      </w:r>
      <w:r w:rsidR="00D90AB6">
        <w:t>methane are predominant</w:t>
      </w:r>
      <w:r w:rsidR="00EE6CFB">
        <w:t xml:space="preserve"> and represent about 80% of the GHG totals. </w:t>
      </w:r>
    </w:p>
    <w:p w14:paraId="1A1B3C6E" w14:textId="19752D05" w:rsidR="00B17D7C" w:rsidRDefault="00B17D7C" w:rsidP="00842F22">
      <w:r>
        <w:lastRenderedPageBreak/>
        <w:t xml:space="preserve">The emission estimation methodology is based on the Tier 1 from 2006 IPCC guidelines (see chapter </w:t>
      </w:r>
      <w:r>
        <w:fldChar w:fldCharType="begin"/>
      </w:r>
      <w:r>
        <w:instrText xml:space="preserve"> REF _Ref179298080 \r \h </w:instrText>
      </w:r>
      <w:r>
        <w:fldChar w:fldCharType="separate"/>
      </w:r>
      <w:r w:rsidR="00F14C78">
        <w:t>5.5.1.2</w:t>
      </w:r>
      <w:r>
        <w:fldChar w:fldCharType="end"/>
      </w:r>
      <w:r>
        <w:t xml:space="preserve">), hence </w:t>
      </w:r>
      <w:r w:rsidR="004F6C21">
        <w:t xml:space="preserve">the </w:t>
      </w:r>
      <w:r w:rsidR="006F7866">
        <w:t>emission</w:t>
      </w:r>
      <w:r w:rsidR="008F1A56">
        <w:t xml:space="preserve"> evolution</w:t>
      </w:r>
      <w:r w:rsidR="006F7866">
        <w:t xml:space="preserve"> </w:t>
      </w:r>
      <w:r w:rsidR="008F1A56">
        <w:t xml:space="preserve">is </w:t>
      </w:r>
      <w:r w:rsidR="006F7866">
        <w:t xml:space="preserve">directly proportional to the </w:t>
      </w:r>
      <w:r w:rsidR="008F1A56">
        <w:t>changes in the amounts of maize and wheat burned.</w:t>
      </w:r>
    </w:p>
    <w:p w14:paraId="42BEAA29" w14:textId="7FE62204" w:rsidR="007C108D" w:rsidRDefault="009E24E1" w:rsidP="00622F40">
      <w:r>
        <w:t>In short</w:t>
      </w:r>
      <w:r w:rsidR="00F82E3D">
        <w:t xml:space="preserve">, the </w:t>
      </w:r>
      <w:r w:rsidR="00545A76">
        <w:t xml:space="preserve">GHG </w:t>
      </w:r>
      <w:r w:rsidR="00F82E3D">
        <w:t xml:space="preserve">emissions from wheat burning </w:t>
      </w:r>
      <w:r>
        <w:t xml:space="preserve">have varied significantly from 1990 to 2004, and are more stable since then, achieving an overall reduction of 31% between 1990 and 2022. </w:t>
      </w:r>
      <w:r w:rsidR="00545A76">
        <w:t>The GHG emissions from maize burning are more stable over the timeseries</w:t>
      </w:r>
      <w:r w:rsidR="00880A03">
        <w:t xml:space="preserve"> and, in 2022, a small increase of 2% is observed compared with 1990 emission levels. The emissions from maize burning </w:t>
      </w:r>
      <w:r w:rsidR="005F12F6">
        <w:t xml:space="preserve">are the main emission source and contribute to about </w:t>
      </w:r>
      <w:r w:rsidR="00185596">
        <w:t xml:space="preserve">79% of the sector emissions in 2022. Its share is in growth compared with 1990 where it represented 72% of the sector emissions. </w:t>
      </w:r>
    </w:p>
    <w:p w14:paraId="58895A10" w14:textId="7AD2B5F7" w:rsidR="00AE4F17" w:rsidRDefault="004517A5" w:rsidP="007B27F8">
      <w:pPr>
        <w:pStyle w:val="BodyText"/>
        <w:spacing w:after="0"/>
        <w:jc w:val="left"/>
      </w:pPr>
      <w:r>
        <w:rPr>
          <w:noProof/>
          <w:lang w:val="en-US"/>
        </w:rPr>
        <w:drawing>
          <wp:inline distT="0" distB="0" distL="0" distR="0" wp14:anchorId="192E9B19" wp14:editId="536B6454">
            <wp:extent cx="5760000" cy="1753712"/>
            <wp:effectExtent l="0" t="0" r="0" b="0"/>
            <wp:docPr id="1453746219"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110142CB" w14:textId="553DB2C1" w:rsidR="007B27F8" w:rsidRDefault="007B27F8" w:rsidP="007B27F8">
      <w:pPr>
        <w:pStyle w:val="Caption"/>
        <w:keepNext/>
        <w:spacing w:before="0"/>
        <w:jc w:val="left"/>
        <w:rPr>
          <w:noProof/>
        </w:rPr>
      </w:pPr>
      <w:bookmarkStart w:id="755" w:name="_Toc184808500"/>
      <w:r w:rsidRPr="00622F40">
        <w:t xml:space="preserve">Figure </w:t>
      </w:r>
      <w:r w:rsidRPr="00622F40">
        <w:fldChar w:fldCharType="begin"/>
      </w:r>
      <w:r w:rsidRPr="00622F40">
        <w:instrText xml:space="preserve"> SEQ Figure \* ARABIC </w:instrText>
      </w:r>
      <w:r w:rsidRPr="00622F40">
        <w:fldChar w:fldCharType="separate"/>
      </w:r>
      <w:r>
        <w:rPr>
          <w:noProof/>
        </w:rPr>
        <w:t>113</w:t>
      </w:r>
      <w:r w:rsidRPr="00622F40">
        <w:fldChar w:fldCharType="end"/>
      </w:r>
      <w:r w:rsidRPr="00622F40">
        <w:rPr>
          <w:noProof/>
        </w:rPr>
        <w:t xml:space="preserve"> : GHG emissions from field burning of wheat (</w:t>
      </w:r>
      <w:r>
        <w:rPr>
          <w:noProof/>
        </w:rPr>
        <w:t>CRT</w:t>
      </w:r>
      <w:r w:rsidRPr="00622F40">
        <w:rPr>
          <w:noProof/>
        </w:rPr>
        <w:t xml:space="preserve"> 3F1</w:t>
      </w:r>
      <w:r w:rsidR="008931E5">
        <w:rPr>
          <w:noProof/>
        </w:rPr>
        <w:t>.</w:t>
      </w:r>
      <w:r w:rsidRPr="00622F40">
        <w:rPr>
          <w:noProof/>
        </w:rPr>
        <w:t>1) (kt CO</w:t>
      </w:r>
      <w:r w:rsidRPr="00622F40">
        <w:rPr>
          <w:noProof/>
          <w:vertAlign w:val="subscript"/>
        </w:rPr>
        <w:t>2</w:t>
      </w:r>
      <w:r w:rsidRPr="00622F40">
        <w:rPr>
          <w:noProof/>
        </w:rPr>
        <w:t>e)</w:t>
      </w:r>
      <w:bookmarkEnd w:id="755"/>
    </w:p>
    <w:p w14:paraId="3B93C4E2" w14:textId="4112DE2E" w:rsidR="00AE4F17" w:rsidRDefault="004517A5" w:rsidP="007B27F8">
      <w:pPr>
        <w:pStyle w:val="BodyText"/>
        <w:spacing w:after="0"/>
        <w:jc w:val="left"/>
      </w:pPr>
      <w:r>
        <w:rPr>
          <w:noProof/>
          <w:lang w:val="en-US"/>
        </w:rPr>
        <w:drawing>
          <wp:inline distT="0" distB="0" distL="0" distR="0" wp14:anchorId="3CC5FB47" wp14:editId="04E6BC8D">
            <wp:extent cx="5760000" cy="1753712"/>
            <wp:effectExtent l="0" t="0" r="0" b="0"/>
            <wp:docPr id="1185554788"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6538DB14" w14:textId="77777777" w:rsidR="007B27F8" w:rsidRDefault="007B27F8" w:rsidP="007B27F8">
      <w:pPr>
        <w:pStyle w:val="Caption"/>
        <w:keepNext/>
        <w:spacing w:before="0"/>
        <w:jc w:val="left"/>
      </w:pPr>
      <w:bookmarkStart w:id="756" w:name="_Toc184808501"/>
      <w:r w:rsidRPr="00622F40">
        <w:t xml:space="preserve">Figure </w:t>
      </w:r>
      <w:r w:rsidRPr="00622F40">
        <w:fldChar w:fldCharType="begin"/>
      </w:r>
      <w:r w:rsidRPr="00622F40">
        <w:instrText xml:space="preserve"> SEQ Figure \* ARABIC </w:instrText>
      </w:r>
      <w:r w:rsidRPr="00622F40">
        <w:fldChar w:fldCharType="separate"/>
      </w:r>
      <w:r>
        <w:t>114</w:t>
      </w:r>
      <w:r w:rsidRPr="00622F40">
        <w:fldChar w:fldCharType="end"/>
      </w:r>
      <w:r w:rsidRPr="00622F40">
        <w:t xml:space="preserve"> : GHG emissions from field burning of maize (</w:t>
      </w:r>
      <w:r>
        <w:t>CRT</w:t>
      </w:r>
      <w:r w:rsidRPr="00622F40">
        <w:t xml:space="preserve"> 3F1.3) (kt CO</w:t>
      </w:r>
      <w:r w:rsidRPr="007B27F8">
        <w:t>2</w:t>
      </w:r>
      <w:r w:rsidRPr="00622F40">
        <w:t>e)</w:t>
      </w:r>
      <w:bookmarkEnd w:id="756"/>
    </w:p>
    <w:p w14:paraId="79A8D796" w14:textId="77777777" w:rsidR="00842F22" w:rsidRPr="002462F0" w:rsidRDefault="00842F22" w:rsidP="007B27F8">
      <w:pPr>
        <w:spacing w:after="0"/>
        <w:jc w:val="left"/>
      </w:pPr>
      <w:r>
        <w:rPr>
          <w:noProof/>
          <w:lang w:val="en-US"/>
        </w:rPr>
        <w:drawing>
          <wp:inline distT="0" distB="0" distL="0" distR="0" wp14:anchorId="5D6393D2" wp14:editId="502AC2B8">
            <wp:extent cx="2880000" cy="1988066"/>
            <wp:effectExtent l="0" t="0" r="0" b="0"/>
            <wp:docPr id="1697779989" name="Image 17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79989" name="Image 171" descr="Une image contenant texte, capture d’écran, Police, diagramme&#10;&#10;Description générée automatiquemen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80000" cy="1988066"/>
                    </a:xfrm>
                    <a:prstGeom prst="rect">
                      <a:avLst/>
                    </a:prstGeom>
                    <a:noFill/>
                  </pic:spPr>
                </pic:pic>
              </a:graphicData>
            </a:graphic>
          </wp:inline>
        </w:drawing>
      </w:r>
      <w:r>
        <w:rPr>
          <w:noProof/>
          <w:lang w:val="en-US"/>
        </w:rPr>
        <w:drawing>
          <wp:inline distT="0" distB="0" distL="0" distR="0" wp14:anchorId="137CE81C" wp14:editId="39E136CA">
            <wp:extent cx="2880000" cy="1997382"/>
            <wp:effectExtent l="0" t="0" r="0" b="3175"/>
            <wp:docPr id="415013364" name="Image 172" descr="Une image contenant texte, Polic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13364" name="Image 172" descr="Une image contenant texte, Police, capture d’écran, diagramme&#10;&#10;Description générée automatiquement"/>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80000" cy="1997382"/>
                    </a:xfrm>
                    <a:prstGeom prst="rect">
                      <a:avLst/>
                    </a:prstGeom>
                    <a:noFill/>
                  </pic:spPr>
                </pic:pic>
              </a:graphicData>
            </a:graphic>
          </wp:inline>
        </w:drawing>
      </w:r>
    </w:p>
    <w:p w14:paraId="22A0A261" w14:textId="77777777" w:rsidR="007B27F8" w:rsidRPr="002462F0" w:rsidRDefault="007B27F8" w:rsidP="007B27F8">
      <w:pPr>
        <w:pStyle w:val="Caption"/>
        <w:spacing w:before="0" w:after="0"/>
        <w:jc w:val="left"/>
        <w:rPr>
          <w:sz w:val="22"/>
          <w:lang w:eastAsia="fr-FR"/>
        </w:rPr>
      </w:pPr>
      <w:bookmarkStart w:id="757" w:name="_Toc184808502"/>
      <w:r w:rsidRPr="002462F0">
        <w:t xml:space="preserve">Figure </w:t>
      </w:r>
      <w:r w:rsidRPr="002462F0">
        <w:fldChar w:fldCharType="begin"/>
      </w:r>
      <w:r w:rsidRPr="002462F0">
        <w:instrText xml:space="preserve"> SEQ Figure \* ARABIC </w:instrText>
      </w:r>
      <w:r w:rsidRPr="002462F0">
        <w:fldChar w:fldCharType="separate"/>
      </w:r>
      <w:r>
        <w:rPr>
          <w:noProof/>
        </w:rPr>
        <w:t>115</w:t>
      </w:r>
      <w:r w:rsidRPr="002462F0">
        <w:fldChar w:fldCharType="end"/>
      </w:r>
      <w:r w:rsidRPr="002462F0">
        <w:t xml:space="preserve">: GHG emission </w:t>
      </w:r>
      <w:r>
        <w:t>distribution</w:t>
      </w:r>
      <w:r w:rsidRPr="002462F0">
        <w:t xml:space="preserve"> for </w:t>
      </w:r>
      <w:r>
        <w:t xml:space="preserve">field burning of agriculture residues (CRT 3F), for the period 1990-2022, per subcategory </w:t>
      </w:r>
      <w:r w:rsidRPr="002462F0">
        <w:t>(</w:t>
      </w:r>
      <w:r>
        <w:t>in %</w:t>
      </w:r>
      <w:r w:rsidRPr="002462F0">
        <w:t>)</w:t>
      </w:r>
      <w:bookmarkEnd w:id="757"/>
    </w:p>
    <w:p w14:paraId="3F0AA2D8" w14:textId="6B4EEDB9" w:rsidR="007B2433" w:rsidRPr="00D916DB" w:rsidRDefault="007B2433" w:rsidP="007B27F8">
      <w:pPr>
        <w:pStyle w:val="BodyText"/>
        <w:spacing w:before="240"/>
      </w:pPr>
      <w:r w:rsidRPr="00D916DB">
        <w:t xml:space="preserve">In </w:t>
      </w:r>
      <w:r w:rsidR="00842F22">
        <w:t>2022</w:t>
      </w:r>
      <w:r w:rsidRPr="00D916DB">
        <w:t xml:space="preserve">, </w:t>
      </w:r>
      <w:r w:rsidR="00842F22">
        <w:t xml:space="preserve">CRT </w:t>
      </w:r>
      <w:r w:rsidRPr="00D916DB">
        <w:t>3F1 subcategories (</w:t>
      </w:r>
      <w:r w:rsidR="008931E5">
        <w:t xml:space="preserve">CRF </w:t>
      </w:r>
      <w:r w:rsidRPr="00D916DB">
        <w:t xml:space="preserve">3F1.1, </w:t>
      </w:r>
      <w:r w:rsidR="008931E5">
        <w:t xml:space="preserve">CRF </w:t>
      </w:r>
      <w:r w:rsidRPr="00D916DB">
        <w:t xml:space="preserve">3F1.3) are </w:t>
      </w:r>
      <w:r w:rsidR="00842F22">
        <w:t xml:space="preserve">neither </w:t>
      </w:r>
      <w:r w:rsidRPr="00D916DB">
        <w:t>key categor</w:t>
      </w:r>
      <w:r w:rsidR="00842F22">
        <w:t>ies</w:t>
      </w:r>
      <w:r w:rsidRPr="00D916DB">
        <w:t xml:space="preserve"> in terms </w:t>
      </w:r>
      <w:r w:rsidR="00842F22">
        <w:t>of</w:t>
      </w:r>
      <w:r w:rsidR="00842F22" w:rsidRPr="00D916DB">
        <w:t xml:space="preserve"> </w:t>
      </w:r>
      <w:r w:rsidRPr="00D916DB">
        <w:t>emission level</w:t>
      </w:r>
      <w:r w:rsidR="00842F22">
        <w:t>s</w:t>
      </w:r>
      <w:r w:rsidRPr="00D916DB">
        <w:t xml:space="preserve"> </w:t>
      </w:r>
      <w:r w:rsidR="00842F22">
        <w:t>n</w:t>
      </w:r>
      <w:r w:rsidRPr="00D916DB">
        <w:t xml:space="preserve">or </w:t>
      </w:r>
      <w:r w:rsidR="00842F22">
        <w:t xml:space="preserve">in </w:t>
      </w:r>
      <w:r w:rsidRPr="00D916DB">
        <w:t>emission trend</w:t>
      </w:r>
      <w:r w:rsidR="00842F22">
        <w:t>,</w:t>
      </w:r>
      <w:r w:rsidRPr="00D916DB">
        <w:t xml:space="preserve"> in</w:t>
      </w:r>
      <w:r w:rsidR="00842F22">
        <w:t xml:space="preserve"> the Republic of</w:t>
      </w:r>
      <w:r w:rsidRPr="00D916DB">
        <w:t xml:space="preserve"> Serbia.</w:t>
      </w:r>
      <w:r w:rsidR="00842F22">
        <w:t xml:space="preserve"> </w:t>
      </w:r>
    </w:p>
    <w:p w14:paraId="16161024" w14:textId="57400CC7" w:rsidR="007B2433" w:rsidRDefault="007B2433" w:rsidP="007B2433">
      <w:pPr>
        <w:pStyle w:val="Titre4Bleu"/>
        <w:rPr>
          <w:lang w:eastAsia="fr-FR"/>
        </w:rPr>
      </w:pPr>
      <w:bookmarkStart w:id="758" w:name="_Toc495655041"/>
      <w:bookmarkStart w:id="759" w:name="_Ref179298080"/>
      <w:bookmarkStart w:id="760" w:name="_Toc182327937"/>
      <w:r w:rsidRPr="002462F0">
        <w:rPr>
          <w:lang w:eastAsia="fr-FR"/>
        </w:rPr>
        <w:t>Methodological issues</w:t>
      </w:r>
      <w:bookmarkEnd w:id="758"/>
      <w:bookmarkEnd w:id="759"/>
      <w:bookmarkEnd w:id="760"/>
      <w:r w:rsidRPr="002462F0">
        <w:rPr>
          <w:lang w:eastAsia="fr-FR"/>
        </w:rPr>
        <w:t xml:space="preserve"> </w:t>
      </w:r>
    </w:p>
    <w:p w14:paraId="5F1AC830" w14:textId="5DCE47F8" w:rsidR="00AE4F17" w:rsidRPr="0003002C" w:rsidRDefault="00AE4F17" w:rsidP="00AE4F17">
      <w:pPr>
        <w:pStyle w:val="BodyText"/>
        <w:rPr>
          <w:lang w:val="en-US" w:eastAsia="fr-FR"/>
        </w:rPr>
      </w:pPr>
      <w:r>
        <w:rPr>
          <w:lang w:val="en-US" w:eastAsia="fr-FR"/>
        </w:rPr>
        <w:lastRenderedPageBreak/>
        <w:t>GHG emissions from fiel</w:t>
      </w:r>
      <w:r w:rsidR="00553AC9">
        <w:rPr>
          <w:lang w:val="en-US" w:eastAsia="fr-FR"/>
        </w:rPr>
        <w:t>d</w:t>
      </w:r>
      <w:r>
        <w:rPr>
          <w:lang w:val="en-US" w:eastAsia="fr-FR"/>
        </w:rPr>
        <w:t xml:space="preserve"> burning of agricultural residues</w:t>
      </w:r>
      <w:r w:rsidRPr="0003002C">
        <w:rPr>
          <w:lang w:val="en-US" w:eastAsia="fr-FR"/>
        </w:rPr>
        <w:t xml:space="preserve"> are calculated with a Tier 1 approach which is in line with the 2006 IPCC Guidelines</w:t>
      </w:r>
      <w:r>
        <w:rPr>
          <w:lang w:val="en-US" w:eastAsia="fr-FR"/>
        </w:rPr>
        <w:t xml:space="preserve"> </w:t>
      </w:r>
      <w:r>
        <w:rPr>
          <w:lang w:val="en-US" w:eastAsia="fr-FR"/>
        </w:rPr>
        <w:fldChar w:fldCharType="begin"/>
      </w:r>
      <w:r>
        <w:rPr>
          <w:lang w:val="en-US" w:eastAsia="fr-FR"/>
        </w:rPr>
        <w:instrText xml:space="preserve"> REF _Ref496778053 \r \h </w:instrText>
      </w:r>
      <w:r>
        <w:rPr>
          <w:lang w:val="en-US" w:eastAsia="fr-FR"/>
        </w:rPr>
      </w:r>
      <w:r>
        <w:rPr>
          <w:lang w:val="en-US" w:eastAsia="fr-FR"/>
        </w:rPr>
        <w:fldChar w:fldCharType="separate"/>
      </w:r>
      <w:r w:rsidR="00F14C78">
        <w:rPr>
          <w:lang w:val="en-US" w:eastAsia="fr-FR"/>
        </w:rPr>
        <w:t>[A16]</w:t>
      </w:r>
      <w:r>
        <w:rPr>
          <w:lang w:val="en-US" w:eastAsia="fr-FR"/>
        </w:rPr>
        <w:fldChar w:fldCharType="end"/>
      </w:r>
      <w:r w:rsidRPr="0003002C">
        <w:rPr>
          <w:lang w:val="en-US" w:eastAsia="fr-FR"/>
        </w:rPr>
        <w:t xml:space="preserve">. </w:t>
      </w:r>
    </w:p>
    <w:p w14:paraId="217EC44A" w14:textId="0C59EA39" w:rsidR="00AE4F17" w:rsidRPr="0003002C" w:rsidRDefault="00AE4F17" w:rsidP="00AE4F17">
      <w:pPr>
        <w:pStyle w:val="BodyText"/>
        <w:rPr>
          <w:lang w:val="en-US" w:eastAsia="fr-FR"/>
        </w:rPr>
      </w:pPr>
      <w:r w:rsidRPr="0003002C">
        <w:rPr>
          <w:lang w:val="en-US" w:eastAsia="fr-FR"/>
        </w:rPr>
        <w:t xml:space="preserve">Activity data used </w:t>
      </w:r>
      <w:r w:rsidR="00C163EE">
        <w:rPr>
          <w:lang w:val="en-US" w:eastAsia="fr-FR"/>
        </w:rPr>
        <w:t>are</w:t>
      </w:r>
      <w:r w:rsidR="00C163EE" w:rsidRPr="0003002C">
        <w:rPr>
          <w:lang w:val="en-US" w:eastAsia="fr-FR"/>
        </w:rPr>
        <w:t xml:space="preserve"> </w:t>
      </w:r>
      <w:r>
        <w:rPr>
          <w:lang w:val="en-US" w:eastAsia="fr-FR"/>
        </w:rPr>
        <w:t>the quantit</w:t>
      </w:r>
      <w:r w:rsidR="00C163EE">
        <w:rPr>
          <w:lang w:val="en-US" w:eastAsia="fr-FR"/>
        </w:rPr>
        <w:t>ies</w:t>
      </w:r>
      <w:r>
        <w:rPr>
          <w:lang w:val="en-US" w:eastAsia="fr-FR"/>
        </w:rPr>
        <w:t xml:space="preserve"> of wheat and maize burned and </w:t>
      </w:r>
      <w:r w:rsidR="00440E68">
        <w:rPr>
          <w:lang w:val="en-US" w:eastAsia="fr-FR"/>
        </w:rPr>
        <w:t>are sourced</w:t>
      </w:r>
      <w:r>
        <w:rPr>
          <w:lang w:val="en-US" w:eastAsia="fr-FR"/>
        </w:rPr>
        <w:t xml:space="preserve"> </w:t>
      </w:r>
      <w:r w:rsidR="00F966ED">
        <w:rPr>
          <w:lang w:val="en-US" w:eastAsia="fr-FR"/>
        </w:rPr>
        <w:t xml:space="preserve">from the </w:t>
      </w:r>
      <w:r w:rsidR="00553AC9" w:rsidRPr="00553AC9">
        <w:rPr>
          <w:lang w:val="en-US" w:eastAsia="fr-FR"/>
        </w:rPr>
        <w:t>FAO database</w:t>
      </w:r>
      <w:r w:rsidR="00C163EE">
        <w:rPr>
          <w:lang w:val="en-US" w:eastAsia="fr-FR"/>
        </w:rPr>
        <w:t xml:space="preserve"> </w:t>
      </w:r>
      <w:r w:rsidR="00C163EE">
        <w:rPr>
          <w:lang w:val="en-US" w:eastAsia="fr-FR"/>
        </w:rPr>
        <w:fldChar w:fldCharType="begin"/>
      </w:r>
      <w:r w:rsidR="00C163EE">
        <w:rPr>
          <w:lang w:val="en-US" w:eastAsia="fr-FR"/>
        </w:rPr>
        <w:instrText xml:space="preserve"> REF _Ref179215625 \r \h </w:instrText>
      </w:r>
      <w:r w:rsidR="00C163EE">
        <w:rPr>
          <w:lang w:val="en-US" w:eastAsia="fr-FR"/>
        </w:rPr>
      </w:r>
      <w:r w:rsidR="00C163EE">
        <w:rPr>
          <w:lang w:val="en-US" w:eastAsia="fr-FR"/>
        </w:rPr>
        <w:fldChar w:fldCharType="separate"/>
      </w:r>
      <w:r w:rsidR="00F14C78">
        <w:rPr>
          <w:lang w:val="en-US" w:eastAsia="fr-FR"/>
        </w:rPr>
        <w:t>[A12]</w:t>
      </w:r>
      <w:r w:rsidR="00C163EE">
        <w:rPr>
          <w:lang w:val="en-US" w:eastAsia="fr-FR"/>
        </w:rPr>
        <w:fldChar w:fldCharType="end"/>
      </w:r>
      <w:r w:rsidR="00553AC9" w:rsidRPr="00553AC9">
        <w:rPr>
          <w:lang w:val="en-US" w:eastAsia="fr-FR"/>
        </w:rPr>
        <w:t>.</w:t>
      </w:r>
    </w:p>
    <w:p w14:paraId="173CFF1C" w14:textId="46C3F56E" w:rsidR="00AE4F17" w:rsidRDefault="00AE4F17" w:rsidP="00AE4F17">
      <w:pPr>
        <w:pStyle w:val="BodyText"/>
        <w:rPr>
          <w:lang w:val="en-US" w:eastAsia="fr-FR"/>
        </w:rPr>
      </w:pPr>
      <w:r w:rsidRPr="0003002C">
        <w:rPr>
          <w:lang w:val="en-US" w:eastAsia="fr-FR"/>
        </w:rPr>
        <w:t xml:space="preserve">Emissions factors used for calculating </w:t>
      </w:r>
      <w:r>
        <w:rPr>
          <w:lang w:val="en-US" w:eastAsia="fr-FR"/>
        </w:rPr>
        <w:t>GHG</w:t>
      </w:r>
      <w:r w:rsidRPr="0003002C">
        <w:rPr>
          <w:lang w:val="en-US" w:eastAsia="fr-FR"/>
        </w:rPr>
        <w:t xml:space="preserve"> emissions </w:t>
      </w:r>
      <w:r w:rsidR="00440E68">
        <w:rPr>
          <w:lang w:val="en-US" w:eastAsia="fr-FR"/>
        </w:rPr>
        <w:t>are sourced</w:t>
      </w:r>
      <w:r w:rsidRPr="0003002C">
        <w:rPr>
          <w:lang w:val="en-US" w:eastAsia="fr-FR"/>
        </w:rPr>
        <w:t xml:space="preserve"> from 2006 IPCC guidelines</w:t>
      </w:r>
      <w:r>
        <w:rPr>
          <w:lang w:val="en-US" w:eastAsia="fr-FR"/>
        </w:rPr>
        <w:t xml:space="preserve"> </w:t>
      </w:r>
      <w:r>
        <w:rPr>
          <w:lang w:val="en-US" w:eastAsia="fr-FR"/>
        </w:rPr>
        <w:fldChar w:fldCharType="begin"/>
      </w:r>
      <w:r>
        <w:rPr>
          <w:lang w:val="en-US" w:eastAsia="fr-FR"/>
        </w:rPr>
        <w:instrText xml:space="preserve"> REF _Ref496778053 \r \h </w:instrText>
      </w:r>
      <w:r>
        <w:rPr>
          <w:lang w:val="en-US" w:eastAsia="fr-FR"/>
        </w:rPr>
      </w:r>
      <w:r>
        <w:rPr>
          <w:lang w:val="en-US" w:eastAsia="fr-FR"/>
        </w:rPr>
        <w:fldChar w:fldCharType="separate"/>
      </w:r>
      <w:r w:rsidR="00F14C78">
        <w:rPr>
          <w:lang w:val="en-US" w:eastAsia="fr-FR"/>
        </w:rPr>
        <w:t>[A16]</w:t>
      </w:r>
      <w:r>
        <w:rPr>
          <w:lang w:val="en-US" w:eastAsia="fr-FR"/>
        </w:rPr>
        <w:fldChar w:fldCharType="end"/>
      </w:r>
      <w:r w:rsidR="00977928">
        <w:rPr>
          <w:lang w:val="en-US" w:eastAsia="fr-FR"/>
        </w:rPr>
        <w:t xml:space="preserve"> and are given in the following table</w:t>
      </w:r>
      <w:r w:rsidRPr="0003002C">
        <w:rPr>
          <w:lang w:val="en-US" w:eastAsia="fr-FR"/>
        </w:rPr>
        <w:t>.</w:t>
      </w:r>
      <w:r w:rsidR="008A1B91">
        <w:rPr>
          <w:lang w:val="en-US" w:eastAsia="fr-FR"/>
        </w:rPr>
        <w:t xml:space="preserve"> They are given as the </w:t>
      </w:r>
      <w:r w:rsidR="00022724">
        <w:rPr>
          <w:lang w:val="en-US" w:eastAsia="fr-FR"/>
        </w:rPr>
        <w:t xml:space="preserve">product of the combustion factor, which depends on the crop and is of 0.9 for wheat and 0.8 for maize, with the </w:t>
      </w:r>
      <w:r w:rsidR="00C321A7">
        <w:rPr>
          <w:lang w:val="en-US" w:eastAsia="fr-FR"/>
        </w:rPr>
        <w:t>E</w:t>
      </w:r>
      <w:r w:rsidR="006B002E">
        <w:rPr>
          <w:lang w:val="en-US" w:eastAsia="fr-FR"/>
        </w:rPr>
        <w:t>F</w:t>
      </w:r>
      <w:r w:rsidR="00C321A7">
        <w:rPr>
          <w:lang w:val="en-US" w:eastAsia="fr-FR"/>
        </w:rPr>
        <w:t xml:space="preserve"> for agricultural residues which are of 2.7</w:t>
      </w:r>
      <w:r w:rsidR="002338EB">
        <w:rPr>
          <w:lang w:val="en-US" w:eastAsia="fr-FR"/>
        </w:rPr>
        <w:t xml:space="preserve"> g CH</w:t>
      </w:r>
      <w:r w:rsidR="002338EB" w:rsidRPr="00622F40">
        <w:rPr>
          <w:vertAlign w:val="subscript"/>
          <w:lang w:val="en-US" w:eastAsia="fr-FR"/>
        </w:rPr>
        <w:t>4</w:t>
      </w:r>
      <w:r w:rsidR="002338EB">
        <w:rPr>
          <w:lang w:val="en-US" w:eastAsia="fr-FR"/>
        </w:rPr>
        <w:t xml:space="preserve">/kg and </w:t>
      </w:r>
      <w:r w:rsidR="006B002E">
        <w:rPr>
          <w:lang w:val="en-US" w:eastAsia="fr-FR"/>
        </w:rPr>
        <w:t>0.07 g N</w:t>
      </w:r>
      <w:r w:rsidR="006B002E" w:rsidRPr="00622F40">
        <w:rPr>
          <w:vertAlign w:val="subscript"/>
          <w:lang w:val="en-US" w:eastAsia="fr-FR"/>
        </w:rPr>
        <w:t>2</w:t>
      </w:r>
      <w:r w:rsidR="006B002E">
        <w:rPr>
          <w:lang w:val="en-US" w:eastAsia="fr-FR"/>
        </w:rPr>
        <w:t>O/kg.</w:t>
      </w:r>
    </w:p>
    <w:p w14:paraId="4BA10EF1" w14:textId="69737BB3" w:rsidR="00977928" w:rsidRDefault="00977928" w:rsidP="00977928">
      <w:pPr>
        <w:pStyle w:val="Caption"/>
        <w:keepNext/>
      </w:pPr>
      <w:bookmarkStart w:id="761" w:name="_Toc184808579"/>
      <w:r>
        <w:t xml:space="preserve">Table </w:t>
      </w:r>
      <w:r>
        <w:fldChar w:fldCharType="begin"/>
      </w:r>
      <w:r>
        <w:instrText xml:space="preserve"> SEQ Table \* ARABIC </w:instrText>
      </w:r>
      <w:r>
        <w:fldChar w:fldCharType="separate"/>
      </w:r>
      <w:r w:rsidR="00F14C78">
        <w:rPr>
          <w:noProof/>
        </w:rPr>
        <w:t>36</w:t>
      </w:r>
      <w:r>
        <w:fldChar w:fldCharType="end"/>
      </w:r>
      <w:r>
        <w:t>: N</w:t>
      </w:r>
      <w:r w:rsidRPr="001F0275">
        <w:rPr>
          <w:vertAlign w:val="subscript"/>
        </w:rPr>
        <w:t>2</w:t>
      </w:r>
      <w:r>
        <w:t xml:space="preserve">O emission factors for </w:t>
      </w:r>
      <w:r w:rsidR="006B010F">
        <w:t>field burning of agricultural residues (CRT 3F),</w:t>
      </w:r>
      <w:r>
        <w:t xml:space="preserve"> from 2006 IPCC Guidelines, used in Serbian inventory</w:t>
      </w:r>
      <w:bookmarkEnd w:id="761"/>
    </w:p>
    <w:tbl>
      <w:tblPr>
        <w:tblStyle w:val="TableGrid"/>
        <w:tblW w:w="0" w:type="auto"/>
        <w:jc w:val="center"/>
        <w:tblLook w:val="04A0" w:firstRow="1" w:lastRow="0" w:firstColumn="1" w:lastColumn="0" w:noHBand="0" w:noVBand="1"/>
      </w:tblPr>
      <w:tblGrid>
        <w:gridCol w:w="2693"/>
        <w:gridCol w:w="1133"/>
        <w:gridCol w:w="1133"/>
      </w:tblGrid>
      <w:tr w:rsidR="00E874B2" w14:paraId="43D4050D" w14:textId="360627D1">
        <w:trPr>
          <w:jc w:val="center"/>
        </w:trPr>
        <w:tc>
          <w:tcPr>
            <w:tcW w:w="2693" w:type="dxa"/>
            <w:shd w:val="clear" w:color="auto" w:fill="B8CCE4" w:themeFill="accent1" w:themeFillTint="66"/>
          </w:tcPr>
          <w:p w14:paraId="7CC722F7" w14:textId="1733CB34" w:rsidR="00E874B2" w:rsidRPr="001F0275" w:rsidRDefault="00E874B2" w:rsidP="00E874B2">
            <w:pPr>
              <w:pStyle w:val="BodyText"/>
              <w:jc w:val="center"/>
              <w:rPr>
                <w:b/>
                <w:bCs/>
                <w:lang w:eastAsia="fr-FR"/>
              </w:rPr>
            </w:pPr>
            <w:r>
              <w:rPr>
                <w:b/>
                <w:bCs/>
                <w:lang w:eastAsia="fr-FR"/>
              </w:rPr>
              <w:t>Burned crop</w:t>
            </w:r>
          </w:p>
        </w:tc>
        <w:tc>
          <w:tcPr>
            <w:tcW w:w="1133" w:type="dxa"/>
            <w:shd w:val="clear" w:color="auto" w:fill="B8CCE4" w:themeFill="accent1" w:themeFillTint="66"/>
          </w:tcPr>
          <w:p w14:paraId="7E9561C0" w14:textId="50E32063" w:rsidR="00E874B2" w:rsidRPr="001F0275" w:rsidRDefault="00E874B2" w:rsidP="00E874B2">
            <w:pPr>
              <w:pStyle w:val="BodyText"/>
              <w:jc w:val="center"/>
              <w:rPr>
                <w:b/>
                <w:bCs/>
                <w:lang w:val="en-US" w:eastAsia="fr-FR"/>
              </w:rPr>
            </w:pPr>
            <w:r>
              <w:rPr>
                <w:b/>
                <w:bCs/>
                <w:lang w:val="en-US" w:eastAsia="fr-FR"/>
              </w:rPr>
              <w:t>EF CH</w:t>
            </w:r>
            <w:r w:rsidRPr="00622F40">
              <w:rPr>
                <w:b/>
                <w:bCs/>
                <w:vertAlign w:val="subscript"/>
                <w:lang w:val="en-US" w:eastAsia="fr-FR"/>
              </w:rPr>
              <w:t>4</w:t>
            </w:r>
            <w:r>
              <w:rPr>
                <w:b/>
                <w:bCs/>
                <w:lang w:val="en-US" w:eastAsia="fr-FR"/>
              </w:rPr>
              <w:br/>
              <w:t>(g/kg)</w:t>
            </w:r>
          </w:p>
        </w:tc>
        <w:tc>
          <w:tcPr>
            <w:tcW w:w="1133" w:type="dxa"/>
            <w:shd w:val="clear" w:color="auto" w:fill="B8CCE4" w:themeFill="accent1" w:themeFillTint="66"/>
          </w:tcPr>
          <w:p w14:paraId="568E4BCF" w14:textId="1D298B08" w:rsidR="00E874B2" w:rsidRDefault="00E874B2" w:rsidP="00E874B2">
            <w:pPr>
              <w:pStyle w:val="BodyText"/>
              <w:jc w:val="center"/>
              <w:rPr>
                <w:b/>
                <w:bCs/>
                <w:lang w:val="en-US" w:eastAsia="fr-FR"/>
              </w:rPr>
            </w:pPr>
            <w:r>
              <w:rPr>
                <w:b/>
                <w:bCs/>
                <w:lang w:val="en-US" w:eastAsia="fr-FR"/>
              </w:rPr>
              <w:t>EF N</w:t>
            </w:r>
            <w:r w:rsidRPr="00622F40">
              <w:rPr>
                <w:b/>
                <w:bCs/>
                <w:vertAlign w:val="subscript"/>
                <w:lang w:val="en-US" w:eastAsia="fr-FR"/>
              </w:rPr>
              <w:t>2</w:t>
            </w:r>
            <w:r>
              <w:rPr>
                <w:b/>
                <w:bCs/>
                <w:lang w:val="en-US" w:eastAsia="fr-FR"/>
              </w:rPr>
              <w:t>O</w:t>
            </w:r>
            <w:r>
              <w:rPr>
                <w:b/>
                <w:bCs/>
                <w:lang w:val="en-US" w:eastAsia="fr-FR"/>
              </w:rPr>
              <w:br/>
              <w:t>(g/kg)</w:t>
            </w:r>
          </w:p>
        </w:tc>
      </w:tr>
      <w:tr w:rsidR="00E874B2" w14:paraId="755B19EE" w14:textId="439E8FE1">
        <w:trPr>
          <w:jc w:val="center"/>
        </w:trPr>
        <w:tc>
          <w:tcPr>
            <w:tcW w:w="2693" w:type="dxa"/>
          </w:tcPr>
          <w:p w14:paraId="37D298C4" w14:textId="1D22CFFB" w:rsidR="00E874B2" w:rsidRDefault="008A1B91" w:rsidP="00E874B2">
            <w:pPr>
              <w:pStyle w:val="BodyText"/>
              <w:jc w:val="center"/>
              <w:rPr>
                <w:lang w:val="en-US" w:eastAsia="fr-FR"/>
              </w:rPr>
            </w:pPr>
            <w:r>
              <w:rPr>
                <w:lang w:val="en-US" w:eastAsia="fr-FR"/>
              </w:rPr>
              <w:t>Wheat</w:t>
            </w:r>
          </w:p>
        </w:tc>
        <w:tc>
          <w:tcPr>
            <w:tcW w:w="1133" w:type="dxa"/>
          </w:tcPr>
          <w:p w14:paraId="253B7743" w14:textId="0C7F30CD" w:rsidR="00E874B2" w:rsidRDefault="00E874B2" w:rsidP="00E874B2">
            <w:pPr>
              <w:pStyle w:val="BodyText"/>
              <w:jc w:val="center"/>
              <w:rPr>
                <w:lang w:val="en-US" w:eastAsia="fr-FR"/>
              </w:rPr>
            </w:pPr>
            <w:r>
              <w:rPr>
                <w:lang w:val="en-US" w:eastAsia="fr-FR"/>
              </w:rPr>
              <w:t>2.</w:t>
            </w:r>
            <w:r w:rsidR="008A1B91">
              <w:rPr>
                <w:lang w:val="en-US" w:eastAsia="fr-FR"/>
              </w:rPr>
              <w:t>43</w:t>
            </w:r>
          </w:p>
        </w:tc>
        <w:tc>
          <w:tcPr>
            <w:tcW w:w="1133" w:type="dxa"/>
          </w:tcPr>
          <w:p w14:paraId="08CF0D9E" w14:textId="39C72FE7" w:rsidR="00E874B2" w:rsidRDefault="006C7E31" w:rsidP="00E874B2">
            <w:pPr>
              <w:pStyle w:val="BodyText"/>
              <w:jc w:val="center"/>
              <w:rPr>
                <w:lang w:val="en-US" w:eastAsia="fr-FR"/>
              </w:rPr>
            </w:pPr>
            <w:r>
              <w:rPr>
                <w:lang w:val="en-US" w:eastAsia="fr-FR"/>
              </w:rPr>
              <w:t>0.0</w:t>
            </w:r>
            <w:r w:rsidR="008A1B91">
              <w:rPr>
                <w:lang w:val="en-US" w:eastAsia="fr-FR"/>
              </w:rPr>
              <w:t>63</w:t>
            </w:r>
          </w:p>
        </w:tc>
      </w:tr>
      <w:tr w:rsidR="00E874B2" w14:paraId="455CD94E" w14:textId="67B68FB0">
        <w:trPr>
          <w:jc w:val="center"/>
        </w:trPr>
        <w:tc>
          <w:tcPr>
            <w:tcW w:w="2693" w:type="dxa"/>
          </w:tcPr>
          <w:p w14:paraId="42FEC270" w14:textId="2F1F413B" w:rsidR="00E874B2" w:rsidRDefault="00C321A7" w:rsidP="00E874B2">
            <w:pPr>
              <w:pStyle w:val="BodyText"/>
              <w:jc w:val="center"/>
              <w:rPr>
                <w:lang w:val="en-US" w:eastAsia="fr-FR"/>
              </w:rPr>
            </w:pPr>
            <w:r>
              <w:rPr>
                <w:lang w:val="en-US" w:eastAsia="fr-FR"/>
              </w:rPr>
              <w:t>Maize</w:t>
            </w:r>
          </w:p>
        </w:tc>
        <w:tc>
          <w:tcPr>
            <w:tcW w:w="1133" w:type="dxa"/>
          </w:tcPr>
          <w:p w14:paraId="427609A5" w14:textId="43E387A2" w:rsidR="00E874B2" w:rsidRDefault="006B010F" w:rsidP="00E874B2">
            <w:pPr>
              <w:pStyle w:val="BodyText"/>
              <w:jc w:val="center"/>
              <w:rPr>
                <w:lang w:val="en-US" w:eastAsia="fr-FR"/>
              </w:rPr>
            </w:pPr>
            <w:r>
              <w:rPr>
                <w:lang w:val="en-US" w:eastAsia="fr-FR"/>
              </w:rPr>
              <w:t>2.16</w:t>
            </w:r>
          </w:p>
        </w:tc>
        <w:tc>
          <w:tcPr>
            <w:tcW w:w="1133" w:type="dxa"/>
          </w:tcPr>
          <w:p w14:paraId="4E32FE8B" w14:textId="73532F50" w:rsidR="00E874B2" w:rsidRDefault="006B010F" w:rsidP="00E874B2">
            <w:pPr>
              <w:pStyle w:val="BodyText"/>
              <w:jc w:val="center"/>
              <w:rPr>
                <w:lang w:val="en-US" w:eastAsia="fr-FR"/>
              </w:rPr>
            </w:pPr>
            <w:r>
              <w:rPr>
                <w:lang w:val="en-US" w:eastAsia="fr-FR"/>
              </w:rPr>
              <w:t>0.056</w:t>
            </w:r>
          </w:p>
        </w:tc>
      </w:tr>
    </w:tbl>
    <w:p w14:paraId="6775ED1F" w14:textId="77777777" w:rsidR="007B2433" w:rsidRPr="002462F0" w:rsidRDefault="007B2433" w:rsidP="007B2433">
      <w:pPr>
        <w:pStyle w:val="Heading3"/>
        <w:ind w:left="709" w:hanging="709"/>
        <w:rPr>
          <w:lang w:val="en-GB" w:eastAsia="fr-FR"/>
        </w:rPr>
      </w:pPr>
      <w:bookmarkStart w:id="762" w:name="_Toc495655042"/>
      <w:bookmarkStart w:id="763" w:name="_Toc182327938"/>
      <w:bookmarkStart w:id="764" w:name="_Toc184808280"/>
      <w:r w:rsidRPr="002462F0">
        <w:rPr>
          <w:lang w:val="en-GB" w:eastAsia="fr-FR"/>
        </w:rPr>
        <w:t>Uncertainties and time-series consistency</w:t>
      </w:r>
      <w:bookmarkEnd w:id="762"/>
      <w:bookmarkEnd w:id="763"/>
      <w:bookmarkEnd w:id="764"/>
    </w:p>
    <w:p w14:paraId="3216B95F" w14:textId="77777777" w:rsidR="007B2433" w:rsidRPr="002462F0" w:rsidRDefault="007B2433" w:rsidP="007B2433">
      <w:pPr>
        <w:autoSpaceDE w:val="0"/>
        <w:autoSpaceDN w:val="0"/>
        <w:adjustRightInd w:val="0"/>
        <w:spacing w:after="0" w:line="240" w:lineRule="auto"/>
        <w:rPr>
          <w:b/>
          <w:sz w:val="24"/>
          <w:szCs w:val="24"/>
          <w:lang w:eastAsia="fr-FR"/>
        </w:rPr>
      </w:pPr>
      <w:r w:rsidRPr="002462F0">
        <w:rPr>
          <w:b/>
          <w:sz w:val="24"/>
          <w:szCs w:val="24"/>
          <w:lang w:eastAsia="fr-FR"/>
        </w:rPr>
        <w:t>CH</w:t>
      </w:r>
      <w:r w:rsidRPr="002462F0">
        <w:rPr>
          <w:b/>
          <w:sz w:val="24"/>
          <w:szCs w:val="24"/>
          <w:vertAlign w:val="subscript"/>
          <w:lang w:eastAsia="fr-FR"/>
        </w:rPr>
        <w:t>4</w:t>
      </w:r>
    </w:p>
    <w:p w14:paraId="2CD235B3" w14:textId="77777777" w:rsidR="007B2433" w:rsidRPr="002462F0" w:rsidRDefault="007B2433" w:rsidP="007B27F8">
      <w:pPr>
        <w:pStyle w:val="BodyText"/>
        <w:spacing w:after="0"/>
        <w:rPr>
          <w:lang w:eastAsia="fr-FR"/>
        </w:rPr>
      </w:pPr>
      <w:r w:rsidRPr="002462F0">
        <w:rPr>
          <w:lang w:eastAsia="fr-FR"/>
        </w:rPr>
        <w:t>Uncertainty estimate associated with activity data amounts to 30%, based on expert judgment.</w:t>
      </w:r>
    </w:p>
    <w:p w14:paraId="1762D2BF" w14:textId="77777777" w:rsidR="007B2433" w:rsidRPr="002462F0" w:rsidRDefault="007B2433" w:rsidP="007B27F8">
      <w:pPr>
        <w:pStyle w:val="BodyText"/>
        <w:spacing w:after="0"/>
        <w:rPr>
          <w:lang w:eastAsia="fr-FR"/>
        </w:rPr>
      </w:pPr>
      <w:r w:rsidRPr="002462F0">
        <w:rPr>
          <w:lang w:eastAsia="fr-FR"/>
        </w:rPr>
        <w:t>Uncertainty estimate associated with CH</w:t>
      </w:r>
      <w:r w:rsidRPr="002462F0">
        <w:rPr>
          <w:vertAlign w:val="subscript"/>
          <w:lang w:eastAsia="fr-FR"/>
        </w:rPr>
        <w:t>4</w:t>
      </w:r>
      <w:r w:rsidRPr="002462F0">
        <w:rPr>
          <w:lang w:eastAsia="fr-FR"/>
        </w:rPr>
        <w:t xml:space="preserve"> emission factor amounts to 100%, also based on expert judgment. </w:t>
      </w:r>
    </w:p>
    <w:p w14:paraId="453B9E23" w14:textId="609C8F2D" w:rsidR="007B2433" w:rsidRPr="002462F0" w:rsidRDefault="00C163EE" w:rsidP="007B27F8">
      <w:pPr>
        <w:pStyle w:val="BodyText"/>
        <w:spacing w:after="0"/>
        <w:rPr>
          <w:lang w:eastAsia="fr-FR"/>
        </w:rPr>
      </w:pPr>
      <w:r>
        <w:rPr>
          <w:lang w:eastAsia="fr-FR"/>
        </w:rPr>
        <w:t>The</w:t>
      </w:r>
      <w:r w:rsidRPr="002462F0">
        <w:rPr>
          <w:lang w:eastAsia="fr-FR"/>
        </w:rPr>
        <w:t xml:space="preserve"> </w:t>
      </w:r>
      <w:r w:rsidR="007B2433" w:rsidRPr="002462F0">
        <w:rPr>
          <w:lang w:eastAsia="fr-FR"/>
        </w:rPr>
        <w:t xml:space="preserve">uncertainty </w:t>
      </w:r>
      <w:r>
        <w:rPr>
          <w:lang w:eastAsia="fr-FR"/>
        </w:rPr>
        <w:t xml:space="preserve">combined </w:t>
      </w:r>
      <w:r w:rsidR="007B2433" w:rsidRPr="002462F0">
        <w:rPr>
          <w:lang w:eastAsia="fr-FR"/>
        </w:rPr>
        <w:t xml:space="preserve">for emissions is </w:t>
      </w:r>
      <w:r>
        <w:rPr>
          <w:lang w:eastAsia="fr-FR"/>
        </w:rPr>
        <w:t>0.13</w:t>
      </w:r>
      <w:r w:rsidR="007B2433" w:rsidRPr="002462F0">
        <w:rPr>
          <w:lang w:eastAsia="fr-FR"/>
        </w:rPr>
        <w:t>%</w:t>
      </w:r>
      <w:r w:rsidR="002B213C">
        <w:rPr>
          <w:lang w:eastAsia="fr-FR"/>
        </w:rPr>
        <w:t xml:space="preserve"> in the total national levels of emission in 2022, excluding LULUCF contribution</w:t>
      </w:r>
      <w:r w:rsidR="007B2433" w:rsidRPr="002462F0">
        <w:rPr>
          <w:lang w:eastAsia="fr-FR"/>
        </w:rPr>
        <w:t>.</w:t>
      </w:r>
    </w:p>
    <w:p w14:paraId="06C5EF96" w14:textId="77777777" w:rsidR="007B27F8" w:rsidRPr="007B27F8" w:rsidRDefault="007B27F8" w:rsidP="007B27F8">
      <w:pPr>
        <w:autoSpaceDE w:val="0"/>
        <w:autoSpaceDN w:val="0"/>
        <w:adjustRightInd w:val="0"/>
        <w:spacing w:after="0" w:line="240" w:lineRule="auto"/>
        <w:rPr>
          <w:b/>
          <w:szCs w:val="20"/>
          <w:lang w:eastAsia="fr-FR"/>
        </w:rPr>
      </w:pPr>
    </w:p>
    <w:p w14:paraId="1B2E79C3" w14:textId="00EC5D5A" w:rsidR="007B2433" w:rsidRPr="002462F0" w:rsidRDefault="007B2433" w:rsidP="007B27F8">
      <w:pPr>
        <w:autoSpaceDE w:val="0"/>
        <w:autoSpaceDN w:val="0"/>
        <w:adjustRightInd w:val="0"/>
        <w:spacing w:after="0"/>
        <w:rPr>
          <w:b/>
          <w:sz w:val="24"/>
          <w:szCs w:val="24"/>
          <w:lang w:eastAsia="fr-FR"/>
        </w:rPr>
      </w:pPr>
      <w:r w:rsidRPr="002462F0">
        <w:rPr>
          <w:b/>
          <w:sz w:val="24"/>
          <w:szCs w:val="24"/>
          <w:lang w:eastAsia="fr-FR"/>
        </w:rPr>
        <w:t>N</w:t>
      </w:r>
      <w:r w:rsidRPr="002462F0">
        <w:rPr>
          <w:b/>
          <w:sz w:val="24"/>
          <w:szCs w:val="24"/>
          <w:vertAlign w:val="subscript"/>
          <w:lang w:eastAsia="fr-FR"/>
        </w:rPr>
        <w:t>2</w:t>
      </w:r>
      <w:r w:rsidRPr="002462F0">
        <w:rPr>
          <w:b/>
          <w:sz w:val="24"/>
          <w:szCs w:val="24"/>
          <w:lang w:eastAsia="fr-FR"/>
        </w:rPr>
        <w:t>O</w:t>
      </w:r>
    </w:p>
    <w:p w14:paraId="6101E788" w14:textId="77777777" w:rsidR="007B2433" w:rsidRPr="002462F0" w:rsidRDefault="007B2433" w:rsidP="007B27F8">
      <w:pPr>
        <w:pStyle w:val="BodyText"/>
        <w:spacing w:after="0"/>
        <w:rPr>
          <w:lang w:eastAsia="fr-FR"/>
        </w:rPr>
      </w:pPr>
      <w:r w:rsidRPr="002462F0">
        <w:rPr>
          <w:lang w:eastAsia="fr-FR"/>
        </w:rPr>
        <w:t>Uncertainty estimate associated with activity data amounts to 30%, based on expert judgment.</w:t>
      </w:r>
    </w:p>
    <w:p w14:paraId="211C475E" w14:textId="77777777" w:rsidR="007B2433" w:rsidRPr="002462F0" w:rsidRDefault="007B2433" w:rsidP="007B27F8">
      <w:pPr>
        <w:pStyle w:val="BodyText"/>
        <w:spacing w:after="0"/>
        <w:rPr>
          <w:lang w:eastAsia="fr-FR"/>
        </w:rPr>
      </w:pPr>
      <w:r w:rsidRPr="002462F0">
        <w:rPr>
          <w:lang w:eastAsia="fr-FR"/>
        </w:rPr>
        <w:t>Uncertainty estimate associated with CH</w:t>
      </w:r>
      <w:r w:rsidRPr="002462F0">
        <w:rPr>
          <w:vertAlign w:val="subscript"/>
          <w:lang w:eastAsia="fr-FR"/>
        </w:rPr>
        <w:t>4</w:t>
      </w:r>
      <w:r w:rsidRPr="002462F0">
        <w:rPr>
          <w:lang w:eastAsia="fr-FR"/>
        </w:rPr>
        <w:t xml:space="preserve"> emission factor amounts to 100%, also based on expert judgment. </w:t>
      </w:r>
    </w:p>
    <w:p w14:paraId="54EA9765" w14:textId="7D60C9AA" w:rsidR="007B2433" w:rsidRPr="002462F0" w:rsidRDefault="00C163EE" w:rsidP="007B27F8">
      <w:pPr>
        <w:pStyle w:val="BodyText"/>
        <w:spacing w:after="0"/>
        <w:rPr>
          <w:lang w:eastAsia="fr-FR"/>
        </w:rPr>
      </w:pPr>
      <w:r>
        <w:rPr>
          <w:lang w:eastAsia="fr-FR"/>
        </w:rPr>
        <w:t>The</w:t>
      </w:r>
      <w:r w:rsidRPr="002462F0">
        <w:rPr>
          <w:lang w:eastAsia="fr-FR"/>
        </w:rPr>
        <w:t xml:space="preserve"> </w:t>
      </w:r>
      <w:r w:rsidR="007B2433" w:rsidRPr="002462F0">
        <w:rPr>
          <w:lang w:eastAsia="fr-FR"/>
        </w:rPr>
        <w:t xml:space="preserve">uncertainty </w:t>
      </w:r>
      <w:r>
        <w:rPr>
          <w:lang w:eastAsia="fr-FR"/>
        </w:rPr>
        <w:t xml:space="preserve">combined </w:t>
      </w:r>
      <w:r w:rsidR="007B2433" w:rsidRPr="002462F0">
        <w:rPr>
          <w:lang w:eastAsia="fr-FR"/>
        </w:rPr>
        <w:t xml:space="preserve">for emissions is </w:t>
      </w:r>
      <w:r>
        <w:rPr>
          <w:lang w:eastAsia="fr-FR"/>
        </w:rPr>
        <w:t>0.03</w:t>
      </w:r>
      <w:r w:rsidR="007B2433" w:rsidRPr="002462F0">
        <w:rPr>
          <w:lang w:eastAsia="fr-FR"/>
        </w:rPr>
        <w:t>%</w:t>
      </w:r>
      <w:r w:rsidR="002B213C">
        <w:rPr>
          <w:lang w:eastAsia="fr-FR"/>
        </w:rPr>
        <w:t xml:space="preserve"> in the total national levels of emission in 2022, excluding LULUCF contribution</w:t>
      </w:r>
      <w:r w:rsidR="007B2433" w:rsidRPr="002462F0">
        <w:rPr>
          <w:lang w:eastAsia="fr-FR"/>
        </w:rPr>
        <w:t>.</w:t>
      </w:r>
    </w:p>
    <w:p w14:paraId="46BEEB03" w14:textId="77777777" w:rsidR="007B2433" w:rsidRDefault="007B2433" w:rsidP="007B2433">
      <w:pPr>
        <w:pStyle w:val="Heading3"/>
        <w:ind w:left="709" w:hanging="709"/>
        <w:rPr>
          <w:lang w:val="en-GB" w:eastAsia="fr-FR"/>
        </w:rPr>
      </w:pPr>
      <w:r w:rsidRPr="002462F0">
        <w:rPr>
          <w:lang w:val="en-GB" w:eastAsia="fr-FR"/>
        </w:rPr>
        <w:t xml:space="preserve"> </w:t>
      </w:r>
      <w:bookmarkStart w:id="765" w:name="_Toc495655043"/>
      <w:bookmarkStart w:id="766" w:name="_Toc182327939"/>
      <w:bookmarkStart w:id="767" w:name="_Toc184808281"/>
      <w:r w:rsidRPr="002462F0">
        <w:rPr>
          <w:lang w:val="en-GB" w:eastAsia="fr-FR"/>
        </w:rPr>
        <w:t>Category-specific QA/QC and verification</w:t>
      </w:r>
      <w:bookmarkEnd w:id="765"/>
      <w:bookmarkEnd w:id="766"/>
      <w:bookmarkEnd w:id="767"/>
    </w:p>
    <w:p w14:paraId="60E54187" w14:textId="4419C27D" w:rsidR="002B213C" w:rsidRPr="002462F0" w:rsidRDefault="002B213C" w:rsidP="002B213C">
      <w:pPr>
        <w:pStyle w:val="BodyText"/>
        <w:rPr>
          <w:lang w:val="en-US" w:eastAsia="fr-FR"/>
        </w:rPr>
      </w:pPr>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254AAC75" w14:textId="35AB87AC" w:rsidR="007B2433" w:rsidRPr="002462F0" w:rsidRDefault="007B2433" w:rsidP="007B2433">
      <w:pPr>
        <w:pStyle w:val="Heading3"/>
        <w:ind w:left="709" w:hanging="709"/>
        <w:rPr>
          <w:lang w:val="en-GB" w:eastAsia="fr-FR"/>
        </w:rPr>
      </w:pPr>
      <w:bookmarkStart w:id="768" w:name="_Toc495655044"/>
      <w:bookmarkStart w:id="769" w:name="_Toc182327940"/>
      <w:bookmarkStart w:id="770" w:name="_Toc184808282"/>
      <w:r w:rsidRPr="002462F0">
        <w:rPr>
          <w:lang w:val="en-GB" w:eastAsia="fr-FR"/>
        </w:rPr>
        <w:t>Category-specific recalculations</w:t>
      </w:r>
      <w:bookmarkEnd w:id="768"/>
      <w:bookmarkEnd w:id="769"/>
      <w:bookmarkEnd w:id="770"/>
    </w:p>
    <w:p w14:paraId="3CC6BA3A" w14:textId="1575D06D" w:rsidR="007B2433" w:rsidRPr="002462F0" w:rsidRDefault="007B2433" w:rsidP="00D916DB">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2EE325FA" w14:textId="77777777" w:rsidR="007B2433" w:rsidRPr="002462F0" w:rsidRDefault="007B2433" w:rsidP="007B2433">
      <w:pPr>
        <w:pStyle w:val="Heading3"/>
        <w:ind w:left="709" w:hanging="709"/>
        <w:rPr>
          <w:lang w:val="en-GB" w:eastAsia="fr-FR"/>
        </w:rPr>
      </w:pPr>
      <w:bookmarkStart w:id="771" w:name="_Toc495655045"/>
      <w:bookmarkStart w:id="772" w:name="_Toc182327941"/>
      <w:bookmarkStart w:id="773" w:name="_Toc184808283"/>
      <w:r w:rsidRPr="002462F0">
        <w:rPr>
          <w:lang w:val="en-GB" w:eastAsia="fr-FR"/>
        </w:rPr>
        <w:t>Category-specific planned improvements</w:t>
      </w:r>
      <w:bookmarkEnd w:id="771"/>
      <w:bookmarkEnd w:id="772"/>
      <w:bookmarkEnd w:id="773"/>
    </w:p>
    <w:p w14:paraId="7946AD53" w14:textId="052572FA" w:rsidR="006B010F" w:rsidRPr="002462F0" w:rsidRDefault="007B2433" w:rsidP="00D916DB">
      <w:pPr>
        <w:pStyle w:val="BodyText"/>
        <w:rPr>
          <w:lang w:eastAsia="fr-FR"/>
        </w:rPr>
      </w:pPr>
      <w:r w:rsidRPr="002462F0">
        <w:rPr>
          <w:lang w:eastAsia="fr-FR"/>
        </w:rPr>
        <w:t xml:space="preserve">For the </w:t>
      </w:r>
      <w:r w:rsidR="000F6001">
        <w:rPr>
          <w:lang w:eastAsia="fr-FR"/>
        </w:rPr>
        <w:t>CRT</w:t>
      </w:r>
      <w:r w:rsidRPr="002462F0">
        <w:rPr>
          <w:lang w:eastAsia="fr-FR"/>
        </w:rPr>
        <w:t xml:space="preserve"> 3F, the assumption made is that there is no burning of crop residues in Serbia, except for maize and wheat because data were found in the FAO statistics for these crops regarding biomass burnt. An improvement </w:t>
      </w:r>
      <w:r w:rsidRPr="002462F0">
        <w:rPr>
          <w:lang w:eastAsia="fr-FR"/>
        </w:rPr>
        <w:lastRenderedPageBreak/>
        <w:t>can be to further explore this question in order not to miss any emission source and ensure the completeness of this category.</w:t>
      </w:r>
      <w:r w:rsidR="006B010F">
        <w:rPr>
          <w:lang w:eastAsia="fr-FR"/>
        </w:rPr>
        <w:t xml:space="preserve"> </w:t>
      </w:r>
    </w:p>
    <w:p w14:paraId="109D5197" w14:textId="3AFF8BFA" w:rsidR="007B2433" w:rsidRPr="00CF693E" w:rsidRDefault="007B2433" w:rsidP="00CF693E">
      <w:pPr>
        <w:pStyle w:val="Heading2"/>
        <w:rPr>
          <w:rStyle w:val="Heading2Char"/>
          <w:b/>
        </w:rPr>
      </w:pPr>
      <w:bookmarkStart w:id="774" w:name="_Toc495655046"/>
      <w:bookmarkStart w:id="775" w:name="_Toc182327942"/>
      <w:bookmarkStart w:id="776" w:name="_Toc184808284"/>
      <w:r w:rsidRPr="00CF693E">
        <w:rPr>
          <w:rStyle w:val="Heading2Char"/>
          <w:b/>
        </w:rPr>
        <w:t>Urea application (</w:t>
      </w:r>
      <w:r w:rsidR="008931E5">
        <w:rPr>
          <w:rStyle w:val="Heading2Char"/>
          <w:b/>
        </w:rPr>
        <w:t xml:space="preserve">CRF </w:t>
      </w:r>
      <w:r w:rsidRPr="00CF693E">
        <w:rPr>
          <w:rStyle w:val="Heading2Char"/>
          <w:b/>
        </w:rPr>
        <w:t>3H)</w:t>
      </w:r>
      <w:bookmarkEnd w:id="774"/>
      <w:bookmarkEnd w:id="775"/>
      <w:bookmarkEnd w:id="776"/>
    </w:p>
    <w:p w14:paraId="7E4FBCAF" w14:textId="77777777" w:rsidR="007B2433" w:rsidRDefault="007B2433" w:rsidP="007B2433">
      <w:pPr>
        <w:pStyle w:val="Heading3"/>
        <w:ind w:left="709" w:hanging="709"/>
        <w:rPr>
          <w:lang w:val="en-GB" w:eastAsia="fr-FR"/>
        </w:rPr>
      </w:pPr>
      <w:bookmarkStart w:id="777" w:name="_Toc495655047"/>
      <w:bookmarkStart w:id="778" w:name="_Toc182327943"/>
      <w:bookmarkStart w:id="779" w:name="_Toc184808285"/>
      <w:r w:rsidRPr="002462F0">
        <w:rPr>
          <w:lang w:val="en-GB" w:eastAsia="fr-FR"/>
        </w:rPr>
        <w:t>Category description</w:t>
      </w:r>
      <w:bookmarkEnd w:id="777"/>
      <w:bookmarkEnd w:id="778"/>
      <w:bookmarkEnd w:id="779"/>
    </w:p>
    <w:p w14:paraId="54C5F80A" w14:textId="77777777" w:rsidR="00B82ABD" w:rsidRDefault="00B82ABD" w:rsidP="00B82ABD">
      <w:pPr>
        <w:rPr>
          <w:lang w:val="en-US"/>
        </w:rPr>
      </w:pPr>
      <w:r>
        <w:rPr>
          <w:lang w:val="en-US"/>
        </w:rPr>
        <w:t>For this category, the emissions of CO</w:t>
      </w:r>
      <w:r w:rsidRPr="001F0275">
        <w:rPr>
          <w:vertAlign w:val="subscript"/>
          <w:lang w:val="en-US"/>
        </w:rPr>
        <w:t>2</w:t>
      </w:r>
      <w:r>
        <w:rPr>
          <w:lang w:val="en-US"/>
        </w:rPr>
        <w:t xml:space="preserve"> related to the application of urea onto agricultural fields are estimated. The emissions are calculated with a Tier 1 methodology, with a constant EF applied, hence the emissions are directly proportional to the evolution of the activity data. This sector represents the only emissions of CO</w:t>
      </w:r>
      <w:r w:rsidRPr="001F0275">
        <w:rPr>
          <w:vertAlign w:val="subscript"/>
          <w:lang w:val="en-US"/>
        </w:rPr>
        <w:t>2</w:t>
      </w:r>
      <w:r>
        <w:rPr>
          <w:lang w:val="en-US"/>
        </w:rPr>
        <w:t xml:space="preserve"> from the Agriculture sector (which are considered in the emission inventory scope, hence different from CO</w:t>
      </w:r>
      <w:r w:rsidRPr="001F0275">
        <w:rPr>
          <w:vertAlign w:val="subscript"/>
          <w:lang w:val="en-US"/>
        </w:rPr>
        <w:t>2</w:t>
      </w:r>
      <w:r>
        <w:rPr>
          <w:lang w:val="en-US"/>
        </w:rPr>
        <w:t xml:space="preserve"> related to biomass). </w:t>
      </w:r>
    </w:p>
    <w:p w14:paraId="49C98447" w14:textId="4C302E89" w:rsidR="00B82ABD" w:rsidRDefault="00B82ABD" w:rsidP="00B82ABD">
      <w:pPr>
        <w:rPr>
          <w:lang w:val="en-US"/>
        </w:rPr>
      </w:pPr>
      <w:r>
        <w:rPr>
          <w:lang w:val="en-US"/>
        </w:rPr>
        <w:t xml:space="preserve">In the following figure, it can be observed that the emissions are rather stable from 1990 to 2000, before increasing rapidly between 2001 and 2004 (+379% compared with 2000 emission level). After that, a slight reduction is observed until 2014, before increasing significantly and rapidly up to 2016. From 2016 onwards, the data vary significantly. In 2022, the emissions </w:t>
      </w:r>
      <w:r w:rsidR="007B27F8">
        <w:rPr>
          <w:lang w:val="en-US"/>
        </w:rPr>
        <w:t>have increased</w:t>
      </w:r>
      <w:r>
        <w:rPr>
          <w:lang w:val="en-US"/>
        </w:rPr>
        <w:t xml:space="preserve"> by +574% compared with 1990. </w:t>
      </w:r>
    </w:p>
    <w:p w14:paraId="52E4802B" w14:textId="77777777" w:rsidR="00B82ABD" w:rsidRPr="001F0275" w:rsidRDefault="00B82ABD" w:rsidP="00B82ABD">
      <w:pPr>
        <w:rPr>
          <w:lang w:val="en-US"/>
        </w:rPr>
      </w:pPr>
      <w:r>
        <w:rPr>
          <w:lang w:val="en-US"/>
        </w:rPr>
        <w:t xml:space="preserve">This sector has an important growing share in the national and sectoral emission totals. In 2022, this category contributes to 4.4% of the Agriculture sector emissions, whereas it was only 0.5% in 1990. In addition, in the national emissions excluding LULUCF contribution, its share is of 0.3% in 2022 (while it was 10 times less in 1990). </w:t>
      </w:r>
    </w:p>
    <w:p w14:paraId="7405AF4B" w14:textId="4A7A2E0B" w:rsidR="002C6358" w:rsidRPr="002C6358" w:rsidRDefault="00315DD1" w:rsidP="007B27F8">
      <w:pPr>
        <w:spacing w:after="0"/>
        <w:jc w:val="left"/>
      </w:pPr>
      <w:r>
        <w:rPr>
          <w:noProof/>
          <w:lang w:val="en-US"/>
        </w:rPr>
        <w:drawing>
          <wp:inline distT="0" distB="0" distL="0" distR="0" wp14:anchorId="3CDC583F" wp14:editId="05CD37D4">
            <wp:extent cx="5760000" cy="1753712"/>
            <wp:effectExtent l="0" t="0" r="0" b="0"/>
            <wp:docPr id="1811604624"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575FA62E" w14:textId="77777777" w:rsidR="007B27F8" w:rsidRDefault="007B27F8" w:rsidP="007B27F8">
      <w:pPr>
        <w:pStyle w:val="Caption"/>
        <w:keepNext/>
        <w:spacing w:before="0" w:after="0"/>
        <w:jc w:val="left"/>
        <w:rPr>
          <w:noProof/>
        </w:rPr>
      </w:pPr>
      <w:bookmarkStart w:id="780" w:name="_Toc184808503"/>
      <w:r w:rsidRPr="00622F40">
        <w:t xml:space="preserve">Figure </w:t>
      </w:r>
      <w:r w:rsidRPr="00622F40">
        <w:fldChar w:fldCharType="begin"/>
      </w:r>
      <w:r w:rsidRPr="00622F40">
        <w:instrText xml:space="preserve"> SEQ Figure \* ARABIC </w:instrText>
      </w:r>
      <w:r w:rsidRPr="00622F40">
        <w:fldChar w:fldCharType="separate"/>
      </w:r>
      <w:r>
        <w:rPr>
          <w:noProof/>
        </w:rPr>
        <w:t>116</w:t>
      </w:r>
      <w:r w:rsidRPr="00622F40">
        <w:fldChar w:fldCharType="end"/>
      </w:r>
      <w:r w:rsidRPr="00622F40">
        <w:rPr>
          <w:noProof/>
        </w:rPr>
        <w:t xml:space="preserve"> : GHG emissions from urea application (</w:t>
      </w:r>
      <w:r>
        <w:rPr>
          <w:noProof/>
        </w:rPr>
        <w:t>CRT</w:t>
      </w:r>
      <w:r w:rsidRPr="00622F40">
        <w:rPr>
          <w:noProof/>
        </w:rPr>
        <w:t xml:space="preserve"> 3H) (kt CO</w:t>
      </w:r>
      <w:r w:rsidRPr="00622F40">
        <w:rPr>
          <w:noProof/>
          <w:vertAlign w:val="subscript"/>
        </w:rPr>
        <w:t>2</w:t>
      </w:r>
      <w:r w:rsidRPr="00622F40">
        <w:rPr>
          <w:noProof/>
        </w:rPr>
        <w:t>e)</w:t>
      </w:r>
      <w:bookmarkEnd w:id="780"/>
    </w:p>
    <w:p w14:paraId="1AB2C5EC" w14:textId="77777777" w:rsidR="007B27F8" w:rsidRDefault="007B27F8" w:rsidP="00D916DB">
      <w:pPr>
        <w:pStyle w:val="BodyText"/>
        <w:rPr>
          <w:lang w:eastAsia="fr-FR"/>
        </w:rPr>
      </w:pPr>
    </w:p>
    <w:p w14:paraId="54067391" w14:textId="20B6AA5F" w:rsidR="007B2433" w:rsidRPr="002462F0" w:rsidRDefault="007B2433" w:rsidP="00D916DB">
      <w:pPr>
        <w:pStyle w:val="BodyText"/>
        <w:rPr>
          <w:lang w:eastAsia="fr-FR"/>
        </w:rPr>
      </w:pPr>
      <w:r w:rsidRPr="002462F0">
        <w:rPr>
          <w:lang w:eastAsia="fr-FR"/>
        </w:rPr>
        <w:t xml:space="preserve">In </w:t>
      </w:r>
      <w:r w:rsidR="0029699C">
        <w:rPr>
          <w:lang w:eastAsia="fr-FR"/>
        </w:rPr>
        <w:t>2022</w:t>
      </w:r>
      <w:r w:rsidRPr="002462F0">
        <w:rPr>
          <w:lang w:eastAsia="fr-FR"/>
        </w:rPr>
        <w:t xml:space="preserve">, the </w:t>
      </w:r>
      <w:r w:rsidR="00675FF7">
        <w:rPr>
          <w:lang w:eastAsia="fr-FR"/>
        </w:rPr>
        <w:t xml:space="preserve">CRT </w:t>
      </w:r>
      <w:r w:rsidRPr="002462F0">
        <w:rPr>
          <w:lang w:eastAsia="fr-FR"/>
        </w:rPr>
        <w:t>3H sector is a key category for CO</w:t>
      </w:r>
      <w:r w:rsidRPr="002462F0">
        <w:rPr>
          <w:vertAlign w:val="subscript"/>
          <w:lang w:eastAsia="fr-FR"/>
        </w:rPr>
        <w:t>2</w:t>
      </w:r>
      <w:r w:rsidRPr="002462F0">
        <w:rPr>
          <w:lang w:eastAsia="fr-FR"/>
        </w:rPr>
        <w:t xml:space="preserve"> in </w:t>
      </w:r>
      <w:r w:rsidR="00ED6261">
        <w:rPr>
          <w:lang w:eastAsia="fr-FR"/>
        </w:rPr>
        <w:t xml:space="preserve">the Republic of </w:t>
      </w:r>
      <w:r w:rsidRPr="002462F0">
        <w:rPr>
          <w:lang w:eastAsia="fr-FR"/>
        </w:rPr>
        <w:t>Serbia</w:t>
      </w:r>
      <w:r w:rsidR="00ED6261">
        <w:rPr>
          <w:lang w:eastAsia="fr-FR"/>
        </w:rPr>
        <w:t>, both in terms of emission levels and trend</w:t>
      </w:r>
      <w:r w:rsidRPr="002462F0">
        <w:rPr>
          <w:lang w:eastAsia="fr-FR"/>
        </w:rPr>
        <w:t xml:space="preserve">. This sector contributes to </w:t>
      </w:r>
      <w:r w:rsidR="00640D43">
        <w:rPr>
          <w:lang w:eastAsia="fr-FR"/>
        </w:rPr>
        <w:t>0</w:t>
      </w:r>
      <w:r w:rsidR="00ED6261">
        <w:rPr>
          <w:lang w:eastAsia="fr-FR"/>
        </w:rPr>
        <w:t>.3</w:t>
      </w:r>
      <w:r w:rsidRPr="002462F0">
        <w:rPr>
          <w:lang w:eastAsia="fr-FR"/>
        </w:rPr>
        <w:t xml:space="preserve">% in </w:t>
      </w:r>
      <w:r w:rsidR="00640D43">
        <w:rPr>
          <w:lang w:eastAsia="fr-FR"/>
        </w:rPr>
        <w:t>terms of emission</w:t>
      </w:r>
      <w:r w:rsidR="009C53AE">
        <w:rPr>
          <w:lang w:eastAsia="fr-FR"/>
        </w:rPr>
        <w:t xml:space="preserve"> level </w:t>
      </w:r>
      <w:r w:rsidR="00640D43">
        <w:rPr>
          <w:lang w:eastAsia="fr-FR"/>
        </w:rPr>
        <w:t>(rank 3</w:t>
      </w:r>
      <w:r w:rsidR="009C53AE">
        <w:rPr>
          <w:lang w:eastAsia="fr-FR"/>
        </w:rPr>
        <w:t>2</w:t>
      </w:r>
      <w:r w:rsidRPr="002462F0">
        <w:rPr>
          <w:lang w:eastAsia="fr-FR"/>
        </w:rPr>
        <w:t>)</w:t>
      </w:r>
      <w:r w:rsidR="009C53AE">
        <w:rPr>
          <w:lang w:eastAsia="fr-FR"/>
        </w:rPr>
        <w:t xml:space="preserve"> and to 0.7% in emission trend (rank 32)</w:t>
      </w:r>
      <w:r w:rsidRPr="002462F0">
        <w:rPr>
          <w:lang w:eastAsia="fr-FR"/>
        </w:rPr>
        <w:t xml:space="preserve">. </w:t>
      </w:r>
    </w:p>
    <w:p w14:paraId="168C7465" w14:textId="48D1F111" w:rsidR="007B2433" w:rsidRDefault="007B2433" w:rsidP="007B2433">
      <w:pPr>
        <w:pStyle w:val="Heading3"/>
        <w:ind w:left="709" w:hanging="709"/>
        <w:rPr>
          <w:lang w:val="en-GB" w:eastAsia="fr-FR"/>
        </w:rPr>
      </w:pPr>
      <w:bookmarkStart w:id="781" w:name="_Toc182327944"/>
      <w:bookmarkStart w:id="782" w:name="_Toc184808286"/>
      <w:bookmarkStart w:id="783" w:name="_Toc495655048"/>
      <w:r w:rsidRPr="002462F0">
        <w:rPr>
          <w:lang w:val="en-GB" w:eastAsia="fr-FR"/>
        </w:rPr>
        <w:t>Methodological issues</w:t>
      </w:r>
      <w:bookmarkEnd w:id="781"/>
      <w:bookmarkEnd w:id="782"/>
      <w:r w:rsidRPr="002462F0">
        <w:rPr>
          <w:lang w:val="en-GB" w:eastAsia="fr-FR"/>
        </w:rPr>
        <w:t xml:space="preserve"> </w:t>
      </w:r>
      <w:bookmarkEnd w:id="783"/>
    </w:p>
    <w:p w14:paraId="267A832C" w14:textId="6B1FAB6E" w:rsidR="00CD609F" w:rsidRPr="0003002C" w:rsidRDefault="00CD609F" w:rsidP="00CD609F">
      <w:pPr>
        <w:pStyle w:val="BodyText"/>
        <w:rPr>
          <w:lang w:val="en-US" w:eastAsia="fr-FR"/>
        </w:rPr>
      </w:pPr>
      <w:r>
        <w:rPr>
          <w:lang w:val="en-US" w:eastAsia="fr-FR"/>
        </w:rPr>
        <w:t xml:space="preserve">GHG emissions from </w:t>
      </w:r>
      <w:r w:rsidR="00B66548">
        <w:rPr>
          <w:lang w:val="en-US" w:eastAsia="fr-FR"/>
        </w:rPr>
        <w:t>urea application</w:t>
      </w:r>
      <w:r w:rsidRPr="0003002C">
        <w:rPr>
          <w:lang w:val="en-US" w:eastAsia="fr-FR"/>
        </w:rPr>
        <w:t xml:space="preserve"> are calculated with a Tier 1 approach which is in line with the 2006 IPCC Guidelines</w:t>
      </w:r>
      <w:r w:rsidR="00B66548">
        <w:rPr>
          <w:lang w:val="en-US" w:eastAsia="fr-FR"/>
        </w:rPr>
        <w:t xml:space="preserve"> </w:t>
      </w:r>
      <w:r w:rsidR="00B66548">
        <w:rPr>
          <w:lang w:val="en-US" w:eastAsia="fr-FR"/>
        </w:rPr>
        <w:fldChar w:fldCharType="begin"/>
      </w:r>
      <w:r w:rsidR="00B66548">
        <w:rPr>
          <w:lang w:val="en-US" w:eastAsia="fr-FR"/>
        </w:rPr>
        <w:instrText xml:space="preserve"> REF _Ref496778643 \r \h </w:instrText>
      </w:r>
      <w:r w:rsidR="00B66548">
        <w:rPr>
          <w:lang w:val="en-US" w:eastAsia="fr-FR"/>
        </w:rPr>
      </w:r>
      <w:r w:rsidR="00B66548">
        <w:rPr>
          <w:lang w:val="en-US" w:eastAsia="fr-FR"/>
        </w:rPr>
        <w:fldChar w:fldCharType="separate"/>
      </w:r>
      <w:r w:rsidR="00F14C78">
        <w:rPr>
          <w:lang w:val="en-US" w:eastAsia="fr-FR"/>
        </w:rPr>
        <w:t>[A17]</w:t>
      </w:r>
      <w:r w:rsidR="00B66548">
        <w:rPr>
          <w:lang w:val="en-US" w:eastAsia="fr-FR"/>
        </w:rPr>
        <w:fldChar w:fldCharType="end"/>
      </w:r>
      <w:r w:rsidRPr="0003002C">
        <w:rPr>
          <w:lang w:val="en-US" w:eastAsia="fr-FR"/>
        </w:rPr>
        <w:t xml:space="preserve">. </w:t>
      </w:r>
    </w:p>
    <w:p w14:paraId="4506E382" w14:textId="63343B48" w:rsidR="00CD609F" w:rsidRPr="0003002C" w:rsidRDefault="00CD609F" w:rsidP="00CD609F">
      <w:pPr>
        <w:pStyle w:val="BodyText"/>
        <w:rPr>
          <w:lang w:val="en-US" w:eastAsia="fr-FR"/>
        </w:rPr>
      </w:pPr>
      <w:r w:rsidRPr="0003002C">
        <w:rPr>
          <w:lang w:val="en-US" w:eastAsia="fr-FR"/>
        </w:rPr>
        <w:t xml:space="preserve">Activity data used </w:t>
      </w:r>
      <w:r w:rsidR="00DC43DD">
        <w:rPr>
          <w:lang w:val="en-US" w:eastAsia="fr-FR"/>
        </w:rPr>
        <w:t>are</w:t>
      </w:r>
      <w:r w:rsidR="00DC43DD" w:rsidRPr="0003002C">
        <w:rPr>
          <w:lang w:val="en-US" w:eastAsia="fr-FR"/>
        </w:rPr>
        <w:t xml:space="preserve"> </w:t>
      </w:r>
      <w:r>
        <w:rPr>
          <w:lang w:val="en-US" w:eastAsia="fr-FR"/>
        </w:rPr>
        <w:t xml:space="preserve">the </w:t>
      </w:r>
      <w:r w:rsidR="00DC43DD">
        <w:rPr>
          <w:lang w:val="en-US" w:eastAsia="fr-FR"/>
        </w:rPr>
        <w:t xml:space="preserve">annual </w:t>
      </w:r>
      <w:r>
        <w:rPr>
          <w:lang w:val="en-US" w:eastAsia="fr-FR"/>
        </w:rPr>
        <w:t>quantit</w:t>
      </w:r>
      <w:r w:rsidR="00A155EC">
        <w:rPr>
          <w:lang w:val="en-US" w:eastAsia="fr-FR"/>
        </w:rPr>
        <w:t>ies</w:t>
      </w:r>
      <w:r>
        <w:rPr>
          <w:lang w:val="en-US" w:eastAsia="fr-FR"/>
        </w:rPr>
        <w:t xml:space="preserve"> of </w:t>
      </w:r>
      <w:r w:rsidR="00B66548">
        <w:rPr>
          <w:lang w:val="en-US" w:eastAsia="fr-FR"/>
        </w:rPr>
        <w:t>urea</w:t>
      </w:r>
      <w:r>
        <w:rPr>
          <w:lang w:val="en-US" w:eastAsia="fr-FR"/>
        </w:rPr>
        <w:t xml:space="preserve"> </w:t>
      </w:r>
      <w:r w:rsidR="00A155EC">
        <w:rPr>
          <w:lang w:val="en-US" w:eastAsia="fr-FR"/>
        </w:rPr>
        <w:t xml:space="preserve">applied to agricultural soils, </w:t>
      </w:r>
      <w:r w:rsidR="00DC43DD">
        <w:rPr>
          <w:lang w:val="en-US" w:eastAsia="fr-FR"/>
        </w:rPr>
        <w:t xml:space="preserve">which </w:t>
      </w:r>
      <w:r w:rsidR="00A155EC">
        <w:rPr>
          <w:lang w:val="en-US" w:eastAsia="fr-FR"/>
        </w:rPr>
        <w:t>are</w:t>
      </w:r>
      <w:r w:rsidR="00DC43DD">
        <w:rPr>
          <w:lang w:val="en-US" w:eastAsia="fr-FR"/>
        </w:rPr>
        <w:t xml:space="preserve"> taken from </w:t>
      </w:r>
      <w:r w:rsidR="002C6358">
        <w:rPr>
          <w:lang w:val="en-US" w:eastAsia="fr-FR"/>
        </w:rPr>
        <w:t>SORS</w:t>
      </w:r>
      <w:r w:rsidR="00A96E96">
        <w:rPr>
          <w:lang w:val="en-US" w:eastAsia="fr-FR"/>
        </w:rPr>
        <w:t xml:space="preserve"> </w:t>
      </w:r>
      <w:r w:rsidR="004F5C1C">
        <w:rPr>
          <w:lang w:val="en-US" w:eastAsia="fr-FR"/>
        </w:rPr>
        <w:fldChar w:fldCharType="begin"/>
      </w:r>
      <w:r w:rsidR="004F5C1C">
        <w:rPr>
          <w:lang w:val="en-US" w:eastAsia="fr-FR"/>
        </w:rPr>
        <w:instrText xml:space="preserve"> REF _Ref179300146 \r \h </w:instrText>
      </w:r>
      <w:r w:rsidR="004F5C1C">
        <w:rPr>
          <w:lang w:val="en-US" w:eastAsia="fr-FR"/>
        </w:rPr>
      </w:r>
      <w:r w:rsidR="004F5C1C">
        <w:rPr>
          <w:lang w:val="en-US" w:eastAsia="fr-FR"/>
        </w:rPr>
        <w:fldChar w:fldCharType="separate"/>
      </w:r>
      <w:r w:rsidR="00F14C78">
        <w:rPr>
          <w:lang w:val="en-US" w:eastAsia="fr-FR"/>
        </w:rPr>
        <w:t>[A18]</w:t>
      </w:r>
      <w:r w:rsidR="004F5C1C">
        <w:rPr>
          <w:lang w:val="en-US" w:eastAsia="fr-FR"/>
        </w:rPr>
        <w:fldChar w:fldCharType="end"/>
      </w:r>
      <w:r w:rsidR="002C6358">
        <w:rPr>
          <w:lang w:val="en-US" w:eastAsia="fr-FR"/>
        </w:rPr>
        <w:t>.</w:t>
      </w:r>
      <w:r w:rsidRPr="0003002C">
        <w:rPr>
          <w:lang w:val="en-US" w:eastAsia="fr-FR"/>
        </w:rPr>
        <w:t xml:space="preserve"> </w:t>
      </w:r>
    </w:p>
    <w:p w14:paraId="3452D8BB" w14:textId="70C58D30" w:rsidR="00CD609F" w:rsidRPr="002462F0" w:rsidRDefault="00CD609F" w:rsidP="00CD609F">
      <w:pPr>
        <w:pStyle w:val="BodyText"/>
        <w:rPr>
          <w:lang w:val="en-US" w:eastAsia="fr-FR"/>
        </w:rPr>
      </w:pPr>
      <w:r w:rsidRPr="0003002C">
        <w:rPr>
          <w:lang w:val="en-US" w:eastAsia="fr-FR"/>
        </w:rPr>
        <w:t xml:space="preserve">Emission factor used for calculating </w:t>
      </w:r>
      <w:r>
        <w:rPr>
          <w:lang w:val="en-US" w:eastAsia="fr-FR"/>
        </w:rPr>
        <w:t>GHG</w:t>
      </w:r>
      <w:r w:rsidRPr="0003002C">
        <w:rPr>
          <w:lang w:val="en-US" w:eastAsia="fr-FR"/>
        </w:rPr>
        <w:t xml:space="preserve"> emissions come</w:t>
      </w:r>
      <w:r w:rsidR="00741469">
        <w:rPr>
          <w:lang w:val="en-US" w:eastAsia="fr-FR"/>
        </w:rPr>
        <w:t>s</w:t>
      </w:r>
      <w:r w:rsidRPr="0003002C">
        <w:rPr>
          <w:lang w:val="en-US" w:eastAsia="fr-FR"/>
        </w:rPr>
        <w:t xml:space="preserve"> from 2006 IPCC guidelines</w:t>
      </w:r>
      <w:r w:rsidR="00B66548">
        <w:rPr>
          <w:lang w:val="en-US" w:eastAsia="fr-FR"/>
        </w:rPr>
        <w:t xml:space="preserve"> </w:t>
      </w:r>
      <w:r w:rsidR="00B66548">
        <w:rPr>
          <w:lang w:val="en-US" w:eastAsia="fr-FR"/>
        </w:rPr>
        <w:fldChar w:fldCharType="begin"/>
      </w:r>
      <w:r w:rsidR="00B66548">
        <w:rPr>
          <w:lang w:val="en-US" w:eastAsia="fr-FR"/>
        </w:rPr>
        <w:instrText xml:space="preserve"> REF _Ref496778648 \r \h </w:instrText>
      </w:r>
      <w:r w:rsidR="00B66548">
        <w:rPr>
          <w:lang w:val="en-US" w:eastAsia="fr-FR"/>
        </w:rPr>
      </w:r>
      <w:r w:rsidR="00B66548">
        <w:rPr>
          <w:lang w:val="en-US" w:eastAsia="fr-FR"/>
        </w:rPr>
        <w:fldChar w:fldCharType="separate"/>
      </w:r>
      <w:r w:rsidR="00F14C78">
        <w:rPr>
          <w:lang w:val="en-US" w:eastAsia="fr-FR"/>
        </w:rPr>
        <w:t>[A19]</w:t>
      </w:r>
      <w:r w:rsidR="00B66548">
        <w:rPr>
          <w:lang w:val="en-US" w:eastAsia="fr-FR"/>
        </w:rPr>
        <w:fldChar w:fldCharType="end"/>
      </w:r>
      <w:r w:rsidR="00741469">
        <w:rPr>
          <w:lang w:val="en-US" w:eastAsia="fr-FR"/>
        </w:rPr>
        <w:t xml:space="preserve"> and the value is of 0.2 t C/t urea, which corresponds to about 733</w:t>
      </w:r>
      <w:r w:rsidR="00960870">
        <w:rPr>
          <w:lang w:val="en-US" w:eastAsia="fr-FR"/>
        </w:rPr>
        <w:t>.</w:t>
      </w:r>
      <w:r w:rsidR="00741469">
        <w:rPr>
          <w:lang w:val="en-US" w:eastAsia="fr-FR"/>
        </w:rPr>
        <w:t>3 kg/</w:t>
      </w:r>
      <w:r w:rsidR="004168C0">
        <w:rPr>
          <w:lang w:val="en-US" w:eastAsia="fr-FR"/>
        </w:rPr>
        <w:t>t</w:t>
      </w:r>
      <w:r w:rsidRPr="0003002C">
        <w:rPr>
          <w:lang w:val="en-US" w:eastAsia="fr-FR"/>
        </w:rPr>
        <w:t>.</w:t>
      </w:r>
    </w:p>
    <w:p w14:paraId="2559FDB1" w14:textId="77777777" w:rsidR="007B2433" w:rsidRPr="002462F0" w:rsidRDefault="007B2433" w:rsidP="007B2433">
      <w:pPr>
        <w:pStyle w:val="Heading3"/>
        <w:ind w:left="709" w:hanging="709"/>
        <w:rPr>
          <w:lang w:val="en-GB" w:eastAsia="fr-FR"/>
        </w:rPr>
      </w:pPr>
      <w:r w:rsidRPr="002462F0">
        <w:rPr>
          <w:lang w:val="en-GB" w:eastAsia="fr-FR"/>
        </w:rPr>
        <w:lastRenderedPageBreak/>
        <w:t xml:space="preserve"> </w:t>
      </w:r>
      <w:bookmarkStart w:id="784" w:name="_Toc495655049"/>
      <w:bookmarkStart w:id="785" w:name="_Toc182327945"/>
      <w:bookmarkStart w:id="786" w:name="_Toc184808287"/>
      <w:r w:rsidRPr="002462F0">
        <w:rPr>
          <w:lang w:val="en-GB" w:eastAsia="fr-FR"/>
        </w:rPr>
        <w:t>Uncertainties and time-series consistency</w:t>
      </w:r>
      <w:bookmarkEnd w:id="784"/>
      <w:bookmarkEnd w:id="785"/>
      <w:bookmarkEnd w:id="786"/>
    </w:p>
    <w:p w14:paraId="08662F38" w14:textId="77777777" w:rsidR="007B2433" w:rsidRPr="002462F0" w:rsidRDefault="007B2433" w:rsidP="00D916DB">
      <w:pPr>
        <w:pStyle w:val="BodyText"/>
        <w:rPr>
          <w:lang w:eastAsia="fr-FR"/>
        </w:rPr>
      </w:pPr>
      <w:r w:rsidRPr="002462F0">
        <w:rPr>
          <w:lang w:eastAsia="fr-FR"/>
        </w:rPr>
        <w:t>Uncertainty estimate associated with activity data amounts to 5%, based on expert judgment.</w:t>
      </w:r>
    </w:p>
    <w:p w14:paraId="532E287F" w14:textId="77777777" w:rsidR="007B2433" w:rsidRPr="002462F0" w:rsidRDefault="007B2433" w:rsidP="00D916DB">
      <w:pPr>
        <w:pStyle w:val="BodyText"/>
        <w:rPr>
          <w:lang w:eastAsia="fr-FR"/>
        </w:rPr>
      </w:pPr>
      <w:r w:rsidRPr="002462F0">
        <w:rPr>
          <w:lang w:eastAsia="fr-FR"/>
        </w:rPr>
        <w:t>Uncertainty estimate associated with CO</w:t>
      </w:r>
      <w:r w:rsidRPr="002462F0">
        <w:rPr>
          <w:vertAlign w:val="subscript"/>
          <w:lang w:eastAsia="fr-FR"/>
        </w:rPr>
        <w:t>2</w:t>
      </w:r>
      <w:r w:rsidRPr="002462F0">
        <w:rPr>
          <w:lang w:eastAsia="fr-FR"/>
        </w:rPr>
        <w:t xml:space="preserve"> emission factor amounts to 50%, also based on 2006 IPCC Guidelines (Volume 4, Chapter 11, p.11.32).</w:t>
      </w:r>
    </w:p>
    <w:p w14:paraId="2CD46FF9" w14:textId="1F27ED1A" w:rsidR="007B2433" w:rsidRPr="002462F0" w:rsidRDefault="00E6351A" w:rsidP="00D916DB">
      <w:pPr>
        <w:pStyle w:val="BodyText"/>
        <w:rPr>
          <w:lang w:eastAsia="fr-FR"/>
        </w:rPr>
      </w:pPr>
      <w:r>
        <w:rPr>
          <w:lang w:eastAsia="fr-FR"/>
        </w:rPr>
        <w:t>The</w:t>
      </w:r>
      <w:r w:rsidRPr="002462F0">
        <w:rPr>
          <w:lang w:eastAsia="fr-FR"/>
        </w:rPr>
        <w:t xml:space="preserve"> </w:t>
      </w:r>
      <w:r w:rsidR="007B2433" w:rsidRPr="002462F0">
        <w:rPr>
          <w:lang w:eastAsia="fr-FR"/>
        </w:rPr>
        <w:t xml:space="preserve">uncertainty </w:t>
      </w:r>
      <w:r>
        <w:rPr>
          <w:lang w:eastAsia="fr-FR"/>
        </w:rPr>
        <w:t xml:space="preserve">combined </w:t>
      </w:r>
      <w:r w:rsidR="007B2433" w:rsidRPr="002462F0">
        <w:rPr>
          <w:lang w:eastAsia="fr-FR"/>
        </w:rPr>
        <w:t xml:space="preserve">for emissions is </w:t>
      </w:r>
      <w:r w:rsidR="005D3C44">
        <w:rPr>
          <w:lang w:eastAsia="fr-FR"/>
        </w:rPr>
        <w:t>0.2</w:t>
      </w:r>
      <w:r w:rsidR="007B2433" w:rsidRPr="002462F0">
        <w:rPr>
          <w:lang w:eastAsia="fr-FR"/>
        </w:rPr>
        <w:t>%</w:t>
      </w:r>
      <w:r w:rsidRPr="00E6351A">
        <w:rPr>
          <w:lang w:eastAsia="fr-FR"/>
        </w:rPr>
        <w:t xml:space="preserve"> </w:t>
      </w:r>
      <w:r>
        <w:rPr>
          <w:lang w:eastAsia="fr-FR"/>
        </w:rPr>
        <w:t>in the total national levels of emission in 2022, excluding LULUCF contribution</w:t>
      </w:r>
      <w:r w:rsidR="007B2433" w:rsidRPr="002462F0">
        <w:rPr>
          <w:lang w:eastAsia="fr-FR"/>
        </w:rPr>
        <w:t>.</w:t>
      </w:r>
    </w:p>
    <w:p w14:paraId="6CD86325" w14:textId="02BAEB0F" w:rsidR="007B2433" w:rsidRDefault="007B2433" w:rsidP="007B2433">
      <w:pPr>
        <w:pStyle w:val="Heading3"/>
        <w:ind w:left="709" w:hanging="709"/>
        <w:rPr>
          <w:lang w:val="en-GB" w:eastAsia="fr-FR"/>
        </w:rPr>
      </w:pPr>
      <w:bookmarkStart w:id="787" w:name="_Toc495655050"/>
      <w:bookmarkStart w:id="788" w:name="_Toc182327946"/>
      <w:bookmarkStart w:id="789" w:name="_Toc184808288"/>
      <w:r w:rsidRPr="002462F0">
        <w:rPr>
          <w:lang w:val="en-GB" w:eastAsia="fr-FR"/>
        </w:rPr>
        <w:t>Category-specific QA/QC and verification</w:t>
      </w:r>
      <w:bookmarkEnd w:id="787"/>
      <w:bookmarkEnd w:id="788"/>
      <w:bookmarkEnd w:id="789"/>
    </w:p>
    <w:p w14:paraId="32802D59" w14:textId="14A27C89" w:rsidR="000A1999" w:rsidRPr="002462F0" w:rsidRDefault="000A1999" w:rsidP="000A1999">
      <w:pPr>
        <w:pStyle w:val="BodyText"/>
        <w:rPr>
          <w:lang w:val="en-US" w:eastAsia="fr-FR"/>
        </w:rPr>
      </w:pPr>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44606B6A" w14:textId="02B55CEF" w:rsidR="007B2433" w:rsidRPr="002462F0" w:rsidRDefault="007B2433" w:rsidP="007B2433">
      <w:pPr>
        <w:pStyle w:val="Heading3"/>
        <w:ind w:left="709" w:hanging="709"/>
        <w:rPr>
          <w:lang w:val="en-GB" w:eastAsia="fr-FR"/>
        </w:rPr>
      </w:pPr>
      <w:bookmarkStart w:id="790" w:name="_Toc495655051"/>
      <w:bookmarkStart w:id="791" w:name="_Toc182327947"/>
      <w:bookmarkStart w:id="792" w:name="_Toc184808289"/>
      <w:r w:rsidRPr="002462F0">
        <w:rPr>
          <w:lang w:val="en-GB" w:eastAsia="fr-FR"/>
        </w:rPr>
        <w:t>Category-specific recalculations</w:t>
      </w:r>
      <w:bookmarkEnd w:id="790"/>
      <w:bookmarkEnd w:id="791"/>
      <w:bookmarkEnd w:id="792"/>
    </w:p>
    <w:p w14:paraId="4205ADC8" w14:textId="46EE4BFD" w:rsidR="007B2433" w:rsidRPr="002462F0" w:rsidRDefault="007B2433" w:rsidP="00D916DB">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6EE89730" w14:textId="77777777" w:rsidR="007B2433" w:rsidRPr="002462F0" w:rsidRDefault="007B2433" w:rsidP="007B2433">
      <w:pPr>
        <w:pStyle w:val="Heading3"/>
        <w:ind w:left="709" w:hanging="709"/>
        <w:rPr>
          <w:lang w:val="en-GB" w:eastAsia="fr-FR"/>
        </w:rPr>
      </w:pPr>
      <w:bookmarkStart w:id="793" w:name="_Toc495655052"/>
      <w:bookmarkStart w:id="794" w:name="_Toc182327948"/>
      <w:bookmarkStart w:id="795" w:name="_Toc184808290"/>
      <w:r w:rsidRPr="002462F0">
        <w:rPr>
          <w:lang w:val="en-GB" w:eastAsia="fr-FR"/>
        </w:rPr>
        <w:t>Category-specific planned improvements</w:t>
      </w:r>
      <w:bookmarkEnd w:id="793"/>
      <w:bookmarkEnd w:id="794"/>
      <w:bookmarkEnd w:id="795"/>
    </w:p>
    <w:p w14:paraId="6356DE4B" w14:textId="162AE6A1" w:rsidR="00D5437B" w:rsidRPr="002462F0" w:rsidRDefault="00290CDC" w:rsidP="00614555">
      <w:pPr>
        <w:autoSpaceDE w:val="0"/>
        <w:autoSpaceDN w:val="0"/>
        <w:adjustRightInd w:val="0"/>
        <w:spacing w:after="0" w:line="240" w:lineRule="auto"/>
        <w:jc w:val="left"/>
        <w:rPr>
          <w:sz w:val="24"/>
          <w:szCs w:val="24"/>
          <w:lang w:eastAsia="fr-FR"/>
        </w:rPr>
      </w:pPr>
      <w:r>
        <w:rPr>
          <w:lang w:eastAsia="fr-FR"/>
        </w:rPr>
        <w:t xml:space="preserve">No improvement is planned for this specific category, for the moment. </w:t>
      </w:r>
    </w:p>
    <w:p w14:paraId="717437AF" w14:textId="77777777" w:rsidR="00CF693E" w:rsidRPr="007B27F8" w:rsidRDefault="00CF693E" w:rsidP="007B27F8">
      <w:pPr>
        <w:pStyle w:val="BodyText"/>
      </w:pPr>
      <w:bookmarkStart w:id="796" w:name="_Toc496101070"/>
      <w:r w:rsidRPr="007B27F8">
        <w:br w:type="page"/>
      </w:r>
    </w:p>
    <w:p w14:paraId="4AADB725" w14:textId="428E1996" w:rsidR="00614555" w:rsidRPr="002462F0" w:rsidRDefault="00614555" w:rsidP="00596866">
      <w:pPr>
        <w:pStyle w:val="Title"/>
        <w:spacing w:after="0"/>
        <w:rPr>
          <w:lang w:eastAsia="fr-FR"/>
        </w:rPr>
      </w:pPr>
      <w:bookmarkStart w:id="797" w:name="_Toc182327949"/>
      <w:bookmarkStart w:id="798" w:name="_Toc184808291"/>
      <w:r w:rsidRPr="002462F0">
        <w:rPr>
          <w:lang w:eastAsia="fr-FR"/>
        </w:rPr>
        <w:lastRenderedPageBreak/>
        <w:t xml:space="preserve">Chapter 6: Land </w:t>
      </w:r>
      <w:r w:rsidR="007B27F8">
        <w:rPr>
          <w:lang w:eastAsia="fr-FR"/>
        </w:rPr>
        <w:t>U</w:t>
      </w:r>
      <w:r w:rsidRPr="002462F0">
        <w:rPr>
          <w:lang w:eastAsia="fr-FR"/>
        </w:rPr>
        <w:t xml:space="preserve">se, </w:t>
      </w:r>
      <w:r w:rsidR="007B27F8">
        <w:rPr>
          <w:lang w:eastAsia="fr-FR"/>
        </w:rPr>
        <w:t>L</w:t>
      </w:r>
      <w:r w:rsidRPr="002462F0">
        <w:rPr>
          <w:lang w:eastAsia="fr-FR"/>
        </w:rPr>
        <w:t>and-</w:t>
      </w:r>
      <w:r w:rsidR="007B27F8">
        <w:rPr>
          <w:lang w:eastAsia="fr-FR"/>
        </w:rPr>
        <w:t>U</w:t>
      </w:r>
      <w:r w:rsidRPr="002462F0">
        <w:rPr>
          <w:lang w:eastAsia="fr-FR"/>
        </w:rPr>
        <w:t xml:space="preserve">se </w:t>
      </w:r>
      <w:r w:rsidR="007B27F8">
        <w:rPr>
          <w:lang w:eastAsia="fr-FR"/>
        </w:rPr>
        <w:t>C</w:t>
      </w:r>
      <w:r w:rsidRPr="002462F0">
        <w:rPr>
          <w:lang w:eastAsia="fr-FR"/>
        </w:rPr>
        <w:t xml:space="preserve">hange and </w:t>
      </w:r>
      <w:r w:rsidR="007B27F8">
        <w:rPr>
          <w:lang w:eastAsia="fr-FR"/>
        </w:rPr>
        <w:t>F</w:t>
      </w:r>
      <w:r w:rsidRPr="002462F0">
        <w:rPr>
          <w:lang w:eastAsia="fr-FR"/>
        </w:rPr>
        <w:t>orestry (</w:t>
      </w:r>
      <w:r w:rsidR="000F6001">
        <w:rPr>
          <w:lang w:eastAsia="fr-FR"/>
        </w:rPr>
        <w:t>CRT</w:t>
      </w:r>
      <w:r w:rsidRPr="002462F0">
        <w:rPr>
          <w:lang w:eastAsia="fr-FR"/>
        </w:rPr>
        <w:t xml:space="preserve"> sector 4)</w:t>
      </w:r>
      <w:bookmarkEnd w:id="796"/>
      <w:bookmarkEnd w:id="797"/>
      <w:bookmarkEnd w:id="798"/>
    </w:p>
    <w:p w14:paraId="17D3B55D" w14:textId="77777777" w:rsidR="00EF33CB" w:rsidRPr="00596866" w:rsidRDefault="00EF33CB" w:rsidP="00596866">
      <w:pPr>
        <w:pStyle w:val="ListParagraph"/>
        <w:widowControl w:val="0"/>
        <w:numPr>
          <w:ilvl w:val="0"/>
          <w:numId w:val="1"/>
        </w:numPr>
        <w:spacing w:after="0" w:line="240" w:lineRule="auto"/>
        <w:ind w:left="431" w:hanging="431"/>
        <w:contextualSpacing w:val="0"/>
        <w:outlineLvl w:val="0"/>
        <w:rPr>
          <w:rStyle w:val="Heading2Char"/>
          <w:b w:val="0"/>
          <w:vanish/>
          <w:color w:val="FFFFFF" w:themeColor="background1"/>
        </w:rPr>
      </w:pPr>
      <w:bookmarkStart w:id="799" w:name="_Toc496101422"/>
      <w:bookmarkStart w:id="800" w:name="_Toc496217086"/>
      <w:bookmarkStart w:id="801" w:name="_Toc496269277"/>
      <w:bookmarkStart w:id="802" w:name="_Toc496617782"/>
      <w:bookmarkStart w:id="803" w:name="_Toc496618079"/>
      <w:bookmarkStart w:id="804" w:name="_Toc496628003"/>
      <w:bookmarkStart w:id="805" w:name="_Toc496628388"/>
      <w:bookmarkStart w:id="806" w:name="_Toc496631977"/>
      <w:bookmarkStart w:id="807" w:name="_Toc496687921"/>
      <w:bookmarkStart w:id="808" w:name="_Toc496692199"/>
      <w:bookmarkStart w:id="809" w:name="_Toc496785556"/>
      <w:bookmarkStart w:id="810" w:name="_Toc496786764"/>
      <w:bookmarkStart w:id="811" w:name="_Toc496787494"/>
      <w:bookmarkStart w:id="812" w:name="_Toc496869001"/>
      <w:bookmarkStart w:id="813" w:name="_Toc180742650"/>
      <w:bookmarkStart w:id="814" w:name="_Toc181897545"/>
      <w:bookmarkStart w:id="815" w:name="_Toc182314425"/>
      <w:bookmarkStart w:id="816" w:name="_Toc182315929"/>
      <w:bookmarkStart w:id="817" w:name="_Toc182319233"/>
      <w:bookmarkStart w:id="818" w:name="_Toc182323378"/>
      <w:bookmarkStart w:id="819" w:name="_Toc182324663"/>
      <w:bookmarkStart w:id="820" w:name="_Toc182325901"/>
      <w:bookmarkStart w:id="821" w:name="_Toc182326584"/>
      <w:bookmarkStart w:id="822" w:name="_Toc182327492"/>
      <w:bookmarkStart w:id="823" w:name="_Toc182327950"/>
      <w:bookmarkStart w:id="824" w:name="_Toc183737551"/>
      <w:bookmarkStart w:id="825" w:name="_Toc183738050"/>
      <w:bookmarkStart w:id="826" w:name="_Toc183738294"/>
      <w:bookmarkStart w:id="827" w:name="_Toc183738536"/>
      <w:bookmarkStart w:id="828" w:name="_Toc184804839"/>
      <w:bookmarkStart w:id="829" w:name="_Toc184806391"/>
      <w:bookmarkStart w:id="830" w:name="_Toc184808292"/>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2FE17BF1" w14:textId="6C1577C2" w:rsidR="007B2433" w:rsidRPr="002462F0" w:rsidRDefault="007B2433" w:rsidP="00596866">
      <w:pPr>
        <w:pStyle w:val="Heading2"/>
        <w:spacing w:before="240"/>
        <w:ind w:left="578" w:hanging="578"/>
        <w:rPr>
          <w:rStyle w:val="Heading2Char"/>
        </w:rPr>
      </w:pPr>
      <w:bookmarkStart w:id="831" w:name="_Toc182327951"/>
      <w:bookmarkStart w:id="832" w:name="_Toc184808293"/>
      <w:r w:rsidRPr="002462F0">
        <w:rPr>
          <w:rStyle w:val="Heading2Char"/>
        </w:rPr>
        <w:t>Overview of sector</w:t>
      </w:r>
      <w:bookmarkEnd w:id="831"/>
      <w:bookmarkEnd w:id="832"/>
    </w:p>
    <w:p w14:paraId="2225A651" w14:textId="769217EC" w:rsidR="00596866" w:rsidRPr="004B7EA1" w:rsidRDefault="00596866" w:rsidP="00596866">
      <w:pPr>
        <w:autoSpaceDE w:val="0"/>
        <w:autoSpaceDN w:val="0"/>
        <w:adjustRightInd w:val="0"/>
        <w:spacing w:after="120" w:line="240" w:lineRule="auto"/>
        <w:rPr>
          <w:rFonts w:cs="ArialMT"/>
        </w:rPr>
      </w:pPr>
      <w:r w:rsidRPr="004B7EA1">
        <w:rPr>
          <w:rFonts w:cs="ArialMT"/>
        </w:rPr>
        <w:t xml:space="preserve">This category </w:t>
      </w:r>
      <w:r w:rsidR="0010264C">
        <w:rPr>
          <w:rFonts w:cs="ArialMT"/>
        </w:rPr>
        <w:t>includes</w:t>
      </w:r>
      <w:r w:rsidR="0010264C" w:rsidRPr="004B7EA1">
        <w:rPr>
          <w:rFonts w:cs="ArialMT"/>
        </w:rPr>
        <w:t xml:space="preserve"> </w:t>
      </w:r>
      <w:r w:rsidR="00A35420">
        <w:rPr>
          <w:rFonts w:cs="ArialMT"/>
        </w:rPr>
        <w:t xml:space="preserve">all </w:t>
      </w:r>
      <w:r w:rsidRPr="004B7EA1">
        <w:rPr>
          <w:rFonts w:cs="ArialMT"/>
        </w:rPr>
        <w:t xml:space="preserve">GHG emissions and </w:t>
      </w:r>
      <w:r w:rsidR="006F3478">
        <w:rPr>
          <w:rFonts w:cs="ArialMT"/>
        </w:rPr>
        <w:t>absorptions (or “</w:t>
      </w:r>
      <w:r w:rsidRPr="004B7EA1">
        <w:rPr>
          <w:rFonts w:cs="ArialMT"/>
        </w:rPr>
        <w:t>removals</w:t>
      </w:r>
      <w:r w:rsidR="006F3478">
        <w:rPr>
          <w:rFonts w:cs="ArialMT"/>
        </w:rPr>
        <w:t>”, or “negative emissions”)</w:t>
      </w:r>
      <w:r w:rsidRPr="004B7EA1">
        <w:rPr>
          <w:rFonts w:cs="ArialMT"/>
        </w:rPr>
        <w:t xml:space="preserve"> </w:t>
      </w:r>
      <w:r w:rsidR="002E5397">
        <w:rPr>
          <w:rFonts w:cs="ArialMT"/>
        </w:rPr>
        <w:t>due to</w:t>
      </w:r>
      <w:r w:rsidRPr="004B7EA1">
        <w:rPr>
          <w:rFonts w:cs="ArialMT"/>
        </w:rPr>
        <w:t xml:space="preserve"> land use, land use change and forestry</w:t>
      </w:r>
      <w:r w:rsidR="00B53AF2">
        <w:rPr>
          <w:rFonts w:cs="ArialMT"/>
        </w:rPr>
        <w:t xml:space="preserve"> (LULUCF)</w:t>
      </w:r>
      <w:r w:rsidRPr="004B7EA1">
        <w:rPr>
          <w:rFonts w:cs="ArialMT"/>
        </w:rPr>
        <w:t>.</w:t>
      </w:r>
      <w:r w:rsidR="006F3478">
        <w:rPr>
          <w:rFonts w:cs="ArialMT"/>
        </w:rPr>
        <w:t xml:space="preserve"> Since the sector present both emissions and absorptions, the term “flux” is used to</w:t>
      </w:r>
      <w:r w:rsidR="003A6729">
        <w:rPr>
          <w:rFonts w:cs="ArialMT"/>
        </w:rPr>
        <w:t xml:space="preserve"> mention all figures.</w:t>
      </w:r>
    </w:p>
    <w:p w14:paraId="785C8724" w14:textId="45DDE555" w:rsidR="007B2433" w:rsidRPr="002462F0" w:rsidRDefault="007B2433" w:rsidP="00D916DB">
      <w:pPr>
        <w:pStyle w:val="BodyText"/>
        <w:rPr>
          <w:lang w:eastAsia="fr-FR"/>
        </w:rPr>
      </w:pPr>
      <w:r w:rsidRPr="002462F0">
        <w:rPr>
          <w:lang w:eastAsia="fr-FR"/>
        </w:rPr>
        <w:t>Th</w:t>
      </w:r>
      <w:r w:rsidR="00B53AF2">
        <w:rPr>
          <w:lang w:eastAsia="fr-FR"/>
        </w:rPr>
        <w:t>e</w:t>
      </w:r>
      <w:r w:rsidRPr="002462F0">
        <w:rPr>
          <w:lang w:eastAsia="fr-FR"/>
        </w:rPr>
        <w:t xml:space="preserve"> </w:t>
      </w:r>
      <w:r w:rsidR="000F6001">
        <w:rPr>
          <w:lang w:eastAsia="fr-FR"/>
        </w:rPr>
        <w:t>CRT</w:t>
      </w:r>
      <w:r w:rsidRPr="002462F0">
        <w:rPr>
          <w:lang w:eastAsia="fr-FR"/>
        </w:rPr>
        <w:t xml:space="preserve"> 4 category covers the following sectors:</w:t>
      </w:r>
    </w:p>
    <w:p w14:paraId="10B971EF" w14:textId="0B73CBA3" w:rsidR="007B2433" w:rsidRPr="002462F0" w:rsidRDefault="007B2433" w:rsidP="00AB11C1">
      <w:pPr>
        <w:pStyle w:val="BodyText"/>
        <w:numPr>
          <w:ilvl w:val="0"/>
          <w:numId w:val="42"/>
        </w:numPr>
        <w:rPr>
          <w:lang w:eastAsia="fr-FR"/>
        </w:rPr>
      </w:pPr>
      <w:r w:rsidRPr="002462F0">
        <w:rPr>
          <w:lang w:eastAsia="fr-FR"/>
        </w:rPr>
        <w:t>Forest land (</w:t>
      </w:r>
      <w:r w:rsidR="008931E5">
        <w:rPr>
          <w:lang w:eastAsia="fr-FR"/>
        </w:rPr>
        <w:t xml:space="preserve">CRT </w:t>
      </w:r>
      <w:r w:rsidRPr="002462F0">
        <w:rPr>
          <w:lang w:eastAsia="fr-FR"/>
        </w:rPr>
        <w:t>4A),</w:t>
      </w:r>
      <w:r w:rsidR="002165A7">
        <w:rPr>
          <w:lang w:eastAsia="fr-FR"/>
        </w:rPr>
        <w:t xml:space="preserve"> </w:t>
      </w:r>
      <w:r w:rsidR="00B20FED">
        <w:rPr>
          <w:lang w:eastAsia="fr-FR"/>
        </w:rPr>
        <w:t xml:space="preserve">including </w:t>
      </w:r>
      <w:r w:rsidR="00CE3565">
        <w:rPr>
          <w:lang w:eastAsia="fr-FR"/>
        </w:rPr>
        <w:t>Forest lands remaining forest lands (</w:t>
      </w:r>
      <w:r w:rsidR="008931E5">
        <w:rPr>
          <w:lang w:eastAsia="fr-FR"/>
        </w:rPr>
        <w:t xml:space="preserve">CRT </w:t>
      </w:r>
      <w:r w:rsidR="00CE3565">
        <w:rPr>
          <w:lang w:eastAsia="fr-FR"/>
        </w:rPr>
        <w:t xml:space="preserve">4A1), </w:t>
      </w:r>
      <w:r w:rsidR="004E32AD">
        <w:rPr>
          <w:lang w:eastAsia="fr-FR"/>
        </w:rPr>
        <w:t xml:space="preserve">and </w:t>
      </w:r>
      <w:r w:rsidR="00CE3565">
        <w:rPr>
          <w:lang w:eastAsia="fr-FR"/>
        </w:rPr>
        <w:t xml:space="preserve">Lands </w:t>
      </w:r>
      <w:r w:rsidR="00274501">
        <w:rPr>
          <w:lang w:eastAsia="fr-FR"/>
        </w:rPr>
        <w:t>converted to forest lands (</w:t>
      </w:r>
      <w:r w:rsidR="008931E5">
        <w:rPr>
          <w:lang w:eastAsia="fr-FR"/>
        </w:rPr>
        <w:t xml:space="preserve">CRT </w:t>
      </w:r>
      <w:r w:rsidR="00274501">
        <w:rPr>
          <w:lang w:eastAsia="fr-FR"/>
        </w:rPr>
        <w:t>4A2)</w:t>
      </w:r>
      <w:r w:rsidR="005E78F3">
        <w:rPr>
          <w:lang w:eastAsia="fr-FR"/>
        </w:rPr>
        <w:t xml:space="preserve"> </w:t>
      </w:r>
      <w:r w:rsidR="00F74681">
        <w:rPr>
          <w:lang w:eastAsia="fr-FR"/>
        </w:rPr>
        <w:t>with</w:t>
      </w:r>
      <w:r w:rsidR="005E78F3">
        <w:rPr>
          <w:lang w:eastAsia="fr-FR"/>
        </w:rPr>
        <w:t xml:space="preserve"> croplands (</w:t>
      </w:r>
      <w:r w:rsidR="008931E5">
        <w:rPr>
          <w:lang w:eastAsia="fr-FR"/>
        </w:rPr>
        <w:t xml:space="preserve">CRT </w:t>
      </w:r>
      <w:r w:rsidR="005E78F3">
        <w:rPr>
          <w:lang w:eastAsia="fr-FR"/>
        </w:rPr>
        <w:t>4A2.1), grasslands (</w:t>
      </w:r>
      <w:r w:rsidR="008931E5">
        <w:rPr>
          <w:lang w:eastAsia="fr-FR"/>
        </w:rPr>
        <w:t xml:space="preserve">CRT </w:t>
      </w:r>
      <w:r w:rsidR="005E78F3">
        <w:rPr>
          <w:lang w:eastAsia="fr-FR"/>
        </w:rPr>
        <w:t xml:space="preserve">4A2.2), </w:t>
      </w:r>
      <w:r w:rsidR="00F74681">
        <w:rPr>
          <w:lang w:eastAsia="fr-FR"/>
        </w:rPr>
        <w:t>wetlands (</w:t>
      </w:r>
      <w:r w:rsidR="008931E5">
        <w:rPr>
          <w:lang w:eastAsia="fr-FR"/>
        </w:rPr>
        <w:t xml:space="preserve">CRT </w:t>
      </w:r>
      <w:r w:rsidR="00F74681">
        <w:rPr>
          <w:lang w:eastAsia="fr-FR"/>
        </w:rPr>
        <w:t>4A2.3), settlements (</w:t>
      </w:r>
      <w:r w:rsidR="008931E5">
        <w:rPr>
          <w:lang w:eastAsia="fr-FR"/>
        </w:rPr>
        <w:t xml:space="preserve">CRT </w:t>
      </w:r>
      <w:r w:rsidR="00F74681">
        <w:rPr>
          <w:lang w:eastAsia="fr-FR"/>
        </w:rPr>
        <w:t>4A2.4) and other lands (</w:t>
      </w:r>
      <w:r w:rsidR="008931E5">
        <w:rPr>
          <w:lang w:eastAsia="fr-FR"/>
        </w:rPr>
        <w:t xml:space="preserve">CRT </w:t>
      </w:r>
      <w:r w:rsidR="00F74681">
        <w:rPr>
          <w:lang w:eastAsia="fr-FR"/>
        </w:rPr>
        <w:t>4A2.5),</w:t>
      </w:r>
    </w:p>
    <w:p w14:paraId="3554890F" w14:textId="461064B2" w:rsidR="007B2433" w:rsidRPr="002462F0" w:rsidRDefault="007B2433" w:rsidP="00AB11C1">
      <w:pPr>
        <w:pStyle w:val="BodyText"/>
        <w:numPr>
          <w:ilvl w:val="0"/>
          <w:numId w:val="42"/>
        </w:numPr>
        <w:rPr>
          <w:lang w:eastAsia="fr-FR"/>
        </w:rPr>
      </w:pPr>
      <w:r w:rsidRPr="002462F0">
        <w:rPr>
          <w:lang w:eastAsia="fr-FR"/>
        </w:rPr>
        <w:t>Cropland (4B),</w:t>
      </w:r>
      <w:r w:rsidR="00D20734">
        <w:rPr>
          <w:lang w:eastAsia="fr-FR"/>
        </w:rPr>
        <w:t xml:space="preserve"> </w:t>
      </w:r>
      <w:r w:rsidR="0006019A">
        <w:rPr>
          <w:lang w:eastAsia="fr-FR"/>
        </w:rPr>
        <w:t xml:space="preserve">including </w:t>
      </w:r>
      <w:r w:rsidR="001260A7">
        <w:rPr>
          <w:lang w:eastAsia="fr-FR"/>
        </w:rPr>
        <w:t xml:space="preserve">Lands </w:t>
      </w:r>
      <w:r w:rsidR="002E34A3">
        <w:rPr>
          <w:lang w:eastAsia="fr-FR"/>
        </w:rPr>
        <w:t>converted croplands (</w:t>
      </w:r>
      <w:r w:rsidR="008931E5">
        <w:rPr>
          <w:lang w:eastAsia="fr-FR"/>
        </w:rPr>
        <w:t xml:space="preserve">CRT </w:t>
      </w:r>
      <w:r w:rsidR="002E34A3">
        <w:rPr>
          <w:lang w:eastAsia="fr-FR"/>
        </w:rPr>
        <w:t xml:space="preserve">4B2) with </w:t>
      </w:r>
      <w:r w:rsidR="004C46EF">
        <w:rPr>
          <w:lang w:eastAsia="fr-FR"/>
        </w:rPr>
        <w:t>forest lands (</w:t>
      </w:r>
      <w:r w:rsidR="008931E5">
        <w:rPr>
          <w:lang w:eastAsia="fr-FR"/>
        </w:rPr>
        <w:t xml:space="preserve">CRT </w:t>
      </w:r>
      <w:r w:rsidR="004C46EF">
        <w:rPr>
          <w:lang w:eastAsia="fr-FR"/>
        </w:rPr>
        <w:t xml:space="preserve">4B2.1), </w:t>
      </w:r>
      <w:r w:rsidR="00114FCA">
        <w:rPr>
          <w:lang w:eastAsia="fr-FR"/>
        </w:rPr>
        <w:t>grasslands (</w:t>
      </w:r>
      <w:r w:rsidR="008931E5">
        <w:rPr>
          <w:lang w:eastAsia="fr-FR"/>
        </w:rPr>
        <w:t xml:space="preserve">CRT </w:t>
      </w:r>
      <w:r w:rsidR="00114FCA">
        <w:rPr>
          <w:lang w:eastAsia="fr-FR"/>
        </w:rPr>
        <w:t xml:space="preserve">4B2.2), </w:t>
      </w:r>
      <w:r w:rsidR="0045007F">
        <w:rPr>
          <w:lang w:eastAsia="fr-FR"/>
        </w:rPr>
        <w:t>wetlands (</w:t>
      </w:r>
      <w:r w:rsidR="008931E5">
        <w:rPr>
          <w:lang w:eastAsia="fr-FR"/>
        </w:rPr>
        <w:t xml:space="preserve">CRT </w:t>
      </w:r>
      <w:r w:rsidR="0045007F">
        <w:rPr>
          <w:lang w:eastAsia="fr-FR"/>
        </w:rPr>
        <w:t>4B2.3) and settlements (</w:t>
      </w:r>
      <w:r w:rsidR="008931E5">
        <w:rPr>
          <w:lang w:eastAsia="fr-FR"/>
        </w:rPr>
        <w:t xml:space="preserve">CRT </w:t>
      </w:r>
      <w:r w:rsidR="0045007F">
        <w:rPr>
          <w:lang w:eastAsia="fr-FR"/>
        </w:rPr>
        <w:t>4B2.4)</w:t>
      </w:r>
    </w:p>
    <w:p w14:paraId="071AD6E0" w14:textId="42174FD7" w:rsidR="007B2433" w:rsidRPr="002462F0" w:rsidRDefault="007B2433" w:rsidP="00AB11C1">
      <w:pPr>
        <w:pStyle w:val="BodyText"/>
        <w:numPr>
          <w:ilvl w:val="0"/>
          <w:numId w:val="42"/>
        </w:numPr>
        <w:rPr>
          <w:lang w:eastAsia="fr-FR"/>
        </w:rPr>
      </w:pPr>
      <w:r w:rsidRPr="002462F0">
        <w:rPr>
          <w:lang w:eastAsia="fr-FR"/>
        </w:rPr>
        <w:t>Grassland (</w:t>
      </w:r>
      <w:r w:rsidR="008931E5">
        <w:rPr>
          <w:lang w:eastAsia="fr-FR"/>
        </w:rPr>
        <w:t>CRT</w:t>
      </w:r>
      <w:r w:rsidR="008931E5" w:rsidRPr="002462F0">
        <w:rPr>
          <w:lang w:eastAsia="fr-FR"/>
        </w:rPr>
        <w:t xml:space="preserve"> </w:t>
      </w:r>
      <w:r w:rsidRPr="002462F0">
        <w:rPr>
          <w:lang w:eastAsia="fr-FR"/>
        </w:rPr>
        <w:t>4C),</w:t>
      </w:r>
      <w:r w:rsidR="004E32AD">
        <w:rPr>
          <w:lang w:eastAsia="fr-FR"/>
        </w:rPr>
        <w:t xml:space="preserve"> including Grasslands remaining grasslands (</w:t>
      </w:r>
      <w:r w:rsidR="008931E5">
        <w:rPr>
          <w:lang w:eastAsia="fr-FR"/>
        </w:rPr>
        <w:t xml:space="preserve">CRT </w:t>
      </w:r>
      <w:r w:rsidR="004E32AD">
        <w:rPr>
          <w:lang w:eastAsia="fr-FR"/>
        </w:rPr>
        <w:t>4</w:t>
      </w:r>
      <w:r w:rsidR="00314B4C">
        <w:rPr>
          <w:lang w:eastAsia="fr-FR"/>
        </w:rPr>
        <w:t>C</w:t>
      </w:r>
      <w:r w:rsidR="004E32AD">
        <w:rPr>
          <w:lang w:eastAsia="fr-FR"/>
        </w:rPr>
        <w:t>1), and Lands converted to forest lands (</w:t>
      </w:r>
      <w:r w:rsidR="008931E5">
        <w:rPr>
          <w:lang w:eastAsia="fr-FR"/>
        </w:rPr>
        <w:t xml:space="preserve">CRT </w:t>
      </w:r>
      <w:r w:rsidR="004E32AD">
        <w:rPr>
          <w:lang w:eastAsia="fr-FR"/>
        </w:rPr>
        <w:t>4C2) with forest lands (</w:t>
      </w:r>
      <w:r w:rsidR="008931E5">
        <w:rPr>
          <w:lang w:eastAsia="fr-FR"/>
        </w:rPr>
        <w:t xml:space="preserve">CRT </w:t>
      </w:r>
      <w:r w:rsidR="004E32AD">
        <w:rPr>
          <w:lang w:eastAsia="fr-FR"/>
        </w:rPr>
        <w:t>4C2.1), croplands (</w:t>
      </w:r>
      <w:r w:rsidR="008931E5">
        <w:rPr>
          <w:lang w:eastAsia="fr-FR"/>
        </w:rPr>
        <w:t xml:space="preserve">CRT </w:t>
      </w:r>
      <w:r w:rsidR="004E32AD">
        <w:rPr>
          <w:lang w:eastAsia="fr-FR"/>
        </w:rPr>
        <w:t>4C2.2), wetlands (</w:t>
      </w:r>
      <w:r w:rsidR="008931E5">
        <w:rPr>
          <w:lang w:eastAsia="fr-FR"/>
        </w:rPr>
        <w:t xml:space="preserve">CRT </w:t>
      </w:r>
      <w:r w:rsidR="004E32AD">
        <w:rPr>
          <w:lang w:eastAsia="fr-FR"/>
        </w:rPr>
        <w:t>4A2.3), settlements (</w:t>
      </w:r>
      <w:r w:rsidR="008931E5">
        <w:rPr>
          <w:lang w:eastAsia="fr-FR"/>
        </w:rPr>
        <w:t xml:space="preserve">CRT </w:t>
      </w:r>
      <w:r w:rsidR="004E32AD">
        <w:rPr>
          <w:lang w:eastAsia="fr-FR"/>
        </w:rPr>
        <w:t>4A2.4) and other lands (</w:t>
      </w:r>
      <w:r w:rsidR="008931E5">
        <w:rPr>
          <w:lang w:eastAsia="fr-FR"/>
        </w:rPr>
        <w:t xml:space="preserve">CRT </w:t>
      </w:r>
      <w:r w:rsidR="004E32AD">
        <w:rPr>
          <w:lang w:eastAsia="fr-FR"/>
        </w:rPr>
        <w:t>4A2.5),</w:t>
      </w:r>
    </w:p>
    <w:p w14:paraId="2BB1FB5C" w14:textId="5E5298DE" w:rsidR="007B2433" w:rsidRPr="002462F0" w:rsidRDefault="007B2433" w:rsidP="00AB11C1">
      <w:pPr>
        <w:pStyle w:val="BodyText"/>
        <w:numPr>
          <w:ilvl w:val="0"/>
          <w:numId w:val="42"/>
        </w:numPr>
        <w:rPr>
          <w:lang w:eastAsia="fr-FR"/>
        </w:rPr>
      </w:pPr>
      <w:r w:rsidRPr="002462F0">
        <w:rPr>
          <w:lang w:eastAsia="fr-FR"/>
        </w:rPr>
        <w:t>Wetlands (</w:t>
      </w:r>
      <w:r w:rsidR="008931E5">
        <w:rPr>
          <w:lang w:eastAsia="fr-FR"/>
        </w:rPr>
        <w:t>CRT</w:t>
      </w:r>
      <w:r w:rsidR="008931E5" w:rsidRPr="002462F0">
        <w:rPr>
          <w:lang w:eastAsia="fr-FR"/>
        </w:rPr>
        <w:t xml:space="preserve"> </w:t>
      </w:r>
      <w:r w:rsidRPr="002462F0">
        <w:rPr>
          <w:lang w:eastAsia="fr-FR"/>
        </w:rPr>
        <w:t>4D),</w:t>
      </w:r>
      <w:r w:rsidR="004E32AD">
        <w:rPr>
          <w:lang w:eastAsia="fr-FR"/>
        </w:rPr>
        <w:t xml:space="preserve"> </w:t>
      </w:r>
      <w:r w:rsidR="00B4124B">
        <w:rPr>
          <w:lang w:eastAsia="fr-FR"/>
        </w:rPr>
        <w:t xml:space="preserve">including </w:t>
      </w:r>
      <w:r w:rsidR="00D13CAA">
        <w:rPr>
          <w:lang w:eastAsia="fr-FR"/>
        </w:rPr>
        <w:t>L</w:t>
      </w:r>
      <w:r w:rsidR="006A659B">
        <w:rPr>
          <w:lang w:eastAsia="fr-FR"/>
        </w:rPr>
        <w:t xml:space="preserve">ands converted to </w:t>
      </w:r>
      <w:r w:rsidR="00C60C3D">
        <w:rPr>
          <w:lang w:eastAsia="fr-FR"/>
        </w:rPr>
        <w:t>another type of wetlands (</w:t>
      </w:r>
      <w:r w:rsidR="008931E5">
        <w:rPr>
          <w:lang w:eastAsia="fr-FR"/>
        </w:rPr>
        <w:t xml:space="preserve">CRT </w:t>
      </w:r>
      <w:r w:rsidR="00C60C3D">
        <w:rPr>
          <w:lang w:eastAsia="fr-FR"/>
        </w:rPr>
        <w:t>4D2.3)</w:t>
      </w:r>
      <w:r w:rsidR="00B7165C">
        <w:rPr>
          <w:lang w:eastAsia="fr-FR"/>
        </w:rPr>
        <w:t>,</w:t>
      </w:r>
    </w:p>
    <w:p w14:paraId="6604C3CC" w14:textId="2A731CFD" w:rsidR="007B2433" w:rsidRPr="002462F0" w:rsidRDefault="007B2433" w:rsidP="00AB11C1">
      <w:pPr>
        <w:pStyle w:val="BodyText"/>
        <w:numPr>
          <w:ilvl w:val="0"/>
          <w:numId w:val="42"/>
        </w:numPr>
        <w:rPr>
          <w:lang w:eastAsia="fr-FR"/>
        </w:rPr>
      </w:pPr>
      <w:r w:rsidRPr="002462F0">
        <w:rPr>
          <w:lang w:eastAsia="fr-FR"/>
        </w:rPr>
        <w:t>Settlements (</w:t>
      </w:r>
      <w:r w:rsidR="008931E5">
        <w:rPr>
          <w:lang w:eastAsia="fr-FR"/>
        </w:rPr>
        <w:t>CRT</w:t>
      </w:r>
      <w:r w:rsidR="008931E5" w:rsidRPr="002462F0">
        <w:rPr>
          <w:lang w:eastAsia="fr-FR"/>
        </w:rPr>
        <w:t xml:space="preserve"> </w:t>
      </w:r>
      <w:r w:rsidRPr="002462F0">
        <w:rPr>
          <w:lang w:eastAsia="fr-FR"/>
        </w:rPr>
        <w:t>4E),</w:t>
      </w:r>
      <w:r w:rsidR="00D13CAA">
        <w:rPr>
          <w:lang w:eastAsia="fr-FR"/>
        </w:rPr>
        <w:t xml:space="preserve"> including Lands converted to </w:t>
      </w:r>
      <w:r w:rsidR="008A7A30">
        <w:rPr>
          <w:lang w:eastAsia="fr-FR"/>
        </w:rPr>
        <w:t>settlements (</w:t>
      </w:r>
      <w:r w:rsidR="008931E5">
        <w:rPr>
          <w:lang w:eastAsia="fr-FR"/>
        </w:rPr>
        <w:t xml:space="preserve">CRT </w:t>
      </w:r>
      <w:r w:rsidR="008A7A30">
        <w:rPr>
          <w:lang w:eastAsia="fr-FR"/>
        </w:rPr>
        <w:t xml:space="preserve">4E2), with </w:t>
      </w:r>
      <w:r w:rsidR="00311249">
        <w:rPr>
          <w:lang w:eastAsia="fr-FR"/>
        </w:rPr>
        <w:t>forest lands (</w:t>
      </w:r>
      <w:r w:rsidR="008931E5">
        <w:rPr>
          <w:lang w:eastAsia="fr-FR"/>
        </w:rPr>
        <w:t xml:space="preserve">CRT </w:t>
      </w:r>
      <w:r w:rsidR="00311249">
        <w:rPr>
          <w:lang w:eastAsia="fr-FR"/>
        </w:rPr>
        <w:t>4E2.1</w:t>
      </w:r>
      <w:r w:rsidR="009F609B">
        <w:rPr>
          <w:lang w:eastAsia="fr-FR"/>
        </w:rPr>
        <w:t xml:space="preserve">), </w:t>
      </w:r>
      <w:r w:rsidR="0024188C">
        <w:rPr>
          <w:lang w:eastAsia="fr-FR"/>
        </w:rPr>
        <w:t>croplands (</w:t>
      </w:r>
      <w:r w:rsidR="008931E5">
        <w:rPr>
          <w:lang w:eastAsia="fr-FR"/>
        </w:rPr>
        <w:t xml:space="preserve">CRT </w:t>
      </w:r>
      <w:r w:rsidR="0024188C">
        <w:rPr>
          <w:lang w:eastAsia="fr-FR"/>
        </w:rPr>
        <w:t xml:space="preserve">4E2.2) and </w:t>
      </w:r>
      <w:r w:rsidR="00E2301F">
        <w:rPr>
          <w:lang w:eastAsia="fr-FR"/>
        </w:rPr>
        <w:t>grasslands (</w:t>
      </w:r>
      <w:r w:rsidR="008931E5">
        <w:rPr>
          <w:lang w:eastAsia="fr-FR"/>
        </w:rPr>
        <w:t xml:space="preserve">CRT </w:t>
      </w:r>
      <w:r w:rsidR="00E2301F">
        <w:rPr>
          <w:lang w:eastAsia="fr-FR"/>
        </w:rPr>
        <w:t>4E2.3)</w:t>
      </w:r>
      <w:r w:rsidR="000F69D9">
        <w:rPr>
          <w:lang w:eastAsia="fr-FR"/>
        </w:rPr>
        <w:t>,</w:t>
      </w:r>
    </w:p>
    <w:p w14:paraId="5FD85EF8" w14:textId="69129FDA" w:rsidR="007B2433" w:rsidRPr="002462F0" w:rsidRDefault="007B2433" w:rsidP="00AB11C1">
      <w:pPr>
        <w:pStyle w:val="BodyText"/>
        <w:numPr>
          <w:ilvl w:val="0"/>
          <w:numId w:val="42"/>
        </w:numPr>
        <w:rPr>
          <w:lang w:eastAsia="fr-FR"/>
        </w:rPr>
      </w:pPr>
      <w:r w:rsidRPr="002462F0">
        <w:rPr>
          <w:lang w:eastAsia="fr-FR"/>
        </w:rPr>
        <w:t>Other land (</w:t>
      </w:r>
      <w:r w:rsidR="008931E5">
        <w:rPr>
          <w:lang w:eastAsia="fr-FR"/>
        </w:rPr>
        <w:t>CRT</w:t>
      </w:r>
      <w:r w:rsidR="008931E5" w:rsidRPr="002462F0">
        <w:rPr>
          <w:lang w:eastAsia="fr-FR"/>
        </w:rPr>
        <w:t xml:space="preserve"> </w:t>
      </w:r>
      <w:r w:rsidRPr="002462F0">
        <w:rPr>
          <w:lang w:eastAsia="fr-FR"/>
        </w:rPr>
        <w:t>4F),</w:t>
      </w:r>
      <w:r w:rsidR="000F69D9">
        <w:rPr>
          <w:lang w:eastAsia="fr-FR"/>
        </w:rPr>
        <w:t xml:space="preserve"> </w:t>
      </w:r>
      <w:r w:rsidR="007D713C">
        <w:rPr>
          <w:lang w:eastAsia="fr-FR"/>
        </w:rPr>
        <w:t>including Lands converted to other lands (</w:t>
      </w:r>
      <w:r w:rsidR="008931E5">
        <w:rPr>
          <w:lang w:eastAsia="fr-FR"/>
        </w:rPr>
        <w:t xml:space="preserve">CRT </w:t>
      </w:r>
      <w:r w:rsidR="007D713C">
        <w:rPr>
          <w:lang w:eastAsia="fr-FR"/>
        </w:rPr>
        <w:t>4F2), with forest lands (</w:t>
      </w:r>
      <w:r w:rsidR="008931E5">
        <w:rPr>
          <w:lang w:eastAsia="fr-FR"/>
        </w:rPr>
        <w:t xml:space="preserve">CRT </w:t>
      </w:r>
      <w:r w:rsidR="007D713C">
        <w:rPr>
          <w:lang w:eastAsia="fr-FR"/>
        </w:rPr>
        <w:t>4F2.1), croplands (</w:t>
      </w:r>
      <w:r w:rsidR="008931E5">
        <w:rPr>
          <w:lang w:eastAsia="fr-FR"/>
        </w:rPr>
        <w:t xml:space="preserve">CRT </w:t>
      </w:r>
      <w:r w:rsidR="007D713C">
        <w:rPr>
          <w:lang w:eastAsia="fr-FR"/>
        </w:rPr>
        <w:t>4F2.2) and grasslands (</w:t>
      </w:r>
      <w:r w:rsidR="008931E5">
        <w:rPr>
          <w:lang w:eastAsia="fr-FR"/>
        </w:rPr>
        <w:t xml:space="preserve">CRT </w:t>
      </w:r>
      <w:r w:rsidR="007D713C">
        <w:rPr>
          <w:lang w:eastAsia="fr-FR"/>
        </w:rPr>
        <w:t>4F2.3),</w:t>
      </w:r>
    </w:p>
    <w:p w14:paraId="0AC04596" w14:textId="0A8B6975" w:rsidR="007B2433" w:rsidRPr="002462F0" w:rsidRDefault="007B2433" w:rsidP="00AB11C1">
      <w:pPr>
        <w:pStyle w:val="BodyText"/>
        <w:numPr>
          <w:ilvl w:val="0"/>
          <w:numId w:val="42"/>
        </w:numPr>
        <w:rPr>
          <w:lang w:eastAsia="fr-FR"/>
        </w:rPr>
      </w:pPr>
      <w:r w:rsidRPr="002462F0">
        <w:rPr>
          <w:lang w:eastAsia="fr-FR"/>
        </w:rPr>
        <w:t>Harvested wood products (</w:t>
      </w:r>
      <w:r w:rsidR="008931E5">
        <w:rPr>
          <w:lang w:eastAsia="fr-FR"/>
        </w:rPr>
        <w:t>CRT</w:t>
      </w:r>
      <w:r w:rsidR="008931E5" w:rsidRPr="002462F0">
        <w:rPr>
          <w:lang w:eastAsia="fr-FR"/>
        </w:rPr>
        <w:t xml:space="preserve"> </w:t>
      </w:r>
      <w:r w:rsidRPr="002462F0">
        <w:rPr>
          <w:lang w:eastAsia="fr-FR"/>
        </w:rPr>
        <w:t>4G).</w:t>
      </w:r>
    </w:p>
    <w:p w14:paraId="3D1E6E20" w14:textId="5B1DD272" w:rsidR="0006019A" w:rsidRDefault="0006019A" w:rsidP="00622F40">
      <w:pPr>
        <w:rPr>
          <w:lang w:eastAsia="fr-FR"/>
        </w:rPr>
      </w:pPr>
      <w:r w:rsidRPr="00622F40">
        <w:t>The</w:t>
      </w:r>
      <w:r w:rsidR="009D1A7B" w:rsidRPr="000D6CCD">
        <w:t xml:space="preserve"> </w:t>
      </w:r>
      <w:r w:rsidR="009D1A7B">
        <w:t xml:space="preserve">subcategories </w:t>
      </w:r>
      <w:r w:rsidR="00541CB9">
        <w:t>Croplands remaining croplands (</w:t>
      </w:r>
      <w:r w:rsidR="008931E5">
        <w:rPr>
          <w:lang w:eastAsia="fr-FR"/>
        </w:rPr>
        <w:t>CRT</w:t>
      </w:r>
      <w:r w:rsidR="008931E5">
        <w:t xml:space="preserve"> </w:t>
      </w:r>
      <w:r w:rsidR="00541CB9">
        <w:t>4B1)</w:t>
      </w:r>
      <w:r w:rsidR="00E96A2E">
        <w:t xml:space="preserve">, </w:t>
      </w:r>
      <w:r w:rsidR="00E513E4">
        <w:t>Wetlands remaining wetlands (</w:t>
      </w:r>
      <w:r w:rsidR="008931E5">
        <w:rPr>
          <w:lang w:eastAsia="fr-FR"/>
        </w:rPr>
        <w:t>CRT</w:t>
      </w:r>
      <w:r w:rsidR="008931E5">
        <w:t xml:space="preserve"> </w:t>
      </w:r>
      <w:r w:rsidR="00E513E4">
        <w:t>4D1)</w:t>
      </w:r>
      <w:r w:rsidR="004F74A6">
        <w:t xml:space="preserve"> and</w:t>
      </w:r>
      <w:r w:rsidR="00E513E4">
        <w:t xml:space="preserve"> </w:t>
      </w:r>
      <w:r w:rsidR="008F457D">
        <w:t>Settlements remaining settlements (</w:t>
      </w:r>
      <w:r w:rsidR="008931E5">
        <w:rPr>
          <w:lang w:eastAsia="fr-FR"/>
        </w:rPr>
        <w:t>CRT</w:t>
      </w:r>
      <w:r w:rsidR="008931E5">
        <w:t xml:space="preserve"> </w:t>
      </w:r>
      <w:r w:rsidR="008F457D">
        <w:t xml:space="preserve">4E1), </w:t>
      </w:r>
      <w:r w:rsidR="0045007F">
        <w:t>are considered as not estimated (NE)</w:t>
      </w:r>
      <w:r w:rsidR="002E5397">
        <w:t>, applying</w:t>
      </w:r>
      <w:r w:rsidR="00C736FC">
        <w:t xml:space="preserve"> the</w:t>
      </w:r>
      <w:r w:rsidR="002E5397">
        <w:t xml:space="preserve"> default </w:t>
      </w:r>
      <w:r w:rsidR="007B27F8">
        <w:t>T</w:t>
      </w:r>
      <w:r w:rsidR="002E5397">
        <w:t>ier 1 approach</w:t>
      </w:r>
      <w:r w:rsidR="00C736FC">
        <w:t xml:space="preserve"> of equilibrium assumption</w:t>
      </w:r>
      <w:r w:rsidR="0045007F">
        <w:t xml:space="preserve">. </w:t>
      </w:r>
      <w:r w:rsidR="004A5D2E">
        <w:t xml:space="preserve">In addition, </w:t>
      </w:r>
      <w:r w:rsidR="004F74A6">
        <w:t xml:space="preserve">the category Other (4H) and </w:t>
      </w:r>
      <w:r w:rsidR="004A5D2E">
        <w:t>s</w:t>
      </w:r>
      <w:r w:rsidR="008803B8">
        <w:t>ome o</w:t>
      </w:r>
      <w:r w:rsidR="0045007F">
        <w:t xml:space="preserve">ther subcategories </w:t>
      </w:r>
      <w:r w:rsidR="008803B8">
        <w:t xml:space="preserve">such as </w:t>
      </w:r>
      <w:r w:rsidR="00A440F6">
        <w:t xml:space="preserve">other lands converted to croplands </w:t>
      </w:r>
      <w:r w:rsidR="00A440F6">
        <w:rPr>
          <w:lang w:eastAsia="fr-FR"/>
        </w:rPr>
        <w:t>(</w:t>
      </w:r>
      <w:r w:rsidR="008931E5">
        <w:rPr>
          <w:lang w:eastAsia="fr-FR"/>
        </w:rPr>
        <w:t xml:space="preserve">CRT </w:t>
      </w:r>
      <w:r w:rsidR="00A440F6">
        <w:rPr>
          <w:lang w:eastAsia="fr-FR"/>
        </w:rPr>
        <w:t xml:space="preserve">4B2.5), </w:t>
      </w:r>
      <w:r w:rsidR="004F74A6">
        <w:rPr>
          <w:lang w:eastAsia="fr-FR"/>
        </w:rPr>
        <w:t xml:space="preserve">and </w:t>
      </w:r>
      <w:r w:rsidR="00CF578D">
        <w:rPr>
          <w:lang w:eastAsia="fr-FR"/>
        </w:rPr>
        <w:t>L</w:t>
      </w:r>
      <w:r w:rsidR="004A5D2E">
        <w:rPr>
          <w:lang w:eastAsia="fr-FR"/>
        </w:rPr>
        <w:t>ands converted to peat extraction (</w:t>
      </w:r>
      <w:r w:rsidR="008931E5">
        <w:rPr>
          <w:lang w:eastAsia="fr-FR"/>
        </w:rPr>
        <w:t xml:space="preserve">CRT </w:t>
      </w:r>
      <w:r w:rsidR="004A5D2E">
        <w:rPr>
          <w:lang w:eastAsia="fr-FR"/>
        </w:rPr>
        <w:t xml:space="preserve">4D2.1) </w:t>
      </w:r>
      <w:r w:rsidR="00A440F6">
        <w:rPr>
          <w:lang w:eastAsia="fr-FR"/>
        </w:rPr>
        <w:t xml:space="preserve">are not occurring (NO) in the Republic of Serbia, for the </w:t>
      </w:r>
      <w:r w:rsidR="0067347D">
        <w:rPr>
          <w:lang w:eastAsia="fr-FR"/>
        </w:rPr>
        <w:t>reported</w:t>
      </w:r>
      <w:r w:rsidR="00A440F6">
        <w:rPr>
          <w:lang w:eastAsia="fr-FR"/>
        </w:rPr>
        <w:t xml:space="preserve"> period. </w:t>
      </w:r>
      <w:r w:rsidR="004A5D2E">
        <w:rPr>
          <w:lang w:eastAsia="fr-FR"/>
        </w:rPr>
        <w:t xml:space="preserve">Finally, </w:t>
      </w:r>
      <w:r w:rsidR="00953FDD">
        <w:rPr>
          <w:lang w:eastAsia="fr-FR"/>
        </w:rPr>
        <w:t>the category Lands converted to flooded lands (</w:t>
      </w:r>
      <w:r w:rsidR="00497864">
        <w:rPr>
          <w:lang w:eastAsia="fr-FR"/>
        </w:rPr>
        <w:t xml:space="preserve">CRT </w:t>
      </w:r>
      <w:r w:rsidR="00953FDD">
        <w:rPr>
          <w:lang w:eastAsia="fr-FR"/>
        </w:rPr>
        <w:t>4D2.2) is considered as included elsewhere (</w:t>
      </w:r>
      <w:r w:rsidR="007B27F8">
        <w:rPr>
          <w:lang w:eastAsia="fr-FR"/>
        </w:rPr>
        <w:t>“</w:t>
      </w:r>
      <w:r w:rsidR="00953FDD">
        <w:rPr>
          <w:lang w:eastAsia="fr-FR"/>
        </w:rPr>
        <w:t>IE</w:t>
      </w:r>
      <w:r w:rsidR="007B27F8">
        <w:rPr>
          <w:lang w:eastAsia="fr-FR"/>
        </w:rPr>
        <w:t>”</w:t>
      </w:r>
      <w:r w:rsidR="00953FDD">
        <w:rPr>
          <w:lang w:eastAsia="fr-FR"/>
        </w:rPr>
        <w:t>) in the emission inventory.</w:t>
      </w:r>
    </w:p>
    <w:p w14:paraId="393DEFFA" w14:textId="1A25956C" w:rsidR="002E1182" w:rsidRDefault="001F0D17" w:rsidP="002E1182">
      <w:pPr>
        <w:pStyle w:val="BodyText"/>
        <w:rPr>
          <w:lang w:eastAsia="fr-FR"/>
        </w:rPr>
      </w:pPr>
      <w:r>
        <w:rPr>
          <w:lang w:eastAsia="fr-FR"/>
        </w:rPr>
        <w:t>T</w:t>
      </w:r>
      <w:r w:rsidR="002E1182">
        <w:rPr>
          <w:lang w:eastAsia="fr-FR"/>
        </w:rPr>
        <w:t xml:space="preserve">he LULUCF sector </w:t>
      </w:r>
      <w:r w:rsidR="0067347D">
        <w:rPr>
          <w:lang w:eastAsia="fr-FR"/>
        </w:rPr>
        <w:t>is a net sink, offsetting</w:t>
      </w:r>
      <w:r w:rsidR="006E4F3D">
        <w:rPr>
          <w:lang w:eastAsia="fr-FR"/>
        </w:rPr>
        <w:t xml:space="preserve"> 1.7% </w:t>
      </w:r>
      <w:r w:rsidR="0067347D">
        <w:rPr>
          <w:lang w:eastAsia="fr-FR"/>
        </w:rPr>
        <w:t xml:space="preserve">of the </w:t>
      </w:r>
      <w:r w:rsidR="006E4F3D">
        <w:rPr>
          <w:lang w:eastAsia="fr-FR"/>
        </w:rPr>
        <w:t>GHG emission</w:t>
      </w:r>
      <w:r w:rsidR="0067347D">
        <w:rPr>
          <w:lang w:eastAsia="fr-FR"/>
        </w:rPr>
        <w:t>s</w:t>
      </w:r>
      <w:r>
        <w:rPr>
          <w:lang w:eastAsia="fr-FR"/>
        </w:rPr>
        <w:t xml:space="preserve"> in 1990 and 7.3% in 2022</w:t>
      </w:r>
      <w:r w:rsidR="0067347D">
        <w:rPr>
          <w:lang w:eastAsia="fr-FR"/>
        </w:rPr>
        <w:t xml:space="preserve">. </w:t>
      </w:r>
      <w:r w:rsidR="006E4F3D">
        <w:rPr>
          <w:lang w:eastAsia="fr-FR"/>
        </w:rPr>
        <w:t>CO</w:t>
      </w:r>
      <w:r w:rsidR="006E4F3D" w:rsidRPr="00622F40">
        <w:rPr>
          <w:vertAlign w:val="subscript"/>
          <w:lang w:eastAsia="fr-FR"/>
        </w:rPr>
        <w:t>2</w:t>
      </w:r>
      <w:r w:rsidR="006E4F3D">
        <w:rPr>
          <w:lang w:eastAsia="fr-FR"/>
        </w:rPr>
        <w:t xml:space="preserve"> represent</w:t>
      </w:r>
      <w:r>
        <w:rPr>
          <w:lang w:eastAsia="fr-FR"/>
        </w:rPr>
        <w:t>s</w:t>
      </w:r>
      <w:r w:rsidR="006E4F3D">
        <w:rPr>
          <w:lang w:eastAsia="fr-FR"/>
        </w:rPr>
        <w:t xml:space="preserve"> </w:t>
      </w:r>
      <w:r w:rsidR="00EC47D5">
        <w:rPr>
          <w:lang w:eastAsia="fr-FR"/>
        </w:rPr>
        <w:t>more</w:t>
      </w:r>
      <w:r w:rsidR="009501B6">
        <w:rPr>
          <w:lang w:eastAsia="fr-FR"/>
        </w:rPr>
        <w:t xml:space="preserve"> than 97% of the </w:t>
      </w:r>
      <w:r w:rsidR="00FB5014">
        <w:rPr>
          <w:lang w:eastAsia="fr-FR"/>
        </w:rPr>
        <w:t xml:space="preserve">sector </w:t>
      </w:r>
      <w:r>
        <w:rPr>
          <w:lang w:eastAsia="fr-FR"/>
        </w:rPr>
        <w:t>fluxes in 1990 and more than 99% in 2022</w:t>
      </w:r>
      <w:r w:rsidR="00FB5014">
        <w:rPr>
          <w:lang w:eastAsia="fr-FR"/>
        </w:rPr>
        <w:t>.</w:t>
      </w:r>
      <w:r w:rsidR="002E1182">
        <w:rPr>
          <w:lang w:eastAsia="fr-FR"/>
        </w:rPr>
        <w:t xml:space="preserve"> </w:t>
      </w:r>
      <w:r w:rsidR="00221DEF">
        <w:rPr>
          <w:lang w:eastAsia="fr-FR"/>
        </w:rPr>
        <w:t xml:space="preserve">The emissions of methane and nitrous oxide from </w:t>
      </w:r>
      <w:r w:rsidR="00CD11B6">
        <w:rPr>
          <w:lang w:eastAsia="fr-FR"/>
        </w:rPr>
        <w:t>LULUCF</w:t>
      </w:r>
      <w:r w:rsidR="00221DEF">
        <w:rPr>
          <w:lang w:eastAsia="fr-FR"/>
        </w:rPr>
        <w:t xml:space="preserve"> are rather negligible </w:t>
      </w:r>
      <w:r w:rsidR="00ED23FC">
        <w:rPr>
          <w:lang w:eastAsia="fr-FR"/>
        </w:rPr>
        <w:t>in the national totals</w:t>
      </w:r>
      <w:r w:rsidR="00D92D4A">
        <w:rPr>
          <w:lang w:eastAsia="fr-FR"/>
        </w:rPr>
        <w:t xml:space="preserve">, </w:t>
      </w:r>
      <w:r w:rsidR="006776E0">
        <w:rPr>
          <w:lang w:eastAsia="fr-FR"/>
        </w:rPr>
        <w:t xml:space="preserve">contributing to 0.07% and </w:t>
      </w:r>
      <w:r w:rsidR="00940692">
        <w:rPr>
          <w:lang w:eastAsia="fr-FR"/>
        </w:rPr>
        <w:t>0.71%, respectively, in 2022</w:t>
      </w:r>
      <w:r w:rsidR="00CD11B6">
        <w:rPr>
          <w:lang w:eastAsia="fr-FR"/>
        </w:rPr>
        <w:t>.</w:t>
      </w:r>
      <w:r w:rsidR="00940692">
        <w:rPr>
          <w:lang w:eastAsia="fr-FR"/>
        </w:rPr>
        <w:t xml:space="preserve"> </w:t>
      </w:r>
    </w:p>
    <w:p w14:paraId="447299C1" w14:textId="22D450EC" w:rsidR="00F3267B" w:rsidRDefault="0005580D" w:rsidP="0006019A">
      <w:pPr>
        <w:rPr>
          <w:lang w:eastAsia="fr-FR"/>
        </w:rPr>
      </w:pPr>
      <w:r>
        <w:rPr>
          <w:lang w:eastAsia="fr-FR"/>
        </w:rPr>
        <w:t>Considering all emissions</w:t>
      </w:r>
      <w:r w:rsidR="00CD11B6">
        <w:rPr>
          <w:lang w:eastAsia="fr-FR"/>
        </w:rPr>
        <w:t xml:space="preserve"> and absorptions</w:t>
      </w:r>
      <w:r>
        <w:rPr>
          <w:lang w:eastAsia="fr-FR"/>
        </w:rPr>
        <w:t xml:space="preserve"> </w:t>
      </w:r>
      <w:r w:rsidR="00DE169D">
        <w:rPr>
          <w:lang w:eastAsia="fr-FR"/>
        </w:rPr>
        <w:t>in absolu</w:t>
      </w:r>
      <w:r w:rsidR="005C1A78">
        <w:rPr>
          <w:lang w:eastAsia="fr-FR"/>
        </w:rPr>
        <w:t>te values</w:t>
      </w:r>
      <w:r w:rsidR="00DE169D">
        <w:rPr>
          <w:lang w:eastAsia="fr-FR"/>
        </w:rPr>
        <w:t xml:space="preserve">, the </w:t>
      </w:r>
      <w:r w:rsidR="005C1A78">
        <w:rPr>
          <w:lang w:eastAsia="fr-FR"/>
        </w:rPr>
        <w:t xml:space="preserve">main </w:t>
      </w:r>
      <w:r w:rsidR="00CD11B6">
        <w:rPr>
          <w:lang w:eastAsia="fr-FR"/>
        </w:rPr>
        <w:t>contributor</w:t>
      </w:r>
      <w:r w:rsidR="005C1A78">
        <w:rPr>
          <w:lang w:eastAsia="fr-FR"/>
        </w:rPr>
        <w:t xml:space="preserve"> </w:t>
      </w:r>
      <w:r w:rsidR="00867A2D">
        <w:rPr>
          <w:lang w:eastAsia="fr-FR"/>
        </w:rPr>
        <w:t>sub</w:t>
      </w:r>
      <w:r w:rsidR="005C1A78">
        <w:rPr>
          <w:lang w:eastAsia="fr-FR"/>
        </w:rPr>
        <w:t>sector is the CRT 4A</w:t>
      </w:r>
      <w:r w:rsidR="00A3720D">
        <w:rPr>
          <w:lang w:eastAsia="fr-FR"/>
        </w:rPr>
        <w:t xml:space="preserve">, </w:t>
      </w:r>
      <w:r w:rsidR="00BB536A">
        <w:rPr>
          <w:lang w:eastAsia="fr-FR"/>
        </w:rPr>
        <w:t xml:space="preserve">in particular </w:t>
      </w:r>
      <w:r w:rsidR="004B0998">
        <w:rPr>
          <w:lang w:eastAsia="fr-FR"/>
        </w:rPr>
        <w:t xml:space="preserve">the CRT 4A1 which contributes to </w:t>
      </w:r>
      <w:r w:rsidR="00A75773">
        <w:rPr>
          <w:lang w:eastAsia="fr-FR"/>
        </w:rPr>
        <w:t xml:space="preserve">96% of the </w:t>
      </w:r>
      <w:r w:rsidR="00867A2D">
        <w:rPr>
          <w:lang w:eastAsia="fr-FR"/>
        </w:rPr>
        <w:t>fluxes</w:t>
      </w:r>
      <w:r w:rsidR="00A75773">
        <w:rPr>
          <w:lang w:eastAsia="fr-FR"/>
        </w:rPr>
        <w:t xml:space="preserve"> </w:t>
      </w:r>
      <w:r w:rsidR="006E2C40">
        <w:rPr>
          <w:lang w:eastAsia="fr-FR"/>
        </w:rPr>
        <w:t xml:space="preserve">of this </w:t>
      </w:r>
      <w:r w:rsidR="00804DC9">
        <w:rPr>
          <w:lang w:eastAsia="fr-FR"/>
        </w:rPr>
        <w:t xml:space="preserve">subsector </w:t>
      </w:r>
      <w:r w:rsidR="00867A2D">
        <w:rPr>
          <w:lang w:eastAsia="fr-FR"/>
        </w:rPr>
        <w:t>(</w:t>
      </w:r>
      <w:r w:rsidR="00804DC9">
        <w:rPr>
          <w:lang w:eastAsia="fr-FR"/>
        </w:rPr>
        <w:t xml:space="preserve">74% in 1990 </w:t>
      </w:r>
      <w:r w:rsidR="000B14C2">
        <w:rPr>
          <w:lang w:eastAsia="fr-FR"/>
        </w:rPr>
        <w:t>more than 88%</w:t>
      </w:r>
      <w:r w:rsidR="006E2C40">
        <w:rPr>
          <w:lang w:eastAsia="fr-FR"/>
        </w:rPr>
        <w:t xml:space="preserve"> </w:t>
      </w:r>
      <w:r w:rsidR="00867A2D">
        <w:rPr>
          <w:lang w:eastAsia="fr-FR"/>
        </w:rPr>
        <w:t>in 2022)</w:t>
      </w:r>
      <w:r w:rsidR="000B14C2">
        <w:rPr>
          <w:lang w:eastAsia="fr-FR"/>
        </w:rPr>
        <w:t xml:space="preserve">. </w:t>
      </w:r>
      <w:r w:rsidR="00DD751E">
        <w:rPr>
          <w:lang w:eastAsia="fr-FR"/>
        </w:rPr>
        <w:t xml:space="preserve">The </w:t>
      </w:r>
      <w:r w:rsidR="006F3478">
        <w:rPr>
          <w:lang w:eastAsia="fr-FR"/>
        </w:rPr>
        <w:t>fluxes</w:t>
      </w:r>
      <w:r w:rsidR="00F755EB">
        <w:rPr>
          <w:lang w:eastAsia="fr-FR"/>
        </w:rPr>
        <w:t xml:space="preserve"> related to croplands</w:t>
      </w:r>
      <w:r w:rsidR="00D773AD">
        <w:rPr>
          <w:lang w:eastAsia="fr-FR"/>
        </w:rPr>
        <w:t xml:space="preserve"> (CRT 4C)</w:t>
      </w:r>
      <w:r w:rsidR="00F755EB">
        <w:rPr>
          <w:lang w:eastAsia="fr-FR"/>
        </w:rPr>
        <w:t xml:space="preserve">, which were quite significant in </w:t>
      </w:r>
      <w:r w:rsidR="00F41228">
        <w:rPr>
          <w:lang w:eastAsia="fr-FR"/>
        </w:rPr>
        <w:t xml:space="preserve">1990 and contributed to 13% of the sector totals, has </w:t>
      </w:r>
      <w:r w:rsidR="007C04D7">
        <w:rPr>
          <w:lang w:eastAsia="fr-FR"/>
        </w:rPr>
        <w:t xml:space="preserve">decreased significantly and has a share of only 0.1% in </w:t>
      </w:r>
      <w:r w:rsidR="00F26930">
        <w:rPr>
          <w:lang w:eastAsia="fr-FR"/>
        </w:rPr>
        <w:t xml:space="preserve">2022. </w:t>
      </w:r>
      <w:r w:rsidR="00555262">
        <w:rPr>
          <w:lang w:eastAsia="fr-FR"/>
        </w:rPr>
        <w:t xml:space="preserve">Finally, to another extent, another significant </w:t>
      </w:r>
      <w:r w:rsidR="00435180">
        <w:rPr>
          <w:lang w:eastAsia="fr-FR"/>
        </w:rPr>
        <w:t>contributor</w:t>
      </w:r>
      <w:r w:rsidR="00555262">
        <w:rPr>
          <w:lang w:eastAsia="fr-FR"/>
        </w:rPr>
        <w:t xml:space="preserve"> is t</w:t>
      </w:r>
      <w:r w:rsidR="00D33DD7">
        <w:rPr>
          <w:lang w:eastAsia="fr-FR"/>
        </w:rPr>
        <w:t xml:space="preserve">he harvested wood product (HWP) category </w:t>
      </w:r>
      <w:r w:rsidR="00D773AD">
        <w:rPr>
          <w:lang w:eastAsia="fr-FR"/>
        </w:rPr>
        <w:t>(CRT 4G)</w:t>
      </w:r>
      <w:r w:rsidR="00555262">
        <w:rPr>
          <w:lang w:eastAsia="fr-FR"/>
        </w:rPr>
        <w:t>, which</w:t>
      </w:r>
      <w:r w:rsidR="00D773AD">
        <w:rPr>
          <w:lang w:eastAsia="fr-FR"/>
        </w:rPr>
        <w:t xml:space="preserve"> ha</w:t>
      </w:r>
      <w:r w:rsidR="00555262">
        <w:rPr>
          <w:lang w:eastAsia="fr-FR"/>
        </w:rPr>
        <w:t>s</w:t>
      </w:r>
      <w:r w:rsidR="00C511CA">
        <w:rPr>
          <w:lang w:eastAsia="fr-FR"/>
        </w:rPr>
        <w:t xml:space="preserve"> increased </w:t>
      </w:r>
      <w:r w:rsidR="00555262">
        <w:rPr>
          <w:lang w:eastAsia="fr-FR"/>
        </w:rPr>
        <w:t>its</w:t>
      </w:r>
      <w:r w:rsidR="00296FCF">
        <w:rPr>
          <w:lang w:eastAsia="fr-FR"/>
        </w:rPr>
        <w:t xml:space="preserve"> share from 1.9% to 4.6%, between 1990 and 2022, due to </w:t>
      </w:r>
      <w:r w:rsidR="00555262">
        <w:rPr>
          <w:lang w:eastAsia="fr-FR"/>
        </w:rPr>
        <w:t xml:space="preserve">an important increase </w:t>
      </w:r>
      <w:r w:rsidR="00B83567">
        <w:rPr>
          <w:lang w:eastAsia="fr-FR"/>
        </w:rPr>
        <w:t>of this net sink</w:t>
      </w:r>
      <w:r w:rsidR="00555262">
        <w:rPr>
          <w:lang w:eastAsia="fr-FR"/>
        </w:rPr>
        <w:t xml:space="preserve">. </w:t>
      </w:r>
    </w:p>
    <w:p w14:paraId="47F486D5" w14:textId="77777777" w:rsidR="007B27F8" w:rsidRDefault="007B27F8" w:rsidP="0006019A">
      <w:pPr>
        <w:rPr>
          <w:lang w:eastAsia="fr-FR"/>
        </w:rPr>
      </w:pPr>
    </w:p>
    <w:p w14:paraId="5959B650" w14:textId="77777777" w:rsidR="007B27F8" w:rsidRDefault="007B27F8" w:rsidP="0006019A">
      <w:pPr>
        <w:rPr>
          <w:lang w:eastAsia="fr-FR"/>
        </w:rPr>
      </w:pPr>
    </w:p>
    <w:p w14:paraId="357D9660" w14:textId="40A02704" w:rsidR="002E33E1" w:rsidRDefault="00F32805" w:rsidP="007B27F8">
      <w:pPr>
        <w:spacing w:after="0" w:line="240" w:lineRule="auto"/>
        <w:jc w:val="left"/>
        <w:rPr>
          <w:lang w:eastAsia="fr-FR"/>
        </w:rPr>
      </w:pPr>
      <w:r>
        <w:rPr>
          <w:noProof/>
          <w:lang w:val="en-US"/>
        </w:rPr>
        <w:lastRenderedPageBreak/>
        <w:drawing>
          <wp:inline distT="0" distB="0" distL="0" distR="0" wp14:anchorId="0798A801" wp14:editId="1CACA442">
            <wp:extent cx="2880000" cy="1885091"/>
            <wp:effectExtent l="0" t="0" r="0" b="1270"/>
            <wp:docPr id="166388951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80000" cy="1885091"/>
                    </a:xfrm>
                    <a:prstGeom prst="rect">
                      <a:avLst/>
                    </a:prstGeom>
                    <a:noFill/>
                  </pic:spPr>
                </pic:pic>
              </a:graphicData>
            </a:graphic>
          </wp:inline>
        </w:drawing>
      </w:r>
      <w:r>
        <w:rPr>
          <w:noProof/>
          <w:lang w:val="en-US"/>
        </w:rPr>
        <w:drawing>
          <wp:inline distT="0" distB="0" distL="0" distR="0" wp14:anchorId="46DD4CAF" wp14:editId="6B28F735">
            <wp:extent cx="2880000" cy="1885091"/>
            <wp:effectExtent l="0" t="0" r="0" b="1270"/>
            <wp:docPr id="1830128883"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80000" cy="1885091"/>
                    </a:xfrm>
                    <a:prstGeom prst="rect">
                      <a:avLst/>
                    </a:prstGeom>
                    <a:noFill/>
                  </pic:spPr>
                </pic:pic>
              </a:graphicData>
            </a:graphic>
          </wp:inline>
        </w:drawing>
      </w:r>
    </w:p>
    <w:p w14:paraId="20A49FB7" w14:textId="77777777" w:rsidR="007B27F8" w:rsidRPr="002462F0" w:rsidRDefault="007B27F8" w:rsidP="007B27F8">
      <w:pPr>
        <w:pStyle w:val="Caption"/>
        <w:spacing w:before="120" w:after="0"/>
        <w:jc w:val="left"/>
      </w:pPr>
      <w:bookmarkStart w:id="833" w:name="_Toc184808504"/>
      <w:r w:rsidRPr="001F0275">
        <w:t xml:space="preserve">Figure </w:t>
      </w:r>
      <w:r w:rsidRPr="001F0275">
        <w:fldChar w:fldCharType="begin"/>
      </w:r>
      <w:r w:rsidRPr="001F0275">
        <w:instrText xml:space="preserve"> SEQ Figure \* ARABIC </w:instrText>
      </w:r>
      <w:r w:rsidRPr="001F0275">
        <w:fldChar w:fldCharType="separate"/>
      </w:r>
      <w:r>
        <w:rPr>
          <w:noProof/>
        </w:rPr>
        <w:t>117</w:t>
      </w:r>
      <w:r w:rsidRPr="001F0275">
        <w:fldChar w:fldCharType="end"/>
      </w:r>
      <w:r w:rsidRPr="001F0275">
        <w:t xml:space="preserve">: </w:t>
      </w:r>
      <w:r w:rsidRPr="002462F0">
        <w:t xml:space="preserve">GHG emission </w:t>
      </w:r>
      <w:r>
        <w:t>distribution</w:t>
      </w:r>
      <w:r w:rsidRPr="002462F0">
        <w:t xml:space="preserve"> for </w:t>
      </w:r>
      <w:r>
        <w:t xml:space="preserve">LULUCF (CRT 4), for the period 1990-2022, per subsector </w:t>
      </w:r>
      <w:r w:rsidRPr="002462F0">
        <w:t>(</w:t>
      </w:r>
      <w:r>
        <w:t>in %</w:t>
      </w:r>
      <w:r w:rsidRPr="002462F0">
        <w:t>)</w:t>
      </w:r>
      <w:bookmarkEnd w:id="833"/>
    </w:p>
    <w:p w14:paraId="3FEA7559" w14:textId="77777777" w:rsidR="007B27F8" w:rsidRDefault="007B27F8" w:rsidP="00B57815">
      <w:pPr>
        <w:rPr>
          <w:lang w:eastAsia="fr-FR"/>
        </w:rPr>
      </w:pPr>
    </w:p>
    <w:p w14:paraId="5F9BBA65" w14:textId="624659A8" w:rsidR="00952092" w:rsidRPr="00B57815" w:rsidRDefault="000737BF" w:rsidP="00B57815">
      <w:pPr>
        <w:rPr>
          <w:lang w:eastAsia="fr-FR"/>
        </w:rPr>
      </w:pPr>
      <w:r w:rsidRPr="00622F40">
        <w:rPr>
          <w:lang w:eastAsia="fr-FR"/>
        </w:rPr>
        <w:t xml:space="preserve">In </w:t>
      </w:r>
      <w:r w:rsidR="00DE7F96" w:rsidRPr="00622F40">
        <w:rPr>
          <w:lang w:eastAsia="fr-FR"/>
        </w:rPr>
        <w:t xml:space="preserve">the Republic of </w:t>
      </w:r>
      <w:r w:rsidRPr="00622F40">
        <w:rPr>
          <w:lang w:eastAsia="fr-FR"/>
        </w:rPr>
        <w:t>Serbia, as for the majority of EU Member states, the LULUCF sector has been a net sink during the historical period (from 1990), mostly due to the forest land, and seems to show an increasing trend in the 1990s, and a slightly declining trend from the 2000’s to the most recent years. The following graph presents the country’s LULUCF net sink evolution and each of the LULUCF categories results.</w:t>
      </w:r>
    </w:p>
    <w:p w14:paraId="0D7A8E2F" w14:textId="47B680C9" w:rsidR="007B2433" w:rsidRDefault="00DE7F96" w:rsidP="007B27F8">
      <w:pPr>
        <w:spacing w:after="0"/>
        <w:jc w:val="left"/>
      </w:pPr>
      <w:bookmarkStart w:id="834" w:name="_Toc496101072"/>
      <w:r>
        <w:rPr>
          <w:noProof/>
          <w:lang w:val="en-US"/>
        </w:rPr>
        <w:drawing>
          <wp:inline distT="0" distB="0" distL="0" distR="0" wp14:anchorId="5D9096B7" wp14:editId="5FB28E8C">
            <wp:extent cx="5822315" cy="2590800"/>
            <wp:effectExtent l="0" t="0" r="6985" b="0"/>
            <wp:docPr id="1654129480"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22315" cy="2590800"/>
                    </a:xfrm>
                    <a:prstGeom prst="rect">
                      <a:avLst/>
                    </a:prstGeom>
                    <a:noFill/>
                  </pic:spPr>
                </pic:pic>
              </a:graphicData>
            </a:graphic>
          </wp:inline>
        </w:drawing>
      </w:r>
    </w:p>
    <w:p w14:paraId="6922658F" w14:textId="77777777" w:rsidR="007B27F8" w:rsidRPr="002462F0" w:rsidRDefault="007B27F8" w:rsidP="007B27F8">
      <w:pPr>
        <w:pStyle w:val="Caption"/>
        <w:spacing w:before="0"/>
        <w:jc w:val="left"/>
      </w:pPr>
      <w:bookmarkStart w:id="835" w:name="_Toc184808505"/>
      <w:r w:rsidRPr="00B57815">
        <w:t xml:space="preserve">Figure </w:t>
      </w:r>
      <w:r w:rsidRPr="00B57815">
        <w:fldChar w:fldCharType="begin"/>
      </w:r>
      <w:r w:rsidRPr="00B57815">
        <w:instrText xml:space="preserve"> SEQ Figure \* ARABIC </w:instrText>
      </w:r>
      <w:r w:rsidRPr="00B57815">
        <w:fldChar w:fldCharType="separate"/>
      </w:r>
      <w:r>
        <w:rPr>
          <w:noProof/>
        </w:rPr>
        <w:t>118</w:t>
      </w:r>
      <w:r w:rsidRPr="00B57815">
        <w:fldChar w:fldCharType="end"/>
      </w:r>
      <w:r w:rsidRPr="00B57815">
        <w:t>: GHG emissions trends for LULUCF</w:t>
      </w:r>
      <w:r>
        <w:t xml:space="preserve"> (CRT 4), for the period 1990-2022, per subcategory</w:t>
      </w:r>
      <w:r w:rsidRPr="00B57815">
        <w:t xml:space="preserve"> (</w:t>
      </w:r>
      <w:r>
        <w:t xml:space="preserve">in </w:t>
      </w:r>
      <w:r w:rsidRPr="00B57815">
        <w:t>kt CO</w:t>
      </w:r>
      <w:r w:rsidRPr="00B57815">
        <w:rPr>
          <w:vertAlign w:val="subscript"/>
        </w:rPr>
        <w:t>2</w:t>
      </w:r>
      <w:r w:rsidRPr="00B57815">
        <w:t>e)</w:t>
      </w:r>
      <w:bookmarkEnd w:id="835"/>
    </w:p>
    <w:p w14:paraId="36F4DA8E" w14:textId="11BA2A82" w:rsidR="00A64DD7" w:rsidRDefault="007B2433" w:rsidP="00A64DD7">
      <w:pPr>
        <w:rPr>
          <w:lang w:eastAsia="fr-FR"/>
        </w:rPr>
      </w:pPr>
      <w:r w:rsidRPr="002462F0">
        <w:rPr>
          <w:lang w:eastAsia="fr-FR"/>
        </w:rPr>
        <w:t xml:space="preserve">In </w:t>
      </w:r>
      <w:r w:rsidR="00C34A98">
        <w:rPr>
          <w:lang w:eastAsia="fr-FR"/>
        </w:rPr>
        <w:t xml:space="preserve">overall, in </w:t>
      </w:r>
      <w:r w:rsidRPr="002462F0">
        <w:rPr>
          <w:lang w:eastAsia="fr-FR"/>
        </w:rPr>
        <w:t>20</w:t>
      </w:r>
      <w:r w:rsidR="00C34A98">
        <w:rPr>
          <w:lang w:eastAsia="fr-FR"/>
        </w:rPr>
        <w:t>22</w:t>
      </w:r>
      <w:r w:rsidRPr="002462F0">
        <w:rPr>
          <w:lang w:eastAsia="fr-FR"/>
        </w:rPr>
        <w:t xml:space="preserve">, GHG emissions from </w:t>
      </w:r>
      <w:r w:rsidR="00051181">
        <w:rPr>
          <w:lang w:eastAsia="fr-FR"/>
        </w:rPr>
        <w:t>CRT</w:t>
      </w:r>
      <w:r w:rsidRPr="002462F0">
        <w:rPr>
          <w:lang w:eastAsia="fr-FR"/>
        </w:rPr>
        <w:t xml:space="preserve"> 4 LULUCF </w:t>
      </w:r>
      <w:r w:rsidR="00BC553E">
        <w:rPr>
          <w:lang w:eastAsia="fr-FR"/>
        </w:rPr>
        <w:t xml:space="preserve">are a net removal of </w:t>
      </w:r>
      <w:r w:rsidR="005F1820">
        <w:rPr>
          <w:lang w:eastAsia="fr-FR"/>
        </w:rPr>
        <w:t>-</w:t>
      </w:r>
      <w:r w:rsidR="00BC553E">
        <w:rPr>
          <w:lang w:eastAsia="fr-FR"/>
        </w:rPr>
        <w:t>4.</w:t>
      </w:r>
      <w:r w:rsidR="005F1820">
        <w:rPr>
          <w:lang w:eastAsia="fr-FR"/>
        </w:rPr>
        <w:t xml:space="preserve">5 </w:t>
      </w:r>
      <w:r w:rsidR="000603DA">
        <w:rPr>
          <w:lang w:eastAsia="fr-FR"/>
        </w:rPr>
        <w:t xml:space="preserve">Mt </w:t>
      </w:r>
      <w:r w:rsidRPr="002462F0">
        <w:rPr>
          <w:lang w:eastAsia="fr-FR"/>
        </w:rPr>
        <w:t>CO</w:t>
      </w:r>
      <w:r w:rsidRPr="002462F0">
        <w:rPr>
          <w:vertAlign w:val="subscript"/>
          <w:lang w:eastAsia="fr-FR"/>
        </w:rPr>
        <w:t>2</w:t>
      </w:r>
      <w:r w:rsidRPr="002462F0">
        <w:rPr>
          <w:lang w:eastAsia="fr-FR"/>
        </w:rPr>
        <w:t xml:space="preserve">e, compared to </w:t>
      </w:r>
      <w:r w:rsidR="005F1820">
        <w:rPr>
          <w:lang w:eastAsia="fr-FR"/>
        </w:rPr>
        <w:t>-</w:t>
      </w:r>
      <w:r w:rsidR="0076209E">
        <w:rPr>
          <w:lang w:eastAsia="fr-FR"/>
        </w:rPr>
        <w:t xml:space="preserve">1.4 Mt </w:t>
      </w:r>
      <w:r w:rsidRPr="002462F0">
        <w:rPr>
          <w:lang w:eastAsia="fr-FR"/>
        </w:rPr>
        <w:t>CO</w:t>
      </w:r>
      <w:r w:rsidRPr="002462F0">
        <w:rPr>
          <w:vertAlign w:val="subscript"/>
          <w:lang w:eastAsia="fr-FR"/>
        </w:rPr>
        <w:t>2</w:t>
      </w:r>
      <w:r w:rsidRPr="002462F0">
        <w:rPr>
          <w:lang w:eastAsia="fr-FR"/>
        </w:rPr>
        <w:t>e in 1990</w:t>
      </w:r>
      <w:r w:rsidR="0076209E">
        <w:rPr>
          <w:lang w:eastAsia="fr-FR"/>
        </w:rPr>
        <w:t xml:space="preserve">, corresponding to a </w:t>
      </w:r>
      <w:r w:rsidR="00AB1326">
        <w:rPr>
          <w:lang w:eastAsia="fr-FR"/>
        </w:rPr>
        <w:t>222% increase</w:t>
      </w:r>
      <w:r w:rsidR="005714EA">
        <w:rPr>
          <w:lang w:eastAsia="fr-FR"/>
        </w:rPr>
        <w:t xml:space="preserve"> for the studied period</w:t>
      </w:r>
      <w:r w:rsidRPr="002462F0">
        <w:rPr>
          <w:lang w:eastAsia="fr-FR"/>
        </w:rPr>
        <w:t xml:space="preserve">. GHG emissions </w:t>
      </w:r>
      <w:r w:rsidR="0061785C">
        <w:rPr>
          <w:lang w:eastAsia="fr-FR"/>
        </w:rPr>
        <w:t>vary significantly</w:t>
      </w:r>
      <w:r w:rsidRPr="002462F0">
        <w:rPr>
          <w:lang w:eastAsia="fr-FR"/>
        </w:rPr>
        <w:t xml:space="preserve"> during the reporting period</w:t>
      </w:r>
      <w:r w:rsidR="00B76734">
        <w:rPr>
          <w:lang w:eastAsia="fr-FR"/>
        </w:rPr>
        <w:t>, in particular until 2003, due</w:t>
      </w:r>
      <w:r w:rsidR="00F23BA8">
        <w:rPr>
          <w:lang w:eastAsia="fr-FR"/>
        </w:rPr>
        <w:t xml:space="preserve"> in part</w:t>
      </w:r>
      <w:r w:rsidR="00B76734">
        <w:rPr>
          <w:lang w:eastAsia="fr-FR"/>
        </w:rPr>
        <w:t xml:space="preserve"> to</w:t>
      </w:r>
      <w:r w:rsidR="00163B59">
        <w:rPr>
          <w:lang w:eastAsia="fr-FR"/>
        </w:rPr>
        <w:t xml:space="preserve"> </w:t>
      </w:r>
      <w:r w:rsidR="00210B5A">
        <w:rPr>
          <w:lang w:eastAsia="fr-FR"/>
        </w:rPr>
        <w:t xml:space="preserve">a lower harvesting rate </w:t>
      </w:r>
      <w:r w:rsidR="002D067D">
        <w:rPr>
          <w:lang w:eastAsia="fr-FR"/>
        </w:rPr>
        <w:t>(increase of sink) and</w:t>
      </w:r>
      <w:r w:rsidR="00F23BA8">
        <w:rPr>
          <w:lang w:eastAsia="fr-FR"/>
        </w:rPr>
        <w:t xml:space="preserve"> wildfires</w:t>
      </w:r>
      <w:r w:rsidR="002D067D">
        <w:rPr>
          <w:lang w:eastAsia="fr-FR"/>
        </w:rPr>
        <w:t xml:space="preserve"> (sink reduction)</w:t>
      </w:r>
      <w:r w:rsidR="00F23BA8">
        <w:rPr>
          <w:lang w:eastAsia="fr-FR"/>
        </w:rPr>
        <w:t xml:space="preserve">. </w:t>
      </w:r>
      <w:r w:rsidR="00522A60">
        <w:rPr>
          <w:lang w:eastAsia="fr-FR"/>
        </w:rPr>
        <w:t>From 2008 onwards,</w:t>
      </w:r>
      <w:r w:rsidRPr="002462F0">
        <w:rPr>
          <w:lang w:eastAsia="fr-FR"/>
        </w:rPr>
        <w:t xml:space="preserve"> </w:t>
      </w:r>
      <w:r w:rsidR="006859B9">
        <w:rPr>
          <w:lang w:eastAsia="fr-FR"/>
        </w:rPr>
        <w:t xml:space="preserve">the emissions from LULUCF are more stable and follow an increasing trend (i.e., the sink </w:t>
      </w:r>
      <w:r w:rsidR="00040F1F">
        <w:rPr>
          <w:lang w:eastAsia="fr-FR"/>
        </w:rPr>
        <w:t>of emissions is getting smaller)</w:t>
      </w:r>
      <w:r w:rsidR="007333AC">
        <w:rPr>
          <w:lang w:eastAsia="fr-FR"/>
        </w:rPr>
        <w:t xml:space="preserve">, </w:t>
      </w:r>
      <w:r w:rsidR="00863ED5">
        <w:rPr>
          <w:lang w:eastAsia="fr-FR"/>
        </w:rPr>
        <w:t xml:space="preserve">and </w:t>
      </w:r>
      <w:r w:rsidR="00F1757E">
        <w:rPr>
          <w:lang w:eastAsia="fr-FR"/>
        </w:rPr>
        <w:t xml:space="preserve">an </w:t>
      </w:r>
      <w:r w:rsidR="00863ED5">
        <w:rPr>
          <w:lang w:eastAsia="fr-FR"/>
        </w:rPr>
        <w:t xml:space="preserve">overall increase of </w:t>
      </w:r>
      <w:r w:rsidR="00F1757E">
        <w:rPr>
          <w:lang w:eastAsia="fr-FR"/>
        </w:rPr>
        <w:t>30% is observed for the period 2008-2022</w:t>
      </w:r>
      <w:r w:rsidR="00262B03">
        <w:rPr>
          <w:lang w:eastAsia="fr-FR"/>
        </w:rPr>
        <w:t>.</w:t>
      </w:r>
      <w:r w:rsidRPr="002462F0">
        <w:rPr>
          <w:lang w:eastAsia="fr-FR"/>
        </w:rPr>
        <w:t xml:space="preserve"> </w:t>
      </w:r>
      <w:r w:rsidR="00952092">
        <w:rPr>
          <w:lang w:eastAsia="fr-FR"/>
        </w:rPr>
        <w:t>The significant</w:t>
      </w:r>
      <w:r w:rsidRPr="002462F0">
        <w:rPr>
          <w:lang w:eastAsia="fr-FR"/>
        </w:rPr>
        <w:t xml:space="preserve"> reduction of the sinks in </w:t>
      </w:r>
      <w:r w:rsidR="00952092">
        <w:rPr>
          <w:lang w:eastAsia="fr-FR"/>
        </w:rPr>
        <w:t xml:space="preserve">the Forest land </w:t>
      </w:r>
      <w:r w:rsidRPr="002462F0">
        <w:rPr>
          <w:lang w:eastAsia="fr-FR"/>
        </w:rPr>
        <w:t>category, in th</w:t>
      </w:r>
      <w:r w:rsidR="00952092">
        <w:rPr>
          <w:lang w:eastAsia="fr-FR"/>
        </w:rPr>
        <w:t>e</w:t>
      </w:r>
      <w:r w:rsidRPr="002462F0">
        <w:rPr>
          <w:lang w:eastAsia="fr-FR"/>
        </w:rPr>
        <w:t xml:space="preserve"> 2010-201</w:t>
      </w:r>
      <w:r w:rsidR="00CF3204">
        <w:rPr>
          <w:lang w:eastAsia="fr-FR"/>
        </w:rPr>
        <w:t>2</w:t>
      </w:r>
      <w:r w:rsidRPr="002462F0">
        <w:rPr>
          <w:lang w:eastAsia="fr-FR"/>
        </w:rPr>
        <w:t xml:space="preserve"> period, is the result of a significant drop of forest mass increment due to </w:t>
      </w:r>
      <w:r w:rsidR="00952092">
        <w:rPr>
          <w:lang w:eastAsia="fr-FR"/>
        </w:rPr>
        <w:t xml:space="preserve">a </w:t>
      </w:r>
      <w:r w:rsidRPr="002462F0">
        <w:rPr>
          <w:lang w:eastAsia="fr-FR"/>
        </w:rPr>
        <w:t>drought in 2012</w:t>
      </w:r>
      <w:r w:rsidR="00952092">
        <w:rPr>
          <w:lang w:eastAsia="fr-FR"/>
        </w:rPr>
        <w:t>,</w:t>
      </w:r>
      <w:r w:rsidRPr="002462F0">
        <w:rPr>
          <w:lang w:eastAsia="fr-FR"/>
        </w:rPr>
        <w:t xml:space="preserve"> which explain the peak of emissions in 2012.</w:t>
      </w:r>
      <w:r w:rsidR="0016369D">
        <w:rPr>
          <w:lang w:eastAsia="fr-FR"/>
        </w:rPr>
        <w:t xml:space="preserve"> In addition, </w:t>
      </w:r>
      <w:r w:rsidR="00054744">
        <w:rPr>
          <w:lang w:eastAsia="fr-FR"/>
        </w:rPr>
        <w:t xml:space="preserve">the sinks are decreasing mainly due to the increased use in biomass and </w:t>
      </w:r>
      <w:r w:rsidR="002B007B">
        <w:rPr>
          <w:lang w:eastAsia="fr-FR"/>
        </w:rPr>
        <w:t xml:space="preserve">to natural disasters (e.g., fires, breakages due to </w:t>
      </w:r>
      <w:r w:rsidR="00192F23">
        <w:rPr>
          <w:lang w:eastAsia="fr-FR"/>
        </w:rPr>
        <w:t>storms, damage caused by insects and diseases)</w:t>
      </w:r>
      <w:r w:rsidR="00474A58">
        <w:rPr>
          <w:lang w:eastAsia="fr-FR"/>
        </w:rPr>
        <w:t>.</w:t>
      </w:r>
      <w:r w:rsidR="00A64DD7">
        <w:rPr>
          <w:lang w:eastAsia="fr-FR"/>
        </w:rPr>
        <w:t xml:space="preserve"> </w:t>
      </w:r>
    </w:p>
    <w:p w14:paraId="1DA00A3B" w14:textId="512FF59A" w:rsidR="00A64DD7" w:rsidRPr="00E42D32" w:rsidRDefault="00A64DD7" w:rsidP="00A64DD7">
      <w:r w:rsidRPr="709AE679">
        <w:t>Only Forest Land and Harvested Wood Products are categories that are net sinks, (Forest Land being approximately 15 times higher than HWP). HWP net sink increased from 1990 to 2019, and now decreases. All other categories are net sources of emissions, mostly due to land conversions or the burning of dry pastures, with small amounts. To summarize, during the last years, Forest Land represented approximately -5 Mt CO</w:t>
      </w:r>
      <w:r w:rsidRPr="709AE679">
        <w:rPr>
          <w:vertAlign w:val="subscript"/>
        </w:rPr>
        <w:t>2</w:t>
      </w:r>
      <w:r w:rsidRPr="709AE679">
        <w:t>e of sink; HWP -0</w:t>
      </w:r>
      <w:r w:rsidR="00AF2D44">
        <w:t>.</w:t>
      </w:r>
      <w:r w:rsidRPr="709AE679">
        <w:t>3 Mt; and all other categories cumulated between 0</w:t>
      </w:r>
      <w:r w:rsidR="00AF2D44">
        <w:t>.</w:t>
      </w:r>
      <w:r w:rsidRPr="709AE679">
        <w:t>3 and 0</w:t>
      </w:r>
      <w:r w:rsidR="00AF2D44">
        <w:t>.</w:t>
      </w:r>
      <w:r w:rsidRPr="709AE679">
        <w:t xml:space="preserve">4 Mt. </w:t>
      </w:r>
    </w:p>
    <w:p w14:paraId="7AE6BBBD" w14:textId="74485EF8" w:rsidR="00EF33CB" w:rsidRPr="00CF693E" w:rsidRDefault="00614555" w:rsidP="00CF693E">
      <w:pPr>
        <w:pStyle w:val="Heading2"/>
      </w:pPr>
      <w:bookmarkStart w:id="836" w:name="_Toc182327952"/>
      <w:bookmarkStart w:id="837" w:name="_Toc184808294"/>
      <w:r w:rsidRPr="00CF693E">
        <w:rPr>
          <w:rStyle w:val="Heading2Char"/>
          <w:b/>
        </w:rPr>
        <w:lastRenderedPageBreak/>
        <w:t>Land-use definitions and the classification</w:t>
      </w:r>
      <w:bookmarkEnd w:id="834"/>
      <w:r w:rsidR="00596866" w:rsidRPr="00CF693E">
        <w:rPr>
          <w:rStyle w:val="Heading2Char"/>
          <w:b/>
        </w:rPr>
        <w:t xml:space="preserve"> </w:t>
      </w:r>
      <w:r w:rsidR="00596866" w:rsidRPr="00CF693E">
        <w:t>systems used and their correspondence to the land use, land-use change and forestry categories (e.g. land use and land-use change matrix)</w:t>
      </w:r>
      <w:bookmarkEnd w:id="836"/>
      <w:bookmarkEnd w:id="837"/>
    </w:p>
    <w:p w14:paraId="7FB509C7" w14:textId="2DFD896F" w:rsidR="00596866" w:rsidRDefault="00596866" w:rsidP="00596866">
      <w:pPr>
        <w:spacing w:before="120"/>
      </w:pPr>
      <w:r>
        <w:t xml:space="preserve">The definition of forest is the one used by the </w:t>
      </w:r>
      <w:r w:rsidR="008B0463">
        <w:t xml:space="preserve">Global Forest Resources Assessment </w:t>
      </w:r>
      <w:r w:rsidR="008B0463" w:rsidRPr="008B0463">
        <w:t xml:space="preserve">2015 </w:t>
      </w:r>
      <w:r w:rsidR="008B0463">
        <w:t>(Country Report Serbia).</w:t>
      </w:r>
      <w:r>
        <w:t xml:space="preserve"> The selected </w:t>
      </w:r>
      <w:r w:rsidR="00E116F1">
        <w:t xml:space="preserve">thresholds </w:t>
      </w:r>
      <w:r>
        <w:t>are:</w:t>
      </w:r>
    </w:p>
    <w:p w14:paraId="5F4519E4" w14:textId="088A0CB6" w:rsidR="00596866" w:rsidRDefault="00596866" w:rsidP="00AB11C1">
      <w:pPr>
        <w:pStyle w:val="ListParagraph"/>
        <w:numPr>
          <w:ilvl w:val="0"/>
          <w:numId w:val="49"/>
        </w:numPr>
        <w:jc w:val="left"/>
      </w:pPr>
      <w:r>
        <w:t>Minimum land area:</w:t>
      </w:r>
      <w:r w:rsidR="00CF3204">
        <w:t xml:space="preserve"> 0.5</w:t>
      </w:r>
      <w:r>
        <w:t xml:space="preserve"> ha;</w:t>
      </w:r>
    </w:p>
    <w:p w14:paraId="78FF30BE" w14:textId="7161C73D" w:rsidR="00596866" w:rsidRDefault="00596866" w:rsidP="00AB11C1">
      <w:pPr>
        <w:pStyle w:val="ListParagraph"/>
        <w:numPr>
          <w:ilvl w:val="0"/>
          <w:numId w:val="49"/>
        </w:numPr>
        <w:jc w:val="left"/>
      </w:pPr>
      <w:r>
        <w:t xml:space="preserve">Minimum </w:t>
      </w:r>
      <w:r w:rsidR="00CF3204">
        <w:t>canopy</w:t>
      </w:r>
      <w:r>
        <w:t xml:space="preserve"> cover:</w:t>
      </w:r>
      <w:r w:rsidR="00CF3204">
        <w:t xml:space="preserve"> 10%</w:t>
      </w:r>
      <w:r>
        <w:t xml:space="preserve"> (in situ. i.e. potential of the standing stock to reach this threshold);</w:t>
      </w:r>
    </w:p>
    <w:p w14:paraId="70FDDEF5" w14:textId="67C9D027" w:rsidR="00596866" w:rsidRDefault="00596866" w:rsidP="00AB11C1">
      <w:pPr>
        <w:pStyle w:val="ListParagraph"/>
        <w:numPr>
          <w:ilvl w:val="0"/>
          <w:numId w:val="49"/>
        </w:numPr>
        <w:jc w:val="left"/>
      </w:pPr>
      <w:r>
        <w:t>Minimum height:</w:t>
      </w:r>
      <w:r w:rsidR="00CF3204">
        <w:t xml:space="preserve"> 5 meters </w:t>
      </w:r>
      <w:r>
        <w:t>(in situ. i.e. potential of the standing stock to reach this threshold);</w:t>
      </w:r>
    </w:p>
    <w:p w14:paraId="74DEE19A" w14:textId="015AD4D6" w:rsidR="00596866" w:rsidRDefault="00D232F9" w:rsidP="00596866">
      <w:r>
        <w:t xml:space="preserve">However, in </w:t>
      </w:r>
      <w:r w:rsidR="00596866">
        <w:t xml:space="preserve">the framework of the </w:t>
      </w:r>
      <w:r>
        <w:t xml:space="preserve">GHG </w:t>
      </w:r>
      <w:r w:rsidR="00596866">
        <w:t xml:space="preserve">inventory, </w:t>
      </w:r>
      <w:r>
        <w:t>all 6 land-use categories</w:t>
      </w:r>
      <w:r w:rsidR="00596866">
        <w:t xml:space="preserve"> are directly connected with the definitions Corine Land Cover which is the main source used in the current Serbian inventory to determine areas. The nomenclature of Corine Land Cover was associated to 6 IPCC categories following this allocation table.</w:t>
      </w:r>
    </w:p>
    <w:p w14:paraId="4A8F26A5" w14:textId="688E039F" w:rsidR="00BE365B" w:rsidRDefault="00BE365B" w:rsidP="007B27F8">
      <w:pPr>
        <w:pStyle w:val="Caption"/>
        <w:keepNext/>
        <w:jc w:val="left"/>
      </w:pPr>
      <w:bookmarkStart w:id="838" w:name="_Toc184808580"/>
      <w:r>
        <w:t xml:space="preserve">Table </w:t>
      </w:r>
      <w:r>
        <w:fldChar w:fldCharType="begin"/>
      </w:r>
      <w:r>
        <w:instrText xml:space="preserve"> SEQ Table \* ARABIC </w:instrText>
      </w:r>
      <w:r>
        <w:fldChar w:fldCharType="separate"/>
      </w:r>
      <w:r w:rsidR="00F14C78">
        <w:rPr>
          <w:noProof/>
        </w:rPr>
        <w:t>37</w:t>
      </w:r>
      <w:r>
        <w:fldChar w:fldCharType="end"/>
      </w:r>
      <w:r>
        <w:t>: Table of correspondence between CLC and IPCC classes</w:t>
      </w:r>
      <w:bookmarkEnd w:id="838"/>
    </w:p>
    <w:tbl>
      <w:tblPr>
        <w:tblW w:w="47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414"/>
        <w:gridCol w:w="1581"/>
      </w:tblGrid>
      <w:tr w:rsidR="00596866" w:rsidRPr="00883D4E" w14:paraId="6076DD4D" w14:textId="77777777" w:rsidTr="007B27F8">
        <w:trPr>
          <w:trHeight w:val="20"/>
        </w:trPr>
        <w:tc>
          <w:tcPr>
            <w:tcW w:w="378" w:type="pct"/>
            <w:shd w:val="clear" w:color="auto" w:fill="auto"/>
            <w:noWrap/>
            <w:vAlign w:val="center"/>
            <w:hideMark/>
          </w:tcPr>
          <w:p w14:paraId="00F3A88A"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Code</w:t>
            </w:r>
          </w:p>
        </w:tc>
        <w:tc>
          <w:tcPr>
            <w:tcW w:w="3708" w:type="pct"/>
            <w:shd w:val="clear" w:color="auto" w:fill="auto"/>
            <w:noWrap/>
            <w:vAlign w:val="center"/>
            <w:hideMark/>
          </w:tcPr>
          <w:p w14:paraId="1E9556CE"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CLC class</w:t>
            </w:r>
          </w:p>
        </w:tc>
        <w:tc>
          <w:tcPr>
            <w:tcW w:w="914" w:type="pct"/>
            <w:shd w:val="clear" w:color="auto" w:fill="auto"/>
            <w:noWrap/>
            <w:vAlign w:val="center"/>
            <w:hideMark/>
          </w:tcPr>
          <w:p w14:paraId="622FD7CE"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IPCC class</w:t>
            </w:r>
          </w:p>
        </w:tc>
      </w:tr>
      <w:tr w:rsidR="00596866" w:rsidRPr="00883D4E" w14:paraId="46B7ACE7" w14:textId="77777777" w:rsidTr="007B27F8">
        <w:trPr>
          <w:trHeight w:val="20"/>
        </w:trPr>
        <w:tc>
          <w:tcPr>
            <w:tcW w:w="378" w:type="pct"/>
            <w:shd w:val="clear" w:color="auto" w:fill="auto"/>
            <w:noWrap/>
            <w:vAlign w:val="center"/>
            <w:hideMark/>
          </w:tcPr>
          <w:p w14:paraId="4B14C4DD"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111</w:t>
            </w:r>
          </w:p>
        </w:tc>
        <w:tc>
          <w:tcPr>
            <w:tcW w:w="3708" w:type="pct"/>
            <w:shd w:val="clear" w:color="auto" w:fill="auto"/>
            <w:noWrap/>
            <w:vAlign w:val="center"/>
            <w:hideMark/>
          </w:tcPr>
          <w:p w14:paraId="76D12FB8"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Continuous Urban Fabric</w:t>
            </w:r>
          </w:p>
        </w:tc>
        <w:tc>
          <w:tcPr>
            <w:tcW w:w="914" w:type="pct"/>
            <w:shd w:val="clear" w:color="auto" w:fill="auto"/>
            <w:noWrap/>
            <w:vAlign w:val="center"/>
            <w:hideMark/>
          </w:tcPr>
          <w:p w14:paraId="52209317"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r>
      <w:tr w:rsidR="00596866" w:rsidRPr="00883D4E" w14:paraId="47E00D86" w14:textId="77777777" w:rsidTr="007B27F8">
        <w:trPr>
          <w:trHeight w:val="20"/>
        </w:trPr>
        <w:tc>
          <w:tcPr>
            <w:tcW w:w="378" w:type="pct"/>
            <w:shd w:val="clear" w:color="auto" w:fill="auto"/>
            <w:noWrap/>
            <w:vAlign w:val="center"/>
            <w:hideMark/>
          </w:tcPr>
          <w:p w14:paraId="0F70E1B4"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112</w:t>
            </w:r>
          </w:p>
        </w:tc>
        <w:tc>
          <w:tcPr>
            <w:tcW w:w="3708" w:type="pct"/>
            <w:shd w:val="clear" w:color="auto" w:fill="auto"/>
            <w:noWrap/>
            <w:vAlign w:val="center"/>
            <w:hideMark/>
          </w:tcPr>
          <w:p w14:paraId="788F6A50"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Discontinuous Urban Fabric</w:t>
            </w:r>
          </w:p>
        </w:tc>
        <w:tc>
          <w:tcPr>
            <w:tcW w:w="914" w:type="pct"/>
            <w:shd w:val="clear" w:color="auto" w:fill="auto"/>
            <w:noWrap/>
            <w:vAlign w:val="center"/>
            <w:hideMark/>
          </w:tcPr>
          <w:p w14:paraId="30EE7A8C"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r>
      <w:tr w:rsidR="00596866" w:rsidRPr="00883D4E" w14:paraId="42AE1FB9" w14:textId="77777777" w:rsidTr="007B27F8">
        <w:trPr>
          <w:trHeight w:val="20"/>
        </w:trPr>
        <w:tc>
          <w:tcPr>
            <w:tcW w:w="378" w:type="pct"/>
            <w:shd w:val="clear" w:color="auto" w:fill="auto"/>
            <w:noWrap/>
            <w:vAlign w:val="center"/>
            <w:hideMark/>
          </w:tcPr>
          <w:p w14:paraId="79739E26"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121</w:t>
            </w:r>
          </w:p>
        </w:tc>
        <w:tc>
          <w:tcPr>
            <w:tcW w:w="3708" w:type="pct"/>
            <w:shd w:val="clear" w:color="auto" w:fill="auto"/>
            <w:noWrap/>
            <w:vAlign w:val="center"/>
            <w:hideMark/>
          </w:tcPr>
          <w:p w14:paraId="63871B27"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Industrial or Commercial</w:t>
            </w:r>
          </w:p>
        </w:tc>
        <w:tc>
          <w:tcPr>
            <w:tcW w:w="914" w:type="pct"/>
            <w:shd w:val="clear" w:color="auto" w:fill="auto"/>
            <w:noWrap/>
            <w:vAlign w:val="center"/>
            <w:hideMark/>
          </w:tcPr>
          <w:p w14:paraId="5129910A"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r>
      <w:tr w:rsidR="00596866" w:rsidRPr="00883D4E" w14:paraId="325DC9D6" w14:textId="77777777" w:rsidTr="007B27F8">
        <w:trPr>
          <w:trHeight w:val="20"/>
        </w:trPr>
        <w:tc>
          <w:tcPr>
            <w:tcW w:w="378" w:type="pct"/>
            <w:shd w:val="clear" w:color="auto" w:fill="auto"/>
            <w:noWrap/>
            <w:vAlign w:val="center"/>
            <w:hideMark/>
          </w:tcPr>
          <w:p w14:paraId="2D03D60C"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122</w:t>
            </w:r>
          </w:p>
        </w:tc>
        <w:tc>
          <w:tcPr>
            <w:tcW w:w="3708" w:type="pct"/>
            <w:shd w:val="clear" w:color="auto" w:fill="auto"/>
            <w:noWrap/>
            <w:vAlign w:val="center"/>
            <w:hideMark/>
          </w:tcPr>
          <w:p w14:paraId="07375C09"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Road and Rail networks</w:t>
            </w:r>
          </w:p>
        </w:tc>
        <w:tc>
          <w:tcPr>
            <w:tcW w:w="914" w:type="pct"/>
            <w:shd w:val="clear" w:color="auto" w:fill="auto"/>
            <w:noWrap/>
            <w:vAlign w:val="center"/>
            <w:hideMark/>
          </w:tcPr>
          <w:p w14:paraId="71D2784B"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r>
      <w:tr w:rsidR="00596866" w:rsidRPr="00883D4E" w14:paraId="2C4E7064" w14:textId="77777777" w:rsidTr="007B27F8">
        <w:trPr>
          <w:trHeight w:val="20"/>
        </w:trPr>
        <w:tc>
          <w:tcPr>
            <w:tcW w:w="378" w:type="pct"/>
            <w:shd w:val="clear" w:color="auto" w:fill="auto"/>
            <w:noWrap/>
            <w:vAlign w:val="center"/>
            <w:hideMark/>
          </w:tcPr>
          <w:p w14:paraId="5314E27E"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123</w:t>
            </w:r>
          </w:p>
        </w:tc>
        <w:tc>
          <w:tcPr>
            <w:tcW w:w="3708" w:type="pct"/>
            <w:shd w:val="clear" w:color="auto" w:fill="auto"/>
            <w:noWrap/>
            <w:vAlign w:val="center"/>
            <w:hideMark/>
          </w:tcPr>
          <w:p w14:paraId="6341EE1D"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Sea Ports</w:t>
            </w:r>
          </w:p>
        </w:tc>
        <w:tc>
          <w:tcPr>
            <w:tcW w:w="914" w:type="pct"/>
            <w:shd w:val="clear" w:color="auto" w:fill="auto"/>
            <w:noWrap/>
            <w:vAlign w:val="center"/>
            <w:hideMark/>
          </w:tcPr>
          <w:p w14:paraId="7358AF6A"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r>
      <w:tr w:rsidR="00596866" w:rsidRPr="00883D4E" w14:paraId="28E2E716" w14:textId="77777777" w:rsidTr="007B27F8">
        <w:trPr>
          <w:trHeight w:val="20"/>
        </w:trPr>
        <w:tc>
          <w:tcPr>
            <w:tcW w:w="378" w:type="pct"/>
            <w:shd w:val="clear" w:color="auto" w:fill="auto"/>
            <w:noWrap/>
            <w:vAlign w:val="center"/>
            <w:hideMark/>
          </w:tcPr>
          <w:p w14:paraId="583A81F8"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124</w:t>
            </w:r>
          </w:p>
        </w:tc>
        <w:tc>
          <w:tcPr>
            <w:tcW w:w="3708" w:type="pct"/>
            <w:shd w:val="clear" w:color="auto" w:fill="auto"/>
            <w:noWrap/>
            <w:vAlign w:val="center"/>
            <w:hideMark/>
          </w:tcPr>
          <w:p w14:paraId="5798F889"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Airports</w:t>
            </w:r>
          </w:p>
        </w:tc>
        <w:tc>
          <w:tcPr>
            <w:tcW w:w="914" w:type="pct"/>
            <w:shd w:val="clear" w:color="auto" w:fill="auto"/>
            <w:noWrap/>
            <w:vAlign w:val="center"/>
            <w:hideMark/>
          </w:tcPr>
          <w:p w14:paraId="228379C3"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r>
      <w:tr w:rsidR="00596866" w:rsidRPr="00883D4E" w14:paraId="3336A03E" w14:textId="77777777" w:rsidTr="007B27F8">
        <w:trPr>
          <w:trHeight w:val="20"/>
        </w:trPr>
        <w:tc>
          <w:tcPr>
            <w:tcW w:w="378" w:type="pct"/>
            <w:shd w:val="clear" w:color="auto" w:fill="auto"/>
            <w:noWrap/>
            <w:vAlign w:val="center"/>
            <w:hideMark/>
          </w:tcPr>
          <w:p w14:paraId="23C80824"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131</w:t>
            </w:r>
          </w:p>
        </w:tc>
        <w:tc>
          <w:tcPr>
            <w:tcW w:w="3708" w:type="pct"/>
            <w:shd w:val="clear" w:color="auto" w:fill="auto"/>
            <w:noWrap/>
            <w:vAlign w:val="center"/>
            <w:hideMark/>
          </w:tcPr>
          <w:p w14:paraId="4BED1C0D"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Mineral extraction sites</w:t>
            </w:r>
          </w:p>
        </w:tc>
        <w:tc>
          <w:tcPr>
            <w:tcW w:w="914" w:type="pct"/>
            <w:shd w:val="clear" w:color="auto" w:fill="auto"/>
            <w:noWrap/>
            <w:vAlign w:val="center"/>
            <w:hideMark/>
          </w:tcPr>
          <w:p w14:paraId="625A09CB"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r>
      <w:tr w:rsidR="00596866" w:rsidRPr="00883D4E" w14:paraId="0AF0EECD" w14:textId="77777777" w:rsidTr="007B27F8">
        <w:trPr>
          <w:trHeight w:val="20"/>
        </w:trPr>
        <w:tc>
          <w:tcPr>
            <w:tcW w:w="378" w:type="pct"/>
            <w:shd w:val="clear" w:color="auto" w:fill="auto"/>
            <w:noWrap/>
            <w:vAlign w:val="center"/>
            <w:hideMark/>
          </w:tcPr>
          <w:p w14:paraId="51AE28CA"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132</w:t>
            </w:r>
          </w:p>
        </w:tc>
        <w:tc>
          <w:tcPr>
            <w:tcW w:w="3708" w:type="pct"/>
            <w:shd w:val="clear" w:color="auto" w:fill="auto"/>
            <w:noWrap/>
            <w:vAlign w:val="center"/>
            <w:hideMark/>
          </w:tcPr>
          <w:p w14:paraId="215FA50D"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Dump</w:t>
            </w:r>
          </w:p>
        </w:tc>
        <w:tc>
          <w:tcPr>
            <w:tcW w:w="914" w:type="pct"/>
            <w:shd w:val="clear" w:color="auto" w:fill="auto"/>
            <w:noWrap/>
            <w:vAlign w:val="center"/>
            <w:hideMark/>
          </w:tcPr>
          <w:p w14:paraId="6D4BAB20"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r>
      <w:tr w:rsidR="00596866" w:rsidRPr="00883D4E" w14:paraId="014BE869" w14:textId="77777777" w:rsidTr="007B27F8">
        <w:trPr>
          <w:trHeight w:val="20"/>
        </w:trPr>
        <w:tc>
          <w:tcPr>
            <w:tcW w:w="378" w:type="pct"/>
            <w:shd w:val="clear" w:color="auto" w:fill="auto"/>
            <w:noWrap/>
            <w:vAlign w:val="center"/>
            <w:hideMark/>
          </w:tcPr>
          <w:p w14:paraId="5805F1D5"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133</w:t>
            </w:r>
          </w:p>
        </w:tc>
        <w:tc>
          <w:tcPr>
            <w:tcW w:w="3708" w:type="pct"/>
            <w:shd w:val="clear" w:color="auto" w:fill="auto"/>
            <w:noWrap/>
            <w:vAlign w:val="center"/>
            <w:hideMark/>
          </w:tcPr>
          <w:p w14:paraId="771B5D87"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Construction sites</w:t>
            </w:r>
          </w:p>
        </w:tc>
        <w:tc>
          <w:tcPr>
            <w:tcW w:w="914" w:type="pct"/>
            <w:shd w:val="clear" w:color="auto" w:fill="auto"/>
            <w:noWrap/>
            <w:vAlign w:val="center"/>
            <w:hideMark/>
          </w:tcPr>
          <w:p w14:paraId="6FE00C7C"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r>
      <w:tr w:rsidR="00596866" w:rsidRPr="00883D4E" w14:paraId="7C45DAD2" w14:textId="77777777" w:rsidTr="007B27F8">
        <w:trPr>
          <w:trHeight w:val="20"/>
        </w:trPr>
        <w:tc>
          <w:tcPr>
            <w:tcW w:w="378" w:type="pct"/>
            <w:shd w:val="clear" w:color="auto" w:fill="auto"/>
            <w:noWrap/>
            <w:vAlign w:val="center"/>
            <w:hideMark/>
          </w:tcPr>
          <w:p w14:paraId="581FC542"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141</w:t>
            </w:r>
          </w:p>
        </w:tc>
        <w:tc>
          <w:tcPr>
            <w:tcW w:w="3708" w:type="pct"/>
            <w:shd w:val="clear" w:color="auto" w:fill="auto"/>
            <w:noWrap/>
            <w:vAlign w:val="center"/>
            <w:hideMark/>
          </w:tcPr>
          <w:p w14:paraId="55DF48E5"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Green Urban areas</w:t>
            </w:r>
          </w:p>
        </w:tc>
        <w:tc>
          <w:tcPr>
            <w:tcW w:w="914" w:type="pct"/>
            <w:shd w:val="clear" w:color="auto" w:fill="auto"/>
            <w:noWrap/>
            <w:vAlign w:val="center"/>
            <w:hideMark/>
          </w:tcPr>
          <w:p w14:paraId="71FC6F47"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r>
      <w:tr w:rsidR="00596866" w:rsidRPr="00883D4E" w14:paraId="3889F53C" w14:textId="77777777" w:rsidTr="007B27F8">
        <w:trPr>
          <w:trHeight w:val="20"/>
        </w:trPr>
        <w:tc>
          <w:tcPr>
            <w:tcW w:w="378" w:type="pct"/>
            <w:shd w:val="clear" w:color="auto" w:fill="auto"/>
            <w:noWrap/>
            <w:vAlign w:val="center"/>
            <w:hideMark/>
          </w:tcPr>
          <w:p w14:paraId="1EE89703"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142</w:t>
            </w:r>
          </w:p>
        </w:tc>
        <w:tc>
          <w:tcPr>
            <w:tcW w:w="3708" w:type="pct"/>
            <w:shd w:val="clear" w:color="auto" w:fill="auto"/>
            <w:noWrap/>
            <w:vAlign w:val="center"/>
            <w:hideMark/>
          </w:tcPr>
          <w:p w14:paraId="5BF61725"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 xml:space="preserve">Sport and Leisure </w:t>
            </w:r>
            <w:proofErr w:type="spellStart"/>
            <w:r w:rsidRPr="00622F40">
              <w:rPr>
                <w:rFonts w:eastAsia="Times New Roman" w:cs="Arial"/>
                <w:sz w:val="18"/>
                <w:szCs w:val="18"/>
              </w:rPr>
              <w:t>facililies</w:t>
            </w:r>
            <w:proofErr w:type="spellEnd"/>
          </w:p>
        </w:tc>
        <w:tc>
          <w:tcPr>
            <w:tcW w:w="914" w:type="pct"/>
            <w:shd w:val="clear" w:color="auto" w:fill="auto"/>
            <w:noWrap/>
            <w:vAlign w:val="center"/>
            <w:hideMark/>
          </w:tcPr>
          <w:p w14:paraId="0AE2C41B"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r>
      <w:tr w:rsidR="00596866" w:rsidRPr="00883D4E" w14:paraId="5BCC2BE3" w14:textId="77777777" w:rsidTr="007B27F8">
        <w:trPr>
          <w:trHeight w:val="20"/>
        </w:trPr>
        <w:tc>
          <w:tcPr>
            <w:tcW w:w="378" w:type="pct"/>
            <w:shd w:val="clear" w:color="auto" w:fill="auto"/>
            <w:noWrap/>
            <w:vAlign w:val="center"/>
            <w:hideMark/>
          </w:tcPr>
          <w:p w14:paraId="1F91C5D5"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211</w:t>
            </w:r>
          </w:p>
        </w:tc>
        <w:tc>
          <w:tcPr>
            <w:tcW w:w="3708" w:type="pct"/>
            <w:shd w:val="clear" w:color="auto" w:fill="auto"/>
            <w:noWrap/>
            <w:vAlign w:val="center"/>
            <w:hideMark/>
          </w:tcPr>
          <w:p w14:paraId="365F3759"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Non-irrigated arable land</w:t>
            </w:r>
          </w:p>
        </w:tc>
        <w:tc>
          <w:tcPr>
            <w:tcW w:w="914" w:type="pct"/>
            <w:shd w:val="clear" w:color="auto" w:fill="auto"/>
            <w:noWrap/>
            <w:vAlign w:val="center"/>
            <w:hideMark/>
          </w:tcPr>
          <w:p w14:paraId="7DDB294B"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Cropland</w:t>
            </w:r>
          </w:p>
        </w:tc>
      </w:tr>
      <w:tr w:rsidR="00596866" w:rsidRPr="00883D4E" w14:paraId="4A2F0448" w14:textId="77777777" w:rsidTr="007B27F8">
        <w:trPr>
          <w:trHeight w:val="20"/>
        </w:trPr>
        <w:tc>
          <w:tcPr>
            <w:tcW w:w="378" w:type="pct"/>
            <w:shd w:val="clear" w:color="auto" w:fill="auto"/>
            <w:noWrap/>
            <w:vAlign w:val="center"/>
            <w:hideMark/>
          </w:tcPr>
          <w:p w14:paraId="42BC973B"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221</w:t>
            </w:r>
          </w:p>
        </w:tc>
        <w:tc>
          <w:tcPr>
            <w:tcW w:w="3708" w:type="pct"/>
            <w:shd w:val="clear" w:color="auto" w:fill="auto"/>
            <w:noWrap/>
            <w:vAlign w:val="center"/>
            <w:hideMark/>
          </w:tcPr>
          <w:p w14:paraId="58027E43"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Vineyards</w:t>
            </w:r>
          </w:p>
        </w:tc>
        <w:tc>
          <w:tcPr>
            <w:tcW w:w="914" w:type="pct"/>
            <w:shd w:val="clear" w:color="auto" w:fill="auto"/>
            <w:noWrap/>
            <w:vAlign w:val="center"/>
            <w:hideMark/>
          </w:tcPr>
          <w:p w14:paraId="72B2A348"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Cropland</w:t>
            </w:r>
          </w:p>
        </w:tc>
      </w:tr>
      <w:tr w:rsidR="00596866" w:rsidRPr="00883D4E" w14:paraId="1CD9DE9B" w14:textId="77777777" w:rsidTr="007B27F8">
        <w:trPr>
          <w:trHeight w:val="20"/>
        </w:trPr>
        <w:tc>
          <w:tcPr>
            <w:tcW w:w="378" w:type="pct"/>
            <w:shd w:val="clear" w:color="auto" w:fill="auto"/>
            <w:noWrap/>
            <w:vAlign w:val="center"/>
            <w:hideMark/>
          </w:tcPr>
          <w:p w14:paraId="08C41334"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222</w:t>
            </w:r>
          </w:p>
        </w:tc>
        <w:tc>
          <w:tcPr>
            <w:tcW w:w="3708" w:type="pct"/>
            <w:shd w:val="clear" w:color="auto" w:fill="auto"/>
            <w:vAlign w:val="center"/>
            <w:hideMark/>
          </w:tcPr>
          <w:p w14:paraId="65216B95"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Fruit trees and berries plantations</w:t>
            </w:r>
          </w:p>
        </w:tc>
        <w:tc>
          <w:tcPr>
            <w:tcW w:w="914" w:type="pct"/>
            <w:shd w:val="clear" w:color="auto" w:fill="auto"/>
            <w:noWrap/>
            <w:vAlign w:val="center"/>
            <w:hideMark/>
          </w:tcPr>
          <w:p w14:paraId="4E292E16"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Cropland</w:t>
            </w:r>
          </w:p>
        </w:tc>
      </w:tr>
      <w:tr w:rsidR="00596866" w:rsidRPr="00883D4E" w14:paraId="28085B10" w14:textId="77777777" w:rsidTr="007B27F8">
        <w:trPr>
          <w:trHeight w:val="20"/>
        </w:trPr>
        <w:tc>
          <w:tcPr>
            <w:tcW w:w="378" w:type="pct"/>
            <w:shd w:val="clear" w:color="auto" w:fill="auto"/>
            <w:noWrap/>
            <w:vAlign w:val="center"/>
            <w:hideMark/>
          </w:tcPr>
          <w:p w14:paraId="6D3DA743"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231</w:t>
            </w:r>
          </w:p>
        </w:tc>
        <w:tc>
          <w:tcPr>
            <w:tcW w:w="3708" w:type="pct"/>
            <w:shd w:val="clear" w:color="auto" w:fill="auto"/>
            <w:noWrap/>
            <w:vAlign w:val="center"/>
            <w:hideMark/>
          </w:tcPr>
          <w:p w14:paraId="7146B610"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Pastures</w:t>
            </w:r>
          </w:p>
        </w:tc>
        <w:tc>
          <w:tcPr>
            <w:tcW w:w="914" w:type="pct"/>
            <w:shd w:val="clear" w:color="auto" w:fill="auto"/>
            <w:noWrap/>
            <w:vAlign w:val="center"/>
            <w:hideMark/>
          </w:tcPr>
          <w:p w14:paraId="40C3866A"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Grassland</w:t>
            </w:r>
          </w:p>
        </w:tc>
      </w:tr>
      <w:tr w:rsidR="00596866" w:rsidRPr="00883D4E" w14:paraId="39715115" w14:textId="77777777" w:rsidTr="007B27F8">
        <w:trPr>
          <w:trHeight w:val="20"/>
        </w:trPr>
        <w:tc>
          <w:tcPr>
            <w:tcW w:w="378" w:type="pct"/>
            <w:shd w:val="clear" w:color="auto" w:fill="auto"/>
            <w:noWrap/>
            <w:vAlign w:val="center"/>
            <w:hideMark/>
          </w:tcPr>
          <w:p w14:paraId="639A4462"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242</w:t>
            </w:r>
          </w:p>
        </w:tc>
        <w:tc>
          <w:tcPr>
            <w:tcW w:w="3708" w:type="pct"/>
            <w:shd w:val="clear" w:color="auto" w:fill="auto"/>
            <w:noWrap/>
            <w:vAlign w:val="center"/>
            <w:hideMark/>
          </w:tcPr>
          <w:p w14:paraId="303E600F"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Complex cultivation</w:t>
            </w:r>
          </w:p>
        </w:tc>
        <w:tc>
          <w:tcPr>
            <w:tcW w:w="914" w:type="pct"/>
            <w:shd w:val="clear" w:color="auto" w:fill="auto"/>
            <w:noWrap/>
            <w:vAlign w:val="center"/>
            <w:hideMark/>
          </w:tcPr>
          <w:p w14:paraId="63F7EDF9"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Cropland</w:t>
            </w:r>
          </w:p>
        </w:tc>
      </w:tr>
      <w:tr w:rsidR="00596866" w:rsidRPr="00883D4E" w14:paraId="0AFA9FA5" w14:textId="77777777" w:rsidTr="007B27F8">
        <w:trPr>
          <w:trHeight w:val="20"/>
        </w:trPr>
        <w:tc>
          <w:tcPr>
            <w:tcW w:w="378" w:type="pct"/>
            <w:shd w:val="clear" w:color="auto" w:fill="auto"/>
            <w:noWrap/>
            <w:vAlign w:val="center"/>
            <w:hideMark/>
          </w:tcPr>
          <w:p w14:paraId="4B40747C"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243</w:t>
            </w:r>
          </w:p>
        </w:tc>
        <w:tc>
          <w:tcPr>
            <w:tcW w:w="3708" w:type="pct"/>
            <w:shd w:val="clear" w:color="auto" w:fill="auto"/>
            <w:vAlign w:val="center"/>
            <w:hideMark/>
          </w:tcPr>
          <w:p w14:paraId="02C19B6F"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Land principally occupied by agriculture with areas of natural vegetation</w:t>
            </w:r>
          </w:p>
        </w:tc>
        <w:tc>
          <w:tcPr>
            <w:tcW w:w="914" w:type="pct"/>
            <w:shd w:val="clear" w:color="auto" w:fill="auto"/>
            <w:noWrap/>
            <w:vAlign w:val="center"/>
            <w:hideMark/>
          </w:tcPr>
          <w:p w14:paraId="58749164"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Grassland</w:t>
            </w:r>
          </w:p>
        </w:tc>
      </w:tr>
      <w:tr w:rsidR="00596866" w:rsidRPr="00883D4E" w14:paraId="2FC39046" w14:textId="77777777" w:rsidTr="007B27F8">
        <w:trPr>
          <w:trHeight w:val="20"/>
        </w:trPr>
        <w:tc>
          <w:tcPr>
            <w:tcW w:w="378" w:type="pct"/>
            <w:shd w:val="clear" w:color="auto" w:fill="auto"/>
            <w:noWrap/>
            <w:vAlign w:val="center"/>
            <w:hideMark/>
          </w:tcPr>
          <w:p w14:paraId="4BCB4027"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311</w:t>
            </w:r>
          </w:p>
        </w:tc>
        <w:tc>
          <w:tcPr>
            <w:tcW w:w="3708" w:type="pct"/>
            <w:shd w:val="clear" w:color="auto" w:fill="auto"/>
            <w:noWrap/>
            <w:vAlign w:val="center"/>
            <w:hideMark/>
          </w:tcPr>
          <w:p w14:paraId="4F68EF62"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Broad Leaved forest</w:t>
            </w:r>
          </w:p>
        </w:tc>
        <w:tc>
          <w:tcPr>
            <w:tcW w:w="914" w:type="pct"/>
            <w:shd w:val="clear" w:color="auto" w:fill="auto"/>
            <w:noWrap/>
            <w:vAlign w:val="center"/>
            <w:hideMark/>
          </w:tcPr>
          <w:p w14:paraId="07B46CEE"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Forest</w:t>
            </w:r>
          </w:p>
        </w:tc>
      </w:tr>
      <w:tr w:rsidR="00596866" w:rsidRPr="00883D4E" w14:paraId="30E80509" w14:textId="77777777" w:rsidTr="007B27F8">
        <w:trPr>
          <w:trHeight w:val="20"/>
        </w:trPr>
        <w:tc>
          <w:tcPr>
            <w:tcW w:w="378" w:type="pct"/>
            <w:shd w:val="clear" w:color="auto" w:fill="auto"/>
            <w:noWrap/>
            <w:vAlign w:val="center"/>
            <w:hideMark/>
          </w:tcPr>
          <w:p w14:paraId="7C828E8A"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312</w:t>
            </w:r>
          </w:p>
        </w:tc>
        <w:tc>
          <w:tcPr>
            <w:tcW w:w="3708" w:type="pct"/>
            <w:shd w:val="clear" w:color="auto" w:fill="auto"/>
            <w:noWrap/>
            <w:vAlign w:val="center"/>
            <w:hideMark/>
          </w:tcPr>
          <w:p w14:paraId="37A33E6B"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Coniferous forest</w:t>
            </w:r>
          </w:p>
        </w:tc>
        <w:tc>
          <w:tcPr>
            <w:tcW w:w="914" w:type="pct"/>
            <w:shd w:val="clear" w:color="auto" w:fill="auto"/>
            <w:noWrap/>
            <w:vAlign w:val="center"/>
            <w:hideMark/>
          </w:tcPr>
          <w:p w14:paraId="0C9E5322"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Forest</w:t>
            </w:r>
          </w:p>
        </w:tc>
      </w:tr>
      <w:tr w:rsidR="00596866" w:rsidRPr="00883D4E" w14:paraId="4F914884" w14:textId="77777777" w:rsidTr="007B27F8">
        <w:trPr>
          <w:trHeight w:val="20"/>
        </w:trPr>
        <w:tc>
          <w:tcPr>
            <w:tcW w:w="378" w:type="pct"/>
            <w:shd w:val="clear" w:color="auto" w:fill="auto"/>
            <w:noWrap/>
            <w:vAlign w:val="center"/>
            <w:hideMark/>
          </w:tcPr>
          <w:p w14:paraId="50160143"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313</w:t>
            </w:r>
          </w:p>
        </w:tc>
        <w:tc>
          <w:tcPr>
            <w:tcW w:w="3708" w:type="pct"/>
            <w:shd w:val="clear" w:color="auto" w:fill="auto"/>
            <w:noWrap/>
            <w:vAlign w:val="center"/>
            <w:hideMark/>
          </w:tcPr>
          <w:p w14:paraId="773B3CC1"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Mixed forest</w:t>
            </w:r>
          </w:p>
        </w:tc>
        <w:tc>
          <w:tcPr>
            <w:tcW w:w="914" w:type="pct"/>
            <w:shd w:val="clear" w:color="auto" w:fill="auto"/>
            <w:noWrap/>
            <w:vAlign w:val="center"/>
            <w:hideMark/>
          </w:tcPr>
          <w:p w14:paraId="3696BB04"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Forest</w:t>
            </w:r>
          </w:p>
        </w:tc>
      </w:tr>
      <w:tr w:rsidR="00596866" w:rsidRPr="00883D4E" w14:paraId="235053FF" w14:textId="77777777" w:rsidTr="007B27F8">
        <w:trPr>
          <w:trHeight w:val="20"/>
        </w:trPr>
        <w:tc>
          <w:tcPr>
            <w:tcW w:w="378" w:type="pct"/>
            <w:shd w:val="clear" w:color="auto" w:fill="auto"/>
            <w:noWrap/>
            <w:vAlign w:val="center"/>
            <w:hideMark/>
          </w:tcPr>
          <w:p w14:paraId="1397D569"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321</w:t>
            </w:r>
          </w:p>
        </w:tc>
        <w:tc>
          <w:tcPr>
            <w:tcW w:w="3708" w:type="pct"/>
            <w:shd w:val="clear" w:color="auto" w:fill="auto"/>
            <w:noWrap/>
            <w:vAlign w:val="center"/>
            <w:hideMark/>
          </w:tcPr>
          <w:p w14:paraId="42E2CE5F"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Natural grassland</w:t>
            </w:r>
          </w:p>
        </w:tc>
        <w:tc>
          <w:tcPr>
            <w:tcW w:w="914" w:type="pct"/>
            <w:shd w:val="clear" w:color="auto" w:fill="auto"/>
            <w:noWrap/>
            <w:vAlign w:val="center"/>
            <w:hideMark/>
          </w:tcPr>
          <w:p w14:paraId="1213F951"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Grassland</w:t>
            </w:r>
          </w:p>
        </w:tc>
      </w:tr>
      <w:tr w:rsidR="00596866" w:rsidRPr="00883D4E" w14:paraId="27A71325" w14:textId="77777777" w:rsidTr="007B27F8">
        <w:trPr>
          <w:trHeight w:val="20"/>
        </w:trPr>
        <w:tc>
          <w:tcPr>
            <w:tcW w:w="378" w:type="pct"/>
            <w:shd w:val="clear" w:color="auto" w:fill="auto"/>
            <w:noWrap/>
            <w:vAlign w:val="center"/>
            <w:hideMark/>
          </w:tcPr>
          <w:p w14:paraId="5BB3209F"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324</w:t>
            </w:r>
          </w:p>
        </w:tc>
        <w:tc>
          <w:tcPr>
            <w:tcW w:w="3708" w:type="pct"/>
            <w:shd w:val="clear" w:color="auto" w:fill="auto"/>
            <w:noWrap/>
            <w:vAlign w:val="center"/>
            <w:hideMark/>
          </w:tcPr>
          <w:p w14:paraId="01F75C71"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Transitional woodland shrub</w:t>
            </w:r>
          </w:p>
        </w:tc>
        <w:tc>
          <w:tcPr>
            <w:tcW w:w="914" w:type="pct"/>
            <w:shd w:val="clear" w:color="auto" w:fill="auto"/>
            <w:noWrap/>
            <w:vAlign w:val="center"/>
            <w:hideMark/>
          </w:tcPr>
          <w:p w14:paraId="09A20504"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Forest</w:t>
            </w:r>
          </w:p>
        </w:tc>
      </w:tr>
      <w:tr w:rsidR="00596866" w:rsidRPr="00883D4E" w14:paraId="38FA3C43" w14:textId="77777777" w:rsidTr="007B27F8">
        <w:trPr>
          <w:trHeight w:val="20"/>
        </w:trPr>
        <w:tc>
          <w:tcPr>
            <w:tcW w:w="378" w:type="pct"/>
            <w:shd w:val="clear" w:color="auto" w:fill="auto"/>
            <w:noWrap/>
            <w:vAlign w:val="center"/>
            <w:hideMark/>
          </w:tcPr>
          <w:p w14:paraId="4F962EC0"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331</w:t>
            </w:r>
          </w:p>
        </w:tc>
        <w:tc>
          <w:tcPr>
            <w:tcW w:w="3708" w:type="pct"/>
            <w:shd w:val="clear" w:color="auto" w:fill="auto"/>
            <w:noWrap/>
            <w:vAlign w:val="center"/>
            <w:hideMark/>
          </w:tcPr>
          <w:p w14:paraId="4F8C4ECF"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Beaches, dunes, sand</w:t>
            </w:r>
          </w:p>
        </w:tc>
        <w:tc>
          <w:tcPr>
            <w:tcW w:w="914" w:type="pct"/>
            <w:shd w:val="clear" w:color="auto" w:fill="auto"/>
            <w:noWrap/>
            <w:vAlign w:val="center"/>
            <w:hideMark/>
          </w:tcPr>
          <w:p w14:paraId="54B82F45"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Other land</w:t>
            </w:r>
          </w:p>
        </w:tc>
      </w:tr>
      <w:tr w:rsidR="00596866" w:rsidRPr="00883D4E" w14:paraId="62E52756" w14:textId="77777777" w:rsidTr="007B27F8">
        <w:trPr>
          <w:trHeight w:val="20"/>
        </w:trPr>
        <w:tc>
          <w:tcPr>
            <w:tcW w:w="378" w:type="pct"/>
            <w:shd w:val="clear" w:color="auto" w:fill="auto"/>
            <w:noWrap/>
            <w:vAlign w:val="center"/>
            <w:hideMark/>
          </w:tcPr>
          <w:p w14:paraId="72E6BA24"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332</w:t>
            </w:r>
          </w:p>
        </w:tc>
        <w:tc>
          <w:tcPr>
            <w:tcW w:w="3708" w:type="pct"/>
            <w:shd w:val="clear" w:color="auto" w:fill="auto"/>
            <w:noWrap/>
            <w:vAlign w:val="center"/>
            <w:hideMark/>
          </w:tcPr>
          <w:p w14:paraId="187FF52F"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Bare rocks</w:t>
            </w:r>
          </w:p>
        </w:tc>
        <w:tc>
          <w:tcPr>
            <w:tcW w:w="914" w:type="pct"/>
            <w:shd w:val="clear" w:color="auto" w:fill="auto"/>
            <w:noWrap/>
            <w:vAlign w:val="center"/>
            <w:hideMark/>
          </w:tcPr>
          <w:p w14:paraId="7FEDDA85"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Other land</w:t>
            </w:r>
          </w:p>
        </w:tc>
      </w:tr>
      <w:tr w:rsidR="00596866" w:rsidRPr="00883D4E" w14:paraId="3A5E8D44" w14:textId="77777777" w:rsidTr="007B27F8">
        <w:trPr>
          <w:trHeight w:val="20"/>
        </w:trPr>
        <w:tc>
          <w:tcPr>
            <w:tcW w:w="378" w:type="pct"/>
            <w:shd w:val="clear" w:color="auto" w:fill="auto"/>
            <w:noWrap/>
            <w:vAlign w:val="center"/>
            <w:hideMark/>
          </w:tcPr>
          <w:p w14:paraId="0C22F45F"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333</w:t>
            </w:r>
          </w:p>
        </w:tc>
        <w:tc>
          <w:tcPr>
            <w:tcW w:w="3708" w:type="pct"/>
            <w:shd w:val="clear" w:color="auto" w:fill="auto"/>
            <w:noWrap/>
            <w:vAlign w:val="center"/>
            <w:hideMark/>
          </w:tcPr>
          <w:p w14:paraId="3405AA18"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Sparsely vegetated</w:t>
            </w:r>
          </w:p>
        </w:tc>
        <w:tc>
          <w:tcPr>
            <w:tcW w:w="914" w:type="pct"/>
            <w:shd w:val="clear" w:color="auto" w:fill="auto"/>
            <w:noWrap/>
            <w:vAlign w:val="center"/>
            <w:hideMark/>
          </w:tcPr>
          <w:p w14:paraId="585B1C6E"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Other land</w:t>
            </w:r>
          </w:p>
        </w:tc>
      </w:tr>
      <w:tr w:rsidR="00596866" w:rsidRPr="00883D4E" w14:paraId="1BF67985" w14:textId="77777777" w:rsidTr="007B27F8">
        <w:trPr>
          <w:trHeight w:val="20"/>
        </w:trPr>
        <w:tc>
          <w:tcPr>
            <w:tcW w:w="378" w:type="pct"/>
            <w:shd w:val="clear" w:color="auto" w:fill="auto"/>
            <w:noWrap/>
            <w:vAlign w:val="center"/>
            <w:hideMark/>
          </w:tcPr>
          <w:p w14:paraId="585E335B"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334</w:t>
            </w:r>
          </w:p>
        </w:tc>
        <w:tc>
          <w:tcPr>
            <w:tcW w:w="3708" w:type="pct"/>
            <w:shd w:val="clear" w:color="auto" w:fill="auto"/>
            <w:noWrap/>
            <w:vAlign w:val="center"/>
            <w:hideMark/>
          </w:tcPr>
          <w:p w14:paraId="30E5191B"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Burnt areas</w:t>
            </w:r>
          </w:p>
        </w:tc>
        <w:tc>
          <w:tcPr>
            <w:tcW w:w="914" w:type="pct"/>
            <w:shd w:val="clear" w:color="auto" w:fill="auto"/>
            <w:noWrap/>
            <w:vAlign w:val="center"/>
            <w:hideMark/>
          </w:tcPr>
          <w:p w14:paraId="6000DBA0"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Other land</w:t>
            </w:r>
          </w:p>
        </w:tc>
      </w:tr>
      <w:tr w:rsidR="00596866" w:rsidRPr="00883D4E" w14:paraId="63C9B56A" w14:textId="77777777" w:rsidTr="007B27F8">
        <w:trPr>
          <w:trHeight w:val="20"/>
        </w:trPr>
        <w:tc>
          <w:tcPr>
            <w:tcW w:w="378" w:type="pct"/>
            <w:shd w:val="clear" w:color="auto" w:fill="auto"/>
            <w:noWrap/>
            <w:vAlign w:val="center"/>
            <w:hideMark/>
          </w:tcPr>
          <w:p w14:paraId="59A0A879"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411</w:t>
            </w:r>
          </w:p>
        </w:tc>
        <w:tc>
          <w:tcPr>
            <w:tcW w:w="3708" w:type="pct"/>
            <w:shd w:val="clear" w:color="auto" w:fill="auto"/>
            <w:noWrap/>
            <w:vAlign w:val="center"/>
            <w:hideMark/>
          </w:tcPr>
          <w:p w14:paraId="036C1CE7"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Inland Marshes</w:t>
            </w:r>
          </w:p>
        </w:tc>
        <w:tc>
          <w:tcPr>
            <w:tcW w:w="914" w:type="pct"/>
            <w:shd w:val="clear" w:color="auto" w:fill="auto"/>
            <w:noWrap/>
            <w:vAlign w:val="center"/>
            <w:hideMark/>
          </w:tcPr>
          <w:p w14:paraId="659D6F75"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Wetlands</w:t>
            </w:r>
          </w:p>
        </w:tc>
      </w:tr>
      <w:tr w:rsidR="00596866" w:rsidRPr="00883D4E" w14:paraId="5D989AE9" w14:textId="77777777" w:rsidTr="007B27F8">
        <w:trPr>
          <w:trHeight w:val="20"/>
        </w:trPr>
        <w:tc>
          <w:tcPr>
            <w:tcW w:w="378" w:type="pct"/>
            <w:shd w:val="clear" w:color="auto" w:fill="auto"/>
            <w:noWrap/>
            <w:vAlign w:val="center"/>
            <w:hideMark/>
          </w:tcPr>
          <w:p w14:paraId="4C41A283"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511</w:t>
            </w:r>
          </w:p>
        </w:tc>
        <w:tc>
          <w:tcPr>
            <w:tcW w:w="3708" w:type="pct"/>
            <w:shd w:val="clear" w:color="auto" w:fill="auto"/>
            <w:noWrap/>
            <w:vAlign w:val="center"/>
            <w:hideMark/>
          </w:tcPr>
          <w:p w14:paraId="0D0450DD"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Stream courses</w:t>
            </w:r>
          </w:p>
        </w:tc>
        <w:tc>
          <w:tcPr>
            <w:tcW w:w="914" w:type="pct"/>
            <w:shd w:val="clear" w:color="auto" w:fill="auto"/>
            <w:noWrap/>
            <w:vAlign w:val="center"/>
            <w:hideMark/>
          </w:tcPr>
          <w:p w14:paraId="799ED685"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Wetlands</w:t>
            </w:r>
          </w:p>
        </w:tc>
      </w:tr>
      <w:tr w:rsidR="00596866" w:rsidRPr="00883D4E" w14:paraId="2CDCF691" w14:textId="77777777" w:rsidTr="007B27F8">
        <w:trPr>
          <w:trHeight w:val="20"/>
        </w:trPr>
        <w:tc>
          <w:tcPr>
            <w:tcW w:w="378" w:type="pct"/>
            <w:shd w:val="clear" w:color="auto" w:fill="auto"/>
            <w:noWrap/>
            <w:vAlign w:val="center"/>
            <w:hideMark/>
          </w:tcPr>
          <w:p w14:paraId="427BBA61"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512</w:t>
            </w:r>
          </w:p>
        </w:tc>
        <w:tc>
          <w:tcPr>
            <w:tcW w:w="3708" w:type="pct"/>
            <w:shd w:val="clear" w:color="auto" w:fill="auto"/>
            <w:noWrap/>
            <w:vAlign w:val="center"/>
            <w:hideMark/>
          </w:tcPr>
          <w:p w14:paraId="1FA9FDFF" w14:textId="77777777" w:rsidR="00596866" w:rsidRPr="00622F40" w:rsidRDefault="00596866" w:rsidP="005F3D43">
            <w:pPr>
              <w:spacing w:after="0" w:line="240" w:lineRule="auto"/>
              <w:rPr>
                <w:rFonts w:eastAsia="Times New Roman" w:cs="Arial"/>
                <w:sz w:val="18"/>
                <w:szCs w:val="18"/>
              </w:rPr>
            </w:pPr>
            <w:r w:rsidRPr="00622F40">
              <w:rPr>
                <w:rFonts w:eastAsia="Times New Roman" w:cs="Arial"/>
                <w:sz w:val="18"/>
                <w:szCs w:val="18"/>
              </w:rPr>
              <w:t>Water bodies</w:t>
            </w:r>
          </w:p>
        </w:tc>
        <w:tc>
          <w:tcPr>
            <w:tcW w:w="914" w:type="pct"/>
            <w:shd w:val="clear" w:color="auto" w:fill="auto"/>
            <w:noWrap/>
            <w:vAlign w:val="center"/>
            <w:hideMark/>
          </w:tcPr>
          <w:p w14:paraId="5781E28C"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Wetlands</w:t>
            </w:r>
          </w:p>
        </w:tc>
      </w:tr>
    </w:tbl>
    <w:p w14:paraId="00BD4996" w14:textId="604C122C" w:rsidR="00EF33CB" w:rsidRPr="00CF693E" w:rsidRDefault="00614555" w:rsidP="00CF693E">
      <w:pPr>
        <w:pStyle w:val="Heading2"/>
        <w:rPr>
          <w:rStyle w:val="Heading2Char"/>
          <w:b/>
        </w:rPr>
      </w:pPr>
      <w:bookmarkStart w:id="839" w:name="_Toc496101073"/>
      <w:bookmarkStart w:id="840" w:name="_Toc182327953"/>
      <w:bookmarkStart w:id="841" w:name="_Toc184808295"/>
      <w:r w:rsidRPr="00CF693E">
        <w:rPr>
          <w:rStyle w:val="Heading2Char"/>
          <w:b/>
        </w:rPr>
        <w:t>Information on approaches used for representing land</w:t>
      </w:r>
      <w:bookmarkEnd w:id="839"/>
      <w:r w:rsidRPr="00CF693E">
        <w:rPr>
          <w:rStyle w:val="Heading2Char"/>
          <w:b/>
        </w:rPr>
        <w:t xml:space="preserve"> </w:t>
      </w:r>
      <w:r w:rsidR="00596866" w:rsidRPr="00CF693E">
        <w:rPr>
          <w:rStyle w:val="Heading2Char"/>
          <w:b/>
        </w:rPr>
        <w:t>areas and on land-use database used for the inventory preparation</w:t>
      </w:r>
      <w:bookmarkEnd w:id="840"/>
      <w:bookmarkEnd w:id="841"/>
    </w:p>
    <w:p w14:paraId="3B75B8EF" w14:textId="0A6BEBC0" w:rsidR="00596866" w:rsidRDefault="00596866" w:rsidP="00596866">
      <w:pPr>
        <w:spacing w:before="120"/>
      </w:pPr>
      <w:r w:rsidRPr="00BE289A">
        <w:t>The methodology to estimates land use matrixes corresponds to an approach 3 because the land</w:t>
      </w:r>
      <w:r w:rsidR="00D232F9">
        <w:t>-</w:t>
      </w:r>
      <w:r w:rsidRPr="00BE289A">
        <w:t>use changes are spatially explicit and gross changes are known.</w:t>
      </w:r>
    </w:p>
    <w:p w14:paraId="2E446A17" w14:textId="51B17BD7" w:rsidR="00596866" w:rsidRDefault="00596866" w:rsidP="00596866">
      <w:r>
        <w:lastRenderedPageBreak/>
        <w:t>Land use and land use change areas are based on monitoring data from Corine Land</w:t>
      </w:r>
      <w:r w:rsidR="00FD47F2">
        <w:t xml:space="preserve"> </w:t>
      </w:r>
      <w:r>
        <w:t xml:space="preserve">Cover. </w:t>
      </w:r>
      <w:r w:rsidR="00060AFA">
        <w:t>Currently,</w:t>
      </w:r>
      <w:r>
        <w:t xml:space="preserve"> four </w:t>
      </w:r>
      <w:r w:rsidR="00060AFA">
        <w:t xml:space="preserve">editions of the CLC dataset </w:t>
      </w:r>
      <w:r>
        <w:t xml:space="preserve">are </w:t>
      </w:r>
      <w:r w:rsidR="00060AFA">
        <w:t xml:space="preserve">used in the Serbian </w:t>
      </w:r>
      <w:r w:rsidR="007B27F8">
        <w:t>inventory:</w:t>
      </w:r>
      <w:r>
        <w:t xml:space="preserve"> 1990, 2000, 2006 and 2012. The land use changes have been estimated for the periods 1990-2000, 2000-2006 and 2006-2012. </w:t>
      </w:r>
      <w:r w:rsidR="00EE662B">
        <w:t>The 2018 edition and the 2012-2018 change map are not yet used.</w:t>
      </w:r>
    </w:p>
    <w:p w14:paraId="136A4D09" w14:textId="47777AFA" w:rsidR="00BE365B" w:rsidRDefault="00BE365B" w:rsidP="00622F40">
      <w:pPr>
        <w:pStyle w:val="Caption"/>
        <w:jc w:val="left"/>
      </w:pPr>
      <w:bookmarkStart w:id="842" w:name="_Toc184808581"/>
      <w:r>
        <w:t xml:space="preserve">Table </w:t>
      </w:r>
      <w:r>
        <w:fldChar w:fldCharType="begin"/>
      </w:r>
      <w:r>
        <w:instrText xml:space="preserve"> SEQ Table \* ARABIC </w:instrText>
      </w:r>
      <w:r>
        <w:fldChar w:fldCharType="separate"/>
      </w:r>
      <w:r w:rsidR="00F14C78">
        <w:rPr>
          <w:noProof/>
        </w:rPr>
        <w:t>38</w:t>
      </w:r>
      <w:r>
        <w:fldChar w:fldCharType="end"/>
      </w:r>
      <w:r>
        <w:t>:</w:t>
      </w:r>
      <w:r w:rsidRPr="00BE365B">
        <w:t xml:space="preserve"> </w:t>
      </w:r>
      <w:r>
        <w:t>Annual land use changes for the period 1990-2000 (ha/year)</w:t>
      </w:r>
      <w:bookmarkEnd w:id="8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276"/>
        <w:gridCol w:w="1276"/>
        <w:gridCol w:w="1287"/>
        <w:gridCol w:w="1276"/>
        <w:gridCol w:w="1336"/>
        <w:gridCol w:w="1276"/>
      </w:tblGrid>
      <w:tr w:rsidR="00596866" w:rsidRPr="00D1321C" w14:paraId="78572CC0" w14:textId="77777777" w:rsidTr="00596866">
        <w:trPr>
          <w:trHeight w:val="525"/>
        </w:trPr>
        <w:tc>
          <w:tcPr>
            <w:tcW w:w="737" w:type="pct"/>
            <w:shd w:val="clear" w:color="auto" w:fill="auto"/>
            <w:noWrap/>
            <w:vAlign w:val="center"/>
            <w:hideMark/>
          </w:tcPr>
          <w:p w14:paraId="42B4FA37" w14:textId="77777777" w:rsidR="00596866" w:rsidRPr="00D1321C" w:rsidRDefault="00596866" w:rsidP="005F3D43">
            <w:pPr>
              <w:spacing w:after="0" w:line="240" w:lineRule="auto"/>
              <w:jc w:val="center"/>
              <w:rPr>
                <w:rFonts w:ascii="Wingdings 3" w:eastAsia="Times New Roman" w:hAnsi="Wingdings 3" w:cs="Arial"/>
                <w:color w:val="000000"/>
                <w:sz w:val="44"/>
                <w:szCs w:val="44"/>
              </w:rPr>
            </w:pPr>
            <w:r w:rsidRPr="00D1321C">
              <w:rPr>
                <w:rFonts w:ascii="Wingdings 3" w:eastAsia="Times New Roman" w:hAnsi="Wingdings 3" w:cs="Arial"/>
                <w:color w:val="000000"/>
                <w:sz w:val="44"/>
                <w:szCs w:val="44"/>
              </w:rPr>
              <w:t></w:t>
            </w:r>
          </w:p>
        </w:tc>
        <w:tc>
          <w:tcPr>
            <w:tcW w:w="704" w:type="pct"/>
            <w:shd w:val="clear" w:color="auto" w:fill="auto"/>
            <w:noWrap/>
            <w:vAlign w:val="center"/>
            <w:hideMark/>
          </w:tcPr>
          <w:p w14:paraId="33EFD66A"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Forest</w:t>
            </w:r>
          </w:p>
        </w:tc>
        <w:tc>
          <w:tcPr>
            <w:tcW w:w="704" w:type="pct"/>
            <w:shd w:val="clear" w:color="auto" w:fill="auto"/>
            <w:noWrap/>
            <w:vAlign w:val="center"/>
            <w:hideMark/>
          </w:tcPr>
          <w:p w14:paraId="13017076"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Cropland</w:t>
            </w:r>
          </w:p>
        </w:tc>
        <w:tc>
          <w:tcPr>
            <w:tcW w:w="710" w:type="pct"/>
            <w:shd w:val="clear" w:color="auto" w:fill="auto"/>
            <w:noWrap/>
            <w:vAlign w:val="center"/>
            <w:hideMark/>
          </w:tcPr>
          <w:p w14:paraId="39440B13"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Grassland</w:t>
            </w:r>
          </w:p>
        </w:tc>
        <w:tc>
          <w:tcPr>
            <w:tcW w:w="704" w:type="pct"/>
            <w:shd w:val="clear" w:color="auto" w:fill="auto"/>
            <w:noWrap/>
            <w:vAlign w:val="center"/>
            <w:hideMark/>
          </w:tcPr>
          <w:p w14:paraId="0269B830"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Wetland</w:t>
            </w:r>
          </w:p>
        </w:tc>
        <w:tc>
          <w:tcPr>
            <w:tcW w:w="737" w:type="pct"/>
            <w:shd w:val="clear" w:color="auto" w:fill="auto"/>
            <w:noWrap/>
            <w:vAlign w:val="center"/>
            <w:hideMark/>
          </w:tcPr>
          <w:p w14:paraId="2CCBCC93"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Settlement</w:t>
            </w:r>
          </w:p>
        </w:tc>
        <w:tc>
          <w:tcPr>
            <w:tcW w:w="704" w:type="pct"/>
            <w:shd w:val="clear" w:color="auto" w:fill="auto"/>
            <w:noWrap/>
            <w:vAlign w:val="center"/>
            <w:hideMark/>
          </w:tcPr>
          <w:p w14:paraId="2173F3A8"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Other land</w:t>
            </w:r>
          </w:p>
        </w:tc>
      </w:tr>
      <w:tr w:rsidR="00596866" w:rsidRPr="00D1321C" w14:paraId="49CC02E7" w14:textId="77777777" w:rsidTr="00596866">
        <w:trPr>
          <w:trHeight w:val="255"/>
        </w:trPr>
        <w:tc>
          <w:tcPr>
            <w:tcW w:w="737" w:type="pct"/>
            <w:shd w:val="clear" w:color="auto" w:fill="auto"/>
            <w:noWrap/>
            <w:vAlign w:val="center"/>
            <w:hideMark/>
          </w:tcPr>
          <w:p w14:paraId="435CAED9"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Forest</w:t>
            </w:r>
          </w:p>
        </w:tc>
        <w:tc>
          <w:tcPr>
            <w:tcW w:w="704" w:type="pct"/>
            <w:shd w:val="clear" w:color="000000" w:fill="D9D9D9"/>
            <w:noWrap/>
            <w:vAlign w:val="center"/>
            <w:hideMark/>
          </w:tcPr>
          <w:p w14:paraId="55AC804A" w14:textId="77777777" w:rsidR="00596866" w:rsidRPr="00622F40" w:rsidRDefault="00596866" w:rsidP="005F3D43">
            <w:pPr>
              <w:spacing w:after="0" w:line="240" w:lineRule="auto"/>
              <w:rPr>
                <w:rFonts w:eastAsia="Times New Roman" w:cs="Arial"/>
                <w:color w:val="000000"/>
                <w:sz w:val="18"/>
                <w:szCs w:val="18"/>
              </w:rPr>
            </w:pPr>
          </w:p>
        </w:tc>
        <w:tc>
          <w:tcPr>
            <w:tcW w:w="704" w:type="pct"/>
            <w:shd w:val="clear" w:color="000000" w:fill="F2F2F2"/>
            <w:noWrap/>
            <w:vAlign w:val="center"/>
            <w:hideMark/>
          </w:tcPr>
          <w:p w14:paraId="55C27F55"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64</w:t>
            </w:r>
          </w:p>
        </w:tc>
        <w:tc>
          <w:tcPr>
            <w:tcW w:w="710" w:type="pct"/>
            <w:shd w:val="clear" w:color="000000" w:fill="F2F2F2"/>
            <w:noWrap/>
            <w:vAlign w:val="center"/>
            <w:hideMark/>
          </w:tcPr>
          <w:p w14:paraId="219BC1AA"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223</w:t>
            </w:r>
          </w:p>
        </w:tc>
        <w:tc>
          <w:tcPr>
            <w:tcW w:w="704" w:type="pct"/>
            <w:shd w:val="clear" w:color="000000" w:fill="F2F2F2"/>
            <w:noWrap/>
            <w:vAlign w:val="center"/>
            <w:hideMark/>
          </w:tcPr>
          <w:p w14:paraId="6F614BCE"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94</w:t>
            </w:r>
          </w:p>
        </w:tc>
        <w:tc>
          <w:tcPr>
            <w:tcW w:w="737" w:type="pct"/>
            <w:shd w:val="clear" w:color="000000" w:fill="F2F2F2"/>
            <w:noWrap/>
            <w:vAlign w:val="center"/>
            <w:hideMark/>
          </w:tcPr>
          <w:p w14:paraId="02A60EC2"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55</w:t>
            </w:r>
          </w:p>
        </w:tc>
        <w:tc>
          <w:tcPr>
            <w:tcW w:w="704" w:type="pct"/>
            <w:shd w:val="clear" w:color="000000" w:fill="F2F2F2"/>
            <w:noWrap/>
            <w:vAlign w:val="center"/>
            <w:hideMark/>
          </w:tcPr>
          <w:p w14:paraId="3790D1C3"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24</w:t>
            </w:r>
          </w:p>
        </w:tc>
      </w:tr>
      <w:tr w:rsidR="00596866" w:rsidRPr="00D1321C" w14:paraId="07F6598F" w14:textId="77777777" w:rsidTr="00596866">
        <w:trPr>
          <w:trHeight w:val="255"/>
        </w:trPr>
        <w:tc>
          <w:tcPr>
            <w:tcW w:w="737" w:type="pct"/>
            <w:shd w:val="clear" w:color="auto" w:fill="auto"/>
            <w:noWrap/>
            <w:vAlign w:val="center"/>
            <w:hideMark/>
          </w:tcPr>
          <w:p w14:paraId="32983953"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Cropland</w:t>
            </w:r>
          </w:p>
        </w:tc>
        <w:tc>
          <w:tcPr>
            <w:tcW w:w="704" w:type="pct"/>
            <w:shd w:val="clear" w:color="000000" w:fill="F2F2F2"/>
            <w:noWrap/>
            <w:vAlign w:val="center"/>
            <w:hideMark/>
          </w:tcPr>
          <w:p w14:paraId="14DC0417"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283</w:t>
            </w:r>
          </w:p>
        </w:tc>
        <w:tc>
          <w:tcPr>
            <w:tcW w:w="704" w:type="pct"/>
            <w:shd w:val="clear" w:color="000000" w:fill="D9D9D9"/>
            <w:noWrap/>
            <w:vAlign w:val="center"/>
            <w:hideMark/>
          </w:tcPr>
          <w:p w14:paraId="57959F26" w14:textId="77777777" w:rsidR="00596866" w:rsidRPr="00622F40" w:rsidRDefault="00596866" w:rsidP="005F3D43">
            <w:pPr>
              <w:spacing w:after="0" w:line="240" w:lineRule="auto"/>
              <w:rPr>
                <w:rFonts w:eastAsia="Times New Roman" w:cs="Arial"/>
                <w:color w:val="000000"/>
                <w:sz w:val="18"/>
                <w:szCs w:val="18"/>
              </w:rPr>
            </w:pPr>
          </w:p>
        </w:tc>
        <w:tc>
          <w:tcPr>
            <w:tcW w:w="710" w:type="pct"/>
            <w:shd w:val="clear" w:color="000000" w:fill="F2F2F2"/>
            <w:noWrap/>
            <w:vAlign w:val="center"/>
            <w:hideMark/>
          </w:tcPr>
          <w:p w14:paraId="220768DF"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953</w:t>
            </w:r>
          </w:p>
        </w:tc>
        <w:tc>
          <w:tcPr>
            <w:tcW w:w="704" w:type="pct"/>
            <w:shd w:val="clear" w:color="000000" w:fill="F2F2F2"/>
            <w:noWrap/>
            <w:vAlign w:val="center"/>
            <w:hideMark/>
          </w:tcPr>
          <w:p w14:paraId="114EF45A"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105</w:t>
            </w:r>
          </w:p>
        </w:tc>
        <w:tc>
          <w:tcPr>
            <w:tcW w:w="737" w:type="pct"/>
            <w:shd w:val="clear" w:color="000000" w:fill="F2F2F2"/>
            <w:noWrap/>
            <w:vAlign w:val="center"/>
            <w:hideMark/>
          </w:tcPr>
          <w:p w14:paraId="1D00E329"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403</w:t>
            </w:r>
          </w:p>
        </w:tc>
        <w:tc>
          <w:tcPr>
            <w:tcW w:w="704" w:type="pct"/>
            <w:shd w:val="clear" w:color="000000" w:fill="F2F2F2"/>
            <w:noWrap/>
            <w:vAlign w:val="center"/>
            <w:hideMark/>
          </w:tcPr>
          <w:p w14:paraId="461753CA"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0</w:t>
            </w:r>
          </w:p>
        </w:tc>
      </w:tr>
      <w:tr w:rsidR="00596866" w:rsidRPr="00D1321C" w14:paraId="199D9E44" w14:textId="77777777" w:rsidTr="00596866">
        <w:trPr>
          <w:trHeight w:val="255"/>
        </w:trPr>
        <w:tc>
          <w:tcPr>
            <w:tcW w:w="737" w:type="pct"/>
            <w:shd w:val="clear" w:color="auto" w:fill="auto"/>
            <w:noWrap/>
            <w:vAlign w:val="bottom"/>
            <w:hideMark/>
          </w:tcPr>
          <w:p w14:paraId="10D66904"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Grassland</w:t>
            </w:r>
          </w:p>
        </w:tc>
        <w:tc>
          <w:tcPr>
            <w:tcW w:w="704" w:type="pct"/>
            <w:shd w:val="clear" w:color="000000" w:fill="F2F2F2"/>
            <w:noWrap/>
            <w:vAlign w:val="center"/>
            <w:hideMark/>
          </w:tcPr>
          <w:p w14:paraId="0C877C6C"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425</w:t>
            </w:r>
          </w:p>
        </w:tc>
        <w:tc>
          <w:tcPr>
            <w:tcW w:w="704" w:type="pct"/>
            <w:shd w:val="clear" w:color="000000" w:fill="F2F2F2"/>
            <w:noWrap/>
            <w:vAlign w:val="center"/>
            <w:hideMark/>
          </w:tcPr>
          <w:p w14:paraId="44BCF707"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242</w:t>
            </w:r>
          </w:p>
        </w:tc>
        <w:tc>
          <w:tcPr>
            <w:tcW w:w="710" w:type="pct"/>
            <w:shd w:val="clear" w:color="000000" w:fill="D9D9D9"/>
            <w:noWrap/>
            <w:vAlign w:val="center"/>
            <w:hideMark/>
          </w:tcPr>
          <w:p w14:paraId="205D9F70" w14:textId="77777777" w:rsidR="00596866" w:rsidRPr="00622F40" w:rsidRDefault="00596866" w:rsidP="005F3D43">
            <w:pPr>
              <w:spacing w:after="0" w:line="240" w:lineRule="auto"/>
              <w:rPr>
                <w:rFonts w:eastAsia="Times New Roman" w:cs="Arial"/>
                <w:color w:val="000000"/>
                <w:sz w:val="18"/>
                <w:szCs w:val="18"/>
              </w:rPr>
            </w:pPr>
          </w:p>
        </w:tc>
        <w:tc>
          <w:tcPr>
            <w:tcW w:w="704" w:type="pct"/>
            <w:shd w:val="clear" w:color="000000" w:fill="F2F2F2"/>
            <w:noWrap/>
            <w:vAlign w:val="center"/>
            <w:hideMark/>
          </w:tcPr>
          <w:p w14:paraId="42BA41A3"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192</w:t>
            </w:r>
          </w:p>
        </w:tc>
        <w:tc>
          <w:tcPr>
            <w:tcW w:w="737" w:type="pct"/>
            <w:shd w:val="clear" w:color="000000" w:fill="F2F2F2"/>
            <w:noWrap/>
            <w:vAlign w:val="center"/>
            <w:hideMark/>
          </w:tcPr>
          <w:p w14:paraId="7E74DBA9"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127</w:t>
            </w:r>
          </w:p>
        </w:tc>
        <w:tc>
          <w:tcPr>
            <w:tcW w:w="704" w:type="pct"/>
            <w:shd w:val="clear" w:color="000000" w:fill="F2F2F2"/>
            <w:noWrap/>
            <w:vAlign w:val="center"/>
            <w:hideMark/>
          </w:tcPr>
          <w:p w14:paraId="641BCD3E"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5</w:t>
            </w:r>
          </w:p>
        </w:tc>
      </w:tr>
      <w:tr w:rsidR="00596866" w:rsidRPr="00D1321C" w14:paraId="23A0F97D" w14:textId="77777777" w:rsidTr="00596866">
        <w:trPr>
          <w:trHeight w:val="255"/>
        </w:trPr>
        <w:tc>
          <w:tcPr>
            <w:tcW w:w="737" w:type="pct"/>
            <w:shd w:val="clear" w:color="auto" w:fill="auto"/>
            <w:noWrap/>
            <w:vAlign w:val="center"/>
            <w:hideMark/>
          </w:tcPr>
          <w:p w14:paraId="4ECD48E8"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Wetland</w:t>
            </w:r>
          </w:p>
        </w:tc>
        <w:tc>
          <w:tcPr>
            <w:tcW w:w="704" w:type="pct"/>
            <w:shd w:val="clear" w:color="000000" w:fill="F2F2F2"/>
            <w:noWrap/>
            <w:vAlign w:val="center"/>
            <w:hideMark/>
          </w:tcPr>
          <w:p w14:paraId="3472BA95"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34</w:t>
            </w:r>
          </w:p>
        </w:tc>
        <w:tc>
          <w:tcPr>
            <w:tcW w:w="704" w:type="pct"/>
            <w:shd w:val="clear" w:color="000000" w:fill="F2F2F2"/>
            <w:noWrap/>
            <w:vAlign w:val="center"/>
            <w:hideMark/>
          </w:tcPr>
          <w:p w14:paraId="306CB8DA"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24</w:t>
            </w:r>
          </w:p>
        </w:tc>
        <w:tc>
          <w:tcPr>
            <w:tcW w:w="710" w:type="pct"/>
            <w:shd w:val="clear" w:color="000000" w:fill="F2F2F2"/>
            <w:noWrap/>
            <w:vAlign w:val="center"/>
            <w:hideMark/>
          </w:tcPr>
          <w:p w14:paraId="55FC4B0D"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40</w:t>
            </w:r>
          </w:p>
        </w:tc>
        <w:tc>
          <w:tcPr>
            <w:tcW w:w="704" w:type="pct"/>
            <w:shd w:val="clear" w:color="000000" w:fill="D9D9D9"/>
            <w:noWrap/>
            <w:vAlign w:val="center"/>
            <w:hideMark/>
          </w:tcPr>
          <w:p w14:paraId="4AD812FB" w14:textId="77777777" w:rsidR="00596866" w:rsidRPr="00622F40" w:rsidRDefault="00596866" w:rsidP="005F3D43">
            <w:pPr>
              <w:spacing w:after="0" w:line="240" w:lineRule="auto"/>
              <w:rPr>
                <w:rFonts w:eastAsia="Times New Roman" w:cs="Arial"/>
                <w:color w:val="000000"/>
                <w:sz w:val="18"/>
                <w:szCs w:val="18"/>
              </w:rPr>
            </w:pPr>
          </w:p>
        </w:tc>
        <w:tc>
          <w:tcPr>
            <w:tcW w:w="737" w:type="pct"/>
            <w:shd w:val="clear" w:color="000000" w:fill="F2F2F2"/>
            <w:noWrap/>
            <w:vAlign w:val="center"/>
            <w:hideMark/>
          </w:tcPr>
          <w:p w14:paraId="5E5CF82E"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8</w:t>
            </w:r>
          </w:p>
        </w:tc>
        <w:tc>
          <w:tcPr>
            <w:tcW w:w="704" w:type="pct"/>
            <w:shd w:val="clear" w:color="000000" w:fill="F2F2F2"/>
            <w:noWrap/>
            <w:vAlign w:val="center"/>
            <w:hideMark/>
          </w:tcPr>
          <w:p w14:paraId="2FA9E41D"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38</w:t>
            </w:r>
          </w:p>
        </w:tc>
      </w:tr>
      <w:tr w:rsidR="00596866" w:rsidRPr="00D1321C" w14:paraId="750CA47A" w14:textId="77777777" w:rsidTr="00596866">
        <w:trPr>
          <w:trHeight w:val="255"/>
        </w:trPr>
        <w:tc>
          <w:tcPr>
            <w:tcW w:w="737" w:type="pct"/>
            <w:shd w:val="clear" w:color="auto" w:fill="auto"/>
            <w:noWrap/>
            <w:vAlign w:val="center"/>
            <w:hideMark/>
          </w:tcPr>
          <w:p w14:paraId="718FF8CA"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c>
          <w:tcPr>
            <w:tcW w:w="704" w:type="pct"/>
            <w:shd w:val="clear" w:color="000000" w:fill="F2F2F2"/>
            <w:noWrap/>
            <w:vAlign w:val="center"/>
            <w:hideMark/>
          </w:tcPr>
          <w:p w14:paraId="3B48490E"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113</w:t>
            </w:r>
          </w:p>
        </w:tc>
        <w:tc>
          <w:tcPr>
            <w:tcW w:w="704" w:type="pct"/>
            <w:shd w:val="clear" w:color="000000" w:fill="F2F2F2"/>
            <w:noWrap/>
            <w:vAlign w:val="center"/>
            <w:hideMark/>
          </w:tcPr>
          <w:p w14:paraId="5F2778AC"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55</w:t>
            </w:r>
          </w:p>
        </w:tc>
        <w:tc>
          <w:tcPr>
            <w:tcW w:w="710" w:type="pct"/>
            <w:shd w:val="clear" w:color="000000" w:fill="F2F2F2"/>
            <w:noWrap/>
            <w:vAlign w:val="center"/>
            <w:hideMark/>
          </w:tcPr>
          <w:p w14:paraId="084D4F7B"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29</w:t>
            </w:r>
          </w:p>
        </w:tc>
        <w:tc>
          <w:tcPr>
            <w:tcW w:w="704" w:type="pct"/>
            <w:shd w:val="clear" w:color="000000" w:fill="F2F2F2"/>
            <w:noWrap/>
            <w:vAlign w:val="center"/>
            <w:hideMark/>
          </w:tcPr>
          <w:p w14:paraId="18EED1DD"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2</w:t>
            </w:r>
          </w:p>
        </w:tc>
        <w:tc>
          <w:tcPr>
            <w:tcW w:w="737" w:type="pct"/>
            <w:shd w:val="clear" w:color="000000" w:fill="D9D9D9"/>
            <w:noWrap/>
            <w:vAlign w:val="center"/>
            <w:hideMark/>
          </w:tcPr>
          <w:p w14:paraId="1CF5DD42" w14:textId="77777777" w:rsidR="00596866" w:rsidRPr="00622F40" w:rsidRDefault="00596866" w:rsidP="005F3D43">
            <w:pPr>
              <w:spacing w:after="0" w:line="240" w:lineRule="auto"/>
              <w:rPr>
                <w:rFonts w:eastAsia="Times New Roman" w:cs="Arial"/>
                <w:color w:val="000000"/>
                <w:sz w:val="18"/>
                <w:szCs w:val="18"/>
              </w:rPr>
            </w:pPr>
          </w:p>
        </w:tc>
        <w:tc>
          <w:tcPr>
            <w:tcW w:w="704" w:type="pct"/>
            <w:shd w:val="clear" w:color="000000" w:fill="F2F2F2"/>
            <w:noWrap/>
            <w:vAlign w:val="center"/>
            <w:hideMark/>
          </w:tcPr>
          <w:p w14:paraId="1F35FBE1"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0</w:t>
            </w:r>
          </w:p>
        </w:tc>
      </w:tr>
      <w:tr w:rsidR="00596866" w:rsidRPr="00D1321C" w14:paraId="36647EEB" w14:textId="77777777" w:rsidTr="00596866">
        <w:trPr>
          <w:trHeight w:val="255"/>
        </w:trPr>
        <w:tc>
          <w:tcPr>
            <w:tcW w:w="737" w:type="pct"/>
            <w:shd w:val="clear" w:color="auto" w:fill="auto"/>
            <w:noWrap/>
            <w:vAlign w:val="center"/>
            <w:hideMark/>
          </w:tcPr>
          <w:p w14:paraId="010ECFF0"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Other land</w:t>
            </w:r>
          </w:p>
        </w:tc>
        <w:tc>
          <w:tcPr>
            <w:tcW w:w="704" w:type="pct"/>
            <w:shd w:val="clear" w:color="000000" w:fill="F2F2F2"/>
            <w:noWrap/>
            <w:vAlign w:val="center"/>
            <w:hideMark/>
          </w:tcPr>
          <w:p w14:paraId="304BE828"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9</w:t>
            </w:r>
          </w:p>
        </w:tc>
        <w:tc>
          <w:tcPr>
            <w:tcW w:w="704" w:type="pct"/>
            <w:shd w:val="clear" w:color="000000" w:fill="F2F2F2"/>
            <w:noWrap/>
            <w:vAlign w:val="center"/>
            <w:hideMark/>
          </w:tcPr>
          <w:p w14:paraId="6B160253"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0</w:t>
            </w:r>
          </w:p>
        </w:tc>
        <w:tc>
          <w:tcPr>
            <w:tcW w:w="710" w:type="pct"/>
            <w:shd w:val="clear" w:color="000000" w:fill="F2F2F2"/>
            <w:noWrap/>
            <w:vAlign w:val="center"/>
            <w:hideMark/>
          </w:tcPr>
          <w:p w14:paraId="46640D8B"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3</w:t>
            </w:r>
          </w:p>
        </w:tc>
        <w:tc>
          <w:tcPr>
            <w:tcW w:w="704" w:type="pct"/>
            <w:shd w:val="clear" w:color="000000" w:fill="F2F2F2"/>
            <w:noWrap/>
            <w:vAlign w:val="center"/>
            <w:hideMark/>
          </w:tcPr>
          <w:p w14:paraId="07687893"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7</w:t>
            </w:r>
          </w:p>
        </w:tc>
        <w:tc>
          <w:tcPr>
            <w:tcW w:w="737" w:type="pct"/>
            <w:shd w:val="clear" w:color="000000" w:fill="F2F2F2"/>
            <w:noWrap/>
            <w:vAlign w:val="center"/>
            <w:hideMark/>
          </w:tcPr>
          <w:p w14:paraId="4DE6422B"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0</w:t>
            </w:r>
          </w:p>
        </w:tc>
        <w:tc>
          <w:tcPr>
            <w:tcW w:w="704" w:type="pct"/>
            <w:shd w:val="clear" w:color="000000" w:fill="D9D9D9"/>
            <w:noWrap/>
            <w:vAlign w:val="center"/>
            <w:hideMark/>
          </w:tcPr>
          <w:p w14:paraId="15855041" w14:textId="77777777" w:rsidR="00596866" w:rsidRPr="00622F40" w:rsidRDefault="00596866" w:rsidP="005F3D43">
            <w:pPr>
              <w:spacing w:after="0" w:line="240" w:lineRule="auto"/>
              <w:rPr>
                <w:rFonts w:eastAsia="Times New Roman" w:cs="Arial"/>
                <w:color w:val="000000"/>
                <w:sz w:val="18"/>
                <w:szCs w:val="18"/>
              </w:rPr>
            </w:pPr>
          </w:p>
        </w:tc>
      </w:tr>
    </w:tbl>
    <w:p w14:paraId="63FBB926" w14:textId="2810A84F" w:rsidR="00CF693E" w:rsidRDefault="00CF693E" w:rsidP="00CF693E">
      <w:pPr>
        <w:pStyle w:val="Caption"/>
        <w:jc w:val="left"/>
      </w:pPr>
      <w:bookmarkStart w:id="843" w:name="_Toc184808582"/>
      <w:r>
        <w:t xml:space="preserve">Table </w:t>
      </w:r>
      <w:r>
        <w:fldChar w:fldCharType="begin"/>
      </w:r>
      <w:r>
        <w:instrText xml:space="preserve"> SEQ Table \* ARABIC </w:instrText>
      </w:r>
      <w:r>
        <w:fldChar w:fldCharType="separate"/>
      </w:r>
      <w:r>
        <w:rPr>
          <w:noProof/>
        </w:rPr>
        <w:t>39</w:t>
      </w:r>
      <w:r>
        <w:fldChar w:fldCharType="end"/>
      </w:r>
      <w:r>
        <w:t>:</w:t>
      </w:r>
      <w:r w:rsidRPr="00BE365B">
        <w:t xml:space="preserve"> </w:t>
      </w:r>
      <w:r w:rsidRPr="00596866">
        <w:t>A</w:t>
      </w:r>
      <w:r w:rsidRPr="00596866">
        <w:rPr>
          <w:bCs w:val="0"/>
        </w:rPr>
        <w:t>nnual land use changes for the period 2000-2006 (ha/year</w:t>
      </w:r>
      <w:r w:rsidRPr="00EE662B">
        <w:t>)</w:t>
      </w:r>
      <w:bookmarkEnd w:id="8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276"/>
        <w:gridCol w:w="1276"/>
        <w:gridCol w:w="1287"/>
        <w:gridCol w:w="1276"/>
        <w:gridCol w:w="1336"/>
        <w:gridCol w:w="1276"/>
      </w:tblGrid>
      <w:tr w:rsidR="00CF693E" w:rsidRPr="00D1321C" w14:paraId="01825B90" w14:textId="77777777" w:rsidTr="00CF693E">
        <w:trPr>
          <w:trHeight w:val="525"/>
        </w:trPr>
        <w:tc>
          <w:tcPr>
            <w:tcW w:w="737" w:type="pct"/>
            <w:shd w:val="clear" w:color="auto" w:fill="auto"/>
            <w:noWrap/>
            <w:vAlign w:val="center"/>
            <w:hideMark/>
          </w:tcPr>
          <w:p w14:paraId="033AE41B" w14:textId="64D93F95" w:rsidR="00CF693E" w:rsidRPr="00622F40" w:rsidRDefault="00CF693E" w:rsidP="00CF693E">
            <w:pPr>
              <w:pStyle w:val="Caption"/>
              <w:jc w:val="left"/>
            </w:pPr>
            <w:r w:rsidRPr="00D1321C">
              <w:rPr>
                <w:rFonts w:ascii="Wingdings 3" w:eastAsia="Times New Roman" w:hAnsi="Wingdings 3" w:cs="Arial"/>
                <w:color w:val="000000"/>
                <w:sz w:val="44"/>
                <w:szCs w:val="44"/>
              </w:rPr>
              <w:t></w:t>
            </w:r>
          </w:p>
        </w:tc>
        <w:tc>
          <w:tcPr>
            <w:tcW w:w="704" w:type="pct"/>
            <w:shd w:val="clear" w:color="auto" w:fill="auto"/>
            <w:noWrap/>
            <w:vAlign w:val="center"/>
            <w:hideMark/>
          </w:tcPr>
          <w:p w14:paraId="054DA32C" w14:textId="43102804" w:rsidR="00CF693E" w:rsidRPr="00622F40" w:rsidRDefault="00CF693E" w:rsidP="00CF693E">
            <w:pPr>
              <w:pStyle w:val="Caption"/>
              <w:jc w:val="left"/>
            </w:pPr>
            <w:r w:rsidRPr="00622F40">
              <w:rPr>
                <w:rFonts w:eastAsia="Times New Roman" w:cs="Arial"/>
                <w:color w:val="000000"/>
              </w:rPr>
              <w:t>Forest</w:t>
            </w:r>
          </w:p>
        </w:tc>
        <w:tc>
          <w:tcPr>
            <w:tcW w:w="704" w:type="pct"/>
            <w:shd w:val="clear" w:color="auto" w:fill="auto"/>
            <w:noWrap/>
            <w:vAlign w:val="center"/>
            <w:hideMark/>
          </w:tcPr>
          <w:p w14:paraId="0E798DC8" w14:textId="5A8C4632" w:rsidR="00CF693E" w:rsidRPr="00622F40" w:rsidRDefault="00CF693E" w:rsidP="00CF693E">
            <w:pPr>
              <w:pStyle w:val="Caption"/>
              <w:jc w:val="left"/>
            </w:pPr>
            <w:r w:rsidRPr="00622F40">
              <w:rPr>
                <w:rFonts w:eastAsia="Times New Roman" w:cs="Arial"/>
                <w:color w:val="000000"/>
              </w:rPr>
              <w:t>Cropland</w:t>
            </w:r>
          </w:p>
        </w:tc>
        <w:tc>
          <w:tcPr>
            <w:tcW w:w="710" w:type="pct"/>
            <w:shd w:val="clear" w:color="auto" w:fill="auto"/>
            <w:noWrap/>
            <w:vAlign w:val="center"/>
            <w:hideMark/>
          </w:tcPr>
          <w:p w14:paraId="6840DE01" w14:textId="5788AF16" w:rsidR="00CF693E" w:rsidRPr="00622F40" w:rsidRDefault="00CF693E" w:rsidP="00CF693E">
            <w:pPr>
              <w:pStyle w:val="Caption"/>
              <w:jc w:val="left"/>
            </w:pPr>
            <w:r w:rsidRPr="00622F40">
              <w:rPr>
                <w:rFonts w:eastAsia="Times New Roman" w:cs="Arial"/>
                <w:color w:val="000000"/>
              </w:rPr>
              <w:t>Grassland</w:t>
            </w:r>
          </w:p>
        </w:tc>
        <w:tc>
          <w:tcPr>
            <w:tcW w:w="704" w:type="pct"/>
            <w:shd w:val="clear" w:color="auto" w:fill="auto"/>
            <w:noWrap/>
            <w:vAlign w:val="center"/>
            <w:hideMark/>
          </w:tcPr>
          <w:p w14:paraId="1B91AB56" w14:textId="0CF7F36E" w:rsidR="00CF693E" w:rsidRPr="00622F40" w:rsidRDefault="00CF693E" w:rsidP="00CF693E">
            <w:pPr>
              <w:pStyle w:val="Caption"/>
              <w:jc w:val="left"/>
            </w:pPr>
            <w:r w:rsidRPr="00622F40">
              <w:rPr>
                <w:rFonts w:eastAsia="Times New Roman" w:cs="Arial"/>
                <w:color w:val="000000"/>
              </w:rPr>
              <w:t>Wetland</w:t>
            </w:r>
          </w:p>
        </w:tc>
        <w:tc>
          <w:tcPr>
            <w:tcW w:w="737" w:type="pct"/>
            <w:shd w:val="clear" w:color="auto" w:fill="auto"/>
            <w:noWrap/>
            <w:vAlign w:val="center"/>
            <w:hideMark/>
          </w:tcPr>
          <w:p w14:paraId="3E66D1AB" w14:textId="541CB47B" w:rsidR="00CF693E" w:rsidRPr="00622F40" w:rsidRDefault="00CF693E" w:rsidP="00CF693E">
            <w:pPr>
              <w:pStyle w:val="Caption"/>
              <w:jc w:val="left"/>
            </w:pPr>
            <w:r w:rsidRPr="00622F40">
              <w:rPr>
                <w:rFonts w:eastAsia="Times New Roman" w:cs="Arial"/>
                <w:color w:val="000000"/>
              </w:rPr>
              <w:t>Settlement</w:t>
            </w:r>
          </w:p>
        </w:tc>
        <w:tc>
          <w:tcPr>
            <w:tcW w:w="704" w:type="pct"/>
            <w:shd w:val="clear" w:color="auto" w:fill="auto"/>
            <w:noWrap/>
            <w:vAlign w:val="center"/>
            <w:hideMark/>
          </w:tcPr>
          <w:p w14:paraId="09865548" w14:textId="204271DF" w:rsidR="00CF693E" w:rsidRPr="00622F40" w:rsidRDefault="00CF693E" w:rsidP="00CF693E">
            <w:pPr>
              <w:pStyle w:val="Caption"/>
              <w:jc w:val="left"/>
            </w:pPr>
            <w:r w:rsidRPr="00622F40">
              <w:rPr>
                <w:rFonts w:eastAsia="Times New Roman" w:cs="Arial"/>
                <w:color w:val="000000"/>
              </w:rPr>
              <w:t>Other land</w:t>
            </w:r>
          </w:p>
        </w:tc>
      </w:tr>
      <w:tr w:rsidR="00596866" w:rsidRPr="00D1321C" w14:paraId="78144E15" w14:textId="77777777" w:rsidTr="00CF693E">
        <w:trPr>
          <w:trHeight w:val="255"/>
        </w:trPr>
        <w:tc>
          <w:tcPr>
            <w:tcW w:w="737" w:type="pct"/>
            <w:shd w:val="clear" w:color="auto" w:fill="auto"/>
            <w:noWrap/>
            <w:vAlign w:val="center"/>
            <w:hideMark/>
          </w:tcPr>
          <w:p w14:paraId="00FF63D4"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Forest</w:t>
            </w:r>
          </w:p>
        </w:tc>
        <w:tc>
          <w:tcPr>
            <w:tcW w:w="704" w:type="pct"/>
            <w:shd w:val="clear" w:color="000000" w:fill="D9D9D9"/>
            <w:noWrap/>
            <w:vAlign w:val="center"/>
            <w:hideMark/>
          </w:tcPr>
          <w:p w14:paraId="60A57E8D" w14:textId="77777777" w:rsidR="00596866" w:rsidRPr="00622F40" w:rsidRDefault="00596866" w:rsidP="005F3D43">
            <w:pPr>
              <w:spacing w:after="0" w:line="240" w:lineRule="auto"/>
              <w:jc w:val="center"/>
              <w:rPr>
                <w:rFonts w:eastAsia="Times New Roman" w:cs="Arial"/>
                <w:color w:val="000000"/>
                <w:sz w:val="18"/>
                <w:szCs w:val="18"/>
              </w:rPr>
            </w:pPr>
          </w:p>
        </w:tc>
        <w:tc>
          <w:tcPr>
            <w:tcW w:w="704" w:type="pct"/>
            <w:shd w:val="clear" w:color="000000" w:fill="F2F2F2"/>
            <w:noWrap/>
            <w:vAlign w:val="center"/>
            <w:hideMark/>
          </w:tcPr>
          <w:p w14:paraId="47F4D7F3"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53</w:t>
            </w:r>
          </w:p>
        </w:tc>
        <w:tc>
          <w:tcPr>
            <w:tcW w:w="710" w:type="pct"/>
            <w:shd w:val="clear" w:color="000000" w:fill="F2F2F2"/>
            <w:noWrap/>
            <w:vAlign w:val="center"/>
            <w:hideMark/>
          </w:tcPr>
          <w:p w14:paraId="170D6603"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12</w:t>
            </w:r>
          </w:p>
        </w:tc>
        <w:tc>
          <w:tcPr>
            <w:tcW w:w="704" w:type="pct"/>
            <w:shd w:val="clear" w:color="000000" w:fill="F2F2F2"/>
            <w:noWrap/>
            <w:vAlign w:val="center"/>
            <w:hideMark/>
          </w:tcPr>
          <w:p w14:paraId="780F47AB"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65</w:t>
            </w:r>
          </w:p>
        </w:tc>
        <w:tc>
          <w:tcPr>
            <w:tcW w:w="737" w:type="pct"/>
            <w:shd w:val="clear" w:color="000000" w:fill="F2F2F2"/>
            <w:noWrap/>
            <w:vAlign w:val="center"/>
            <w:hideMark/>
          </w:tcPr>
          <w:p w14:paraId="7D3D6F5E"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178</w:t>
            </w:r>
          </w:p>
        </w:tc>
        <w:tc>
          <w:tcPr>
            <w:tcW w:w="704" w:type="pct"/>
            <w:shd w:val="clear" w:color="000000" w:fill="F2F2F2"/>
            <w:noWrap/>
            <w:vAlign w:val="center"/>
            <w:hideMark/>
          </w:tcPr>
          <w:p w14:paraId="38E659EB"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3</w:t>
            </w:r>
          </w:p>
        </w:tc>
      </w:tr>
      <w:tr w:rsidR="00596866" w:rsidRPr="00D1321C" w14:paraId="1709917D" w14:textId="77777777" w:rsidTr="00CF693E">
        <w:trPr>
          <w:trHeight w:val="255"/>
        </w:trPr>
        <w:tc>
          <w:tcPr>
            <w:tcW w:w="737" w:type="pct"/>
            <w:shd w:val="clear" w:color="auto" w:fill="auto"/>
            <w:noWrap/>
            <w:vAlign w:val="center"/>
            <w:hideMark/>
          </w:tcPr>
          <w:p w14:paraId="3E0460EF"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Cropland</w:t>
            </w:r>
          </w:p>
        </w:tc>
        <w:tc>
          <w:tcPr>
            <w:tcW w:w="704" w:type="pct"/>
            <w:shd w:val="clear" w:color="000000" w:fill="F2F2F2"/>
            <w:noWrap/>
            <w:vAlign w:val="center"/>
            <w:hideMark/>
          </w:tcPr>
          <w:p w14:paraId="49077A7A"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55</w:t>
            </w:r>
          </w:p>
        </w:tc>
        <w:tc>
          <w:tcPr>
            <w:tcW w:w="704" w:type="pct"/>
            <w:shd w:val="clear" w:color="000000" w:fill="D9D9D9"/>
            <w:noWrap/>
            <w:vAlign w:val="center"/>
            <w:hideMark/>
          </w:tcPr>
          <w:p w14:paraId="3EF2895D" w14:textId="77777777" w:rsidR="00596866" w:rsidRPr="00622F40" w:rsidRDefault="00596866" w:rsidP="005F3D43">
            <w:pPr>
              <w:spacing w:after="0" w:line="240" w:lineRule="auto"/>
              <w:jc w:val="center"/>
              <w:rPr>
                <w:rFonts w:eastAsia="Times New Roman" w:cs="Arial"/>
                <w:color w:val="000000"/>
                <w:sz w:val="18"/>
                <w:szCs w:val="18"/>
              </w:rPr>
            </w:pPr>
          </w:p>
        </w:tc>
        <w:tc>
          <w:tcPr>
            <w:tcW w:w="710" w:type="pct"/>
            <w:shd w:val="clear" w:color="000000" w:fill="F2F2F2"/>
            <w:noWrap/>
            <w:vAlign w:val="center"/>
            <w:hideMark/>
          </w:tcPr>
          <w:p w14:paraId="798C95F7"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106</w:t>
            </w:r>
          </w:p>
        </w:tc>
        <w:tc>
          <w:tcPr>
            <w:tcW w:w="704" w:type="pct"/>
            <w:shd w:val="clear" w:color="000000" w:fill="F2F2F2"/>
            <w:noWrap/>
            <w:vAlign w:val="center"/>
            <w:hideMark/>
          </w:tcPr>
          <w:p w14:paraId="21621520"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112</w:t>
            </w:r>
          </w:p>
        </w:tc>
        <w:tc>
          <w:tcPr>
            <w:tcW w:w="737" w:type="pct"/>
            <w:shd w:val="clear" w:color="000000" w:fill="F2F2F2"/>
            <w:noWrap/>
            <w:vAlign w:val="center"/>
            <w:hideMark/>
          </w:tcPr>
          <w:p w14:paraId="4AD131C9"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457</w:t>
            </w:r>
          </w:p>
        </w:tc>
        <w:tc>
          <w:tcPr>
            <w:tcW w:w="704" w:type="pct"/>
            <w:shd w:val="clear" w:color="000000" w:fill="F2F2F2"/>
            <w:noWrap/>
            <w:vAlign w:val="center"/>
            <w:hideMark/>
          </w:tcPr>
          <w:p w14:paraId="566FB898"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0</w:t>
            </w:r>
          </w:p>
        </w:tc>
      </w:tr>
      <w:tr w:rsidR="00596866" w:rsidRPr="00D1321C" w14:paraId="63ECBF8F" w14:textId="77777777" w:rsidTr="00CF693E">
        <w:trPr>
          <w:trHeight w:val="255"/>
        </w:trPr>
        <w:tc>
          <w:tcPr>
            <w:tcW w:w="737" w:type="pct"/>
            <w:shd w:val="clear" w:color="auto" w:fill="auto"/>
            <w:noWrap/>
            <w:vAlign w:val="bottom"/>
            <w:hideMark/>
          </w:tcPr>
          <w:p w14:paraId="651F1BF5"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Grassland</w:t>
            </w:r>
          </w:p>
        </w:tc>
        <w:tc>
          <w:tcPr>
            <w:tcW w:w="704" w:type="pct"/>
            <w:shd w:val="clear" w:color="000000" w:fill="F2F2F2"/>
            <w:noWrap/>
            <w:vAlign w:val="center"/>
            <w:hideMark/>
          </w:tcPr>
          <w:p w14:paraId="75808501"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74</w:t>
            </w:r>
          </w:p>
        </w:tc>
        <w:tc>
          <w:tcPr>
            <w:tcW w:w="704" w:type="pct"/>
            <w:shd w:val="clear" w:color="000000" w:fill="F2F2F2"/>
            <w:noWrap/>
            <w:vAlign w:val="center"/>
            <w:hideMark/>
          </w:tcPr>
          <w:p w14:paraId="5E7B72FE"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918</w:t>
            </w:r>
          </w:p>
        </w:tc>
        <w:tc>
          <w:tcPr>
            <w:tcW w:w="710" w:type="pct"/>
            <w:shd w:val="clear" w:color="000000" w:fill="D9D9D9"/>
            <w:noWrap/>
            <w:vAlign w:val="center"/>
            <w:hideMark/>
          </w:tcPr>
          <w:p w14:paraId="40F76F63" w14:textId="77777777" w:rsidR="00596866" w:rsidRPr="00622F40" w:rsidRDefault="00596866" w:rsidP="005F3D43">
            <w:pPr>
              <w:spacing w:after="0" w:line="240" w:lineRule="auto"/>
              <w:jc w:val="center"/>
              <w:rPr>
                <w:rFonts w:eastAsia="Times New Roman" w:cs="Arial"/>
                <w:color w:val="000000"/>
                <w:sz w:val="18"/>
                <w:szCs w:val="18"/>
              </w:rPr>
            </w:pPr>
          </w:p>
        </w:tc>
        <w:tc>
          <w:tcPr>
            <w:tcW w:w="704" w:type="pct"/>
            <w:shd w:val="clear" w:color="000000" w:fill="F2F2F2"/>
            <w:noWrap/>
            <w:vAlign w:val="center"/>
            <w:hideMark/>
          </w:tcPr>
          <w:p w14:paraId="6F78FF21"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109</w:t>
            </w:r>
          </w:p>
        </w:tc>
        <w:tc>
          <w:tcPr>
            <w:tcW w:w="737" w:type="pct"/>
            <w:shd w:val="clear" w:color="000000" w:fill="F2F2F2"/>
            <w:noWrap/>
            <w:vAlign w:val="center"/>
            <w:hideMark/>
          </w:tcPr>
          <w:p w14:paraId="0FE090D9"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80</w:t>
            </w:r>
          </w:p>
        </w:tc>
        <w:tc>
          <w:tcPr>
            <w:tcW w:w="704" w:type="pct"/>
            <w:shd w:val="clear" w:color="000000" w:fill="F2F2F2"/>
            <w:noWrap/>
            <w:vAlign w:val="center"/>
            <w:hideMark/>
          </w:tcPr>
          <w:p w14:paraId="3521920D"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0</w:t>
            </w:r>
          </w:p>
        </w:tc>
      </w:tr>
      <w:tr w:rsidR="00596866" w:rsidRPr="00D1321C" w14:paraId="6BAFA120" w14:textId="77777777" w:rsidTr="00CF693E">
        <w:trPr>
          <w:trHeight w:val="255"/>
        </w:trPr>
        <w:tc>
          <w:tcPr>
            <w:tcW w:w="737" w:type="pct"/>
            <w:shd w:val="clear" w:color="auto" w:fill="auto"/>
            <w:noWrap/>
            <w:vAlign w:val="center"/>
            <w:hideMark/>
          </w:tcPr>
          <w:p w14:paraId="0C7DABB1"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Wetland</w:t>
            </w:r>
          </w:p>
        </w:tc>
        <w:tc>
          <w:tcPr>
            <w:tcW w:w="704" w:type="pct"/>
            <w:shd w:val="clear" w:color="000000" w:fill="F2F2F2"/>
            <w:noWrap/>
            <w:vAlign w:val="center"/>
            <w:hideMark/>
          </w:tcPr>
          <w:p w14:paraId="4C305781"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5</w:t>
            </w:r>
          </w:p>
        </w:tc>
        <w:tc>
          <w:tcPr>
            <w:tcW w:w="704" w:type="pct"/>
            <w:shd w:val="clear" w:color="000000" w:fill="F2F2F2"/>
            <w:noWrap/>
            <w:vAlign w:val="center"/>
            <w:hideMark/>
          </w:tcPr>
          <w:p w14:paraId="7599BE29"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0</w:t>
            </w:r>
          </w:p>
        </w:tc>
        <w:tc>
          <w:tcPr>
            <w:tcW w:w="710" w:type="pct"/>
            <w:shd w:val="clear" w:color="000000" w:fill="F2F2F2"/>
            <w:noWrap/>
            <w:vAlign w:val="center"/>
            <w:hideMark/>
          </w:tcPr>
          <w:p w14:paraId="262123FB"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13</w:t>
            </w:r>
          </w:p>
        </w:tc>
        <w:tc>
          <w:tcPr>
            <w:tcW w:w="704" w:type="pct"/>
            <w:shd w:val="clear" w:color="000000" w:fill="D9D9D9"/>
            <w:noWrap/>
            <w:vAlign w:val="center"/>
            <w:hideMark/>
          </w:tcPr>
          <w:p w14:paraId="606E1C0A" w14:textId="77777777" w:rsidR="00596866" w:rsidRPr="00622F40" w:rsidRDefault="00596866" w:rsidP="005F3D43">
            <w:pPr>
              <w:spacing w:after="0" w:line="240" w:lineRule="auto"/>
              <w:jc w:val="center"/>
              <w:rPr>
                <w:rFonts w:eastAsia="Times New Roman" w:cs="Arial"/>
                <w:color w:val="000000"/>
                <w:sz w:val="18"/>
                <w:szCs w:val="18"/>
              </w:rPr>
            </w:pPr>
          </w:p>
        </w:tc>
        <w:tc>
          <w:tcPr>
            <w:tcW w:w="737" w:type="pct"/>
            <w:shd w:val="clear" w:color="000000" w:fill="F2F2F2"/>
            <w:noWrap/>
            <w:vAlign w:val="center"/>
            <w:hideMark/>
          </w:tcPr>
          <w:p w14:paraId="7B368CE3"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6</w:t>
            </w:r>
          </w:p>
        </w:tc>
        <w:tc>
          <w:tcPr>
            <w:tcW w:w="704" w:type="pct"/>
            <w:shd w:val="clear" w:color="000000" w:fill="F2F2F2"/>
            <w:noWrap/>
            <w:vAlign w:val="center"/>
            <w:hideMark/>
          </w:tcPr>
          <w:p w14:paraId="76C7D7D3"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0</w:t>
            </w:r>
          </w:p>
        </w:tc>
      </w:tr>
      <w:tr w:rsidR="00596866" w:rsidRPr="00D1321C" w14:paraId="6CE6A2F2" w14:textId="77777777" w:rsidTr="00CF693E">
        <w:trPr>
          <w:trHeight w:val="255"/>
        </w:trPr>
        <w:tc>
          <w:tcPr>
            <w:tcW w:w="737" w:type="pct"/>
            <w:shd w:val="clear" w:color="auto" w:fill="auto"/>
            <w:noWrap/>
            <w:vAlign w:val="center"/>
            <w:hideMark/>
          </w:tcPr>
          <w:p w14:paraId="4BC542FC"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c>
          <w:tcPr>
            <w:tcW w:w="704" w:type="pct"/>
            <w:shd w:val="clear" w:color="000000" w:fill="F2F2F2"/>
            <w:noWrap/>
            <w:vAlign w:val="center"/>
            <w:hideMark/>
          </w:tcPr>
          <w:p w14:paraId="69A788D9"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101</w:t>
            </w:r>
          </w:p>
        </w:tc>
        <w:tc>
          <w:tcPr>
            <w:tcW w:w="704" w:type="pct"/>
            <w:shd w:val="clear" w:color="000000" w:fill="F2F2F2"/>
            <w:noWrap/>
            <w:vAlign w:val="center"/>
            <w:hideMark/>
          </w:tcPr>
          <w:p w14:paraId="5B39DBB9"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3</w:t>
            </w:r>
          </w:p>
        </w:tc>
        <w:tc>
          <w:tcPr>
            <w:tcW w:w="710" w:type="pct"/>
            <w:shd w:val="clear" w:color="000000" w:fill="F2F2F2"/>
            <w:noWrap/>
            <w:vAlign w:val="center"/>
            <w:hideMark/>
          </w:tcPr>
          <w:p w14:paraId="55AF41D1"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13</w:t>
            </w:r>
          </w:p>
        </w:tc>
        <w:tc>
          <w:tcPr>
            <w:tcW w:w="704" w:type="pct"/>
            <w:shd w:val="clear" w:color="000000" w:fill="F2F2F2"/>
            <w:noWrap/>
            <w:vAlign w:val="center"/>
            <w:hideMark/>
          </w:tcPr>
          <w:p w14:paraId="3F7CC133"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4</w:t>
            </w:r>
          </w:p>
        </w:tc>
        <w:tc>
          <w:tcPr>
            <w:tcW w:w="737" w:type="pct"/>
            <w:shd w:val="clear" w:color="000000" w:fill="D9D9D9"/>
            <w:noWrap/>
            <w:vAlign w:val="center"/>
            <w:hideMark/>
          </w:tcPr>
          <w:p w14:paraId="300C85F0" w14:textId="77777777" w:rsidR="00596866" w:rsidRPr="00622F40" w:rsidRDefault="00596866" w:rsidP="005F3D43">
            <w:pPr>
              <w:spacing w:after="0" w:line="240" w:lineRule="auto"/>
              <w:jc w:val="center"/>
              <w:rPr>
                <w:rFonts w:eastAsia="Times New Roman" w:cs="Arial"/>
                <w:color w:val="000000"/>
                <w:sz w:val="18"/>
                <w:szCs w:val="18"/>
              </w:rPr>
            </w:pPr>
          </w:p>
        </w:tc>
        <w:tc>
          <w:tcPr>
            <w:tcW w:w="704" w:type="pct"/>
            <w:shd w:val="clear" w:color="000000" w:fill="F2F2F2"/>
            <w:noWrap/>
            <w:vAlign w:val="center"/>
            <w:hideMark/>
          </w:tcPr>
          <w:p w14:paraId="6B7B1BCE"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0</w:t>
            </w:r>
          </w:p>
        </w:tc>
      </w:tr>
      <w:tr w:rsidR="00596866" w:rsidRPr="00D1321C" w14:paraId="0321EA74" w14:textId="77777777" w:rsidTr="00CF693E">
        <w:trPr>
          <w:trHeight w:val="255"/>
        </w:trPr>
        <w:tc>
          <w:tcPr>
            <w:tcW w:w="737" w:type="pct"/>
            <w:shd w:val="clear" w:color="auto" w:fill="auto"/>
            <w:noWrap/>
            <w:vAlign w:val="center"/>
            <w:hideMark/>
          </w:tcPr>
          <w:p w14:paraId="67061A85"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Other land</w:t>
            </w:r>
          </w:p>
        </w:tc>
        <w:tc>
          <w:tcPr>
            <w:tcW w:w="704" w:type="pct"/>
            <w:shd w:val="clear" w:color="000000" w:fill="F2F2F2"/>
            <w:noWrap/>
            <w:vAlign w:val="center"/>
            <w:hideMark/>
          </w:tcPr>
          <w:p w14:paraId="70343CDA"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125</w:t>
            </w:r>
          </w:p>
        </w:tc>
        <w:tc>
          <w:tcPr>
            <w:tcW w:w="704" w:type="pct"/>
            <w:shd w:val="clear" w:color="000000" w:fill="F2F2F2"/>
            <w:noWrap/>
            <w:vAlign w:val="center"/>
            <w:hideMark/>
          </w:tcPr>
          <w:p w14:paraId="1F0F5D8D"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0</w:t>
            </w:r>
          </w:p>
        </w:tc>
        <w:tc>
          <w:tcPr>
            <w:tcW w:w="710" w:type="pct"/>
            <w:shd w:val="clear" w:color="000000" w:fill="F2F2F2"/>
            <w:noWrap/>
            <w:vAlign w:val="center"/>
            <w:hideMark/>
          </w:tcPr>
          <w:p w14:paraId="2B84A27F"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0</w:t>
            </w:r>
          </w:p>
        </w:tc>
        <w:tc>
          <w:tcPr>
            <w:tcW w:w="704" w:type="pct"/>
            <w:shd w:val="clear" w:color="000000" w:fill="F2F2F2"/>
            <w:noWrap/>
            <w:vAlign w:val="center"/>
            <w:hideMark/>
          </w:tcPr>
          <w:p w14:paraId="1A5AA56D"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4</w:t>
            </w:r>
          </w:p>
        </w:tc>
        <w:tc>
          <w:tcPr>
            <w:tcW w:w="737" w:type="pct"/>
            <w:shd w:val="clear" w:color="000000" w:fill="F2F2F2"/>
            <w:noWrap/>
            <w:vAlign w:val="center"/>
            <w:hideMark/>
          </w:tcPr>
          <w:p w14:paraId="2288FE6C"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0</w:t>
            </w:r>
          </w:p>
        </w:tc>
        <w:tc>
          <w:tcPr>
            <w:tcW w:w="704" w:type="pct"/>
            <w:shd w:val="clear" w:color="000000" w:fill="D9D9D9"/>
            <w:noWrap/>
            <w:vAlign w:val="center"/>
            <w:hideMark/>
          </w:tcPr>
          <w:p w14:paraId="7C953512" w14:textId="77777777" w:rsidR="00596866" w:rsidRPr="00622F40" w:rsidRDefault="00596866" w:rsidP="005F3D43">
            <w:pPr>
              <w:spacing w:after="0" w:line="240" w:lineRule="auto"/>
              <w:jc w:val="center"/>
              <w:rPr>
                <w:rFonts w:eastAsia="Times New Roman" w:cs="Arial"/>
                <w:color w:val="000000"/>
                <w:sz w:val="18"/>
                <w:szCs w:val="18"/>
              </w:rPr>
            </w:pPr>
          </w:p>
        </w:tc>
      </w:tr>
    </w:tbl>
    <w:p w14:paraId="2CB1B965" w14:textId="321768BB" w:rsidR="00BE365B" w:rsidRPr="00BE365B" w:rsidRDefault="00BE365B" w:rsidP="009A69B7">
      <w:pPr>
        <w:pStyle w:val="Caption"/>
        <w:jc w:val="left"/>
      </w:pPr>
      <w:bookmarkStart w:id="844" w:name="_Toc184808583"/>
      <w:r>
        <w:t xml:space="preserve">Table </w:t>
      </w:r>
      <w:r>
        <w:fldChar w:fldCharType="begin"/>
      </w:r>
      <w:r>
        <w:instrText xml:space="preserve"> SEQ Table \* ARABIC </w:instrText>
      </w:r>
      <w:r>
        <w:fldChar w:fldCharType="separate"/>
      </w:r>
      <w:r w:rsidR="00CF693E">
        <w:rPr>
          <w:noProof/>
        </w:rPr>
        <w:t>40</w:t>
      </w:r>
      <w:r>
        <w:fldChar w:fldCharType="end"/>
      </w:r>
      <w:r>
        <w:t>:</w:t>
      </w:r>
      <w:r w:rsidRPr="00BE365B">
        <w:t xml:space="preserve"> </w:t>
      </w:r>
      <w:r w:rsidRPr="00596866">
        <w:t>Annual land use changes for the period 2006</w:t>
      </w:r>
      <w:r w:rsidR="009A69B7" w:rsidRPr="00596866">
        <w:rPr>
          <w:bCs w:val="0"/>
        </w:rPr>
        <w:t>-20</w:t>
      </w:r>
      <w:r w:rsidR="00281120">
        <w:rPr>
          <w:bCs w:val="0"/>
        </w:rPr>
        <w:t>1</w:t>
      </w:r>
      <w:r w:rsidR="00880C8F">
        <w:rPr>
          <w:bCs w:val="0"/>
        </w:rPr>
        <w:t>2</w:t>
      </w:r>
      <w:r w:rsidR="009A69B7" w:rsidRPr="00596866">
        <w:rPr>
          <w:bCs w:val="0"/>
        </w:rPr>
        <w:t xml:space="preserve"> </w:t>
      </w:r>
      <w:r w:rsidRPr="00596866">
        <w:t>(ha/year)</w:t>
      </w:r>
      <w:bookmarkEnd w:id="8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278"/>
        <w:gridCol w:w="1276"/>
        <w:gridCol w:w="1287"/>
        <w:gridCol w:w="1276"/>
        <w:gridCol w:w="1336"/>
        <w:gridCol w:w="1276"/>
      </w:tblGrid>
      <w:tr w:rsidR="00596866" w:rsidRPr="00D1321C" w14:paraId="6828E926" w14:textId="77777777" w:rsidTr="005F3D43">
        <w:trPr>
          <w:trHeight w:val="525"/>
        </w:trPr>
        <w:tc>
          <w:tcPr>
            <w:tcW w:w="736" w:type="pct"/>
            <w:shd w:val="clear" w:color="auto" w:fill="auto"/>
            <w:noWrap/>
            <w:vAlign w:val="center"/>
            <w:hideMark/>
          </w:tcPr>
          <w:p w14:paraId="0F2D1611" w14:textId="77777777" w:rsidR="00596866" w:rsidRPr="00D1321C" w:rsidRDefault="00596866" w:rsidP="005F3D43">
            <w:pPr>
              <w:spacing w:after="0" w:line="240" w:lineRule="auto"/>
              <w:jc w:val="center"/>
              <w:rPr>
                <w:rFonts w:ascii="Wingdings 3" w:eastAsia="Times New Roman" w:hAnsi="Wingdings 3" w:cs="Arial"/>
                <w:color w:val="000000"/>
                <w:sz w:val="44"/>
                <w:szCs w:val="44"/>
              </w:rPr>
            </w:pPr>
            <w:r w:rsidRPr="00D1321C">
              <w:rPr>
                <w:rFonts w:ascii="Wingdings 3" w:eastAsia="Times New Roman" w:hAnsi="Wingdings 3" w:cs="Arial"/>
                <w:color w:val="000000"/>
                <w:sz w:val="44"/>
                <w:szCs w:val="44"/>
              </w:rPr>
              <w:t></w:t>
            </w:r>
          </w:p>
        </w:tc>
        <w:tc>
          <w:tcPr>
            <w:tcW w:w="705" w:type="pct"/>
            <w:shd w:val="clear" w:color="auto" w:fill="auto"/>
            <w:noWrap/>
            <w:vAlign w:val="center"/>
            <w:hideMark/>
          </w:tcPr>
          <w:p w14:paraId="4FB43590"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Forest</w:t>
            </w:r>
          </w:p>
        </w:tc>
        <w:tc>
          <w:tcPr>
            <w:tcW w:w="704" w:type="pct"/>
            <w:shd w:val="clear" w:color="auto" w:fill="auto"/>
            <w:noWrap/>
            <w:vAlign w:val="center"/>
            <w:hideMark/>
          </w:tcPr>
          <w:p w14:paraId="4F77A64F"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Cropland</w:t>
            </w:r>
          </w:p>
        </w:tc>
        <w:tc>
          <w:tcPr>
            <w:tcW w:w="710" w:type="pct"/>
            <w:shd w:val="clear" w:color="auto" w:fill="auto"/>
            <w:noWrap/>
            <w:vAlign w:val="center"/>
            <w:hideMark/>
          </w:tcPr>
          <w:p w14:paraId="3C340C1A"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Grassland</w:t>
            </w:r>
          </w:p>
        </w:tc>
        <w:tc>
          <w:tcPr>
            <w:tcW w:w="704" w:type="pct"/>
            <w:shd w:val="clear" w:color="auto" w:fill="auto"/>
            <w:noWrap/>
            <w:vAlign w:val="center"/>
            <w:hideMark/>
          </w:tcPr>
          <w:p w14:paraId="33C10E66"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Wetland</w:t>
            </w:r>
          </w:p>
        </w:tc>
        <w:tc>
          <w:tcPr>
            <w:tcW w:w="737" w:type="pct"/>
            <w:shd w:val="clear" w:color="auto" w:fill="auto"/>
            <w:noWrap/>
            <w:vAlign w:val="center"/>
            <w:hideMark/>
          </w:tcPr>
          <w:p w14:paraId="10522770"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Settlement</w:t>
            </w:r>
          </w:p>
        </w:tc>
        <w:tc>
          <w:tcPr>
            <w:tcW w:w="704" w:type="pct"/>
            <w:shd w:val="clear" w:color="auto" w:fill="auto"/>
            <w:noWrap/>
            <w:vAlign w:val="center"/>
            <w:hideMark/>
          </w:tcPr>
          <w:p w14:paraId="3ABFB8FF"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Other land</w:t>
            </w:r>
          </w:p>
        </w:tc>
      </w:tr>
      <w:tr w:rsidR="00596866" w:rsidRPr="00D1321C" w14:paraId="6799FD54" w14:textId="77777777" w:rsidTr="005F3D43">
        <w:trPr>
          <w:trHeight w:val="255"/>
        </w:trPr>
        <w:tc>
          <w:tcPr>
            <w:tcW w:w="736" w:type="pct"/>
            <w:shd w:val="clear" w:color="auto" w:fill="auto"/>
            <w:noWrap/>
            <w:vAlign w:val="center"/>
            <w:hideMark/>
          </w:tcPr>
          <w:p w14:paraId="048540D5"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Forest</w:t>
            </w:r>
          </w:p>
        </w:tc>
        <w:tc>
          <w:tcPr>
            <w:tcW w:w="705" w:type="pct"/>
            <w:shd w:val="clear" w:color="000000" w:fill="D9D9D9"/>
            <w:noWrap/>
          </w:tcPr>
          <w:p w14:paraId="0714DFAF" w14:textId="77777777" w:rsidR="00596866" w:rsidRPr="00622F40" w:rsidRDefault="00596866" w:rsidP="005F3D43">
            <w:pPr>
              <w:spacing w:after="0"/>
              <w:jc w:val="center"/>
              <w:rPr>
                <w:sz w:val="18"/>
                <w:szCs w:val="18"/>
              </w:rPr>
            </w:pPr>
          </w:p>
        </w:tc>
        <w:tc>
          <w:tcPr>
            <w:tcW w:w="704" w:type="pct"/>
            <w:shd w:val="clear" w:color="000000" w:fill="F2F2F2"/>
            <w:noWrap/>
          </w:tcPr>
          <w:p w14:paraId="46D5E7CF" w14:textId="77777777" w:rsidR="00596866" w:rsidRPr="00622F40" w:rsidRDefault="00596866" w:rsidP="005F3D43">
            <w:pPr>
              <w:spacing w:after="0"/>
              <w:jc w:val="center"/>
              <w:rPr>
                <w:sz w:val="18"/>
                <w:szCs w:val="18"/>
              </w:rPr>
            </w:pPr>
            <w:r w:rsidRPr="00622F40">
              <w:rPr>
                <w:sz w:val="18"/>
                <w:szCs w:val="18"/>
              </w:rPr>
              <w:t>24</w:t>
            </w:r>
          </w:p>
        </w:tc>
        <w:tc>
          <w:tcPr>
            <w:tcW w:w="710" w:type="pct"/>
            <w:shd w:val="clear" w:color="000000" w:fill="F2F2F2"/>
            <w:noWrap/>
          </w:tcPr>
          <w:p w14:paraId="172AC2A0" w14:textId="77777777" w:rsidR="00596866" w:rsidRPr="00622F40" w:rsidRDefault="00596866" w:rsidP="005F3D43">
            <w:pPr>
              <w:spacing w:after="0"/>
              <w:jc w:val="center"/>
              <w:rPr>
                <w:sz w:val="18"/>
                <w:szCs w:val="18"/>
              </w:rPr>
            </w:pPr>
            <w:r w:rsidRPr="00622F40">
              <w:rPr>
                <w:sz w:val="18"/>
                <w:szCs w:val="18"/>
              </w:rPr>
              <w:t>5</w:t>
            </w:r>
          </w:p>
        </w:tc>
        <w:tc>
          <w:tcPr>
            <w:tcW w:w="704" w:type="pct"/>
            <w:shd w:val="clear" w:color="000000" w:fill="F2F2F2"/>
            <w:noWrap/>
          </w:tcPr>
          <w:p w14:paraId="5E79201B" w14:textId="77777777" w:rsidR="00596866" w:rsidRPr="00622F40" w:rsidRDefault="00596866" w:rsidP="005F3D43">
            <w:pPr>
              <w:spacing w:after="0"/>
              <w:jc w:val="center"/>
              <w:rPr>
                <w:sz w:val="18"/>
                <w:szCs w:val="18"/>
              </w:rPr>
            </w:pPr>
            <w:r w:rsidRPr="00622F40">
              <w:rPr>
                <w:sz w:val="18"/>
                <w:szCs w:val="18"/>
              </w:rPr>
              <w:t>27</w:t>
            </w:r>
          </w:p>
        </w:tc>
        <w:tc>
          <w:tcPr>
            <w:tcW w:w="737" w:type="pct"/>
            <w:shd w:val="clear" w:color="000000" w:fill="F2F2F2"/>
            <w:noWrap/>
          </w:tcPr>
          <w:p w14:paraId="67D19D8C" w14:textId="77777777" w:rsidR="00596866" w:rsidRPr="00622F40" w:rsidRDefault="00596866" w:rsidP="005F3D43">
            <w:pPr>
              <w:spacing w:after="0"/>
              <w:jc w:val="center"/>
              <w:rPr>
                <w:sz w:val="18"/>
                <w:szCs w:val="18"/>
              </w:rPr>
            </w:pPr>
            <w:r w:rsidRPr="00622F40">
              <w:rPr>
                <w:sz w:val="18"/>
                <w:szCs w:val="18"/>
              </w:rPr>
              <w:t>211</w:t>
            </w:r>
          </w:p>
        </w:tc>
        <w:tc>
          <w:tcPr>
            <w:tcW w:w="704" w:type="pct"/>
            <w:shd w:val="clear" w:color="000000" w:fill="F2F2F2"/>
            <w:noWrap/>
          </w:tcPr>
          <w:p w14:paraId="6F95F9B8" w14:textId="77777777" w:rsidR="00596866" w:rsidRPr="00622F40" w:rsidRDefault="00596866" w:rsidP="005F3D43">
            <w:pPr>
              <w:spacing w:after="0"/>
              <w:jc w:val="center"/>
              <w:rPr>
                <w:sz w:val="18"/>
                <w:szCs w:val="18"/>
              </w:rPr>
            </w:pPr>
            <w:r w:rsidRPr="00622F40">
              <w:rPr>
                <w:sz w:val="18"/>
                <w:szCs w:val="18"/>
              </w:rPr>
              <w:t>139</w:t>
            </w:r>
          </w:p>
        </w:tc>
      </w:tr>
      <w:tr w:rsidR="00596866" w:rsidRPr="00D1321C" w14:paraId="310156B3" w14:textId="77777777" w:rsidTr="005F3D43">
        <w:trPr>
          <w:trHeight w:val="255"/>
        </w:trPr>
        <w:tc>
          <w:tcPr>
            <w:tcW w:w="736" w:type="pct"/>
            <w:shd w:val="clear" w:color="auto" w:fill="auto"/>
            <w:noWrap/>
            <w:vAlign w:val="center"/>
            <w:hideMark/>
          </w:tcPr>
          <w:p w14:paraId="19987887"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Cropland</w:t>
            </w:r>
          </w:p>
        </w:tc>
        <w:tc>
          <w:tcPr>
            <w:tcW w:w="705" w:type="pct"/>
            <w:shd w:val="clear" w:color="000000" w:fill="F2F2F2"/>
            <w:noWrap/>
          </w:tcPr>
          <w:p w14:paraId="095493EF" w14:textId="77777777" w:rsidR="00596866" w:rsidRPr="00622F40" w:rsidRDefault="00596866" w:rsidP="005F3D43">
            <w:pPr>
              <w:spacing w:after="0"/>
              <w:jc w:val="center"/>
              <w:rPr>
                <w:sz w:val="18"/>
                <w:szCs w:val="18"/>
              </w:rPr>
            </w:pPr>
            <w:r w:rsidRPr="00622F40">
              <w:rPr>
                <w:sz w:val="18"/>
                <w:szCs w:val="18"/>
              </w:rPr>
              <w:t>183</w:t>
            </w:r>
          </w:p>
        </w:tc>
        <w:tc>
          <w:tcPr>
            <w:tcW w:w="704" w:type="pct"/>
            <w:shd w:val="clear" w:color="000000" w:fill="D9D9D9"/>
            <w:noWrap/>
          </w:tcPr>
          <w:p w14:paraId="0CBBF6D8" w14:textId="77777777" w:rsidR="00596866" w:rsidRPr="00622F40" w:rsidRDefault="00596866" w:rsidP="005F3D43">
            <w:pPr>
              <w:spacing w:after="0"/>
              <w:jc w:val="center"/>
              <w:rPr>
                <w:sz w:val="18"/>
                <w:szCs w:val="18"/>
              </w:rPr>
            </w:pPr>
          </w:p>
        </w:tc>
        <w:tc>
          <w:tcPr>
            <w:tcW w:w="710" w:type="pct"/>
            <w:shd w:val="clear" w:color="000000" w:fill="F2F2F2"/>
            <w:noWrap/>
          </w:tcPr>
          <w:p w14:paraId="21F966BB" w14:textId="77777777" w:rsidR="00596866" w:rsidRPr="00622F40" w:rsidRDefault="00596866" w:rsidP="005F3D43">
            <w:pPr>
              <w:spacing w:after="0"/>
              <w:jc w:val="center"/>
              <w:rPr>
                <w:sz w:val="18"/>
                <w:szCs w:val="18"/>
              </w:rPr>
            </w:pPr>
            <w:r w:rsidRPr="00622F40">
              <w:rPr>
                <w:sz w:val="18"/>
                <w:szCs w:val="18"/>
              </w:rPr>
              <w:t>222</w:t>
            </w:r>
          </w:p>
        </w:tc>
        <w:tc>
          <w:tcPr>
            <w:tcW w:w="704" w:type="pct"/>
            <w:shd w:val="clear" w:color="000000" w:fill="F2F2F2"/>
            <w:noWrap/>
          </w:tcPr>
          <w:p w14:paraId="77E6D87D" w14:textId="77777777" w:rsidR="00596866" w:rsidRPr="00622F40" w:rsidRDefault="00596866" w:rsidP="005F3D43">
            <w:pPr>
              <w:spacing w:after="0"/>
              <w:jc w:val="center"/>
              <w:rPr>
                <w:sz w:val="18"/>
                <w:szCs w:val="18"/>
              </w:rPr>
            </w:pPr>
            <w:r w:rsidRPr="00622F40">
              <w:rPr>
                <w:sz w:val="18"/>
                <w:szCs w:val="18"/>
              </w:rPr>
              <w:t>45</w:t>
            </w:r>
          </w:p>
        </w:tc>
        <w:tc>
          <w:tcPr>
            <w:tcW w:w="737" w:type="pct"/>
            <w:shd w:val="clear" w:color="000000" w:fill="F2F2F2"/>
            <w:noWrap/>
          </w:tcPr>
          <w:p w14:paraId="6E0C3B54" w14:textId="77777777" w:rsidR="00596866" w:rsidRPr="00622F40" w:rsidRDefault="00596866" w:rsidP="005F3D43">
            <w:pPr>
              <w:spacing w:after="0"/>
              <w:jc w:val="center"/>
              <w:rPr>
                <w:sz w:val="18"/>
                <w:szCs w:val="18"/>
              </w:rPr>
            </w:pPr>
            <w:r w:rsidRPr="00622F40">
              <w:rPr>
                <w:sz w:val="18"/>
                <w:szCs w:val="18"/>
              </w:rPr>
              <w:t>384</w:t>
            </w:r>
          </w:p>
        </w:tc>
        <w:tc>
          <w:tcPr>
            <w:tcW w:w="704" w:type="pct"/>
            <w:shd w:val="clear" w:color="000000" w:fill="F2F2F2"/>
            <w:noWrap/>
          </w:tcPr>
          <w:p w14:paraId="664CF289" w14:textId="77777777" w:rsidR="00596866" w:rsidRPr="00622F40" w:rsidRDefault="00596866" w:rsidP="005F3D43">
            <w:pPr>
              <w:spacing w:after="0"/>
              <w:jc w:val="center"/>
              <w:rPr>
                <w:sz w:val="18"/>
                <w:szCs w:val="18"/>
              </w:rPr>
            </w:pPr>
            <w:r w:rsidRPr="00622F40">
              <w:rPr>
                <w:sz w:val="18"/>
                <w:szCs w:val="18"/>
              </w:rPr>
              <w:t>0</w:t>
            </w:r>
          </w:p>
        </w:tc>
      </w:tr>
      <w:tr w:rsidR="00596866" w:rsidRPr="00D1321C" w14:paraId="1A97CB9D" w14:textId="77777777" w:rsidTr="005F3D43">
        <w:trPr>
          <w:trHeight w:val="255"/>
        </w:trPr>
        <w:tc>
          <w:tcPr>
            <w:tcW w:w="736" w:type="pct"/>
            <w:shd w:val="clear" w:color="auto" w:fill="auto"/>
            <w:noWrap/>
            <w:vAlign w:val="bottom"/>
            <w:hideMark/>
          </w:tcPr>
          <w:p w14:paraId="1B67DE35"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Grassland</w:t>
            </w:r>
          </w:p>
        </w:tc>
        <w:tc>
          <w:tcPr>
            <w:tcW w:w="705" w:type="pct"/>
            <w:shd w:val="clear" w:color="000000" w:fill="F2F2F2"/>
            <w:noWrap/>
          </w:tcPr>
          <w:p w14:paraId="7AC44E2C" w14:textId="77777777" w:rsidR="00596866" w:rsidRPr="00622F40" w:rsidRDefault="00596866" w:rsidP="005F3D43">
            <w:pPr>
              <w:spacing w:after="0"/>
              <w:jc w:val="center"/>
              <w:rPr>
                <w:sz w:val="18"/>
                <w:szCs w:val="18"/>
              </w:rPr>
            </w:pPr>
            <w:r w:rsidRPr="00622F40">
              <w:rPr>
                <w:sz w:val="18"/>
                <w:szCs w:val="18"/>
              </w:rPr>
              <w:t>134</w:t>
            </w:r>
          </w:p>
        </w:tc>
        <w:tc>
          <w:tcPr>
            <w:tcW w:w="704" w:type="pct"/>
            <w:shd w:val="clear" w:color="000000" w:fill="F2F2F2"/>
            <w:noWrap/>
          </w:tcPr>
          <w:p w14:paraId="57F7F3A8" w14:textId="77777777" w:rsidR="00596866" w:rsidRPr="00622F40" w:rsidRDefault="00596866" w:rsidP="005F3D43">
            <w:pPr>
              <w:spacing w:after="0"/>
              <w:jc w:val="center"/>
              <w:rPr>
                <w:sz w:val="18"/>
                <w:szCs w:val="18"/>
              </w:rPr>
            </w:pPr>
            <w:r w:rsidRPr="00622F40">
              <w:rPr>
                <w:sz w:val="18"/>
                <w:szCs w:val="18"/>
              </w:rPr>
              <w:t>287</w:t>
            </w:r>
          </w:p>
        </w:tc>
        <w:tc>
          <w:tcPr>
            <w:tcW w:w="710" w:type="pct"/>
            <w:shd w:val="clear" w:color="000000" w:fill="D9D9D9"/>
            <w:noWrap/>
          </w:tcPr>
          <w:p w14:paraId="5E4B4FAB" w14:textId="77777777" w:rsidR="00596866" w:rsidRPr="00622F40" w:rsidRDefault="00596866" w:rsidP="005F3D43">
            <w:pPr>
              <w:spacing w:after="0"/>
              <w:jc w:val="center"/>
              <w:rPr>
                <w:sz w:val="18"/>
                <w:szCs w:val="18"/>
              </w:rPr>
            </w:pPr>
          </w:p>
        </w:tc>
        <w:tc>
          <w:tcPr>
            <w:tcW w:w="704" w:type="pct"/>
            <w:shd w:val="clear" w:color="000000" w:fill="F2F2F2"/>
            <w:noWrap/>
          </w:tcPr>
          <w:p w14:paraId="0A3C3295" w14:textId="77777777" w:rsidR="00596866" w:rsidRPr="00622F40" w:rsidRDefault="00596866" w:rsidP="005F3D43">
            <w:pPr>
              <w:spacing w:after="0"/>
              <w:jc w:val="center"/>
              <w:rPr>
                <w:sz w:val="18"/>
                <w:szCs w:val="18"/>
              </w:rPr>
            </w:pPr>
            <w:r w:rsidRPr="00622F40">
              <w:rPr>
                <w:sz w:val="18"/>
                <w:szCs w:val="18"/>
              </w:rPr>
              <w:t>83</w:t>
            </w:r>
          </w:p>
        </w:tc>
        <w:tc>
          <w:tcPr>
            <w:tcW w:w="737" w:type="pct"/>
            <w:shd w:val="clear" w:color="000000" w:fill="F2F2F2"/>
            <w:noWrap/>
          </w:tcPr>
          <w:p w14:paraId="426D4157" w14:textId="77777777" w:rsidR="00596866" w:rsidRPr="00622F40" w:rsidRDefault="00596866" w:rsidP="005F3D43">
            <w:pPr>
              <w:spacing w:after="0"/>
              <w:jc w:val="center"/>
              <w:rPr>
                <w:sz w:val="18"/>
                <w:szCs w:val="18"/>
              </w:rPr>
            </w:pPr>
            <w:r w:rsidRPr="00622F40">
              <w:rPr>
                <w:sz w:val="18"/>
                <w:szCs w:val="18"/>
              </w:rPr>
              <w:t>111</w:t>
            </w:r>
          </w:p>
        </w:tc>
        <w:tc>
          <w:tcPr>
            <w:tcW w:w="704" w:type="pct"/>
            <w:shd w:val="clear" w:color="000000" w:fill="F2F2F2"/>
            <w:noWrap/>
          </w:tcPr>
          <w:p w14:paraId="74707DD2" w14:textId="77777777" w:rsidR="00596866" w:rsidRPr="00622F40" w:rsidRDefault="00596866" w:rsidP="005F3D43">
            <w:pPr>
              <w:spacing w:after="0"/>
              <w:jc w:val="center"/>
              <w:rPr>
                <w:sz w:val="18"/>
                <w:szCs w:val="18"/>
              </w:rPr>
            </w:pPr>
            <w:r w:rsidRPr="00622F40">
              <w:rPr>
                <w:sz w:val="18"/>
                <w:szCs w:val="18"/>
              </w:rPr>
              <w:t>0</w:t>
            </w:r>
          </w:p>
        </w:tc>
      </w:tr>
      <w:tr w:rsidR="00596866" w:rsidRPr="00D1321C" w14:paraId="75B9749F" w14:textId="77777777" w:rsidTr="005F3D43">
        <w:trPr>
          <w:trHeight w:val="255"/>
        </w:trPr>
        <w:tc>
          <w:tcPr>
            <w:tcW w:w="736" w:type="pct"/>
            <w:shd w:val="clear" w:color="auto" w:fill="auto"/>
            <w:noWrap/>
            <w:vAlign w:val="center"/>
            <w:hideMark/>
          </w:tcPr>
          <w:p w14:paraId="4C6B1648"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Wetland</w:t>
            </w:r>
          </w:p>
        </w:tc>
        <w:tc>
          <w:tcPr>
            <w:tcW w:w="705" w:type="pct"/>
            <w:shd w:val="clear" w:color="000000" w:fill="F2F2F2"/>
            <w:noWrap/>
          </w:tcPr>
          <w:p w14:paraId="4342B69A" w14:textId="77777777" w:rsidR="00596866" w:rsidRPr="00622F40" w:rsidRDefault="00596866" w:rsidP="005F3D43">
            <w:pPr>
              <w:spacing w:after="0"/>
              <w:jc w:val="center"/>
              <w:rPr>
                <w:sz w:val="18"/>
                <w:szCs w:val="18"/>
              </w:rPr>
            </w:pPr>
            <w:r w:rsidRPr="00622F40">
              <w:rPr>
                <w:sz w:val="18"/>
                <w:szCs w:val="18"/>
              </w:rPr>
              <w:t>111</w:t>
            </w:r>
          </w:p>
        </w:tc>
        <w:tc>
          <w:tcPr>
            <w:tcW w:w="704" w:type="pct"/>
            <w:shd w:val="clear" w:color="000000" w:fill="F2F2F2"/>
            <w:noWrap/>
          </w:tcPr>
          <w:p w14:paraId="716401BE" w14:textId="77777777" w:rsidR="00596866" w:rsidRPr="00622F40" w:rsidRDefault="00596866" w:rsidP="005F3D43">
            <w:pPr>
              <w:spacing w:after="0"/>
              <w:jc w:val="center"/>
              <w:rPr>
                <w:sz w:val="18"/>
                <w:szCs w:val="18"/>
              </w:rPr>
            </w:pPr>
            <w:r w:rsidRPr="00622F40">
              <w:rPr>
                <w:sz w:val="18"/>
                <w:szCs w:val="18"/>
              </w:rPr>
              <w:t>31</w:t>
            </w:r>
          </w:p>
        </w:tc>
        <w:tc>
          <w:tcPr>
            <w:tcW w:w="710" w:type="pct"/>
            <w:shd w:val="clear" w:color="000000" w:fill="F2F2F2"/>
            <w:noWrap/>
          </w:tcPr>
          <w:p w14:paraId="24A3C106" w14:textId="77777777" w:rsidR="00596866" w:rsidRPr="00622F40" w:rsidRDefault="00596866" w:rsidP="005F3D43">
            <w:pPr>
              <w:spacing w:after="0"/>
              <w:jc w:val="center"/>
              <w:rPr>
                <w:sz w:val="18"/>
                <w:szCs w:val="18"/>
              </w:rPr>
            </w:pPr>
            <w:r w:rsidRPr="00622F40">
              <w:rPr>
                <w:sz w:val="18"/>
                <w:szCs w:val="18"/>
              </w:rPr>
              <w:t>30</w:t>
            </w:r>
          </w:p>
        </w:tc>
        <w:tc>
          <w:tcPr>
            <w:tcW w:w="704" w:type="pct"/>
            <w:shd w:val="clear" w:color="000000" w:fill="D9D9D9"/>
            <w:noWrap/>
          </w:tcPr>
          <w:p w14:paraId="3930C558" w14:textId="77777777" w:rsidR="00596866" w:rsidRPr="00622F40" w:rsidRDefault="00596866" w:rsidP="005F3D43">
            <w:pPr>
              <w:spacing w:after="0"/>
              <w:jc w:val="center"/>
              <w:rPr>
                <w:sz w:val="18"/>
                <w:szCs w:val="18"/>
              </w:rPr>
            </w:pPr>
          </w:p>
        </w:tc>
        <w:tc>
          <w:tcPr>
            <w:tcW w:w="737" w:type="pct"/>
            <w:shd w:val="clear" w:color="000000" w:fill="F2F2F2"/>
            <w:noWrap/>
          </w:tcPr>
          <w:p w14:paraId="1F0F835C" w14:textId="77777777" w:rsidR="00596866" w:rsidRPr="00622F40" w:rsidRDefault="00596866" w:rsidP="005F3D43">
            <w:pPr>
              <w:spacing w:after="0"/>
              <w:jc w:val="center"/>
              <w:rPr>
                <w:sz w:val="18"/>
                <w:szCs w:val="18"/>
              </w:rPr>
            </w:pPr>
            <w:r w:rsidRPr="00622F40">
              <w:rPr>
                <w:sz w:val="18"/>
                <w:szCs w:val="18"/>
              </w:rPr>
              <w:t>7</w:t>
            </w:r>
          </w:p>
        </w:tc>
        <w:tc>
          <w:tcPr>
            <w:tcW w:w="704" w:type="pct"/>
            <w:shd w:val="clear" w:color="000000" w:fill="F2F2F2"/>
            <w:noWrap/>
          </w:tcPr>
          <w:p w14:paraId="312F115A" w14:textId="77777777" w:rsidR="00596866" w:rsidRPr="00622F40" w:rsidRDefault="00596866" w:rsidP="005F3D43">
            <w:pPr>
              <w:spacing w:after="0"/>
              <w:jc w:val="center"/>
              <w:rPr>
                <w:sz w:val="18"/>
                <w:szCs w:val="18"/>
              </w:rPr>
            </w:pPr>
            <w:r w:rsidRPr="00622F40">
              <w:rPr>
                <w:sz w:val="18"/>
                <w:szCs w:val="18"/>
              </w:rPr>
              <w:t>0</w:t>
            </w:r>
          </w:p>
        </w:tc>
      </w:tr>
      <w:tr w:rsidR="00596866" w:rsidRPr="00D1321C" w14:paraId="5B314AF9" w14:textId="77777777" w:rsidTr="005F3D43">
        <w:trPr>
          <w:trHeight w:val="255"/>
        </w:trPr>
        <w:tc>
          <w:tcPr>
            <w:tcW w:w="736" w:type="pct"/>
            <w:shd w:val="clear" w:color="auto" w:fill="auto"/>
            <w:noWrap/>
            <w:vAlign w:val="center"/>
            <w:hideMark/>
          </w:tcPr>
          <w:p w14:paraId="66BBEA2D"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c>
          <w:tcPr>
            <w:tcW w:w="705" w:type="pct"/>
            <w:shd w:val="clear" w:color="000000" w:fill="F2F2F2"/>
            <w:noWrap/>
          </w:tcPr>
          <w:p w14:paraId="5213A846" w14:textId="77777777" w:rsidR="00596866" w:rsidRPr="00622F40" w:rsidRDefault="00596866" w:rsidP="005F3D43">
            <w:pPr>
              <w:spacing w:after="0"/>
              <w:jc w:val="center"/>
              <w:rPr>
                <w:sz w:val="18"/>
                <w:szCs w:val="18"/>
              </w:rPr>
            </w:pPr>
            <w:r w:rsidRPr="00622F40">
              <w:rPr>
                <w:sz w:val="18"/>
                <w:szCs w:val="18"/>
              </w:rPr>
              <w:t>171</w:t>
            </w:r>
          </w:p>
        </w:tc>
        <w:tc>
          <w:tcPr>
            <w:tcW w:w="704" w:type="pct"/>
            <w:shd w:val="clear" w:color="000000" w:fill="F2F2F2"/>
            <w:noWrap/>
          </w:tcPr>
          <w:p w14:paraId="572B5CCC" w14:textId="77777777" w:rsidR="00596866" w:rsidRPr="00622F40" w:rsidRDefault="00596866" w:rsidP="005F3D43">
            <w:pPr>
              <w:spacing w:after="0"/>
              <w:jc w:val="center"/>
              <w:rPr>
                <w:sz w:val="18"/>
                <w:szCs w:val="18"/>
              </w:rPr>
            </w:pPr>
            <w:r w:rsidRPr="00622F40">
              <w:rPr>
                <w:sz w:val="18"/>
                <w:szCs w:val="18"/>
              </w:rPr>
              <w:t>8</w:t>
            </w:r>
          </w:p>
        </w:tc>
        <w:tc>
          <w:tcPr>
            <w:tcW w:w="710" w:type="pct"/>
            <w:shd w:val="clear" w:color="000000" w:fill="F2F2F2"/>
            <w:noWrap/>
          </w:tcPr>
          <w:p w14:paraId="3593D002" w14:textId="77777777" w:rsidR="00596866" w:rsidRPr="00622F40" w:rsidRDefault="00596866" w:rsidP="005F3D43">
            <w:pPr>
              <w:spacing w:after="0"/>
              <w:jc w:val="center"/>
              <w:rPr>
                <w:sz w:val="18"/>
                <w:szCs w:val="18"/>
              </w:rPr>
            </w:pPr>
            <w:r w:rsidRPr="00622F40">
              <w:rPr>
                <w:sz w:val="18"/>
                <w:szCs w:val="18"/>
              </w:rPr>
              <w:t>30</w:t>
            </w:r>
          </w:p>
        </w:tc>
        <w:tc>
          <w:tcPr>
            <w:tcW w:w="704" w:type="pct"/>
            <w:shd w:val="clear" w:color="000000" w:fill="F2F2F2"/>
            <w:noWrap/>
          </w:tcPr>
          <w:p w14:paraId="029FA4A9" w14:textId="77777777" w:rsidR="00596866" w:rsidRPr="00622F40" w:rsidRDefault="00596866" w:rsidP="005F3D43">
            <w:pPr>
              <w:spacing w:after="0"/>
              <w:jc w:val="center"/>
              <w:rPr>
                <w:sz w:val="18"/>
                <w:szCs w:val="18"/>
              </w:rPr>
            </w:pPr>
            <w:r w:rsidRPr="00622F40">
              <w:rPr>
                <w:sz w:val="18"/>
                <w:szCs w:val="18"/>
              </w:rPr>
              <w:t>8</w:t>
            </w:r>
          </w:p>
        </w:tc>
        <w:tc>
          <w:tcPr>
            <w:tcW w:w="737" w:type="pct"/>
            <w:shd w:val="clear" w:color="000000" w:fill="D9D9D9"/>
            <w:noWrap/>
          </w:tcPr>
          <w:p w14:paraId="417CA942" w14:textId="77777777" w:rsidR="00596866" w:rsidRPr="00622F40" w:rsidRDefault="00596866" w:rsidP="005F3D43">
            <w:pPr>
              <w:spacing w:after="0"/>
              <w:jc w:val="center"/>
              <w:rPr>
                <w:sz w:val="18"/>
                <w:szCs w:val="18"/>
              </w:rPr>
            </w:pPr>
          </w:p>
        </w:tc>
        <w:tc>
          <w:tcPr>
            <w:tcW w:w="704" w:type="pct"/>
            <w:shd w:val="clear" w:color="000000" w:fill="F2F2F2"/>
            <w:noWrap/>
          </w:tcPr>
          <w:p w14:paraId="667615DA" w14:textId="77777777" w:rsidR="00596866" w:rsidRPr="00622F40" w:rsidRDefault="00596866" w:rsidP="005F3D43">
            <w:pPr>
              <w:spacing w:after="0"/>
              <w:jc w:val="center"/>
              <w:rPr>
                <w:sz w:val="18"/>
                <w:szCs w:val="18"/>
              </w:rPr>
            </w:pPr>
            <w:r w:rsidRPr="00622F40">
              <w:rPr>
                <w:sz w:val="18"/>
                <w:szCs w:val="18"/>
              </w:rPr>
              <w:t>0</w:t>
            </w:r>
          </w:p>
        </w:tc>
      </w:tr>
      <w:tr w:rsidR="00596866" w:rsidRPr="00D1321C" w14:paraId="7B18923A" w14:textId="77777777" w:rsidTr="005F3D43">
        <w:trPr>
          <w:trHeight w:val="255"/>
        </w:trPr>
        <w:tc>
          <w:tcPr>
            <w:tcW w:w="736" w:type="pct"/>
            <w:shd w:val="clear" w:color="auto" w:fill="auto"/>
            <w:noWrap/>
            <w:vAlign w:val="center"/>
            <w:hideMark/>
          </w:tcPr>
          <w:p w14:paraId="0D161930" w14:textId="77777777" w:rsidR="00596866" w:rsidRPr="00622F40" w:rsidRDefault="00596866" w:rsidP="005F3D43">
            <w:pPr>
              <w:spacing w:after="0" w:line="240" w:lineRule="auto"/>
              <w:rPr>
                <w:rFonts w:eastAsia="Times New Roman" w:cs="Arial"/>
                <w:color w:val="000000"/>
                <w:sz w:val="18"/>
                <w:szCs w:val="18"/>
              </w:rPr>
            </w:pPr>
            <w:r w:rsidRPr="00622F40">
              <w:rPr>
                <w:rFonts w:eastAsia="Times New Roman" w:cs="Arial"/>
                <w:color w:val="000000"/>
                <w:sz w:val="18"/>
                <w:szCs w:val="18"/>
              </w:rPr>
              <w:t>Other land</w:t>
            </w:r>
          </w:p>
        </w:tc>
        <w:tc>
          <w:tcPr>
            <w:tcW w:w="705" w:type="pct"/>
            <w:shd w:val="clear" w:color="000000" w:fill="F2F2F2"/>
            <w:noWrap/>
          </w:tcPr>
          <w:p w14:paraId="23D0FB0A" w14:textId="77777777" w:rsidR="00596866" w:rsidRPr="00622F40" w:rsidRDefault="00596866" w:rsidP="005F3D43">
            <w:pPr>
              <w:spacing w:after="0"/>
              <w:jc w:val="center"/>
              <w:rPr>
                <w:sz w:val="18"/>
                <w:szCs w:val="18"/>
              </w:rPr>
            </w:pPr>
            <w:r w:rsidRPr="00622F40">
              <w:rPr>
                <w:sz w:val="18"/>
                <w:szCs w:val="18"/>
              </w:rPr>
              <w:t>35</w:t>
            </w:r>
          </w:p>
        </w:tc>
        <w:tc>
          <w:tcPr>
            <w:tcW w:w="704" w:type="pct"/>
            <w:shd w:val="clear" w:color="000000" w:fill="F2F2F2"/>
            <w:noWrap/>
          </w:tcPr>
          <w:p w14:paraId="233B75BE" w14:textId="77777777" w:rsidR="00596866" w:rsidRPr="00622F40" w:rsidRDefault="00596866" w:rsidP="005F3D43">
            <w:pPr>
              <w:spacing w:after="0"/>
              <w:jc w:val="center"/>
              <w:rPr>
                <w:sz w:val="18"/>
                <w:szCs w:val="18"/>
              </w:rPr>
            </w:pPr>
            <w:r w:rsidRPr="00622F40">
              <w:rPr>
                <w:sz w:val="18"/>
                <w:szCs w:val="18"/>
              </w:rPr>
              <w:t>0</w:t>
            </w:r>
          </w:p>
        </w:tc>
        <w:tc>
          <w:tcPr>
            <w:tcW w:w="710" w:type="pct"/>
            <w:shd w:val="clear" w:color="000000" w:fill="F2F2F2"/>
            <w:noWrap/>
          </w:tcPr>
          <w:p w14:paraId="3B20BBF6" w14:textId="77777777" w:rsidR="00596866" w:rsidRPr="00622F40" w:rsidRDefault="00596866" w:rsidP="005F3D43">
            <w:pPr>
              <w:spacing w:after="0"/>
              <w:jc w:val="center"/>
              <w:rPr>
                <w:sz w:val="18"/>
                <w:szCs w:val="18"/>
              </w:rPr>
            </w:pPr>
            <w:r w:rsidRPr="00622F40">
              <w:rPr>
                <w:sz w:val="18"/>
                <w:szCs w:val="18"/>
              </w:rPr>
              <w:t>0</w:t>
            </w:r>
          </w:p>
        </w:tc>
        <w:tc>
          <w:tcPr>
            <w:tcW w:w="704" w:type="pct"/>
            <w:shd w:val="clear" w:color="000000" w:fill="F2F2F2"/>
            <w:noWrap/>
          </w:tcPr>
          <w:p w14:paraId="71D7A036" w14:textId="77777777" w:rsidR="00596866" w:rsidRPr="00622F40" w:rsidRDefault="00596866" w:rsidP="005F3D43">
            <w:pPr>
              <w:spacing w:after="0"/>
              <w:jc w:val="center"/>
              <w:rPr>
                <w:sz w:val="18"/>
                <w:szCs w:val="18"/>
              </w:rPr>
            </w:pPr>
            <w:r w:rsidRPr="00622F40">
              <w:rPr>
                <w:sz w:val="18"/>
                <w:szCs w:val="18"/>
              </w:rPr>
              <w:t>4</w:t>
            </w:r>
          </w:p>
        </w:tc>
        <w:tc>
          <w:tcPr>
            <w:tcW w:w="737" w:type="pct"/>
            <w:shd w:val="clear" w:color="000000" w:fill="F2F2F2"/>
            <w:noWrap/>
          </w:tcPr>
          <w:p w14:paraId="782A1B45" w14:textId="77777777" w:rsidR="00596866" w:rsidRPr="00622F40" w:rsidRDefault="00596866" w:rsidP="005F3D43">
            <w:pPr>
              <w:spacing w:after="0"/>
              <w:jc w:val="center"/>
              <w:rPr>
                <w:sz w:val="18"/>
                <w:szCs w:val="18"/>
              </w:rPr>
            </w:pPr>
            <w:r w:rsidRPr="00622F40">
              <w:rPr>
                <w:sz w:val="18"/>
                <w:szCs w:val="18"/>
              </w:rPr>
              <w:t>0</w:t>
            </w:r>
          </w:p>
        </w:tc>
        <w:tc>
          <w:tcPr>
            <w:tcW w:w="704" w:type="pct"/>
            <w:shd w:val="clear" w:color="000000" w:fill="D9D9D9"/>
            <w:noWrap/>
          </w:tcPr>
          <w:p w14:paraId="02651663" w14:textId="77777777" w:rsidR="00596866" w:rsidRPr="00622F40" w:rsidRDefault="00596866" w:rsidP="005F3D43">
            <w:pPr>
              <w:spacing w:after="0"/>
              <w:jc w:val="center"/>
              <w:rPr>
                <w:sz w:val="18"/>
                <w:szCs w:val="18"/>
              </w:rPr>
            </w:pPr>
          </w:p>
        </w:tc>
      </w:tr>
    </w:tbl>
    <w:p w14:paraId="78AEB919" w14:textId="306BAEE6" w:rsidR="00596866" w:rsidRDefault="00596866" w:rsidP="007B27F8">
      <w:pPr>
        <w:spacing w:before="360"/>
      </w:pPr>
      <w:r>
        <w:t>For the inventory it is necessary to estimate annual changes since 1970 to 20</w:t>
      </w:r>
      <w:r w:rsidR="00EE662B">
        <w:t>22</w:t>
      </w:r>
      <w:r>
        <w:t xml:space="preserve">, </w:t>
      </w:r>
      <w:r w:rsidR="00EE662B">
        <w:t xml:space="preserve">so </w:t>
      </w:r>
      <w:r>
        <w:t>the following treatments are implemented:</w:t>
      </w:r>
    </w:p>
    <w:p w14:paraId="61FFF8EE" w14:textId="77777777" w:rsidR="00596866" w:rsidRDefault="00596866" w:rsidP="00AB11C1">
      <w:pPr>
        <w:pStyle w:val="ListParagraph"/>
        <w:numPr>
          <w:ilvl w:val="0"/>
          <w:numId w:val="50"/>
        </w:numPr>
      </w:pPr>
      <w:r>
        <w:t xml:space="preserve">During each monitoring period the changes are supposed to be constant, annual changes are thus estimated by dividing the changes of the period by the number of years of the period. </w:t>
      </w:r>
    </w:p>
    <w:p w14:paraId="33FD9E40" w14:textId="77777777" w:rsidR="00596866" w:rsidRDefault="00596866" w:rsidP="00AB11C1">
      <w:pPr>
        <w:pStyle w:val="ListParagraph"/>
        <w:numPr>
          <w:ilvl w:val="0"/>
          <w:numId w:val="50"/>
        </w:numPr>
      </w:pPr>
      <w:r>
        <w:t>Before 1990, land use changes are assumed to be equivalent to the period 1990-2000.</w:t>
      </w:r>
    </w:p>
    <w:p w14:paraId="23ACC449" w14:textId="77777777" w:rsidR="00596866" w:rsidRDefault="00596866" w:rsidP="00AB11C1">
      <w:pPr>
        <w:pStyle w:val="ListParagraph"/>
        <w:numPr>
          <w:ilvl w:val="0"/>
          <w:numId w:val="50"/>
        </w:numPr>
      </w:pPr>
      <w:r>
        <w:t>After 2012, that land use changes are assumed to be equivalent to the period 2006-2012.</w:t>
      </w:r>
    </w:p>
    <w:p w14:paraId="35F2DF7D" w14:textId="2E217C9B" w:rsidR="00596866" w:rsidRDefault="00596866" w:rsidP="00596866">
      <w:r>
        <w:t>The year 2000 was chosen as the only reference for land use changes to avoid potential small discrepancies between maps. All the areas are calculated on the basis of 2000 areas combined with annual changes. The calculation of "area of land remaining land" is done by subtracting all the changes that become that land in that year from the area at the end of the year.</w:t>
      </w:r>
    </w:p>
    <w:p w14:paraId="354DD53E" w14:textId="007C077F" w:rsidR="00A642AF" w:rsidRDefault="005207E7" w:rsidP="007B27F8">
      <w:pPr>
        <w:spacing w:after="0"/>
      </w:pPr>
      <w:r w:rsidRPr="005207E7">
        <w:rPr>
          <w:noProof/>
          <w:lang w:val="en-US"/>
        </w:rPr>
        <w:lastRenderedPageBreak/>
        <w:drawing>
          <wp:inline distT="0" distB="0" distL="0" distR="0" wp14:anchorId="5C4EA232" wp14:editId="71BAE82F">
            <wp:extent cx="5759817" cy="3318390"/>
            <wp:effectExtent l="0" t="0" r="0" b="0"/>
            <wp:docPr id="1323250956"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t="4211" b="2607"/>
                    <a:stretch/>
                  </pic:blipFill>
                  <pic:spPr bwMode="auto">
                    <a:xfrm>
                      <a:off x="0" y="0"/>
                      <a:ext cx="5760720" cy="3318910"/>
                    </a:xfrm>
                    <a:prstGeom prst="rect">
                      <a:avLst/>
                    </a:prstGeom>
                    <a:noFill/>
                    <a:ln>
                      <a:noFill/>
                    </a:ln>
                    <a:extLst>
                      <a:ext uri="{53640926-AAD7-44D8-BBD7-CCE9431645EC}">
                        <a14:shadowObscured xmlns:a14="http://schemas.microsoft.com/office/drawing/2010/main"/>
                      </a:ext>
                    </a:extLst>
                  </pic:spPr>
                </pic:pic>
              </a:graphicData>
            </a:graphic>
          </wp:inline>
        </w:drawing>
      </w:r>
    </w:p>
    <w:p w14:paraId="13B9F745" w14:textId="77777777" w:rsidR="007B27F8" w:rsidRDefault="007B27F8" w:rsidP="007B27F8">
      <w:pPr>
        <w:pStyle w:val="Caption"/>
        <w:spacing w:before="0"/>
        <w:jc w:val="left"/>
      </w:pPr>
      <w:bookmarkStart w:id="845" w:name="_Toc184808506"/>
      <w:r w:rsidRPr="002462F0">
        <w:t xml:space="preserve">Figure </w:t>
      </w:r>
      <w:r w:rsidRPr="002462F0">
        <w:fldChar w:fldCharType="begin"/>
      </w:r>
      <w:r w:rsidRPr="002462F0">
        <w:instrText xml:space="preserve"> SEQ Figure \* ARABIC </w:instrText>
      </w:r>
      <w:r w:rsidRPr="002462F0">
        <w:fldChar w:fldCharType="separate"/>
      </w:r>
      <w:r>
        <w:rPr>
          <w:noProof/>
        </w:rPr>
        <w:t>119</w:t>
      </w:r>
      <w:r w:rsidRPr="002462F0">
        <w:fldChar w:fldCharType="end"/>
      </w:r>
      <w:r w:rsidRPr="002462F0">
        <w:t xml:space="preserve">: </w:t>
      </w:r>
      <w:r>
        <w:t>Evolution of the and use areas in the Republic of Serbia since 1990</w:t>
      </w:r>
      <w:bookmarkEnd w:id="845"/>
    </w:p>
    <w:p w14:paraId="61A6FFDB" w14:textId="297119AD" w:rsidR="00596866" w:rsidRDefault="00596866" w:rsidP="00596866">
      <w:r>
        <w:t>This protocol allows building both annual and 20</w:t>
      </w:r>
      <w:r w:rsidR="00E44C9E">
        <w:t>-</w:t>
      </w:r>
      <w:r>
        <w:t>year matrixes which are necessary for the calculation of carbon fluxes.</w:t>
      </w:r>
    </w:p>
    <w:p w14:paraId="0B6D0981" w14:textId="2536968D" w:rsidR="00E44C9E" w:rsidRDefault="00E44C9E" w:rsidP="007B27F8">
      <w:pPr>
        <w:pStyle w:val="Caption"/>
        <w:keepNext/>
        <w:jc w:val="left"/>
      </w:pPr>
      <w:bookmarkStart w:id="846" w:name="_Toc184808584"/>
      <w:r>
        <w:t xml:space="preserve">Table </w:t>
      </w:r>
      <w:r>
        <w:fldChar w:fldCharType="begin"/>
      </w:r>
      <w:r>
        <w:instrText xml:space="preserve"> SEQ Table \* ARABIC </w:instrText>
      </w:r>
      <w:r>
        <w:fldChar w:fldCharType="separate"/>
      </w:r>
      <w:r w:rsidR="00F14C78">
        <w:rPr>
          <w:noProof/>
        </w:rPr>
        <w:t>41</w:t>
      </w:r>
      <w:r>
        <w:fldChar w:fldCharType="end"/>
      </w:r>
      <w:r w:rsidR="002367CB">
        <w:t xml:space="preserve">: </w:t>
      </w:r>
      <w:r w:rsidR="002367CB" w:rsidRPr="00596866">
        <w:rPr>
          <w:bCs w:val="0"/>
        </w:rPr>
        <w:t>Example of annual matrix for the year 20</w:t>
      </w:r>
      <w:r w:rsidR="00636858">
        <w:rPr>
          <w:bCs w:val="0"/>
        </w:rPr>
        <w:t>22</w:t>
      </w:r>
      <w:r w:rsidR="002367CB" w:rsidRPr="00596866">
        <w:rPr>
          <w:bCs w:val="0"/>
        </w:rPr>
        <w:t xml:space="preserve"> (ha)</w:t>
      </w:r>
      <w:bookmarkEnd w:id="846"/>
    </w:p>
    <w:tbl>
      <w:tblPr>
        <w:tblW w:w="5000" w:type="pct"/>
        <w:tblLayout w:type="fixed"/>
        <w:tblLook w:val="04A0" w:firstRow="1" w:lastRow="0" w:firstColumn="1" w:lastColumn="0" w:noHBand="0" w:noVBand="1"/>
      </w:tblPr>
      <w:tblGrid>
        <w:gridCol w:w="1129"/>
        <w:gridCol w:w="964"/>
        <w:gridCol w:w="1283"/>
        <w:gridCol w:w="1283"/>
        <w:gridCol w:w="1084"/>
        <w:gridCol w:w="1084"/>
        <w:gridCol w:w="952"/>
        <w:gridCol w:w="1283"/>
      </w:tblGrid>
      <w:tr w:rsidR="009E7904" w:rsidRPr="008E2202" w14:paraId="06930FE2" w14:textId="77777777" w:rsidTr="009E7904">
        <w:trPr>
          <w:trHeight w:val="525"/>
        </w:trPr>
        <w:tc>
          <w:tcPr>
            <w:tcW w:w="6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87D9F" w14:textId="77777777" w:rsidR="00596866" w:rsidRPr="008E2202" w:rsidRDefault="00596866" w:rsidP="005F3D43">
            <w:pPr>
              <w:spacing w:after="0" w:line="240" w:lineRule="auto"/>
              <w:jc w:val="center"/>
              <w:rPr>
                <w:rFonts w:ascii="Wingdings 3" w:eastAsia="Times New Roman" w:hAnsi="Wingdings 3" w:cs="Arial"/>
                <w:color w:val="000000"/>
                <w:sz w:val="44"/>
                <w:szCs w:val="44"/>
              </w:rPr>
            </w:pPr>
            <w:r w:rsidRPr="008E2202">
              <w:rPr>
                <w:rFonts w:ascii="Wingdings 3" w:eastAsia="Times New Roman" w:hAnsi="Wingdings 3" w:cs="Arial"/>
                <w:color w:val="000000"/>
                <w:sz w:val="44"/>
                <w:szCs w:val="44"/>
              </w:rPr>
              <w:t></w:t>
            </w:r>
          </w:p>
        </w:tc>
        <w:tc>
          <w:tcPr>
            <w:tcW w:w="532" w:type="pct"/>
            <w:tcBorders>
              <w:top w:val="single" w:sz="4" w:space="0" w:color="auto"/>
              <w:left w:val="nil"/>
              <w:bottom w:val="single" w:sz="4" w:space="0" w:color="auto"/>
              <w:right w:val="nil"/>
            </w:tcBorders>
            <w:shd w:val="clear" w:color="auto" w:fill="auto"/>
            <w:noWrap/>
            <w:vAlign w:val="center"/>
            <w:hideMark/>
          </w:tcPr>
          <w:p w14:paraId="5C08043E" w14:textId="77777777" w:rsidR="00596866" w:rsidRPr="00622F40" w:rsidRDefault="00596866" w:rsidP="005F3D43">
            <w:pPr>
              <w:spacing w:after="0" w:line="240" w:lineRule="auto"/>
              <w:jc w:val="center"/>
              <w:rPr>
                <w:rFonts w:ascii="Aptos" w:eastAsia="Times New Roman" w:hAnsi="Aptos" w:cs="Arial"/>
                <w:color w:val="000000"/>
                <w:sz w:val="18"/>
                <w:szCs w:val="20"/>
              </w:rPr>
            </w:pPr>
            <w:r w:rsidRPr="00622F40">
              <w:rPr>
                <w:rFonts w:ascii="Aptos" w:eastAsia="Times New Roman" w:hAnsi="Aptos" w:cs="Arial"/>
                <w:color w:val="000000"/>
                <w:sz w:val="18"/>
                <w:szCs w:val="20"/>
              </w:rPr>
              <w:t>Forest</w:t>
            </w:r>
          </w:p>
        </w:tc>
        <w:tc>
          <w:tcPr>
            <w:tcW w:w="708" w:type="pct"/>
            <w:tcBorders>
              <w:top w:val="single" w:sz="4" w:space="0" w:color="auto"/>
              <w:left w:val="single" w:sz="4" w:space="0" w:color="auto"/>
              <w:bottom w:val="single" w:sz="4" w:space="0" w:color="auto"/>
              <w:right w:val="nil"/>
            </w:tcBorders>
            <w:shd w:val="clear" w:color="auto" w:fill="auto"/>
            <w:noWrap/>
            <w:vAlign w:val="center"/>
            <w:hideMark/>
          </w:tcPr>
          <w:p w14:paraId="3A97A34D" w14:textId="77777777" w:rsidR="00596866" w:rsidRPr="00622F40" w:rsidRDefault="00596866" w:rsidP="005F3D43">
            <w:pPr>
              <w:spacing w:after="0" w:line="240" w:lineRule="auto"/>
              <w:jc w:val="center"/>
              <w:rPr>
                <w:rFonts w:ascii="Aptos" w:eastAsia="Times New Roman" w:hAnsi="Aptos" w:cs="Arial"/>
                <w:color w:val="000000"/>
                <w:sz w:val="18"/>
                <w:szCs w:val="20"/>
              </w:rPr>
            </w:pPr>
            <w:r w:rsidRPr="00622F40">
              <w:rPr>
                <w:rFonts w:ascii="Aptos" w:eastAsia="Times New Roman" w:hAnsi="Aptos" w:cs="Arial"/>
                <w:color w:val="000000"/>
                <w:sz w:val="18"/>
                <w:szCs w:val="20"/>
              </w:rPr>
              <w:t>Cropland</w:t>
            </w:r>
          </w:p>
        </w:tc>
        <w:tc>
          <w:tcPr>
            <w:tcW w:w="708" w:type="pct"/>
            <w:tcBorders>
              <w:top w:val="single" w:sz="4" w:space="0" w:color="auto"/>
              <w:left w:val="single" w:sz="4" w:space="0" w:color="auto"/>
              <w:bottom w:val="single" w:sz="4" w:space="0" w:color="auto"/>
              <w:right w:val="nil"/>
            </w:tcBorders>
            <w:shd w:val="clear" w:color="auto" w:fill="auto"/>
            <w:noWrap/>
            <w:vAlign w:val="center"/>
            <w:hideMark/>
          </w:tcPr>
          <w:p w14:paraId="6660A693" w14:textId="77777777" w:rsidR="00596866" w:rsidRPr="00622F40" w:rsidRDefault="00596866" w:rsidP="005F3D43">
            <w:pPr>
              <w:spacing w:after="0" w:line="240" w:lineRule="auto"/>
              <w:jc w:val="center"/>
              <w:rPr>
                <w:rFonts w:ascii="Aptos" w:eastAsia="Times New Roman" w:hAnsi="Aptos" w:cs="Arial"/>
                <w:color w:val="000000"/>
                <w:sz w:val="18"/>
                <w:szCs w:val="20"/>
              </w:rPr>
            </w:pPr>
            <w:r w:rsidRPr="00622F40">
              <w:rPr>
                <w:rFonts w:ascii="Aptos" w:eastAsia="Times New Roman" w:hAnsi="Aptos" w:cs="Arial"/>
                <w:color w:val="000000"/>
                <w:sz w:val="18"/>
                <w:szCs w:val="20"/>
              </w:rPr>
              <w:t>Grassland</w:t>
            </w:r>
          </w:p>
        </w:tc>
        <w:tc>
          <w:tcPr>
            <w:tcW w:w="598" w:type="pct"/>
            <w:tcBorders>
              <w:top w:val="single" w:sz="4" w:space="0" w:color="auto"/>
              <w:left w:val="single" w:sz="4" w:space="0" w:color="auto"/>
              <w:bottom w:val="single" w:sz="4" w:space="0" w:color="auto"/>
              <w:right w:val="nil"/>
            </w:tcBorders>
            <w:shd w:val="clear" w:color="auto" w:fill="auto"/>
            <w:noWrap/>
            <w:vAlign w:val="center"/>
            <w:hideMark/>
          </w:tcPr>
          <w:p w14:paraId="24E33AEF" w14:textId="77777777" w:rsidR="00596866" w:rsidRPr="00622F40" w:rsidRDefault="00596866" w:rsidP="005F3D43">
            <w:pPr>
              <w:spacing w:after="0" w:line="240" w:lineRule="auto"/>
              <w:jc w:val="center"/>
              <w:rPr>
                <w:rFonts w:ascii="Aptos" w:eastAsia="Times New Roman" w:hAnsi="Aptos" w:cs="Arial"/>
                <w:color w:val="000000"/>
                <w:sz w:val="18"/>
                <w:szCs w:val="20"/>
              </w:rPr>
            </w:pPr>
            <w:r w:rsidRPr="00622F40">
              <w:rPr>
                <w:rFonts w:ascii="Aptos" w:eastAsia="Times New Roman" w:hAnsi="Aptos" w:cs="Arial"/>
                <w:color w:val="000000"/>
                <w:sz w:val="18"/>
                <w:szCs w:val="20"/>
              </w:rPr>
              <w:t>Wetland</w:t>
            </w:r>
          </w:p>
        </w:tc>
        <w:tc>
          <w:tcPr>
            <w:tcW w:w="598" w:type="pct"/>
            <w:tcBorders>
              <w:top w:val="single" w:sz="4" w:space="0" w:color="auto"/>
              <w:left w:val="single" w:sz="4" w:space="0" w:color="auto"/>
              <w:bottom w:val="single" w:sz="4" w:space="0" w:color="auto"/>
              <w:right w:val="nil"/>
            </w:tcBorders>
            <w:shd w:val="clear" w:color="auto" w:fill="auto"/>
            <w:noWrap/>
            <w:vAlign w:val="center"/>
            <w:hideMark/>
          </w:tcPr>
          <w:p w14:paraId="3C589B05" w14:textId="77777777" w:rsidR="00596866" w:rsidRPr="00622F40" w:rsidRDefault="00596866" w:rsidP="005F3D43">
            <w:pPr>
              <w:spacing w:after="0" w:line="240" w:lineRule="auto"/>
              <w:jc w:val="center"/>
              <w:rPr>
                <w:rFonts w:ascii="Aptos" w:eastAsia="Times New Roman" w:hAnsi="Aptos" w:cs="Arial"/>
                <w:color w:val="000000"/>
                <w:sz w:val="18"/>
                <w:szCs w:val="20"/>
              </w:rPr>
            </w:pPr>
            <w:r w:rsidRPr="00622F40">
              <w:rPr>
                <w:rFonts w:ascii="Aptos" w:eastAsia="Times New Roman" w:hAnsi="Aptos" w:cs="Arial"/>
                <w:color w:val="000000"/>
                <w:sz w:val="18"/>
                <w:szCs w:val="20"/>
              </w:rPr>
              <w:t>Settlement</w:t>
            </w:r>
          </w:p>
        </w:tc>
        <w:tc>
          <w:tcPr>
            <w:tcW w:w="525" w:type="pct"/>
            <w:tcBorders>
              <w:top w:val="single" w:sz="4" w:space="0" w:color="auto"/>
              <w:left w:val="single" w:sz="4" w:space="0" w:color="auto"/>
              <w:bottom w:val="single" w:sz="4" w:space="0" w:color="auto"/>
              <w:right w:val="nil"/>
            </w:tcBorders>
            <w:shd w:val="clear" w:color="auto" w:fill="auto"/>
            <w:noWrap/>
            <w:vAlign w:val="center"/>
            <w:hideMark/>
          </w:tcPr>
          <w:p w14:paraId="2E3FF180" w14:textId="77777777" w:rsidR="00596866" w:rsidRPr="00622F40" w:rsidRDefault="00596866" w:rsidP="005F3D43">
            <w:pPr>
              <w:spacing w:after="0" w:line="240" w:lineRule="auto"/>
              <w:jc w:val="center"/>
              <w:rPr>
                <w:rFonts w:ascii="Aptos" w:eastAsia="Times New Roman" w:hAnsi="Aptos" w:cs="Arial"/>
                <w:color w:val="000000"/>
                <w:sz w:val="18"/>
                <w:szCs w:val="20"/>
              </w:rPr>
            </w:pPr>
            <w:r w:rsidRPr="00622F40">
              <w:rPr>
                <w:rFonts w:ascii="Aptos" w:eastAsia="Times New Roman" w:hAnsi="Aptos" w:cs="Arial"/>
                <w:color w:val="000000"/>
                <w:sz w:val="18"/>
                <w:szCs w:val="20"/>
              </w:rPr>
              <w:t>Other land</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07771" w14:textId="77777777" w:rsidR="00596866" w:rsidRPr="00622F40" w:rsidRDefault="00596866" w:rsidP="005F3D43">
            <w:pPr>
              <w:spacing w:after="0" w:line="240" w:lineRule="auto"/>
              <w:jc w:val="center"/>
              <w:rPr>
                <w:rFonts w:ascii="Aptos" w:eastAsia="Times New Roman" w:hAnsi="Aptos" w:cs="Arial"/>
                <w:color w:val="000000"/>
                <w:sz w:val="18"/>
                <w:szCs w:val="20"/>
              </w:rPr>
            </w:pPr>
            <w:r w:rsidRPr="00622F40">
              <w:rPr>
                <w:rFonts w:ascii="Aptos" w:eastAsia="Times New Roman" w:hAnsi="Aptos" w:cs="Arial"/>
                <w:color w:val="000000"/>
                <w:sz w:val="18"/>
                <w:szCs w:val="20"/>
              </w:rPr>
              <w:t>Initial Area</w:t>
            </w:r>
          </w:p>
        </w:tc>
      </w:tr>
      <w:tr w:rsidR="009E7904" w:rsidRPr="008E2202" w14:paraId="71626711" w14:textId="77777777" w:rsidTr="00622F40">
        <w:trPr>
          <w:trHeight w:val="255"/>
        </w:trPr>
        <w:tc>
          <w:tcPr>
            <w:tcW w:w="623" w:type="pct"/>
            <w:tcBorders>
              <w:top w:val="nil"/>
              <w:left w:val="single" w:sz="4" w:space="0" w:color="auto"/>
              <w:bottom w:val="single" w:sz="4" w:space="0" w:color="auto"/>
              <w:right w:val="nil"/>
            </w:tcBorders>
            <w:shd w:val="clear" w:color="auto" w:fill="auto"/>
            <w:noWrap/>
            <w:vAlign w:val="center"/>
            <w:hideMark/>
          </w:tcPr>
          <w:p w14:paraId="52D4FECF" w14:textId="77777777" w:rsidR="00636858" w:rsidRPr="00622F40" w:rsidRDefault="00636858" w:rsidP="00636858">
            <w:pPr>
              <w:spacing w:after="0" w:line="240" w:lineRule="auto"/>
              <w:rPr>
                <w:rFonts w:eastAsia="Times New Roman" w:cs="Arial"/>
                <w:color w:val="000000"/>
                <w:sz w:val="18"/>
                <w:szCs w:val="18"/>
              </w:rPr>
            </w:pPr>
            <w:r w:rsidRPr="00622F40">
              <w:rPr>
                <w:rFonts w:eastAsia="Times New Roman" w:cs="Arial"/>
                <w:color w:val="000000"/>
                <w:sz w:val="18"/>
                <w:szCs w:val="18"/>
              </w:rPr>
              <w:t>Forest</w:t>
            </w:r>
          </w:p>
        </w:tc>
        <w:tc>
          <w:tcPr>
            <w:tcW w:w="532" w:type="pct"/>
            <w:tcBorders>
              <w:top w:val="nil"/>
              <w:left w:val="single" w:sz="4" w:space="0" w:color="auto"/>
              <w:bottom w:val="single" w:sz="4" w:space="0" w:color="auto"/>
              <w:right w:val="single" w:sz="4" w:space="0" w:color="auto"/>
            </w:tcBorders>
            <w:shd w:val="clear" w:color="000000" w:fill="D9D9D9"/>
            <w:noWrap/>
            <w:hideMark/>
          </w:tcPr>
          <w:p w14:paraId="50401D65" w14:textId="231AF9E3"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2,748,679</w:t>
            </w:r>
          </w:p>
        </w:tc>
        <w:tc>
          <w:tcPr>
            <w:tcW w:w="708" w:type="pct"/>
            <w:tcBorders>
              <w:top w:val="nil"/>
              <w:left w:val="nil"/>
              <w:bottom w:val="single" w:sz="4" w:space="0" w:color="auto"/>
              <w:right w:val="single" w:sz="4" w:space="0" w:color="auto"/>
            </w:tcBorders>
            <w:shd w:val="clear" w:color="000000" w:fill="F2F2F2"/>
            <w:noWrap/>
            <w:hideMark/>
          </w:tcPr>
          <w:p w14:paraId="46B48F7F" w14:textId="5CF136D4"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24</w:t>
            </w:r>
          </w:p>
        </w:tc>
        <w:tc>
          <w:tcPr>
            <w:tcW w:w="708" w:type="pct"/>
            <w:tcBorders>
              <w:top w:val="nil"/>
              <w:left w:val="nil"/>
              <w:bottom w:val="single" w:sz="4" w:space="0" w:color="auto"/>
              <w:right w:val="single" w:sz="4" w:space="0" w:color="auto"/>
            </w:tcBorders>
            <w:shd w:val="clear" w:color="000000" w:fill="F2F2F2"/>
            <w:noWrap/>
            <w:hideMark/>
          </w:tcPr>
          <w:p w14:paraId="17F1D2E1" w14:textId="2CD15A27"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5</w:t>
            </w:r>
          </w:p>
        </w:tc>
        <w:tc>
          <w:tcPr>
            <w:tcW w:w="598" w:type="pct"/>
            <w:tcBorders>
              <w:top w:val="nil"/>
              <w:left w:val="nil"/>
              <w:bottom w:val="single" w:sz="4" w:space="0" w:color="auto"/>
              <w:right w:val="single" w:sz="4" w:space="0" w:color="auto"/>
            </w:tcBorders>
            <w:shd w:val="clear" w:color="000000" w:fill="F2F2F2"/>
            <w:noWrap/>
            <w:hideMark/>
          </w:tcPr>
          <w:p w14:paraId="3333D01D" w14:textId="767C5CA9"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27</w:t>
            </w:r>
          </w:p>
        </w:tc>
        <w:tc>
          <w:tcPr>
            <w:tcW w:w="598" w:type="pct"/>
            <w:tcBorders>
              <w:top w:val="nil"/>
              <w:left w:val="nil"/>
              <w:bottom w:val="single" w:sz="4" w:space="0" w:color="auto"/>
              <w:right w:val="single" w:sz="4" w:space="0" w:color="auto"/>
            </w:tcBorders>
            <w:shd w:val="clear" w:color="000000" w:fill="F2F2F2"/>
            <w:noWrap/>
            <w:hideMark/>
          </w:tcPr>
          <w:p w14:paraId="65C3C239" w14:textId="1BFBBF13"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211</w:t>
            </w:r>
          </w:p>
        </w:tc>
        <w:tc>
          <w:tcPr>
            <w:tcW w:w="525" w:type="pct"/>
            <w:tcBorders>
              <w:top w:val="nil"/>
              <w:left w:val="nil"/>
              <w:bottom w:val="single" w:sz="4" w:space="0" w:color="auto"/>
              <w:right w:val="single" w:sz="4" w:space="0" w:color="auto"/>
            </w:tcBorders>
            <w:shd w:val="clear" w:color="000000" w:fill="F2F2F2"/>
            <w:noWrap/>
            <w:hideMark/>
          </w:tcPr>
          <w:p w14:paraId="21FEEECF" w14:textId="23DE0329"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139</w:t>
            </w:r>
          </w:p>
        </w:tc>
        <w:tc>
          <w:tcPr>
            <w:tcW w:w="708" w:type="pct"/>
            <w:tcBorders>
              <w:top w:val="nil"/>
              <w:left w:val="nil"/>
              <w:bottom w:val="single" w:sz="4" w:space="0" w:color="auto"/>
              <w:right w:val="single" w:sz="4" w:space="0" w:color="auto"/>
            </w:tcBorders>
            <w:shd w:val="clear" w:color="000000" w:fill="A6A6A6"/>
            <w:noWrap/>
            <w:hideMark/>
          </w:tcPr>
          <w:p w14:paraId="4C1C3678" w14:textId="172C0BC5" w:rsidR="00636858" w:rsidRPr="00622F40" w:rsidRDefault="00636858" w:rsidP="00636858">
            <w:pPr>
              <w:spacing w:after="0" w:line="240" w:lineRule="auto"/>
              <w:jc w:val="center"/>
              <w:rPr>
                <w:rFonts w:eastAsia="Times New Roman" w:cs="Arial"/>
                <w:sz w:val="18"/>
                <w:szCs w:val="18"/>
              </w:rPr>
            </w:pPr>
            <w:r w:rsidRPr="00622F40">
              <w:rPr>
                <w:sz w:val="18"/>
                <w:szCs w:val="18"/>
              </w:rPr>
              <w:t>2,749,085</w:t>
            </w:r>
          </w:p>
        </w:tc>
      </w:tr>
      <w:tr w:rsidR="009E7904" w:rsidRPr="008E2202" w14:paraId="6E247C6E" w14:textId="77777777" w:rsidTr="00622F40">
        <w:trPr>
          <w:trHeight w:val="255"/>
        </w:trPr>
        <w:tc>
          <w:tcPr>
            <w:tcW w:w="623" w:type="pct"/>
            <w:tcBorders>
              <w:top w:val="nil"/>
              <w:left w:val="single" w:sz="4" w:space="0" w:color="auto"/>
              <w:bottom w:val="single" w:sz="4" w:space="0" w:color="auto"/>
              <w:right w:val="nil"/>
            </w:tcBorders>
            <w:shd w:val="clear" w:color="auto" w:fill="auto"/>
            <w:noWrap/>
            <w:vAlign w:val="center"/>
            <w:hideMark/>
          </w:tcPr>
          <w:p w14:paraId="6718F055" w14:textId="77777777" w:rsidR="00636858" w:rsidRPr="00622F40" w:rsidRDefault="00636858" w:rsidP="00636858">
            <w:pPr>
              <w:spacing w:after="0" w:line="240" w:lineRule="auto"/>
              <w:rPr>
                <w:rFonts w:eastAsia="Times New Roman" w:cs="Arial"/>
                <w:color w:val="000000"/>
                <w:sz w:val="18"/>
                <w:szCs w:val="18"/>
              </w:rPr>
            </w:pPr>
            <w:r w:rsidRPr="00622F40">
              <w:rPr>
                <w:rFonts w:eastAsia="Times New Roman" w:cs="Arial"/>
                <w:color w:val="000000"/>
                <w:sz w:val="18"/>
                <w:szCs w:val="18"/>
              </w:rPr>
              <w:t>Cropland</w:t>
            </w:r>
          </w:p>
        </w:tc>
        <w:tc>
          <w:tcPr>
            <w:tcW w:w="532" w:type="pct"/>
            <w:tcBorders>
              <w:top w:val="nil"/>
              <w:left w:val="single" w:sz="4" w:space="0" w:color="auto"/>
              <w:bottom w:val="single" w:sz="4" w:space="0" w:color="auto"/>
              <w:right w:val="single" w:sz="4" w:space="0" w:color="auto"/>
            </w:tcBorders>
            <w:shd w:val="clear" w:color="000000" w:fill="F2F2F2"/>
            <w:noWrap/>
            <w:hideMark/>
          </w:tcPr>
          <w:p w14:paraId="42C8E224" w14:textId="0FCC502C"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183</w:t>
            </w:r>
          </w:p>
        </w:tc>
        <w:tc>
          <w:tcPr>
            <w:tcW w:w="708" w:type="pct"/>
            <w:tcBorders>
              <w:top w:val="nil"/>
              <w:left w:val="nil"/>
              <w:bottom w:val="single" w:sz="4" w:space="0" w:color="auto"/>
              <w:right w:val="single" w:sz="4" w:space="0" w:color="auto"/>
            </w:tcBorders>
            <w:shd w:val="clear" w:color="000000" w:fill="D9D9D9"/>
            <w:noWrap/>
            <w:hideMark/>
          </w:tcPr>
          <w:p w14:paraId="2F98632F" w14:textId="2C2C6607"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3,237,382</w:t>
            </w:r>
          </w:p>
        </w:tc>
        <w:tc>
          <w:tcPr>
            <w:tcW w:w="708" w:type="pct"/>
            <w:tcBorders>
              <w:top w:val="nil"/>
              <w:left w:val="nil"/>
              <w:bottom w:val="single" w:sz="4" w:space="0" w:color="auto"/>
              <w:right w:val="single" w:sz="4" w:space="0" w:color="auto"/>
            </w:tcBorders>
            <w:shd w:val="clear" w:color="000000" w:fill="F2F2F2"/>
            <w:noWrap/>
            <w:hideMark/>
          </w:tcPr>
          <w:p w14:paraId="0421CF54" w14:textId="3E52DD4E"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222</w:t>
            </w:r>
          </w:p>
        </w:tc>
        <w:tc>
          <w:tcPr>
            <w:tcW w:w="598" w:type="pct"/>
            <w:tcBorders>
              <w:top w:val="nil"/>
              <w:left w:val="nil"/>
              <w:bottom w:val="single" w:sz="4" w:space="0" w:color="auto"/>
              <w:right w:val="single" w:sz="4" w:space="0" w:color="auto"/>
            </w:tcBorders>
            <w:shd w:val="clear" w:color="000000" w:fill="F2F2F2"/>
            <w:noWrap/>
            <w:hideMark/>
          </w:tcPr>
          <w:p w14:paraId="201B8769" w14:textId="0C00CD1C"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45</w:t>
            </w:r>
          </w:p>
        </w:tc>
        <w:tc>
          <w:tcPr>
            <w:tcW w:w="598" w:type="pct"/>
            <w:tcBorders>
              <w:top w:val="nil"/>
              <w:left w:val="nil"/>
              <w:bottom w:val="single" w:sz="4" w:space="0" w:color="auto"/>
              <w:right w:val="single" w:sz="4" w:space="0" w:color="auto"/>
            </w:tcBorders>
            <w:shd w:val="clear" w:color="000000" w:fill="F2F2F2"/>
            <w:noWrap/>
            <w:hideMark/>
          </w:tcPr>
          <w:p w14:paraId="5B267BF8" w14:textId="15C9617F"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384</w:t>
            </w:r>
          </w:p>
        </w:tc>
        <w:tc>
          <w:tcPr>
            <w:tcW w:w="525" w:type="pct"/>
            <w:tcBorders>
              <w:top w:val="nil"/>
              <w:left w:val="nil"/>
              <w:bottom w:val="single" w:sz="4" w:space="0" w:color="auto"/>
              <w:right w:val="single" w:sz="4" w:space="0" w:color="auto"/>
            </w:tcBorders>
            <w:shd w:val="clear" w:color="000000" w:fill="F2F2F2"/>
            <w:noWrap/>
            <w:hideMark/>
          </w:tcPr>
          <w:p w14:paraId="6E6EB51A" w14:textId="69AE130F"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0</w:t>
            </w:r>
          </w:p>
        </w:tc>
        <w:tc>
          <w:tcPr>
            <w:tcW w:w="708" w:type="pct"/>
            <w:tcBorders>
              <w:top w:val="nil"/>
              <w:left w:val="nil"/>
              <w:bottom w:val="single" w:sz="4" w:space="0" w:color="auto"/>
              <w:right w:val="single" w:sz="4" w:space="0" w:color="auto"/>
            </w:tcBorders>
            <w:shd w:val="clear" w:color="000000" w:fill="A6A6A6"/>
            <w:noWrap/>
            <w:hideMark/>
          </w:tcPr>
          <w:p w14:paraId="2826A8BF" w14:textId="561E230E" w:rsidR="00636858" w:rsidRPr="00622F40" w:rsidRDefault="00636858" w:rsidP="00636858">
            <w:pPr>
              <w:spacing w:after="0" w:line="240" w:lineRule="auto"/>
              <w:jc w:val="center"/>
              <w:rPr>
                <w:rFonts w:eastAsia="Times New Roman" w:cs="Arial"/>
                <w:sz w:val="18"/>
                <w:szCs w:val="18"/>
              </w:rPr>
            </w:pPr>
            <w:r w:rsidRPr="00622F40">
              <w:rPr>
                <w:sz w:val="18"/>
                <w:szCs w:val="18"/>
              </w:rPr>
              <w:t>3,238,216</w:t>
            </w:r>
          </w:p>
        </w:tc>
      </w:tr>
      <w:tr w:rsidR="009E7904" w:rsidRPr="008E2202" w14:paraId="24D6196B" w14:textId="77777777" w:rsidTr="00622F40">
        <w:trPr>
          <w:trHeight w:val="255"/>
        </w:trPr>
        <w:tc>
          <w:tcPr>
            <w:tcW w:w="623" w:type="pct"/>
            <w:tcBorders>
              <w:top w:val="nil"/>
              <w:left w:val="single" w:sz="4" w:space="0" w:color="auto"/>
              <w:bottom w:val="single" w:sz="4" w:space="0" w:color="auto"/>
              <w:right w:val="nil"/>
            </w:tcBorders>
            <w:shd w:val="clear" w:color="auto" w:fill="auto"/>
            <w:noWrap/>
            <w:vAlign w:val="bottom"/>
            <w:hideMark/>
          </w:tcPr>
          <w:p w14:paraId="08C66806" w14:textId="77777777" w:rsidR="00636858" w:rsidRPr="00622F40" w:rsidRDefault="00636858" w:rsidP="00636858">
            <w:pPr>
              <w:spacing w:after="0" w:line="240" w:lineRule="auto"/>
              <w:rPr>
                <w:rFonts w:eastAsia="Times New Roman" w:cs="Arial"/>
                <w:color w:val="000000"/>
                <w:sz w:val="18"/>
                <w:szCs w:val="18"/>
              </w:rPr>
            </w:pPr>
            <w:r w:rsidRPr="00622F40">
              <w:rPr>
                <w:rFonts w:eastAsia="Times New Roman" w:cs="Arial"/>
                <w:color w:val="000000"/>
                <w:sz w:val="18"/>
                <w:szCs w:val="18"/>
              </w:rPr>
              <w:t>Grassland</w:t>
            </w:r>
          </w:p>
        </w:tc>
        <w:tc>
          <w:tcPr>
            <w:tcW w:w="532" w:type="pct"/>
            <w:tcBorders>
              <w:top w:val="nil"/>
              <w:left w:val="single" w:sz="4" w:space="0" w:color="auto"/>
              <w:bottom w:val="single" w:sz="4" w:space="0" w:color="auto"/>
              <w:right w:val="single" w:sz="4" w:space="0" w:color="auto"/>
            </w:tcBorders>
            <w:shd w:val="clear" w:color="000000" w:fill="F2F2F2"/>
            <w:noWrap/>
            <w:hideMark/>
          </w:tcPr>
          <w:p w14:paraId="3E915C90" w14:textId="5D33AC8C"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134</w:t>
            </w:r>
          </w:p>
        </w:tc>
        <w:tc>
          <w:tcPr>
            <w:tcW w:w="708" w:type="pct"/>
            <w:tcBorders>
              <w:top w:val="nil"/>
              <w:left w:val="nil"/>
              <w:bottom w:val="single" w:sz="4" w:space="0" w:color="auto"/>
              <w:right w:val="single" w:sz="4" w:space="0" w:color="auto"/>
            </w:tcBorders>
            <w:shd w:val="clear" w:color="000000" w:fill="F2F2F2"/>
            <w:noWrap/>
            <w:hideMark/>
          </w:tcPr>
          <w:p w14:paraId="6998C47F" w14:textId="226F563F"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287</w:t>
            </w:r>
          </w:p>
        </w:tc>
        <w:tc>
          <w:tcPr>
            <w:tcW w:w="708" w:type="pct"/>
            <w:tcBorders>
              <w:top w:val="nil"/>
              <w:left w:val="nil"/>
              <w:bottom w:val="single" w:sz="4" w:space="0" w:color="auto"/>
              <w:right w:val="single" w:sz="4" w:space="0" w:color="auto"/>
            </w:tcBorders>
            <w:shd w:val="clear" w:color="000000" w:fill="D9D9D9"/>
            <w:noWrap/>
            <w:hideMark/>
          </w:tcPr>
          <w:p w14:paraId="24B72138" w14:textId="244C6B22"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1,354,201</w:t>
            </w:r>
          </w:p>
        </w:tc>
        <w:tc>
          <w:tcPr>
            <w:tcW w:w="598" w:type="pct"/>
            <w:tcBorders>
              <w:top w:val="nil"/>
              <w:left w:val="nil"/>
              <w:bottom w:val="single" w:sz="4" w:space="0" w:color="auto"/>
              <w:right w:val="single" w:sz="4" w:space="0" w:color="auto"/>
            </w:tcBorders>
            <w:shd w:val="clear" w:color="000000" w:fill="F2F2F2"/>
            <w:noWrap/>
            <w:hideMark/>
          </w:tcPr>
          <w:p w14:paraId="20821618" w14:textId="22B6AC54"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83</w:t>
            </w:r>
          </w:p>
        </w:tc>
        <w:tc>
          <w:tcPr>
            <w:tcW w:w="598" w:type="pct"/>
            <w:tcBorders>
              <w:top w:val="nil"/>
              <w:left w:val="nil"/>
              <w:bottom w:val="single" w:sz="4" w:space="0" w:color="auto"/>
              <w:right w:val="single" w:sz="4" w:space="0" w:color="auto"/>
            </w:tcBorders>
            <w:shd w:val="clear" w:color="000000" w:fill="F2F2F2"/>
            <w:noWrap/>
            <w:hideMark/>
          </w:tcPr>
          <w:p w14:paraId="39966BC3" w14:textId="54FDD61A"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111</w:t>
            </w:r>
          </w:p>
        </w:tc>
        <w:tc>
          <w:tcPr>
            <w:tcW w:w="525" w:type="pct"/>
            <w:tcBorders>
              <w:top w:val="nil"/>
              <w:left w:val="nil"/>
              <w:bottom w:val="single" w:sz="4" w:space="0" w:color="auto"/>
              <w:right w:val="single" w:sz="4" w:space="0" w:color="auto"/>
            </w:tcBorders>
            <w:shd w:val="clear" w:color="000000" w:fill="F2F2F2"/>
            <w:noWrap/>
            <w:hideMark/>
          </w:tcPr>
          <w:p w14:paraId="5AB0F7E6" w14:textId="290B7724"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0</w:t>
            </w:r>
          </w:p>
        </w:tc>
        <w:tc>
          <w:tcPr>
            <w:tcW w:w="708" w:type="pct"/>
            <w:tcBorders>
              <w:top w:val="nil"/>
              <w:left w:val="nil"/>
              <w:bottom w:val="single" w:sz="4" w:space="0" w:color="auto"/>
              <w:right w:val="single" w:sz="4" w:space="0" w:color="auto"/>
            </w:tcBorders>
            <w:shd w:val="clear" w:color="000000" w:fill="A6A6A6"/>
            <w:noWrap/>
            <w:hideMark/>
          </w:tcPr>
          <w:p w14:paraId="52230726" w14:textId="37E675CC" w:rsidR="00636858" w:rsidRPr="00622F40" w:rsidRDefault="00636858" w:rsidP="00636858">
            <w:pPr>
              <w:spacing w:after="0" w:line="240" w:lineRule="auto"/>
              <w:jc w:val="center"/>
              <w:rPr>
                <w:rFonts w:eastAsia="Times New Roman" w:cs="Arial"/>
                <w:sz w:val="18"/>
                <w:szCs w:val="18"/>
              </w:rPr>
            </w:pPr>
            <w:r w:rsidRPr="00622F40">
              <w:rPr>
                <w:sz w:val="18"/>
                <w:szCs w:val="18"/>
              </w:rPr>
              <w:t>1,354,816</w:t>
            </w:r>
          </w:p>
        </w:tc>
      </w:tr>
      <w:tr w:rsidR="009E7904" w:rsidRPr="008E2202" w14:paraId="0541BC9E" w14:textId="77777777" w:rsidTr="00622F40">
        <w:trPr>
          <w:trHeight w:val="255"/>
        </w:trPr>
        <w:tc>
          <w:tcPr>
            <w:tcW w:w="623" w:type="pct"/>
            <w:tcBorders>
              <w:top w:val="nil"/>
              <w:left w:val="single" w:sz="4" w:space="0" w:color="auto"/>
              <w:bottom w:val="single" w:sz="4" w:space="0" w:color="auto"/>
              <w:right w:val="nil"/>
            </w:tcBorders>
            <w:shd w:val="clear" w:color="auto" w:fill="auto"/>
            <w:noWrap/>
            <w:vAlign w:val="center"/>
            <w:hideMark/>
          </w:tcPr>
          <w:p w14:paraId="4499E4D4" w14:textId="77777777" w:rsidR="00636858" w:rsidRPr="00622F40" w:rsidRDefault="00636858" w:rsidP="00636858">
            <w:pPr>
              <w:spacing w:after="0" w:line="240" w:lineRule="auto"/>
              <w:rPr>
                <w:rFonts w:eastAsia="Times New Roman" w:cs="Arial"/>
                <w:color w:val="000000"/>
                <w:sz w:val="18"/>
                <w:szCs w:val="18"/>
              </w:rPr>
            </w:pPr>
            <w:r w:rsidRPr="00622F40">
              <w:rPr>
                <w:rFonts w:eastAsia="Times New Roman" w:cs="Arial"/>
                <w:color w:val="000000"/>
                <w:sz w:val="18"/>
                <w:szCs w:val="18"/>
              </w:rPr>
              <w:t>Wetland</w:t>
            </w:r>
          </w:p>
        </w:tc>
        <w:tc>
          <w:tcPr>
            <w:tcW w:w="532" w:type="pct"/>
            <w:tcBorders>
              <w:top w:val="nil"/>
              <w:left w:val="single" w:sz="4" w:space="0" w:color="auto"/>
              <w:bottom w:val="single" w:sz="4" w:space="0" w:color="auto"/>
              <w:right w:val="single" w:sz="4" w:space="0" w:color="auto"/>
            </w:tcBorders>
            <w:shd w:val="clear" w:color="000000" w:fill="F2F2F2"/>
            <w:noWrap/>
            <w:hideMark/>
          </w:tcPr>
          <w:p w14:paraId="5EEC7361" w14:textId="1F41E528"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111</w:t>
            </w:r>
          </w:p>
        </w:tc>
        <w:tc>
          <w:tcPr>
            <w:tcW w:w="708" w:type="pct"/>
            <w:tcBorders>
              <w:top w:val="nil"/>
              <w:left w:val="nil"/>
              <w:bottom w:val="single" w:sz="4" w:space="0" w:color="auto"/>
              <w:right w:val="single" w:sz="4" w:space="0" w:color="auto"/>
            </w:tcBorders>
            <w:shd w:val="clear" w:color="000000" w:fill="F2F2F2"/>
            <w:noWrap/>
            <w:hideMark/>
          </w:tcPr>
          <w:p w14:paraId="30132C54" w14:textId="3E010566"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31</w:t>
            </w:r>
          </w:p>
        </w:tc>
        <w:tc>
          <w:tcPr>
            <w:tcW w:w="708" w:type="pct"/>
            <w:tcBorders>
              <w:top w:val="nil"/>
              <w:left w:val="nil"/>
              <w:bottom w:val="single" w:sz="4" w:space="0" w:color="auto"/>
              <w:right w:val="single" w:sz="4" w:space="0" w:color="auto"/>
            </w:tcBorders>
            <w:shd w:val="clear" w:color="000000" w:fill="F2F2F2"/>
            <w:noWrap/>
            <w:hideMark/>
          </w:tcPr>
          <w:p w14:paraId="6A984F0E" w14:textId="4838FA0A"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30</w:t>
            </w:r>
          </w:p>
        </w:tc>
        <w:tc>
          <w:tcPr>
            <w:tcW w:w="598" w:type="pct"/>
            <w:tcBorders>
              <w:top w:val="nil"/>
              <w:left w:val="nil"/>
              <w:bottom w:val="single" w:sz="4" w:space="0" w:color="auto"/>
              <w:right w:val="single" w:sz="4" w:space="0" w:color="auto"/>
            </w:tcBorders>
            <w:shd w:val="clear" w:color="000000" w:fill="D9D9D9"/>
            <w:noWrap/>
            <w:hideMark/>
          </w:tcPr>
          <w:p w14:paraId="701DC34B" w14:textId="4CDD1F42"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127,585</w:t>
            </w:r>
          </w:p>
        </w:tc>
        <w:tc>
          <w:tcPr>
            <w:tcW w:w="598" w:type="pct"/>
            <w:tcBorders>
              <w:top w:val="nil"/>
              <w:left w:val="nil"/>
              <w:bottom w:val="single" w:sz="4" w:space="0" w:color="auto"/>
              <w:right w:val="single" w:sz="4" w:space="0" w:color="auto"/>
            </w:tcBorders>
            <w:shd w:val="clear" w:color="000000" w:fill="F2F2F2"/>
            <w:noWrap/>
            <w:hideMark/>
          </w:tcPr>
          <w:p w14:paraId="40DA1413" w14:textId="5A0507B5"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7</w:t>
            </w:r>
          </w:p>
        </w:tc>
        <w:tc>
          <w:tcPr>
            <w:tcW w:w="525" w:type="pct"/>
            <w:tcBorders>
              <w:top w:val="nil"/>
              <w:left w:val="nil"/>
              <w:bottom w:val="single" w:sz="4" w:space="0" w:color="auto"/>
              <w:right w:val="single" w:sz="4" w:space="0" w:color="auto"/>
            </w:tcBorders>
            <w:shd w:val="clear" w:color="000000" w:fill="F2F2F2"/>
            <w:noWrap/>
            <w:hideMark/>
          </w:tcPr>
          <w:p w14:paraId="0940F240" w14:textId="0E0597B4"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0</w:t>
            </w:r>
          </w:p>
        </w:tc>
        <w:tc>
          <w:tcPr>
            <w:tcW w:w="708" w:type="pct"/>
            <w:tcBorders>
              <w:top w:val="nil"/>
              <w:left w:val="nil"/>
              <w:bottom w:val="single" w:sz="4" w:space="0" w:color="auto"/>
              <w:right w:val="single" w:sz="4" w:space="0" w:color="auto"/>
            </w:tcBorders>
            <w:shd w:val="clear" w:color="000000" w:fill="A6A6A6"/>
            <w:noWrap/>
            <w:hideMark/>
          </w:tcPr>
          <w:p w14:paraId="1B9A3075" w14:textId="07998BEB" w:rsidR="00636858" w:rsidRPr="00622F40" w:rsidRDefault="00636858" w:rsidP="00636858">
            <w:pPr>
              <w:spacing w:after="0" w:line="240" w:lineRule="auto"/>
              <w:jc w:val="center"/>
              <w:rPr>
                <w:rFonts w:eastAsia="Times New Roman" w:cs="Arial"/>
                <w:sz w:val="18"/>
                <w:szCs w:val="18"/>
              </w:rPr>
            </w:pPr>
            <w:r w:rsidRPr="00622F40">
              <w:rPr>
                <w:sz w:val="18"/>
                <w:szCs w:val="18"/>
              </w:rPr>
              <w:t>127,764</w:t>
            </w:r>
          </w:p>
        </w:tc>
      </w:tr>
      <w:tr w:rsidR="009E7904" w:rsidRPr="008E2202" w14:paraId="18F0A7C7" w14:textId="77777777" w:rsidTr="00622F40">
        <w:trPr>
          <w:trHeight w:val="255"/>
        </w:trPr>
        <w:tc>
          <w:tcPr>
            <w:tcW w:w="623" w:type="pct"/>
            <w:tcBorders>
              <w:top w:val="nil"/>
              <w:left w:val="single" w:sz="4" w:space="0" w:color="auto"/>
              <w:bottom w:val="single" w:sz="4" w:space="0" w:color="auto"/>
              <w:right w:val="nil"/>
            </w:tcBorders>
            <w:shd w:val="clear" w:color="auto" w:fill="auto"/>
            <w:noWrap/>
            <w:vAlign w:val="center"/>
            <w:hideMark/>
          </w:tcPr>
          <w:p w14:paraId="45EDB125" w14:textId="77777777" w:rsidR="00636858" w:rsidRPr="00622F40" w:rsidRDefault="00636858" w:rsidP="00636858">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c>
          <w:tcPr>
            <w:tcW w:w="532" w:type="pct"/>
            <w:tcBorders>
              <w:top w:val="nil"/>
              <w:left w:val="single" w:sz="4" w:space="0" w:color="auto"/>
              <w:bottom w:val="single" w:sz="4" w:space="0" w:color="auto"/>
              <w:right w:val="single" w:sz="4" w:space="0" w:color="auto"/>
            </w:tcBorders>
            <w:shd w:val="clear" w:color="000000" w:fill="F2F2F2"/>
            <w:noWrap/>
            <w:hideMark/>
          </w:tcPr>
          <w:p w14:paraId="4AB1B7AD" w14:textId="28995A57"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171</w:t>
            </w:r>
          </w:p>
        </w:tc>
        <w:tc>
          <w:tcPr>
            <w:tcW w:w="708" w:type="pct"/>
            <w:tcBorders>
              <w:top w:val="nil"/>
              <w:left w:val="nil"/>
              <w:bottom w:val="single" w:sz="4" w:space="0" w:color="auto"/>
              <w:right w:val="single" w:sz="4" w:space="0" w:color="auto"/>
            </w:tcBorders>
            <w:shd w:val="clear" w:color="000000" w:fill="F2F2F2"/>
            <w:noWrap/>
            <w:hideMark/>
          </w:tcPr>
          <w:p w14:paraId="1EE03C85" w14:textId="1E2B7647"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8</w:t>
            </w:r>
          </w:p>
        </w:tc>
        <w:tc>
          <w:tcPr>
            <w:tcW w:w="708" w:type="pct"/>
            <w:tcBorders>
              <w:top w:val="nil"/>
              <w:left w:val="nil"/>
              <w:bottom w:val="single" w:sz="4" w:space="0" w:color="auto"/>
              <w:right w:val="single" w:sz="4" w:space="0" w:color="auto"/>
            </w:tcBorders>
            <w:shd w:val="clear" w:color="000000" w:fill="F2F2F2"/>
            <w:noWrap/>
            <w:hideMark/>
          </w:tcPr>
          <w:p w14:paraId="1B7E7789" w14:textId="04653DE4"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30</w:t>
            </w:r>
          </w:p>
        </w:tc>
        <w:tc>
          <w:tcPr>
            <w:tcW w:w="598" w:type="pct"/>
            <w:tcBorders>
              <w:top w:val="nil"/>
              <w:left w:val="nil"/>
              <w:bottom w:val="single" w:sz="4" w:space="0" w:color="auto"/>
              <w:right w:val="single" w:sz="4" w:space="0" w:color="auto"/>
            </w:tcBorders>
            <w:shd w:val="clear" w:color="000000" w:fill="F2F2F2"/>
            <w:noWrap/>
            <w:hideMark/>
          </w:tcPr>
          <w:p w14:paraId="5DBC859B" w14:textId="3B03FADE"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8</w:t>
            </w:r>
          </w:p>
        </w:tc>
        <w:tc>
          <w:tcPr>
            <w:tcW w:w="598" w:type="pct"/>
            <w:tcBorders>
              <w:top w:val="nil"/>
              <w:left w:val="nil"/>
              <w:bottom w:val="single" w:sz="4" w:space="0" w:color="auto"/>
              <w:right w:val="single" w:sz="4" w:space="0" w:color="auto"/>
            </w:tcBorders>
            <w:shd w:val="clear" w:color="000000" w:fill="D9D9D9"/>
            <w:noWrap/>
            <w:hideMark/>
          </w:tcPr>
          <w:p w14:paraId="245E660C" w14:textId="22BBE27A"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264,797</w:t>
            </w:r>
          </w:p>
        </w:tc>
        <w:tc>
          <w:tcPr>
            <w:tcW w:w="525" w:type="pct"/>
            <w:tcBorders>
              <w:top w:val="nil"/>
              <w:left w:val="nil"/>
              <w:bottom w:val="single" w:sz="4" w:space="0" w:color="auto"/>
              <w:right w:val="single" w:sz="4" w:space="0" w:color="auto"/>
            </w:tcBorders>
            <w:shd w:val="clear" w:color="000000" w:fill="F2F2F2"/>
            <w:noWrap/>
            <w:hideMark/>
          </w:tcPr>
          <w:p w14:paraId="547DB2EC" w14:textId="1CEC3545"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0</w:t>
            </w:r>
          </w:p>
        </w:tc>
        <w:tc>
          <w:tcPr>
            <w:tcW w:w="708" w:type="pct"/>
            <w:tcBorders>
              <w:top w:val="nil"/>
              <w:left w:val="nil"/>
              <w:bottom w:val="single" w:sz="4" w:space="0" w:color="auto"/>
              <w:right w:val="single" w:sz="4" w:space="0" w:color="auto"/>
            </w:tcBorders>
            <w:shd w:val="clear" w:color="000000" w:fill="A6A6A6"/>
            <w:noWrap/>
            <w:hideMark/>
          </w:tcPr>
          <w:p w14:paraId="7545FC65" w14:textId="2CC44E77" w:rsidR="00636858" w:rsidRPr="00622F40" w:rsidRDefault="00636858" w:rsidP="00636858">
            <w:pPr>
              <w:spacing w:after="0" w:line="240" w:lineRule="auto"/>
              <w:jc w:val="center"/>
              <w:rPr>
                <w:rFonts w:eastAsia="Times New Roman" w:cs="Arial"/>
                <w:sz w:val="18"/>
                <w:szCs w:val="18"/>
              </w:rPr>
            </w:pPr>
            <w:r w:rsidRPr="00622F40">
              <w:rPr>
                <w:sz w:val="18"/>
                <w:szCs w:val="18"/>
              </w:rPr>
              <w:t>265,014</w:t>
            </w:r>
          </w:p>
        </w:tc>
      </w:tr>
      <w:tr w:rsidR="009E7904" w:rsidRPr="008E2202" w14:paraId="2181D155" w14:textId="77777777" w:rsidTr="00622F40">
        <w:trPr>
          <w:trHeight w:val="255"/>
        </w:trPr>
        <w:tc>
          <w:tcPr>
            <w:tcW w:w="623" w:type="pct"/>
            <w:tcBorders>
              <w:top w:val="nil"/>
              <w:left w:val="single" w:sz="4" w:space="0" w:color="auto"/>
              <w:bottom w:val="single" w:sz="4" w:space="0" w:color="auto"/>
              <w:right w:val="nil"/>
            </w:tcBorders>
            <w:shd w:val="clear" w:color="auto" w:fill="auto"/>
            <w:noWrap/>
            <w:vAlign w:val="center"/>
            <w:hideMark/>
          </w:tcPr>
          <w:p w14:paraId="63614526" w14:textId="77777777" w:rsidR="00636858" w:rsidRPr="00622F40" w:rsidRDefault="00636858" w:rsidP="00636858">
            <w:pPr>
              <w:spacing w:after="0" w:line="240" w:lineRule="auto"/>
              <w:rPr>
                <w:rFonts w:eastAsia="Times New Roman" w:cs="Arial"/>
                <w:color w:val="000000"/>
                <w:sz w:val="18"/>
                <w:szCs w:val="18"/>
              </w:rPr>
            </w:pPr>
            <w:r w:rsidRPr="00622F40">
              <w:rPr>
                <w:rFonts w:eastAsia="Times New Roman" w:cs="Arial"/>
                <w:color w:val="000000"/>
                <w:sz w:val="18"/>
                <w:szCs w:val="18"/>
              </w:rPr>
              <w:t>Other land</w:t>
            </w:r>
          </w:p>
        </w:tc>
        <w:tc>
          <w:tcPr>
            <w:tcW w:w="532" w:type="pct"/>
            <w:tcBorders>
              <w:top w:val="nil"/>
              <w:left w:val="single" w:sz="4" w:space="0" w:color="auto"/>
              <w:bottom w:val="single" w:sz="4" w:space="0" w:color="auto"/>
              <w:right w:val="single" w:sz="4" w:space="0" w:color="auto"/>
            </w:tcBorders>
            <w:shd w:val="clear" w:color="000000" w:fill="F2F2F2"/>
            <w:noWrap/>
            <w:hideMark/>
          </w:tcPr>
          <w:p w14:paraId="25A6A410" w14:textId="02030021"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35</w:t>
            </w:r>
          </w:p>
        </w:tc>
        <w:tc>
          <w:tcPr>
            <w:tcW w:w="708" w:type="pct"/>
            <w:tcBorders>
              <w:top w:val="nil"/>
              <w:left w:val="nil"/>
              <w:bottom w:val="single" w:sz="4" w:space="0" w:color="auto"/>
              <w:right w:val="single" w:sz="4" w:space="0" w:color="auto"/>
            </w:tcBorders>
            <w:shd w:val="clear" w:color="000000" w:fill="F2F2F2"/>
            <w:noWrap/>
            <w:hideMark/>
          </w:tcPr>
          <w:p w14:paraId="04F0CAD0" w14:textId="48289DBF"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0</w:t>
            </w:r>
          </w:p>
        </w:tc>
        <w:tc>
          <w:tcPr>
            <w:tcW w:w="708" w:type="pct"/>
            <w:tcBorders>
              <w:top w:val="nil"/>
              <w:left w:val="nil"/>
              <w:bottom w:val="single" w:sz="4" w:space="0" w:color="auto"/>
              <w:right w:val="single" w:sz="4" w:space="0" w:color="auto"/>
            </w:tcBorders>
            <w:shd w:val="clear" w:color="000000" w:fill="F2F2F2"/>
            <w:noWrap/>
            <w:hideMark/>
          </w:tcPr>
          <w:p w14:paraId="24A14E9A" w14:textId="59388539"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0</w:t>
            </w:r>
          </w:p>
        </w:tc>
        <w:tc>
          <w:tcPr>
            <w:tcW w:w="598" w:type="pct"/>
            <w:tcBorders>
              <w:top w:val="nil"/>
              <w:left w:val="nil"/>
              <w:bottom w:val="single" w:sz="4" w:space="0" w:color="auto"/>
              <w:right w:val="single" w:sz="4" w:space="0" w:color="auto"/>
            </w:tcBorders>
            <w:shd w:val="clear" w:color="000000" w:fill="F2F2F2"/>
            <w:noWrap/>
            <w:hideMark/>
          </w:tcPr>
          <w:p w14:paraId="5B5136E5" w14:textId="685BCE92"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4</w:t>
            </w:r>
          </w:p>
        </w:tc>
        <w:tc>
          <w:tcPr>
            <w:tcW w:w="598" w:type="pct"/>
            <w:tcBorders>
              <w:top w:val="nil"/>
              <w:left w:val="nil"/>
              <w:bottom w:val="single" w:sz="4" w:space="0" w:color="auto"/>
              <w:right w:val="single" w:sz="4" w:space="0" w:color="auto"/>
            </w:tcBorders>
            <w:shd w:val="clear" w:color="000000" w:fill="F2F2F2"/>
            <w:noWrap/>
            <w:hideMark/>
          </w:tcPr>
          <w:p w14:paraId="55B3DDEF" w14:textId="2510A257"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0</w:t>
            </w:r>
          </w:p>
        </w:tc>
        <w:tc>
          <w:tcPr>
            <w:tcW w:w="525" w:type="pct"/>
            <w:tcBorders>
              <w:top w:val="nil"/>
              <w:left w:val="nil"/>
              <w:bottom w:val="single" w:sz="4" w:space="0" w:color="auto"/>
              <w:right w:val="single" w:sz="4" w:space="0" w:color="auto"/>
            </w:tcBorders>
            <w:shd w:val="clear" w:color="000000" w:fill="D9D9D9"/>
            <w:noWrap/>
            <w:hideMark/>
          </w:tcPr>
          <w:p w14:paraId="7056057E" w14:textId="0A309B48" w:rsidR="00636858" w:rsidRPr="00622F40" w:rsidRDefault="00636858" w:rsidP="00636858">
            <w:pPr>
              <w:spacing w:after="0" w:line="240" w:lineRule="auto"/>
              <w:jc w:val="center"/>
              <w:rPr>
                <w:rFonts w:eastAsia="Times New Roman" w:cs="Arial"/>
                <w:color w:val="000000"/>
                <w:sz w:val="18"/>
                <w:szCs w:val="18"/>
              </w:rPr>
            </w:pPr>
            <w:r w:rsidRPr="00622F40">
              <w:rPr>
                <w:sz w:val="18"/>
                <w:szCs w:val="18"/>
              </w:rPr>
              <w:t>22,180</w:t>
            </w:r>
          </w:p>
        </w:tc>
        <w:tc>
          <w:tcPr>
            <w:tcW w:w="708" w:type="pct"/>
            <w:tcBorders>
              <w:top w:val="nil"/>
              <w:left w:val="nil"/>
              <w:bottom w:val="single" w:sz="4" w:space="0" w:color="auto"/>
              <w:right w:val="single" w:sz="4" w:space="0" w:color="auto"/>
            </w:tcBorders>
            <w:shd w:val="clear" w:color="000000" w:fill="A6A6A6"/>
            <w:noWrap/>
            <w:hideMark/>
          </w:tcPr>
          <w:p w14:paraId="2F1DB3A7" w14:textId="05C1CB10" w:rsidR="00636858" w:rsidRPr="00622F40" w:rsidRDefault="00636858" w:rsidP="00636858">
            <w:pPr>
              <w:spacing w:after="0" w:line="240" w:lineRule="auto"/>
              <w:jc w:val="center"/>
              <w:rPr>
                <w:rFonts w:eastAsia="Times New Roman" w:cs="Arial"/>
                <w:sz w:val="18"/>
                <w:szCs w:val="18"/>
              </w:rPr>
            </w:pPr>
            <w:r w:rsidRPr="00622F40">
              <w:rPr>
                <w:sz w:val="18"/>
                <w:szCs w:val="18"/>
              </w:rPr>
              <w:t>22,219</w:t>
            </w:r>
          </w:p>
        </w:tc>
      </w:tr>
      <w:tr w:rsidR="009E7904" w:rsidRPr="008E2202" w14:paraId="30D22CE1" w14:textId="77777777" w:rsidTr="009E7904">
        <w:trPr>
          <w:trHeight w:val="255"/>
        </w:trPr>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0C485E2F" w14:textId="77777777" w:rsidR="00636858" w:rsidRPr="00622F40" w:rsidRDefault="00636858" w:rsidP="00636858">
            <w:pPr>
              <w:spacing w:after="0" w:line="240" w:lineRule="auto"/>
              <w:rPr>
                <w:rFonts w:eastAsia="Times New Roman" w:cs="Arial"/>
                <w:color w:val="000000"/>
                <w:sz w:val="18"/>
                <w:szCs w:val="18"/>
              </w:rPr>
            </w:pPr>
            <w:r w:rsidRPr="00622F40">
              <w:rPr>
                <w:rFonts w:eastAsia="Times New Roman" w:cs="Arial"/>
                <w:color w:val="000000"/>
                <w:sz w:val="18"/>
                <w:szCs w:val="18"/>
              </w:rPr>
              <w:t>Final Area</w:t>
            </w:r>
          </w:p>
        </w:tc>
        <w:tc>
          <w:tcPr>
            <w:tcW w:w="532" w:type="pct"/>
            <w:tcBorders>
              <w:top w:val="nil"/>
              <w:left w:val="nil"/>
              <w:bottom w:val="single" w:sz="4" w:space="0" w:color="auto"/>
              <w:right w:val="single" w:sz="4" w:space="0" w:color="auto"/>
            </w:tcBorders>
            <w:shd w:val="clear" w:color="000000" w:fill="A6A6A6"/>
            <w:noWrap/>
            <w:hideMark/>
          </w:tcPr>
          <w:p w14:paraId="4F51DC4F" w14:textId="7697D73C" w:rsidR="00636858" w:rsidRPr="00622F40" w:rsidRDefault="00636858" w:rsidP="00636858">
            <w:pPr>
              <w:spacing w:after="0" w:line="240" w:lineRule="auto"/>
              <w:jc w:val="center"/>
              <w:rPr>
                <w:rFonts w:eastAsia="Times New Roman" w:cs="Arial"/>
                <w:sz w:val="18"/>
                <w:szCs w:val="18"/>
              </w:rPr>
            </w:pPr>
            <w:r w:rsidRPr="00622F40">
              <w:rPr>
                <w:sz w:val="18"/>
                <w:szCs w:val="18"/>
              </w:rPr>
              <w:t>2,749,314</w:t>
            </w:r>
          </w:p>
        </w:tc>
        <w:tc>
          <w:tcPr>
            <w:tcW w:w="708" w:type="pct"/>
            <w:tcBorders>
              <w:top w:val="nil"/>
              <w:left w:val="nil"/>
              <w:bottom w:val="single" w:sz="4" w:space="0" w:color="auto"/>
              <w:right w:val="single" w:sz="4" w:space="0" w:color="auto"/>
            </w:tcBorders>
            <w:shd w:val="clear" w:color="000000" w:fill="A6A6A6"/>
            <w:noWrap/>
            <w:hideMark/>
          </w:tcPr>
          <w:p w14:paraId="127D9520" w14:textId="3A29225E" w:rsidR="00636858" w:rsidRPr="00622F40" w:rsidRDefault="00636858" w:rsidP="00636858">
            <w:pPr>
              <w:spacing w:after="0" w:line="240" w:lineRule="auto"/>
              <w:jc w:val="center"/>
              <w:rPr>
                <w:rFonts w:eastAsia="Times New Roman" w:cs="Arial"/>
                <w:sz w:val="18"/>
                <w:szCs w:val="18"/>
              </w:rPr>
            </w:pPr>
            <w:r w:rsidRPr="00622F40">
              <w:rPr>
                <w:sz w:val="18"/>
                <w:szCs w:val="18"/>
              </w:rPr>
              <w:t>3,237,732</w:t>
            </w:r>
          </w:p>
        </w:tc>
        <w:tc>
          <w:tcPr>
            <w:tcW w:w="708" w:type="pct"/>
            <w:tcBorders>
              <w:top w:val="nil"/>
              <w:left w:val="nil"/>
              <w:bottom w:val="single" w:sz="4" w:space="0" w:color="auto"/>
              <w:right w:val="single" w:sz="4" w:space="0" w:color="auto"/>
            </w:tcBorders>
            <w:shd w:val="clear" w:color="000000" w:fill="A6A6A6"/>
            <w:noWrap/>
            <w:hideMark/>
          </w:tcPr>
          <w:p w14:paraId="76CE989B" w14:textId="57183681" w:rsidR="00636858" w:rsidRPr="00622F40" w:rsidRDefault="00636858" w:rsidP="00636858">
            <w:pPr>
              <w:spacing w:after="0" w:line="240" w:lineRule="auto"/>
              <w:jc w:val="center"/>
              <w:rPr>
                <w:rFonts w:eastAsia="Times New Roman" w:cs="Arial"/>
                <w:sz w:val="18"/>
                <w:szCs w:val="18"/>
              </w:rPr>
            </w:pPr>
            <w:r w:rsidRPr="00622F40">
              <w:rPr>
                <w:sz w:val="18"/>
                <w:szCs w:val="18"/>
              </w:rPr>
              <w:t>1,354,488</w:t>
            </w:r>
          </w:p>
        </w:tc>
        <w:tc>
          <w:tcPr>
            <w:tcW w:w="598" w:type="pct"/>
            <w:tcBorders>
              <w:top w:val="nil"/>
              <w:left w:val="nil"/>
              <w:bottom w:val="single" w:sz="4" w:space="0" w:color="auto"/>
              <w:right w:val="single" w:sz="4" w:space="0" w:color="auto"/>
            </w:tcBorders>
            <w:shd w:val="clear" w:color="000000" w:fill="A6A6A6"/>
            <w:noWrap/>
            <w:hideMark/>
          </w:tcPr>
          <w:p w14:paraId="6EC1640C" w14:textId="56EFE235" w:rsidR="00636858" w:rsidRPr="00622F40" w:rsidRDefault="00636858" w:rsidP="00636858">
            <w:pPr>
              <w:spacing w:after="0" w:line="240" w:lineRule="auto"/>
              <w:jc w:val="center"/>
              <w:rPr>
                <w:rFonts w:eastAsia="Times New Roman" w:cs="Arial"/>
                <w:sz w:val="18"/>
                <w:szCs w:val="18"/>
              </w:rPr>
            </w:pPr>
            <w:r w:rsidRPr="00622F40">
              <w:rPr>
                <w:sz w:val="18"/>
                <w:szCs w:val="18"/>
              </w:rPr>
              <w:t>127,752</w:t>
            </w:r>
          </w:p>
        </w:tc>
        <w:tc>
          <w:tcPr>
            <w:tcW w:w="598" w:type="pct"/>
            <w:tcBorders>
              <w:top w:val="nil"/>
              <w:left w:val="nil"/>
              <w:bottom w:val="single" w:sz="4" w:space="0" w:color="auto"/>
              <w:right w:val="single" w:sz="4" w:space="0" w:color="auto"/>
            </w:tcBorders>
            <w:shd w:val="clear" w:color="000000" w:fill="A6A6A6"/>
            <w:noWrap/>
            <w:hideMark/>
          </w:tcPr>
          <w:p w14:paraId="0C281660" w14:textId="4BC5E1F2" w:rsidR="00636858" w:rsidRPr="00622F40" w:rsidRDefault="00636858" w:rsidP="00636858">
            <w:pPr>
              <w:spacing w:after="0" w:line="240" w:lineRule="auto"/>
              <w:jc w:val="center"/>
              <w:rPr>
                <w:rFonts w:eastAsia="Times New Roman" w:cs="Arial"/>
                <w:sz w:val="18"/>
                <w:szCs w:val="18"/>
              </w:rPr>
            </w:pPr>
            <w:r w:rsidRPr="00622F40">
              <w:rPr>
                <w:sz w:val="18"/>
                <w:szCs w:val="18"/>
              </w:rPr>
              <w:t>265,510</w:t>
            </w:r>
          </w:p>
        </w:tc>
        <w:tc>
          <w:tcPr>
            <w:tcW w:w="525" w:type="pct"/>
            <w:tcBorders>
              <w:top w:val="nil"/>
              <w:left w:val="nil"/>
              <w:bottom w:val="single" w:sz="4" w:space="0" w:color="auto"/>
              <w:right w:val="single" w:sz="4" w:space="0" w:color="auto"/>
            </w:tcBorders>
            <w:shd w:val="clear" w:color="000000" w:fill="A6A6A6"/>
            <w:noWrap/>
            <w:hideMark/>
          </w:tcPr>
          <w:p w14:paraId="78EF17A5" w14:textId="0179E0D4" w:rsidR="00636858" w:rsidRPr="00622F40" w:rsidRDefault="00636858" w:rsidP="00636858">
            <w:pPr>
              <w:spacing w:after="0" w:line="240" w:lineRule="auto"/>
              <w:jc w:val="center"/>
              <w:rPr>
                <w:rFonts w:eastAsia="Times New Roman" w:cs="Arial"/>
                <w:sz w:val="18"/>
                <w:szCs w:val="18"/>
              </w:rPr>
            </w:pPr>
            <w:r w:rsidRPr="00622F40">
              <w:rPr>
                <w:sz w:val="18"/>
                <w:szCs w:val="18"/>
              </w:rPr>
              <w:t>22,319</w:t>
            </w:r>
          </w:p>
        </w:tc>
        <w:tc>
          <w:tcPr>
            <w:tcW w:w="708" w:type="pct"/>
            <w:tcBorders>
              <w:top w:val="nil"/>
              <w:left w:val="nil"/>
              <w:bottom w:val="single" w:sz="4" w:space="0" w:color="auto"/>
              <w:right w:val="single" w:sz="4" w:space="0" w:color="auto"/>
            </w:tcBorders>
            <w:shd w:val="clear" w:color="000000" w:fill="A6A6A6"/>
            <w:noWrap/>
            <w:hideMark/>
          </w:tcPr>
          <w:p w14:paraId="076B0CAE" w14:textId="3BB2C54F" w:rsidR="00636858" w:rsidRPr="00622F40" w:rsidRDefault="00636858" w:rsidP="00636858">
            <w:pPr>
              <w:spacing w:after="0" w:line="240" w:lineRule="auto"/>
              <w:jc w:val="center"/>
              <w:rPr>
                <w:rFonts w:eastAsia="Times New Roman" w:cs="Arial"/>
                <w:sz w:val="18"/>
                <w:szCs w:val="18"/>
              </w:rPr>
            </w:pPr>
            <w:r w:rsidRPr="00622F40">
              <w:rPr>
                <w:sz w:val="18"/>
                <w:szCs w:val="18"/>
              </w:rPr>
              <w:t>7,757,115</w:t>
            </w:r>
          </w:p>
        </w:tc>
      </w:tr>
    </w:tbl>
    <w:p w14:paraId="3B198B36" w14:textId="76EF8E4F" w:rsidR="00E44C9E" w:rsidRDefault="00E44C9E" w:rsidP="007B27F8">
      <w:pPr>
        <w:pStyle w:val="Caption"/>
        <w:keepNext/>
        <w:jc w:val="left"/>
      </w:pPr>
      <w:bookmarkStart w:id="847" w:name="_Toc184808585"/>
      <w:r>
        <w:t xml:space="preserve">Table </w:t>
      </w:r>
      <w:r>
        <w:fldChar w:fldCharType="begin"/>
      </w:r>
      <w:r>
        <w:instrText xml:space="preserve"> SEQ Table \* ARABIC </w:instrText>
      </w:r>
      <w:r>
        <w:fldChar w:fldCharType="separate"/>
      </w:r>
      <w:r w:rsidR="00F14C78">
        <w:rPr>
          <w:noProof/>
        </w:rPr>
        <w:t>42</w:t>
      </w:r>
      <w:r>
        <w:fldChar w:fldCharType="end"/>
      </w:r>
      <w:r w:rsidR="002367CB">
        <w:t xml:space="preserve">: </w:t>
      </w:r>
      <w:r w:rsidR="002367CB" w:rsidRPr="00596866">
        <w:rPr>
          <w:bCs w:val="0"/>
        </w:rPr>
        <w:t>Example of 20</w:t>
      </w:r>
      <w:r w:rsidR="006F185B">
        <w:rPr>
          <w:bCs w:val="0"/>
        </w:rPr>
        <w:t>-</w:t>
      </w:r>
      <w:r w:rsidR="002367CB" w:rsidRPr="00596866">
        <w:rPr>
          <w:bCs w:val="0"/>
        </w:rPr>
        <w:t>year matrix for the year 20</w:t>
      </w:r>
      <w:r w:rsidR="00B7130F">
        <w:rPr>
          <w:bCs w:val="0"/>
        </w:rPr>
        <w:t>22</w:t>
      </w:r>
      <w:r w:rsidR="002367CB" w:rsidRPr="00596866">
        <w:rPr>
          <w:bCs w:val="0"/>
        </w:rPr>
        <w:t xml:space="preserve"> (ha)</w:t>
      </w:r>
      <w:bookmarkEnd w:id="8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993"/>
        <w:gridCol w:w="1115"/>
        <w:gridCol w:w="1283"/>
        <w:gridCol w:w="1084"/>
        <w:gridCol w:w="1084"/>
        <w:gridCol w:w="952"/>
        <w:gridCol w:w="1281"/>
      </w:tblGrid>
      <w:tr w:rsidR="009E7904" w:rsidRPr="008E2202" w14:paraId="185719F0" w14:textId="77777777" w:rsidTr="007B27F8">
        <w:trPr>
          <w:trHeight w:val="525"/>
        </w:trPr>
        <w:tc>
          <w:tcPr>
            <w:tcW w:w="701" w:type="pct"/>
            <w:shd w:val="clear" w:color="auto" w:fill="auto"/>
            <w:noWrap/>
            <w:vAlign w:val="center"/>
            <w:hideMark/>
          </w:tcPr>
          <w:p w14:paraId="0CFC049E" w14:textId="77777777" w:rsidR="00596866" w:rsidRPr="008E2202" w:rsidRDefault="00596866" w:rsidP="005F3D43">
            <w:pPr>
              <w:spacing w:after="0" w:line="240" w:lineRule="auto"/>
              <w:jc w:val="center"/>
              <w:rPr>
                <w:rFonts w:ascii="Wingdings 3" w:eastAsia="Times New Roman" w:hAnsi="Wingdings 3" w:cs="Arial"/>
                <w:color w:val="000000"/>
                <w:sz w:val="44"/>
                <w:szCs w:val="44"/>
              </w:rPr>
            </w:pPr>
            <w:r w:rsidRPr="008E2202">
              <w:rPr>
                <w:rFonts w:ascii="Wingdings 3" w:eastAsia="Times New Roman" w:hAnsi="Wingdings 3" w:cs="Arial"/>
                <w:color w:val="000000"/>
                <w:sz w:val="44"/>
                <w:szCs w:val="44"/>
              </w:rPr>
              <w:t></w:t>
            </w:r>
          </w:p>
        </w:tc>
        <w:tc>
          <w:tcPr>
            <w:tcW w:w="548" w:type="pct"/>
            <w:shd w:val="clear" w:color="auto" w:fill="auto"/>
            <w:noWrap/>
            <w:vAlign w:val="center"/>
            <w:hideMark/>
          </w:tcPr>
          <w:p w14:paraId="3B49DA92"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Forest</w:t>
            </w:r>
          </w:p>
        </w:tc>
        <w:tc>
          <w:tcPr>
            <w:tcW w:w="615" w:type="pct"/>
            <w:shd w:val="clear" w:color="auto" w:fill="auto"/>
            <w:noWrap/>
            <w:vAlign w:val="center"/>
            <w:hideMark/>
          </w:tcPr>
          <w:p w14:paraId="1B52DD38"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Cropland</w:t>
            </w:r>
          </w:p>
        </w:tc>
        <w:tc>
          <w:tcPr>
            <w:tcW w:w="708" w:type="pct"/>
            <w:shd w:val="clear" w:color="auto" w:fill="auto"/>
            <w:noWrap/>
            <w:vAlign w:val="center"/>
            <w:hideMark/>
          </w:tcPr>
          <w:p w14:paraId="54FD8070"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Grassland</w:t>
            </w:r>
          </w:p>
        </w:tc>
        <w:tc>
          <w:tcPr>
            <w:tcW w:w="598" w:type="pct"/>
            <w:shd w:val="clear" w:color="auto" w:fill="auto"/>
            <w:noWrap/>
            <w:vAlign w:val="center"/>
            <w:hideMark/>
          </w:tcPr>
          <w:p w14:paraId="1C353363"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Wetland</w:t>
            </w:r>
          </w:p>
        </w:tc>
        <w:tc>
          <w:tcPr>
            <w:tcW w:w="598" w:type="pct"/>
            <w:shd w:val="clear" w:color="auto" w:fill="auto"/>
            <w:noWrap/>
            <w:vAlign w:val="center"/>
            <w:hideMark/>
          </w:tcPr>
          <w:p w14:paraId="4001299E"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Settlement</w:t>
            </w:r>
          </w:p>
        </w:tc>
        <w:tc>
          <w:tcPr>
            <w:tcW w:w="525" w:type="pct"/>
            <w:shd w:val="clear" w:color="auto" w:fill="auto"/>
            <w:noWrap/>
            <w:vAlign w:val="center"/>
            <w:hideMark/>
          </w:tcPr>
          <w:p w14:paraId="07A66546"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Other land</w:t>
            </w:r>
          </w:p>
        </w:tc>
        <w:tc>
          <w:tcPr>
            <w:tcW w:w="707" w:type="pct"/>
            <w:shd w:val="clear" w:color="auto" w:fill="auto"/>
            <w:vAlign w:val="center"/>
            <w:hideMark/>
          </w:tcPr>
          <w:p w14:paraId="1587DDDD" w14:textId="77777777" w:rsidR="00596866" w:rsidRPr="00622F40" w:rsidRDefault="00596866" w:rsidP="005F3D43">
            <w:pPr>
              <w:spacing w:after="0" w:line="240" w:lineRule="auto"/>
              <w:jc w:val="center"/>
              <w:rPr>
                <w:rFonts w:eastAsia="Times New Roman" w:cs="Arial"/>
                <w:color w:val="000000"/>
                <w:sz w:val="18"/>
                <w:szCs w:val="18"/>
              </w:rPr>
            </w:pPr>
            <w:r w:rsidRPr="00622F40">
              <w:rPr>
                <w:rFonts w:eastAsia="Times New Roman" w:cs="Arial"/>
                <w:color w:val="000000"/>
                <w:sz w:val="18"/>
                <w:szCs w:val="18"/>
              </w:rPr>
              <w:t>Initial Area</w:t>
            </w:r>
          </w:p>
        </w:tc>
      </w:tr>
      <w:tr w:rsidR="009E7904" w:rsidRPr="008E2202" w14:paraId="3E463871" w14:textId="77777777" w:rsidTr="007B27F8">
        <w:trPr>
          <w:trHeight w:val="255"/>
        </w:trPr>
        <w:tc>
          <w:tcPr>
            <w:tcW w:w="701" w:type="pct"/>
            <w:shd w:val="clear" w:color="auto" w:fill="auto"/>
            <w:noWrap/>
            <w:vAlign w:val="center"/>
            <w:hideMark/>
          </w:tcPr>
          <w:p w14:paraId="608ADDEF" w14:textId="77777777" w:rsidR="004D37C9" w:rsidRPr="00622F40" w:rsidRDefault="004D37C9" w:rsidP="004D37C9">
            <w:pPr>
              <w:spacing w:after="0" w:line="240" w:lineRule="auto"/>
              <w:rPr>
                <w:rFonts w:eastAsia="Times New Roman" w:cs="Arial"/>
                <w:color w:val="000000"/>
                <w:sz w:val="18"/>
                <w:szCs w:val="18"/>
              </w:rPr>
            </w:pPr>
            <w:r w:rsidRPr="00622F40">
              <w:rPr>
                <w:rFonts w:eastAsia="Times New Roman" w:cs="Arial"/>
                <w:color w:val="000000"/>
                <w:sz w:val="18"/>
                <w:szCs w:val="18"/>
              </w:rPr>
              <w:t>Forest</w:t>
            </w:r>
          </w:p>
        </w:tc>
        <w:tc>
          <w:tcPr>
            <w:tcW w:w="548" w:type="pct"/>
            <w:shd w:val="clear" w:color="000000" w:fill="D9D9D9"/>
            <w:noWrap/>
            <w:hideMark/>
          </w:tcPr>
          <w:p w14:paraId="4A70FA2F" w14:textId="16283252"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2,737,718</w:t>
            </w:r>
          </w:p>
        </w:tc>
        <w:tc>
          <w:tcPr>
            <w:tcW w:w="615" w:type="pct"/>
            <w:shd w:val="clear" w:color="000000" w:fill="F2F2F2"/>
            <w:noWrap/>
            <w:hideMark/>
          </w:tcPr>
          <w:p w14:paraId="6B3AA72D" w14:textId="1F1F1E6D"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601</w:t>
            </w:r>
          </w:p>
        </w:tc>
        <w:tc>
          <w:tcPr>
            <w:tcW w:w="708" w:type="pct"/>
            <w:shd w:val="clear" w:color="000000" w:fill="F2F2F2"/>
            <w:noWrap/>
            <w:hideMark/>
          </w:tcPr>
          <w:p w14:paraId="442C5BD7" w14:textId="07DF0824"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131</w:t>
            </w:r>
          </w:p>
        </w:tc>
        <w:tc>
          <w:tcPr>
            <w:tcW w:w="598" w:type="pct"/>
            <w:shd w:val="clear" w:color="000000" w:fill="F2F2F2"/>
            <w:noWrap/>
            <w:hideMark/>
          </w:tcPr>
          <w:p w14:paraId="74CC0F8F" w14:textId="12480251"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688</w:t>
            </w:r>
          </w:p>
        </w:tc>
        <w:tc>
          <w:tcPr>
            <w:tcW w:w="598" w:type="pct"/>
            <w:shd w:val="clear" w:color="000000" w:fill="F2F2F2"/>
            <w:noWrap/>
            <w:hideMark/>
          </w:tcPr>
          <w:p w14:paraId="537DD397" w14:textId="6F8DA637"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4,082</w:t>
            </w:r>
          </w:p>
        </w:tc>
        <w:tc>
          <w:tcPr>
            <w:tcW w:w="525" w:type="pct"/>
            <w:shd w:val="clear" w:color="000000" w:fill="F2F2F2"/>
            <w:noWrap/>
            <w:hideMark/>
          </w:tcPr>
          <w:p w14:paraId="1D2B1E66" w14:textId="282E8ACC"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2,240</w:t>
            </w:r>
          </w:p>
        </w:tc>
        <w:tc>
          <w:tcPr>
            <w:tcW w:w="707" w:type="pct"/>
            <w:shd w:val="clear" w:color="000000" w:fill="A6A6A6"/>
            <w:noWrap/>
            <w:hideMark/>
          </w:tcPr>
          <w:p w14:paraId="1A3A0107" w14:textId="1C8F8B41" w:rsidR="004D37C9" w:rsidRPr="00622F40" w:rsidRDefault="004D37C9" w:rsidP="004D37C9">
            <w:pPr>
              <w:spacing w:after="0" w:line="240" w:lineRule="auto"/>
              <w:jc w:val="center"/>
              <w:rPr>
                <w:rFonts w:eastAsia="Times New Roman" w:cs="Arial"/>
                <w:sz w:val="18"/>
                <w:szCs w:val="18"/>
              </w:rPr>
            </w:pPr>
            <w:r w:rsidRPr="00622F40">
              <w:rPr>
                <w:sz w:val="18"/>
                <w:szCs w:val="18"/>
              </w:rPr>
              <w:t>2,745,460</w:t>
            </w:r>
          </w:p>
        </w:tc>
      </w:tr>
      <w:tr w:rsidR="009E7904" w:rsidRPr="008E2202" w14:paraId="1F3D466B" w14:textId="77777777" w:rsidTr="007B27F8">
        <w:trPr>
          <w:trHeight w:val="255"/>
        </w:trPr>
        <w:tc>
          <w:tcPr>
            <w:tcW w:w="701" w:type="pct"/>
            <w:shd w:val="clear" w:color="auto" w:fill="auto"/>
            <w:noWrap/>
            <w:vAlign w:val="center"/>
            <w:hideMark/>
          </w:tcPr>
          <w:p w14:paraId="26F02B28" w14:textId="77777777" w:rsidR="004D37C9" w:rsidRPr="00622F40" w:rsidRDefault="004D37C9" w:rsidP="004D37C9">
            <w:pPr>
              <w:spacing w:after="0" w:line="240" w:lineRule="auto"/>
              <w:rPr>
                <w:rFonts w:eastAsia="Times New Roman" w:cs="Arial"/>
                <w:color w:val="000000"/>
                <w:sz w:val="18"/>
                <w:szCs w:val="18"/>
              </w:rPr>
            </w:pPr>
            <w:r w:rsidRPr="00622F40">
              <w:rPr>
                <w:rFonts w:eastAsia="Times New Roman" w:cs="Arial"/>
                <w:color w:val="000000"/>
                <w:sz w:val="18"/>
                <w:szCs w:val="18"/>
              </w:rPr>
              <w:t>Cropland</w:t>
            </w:r>
          </w:p>
        </w:tc>
        <w:tc>
          <w:tcPr>
            <w:tcW w:w="548" w:type="pct"/>
            <w:shd w:val="clear" w:color="000000" w:fill="F2F2F2"/>
            <w:noWrap/>
            <w:hideMark/>
          </w:tcPr>
          <w:p w14:paraId="66B46AC8" w14:textId="49DDF99B"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3,142</w:t>
            </w:r>
          </w:p>
        </w:tc>
        <w:tc>
          <w:tcPr>
            <w:tcW w:w="615" w:type="pct"/>
            <w:shd w:val="clear" w:color="000000" w:fill="D9D9D9"/>
            <w:noWrap/>
            <w:hideMark/>
          </w:tcPr>
          <w:p w14:paraId="32715EE9" w14:textId="63BD839A"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3,228,240</w:t>
            </w:r>
          </w:p>
        </w:tc>
        <w:tc>
          <w:tcPr>
            <w:tcW w:w="708" w:type="pct"/>
            <w:shd w:val="clear" w:color="000000" w:fill="F2F2F2"/>
            <w:noWrap/>
            <w:hideMark/>
          </w:tcPr>
          <w:p w14:paraId="4252EBD5" w14:textId="786E920B"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3,967</w:t>
            </w:r>
          </w:p>
        </w:tc>
        <w:tc>
          <w:tcPr>
            <w:tcW w:w="598" w:type="pct"/>
            <w:shd w:val="clear" w:color="000000" w:fill="F2F2F2"/>
            <w:noWrap/>
            <w:hideMark/>
          </w:tcPr>
          <w:p w14:paraId="022E2665" w14:textId="44E5ADCD"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1,171</w:t>
            </w:r>
          </w:p>
        </w:tc>
        <w:tc>
          <w:tcPr>
            <w:tcW w:w="598" w:type="pct"/>
            <w:shd w:val="clear" w:color="000000" w:fill="F2F2F2"/>
            <w:noWrap/>
            <w:hideMark/>
          </w:tcPr>
          <w:p w14:paraId="3F83A644" w14:textId="3A496A6A"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7,980</w:t>
            </w:r>
          </w:p>
        </w:tc>
        <w:tc>
          <w:tcPr>
            <w:tcW w:w="525" w:type="pct"/>
            <w:shd w:val="clear" w:color="000000" w:fill="F2F2F2"/>
            <w:noWrap/>
            <w:hideMark/>
          </w:tcPr>
          <w:p w14:paraId="388E53AD" w14:textId="2D842F4A"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0</w:t>
            </w:r>
          </w:p>
        </w:tc>
        <w:tc>
          <w:tcPr>
            <w:tcW w:w="707" w:type="pct"/>
            <w:shd w:val="clear" w:color="000000" w:fill="A6A6A6"/>
            <w:noWrap/>
            <w:hideMark/>
          </w:tcPr>
          <w:p w14:paraId="472CDD94" w14:textId="4316E800" w:rsidR="004D37C9" w:rsidRPr="00622F40" w:rsidRDefault="004D37C9" w:rsidP="004D37C9">
            <w:pPr>
              <w:spacing w:after="0" w:line="240" w:lineRule="auto"/>
              <w:jc w:val="center"/>
              <w:rPr>
                <w:rFonts w:eastAsia="Times New Roman" w:cs="Arial"/>
                <w:sz w:val="18"/>
                <w:szCs w:val="18"/>
              </w:rPr>
            </w:pPr>
            <w:r w:rsidRPr="00622F40">
              <w:rPr>
                <w:sz w:val="18"/>
                <w:szCs w:val="18"/>
              </w:rPr>
              <w:t>3,244,500</w:t>
            </w:r>
          </w:p>
        </w:tc>
      </w:tr>
      <w:tr w:rsidR="009E7904" w:rsidRPr="008E2202" w14:paraId="26558199" w14:textId="77777777" w:rsidTr="007B27F8">
        <w:trPr>
          <w:trHeight w:val="255"/>
        </w:trPr>
        <w:tc>
          <w:tcPr>
            <w:tcW w:w="701" w:type="pct"/>
            <w:shd w:val="clear" w:color="auto" w:fill="auto"/>
            <w:noWrap/>
            <w:vAlign w:val="bottom"/>
            <w:hideMark/>
          </w:tcPr>
          <w:p w14:paraId="0CC32D92" w14:textId="77777777" w:rsidR="004D37C9" w:rsidRPr="00622F40" w:rsidRDefault="004D37C9" w:rsidP="004D37C9">
            <w:pPr>
              <w:spacing w:after="0" w:line="240" w:lineRule="auto"/>
              <w:rPr>
                <w:rFonts w:eastAsia="Times New Roman" w:cs="Arial"/>
                <w:color w:val="000000"/>
                <w:sz w:val="18"/>
                <w:szCs w:val="18"/>
              </w:rPr>
            </w:pPr>
            <w:r w:rsidRPr="00622F40">
              <w:rPr>
                <w:rFonts w:eastAsia="Times New Roman" w:cs="Arial"/>
                <w:color w:val="000000"/>
                <w:sz w:val="18"/>
                <w:szCs w:val="18"/>
              </w:rPr>
              <w:t>Grassland</w:t>
            </w:r>
          </w:p>
        </w:tc>
        <w:tc>
          <w:tcPr>
            <w:tcW w:w="548" w:type="pct"/>
            <w:shd w:val="clear" w:color="000000" w:fill="F2F2F2"/>
            <w:noWrap/>
            <w:hideMark/>
          </w:tcPr>
          <w:p w14:paraId="36B80472" w14:textId="60CF11BA"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2,445</w:t>
            </w:r>
          </w:p>
        </w:tc>
        <w:tc>
          <w:tcPr>
            <w:tcW w:w="615" w:type="pct"/>
            <w:shd w:val="clear" w:color="000000" w:fill="F2F2F2"/>
            <w:noWrap/>
            <w:hideMark/>
          </w:tcPr>
          <w:p w14:paraId="4C8F4B0D" w14:textId="02E80296"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8,270</w:t>
            </w:r>
          </w:p>
        </w:tc>
        <w:tc>
          <w:tcPr>
            <w:tcW w:w="708" w:type="pct"/>
            <w:shd w:val="clear" w:color="000000" w:fill="D9D9D9"/>
            <w:noWrap/>
            <w:hideMark/>
          </w:tcPr>
          <w:p w14:paraId="303F100F" w14:textId="19B7EB31"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1,349,320</w:t>
            </w:r>
          </w:p>
        </w:tc>
        <w:tc>
          <w:tcPr>
            <w:tcW w:w="598" w:type="pct"/>
            <w:shd w:val="clear" w:color="000000" w:fill="F2F2F2"/>
            <w:noWrap/>
            <w:hideMark/>
          </w:tcPr>
          <w:p w14:paraId="7E57DD39" w14:textId="3FC68135"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1,760</w:t>
            </w:r>
          </w:p>
        </w:tc>
        <w:tc>
          <w:tcPr>
            <w:tcW w:w="598" w:type="pct"/>
            <w:shd w:val="clear" w:color="000000" w:fill="F2F2F2"/>
            <w:noWrap/>
            <w:hideMark/>
          </w:tcPr>
          <w:p w14:paraId="0BCEC261" w14:textId="3D57A6E5"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2,092</w:t>
            </w:r>
          </w:p>
        </w:tc>
        <w:tc>
          <w:tcPr>
            <w:tcW w:w="525" w:type="pct"/>
            <w:shd w:val="clear" w:color="000000" w:fill="F2F2F2"/>
            <w:noWrap/>
            <w:hideMark/>
          </w:tcPr>
          <w:p w14:paraId="1603C1A8" w14:textId="66AA7475"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0</w:t>
            </w:r>
          </w:p>
        </w:tc>
        <w:tc>
          <w:tcPr>
            <w:tcW w:w="707" w:type="pct"/>
            <w:shd w:val="clear" w:color="000000" w:fill="A6A6A6"/>
            <w:noWrap/>
            <w:hideMark/>
          </w:tcPr>
          <w:p w14:paraId="29290946" w14:textId="3442A178" w:rsidR="004D37C9" w:rsidRPr="00622F40" w:rsidRDefault="004D37C9" w:rsidP="004D37C9">
            <w:pPr>
              <w:spacing w:after="0" w:line="240" w:lineRule="auto"/>
              <w:jc w:val="center"/>
              <w:rPr>
                <w:rFonts w:eastAsia="Times New Roman" w:cs="Arial"/>
                <w:sz w:val="18"/>
                <w:szCs w:val="18"/>
              </w:rPr>
            </w:pPr>
            <w:r w:rsidRPr="00622F40">
              <w:rPr>
                <w:sz w:val="18"/>
                <w:szCs w:val="18"/>
              </w:rPr>
              <w:t>1,363,886</w:t>
            </w:r>
          </w:p>
        </w:tc>
      </w:tr>
      <w:tr w:rsidR="009E7904" w:rsidRPr="008E2202" w14:paraId="24C34120" w14:textId="77777777" w:rsidTr="007B27F8">
        <w:trPr>
          <w:trHeight w:val="255"/>
        </w:trPr>
        <w:tc>
          <w:tcPr>
            <w:tcW w:w="701" w:type="pct"/>
            <w:shd w:val="clear" w:color="auto" w:fill="auto"/>
            <w:noWrap/>
            <w:vAlign w:val="center"/>
            <w:hideMark/>
          </w:tcPr>
          <w:p w14:paraId="395982C7" w14:textId="77777777" w:rsidR="004D37C9" w:rsidRPr="00622F40" w:rsidRDefault="004D37C9" w:rsidP="004D37C9">
            <w:pPr>
              <w:spacing w:after="0" w:line="240" w:lineRule="auto"/>
              <w:rPr>
                <w:rFonts w:eastAsia="Times New Roman" w:cs="Arial"/>
                <w:color w:val="000000"/>
                <w:sz w:val="18"/>
                <w:szCs w:val="18"/>
              </w:rPr>
            </w:pPr>
            <w:r w:rsidRPr="00622F40">
              <w:rPr>
                <w:rFonts w:eastAsia="Times New Roman" w:cs="Arial"/>
                <w:color w:val="000000"/>
                <w:sz w:val="18"/>
                <w:szCs w:val="18"/>
              </w:rPr>
              <w:t>Wetland</w:t>
            </w:r>
          </w:p>
        </w:tc>
        <w:tc>
          <w:tcPr>
            <w:tcW w:w="548" w:type="pct"/>
            <w:shd w:val="clear" w:color="000000" w:fill="F2F2F2"/>
            <w:noWrap/>
            <w:hideMark/>
          </w:tcPr>
          <w:p w14:paraId="39FAEEF9" w14:textId="7B3940D2"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1,801</w:t>
            </w:r>
          </w:p>
        </w:tc>
        <w:tc>
          <w:tcPr>
            <w:tcW w:w="615" w:type="pct"/>
            <w:shd w:val="clear" w:color="000000" w:fill="F2F2F2"/>
            <w:noWrap/>
            <w:hideMark/>
          </w:tcPr>
          <w:p w14:paraId="6AAEA8C3" w14:textId="5E78BC63"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489</w:t>
            </w:r>
          </w:p>
        </w:tc>
        <w:tc>
          <w:tcPr>
            <w:tcW w:w="708" w:type="pct"/>
            <w:shd w:val="clear" w:color="000000" w:fill="F2F2F2"/>
            <w:noWrap/>
            <w:hideMark/>
          </w:tcPr>
          <w:p w14:paraId="498D26AB" w14:textId="58E004CB"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534</w:t>
            </w:r>
          </w:p>
        </w:tc>
        <w:tc>
          <w:tcPr>
            <w:tcW w:w="598" w:type="pct"/>
            <w:shd w:val="clear" w:color="000000" w:fill="D9D9D9"/>
            <w:noWrap/>
            <w:hideMark/>
          </w:tcPr>
          <w:p w14:paraId="47114231" w14:textId="2524CFFE"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123,906</w:t>
            </w:r>
          </w:p>
        </w:tc>
        <w:tc>
          <w:tcPr>
            <w:tcW w:w="598" w:type="pct"/>
            <w:shd w:val="clear" w:color="000000" w:fill="F2F2F2"/>
            <w:noWrap/>
            <w:hideMark/>
          </w:tcPr>
          <w:p w14:paraId="7C2523FE" w14:textId="104BFA80"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139</w:t>
            </w:r>
          </w:p>
        </w:tc>
        <w:tc>
          <w:tcPr>
            <w:tcW w:w="525" w:type="pct"/>
            <w:shd w:val="clear" w:color="000000" w:fill="F2F2F2"/>
            <w:noWrap/>
            <w:hideMark/>
          </w:tcPr>
          <w:p w14:paraId="37E2D171" w14:textId="4DD5AEF4"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0</w:t>
            </w:r>
          </w:p>
        </w:tc>
        <w:tc>
          <w:tcPr>
            <w:tcW w:w="707" w:type="pct"/>
            <w:shd w:val="clear" w:color="000000" w:fill="A6A6A6"/>
            <w:noWrap/>
            <w:hideMark/>
          </w:tcPr>
          <w:p w14:paraId="1389B3CB" w14:textId="19A5B829" w:rsidR="004D37C9" w:rsidRPr="00622F40" w:rsidRDefault="004D37C9" w:rsidP="004D37C9">
            <w:pPr>
              <w:spacing w:after="0" w:line="240" w:lineRule="auto"/>
              <w:jc w:val="center"/>
              <w:rPr>
                <w:rFonts w:eastAsia="Times New Roman" w:cs="Arial"/>
                <w:sz w:val="18"/>
                <w:szCs w:val="18"/>
              </w:rPr>
            </w:pPr>
            <w:r w:rsidRPr="00622F40">
              <w:rPr>
                <w:sz w:val="18"/>
                <w:szCs w:val="18"/>
              </w:rPr>
              <w:t>126,870</w:t>
            </w:r>
          </w:p>
        </w:tc>
      </w:tr>
      <w:tr w:rsidR="009E7904" w:rsidRPr="008E2202" w14:paraId="4988952E" w14:textId="77777777" w:rsidTr="007B27F8">
        <w:trPr>
          <w:trHeight w:val="255"/>
        </w:trPr>
        <w:tc>
          <w:tcPr>
            <w:tcW w:w="701" w:type="pct"/>
            <w:shd w:val="clear" w:color="auto" w:fill="auto"/>
            <w:noWrap/>
            <w:vAlign w:val="center"/>
            <w:hideMark/>
          </w:tcPr>
          <w:p w14:paraId="71A61BF3" w14:textId="77777777" w:rsidR="004D37C9" w:rsidRPr="00622F40" w:rsidRDefault="004D37C9" w:rsidP="004D37C9">
            <w:pPr>
              <w:spacing w:after="0" w:line="240" w:lineRule="auto"/>
              <w:rPr>
                <w:rFonts w:eastAsia="Times New Roman" w:cs="Arial"/>
                <w:color w:val="000000"/>
                <w:sz w:val="18"/>
                <w:szCs w:val="18"/>
              </w:rPr>
            </w:pPr>
            <w:r w:rsidRPr="00622F40">
              <w:rPr>
                <w:rFonts w:eastAsia="Times New Roman" w:cs="Arial"/>
                <w:color w:val="000000"/>
                <w:sz w:val="18"/>
                <w:szCs w:val="18"/>
              </w:rPr>
              <w:t>Settlement</w:t>
            </w:r>
          </w:p>
        </w:tc>
        <w:tc>
          <w:tcPr>
            <w:tcW w:w="548" w:type="pct"/>
            <w:shd w:val="clear" w:color="000000" w:fill="F2F2F2"/>
            <w:noWrap/>
            <w:hideMark/>
          </w:tcPr>
          <w:p w14:paraId="0C8B2361" w14:textId="0596B77E"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3,142</w:t>
            </w:r>
          </w:p>
        </w:tc>
        <w:tc>
          <w:tcPr>
            <w:tcW w:w="615" w:type="pct"/>
            <w:shd w:val="clear" w:color="000000" w:fill="F2F2F2"/>
            <w:noWrap/>
            <w:hideMark/>
          </w:tcPr>
          <w:p w14:paraId="50D8FB82" w14:textId="020A11E7"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131</w:t>
            </w:r>
          </w:p>
        </w:tc>
        <w:tc>
          <w:tcPr>
            <w:tcW w:w="708" w:type="pct"/>
            <w:shd w:val="clear" w:color="000000" w:fill="F2F2F2"/>
            <w:noWrap/>
            <w:hideMark/>
          </w:tcPr>
          <w:p w14:paraId="2F3577B4" w14:textId="575D7613"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536</w:t>
            </w:r>
          </w:p>
        </w:tc>
        <w:tc>
          <w:tcPr>
            <w:tcW w:w="598" w:type="pct"/>
            <w:shd w:val="clear" w:color="000000" w:fill="F2F2F2"/>
            <w:noWrap/>
            <w:hideMark/>
          </w:tcPr>
          <w:p w14:paraId="313E0730" w14:textId="3787A8B9"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150</w:t>
            </w:r>
          </w:p>
        </w:tc>
        <w:tc>
          <w:tcPr>
            <w:tcW w:w="598" w:type="pct"/>
            <w:shd w:val="clear" w:color="000000" w:fill="D9D9D9"/>
            <w:noWrap/>
            <w:hideMark/>
          </w:tcPr>
          <w:p w14:paraId="33A68B43" w14:textId="6A608850"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251,217</w:t>
            </w:r>
          </w:p>
        </w:tc>
        <w:tc>
          <w:tcPr>
            <w:tcW w:w="525" w:type="pct"/>
            <w:shd w:val="clear" w:color="000000" w:fill="F2F2F2"/>
            <w:noWrap/>
            <w:hideMark/>
          </w:tcPr>
          <w:p w14:paraId="1739667B" w14:textId="145A4D5E"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0</w:t>
            </w:r>
          </w:p>
        </w:tc>
        <w:tc>
          <w:tcPr>
            <w:tcW w:w="707" w:type="pct"/>
            <w:shd w:val="clear" w:color="000000" w:fill="A6A6A6"/>
            <w:noWrap/>
            <w:hideMark/>
          </w:tcPr>
          <w:p w14:paraId="101D27B2" w14:textId="6756BCA1" w:rsidR="004D37C9" w:rsidRPr="00622F40" w:rsidRDefault="004D37C9" w:rsidP="004D37C9">
            <w:pPr>
              <w:spacing w:after="0" w:line="240" w:lineRule="auto"/>
              <w:jc w:val="center"/>
              <w:rPr>
                <w:rFonts w:eastAsia="Times New Roman" w:cs="Arial"/>
                <w:sz w:val="18"/>
                <w:szCs w:val="18"/>
              </w:rPr>
            </w:pPr>
            <w:r w:rsidRPr="00622F40">
              <w:rPr>
                <w:sz w:val="18"/>
                <w:szCs w:val="18"/>
              </w:rPr>
              <w:t>255,177</w:t>
            </w:r>
          </w:p>
        </w:tc>
      </w:tr>
      <w:tr w:rsidR="009E7904" w:rsidRPr="008E2202" w14:paraId="4700ACF5" w14:textId="77777777" w:rsidTr="007B27F8">
        <w:trPr>
          <w:trHeight w:val="255"/>
        </w:trPr>
        <w:tc>
          <w:tcPr>
            <w:tcW w:w="701" w:type="pct"/>
            <w:shd w:val="clear" w:color="auto" w:fill="auto"/>
            <w:noWrap/>
            <w:vAlign w:val="center"/>
            <w:hideMark/>
          </w:tcPr>
          <w:p w14:paraId="17CFE46C" w14:textId="77777777" w:rsidR="004D37C9" w:rsidRPr="00622F40" w:rsidRDefault="004D37C9" w:rsidP="004D37C9">
            <w:pPr>
              <w:spacing w:after="0" w:line="240" w:lineRule="auto"/>
              <w:rPr>
                <w:rFonts w:eastAsia="Times New Roman" w:cs="Arial"/>
                <w:color w:val="000000"/>
                <w:sz w:val="18"/>
                <w:szCs w:val="18"/>
              </w:rPr>
            </w:pPr>
            <w:r w:rsidRPr="00622F40">
              <w:rPr>
                <w:rFonts w:eastAsia="Times New Roman" w:cs="Arial"/>
                <w:color w:val="000000"/>
                <w:sz w:val="18"/>
                <w:szCs w:val="18"/>
              </w:rPr>
              <w:t>Other land</w:t>
            </w:r>
          </w:p>
        </w:tc>
        <w:tc>
          <w:tcPr>
            <w:tcW w:w="548" w:type="pct"/>
            <w:shd w:val="clear" w:color="000000" w:fill="F2F2F2"/>
            <w:noWrap/>
            <w:hideMark/>
          </w:tcPr>
          <w:p w14:paraId="1D7ACD7E" w14:textId="058F5026"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1,066</w:t>
            </w:r>
          </w:p>
        </w:tc>
        <w:tc>
          <w:tcPr>
            <w:tcW w:w="615" w:type="pct"/>
            <w:shd w:val="clear" w:color="000000" w:fill="F2F2F2"/>
            <w:noWrap/>
            <w:hideMark/>
          </w:tcPr>
          <w:p w14:paraId="0B2A0E7A" w14:textId="6602653E"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0</w:t>
            </w:r>
          </w:p>
        </w:tc>
        <w:tc>
          <w:tcPr>
            <w:tcW w:w="708" w:type="pct"/>
            <w:shd w:val="clear" w:color="000000" w:fill="F2F2F2"/>
            <w:noWrap/>
            <w:hideMark/>
          </w:tcPr>
          <w:p w14:paraId="677A1E88" w14:textId="04F2F882"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0</w:t>
            </w:r>
          </w:p>
        </w:tc>
        <w:tc>
          <w:tcPr>
            <w:tcW w:w="598" w:type="pct"/>
            <w:shd w:val="clear" w:color="000000" w:fill="F2F2F2"/>
            <w:noWrap/>
            <w:hideMark/>
          </w:tcPr>
          <w:p w14:paraId="52F23ACC" w14:textId="783445CD"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77</w:t>
            </w:r>
          </w:p>
        </w:tc>
        <w:tc>
          <w:tcPr>
            <w:tcW w:w="598" w:type="pct"/>
            <w:shd w:val="clear" w:color="000000" w:fill="F2F2F2"/>
            <w:noWrap/>
            <w:hideMark/>
          </w:tcPr>
          <w:p w14:paraId="31C67376" w14:textId="0866BA9E"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0</w:t>
            </w:r>
          </w:p>
        </w:tc>
        <w:tc>
          <w:tcPr>
            <w:tcW w:w="525" w:type="pct"/>
            <w:shd w:val="clear" w:color="000000" w:fill="D9D9D9"/>
            <w:noWrap/>
            <w:hideMark/>
          </w:tcPr>
          <w:p w14:paraId="2548370F" w14:textId="6811FDA9" w:rsidR="004D37C9" w:rsidRPr="00622F40" w:rsidRDefault="004D37C9" w:rsidP="004D37C9">
            <w:pPr>
              <w:spacing w:after="0" w:line="240" w:lineRule="auto"/>
              <w:jc w:val="center"/>
              <w:rPr>
                <w:rFonts w:eastAsia="Times New Roman" w:cs="Arial"/>
                <w:color w:val="000000"/>
                <w:sz w:val="18"/>
                <w:szCs w:val="18"/>
              </w:rPr>
            </w:pPr>
            <w:r w:rsidRPr="00622F40">
              <w:rPr>
                <w:sz w:val="18"/>
                <w:szCs w:val="18"/>
              </w:rPr>
              <w:t>20,079</w:t>
            </w:r>
          </w:p>
        </w:tc>
        <w:tc>
          <w:tcPr>
            <w:tcW w:w="707" w:type="pct"/>
            <w:shd w:val="clear" w:color="000000" w:fill="A6A6A6"/>
            <w:noWrap/>
            <w:hideMark/>
          </w:tcPr>
          <w:p w14:paraId="5E74EEF9" w14:textId="153D3A6D" w:rsidR="004D37C9" w:rsidRPr="00622F40" w:rsidRDefault="004D37C9" w:rsidP="004D37C9">
            <w:pPr>
              <w:spacing w:after="0" w:line="240" w:lineRule="auto"/>
              <w:jc w:val="center"/>
              <w:rPr>
                <w:rFonts w:eastAsia="Times New Roman" w:cs="Arial"/>
                <w:sz w:val="18"/>
                <w:szCs w:val="18"/>
              </w:rPr>
            </w:pPr>
            <w:r w:rsidRPr="00622F40">
              <w:rPr>
                <w:sz w:val="18"/>
                <w:szCs w:val="18"/>
              </w:rPr>
              <w:t>21,222</w:t>
            </w:r>
          </w:p>
        </w:tc>
      </w:tr>
      <w:tr w:rsidR="009E7904" w:rsidRPr="008E2202" w14:paraId="19CDE33D" w14:textId="77777777" w:rsidTr="007B27F8">
        <w:trPr>
          <w:trHeight w:val="255"/>
        </w:trPr>
        <w:tc>
          <w:tcPr>
            <w:tcW w:w="701" w:type="pct"/>
            <w:shd w:val="clear" w:color="auto" w:fill="auto"/>
            <w:noWrap/>
            <w:vAlign w:val="center"/>
            <w:hideMark/>
          </w:tcPr>
          <w:p w14:paraId="7FF81F6C" w14:textId="77777777" w:rsidR="004D37C9" w:rsidRPr="00622F40" w:rsidRDefault="004D37C9" w:rsidP="004D37C9">
            <w:pPr>
              <w:spacing w:after="0" w:line="240" w:lineRule="auto"/>
              <w:rPr>
                <w:rFonts w:eastAsia="Times New Roman" w:cs="Arial"/>
                <w:color w:val="000000"/>
                <w:sz w:val="18"/>
                <w:szCs w:val="18"/>
              </w:rPr>
            </w:pPr>
            <w:r w:rsidRPr="00622F40">
              <w:rPr>
                <w:rFonts w:eastAsia="Times New Roman" w:cs="Arial"/>
                <w:color w:val="000000"/>
                <w:sz w:val="18"/>
                <w:szCs w:val="18"/>
              </w:rPr>
              <w:t>Final Area</w:t>
            </w:r>
          </w:p>
        </w:tc>
        <w:tc>
          <w:tcPr>
            <w:tcW w:w="548" w:type="pct"/>
            <w:shd w:val="clear" w:color="000000" w:fill="A6A6A6"/>
            <w:noWrap/>
            <w:hideMark/>
          </w:tcPr>
          <w:p w14:paraId="6CDA6C11" w14:textId="68F72F01" w:rsidR="004D37C9" w:rsidRPr="00622F40" w:rsidRDefault="004D37C9" w:rsidP="004D37C9">
            <w:pPr>
              <w:spacing w:after="0" w:line="240" w:lineRule="auto"/>
              <w:jc w:val="center"/>
              <w:rPr>
                <w:rFonts w:eastAsia="Times New Roman" w:cs="Arial"/>
                <w:sz w:val="18"/>
                <w:szCs w:val="18"/>
              </w:rPr>
            </w:pPr>
            <w:r w:rsidRPr="00622F40">
              <w:rPr>
                <w:sz w:val="18"/>
                <w:szCs w:val="18"/>
              </w:rPr>
              <w:t>2,749,314</w:t>
            </w:r>
          </w:p>
        </w:tc>
        <w:tc>
          <w:tcPr>
            <w:tcW w:w="615" w:type="pct"/>
            <w:shd w:val="clear" w:color="000000" w:fill="A6A6A6"/>
            <w:noWrap/>
            <w:hideMark/>
          </w:tcPr>
          <w:p w14:paraId="1270AF81" w14:textId="6DD3172C" w:rsidR="004D37C9" w:rsidRPr="00622F40" w:rsidRDefault="004D37C9" w:rsidP="004D37C9">
            <w:pPr>
              <w:spacing w:after="0" w:line="240" w:lineRule="auto"/>
              <w:jc w:val="center"/>
              <w:rPr>
                <w:rFonts w:eastAsia="Times New Roman" w:cs="Arial"/>
                <w:sz w:val="18"/>
                <w:szCs w:val="18"/>
              </w:rPr>
            </w:pPr>
            <w:r w:rsidRPr="00622F40">
              <w:rPr>
                <w:sz w:val="18"/>
                <w:szCs w:val="18"/>
              </w:rPr>
              <w:t>3,237,732</w:t>
            </w:r>
          </w:p>
        </w:tc>
        <w:tc>
          <w:tcPr>
            <w:tcW w:w="708" w:type="pct"/>
            <w:shd w:val="clear" w:color="000000" w:fill="A6A6A6"/>
            <w:noWrap/>
            <w:hideMark/>
          </w:tcPr>
          <w:p w14:paraId="0809ADED" w14:textId="562CDCB5" w:rsidR="004D37C9" w:rsidRPr="00622F40" w:rsidRDefault="004D37C9" w:rsidP="004D37C9">
            <w:pPr>
              <w:spacing w:after="0" w:line="240" w:lineRule="auto"/>
              <w:jc w:val="center"/>
              <w:rPr>
                <w:rFonts w:eastAsia="Times New Roman" w:cs="Arial"/>
                <w:sz w:val="18"/>
                <w:szCs w:val="18"/>
              </w:rPr>
            </w:pPr>
            <w:r w:rsidRPr="00622F40">
              <w:rPr>
                <w:sz w:val="18"/>
                <w:szCs w:val="18"/>
              </w:rPr>
              <w:t>1,354,488</w:t>
            </w:r>
          </w:p>
        </w:tc>
        <w:tc>
          <w:tcPr>
            <w:tcW w:w="598" w:type="pct"/>
            <w:shd w:val="clear" w:color="000000" w:fill="A6A6A6"/>
            <w:noWrap/>
            <w:hideMark/>
          </w:tcPr>
          <w:p w14:paraId="76620A34" w14:textId="121BF0FC" w:rsidR="004D37C9" w:rsidRPr="00622F40" w:rsidRDefault="004D37C9" w:rsidP="004D37C9">
            <w:pPr>
              <w:spacing w:after="0" w:line="240" w:lineRule="auto"/>
              <w:jc w:val="center"/>
              <w:rPr>
                <w:rFonts w:eastAsia="Times New Roman" w:cs="Arial"/>
                <w:sz w:val="18"/>
                <w:szCs w:val="18"/>
              </w:rPr>
            </w:pPr>
            <w:r w:rsidRPr="00622F40">
              <w:rPr>
                <w:sz w:val="18"/>
                <w:szCs w:val="18"/>
              </w:rPr>
              <w:t>127,752</w:t>
            </w:r>
          </w:p>
        </w:tc>
        <w:tc>
          <w:tcPr>
            <w:tcW w:w="598" w:type="pct"/>
            <w:shd w:val="clear" w:color="000000" w:fill="A6A6A6"/>
            <w:noWrap/>
            <w:hideMark/>
          </w:tcPr>
          <w:p w14:paraId="2A2E5412" w14:textId="54F8B63B" w:rsidR="004D37C9" w:rsidRPr="00622F40" w:rsidRDefault="004D37C9" w:rsidP="004D37C9">
            <w:pPr>
              <w:spacing w:after="0" w:line="240" w:lineRule="auto"/>
              <w:jc w:val="center"/>
              <w:rPr>
                <w:rFonts w:eastAsia="Times New Roman" w:cs="Arial"/>
                <w:sz w:val="18"/>
                <w:szCs w:val="18"/>
              </w:rPr>
            </w:pPr>
            <w:r w:rsidRPr="00622F40">
              <w:rPr>
                <w:sz w:val="18"/>
                <w:szCs w:val="18"/>
              </w:rPr>
              <w:t>265,510</w:t>
            </w:r>
          </w:p>
        </w:tc>
        <w:tc>
          <w:tcPr>
            <w:tcW w:w="525" w:type="pct"/>
            <w:shd w:val="clear" w:color="000000" w:fill="A6A6A6"/>
            <w:noWrap/>
            <w:hideMark/>
          </w:tcPr>
          <w:p w14:paraId="4E5BEEA9" w14:textId="6473E899" w:rsidR="004D37C9" w:rsidRPr="00622F40" w:rsidRDefault="004D37C9" w:rsidP="004D37C9">
            <w:pPr>
              <w:spacing w:after="0" w:line="240" w:lineRule="auto"/>
              <w:jc w:val="center"/>
              <w:rPr>
                <w:rFonts w:eastAsia="Times New Roman" w:cs="Arial"/>
                <w:sz w:val="18"/>
                <w:szCs w:val="18"/>
              </w:rPr>
            </w:pPr>
            <w:r w:rsidRPr="00622F40">
              <w:rPr>
                <w:sz w:val="18"/>
                <w:szCs w:val="18"/>
              </w:rPr>
              <w:t>22,319</w:t>
            </w:r>
          </w:p>
        </w:tc>
        <w:tc>
          <w:tcPr>
            <w:tcW w:w="707" w:type="pct"/>
            <w:shd w:val="clear" w:color="000000" w:fill="A6A6A6"/>
            <w:noWrap/>
            <w:hideMark/>
          </w:tcPr>
          <w:p w14:paraId="37DFA51C" w14:textId="4DAF1664" w:rsidR="004D37C9" w:rsidRPr="00622F40" w:rsidRDefault="004D37C9" w:rsidP="004D37C9">
            <w:pPr>
              <w:spacing w:after="0" w:line="240" w:lineRule="auto"/>
              <w:jc w:val="center"/>
              <w:rPr>
                <w:rFonts w:eastAsia="Times New Roman" w:cs="Arial"/>
                <w:sz w:val="18"/>
                <w:szCs w:val="18"/>
              </w:rPr>
            </w:pPr>
            <w:r w:rsidRPr="00622F40">
              <w:rPr>
                <w:sz w:val="18"/>
                <w:szCs w:val="18"/>
              </w:rPr>
              <w:t>7,757,115</w:t>
            </w:r>
          </w:p>
        </w:tc>
      </w:tr>
    </w:tbl>
    <w:p w14:paraId="60770448" w14:textId="74E1A527" w:rsidR="007B27F8" w:rsidRDefault="007B27F8" w:rsidP="004D37C9">
      <w:pPr>
        <w:tabs>
          <w:tab w:val="left" w:pos="1383"/>
          <w:tab w:val="left" w:pos="2376"/>
          <w:tab w:val="left" w:pos="3491"/>
          <w:tab w:val="left" w:pos="4774"/>
          <w:tab w:val="left" w:pos="5858"/>
          <w:tab w:val="left" w:pos="6942"/>
          <w:tab w:val="left" w:pos="7894"/>
        </w:tabs>
        <w:spacing w:after="0" w:line="240" w:lineRule="auto"/>
        <w:ind w:left="113"/>
        <w:jc w:val="left"/>
        <w:rPr>
          <w:sz w:val="18"/>
          <w:szCs w:val="18"/>
        </w:rPr>
      </w:pPr>
    </w:p>
    <w:p w14:paraId="30C6184D" w14:textId="77777777" w:rsidR="007B27F8" w:rsidRDefault="007B27F8" w:rsidP="004D37C9">
      <w:pPr>
        <w:tabs>
          <w:tab w:val="left" w:pos="1383"/>
          <w:tab w:val="left" w:pos="2376"/>
          <w:tab w:val="left" w:pos="3491"/>
          <w:tab w:val="left" w:pos="4774"/>
          <w:tab w:val="left" w:pos="5858"/>
          <w:tab w:val="left" w:pos="6942"/>
          <w:tab w:val="left" w:pos="7894"/>
        </w:tabs>
        <w:spacing w:after="0" w:line="240" w:lineRule="auto"/>
        <w:ind w:left="113"/>
        <w:jc w:val="left"/>
        <w:rPr>
          <w:sz w:val="18"/>
          <w:szCs w:val="18"/>
        </w:rPr>
      </w:pPr>
    </w:p>
    <w:p w14:paraId="03EF7844" w14:textId="77777777" w:rsidR="007B27F8" w:rsidRDefault="007B27F8" w:rsidP="004D37C9">
      <w:pPr>
        <w:tabs>
          <w:tab w:val="left" w:pos="1383"/>
          <w:tab w:val="left" w:pos="2376"/>
          <w:tab w:val="left" w:pos="3491"/>
          <w:tab w:val="left" w:pos="4774"/>
          <w:tab w:val="left" w:pos="5858"/>
          <w:tab w:val="left" w:pos="6942"/>
          <w:tab w:val="left" w:pos="7894"/>
        </w:tabs>
        <w:spacing w:after="0" w:line="240" w:lineRule="auto"/>
        <w:ind w:left="113"/>
        <w:jc w:val="left"/>
        <w:rPr>
          <w:sz w:val="18"/>
          <w:szCs w:val="18"/>
        </w:rPr>
      </w:pPr>
    </w:p>
    <w:p w14:paraId="287BF145" w14:textId="77777777" w:rsidR="007B27F8" w:rsidRPr="00622F40" w:rsidRDefault="007B27F8" w:rsidP="004D37C9">
      <w:pPr>
        <w:tabs>
          <w:tab w:val="left" w:pos="1383"/>
          <w:tab w:val="left" w:pos="2376"/>
          <w:tab w:val="left" w:pos="3491"/>
          <w:tab w:val="left" w:pos="4774"/>
          <w:tab w:val="left" w:pos="5858"/>
          <w:tab w:val="left" w:pos="6942"/>
          <w:tab w:val="left" w:pos="7894"/>
        </w:tabs>
        <w:spacing w:after="0" w:line="240" w:lineRule="auto"/>
        <w:ind w:left="113"/>
        <w:jc w:val="left"/>
        <w:rPr>
          <w:sz w:val="18"/>
          <w:szCs w:val="18"/>
        </w:rPr>
      </w:pPr>
    </w:p>
    <w:p w14:paraId="25195E72" w14:textId="50FAC7E1" w:rsidR="005F3D43" w:rsidRPr="005F3D43" w:rsidRDefault="005F3D43" w:rsidP="005F3D43">
      <w:pPr>
        <w:pStyle w:val="Heading2"/>
        <w:rPr>
          <w:rStyle w:val="Heading2Char"/>
        </w:rPr>
      </w:pPr>
      <w:bookmarkStart w:id="848" w:name="_Toc182327954"/>
      <w:bookmarkStart w:id="849" w:name="_Toc184808296"/>
      <w:r w:rsidRPr="005F3D43">
        <w:rPr>
          <w:rStyle w:val="Heading2Char"/>
        </w:rPr>
        <w:lastRenderedPageBreak/>
        <w:t>Common elements to all land uses (</w:t>
      </w:r>
      <w:r w:rsidR="000F6001">
        <w:rPr>
          <w:rStyle w:val="Heading2Char"/>
        </w:rPr>
        <w:t>CRT</w:t>
      </w:r>
      <w:r>
        <w:rPr>
          <w:rStyle w:val="Heading2Char"/>
        </w:rPr>
        <w:t xml:space="preserve"> </w:t>
      </w:r>
      <w:r w:rsidRPr="005F3D43">
        <w:rPr>
          <w:rStyle w:val="Heading2Char"/>
        </w:rPr>
        <w:t>4)</w:t>
      </w:r>
      <w:bookmarkEnd w:id="848"/>
      <w:bookmarkEnd w:id="849"/>
    </w:p>
    <w:p w14:paraId="5948F7BB" w14:textId="77777777" w:rsidR="005F3D43" w:rsidRPr="00A76C94" w:rsidRDefault="005F3D43" w:rsidP="005F3D43">
      <w:pPr>
        <w:pStyle w:val="Heading3"/>
        <w:keepNext/>
        <w:keepLines/>
        <w:tabs>
          <w:tab w:val="clear" w:pos="142"/>
          <w:tab w:val="clear" w:pos="1134"/>
        </w:tabs>
        <w:spacing w:before="200" w:after="0" w:line="276" w:lineRule="auto"/>
        <w:jc w:val="left"/>
      </w:pPr>
      <w:bookmarkStart w:id="850" w:name="_Toc182327955"/>
      <w:bookmarkStart w:id="851" w:name="_Toc184808297"/>
      <w:r w:rsidRPr="00A76C94">
        <w:t>Carbon stock changes</w:t>
      </w:r>
      <w:bookmarkEnd w:id="850"/>
      <w:bookmarkEnd w:id="851"/>
      <w:r w:rsidRPr="00A76C94">
        <w:t xml:space="preserve"> </w:t>
      </w:r>
    </w:p>
    <w:p w14:paraId="5F54A33D" w14:textId="77777777" w:rsidR="005F3D43" w:rsidRDefault="005F3D43" w:rsidP="00AB11C1">
      <w:pPr>
        <w:pStyle w:val="ListParagraph"/>
        <w:numPr>
          <w:ilvl w:val="0"/>
          <w:numId w:val="51"/>
        </w:numPr>
        <w:jc w:val="left"/>
      </w:pPr>
      <w:r>
        <w:t>Living biomass</w:t>
      </w:r>
    </w:p>
    <w:p w14:paraId="4D0740FD" w14:textId="3BB05081" w:rsidR="005F3D43" w:rsidRDefault="005F3D43" w:rsidP="005F3D43">
      <w:r>
        <w:t>All fluxes related to living biomass are estimated by the stock-difference method on areas with land use changes (equation 2.5 of the IPCC 2006 guidelines) and by the gain-loss method on forest remaining forest (equation 2.4 of the IPCC 2006 guidelines). For all land uses but forest, on land remaining land</w:t>
      </w:r>
      <w:r w:rsidR="009F0165">
        <w:t>,</w:t>
      </w:r>
      <w:r>
        <w:t xml:space="preserve"> living biomass is assumed to be in equilibrium and gains and losses are reported as not estimated.</w:t>
      </w:r>
    </w:p>
    <w:p w14:paraId="2A54FDFB" w14:textId="77777777" w:rsidR="005F3D43" w:rsidRDefault="005F3D43" w:rsidP="005F3D43">
      <w:r>
        <w:rPr>
          <w:noProof/>
          <w:lang w:val="en-US"/>
        </w:rPr>
        <w:drawing>
          <wp:inline distT="0" distB="0" distL="0" distR="0" wp14:anchorId="5D53FDDA" wp14:editId="69C1524F">
            <wp:extent cx="5578669" cy="1616355"/>
            <wp:effectExtent l="0" t="0" r="3175" b="3175"/>
            <wp:docPr id="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srcRect/>
                    <a:stretch>
                      <a:fillRect/>
                    </a:stretch>
                  </pic:blipFill>
                  <pic:spPr bwMode="auto">
                    <a:xfrm>
                      <a:off x="0" y="0"/>
                      <a:ext cx="5595722" cy="1621296"/>
                    </a:xfrm>
                    <a:prstGeom prst="rect">
                      <a:avLst/>
                    </a:prstGeom>
                    <a:noFill/>
                    <a:ln w="9525">
                      <a:noFill/>
                      <a:miter lim="800000"/>
                      <a:headEnd/>
                      <a:tailEnd/>
                    </a:ln>
                  </pic:spPr>
                </pic:pic>
              </a:graphicData>
            </a:graphic>
          </wp:inline>
        </w:drawing>
      </w:r>
    </w:p>
    <w:p w14:paraId="19A05862" w14:textId="77777777" w:rsidR="005F3D43" w:rsidRDefault="005F3D43" w:rsidP="005F3D43">
      <w:r>
        <w:rPr>
          <w:noProof/>
          <w:lang w:val="en-US"/>
        </w:rPr>
        <w:drawing>
          <wp:inline distT="0" distB="0" distL="0" distR="0" wp14:anchorId="4AD34120" wp14:editId="6C631A99">
            <wp:extent cx="5682036" cy="2031793"/>
            <wp:effectExtent l="0" t="0" r="0" b="698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srcRect/>
                    <a:stretch>
                      <a:fillRect/>
                    </a:stretch>
                  </pic:blipFill>
                  <pic:spPr bwMode="auto">
                    <a:xfrm>
                      <a:off x="0" y="0"/>
                      <a:ext cx="5687325" cy="2033684"/>
                    </a:xfrm>
                    <a:prstGeom prst="rect">
                      <a:avLst/>
                    </a:prstGeom>
                    <a:noFill/>
                    <a:ln w="9525">
                      <a:noFill/>
                      <a:miter lim="800000"/>
                      <a:headEnd/>
                      <a:tailEnd/>
                    </a:ln>
                  </pic:spPr>
                </pic:pic>
              </a:graphicData>
            </a:graphic>
          </wp:inline>
        </w:drawing>
      </w:r>
    </w:p>
    <w:p w14:paraId="376B650B" w14:textId="7C0EF7EC" w:rsidR="005F3D43" w:rsidRDefault="005F3D43" w:rsidP="005F3D43">
      <w:r>
        <w:t xml:space="preserve">Default carbon stocks from </w:t>
      </w:r>
      <w:r w:rsidR="00683251">
        <w:t xml:space="preserve">2006 </w:t>
      </w:r>
      <w:r>
        <w:t>IPCC guidelines are used in the current inventory for living biomass.</w:t>
      </w:r>
    </w:p>
    <w:p w14:paraId="4468061B" w14:textId="3708A6D2" w:rsidR="00683251" w:rsidRDefault="00683251" w:rsidP="00683251">
      <w:pPr>
        <w:pStyle w:val="Caption"/>
        <w:keepNext/>
        <w:jc w:val="left"/>
      </w:pPr>
      <w:bookmarkStart w:id="852" w:name="_Toc184808586"/>
      <w:r>
        <w:t xml:space="preserve">Table </w:t>
      </w:r>
      <w:r>
        <w:fldChar w:fldCharType="begin"/>
      </w:r>
      <w:r>
        <w:instrText xml:space="preserve"> SEQ Table \* ARABIC </w:instrText>
      </w:r>
      <w:r>
        <w:fldChar w:fldCharType="separate"/>
      </w:r>
      <w:r>
        <w:rPr>
          <w:noProof/>
        </w:rPr>
        <w:t>43</w:t>
      </w:r>
      <w:r>
        <w:fldChar w:fldCharType="end"/>
      </w:r>
      <w:r>
        <w:t>: Default carbon stocks from 2006 IPCC guidelines</w:t>
      </w:r>
      <w:bookmarkEnd w:id="852"/>
    </w:p>
    <w:tbl>
      <w:tblPr>
        <w:tblStyle w:val="TableGrid"/>
        <w:tblW w:w="0" w:type="auto"/>
        <w:tblLook w:val="04A0" w:firstRow="1" w:lastRow="0" w:firstColumn="1" w:lastColumn="0" w:noHBand="0" w:noVBand="1"/>
      </w:tblPr>
      <w:tblGrid>
        <w:gridCol w:w="2278"/>
        <w:gridCol w:w="2297"/>
        <w:gridCol w:w="2235"/>
        <w:gridCol w:w="2252"/>
      </w:tblGrid>
      <w:tr w:rsidR="005F3D43" w:rsidRPr="0072227D" w14:paraId="027B18C0" w14:textId="77777777" w:rsidTr="00683251">
        <w:tc>
          <w:tcPr>
            <w:tcW w:w="2278" w:type="dxa"/>
            <w:shd w:val="clear" w:color="auto" w:fill="C6D9F1" w:themeFill="text2" w:themeFillTint="33"/>
          </w:tcPr>
          <w:p w14:paraId="2E102EBD" w14:textId="77777777" w:rsidR="005F3D43" w:rsidRDefault="005F3D43" w:rsidP="005F3D43"/>
        </w:tc>
        <w:tc>
          <w:tcPr>
            <w:tcW w:w="2297" w:type="dxa"/>
            <w:shd w:val="clear" w:color="auto" w:fill="C6D9F1" w:themeFill="text2" w:themeFillTint="33"/>
          </w:tcPr>
          <w:p w14:paraId="3DDDD709" w14:textId="77777777" w:rsidR="005F3D43" w:rsidRDefault="005F3D43" w:rsidP="005F3D43">
            <w:pPr>
              <w:jc w:val="center"/>
            </w:pPr>
            <w:r>
              <w:t xml:space="preserve">Aboveground Biomass (t </w:t>
            </w:r>
            <w:proofErr w:type="spellStart"/>
            <w:r>
              <w:t>d.m</w:t>
            </w:r>
            <w:proofErr w:type="spellEnd"/>
            <w:r>
              <w:t>/ha)</w:t>
            </w:r>
          </w:p>
        </w:tc>
        <w:tc>
          <w:tcPr>
            <w:tcW w:w="2235" w:type="dxa"/>
            <w:shd w:val="clear" w:color="auto" w:fill="C6D9F1" w:themeFill="text2" w:themeFillTint="33"/>
          </w:tcPr>
          <w:p w14:paraId="028F4DF6" w14:textId="77777777" w:rsidR="005F3D43" w:rsidRDefault="005F3D43" w:rsidP="005F3D43">
            <w:pPr>
              <w:jc w:val="center"/>
            </w:pPr>
            <w:r>
              <w:t>Root to shoot ratio</w:t>
            </w:r>
          </w:p>
        </w:tc>
        <w:tc>
          <w:tcPr>
            <w:tcW w:w="2252" w:type="dxa"/>
            <w:shd w:val="clear" w:color="auto" w:fill="C6D9F1" w:themeFill="text2" w:themeFillTint="33"/>
          </w:tcPr>
          <w:p w14:paraId="4EAE9A1A" w14:textId="77777777" w:rsidR="005F3D43" w:rsidRPr="006C3D85" w:rsidRDefault="005F3D43" w:rsidP="005F3D43">
            <w:pPr>
              <w:jc w:val="center"/>
              <w:rPr>
                <w:lang w:val="fr-FR"/>
              </w:rPr>
            </w:pPr>
            <w:r w:rsidRPr="006C3D85">
              <w:rPr>
                <w:lang w:val="fr-FR"/>
              </w:rPr>
              <w:t>Carbon content</w:t>
            </w:r>
          </w:p>
          <w:p w14:paraId="1B5AB915" w14:textId="77777777" w:rsidR="005F3D43" w:rsidRPr="006C3D85" w:rsidRDefault="005F3D43" w:rsidP="005F3D43">
            <w:pPr>
              <w:jc w:val="center"/>
              <w:rPr>
                <w:lang w:val="fr-FR"/>
              </w:rPr>
            </w:pPr>
            <w:r w:rsidRPr="006C3D85">
              <w:rPr>
                <w:lang w:val="fr-FR"/>
              </w:rPr>
              <w:t>(</w:t>
            </w:r>
            <w:proofErr w:type="spellStart"/>
            <w:r w:rsidRPr="006C3D85">
              <w:rPr>
                <w:lang w:val="fr-FR"/>
              </w:rPr>
              <w:t>tC</w:t>
            </w:r>
            <w:proofErr w:type="spellEnd"/>
            <w:r w:rsidRPr="006C3D85">
              <w:rPr>
                <w:lang w:val="fr-FR"/>
              </w:rPr>
              <w:t xml:space="preserve">/t </w:t>
            </w:r>
            <w:proofErr w:type="spellStart"/>
            <w:r w:rsidRPr="006C3D85">
              <w:rPr>
                <w:lang w:val="fr-FR"/>
              </w:rPr>
              <w:t>d.m</w:t>
            </w:r>
            <w:proofErr w:type="spellEnd"/>
            <w:r w:rsidRPr="006C3D85">
              <w:rPr>
                <w:lang w:val="fr-FR"/>
              </w:rPr>
              <w:t>)</w:t>
            </w:r>
          </w:p>
        </w:tc>
      </w:tr>
      <w:tr w:rsidR="005F3D43" w14:paraId="6027F126" w14:textId="77777777" w:rsidTr="00683251">
        <w:tc>
          <w:tcPr>
            <w:tcW w:w="2278" w:type="dxa"/>
          </w:tcPr>
          <w:p w14:paraId="4771211E" w14:textId="77777777" w:rsidR="005F3D43" w:rsidRDefault="005F3D43" w:rsidP="005F3D43">
            <w:r>
              <w:t>Forest</w:t>
            </w:r>
          </w:p>
        </w:tc>
        <w:tc>
          <w:tcPr>
            <w:tcW w:w="2297" w:type="dxa"/>
          </w:tcPr>
          <w:p w14:paraId="5A104B8C" w14:textId="77777777" w:rsidR="005F3D43" w:rsidRDefault="005F3D43" w:rsidP="005F3D43">
            <w:pPr>
              <w:jc w:val="center"/>
            </w:pPr>
            <w:r>
              <w:t>120</w:t>
            </w:r>
          </w:p>
        </w:tc>
        <w:tc>
          <w:tcPr>
            <w:tcW w:w="2235" w:type="dxa"/>
          </w:tcPr>
          <w:p w14:paraId="3E2F2DEC" w14:textId="77777777" w:rsidR="005F3D43" w:rsidRDefault="005F3D43" w:rsidP="005F3D43">
            <w:pPr>
              <w:jc w:val="center"/>
            </w:pPr>
            <w:r>
              <w:t>0.3</w:t>
            </w:r>
          </w:p>
        </w:tc>
        <w:tc>
          <w:tcPr>
            <w:tcW w:w="2252" w:type="dxa"/>
          </w:tcPr>
          <w:p w14:paraId="33019E70" w14:textId="77777777" w:rsidR="005F3D43" w:rsidRDefault="005F3D43" w:rsidP="005F3D43">
            <w:pPr>
              <w:jc w:val="center"/>
            </w:pPr>
            <w:r>
              <w:t>0.47</w:t>
            </w:r>
          </w:p>
        </w:tc>
      </w:tr>
      <w:tr w:rsidR="005F3D43" w14:paraId="0D18BCF1" w14:textId="77777777" w:rsidTr="00683251">
        <w:tc>
          <w:tcPr>
            <w:tcW w:w="2278" w:type="dxa"/>
          </w:tcPr>
          <w:p w14:paraId="775B1D10" w14:textId="77777777" w:rsidR="005F3D43" w:rsidRDefault="005F3D43" w:rsidP="005F3D43">
            <w:r>
              <w:t>Cropland</w:t>
            </w:r>
          </w:p>
        </w:tc>
        <w:tc>
          <w:tcPr>
            <w:tcW w:w="2297" w:type="dxa"/>
          </w:tcPr>
          <w:p w14:paraId="7D76DBFB" w14:textId="77777777" w:rsidR="005F3D43" w:rsidRDefault="005F3D43" w:rsidP="005F3D43">
            <w:pPr>
              <w:jc w:val="center"/>
            </w:pPr>
            <w:r>
              <w:t>10</w:t>
            </w:r>
          </w:p>
        </w:tc>
        <w:tc>
          <w:tcPr>
            <w:tcW w:w="2235" w:type="dxa"/>
          </w:tcPr>
          <w:p w14:paraId="53E21F0C" w14:textId="77777777" w:rsidR="005F3D43" w:rsidRDefault="005F3D43" w:rsidP="005F3D43">
            <w:pPr>
              <w:jc w:val="center"/>
            </w:pPr>
            <w:r>
              <w:t>0</w:t>
            </w:r>
          </w:p>
        </w:tc>
        <w:tc>
          <w:tcPr>
            <w:tcW w:w="2252" w:type="dxa"/>
          </w:tcPr>
          <w:p w14:paraId="24CDFABC" w14:textId="77777777" w:rsidR="005F3D43" w:rsidRDefault="005F3D43" w:rsidP="005F3D43">
            <w:pPr>
              <w:jc w:val="center"/>
            </w:pPr>
            <w:r>
              <w:t>0.47</w:t>
            </w:r>
          </w:p>
        </w:tc>
      </w:tr>
      <w:tr w:rsidR="005F3D43" w14:paraId="5DDEE25E" w14:textId="77777777" w:rsidTr="00683251">
        <w:tc>
          <w:tcPr>
            <w:tcW w:w="2278" w:type="dxa"/>
          </w:tcPr>
          <w:p w14:paraId="09151756" w14:textId="77777777" w:rsidR="005F3D43" w:rsidRDefault="005F3D43" w:rsidP="005F3D43">
            <w:r>
              <w:t>Grassland</w:t>
            </w:r>
          </w:p>
        </w:tc>
        <w:tc>
          <w:tcPr>
            <w:tcW w:w="2297" w:type="dxa"/>
          </w:tcPr>
          <w:p w14:paraId="092CF10C" w14:textId="77777777" w:rsidR="005F3D43" w:rsidRDefault="005F3D43" w:rsidP="005F3D43">
            <w:pPr>
              <w:jc w:val="center"/>
            </w:pPr>
            <w:r>
              <w:t>6.5</w:t>
            </w:r>
          </w:p>
        </w:tc>
        <w:tc>
          <w:tcPr>
            <w:tcW w:w="2235" w:type="dxa"/>
          </w:tcPr>
          <w:p w14:paraId="1C2812AF" w14:textId="77777777" w:rsidR="005F3D43" w:rsidRDefault="005F3D43" w:rsidP="005F3D43">
            <w:pPr>
              <w:jc w:val="center"/>
            </w:pPr>
            <w:r>
              <w:t>0</w:t>
            </w:r>
          </w:p>
        </w:tc>
        <w:tc>
          <w:tcPr>
            <w:tcW w:w="2252" w:type="dxa"/>
          </w:tcPr>
          <w:p w14:paraId="48617554" w14:textId="77777777" w:rsidR="005F3D43" w:rsidRDefault="005F3D43" w:rsidP="005F3D43">
            <w:pPr>
              <w:jc w:val="center"/>
            </w:pPr>
            <w:r>
              <w:t>0.47</w:t>
            </w:r>
          </w:p>
        </w:tc>
      </w:tr>
      <w:tr w:rsidR="005F3D43" w14:paraId="14F5F50A" w14:textId="77777777" w:rsidTr="00683251">
        <w:tc>
          <w:tcPr>
            <w:tcW w:w="2278" w:type="dxa"/>
          </w:tcPr>
          <w:p w14:paraId="4A9F1B98" w14:textId="77777777" w:rsidR="005F3D43" w:rsidRDefault="005F3D43" w:rsidP="005F3D43">
            <w:r>
              <w:t>Wetland</w:t>
            </w:r>
          </w:p>
        </w:tc>
        <w:tc>
          <w:tcPr>
            <w:tcW w:w="2297" w:type="dxa"/>
          </w:tcPr>
          <w:p w14:paraId="54F28231" w14:textId="77777777" w:rsidR="005F3D43" w:rsidRDefault="005F3D43" w:rsidP="005F3D43">
            <w:pPr>
              <w:jc w:val="center"/>
            </w:pPr>
            <w:r>
              <w:t>0</w:t>
            </w:r>
          </w:p>
        </w:tc>
        <w:tc>
          <w:tcPr>
            <w:tcW w:w="2235" w:type="dxa"/>
          </w:tcPr>
          <w:p w14:paraId="767961D2" w14:textId="77777777" w:rsidR="005F3D43" w:rsidRDefault="005F3D43" w:rsidP="005F3D43">
            <w:pPr>
              <w:jc w:val="center"/>
            </w:pPr>
            <w:r>
              <w:t>0</w:t>
            </w:r>
          </w:p>
        </w:tc>
        <w:tc>
          <w:tcPr>
            <w:tcW w:w="2252" w:type="dxa"/>
          </w:tcPr>
          <w:p w14:paraId="29AAB531" w14:textId="77777777" w:rsidR="005F3D43" w:rsidRDefault="005F3D43" w:rsidP="005F3D43">
            <w:pPr>
              <w:jc w:val="center"/>
            </w:pPr>
            <w:r>
              <w:t>0.47</w:t>
            </w:r>
          </w:p>
        </w:tc>
      </w:tr>
      <w:tr w:rsidR="005F3D43" w14:paraId="7F7E63E9" w14:textId="77777777" w:rsidTr="00683251">
        <w:tc>
          <w:tcPr>
            <w:tcW w:w="2278" w:type="dxa"/>
          </w:tcPr>
          <w:p w14:paraId="3AC64B1D" w14:textId="77777777" w:rsidR="005F3D43" w:rsidRDefault="005F3D43" w:rsidP="005F3D43">
            <w:r>
              <w:t>Settlement</w:t>
            </w:r>
          </w:p>
        </w:tc>
        <w:tc>
          <w:tcPr>
            <w:tcW w:w="2297" w:type="dxa"/>
          </w:tcPr>
          <w:p w14:paraId="643C6024" w14:textId="77777777" w:rsidR="005F3D43" w:rsidRDefault="005F3D43" w:rsidP="005F3D43">
            <w:pPr>
              <w:jc w:val="center"/>
            </w:pPr>
            <w:r>
              <w:t>0</w:t>
            </w:r>
          </w:p>
        </w:tc>
        <w:tc>
          <w:tcPr>
            <w:tcW w:w="2235" w:type="dxa"/>
          </w:tcPr>
          <w:p w14:paraId="7B411F4A" w14:textId="77777777" w:rsidR="005F3D43" w:rsidRDefault="005F3D43" w:rsidP="005F3D43">
            <w:pPr>
              <w:jc w:val="center"/>
            </w:pPr>
            <w:r>
              <w:t>0</w:t>
            </w:r>
          </w:p>
        </w:tc>
        <w:tc>
          <w:tcPr>
            <w:tcW w:w="2252" w:type="dxa"/>
          </w:tcPr>
          <w:p w14:paraId="0C5A4E66" w14:textId="77777777" w:rsidR="005F3D43" w:rsidRDefault="005F3D43" w:rsidP="005F3D43">
            <w:pPr>
              <w:jc w:val="center"/>
            </w:pPr>
            <w:r>
              <w:t>0.47</w:t>
            </w:r>
          </w:p>
        </w:tc>
      </w:tr>
      <w:tr w:rsidR="005F3D43" w14:paraId="6D9F7F9C" w14:textId="77777777" w:rsidTr="00683251">
        <w:tc>
          <w:tcPr>
            <w:tcW w:w="2278" w:type="dxa"/>
          </w:tcPr>
          <w:p w14:paraId="2ECBDF13" w14:textId="77777777" w:rsidR="005F3D43" w:rsidRDefault="005F3D43" w:rsidP="005F3D43">
            <w:r>
              <w:t>Other land</w:t>
            </w:r>
          </w:p>
        </w:tc>
        <w:tc>
          <w:tcPr>
            <w:tcW w:w="2297" w:type="dxa"/>
          </w:tcPr>
          <w:p w14:paraId="5E39B870" w14:textId="77777777" w:rsidR="005F3D43" w:rsidRDefault="005F3D43" w:rsidP="005F3D43">
            <w:pPr>
              <w:jc w:val="center"/>
            </w:pPr>
            <w:r>
              <w:t>0</w:t>
            </w:r>
          </w:p>
        </w:tc>
        <w:tc>
          <w:tcPr>
            <w:tcW w:w="2235" w:type="dxa"/>
          </w:tcPr>
          <w:p w14:paraId="6765870A" w14:textId="77777777" w:rsidR="005F3D43" w:rsidRDefault="005F3D43" w:rsidP="005F3D43">
            <w:pPr>
              <w:jc w:val="center"/>
            </w:pPr>
            <w:r>
              <w:t>0</w:t>
            </w:r>
          </w:p>
        </w:tc>
        <w:tc>
          <w:tcPr>
            <w:tcW w:w="2252" w:type="dxa"/>
          </w:tcPr>
          <w:p w14:paraId="3CFA691E" w14:textId="77777777" w:rsidR="005F3D43" w:rsidRDefault="005F3D43" w:rsidP="005F3D43">
            <w:pPr>
              <w:jc w:val="center"/>
            </w:pPr>
            <w:r>
              <w:t>0.47</w:t>
            </w:r>
          </w:p>
        </w:tc>
      </w:tr>
    </w:tbl>
    <w:p w14:paraId="1AEF6A1A" w14:textId="77777777" w:rsidR="005F3D43" w:rsidRDefault="005F3D43" w:rsidP="00AB11C1">
      <w:pPr>
        <w:pStyle w:val="ListParagraph"/>
        <w:numPr>
          <w:ilvl w:val="0"/>
          <w:numId w:val="51"/>
        </w:numPr>
        <w:spacing w:before="120"/>
        <w:ind w:left="714" w:hanging="357"/>
      </w:pPr>
      <w:r>
        <w:t>Dead organic matter (dead wood, litter)</w:t>
      </w:r>
    </w:p>
    <w:p w14:paraId="6DC6269B" w14:textId="77777777" w:rsidR="005F3D43" w:rsidRDefault="005F3D43" w:rsidP="005F3D43">
      <w:r>
        <w:t>D</w:t>
      </w:r>
      <w:r w:rsidRPr="00631092">
        <w:t xml:space="preserve">ata for </w:t>
      </w:r>
      <w:r>
        <w:t>deadwood carbon</w:t>
      </w:r>
      <w:r w:rsidRPr="00631092">
        <w:t xml:space="preserve"> stocks are not available in</w:t>
      </w:r>
      <w:r>
        <w:t xml:space="preserve"> the</w:t>
      </w:r>
      <w:r w:rsidRPr="00631092">
        <w:t xml:space="preserve"> IPCC guidelines</w:t>
      </w:r>
      <w:r>
        <w:t xml:space="preserve"> (Table 2.2). </w:t>
      </w:r>
    </w:p>
    <w:p w14:paraId="65C40D3B" w14:textId="61328C60" w:rsidR="005F3D43" w:rsidRDefault="005F3D43" w:rsidP="005F3D43">
      <w:r>
        <w:t>The information regarding litter carbon stocks is extracted from the IPCC guidelines (Table 2.2), it is assumed that only forest areas have litter carbon stocks. This st</w:t>
      </w:r>
      <w:r w:rsidR="00A8759C">
        <w:t>ock is assumed to be 16</w:t>
      </w:r>
      <w:r>
        <w:t>tC/ha.</w:t>
      </w:r>
    </w:p>
    <w:p w14:paraId="2D3C7344" w14:textId="77777777" w:rsidR="005F3D43" w:rsidRDefault="005F3D43" w:rsidP="005F3D43">
      <w:r>
        <w:t>All fluxes related to litter are estimated by the stock-difference method on areas with land use changes.</w:t>
      </w:r>
    </w:p>
    <w:p w14:paraId="031EC196" w14:textId="77777777" w:rsidR="005F3D43" w:rsidRDefault="005F3D43" w:rsidP="00AB11C1">
      <w:pPr>
        <w:pStyle w:val="ListParagraph"/>
        <w:numPr>
          <w:ilvl w:val="0"/>
          <w:numId w:val="51"/>
        </w:numPr>
        <w:spacing w:before="120"/>
        <w:ind w:left="714" w:hanging="357"/>
      </w:pPr>
      <w:r>
        <w:lastRenderedPageBreak/>
        <w:t>Soils (mineral and organic soils)</w:t>
      </w:r>
    </w:p>
    <w:p w14:paraId="4DF54EB7" w14:textId="77777777" w:rsidR="005F3D43" w:rsidRDefault="005F3D43" w:rsidP="005F3D43">
      <w:r>
        <w:t>In the Republic of Serbia, it is assumed that all soils are mineral soils. All fluxes related to organic soils are reported as not occurring.</w:t>
      </w:r>
    </w:p>
    <w:p w14:paraId="114B94E2" w14:textId="65A7358D" w:rsidR="005F3D43" w:rsidRDefault="00891FF2" w:rsidP="005F3D43">
      <w:r>
        <w:t>IPCC default carbon stocks are not used, instead country-specific values</w:t>
      </w:r>
      <w:r w:rsidR="00C558E2">
        <w:t xml:space="preserve"> from </w:t>
      </w:r>
      <w:r w:rsidR="006C10DE">
        <w:t>a study “</w:t>
      </w:r>
      <w:r w:rsidR="006C10DE" w:rsidRPr="006C10DE">
        <w:t>Project on determ</w:t>
      </w:r>
      <w:r w:rsidR="006C10DE">
        <w:t>in</w:t>
      </w:r>
      <w:r w:rsidR="006C10DE" w:rsidRPr="006C10DE">
        <w:t>ing Soil organic carbon in Serbia</w:t>
      </w:r>
      <w:r w:rsidR="006C10DE">
        <w:t>”</w:t>
      </w:r>
      <w:r>
        <w:t xml:space="preserve"> are applied and as follows:</w:t>
      </w:r>
    </w:p>
    <w:p w14:paraId="52747D65" w14:textId="63F2A8B9" w:rsidR="006C10DE" w:rsidRDefault="006C10DE" w:rsidP="00F06993">
      <w:pPr>
        <w:pStyle w:val="Caption"/>
        <w:keepNext/>
        <w:jc w:val="left"/>
      </w:pPr>
      <w:bookmarkStart w:id="853" w:name="_Toc184808587"/>
      <w:r>
        <w:t xml:space="preserve">Table </w:t>
      </w:r>
      <w:r>
        <w:fldChar w:fldCharType="begin"/>
      </w:r>
      <w:r>
        <w:instrText xml:space="preserve"> SEQ Table \* ARABIC </w:instrText>
      </w:r>
      <w:r>
        <w:fldChar w:fldCharType="separate"/>
      </w:r>
      <w:r w:rsidR="00F14C78">
        <w:rPr>
          <w:noProof/>
        </w:rPr>
        <w:t>43</w:t>
      </w:r>
      <w:r>
        <w:fldChar w:fldCharType="end"/>
      </w:r>
      <w:r>
        <w:t>: Carbon stock parameters used in the Serbian emission inventory, per type of land (in t C/ha)</w:t>
      </w:r>
      <w:bookmarkEnd w:id="853"/>
    </w:p>
    <w:tbl>
      <w:tblPr>
        <w:tblW w:w="1680" w:type="pct"/>
        <w:tblLook w:val="04A0" w:firstRow="1" w:lastRow="0" w:firstColumn="1" w:lastColumn="0" w:noHBand="0" w:noVBand="1"/>
      </w:tblPr>
      <w:tblGrid>
        <w:gridCol w:w="1119"/>
        <w:gridCol w:w="1926"/>
      </w:tblGrid>
      <w:tr w:rsidR="00C44967" w:rsidRPr="00091E64" w14:paraId="522C28F3" w14:textId="77777777" w:rsidTr="00F06993">
        <w:trPr>
          <w:trHeight w:val="264"/>
        </w:trPr>
        <w:tc>
          <w:tcPr>
            <w:tcW w:w="1837"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B9B5821" w14:textId="77777777" w:rsidR="00C44967" w:rsidRPr="00994767" w:rsidRDefault="00C44967" w:rsidP="00F06993">
            <w:pPr>
              <w:spacing w:after="0" w:line="240" w:lineRule="auto"/>
              <w:jc w:val="left"/>
              <w:rPr>
                <w:rFonts w:eastAsia="Times New Roman" w:cs="Arial"/>
              </w:rPr>
            </w:pPr>
          </w:p>
        </w:tc>
        <w:tc>
          <w:tcPr>
            <w:tcW w:w="316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2FC1D7" w14:textId="77777777" w:rsidR="00C44967" w:rsidRPr="00994767" w:rsidRDefault="00C44967" w:rsidP="00F06993">
            <w:pPr>
              <w:spacing w:after="0" w:line="240" w:lineRule="auto"/>
              <w:jc w:val="center"/>
              <w:rPr>
                <w:rFonts w:eastAsia="Times New Roman" w:cs="Arial"/>
              </w:rPr>
            </w:pPr>
            <w:r w:rsidRPr="00994767">
              <w:rPr>
                <w:rFonts w:eastAsia="Times New Roman" w:cs="Arial"/>
              </w:rPr>
              <w:t>SOC (</w:t>
            </w:r>
            <w:proofErr w:type="spellStart"/>
            <w:r w:rsidRPr="00994767">
              <w:rPr>
                <w:rFonts w:eastAsia="Times New Roman" w:cs="Arial"/>
              </w:rPr>
              <w:t>tC</w:t>
            </w:r>
            <w:proofErr w:type="spellEnd"/>
            <w:r w:rsidRPr="00994767">
              <w:rPr>
                <w:rFonts w:eastAsia="Times New Roman" w:cs="Arial"/>
              </w:rPr>
              <w:t>/ha)</w:t>
            </w:r>
          </w:p>
        </w:tc>
      </w:tr>
      <w:tr w:rsidR="00C44967" w:rsidRPr="00091E64" w14:paraId="513A8D4F" w14:textId="77777777" w:rsidTr="00F06993">
        <w:trPr>
          <w:trHeight w:val="264"/>
        </w:trPr>
        <w:tc>
          <w:tcPr>
            <w:tcW w:w="18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BD5F0" w14:textId="77777777" w:rsidR="00C44967" w:rsidRPr="00994767" w:rsidRDefault="00C44967" w:rsidP="005F3D43">
            <w:pPr>
              <w:spacing w:after="0" w:line="240" w:lineRule="auto"/>
              <w:rPr>
                <w:rFonts w:eastAsia="Times New Roman" w:cs="Arial"/>
                <w:bCs/>
              </w:rPr>
            </w:pPr>
            <w:r w:rsidRPr="00994767">
              <w:rPr>
                <w:rFonts w:eastAsia="Times New Roman" w:cs="Arial"/>
                <w:bCs/>
              </w:rPr>
              <w:t>Forest</w:t>
            </w:r>
          </w:p>
        </w:tc>
        <w:tc>
          <w:tcPr>
            <w:tcW w:w="3163" w:type="pct"/>
            <w:tcBorders>
              <w:top w:val="single" w:sz="4" w:space="0" w:color="auto"/>
              <w:left w:val="nil"/>
              <w:bottom w:val="single" w:sz="4" w:space="0" w:color="auto"/>
              <w:right w:val="single" w:sz="4" w:space="0" w:color="auto"/>
            </w:tcBorders>
            <w:shd w:val="clear" w:color="auto" w:fill="auto"/>
            <w:noWrap/>
            <w:vAlign w:val="center"/>
            <w:hideMark/>
          </w:tcPr>
          <w:p w14:paraId="1BFCEDC6" w14:textId="7C10BB58" w:rsidR="00C44967" w:rsidRPr="00994767" w:rsidRDefault="00B413EB" w:rsidP="00F06993">
            <w:pPr>
              <w:spacing w:after="0" w:line="240" w:lineRule="auto"/>
              <w:jc w:val="center"/>
              <w:rPr>
                <w:rFonts w:eastAsia="Times New Roman" w:cs="Arial"/>
              </w:rPr>
            </w:pPr>
            <w:r>
              <w:rPr>
                <w:rFonts w:eastAsia="Times New Roman" w:cs="Arial"/>
              </w:rPr>
              <w:t>132.3</w:t>
            </w:r>
          </w:p>
        </w:tc>
      </w:tr>
      <w:tr w:rsidR="00C44967" w:rsidRPr="00091E64" w14:paraId="38F99B7C" w14:textId="77777777" w:rsidTr="00F06993">
        <w:trPr>
          <w:trHeight w:val="264"/>
        </w:trPr>
        <w:tc>
          <w:tcPr>
            <w:tcW w:w="1837" w:type="pct"/>
            <w:tcBorders>
              <w:top w:val="nil"/>
              <w:left w:val="single" w:sz="4" w:space="0" w:color="auto"/>
              <w:bottom w:val="single" w:sz="4" w:space="0" w:color="auto"/>
              <w:right w:val="single" w:sz="4" w:space="0" w:color="auto"/>
            </w:tcBorders>
            <w:shd w:val="clear" w:color="auto" w:fill="auto"/>
            <w:noWrap/>
            <w:vAlign w:val="bottom"/>
            <w:hideMark/>
          </w:tcPr>
          <w:p w14:paraId="4E4BFB5F" w14:textId="77777777" w:rsidR="00C44967" w:rsidRPr="00994767" w:rsidRDefault="00C44967" w:rsidP="005F3D43">
            <w:pPr>
              <w:spacing w:after="0" w:line="240" w:lineRule="auto"/>
              <w:rPr>
                <w:rFonts w:eastAsia="Times New Roman" w:cs="Arial"/>
                <w:bCs/>
              </w:rPr>
            </w:pPr>
            <w:r w:rsidRPr="00994767">
              <w:rPr>
                <w:rFonts w:eastAsia="Times New Roman" w:cs="Arial"/>
                <w:bCs/>
              </w:rPr>
              <w:t>Cropland</w:t>
            </w:r>
          </w:p>
        </w:tc>
        <w:tc>
          <w:tcPr>
            <w:tcW w:w="3163" w:type="pct"/>
            <w:tcBorders>
              <w:top w:val="nil"/>
              <w:left w:val="nil"/>
              <w:bottom w:val="single" w:sz="4" w:space="0" w:color="auto"/>
              <w:right w:val="single" w:sz="4" w:space="0" w:color="auto"/>
            </w:tcBorders>
            <w:shd w:val="clear" w:color="auto" w:fill="auto"/>
            <w:noWrap/>
            <w:vAlign w:val="center"/>
            <w:hideMark/>
          </w:tcPr>
          <w:p w14:paraId="2E02B57F" w14:textId="20D1506A" w:rsidR="00C44967" w:rsidRPr="00994767" w:rsidRDefault="00B413EB" w:rsidP="00F06993">
            <w:pPr>
              <w:spacing w:after="0" w:line="240" w:lineRule="auto"/>
              <w:jc w:val="center"/>
              <w:rPr>
                <w:rFonts w:eastAsia="Times New Roman" w:cs="Arial"/>
              </w:rPr>
            </w:pPr>
            <w:r>
              <w:rPr>
                <w:rFonts w:eastAsia="Times New Roman" w:cs="Arial"/>
              </w:rPr>
              <w:t>77.4</w:t>
            </w:r>
          </w:p>
        </w:tc>
      </w:tr>
      <w:tr w:rsidR="00C44967" w:rsidRPr="00091E64" w14:paraId="4496259A" w14:textId="77777777" w:rsidTr="00F06993">
        <w:trPr>
          <w:trHeight w:val="264"/>
        </w:trPr>
        <w:tc>
          <w:tcPr>
            <w:tcW w:w="1837" w:type="pct"/>
            <w:tcBorders>
              <w:top w:val="nil"/>
              <w:left w:val="single" w:sz="4" w:space="0" w:color="auto"/>
              <w:bottom w:val="single" w:sz="4" w:space="0" w:color="auto"/>
              <w:right w:val="single" w:sz="4" w:space="0" w:color="auto"/>
            </w:tcBorders>
            <w:shd w:val="clear" w:color="auto" w:fill="auto"/>
            <w:noWrap/>
            <w:vAlign w:val="bottom"/>
            <w:hideMark/>
          </w:tcPr>
          <w:p w14:paraId="5ACEAF6C" w14:textId="77777777" w:rsidR="00C44967" w:rsidRPr="00994767" w:rsidRDefault="00C44967" w:rsidP="005F3D43">
            <w:pPr>
              <w:spacing w:after="0" w:line="240" w:lineRule="auto"/>
              <w:rPr>
                <w:rFonts w:eastAsia="Times New Roman" w:cs="Arial"/>
                <w:bCs/>
              </w:rPr>
            </w:pPr>
            <w:r w:rsidRPr="00994767">
              <w:rPr>
                <w:rFonts w:eastAsia="Times New Roman" w:cs="Arial"/>
                <w:bCs/>
              </w:rPr>
              <w:t>Grassland</w:t>
            </w:r>
          </w:p>
        </w:tc>
        <w:tc>
          <w:tcPr>
            <w:tcW w:w="3163" w:type="pct"/>
            <w:tcBorders>
              <w:top w:val="nil"/>
              <w:left w:val="nil"/>
              <w:bottom w:val="single" w:sz="4" w:space="0" w:color="auto"/>
              <w:right w:val="single" w:sz="4" w:space="0" w:color="auto"/>
            </w:tcBorders>
            <w:shd w:val="clear" w:color="auto" w:fill="auto"/>
            <w:noWrap/>
            <w:vAlign w:val="center"/>
            <w:hideMark/>
          </w:tcPr>
          <w:p w14:paraId="60660336" w14:textId="42926F41" w:rsidR="00C44967" w:rsidRPr="00994767" w:rsidRDefault="00B413EB" w:rsidP="00F06993">
            <w:pPr>
              <w:spacing w:after="0" w:line="240" w:lineRule="auto"/>
              <w:jc w:val="center"/>
              <w:rPr>
                <w:rFonts w:eastAsia="Times New Roman" w:cs="Arial"/>
              </w:rPr>
            </w:pPr>
            <w:r>
              <w:rPr>
                <w:rFonts w:eastAsia="Times New Roman" w:cs="Arial"/>
              </w:rPr>
              <w:t>61.6</w:t>
            </w:r>
          </w:p>
        </w:tc>
      </w:tr>
      <w:tr w:rsidR="00C44967" w:rsidRPr="00091E64" w14:paraId="4D2CBD18" w14:textId="77777777" w:rsidTr="00F06993">
        <w:trPr>
          <w:trHeight w:val="264"/>
        </w:trPr>
        <w:tc>
          <w:tcPr>
            <w:tcW w:w="1837" w:type="pct"/>
            <w:tcBorders>
              <w:top w:val="nil"/>
              <w:left w:val="single" w:sz="4" w:space="0" w:color="auto"/>
              <w:bottom w:val="single" w:sz="4" w:space="0" w:color="auto"/>
              <w:right w:val="single" w:sz="4" w:space="0" w:color="auto"/>
            </w:tcBorders>
            <w:shd w:val="clear" w:color="auto" w:fill="auto"/>
            <w:noWrap/>
            <w:vAlign w:val="bottom"/>
            <w:hideMark/>
          </w:tcPr>
          <w:p w14:paraId="4F2D6FDE" w14:textId="77777777" w:rsidR="00C44967" w:rsidRPr="00994767" w:rsidRDefault="00C44967" w:rsidP="005F3D43">
            <w:pPr>
              <w:spacing w:after="0" w:line="240" w:lineRule="auto"/>
              <w:rPr>
                <w:rFonts w:eastAsia="Times New Roman" w:cs="Arial"/>
                <w:bCs/>
              </w:rPr>
            </w:pPr>
            <w:r w:rsidRPr="00994767">
              <w:rPr>
                <w:rFonts w:eastAsia="Times New Roman" w:cs="Arial"/>
                <w:bCs/>
              </w:rPr>
              <w:t>Settlement</w:t>
            </w:r>
          </w:p>
        </w:tc>
        <w:tc>
          <w:tcPr>
            <w:tcW w:w="3163" w:type="pct"/>
            <w:tcBorders>
              <w:top w:val="nil"/>
              <w:left w:val="nil"/>
              <w:bottom w:val="single" w:sz="4" w:space="0" w:color="auto"/>
              <w:right w:val="single" w:sz="4" w:space="0" w:color="auto"/>
            </w:tcBorders>
            <w:shd w:val="clear" w:color="auto" w:fill="auto"/>
            <w:noWrap/>
            <w:vAlign w:val="center"/>
            <w:hideMark/>
          </w:tcPr>
          <w:p w14:paraId="6CA9E7C1" w14:textId="77777777" w:rsidR="00C44967" w:rsidRPr="00994767" w:rsidRDefault="00C44967" w:rsidP="00F06993">
            <w:pPr>
              <w:spacing w:after="0" w:line="240" w:lineRule="auto"/>
              <w:jc w:val="center"/>
              <w:rPr>
                <w:rFonts w:eastAsia="Times New Roman" w:cs="Arial"/>
              </w:rPr>
            </w:pPr>
            <w:r w:rsidRPr="00994767">
              <w:rPr>
                <w:rFonts w:eastAsia="Times New Roman" w:cs="Arial"/>
              </w:rPr>
              <w:t>0</w:t>
            </w:r>
          </w:p>
        </w:tc>
      </w:tr>
      <w:tr w:rsidR="00C44967" w:rsidRPr="00091E64" w14:paraId="5F74D6D1" w14:textId="77777777" w:rsidTr="00F06993">
        <w:trPr>
          <w:trHeight w:val="264"/>
        </w:trPr>
        <w:tc>
          <w:tcPr>
            <w:tcW w:w="1837" w:type="pct"/>
            <w:tcBorders>
              <w:top w:val="nil"/>
              <w:left w:val="single" w:sz="4" w:space="0" w:color="auto"/>
              <w:bottom w:val="single" w:sz="4" w:space="0" w:color="auto"/>
              <w:right w:val="single" w:sz="4" w:space="0" w:color="auto"/>
            </w:tcBorders>
            <w:shd w:val="clear" w:color="auto" w:fill="auto"/>
            <w:noWrap/>
            <w:vAlign w:val="bottom"/>
            <w:hideMark/>
          </w:tcPr>
          <w:p w14:paraId="485F145D" w14:textId="77777777" w:rsidR="00C44967" w:rsidRPr="00994767" w:rsidRDefault="00C44967" w:rsidP="005F3D43">
            <w:pPr>
              <w:spacing w:after="0" w:line="240" w:lineRule="auto"/>
              <w:rPr>
                <w:rFonts w:eastAsia="Times New Roman" w:cs="Arial"/>
                <w:bCs/>
              </w:rPr>
            </w:pPr>
            <w:r w:rsidRPr="00994767">
              <w:rPr>
                <w:rFonts w:eastAsia="Times New Roman" w:cs="Arial"/>
                <w:bCs/>
              </w:rPr>
              <w:t>Other land</w:t>
            </w:r>
          </w:p>
        </w:tc>
        <w:tc>
          <w:tcPr>
            <w:tcW w:w="3163" w:type="pct"/>
            <w:tcBorders>
              <w:top w:val="nil"/>
              <w:left w:val="nil"/>
              <w:bottom w:val="single" w:sz="4" w:space="0" w:color="auto"/>
              <w:right w:val="single" w:sz="4" w:space="0" w:color="auto"/>
            </w:tcBorders>
            <w:shd w:val="clear" w:color="auto" w:fill="auto"/>
            <w:noWrap/>
            <w:vAlign w:val="center"/>
            <w:hideMark/>
          </w:tcPr>
          <w:p w14:paraId="1CF0DDAC" w14:textId="77777777" w:rsidR="00C44967" w:rsidRPr="00994767" w:rsidRDefault="00C44967" w:rsidP="00F06993">
            <w:pPr>
              <w:spacing w:after="0" w:line="240" w:lineRule="auto"/>
              <w:jc w:val="center"/>
              <w:rPr>
                <w:rFonts w:eastAsia="Times New Roman" w:cs="Arial"/>
              </w:rPr>
            </w:pPr>
            <w:r w:rsidRPr="00994767">
              <w:rPr>
                <w:rFonts w:eastAsia="Times New Roman" w:cs="Arial"/>
              </w:rPr>
              <w:t>0</w:t>
            </w:r>
          </w:p>
        </w:tc>
      </w:tr>
      <w:tr w:rsidR="00C44967" w:rsidRPr="00091E64" w14:paraId="4AE81635" w14:textId="77777777" w:rsidTr="00F06993">
        <w:trPr>
          <w:trHeight w:val="264"/>
        </w:trPr>
        <w:tc>
          <w:tcPr>
            <w:tcW w:w="1837" w:type="pct"/>
            <w:tcBorders>
              <w:top w:val="nil"/>
              <w:left w:val="single" w:sz="4" w:space="0" w:color="auto"/>
              <w:bottom w:val="single" w:sz="4" w:space="0" w:color="auto"/>
              <w:right w:val="single" w:sz="4" w:space="0" w:color="auto"/>
            </w:tcBorders>
            <w:shd w:val="clear" w:color="auto" w:fill="auto"/>
            <w:noWrap/>
            <w:vAlign w:val="bottom"/>
            <w:hideMark/>
          </w:tcPr>
          <w:p w14:paraId="2061E6C5" w14:textId="77777777" w:rsidR="00C44967" w:rsidRPr="00994767" w:rsidRDefault="00C44967" w:rsidP="005F3D43">
            <w:pPr>
              <w:spacing w:after="0" w:line="240" w:lineRule="auto"/>
              <w:rPr>
                <w:rFonts w:eastAsia="Times New Roman" w:cs="Arial"/>
                <w:bCs/>
              </w:rPr>
            </w:pPr>
            <w:r w:rsidRPr="00994767">
              <w:rPr>
                <w:rFonts w:eastAsia="Times New Roman" w:cs="Arial"/>
                <w:bCs/>
              </w:rPr>
              <w:t>Wetland</w:t>
            </w:r>
          </w:p>
        </w:tc>
        <w:tc>
          <w:tcPr>
            <w:tcW w:w="3163" w:type="pct"/>
            <w:tcBorders>
              <w:top w:val="nil"/>
              <w:left w:val="nil"/>
              <w:bottom w:val="single" w:sz="4" w:space="0" w:color="auto"/>
              <w:right w:val="single" w:sz="4" w:space="0" w:color="auto"/>
            </w:tcBorders>
            <w:shd w:val="clear" w:color="auto" w:fill="auto"/>
            <w:noWrap/>
            <w:vAlign w:val="center"/>
            <w:hideMark/>
          </w:tcPr>
          <w:p w14:paraId="16EADB34" w14:textId="77777777" w:rsidR="00C44967" w:rsidRPr="00994767" w:rsidRDefault="00C44967" w:rsidP="00F06993">
            <w:pPr>
              <w:spacing w:after="0" w:line="240" w:lineRule="auto"/>
              <w:jc w:val="center"/>
              <w:rPr>
                <w:rFonts w:eastAsia="Times New Roman" w:cs="Arial"/>
              </w:rPr>
            </w:pPr>
            <w:r w:rsidRPr="00994767">
              <w:rPr>
                <w:rFonts w:eastAsia="Times New Roman" w:cs="Arial"/>
              </w:rPr>
              <w:t>0</w:t>
            </w:r>
          </w:p>
        </w:tc>
      </w:tr>
    </w:tbl>
    <w:p w14:paraId="44A8D18F" w14:textId="77777777" w:rsidR="005F3D43" w:rsidRDefault="005F3D43" w:rsidP="005F3D43"/>
    <w:p w14:paraId="1B7C40C8" w14:textId="77777777" w:rsidR="005F3D43" w:rsidRDefault="005F3D43" w:rsidP="005F3D43">
      <w:pPr>
        <w:pStyle w:val="Heading3"/>
        <w:keepNext/>
        <w:keepLines/>
        <w:tabs>
          <w:tab w:val="clear" w:pos="142"/>
          <w:tab w:val="clear" w:pos="1134"/>
        </w:tabs>
        <w:spacing w:before="200" w:after="0" w:line="276" w:lineRule="auto"/>
        <w:jc w:val="left"/>
      </w:pPr>
      <w:bookmarkStart w:id="854" w:name="_Toc182327956"/>
      <w:bookmarkStart w:id="855" w:name="_Toc184808298"/>
      <w:r w:rsidRPr="00A76C94">
        <w:t>Direct N</w:t>
      </w:r>
      <w:r w:rsidRPr="00622F40">
        <w:rPr>
          <w:vertAlign w:val="subscript"/>
        </w:rPr>
        <w:t>2</w:t>
      </w:r>
      <w:r w:rsidRPr="00A76C94">
        <w:t>O Emissions from N Inputs to Managed Soils</w:t>
      </w:r>
      <w:bookmarkEnd w:id="854"/>
      <w:bookmarkEnd w:id="855"/>
    </w:p>
    <w:p w14:paraId="08CDE65E" w14:textId="77777777" w:rsidR="005F3D43" w:rsidRPr="00F054D7" w:rsidRDefault="005F3D43" w:rsidP="005F3D43">
      <w:r>
        <w:t>It is assumed that no other land but agricultural land is fertilized in Serbia, thus direct N</w:t>
      </w:r>
      <w:r w:rsidRPr="00622F40">
        <w:rPr>
          <w:vertAlign w:val="subscript"/>
        </w:rPr>
        <w:t>2</w:t>
      </w:r>
      <w:r>
        <w:t>O emissions are reported as not occurring in LULUCF.</w:t>
      </w:r>
    </w:p>
    <w:p w14:paraId="5E0B4FFB" w14:textId="77777777" w:rsidR="005F3D43" w:rsidRDefault="005F3D43" w:rsidP="005F3D43">
      <w:pPr>
        <w:pStyle w:val="Heading3"/>
        <w:keepNext/>
        <w:keepLines/>
        <w:tabs>
          <w:tab w:val="clear" w:pos="142"/>
          <w:tab w:val="clear" w:pos="1134"/>
        </w:tabs>
        <w:spacing w:before="200" w:after="0" w:line="276" w:lineRule="auto"/>
        <w:jc w:val="left"/>
      </w:pPr>
      <w:bookmarkStart w:id="856" w:name="_Toc182327957"/>
      <w:bookmarkStart w:id="857" w:name="_Toc184808299"/>
      <w:r w:rsidRPr="00A76C94">
        <w:t>Emissions and removals from drainage and rewetting and other management of organic and mineral soils</w:t>
      </w:r>
      <w:bookmarkEnd w:id="856"/>
      <w:bookmarkEnd w:id="857"/>
    </w:p>
    <w:p w14:paraId="1CBF48A7" w14:textId="27629730" w:rsidR="005F3D43" w:rsidRPr="00EA654B" w:rsidRDefault="005F3D43" w:rsidP="005F3D43">
      <w:r>
        <w:t>Drainage and rewetting of organic and mineral soils are assumed to be not occurring in Serbia, thus related emissions and removals are reported as not occurring.</w:t>
      </w:r>
    </w:p>
    <w:p w14:paraId="7152FD1D" w14:textId="77777777" w:rsidR="005F3D43" w:rsidRDefault="005F3D43" w:rsidP="005F3D43">
      <w:pPr>
        <w:pStyle w:val="Heading3"/>
        <w:keepNext/>
        <w:keepLines/>
        <w:tabs>
          <w:tab w:val="clear" w:pos="142"/>
          <w:tab w:val="clear" w:pos="1134"/>
        </w:tabs>
        <w:spacing w:before="200" w:after="0" w:line="276" w:lineRule="auto"/>
        <w:jc w:val="left"/>
      </w:pPr>
      <w:bookmarkStart w:id="858" w:name="_Toc182327958"/>
      <w:bookmarkStart w:id="859" w:name="_Toc184808300"/>
      <w:r w:rsidRPr="00A76C94">
        <w:t>Direct N</w:t>
      </w:r>
      <w:r w:rsidRPr="00622F40">
        <w:rPr>
          <w:vertAlign w:val="subscript"/>
        </w:rPr>
        <w:t>2</w:t>
      </w:r>
      <w:r w:rsidRPr="00A76C94">
        <w:t>O Emissions from N Mineralization/Immobilization</w:t>
      </w:r>
      <w:bookmarkEnd w:id="858"/>
      <w:bookmarkEnd w:id="859"/>
    </w:p>
    <w:p w14:paraId="17C5488F" w14:textId="77777777" w:rsidR="005F3D43" w:rsidRDefault="005F3D43" w:rsidP="005F3D43">
      <w:r>
        <w:t>Direct N</w:t>
      </w:r>
      <w:r w:rsidRPr="00622F40">
        <w:rPr>
          <w:vertAlign w:val="subscript"/>
        </w:rPr>
        <w:t>2</w:t>
      </w:r>
      <w:r>
        <w:t>O emissions from mineralization are estimated on lands where land use changes occur with a loss of carbon from soils. These emissions are estimated for forest converted to other lands, grasslands converted to other lands (but forests), croplands converted to other lands (but forests and grasslands).</w:t>
      </w:r>
    </w:p>
    <w:p w14:paraId="067D55B8" w14:textId="77777777" w:rsidR="005F3D43" w:rsidRDefault="005F3D43" w:rsidP="005F3D43">
      <w:r>
        <w:t>These emissions are estimated thanks to equations 11.2 and 11.8 of the 2006 IPCC guidelines.</w:t>
      </w:r>
    </w:p>
    <w:p w14:paraId="114E1710" w14:textId="77777777" w:rsidR="005F3D43" w:rsidRDefault="005F3D43" w:rsidP="005F3D43">
      <w:r>
        <w:rPr>
          <w:noProof/>
          <w:lang w:val="en-US"/>
        </w:rPr>
        <w:drawing>
          <wp:inline distT="0" distB="0" distL="0" distR="0" wp14:anchorId="0758BA53" wp14:editId="7145C901">
            <wp:extent cx="5697938" cy="1419261"/>
            <wp:effectExtent l="0" t="0" r="0" b="9525"/>
            <wp:docPr id="19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srcRect/>
                    <a:stretch>
                      <a:fillRect/>
                    </a:stretch>
                  </pic:blipFill>
                  <pic:spPr bwMode="auto">
                    <a:xfrm>
                      <a:off x="0" y="0"/>
                      <a:ext cx="5711416" cy="1422618"/>
                    </a:xfrm>
                    <a:prstGeom prst="rect">
                      <a:avLst/>
                    </a:prstGeom>
                    <a:noFill/>
                    <a:ln w="9525">
                      <a:noFill/>
                      <a:miter lim="800000"/>
                      <a:headEnd/>
                      <a:tailEnd/>
                    </a:ln>
                  </pic:spPr>
                </pic:pic>
              </a:graphicData>
            </a:graphic>
          </wp:inline>
        </w:drawing>
      </w:r>
    </w:p>
    <w:p w14:paraId="7BD78285" w14:textId="77777777" w:rsidR="005F3D43" w:rsidRPr="00EA654B" w:rsidRDefault="005F3D43" w:rsidP="005F3D43">
      <w:r>
        <w:rPr>
          <w:noProof/>
          <w:lang w:val="en-US"/>
        </w:rPr>
        <w:lastRenderedPageBreak/>
        <w:drawing>
          <wp:inline distT="0" distB="0" distL="0" distR="0" wp14:anchorId="3B94263A" wp14:editId="6B0EC0D3">
            <wp:extent cx="5654206" cy="3418511"/>
            <wp:effectExtent l="0" t="0" r="381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cstate="print"/>
                    <a:srcRect/>
                    <a:stretch>
                      <a:fillRect/>
                    </a:stretch>
                  </pic:blipFill>
                  <pic:spPr bwMode="auto">
                    <a:xfrm>
                      <a:off x="0" y="0"/>
                      <a:ext cx="5658611" cy="3421174"/>
                    </a:xfrm>
                    <a:prstGeom prst="rect">
                      <a:avLst/>
                    </a:prstGeom>
                    <a:noFill/>
                    <a:ln w="9525">
                      <a:noFill/>
                      <a:miter lim="800000"/>
                      <a:headEnd/>
                      <a:tailEnd/>
                    </a:ln>
                  </pic:spPr>
                </pic:pic>
              </a:graphicData>
            </a:graphic>
          </wp:inline>
        </w:drawing>
      </w:r>
    </w:p>
    <w:p w14:paraId="15B733FC" w14:textId="77777777" w:rsidR="005F3D43" w:rsidRDefault="005F3D43" w:rsidP="005F3D43">
      <w:pPr>
        <w:pStyle w:val="Heading3"/>
        <w:keepNext/>
        <w:keepLines/>
        <w:tabs>
          <w:tab w:val="clear" w:pos="142"/>
          <w:tab w:val="clear" w:pos="1134"/>
        </w:tabs>
        <w:spacing w:before="200" w:after="0" w:line="276" w:lineRule="auto"/>
        <w:jc w:val="left"/>
      </w:pPr>
      <w:bookmarkStart w:id="860" w:name="_Toc182327959"/>
      <w:bookmarkStart w:id="861" w:name="_Toc184808301"/>
      <w:r w:rsidRPr="00A76C94">
        <w:t>Indirect N</w:t>
      </w:r>
      <w:r w:rsidRPr="00622F40">
        <w:rPr>
          <w:vertAlign w:val="subscript"/>
        </w:rPr>
        <w:t>2</w:t>
      </w:r>
      <w:r w:rsidRPr="00A76C94">
        <w:t>O Emissions from Managed Soils</w:t>
      </w:r>
      <w:bookmarkEnd w:id="860"/>
      <w:bookmarkEnd w:id="861"/>
    </w:p>
    <w:p w14:paraId="30521434" w14:textId="77777777" w:rsidR="005F3D43" w:rsidRPr="00881B25" w:rsidRDefault="005F3D43" w:rsidP="005F3D43">
      <w:r>
        <w:t>Indirect N</w:t>
      </w:r>
      <w:r w:rsidRPr="00F06993">
        <w:rPr>
          <w:vertAlign w:val="subscript"/>
        </w:rPr>
        <w:t>2</w:t>
      </w:r>
      <w:r>
        <w:t>O emissions from soils are currently not estimated in the Serbian inventory.</w:t>
      </w:r>
    </w:p>
    <w:p w14:paraId="57DDD792" w14:textId="77777777" w:rsidR="005F3D43" w:rsidRDefault="005F3D43" w:rsidP="005F3D43">
      <w:pPr>
        <w:pStyle w:val="Heading3"/>
        <w:keepNext/>
        <w:keepLines/>
        <w:tabs>
          <w:tab w:val="clear" w:pos="142"/>
          <w:tab w:val="clear" w:pos="1134"/>
        </w:tabs>
        <w:spacing w:before="200" w:after="0" w:line="276" w:lineRule="auto"/>
        <w:jc w:val="left"/>
      </w:pPr>
      <w:bookmarkStart w:id="862" w:name="_Toc182327960"/>
      <w:bookmarkStart w:id="863" w:name="_Toc184808302"/>
      <w:r w:rsidRPr="00A76C94">
        <w:t>Biomass Burning</w:t>
      </w:r>
      <w:bookmarkEnd w:id="862"/>
      <w:bookmarkEnd w:id="863"/>
    </w:p>
    <w:p w14:paraId="74A3DD38" w14:textId="77777777" w:rsidR="005F3D43" w:rsidRDefault="005F3D43" w:rsidP="005F3D43">
      <w:r>
        <w:t>Controlled burning is not estimated on all lands and wildfires are estimated on forestlands and grasslands.</w:t>
      </w:r>
    </w:p>
    <w:p w14:paraId="4D6A9DBC" w14:textId="77777777" w:rsidR="005F3D43" w:rsidRDefault="005F3D43" w:rsidP="005F3D43">
      <w:pPr>
        <w:rPr>
          <w:u w:val="single"/>
          <w:lang w:eastAsia="fr-FR"/>
        </w:rPr>
      </w:pPr>
      <w:r>
        <w:rPr>
          <w:lang w:eastAsia="fr-FR"/>
        </w:rPr>
        <w:t>For wildfires the IPCC guidelines 2006 Tier 1 methodology is used (equation 2.27). Emissions from CO</w:t>
      </w:r>
      <w:r w:rsidRPr="00622F40">
        <w:rPr>
          <w:vertAlign w:val="subscript"/>
          <w:lang w:eastAsia="fr-FR"/>
        </w:rPr>
        <w:t>2</w:t>
      </w:r>
      <w:r>
        <w:rPr>
          <w:lang w:eastAsia="fr-FR"/>
        </w:rPr>
        <w:t>, CH</w:t>
      </w:r>
      <w:r w:rsidRPr="00622F40">
        <w:rPr>
          <w:vertAlign w:val="subscript"/>
          <w:lang w:eastAsia="fr-FR"/>
        </w:rPr>
        <w:t>4</w:t>
      </w:r>
      <w:r>
        <w:rPr>
          <w:lang w:eastAsia="fr-FR"/>
        </w:rPr>
        <w:t>, N</w:t>
      </w:r>
      <w:r w:rsidRPr="00622F40">
        <w:rPr>
          <w:vertAlign w:val="subscript"/>
          <w:lang w:eastAsia="fr-FR"/>
        </w:rPr>
        <w:t>2</w:t>
      </w:r>
      <w:r>
        <w:rPr>
          <w:lang w:eastAsia="fr-FR"/>
        </w:rPr>
        <w:t xml:space="preserve">O, NOx and CO are calculated. </w:t>
      </w:r>
    </w:p>
    <w:p w14:paraId="0E3220D3" w14:textId="581C31E6" w:rsidR="005F3D43" w:rsidRDefault="005F3D43" w:rsidP="005F3D43">
      <w:pPr>
        <w:rPr>
          <w:lang w:eastAsia="fr-FR"/>
        </w:rPr>
      </w:pPr>
      <w:r>
        <w:rPr>
          <w:lang w:eastAsia="fr-FR"/>
        </w:rPr>
        <w:t xml:space="preserve">Activity data for burning of forest lands </w:t>
      </w:r>
      <w:r w:rsidR="00440E68">
        <w:rPr>
          <w:lang w:eastAsia="fr-FR"/>
        </w:rPr>
        <w:t>are sourced</w:t>
      </w:r>
      <w:r>
        <w:rPr>
          <w:lang w:eastAsia="fr-FR"/>
        </w:rPr>
        <w:t xml:space="preserve"> from Global forest resource</w:t>
      </w:r>
      <w:r w:rsidRPr="00C70812">
        <w:rPr>
          <w:lang w:eastAsia="fr-FR"/>
        </w:rPr>
        <w:t>s assessment 2015 Country report for Serbia</w:t>
      </w:r>
      <w:r>
        <w:rPr>
          <w:lang w:eastAsia="fr-FR"/>
        </w:rPr>
        <w:t xml:space="preserve">. Activity for burning of forest lands is the area burnt </w:t>
      </w:r>
      <w:r w:rsidR="00E44C9E">
        <w:rPr>
          <w:lang w:eastAsia="fr-FR"/>
        </w:rPr>
        <w:t>(</w:t>
      </w:r>
      <w:r>
        <w:rPr>
          <w:lang w:eastAsia="fr-FR"/>
        </w:rPr>
        <w:t>in ha</w:t>
      </w:r>
      <w:r w:rsidR="00E44C9E">
        <w:rPr>
          <w:lang w:eastAsia="fr-FR"/>
        </w:rPr>
        <w:t>)</w:t>
      </w:r>
      <w:r>
        <w:rPr>
          <w:lang w:eastAsia="fr-FR"/>
        </w:rPr>
        <w:t xml:space="preserve">. Two sets of data are available, for </w:t>
      </w:r>
      <w:r w:rsidR="00E44C9E">
        <w:rPr>
          <w:lang w:eastAsia="fr-FR"/>
        </w:rPr>
        <w:t xml:space="preserve">the </w:t>
      </w:r>
      <w:r>
        <w:rPr>
          <w:lang w:eastAsia="fr-FR"/>
        </w:rPr>
        <w:t>period</w:t>
      </w:r>
      <w:r w:rsidR="00E44C9E">
        <w:rPr>
          <w:lang w:eastAsia="fr-FR"/>
        </w:rPr>
        <w:t>s</w:t>
      </w:r>
      <w:r>
        <w:rPr>
          <w:lang w:eastAsia="fr-FR"/>
        </w:rPr>
        <w:t xml:space="preserve"> 1990-2002 and 2003-2012. For years after 2012, </w:t>
      </w:r>
      <w:r w:rsidR="00E44C9E">
        <w:rPr>
          <w:lang w:eastAsia="fr-FR"/>
        </w:rPr>
        <w:t xml:space="preserve">an </w:t>
      </w:r>
      <w:r>
        <w:rPr>
          <w:lang w:eastAsia="fr-FR"/>
        </w:rPr>
        <w:t xml:space="preserve">average from last 5 years is used (2008-2012) due to lack of activity data. </w:t>
      </w:r>
    </w:p>
    <w:p w14:paraId="3421E4DE" w14:textId="26D12FF2" w:rsidR="005F3D43" w:rsidRDefault="005F3D43" w:rsidP="005F3D43">
      <w:pPr>
        <w:rPr>
          <w:lang w:eastAsia="fr-FR"/>
        </w:rPr>
      </w:pPr>
      <w:r>
        <w:rPr>
          <w:lang w:eastAsia="fr-FR"/>
        </w:rPr>
        <w:t xml:space="preserve">No activity for directly grassland is available. In </w:t>
      </w:r>
      <w:r w:rsidR="00F06993">
        <w:rPr>
          <w:lang w:eastAsia="fr-FR"/>
        </w:rPr>
        <w:t>Global Forest</w:t>
      </w:r>
      <w:r>
        <w:rPr>
          <w:lang w:eastAsia="fr-FR"/>
        </w:rPr>
        <w:t xml:space="preserve"> resource</w:t>
      </w:r>
      <w:r w:rsidRPr="007164B0">
        <w:rPr>
          <w:lang w:eastAsia="fr-FR"/>
        </w:rPr>
        <w:t>s assessment 2010 Country report for Serbia</w:t>
      </w:r>
      <w:r>
        <w:rPr>
          <w:lang w:eastAsia="fr-FR"/>
        </w:rPr>
        <w:t xml:space="preserve">, data for area of forest burned is available. </w:t>
      </w:r>
      <w:r w:rsidR="00F06993">
        <w:rPr>
          <w:lang w:eastAsia="fr-FR"/>
        </w:rPr>
        <w:t>Also,</w:t>
      </w:r>
      <w:r>
        <w:rPr>
          <w:lang w:eastAsia="fr-FR"/>
        </w:rPr>
        <w:t xml:space="preserve"> a total area burned of Forest, other wooded land and other land is available. Other lands are considered as grassland and area burned for grassland is calculated as a difference between total and area of forests burned. Activity for burning of grasslands is the area burnt in ha. Two sets of data are available, for period 1990-2002 and 2003-2012. For years after 2012, area of forest burned and total area are calculated as average of last 5 years and area of grassland burned is difference between those two areas.</w:t>
      </w:r>
    </w:p>
    <w:p w14:paraId="1355E48E" w14:textId="77777777" w:rsidR="005F3D43" w:rsidRPr="00A02F83" w:rsidRDefault="005F3D43" w:rsidP="00A02F83">
      <w:pPr>
        <w:rPr>
          <w:lang w:eastAsia="fr-FR"/>
        </w:rPr>
      </w:pPr>
      <w:r w:rsidRPr="00A02F83">
        <w:rPr>
          <w:lang w:eastAsia="fr-FR"/>
        </w:rPr>
        <w:t xml:space="preserve">Emission factor for calculations of direct emissions as well indirect emissions comes from IPCC guidelines 2006, Volume 4; Chapter 2 Generic Methodologies Applicable to Multiple Land use Categories. As it is a default emission factor it’s the same for all the years and is expressed in g/kg. For fuel biomass consumption also a direct value from IPCC guidelines 2006 is available in tones/ha. Emission factors for extra tropical forest are used because it includes all other forest types. </w:t>
      </w:r>
    </w:p>
    <w:p w14:paraId="612DCF23" w14:textId="77777777" w:rsidR="005F3D43" w:rsidRDefault="005F3D43" w:rsidP="005F3D43">
      <w:r>
        <w:rPr>
          <w:noProof/>
          <w:lang w:val="en-US"/>
        </w:rPr>
        <w:lastRenderedPageBreak/>
        <w:drawing>
          <wp:inline distT="0" distB="0" distL="0" distR="0" wp14:anchorId="274EA3C4" wp14:editId="2332491C">
            <wp:extent cx="5666133" cy="1876738"/>
            <wp:effectExtent l="0" t="0" r="0" b="952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3" cstate="print"/>
                    <a:srcRect/>
                    <a:stretch>
                      <a:fillRect/>
                    </a:stretch>
                  </pic:blipFill>
                  <pic:spPr bwMode="auto">
                    <a:xfrm>
                      <a:off x="0" y="0"/>
                      <a:ext cx="5674090" cy="1879373"/>
                    </a:xfrm>
                    <a:prstGeom prst="rect">
                      <a:avLst/>
                    </a:prstGeom>
                    <a:noFill/>
                    <a:ln w="9525">
                      <a:noFill/>
                      <a:miter lim="800000"/>
                      <a:headEnd/>
                      <a:tailEnd/>
                    </a:ln>
                  </pic:spPr>
                </pic:pic>
              </a:graphicData>
            </a:graphic>
          </wp:inline>
        </w:drawing>
      </w:r>
      <w:r>
        <w:rPr>
          <w:noProof/>
          <w:lang w:val="en-US"/>
        </w:rPr>
        <w:drawing>
          <wp:inline distT="0" distB="0" distL="0" distR="0" wp14:anchorId="418F1A1B" wp14:editId="073782C7">
            <wp:extent cx="5621573" cy="730277"/>
            <wp:effectExtent l="0" t="0" r="0" b="0"/>
            <wp:docPr id="20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4" cstate="print"/>
                    <a:srcRect/>
                    <a:stretch>
                      <a:fillRect/>
                    </a:stretch>
                  </pic:blipFill>
                  <pic:spPr bwMode="auto">
                    <a:xfrm>
                      <a:off x="0" y="0"/>
                      <a:ext cx="5697692" cy="740165"/>
                    </a:xfrm>
                    <a:prstGeom prst="rect">
                      <a:avLst/>
                    </a:prstGeom>
                    <a:noFill/>
                    <a:ln w="9525">
                      <a:noFill/>
                      <a:miter lim="800000"/>
                      <a:headEnd/>
                      <a:tailEnd/>
                    </a:ln>
                  </pic:spPr>
                </pic:pic>
              </a:graphicData>
            </a:graphic>
          </wp:inline>
        </w:drawing>
      </w:r>
    </w:p>
    <w:p w14:paraId="4D051FA9" w14:textId="77777777" w:rsidR="004D048E" w:rsidRPr="00881B25" w:rsidRDefault="004D048E" w:rsidP="005F3D43"/>
    <w:p w14:paraId="35704A5B" w14:textId="4631433A" w:rsidR="005F3D43" w:rsidRDefault="005F3D43" w:rsidP="005F3D43">
      <w:pPr>
        <w:pStyle w:val="Heading2"/>
        <w:keepNext/>
        <w:keepLines/>
        <w:spacing w:before="200" w:after="0" w:line="276" w:lineRule="auto"/>
      </w:pPr>
      <w:bookmarkStart w:id="864" w:name="_Toc182327961"/>
      <w:bookmarkStart w:id="865" w:name="_Toc184808303"/>
      <w:r>
        <w:t>Forestlands (</w:t>
      </w:r>
      <w:r w:rsidR="00C83924">
        <w:t xml:space="preserve">CRT </w:t>
      </w:r>
      <w:r>
        <w:t>4A)</w:t>
      </w:r>
      <w:bookmarkEnd w:id="864"/>
      <w:bookmarkEnd w:id="865"/>
    </w:p>
    <w:p w14:paraId="2FE15A54" w14:textId="77777777" w:rsidR="005F3D43" w:rsidRDefault="005F3D43" w:rsidP="005F3D43">
      <w:pPr>
        <w:pStyle w:val="Heading3"/>
        <w:keepNext/>
        <w:keepLines/>
        <w:tabs>
          <w:tab w:val="clear" w:pos="142"/>
          <w:tab w:val="clear" w:pos="1134"/>
        </w:tabs>
        <w:spacing w:before="200" w:after="0" w:line="276" w:lineRule="auto"/>
        <w:jc w:val="left"/>
      </w:pPr>
      <w:bookmarkStart w:id="866" w:name="_Toc182327962"/>
      <w:bookmarkStart w:id="867" w:name="_Toc184808304"/>
      <w:r>
        <w:t>Description</w:t>
      </w:r>
      <w:bookmarkEnd w:id="866"/>
      <w:bookmarkEnd w:id="867"/>
    </w:p>
    <w:p w14:paraId="7353171D" w14:textId="77777777" w:rsidR="005F3D43" w:rsidRDefault="005F3D43" w:rsidP="005F3D43">
      <w:pPr>
        <w:autoSpaceDE w:val="0"/>
        <w:autoSpaceDN w:val="0"/>
        <w:adjustRightInd w:val="0"/>
        <w:spacing w:after="120" w:line="240" w:lineRule="auto"/>
        <w:rPr>
          <w:rFonts w:cs="ArialMT"/>
        </w:rPr>
      </w:pPr>
      <w:r w:rsidRPr="004B7EA1">
        <w:rPr>
          <w:rFonts w:cs="ArialMT"/>
        </w:rPr>
        <w:t>This category comprises GHG emissions and remova</w:t>
      </w:r>
      <w:r>
        <w:rPr>
          <w:rFonts w:cs="ArialMT"/>
        </w:rPr>
        <w:t>ls arising from forestlands</w:t>
      </w:r>
      <w:r w:rsidRPr="004B7EA1">
        <w:rPr>
          <w:rFonts w:cs="ArialMT"/>
        </w:rPr>
        <w:t>.</w:t>
      </w:r>
    </w:p>
    <w:p w14:paraId="0CF0F035" w14:textId="70E3BB17" w:rsidR="00A656C0" w:rsidRDefault="00A656C0" w:rsidP="005F3D43">
      <w:pPr>
        <w:autoSpaceDE w:val="0"/>
        <w:autoSpaceDN w:val="0"/>
        <w:adjustRightInd w:val="0"/>
        <w:spacing w:after="120" w:line="240" w:lineRule="auto"/>
        <w:rPr>
          <w:rFonts w:cs="ArialMT"/>
        </w:rPr>
      </w:pPr>
      <w:r>
        <w:rPr>
          <w:rFonts w:cs="ArialMT"/>
        </w:rPr>
        <w:t>The following graph</w:t>
      </w:r>
      <w:r w:rsidR="004534F3">
        <w:rPr>
          <w:rFonts w:cs="ArialMT"/>
        </w:rPr>
        <w:t xml:space="preserve">s give the </w:t>
      </w:r>
      <w:r w:rsidR="001C1F14">
        <w:rPr>
          <w:rFonts w:cs="ArialMT"/>
        </w:rPr>
        <w:t>GHG</w:t>
      </w:r>
      <w:r w:rsidR="00B16D82">
        <w:rPr>
          <w:rFonts w:cs="ArialMT"/>
        </w:rPr>
        <w:t xml:space="preserve"> </w:t>
      </w:r>
      <w:r w:rsidR="004534F3">
        <w:rPr>
          <w:rFonts w:cs="ArialMT"/>
        </w:rPr>
        <w:t>emission</w:t>
      </w:r>
      <w:r w:rsidR="001C1F14">
        <w:rPr>
          <w:rFonts w:cs="ArialMT"/>
        </w:rPr>
        <w:t xml:space="preserve"> trends for the different subcategories where estimations are developed for Forest lands. </w:t>
      </w:r>
    </w:p>
    <w:p w14:paraId="0665A5DF" w14:textId="678DAB33" w:rsidR="00CF2F39" w:rsidRPr="00CF2F39" w:rsidRDefault="003E4F4A" w:rsidP="00CF2F39">
      <w:pPr>
        <w:autoSpaceDE w:val="0"/>
        <w:autoSpaceDN w:val="0"/>
        <w:adjustRightInd w:val="0"/>
        <w:spacing w:after="120" w:line="240" w:lineRule="auto"/>
        <w:rPr>
          <w:rFonts w:cs="ArialMT"/>
        </w:rPr>
      </w:pPr>
      <w:r w:rsidRPr="003E4F4A">
        <w:rPr>
          <w:rFonts w:cs="ArialMT"/>
        </w:rPr>
        <w:t xml:space="preserve">Based on the latest </w:t>
      </w:r>
      <w:r w:rsidR="000F6001">
        <w:rPr>
          <w:rFonts w:cs="ArialMT"/>
        </w:rPr>
        <w:t>NID</w:t>
      </w:r>
      <w:r w:rsidRPr="003E4F4A">
        <w:rPr>
          <w:rFonts w:cs="ArialMT"/>
        </w:rPr>
        <w:t xml:space="preserve"> draft, there are two periods when assessing the historical trend of the net sink of LULUCF in Serbia: a first period of high variations of the sink from 1990 to the beginning of the 2000s, showing an increasing trend. The years 1990 and 1991 appears very low and the accuracy of their values and of the sharp increase between 1991 and 1992, is surely an artifact and is not considered here. A second period from the 2000’s to the latest years shows more stability but also a slowly decreasing trend, in particular after 2008.</w:t>
      </w:r>
      <w:r>
        <w:rPr>
          <w:rFonts w:cs="ArialMT"/>
        </w:rPr>
        <w:t xml:space="preserve"> </w:t>
      </w:r>
      <w:r w:rsidR="00CF2F39" w:rsidRPr="00CF2F39">
        <w:rPr>
          <w:rFonts w:cs="ArialMT"/>
        </w:rPr>
        <w:t>In the period 20</w:t>
      </w:r>
      <w:r w:rsidR="00E62C52">
        <w:rPr>
          <w:rFonts w:cs="ArialMT"/>
        </w:rPr>
        <w:t>07</w:t>
      </w:r>
      <w:r w:rsidR="00CF2F39" w:rsidRPr="00CF2F39">
        <w:rPr>
          <w:rFonts w:cs="ArialMT"/>
        </w:rPr>
        <w:t>–2020, sinks are decreasing, mainly due to the increased use of biomass</w:t>
      </w:r>
      <w:r w:rsidR="00E62C52">
        <w:rPr>
          <w:rFonts w:cs="ArialMT"/>
        </w:rPr>
        <w:t xml:space="preserve">, some droughts such as in </w:t>
      </w:r>
      <w:r w:rsidR="00915C83">
        <w:rPr>
          <w:rFonts w:cs="ArialMT"/>
        </w:rPr>
        <w:t>the period 2010-2012</w:t>
      </w:r>
      <w:r w:rsidR="00FC4E5B">
        <w:rPr>
          <w:rFonts w:cs="ArialMT"/>
        </w:rPr>
        <w:t>,</w:t>
      </w:r>
      <w:r w:rsidR="00CF2F39" w:rsidRPr="00CF2F39">
        <w:rPr>
          <w:rFonts w:cs="ArialMT"/>
        </w:rPr>
        <w:t xml:space="preserve"> and natural disasters (e.g. fires, breakages due to strong winds, damage caused by the effects of insects and diseases).</w:t>
      </w:r>
    </w:p>
    <w:p w14:paraId="01FECDF5" w14:textId="049916E9" w:rsidR="001C1F14" w:rsidRDefault="00CF2F39" w:rsidP="00CF2F39">
      <w:pPr>
        <w:autoSpaceDE w:val="0"/>
        <w:autoSpaceDN w:val="0"/>
        <w:adjustRightInd w:val="0"/>
        <w:spacing w:after="120" w:line="240" w:lineRule="auto"/>
        <w:rPr>
          <w:rFonts w:cs="ArialMT"/>
        </w:rPr>
      </w:pPr>
      <w:r w:rsidRPr="00CF2F39">
        <w:rPr>
          <w:rFonts w:cs="ArialMT"/>
        </w:rPr>
        <w:t>The quantities removed from the category of forest land (forestry) in 2020 were 17.6% less compared to 2010. The main reason for less sequestration can be attributed to the increased use of wood for industrial needs and for heating. Furthermore, disruption losses in 2020 were almost three times higher than in 2010. The lowest removals were observed in 1990 due to heavy commercial logging and industrial technical wood for the pulp and paper industry.</w:t>
      </w:r>
    </w:p>
    <w:p w14:paraId="0F2AE417" w14:textId="2ADBFB13" w:rsidR="003E5A12" w:rsidRPr="004B7EA1" w:rsidRDefault="003E5A12" w:rsidP="00CF2F39">
      <w:pPr>
        <w:autoSpaceDE w:val="0"/>
        <w:autoSpaceDN w:val="0"/>
        <w:adjustRightInd w:val="0"/>
        <w:spacing w:after="120" w:line="240" w:lineRule="auto"/>
        <w:rPr>
          <w:rFonts w:cs="ArialMT"/>
        </w:rPr>
      </w:pPr>
      <w:r>
        <w:rPr>
          <w:rFonts w:cs="ArialMT"/>
        </w:rPr>
        <w:t xml:space="preserve">In total, the sink </w:t>
      </w:r>
      <w:r w:rsidR="009F3178">
        <w:rPr>
          <w:rFonts w:cs="ArialMT"/>
        </w:rPr>
        <w:t xml:space="preserve">has been increased by 133% </w:t>
      </w:r>
      <w:r w:rsidR="0033551B">
        <w:rPr>
          <w:rFonts w:cs="ArialMT"/>
        </w:rPr>
        <w:t xml:space="preserve">between 1990 and 2022, but decreased by </w:t>
      </w:r>
      <w:r w:rsidR="00B24DA9">
        <w:rPr>
          <w:rFonts w:cs="ArialMT"/>
        </w:rPr>
        <w:t>30% since 2007.</w:t>
      </w:r>
    </w:p>
    <w:p w14:paraId="65720E32" w14:textId="05C0971E" w:rsidR="0012178D" w:rsidRDefault="00D07E99" w:rsidP="00F06993">
      <w:pPr>
        <w:spacing w:after="0" w:line="240" w:lineRule="auto"/>
        <w:jc w:val="left"/>
      </w:pPr>
      <w:r>
        <w:rPr>
          <w:noProof/>
          <w:lang w:val="en-US"/>
        </w:rPr>
        <w:drawing>
          <wp:inline distT="0" distB="0" distL="0" distR="0" wp14:anchorId="72E460F8" wp14:editId="473D26FE">
            <wp:extent cx="5760000" cy="1753712"/>
            <wp:effectExtent l="0" t="0" r="0" b="0"/>
            <wp:docPr id="1020663281"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0001BA03" w14:textId="46A5F8AD" w:rsidR="00F06993" w:rsidRDefault="00F06993" w:rsidP="00F06993">
      <w:pPr>
        <w:pStyle w:val="Caption"/>
        <w:spacing w:before="0" w:after="0"/>
        <w:jc w:val="left"/>
      </w:pPr>
      <w:bookmarkStart w:id="868" w:name="_Toc184808507"/>
      <w:r w:rsidRPr="00622F40">
        <w:t xml:space="preserve">Figure </w:t>
      </w:r>
      <w:r w:rsidRPr="00622F40">
        <w:fldChar w:fldCharType="begin"/>
      </w:r>
      <w:r w:rsidRPr="00622F40">
        <w:instrText xml:space="preserve"> SEQ Figure \* ARABIC </w:instrText>
      </w:r>
      <w:r w:rsidRPr="00622F40">
        <w:fldChar w:fldCharType="separate"/>
      </w:r>
      <w:r>
        <w:rPr>
          <w:noProof/>
        </w:rPr>
        <w:t>120</w:t>
      </w:r>
      <w:r w:rsidRPr="00622F40">
        <w:fldChar w:fldCharType="end"/>
      </w:r>
      <w:r w:rsidRPr="00622F40">
        <w:t>: GHG emissions from Forest land remaining forest land (</w:t>
      </w:r>
      <w:r>
        <w:t>CRT</w:t>
      </w:r>
      <w:r w:rsidRPr="00622F40">
        <w:t xml:space="preserve"> 4.A.1) (kt CO</w:t>
      </w:r>
      <w:r w:rsidRPr="00F06993">
        <w:rPr>
          <w:vertAlign w:val="subscript"/>
        </w:rPr>
        <w:t>2e</w:t>
      </w:r>
      <w:r w:rsidRPr="00622F40">
        <w:t>)</w:t>
      </w:r>
      <w:bookmarkEnd w:id="868"/>
    </w:p>
    <w:p w14:paraId="25665380" w14:textId="7EDB77B3" w:rsidR="0012178D" w:rsidRDefault="00D07E99" w:rsidP="00F06993">
      <w:pPr>
        <w:spacing w:after="0" w:line="240" w:lineRule="auto"/>
        <w:jc w:val="left"/>
      </w:pPr>
      <w:r>
        <w:rPr>
          <w:noProof/>
          <w:lang w:val="en-US"/>
        </w:rPr>
        <w:lastRenderedPageBreak/>
        <w:drawing>
          <wp:inline distT="0" distB="0" distL="0" distR="0" wp14:anchorId="05B3F440" wp14:editId="1A4F2157">
            <wp:extent cx="5760000" cy="1753712"/>
            <wp:effectExtent l="0" t="0" r="0" b="0"/>
            <wp:docPr id="1276337872"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1A92090A" w14:textId="6841E73A" w:rsidR="00F06993" w:rsidRDefault="00F06993" w:rsidP="00F06993">
      <w:pPr>
        <w:pStyle w:val="Caption"/>
        <w:spacing w:before="0" w:after="0"/>
        <w:jc w:val="left"/>
      </w:pPr>
      <w:bookmarkStart w:id="869" w:name="_Toc184808508"/>
      <w:r w:rsidRPr="00622F40">
        <w:t xml:space="preserve">Figure </w:t>
      </w:r>
      <w:r w:rsidRPr="00622F40">
        <w:fldChar w:fldCharType="begin"/>
      </w:r>
      <w:r w:rsidRPr="00622F40">
        <w:instrText xml:space="preserve"> SEQ Figure \* ARABIC </w:instrText>
      </w:r>
      <w:r w:rsidRPr="00622F40">
        <w:fldChar w:fldCharType="separate"/>
      </w:r>
      <w:r>
        <w:t>121</w:t>
      </w:r>
      <w:r w:rsidRPr="00622F40">
        <w:fldChar w:fldCharType="end"/>
      </w:r>
      <w:r w:rsidRPr="00622F40">
        <w:t>: GHG emissions from cropland converted to forest land (</w:t>
      </w:r>
      <w:r>
        <w:t>CRT</w:t>
      </w:r>
      <w:r w:rsidRPr="00622F40">
        <w:t xml:space="preserve"> 4.A.2.1) (kt CO</w:t>
      </w:r>
      <w:r w:rsidRPr="00F06993">
        <w:rPr>
          <w:vertAlign w:val="subscript"/>
        </w:rPr>
        <w:t>2e</w:t>
      </w:r>
      <w:r w:rsidRPr="00622F40">
        <w:t>)</w:t>
      </w:r>
      <w:bookmarkEnd w:id="869"/>
    </w:p>
    <w:p w14:paraId="3BE9D8A8" w14:textId="0742E3D3" w:rsidR="00937535" w:rsidRPr="00F06993" w:rsidRDefault="00937535" w:rsidP="00F06993">
      <w:pPr>
        <w:spacing w:after="0" w:line="240" w:lineRule="auto"/>
        <w:jc w:val="left"/>
        <w:rPr>
          <w:vertAlign w:val="subscript"/>
        </w:rPr>
      </w:pPr>
    </w:p>
    <w:p w14:paraId="7BDA7EBE" w14:textId="3389FC01" w:rsidR="0012178D" w:rsidRDefault="00F311D2" w:rsidP="00F06993">
      <w:pPr>
        <w:spacing w:after="0" w:line="240" w:lineRule="auto"/>
        <w:jc w:val="left"/>
      </w:pPr>
      <w:r w:rsidRPr="00F06993">
        <w:rPr>
          <w:noProof/>
          <w:vertAlign w:val="subscript"/>
          <w:lang w:val="en-US"/>
        </w:rPr>
        <w:drawing>
          <wp:inline distT="0" distB="0" distL="0" distR="0" wp14:anchorId="3F2DA158" wp14:editId="7B88069E">
            <wp:extent cx="5760000" cy="1753712"/>
            <wp:effectExtent l="0" t="0" r="0" b="0"/>
            <wp:docPr id="13263267"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4D4608CB" w14:textId="77777777" w:rsidR="00F06993" w:rsidRDefault="00F06993" w:rsidP="00F06993">
      <w:pPr>
        <w:pStyle w:val="Caption"/>
        <w:spacing w:before="0" w:after="0"/>
        <w:jc w:val="left"/>
      </w:pPr>
      <w:bookmarkStart w:id="870" w:name="_Toc184808509"/>
      <w:r w:rsidRPr="00622F40">
        <w:t xml:space="preserve">Figure </w:t>
      </w:r>
      <w:r w:rsidRPr="00622F40">
        <w:fldChar w:fldCharType="begin"/>
      </w:r>
      <w:r w:rsidRPr="00622F40">
        <w:instrText xml:space="preserve"> SEQ Figure \* ARABIC </w:instrText>
      </w:r>
      <w:r w:rsidRPr="00622F40">
        <w:fldChar w:fldCharType="separate"/>
      </w:r>
      <w:r>
        <w:rPr>
          <w:noProof/>
        </w:rPr>
        <w:t>122</w:t>
      </w:r>
      <w:r w:rsidRPr="00622F40">
        <w:fldChar w:fldCharType="end"/>
      </w:r>
      <w:r w:rsidRPr="00622F40">
        <w:t>: GHG emissions from grassland converted to forest land (</w:t>
      </w:r>
      <w:r>
        <w:t>CRT</w:t>
      </w:r>
      <w:r w:rsidRPr="00622F40">
        <w:t xml:space="preserve"> 4.A.2.2) (kt CO</w:t>
      </w:r>
      <w:r w:rsidRPr="00683251">
        <w:rPr>
          <w:vertAlign w:val="subscript"/>
        </w:rPr>
        <w:t>2e</w:t>
      </w:r>
      <w:r w:rsidRPr="00622F40">
        <w:t>)</w:t>
      </w:r>
      <w:bookmarkEnd w:id="870"/>
    </w:p>
    <w:p w14:paraId="5718BD6B" w14:textId="7121E46F" w:rsidR="003B329C" w:rsidRDefault="003B329C" w:rsidP="00683251">
      <w:pPr>
        <w:spacing w:before="240"/>
      </w:pPr>
      <w:r>
        <w:t>As shown in the f</w:t>
      </w:r>
      <w:r w:rsidR="00AE1C43">
        <w:t>i</w:t>
      </w:r>
      <w:r>
        <w:t>gure above, trends in some subsectors are reflecting land-use change periods</w:t>
      </w:r>
      <w:r w:rsidR="0055156D">
        <w:t xml:space="preserve"> due to the annualization of CLC conversions, creating some abrupt changes between periods. </w:t>
      </w:r>
    </w:p>
    <w:p w14:paraId="6FC2B759" w14:textId="7D7DA658" w:rsidR="0012178D" w:rsidRDefault="00F311D2" w:rsidP="00F06993">
      <w:pPr>
        <w:spacing w:after="0"/>
        <w:jc w:val="left"/>
      </w:pPr>
      <w:r>
        <w:rPr>
          <w:noProof/>
          <w:lang w:val="en-US"/>
        </w:rPr>
        <w:drawing>
          <wp:inline distT="0" distB="0" distL="0" distR="0" wp14:anchorId="083C5FD9" wp14:editId="550CE405">
            <wp:extent cx="5760000" cy="1753712"/>
            <wp:effectExtent l="0" t="0" r="0" b="0"/>
            <wp:docPr id="687769166"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086D1377" w14:textId="77777777" w:rsidR="00F06993" w:rsidRDefault="00F06993" w:rsidP="00F06993">
      <w:pPr>
        <w:pStyle w:val="Caption"/>
        <w:spacing w:before="0"/>
        <w:jc w:val="left"/>
      </w:pPr>
      <w:bookmarkStart w:id="871" w:name="_Toc184808510"/>
      <w:r w:rsidRPr="00622F40">
        <w:t xml:space="preserve">Figure </w:t>
      </w:r>
      <w:r w:rsidRPr="00622F40">
        <w:fldChar w:fldCharType="begin"/>
      </w:r>
      <w:r w:rsidRPr="00622F40">
        <w:instrText xml:space="preserve"> SEQ Figure \* ARABIC </w:instrText>
      </w:r>
      <w:r w:rsidRPr="00622F40">
        <w:fldChar w:fldCharType="separate"/>
      </w:r>
      <w:r>
        <w:rPr>
          <w:noProof/>
        </w:rPr>
        <w:t>123</w:t>
      </w:r>
      <w:r w:rsidRPr="00622F40">
        <w:fldChar w:fldCharType="end"/>
      </w:r>
      <w:r w:rsidRPr="00622F40">
        <w:t>: GHG emissions from wetlands converted to forest land (</w:t>
      </w:r>
      <w:r>
        <w:t>CRT</w:t>
      </w:r>
      <w:r w:rsidRPr="00622F40">
        <w:t xml:space="preserve"> 4.A.2.3) (kt CO</w:t>
      </w:r>
      <w:r w:rsidRPr="00683251">
        <w:rPr>
          <w:vertAlign w:val="subscript"/>
        </w:rPr>
        <w:t>2e</w:t>
      </w:r>
      <w:r w:rsidRPr="00622F40">
        <w:t>)</w:t>
      </w:r>
      <w:bookmarkEnd w:id="871"/>
    </w:p>
    <w:p w14:paraId="22827FDE" w14:textId="447A3766" w:rsidR="0012178D" w:rsidRDefault="00442306" w:rsidP="00F06993">
      <w:pPr>
        <w:spacing w:after="0"/>
        <w:jc w:val="left"/>
      </w:pPr>
      <w:r>
        <w:rPr>
          <w:noProof/>
          <w:lang w:val="en-US"/>
        </w:rPr>
        <w:drawing>
          <wp:inline distT="0" distB="0" distL="0" distR="0" wp14:anchorId="0D418208" wp14:editId="40B64F2E">
            <wp:extent cx="5760000" cy="1753712"/>
            <wp:effectExtent l="0" t="0" r="0" b="0"/>
            <wp:docPr id="15767046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10993290" w14:textId="77777777" w:rsidR="00F06993" w:rsidRDefault="00F06993" w:rsidP="00F06993">
      <w:pPr>
        <w:pStyle w:val="Caption"/>
        <w:spacing w:before="0"/>
        <w:jc w:val="left"/>
      </w:pPr>
      <w:bookmarkStart w:id="872" w:name="_Toc184808511"/>
      <w:r w:rsidRPr="00622F40">
        <w:t xml:space="preserve">Figure </w:t>
      </w:r>
      <w:r w:rsidRPr="00622F40">
        <w:fldChar w:fldCharType="begin"/>
      </w:r>
      <w:r w:rsidRPr="00622F40">
        <w:instrText xml:space="preserve"> SEQ Figure \* ARABIC </w:instrText>
      </w:r>
      <w:r w:rsidRPr="00622F40">
        <w:fldChar w:fldCharType="separate"/>
      </w:r>
      <w:r>
        <w:t>124</w:t>
      </w:r>
      <w:r w:rsidRPr="00622F40">
        <w:fldChar w:fldCharType="end"/>
      </w:r>
      <w:r w:rsidRPr="00622F40">
        <w:t>: GHG emissions from settlements converted to forest land (</w:t>
      </w:r>
      <w:r>
        <w:t>CRT</w:t>
      </w:r>
      <w:r w:rsidRPr="00622F40">
        <w:t xml:space="preserve"> 4.A.2.4) (kt CO2e)</w:t>
      </w:r>
      <w:bookmarkEnd w:id="872"/>
    </w:p>
    <w:p w14:paraId="49D2E61D" w14:textId="2E33249E" w:rsidR="0012178D" w:rsidRDefault="00EF3E27" w:rsidP="00F06993">
      <w:pPr>
        <w:spacing w:after="0"/>
        <w:jc w:val="left"/>
      </w:pPr>
      <w:r>
        <w:rPr>
          <w:noProof/>
          <w:lang w:val="en-US"/>
        </w:rPr>
        <w:lastRenderedPageBreak/>
        <w:drawing>
          <wp:inline distT="0" distB="0" distL="0" distR="0" wp14:anchorId="6C25AE39" wp14:editId="772F264F">
            <wp:extent cx="5760000" cy="1753712"/>
            <wp:effectExtent l="0" t="0" r="0" b="0"/>
            <wp:docPr id="598226519"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06B7E92E" w14:textId="77777777" w:rsidR="00F06993" w:rsidRDefault="00F06993" w:rsidP="00F06993">
      <w:pPr>
        <w:pStyle w:val="Caption"/>
        <w:spacing w:before="0"/>
        <w:jc w:val="left"/>
      </w:pPr>
      <w:bookmarkStart w:id="873" w:name="_Toc184808512"/>
      <w:r w:rsidRPr="00622F40">
        <w:t xml:space="preserve">Figure </w:t>
      </w:r>
      <w:r w:rsidRPr="00622F40">
        <w:fldChar w:fldCharType="begin"/>
      </w:r>
      <w:r w:rsidRPr="00622F40">
        <w:instrText xml:space="preserve"> SEQ Figure \* ARABIC </w:instrText>
      </w:r>
      <w:r w:rsidRPr="00622F40">
        <w:fldChar w:fldCharType="separate"/>
      </w:r>
      <w:r>
        <w:rPr>
          <w:noProof/>
        </w:rPr>
        <w:t>125</w:t>
      </w:r>
      <w:r w:rsidRPr="00622F40">
        <w:fldChar w:fldCharType="end"/>
      </w:r>
      <w:r w:rsidRPr="00622F40">
        <w:t>: GHG emissions from other land converted to forest land (</w:t>
      </w:r>
      <w:r>
        <w:t>CRT</w:t>
      </w:r>
      <w:r w:rsidRPr="00622F40">
        <w:t xml:space="preserve"> 4.A.2.5) (kt CO</w:t>
      </w:r>
      <w:r w:rsidRPr="00683251">
        <w:rPr>
          <w:vertAlign w:val="subscript"/>
        </w:rPr>
        <w:t>2e</w:t>
      </w:r>
      <w:r w:rsidRPr="00622F40">
        <w:t>)</w:t>
      </w:r>
      <w:bookmarkEnd w:id="873"/>
    </w:p>
    <w:p w14:paraId="2E4ACD6F" w14:textId="77777777" w:rsidR="00F06993" w:rsidRDefault="00F06993" w:rsidP="0012178D"/>
    <w:p w14:paraId="0E1AA9BA" w14:textId="77777777" w:rsidR="005F3D43" w:rsidRDefault="005F3D43" w:rsidP="00F06993">
      <w:pPr>
        <w:pStyle w:val="Heading3"/>
        <w:keepNext/>
        <w:keepLines/>
        <w:tabs>
          <w:tab w:val="clear" w:pos="142"/>
          <w:tab w:val="clear" w:pos="1134"/>
        </w:tabs>
        <w:spacing w:before="200" w:after="0" w:line="276" w:lineRule="auto"/>
      </w:pPr>
      <w:bookmarkStart w:id="874" w:name="_Toc182327963"/>
      <w:bookmarkStart w:id="875" w:name="_Toc184808305"/>
      <w:r>
        <w:t>Methodological issues</w:t>
      </w:r>
      <w:bookmarkEnd w:id="874"/>
      <w:bookmarkEnd w:id="875"/>
    </w:p>
    <w:p w14:paraId="2FEE00F7" w14:textId="1E1648A3" w:rsidR="005F3D43" w:rsidRDefault="005F3D43" w:rsidP="00F06993">
      <w:pPr>
        <w:pStyle w:val="Heading4"/>
        <w:keepNext/>
        <w:keepLines/>
        <w:tabs>
          <w:tab w:val="clear" w:pos="993"/>
          <w:tab w:val="clear" w:pos="2127"/>
        </w:tabs>
        <w:spacing w:before="200" w:after="0" w:line="276" w:lineRule="auto"/>
      </w:pPr>
      <w:bookmarkStart w:id="876" w:name="_Toc182327964"/>
      <w:r>
        <w:t>Forestlands remaining forestlands (</w:t>
      </w:r>
      <w:r w:rsidR="00C83924">
        <w:t xml:space="preserve">CRT </w:t>
      </w:r>
      <w:r>
        <w:t>4A1)</w:t>
      </w:r>
      <w:bookmarkEnd w:id="876"/>
    </w:p>
    <w:p w14:paraId="58A7C6A4" w14:textId="77777777" w:rsidR="005F3D43" w:rsidRPr="00A76C94" w:rsidRDefault="005F3D43" w:rsidP="00F06993">
      <w:pPr>
        <w:pStyle w:val="Heading5"/>
        <w:spacing w:before="200" w:after="0" w:line="276" w:lineRule="auto"/>
      </w:pPr>
      <w:bookmarkStart w:id="877" w:name="_Toc182327965"/>
      <w:r w:rsidRPr="00A76C94">
        <w:t>Carbon stock changes</w:t>
      </w:r>
      <w:bookmarkEnd w:id="877"/>
      <w:r w:rsidRPr="00A76C94">
        <w:t xml:space="preserve"> </w:t>
      </w:r>
    </w:p>
    <w:p w14:paraId="377C6349" w14:textId="77777777" w:rsidR="005F3D43" w:rsidRDefault="005F3D43" w:rsidP="00F06993">
      <w:pPr>
        <w:pStyle w:val="ListParagraph"/>
        <w:numPr>
          <w:ilvl w:val="0"/>
          <w:numId w:val="51"/>
        </w:numPr>
      </w:pPr>
      <w:r>
        <w:t>Living biomass</w:t>
      </w:r>
    </w:p>
    <w:p w14:paraId="3CACC168" w14:textId="17B0DB03" w:rsidR="005F3D43" w:rsidRDefault="005F3D43" w:rsidP="00F06993">
      <w:r>
        <w:t xml:space="preserve">Carbon stock changes in living biomass in forest are estimated on the basis of the </w:t>
      </w:r>
      <w:r w:rsidR="0055156D">
        <w:t>gains</w:t>
      </w:r>
      <w:r>
        <w:t>-loss</w:t>
      </w:r>
      <w:r w:rsidR="0055156D">
        <w:t>es</w:t>
      </w:r>
      <w:r>
        <w:t xml:space="preserve"> method.</w:t>
      </w:r>
      <w:r w:rsidR="0055156D">
        <w:t xml:space="preserve"> </w:t>
      </w:r>
      <w:r>
        <w:t xml:space="preserve">The area of forest is </w:t>
      </w:r>
      <w:r w:rsidR="0055156D">
        <w:t xml:space="preserve">divided </w:t>
      </w:r>
      <w:r>
        <w:t>between 3 categories of forest:</w:t>
      </w:r>
    </w:p>
    <w:p w14:paraId="4A8481FB" w14:textId="77777777" w:rsidR="005F3D43" w:rsidRDefault="005F3D43" w:rsidP="00F06993">
      <w:pPr>
        <w:pStyle w:val="ListParagraph"/>
        <w:numPr>
          <w:ilvl w:val="0"/>
          <w:numId w:val="52"/>
        </w:numPr>
      </w:pPr>
      <w:r>
        <w:t>Broadleaves</w:t>
      </w:r>
    </w:p>
    <w:p w14:paraId="587B53CC" w14:textId="77777777" w:rsidR="005F3D43" w:rsidRDefault="005F3D43" w:rsidP="00F06993">
      <w:pPr>
        <w:pStyle w:val="ListParagraph"/>
        <w:numPr>
          <w:ilvl w:val="0"/>
          <w:numId w:val="52"/>
        </w:numPr>
      </w:pPr>
      <w:r>
        <w:t>Conifers</w:t>
      </w:r>
    </w:p>
    <w:p w14:paraId="0E4A9C3E" w14:textId="77777777" w:rsidR="005F3D43" w:rsidRDefault="005F3D43" w:rsidP="00F06993">
      <w:pPr>
        <w:pStyle w:val="ListParagraph"/>
        <w:numPr>
          <w:ilvl w:val="0"/>
          <w:numId w:val="52"/>
        </w:numPr>
      </w:pPr>
      <w:r>
        <w:t>Mixed</w:t>
      </w:r>
    </w:p>
    <w:p w14:paraId="5F58B5E9" w14:textId="497599FC" w:rsidR="005F3D43" w:rsidRDefault="005F3D43" w:rsidP="00F06993">
      <w:r>
        <w:t>The increment of forest</w:t>
      </w:r>
      <w:r w:rsidR="0055156D">
        <w:t xml:space="preserve"> biomass</w:t>
      </w:r>
      <w:r>
        <w:t xml:space="preserve"> comes from the publication of FRA 2015 of Serbia. Estimates are</w:t>
      </w:r>
      <w:r w:rsidR="00B533C0">
        <w:t xml:space="preserve"> used for </w:t>
      </w:r>
      <w:r>
        <w:t>2010 and 201</w:t>
      </w:r>
      <w:r w:rsidR="00B533C0">
        <w:t>5</w:t>
      </w:r>
      <w:r>
        <w:t xml:space="preserve"> for 2 categories of fore</w:t>
      </w:r>
      <w:r w:rsidR="00B533C0">
        <w:t>sts (broadleaves and conifers), since they are in correlation with data published in National Forest I</w:t>
      </w:r>
      <w:r>
        <w:t>nventory</w:t>
      </w:r>
      <w:r w:rsidR="00B533C0">
        <w:t>.</w:t>
      </w:r>
      <w:r>
        <w:t xml:space="preserve"> The elementary increment of mixed forest is estimated by making the average of broadleaves and conifers. The values of increment per ha per year are</w:t>
      </w:r>
      <w:r w:rsidR="00B533C0">
        <w:t xml:space="preserve"> prescribed before 2010, and</w:t>
      </w:r>
      <w:r>
        <w:t xml:space="preserve"> linearly interpolated for the </w:t>
      </w:r>
      <w:r w:rsidR="00B533C0">
        <w:t xml:space="preserve">period 2010-2015. </w:t>
      </w:r>
    </w:p>
    <w:p w14:paraId="69479F1B" w14:textId="77777777" w:rsidR="005F3D43" w:rsidRPr="00C53EBC" w:rsidRDefault="005F3D43" w:rsidP="00683251">
      <w:pPr>
        <w:spacing w:after="0"/>
        <w:jc w:val="center"/>
        <w:rPr>
          <w:i/>
        </w:rPr>
      </w:pPr>
      <w:r w:rsidRPr="001A2B1C">
        <w:rPr>
          <w:i/>
        </w:rPr>
        <w:t>Annual increment (m</w:t>
      </w:r>
      <w:r w:rsidRPr="00622F40">
        <w:rPr>
          <w:i/>
          <w:vertAlign w:val="superscript"/>
        </w:rPr>
        <w:t>3</w:t>
      </w:r>
      <w:r w:rsidRPr="001A2B1C">
        <w:rPr>
          <w:i/>
        </w:rPr>
        <w:t>/ha/yr)</w:t>
      </w:r>
    </w:p>
    <w:tbl>
      <w:tblPr>
        <w:tblW w:w="2909" w:type="pct"/>
        <w:jc w:val="center"/>
        <w:tblLook w:val="04A0" w:firstRow="1" w:lastRow="0" w:firstColumn="1" w:lastColumn="0" w:noHBand="0" w:noVBand="1"/>
      </w:tblPr>
      <w:tblGrid>
        <w:gridCol w:w="2749"/>
        <w:gridCol w:w="1263"/>
        <w:gridCol w:w="1260"/>
      </w:tblGrid>
      <w:tr w:rsidR="00B533C0" w:rsidRPr="00783D3B" w14:paraId="7A03B7F1" w14:textId="77777777" w:rsidTr="00622F40">
        <w:trPr>
          <w:trHeight w:val="255"/>
          <w:jc w:val="center"/>
        </w:trPr>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FCB7C" w14:textId="77777777" w:rsidR="00B533C0" w:rsidRPr="00783D3B" w:rsidRDefault="00B533C0" w:rsidP="00F06993">
            <w:pPr>
              <w:spacing w:after="0" w:line="240" w:lineRule="auto"/>
              <w:rPr>
                <w:rFonts w:eastAsia="Times New Roman" w:cs="Arial"/>
              </w:rPr>
            </w:pPr>
            <w:r w:rsidRPr="00783D3B">
              <w:rPr>
                <w:rFonts w:eastAsia="Times New Roman" w:cs="Arial"/>
              </w:rPr>
              <w:t> </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37C564B3" w14:textId="77777777" w:rsidR="00B533C0" w:rsidRPr="00783D3B" w:rsidRDefault="00B533C0" w:rsidP="00F06993">
            <w:pPr>
              <w:spacing w:after="0" w:line="240" w:lineRule="auto"/>
              <w:rPr>
                <w:rFonts w:eastAsia="Times New Roman" w:cs="Arial"/>
              </w:rPr>
            </w:pPr>
            <w:r w:rsidRPr="00783D3B">
              <w:rPr>
                <w:rFonts w:eastAsia="Times New Roman" w:cs="Arial"/>
              </w:rPr>
              <w:t>2010</w:t>
            </w:r>
          </w:p>
        </w:tc>
        <w:tc>
          <w:tcPr>
            <w:tcW w:w="1196" w:type="pct"/>
            <w:tcBorders>
              <w:top w:val="single" w:sz="4" w:space="0" w:color="auto"/>
              <w:left w:val="nil"/>
              <w:bottom w:val="single" w:sz="4" w:space="0" w:color="auto"/>
              <w:right w:val="single" w:sz="4" w:space="0" w:color="auto"/>
            </w:tcBorders>
            <w:shd w:val="clear" w:color="auto" w:fill="auto"/>
            <w:noWrap/>
            <w:vAlign w:val="bottom"/>
            <w:hideMark/>
          </w:tcPr>
          <w:p w14:paraId="2AB4ED63" w14:textId="77777777" w:rsidR="00B533C0" w:rsidRPr="00783D3B" w:rsidRDefault="00B533C0" w:rsidP="00F06993">
            <w:pPr>
              <w:spacing w:after="0" w:line="240" w:lineRule="auto"/>
              <w:rPr>
                <w:rFonts w:eastAsia="Times New Roman" w:cs="Arial"/>
              </w:rPr>
            </w:pPr>
            <w:r w:rsidRPr="00783D3B">
              <w:rPr>
                <w:rFonts w:eastAsia="Times New Roman" w:cs="Arial"/>
              </w:rPr>
              <w:t>2015</w:t>
            </w:r>
          </w:p>
        </w:tc>
      </w:tr>
      <w:tr w:rsidR="00B533C0" w:rsidRPr="00783D3B" w14:paraId="427756E2" w14:textId="77777777" w:rsidTr="00622F40">
        <w:trPr>
          <w:trHeight w:val="255"/>
          <w:jc w:val="center"/>
        </w:trPr>
        <w:tc>
          <w:tcPr>
            <w:tcW w:w="2607" w:type="pct"/>
            <w:tcBorders>
              <w:top w:val="nil"/>
              <w:left w:val="single" w:sz="4" w:space="0" w:color="auto"/>
              <w:bottom w:val="single" w:sz="4" w:space="0" w:color="auto"/>
              <w:right w:val="single" w:sz="4" w:space="0" w:color="auto"/>
            </w:tcBorders>
            <w:shd w:val="clear" w:color="auto" w:fill="auto"/>
            <w:noWrap/>
            <w:vAlign w:val="bottom"/>
            <w:hideMark/>
          </w:tcPr>
          <w:p w14:paraId="7BB4959A" w14:textId="77777777" w:rsidR="00B533C0" w:rsidRPr="00783D3B" w:rsidRDefault="00B533C0" w:rsidP="00F06993">
            <w:pPr>
              <w:spacing w:after="0" w:line="240" w:lineRule="auto"/>
              <w:rPr>
                <w:rFonts w:eastAsia="Times New Roman" w:cs="Arial"/>
              </w:rPr>
            </w:pPr>
            <w:r w:rsidRPr="00783D3B">
              <w:rPr>
                <w:rFonts w:eastAsia="Times New Roman" w:cs="Arial"/>
              </w:rPr>
              <w:t>Broadleaves</w:t>
            </w:r>
          </w:p>
        </w:tc>
        <w:tc>
          <w:tcPr>
            <w:tcW w:w="1198" w:type="pct"/>
            <w:tcBorders>
              <w:top w:val="nil"/>
              <w:left w:val="nil"/>
              <w:bottom w:val="single" w:sz="4" w:space="0" w:color="auto"/>
              <w:right w:val="single" w:sz="4" w:space="0" w:color="auto"/>
            </w:tcBorders>
            <w:shd w:val="clear" w:color="auto" w:fill="auto"/>
            <w:noWrap/>
            <w:vAlign w:val="bottom"/>
            <w:hideMark/>
          </w:tcPr>
          <w:p w14:paraId="340A0FDC" w14:textId="77777777" w:rsidR="00B533C0" w:rsidRPr="00783D3B" w:rsidRDefault="00B533C0" w:rsidP="00F06993">
            <w:pPr>
              <w:spacing w:after="0" w:line="240" w:lineRule="auto"/>
              <w:rPr>
                <w:rFonts w:eastAsia="Times New Roman" w:cs="Arial"/>
              </w:rPr>
            </w:pPr>
            <w:r w:rsidRPr="00783D3B">
              <w:rPr>
                <w:rFonts w:eastAsia="Times New Roman" w:cs="Arial"/>
              </w:rPr>
              <w:t>3.4</w:t>
            </w:r>
          </w:p>
        </w:tc>
        <w:tc>
          <w:tcPr>
            <w:tcW w:w="1196" w:type="pct"/>
            <w:tcBorders>
              <w:top w:val="nil"/>
              <w:left w:val="nil"/>
              <w:bottom w:val="single" w:sz="4" w:space="0" w:color="auto"/>
              <w:right w:val="single" w:sz="4" w:space="0" w:color="auto"/>
            </w:tcBorders>
            <w:shd w:val="clear" w:color="auto" w:fill="auto"/>
            <w:noWrap/>
            <w:vAlign w:val="bottom"/>
            <w:hideMark/>
          </w:tcPr>
          <w:p w14:paraId="010F4930" w14:textId="77777777" w:rsidR="00B533C0" w:rsidRPr="00783D3B" w:rsidRDefault="00B533C0" w:rsidP="00F06993">
            <w:pPr>
              <w:spacing w:after="0" w:line="240" w:lineRule="auto"/>
              <w:rPr>
                <w:rFonts w:eastAsia="Times New Roman" w:cs="Arial"/>
              </w:rPr>
            </w:pPr>
            <w:r w:rsidRPr="00783D3B">
              <w:rPr>
                <w:rFonts w:eastAsia="Times New Roman" w:cs="Arial"/>
              </w:rPr>
              <w:t>3.6</w:t>
            </w:r>
          </w:p>
        </w:tc>
      </w:tr>
      <w:tr w:rsidR="00B533C0" w:rsidRPr="00783D3B" w14:paraId="3E88519A" w14:textId="77777777" w:rsidTr="00622F40">
        <w:trPr>
          <w:trHeight w:val="255"/>
          <w:jc w:val="center"/>
        </w:trPr>
        <w:tc>
          <w:tcPr>
            <w:tcW w:w="2607" w:type="pct"/>
            <w:tcBorders>
              <w:top w:val="nil"/>
              <w:left w:val="single" w:sz="4" w:space="0" w:color="auto"/>
              <w:bottom w:val="single" w:sz="4" w:space="0" w:color="auto"/>
              <w:right w:val="single" w:sz="4" w:space="0" w:color="auto"/>
            </w:tcBorders>
            <w:shd w:val="clear" w:color="auto" w:fill="auto"/>
            <w:noWrap/>
            <w:vAlign w:val="bottom"/>
            <w:hideMark/>
          </w:tcPr>
          <w:p w14:paraId="774CE887" w14:textId="77777777" w:rsidR="00B533C0" w:rsidRPr="00783D3B" w:rsidRDefault="00B533C0" w:rsidP="00F06993">
            <w:pPr>
              <w:spacing w:after="0" w:line="240" w:lineRule="auto"/>
              <w:rPr>
                <w:rFonts w:eastAsia="Times New Roman" w:cs="Arial"/>
              </w:rPr>
            </w:pPr>
            <w:r w:rsidRPr="00783D3B">
              <w:rPr>
                <w:rFonts w:eastAsia="Times New Roman" w:cs="Arial"/>
              </w:rPr>
              <w:t>Conifers</w:t>
            </w:r>
          </w:p>
        </w:tc>
        <w:tc>
          <w:tcPr>
            <w:tcW w:w="1198" w:type="pct"/>
            <w:tcBorders>
              <w:top w:val="nil"/>
              <w:left w:val="nil"/>
              <w:bottom w:val="single" w:sz="4" w:space="0" w:color="auto"/>
              <w:right w:val="single" w:sz="4" w:space="0" w:color="auto"/>
            </w:tcBorders>
            <w:shd w:val="clear" w:color="auto" w:fill="auto"/>
            <w:noWrap/>
            <w:vAlign w:val="bottom"/>
            <w:hideMark/>
          </w:tcPr>
          <w:p w14:paraId="21E26794" w14:textId="77777777" w:rsidR="00B533C0" w:rsidRPr="00783D3B" w:rsidRDefault="00B533C0" w:rsidP="00F06993">
            <w:pPr>
              <w:spacing w:after="0" w:line="240" w:lineRule="auto"/>
              <w:rPr>
                <w:rFonts w:eastAsia="Times New Roman" w:cs="Arial"/>
              </w:rPr>
            </w:pPr>
            <w:r w:rsidRPr="00783D3B">
              <w:rPr>
                <w:rFonts w:eastAsia="Times New Roman" w:cs="Arial"/>
              </w:rPr>
              <w:t>8</w:t>
            </w:r>
          </w:p>
        </w:tc>
        <w:tc>
          <w:tcPr>
            <w:tcW w:w="1196" w:type="pct"/>
            <w:tcBorders>
              <w:top w:val="nil"/>
              <w:left w:val="nil"/>
              <w:bottom w:val="single" w:sz="4" w:space="0" w:color="auto"/>
              <w:right w:val="single" w:sz="4" w:space="0" w:color="auto"/>
            </w:tcBorders>
            <w:shd w:val="clear" w:color="auto" w:fill="auto"/>
            <w:noWrap/>
            <w:vAlign w:val="bottom"/>
            <w:hideMark/>
          </w:tcPr>
          <w:p w14:paraId="05AC5011" w14:textId="77777777" w:rsidR="00B533C0" w:rsidRPr="00783D3B" w:rsidRDefault="00B533C0" w:rsidP="00F06993">
            <w:pPr>
              <w:spacing w:after="0" w:line="240" w:lineRule="auto"/>
              <w:rPr>
                <w:rFonts w:eastAsia="Times New Roman" w:cs="Arial"/>
              </w:rPr>
            </w:pPr>
            <w:r w:rsidRPr="00783D3B">
              <w:rPr>
                <w:rFonts w:eastAsia="Times New Roman" w:cs="Arial"/>
              </w:rPr>
              <w:t>8</w:t>
            </w:r>
          </w:p>
        </w:tc>
      </w:tr>
      <w:tr w:rsidR="00B533C0" w:rsidRPr="00783D3B" w14:paraId="44636F83" w14:textId="77777777" w:rsidTr="00622F40">
        <w:trPr>
          <w:trHeight w:val="255"/>
          <w:jc w:val="center"/>
        </w:trPr>
        <w:tc>
          <w:tcPr>
            <w:tcW w:w="2607" w:type="pct"/>
            <w:tcBorders>
              <w:top w:val="nil"/>
              <w:left w:val="single" w:sz="4" w:space="0" w:color="auto"/>
              <w:bottom w:val="single" w:sz="4" w:space="0" w:color="auto"/>
              <w:right w:val="single" w:sz="4" w:space="0" w:color="auto"/>
            </w:tcBorders>
            <w:shd w:val="clear" w:color="auto" w:fill="auto"/>
            <w:noWrap/>
            <w:vAlign w:val="bottom"/>
            <w:hideMark/>
          </w:tcPr>
          <w:p w14:paraId="0EAF47FB" w14:textId="77777777" w:rsidR="00B533C0" w:rsidRPr="00783D3B" w:rsidRDefault="00B533C0" w:rsidP="00F06993">
            <w:pPr>
              <w:spacing w:after="0" w:line="240" w:lineRule="auto"/>
              <w:rPr>
                <w:rFonts w:eastAsia="Times New Roman" w:cs="Arial"/>
              </w:rPr>
            </w:pPr>
            <w:r w:rsidRPr="00783D3B">
              <w:rPr>
                <w:rFonts w:eastAsia="Times New Roman" w:cs="Arial"/>
              </w:rPr>
              <w:t>Mixed</w:t>
            </w:r>
          </w:p>
        </w:tc>
        <w:tc>
          <w:tcPr>
            <w:tcW w:w="1198" w:type="pct"/>
            <w:tcBorders>
              <w:top w:val="nil"/>
              <w:left w:val="nil"/>
              <w:bottom w:val="single" w:sz="4" w:space="0" w:color="auto"/>
              <w:right w:val="single" w:sz="4" w:space="0" w:color="auto"/>
            </w:tcBorders>
            <w:shd w:val="clear" w:color="auto" w:fill="auto"/>
            <w:noWrap/>
            <w:vAlign w:val="bottom"/>
            <w:hideMark/>
          </w:tcPr>
          <w:p w14:paraId="40F6E1EB" w14:textId="77777777" w:rsidR="00B533C0" w:rsidRPr="00783D3B" w:rsidRDefault="00B533C0" w:rsidP="00F06993">
            <w:pPr>
              <w:spacing w:after="0" w:line="240" w:lineRule="auto"/>
              <w:rPr>
                <w:rFonts w:eastAsia="Times New Roman" w:cs="Arial"/>
              </w:rPr>
            </w:pPr>
            <w:r w:rsidRPr="00783D3B">
              <w:rPr>
                <w:rFonts w:eastAsia="Times New Roman" w:cs="Arial"/>
              </w:rPr>
              <w:t>5.7</w:t>
            </w:r>
          </w:p>
        </w:tc>
        <w:tc>
          <w:tcPr>
            <w:tcW w:w="1196" w:type="pct"/>
            <w:tcBorders>
              <w:top w:val="nil"/>
              <w:left w:val="nil"/>
              <w:bottom w:val="single" w:sz="4" w:space="0" w:color="auto"/>
              <w:right w:val="single" w:sz="4" w:space="0" w:color="auto"/>
            </w:tcBorders>
            <w:shd w:val="clear" w:color="auto" w:fill="auto"/>
            <w:noWrap/>
            <w:vAlign w:val="bottom"/>
            <w:hideMark/>
          </w:tcPr>
          <w:p w14:paraId="5A45D75A" w14:textId="77777777" w:rsidR="00B533C0" w:rsidRPr="00783D3B" w:rsidRDefault="00B533C0" w:rsidP="00F06993">
            <w:pPr>
              <w:spacing w:after="0" w:line="240" w:lineRule="auto"/>
              <w:rPr>
                <w:rFonts w:eastAsia="Times New Roman" w:cs="Arial"/>
              </w:rPr>
            </w:pPr>
            <w:r w:rsidRPr="00783D3B">
              <w:rPr>
                <w:rFonts w:eastAsia="Times New Roman" w:cs="Arial"/>
              </w:rPr>
              <w:t>5.8</w:t>
            </w:r>
          </w:p>
        </w:tc>
      </w:tr>
    </w:tbl>
    <w:p w14:paraId="35B9C9EF" w14:textId="77777777" w:rsidR="005F3D43" w:rsidRDefault="005F3D43" w:rsidP="00F06993">
      <w:pPr>
        <w:spacing w:before="120"/>
      </w:pPr>
      <w:r>
        <w:t>The increment of forest is calculated thanks to 2006 IPCC guidelines (equation 2.10, tier 2)</w:t>
      </w:r>
    </w:p>
    <w:p w14:paraId="3384AB65" w14:textId="77777777" w:rsidR="005F3D43" w:rsidRDefault="005F3D43" w:rsidP="00F06993">
      <w:r w:rsidRPr="004B7EA1">
        <w:rPr>
          <w:noProof/>
          <w:lang w:val="en-US"/>
        </w:rPr>
        <w:lastRenderedPageBreak/>
        <w:drawing>
          <wp:inline distT="0" distB="0" distL="0" distR="0" wp14:anchorId="7727D4BC" wp14:editId="12BC6FB1">
            <wp:extent cx="5729743" cy="3305293"/>
            <wp:effectExtent l="0" t="0" r="4445" b="9525"/>
            <wp:docPr id="205" name="Image 205">
              <a:extLst xmlns:a="http://schemas.openxmlformats.org/drawingml/2006/main">
                <a:ext uri="{FF2B5EF4-FFF2-40B4-BE49-F238E27FC236}">
                  <a16:creationId xmlns:a16="http://schemas.microsoft.com/office/drawing/2014/main" id="{00000000-0008-0000-0400-00001B000000}"/>
                </a:ext>
              </a:extLst>
            </wp:docPr>
            <wp:cNvGraphicFramePr/>
            <a:graphic xmlns:a="http://schemas.openxmlformats.org/drawingml/2006/main">
              <a:graphicData uri="http://schemas.openxmlformats.org/drawingml/2006/picture">
                <pic:pic xmlns:pic="http://schemas.openxmlformats.org/drawingml/2006/picture">
                  <pic:nvPicPr>
                    <pic:cNvPr id="27" name="Picture 2">
                      <a:extLst>
                        <a:ext uri="{FF2B5EF4-FFF2-40B4-BE49-F238E27FC236}">
                          <a16:creationId xmlns:a16="http://schemas.microsoft.com/office/drawing/2014/main" id="{00000000-0008-0000-0400-00001B000000}"/>
                        </a:ext>
                      </a:extLst>
                    </pic:cNvPr>
                    <pic:cNvPicPr>
                      <a:picLocks noChangeAspect="1" noChangeArrowheads="1"/>
                    </pic:cNvPicPr>
                  </pic:nvPicPr>
                  <pic:blipFill>
                    <a:blip r:embed="rId181" cstate="print"/>
                    <a:srcRect/>
                    <a:stretch>
                      <a:fillRect/>
                    </a:stretch>
                  </pic:blipFill>
                  <pic:spPr bwMode="auto">
                    <a:xfrm>
                      <a:off x="0" y="0"/>
                      <a:ext cx="5732788" cy="3307050"/>
                    </a:xfrm>
                    <a:prstGeom prst="rect">
                      <a:avLst/>
                    </a:prstGeom>
                    <a:noFill/>
                    <a:ln w="9525">
                      <a:noFill/>
                      <a:miter lim="800000"/>
                      <a:headEnd/>
                      <a:tailEnd/>
                    </a:ln>
                  </pic:spPr>
                </pic:pic>
              </a:graphicData>
            </a:graphic>
          </wp:inline>
        </w:drawing>
      </w:r>
    </w:p>
    <w:p w14:paraId="03B005CE" w14:textId="77777777" w:rsidR="005F3D43" w:rsidRDefault="005F3D43" w:rsidP="00F06993">
      <w:r>
        <w:t>The losses of forest is calculated thanks to 2006 IPCC guidelines (equations 2.11 and 2.12).</w:t>
      </w:r>
    </w:p>
    <w:p w14:paraId="12DB6796" w14:textId="77777777" w:rsidR="005F3D43" w:rsidRDefault="005F3D43" w:rsidP="00F06993">
      <w:r w:rsidRPr="004B7EA1">
        <w:rPr>
          <w:noProof/>
          <w:lang w:val="en-US"/>
        </w:rPr>
        <w:drawing>
          <wp:inline distT="0" distB="0" distL="0" distR="0" wp14:anchorId="3424D5C1" wp14:editId="0B025CB7">
            <wp:extent cx="5710555" cy="2122486"/>
            <wp:effectExtent l="0" t="0" r="4445" b="0"/>
            <wp:docPr id="207" name="Image 207">
              <a:extLst xmlns:a="http://schemas.openxmlformats.org/drawingml/2006/main">
                <a:ext uri="{FF2B5EF4-FFF2-40B4-BE49-F238E27FC236}">
                  <a16:creationId xmlns:a16="http://schemas.microsoft.com/office/drawing/2014/main" id="{00000000-0008-0000-0400-000001280000}"/>
                </a:ext>
              </a:extLst>
            </wp:docPr>
            <wp:cNvGraphicFramePr/>
            <a:graphic xmlns:a="http://schemas.openxmlformats.org/drawingml/2006/main">
              <a:graphicData uri="http://schemas.openxmlformats.org/drawingml/2006/picture">
                <pic:pic xmlns:pic="http://schemas.openxmlformats.org/drawingml/2006/picture">
                  <pic:nvPicPr>
                    <pic:cNvPr id="10241" name="Picture 2">
                      <a:extLst>
                        <a:ext uri="{FF2B5EF4-FFF2-40B4-BE49-F238E27FC236}">
                          <a16:creationId xmlns:a16="http://schemas.microsoft.com/office/drawing/2014/main" id="{00000000-0008-0000-0400-000001280000}"/>
                        </a:ext>
                      </a:extLst>
                    </pic:cNvPr>
                    <pic:cNvPicPr>
                      <a:picLocks noChangeAspect="1" noChangeArrowheads="1"/>
                    </pic:cNvPicPr>
                  </pic:nvPicPr>
                  <pic:blipFill>
                    <a:blip r:embed="rId182" cstate="print"/>
                    <a:srcRect/>
                    <a:stretch>
                      <a:fillRect/>
                    </a:stretch>
                  </pic:blipFill>
                  <pic:spPr bwMode="auto">
                    <a:xfrm>
                      <a:off x="0" y="0"/>
                      <a:ext cx="5718603" cy="2125477"/>
                    </a:xfrm>
                    <a:prstGeom prst="rect">
                      <a:avLst/>
                    </a:prstGeom>
                    <a:noFill/>
                    <a:ln w="9525">
                      <a:noFill/>
                      <a:miter lim="800000"/>
                      <a:headEnd/>
                      <a:tailEnd/>
                    </a:ln>
                  </pic:spPr>
                </pic:pic>
              </a:graphicData>
            </a:graphic>
          </wp:inline>
        </w:drawing>
      </w:r>
    </w:p>
    <w:p w14:paraId="06219E5E" w14:textId="77777777" w:rsidR="005F3D43" w:rsidRDefault="005F3D43" w:rsidP="00F06993">
      <w:r w:rsidRPr="004B7EA1">
        <w:rPr>
          <w:noProof/>
          <w:lang w:val="en-US"/>
        </w:rPr>
        <w:drawing>
          <wp:inline distT="0" distB="0" distL="0" distR="0" wp14:anchorId="35E2BD31" wp14:editId="72DA92AD">
            <wp:extent cx="5745646" cy="2983789"/>
            <wp:effectExtent l="0" t="0" r="7620" b="7620"/>
            <wp:docPr id="208" name="Image 208">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1">
                      <a:extLst>
                        <a:ext uri="{FF2B5EF4-FFF2-40B4-BE49-F238E27FC236}">
                          <a16:creationId xmlns:a16="http://schemas.microsoft.com/office/drawing/2014/main" id="{00000000-0008-0000-0400-000004000000}"/>
                        </a:ext>
                      </a:extLst>
                    </pic:cNvPr>
                    <pic:cNvPicPr>
                      <a:picLocks noChangeAspect="1" noChangeArrowheads="1"/>
                    </pic:cNvPicPr>
                  </pic:nvPicPr>
                  <pic:blipFill>
                    <a:blip r:embed="rId183" cstate="print"/>
                    <a:srcRect b="16642"/>
                    <a:stretch>
                      <a:fillRect/>
                    </a:stretch>
                  </pic:blipFill>
                  <pic:spPr bwMode="auto">
                    <a:xfrm>
                      <a:off x="0" y="0"/>
                      <a:ext cx="5749122" cy="2985594"/>
                    </a:xfrm>
                    <a:prstGeom prst="rect">
                      <a:avLst/>
                    </a:prstGeom>
                    <a:noFill/>
                    <a:ln w="1">
                      <a:noFill/>
                      <a:miter lim="800000"/>
                      <a:headEnd/>
                      <a:tailEnd type="none" w="med" len="med"/>
                    </a:ln>
                    <a:effectLst/>
                  </pic:spPr>
                </pic:pic>
              </a:graphicData>
            </a:graphic>
          </wp:inline>
        </w:drawing>
      </w:r>
    </w:p>
    <w:p w14:paraId="52C52A74" w14:textId="721E3899" w:rsidR="005F3D43" w:rsidRDefault="005F3D43" w:rsidP="00F06993">
      <w:r>
        <w:lastRenderedPageBreak/>
        <w:t>The losses are based on different sets of data. Commercial woods are based on statistical yearbooks and are available for the entire series 1990-20</w:t>
      </w:r>
      <w:r w:rsidR="00AC7770">
        <w:t>22</w:t>
      </w:r>
      <w:r>
        <w:t xml:space="preserve">. </w:t>
      </w:r>
    </w:p>
    <w:p w14:paraId="70FA87B8" w14:textId="77777777" w:rsidR="005F3D43" w:rsidRDefault="005F3D43" w:rsidP="00F06993">
      <w:r>
        <w:t>Different types of data for harvest fuel wood exist:</w:t>
      </w:r>
    </w:p>
    <w:p w14:paraId="5635870B" w14:textId="77777777" w:rsidR="005F3D43" w:rsidRDefault="005F3D43" w:rsidP="00F06993">
      <w:pPr>
        <w:pStyle w:val="ListParagraph"/>
        <w:numPr>
          <w:ilvl w:val="0"/>
          <w:numId w:val="53"/>
        </w:numPr>
      </w:pPr>
      <w:r>
        <w:t xml:space="preserve">FAOSTAT data </w:t>
      </w:r>
    </w:p>
    <w:p w14:paraId="5E8A8BBC" w14:textId="77777777" w:rsidR="005F3D43" w:rsidRDefault="005F3D43" w:rsidP="00F06993">
      <w:pPr>
        <w:pStyle w:val="ListParagraph"/>
        <w:numPr>
          <w:ilvl w:val="0"/>
          <w:numId w:val="53"/>
        </w:numPr>
      </w:pPr>
      <w:r>
        <w:t>Statistical bulletin- Forestry in the Republic of Serbia 2005-2012</w:t>
      </w:r>
    </w:p>
    <w:p w14:paraId="041F83DE" w14:textId="77777777" w:rsidR="005F3D43" w:rsidRDefault="005F3D43" w:rsidP="00F06993">
      <w:pPr>
        <w:pStyle w:val="ListParagraph"/>
        <w:numPr>
          <w:ilvl w:val="0"/>
          <w:numId w:val="53"/>
        </w:numPr>
      </w:pPr>
      <w:r>
        <w:t>Energy Balance of Serbia</w:t>
      </w:r>
    </w:p>
    <w:p w14:paraId="48128396" w14:textId="2793478B" w:rsidR="005F3D43" w:rsidRDefault="005F3D43" w:rsidP="00F06993">
      <w:r w:rsidRPr="00783D3B">
        <w:t>Considering the recommendation of the forestry Service the most reliable data for fuel</w:t>
      </w:r>
      <w:r>
        <w:t xml:space="preserve"> wood is the one of FAOSTAT </w:t>
      </w:r>
      <w:r w:rsidRPr="00783D3B">
        <w:t>for the most recent years</w:t>
      </w:r>
      <w:r w:rsidR="001A3A6A">
        <w:t xml:space="preserve"> (since 2010)</w:t>
      </w:r>
      <w:r w:rsidRPr="00783D3B">
        <w:t xml:space="preserve">. </w:t>
      </w:r>
      <w:r>
        <w:t>Consequently FAO</w:t>
      </w:r>
      <w:r w:rsidRPr="00783D3B">
        <w:t xml:space="preserve"> </w:t>
      </w:r>
      <w:r>
        <w:t>was</w:t>
      </w:r>
      <w:r w:rsidRPr="00783D3B">
        <w:t xml:space="preserve"> chosen </w:t>
      </w:r>
      <w:r>
        <w:t>as</w:t>
      </w:r>
      <w:r w:rsidRPr="00783D3B">
        <w:t xml:space="preserve"> the reference and the previous years are extrapolated on the basis of the yearbook</w:t>
      </w:r>
      <w:r>
        <w:t>.</w:t>
      </w:r>
    </w:p>
    <w:p w14:paraId="094EE437" w14:textId="77777777" w:rsidR="005F3D43" w:rsidRDefault="005F3D43" w:rsidP="00F06993">
      <w:pPr>
        <w:pStyle w:val="ListParagraph"/>
        <w:numPr>
          <w:ilvl w:val="0"/>
          <w:numId w:val="51"/>
        </w:numPr>
      </w:pPr>
      <w:r>
        <w:t>Dead organic matter (dead wood, litter)</w:t>
      </w:r>
    </w:p>
    <w:p w14:paraId="3295D9D6" w14:textId="77777777" w:rsidR="005F3D43" w:rsidRDefault="005F3D43" w:rsidP="00F06993">
      <w:r>
        <w:t xml:space="preserve">On forest remaining forest equilibrium is assumed for dead organic matter, it is reported as not estimated in the Serbian inventory. </w:t>
      </w:r>
    </w:p>
    <w:p w14:paraId="39D2C800" w14:textId="77777777" w:rsidR="005F3D43" w:rsidRDefault="005F3D43" w:rsidP="00F06993">
      <w:pPr>
        <w:pStyle w:val="ListParagraph"/>
        <w:numPr>
          <w:ilvl w:val="0"/>
          <w:numId w:val="51"/>
        </w:numPr>
      </w:pPr>
      <w:r>
        <w:t>Soils (mineral and organic soils)</w:t>
      </w:r>
    </w:p>
    <w:p w14:paraId="664F78FF" w14:textId="77777777" w:rsidR="005F3D43" w:rsidRDefault="005F3D43" w:rsidP="00F06993">
      <w:r>
        <w:t>It is assumed that in Serbia no organic soils exist in forestlands.</w:t>
      </w:r>
    </w:p>
    <w:p w14:paraId="11E1B60A" w14:textId="77777777" w:rsidR="005F3D43" w:rsidRDefault="005F3D43" w:rsidP="00F06993">
      <w:r>
        <w:t>On forest remaining forest, equilibrium is assumed for mineral soil, it is reported as not estimated in the Serbian inventory.</w:t>
      </w:r>
    </w:p>
    <w:p w14:paraId="1B116A96" w14:textId="77777777" w:rsidR="005F3D43" w:rsidRDefault="005F3D43" w:rsidP="00F06993">
      <w:pPr>
        <w:pStyle w:val="Heading5"/>
        <w:spacing w:before="200" w:after="0" w:line="276" w:lineRule="auto"/>
      </w:pPr>
      <w:bookmarkStart w:id="878" w:name="_Toc182327966"/>
      <w:r w:rsidRPr="00A76C94">
        <w:t>Direct N</w:t>
      </w:r>
      <w:r w:rsidRPr="00622F40">
        <w:rPr>
          <w:vertAlign w:val="subscript"/>
        </w:rPr>
        <w:t>2</w:t>
      </w:r>
      <w:r w:rsidRPr="00A76C94">
        <w:t>O Emissions from N Inputs to Managed Soils</w:t>
      </w:r>
      <w:bookmarkEnd w:id="878"/>
    </w:p>
    <w:p w14:paraId="0632C4E0" w14:textId="77777777" w:rsidR="005F3D43" w:rsidRPr="00F054D7" w:rsidRDefault="005F3D43" w:rsidP="00F06993">
      <w:pPr>
        <w:spacing w:before="120"/>
      </w:pPr>
      <w:r>
        <w:t>It is assumed that no other land but agricultural land is fertilized in Serbia, thus direct N</w:t>
      </w:r>
      <w:r w:rsidRPr="00622F40">
        <w:rPr>
          <w:vertAlign w:val="subscript"/>
        </w:rPr>
        <w:t>2</w:t>
      </w:r>
      <w:r>
        <w:t>O emissions are reported as not occurring.</w:t>
      </w:r>
    </w:p>
    <w:p w14:paraId="64B78AAF" w14:textId="77777777" w:rsidR="005F3D43" w:rsidRDefault="005F3D43" w:rsidP="00F06993">
      <w:pPr>
        <w:pStyle w:val="Heading5"/>
        <w:spacing w:before="200" w:after="0" w:line="276" w:lineRule="auto"/>
      </w:pPr>
      <w:bookmarkStart w:id="879" w:name="_Toc182327967"/>
      <w:r w:rsidRPr="00A76C94">
        <w:t>Emissions and removals from drainage and rewetting and other management of organic and mineral soils</w:t>
      </w:r>
      <w:bookmarkEnd w:id="879"/>
    </w:p>
    <w:p w14:paraId="70503616" w14:textId="77777777" w:rsidR="005F3D43" w:rsidRPr="00F054D7" w:rsidRDefault="005F3D43" w:rsidP="00F06993">
      <w:pPr>
        <w:spacing w:before="120"/>
      </w:pPr>
      <w:r>
        <w:t>Drainage and rewetting of organic and mineral soils are assumed to be not occurring in Serbia, thus related emissions and removals are reported as not occurring.</w:t>
      </w:r>
    </w:p>
    <w:p w14:paraId="5037D404" w14:textId="77777777" w:rsidR="005F3D43" w:rsidRDefault="005F3D43" w:rsidP="00F06993">
      <w:pPr>
        <w:pStyle w:val="Heading5"/>
        <w:spacing w:before="200" w:after="0" w:line="276" w:lineRule="auto"/>
      </w:pPr>
      <w:bookmarkStart w:id="880" w:name="_Toc182327968"/>
      <w:r w:rsidRPr="00A76C94">
        <w:t>Direct N</w:t>
      </w:r>
      <w:r w:rsidRPr="00622F40">
        <w:rPr>
          <w:vertAlign w:val="subscript"/>
        </w:rPr>
        <w:t>2</w:t>
      </w:r>
      <w:r w:rsidRPr="00A76C94">
        <w:t>O Emissions from N Mineralization/Immobilization</w:t>
      </w:r>
      <w:bookmarkEnd w:id="880"/>
    </w:p>
    <w:p w14:paraId="08CD7832" w14:textId="77777777" w:rsidR="005F3D43" w:rsidRPr="00B15266" w:rsidRDefault="005F3D43" w:rsidP="00F06993">
      <w:pPr>
        <w:spacing w:before="120"/>
      </w:pPr>
      <w:r>
        <w:t>No carbon losses are estimated from soils, thus d</w:t>
      </w:r>
      <w:r w:rsidRPr="0095681F">
        <w:t>irect N</w:t>
      </w:r>
      <w:r w:rsidRPr="00622F40">
        <w:rPr>
          <w:vertAlign w:val="subscript"/>
        </w:rPr>
        <w:t>2</w:t>
      </w:r>
      <w:r w:rsidRPr="0095681F">
        <w:t xml:space="preserve">O </w:t>
      </w:r>
      <w:r>
        <w:t xml:space="preserve">Emissions from N Mineralization are reported as not occurring for forest remaining forest. </w:t>
      </w:r>
    </w:p>
    <w:p w14:paraId="4D88C85E" w14:textId="77777777" w:rsidR="005F3D43" w:rsidRDefault="005F3D43" w:rsidP="00F06993">
      <w:pPr>
        <w:pStyle w:val="Heading5"/>
        <w:spacing w:before="200" w:after="0" w:line="276" w:lineRule="auto"/>
      </w:pPr>
      <w:bookmarkStart w:id="881" w:name="_Toc182327969"/>
      <w:r w:rsidRPr="00A76C94">
        <w:t>Indirect N</w:t>
      </w:r>
      <w:r w:rsidRPr="00622F40">
        <w:rPr>
          <w:vertAlign w:val="subscript"/>
        </w:rPr>
        <w:t>2</w:t>
      </w:r>
      <w:r w:rsidRPr="00A76C94">
        <w:t>O Emissions from Managed Soils</w:t>
      </w:r>
      <w:bookmarkEnd w:id="881"/>
    </w:p>
    <w:p w14:paraId="137B8C74" w14:textId="77777777" w:rsidR="005F3D43" w:rsidRPr="00881B25" w:rsidRDefault="005F3D43" w:rsidP="00F06993">
      <w:r>
        <w:t>No direct N</w:t>
      </w:r>
      <w:r w:rsidRPr="00622F40">
        <w:rPr>
          <w:vertAlign w:val="subscript"/>
        </w:rPr>
        <w:t>2</w:t>
      </w:r>
      <w:r>
        <w:t>O emissions are estimated on these areas, thus indirect N</w:t>
      </w:r>
      <w:r w:rsidRPr="00622F40">
        <w:rPr>
          <w:vertAlign w:val="subscript"/>
        </w:rPr>
        <w:t>2</w:t>
      </w:r>
      <w:r>
        <w:t>O emissions from soils are also assumed as not occurring.</w:t>
      </w:r>
    </w:p>
    <w:p w14:paraId="05C7EA81" w14:textId="77777777" w:rsidR="005F3D43" w:rsidRDefault="005F3D43" w:rsidP="00F06993">
      <w:pPr>
        <w:pStyle w:val="Heading5"/>
        <w:spacing w:before="200" w:after="0" w:line="276" w:lineRule="auto"/>
      </w:pPr>
      <w:bookmarkStart w:id="882" w:name="_Toc182327970"/>
      <w:r w:rsidRPr="00A76C94">
        <w:t>Biomass Burning</w:t>
      </w:r>
      <w:bookmarkEnd w:id="882"/>
    </w:p>
    <w:p w14:paraId="617BF85B" w14:textId="77777777" w:rsidR="005F3D43" w:rsidRDefault="005F3D43" w:rsidP="00F06993">
      <w:pPr>
        <w:spacing w:before="120"/>
      </w:pPr>
      <w:r>
        <w:t>It is likely that controlled burning exists in Serbia but no data are available. Currently it is reported as not estimated.</w:t>
      </w:r>
    </w:p>
    <w:p w14:paraId="6BF39C50" w14:textId="77777777" w:rsidR="005F3D43" w:rsidRDefault="005F3D43" w:rsidP="00F06993">
      <w:pPr>
        <w:spacing w:before="120"/>
      </w:pPr>
      <w:r>
        <w:t>Wildfires are estimated and it is considered that all forest wildfires are in the category forestlands remaining forestlands.</w:t>
      </w:r>
    </w:p>
    <w:p w14:paraId="19BE5108" w14:textId="77777777" w:rsidR="00F06993" w:rsidRPr="00B15266" w:rsidRDefault="00F06993" w:rsidP="00F06993">
      <w:pPr>
        <w:spacing w:before="120"/>
      </w:pPr>
    </w:p>
    <w:p w14:paraId="7BC0A06C" w14:textId="45CDF72E" w:rsidR="005F3D43" w:rsidRPr="00A76C94" w:rsidRDefault="005F3D43" w:rsidP="00F06993">
      <w:pPr>
        <w:pStyle w:val="Heading4"/>
        <w:keepNext/>
        <w:keepLines/>
        <w:tabs>
          <w:tab w:val="clear" w:pos="993"/>
          <w:tab w:val="clear" w:pos="2127"/>
        </w:tabs>
        <w:spacing w:before="200" w:after="0" w:line="276" w:lineRule="auto"/>
      </w:pPr>
      <w:bookmarkStart w:id="883" w:name="_Toc182327971"/>
      <w:r>
        <w:lastRenderedPageBreak/>
        <w:t>Land converted to forestlands (</w:t>
      </w:r>
      <w:r w:rsidR="00C83924">
        <w:t xml:space="preserve">CRT </w:t>
      </w:r>
      <w:r>
        <w:t>4A2)</w:t>
      </w:r>
      <w:bookmarkEnd w:id="883"/>
    </w:p>
    <w:p w14:paraId="27D736B6" w14:textId="77777777" w:rsidR="005F3D43" w:rsidRPr="00A76C94" w:rsidRDefault="005F3D43" w:rsidP="00F06993">
      <w:pPr>
        <w:pStyle w:val="Heading5"/>
        <w:spacing w:before="200" w:after="0" w:line="276" w:lineRule="auto"/>
      </w:pPr>
      <w:bookmarkStart w:id="884" w:name="_Toc182327972"/>
      <w:r w:rsidRPr="00A76C94">
        <w:t>Carbon stock changes</w:t>
      </w:r>
      <w:bookmarkEnd w:id="884"/>
      <w:r w:rsidRPr="00A76C94">
        <w:t xml:space="preserve"> </w:t>
      </w:r>
    </w:p>
    <w:p w14:paraId="065AB81E" w14:textId="77777777" w:rsidR="005F3D43" w:rsidRDefault="005F3D43" w:rsidP="00F06993">
      <w:pPr>
        <w:pStyle w:val="ListParagraph"/>
        <w:numPr>
          <w:ilvl w:val="0"/>
          <w:numId w:val="51"/>
        </w:numPr>
        <w:spacing w:before="120" w:after="0"/>
        <w:ind w:left="714" w:hanging="357"/>
      </w:pPr>
      <w:r>
        <w:t>Living biomass</w:t>
      </w:r>
    </w:p>
    <w:p w14:paraId="6155FBC3" w14:textId="77777777" w:rsidR="005F3D43" w:rsidRDefault="005F3D43" w:rsidP="00F06993">
      <w:pPr>
        <w:spacing w:before="120" w:after="120"/>
      </w:pPr>
      <w:r>
        <w:t>Fluxes on living biomass are estimated thanks to a Gain-loss method.</w:t>
      </w:r>
    </w:p>
    <w:p w14:paraId="3AA84FC4" w14:textId="77777777" w:rsidR="005F3D43" w:rsidRDefault="005F3D43" w:rsidP="00F06993">
      <w:pPr>
        <w:spacing w:before="120" w:after="120"/>
      </w:pPr>
      <w:r>
        <w:t xml:space="preserve">Gains are based on increment provided by the FRA 2015 report of Serbia. Losses of living biomass are not occurring because it is assumed that the forests are too young for harvesting. It is also important to note that it would be a challenge to distinguish living biomass losses between categories of forest. </w:t>
      </w:r>
    </w:p>
    <w:p w14:paraId="6608E991" w14:textId="77777777" w:rsidR="005F3D43" w:rsidRDefault="005F3D43" w:rsidP="00F06993">
      <w:pPr>
        <w:pStyle w:val="ListParagraph"/>
        <w:numPr>
          <w:ilvl w:val="0"/>
          <w:numId w:val="51"/>
        </w:numPr>
        <w:spacing w:after="0"/>
      </w:pPr>
      <w:r>
        <w:t>Dead organic matter (deadwood, litter)</w:t>
      </w:r>
    </w:p>
    <w:p w14:paraId="7EF557EF" w14:textId="77777777" w:rsidR="005F3D43" w:rsidRDefault="005F3D43" w:rsidP="00F06993">
      <w:pPr>
        <w:spacing w:before="120" w:after="120"/>
      </w:pPr>
      <w:r>
        <w:t xml:space="preserve">Removals on land converted to forest are estimated for land converted to forest. IPCC guidelines do not provide default value for deadwood but a value of 16tC/ha (Table 2.2) for litter. All removals reported under land converted to forest for dead organic matters are related to litter. </w:t>
      </w:r>
    </w:p>
    <w:p w14:paraId="253B5A1F" w14:textId="77777777" w:rsidR="005F3D43" w:rsidRDefault="005F3D43" w:rsidP="00F06993">
      <w:pPr>
        <w:pStyle w:val="ListParagraph"/>
        <w:numPr>
          <w:ilvl w:val="0"/>
          <w:numId w:val="51"/>
        </w:numPr>
        <w:spacing w:after="0"/>
      </w:pPr>
      <w:r>
        <w:t>Soils (mineral and organic soils)</w:t>
      </w:r>
    </w:p>
    <w:p w14:paraId="70FD191F" w14:textId="77777777" w:rsidR="005F3D43" w:rsidRDefault="005F3D43" w:rsidP="00F06993">
      <w:pPr>
        <w:spacing w:before="120" w:after="120"/>
      </w:pPr>
      <w:r>
        <w:t xml:space="preserve">It is assumed that in Serbia no organic soils exist in forestlands. </w:t>
      </w:r>
    </w:p>
    <w:p w14:paraId="38B9AD81" w14:textId="77777777" w:rsidR="005F3D43" w:rsidRDefault="005F3D43" w:rsidP="00F06993">
      <w:pPr>
        <w:spacing w:before="120" w:after="120"/>
      </w:pPr>
      <w:r>
        <w:t>Fluxes on mineral soils are estimated thanks to a stock-difference method.</w:t>
      </w:r>
    </w:p>
    <w:p w14:paraId="4641EF6D" w14:textId="77777777" w:rsidR="005F3D43" w:rsidRDefault="005F3D43" w:rsidP="00F06993">
      <w:pPr>
        <w:pStyle w:val="Heading5"/>
        <w:spacing w:before="200" w:after="0" w:line="276" w:lineRule="auto"/>
      </w:pPr>
      <w:bookmarkStart w:id="885" w:name="_Toc182327973"/>
      <w:r w:rsidRPr="00A76C94">
        <w:t>Direct N</w:t>
      </w:r>
      <w:r w:rsidRPr="00622F40">
        <w:rPr>
          <w:vertAlign w:val="subscript"/>
        </w:rPr>
        <w:t>2</w:t>
      </w:r>
      <w:r w:rsidRPr="00A76C94">
        <w:t>O Emissions from N Inputs to Managed Soils</w:t>
      </w:r>
      <w:bookmarkEnd w:id="885"/>
    </w:p>
    <w:p w14:paraId="6A8AFFF6" w14:textId="77777777" w:rsidR="005F3D43" w:rsidRPr="00F054D7" w:rsidRDefault="005F3D43" w:rsidP="00F06993">
      <w:pPr>
        <w:spacing w:before="120"/>
      </w:pPr>
      <w:r>
        <w:t>It is assumed that no other land but agricultural land is fertilized in Serbia, thus direct N2O emissions are reported as not occurring.</w:t>
      </w:r>
    </w:p>
    <w:p w14:paraId="718A78A0" w14:textId="77777777" w:rsidR="005F3D43" w:rsidRDefault="005F3D43" w:rsidP="00F06993">
      <w:pPr>
        <w:pStyle w:val="Heading5"/>
        <w:spacing w:before="200" w:after="0" w:line="276" w:lineRule="auto"/>
      </w:pPr>
      <w:bookmarkStart w:id="886" w:name="_Toc182327974"/>
      <w:r w:rsidRPr="00A76C94">
        <w:t>Emissions and removals from drainage and rewetting and other management of organic and mineral soils</w:t>
      </w:r>
      <w:bookmarkEnd w:id="886"/>
    </w:p>
    <w:p w14:paraId="6842806B" w14:textId="77777777" w:rsidR="005F3D43" w:rsidRPr="00F054D7" w:rsidRDefault="005F3D43" w:rsidP="00F06993">
      <w:pPr>
        <w:spacing w:before="120"/>
      </w:pPr>
      <w:r>
        <w:t>Drainage and rewetting of organic and mineral soils are assumed to be not occurring in Serbia, thus related emissions and removals are reported as not occurring.</w:t>
      </w:r>
    </w:p>
    <w:p w14:paraId="5A457118" w14:textId="77777777" w:rsidR="005F3D43" w:rsidRDefault="005F3D43" w:rsidP="00F06993">
      <w:pPr>
        <w:pStyle w:val="Heading5"/>
        <w:spacing w:before="200" w:after="0" w:line="276" w:lineRule="auto"/>
      </w:pPr>
      <w:bookmarkStart w:id="887" w:name="_Toc182327975"/>
      <w:r w:rsidRPr="00A76C94">
        <w:t>Direct N</w:t>
      </w:r>
      <w:r w:rsidRPr="00622F40">
        <w:rPr>
          <w:vertAlign w:val="subscript"/>
        </w:rPr>
        <w:t>2</w:t>
      </w:r>
      <w:r w:rsidRPr="00A76C94">
        <w:t>O Emissions from N Mineralization/Immobilization</w:t>
      </w:r>
      <w:bookmarkEnd w:id="887"/>
    </w:p>
    <w:p w14:paraId="351098F6" w14:textId="77777777" w:rsidR="005F3D43" w:rsidRPr="00B15266" w:rsidRDefault="005F3D43" w:rsidP="00F06993">
      <w:pPr>
        <w:spacing w:before="120"/>
      </w:pPr>
      <w:r>
        <w:t>No carbon losses are estimated from soils, thus d</w:t>
      </w:r>
      <w:r w:rsidRPr="0095681F">
        <w:t>irect N</w:t>
      </w:r>
      <w:r w:rsidRPr="00622F40">
        <w:rPr>
          <w:vertAlign w:val="subscript"/>
        </w:rPr>
        <w:t>2</w:t>
      </w:r>
      <w:r w:rsidRPr="0095681F">
        <w:t xml:space="preserve">O </w:t>
      </w:r>
      <w:r>
        <w:t xml:space="preserve">Emissions from N Mineralization are reported as not occurring for land converted to forest. </w:t>
      </w:r>
    </w:p>
    <w:p w14:paraId="58C8D6C7" w14:textId="77777777" w:rsidR="005F3D43" w:rsidRDefault="005F3D43" w:rsidP="00F06993">
      <w:pPr>
        <w:pStyle w:val="Heading5"/>
        <w:spacing w:before="200" w:after="0" w:line="276" w:lineRule="auto"/>
      </w:pPr>
      <w:bookmarkStart w:id="888" w:name="_Toc182327976"/>
      <w:r w:rsidRPr="00A76C94">
        <w:t>Indirect N</w:t>
      </w:r>
      <w:r w:rsidRPr="00622F40">
        <w:rPr>
          <w:vertAlign w:val="subscript"/>
        </w:rPr>
        <w:t>2</w:t>
      </w:r>
      <w:r w:rsidRPr="00A76C94">
        <w:t>O Emissions from Managed Soils</w:t>
      </w:r>
      <w:bookmarkEnd w:id="888"/>
    </w:p>
    <w:p w14:paraId="2BE48016" w14:textId="77777777" w:rsidR="005F3D43" w:rsidRPr="00881B25" w:rsidRDefault="005F3D43" w:rsidP="00F06993">
      <w:r>
        <w:t>No direct N</w:t>
      </w:r>
      <w:r w:rsidRPr="00622F40">
        <w:rPr>
          <w:vertAlign w:val="subscript"/>
        </w:rPr>
        <w:t>2</w:t>
      </w:r>
      <w:r>
        <w:t>O emissions are estimated on these areas, thus indirect N</w:t>
      </w:r>
      <w:r w:rsidRPr="00622F40">
        <w:rPr>
          <w:vertAlign w:val="subscript"/>
        </w:rPr>
        <w:t>2</w:t>
      </w:r>
      <w:r>
        <w:t>O emissions from soils are also assumed as not occurring.</w:t>
      </w:r>
    </w:p>
    <w:p w14:paraId="7812A621" w14:textId="77777777" w:rsidR="005F3D43" w:rsidRDefault="005F3D43" w:rsidP="00F06993">
      <w:pPr>
        <w:pStyle w:val="Heading5"/>
        <w:spacing w:before="200" w:after="0" w:line="276" w:lineRule="auto"/>
      </w:pPr>
      <w:bookmarkStart w:id="889" w:name="_Toc182327977"/>
      <w:r w:rsidRPr="00A76C94">
        <w:t>Biomass Burning</w:t>
      </w:r>
      <w:bookmarkEnd w:id="889"/>
    </w:p>
    <w:p w14:paraId="7E7C2D88" w14:textId="77777777" w:rsidR="005F3D43" w:rsidRDefault="005F3D43" w:rsidP="00F06993">
      <w:pPr>
        <w:spacing w:before="120"/>
      </w:pPr>
      <w:r>
        <w:t>It is likely that controlled burning exists in Serbia but no data are available. Currently it is reported as not estimated.</w:t>
      </w:r>
    </w:p>
    <w:p w14:paraId="7CEBA9D2" w14:textId="77777777" w:rsidR="005F3D43" w:rsidRPr="00CA7A5D" w:rsidRDefault="005F3D43" w:rsidP="00F06993">
      <w:pPr>
        <w:spacing w:before="120"/>
      </w:pPr>
      <w:r>
        <w:t xml:space="preserve">Wildfires are included elsewhere (in forestlands remaining forestlands). </w:t>
      </w:r>
    </w:p>
    <w:p w14:paraId="77DEE162" w14:textId="2EC88A75" w:rsidR="005F3D43" w:rsidRDefault="005F3D43" w:rsidP="00F06993">
      <w:pPr>
        <w:pStyle w:val="Heading3"/>
        <w:keepNext/>
        <w:keepLines/>
        <w:tabs>
          <w:tab w:val="clear" w:pos="142"/>
          <w:tab w:val="clear" w:pos="1134"/>
        </w:tabs>
        <w:spacing w:before="360" w:after="0" w:line="276" w:lineRule="auto"/>
      </w:pPr>
      <w:bookmarkStart w:id="890" w:name="_Toc182327978"/>
      <w:bookmarkStart w:id="891" w:name="_Toc184808306"/>
      <w:r>
        <w:t>Uncertainties and time-series consistency</w:t>
      </w:r>
      <w:bookmarkEnd w:id="890"/>
      <w:bookmarkEnd w:id="891"/>
    </w:p>
    <w:p w14:paraId="06590398" w14:textId="44C579EF" w:rsidR="00BD6A2E" w:rsidRPr="002462F0" w:rsidRDefault="00BD6A2E" w:rsidP="00F06993">
      <w:pPr>
        <w:pStyle w:val="BodyText"/>
        <w:rPr>
          <w:lang w:eastAsia="fr-FR"/>
        </w:rPr>
      </w:pPr>
      <w:r w:rsidRPr="002462F0">
        <w:rPr>
          <w:lang w:eastAsia="fr-FR"/>
        </w:rPr>
        <w:t xml:space="preserve">Uncertainty estimate associated with activity data amounts to </w:t>
      </w:r>
      <w:r>
        <w:rPr>
          <w:lang w:eastAsia="fr-FR"/>
        </w:rPr>
        <w:t>10</w:t>
      </w:r>
      <w:r w:rsidRPr="002462F0">
        <w:rPr>
          <w:lang w:eastAsia="fr-FR"/>
        </w:rPr>
        <w:t>%, based on expert judgment.</w:t>
      </w:r>
    </w:p>
    <w:p w14:paraId="1FEB809D" w14:textId="0C6E2C50" w:rsidR="00BD6A2E" w:rsidRPr="002462F0" w:rsidRDefault="00BD6A2E" w:rsidP="00F06993">
      <w:pPr>
        <w:pStyle w:val="BodyText"/>
        <w:rPr>
          <w:lang w:eastAsia="fr-FR"/>
        </w:rPr>
      </w:pPr>
      <w:r w:rsidRPr="002462F0">
        <w:rPr>
          <w:lang w:eastAsia="fr-FR"/>
        </w:rPr>
        <w:t>Uncertainty estimate</w:t>
      </w:r>
      <w:r w:rsidR="00F56C05">
        <w:rPr>
          <w:lang w:eastAsia="fr-FR"/>
        </w:rPr>
        <w:t>s</w:t>
      </w:r>
      <w:r w:rsidRPr="002462F0">
        <w:rPr>
          <w:lang w:eastAsia="fr-FR"/>
        </w:rPr>
        <w:t xml:space="preserve"> associated </w:t>
      </w:r>
      <w:r>
        <w:rPr>
          <w:lang w:eastAsia="fr-FR"/>
        </w:rPr>
        <w:t xml:space="preserve">with </w:t>
      </w:r>
      <w:r w:rsidRPr="002462F0">
        <w:rPr>
          <w:lang w:eastAsia="fr-FR"/>
        </w:rPr>
        <w:t xml:space="preserve">emission factor </w:t>
      </w:r>
      <w:r w:rsidR="00F56C05">
        <w:rPr>
          <w:lang w:eastAsia="fr-FR"/>
        </w:rPr>
        <w:t xml:space="preserve">are </w:t>
      </w:r>
      <w:r>
        <w:rPr>
          <w:lang w:eastAsia="fr-FR"/>
        </w:rPr>
        <w:t xml:space="preserve">20% for </w:t>
      </w:r>
      <w:r w:rsidRPr="002462F0">
        <w:rPr>
          <w:lang w:eastAsia="fr-FR"/>
        </w:rPr>
        <w:t>CO</w:t>
      </w:r>
      <w:r w:rsidRPr="002462F0">
        <w:rPr>
          <w:vertAlign w:val="subscript"/>
          <w:lang w:eastAsia="fr-FR"/>
        </w:rPr>
        <w:t>2</w:t>
      </w:r>
      <w:r w:rsidRPr="002462F0">
        <w:rPr>
          <w:lang w:eastAsia="fr-FR"/>
        </w:rPr>
        <w:t xml:space="preserve"> </w:t>
      </w:r>
      <w:r>
        <w:rPr>
          <w:lang w:eastAsia="fr-FR"/>
        </w:rPr>
        <w:t>and 100% for CH</w:t>
      </w:r>
      <w:r w:rsidRPr="00BD6A2E">
        <w:rPr>
          <w:vertAlign w:val="subscript"/>
          <w:lang w:eastAsia="fr-FR"/>
        </w:rPr>
        <w:t>4</w:t>
      </w:r>
      <w:r>
        <w:rPr>
          <w:lang w:eastAsia="fr-FR"/>
        </w:rPr>
        <w:t xml:space="preserve"> and N</w:t>
      </w:r>
      <w:r w:rsidRPr="00BD6A2E">
        <w:rPr>
          <w:vertAlign w:val="subscript"/>
          <w:lang w:eastAsia="fr-FR"/>
        </w:rPr>
        <w:t>2</w:t>
      </w:r>
      <w:r>
        <w:rPr>
          <w:lang w:eastAsia="fr-FR"/>
        </w:rPr>
        <w:t>O, based on expert judgement</w:t>
      </w:r>
      <w:r w:rsidRPr="002462F0">
        <w:rPr>
          <w:lang w:eastAsia="fr-FR"/>
        </w:rPr>
        <w:t>.</w:t>
      </w:r>
    </w:p>
    <w:p w14:paraId="5E7475BB" w14:textId="0A63F9BD" w:rsidR="00BD6A2E" w:rsidRDefault="00BD6A2E" w:rsidP="00F06993">
      <w:pPr>
        <w:rPr>
          <w:lang w:eastAsia="fr-FR"/>
        </w:rPr>
      </w:pPr>
      <w:r>
        <w:rPr>
          <w:lang w:eastAsia="fr-FR"/>
        </w:rPr>
        <w:t>Combined uncertaint</w:t>
      </w:r>
      <w:r w:rsidR="00F56C05">
        <w:rPr>
          <w:lang w:eastAsia="fr-FR"/>
        </w:rPr>
        <w:t>ies</w:t>
      </w:r>
      <w:r>
        <w:rPr>
          <w:lang w:eastAsia="fr-FR"/>
        </w:rPr>
        <w:t xml:space="preserve"> </w:t>
      </w:r>
      <w:r w:rsidR="00F56C05">
        <w:rPr>
          <w:lang w:eastAsia="fr-FR"/>
        </w:rPr>
        <w:t>are</w:t>
      </w:r>
      <w:r w:rsidRPr="002462F0">
        <w:rPr>
          <w:lang w:eastAsia="fr-FR"/>
        </w:rPr>
        <w:t xml:space="preserve"> </w:t>
      </w:r>
      <w:r>
        <w:rPr>
          <w:lang w:eastAsia="fr-FR"/>
        </w:rPr>
        <w:t>22</w:t>
      </w:r>
      <w:r w:rsidRPr="002462F0">
        <w:rPr>
          <w:lang w:eastAsia="fr-FR"/>
        </w:rPr>
        <w:t>%</w:t>
      </w:r>
      <w:r>
        <w:rPr>
          <w:lang w:eastAsia="fr-FR"/>
        </w:rPr>
        <w:t xml:space="preserve"> for CO</w:t>
      </w:r>
      <w:r w:rsidRPr="00BD6A2E">
        <w:rPr>
          <w:vertAlign w:val="subscript"/>
          <w:lang w:eastAsia="fr-FR"/>
        </w:rPr>
        <w:t>2</w:t>
      </w:r>
      <w:r>
        <w:rPr>
          <w:lang w:eastAsia="fr-FR"/>
        </w:rPr>
        <w:t xml:space="preserve"> emissions and 100% for CH</w:t>
      </w:r>
      <w:r w:rsidRPr="00BD6A2E">
        <w:rPr>
          <w:vertAlign w:val="subscript"/>
          <w:lang w:eastAsia="fr-FR"/>
        </w:rPr>
        <w:t>4</w:t>
      </w:r>
      <w:r>
        <w:rPr>
          <w:lang w:eastAsia="fr-FR"/>
        </w:rPr>
        <w:t xml:space="preserve"> and N</w:t>
      </w:r>
      <w:r w:rsidRPr="00BD6A2E">
        <w:rPr>
          <w:vertAlign w:val="subscript"/>
          <w:lang w:eastAsia="fr-FR"/>
        </w:rPr>
        <w:t>2</w:t>
      </w:r>
      <w:r>
        <w:rPr>
          <w:lang w:eastAsia="fr-FR"/>
        </w:rPr>
        <w:t>O emissions</w:t>
      </w:r>
      <w:r w:rsidRPr="002462F0">
        <w:rPr>
          <w:lang w:eastAsia="fr-FR"/>
        </w:rPr>
        <w:t>.</w:t>
      </w:r>
      <w:r w:rsidR="006C2FC0">
        <w:rPr>
          <w:lang w:eastAsia="fr-FR"/>
        </w:rPr>
        <w:t xml:space="preserve"> The uncertainties combined in the national totals of emissions are of </w:t>
      </w:r>
      <w:r w:rsidR="00F56C05">
        <w:rPr>
          <w:lang w:eastAsia="fr-FR"/>
        </w:rPr>
        <w:t>1.8</w:t>
      </w:r>
      <w:r w:rsidR="006C2FC0">
        <w:rPr>
          <w:lang w:eastAsia="fr-FR"/>
        </w:rPr>
        <w:t>%, 0.00</w:t>
      </w:r>
      <w:r w:rsidR="00F56C05">
        <w:rPr>
          <w:lang w:eastAsia="fr-FR"/>
        </w:rPr>
        <w:t>8</w:t>
      </w:r>
      <w:r w:rsidR="006C2FC0">
        <w:rPr>
          <w:lang w:eastAsia="fr-FR"/>
        </w:rPr>
        <w:t>% and 0.00</w:t>
      </w:r>
      <w:r w:rsidR="00F56C05">
        <w:rPr>
          <w:lang w:eastAsia="fr-FR"/>
        </w:rPr>
        <w:t>4</w:t>
      </w:r>
      <w:r w:rsidR="006C2FC0">
        <w:rPr>
          <w:lang w:eastAsia="fr-FR"/>
        </w:rPr>
        <w:t>% for CO</w:t>
      </w:r>
      <w:r w:rsidR="006C2FC0" w:rsidRPr="005C143B">
        <w:rPr>
          <w:vertAlign w:val="subscript"/>
          <w:lang w:eastAsia="fr-FR"/>
        </w:rPr>
        <w:t>2</w:t>
      </w:r>
      <w:r w:rsidR="006C2FC0">
        <w:rPr>
          <w:lang w:eastAsia="fr-FR"/>
        </w:rPr>
        <w:t>, CH</w:t>
      </w:r>
      <w:r w:rsidR="006C2FC0" w:rsidRPr="005C143B">
        <w:rPr>
          <w:vertAlign w:val="subscript"/>
          <w:lang w:eastAsia="fr-FR"/>
        </w:rPr>
        <w:t>4</w:t>
      </w:r>
      <w:r w:rsidR="006C2FC0">
        <w:rPr>
          <w:lang w:eastAsia="fr-FR"/>
        </w:rPr>
        <w:t xml:space="preserve"> and N</w:t>
      </w:r>
      <w:r w:rsidR="006C2FC0" w:rsidRPr="005C143B">
        <w:rPr>
          <w:vertAlign w:val="subscript"/>
          <w:lang w:eastAsia="fr-FR"/>
        </w:rPr>
        <w:t>2</w:t>
      </w:r>
      <w:r w:rsidR="006C2FC0">
        <w:rPr>
          <w:lang w:eastAsia="fr-FR"/>
        </w:rPr>
        <w:t>O, respectively in 2022, in the Republic of Serbia.</w:t>
      </w:r>
    </w:p>
    <w:p w14:paraId="322F679F" w14:textId="77777777" w:rsidR="004D048E" w:rsidRPr="00BD6A2E" w:rsidRDefault="004D048E" w:rsidP="00F06993">
      <w:pPr>
        <w:rPr>
          <w:lang w:val="en-US"/>
        </w:rPr>
      </w:pPr>
    </w:p>
    <w:p w14:paraId="3C7975CC" w14:textId="01A13CF3" w:rsidR="005F3D43" w:rsidRDefault="005F3D43" w:rsidP="00F06993">
      <w:pPr>
        <w:pStyle w:val="Heading3"/>
        <w:keepNext/>
        <w:keepLines/>
        <w:tabs>
          <w:tab w:val="clear" w:pos="142"/>
          <w:tab w:val="clear" w:pos="1134"/>
        </w:tabs>
        <w:spacing w:before="200" w:after="0" w:line="276" w:lineRule="auto"/>
      </w:pPr>
      <w:bookmarkStart w:id="892" w:name="_Toc182327979"/>
      <w:bookmarkStart w:id="893" w:name="_Toc184808307"/>
      <w:r>
        <w:t>Category-specific QA/QC and verification</w:t>
      </w:r>
      <w:bookmarkEnd w:id="892"/>
      <w:bookmarkEnd w:id="893"/>
    </w:p>
    <w:p w14:paraId="5537452E" w14:textId="17FFD816" w:rsidR="004D048E" w:rsidRDefault="0035245C" w:rsidP="00F06993">
      <w:pPr>
        <w:pStyle w:val="BodyText"/>
        <w:rPr>
          <w:lang w:val="en-US" w:eastAsia="fr-FR"/>
        </w:rPr>
      </w:pPr>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1AA8DD11" w14:textId="196CEB6E" w:rsidR="005F3D43" w:rsidRDefault="005F3D43" w:rsidP="00F06993">
      <w:pPr>
        <w:pStyle w:val="Heading3"/>
        <w:keepNext/>
        <w:keepLines/>
        <w:tabs>
          <w:tab w:val="clear" w:pos="142"/>
          <w:tab w:val="clear" w:pos="1134"/>
        </w:tabs>
        <w:spacing w:before="200" w:after="0" w:line="276" w:lineRule="auto"/>
      </w:pPr>
      <w:bookmarkStart w:id="894" w:name="_Toc182327980"/>
      <w:bookmarkStart w:id="895" w:name="_Toc184808308"/>
      <w:r>
        <w:t>Ca</w:t>
      </w:r>
      <w:r w:rsidR="0012178D">
        <w:t>tegory-specific recalculations</w:t>
      </w:r>
      <w:bookmarkEnd w:id="894"/>
      <w:bookmarkEnd w:id="895"/>
    </w:p>
    <w:p w14:paraId="3F0AB08D" w14:textId="1ABEFD82" w:rsidR="0035245C" w:rsidRDefault="0035245C" w:rsidP="00F06993">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5B35935D" w14:textId="52FB6D5C" w:rsidR="005F3D43" w:rsidRDefault="005F3D43" w:rsidP="00F06993">
      <w:pPr>
        <w:pStyle w:val="Heading3"/>
        <w:keepNext/>
        <w:keepLines/>
        <w:tabs>
          <w:tab w:val="clear" w:pos="142"/>
          <w:tab w:val="clear" w:pos="1134"/>
        </w:tabs>
        <w:spacing w:before="200" w:after="0" w:line="276" w:lineRule="auto"/>
      </w:pPr>
      <w:bookmarkStart w:id="896" w:name="_Toc182327981"/>
      <w:bookmarkStart w:id="897" w:name="_Toc184808309"/>
      <w:r>
        <w:t>Category-specific planned</w:t>
      </w:r>
      <w:r w:rsidR="0012178D">
        <w:t xml:space="preserve"> improvements</w:t>
      </w:r>
      <w:bookmarkEnd w:id="896"/>
      <w:bookmarkEnd w:id="897"/>
    </w:p>
    <w:p w14:paraId="129F4A5A" w14:textId="3D0E0AEF" w:rsidR="0012178D" w:rsidRPr="0012178D" w:rsidRDefault="004C3AFA" w:rsidP="00F06993">
      <w:pPr>
        <w:rPr>
          <w:lang w:val="en-US"/>
        </w:rPr>
      </w:pPr>
      <w:r>
        <w:rPr>
          <w:lang w:val="en-US"/>
        </w:rPr>
        <w:t>For all LULULUCF sector, land-use and land-use change areas monitoring needs to be improved</w:t>
      </w:r>
      <w:r w:rsidR="00A3745D">
        <w:rPr>
          <w:lang w:val="en-US"/>
        </w:rPr>
        <w:t xml:space="preserve">, at least to include more recent CLC datasets available such as 2018 edition; and </w:t>
      </w:r>
      <w:r w:rsidR="0087626E">
        <w:rPr>
          <w:lang w:val="en-US"/>
        </w:rPr>
        <w:t xml:space="preserve">at best to revise the land-use monitoring approach for enhanced spatial </w:t>
      </w:r>
      <w:r w:rsidR="001A0D3A">
        <w:rPr>
          <w:lang w:val="en-US"/>
        </w:rPr>
        <w:t>precision, compatibility with forest definition, and temporal consistency.</w:t>
      </w:r>
    </w:p>
    <w:p w14:paraId="20938957" w14:textId="252B7EDA" w:rsidR="001A0D3A" w:rsidRDefault="001A0D3A" w:rsidP="00F06993">
      <w:pPr>
        <w:rPr>
          <w:lang w:val="en-US"/>
        </w:rPr>
      </w:pPr>
      <w:r>
        <w:rPr>
          <w:lang w:val="en-US"/>
        </w:rPr>
        <w:t>For the Forest sector, more recent NFI data will be used, if available, to update key parameters.</w:t>
      </w:r>
    </w:p>
    <w:p w14:paraId="6F425CFA" w14:textId="77777777" w:rsidR="001A0D3A" w:rsidRPr="0012178D" w:rsidRDefault="001A0D3A" w:rsidP="0012178D">
      <w:pPr>
        <w:rPr>
          <w:lang w:val="en-US"/>
        </w:rPr>
      </w:pPr>
    </w:p>
    <w:p w14:paraId="31634DD9" w14:textId="09906D6A" w:rsidR="005F3D43" w:rsidRDefault="005F3D43" w:rsidP="005F3D43">
      <w:pPr>
        <w:pStyle w:val="Heading2"/>
        <w:keepNext/>
        <w:keepLines/>
        <w:spacing w:before="200" w:after="0" w:line="276" w:lineRule="auto"/>
      </w:pPr>
      <w:bookmarkStart w:id="898" w:name="_Toc182327982"/>
      <w:bookmarkStart w:id="899" w:name="_Toc184808310"/>
      <w:r>
        <w:t>Croplands (</w:t>
      </w:r>
      <w:r w:rsidR="00C83924">
        <w:t xml:space="preserve">CRT </w:t>
      </w:r>
      <w:r>
        <w:t>4B)</w:t>
      </w:r>
      <w:bookmarkEnd w:id="898"/>
      <w:bookmarkEnd w:id="899"/>
    </w:p>
    <w:p w14:paraId="49AE495C" w14:textId="77777777" w:rsidR="005F3D43" w:rsidRDefault="005F3D43" w:rsidP="005F3D43">
      <w:pPr>
        <w:pStyle w:val="Heading3"/>
        <w:keepNext/>
        <w:keepLines/>
        <w:tabs>
          <w:tab w:val="clear" w:pos="142"/>
          <w:tab w:val="clear" w:pos="1134"/>
        </w:tabs>
        <w:spacing w:before="200" w:after="0" w:line="276" w:lineRule="auto"/>
        <w:jc w:val="left"/>
      </w:pPr>
      <w:bookmarkStart w:id="900" w:name="_Toc182327983"/>
      <w:bookmarkStart w:id="901" w:name="_Toc184808311"/>
      <w:r>
        <w:t>Description</w:t>
      </w:r>
      <w:bookmarkEnd w:id="900"/>
      <w:bookmarkEnd w:id="901"/>
    </w:p>
    <w:p w14:paraId="3E412BDC" w14:textId="387085A0" w:rsidR="005F3D43" w:rsidRDefault="005F3D43" w:rsidP="005F3D43">
      <w:pPr>
        <w:autoSpaceDE w:val="0"/>
        <w:autoSpaceDN w:val="0"/>
        <w:adjustRightInd w:val="0"/>
        <w:spacing w:before="120" w:after="120" w:line="240" w:lineRule="auto"/>
        <w:rPr>
          <w:rFonts w:cs="ArialMT"/>
        </w:rPr>
      </w:pPr>
      <w:r w:rsidRPr="004B7EA1">
        <w:rPr>
          <w:rFonts w:cs="ArialMT"/>
        </w:rPr>
        <w:t xml:space="preserve">This category </w:t>
      </w:r>
      <w:r w:rsidR="00EF5C2A">
        <w:rPr>
          <w:rFonts w:cs="ArialMT"/>
        </w:rPr>
        <w:t>includes</w:t>
      </w:r>
      <w:r w:rsidR="00EF5C2A" w:rsidRPr="004B7EA1">
        <w:rPr>
          <w:rFonts w:cs="ArialMT"/>
        </w:rPr>
        <w:t xml:space="preserve"> </w:t>
      </w:r>
      <w:r w:rsidRPr="004B7EA1">
        <w:rPr>
          <w:rFonts w:cs="ArialMT"/>
        </w:rPr>
        <w:t>GHG emissions and remova</w:t>
      </w:r>
      <w:r>
        <w:rPr>
          <w:rFonts w:cs="ArialMT"/>
        </w:rPr>
        <w:t>ls arising from croplands</w:t>
      </w:r>
      <w:r w:rsidRPr="004B7EA1">
        <w:rPr>
          <w:rFonts w:cs="ArialMT"/>
        </w:rPr>
        <w:t>.</w:t>
      </w:r>
    </w:p>
    <w:p w14:paraId="582C561E" w14:textId="2662A10A" w:rsidR="001A3A6A" w:rsidRDefault="00284A45" w:rsidP="005F3D43">
      <w:pPr>
        <w:autoSpaceDE w:val="0"/>
        <w:autoSpaceDN w:val="0"/>
        <w:adjustRightInd w:val="0"/>
        <w:spacing w:before="120" w:after="120" w:line="240" w:lineRule="auto"/>
        <w:rPr>
          <w:rFonts w:cs="ArialMT"/>
        </w:rPr>
      </w:pPr>
      <w:r>
        <w:rPr>
          <w:rFonts w:cs="ArialMT"/>
        </w:rPr>
        <w:t xml:space="preserve">In this category, </w:t>
      </w:r>
      <w:r w:rsidR="00D37626">
        <w:rPr>
          <w:rFonts w:cs="ArialMT"/>
        </w:rPr>
        <w:t>emissions and absorptions are only estimated for land conver</w:t>
      </w:r>
      <w:r w:rsidR="00F11122">
        <w:rPr>
          <w:rFonts w:cs="ArialMT"/>
        </w:rPr>
        <w:t>s</w:t>
      </w:r>
      <w:r w:rsidR="00D37626">
        <w:rPr>
          <w:rFonts w:cs="ArialMT"/>
        </w:rPr>
        <w:t>ions</w:t>
      </w:r>
      <w:r w:rsidR="00F11122">
        <w:rPr>
          <w:rFonts w:cs="ArialMT"/>
        </w:rPr>
        <w:t xml:space="preserve">. No emission estimation is </w:t>
      </w:r>
      <w:r w:rsidR="00A070EF">
        <w:rPr>
          <w:rFonts w:cs="ArialMT"/>
        </w:rPr>
        <w:t xml:space="preserve">calculated for </w:t>
      </w:r>
      <w:r w:rsidR="005C1398">
        <w:rPr>
          <w:rFonts w:cs="ArialMT"/>
        </w:rPr>
        <w:t xml:space="preserve">croplands remaining croplands </w:t>
      </w:r>
      <w:r w:rsidR="002A6E0E">
        <w:rPr>
          <w:rFonts w:cs="ArialMT"/>
        </w:rPr>
        <w:t xml:space="preserve">and for biomass burning </w:t>
      </w:r>
      <w:r w:rsidR="005C1398">
        <w:rPr>
          <w:rFonts w:cs="ArialMT"/>
        </w:rPr>
        <w:t>(4</w:t>
      </w:r>
      <w:r w:rsidR="00683251">
        <w:rPr>
          <w:rFonts w:cs="ArialMT"/>
        </w:rPr>
        <w:t>.</w:t>
      </w:r>
      <w:r w:rsidR="005C1398">
        <w:rPr>
          <w:rFonts w:cs="ArialMT"/>
        </w:rPr>
        <w:t>B</w:t>
      </w:r>
      <w:r w:rsidR="00683251">
        <w:rPr>
          <w:rFonts w:cs="ArialMT"/>
        </w:rPr>
        <w:t>.</w:t>
      </w:r>
      <w:r w:rsidR="005C1398">
        <w:rPr>
          <w:rFonts w:cs="ArialMT"/>
        </w:rPr>
        <w:t xml:space="preserve">1). </w:t>
      </w:r>
    </w:p>
    <w:p w14:paraId="3BE9907B" w14:textId="229F76BB" w:rsidR="001A3A6A" w:rsidRPr="004B7EA1" w:rsidRDefault="00E209ED" w:rsidP="005F3D43">
      <w:pPr>
        <w:autoSpaceDE w:val="0"/>
        <w:autoSpaceDN w:val="0"/>
        <w:adjustRightInd w:val="0"/>
        <w:spacing w:before="120" w:after="120" w:line="240" w:lineRule="auto"/>
        <w:rPr>
          <w:rFonts w:cs="ArialMT"/>
        </w:rPr>
      </w:pPr>
      <w:r>
        <w:rPr>
          <w:rFonts w:cs="ArialMT"/>
        </w:rPr>
        <w:t xml:space="preserve">The </w:t>
      </w:r>
      <w:r w:rsidR="00356E4C">
        <w:rPr>
          <w:rFonts w:cs="ArialMT"/>
        </w:rPr>
        <w:t xml:space="preserve">emission evolution </w:t>
      </w:r>
      <w:r>
        <w:rPr>
          <w:rFonts w:cs="ArialMT"/>
        </w:rPr>
        <w:t>for lands converted to croplands (4</w:t>
      </w:r>
      <w:r w:rsidR="00683251">
        <w:rPr>
          <w:rFonts w:cs="ArialMT"/>
        </w:rPr>
        <w:t>.</w:t>
      </w:r>
      <w:r>
        <w:rPr>
          <w:rFonts w:cs="ArialMT"/>
        </w:rPr>
        <w:t>B</w:t>
      </w:r>
      <w:r w:rsidR="00683251">
        <w:rPr>
          <w:rFonts w:cs="ArialMT"/>
        </w:rPr>
        <w:t>.</w:t>
      </w:r>
      <w:r>
        <w:rPr>
          <w:rFonts w:cs="ArialMT"/>
        </w:rPr>
        <w:t xml:space="preserve">2) reflects the trend in land-use change areas. </w:t>
      </w:r>
    </w:p>
    <w:p w14:paraId="26C16F58" w14:textId="605B4BD0" w:rsidR="0012178D" w:rsidRDefault="007009AC" w:rsidP="00F06993">
      <w:pPr>
        <w:spacing w:after="0"/>
        <w:jc w:val="left"/>
      </w:pPr>
      <w:r>
        <w:rPr>
          <w:noProof/>
          <w:lang w:val="en-US"/>
        </w:rPr>
        <w:drawing>
          <wp:inline distT="0" distB="0" distL="0" distR="0" wp14:anchorId="15BE1EED" wp14:editId="09B8576E">
            <wp:extent cx="5760000" cy="1753712"/>
            <wp:effectExtent l="0" t="0" r="0" b="0"/>
            <wp:docPr id="77339944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68F3FBA3" w14:textId="77777777" w:rsidR="00F06993" w:rsidRDefault="00F06993" w:rsidP="00F06993">
      <w:pPr>
        <w:pStyle w:val="Caption"/>
        <w:spacing w:before="0"/>
        <w:jc w:val="left"/>
      </w:pPr>
      <w:bookmarkStart w:id="902" w:name="_Toc184808513"/>
      <w:r w:rsidRPr="00622F40">
        <w:t xml:space="preserve">Figure </w:t>
      </w:r>
      <w:r w:rsidRPr="00622F40">
        <w:fldChar w:fldCharType="begin"/>
      </w:r>
      <w:r w:rsidRPr="00622F40">
        <w:instrText xml:space="preserve"> SEQ Figure \* ARABIC </w:instrText>
      </w:r>
      <w:r w:rsidRPr="00622F40">
        <w:fldChar w:fldCharType="separate"/>
      </w:r>
      <w:r>
        <w:rPr>
          <w:noProof/>
        </w:rPr>
        <w:t>126</w:t>
      </w:r>
      <w:r w:rsidRPr="00622F40">
        <w:fldChar w:fldCharType="end"/>
      </w:r>
      <w:r w:rsidRPr="00622F40">
        <w:t>: GHG emissions from forest land converted to cropland (</w:t>
      </w:r>
      <w:r>
        <w:t>CRT</w:t>
      </w:r>
      <w:r w:rsidRPr="00622F40">
        <w:t xml:space="preserve"> 4.B.2.1) (kt CO</w:t>
      </w:r>
      <w:r w:rsidRPr="00683251">
        <w:rPr>
          <w:vertAlign w:val="subscript"/>
        </w:rPr>
        <w:t>2e</w:t>
      </w:r>
      <w:r w:rsidRPr="00622F40">
        <w:t>)</w:t>
      </w:r>
      <w:bookmarkEnd w:id="902"/>
    </w:p>
    <w:p w14:paraId="110E1914" w14:textId="4B4EE1AF" w:rsidR="0012178D" w:rsidRDefault="00E6047F" w:rsidP="00F06993">
      <w:pPr>
        <w:spacing w:after="0"/>
        <w:jc w:val="left"/>
      </w:pPr>
      <w:r>
        <w:rPr>
          <w:noProof/>
          <w:lang w:val="en-US"/>
        </w:rPr>
        <w:drawing>
          <wp:inline distT="0" distB="0" distL="0" distR="0" wp14:anchorId="688B9B6E" wp14:editId="5EC1A405">
            <wp:extent cx="5760000" cy="1753712"/>
            <wp:effectExtent l="0" t="0" r="0" b="0"/>
            <wp:docPr id="382675451"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4DE8BE69" w14:textId="77777777" w:rsidR="00F06993" w:rsidRDefault="00F06993" w:rsidP="00F06993">
      <w:pPr>
        <w:pStyle w:val="Caption"/>
        <w:spacing w:before="0"/>
        <w:jc w:val="left"/>
      </w:pPr>
      <w:bookmarkStart w:id="903" w:name="_Toc184808514"/>
      <w:r w:rsidRPr="00622F40">
        <w:t xml:space="preserve">Figure </w:t>
      </w:r>
      <w:r w:rsidRPr="00622F40">
        <w:fldChar w:fldCharType="begin"/>
      </w:r>
      <w:r w:rsidRPr="00622F40">
        <w:instrText xml:space="preserve"> SEQ Figure \* ARABIC </w:instrText>
      </w:r>
      <w:r w:rsidRPr="00622F40">
        <w:fldChar w:fldCharType="separate"/>
      </w:r>
      <w:r>
        <w:t>127</w:t>
      </w:r>
      <w:r w:rsidRPr="00622F40">
        <w:fldChar w:fldCharType="end"/>
      </w:r>
      <w:r w:rsidRPr="00622F40">
        <w:t>: GHG emissions from grassland converted to cropland (</w:t>
      </w:r>
      <w:r>
        <w:t>CRT</w:t>
      </w:r>
      <w:r w:rsidRPr="00622F40">
        <w:t xml:space="preserve"> 4.B.2.2) (kt CO</w:t>
      </w:r>
      <w:r w:rsidRPr="00683251">
        <w:rPr>
          <w:vertAlign w:val="subscript"/>
        </w:rPr>
        <w:t>2e</w:t>
      </w:r>
      <w:r w:rsidRPr="00622F40">
        <w:t>)</w:t>
      </w:r>
      <w:bookmarkEnd w:id="903"/>
    </w:p>
    <w:p w14:paraId="64ED27AF" w14:textId="24203DBE" w:rsidR="0012178D" w:rsidRDefault="0093234C" w:rsidP="00F06993">
      <w:pPr>
        <w:spacing w:after="0"/>
        <w:jc w:val="left"/>
      </w:pPr>
      <w:r>
        <w:rPr>
          <w:noProof/>
          <w:lang w:val="en-US"/>
        </w:rPr>
        <w:lastRenderedPageBreak/>
        <w:drawing>
          <wp:inline distT="0" distB="0" distL="0" distR="0" wp14:anchorId="4E61EFF5" wp14:editId="38E14458">
            <wp:extent cx="5760000" cy="1753712"/>
            <wp:effectExtent l="0" t="0" r="0" b="0"/>
            <wp:docPr id="1541755984"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770049D5" w14:textId="77777777" w:rsidR="00F06993" w:rsidRDefault="00F06993" w:rsidP="00F06993">
      <w:pPr>
        <w:pStyle w:val="Caption"/>
        <w:spacing w:before="0"/>
        <w:jc w:val="left"/>
      </w:pPr>
      <w:bookmarkStart w:id="904" w:name="_Toc184808515"/>
      <w:r w:rsidRPr="00622F40">
        <w:t xml:space="preserve">Figure </w:t>
      </w:r>
      <w:r w:rsidRPr="00622F40">
        <w:fldChar w:fldCharType="begin"/>
      </w:r>
      <w:r w:rsidRPr="00622F40">
        <w:instrText xml:space="preserve"> SEQ Figure \* ARABIC </w:instrText>
      </w:r>
      <w:r w:rsidRPr="00622F40">
        <w:fldChar w:fldCharType="separate"/>
      </w:r>
      <w:r>
        <w:rPr>
          <w:noProof/>
        </w:rPr>
        <w:t>128</w:t>
      </w:r>
      <w:r w:rsidRPr="00622F40">
        <w:fldChar w:fldCharType="end"/>
      </w:r>
      <w:r w:rsidRPr="00622F40">
        <w:t>: GHG emissions from wetlands converted to cropland (</w:t>
      </w:r>
      <w:r>
        <w:t>CRT</w:t>
      </w:r>
      <w:r w:rsidRPr="00622F40">
        <w:t xml:space="preserve"> 4.B.2.3) (kt CO</w:t>
      </w:r>
      <w:r w:rsidRPr="00683251">
        <w:rPr>
          <w:vertAlign w:val="subscript"/>
        </w:rPr>
        <w:t>2e</w:t>
      </w:r>
      <w:r w:rsidRPr="00622F40">
        <w:t>)</w:t>
      </w:r>
      <w:bookmarkEnd w:id="904"/>
    </w:p>
    <w:p w14:paraId="3E946D12" w14:textId="69160FB0" w:rsidR="0012178D" w:rsidRDefault="00E225BF" w:rsidP="00F06993">
      <w:pPr>
        <w:spacing w:after="0"/>
        <w:jc w:val="left"/>
      </w:pPr>
      <w:r>
        <w:rPr>
          <w:noProof/>
          <w:lang w:val="en-US"/>
        </w:rPr>
        <w:drawing>
          <wp:inline distT="0" distB="0" distL="0" distR="0" wp14:anchorId="505D77F0" wp14:editId="577ADF01">
            <wp:extent cx="5760000" cy="1753712"/>
            <wp:effectExtent l="0" t="0" r="0" b="0"/>
            <wp:docPr id="215721443"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41E7D0B4" w14:textId="77777777" w:rsidR="00F06993" w:rsidRDefault="00F06993" w:rsidP="00F06993">
      <w:pPr>
        <w:pStyle w:val="Caption"/>
        <w:spacing w:before="0"/>
        <w:jc w:val="left"/>
      </w:pPr>
      <w:bookmarkStart w:id="905" w:name="_Toc184808516"/>
      <w:r w:rsidRPr="00622F40">
        <w:t xml:space="preserve">Figure </w:t>
      </w:r>
      <w:r w:rsidRPr="00622F40">
        <w:fldChar w:fldCharType="begin"/>
      </w:r>
      <w:r w:rsidRPr="00622F40">
        <w:instrText xml:space="preserve"> SEQ Figure \* ARABIC </w:instrText>
      </w:r>
      <w:r w:rsidRPr="00622F40">
        <w:fldChar w:fldCharType="separate"/>
      </w:r>
      <w:r>
        <w:t>129</w:t>
      </w:r>
      <w:r w:rsidRPr="00622F40">
        <w:fldChar w:fldCharType="end"/>
      </w:r>
      <w:r w:rsidRPr="00622F40">
        <w:t>: GHG emissions from settlements converted to cropland (</w:t>
      </w:r>
      <w:r>
        <w:t>CRT</w:t>
      </w:r>
      <w:r w:rsidRPr="00622F40">
        <w:t xml:space="preserve"> 4.B.2.4) (kt CO</w:t>
      </w:r>
      <w:r w:rsidRPr="00683251">
        <w:rPr>
          <w:vertAlign w:val="subscript"/>
        </w:rPr>
        <w:t>2e</w:t>
      </w:r>
      <w:r w:rsidRPr="00622F40">
        <w:t>)</w:t>
      </w:r>
      <w:bookmarkEnd w:id="905"/>
    </w:p>
    <w:p w14:paraId="01BE0C3B" w14:textId="59182835" w:rsidR="0012178D" w:rsidRPr="00F06993" w:rsidRDefault="00F82DC2" w:rsidP="00F06993">
      <w:pPr>
        <w:spacing w:after="0"/>
        <w:jc w:val="left"/>
        <w:rPr>
          <w:highlight w:val="yellow"/>
        </w:rPr>
      </w:pPr>
      <w:r w:rsidRPr="00F06993">
        <w:rPr>
          <w:noProof/>
          <w:highlight w:val="yellow"/>
          <w:lang w:val="en-US"/>
        </w:rPr>
        <w:drawing>
          <wp:inline distT="0" distB="0" distL="0" distR="0" wp14:anchorId="35BE13B7" wp14:editId="76F40162">
            <wp:extent cx="5760000" cy="1753712"/>
            <wp:effectExtent l="0" t="0" r="0" b="0"/>
            <wp:docPr id="1615497069"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2ADA068A" w14:textId="77777777" w:rsidR="00F06993" w:rsidRDefault="00F06993" w:rsidP="00F06993">
      <w:pPr>
        <w:pStyle w:val="Caption"/>
        <w:spacing w:before="0" w:after="0"/>
        <w:jc w:val="left"/>
      </w:pPr>
      <w:bookmarkStart w:id="906" w:name="_Toc184808517"/>
      <w:r w:rsidRPr="007759DA">
        <w:t xml:space="preserve">Figure </w:t>
      </w:r>
      <w:r w:rsidRPr="007759DA">
        <w:fldChar w:fldCharType="begin"/>
      </w:r>
      <w:r w:rsidRPr="007759DA">
        <w:instrText xml:space="preserve"> SEQ Figure \* ARABIC </w:instrText>
      </w:r>
      <w:r w:rsidRPr="007759DA">
        <w:fldChar w:fldCharType="separate"/>
      </w:r>
      <w:r w:rsidRPr="007759DA">
        <w:rPr>
          <w:noProof/>
        </w:rPr>
        <w:t>130</w:t>
      </w:r>
      <w:r w:rsidRPr="007759DA">
        <w:fldChar w:fldCharType="end"/>
      </w:r>
      <w:r w:rsidRPr="007759DA">
        <w:t>: Direct N</w:t>
      </w:r>
      <w:r w:rsidRPr="007759DA">
        <w:rPr>
          <w:vertAlign w:val="subscript"/>
        </w:rPr>
        <w:t>2</w:t>
      </w:r>
      <w:r w:rsidRPr="007759DA">
        <w:t>O emissions from N mineralization/immobilization in cropland (CRT 4.B.2) (kt CO</w:t>
      </w:r>
      <w:r w:rsidRPr="007759DA">
        <w:rPr>
          <w:vertAlign w:val="subscript"/>
        </w:rPr>
        <w:t>2e</w:t>
      </w:r>
      <w:r w:rsidRPr="007759DA">
        <w:t>)</w:t>
      </w:r>
      <w:bookmarkEnd w:id="906"/>
    </w:p>
    <w:p w14:paraId="35B2E3CD" w14:textId="77777777" w:rsidR="00F06993" w:rsidRDefault="00F06993" w:rsidP="0012178D"/>
    <w:p w14:paraId="57E77B3B" w14:textId="77777777" w:rsidR="005F3D43" w:rsidRDefault="005F3D43" w:rsidP="005F3D43">
      <w:pPr>
        <w:pStyle w:val="Heading3"/>
        <w:keepNext/>
        <w:keepLines/>
        <w:tabs>
          <w:tab w:val="clear" w:pos="142"/>
          <w:tab w:val="clear" w:pos="1134"/>
        </w:tabs>
        <w:spacing w:before="200" w:after="0" w:line="276" w:lineRule="auto"/>
        <w:jc w:val="left"/>
      </w:pPr>
      <w:bookmarkStart w:id="907" w:name="_Toc182327984"/>
      <w:bookmarkStart w:id="908" w:name="_Toc184808312"/>
      <w:r>
        <w:t>Methodological issues</w:t>
      </w:r>
      <w:bookmarkEnd w:id="907"/>
      <w:bookmarkEnd w:id="908"/>
      <w:r>
        <w:t xml:space="preserve"> </w:t>
      </w:r>
    </w:p>
    <w:p w14:paraId="666F66A4" w14:textId="2AA5134C" w:rsidR="005F3D43" w:rsidRDefault="005F3D43" w:rsidP="005F3D43">
      <w:pPr>
        <w:pStyle w:val="Heading4"/>
        <w:keepNext/>
        <w:keepLines/>
        <w:tabs>
          <w:tab w:val="clear" w:pos="993"/>
          <w:tab w:val="clear" w:pos="2127"/>
        </w:tabs>
        <w:spacing w:before="200" w:after="0" w:line="276" w:lineRule="auto"/>
        <w:jc w:val="left"/>
      </w:pPr>
      <w:bookmarkStart w:id="909" w:name="_Toc182327985"/>
      <w:r>
        <w:t>Croplands remaining croplands (</w:t>
      </w:r>
      <w:r w:rsidR="00C83924">
        <w:t xml:space="preserve">CRT </w:t>
      </w:r>
      <w:r>
        <w:t>4B1)</w:t>
      </w:r>
      <w:bookmarkEnd w:id="909"/>
    </w:p>
    <w:p w14:paraId="5AC1841C" w14:textId="77777777" w:rsidR="005F3D43" w:rsidRPr="00A76C94" w:rsidRDefault="005F3D43" w:rsidP="005F3D43">
      <w:pPr>
        <w:pStyle w:val="Heading5"/>
        <w:spacing w:before="200" w:after="0" w:line="276" w:lineRule="auto"/>
        <w:jc w:val="left"/>
      </w:pPr>
      <w:bookmarkStart w:id="910" w:name="_Toc182327986"/>
      <w:r w:rsidRPr="00A76C94">
        <w:t>Carbon stock changes</w:t>
      </w:r>
      <w:bookmarkEnd w:id="910"/>
      <w:r w:rsidRPr="00A76C94">
        <w:t xml:space="preserve"> </w:t>
      </w:r>
    </w:p>
    <w:p w14:paraId="4CF5FA8A" w14:textId="77777777" w:rsidR="005F3D43" w:rsidRDefault="005F3D43" w:rsidP="00AB11C1">
      <w:pPr>
        <w:pStyle w:val="ListParagraph"/>
        <w:numPr>
          <w:ilvl w:val="0"/>
          <w:numId w:val="51"/>
        </w:numPr>
        <w:spacing w:after="0"/>
        <w:jc w:val="left"/>
      </w:pPr>
      <w:r>
        <w:t>Living biomass</w:t>
      </w:r>
    </w:p>
    <w:p w14:paraId="13996E35" w14:textId="77777777" w:rsidR="005F3D43" w:rsidRDefault="005F3D43" w:rsidP="005F3D43">
      <w:pPr>
        <w:spacing w:before="120"/>
      </w:pPr>
      <w:r>
        <w:t xml:space="preserve">On cropland remaining cropland equilibrium is assumed for living biomass, it is reported as not estimated in the Serbian inventory. </w:t>
      </w:r>
    </w:p>
    <w:p w14:paraId="00259437" w14:textId="77777777" w:rsidR="005F3D43" w:rsidRDefault="005F3D43" w:rsidP="00AB11C1">
      <w:pPr>
        <w:pStyle w:val="ListParagraph"/>
        <w:numPr>
          <w:ilvl w:val="0"/>
          <w:numId w:val="51"/>
        </w:numPr>
        <w:spacing w:after="0"/>
        <w:jc w:val="left"/>
      </w:pPr>
      <w:r>
        <w:t>Dead organic matter (dead wood, litter)</w:t>
      </w:r>
    </w:p>
    <w:p w14:paraId="3CB3B4DB" w14:textId="77777777" w:rsidR="005F3D43" w:rsidRDefault="005F3D43" w:rsidP="005F3D43">
      <w:pPr>
        <w:spacing w:before="120"/>
      </w:pPr>
      <w:r>
        <w:t xml:space="preserve">On cropland remaining cropland equilibrium is assumed for dead organic matter, it is reported as not estimated in the Serbian inventory. </w:t>
      </w:r>
    </w:p>
    <w:p w14:paraId="552E1C36" w14:textId="77777777" w:rsidR="005F3D43" w:rsidRDefault="005F3D43" w:rsidP="00AB11C1">
      <w:pPr>
        <w:pStyle w:val="ListParagraph"/>
        <w:numPr>
          <w:ilvl w:val="0"/>
          <w:numId w:val="51"/>
        </w:numPr>
        <w:spacing w:after="0"/>
        <w:jc w:val="left"/>
      </w:pPr>
      <w:r>
        <w:t>Soils (mineral and organic soils)</w:t>
      </w:r>
    </w:p>
    <w:p w14:paraId="64FD25FF" w14:textId="77777777" w:rsidR="005F3D43" w:rsidRDefault="005F3D43" w:rsidP="005F3D43">
      <w:pPr>
        <w:spacing w:before="120"/>
      </w:pPr>
      <w:r>
        <w:lastRenderedPageBreak/>
        <w:t xml:space="preserve">On cropland remaining cropland equilibrium is assumed for mineral soils, it is reported as not estimated in the Serbian inventory. </w:t>
      </w:r>
    </w:p>
    <w:p w14:paraId="5EA7946E" w14:textId="77777777" w:rsidR="005F3D43" w:rsidRDefault="005F3D43" w:rsidP="005F3D43">
      <w:pPr>
        <w:pStyle w:val="Heading5"/>
        <w:spacing w:before="200" w:after="0" w:line="276" w:lineRule="auto"/>
        <w:jc w:val="left"/>
      </w:pPr>
      <w:bookmarkStart w:id="911" w:name="_Toc182327987"/>
      <w:r w:rsidRPr="00A76C94">
        <w:t>Direct N</w:t>
      </w:r>
      <w:r w:rsidRPr="00622F40">
        <w:rPr>
          <w:vertAlign w:val="subscript"/>
        </w:rPr>
        <w:t>2</w:t>
      </w:r>
      <w:r w:rsidRPr="00A76C94">
        <w:t>O Emissions from N Inputs to Managed Soils</w:t>
      </w:r>
      <w:bookmarkEnd w:id="911"/>
    </w:p>
    <w:p w14:paraId="5DF63645" w14:textId="77777777" w:rsidR="005F3D43" w:rsidRPr="00F054D7" w:rsidRDefault="005F3D43" w:rsidP="005F3D43">
      <w:r>
        <w:t>Direct N</w:t>
      </w:r>
      <w:r w:rsidRPr="00622F40">
        <w:rPr>
          <w:vertAlign w:val="subscript"/>
        </w:rPr>
        <w:t>2</w:t>
      </w:r>
      <w:r>
        <w:t>O emissions from agriculture are already reported under the sector agriculture.</w:t>
      </w:r>
    </w:p>
    <w:p w14:paraId="498CEE00" w14:textId="77777777" w:rsidR="005F3D43" w:rsidRDefault="005F3D43" w:rsidP="005F3D43">
      <w:pPr>
        <w:pStyle w:val="Heading5"/>
        <w:spacing w:before="200" w:after="0" w:line="276" w:lineRule="auto"/>
        <w:jc w:val="left"/>
      </w:pPr>
      <w:bookmarkStart w:id="912" w:name="_Toc182327988"/>
      <w:r w:rsidRPr="00A76C94">
        <w:t>Emissions and removals from drainage and rewetting and other management of organic and mineral soils</w:t>
      </w:r>
      <w:bookmarkEnd w:id="912"/>
    </w:p>
    <w:p w14:paraId="3E935649" w14:textId="77777777" w:rsidR="005F3D43" w:rsidRPr="00F054D7" w:rsidRDefault="005F3D43" w:rsidP="005F3D43">
      <w:pPr>
        <w:spacing w:before="120"/>
      </w:pPr>
      <w:r>
        <w:t>Drainage and rewetting of organic and mineral soils are assumed to be not occurring in Serbia, thus related emissions and removals are reported as not occurring.</w:t>
      </w:r>
    </w:p>
    <w:p w14:paraId="3561F1A8" w14:textId="77777777" w:rsidR="005F3D43" w:rsidRDefault="005F3D43" w:rsidP="005F3D43">
      <w:pPr>
        <w:pStyle w:val="Heading5"/>
        <w:spacing w:before="200" w:after="0" w:line="276" w:lineRule="auto"/>
        <w:jc w:val="left"/>
      </w:pPr>
      <w:bookmarkStart w:id="913" w:name="_Toc182327989"/>
      <w:r w:rsidRPr="00A76C94">
        <w:t>Direct N</w:t>
      </w:r>
      <w:r w:rsidRPr="00622F40">
        <w:rPr>
          <w:vertAlign w:val="subscript"/>
        </w:rPr>
        <w:t>2</w:t>
      </w:r>
      <w:r w:rsidRPr="00A76C94">
        <w:t>O Emissions from N Mineralization/Immobilization</w:t>
      </w:r>
      <w:bookmarkEnd w:id="913"/>
    </w:p>
    <w:p w14:paraId="09808A48" w14:textId="77777777" w:rsidR="005F3D43" w:rsidRPr="00B15266" w:rsidRDefault="005F3D43" w:rsidP="005F3D43">
      <w:pPr>
        <w:spacing w:before="120"/>
      </w:pPr>
      <w:r>
        <w:t>No carbon losses are estimated from soils, thus d</w:t>
      </w:r>
      <w:r w:rsidRPr="0095681F">
        <w:t>irect N</w:t>
      </w:r>
      <w:r w:rsidRPr="00622F40">
        <w:rPr>
          <w:vertAlign w:val="subscript"/>
        </w:rPr>
        <w:t>2</w:t>
      </w:r>
      <w:r w:rsidRPr="0095681F">
        <w:t xml:space="preserve">O </w:t>
      </w:r>
      <w:r>
        <w:t xml:space="preserve">Emissions from N Mineralization are reported as not occurring for cropland remaining cropland. </w:t>
      </w:r>
    </w:p>
    <w:p w14:paraId="2345B43D" w14:textId="77777777" w:rsidR="005F3D43" w:rsidRDefault="005F3D43" w:rsidP="005F3D43">
      <w:pPr>
        <w:pStyle w:val="Heading5"/>
        <w:spacing w:before="200" w:after="0" w:line="276" w:lineRule="auto"/>
        <w:jc w:val="left"/>
      </w:pPr>
      <w:bookmarkStart w:id="914" w:name="_Toc182327990"/>
      <w:r w:rsidRPr="00A76C94">
        <w:t>Indirect N</w:t>
      </w:r>
      <w:r w:rsidRPr="00622F40">
        <w:rPr>
          <w:vertAlign w:val="subscript"/>
        </w:rPr>
        <w:t>2</w:t>
      </w:r>
      <w:r w:rsidRPr="00A76C94">
        <w:t>O Emissions from Managed Soils</w:t>
      </w:r>
      <w:bookmarkEnd w:id="914"/>
    </w:p>
    <w:p w14:paraId="442057F5" w14:textId="77777777" w:rsidR="005F3D43" w:rsidRPr="00F054D7" w:rsidRDefault="005F3D43" w:rsidP="005F3D43">
      <w:r>
        <w:t>Indirect N</w:t>
      </w:r>
      <w:r w:rsidRPr="00622F40">
        <w:rPr>
          <w:vertAlign w:val="subscript"/>
        </w:rPr>
        <w:t>2</w:t>
      </w:r>
      <w:r>
        <w:t>O emissions from agriculture are already reported under the sector agriculture.</w:t>
      </w:r>
    </w:p>
    <w:p w14:paraId="27DB3D01" w14:textId="77777777" w:rsidR="005F3D43" w:rsidRDefault="005F3D43" w:rsidP="005F3D43">
      <w:pPr>
        <w:pStyle w:val="Heading5"/>
        <w:spacing w:before="200" w:after="0" w:line="276" w:lineRule="auto"/>
        <w:jc w:val="left"/>
      </w:pPr>
      <w:bookmarkStart w:id="915" w:name="_Toc182327991"/>
      <w:r w:rsidRPr="00A76C94">
        <w:t>Biomass Burning</w:t>
      </w:r>
      <w:bookmarkEnd w:id="915"/>
    </w:p>
    <w:p w14:paraId="20C01187" w14:textId="77777777" w:rsidR="005F3D43" w:rsidRPr="00027C19" w:rsidRDefault="005F3D43" w:rsidP="005F3D43">
      <w:pPr>
        <w:spacing w:before="120"/>
      </w:pPr>
      <w:r>
        <w:t>It is assumed that no biomass burning is occurring on this type of land (prescribed burning of residues are reported under the sector agriculture).</w:t>
      </w:r>
    </w:p>
    <w:p w14:paraId="036D2A6F" w14:textId="0E86FC0A" w:rsidR="005F3D43" w:rsidRPr="00A76C94" w:rsidRDefault="005F3D43" w:rsidP="005F3D43">
      <w:pPr>
        <w:pStyle w:val="Heading4"/>
        <w:keepNext/>
        <w:keepLines/>
        <w:tabs>
          <w:tab w:val="clear" w:pos="993"/>
          <w:tab w:val="clear" w:pos="2127"/>
        </w:tabs>
        <w:spacing w:before="200" w:after="0" w:line="276" w:lineRule="auto"/>
        <w:jc w:val="left"/>
      </w:pPr>
      <w:bookmarkStart w:id="916" w:name="_Toc182327992"/>
      <w:r>
        <w:t>Land converted to croplands (</w:t>
      </w:r>
      <w:r w:rsidR="00C83924">
        <w:t xml:space="preserve">CRT </w:t>
      </w:r>
      <w:r>
        <w:t>4B2)</w:t>
      </w:r>
      <w:bookmarkEnd w:id="916"/>
    </w:p>
    <w:p w14:paraId="0E019541" w14:textId="77777777" w:rsidR="005F3D43" w:rsidRPr="00A76C94" w:rsidRDefault="005F3D43" w:rsidP="005F3D43">
      <w:pPr>
        <w:pStyle w:val="Heading5"/>
        <w:spacing w:before="200" w:after="0" w:line="276" w:lineRule="auto"/>
        <w:jc w:val="left"/>
      </w:pPr>
      <w:bookmarkStart w:id="917" w:name="_Toc182327993"/>
      <w:r w:rsidRPr="00A76C94">
        <w:t>Carbon stock changes</w:t>
      </w:r>
      <w:bookmarkEnd w:id="917"/>
      <w:r w:rsidRPr="00A76C94">
        <w:t xml:space="preserve"> </w:t>
      </w:r>
    </w:p>
    <w:p w14:paraId="6DC7A98A" w14:textId="77777777" w:rsidR="005F3D43" w:rsidRDefault="005F3D43" w:rsidP="00AB11C1">
      <w:pPr>
        <w:pStyle w:val="ListParagraph"/>
        <w:numPr>
          <w:ilvl w:val="0"/>
          <w:numId w:val="51"/>
        </w:numPr>
        <w:spacing w:before="120" w:after="120"/>
        <w:jc w:val="left"/>
      </w:pPr>
      <w:r>
        <w:t>Living biomass</w:t>
      </w:r>
    </w:p>
    <w:p w14:paraId="1FC0058D" w14:textId="77777777" w:rsidR="005F3D43" w:rsidRDefault="005F3D43" w:rsidP="005F3D43">
      <w:pPr>
        <w:spacing w:before="120" w:after="120"/>
      </w:pPr>
      <w:r>
        <w:t>Fluxes on living biomass are estimated thanks to a stock-difference method and default carbon stocks from IPCC guidelines.</w:t>
      </w:r>
    </w:p>
    <w:p w14:paraId="24A1B3C9" w14:textId="77777777" w:rsidR="005F3D43" w:rsidRDefault="005F3D43" w:rsidP="00AB11C1">
      <w:pPr>
        <w:pStyle w:val="ListParagraph"/>
        <w:numPr>
          <w:ilvl w:val="0"/>
          <w:numId w:val="51"/>
        </w:numPr>
        <w:spacing w:before="120" w:after="120"/>
        <w:jc w:val="left"/>
      </w:pPr>
      <w:r>
        <w:t>Dead organic matter (dead wood, litter)</w:t>
      </w:r>
    </w:p>
    <w:p w14:paraId="6A7AFD62" w14:textId="77777777" w:rsidR="005F3D43" w:rsidRDefault="005F3D43" w:rsidP="005F3D43">
      <w:pPr>
        <w:spacing w:before="120" w:after="120"/>
      </w:pPr>
      <w:r>
        <w:t xml:space="preserve">Emissions on land converted to croplands are estimated for forest converted to cropland. IPCC guidelines do not provide default value for deadwood but a value of 16tC/ha (Table 2.2) for litter. All emissions reported under land converted to cropland for dead organic matters are related to litter. </w:t>
      </w:r>
    </w:p>
    <w:p w14:paraId="0B5790DD" w14:textId="77777777" w:rsidR="005F3D43" w:rsidRDefault="005F3D43" w:rsidP="00AB11C1">
      <w:pPr>
        <w:pStyle w:val="ListParagraph"/>
        <w:numPr>
          <w:ilvl w:val="0"/>
          <w:numId w:val="51"/>
        </w:numPr>
        <w:spacing w:after="0"/>
        <w:jc w:val="left"/>
      </w:pPr>
      <w:r>
        <w:t>Soils (mineral and organic soils)</w:t>
      </w:r>
    </w:p>
    <w:p w14:paraId="395D3638" w14:textId="77777777" w:rsidR="005F3D43" w:rsidRDefault="005F3D43" w:rsidP="005F3D43">
      <w:pPr>
        <w:spacing w:before="120" w:after="120"/>
      </w:pPr>
      <w:r>
        <w:t xml:space="preserve">It is assumed that in Serbia no organic soils exist in croplands. </w:t>
      </w:r>
    </w:p>
    <w:p w14:paraId="47F5C435" w14:textId="77777777" w:rsidR="005F3D43" w:rsidRDefault="005F3D43" w:rsidP="005F3D43">
      <w:pPr>
        <w:spacing w:before="120" w:after="120"/>
      </w:pPr>
      <w:r>
        <w:t>Fluxes on mineral soils are estimated thanks to a stock-difference method.</w:t>
      </w:r>
    </w:p>
    <w:p w14:paraId="3379C3C4" w14:textId="77777777" w:rsidR="005F3D43" w:rsidRDefault="005F3D43" w:rsidP="005F3D43">
      <w:pPr>
        <w:pStyle w:val="Heading5"/>
        <w:spacing w:before="200" w:after="0" w:line="276" w:lineRule="auto"/>
        <w:jc w:val="left"/>
      </w:pPr>
      <w:bookmarkStart w:id="918" w:name="_Toc182327994"/>
      <w:r w:rsidRPr="00A76C94">
        <w:t>Direct N</w:t>
      </w:r>
      <w:r w:rsidRPr="00622F40">
        <w:rPr>
          <w:vertAlign w:val="subscript"/>
        </w:rPr>
        <w:t>2</w:t>
      </w:r>
      <w:r w:rsidRPr="00A76C94">
        <w:t>O Emissions from N Inputs to Managed Soils</w:t>
      </w:r>
      <w:bookmarkEnd w:id="918"/>
    </w:p>
    <w:p w14:paraId="6157FFA2" w14:textId="77777777" w:rsidR="005F3D43" w:rsidRPr="00F054D7" w:rsidRDefault="005F3D43" w:rsidP="005F3D43">
      <w:r>
        <w:t>Direct N</w:t>
      </w:r>
      <w:r w:rsidRPr="00622F40">
        <w:rPr>
          <w:vertAlign w:val="subscript"/>
        </w:rPr>
        <w:t>2</w:t>
      </w:r>
      <w:r>
        <w:t>O emissions from agriculture are already reported under the sector agriculture.</w:t>
      </w:r>
    </w:p>
    <w:p w14:paraId="07F6C3FE" w14:textId="77777777" w:rsidR="005F3D43" w:rsidRDefault="005F3D43" w:rsidP="005F3D43">
      <w:pPr>
        <w:pStyle w:val="Heading5"/>
        <w:spacing w:before="200" w:after="0" w:line="276" w:lineRule="auto"/>
        <w:jc w:val="left"/>
      </w:pPr>
      <w:bookmarkStart w:id="919" w:name="_Toc182327995"/>
      <w:r w:rsidRPr="00A76C94">
        <w:t>Emissions and removals from drainage and rewetting and other management of organic and mineral soils</w:t>
      </w:r>
      <w:bookmarkEnd w:id="919"/>
    </w:p>
    <w:p w14:paraId="20C9AE75" w14:textId="77777777" w:rsidR="005F3D43" w:rsidRPr="00F054D7" w:rsidRDefault="005F3D43" w:rsidP="005F3D43">
      <w:pPr>
        <w:spacing w:before="120"/>
      </w:pPr>
      <w:r>
        <w:t>Drainage and rewetting of organic and mineral soils are assumed to be not occurring in Serbia, thus related emissions and removals are reported as not occurring.</w:t>
      </w:r>
    </w:p>
    <w:p w14:paraId="74368768" w14:textId="77777777" w:rsidR="005F3D43" w:rsidRDefault="005F3D43" w:rsidP="005F3D43">
      <w:pPr>
        <w:pStyle w:val="Heading5"/>
        <w:spacing w:before="200" w:after="0" w:line="276" w:lineRule="auto"/>
        <w:jc w:val="left"/>
      </w:pPr>
      <w:bookmarkStart w:id="920" w:name="_Toc182327996"/>
      <w:r w:rsidRPr="00A76C94">
        <w:t>Direct N</w:t>
      </w:r>
      <w:r w:rsidRPr="00622F40">
        <w:rPr>
          <w:vertAlign w:val="subscript"/>
        </w:rPr>
        <w:t>2</w:t>
      </w:r>
      <w:r w:rsidRPr="00A76C94">
        <w:t>O Emissions from N Mineralization/Immobilization</w:t>
      </w:r>
      <w:bookmarkEnd w:id="920"/>
    </w:p>
    <w:p w14:paraId="6AF596DE" w14:textId="77777777" w:rsidR="005F3D43" w:rsidRPr="00B15266" w:rsidRDefault="005F3D43" w:rsidP="005F3D43">
      <w:pPr>
        <w:spacing w:before="120"/>
      </w:pPr>
      <w:r>
        <w:t>Carbon losses are estimated from mineral soils, thus d</w:t>
      </w:r>
      <w:r w:rsidRPr="0095681F">
        <w:t>irect N</w:t>
      </w:r>
      <w:r w:rsidRPr="00622F40">
        <w:rPr>
          <w:vertAlign w:val="subscript"/>
        </w:rPr>
        <w:t>2</w:t>
      </w:r>
      <w:r w:rsidRPr="0095681F">
        <w:t xml:space="preserve">O </w:t>
      </w:r>
      <w:r>
        <w:t>Emissions from N Mineralization are estimated in accordance with IPCC 2006 guidelines for land converted to croplands.</w:t>
      </w:r>
    </w:p>
    <w:p w14:paraId="096C2792" w14:textId="77777777" w:rsidR="005F3D43" w:rsidRDefault="005F3D43" w:rsidP="005F3D43">
      <w:pPr>
        <w:pStyle w:val="Heading5"/>
        <w:spacing w:before="200" w:after="0" w:line="276" w:lineRule="auto"/>
        <w:jc w:val="left"/>
      </w:pPr>
      <w:bookmarkStart w:id="921" w:name="_Toc182327997"/>
      <w:r w:rsidRPr="00A76C94">
        <w:lastRenderedPageBreak/>
        <w:t>Indirect N</w:t>
      </w:r>
      <w:r w:rsidRPr="00622F40">
        <w:rPr>
          <w:vertAlign w:val="subscript"/>
        </w:rPr>
        <w:t>2</w:t>
      </w:r>
      <w:r w:rsidRPr="00A76C94">
        <w:t>O Emissions from Managed Soils</w:t>
      </w:r>
      <w:bookmarkEnd w:id="921"/>
    </w:p>
    <w:p w14:paraId="1536D506" w14:textId="77777777" w:rsidR="005F3D43" w:rsidRPr="00F054D7" w:rsidRDefault="005F3D43" w:rsidP="005F3D43">
      <w:r>
        <w:t>Indirect N</w:t>
      </w:r>
      <w:r w:rsidRPr="00622F40">
        <w:rPr>
          <w:vertAlign w:val="subscript"/>
        </w:rPr>
        <w:t>2</w:t>
      </w:r>
      <w:r>
        <w:t>O emissions from agriculture are already reported under the sector agriculture.</w:t>
      </w:r>
    </w:p>
    <w:p w14:paraId="7396F781" w14:textId="77777777" w:rsidR="005F3D43" w:rsidRPr="00A76C94" w:rsidRDefault="005F3D43" w:rsidP="005F3D43">
      <w:pPr>
        <w:pStyle w:val="Heading5"/>
        <w:spacing w:before="200" w:after="0" w:line="276" w:lineRule="auto"/>
        <w:jc w:val="left"/>
      </w:pPr>
      <w:bookmarkStart w:id="922" w:name="_Toc182327998"/>
      <w:r w:rsidRPr="00A76C94">
        <w:t>Biomass Burning</w:t>
      </w:r>
      <w:bookmarkEnd w:id="922"/>
    </w:p>
    <w:p w14:paraId="01A21624" w14:textId="77777777" w:rsidR="005F3D43" w:rsidRPr="00027C19" w:rsidRDefault="005F3D43" w:rsidP="005F3D43">
      <w:pPr>
        <w:spacing w:before="120"/>
      </w:pPr>
      <w:r>
        <w:t>It is assumed that no biomass burning is occurring on this type of land (prescribed burning of residues are reported under the sector agriculture).</w:t>
      </w:r>
    </w:p>
    <w:p w14:paraId="4238035F" w14:textId="73B73FA2" w:rsidR="005F3D43" w:rsidRDefault="005F3D43" w:rsidP="005F3D43">
      <w:pPr>
        <w:pStyle w:val="Heading3"/>
        <w:keepNext/>
        <w:keepLines/>
        <w:tabs>
          <w:tab w:val="clear" w:pos="142"/>
          <w:tab w:val="clear" w:pos="1134"/>
        </w:tabs>
        <w:spacing w:before="200" w:after="0" w:line="276" w:lineRule="auto"/>
        <w:jc w:val="left"/>
      </w:pPr>
      <w:bookmarkStart w:id="923" w:name="_Toc182327999"/>
      <w:bookmarkStart w:id="924" w:name="_Toc184808313"/>
      <w:r>
        <w:t>Uncertainties and time-series consistency</w:t>
      </w:r>
      <w:bookmarkEnd w:id="923"/>
      <w:bookmarkEnd w:id="924"/>
    </w:p>
    <w:p w14:paraId="3CBA8C21" w14:textId="77777777" w:rsidR="007E7C4D" w:rsidRPr="002462F0" w:rsidRDefault="007E7C4D" w:rsidP="007E7C4D">
      <w:pPr>
        <w:pStyle w:val="BodyText"/>
        <w:rPr>
          <w:lang w:eastAsia="fr-FR"/>
        </w:rPr>
      </w:pPr>
      <w:r w:rsidRPr="002462F0">
        <w:rPr>
          <w:lang w:eastAsia="fr-FR"/>
        </w:rPr>
        <w:t xml:space="preserve">Uncertainty estimate associated with activity data amounts to </w:t>
      </w:r>
      <w:r>
        <w:rPr>
          <w:lang w:eastAsia="fr-FR"/>
        </w:rPr>
        <w:t>10</w:t>
      </w:r>
      <w:r w:rsidRPr="002462F0">
        <w:rPr>
          <w:lang w:eastAsia="fr-FR"/>
        </w:rPr>
        <w:t>%, based on expert judgment.</w:t>
      </w:r>
    </w:p>
    <w:p w14:paraId="5B9EA4FB" w14:textId="0ECB538C" w:rsidR="007E7C4D" w:rsidRPr="002462F0" w:rsidRDefault="007E7C4D" w:rsidP="007E7C4D">
      <w:pPr>
        <w:pStyle w:val="BodyText"/>
        <w:rPr>
          <w:lang w:eastAsia="fr-FR"/>
        </w:rPr>
      </w:pPr>
      <w:r w:rsidRPr="002462F0">
        <w:rPr>
          <w:lang w:eastAsia="fr-FR"/>
        </w:rPr>
        <w:t>Uncertainty estimate</w:t>
      </w:r>
      <w:r w:rsidR="00EB3585">
        <w:rPr>
          <w:lang w:eastAsia="fr-FR"/>
        </w:rPr>
        <w:t>s</w:t>
      </w:r>
      <w:r w:rsidRPr="002462F0">
        <w:rPr>
          <w:lang w:eastAsia="fr-FR"/>
        </w:rPr>
        <w:t xml:space="preserve"> associated </w:t>
      </w:r>
      <w:r>
        <w:rPr>
          <w:lang w:eastAsia="fr-FR"/>
        </w:rPr>
        <w:t xml:space="preserve">with </w:t>
      </w:r>
      <w:r w:rsidRPr="002462F0">
        <w:rPr>
          <w:lang w:eastAsia="fr-FR"/>
        </w:rPr>
        <w:t xml:space="preserve">emission factor </w:t>
      </w:r>
      <w:r w:rsidR="00EB3585">
        <w:rPr>
          <w:lang w:eastAsia="fr-FR"/>
        </w:rPr>
        <w:t xml:space="preserve">are </w:t>
      </w:r>
      <w:r>
        <w:rPr>
          <w:lang w:eastAsia="fr-FR"/>
        </w:rPr>
        <w:t xml:space="preserve">40% for </w:t>
      </w:r>
      <w:r w:rsidRPr="002462F0">
        <w:rPr>
          <w:lang w:eastAsia="fr-FR"/>
        </w:rPr>
        <w:t>CO</w:t>
      </w:r>
      <w:r w:rsidRPr="002462F0">
        <w:rPr>
          <w:vertAlign w:val="subscript"/>
          <w:lang w:eastAsia="fr-FR"/>
        </w:rPr>
        <w:t>2</w:t>
      </w:r>
      <w:r w:rsidRPr="002462F0">
        <w:rPr>
          <w:lang w:eastAsia="fr-FR"/>
        </w:rPr>
        <w:t xml:space="preserve"> </w:t>
      </w:r>
      <w:r>
        <w:rPr>
          <w:lang w:eastAsia="fr-FR"/>
        </w:rPr>
        <w:t>and 100% for N</w:t>
      </w:r>
      <w:r w:rsidRPr="00BD6A2E">
        <w:rPr>
          <w:vertAlign w:val="subscript"/>
          <w:lang w:eastAsia="fr-FR"/>
        </w:rPr>
        <w:t>2</w:t>
      </w:r>
      <w:r>
        <w:rPr>
          <w:lang w:eastAsia="fr-FR"/>
        </w:rPr>
        <w:t>O, based on expert judgement</w:t>
      </w:r>
      <w:r w:rsidRPr="002462F0">
        <w:rPr>
          <w:lang w:eastAsia="fr-FR"/>
        </w:rPr>
        <w:t>.</w:t>
      </w:r>
    </w:p>
    <w:p w14:paraId="702C0699" w14:textId="1C5FFE10" w:rsidR="007E7C4D" w:rsidRPr="00BD6A2E" w:rsidRDefault="007E7C4D" w:rsidP="007E7C4D">
      <w:pPr>
        <w:rPr>
          <w:lang w:val="en-US"/>
        </w:rPr>
      </w:pPr>
      <w:r>
        <w:rPr>
          <w:lang w:eastAsia="fr-FR"/>
        </w:rPr>
        <w:t>Combined uncertaint</w:t>
      </w:r>
      <w:r w:rsidR="00EB3585">
        <w:rPr>
          <w:lang w:eastAsia="fr-FR"/>
        </w:rPr>
        <w:t>ies</w:t>
      </w:r>
      <w:r>
        <w:rPr>
          <w:lang w:eastAsia="fr-FR"/>
        </w:rPr>
        <w:t xml:space="preserve"> </w:t>
      </w:r>
      <w:r w:rsidR="00EB3585">
        <w:rPr>
          <w:lang w:eastAsia="fr-FR"/>
        </w:rPr>
        <w:t>are</w:t>
      </w:r>
      <w:r w:rsidR="00EB3585" w:rsidRPr="002462F0">
        <w:rPr>
          <w:lang w:eastAsia="fr-FR"/>
        </w:rPr>
        <w:t xml:space="preserve"> </w:t>
      </w:r>
      <w:r>
        <w:rPr>
          <w:lang w:eastAsia="fr-FR"/>
        </w:rPr>
        <w:t>41</w:t>
      </w:r>
      <w:r w:rsidRPr="002462F0">
        <w:rPr>
          <w:lang w:eastAsia="fr-FR"/>
        </w:rPr>
        <w:t>%</w:t>
      </w:r>
      <w:r>
        <w:rPr>
          <w:lang w:eastAsia="fr-FR"/>
        </w:rPr>
        <w:t xml:space="preserve"> for CO</w:t>
      </w:r>
      <w:r w:rsidRPr="00BD6A2E">
        <w:rPr>
          <w:vertAlign w:val="subscript"/>
          <w:lang w:eastAsia="fr-FR"/>
        </w:rPr>
        <w:t>2</w:t>
      </w:r>
      <w:r>
        <w:rPr>
          <w:lang w:eastAsia="fr-FR"/>
        </w:rPr>
        <w:t xml:space="preserve"> emissions and 100% for N</w:t>
      </w:r>
      <w:r w:rsidRPr="00BD6A2E">
        <w:rPr>
          <w:vertAlign w:val="subscript"/>
          <w:lang w:eastAsia="fr-FR"/>
        </w:rPr>
        <w:t>2</w:t>
      </w:r>
      <w:r>
        <w:rPr>
          <w:lang w:eastAsia="fr-FR"/>
        </w:rPr>
        <w:t>O emissions</w:t>
      </w:r>
      <w:r w:rsidRPr="002462F0">
        <w:rPr>
          <w:lang w:eastAsia="fr-FR"/>
        </w:rPr>
        <w:t>.</w:t>
      </w:r>
      <w:r w:rsidR="00EB3585">
        <w:rPr>
          <w:lang w:eastAsia="fr-FR"/>
        </w:rPr>
        <w:t xml:space="preserve"> The uncertainties combined in the national totals of emissions are of 0.0</w:t>
      </w:r>
      <w:r w:rsidR="006C2FC0">
        <w:rPr>
          <w:lang w:eastAsia="fr-FR"/>
        </w:rPr>
        <w:t>3</w:t>
      </w:r>
      <w:r w:rsidR="00EB3585">
        <w:rPr>
          <w:lang w:eastAsia="fr-FR"/>
        </w:rPr>
        <w:t>% and 0.005% for CO</w:t>
      </w:r>
      <w:r w:rsidR="00EB3585" w:rsidRPr="005C143B">
        <w:rPr>
          <w:vertAlign w:val="subscript"/>
          <w:lang w:eastAsia="fr-FR"/>
        </w:rPr>
        <w:t>2</w:t>
      </w:r>
      <w:r w:rsidR="00EB3585">
        <w:rPr>
          <w:lang w:eastAsia="fr-FR"/>
        </w:rPr>
        <w:t xml:space="preserve"> and N</w:t>
      </w:r>
      <w:r w:rsidR="00EB3585" w:rsidRPr="005C143B">
        <w:rPr>
          <w:vertAlign w:val="subscript"/>
          <w:lang w:eastAsia="fr-FR"/>
        </w:rPr>
        <w:t>2</w:t>
      </w:r>
      <w:r w:rsidR="00EB3585">
        <w:rPr>
          <w:lang w:eastAsia="fr-FR"/>
        </w:rPr>
        <w:t>O, respectively in 2022, in the Republic of Serbia.</w:t>
      </w:r>
    </w:p>
    <w:p w14:paraId="79E6385D" w14:textId="0E68BFEF" w:rsidR="005F3D43" w:rsidRDefault="005F3D43" w:rsidP="005F3D43">
      <w:pPr>
        <w:pStyle w:val="Heading3"/>
        <w:keepNext/>
        <w:keepLines/>
        <w:tabs>
          <w:tab w:val="clear" w:pos="142"/>
          <w:tab w:val="clear" w:pos="1134"/>
        </w:tabs>
        <w:spacing w:before="200" w:after="0" w:line="276" w:lineRule="auto"/>
        <w:jc w:val="left"/>
      </w:pPr>
      <w:bookmarkStart w:id="925" w:name="_Toc182328000"/>
      <w:bookmarkStart w:id="926" w:name="_Toc184808314"/>
      <w:r>
        <w:t>Category-specific QA/QC and verification</w:t>
      </w:r>
      <w:bookmarkEnd w:id="925"/>
      <w:bookmarkEnd w:id="926"/>
    </w:p>
    <w:p w14:paraId="2CC0E59B" w14:textId="7E62145A" w:rsidR="0035245C" w:rsidRPr="00622F40" w:rsidRDefault="0035245C" w:rsidP="00622F40">
      <w:pPr>
        <w:pStyle w:val="BodyText"/>
        <w:rPr>
          <w:lang w:eastAsia="fr-FR"/>
        </w:rPr>
      </w:pPr>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100D3FD3" w14:textId="19EFEFE1" w:rsidR="005F3D43" w:rsidRDefault="005F3D43" w:rsidP="005F3D43">
      <w:pPr>
        <w:pStyle w:val="Heading3"/>
        <w:keepNext/>
        <w:keepLines/>
        <w:tabs>
          <w:tab w:val="clear" w:pos="142"/>
          <w:tab w:val="clear" w:pos="1134"/>
        </w:tabs>
        <w:spacing w:before="200" w:after="0" w:line="276" w:lineRule="auto"/>
        <w:jc w:val="left"/>
      </w:pPr>
      <w:bookmarkStart w:id="927" w:name="_Toc182328001"/>
      <w:bookmarkStart w:id="928" w:name="_Toc184808315"/>
      <w:r>
        <w:t>Category-specific recalculations</w:t>
      </w:r>
      <w:bookmarkEnd w:id="927"/>
      <w:bookmarkEnd w:id="928"/>
    </w:p>
    <w:p w14:paraId="0770DC2F" w14:textId="02F98895" w:rsidR="0035245C" w:rsidRPr="00622F40" w:rsidRDefault="0035245C" w:rsidP="00622F40">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675634D4" w14:textId="7EB0B6EF" w:rsidR="005F3D43" w:rsidRDefault="005F3D43" w:rsidP="005F3D43">
      <w:pPr>
        <w:pStyle w:val="Heading3"/>
        <w:keepNext/>
        <w:keepLines/>
        <w:tabs>
          <w:tab w:val="clear" w:pos="142"/>
          <w:tab w:val="clear" w:pos="1134"/>
        </w:tabs>
        <w:spacing w:before="200" w:after="0" w:line="276" w:lineRule="auto"/>
        <w:jc w:val="left"/>
      </w:pPr>
      <w:bookmarkStart w:id="929" w:name="_Toc182328002"/>
      <w:bookmarkStart w:id="930" w:name="_Toc184808316"/>
      <w:r>
        <w:t>Category-specific planned improvements</w:t>
      </w:r>
      <w:bookmarkEnd w:id="929"/>
      <w:bookmarkEnd w:id="930"/>
    </w:p>
    <w:p w14:paraId="5B865CF5" w14:textId="70A2315B" w:rsidR="001A0D3A" w:rsidRDefault="001A0D3A" w:rsidP="00723827">
      <w:pPr>
        <w:rPr>
          <w:lang w:val="en-US"/>
        </w:rPr>
      </w:pPr>
      <w:r>
        <w:rPr>
          <w:lang w:val="en-US"/>
        </w:rPr>
        <w:t>For all LULULUCF sector, land-use and land-use change areas monitoring needs to be improved, at least to include more recent CLC datasets available such as 2018 edition; and at best to revise the land-use monitoring approach for enhanced spatial precision, compatibility with forest definition, and temporal consistency.</w:t>
      </w:r>
    </w:p>
    <w:p w14:paraId="5C66DEC4" w14:textId="29A27C4A" w:rsidR="00723827" w:rsidRPr="00723827" w:rsidRDefault="003A7F19" w:rsidP="00723827">
      <w:pPr>
        <w:rPr>
          <w:lang w:val="en-US"/>
        </w:rPr>
      </w:pPr>
      <w:r w:rsidRPr="00F06993">
        <w:rPr>
          <w:highlight w:val="yellow"/>
          <w:lang w:val="en-US"/>
        </w:rPr>
        <w:t>N</w:t>
      </w:r>
      <w:r w:rsidR="00EA2596" w:rsidRPr="00F06993">
        <w:rPr>
          <w:highlight w:val="yellow"/>
          <w:lang w:val="en-US"/>
        </w:rPr>
        <w:t>egative emissions of N</w:t>
      </w:r>
      <w:r w:rsidR="00EA2596" w:rsidRPr="00F06993">
        <w:rPr>
          <w:highlight w:val="yellow"/>
          <w:vertAlign w:val="subscript"/>
          <w:lang w:val="en-US"/>
        </w:rPr>
        <w:t>2</w:t>
      </w:r>
      <w:r w:rsidR="00EA2596" w:rsidRPr="00F06993">
        <w:rPr>
          <w:highlight w:val="yellow"/>
          <w:lang w:val="en-US"/>
        </w:rPr>
        <w:t>O from mineralization will be corrected</w:t>
      </w:r>
      <w:r w:rsidRPr="00F06993">
        <w:rPr>
          <w:highlight w:val="yellow"/>
          <w:lang w:val="en-US"/>
        </w:rPr>
        <w:t xml:space="preserve"> so that only emissions are reported.</w:t>
      </w:r>
    </w:p>
    <w:p w14:paraId="7135852D" w14:textId="6B7FB1B2" w:rsidR="005F3D43" w:rsidRDefault="005F3D43" w:rsidP="005F3D43">
      <w:pPr>
        <w:pStyle w:val="Heading2"/>
        <w:keepNext/>
        <w:keepLines/>
        <w:spacing w:before="200" w:after="0" w:line="276" w:lineRule="auto"/>
      </w:pPr>
      <w:bookmarkStart w:id="931" w:name="_Toc182328003"/>
      <w:bookmarkStart w:id="932" w:name="_Toc184808317"/>
      <w:r>
        <w:t>Grasslands (</w:t>
      </w:r>
      <w:r w:rsidR="00FF2718">
        <w:t xml:space="preserve">CRT </w:t>
      </w:r>
      <w:r>
        <w:t>4C)</w:t>
      </w:r>
      <w:bookmarkEnd w:id="931"/>
      <w:bookmarkEnd w:id="932"/>
    </w:p>
    <w:p w14:paraId="2D42F939" w14:textId="77777777" w:rsidR="005F3D43" w:rsidRDefault="005F3D43" w:rsidP="005F3D43">
      <w:pPr>
        <w:pStyle w:val="Heading3"/>
        <w:keepNext/>
        <w:keepLines/>
        <w:tabs>
          <w:tab w:val="clear" w:pos="142"/>
          <w:tab w:val="clear" w:pos="1134"/>
        </w:tabs>
        <w:spacing w:before="200" w:after="0" w:line="276" w:lineRule="auto"/>
        <w:jc w:val="left"/>
      </w:pPr>
      <w:bookmarkStart w:id="933" w:name="_Toc182328004"/>
      <w:bookmarkStart w:id="934" w:name="_Toc184808318"/>
      <w:r>
        <w:t>Description</w:t>
      </w:r>
      <w:bookmarkEnd w:id="933"/>
      <w:bookmarkEnd w:id="934"/>
    </w:p>
    <w:p w14:paraId="7D5FCC81" w14:textId="77777777" w:rsidR="005F3D43" w:rsidRDefault="005F3D43" w:rsidP="005F3D43">
      <w:pPr>
        <w:autoSpaceDE w:val="0"/>
        <w:autoSpaceDN w:val="0"/>
        <w:adjustRightInd w:val="0"/>
        <w:spacing w:after="120" w:line="240" w:lineRule="auto"/>
        <w:rPr>
          <w:rFonts w:cs="ArialMT"/>
        </w:rPr>
      </w:pPr>
      <w:r w:rsidRPr="004B7EA1">
        <w:rPr>
          <w:rFonts w:cs="ArialMT"/>
        </w:rPr>
        <w:t xml:space="preserve">This category comprises GHG emissions and removals arising from </w:t>
      </w:r>
      <w:r>
        <w:rPr>
          <w:rFonts w:cs="ArialMT"/>
        </w:rPr>
        <w:t>grasslands</w:t>
      </w:r>
      <w:r w:rsidRPr="004B7EA1">
        <w:rPr>
          <w:rFonts w:cs="ArialMT"/>
        </w:rPr>
        <w:t>.</w:t>
      </w:r>
    </w:p>
    <w:p w14:paraId="76F3110B" w14:textId="09790E5D" w:rsidR="001B20A6" w:rsidRDefault="001B20A6" w:rsidP="001B20A6">
      <w:pPr>
        <w:autoSpaceDE w:val="0"/>
        <w:autoSpaceDN w:val="0"/>
        <w:adjustRightInd w:val="0"/>
        <w:spacing w:before="120" w:after="120" w:line="240" w:lineRule="auto"/>
        <w:rPr>
          <w:rFonts w:cs="ArialMT"/>
        </w:rPr>
      </w:pPr>
      <w:r>
        <w:rPr>
          <w:rFonts w:cs="ArialMT"/>
        </w:rPr>
        <w:t>In this category, emissions and absorptions are only estimated for land conversions and for biomass burning. No emission estimation is calculated for croplands remaining croplands (</w:t>
      </w:r>
      <w:r w:rsidR="009F63E8">
        <w:rPr>
          <w:rFonts w:cs="ArialMT"/>
        </w:rPr>
        <w:t xml:space="preserve">including in </w:t>
      </w:r>
      <w:r>
        <w:rPr>
          <w:rFonts w:cs="ArialMT"/>
        </w:rPr>
        <w:t>4</w:t>
      </w:r>
      <w:r w:rsidR="009F63E8">
        <w:rPr>
          <w:rFonts w:cs="ArialMT"/>
        </w:rPr>
        <w:t>C</w:t>
      </w:r>
      <w:r>
        <w:rPr>
          <w:rFonts w:cs="ArialMT"/>
        </w:rPr>
        <w:t xml:space="preserve">1). </w:t>
      </w:r>
    </w:p>
    <w:p w14:paraId="65E1CAE1" w14:textId="62BF9A5D" w:rsidR="001B20A6" w:rsidRDefault="001B20A6" w:rsidP="001B20A6">
      <w:pPr>
        <w:autoSpaceDE w:val="0"/>
        <w:autoSpaceDN w:val="0"/>
        <w:adjustRightInd w:val="0"/>
        <w:spacing w:before="120" w:after="120" w:line="240" w:lineRule="auto"/>
        <w:rPr>
          <w:rFonts w:cs="ArialMT"/>
        </w:rPr>
      </w:pPr>
      <w:r>
        <w:rPr>
          <w:rFonts w:cs="ArialMT"/>
        </w:rPr>
        <w:t xml:space="preserve">The </w:t>
      </w:r>
      <w:r w:rsidR="00356E4C">
        <w:rPr>
          <w:rFonts w:cs="ArialMT"/>
        </w:rPr>
        <w:t xml:space="preserve">emission evolution </w:t>
      </w:r>
      <w:r>
        <w:rPr>
          <w:rFonts w:cs="ArialMT"/>
        </w:rPr>
        <w:t>for lands converted to croplands (4</w:t>
      </w:r>
      <w:r w:rsidR="009F63E8">
        <w:rPr>
          <w:rFonts w:cs="ArialMT"/>
        </w:rPr>
        <w:t>C</w:t>
      </w:r>
      <w:r>
        <w:rPr>
          <w:rFonts w:cs="ArialMT"/>
        </w:rPr>
        <w:t xml:space="preserve">2) reflects the trend in land-use change areas. </w:t>
      </w:r>
    </w:p>
    <w:p w14:paraId="6761610C" w14:textId="188B3870" w:rsidR="00614DD8" w:rsidRDefault="00614DD8" w:rsidP="001B20A6">
      <w:pPr>
        <w:autoSpaceDE w:val="0"/>
        <w:autoSpaceDN w:val="0"/>
        <w:adjustRightInd w:val="0"/>
        <w:spacing w:before="120" w:after="120" w:line="240" w:lineRule="auto"/>
        <w:rPr>
          <w:rFonts w:cs="ArialMT"/>
        </w:rPr>
      </w:pPr>
      <w:r>
        <w:rPr>
          <w:rFonts w:cs="ArialMT"/>
        </w:rPr>
        <w:t xml:space="preserve">The following graphs give the GHG emission trend for the estimated categories. </w:t>
      </w:r>
    </w:p>
    <w:p w14:paraId="286ED009" w14:textId="75A073E9" w:rsidR="001B20A6" w:rsidRPr="004B7EA1" w:rsidRDefault="00723075" w:rsidP="005F3D43">
      <w:pPr>
        <w:autoSpaceDE w:val="0"/>
        <w:autoSpaceDN w:val="0"/>
        <w:adjustRightInd w:val="0"/>
        <w:spacing w:after="120" w:line="240" w:lineRule="auto"/>
        <w:rPr>
          <w:rFonts w:cs="ArialMT"/>
        </w:rPr>
      </w:pPr>
      <w:r>
        <w:t>T</w:t>
      </w:r>
      <w:r w:rsidRPr="00622F40">
        <w:t xml:space="preserve">he </w:t>
      </w:r>
      <w:r w:rsidR="005039A4">
        <w:t xml:space="preserve">overall </w:t>
      </w:r>
      <w:r w:rsidRPr="00622F40">
        <w:t>reduction in emissions is due to a significantly reduced area of grassland that was affected by fires, as well as due to a change in land use.</w:t>
      </w:r>
      <w:r>
        <w:t xml:space="preserve"> </w:t>
      </w:r>
      <w:r w:rsidR="00A332A6">
        <w:t xml:space="preserve">The two peaks of emissions observed in 2000 and 2007 are related to biomass burning (CRT 4C1). </w:t>
      </w:r>
    </w:p>
    <w:p w14:paraId="4553AC37" w14:textId="33EBF15F" w:rsidR="00723827" w:rsidRDefault="00E8769C" w:rsidP="00F06993">
      <w:pPr>
        <w:spacing w:after="0" w:line="240" w:lineRule="auto"/>
        <w:jc w:val="left"/>
      </w:pPr>
      <w:r>
        <w:rPr>
          <w:noProof/>
          <w:lang w:val="en-US"/>
        </w:rPr>
        <w:lastRenderedPageBreak/>
        <w:drawing>
          <wp:inline distT="0" distB="0" distL="0" distR="0" wp14:anchorId="6DC88022" wp14:editId="5A832A44">
            <wp:extent cx="5760000" cy="1753712"/>
            <wp:effectExtent l="0" t="0" r="0" b="0"/>
            <wp:docPr id="806683880"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480C1CF0" w14:textId="77777777" w:rsidR="00F06993" w:rsidRDefault="00F06993" w:rsidP="00F06993">
      <w:pPr>
        <w:pStyle w:val="Caption"/>
        <w:spacing w:before="0"/>
        <w:jc w:val="left"/>
      </w:pPr>
      <w:bookmarkStart w:id="935" w:name="_Toc184808518"/>
      <w:r w:rsidRPr="00622F40">
        <w:t xml:space="preserve">Figure </w:t>
      </w:r>
      <w:r w:rsidRPr="00622F40">
        <w:fldChar w:fldCharType="begin"/>
      </w:r>
      <w:r w:rsidRPr="00622F40">
        <w:instrText xml:space="preserve"> SEQ Figure \* ARABIC </w:instrText>
      </w:r>
      <w:r w:rsidRPr="00622F40">
        <w:fldChar w:fldCharType="separate"/>
      </w:r>
      <w:r>
        <w:rPr>
          <w:noProof/>
        </w:rPr>
        <w:t>131</w:t>
      </w:r>
      <w:r w:rsidRPr="00622F40">
        <w:fldChar w:fldCharType="end"/>
      </w:r>
      <w:r w:rsidRPr="00622F40">
        <w:t>: GHG emissions from wildfires (</w:t>
      </w:r>
      <w:r>
        <w:t>CRT</w:t>
      </w:r>
      <w:r w:rsidRPr="00622F40">
        <w:t xml:space="preserve"> 4.C.1) (kt CO</w:t>
      </w:r>
      <w:r w:rsidRPr="00180D15">
        <w:rPr>
          <w:vertAlign w:val="subscript"/>
        </w:rPr>
        <w:t>2e</w:t>
      </w:r>
      <w:r w:rsidRPr="00622F40">
        <w:t>)</w:t>
      </w:r>
      <w:bookmarkEnd w:id="935"/>
    </w:p>
    <w:p w14:paraId="784AC369" w14:textId="64AC88BF" w:rsidR="00723827" w:rsidRDefault="00E8769C" w:rsidP="00F06993">
      <w:pPr>
        <w:spacing w:after="0" w:line="240" w:lineRule="auto"/>
        <w:jc w:val="left"/>
      </w:pPr>
      <w:r>
        <w:rPr>
          <w:noProof/>
          <w:lang w:val="en-US"/>
        </w:rPr>
        <w:drawing>
          <wp:inline distT="0" distB="0" distL="0" distR="0" wp14:anchorId="553E29C2" wp14:editId="33D912CE">
            <wp:extent cx="5760000" cy="1753712"/>
            <wp:effectExtent l="0" t="0" r="0" b="0"/>
            <wp:docPr id="1711724407"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239E68F4" w14:textId="77777777" w:rsidR="00F06993" w:rsidRDefault="00F06993" w:rsidP="00F06993">
      <w:pPr>
        <w:pStyle w:val="Caption"/>
        <w:spacing w:before="0"/>
        <w:jc w:val="left"/>
      </w:pPr>
      <w:bookmarkStart w:id="936" w:name="_Toc184808519"/>
      <w:r w:rsidRPr="005732D0">
        <w:t xml:space="preserve">Figure </w:t>
      </w:r>
      <w:r w:rsidRPr="00622F40">
        <w:fldChar w:fldCharType="begin"/>
      </w:r>
      <w:r w:rsidRPr="005732D0">
        <w:instrText xml:space="preserve"> SEQ Figure \* ARABIC </w:instrText>
      </w:r>
      <w:r w:rsidRPr="00622F40">
        <w:fldChar w:fldCharType="separate"/>
      </w:r>
      <w:r>
        <w:t>132</w:t>
      </w:r>
      <w:r w:rsidRPr="00622F40">
        <w:fldChar w:fldCharType="end"/>
      </w:r>
      <w:r w:rsidRPr="005732D0">
        <w:t>: GHG emissions from forest land converted to grassland (</w:t>
      </w:r>
      <w:r>
        <w:t>CRT</w:t>
      </w:r>
      <w:r w:rsidRPr="005732D0">
        <w:t xml:space="preserve"> 4.C.2.1) (kt CO</w:t>
      </w:r>
      <w:r w:rsidRPr="00180D15">
        <w:rPr>
          <w:vertAlign w:val="subscript"/>
        </w:rPr>
        <w:t>2e</w:t>
      </w:r>
      <w:r w:rsidRPr="005732D0">
        <w:t>)</w:t>
      </w:r>
      <w:bookmarkEnd w:id="936"/>
    </w:p>
    <w:p w14:paraId="165BF81E" w14:textId="68D0D976" w:rsidR="00723827" w:rsidRDefault="005732D0" w:rsidP="00F06993">
      <w:pPr>
        <w:spacing w:after="0" w:line="240" w:lineRule="auto"/>
        <w:jc w:val="left"/>
      </w:pPr>
      <w:r>
        <w:rPr>
          <w:noProof/>
          <w:lang w:val="en-US"/>
        </w:rPr>
        <w:drawing>
          <wp:inline distT="0" distB="0" distL="0" distR="0" wp14:anchorId="3077B710" wp14:editId="348A5172">
            <wp:extent cx="5760000" cy="1753712"/>
            <wp:effectExtent l="0" t="0" r="0" b="0"/>
            <wp:docPr id="1147778568"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531BF42F" w14:textId="77777777" w:rsidR="00F06993" w:rsidRDefault="00F06993" w:rsidP="00F06993">
      <w:pPr>
        <w:pStyle w:val="Caption"/>
        <w:spacing w:before="0"/>
        <w:jc w:val="left"/>
      </w:pPr>
      <w:bookmarkStart w:id="937" w:name="_Toc184808520"/>
      <w:r w:rsidRPr="005732D0">
        <w:t xml:space="preserve">Figure </w:t>
      </w:r>
      <w:r w:rsidRPr="00622F40">
        <w:fldChar w:fldCharType="begin"/>
      </w:r>
      <w:r w:rsidRPr="005732D0">
        <w:instrText xml:space="preserve"> SEQ Figure \* ARABIC </w:instrText>
      </w:r>
      <w:r w:rsidRPr="00622F40">
        <w:fldChar w:fldCharType="separate"/>
      </w:r>
      <w:r>
        <w:rPr>
          <w:noProof/>
        </w:rPr>
        <w:t>133</w:t>
      </w:r>
      <w:r w:rsidRPr="00622F40">
        <w:fldChar w:fldCharType="end"/>
      </w:r>
      <w:r w:rsidRPr="005732D0">
        <w:t>: GHG emissions from cropland converted to grassland (</w:t>
      </w:r>
      <w:r>
        <w:t>CRT</w:t>
      </w:r>
      <w:r w:rsidRPr="005732D0">
        <w:t xml:space="preserve"> 4.C.2.2) (kt CO</w:t>
      </w:r>
      <w:r w:rsidRPr="00180D15">
        <w:rPr>
          <w:vertAlign w:val="subscript"/>
        </w:rPr>
        <w:t>2e</w:t>
      </w:r>
      <w:r w:rsidRPr="005732D0">
        <w:t>)</w:t>
      </w:r>
      <w:bookmarkEnd w:id="937"/>
    </w:p>
    <w:p w14:paraId="5E63D447" w14:textId="7EE6D82F" w:rsidR="00723827" w:rsidRDefault="000F5D22" w:rsidP="00F06993">
      <w:pPr>
        <w:spacing w:after="0" w:line="240" w:lineRule="auto"/>
        <w:jc w:val="left"/>
      </w:pPr>
      <w:r>
        <w:rPr>
          <w:noProof/>
          <w:lang w:val="en-US"/>
        </w:rPr>
        <w:drawing>
          <wp:inline distT="0" distB="0" distL="0" distR="0" wp14:anchorId="1B28AF97" wp14:editId="53FD2623">
            <wp:extent cx="5760000" cy="1753712"/>
            <wp:effectExtent l="0" t="0" r="0" b="0"/>
            <wp:docPr id="408835513"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56388097" w14:textId="77777777" w:rsidR="00F06993" w:rsidRDefault="00F06993" w:rsidP="00F06993">
      <w:pPr>
        <w:pStyle w:val="Caption"/>
        <w:spacing w:before="0"/>
        <w:jc w:val="left"/>
      </w:pPr>
      <w:bookmarkStart w:id="938" w:name="_Toc184808521"/>
      <w:r w:rsidRPr="00622F40">
        <w:t xml:space="preserve">Figure </w:t>
      </w:r>
      <w:r w:rsidRPr="00622F40">
        <w:fldChar w:fldCharType="begin"/>
      </w:r>
      <w:r w:rsidRPr="00622F40">
        <w:instrText xml:space="preserve"> SEQ Figure \* ARABIC </w:instrText>
      </w:r>
      <w:r w:rsidRPr="00622F40">
        <w:fldChar w:fldCharType="separate"/>
      </w:r>
      <w:r>
        <w:t>134</w:t>
      </w:r>
      <w:r w:rsidRPr="00622F40">
        <w:fldChar w:fldCharType="end"/>
      </w:r>
      <w:r w:rsidRPr="00622F40">
        <w:t>: GHG emissions from wetlands converted to grassland (</w:t>
      </w:r>
      <w:r>
        <w:t>CRT</w:t>
      </w:r>
      <w:r w:rsidRPr="00622F40">
        <w:t xml:space="preserve"> 4.C.2.3) (kt CO</w:t>
      </w:r>
      <w:r w:rsidRPr="00180D15">
        <w:rPr>
          <w:vertAlign w:val="subscript"/>
        </w:rPr>
        <w:t>2e</w:t>
      </w:r>
      <w:r w:rsidRPr="00622F40">
        <w:t>)</w:t>
      </w:r>
      <w:bookmarkEnd w:id="938"/>
    </w:p>
    <w:p w14:paraId="45219E7A" w14:textId="46970994" w:rsidR="00723827" w:rsidRDefault="000F5D22" w:rsidP="00F06993">
      <w:pPr>
        <w:spacing w:after="0" w:line="240" w:lineRule="auto"/>
        <w:jc w:val="left"/>
      </w:pPr>
      <w:r>
        <w:rPr>
          <w:noProof/>
          <w:lang w:val="en-US"/>
        </w:rPr>
        <w:lastRenderedPageBreak/>
        <w:drawing>
          <wp:inline distT="0" distB="0" distL="0" distR="0" wp14:anchorId="47B90CBF" wp14:editId="0F47523C">
            <wp:extent cx="5760000" cy="1753712"/>
            <wp:effectExtent l="0" t="0" r="0" b="0"/>
            <wp:docPr id="1787910473"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278427FD" w14:textId="77777777" w:rsidR="00F06993" w:rsidRDefault="00F06993" w:rsidP="00F06993">
      <w:pPr>
        <w:pStyle w:val="Caption"/>
        <w:spacing w:before="0"/>
        <w:jc w:val="left"/>
      </w:pPr>
      <w:bookmarkStart w:id="939" w:name="_Toc184808522"/>
      <w:r w:rsidRPr="00622F40">
        <w:t xml:space="preserve">Figure </w:t>
      </w:r>
      <w:r w:rsidRPr="00622F40">
        <w:fldChar w:fldCharType="begin"/>
      </w:r>
      <w:r w:rsidRPr="00622F40">
        <w:instrText xml:space="preserve"> SEQ Figure \* ARABIC </w:instrText>
      </w:r>
      <w:r w:rsidRPr="00622F40">
        <w:fldChar w:fldCharType="separate"/>
      </w:r>
      <w:r>
        <w:rPr>
          <w:noProof/>
        </w:rPr>
        <w:t>135</w:t>
      </w:r>
      <w:r w:rsidRPr="00622F40">
        <w:fldChar w:fldCharType="end"/>
      </w:r>
      <w:r w:rsidRPr="00622F40">
        <w:t>: GHG emissions from settlements converted to grassland (</w:t>
      </w:r>
      <w:r>
        <w:t>CRT</w:t>
      </w:r>
      <w:r w:rsidRPr="00622F40">
        <w:t xml:space="preserve"> 4.C.2.4) (kt CO</w:t>
      </w:r>
      <w:r w:rsidRPr="00180D15">
        <w:rPr>
          <w:vertAlign w:val="subscript"/>
        </w:rPr>
        <w:t>2e</w:t>
      </w:r>
      <w:r w:rsidRPr="00622F40">
        <w:t>)</w:t>
      </w:r>
      <w:bookmarkEnd w:id="939"/>
    </w:p>
    <w:p w14:paraId="45F8A489" w14:textId="038006D0" w:rsidR="00723827" w:rsidRDefault="0050328D" w:rsidP="00F06993">
      <w:pPr>
        <w:spacing w:after="0" w:line="240" w:lineRule="auto"/>
        <w:jc w:val="left"/>
      </w:pPr>
      <w:r>
        <w:rPr>
          <w:noProof/>
          <w:lang w:val="en-US"/>
        </w:rPr>
        <w:drawing>
          <wp:inline distT="0" distB="0" distL="0" distR="0" wp14:anchorId="55E0C969" wp14:editId="11E427D9">
            <wp:extent cx="5760000" cy="1753712"/>
            <wp:effectExtent l="0" t="0" r="0" b="0"/>
            <wp:docPr id="2051734161"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3311F057" w14:textId="77777777" w:rsidR="00F06993" w:rsidRDefault="00F06993" w:rsidP="00F06993">
      <w:pPr>
        <w:pStyle w:val="Caption"/>
        <w:spacing w:before="0"/>
        <w:jc w:val="left"/>
      </w:pPr>
      <w:bookmarkStart w:id="940" w:name="_Toc184808523"/>
      <w:r w:rsidRPr="00622F40">
        <w:t xml:space="preserve">Figure </w:t>
      </w:r>
      <w:r w:rsidRPr="00622F40">
        <w:fldChar w:fldCharType="begin"/>
      </w:r>
      <w:r w:rsidRPr="00622F40">
        <w:instrText xml:space="preserve"> SEQ Figure \* ARABIC </w:instrText>
      </w:r>
      <w:r w:rsidRPr="00622F40">
        <w:fldChar w:fldCharType="separate"/>
      </w:r>
      <w:r>
        <w:rPr>
          <w:noProof/>
        </w:rPr>
        <w:t>136</w:t>
      </w:r>
      <w:r w:rsidRPr="00622F40">
        <w:fldChar w:fldCharType="end"/>
      </w:r>
      <w:r w:rsidRPr="00622F40">
        <w:t>: GHG emissions from other land converted to grassland (</w:t>
      </w:r>
      <w:r>
        <w:t>CRT</w:t>
      </w:r>
      <w:r w:rsidRPr="00622F40">
        <w:t xml:space="preserve"> 4.C.2.5) (kt CO</w:t>
      </w:r>
      <w:r w:rsidRPr="00180D15">
        <w:rPr>
          <w:vertAlign w:val="subscript"/>
        </w:rPr>
        <w:t>2e</w:t>
      </w:r>
      <w:r w:rsidRPr="00622F40">
        <w:t>)</w:t>
      </w:r>
      <w:bookmarkEnd w:id="940"/>
    </w:p>
    <w:p w14:paraId="4CF83E53" w14:textId="009588DA" w:rsidR="00723827" w:rsidRDefault="0050328D" w:rsidP="00F06993">
      <w:pPr>
        <w:spacing w:after="0" w:line="240" w:lineRule="auto"/>
        <w:jc w:val="left"/>
      </w:pPr>
      <w:r>
        <w:rPr>
          <w:noProof/>
          <w:lang w:val="en-US"/>
        </w:rPr>
        <w:drawing>
          <wp:inline distT="0" distB="0" distL="0" distR="0" wp14:anchorId="241CEC81" wp14:editId="74491BBD">
            <wp:extent cx="5760000" cy="1753712"/>
            <wp:effectExtent l="0" t="0" r="0" b="0"/>
            <wp:docPr id="981439019"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42596C04" w14:textId="77777777" w:rsidR="00F06993" w:rsidRDefault="00F06993" w:rsidP="00F06993">
      <w:pPr>
        <w:pStyle w:val="Caption"/>
        <w:spacing w:before="0"/>
        <w:jc w:val="left"/>
      </w:pPr>
      <w:bookmarkStart w:id="941" w:name="_Toc184808524"/>
      <w:r w:rsidRPr="002A719F">
        <w:t xml:space="preserve">Figure </w:t>
      </w:r>
      <w:r w:rsidRPr="00622F40">
        <w:fldChar w:fldCharType="begin"/>
      </w:r>
      <w:r w:rsidRPr="002A719F">
        <w:instrText xml:space="preserve"> SEQ Figure \* ARABIC </w:instrText>
      </w:r>
      <w:r w:rsidRPr="00622F40">
        <w:fldChar w:fldCharType="separate"/>
      </w:r>
      <w:r>
        <w:rPr>
          <w:noProof/>
        </w:rPr>
        <w:t>137</w:t>
      </w:r>
      <w:r w:rsidRPr="00622F40">
        <w:fldChar w:fldCharType="end"/>
      </w:r>
      <w:r w:rsidRPr="002A719F">
        <w:t>: Direct N2O emissions from N mineralization/immobilization in grassland (</w:t>
      </w:r>
      <w:r>
        <w:t>CRT</w:t>
      </w:r>
      <w:r w:rsidRPr="002A719F">
        <w:t xml:space="preserve"> 4.C.2) (kt CO</w:t>
      </w:r>
      <w:r w:rsidRPr="00180D15">
        <w:rPr>
          <w:vertAlign w:val="subscript"/>
        </w:rPr>
        <w:t>2e</w:t>
      </w:r>
      <w:r w:rsidRPr="002A719F">
        <w:t>)</w:t>
      </w:r>
      <w:bookmarkEnd w:id="941"/>
    </w:p>
    <w:p w14:paraId="3FE153D2" w14:textId="77777777" w:rsidR="00F06993" w:rsidRDefault="00F06993" w:rsidP="00723827"/>
    <w:p w14:paraId="214ABED3" w14:textId="77777777" w:rsidR="005F3D43" w:rsidRDefault="005F3D43" w:rsidP="005F3D43">
      <w:pPr>
        <w:pStyle w:val="Heading3"/>
        <w:keepNext/>
        <w:keepLines/>
        <w:tabs>
          <w:tab w:val="clear" w:pos="142"/>
          <w:tab w:val="clear" w:pos="1134"/>
        </w:tabs>
        <w:spacing w:before="200" w:after="0" w:line="276" w:lineRule="auto"/>
        <w:jc w:val="left"/>
      </w:pPr>
      <w:bookmarkStart w:id="942" w:name="_Toc182328005"/>
      <w:bookmarkStart w:id="943" w:name="_Toc184808319"/>
      <w:r>
        <w:t>Methodological issues</w:t>
      </w:r>
      <w:bookmarkEnd w:id="942"/>
      <w:bookmarkEnd w:id="943"/>
      <w:r>
        <w:t xml:space="preserve"> </w:t>
      </w:r>
    </w:p>
    <w:p w14:paraId="4B87580E" w14:textId="13E13B82" w:rsidR="005F3D43" w:rsidRDefault="005F3D43" w:rsidP="005F3D43">
      <w:pPr>
        <w:pStyle w:val="Heading4"/>
        <w:keepNext/>
        <w:keepLines/>
        <w:tabs>
          <w:tab w:val="clear" w:pos="993"/>
          <w:tab w:val="clear" w:pos="2127"/>
        </w:tabs>
        <w:spacing w:before="200" w:after="0" w:line="276" w:lineRule="auto"/>
        <w:jc w:val="left"/>
      </w:pPr>
      <w:bookmarkStart w:id="944" w:name="_Toc182328006"/>
      <w:r>
        <w:t>Grasslands remaining grasslands (</w:t>
      </w:r>
      <w:r w:rsidR="00FF2718">
        <w:t xml:space="preserve">CRT </w:t>
      </w:r>
      <w:r>
        <w:t>4C1)</w:t>
      </w:r>
      <w:bookmarkEnd w:id="944"/>
    </w:p>
    <w:p w14:paraId="2249DBCB" w14:textId="77777777" w:rsidR="005F3D43" w:rsidRPr="00A76C94" w:rsidRDefault="005F3D43" w:rsidP="005F3D43">
      <w:pPr>
        <w:pStyle w:val="Heading5"/>
        <w:spacing w:before="200" w:after="0" w:line="276" w:lineRule="auto"/>
        <w:jc w:val="left"/>
      </w:pPr>
      <w:bookmarkStart w:id="945" w:name="_Toc182328007"/>
      <w:r w:rsidRPr="00A76C94">
        <w:t>Carbon stock changes</w:t>
      </w:r>
      <w:bookmarkEnd w:id="945"/>
      <w:r w:rsidRPr="00A76C94">
        <w:t xml:space="preserve"> </w:t>
      </w:r>
    </w:p>
    <w:p w14:paraId="0681B1E6" w14:textId="77777777" w:rsidR="005F3D43" w:rsidRDefault="005F3D43" w:rsidP="00AB11C1">
      <w:pPr>
        <w:pStyle w:val="ListParagraph"/>
        <w:numPr>
          <w:ilvl w:val="0"/>
          <w:numId w:val="51"/>
        </w:numPr>
        <w:spacing w:before="120" w:after="0"/>
        <w:ind w:left="714" w:hanging="357"/>
        <w:jc w:val="left"/>
      </w:pPr>
      <w:r>
        <w:t>Living biomass</w:t>
      </w:r>
    </w:p>
    <w:p w14:paraId="38926C0B" w14:textId="77777777" w:rsidR="005F3D43" w:rsidRDefault="005F3D43" w:rsidP="005F3D43">
      <w:pPr>
        <w:spacing w:before="120"/>
      </w:pPr>
      <w:r>
        <w:t xml:space="preserve">On grassland remaining grassland equilibrium is assumed for living biomass, it is reported as not estimated in the Serbian inventory. </w:t>
      </w:r>
    </w:p>
    <w:p w14:paraId="6447B145" w14:textId="77777777" w:rsidR="005F3D43" w:rsidRDefault="005F3D43" w:rsidP="00AB11C1">
      <w:pPr>
        <w:pStyle w:val="ListParagraph"/>
        <w:numPr>
          <w:ilvl w:val="0"/>
          <w:numId w:val="51"/>
        </w:numPr>
        <w:spacing w:after="0"/>
        <w:jc w:val="left"/>
      </w:pPr>
      <w:r>
        <w:t>Dead organic matter (dead wood, litter)</w:t>
      </w:r>
    </w:p>
    <w:p w14:paraId="2D6884A7" w14:textId="77777777" w:rsidR="005F3D43" w:rsidRDefault="005F3D43" w:rsidP="005F3D43">
      <w:pPr>
        <w:spacing w:before="120"/>
      </w:pPr>
      <w:r>
        <w:t xml:space="preserve">On grassland remaining grassland equilibrium is assumed for dead organic matter, it is reported as not estimated in the Serbian inventory. </w:t>
      </w:r>
    </w:p>
    <w:p w14:paraId="1DB5B351" w14:textId="77777777" w:rsidR="005F3D43" w:rsidRDefault="005F3D43" w:rsidP="00AB11C1">
      <w:pPr>
        <w:pStyle w:val="ListParagraph"/>
        <w:numPr>
          <w:ilvl w:val="0"/>
          <w:numId w:val="51"/>
        </w:numPr>
        <w:spacing w:after="0"/>
        <w:jc w:val="left"/>
      </w:pPr>
      <w:r>
        <w:t>Soils (mineral and organic soils)</w:t>
      </w:r>
    </w:p>
    <w:p w14:paraId="5EACEA30" w14:textId="77777777" w:rsidR="005F3D43" w:rsidRDefault="005F3D43" w:rsidP="005F3D43">
      <w:pPr>
        <w:spacing w:before="120"/>
      </w:pPr>
      <w:r>
        <w:lastRenderedPageBreak/>
        <w:t xml:space="preserve">On grassland remaining grassland equilibrium is assumed for mineral soils, it is reported as not estimated in the Serbian inventory. </w:t>
      </w:r>
    </w:p>
    <w:p w14:paraId="2AA12362" w14:textId="77777777" w:rsidR="005F3D43" w:rsidRDefault="005F3D43" w:rsidP="005F3D43">
      <w:pPr>
        <w:pStyle w:val="Heading5"/>
        <w:spacing w:before="200" w:after="0" w:line="276" w:lineRule="auto"/>
        <w:jc w:val="left"/>
      </w:pPr>
      <w:bookmarkStart w:id="946" w:name="_Toc182328008"/>
      <w:r w:rsidRPr="00A76C94">
        <w:t>Direct N</w:t>
      </w:r>
      <w:r w:rsidRPr="00622F40">
        <w:rPr>
          <w:vertAlign w:val="subscript"/>
        </w:rPr>
        <w:t>2</w:t>
      </w:r>
      <w:r w:rsidRPr="00A76C94">
        <w:t>O Emissions from N Inputs to Managed Soils</w:t>
      </w:r>
      <w:bookmarkEnd w:id="946"/>
    </w:p>
    <w:p w14:paraId="02D72851" w14:textId="77777777" w:rsidR="005F3D43" w:rsidRPr="00F054D7" w:rsidRDefault="005F3D43" w:rsidP="005F3D43">
      <w:r>
        <w:t>Direct N</w:t>
      </w:r>
      <w:r w:rsidRPr="00622F40">
        <w:rPr>
          <w:vertAlign w:val="subscript"/>
        </w:rPr>
        <w:t>2</w:t>
      </w:r>
      <w:r>
        <w:t>O emissions from agriculture are already reported under the sector agriculture.</w:t>
      </w:r>
    </w:p>
    <w:p w14:paraId="13326A5E" w14:textId="77777777" w:rsidR="005F3D43" w:rsidRDefault="005F3D43" w:rsidP="005F3D43">
      <w:pPr>
        <w:pStyle w:val="Heading5"/>
        <w:spacing w:before="200" w:after="0" w:line="276" w:lineRule="auto"/>
        <w:jc w:val="left"/>
      </w:pPr>
      <w:bookmarkStart w:id="947" w:name="_Toc182328009"/>
      <w:r w:rsidRPr="00A76C94">
        <w:t>Emissions and removals from drainage and rewetting and other management of organic and mineral soils</w:t>
      </w:r>
      <w:bookmarkEnd w:id="947"/>
    </w:p>
    <w:p w14:paraId="102761CF" w14:textId="77777777" w:rsidR="005F3D43" w:rsidRPr="00F054D7" w:rsidRDefault="005F3D43" w:rsidP="005F3D43">
      <w:pPr>
        <w:spacing w:before="120"/>
      </w:pPr>
      <w:r>
        <w:t>Drainage and rewetting of organic and mineral soils are assumed to be not occurring in Serbia, thus related emissions and removals are reported as not occurring.</w:t>
      </w:r>
    </w:p>
    <w:p w14:paraId="51DFFB85" w14:textId="77777777" w:rsidR="005F3D43" w:rsidRDefault="005F3D43" w:rsidP="005F3D43">
      <w:pPr>
        <w:pStyle w:val="Heading5"/>
        <w:spacing w:before="200" w:after="0" w:line="276" w:lineRule="auto"/>
        <w:jc w:val="left"/>
      </w:pPr>
      <w:bookmarkStart w:id="948" w:name="_Toc182328010"/>
      <w:r w:rsidRPr="00A76C94">
        <w:t>Direct N</w:t>
      </w:r>
      <w:r w:rsidRPr="00622F40">
        <w:rPr>
          <w:vertAlign w:val="subscript"/>
        </w:rPr>
        <w:t>2</w:t>
      </w:r>
      <w:r w:rsidRPr="00A76C94">
        <w:t>O Emissions from N Mineralization/Immobilization</w:t>
      </w:r>
      <w:bookmarkEnd w:id="948"/>
    </w:p>
    <w:p w14:paraId="18C0F56F" w14:textId="77777777" w:rsidR="005F3D43" w:rsidRPr="00B15266" w:rsidRDefault="005F3D43" w:rsidP="005F3D43">
      <w:pPr>
        <w:spacing w:before="120"/>
      </w:pPr>
      <w:r>
        <w:t>No carbon losses are estimated from soils, thus d</w:t>
      </w:r>
      <w:r w:rsidRPr="0095681F">
        <w:t>irect N</w:t>
      </w:r>
      <w:r w:rsidRPr="00622F40">
        <w:rPr>
          <w:vertAlign w:val="subscript"/>
        </w:rPr>
        <w:t>2</w:t>
      </w:r>
      <w:r w:rsidRPr="0095681F">
        <w:t xml:space="preserve">O </w:t>
      </w:r>
      <w:r>
        <w:t xml:space="preserve">Emissions from N Mineralization are reported as not occurring for grasslands remaining grasslands. </w:t>
      </w:r>
    </w:p>
    <w:p w14:paraId="3D946E2E" w14:textId="77777777" w:rsidR="005F3D43" w:rsidRDefault="005F3D43" w:rsidP="005F3D43">
      <w:pPr>
        <w:pStyle w:val="Heading5"/>
        <w:spacing w:before="200" w:after="0" w:line="276" w:lineRule="auto"/>
        <w:jc w:val="left"/>
      </w:pPr>
      <w:bookmarkStart w:id="949" w:name="_Toc182328011"/>
      <w:r w:rsidRPr="00A76C94">
        <w:t>Indirect N</w:t>
      </w:r>
      <w:r w:rsidRPr="00622F40">
        <w:rPr>
          <w:vertAlign w:val="subscript"/>
        </w:rPr>
        <w:t>2</w:t>
      </w:r>
      <w:r w:rsidRPr="00A76C94">
        <w:t>O Emissions from Managed Soils</w:t>
      </w:r>
      <w:bookmarkEnd w:id="949"/>
    </w:p>
    <w:p w14:paraId="02539FCD" w14:textId="77777777" w:rsidR="005F3D43" w:rsidRPr="00F054D7" w:rsidRDefault="005F3D43" w:rsidP="005F3D43">
      <w:r>
        <w:t>Indirect N</w:t>
      </w:r>
      <w:r w:rsidRPr="00622F40">
        <w:rPr>
          <w:vertAlign w:val="subscript"/>
        </w:rPr>
        <w:t>2</w:t>
      </w:r>
      <w:r>
        <w:t>O emissions from agriculture are already reported under the sector agriculture.</w:t>
      </w:r>
    </w:p>
    <w:p w14:paraId="5D261AB7" w14:textId="77777777" w:rsidR="005F3D43" w:rsidRDefault="005F3D43" w:rsidP="005F3D43">
      <w:pPr>
        <w:pStyle w:val="Heading5"/>
        <w:spacing w:before="200" w:after="0" w:line="276" w:lineRule="auto"/>
        <w:jc w:val="left"/>
      </w:pPr>
      <w:bookmarkStart w:id="950" w:name="_Toc182328012"/>
      <w:r w:rsidRPr="00A76C94">
        <w:t>Biomass Burning</w:t>
      </w:r>
      <w:bookmarkEnd w:id="950"/>
    </w:p>
    <w:p w14:paraId="19DBD4DF" w14:textId="0C8FED90" w:rsidR="005F3D43" w:rsidRDefault="005F3D43" w:rsidP="005F3D43">
      <w:pPr>
        <w:spacing w:before="120"/>
      </w:pPr>
      <w:r>
        <w:t xml:space="preserve">It is likely that </w:t>
      </w:r>
      <w:r w:rsidR="00F76542">
        <w:t xml:space="preserve">some isolated </w:t>
      </w:r>
      <w:r>
        <w:t>controlled burning exists in Serbia but no data are available. Currently it is reported as not estimated.</w:t>
      </w:r>
    </w:p>
    <w:p w14:paraId="21823931" w14:textId="77777777" w:rsidR="005F3D43" w:rsidRPr="00DC3EF3" w:rsidRDefault="005F3D43" w:rsidP="005F3D43">
      <w:pPr>
        <w:spacing w:before="120"/>
      </w:pPr>
      <w:r>
        <w:t xml:space="preserve">Wildfires are estimated and it is considered that all wildfires are in category grasslands remaining grasslands. </w:t>
      </w:r>
    </w:p>
    <w:p w14:paraId="1BD8DFE6" w14:textId="26D36B66" w:rsidR="005F3D43" w:rsidRPr="00A76C94" w:rsidRDefault="005F3D43" w:rsidP="005F3D43">
      <w:pPr>
        <w:pStyle w:val="Heading4"/>
        <w:keepNext/>
        <w:keepLines/>
        <w:tabs>
          <w:tab w:val="clear" w:pos="993"/>
          <w:tab w:val="clear" w:pos="2127"/>
        </w:tabs>
        <w:spacing w:before="200" w:after="0" w:line="276" w:lineRule="auto"/>
        <w:jc w:val="left"/>
      </w:pPr>
      <w:bookmarkStart w:id="951" w:name="_Toc182328013"/>
      <w:r>
        <w:t>Land converted to grasslands (</w:t>
      </w:r>
      <w:r w:rsidR="00FF2718">
        <w:t xml:space="preserve">CRT </w:t>
      </w:r>
      <w:r>
        <w:t>4C2)</w:t>
      </w:r>
      <w:bookmarkEnd w:id="951"/>
    </w:p>
    <w:p w14:paraId="6A123EE3" w14:textId="77777777" w:rsidR="005F3D43" w:rsidRPr="00A76C94" w:rsidRDefault="005F3D43" w:rsidP="005F3D43">
      <w:pPr>
        <w:pStyle w:val="Heading5"/>
        <w:spacing w:before="200" w:after="0" w:line="276" w:lineRule="auto"/>
        <w:jc w:val="left"/>
      </w:pPr>
      <w:bookmarkStart w:id="952" w:name="_Toc182328014"/>
      <w:r w:rsidRPr="00A76C94">
        <w:t>Carbon stock changes</w:t>
      </w:r>
      <w:bookmarkEnd w:id="952"/>
      <w:r w:rsidRPr="00A76C94">
        <w:t xml:space="preserve"> </w:t>
      </w:r>
    </w:p>
    <w:p w14:paraId="59037D7B" w14:textId="77777777" w:rsidR="005F3D43" w:rsidRDefault="005F3D43" w:rsidP="00AB11C1">
      <w:pPr>
        <w:pStyle w:val="ListParagraph"/>
        <w:numPr>
          <w:ilvl w:val="0"/>
          <w:numId w:val="51"/>
        </w:numPr>
        <w:spacing w:before="120" w:after="120"/>
        <w:jc w:val="left"/>
      </w:pPr>
      <w:r>
        <w:t>Living biomass</w:t>
      </w:r>
    </w:p>
    <w:p w14:paraId="75F1AA8D" w14:textId="77777777" w:rsidR="005F3D43" w:rsidRDefault="005F3D43" w:rsidP="005F3D43">
      <w:pPr>
        <w:spacing w:before="120" w:after="120"/>
      </w:pPr>
      <w:r>
        <w:t>Fluxes on living biomass are estimated thanks to a stock-difference method and default carbon stocks from IPCC guidelines.</w:t>
      </w:r>
    </w:p>
    <w:p w14:paraId="5328DF61" w14:textId="77777777" w:rsidR="005F3D43" w:rsidRDefault="005F3D43" w:rsidP="00AB11C1">
      <w:pPr>
        <w:pStyle w:val="ListParagraph"/>
        <w:numPr>
          <w:ilvl w:val="0"/>
          <w:numId w:val="51"/>
        </w:numPr>
        <w:spacing w:before="120" w:after="120"/>
        <w:jc w:val="left"/>
      </w:pPr>
      <w:r>
        <w:t>Dead organic matter (dead wood, litter)</w:t>
      </w:r>
    </w:p>
    <w:p w14:paraId="620E6554" w14:textId="77777777" w:rsidR="005F3D43" w:rsidRDefault="005F3D43" w:rsidP="005F3D43">
      <w:pPr>
        <w:spacing w:before="120" w:after="120"/>
      </w:pPr>
      <w:r>
        <w:t xml:space="preserve">Emissions on land converted to grasslands are estimated for forest converted to grasslands. IPCC guidelines do not provide default value for deadwood but a value of 16tC/ha (Table 2.2) for litter. All emissions reported under land converted to grassland for dead organic matters are related to litter. </w:t>
      </w:r>
    </w:p>
    <w:p w14:paraId="5D52203B" w14:textId="77777777" w:rsidR="005F3D43" w:rsidRDefault="005F3D43" w:rsidP="00AB11C1">
      <w:pPr>
        <w:pStyle w:val="ListParagraph"/>
        <w:numPr>
          <w:ilvl w:val="0"/>
          <w:numId w:val="51"/>
        </w:numPr>
        <w:spacing w:after="0"/>
        <w:jc w:val="left"/>
      </w:pPr>
      <w:r>
        <w:t>Soils (mineral and organic soils)</w:t>
      </w:r>
    </w:p>
    <w:p w14:paraId="32AB53AC" w14:textId="77777777" w:rsidR="005F3D43" w:rsidRDefault="005F3D43" w:rsidP="005F3D43">
      <w:pPr>
        <w:spacing w:before="120" w:after="120"/>
      </w:pPr>
      <w:r>
        <w:t xml:space="preserve">It is assumed that in Serbia no organic soils exist in grasslands. </w:t>
      </w:r>
    </w:p>
    <w:p w14:paraId="71B5B7F6" w14:textId="77777777" w:rsidR="005F3D43" w:rsidRDefault="005F3D43" w:rsidP="005F3D43">
      <w:pPr>
        <w:spacing w:before="120" w:after="120"/>
      </w:pPr>
      <w:r>
        <w:t>Fluxes on mineral soils are estimated thanks to a stock-difference method.</w:t>
      </w:r>
    </w:p>
    <w:p w14:paraId="59408888" w14:textId="77777777" w:rsidR="005F3D43" w:rsidRDefault="005F3D43" w:rsidP="005F3D43">
      <w:pPr>
        <w:pStyle w:val="Heading5"/>
        <w:spacing w:before="200" w:after="0" w:line="276" w:lineRule="auto"/>
        <w:jc w:val="left"/>
      </w:pPr>
      <w:bookmarkStart w:id="953" w:name="_Toc182328015"/>
      <w:r w:rsidRPr="00A76C94">
        <w:t>Direct N</w:t>
      </w:r>
      <w:r w:rsidRPr="00622F40">
        <w:rPr>
          <w:vertAlign w:val="subscript"/>
        </w:rPr>
        <w:t>2</w:t>
      </w:r>
      <w:r w:rsidRPr="00A76C94">
        <w:t>O Emissions from N Inputs to Managed Soils</w:t>
      </w:r>
      <w:bookmarkEnd w:id="953"/>
    </w:p>
    <w:p w14:paraId="1BC29E87" w14:textId="77777777" w:rsidR="005F3D43" w:rsidRPr="00F054D7" w:rsidRDefault="005F3D43" w:rsidP="005F3D43">
      <w:r>
        <w:t>Direct N</w:t>
      </w:r>
      <w:r w:rsidRPr="00622F40">
        <w:rPr>
          <w:vertAlign w:val="subscript"/>
        </w:rPr>
        <w:t>2</w:t>
      </w:r>
      <w:r>
        <w:t>O emissions from agriculture are already reported under the sector agriculture.</w:t>
      </w:r>
    </w:p>
    <w:p w14:paraId="144861B6" w14:textId="77777777" w:rsidR="005F3D43" w:rsidRDefault="005F3D43" w:rsidP="005F3D43">
      <w:pPr>
        <w:pStyle w:val="Heading5"/>
        <w:spacing w:before="200" w:after="0" w:line="276" w:lineRule="auto"/>
        <w:jc w:val="left"/>
      </w:pPr>
      <w:bookmarkStart w:id="954" w:name="_Toc182328016"/>
      <w:r w:rsidRPr="00A76C94">
        <w:t>Emissions and removals from drainage and rewetting and other management of organic and mineral soils</w:t>
      </w:r>
      <w:bookmarkEnd w:id="954"/>
    </w:p>
    <w:p w14:paraId="37D92D3A" w14:textId="77777777" w:rsidR="005F3D43" w:rsidRPr="00F054D7" w:rsidRDefault="005F3D43" w:rsidP="005F3D43">
      <w:pPr>
        <w:spacing w:before="120"/>
      </w:pPr>
      <w:r>
        <w:t>Drainage and rewetting of organic and mineral soils are assumed to be not occurring in Serbia, thus related emissions and removals are reported as not occurring.</w:t>
      </w:r>
    </w:p>
    <w:p w14:paraId="21A8E70F" w14:textId="77777777" w:rsidR="005F3D43" w:rsidRDefault="005F3D43" w:rsidP="005F3D43">
      <w:pPr>
        <w:pStyle w:val="Heading5"/>
        <w:spacing w:before="200" w:after="0" w:line="276" w:lineRule="auto"/>
        <w:jc w:val="left"/>
      </w:pPr>
      <w:bookmarkStart w:id="955" w:name="_Toc182328017"/>
      <w:r w:rsidRPr="00A76C94">
        <w:lastRenderedPageBreak/>
        <w:t>Direct N</w:t>
      </w:r>
      <w:r w:rsidRPr="00622F40">
        <w:rPr>
          <w:vertAlign w:val="subscript"/>
        </w:rPr>
        <w:t>2</w:t>
      </w:r>
      <w:r w:rsidRPr="00A76C94">
        <w:t>O Emissions from N Mineralization/Immobilization</w:t>
      </w:r>
      <w:bookmarkEnd w:id="955"/>
    </w:p>
    <w:p w14:paraId="67B4EDE2" w14:textId="77777777" w:rsidR="005F3D43" w:rsidRPr="00B15266" w:rsidRDefault="005F3D43" w:rsidP="005F3D43">
      <w:pPr>
        <w:spacing w:before="120"/>
      </w:pPr>
      <w:r>
        <w:t>Carbon losses are estimated from mineral soils, thus d</w:t>
      </w:r>
      <w:r w:rsidRPr="0095681F">
        <w:t>irect N</w:t>
      </w:r>
      <w:r w:rsidRPr="00622F40">
        <w:rPr>
          <w:vertAlign w:val="subscript"/>
        </w:rPr>
        <w:t>2</w:t>
      </w:r>
      <w:r w:rsidRPr="0095681F">
        <w:t xml:space="preserve">O </w:t>
      </w:r>
      <w:r>
        <w:t>Emissions from N Mineralization are estimated in accordance with IPCC 2006 guidelines for land converted to grasslands.</w:t>
      </w:r>
    </w:p>
    <w:p w14:paraId="2316E33A" w14:textId="77777777" w:rsidR="005F3D43" w:rsidRDefault="005F3D43" w:rsidP="005F3D43">
      <w:pPr>
        <w:pStyle w:val="Heading5"/>
        <w:spacing w:before="200" w:after="0" w:line="276" w:lineRule="auto"/>
        <w:jc w:val="left"/>
      </w:pPr>
      <w:bookmarkStart w:id="956" w:name="_Toc182328018"/>
      <w:r w:rsidRPr="00A76C94">
        <w:t>Indirect N</w:t>
      </w:r>
      <w:r w:rsidRPr="00622F40">
        <w:rPr>
          <w:vertAlign w:val="subscript"/>
        </w:rPr>
        <w:t>2</w:t>
      </w:r>
      <w:r w:rsidRPr="00A76C94">
        <w:t>O Emissions from Managed Soils</w:t>
      </w:r>
      <w:bookmarkEnd w:id="956"/>
    </w:p>
    <w:p w14:paraId="4017DFAB" w14:textId="77777777" w:rsidR="005F3D43" w:rsidRPr="00F054D7" w:rsidRDefault="005F3D43" w:rsidP="005F3D43">
      <w:r>
        <w:t>Indirect N</w:t>
      </w:r>
      <w:r w:rsidRPr="00622F40">
        <w:rPr>
          <w:vertAlign w:val="subscript"/>
        </w:rPr>
        <w:t>2</w:t>
      </w:r>
      <w:r>
        <w:t>O emissions from agriculture are already reported under the sector agriculture.</w:t>
      </w:r>
    </w:p>
    <w:p w14:paraId="6EEC746A" w14:textId="77777777" w:rsidR="005F3D43" w:rsidRPr="00A76C94" w:rsidRDefault="005F3D43" w:rsidP="005F3D43">
      <w:pPr>
        <w:pStyle w:val="Heading5"/>
        <w:spacing w:before="200" w:after="0" w:line="276" w:lineRule="auto"/>
        <w:jc w:val="left"/>
      </w:pPr>
      <w:bookmarkStart w:id="957" w:name="_Toc182328019"/>
      <w:r w:rsidRPr="00A76C94">
        <w:t>Biomass Burning</w:t>
      </w:r>
      <w:bookmarkEnd w:id="957"/>
    </w:p>
    <w:p w14:paraId="003B09C9" w14:textId="08996510" w:rsidR="005F3D43" w:rsidRDefault="005F3D43" w:rsidP="005F3D43">
      <w:pPr>
        <w:spacing w:before="120"/>
      </w:pPr>
      <w:r w:rsidRPr="00F76542">
        <w:t xml:space="preserve">It is likely that </w:t>
      </w:r>
      <w:r w:rsidR="00F76542" w:rsidRPr="00F76542">
        <w:t xml:space="preserve">some isolated </w:t>
      </w:r>
      <w:r w:rsidRPr="00F76542">
        <w:t>controlled burning exists in Serbia but no data are available. Currently it is reported as not estimated.</w:t>
      </w:r>
    </w:p>
    <w:p w14:paraId="73F3207C" w14:textId="77777777" w:rsidR="005F3D43" w:rsidRDefault="005F3D43" w:rsidP="005F3D43">
      <w:pPr>
        <w:spacing w:before="120"/>
      </w:pPr>
      <w:r>
        <w:t xml:space="preserve">Wildfires are included elsewhere (in grasslands remaining grasslands). </w:t>
      </w:r>
    </w:p>
    <w:p w14:paraId="74047690" w14:textId="77777777" w:rsidR="001D02C4" w:rsidRPr="00CA7A5D" w:rsidRDefault="001D02C4" w:rsidP="005F3D43">
      <w:pPr>
        <w:spacing w:before="120"/>
      </w:pPr>
    </w:p>
    <w:p w14:paraId="5132254A" w14:textId="27A26665" w:rsidR="005F3D43" w:rsidRDefault="005F3D43" w:rsidP="005F3D43">
      <w:pPr>
        <w:pStyle w:val="Heading3"/>
        <w:keepNext/>
        <w:keepLines/>
        <w:tabs>
          <w:tab w:val="clear" w:pos="142"/>
          <w:tab w:val="clear" w:pos="1134"/>
        </w:tabs>
        <w:spacing w:before="200" w:after="0" w:line="276" w:lineRule="auto"/>
        <w:jc w:val="left"/>
      </w:pPr>
      <w:bookmarkStart w:id="958" w:name="_Toc182328020"/>
      <w:bookmarkStart w:id="959" w:name="_Toc184808320"/>
      <w:r>
        <w:t>Uncertainties and time-series consistency</w:t>
      </w:r>
      <w:bookmarkEnd w:id="958"/>
      <w:bookmarkEnd w:id="959"/>
    </w:p>
    <w:p w14:paraId="2FEA20A8" w14:textId="77777777" w:rsidR="007E7C4D" w:rsidRPr="002462F0" w:rsidRDefault="007E7C4D" w:rsidP="007E7C4D">
      <w:pPr>
        <w:pStyle w:val="BodyText"/>
        <w:rPr>
          <w:lang w:eastAsia="fr-FR"/>
        </w:rPr>
      </w:pPr>
      <w:r w:rsidRPr="002462F0">
        <w:rPr>
          <w:lang w:eastAsia="fr-FR"/>
        </w:rPr>
        <w:t xml:space="preserve">Uncertainty estimate associated with activity data amounts to </w:t>
      </w:r>
      <w:r>
        <w:rPr>
          <w:lang w:eastAsia="fr-FR"/>
        </w:rPr>
        <w:t>10</w:t>
      </w:r>
      <w:r w:rsidRPr="002462F0">
        <w:rPr>
          <w:lang w:eastAsia="fr-FR"/>
        </w:rPr>
        <w:t>%, based on expert judgment.</w:t>
      </w:r>
    </w:p>
    <w:p w14:paraId="43F38959" w14:textId="03AFB478" w:rsidR="007E7C4D" w:rsidRPr="002462F0" w:rsidRDefault="007E7C4D" w:rsidP="007E7C4D">
      <w:pPr>
        <w:pStyle w:val="BodyText"/>
        <w:rPr>
          <w:lang w:eastAsia="fr-FR"/>
        </w:rPr>
      </w:pPr>
      <w:r w:rsidRPr="002462F0">
        <w:rPr>
          <w:lang w:eastAsia="fr-FR"/>
        </w:rPr>
        <w:t>Uncertainty estimate</w:t>
      </w:r>
      <w:r w:rsidR="00B815A9">
        <w:rPr>
          <w:lang w:eastAsia="fr-FR"/>
        </w:rPr>
        <w:t>s</w:t>
      </w:r>
      <w:r w:rsidRPr="002462F0">
        <w:rPr>
          <w:lang w:eastAsia="fr-FR"/>
        </w:rPr>
        <w:t xml:space="preserve"> associated </w:t>
      </w:r>
      <w:r>
        <w:rPr>
          <w:lang w:eastAsia="fr-FR"/>
        </w:rPr>
        <w:t xml:space="preserve">with </w:t>
      </w:r>
      <w:r w:rsidRPr="002462F0">
        <w:rPr>
          <w:lang w:eastAsia="fr-FR"/>
        </w:rPr>
        <w:t xml:space="preserve">emission factor </w:t>
      </w:r>
      <w:r w:rsidR="00B815A9">
        <w:rPr>
          <w:lang w:eastAsia="fr-FR"/>
        </w:rPr>
        <w:t xml:space="preserve">are </w:t>
      </w:r>
      <w:r>
        <w:rPr>
          <w:lang w:eastAsia="fr-FR"/>
        </w:rPr>
        <w:t xml:space="preserve">50% for </w:t>
      </w:r>
      <w:r w:rsidRPr="002462F0">
        <w:rPr>
          <w:lang w:eastAsia="fr-FR"/>
        </w:rPr>
        <w:t>CO</w:t>
      </w:r>
      <w:r w:rsidRPr="002462F0">
        <w:rPr>
          <w:vertAlign w:val="subscript"/>
          <w:lang w:eastAsia="fr-FR"/>
        </w:rPr>
        <w:t>2</w:t>
      </w:r>
      <w:r w:rsidRPr="002462F0">
        <w:rPr>
          <w:lang w:eastAsia="fr-FR"/>
        </w:rPr>
        <w:t xml:space="preserve"> </w:t>
      </w:r>
      <w:r>
        <w:rPr>
          <w:lang w:eastAsia="fr-FR"/>
        </w:rPr>
        <w:t>and 100% for CH</w:t>
      </w:r>
      <w:r w:rsidRPr="00BD6A2E">
        <w:rPr>
          <w:vertAlign w:val="subscript"/>
          <w:lang w:eastAsia="fr-FR"/>
        </w:rPr>
        <w:t>4</w:t>
      </w:r>
      <w:r>
        <w:rPr>
          <w:lang w:eastAsia="fr-FR"/>
        </w:rPr>
        <w:t xml:space="preserve"> and N</w:t>
      </w:r>
      <w:r w:rsidRPr="00BD6A2E">
        <w:rPr>
          <w:vertAlign w:val="subscript"/>
          <w:lang w:eastAsia="fr-FR"/>
        </w:rPr>
        <w:t>2</w:t>
      </w:r>
      <w:r>
        <w:rPr>
          <w:lang w:eastAsia="fr-FR"/>
        </w:rPr>
        <w:t>O, based on expert judgement</w:t>
      </w:r>
      <w:r w:rsidRPr="002462F0">
        <w:rPr>
          <w:lang w:eastAsia="fr-FR"/>
        </w:rPr>
        <w:t>.</w:t>
      </w:r>
    </w:p>
    <w:p w14:paraId="70E8FDA3" w14:textId="6A020DFC" w:rsidR="007E7C4D" w:rsidRPr="00BD6A2E" w:rsidRDefault="007E7C4D" w:rsidP="007E7C4D">
      <w:pPr>
        <w:rPr>
          <w:lang w:val="en-US"/>
        </w:rPr>
      </w:pPr>
      <w:r>
        <w:rPr>
          <w:lang w:eastAsia="fr-FR"/>
        </w:rPr>
        <w:t>Combined uncertaint</w:t>
      </w:r>
      <w:r w:rsidR="00B815A9">
        <w:rPr>
          <w:lang w:eastAsia="fr-FR"/>
        </w:rPr>
        <w:t>ies</w:t>
      </w:r>
      <w:r>
        <w:rPr>
          <w:lang w:eastAsia="fr-FR"/>
        </w:rPr>
        <w:t xml:space="preserve"> </w:t>
      </w:r>
      <w:r w:rsidR="00B815A9">
        <w:rPr>
          <w:lang w:eastAsia="fr-FR"/>
        </w:rPr>
        <w:t>are</w:t>
      </w:r>
      <w:r>
        <w:rPr>
          <w:lang w:eastAsia="fr-FR"/>
        </w:rPr>
        <w:t>51</w:t>
      </w:r>
      <w:r w:rsidRPr="002462F0">
        <w:rPr>
          <w:lang w:eastAsia="fr-FR"/>
        </w:rPr>
        <w:t>%</w:t>
      </w:r>
      <w:r>
        <w:rPr>
          <w:lang w:eastAsia="fr-FR"/>
        </w:rPr>
        <w:t xml:space="preserve"> for CO</w:t>
      </w:r>
      <w:r w:rsidRPr="00BD6A2E">
        <w:rPr>
          <w:vertAlign w:val="subscript"/>
          <w:lang w:eastAsia="fr-FR"/>
        </w:rPr>
        <w:t>2</w:t>
      </w:r>
      <w:r>
        <w:rPr>
          <w:lang w:eastAsia="fr-FR"/>
        </w:rPr>
        <w:t xml:space="preserve"> emissions and 100% for CH</w:t>
      </w:r>
      <w:r w:rsidRPr="00BD6A2E">
        <w:rPr>
          <w:vertAlign w:val="subscript"/>
          <w:lang w:eastAsia="fr-FR"/>
        </w:rPr>
        <w:t>4</w:t>
      </w:r>
      <w:r>
        <w:rPr>
          <w:lang w:eastAsia="fr-FR"/>
        </w:rPr>
        <w:t xml:space="preserve"> and N</w:t>
      </w:r>
      <w:r w:rsidRPr="00BD6A2E">
        <w:rPr>
          <w:vertAlign w:val="subscript"/>
          <w:lang w:eastAsia="fr-FR"/>
        </w:rPr>
        <w:t>2</w:t>
      </w:r>
      <w:r>
        <w:rPr>
          <w:lang w:eastAsia="fr-FR"/>
        </w:rPr>
        <w:t>O emissions</w:t>
      </w:r>
      <w:r w:rsidRPr="002462F0">
        <w:rPr>
          <w:lang w:eastAsia="fr-FR"/>
        </w:rPr>
        <w:t>.</w:t>
      </w:r>
      <w:r w:rsidR="00B815A9">
        <w:rPr>
          <w:lang w:eastAsia="fr-FR"/>
        </w:rPr>
        <w:t xml:space="preserve"> The uncertainties combined in the national totals of emissions are of 0.0</w:t>
      </w:r>
      <w:r w:rsidR="00EB3585">
        <w:rPr>
          <w:lang w:eastAsia="fr-FR"/>
        </w:rPr>
        <w:t>01</w:t>
      </w:r>
      <w:r w:rsidR="00B815A9">
        <w:rPr>
          <w:lang w:eastAsia="fr-FR"/>
        </w:rPr>
        <w:t>%</w:t>
      </w:r>
      <w:r w:rsidR="00EB3585">
        <w:rPr>
          <w:lang w:eastAsia="fr-FR"/>
        </w:rPr>
        <w:t>, 0.002% and</w:t>
      </w:r>
      <w:r w:rsidR="00B815A9">
        <w:rPr>
          <w:lang w:eastAsia="fr-FR"/>
        </w:rPr>
        <w:t xml:space="preserve"> 0.00</w:t>
      </w:r>
      <w:r w:rsidR="000269DA">
        <w:rPr>
          <w:lang w:eastAsia="fr-FR"/>
        </w:rPr>
        <w:t>2</w:t>
      </w:r>
      <w:r w:rsidR="00B815A9">
        <w:rPr>
          <w:lang w:eastAsia="fr-FR"/>
        </w:rPr>
        <w:t>% for CO</w:t>
      </w:r>
      <w:r w:rsidR="00B815A9" w:rsidRPr="005C143B">
        <w:rPr>
          <w:vertAlign w:val="subscript"/>
          <w:lang w:eastAsia="fr-FR"/>
        </w:rPr>
        <w:t>2</w:t>
      </w:r>
      <w:r w:rsidR="00EB3585">
        <w:rPr>
          <w:lang w:eastAsia="fr-FR"/>
        </w:rPr>
        <w:t>, CH</w:t>
      </w:r>
      <w:r w:rsidR="00EB3585" w:rsidRPr="00622F40">
        <w:rPr>
          <w:vertAlign w:val="subscript"/>
          <w:lang w:eastAsia="fr-FR"/>
        </w:rPr>
        <w:t>4</w:t>
      </w:r>
      <w:r w:rsidR="00EB3585">
        <w:rPr>
          <w:lang w:eastAsia="fr-FR"/>
        </w:rPr>
        <w:t xml:space="preserve"> </w:t>
      </w:r>
      <w:r w:rsidR="00B815A9">
        <w:rPr>
          <w:lang w:eastAsia="fr-FR"/>
        </w:rPr>
        <w:t>and N</w:t>
      </w:r>
      <w:r w:rsidR="00B815A9" w:rsidRPr="005C143B">
        <w:rPr>
          <w:vertAlign w:val="subscript"/>
          <w:lang w:eastAsia="fr-FR"/>
        </w:rPr>
        <w:t>2</w:t>
      </w:r>
      <w:r w:rsidR="00B815A9">
        <w:rPr>
          <w:lang w:eastAsia="fr-FR"/>
        </w:rPr>
        <w:t>O, respectively in 2022, in the Republic of Serbia.</w:t>
      </w:r>
    </w:p>
    <w:p w14:paraId="0BCD73DC" w14:textId="2B1D8956" w:rsidR="005F3D43" w:rsidRDefault="005F3D43" w:rsidP="005F3D43">
      <w:pPr>
        <w:pStyle w:val="Heading3"/>
        <w:keepNext/>
        <w:keepLines/>
        <w:tabs>
          <w:tab w:val="clear" w:pos="142"/>
          <w:tab w:val="clear" w:pos="1134"/>
        </w:tabs>
        <w:spacing w:before="200" w:after="0" w:line="276" w:lineRule="auto"/>
        <w:jc w:val="left"/>
      </w:pPr>
      <w:bookmarkStart w:id="960" w:name="_Toc182328021"/>
      <w:bookmarkStart w:id="961" w:name="_Toc184808321"/>
      <w:r>
        <w:t>Category-s</w:t>
      </w:r>
      <w:r w:rsidR="001E016C">
        <w:t>pecific QA/QC and verification</w:t>
      </w:r>
      <w:bookmarkEnd w:id="960"/>
      <w:bookmarkEnd w:id="961"/>
    </w:p>
    <w:p w14:paraId="4CCA4AEB" w14:textId="32C4DA92" w:rsidR="0035245C" w:rsidRDefault="0035245C" w:rsidP="00622F40">
      <w:pPr>
        <w:pStyle w:val="BodyText"/>
        <w:rPr>
          <w:lang w:val="en-US" w:eastAsia="fr-FR"/>
        </w:rPr>
      </w:pPr>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11304137" w14:textId="77777777" w:rsidR="001D02C4" w:rsidRPr="00622F40" w:rsidRDefault="001D02C4" w:rsidP="00622F40">
      <w:pPr>
        <w:pStyle w:val="BodyText"/>
        <w:rPr>
          <w:lang w:eastAsia="fr-FR"/>
        </w:rPr>
      </w:pPr>
    </w:p>
    <w:p w14:paraId="63E26895" w14:textId="46A353F8" w:rsidR="005F3D43" w:rsidRDefault="005F3D43" w:rsidP="005F3D43">
      <w:pPr>
        <w:pStyle w:val="Heading3"/>
        <w:keepNext/>
        <w:keepLines/>
        <w:tabs>
          <w:tab w:val="clear" w:pos="142"/>
          <w:tab w:val="clear" w:pos="1134"/>
        </w:tabs>
        <w:spacing w:before="200" w:after="0" w:line="276" w:lineRule="auto"/>
        <w:jc w:val="left"/>
      </w:pPr>
      <w:bookmarkStart w:id="962" w:name="_Toc182328022"/>
      <w:bookmarkStart w:id="963" w:name="_Toc184808322"/>
      <w:r>
        <w:t>Ca</w:t>
      </w:r>
      <w:r w:rsidR="001E016C">
        <w:t>tegory-specific recalculations</w:t>
      </w:r>
      <w:bookmarkEnd w:id="962"/>
      <w:bookmarkEnd w:id="963"/>
    </w:p>
    <w:p w14:paraId="5BADE6AA" w14:textId="2E55C05A" w:rsidR="0035245C" w:rsidRDefault="0035245C" w:rsidP="00622F40">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387589F8" w14:textId="77777777" w:rsidR="001D02C4" w:rsidRPr="00622F40" w:rsidRDefault="001D02C4" w:rsidP="00622F40">
      <w:pPr>
        <w:pStyle w:val="BodyText"/>
        <w:rPr>
          <w:lang w:eastAsia="fr-FR"/>
        </w:rPr>
      </w:pPr>
    </w:p>
    <w:p w14:paraId="7FD2F5AA" w14:textId="33B632E8" w:rsidR="005F3D43" w:rsidRDefault="005F3D43" w:rsidP="005F3D43">
      <w:pPr>
        <w:pStyle w:val="Heading3"/>
        <w:keepNext/>
        <w:keepLines/>
        <w:tabs>
          <w:tab w:val="clear" w:pos="142"/>
          <w:tab w:val="clear" w:pos="1134"/>
        </w:tabs>
        <w:spacing w:before="200" w:after="0" w:line="276" w:lineRule="auto"/>
        <w:jc w:val="left"/>
      </w:pPr>
      <w:bookmarkStart w:id="964" w:name="_Toc182328023"/>
      <w:bookmarkStart w:id="965" w:name="_Toc184808323"/>
      <w:r>
        <w:t>Category-specific planned improvements</w:t>
      </w:r>
      <w:bookmarkEnd w:id="964"/>
      <w:bookmarkEnd w:id="965"/>
    </w:p>
    <w:p w14:paraId="126BE177" w14:textId="3679EC0E" w:rsidR="001A0D3A" w:rsidRDefault="001A0D3A">
      <w:pPr>
        <w:rPr>
          <w:lang w:val="en-US"/>
        </w:rPr>
      </w:pPr>
      <w:r>
        <w:rPr>
          <w:lang w:val="en-US"/>
        </w:rPr>
        <w:t>For all LULULUCF sector, land-use and land-use change areas monitoring needs to be improved, at least to include more recent CLC datasets available such as 2018 edition; and at best to revise the land-use monitoring approach for enhanced spatial precision, compatibility with forest definition, and temporal consistency.</w:t>
      </w:r>
    </w:p>
    <w:p w14:paraId="756AE077" w14:textId="138FE5B4" w:rsidR="0035245C" w:rsidRPr="00CC08F8" w:rsidRDefault="003A7F19" w:rsidP="00622F40">
      <w:r>
        <w:rPr>
          <w:lang w:val="en-US"/>
        </w:rPr>
        <w:t>Negative emissions of N</w:t>
      </w:r>
      <w:r w:rsidRPr="00622F40">
        <w:rPr>
          <w:vertAlign w:val="subscript"/>
          <w:lang w:val="en-US"/>
        </w:rPr>
        <w:t>2</w:t>
      </w:r>
      <w:r>
        <w:rPr>
          <w:lang w:val="en-US"/>
        </w:rPr>
        <w:t>O from mineralization will be corrected so that only emissions are reported.</w:t>
      </w:r>
    </w:p>
    <w:p w14:paraId="6FCBCD23" w14:textId="77777777" w:rsidR="001E016C" w:rsidRPr="001E016C" w:rsidRDefault="001E016C" w:rsidP="001E016C">
      <w:pPr>
        <w:rPr>
          <w:lang w:val="en-US"/>
        </w:rPr>
      </w:pPr>
    </w:p>
    <w:p w14:paraId="5B277D48" w14:textId="17CBF9E1" w:rsidR="005F3D43" w:rsidRPr="00E5290E" w:rsidRDefault="005F3D43" w:rsidP="005F3D43">
      <w:pPr>
        <w:pStyle w:val="Heading2"/>
        <w:keepNext/>
        <w:keepLines/>
        <w:spacing w:before="200" w:after="0" w:line="276" w:lineRule="auto"/>
      </w:pPr>
      <w:bookmarkStart w:id="966" w:name="_Toc182328024"/>
      <w:bookmarkStart w:id="967" w:name="_Toc184808324"/>
      <w:r>
        <w:t>Wetlands (</w:t>
      </w:r>
      <w:r w:rsidR="00FF2718">
        <w:t xml:space="preserve">CRT </w:t>
      </w:r>
      <w:r>
        <w:t>4D)</w:t>
      </w:r>
      <w:bookmarkEnd w:id="966"/>
      <w:bookmarkEnd w:id="967"/>
    </w:p>
    <w:p w14:paraId="14FE1D2F" w14:textId="77777777" w:rsidR="005F3D43" w:rsidRDefault="005F3D43" w:rsidP="005F3D43">
      <w:pPr>
        <w:pStyle w:val="Heading3"/>
        <w:keepNext/>
        <w:keepLines/>
        <w:tabs>
          <w:tab w:val="clear" w:pos="142"/>
          <w:tab w:val="clear" w:pos="1134"/>
        </w:tabs>
        <w:spacing w:before="200" w:after="0" w:line="276" w:lineRule="auto"/>
        <w:jc w:val="left"/>
      </w:pPr>
      <w:bookmarkStart w:id="968" w:name="_Toc182328025"/>
      <w:bookmarkStart w:id="969" w:name="_Toc184808325"/>
      <w:r>
        <w:t>Description</w:t>
      </w:r>
      <w:bookmarkEnd w:id="968"/>
      <w:bookmarkEnd w:id="969"/>
    </w:p>
    <w:p w14:paraId="73B2485F" w14:textId="77777777" w:rsidR="005F3D43" w:rsidRPr="004B7EA1" w:rsidRDefault="005F3D43" w:rsidP="005F3D43">
      <w:pPr>
        <w:autoSpaceDE w:val="0"/>
        <w:autoSpaceDN w:val="0"/>
        <w:adjustRightInd w:val="0"/>
        <w:spacing w:after="120" w:line="240" w:lineRule="auto"/>
        <w:rPr>
          <w:rFonts w:cs="ArialMT"/>
        </w:rPr>
      </w:pPr>
      <w:r w:rsidRPr="004B7EA1">
        <w:rPr>
          <w:rFonts w:cs="ArialMT"/>
        </w:rPr>
        <w:t xml:space="preserve">This category comprises GHG emissions and removals arising from </w:t>
      </w:r>
      <w:r>
        <w:rPr>
          <w:rFonts w:cs="ArialMT"/>
        </w:rPr>
        <w:t>wetlands</w:t>
      </w:r>
      <w:r w:rsidRPr="004B7EA1">
        <w:rPr>
          <w:rFonts w:cs="ArialMT"/>
        </w:rPr>
        <w:t>.</w:t>
      </w:r>
    </w:p>
    <w:p w14:paraId="260FD4C6" w14:textId="483E9183" w:rsidR="00CA58D4" w:rsidRDefault="009F63E8" w:rsidP="009F63E8">
      <w:pPr>
        <w:autoSpaceDE w:val="0"/>
        <w:autoSpaceDN w:val="0"/>
        <w:adjustRightInd w:val="0"/>
        <w:spacing w:before="120" w:after="120" w:line="240" w:lineRule="auto"/>
        <w:rPr>
          <w:lang w:eastAsia="fr-FR"/>
        </w:rPr>
      </w:pPr>
      <w:r>
        <w:rPr>
          <w:rFonts w:cs="ArialMT"/>
        </w:rPr>
        <w:t>In this category, emissions and absorptions are only estimated for land conversions. No emission estimation is calculated for croplands remaining croplands and for biomass burning (4</w:t>
      </w:r>
      <w:r w:rsidR="00683251">
        <w:rPr>
          <w:rFonts w:cs="ArialMT"/>
        </w:rPr>
        <w:t>.</w:t>
      </w:r>
      <w:r>
        <w:rPr>
          <w:rFonts w:cs="ArialMT"/>
        </w:rPr>
        <w:t>D</w:t>
      </w:r>
      <w:r w:rsidR="00683251">
        <w:rPr>
          <w:rFonts w:cs="ArialMT"/>
        </w:rPr>
        <w:t>.</w:t>
      </w:r>
      <w:r>
        <w:rPr>
          <w:rFonts w:cs="ArialMT"/>
        </w:rPr>
        <w:t xml:space="preserve">1). </w:t>
      </w:r>
      <w:r w:rsidR="00CA58D4">
        <w:rPr>
          <w:rFonts w:cs="ArialMT"/>
        </w:rPr>
        <w:t xml:space="preserve">In addition, </w:t>
      </w:r>
      <w:r w:rsidR="00CA58D4">
        <w:rPr>
          <w:lang w:eastAsia="fr-FR"/>
        </w:rPr>
        <w:t xml:space="preserve">Lands converted to </w:t>
      </w:r>
      <w:r w:rsidR="00CA58D4">
        <w:rPr>
          <w:lang w:eastAsia="fr-FR"/>
        </w:rPr>
        <w:lastRenderedPageBreak/>
        <w:t>peat extraction (4.D.2.1) are not occurring (NO) in the Republic of Serbia</w:t>
      </w:r>
      <w:r w:rsidR="005D10B7">
        <w:rPr>
          <w:lang w:eastAsia="fr-FR"/>
        </w:rPr>
        <w:t xml:space="preserve">, and </w:t>
      </w:r>
      <w:r w:rsidR="00CA58D4">
        <w:rPr>
          <w:lang w:eastAsia="fr-FR"/>
        </w:rPr>
        <w:t xml:space="preserve">the category Lands converted to flooded lands (4.D.2.2) is considered as included elsewhere (IE) in the </w:t>
      </w:r>
      <w:r w:rsidR="005D10B7">
        <w:rPr>
          <w:lang w:eastAsia="fr-FR"/>
        </w:rPr>
        <w:t xml:space="preserve">Serbian </w:t>
      </w:r>
      <w:r w:rsidR="00CA58D4">
        <w:rPr>
          <w:lang w:eastAsia="fr-FR"/>
        </w:rPr>
        <w:t>inventory.</w:t>
      </w:r>
    </w:p>
    <w:p w14:paraId="41EF42A9" w14:textId="7AF5D21A" w:rsidR="001A0D3A" w:rsidRDefault="00356E4C" w:rsidP="009F63E8">
      <w:pPr>
        <w:autoSpaceDE w:val="0"/>
        <w:autoSpaceDN w:val="0"/>
        <w:adjustRightInd w:val="0"/>
        <w:spacing w:before="120" w:after="120" w:line="240" w:lineRule="auto"/>
        <w:rPr>
          <w:rFonts w:cs="ArialMT"/>
        </w:rPr>
      </w:pPr>
      <w:r w:rsidRPr="001A0D3A">
        <w:rPr>
          <w:lang w:eastAsia="fr-FR"/>
        </w:rPr>
        <w:t>Hence, t</w:t>
      </w:r>
      <w:r w:rsidR="009F63E8" w:rsidRPr="001A0D3A">
        <w:rPr>
          <w:lang w:eastAsia="fr-FR"/>
        </w:rPr>
        <w:t xml:space="preserve">he </w:t>
      </w:r>
      <w:r w:rsidRPr="001A0D3A">
        <w:rPr>
          <w:lang w:eastAsia="fr-FR"/>
        </w:rPr>
        <w:t>emission evolution</w:t>
      </w:r>
      <w:r w:rsidR="009F63E8" w:rsidRPr="001A0D3A">
        <w:rPr>
          <w:lang w:eastAsia="fr-FR"/>
        </w:rPr>
        <w:t xml:space="preserve"> for lands converted to croplands (4</w:t>
      </w:r>
      <w:r w:rsidRPr="001A0D3A">
        <w:rPr>
          <w:lang w:eastAsia="fr-FR"/>
        </w:rPr>
        <w:t>.</w:t>
      </w:r>
      <w:r w:rsidR="009F63E8" w:rsidRPr="001A0D3A">
        <w:rPr>
          <w:lang w:eastAsia="fr-FR"/>
        </w:rPr>
        <w:t>D</w:t>
      </w:r>
      <w:r w:rsidRPr="001A0D3A">
        <w:rPr>
          <w:lang w:eastAsia="fr-FR"/>
        </w:rPr>
        <w:t>.</w:t>
      </w:r>
      <w:r w:rsidR="009F63E8" w:rsidRPr="001A0D3A">
        <w:rPr>
          <w:lang w:eastAsia="fr-FR"/>
        </w:rPr>
        <w:t>2</w:t>
      </w:r>
      <w:r w:rsidRPr="001A0D3A">
        <w:rPr>
          <w:lang w:eastAsia="fr-FR"/>
        </w:rPr>
        <w:t>.3</w:t>
      </w:r>
      <w:r w:rsidR="009F63E8" w:rsidRPr="001A0D3A">
        <w:rPr>
          <w:lang w:eastAsia="fr-FR"/>
        </w:rPr>
        <w:t xml:space="preserve">) reflects the trend in land-use change areas. </w:t>
      </w:r>
      <w:r w:rsidR="0041492E" w:rsidRPr="001A0D3A">
        <w:rPr>
          <w:lang w:eastAsia="fr-FR"/>
        </w:rPr>
        <w:t xml:space="preserve">The following graphs give the GHG emission trend for the estimated categories. </w:t>
      </w:r>
      <w:r w:rsidR="00EA78D5" w:rsidRPr="001A0D3A">
        <w:rPr>
          <w:lang w:eastAsia="fr-FR"/>
        </w:rPr>
        <w:t xml:space="preserve">In overall, the </w:t>
      </w:r>
      <w:r w:rsidR="00971372" w:rsidRPr="001A0D3A">
        <w:rPr>
          <w:lang w:eastAsia="fr-FR"/>
        </w:rPr>
        <w:t>GHG emissions from the Wetlands (4D) have been progressively and continuously reduced over the timeseries, and the a</w:t>
      </w:r>
      <w:r w:rsidR="00E12759" w:rsidRPr="001A0D3A">
        <w:rPr>
          <w:lang w:eastAsia="fr-FR"/>
        </w:rPr>
        <w:t xml:space="preserve">chieved reduction </w:t>
      </w:r>
      <w:r w:rsidR="00DD72E1" w:rsidRPr="001A0D3A">
        <w:rPr>
          <w:lang w:eastAsia="fr-FR"/>
        </w:rPr>
        <w:t>is of 60%</w:t>
      </w:r>
      <w:r w:rsidR="00AF09C3" w:rsidRPr="001A0D3A">
        <w:rPr>
          <w:lang w:eastAsia="fr-FR"/>
        </w:rPr>
        <w:t xml:space="preserve">. </w:t>
      </w:r>
      <w:r w:rsidR="00816D3B" w:rsidRPr="001A0D3A">
        <w:rPr>
          <w:lang w:eastAsia="fr-FR"/>
        </w:rPr>
        <w:t xml:space="preserve">This is mainly due to the </w:t>
      </w:r>
      <w:r w:rsidR="00BB2FB6" w:rsidRPr="001A0D3A">
        <w:rPr>
          <w:lang w:eastAsia="fr-FR"/>
        </w:rPr>
        <w:t xml:space="preserve">decreasing area of </w:t>
      </w:r>
      <w:r w:rsidR="008F4419" w:rsidRPr="001A0D3A">
        <w:rPr>
          <w:lang w:eastAsia="fr-FR"/>
        </w:rPr>
        <w:t>wet</w:t>
      </w:r>
      <w:r w:rsidR="00BB2FB6" w:rsidRPr="001A0D3A">
        <w:rPr>
          <w:lang w:eastAsia="fr-FR"/>
        </w:rPr>
        <w:t>lands</w:t>
      </w:r>
      <w:r w:rsidR="00CD36C3" w:rsidRPr="001A0D3A">
        <w:rPr>
          <w:lang w:eastAsia="fr-FR"/>
        </w:rPr>
        <w:t xml:space="preserve"> </w:t>
      </w:r>
      <w:r w:rsidR="00367289" w:rsidRPr="001A0D3A">
        <w:rPr>
          <w:lang w:eastAsia="fr-FR"/>
        </w:rPr>
        <w:t>from the category 4.D.2.3</w:t>
      </w:r>
    </w:p>
    <w:p w14:paraId="3126B464" w14:textId="652009A9" w:rsidR="00A67EC9" w:rsidRPr="00A67EC9" w:rsidRDefault="00DB48E7" w:rsidP="00180D15">
      <w:pPr>
        <w:spacing w:after="0"/>
        <w:jc w:val="left"/>
      </w:pPr>
      <w:r>
        <w:rPr>
          <w:noProof/>
          <w:lang w:val="en-US"/>
        </w:rPr>
        <w:drawing>
          <wp:inline distT="0" distB="0" distL="0" distR="0" wp14:anchorId="7D8857ED" wp14:editId="4A1471BA">
            <wp:extent cx="5760000" cy="1753712"/>
            <wp:effectExtent l="0" t="0" r="0" b="0"/>
            <wp:docPr id="614389557"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68C4AC80" w14:textId="77777777" w:rsidR="00180D15" w:rsidRDefault="00180D15" w:rsidP="00180D15">
      <w:pPr>
        <w:pStyle w:val="Caption"/>
        <w:spacing w:before="0"/>
        <w:jc w:val="left"/>
      </w:pPr>
      <w:bookmarkStart w:id="970" w:name="_Toc184808525"/>
      <w:r w:rsidRPr="00622F40">
        <w:t xml:space="preserve">Figure </w:t>
      </w:r>
      <w:r w:rsidRPr="00622F40">
        <w:fldChar w:fldCharType="begin"/>
      </w:r>
      <w:r w:rsidRPr="00622F40">
        <w:instrText xml:space="preserve"> SEQ Figure \* ARABIC </w:instrText>
      </w:r>
      <w:r w:rsidRPr="00622F40">
        <w:fldChar w:fldCharType="separate"/>
      </w:r>
      <w:r>
        <w:rPr>
          <w:noProof/>
        </w:rPr>
        <w:t>138</w:t>
      </w:r>
      <w:r w:rsidRPr="00622F40">
        <w:fldChar w:fldCharType="end"/>
      </w:r>
      <w:r w:rsidRPr="00622F40">
        <w:t>: GHG emissions from land converted to other wetlands (</w:t>
      </w:r>
      <w:r>
        <w:t>CRT</w:t>
      </w:r>
      <w:r w:rsidRPr="00622F40">
        <w:t xml:space="preserve"> 4.D.2.3) (kt CO</w:t>
      </w:r>
      <w:r w:rsidRPr="00180D15">
        <w:rPr>
          <w:vertAlign w:val="subscript"/>
        </w:rPr>
        <w:t>2e</w:t>
      </w:r>
      <w:r w:rsidRPr="00622F40">
        <w:t>)</w:t>
      </w:r>
      <w:bookmarkEnd w:id="970"/>
    </w:p>
    <w:p w14:paraId="2BDB6074" w14:textId="0A2C5DC5" w:rsidR="005F3D43" w:rsidRDefault="0037552E" w:rsidP="00180D15">
      <w:pPr>
        <w:spacing w:after="0"/>
        <w:jc w:val="left"/>
        <w:rPr>
          <w:lang w:val="sr-Latn-RS"/>
        </w:rPr>
      </w:pPr>
      <w:r>
        <w:rPr>
          <w:noProof/>
          <w:lang w:val="en-US"/>
        </w:rPr>
        <w:drawing>
          <wp:inline distT="0" distB="0" distL="0" distR="0" wp14:anchorId="510953C7" wp14:editId="3E108CC9">
            <wp:extent cx="5760000" cy="1753712"/>
            <wp:effectExtent l="0" t="0" r="0" b="0"/>
            <wp:docPr id="1928873036"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5884B499" w14:textId="77777777" w:rsidR="00180D15" w:rsidRDefault="00180D15" w:rsidP="00180D15">
      <w:pPr>
        <w:pStyle w:val="Caption"/>
        <w:spacing w:before="0"/>
        <w:jc w:val="left"/>
      </w:pPr>
      <w:bookmarkStart w:id="971" w:name="_Toc184808526"/>
      <w:r w:rsidRPr="00622F40">
        <w:t xml:space="preserve">Figure </w:t>
      </w:r>
      <w:r w:rsidRPr="00622F40">
        <w:fldChar w:fldCharType="begin"/>
      </w:r>
      <w:r w:rsidRPr="00622F40">
        <w:instrText xml:space="preserve"> SEQ Figure \* ARABIC </w:instrText>
      </w:r>
      <w:r w:rsidRPr="00622F40">
        <w:fldChar w:fldCharType="separate"/>
      </w:r>
      <w:r>
        <w:t>139</w:t>
      </w:r>
      <w:r w:rsidRPr="00622F40">
        <w:fldChar w:fldCharType="end"/>
      </w:r>
      <w:r w:rsidRPr="00622F40">
        <w:t>: Direct N</w:t>
      </w:r>
      <w:r w:rsidRPr="00683251">
        <w:rPr>
          <w:vertAlign w:val="subscript"/>
        </w:rPr>
        <w:t>2</w:t>
      </w:r>
      <w:r w:rsidRPr="00622F40">
        <w:t>O emissions from N mineralization/immobilization in wetlands (</w:t>
      </w:r>
      <w:r>
        <w:t>CRT</w:t>
      </w:r>
      <w:r w:rsidRPr="00622F40">
        <w:t xml:space="preserve"> 4.D.2) (kt CO</w:t>
      </w:r>
      <w:r w:rsidRPr="00683251">
        <w:rPr>
          <w:vertAlign w:val="subscript"/>
        </w:rPr>
        <w:t>2e</w:t>
      </w:r>
      <w:r w:rsidRPr="00622F40">
        <w:t>)</w:t>
      </w:r>
      <w:bookmarkEnd w:id="971"/>
    </w:p>
    <w:p w14:paraId="29DB2E1C" w14:textId="77777777" w:rsidR="00180D15" w:rsidRPr="00622F40" w:rsidRDefault="00180D15" w:rsidP="005F3D43">
      <w:pPr>
        <w:rPr>
          <w:lang w:val="sr-Latn-RS"/>
        </w:rPr>
      </w:pPr>
    </w:p>
    <w:p w14:paraId="1A101B75" w14:textId="77777777" w:rsidR="005F3D43" w:rsidRDefault="005F3D43" w:rsidP="005F3D43">
      <w:pPr>
        <w:pStyle w:val="Heading3"/>
        <w:keepNext/>
        <w:keepLines/>
        <w:tabs>
          <w:tab w:val="clear" w:pos="142"/>
          <w:tab w:val="clear" w:pos="1134"/>
        </w:tabs>
        <w:spacing w:before="200" w:after="0" w:line="276" w:lineRule="auto"/>
        <w:jc w:val="left"/>
      </w:pPr>
      <w:bookmarkStart w:id="972" w:name="_Toc182328026"/>
      <w:bookmarkStart w:id="973" w:name="_Toc184808326"/>
      <w:r>
        <w:t>Methodological issues</w:t>
      </w:r>
      <w:bookmarkEnd w:id="972"/>
      <w:bookmarkEnd w:id="973"/>
      <w:r>
        <w:t xml:space="preserve"> </w:t>
      </w:r>
    </w:p>
    <w:p w14:paraId="76FA1EC2" w14:textId="6DD4D85F" w:rsidR="005F3D43" w:rsidRDefault="005F3D43" w:rsidP="005F3D43">
      <w:pPr>
        <w:pStyle w:val="Heading4"/>
        <w:keepNext/>
        <w:keepLines/>
        <w:tabs>
          <w:tab w:val="clear" w:pos="993"/>
          <w:tab w:val="clear" w:pos="2127"/>
        </w:tabs>
        <w:spacing w:before="200" w:after="0" w:line="276" w:lineRule="auto"/>
        <w:jc w:val="left"/>
      </w:pPr>
      <w:bookmarkStart w:id="974" w:name="_Toc182328027"/>
      <w:r>
        <w:t>Wetlands remaining wetlands (</w:t>
      </w:r>
      <w:r w:rsidR="00FF2718">
        <w:t xml:space="preserve">CRT </w:t>
      </w:r>
      <w:r>
        <w:t>4D1)</w:t>
      </w:r>
      <w:bookmarkEnd w:id="974"/>
    </w:p>
    <w:p w14:paraId="747AEEB6" w14:textId="77777777" w:rsidR="005F3D43" w:rsidRPr="00A76C94" w:rsidRDefault="005F3D43" w:rsidP="005F3D43">
      <w:pPr>
        <w:pStyle w:val="Heading5"/>
        <w:spacing w:before="200" w:after="0" w:line="276" w:lineRule="auto"/>
        <w:jc w:val="left"/>
      </w:pPr>
      <w:bookmarkStart w:id="975" w:name="_Toc182328028"/>
      <w:r w:rsidRPr="00A76C94">
        <w:t>Carbon stock changes</w:t>
      </w:r>
      <w:bookmarkEnd w:id="975"/>
      <w:r w:rsidRPr="00A76C94">
        <w:t xml:space="preserve"> </w:t>
      </w:r>
    </w:p>
    <w:p w14:paraId="2B24AE3C" w14:textId="77777777" w:rsidR="005F3D43" w:rsidRDefault="005F3D43" w:rsidP="00AB11C1">
      <w:pPr>
        <w:pStyle w:val="ListParagraph"/>
        <w:numPr>
          <w:ilvl w:val="0"/>
          <w:numId w:val="51"/>
        </w:numPr>
        <w:spacing w:after="0"/>
        <w:jc w:val="left"/>
      </w:pPr>
      <w:r>
        <w:t>Living biomass</w:t>
      </w:r>
    </w:p>
    <w:p w14:paraId="393CFFDA" w14:textId="77777777" w:rsidR="005F3D43" w:rsidRDefault="005F3D43" w:rsidP="005F3D43">
      <w:pPr>
        <w:spacing w:after="0"/>
      </w:pPr>
      <w:r>
        <w:t xml:space="preserve">Living biomass emissions from peat extraction are not occurring, because there is no peat extraction in Serbia. </w:t>
      </w:r>
    </w:p>
    <w:p w14:paraId="74300FAE" w14:textId="77777777" w:rsidR="005F3D43" w:rsidRDefault="005F3D43" w:rsidP="005F3D43">
      <w:pPr>
        <w:spacing w:after="0"/>
        <w:ind w:left="360"/>
      </w:pPr>
      <w:r>
        <w:t xml:space="preserve">Living biomass emissions for flooded and other wetlands are not estimated. Equilibrium is assumed, no stock variations are occurring in this category. Also no information on changes is available. </w:t>
      </w:r>
    </w:p>
    <w:p w14:paraId="72D67CF8" w14:textId="77777777" w:rsidR="005F3D43" w:rsidRDefault="005F3D43" w:rsidP="00AB11C1">
      <w:pPr>
        <w:pStyle w:val="ListParagraph"/>
        <w:numPr>
          <w:ilvl w:val="0"/>
          <w:numId w:val="51"/>
        </w:numPr>
        <w:spacing w:after="0"/>
        <w:jc w:val="left"/>
      </w:pPr>
      <w:r>
        <w:t>Dead organic matter (dead wood, litter)</w:t>
      </w:r>
    </w:p>
    <w:p w14:paraId="2985328D" w14:textId="77777777" w:rsidR="005F3D43" w:rsidRDefault="005F3D43" w:rsidP="005F3D43">
      <w:pPr>
        <w:spacing w:after="0"/>
        <w:ind w:left="360"/>
      </w:pPr>
      <w:r>
        <w:t xml:space="preserve">Dead organic matter emissions from peat extraction are not occurring, because there is no peat extraction in Serbia. </w:t>
      </w:r>
    </w:p>
    <w:p w14:paraId="75F119D2" w14:textId="68BBACD2" w:rsidR="005F3D43" w:rsidRDefault="005F3D43" w:rsidP="005F3D43">
      <w:pPr>
        <w:spacing w:after="0"/>
        <w:ind w:left="360"/>
      </w:pPr>
      <w:r>
        <w:t xml:space="preserve">Dead organic matter emissions for flooded and other wetlands are not estimated. Equilibrium is assumed, no stock variations are occurring in this category. </w:t>
      </w:r>
      <w:r w:rsidR="00180D15">
        <w:t>Also,</w:t>
      </w:r>
      <w:r>
        <w:t xml:space="preserve"> no information on changes is available. </w:t>
      </w:r>
    </w:p>
    <w:p w14:paraId="3D787BE2" w14:textId="77777777" w:rsidR="005F3D43" w:rsidRDefault="005F3D43" w:rsidP="00AB11C1">
      <w:pPr>
        <w:pStyle w:val="ListParagraph"/>
        <w:numPr>
          <w:ilvl w:val="0"/>
          <w:numId w:val="51"/>
        </w:numPr>
        <w:spacing w:after="0"/>
        <w:jc w:val="left"/>
      </w:pPr>
      <w:r>
        <w:t>Soils (mineral and organic soils)</w:t>
      </w:r>
    </w:p>
    <w:p w14:paraId="52356AD6" w14:textId="77777777" w:rsidR="005F3D43" w:rsidRDefault="005F3D43" w:rsidP="005F3D43">
      <w:pPr>
        <w:spacing w:after="0"/>
        <w:ind w:left="360"/>
      </w:pPr>
      <w:r>
        <w:t>Mineral and organic soil emissions from peat extraction are not occurring, because there is no peat extraction in Serbia.</w:t>
      </w:r>
    </w:p>
    <w:p w14:paraId="6650767F" w14:textId="77777777" w:rsidR="005F3D43" w:rsidRDefault="005F3D43" w:rsidP="005F3D43">
      <w:pPr>
        <w:ind w:left="360"/>
      </w:pPr>
      <w:r>
        <w:t xml:space="preserve">Mineral soil emissions are not estimated and not occurring for organic soils. It is assumed that in Serbia no organic soils exist in grasslands. For mineral soils no stock variations are occurring in this category and no information related to stock variations are available.  </w:t>
      </w:r>
    </w:p>
    <w:p w14:paraId="37DECF69" w14:textId="77777777" w:rsidR="005F3D43" w:rsidRDefault="005F3D43" w:rsidP="005F3D43">
      <w:pPr>
        <w:pStyle w:val="ListParagraph"/>
        <w:spacing w:after="0"/>
      </w:pPr>
    </w:p>
    <w:p w14:paraId="79C7D0D9" w14:textId="77777777" w:rsidR="005F3D43" w:rsidRDefault="005F3D43" w:rsidP="005F3D43">
      <w:pPr>
        <w:pStyle w:val="Heading5"/>
        <w:spacing w:before="200" w:after="0" w:line="276" w:lineRule="auto"/>
        <w:jc w:val="left"/>
      </w:pPr>
      <w:bookmarkStart w:id="976" w:name="_Toc182328029"/>
      <w:r w:rsidRPr="00A76C94">
        <w:t>Direct N</w:t>
      </w:r>
      <w:r w:rsidRPr="00622F40">
        <w:rPr>
          <w:vertAlign w:val="subscript"/>
        </w:rPr>
        <w:t>2</w:t>
      </w:r>
      <w:r w:rsidRPr="00A76C94">
        <w:t>O Emissions from N Inputs to Managed Soils</w:t>
      </w:r>
      <w:bookmarkEnd w:id="976"/>
    </w:p>
    <w:p w14:paraId="01A40FA5" w14:textId="77777777" w:rsidR="005F3D43" w:rsidRPr="00F054D7" w:rsidRDefault="005F3D43" w:rsidP="005F3D43">
      <w:pPr>
        <w:spacing w:before="120"/>
      </w:pPr>
      <w:r>
        <w:t>It is assumed that no other land but agricultural land is fertilized in Serbia, thus direct N</w:t>
      </w:r>
      <w:r w:rsidRPr="00622F40">
        <w:rPr>
          <w:vertAlign w:val="subscript"/>
        </w:rPr>
        <w:t>2</w:t>
      </w:r>
      <w:r>
        <w:t>O emissions are reported as not occurring.</w:t>
      </w:r>
    </w:p>
    <w:p w14:paraId="0DF8D555" w14:textId="77777777" w:rsidR="005F3D43" w:rsidRDefault="005F3D43" w:rsidP="005F3D43">
      <w:pPr>
        <w:pStyle w:val="Heading5"/>
        <w:spacing w:before="200" w:after="0" w:line="276" w:lineRule="auto"/>
        <w:jc w:val="left"/>
      </w:pPr>
      <w:bookmarkStart w:id="977" w:name="_Toc182328030"/>
      <w:r w:rsidRPr="00A76C94">
        <w:t>Emissions and removals from drainage and rewetting and other management of organic and mineral soils</w:t>
      </w:r>
      <w:bookmarkEnd w:id="977"/>
    </w:p>
    <w:p w14:paraId="1E1CCDB0" w14:textId="77777777" w:rsidR="005F3D43" w:rsidRPr="00F054D7" w:rsidRDefault="005F3D43" w:rsidP="005F3D43">
      <w:pPr>
        <w:spacing w:before="120"/>
      </w:pPr>
      <w:r>
        <w:t>Drainage and rewetting of organic and mineral soils are assumed to be not occurring in Serbia, thus related emissions and removals are reported as not occurring.</w:t>
      </w:r>
    </w:p>
    <w:p w14:paraId="520B9391" w14:textId="77777777" w:rsidR="005F3D43" w:rsidRDefault="005F3D43" w:rsidP="005F3D43">
      <w:pPr>
        <w:pStyle w:val="Heading5"/>
        <w:spacing w:before="200" w:after="0" w:line="276" w:lineRule="auto"/>
        <w:jc w:val="left"/>
      </w:pPr>
      <w:bookmarkStart w:id="978" w:name="_Toc182328031"/>
      <w:r w:rsidRPr="00A76C94">
        <w:t>Direct N</w:t>
      </w:r>
      <w:r w:rsidRPr="00622F40">
        <w:rPr>
          <w:vertAlign w:val="subscript"/>
        </w:rPr>
        <w:t>2</w:t>
      </w:r>
      <w:r w:rsidRPr="00A76C94">
        <w:t>O Emissions from N Mineralization/Immobilization</w:t>
      </w:r>
      <w:bookmarkEnd w:id="978"/>
    </w:p>
    <w:p w14:paraId="212913D5" w14:textId="77777777" w:rsidR="005F3D43" w:rsidRPr="00B15266" w:rsidRDefault="005F3D43" w:rsidP="005F3D43">
      <w:pPr>
        <w:spacing w:before="120"/>
      </w:pPr>
      <w:r>
        <w:t>No carbon losses are estimated from soils, thus d</w:t>
      </w:r>
      <w:r w:rsidRPr="0095681F">
        <w:t>irect N</w:t>
      </w:r>
      <w:r w:rsidRPr="00622F40">
        <w:rPr>
          <w:vertAlign w:val="subscript"/>
        </w:rPr>
        <w:t>2</w:t>
      </w:r>
      <w:r w:rsidRPr="0095681F">
        <w:t xml:space="preserve">O </w:t>
      </w:r>
      <w:r>
        <w:t xml:space="preserve">Emissions from N Mineralization are reported as not occurring for wetlands remaining wetlands. </w:t>
      </w:r>
    </w:p>
    <w:p w14:paraId="3FEA8E9F" w14:textId="77777777" w:rsidR="005F3D43" w:rsidRDefault="005F3D43" w:rsidP="005F3D43">
      <w:pPr>
        <w:pStyle w:val="Heading5"/>
        <w:spacing w:before="200" w:after="0" w:line="276" w:lineRule="auto"/>
        <w:jc w:val="left"/>
      </w:pPr>
      <w:bookmarkStart w:id="979" w:name="_Toc182328032"/>
      <w:r w:rsidRPr="00A76C94">
        <w:t>Indirect N</w:t>
      </w:r>
      <w:r w:rsidRPr="00622F40">
        <w:rPr>
          <w:vertAlign w:val="subscript"/>
        </w:rPr>
        <w:t>2</w:t>
      </w:r>
      <w:r w:rsidRPr="00A76C94">
        <w:t>O Emissions from Managed Soils</w:t>
      </w:r>
      <w:bookmarkEnd w:id="979"/>
    </w:p>
    <w:p w14:paraId="246E451A" w14:textId="77777777" w:rsidR="005F3D43" w:rsidRPr="00881B25" w:rsidRDefault="005F3D43" w:rsidP="005F3D43">
      <w:r>
        <w:t>No direct N</w:t>
      </w:r>
      <w:r w:rsidRPr="00622F40">
        <w:rPr>
          <w:vertAlign w:val="subscript"/>
        </w:rPr>
        <w:t>2</w:t>
      </w:r>
      <w:r>
        <w:t>O emissions are estimated on these areas, thus indirect N</w:t>
      </w:r>
      <w:r w:rsidRPr="00622F40">
        <w:rPr>
          <w:vertAlign w:val="subscript"/>
        </w:rPr>
        <w:t>2</w:t>
      </w:r>
      <w:r>
        <w:t>O emissions from soils are also assumed as not occurring.</w:t>
      </w:r>
    </w:p>
    <w:p w14:paraId="355DBA08" w14:textId="77777777" w:rsidR="005F3D43" w:rsidRDefault="005F3D43" w:rsidP="005F3D43">
      <w:pPr>
        <w:pStyle w:val="Heading5"/>
        <w:spacing w:before="200" w:after="0" w:line="276" w:lineRule="auto"/>
        <w:jc w:val="left"/>
      </w:pPr>
      <w:bookmarkStart w:id="980" w:name="_Toc182328033"/>
      <w:r w:rsidRPr="00A76C94">
        <w:t>Biomass Burning</w:t>
      </w:r>
      <w:bookmarkEnd w:id="980"/>
    </w:p>
    <w:p w14:paraId="67B69899" w14:textId="77777777" w:rsidR="005F3D43" w:rsidRPr="00DC3EF3" w:rsidRDefault="005F3D43" w:rsidP="005F3D43">
      <w:pPr>
        <w:spacing w:before="120"/>
      </w:pPr>
      <w:r>
        <w:t xml:space="preserve">It is assumed that no biomass burning is occurring on this type of land. </w:t>
      </w:r>
    </w:p>
    <w:p w14:paraId="630921A9" w14:textId="048AF940" w:rsidR="005F3D43" w:rsidRPr="00A76C94" w:rsidRDefault="005F3D43" w:rsidP="005F3D43">
      <w:pPr>
        <w:pStyle w:val="Heading4"/>
        <w:keepNext/>
        <w:keepLines/>
        <w:tabs>
          <w:tab w:val="clear" w:pos="993"/>
          <w:tab w:val="clear" w:pos="2127"/>
        </w:tabs>
        <w:spacing w:before="200" w:after="0" w:line="276" w:lineRule="auto"/>
        <w:jc w:val="left"/>
      </w:pPr>
      <w:bookmarkStart w:id="981" w:name="_Toc182328034"/>
      <w:r>
        <w:t>Land converted to wetlands (</w:t>
      </w:r>
      <w:r w:rsidR="00FF2718">
        <w:t xml:space="preserve">CRT </w:t>
      </w:r>
      <w:r>
        <w:t>4D2)</w:t>
      </w:r>
      <w:bookmarkEnd w:id="981"/>
    </w:p>
    <w:p w14:paraId="705D48CD" w14:textId="77777777" w:rsidR="005F3D43" w:rsidRPr="00A76C94" w:rsidRDefault="005F3D43" w:rsidP="005F3D43">
      <w:pPr>
        <w:pStyle w:val="Heading5"/>
        <w:spacing w:before="200" w:after="0" w:line="276" w:lineRule="auto"/>
        <w:jc w:val="left"/>
      </w:pPr>
      <w:bookmarkStart w:id="982" w:name="_Toc182328035"/>
      <w:r w:rsidRPr="00A76C94">
        <w:t>Carbon stock changes</w:t>
      </w:r>
      <w:bookmarkEnd w:id="982"/>
      <w:r w:rsidRPr="00A76C94">
        <w:t xml:space="preserve"> </w:t>
      </w:r>
    </w:p>
    <w:p w14:paraId="45BEDCB4" w14:textId="77777777" w:rsidR="005F3D43" w:rsidRDefault="005F3D43" w:rsidP="00AB11C1">
      <w:pPr>
        <w:pStyle w:val="ListParagraph"/>
        <w:numPr>
          <w:ilvl w:val="0"/>
          <w:numId w:val="51"/>
        </w:numPr>
        <w:spacing w:before="120" w:after="120"/>
      </w:pPr>
      <w:r>
        <w:t>Living biomass</w:t>
      </w:r>
    </w:p>
    <w:p w14:paraId="4625C586" w14:textId="77777777" w:rsidR="005F3D43" w:rsidRDefault="005F3D43" w:rsidP="005F3D43">
      <w:pPr>
        <w:spacing w:before="120" w:after="120"/>
      </w:pPr>
      <w:r>
        <w:t>There is no peat extraction in Serbia, thus emissions from peat extraction are reported as not occurring.</w:t>
      </w:r>
    </w:p>
    <w:p w14:paraId="3217813E" w14:textId="77777777" w:rsidR="005F3D43" w:rsidRPr="000A2CE4" w:rsidRDefault="005F3D43" w:rsidP="005F3D43">
      <w:pPr>
        <w:spacing w:before="120" w:after="120"/>
      </w:pPr>
      <w:r>
        <w:t>All losses from flooded and other wetlands are reported under land converted to other wetlands.</w:t>
      </w:r>
    </w:p>
    <w:p w14:paraId="4AC60003" w14:textId="77777777" w:rsidR="005F3D43" w:rsidRDefault="005F3D43" w:rsidP="00AB11C1">
      <w:pPr>
        <w:pStyle w:val="ListParagraph"/>
        <w:numPr>
          <w:ilvl w:val="0"/>
          <w:numId w:val="51"/>
        </w:numPr>
        <w:spacing w:before="120" w:after="120"/>
      </w:pPr>
      <w:r>
        <w:t>Dead organic matter (dead wood, litter)</w:t>
      </w:r>
    </w:p>
    <w:p w14:paraId="28FB60C9" w14:textId="77777777" w:rsidR="005F3D43" w:rsidRDefault="005F3D43" w:rsidP="005F3D43">
      <w:pPr>
        <w:spacing w:before="120" w:after="120"/>
      </w:pPr>
      <w:r>
        <w:t>There is no peat extraction in Serbia, thus emissions from peat extraction are reported as not occurring.</w:t>
      </w:r>
    </w:p>
    <w:p w14:paraId="4EBCD5DC" w14:textId="77777777" w:rsidR="005F3D43" w:rsidRPr="000A2CE4" w:rsidRDefault="005F3D43" w:rsidP="005F3D43">
      <w:pPr>
        <w:spacing w:before="120" w:after="120"/>
      </w:pPr>
      <w:r>
        <w:t>All losses from flooded and other wetlands are reported under land converted to other wetlands.</w:t>
      </w:r>
    </w:p>
    <w:p w14:paraId="3D6546C4" w14:textId="77777777" w:rsidR="005F3D43" w:rsidRDefault="005F3D43" w:rsidP="00AB11C1">
      <w:pPr>
        <w:pStyle w:val="ListParagraph"/>
        <w:numPr>
          <w:ilvl w:val="0"/>
          <w:numId w:val="51"/>
        </w:numPr>
        <w:spacing w:before="120" w:after="120"/>
      </w:pPr>
      <w:r>
        <w:t>Soils (mineral and organic soils)</w:t>
      </w:r>
    </w:p>
    <w:p w14:paraId="7158B1FB" w14:textId="77777777" w:rsidR="005F3D43" w:rsidRDefault="005F3D43" w:rsidP="005F3D43">
      <w:pPr>
        <w:spacing w:before="120" w:after="120"/>
      </w:pPr>
      <w:r>
        <w:t>It is assumed that in Serbia no organic soils exist in wetlands.</w:t>
      </w:r>
    </w:p>
    <w:p w14:paraId="72B0CFC9" w14:textId="77777777" w:rsidR="005F3D43" w:rsidRDefault="005F3D43" w:rsidP="005F3D43">
      <w:pPr>
        <w:spacing w:before="120" w:after="120"/>
      </w:pPr>
      <w:r>
        <w:t>There is no peat extraction in Serbia, thus emissions from peat extraction are reported as not occurring.</w:t>
      </w:r>
    </w:p>
    <w:p w14:paraId="0420378D" w14:textId="77777777" w:rsidR="005F3D43" w:rsidRPr="000A2CE4" w:rsidRDefault="005F3D43" w:rsidP="005F3D43">
      <w:pPr>
        <w:spacing w:before="120" w:after="120"/>
      </w:pPr>
      <w:r>
        <w:t>All losses from flooded and other wetlands are reported under land converted to other wetlands.</w:t>
      </w:r>
    </w:p>
    <w:p w14:paraId="62FFD47E" w14:textId="77777777" w:rsidR="005F3D43" w:rsidRDefault="005F3D43" w:rsidP="005F3D43">
      <w:pPr>
        <w:pStyle w:val="Heading5"/>
        <w:spacing w:before="200" w:after="0" w:line="276" w:lineRule="auto"/>
        <w:jc w:val="left"/>
      </w:pPr>
      <w:bookmarkStart w:id="983" w:name="_Toc182328036"/>
      <w:r w:rsidRPr="00A76C94">
        <w:t>Direct N</w:t>
      </w:r>
      <w:r w:rsidRPr="00622F40">
        <w:rPr>
          <w:vertAlign w:val="subscript"/>
        </w:rPr>
        <w:t>2</w:t>
      </w:r>
      <w:r w:rsidRPr="00A76C94">
        <w:t>O Emissions from N Inputs to Managed Soils</w:t>
      </w:r>
      <w:bookmarkEnd w:id="983"/>
    </w:p>
    <w:p w14:paraId="0B87CF6D" w14:textId="77777777" w:rsidR="005F3D43" w:rsidRPr="00F054D7" w:rsidRDefault="005F3D43" w:rsidP="005F3D43">
      <w:pPr>
        <w:spacing w:before="120"/>
      </w:pPr>
      <w:r>
        <w:t>It is assumed that no other land but agricultural land is fertilized in Serbia, thus direct N</w:t>
      </w:r>
      <w:r w:rsidRPr="00622F40">
        <w:rPr>
          <w:vertAlign w:val="subscript"/>
        </w:rPr>
        <w:t>2</w:t>
      </w:r>
      <w:r>
        <w:t>O emissions are reported as not occurring.</w:t>
      </w:r>
    </w:p>
    <w:p w14:paraId="742D406B" w14:textId="77777777" w:rsidR="005F3D43" w:rsidRDefault="005F3D43" w:rsidP="005F3D43">
      <w:pPr>
        <w:pStyle w:val="Heading5"/>
        <w:spacing w:before="200" w:after="0" w:line="276" w:lineRule="auto"/>
        <w:jc w:val="left"/>
      </w:pPr>
      <w:bookmarkStart w:id="984" w:name="_Toc182328037"/>
      <w:r w:rsidRPr="00A76C94">
        <w:t>Emissions and removals from drainage and rewetting and other management of organic and mineral soils</w:t>
      </w:r>
      <w:bookmarkEnd w:id="984"/>
    </w:p>
    <w:p w14:paraId="070D2F14" w14:textId="77777777" w:rsidR="005F3D43" w:rsidRPr="00F054D7" w:rsidRDefault="005F3D43" w:rsidP="005F3D43">
      <w:pPr>
        <w:spacing w:before="120"/>
      </w:pPr>
      <w:r>
        <w:t>Drainage and rewetting of organic and mineral soils are assumed to be not occurring in Serbia, thus related emissions and removals are reported as not occurring.</w:t>
      </w:r>
    </w:p>
    <w:p w14:paraId="1FD3BC74" w14:textId="77777777" w:rsidR="005F3D43" w:rsidRDefault="005F3D43" w:rsidP="005F3D43">
      <w:pPr>
        <w:pStyle w:val="Heading5"/>
        <w:spacing w:before="200" w:after="0" w:line="276" w:lineRule="auto"/>
        <w:jc w:val="left"/>
      </w:pPr>
      <w:bookmarkStart w:id="985" w:name="_Toc182328038"/>
      <w:r w:rsidRPr="00A76C94">
        <w:lastRenderedPageBreak/>
        <w:t>Direct N</w:t>
      </w:r>
      <w:r w:rsidRPr="00622F40">
        <w:rPr>
          <w:vertAlign w:val="subscript"/>
        </w:rPr>
        <w:t>2</w:t>
      </w:r>
      <w:r w:rsidRPr="00A76C94">
        <w:t>O Emissions from N Mineralization/Immobilization</w:t>
      </w:r>
      <w:bookmarkEnd w:id="985"/>
    </w:p>
    <w:p w14:paraId="18F16BBC" w14:textId="77777777" w:rsidR="005F3D43" w:rsidRPr="00B15266" w:rsidRDefault="005F3D43" w:rsidP="005F3D43">
      <w:pPr>
        <w:spacing w:before="120"/>
      </w:pPr>
      <w:r>
        <w:t>Carbon losses are estimated from mineral soils, thus d</w:t>
      </w:r>
      <w:r w:rsidRPr="0095681F">
        <w:t>irect N</w:t>
      </w:r>
      <w:r w:rsidRPr="00622F40">
        <w:rPr>
          <w:vertAlign w:val="subscript"/>
        </w:rPr>
        <w:t>2</w:t>
      </w:r>
      <w:r w:rsidRPr="0095681F">
        <w:t xml:space="preserve">O </w:t>
      </w:r>
      <w:r>
        <w:t>Emissions from N Mineralization are estimated in accordance with IPCC 2006 guidelines for land converted to wetlands.</w:t>
      </w:r>
    </w:p>
    <w:p w14:paraId="00BECA9E" w14:textId="77777777" w:rsidR="005F3D43" w:rsidRDefault="005F3D43" w:rsidP="005F3D43">
      <w:pPr>
        <w:pStyle w:val="Heading5"/>
        <w:spacing w:before="200" w:after="0" w:line="276" w:lineRule="auto"/>
        <w:jc w:val="left"/>
      </w:pPr>
      <w:bookmarkStart w:id="986" w:name="_Toc182328039"/>
      <w:r w:rsidRPr="00A76C94">
        <w:t>Indirect N</w:t>
      </w:r>
      <w:r w:rsidRPr="00622F40">
        <w:rPr>
          <w:vertAlign w:val="subscript"/>
        </w:rPr>
        <w:t>2</w:t>
      </w:r>
      <w:r w:rsidRPr="00A76C94">
        <w:t>O Emissions from Managed Soils</w:t>
      </w:r>
      <w:bookmarkEnd w:id="986"/>
    </w:p>
    <w:p w14:paraId="326FAF2B" w14:textId="77777777" w:rsidR="005F3D43" w:rsidRPr="00881B25" w:rsidRDefault="005F3D43" w:rsidP="005F3D43">
      <w:r>
        <w:t>Indirect N</w:t>
      </w:r>
      <w:r w:rsidRPr="00622F40">
        <w:rPr>
          <w:vertAlign w:val="subscript"/>
        </w:rPr>
        <w:t>2</w:t>
      </w:r>
      <w:r>
        <w:t>O emissions from soils are currently not estimated in the Serbian inventory.</w:t>
      </w:r>
    </w:p>
    <w:p w14:paraId="019FDF11" w14:textId="77777777" w:rsidR="005F3D43" w:rsidRPr="00A76C94" w:rsidRDefault="005F3D43" w:rsidP="005F3D43">
      <w:pPr>
        <w:pStyle w:val="Heading5"/>
        <w:spacing w:before="200" w:after="0" w:line="276" w:lineRule="auto"/>
        <w:jc w:val="left"/>
      </w:pPr>
      <w:bookmarkStart w:id="987" w:name="_Toc182328040"/>
      <w:r w:rsidRPr="00A76C94">
        <w:t>Biomass Burning</w:t>
      </w:r>
      <w:bookmarkEnd w:id="987"/>
    </w:p>
    <w:p w14:paraId="6D3D3101" w14:textId="77777777" w:rsidR="005F3D43" w:rsidRDefault="005F3D43" w:rsidP="005F3D43">
      <w:pPr>
        <w:spacing w:before="120"/>
      </w:pPr>
      <w:r>
        <w:t xml:space="preserve">It is assumed that no biomass burning is occurring on this type of land. </w:t>
      </w:r>
    </w:p>
    <w:p w14:paraId="5F8DE0CC" w14:textId="0050D425" w:rsidR="005F3D43" w:rsidRDefault="005F3D43" w:rsidP="005F3D43">
      <w:pPr>
        <w:pStyle w:val="Heading3"/>
        <w:keepNext/>
        <w:keepLines/>
        <w:tabs>
          <w:tab w:val="clear" w:pos="142"/>
          <w:tab w:val="clear" w:pos="1134"/>
        </w:tabs>
        <w:spacing w:before="200" w:after="0" w:line="276" w:lineRule="auto"/>
        <w:jc w:val="left"/>
      </w:pPr>
      <w:bookmarkStart w:id="988" w:name="_Toc182328041"/>
      <w:bookmarkStart w:id="989" w:name="_Toc184808327"/>
      <w:r>
        <w:t>Uncertainties and time-series consistency</w:t>
      </w:r>
      <w:bookmarkEnd w:id="988"/>
      <w:bookmarkEnd w:id="989"/>
    </w:p>
    <w:p w14:paraId="159FC46B" w14:textId="77777777" w:rsidR="007E7C4D" w:rsidRPr="002462F0" w:rsidRDefault="007E7C4D" w:rsidP="007E7C4D">
      <w:pPr>
        <w:pStyle w:val="BodyText"/>
        <w:rPr>
          <w:lang w:eastAsia="fr-FR"/>
        </w:rPr>
      </w:pPr>
      <w:r w:rsidRPr="002462F0">
        <w:rPr>
          <w:lang w:eastAsia="fr-FR"/>
        </w:rPr>
        <w:t xml:space="preserve">Uncertainty estimate associated with activity data amounts to </w:t>
      </w:r>
      <w:r>
        <w:rPr>
          <w:lang w:eastAsia="fr-FR"/>
        </w:rPr>
        <w:t>10</w:t>
      </w:r>
      <w:r w:rsidRPr="002462F0">
        <w:rPr>
          <w:lang w:eastAsia="fr-FR"/>
        </w:rPr>
        <w:t>%, based on expert judgment.</w:t>
      </w:r>
    </w:p>
    <w:p w14:paraId="2D3EF82E" w14:textId="6315F72D" w:rsidR="007E7C4D" w:rsidRPr="002462F0" w:rsidRDefault="007E7C4D" w:rsidP="007E7C4D">
      <w:pPr>
        <w:pStyle w:val="BodyText"/>
        <w:rPr>
          <w:lang w:eastAsia="fr-FR"/>
        </w:rPr>
      </w:pPr>
      <w:r w:rsidRPr="002462F0">
        <w:rPr>
          <w:lang w:eastAsia="fr-FR"/>
        </w:rPr>
        <w:t>Uncertainty estimate</w:t>
      </w:r>
      <w:r w:rsidR="00EB3585">
        <w:rPr>
          <w:lang w:eastAsia="fr-FR"/>
        </w:rPr>
        <w:t>s</w:t>
      </w:r>
      <w:r w:rsidRPr="002462F0">
        <w:rPr>
          <w:lang w:eastAsia="fr-FR"/>
        </w:rPr>
        <w:t xml:space="preserve"> associated </w:t>
      </w:r>
      <w:r>
        <w:rPr>
          <w:lang w:eastAsia="fr-FR"/>
        </w:rPr>
        <w:t xml:space="preserve">with </w:t>
      </w:r>
      <w:r w:rsidRPr="002462F0">
        <w:rPr>
          <w:lang w:eastAsia="fr-FR"/>
        </w:rPr>
        <w:t xml:space="preserve">emission factor </w:t>
      </w:r>
      <w:r w:rsidR="00EB3585">
        <w:rPr>
          <w:lang w:eastAsia="fr-FR"/>
        </w:rPr>
        <w:t xml:space="preserve">are </w:t>
      </w:r>
      <w:r w:rsidR="00FA7C36">
        <w:rPr>
          <w:lang w:eastAsia="fr-FR"/>
        </w:rPr>
        <w:t>7</w:t>
      </w:r>
      <w:r>
        <w:rPr>
          <w:lang w:eastAsia="fr-FR"/>
        </w:rPr>
        <w:t xml:space="preserve">0% for </w:t>
      </w:r>
      <w:r w:rsidRPr="002462F0">
        <w:rPr>
          <w:lang w:eastAsia="fr-FR"/>
        </w:rPr>
        <w:t>CO</w:t>
      </w:r>
      <w:r w:rsidRPr="002462F0">
        <w:rPr>
          <w:vertAlign w:val="subscript"/>
          <w:lang w:eastAsia="fr-FR"/>
        </w:rPr>
        <w:t>2</w:t>
      </w:r>
      <w:r w:rsidRPr="002462F0">
        <w:rPr>
          <w:lang w:eastAsia="fr-FR"/>
        </w:rPr>
        <w:t xml:space="preserve"> </w:t>
      </w:r>
      <w:r>
        <w:rPr>
          <w:lang w:eastAsia="fr-FR"/>
        </w:rPr>
        <w:t>and 100% for N</w:t>
      </w:r>
      <w:r w:rsidRPr="00BD6A2E">
        <w:rPr>
          <w:vertAlign w:val="subscript"/>
          <w:lang w:eastAsia="fr-FR"/>
        </w:rPr>
        <w:t>2</w:t>
      </w:r>
      <w:r>
        <w:rPr>
          <w:lang w:eastAsia="fr-FR"/>
        </w:rPr>
        <w:t>O, based on expert judgement</w:t>
      </w:r>
      <w:r w:rsidRPr="002462F0">
        <w:rPr>
          <w:lang w:eastAsia="fr-FR"/>
        </w:rPr>
        <w:t>.</w:t>
      </w:r>
    </w:p>
    <w:p w14:paraId="63C3BA7D" w14:textId="28F14C5E" w:rsidR="007E7C4D" w:rsidRDefault="007E7C4D" w:rsidP="007E7C4D">
      <w:pPr>
        <w:rPr>
          <w:lang w:eastAsia="fr-FR"/>
        </w:rPr>
      </w:pPr>
      <w:r>
        <w:rPr>
          <w:lang w:eastAsia="fr-FR"/>
        </w:rPr>
        <w:t>Combined uncertaint</w:t>
      </w:r>
      <w:r w:rsidR="00EB3585">
        <w:rPr>
          <w:lang w:eastAsia="fr-FR"/>
        </w:rPr>
        <w:t>ies</w:t>
      </w:r>
      <w:r>
        <w:rPr>
          <w:lang w:eastAsia="fr-FR"/>
        </w:rPr>
        <w:t xml:space="preserve"> </w:t>
      </w:r>
      <w:r w:rsidR="00EB3585">
        <w:rPr>
          <w:lang w:eastAsia="fr-FR"/>
        </w:rPr>
        <w:t xml:space="preserve">are </w:t>
      </w:r>
      <w:r w:rsidR="00FA7C36">
        <w:rPr>
          <w:lang w:eastAsia="fr-FR"/>
        </w:rPr>
        <w:t>71</w:t>
      </w:r>
      <w:r w:rsidRPr="002462F0">
        <w:rPr>
          <w:lang w:eastAsia="fr-FR"/>
        </w:rPr>
        <w:t>%</w:t>
      </w:r>
      <w:r>
        <w:rPr>
          <w:lang w:eastAsia="fr-FR"/>
        </w:rPr>
        <w:t xml:space="preserve"> for CO</w:t>
      </w:r>
      <w:r w:rsidRPr="00BD6A2E">
        <w:rPr>
          <w:vertAlign w:val="subscript"/>
          <w:lang w:eastAsia="fr-FR"/>
        </w:rPr>
        <w:t>2</w:t>
      </w:r>
      <w:r>
        <w:rPr>
          <w:lang w:eastAsia="fr-FR"/>
        </w:rPr>
        <w:t xml:space="preserve"> emissions and 100% for N</w:t>
      </w:r>
      <w:r w:rsidRPr="00BD6A2E">
        <w:rPr>
          <w:vertAlign w:val="subscript"/>
          <w:lang w:eastAsia="fr-FR"/>
        </w:rPr>
        <w:t>2</w:t>
      </w:r>
      <w:r>
        <w:rPr>
          <w:lang w:eastAsia="fr-FR"/>
        </w:rPr>
        <w:t>O emissions</w:t>
      </w:r>
      <w:r w:rsidRPr="002462F0">
        <w:rPr>
          <w:lang w:eastAsia="fr-FR"/>
        </w:rPr>
        <w:t>.</w:t>
      </w:r>
      <w:r w:rsidR="001C70DF">
        <w:rPr>
          <w:lang w:eastAsia="fr-FR"/>
        </w:rPr>
        <w:t xml:space="preserve"> The uncertainties combined in the national totals of emissions are of 0.08% and 0.007% for CO</w:t>
      </w:r>
      <w:r w:rsidR="001C70DF" w:rsidRPr="005C143B">
        <w:rPr>
          <w:vertAlign w:val="subscript"/>
          <w:lang w:eastAsia="fr-FR"/>
        </w:rPr>
        <w:t>2</w:t>
      </w:r>
      <w:r w:rsidR="001C70DF">
        <w:rPr>
          <w:lang w:eastAsia="fr-FR"/>
        </w:rPr>
        <w:t xml:space="preserve"> and N</w:t>
      </w:r>
      <w:r w:rsidR="001C70DF" w:rsidRPr="005C143B">
        <w:rPr>
          <w:vertAlign w:val="subscript"/>
          <w:lang w:eastAsia="fr-FR"/>
        </w:rPr>
        <w:t>2</w:t>
      </w:r>
      <w:r w:rsidR="001C70DF">
        <w:rPr>
          <w:lang w:eastAsia="fr-FR"/>
        </w:rPr>
        <w:t>O, respectively in 2022, in the Republic of Serbia.</w:t>
      </w:r>
    </w:p>
    <w:p w14:paraId="60F5CF3E" w14:textId="6F85314A" w:rsidR="005F3D43" w:rsidRDefault="005F3D43" w:rsidP="005F3D43">
      <w:pPr>
        <w:pStyle w:val="Heading3"/>
        <w:keepNext/>
        <w:keepLines/>
        <w:tabs>
          <w:tab w:val="clear" w:pos="142"/>
          <w:tab w:val="clear" w:pos="1134"/>
        </w:tabs>
        <w:spacing w:before="200" w:after="0" w:line="276" w:lineRule="auto"/>
        <w:jc w:val="left"/>
      </w:pPr>
      <w:bookmarkStart w:id="990" w:name="_Toc182328042"/>
      <w:bookmarkStart w:id="991" w:name="_Toc184808328"/>
      <w:r>
        <w:t>Category-specific QA/QC and verification</w:t>
      </w:r>
      <w:bookmarkEnd w:id="990"/>
      <w:bookmarkEnd w:id="991"/>
    </w:p>
    <w:p w14:paraId="6FAE7250" w14:textId="5C0AD22B" w:rsidR="0035245C" w:rsidRDefault="0035245C" w:rsidP="00622F40">
      <w:pPr>
        <w:pStyle w:val="BodyText"/>
        <w:rPr>
          <w:lang w:val="en-US" w:eastAsia="fr-FR"/>
        </w:rPr>
      </w:pPr>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511C7542" w14:textId="7BCC016E" w:rsidR="005F3D43" w:rsidRDefault="005F3D43" w:rsidP="005F3D43">
      <w:pPr>
        <w:pStyle w:val="Heading3"/>
        <w:keepNext/>
        <w:keepLines/>
        <w:tabs>
          <w:tab w:val="clear" w:pos="142"/>
          <w:tab w:val="clear" w:pos="1134"/>
        </w:tabs>
        <w:spacing w:before="200" w:after="0" w:line="276" w:lineRule="auto"/>
        <w:jc w:val="left"/>
      </w:pPr>
      <w:bookmarkStart w:id="992" w:name="_Toc182328043"/>
      <w:bookmarkStart w:id="993" w:name="_Toc184808329"/>
      <w:r>
        <w:t>Ca</w:t>
      </w:r>
      <w:r w:rsidR="00A67EC9">
        <w:t>tegory-specific recalculations</w:t>
      </w:r>
      <w:bookmarkEnd w:id="992"/>
      <w:bookmarkEnd w:id="993"/>
    </w:p>
    <w:p w14:paraId="5C205C38" w14:textId="4888259C" w:rsidR="0035245C" w:rsidRDefault="0035245C" w:rsidP="00622F40">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4BCB48DB" w14:textId="04975DAD" w:rsidR="005F3D43" w:rsidRDefault="005F3D43" w:rsidP="005F3D43">
      <w:pPr>
        <w:pStyle w:val="Heading3"/>
        <w:keepNext/>
        <w:keepLines/>
        <w:tabs>
          <w:tab w:val="clear" w:pos="142"/>
          <w:tab w:val="clear" w:pos="1134"/>
        </w:tabs>
        <w:spacing w:before="200" w:after="0" w:line="276" w:lineRule="auto"/>
        <w:jc w:val="left"/>
      </w:pPr>
      <w:bookmarkStart w:id="994" w:name="_Toc182328044"/>
      <w:bookmarkStart w:id="995" w:name="_Toc184808330"/>
      <w:r>
        <w:t>Categor</w:t>
      </w:r>
      <w:r w:rsidR="00A67EC9">
        <w:t>y-specific planned improvements</w:t>
      </w:r>
      <w:bookmarkEnd w:id="994"/>
      <w:bookmarkEnd w:id="995"/>
    </w:p>
    <w:p w14:paraId="0DF13218" w14:textId="1D05B4F9" w:rsidR="0035245C" w:rsidRDefault="001A0D3A">
      <w:pPr>
        <w:rPr>
          <w:lang w:val="en-US"/>
        </w:rPr>
      </w:pPr>
      <w:r>
        <w:rPr>
          <w:lang w:val="en-US"/>
        </w:rPr>
        <w:t>For all LULULUCF sector, land-use and land-use change areas monitoring needs to be improved, at least to include more recent CLC datasets available such as 2018 edition; and at best to revise the land-use monitoring approach for enhanced spatial precision, compatibility with forest definition, and temporal consistency.</w:t>
      </w:r>
    </w:p>
    <w:p w14:paraId="3DF16F8B" w14:textId="77777777" w:rsidR="00A67EC9" w:rsidRPr="00A67EC9" w:rsidRDefault="00A67EC9" w:rsidP="00A67EC9">
      <w:pPr>
        <w:rPr>
          <w:lang w:val="en-US"/>
        </w:rPr>
      </w:pPr>
    </w:p>
    <w:p w14:paraId="50B6D844" w14:textId="6288CAE3" w:rsidR="005F3D43" w:rsidRPr="00E5290E" w:rsidRDefault="005F3D43" w:rsidP="005F3D43">
      <w:pPr>
        <w:pStyle w:val="Heading2"/>
        <w:keepNext/>
        <w:keepLines/>
        <w:spacing w:before="200" w:after="0" w:line="276" w:lineRule="auto"/>
      </w:pPr>
      <w:bookmarkStart w:id="996" w:name="_Toc182328045"/>
      <w:bookmarkStart w:id="997" w:name="_Toc184808331"/>
      <w:r>
        <w:t>Settlements (</w:t>
      </w:r>
      <w:r w:rsidR="00FF2718">
        <w:t xml:space="preserve">CRT </w:t>
      </w:r>
      <w:r>
        <w:t>4E)</w:t>
      </w:r>
      <w:bookmarkEnd w:id="996"/>
      <w:bookmarkEnd w:id="997"/>
    </w:p>
    <w:p w14:paraId="11939953" w14:textId="77777777" w:rsidR="005F3D43" w:rsidRDefault="005F3D43" w:rsidP="005F3D43">
      <w:pPr>
        <w:pStyle w:val="Heading3"/>
        <w:keepNext/>
        <w:keepLines/>
        <w:tabs>
          <w:tab w:val="clear" w:pos="142"/>
          <w:tab w:val="clear" w:pos="1134"/>
        </w:tabs>
        <w:spacing w:before="200" w:after="0" w:line="276" w:lineRule="auto"/>
        <w:jc w:val="left"/>
      </w:pPr>
      <w:bookmarkStart w:id="998" w:name="_Toc182328046"/>
      <w:bookmarkStart w:id="999" w:name="_Toc184808332"/>
      <w:r>
        <w:t>Description</w:t>
      </w:r>
      <w:bookmarkEnd w:id="998"/>
      <w:bookmarkEnd w:id="999"/>
    </w:p>
    <w:p w14:paraId="666DB8DA" w14:textId="77777777" w:rsidR="005F3D43" w:rsidRDefault="005F3D43" w:rsidP="005F3D43">
      <w:pPr>
        <w:autoSpaceDE w:val="0"/>
        <w:autoSpaceDN w:val="0"/>
        <w:adjustRightInd w:val="0"/>
        <w:spacing w:after="120" w:line="240" w:lineRule="auto"/>
        <w:rPr>
          <w:rFonts w:cs="ArialMT"/>
        </w:rPr>
      </w:pPr>
      <w:r w:rsidRPr="004B7EA1">
        <w:rPr>
          <w:rFonts w:cs="ArialMT"/>
        </w:rPr>
        <w:t xml:space="preserve">This category comprises GHG emissions and removals arising from </w:t>
      </w:r>
      <w:r>
        <w:rPr>
          <w:rFonts w:cs="ArialMT"/>
        </w:rPr>
        <w:t>settlements</w:t>
      </w:r>
      <w:r w:rsidRPr="004B7EA1">
        <w:rPr>
          <w:rFonts w:cs="ArialMT"/>
        </w:rPr>
        <w:t>.</w:t>
      </w:r>
    </w:p>
    <w:p w14:paraId="5D72A019" w14:textId="2C5FD1A5" w:rsidR="00356E4C" w:rsidRDefault="00356E4C" w:rsidP="00356E4C">
      <w:pPr>
        <w:autoSpaceDE w:val="0"/>
        <w:autoSpaceDN w:val="0"/>
        <w:adjustRightInd w:val="0"/>
        <w:spacing w:before="120" w:after="120" w:line="240" w:lineRule="auto"/>
        <w:rPr>
          <w:rFonts w:cs="ArialMT"/>
        </w:rPr>
      </w:pPr>
      <w:r>
        <w:rPr>
          <w:rFonts w:cs="ArialMT"/>
        </w:rPr>
        <w:t>In this category, emissions and absorptions are only estimated for land conversions. No emission estimation is calculated for croplands remaining croplands and for biomass burning (4</w:t>
      </w:r>
      <w:r w:rsidR="00180D15">
        <w:rPr>
          <w:rFonts w:cs="ArialMT"/>
        </w:rPr>
        <w:t>.</w:t>
      </w:r>
      <w:r w:rsidR="00CA0A9E">
        <w:rPr>
          <w:rFonts w:cs="ArialMT"/>
        </w:rPr>
        <w:t>E</w:t>
      </w:r>
      <w:r w:rsidR="00180D15">
        <w:rPr>
          <w:rFonts w:cs="ArialMT"/>
        </w:rPr>
        <w:t>.</w:t>
      </w:r>
      <w:r>
        <w:rPr>
          <w:rFonts w:cs="ArialMT"/>
        </w:rPr>
        <w:t xml:space="preserve">1). </w:t>
      </w:r>
    </w:p>
    <w:p w14:paraId="7F3EE037" w14:textId="0B4E8DD3" w:rsidR="00356E4C" w:rsidRPr="004B7EA1" w:rsidRDefault="00356E4C" w:rsidP="00622F40">
      <w:pPr>
        <w:autoSpaceDE w:val="0"/>
        <w:autoSpaceDN w:val="0"/>
        <w:adjustRightInd w:val="0"/>
        <w:spacing w:before="120" w:after="120" w:line="240" w:lineRule="auto"/>
        <w:rPr>
          <w:rFonts w:cs="ArialMT"/>
        </w:rPr>
      </w:pPr>
      <w:r>
        <w:rPr>
          <w:rFonts w:cs="ArialMT"/>
        </w:rPr>
        <w:t>The emission evolution for lands converted to croplands (4</w:t>
      </w:r>
      <w:r w:rsidR="00180D15">
        <w:rPr>
          <w:rFonts w:cs="ArialMT"/>
        </w:rPr>
        <w:t>.</w:t>
      </w:r>
      <w:r w:rsidR="00CA0A9E">
        <w:rPr>
          <w:rFonts w:cs="ArialMT"/>
        </w:rPr>
        <w:t>E</w:t>
      </w:r>
      <w:r w:rsidR="00180D15">
        <w:rPr>
          <w:rFonts w:cs="ArialMT"/>
        </w:rPr>
        <w:t>.</w:t>
      </w:r>
      <w:r>
        <w:rPr>
          <w:rFonts w:cs="ArialMT"/>
        </w:rPr>
        <w:t xml:space="preserve">2) reflects the trend in land-use change areas. </w:t>
      </w:r>
      <w:r w:rsidR="00C87EEB">
        <w:rPr>
          <w:rFonts w:cs="ArialMT"/>
        </w:rPr>
        <w:t xml:space="preserve">The following graphs give the GHG emission trend for the estimated categories. Overall, the GHG emissions from the </w:t>
      </w:r>
      <w:r w:rsidR="00036450">
        <w:rPr>
          <w:rFonts w:cs="ArialMT"/>
        </w:rPr>
        <w:t>land-use change in settlements (</w:t>
      </w:r>
      <w:r w:rsidR="00C87EEB">
        <w:rPr>
          <w:rFonts w:cs="ArialMT"/>
        </w:rPr>
        <w:t>4E</w:t>
      </w:r>
      <w:r w:rsidR="00036450">
        <w:rPr>
          <w:rFonts w:cs="ArialMT"/>
        </w:rPr>
        <w:t xml:space="preserve">) </w:t>
      </w:r>
      <w:r w:rsidR="003101DE">
        <w:rPr>
          <w:rFonts w:cs="ArialMT"/>
        </w:rPr>
        <w:t xml:space="preserve">are rather stable </w:t>
      </w:r>
      <w:r w:rsidR="00FD2E6C">
        <w:rPr>
          <w:rFonts w:cs="ArialMT"/>
        </w:rPr>
        <w:t xml:space="preserve">from 1990 to 2000, </w:t>
      </w:r>
      <w:r w:rsidR="00340602">
        <w:rPr>
          <w:rFonts w:cs="ArialMT"/>
        </w:rPr>
        <w:t xml:space="preserve">before increasing rapidly in 2001 </w:t>
      </w:r>
      <w:r w:rsidR="006E0910">
        <w:rPr>
          <w:rFonts w:cs="ArialMT"/>
        </w:rPr>
        <w:t>(+</w:t>
      </w:r>
      <w:r w:rsidR="00CE34AF">
        <w:rPr>
          <w:rFonts w:cs="ArialMT"/>
        </w:rPr>
        <w:t>80</w:t>
      </w:r>
      <w:r w:rsidR="00CA54AE">
        <w:rPr>
          <w:rFonts w:cs="ArialMT"/>
        </w:rPr>
        <w:t xml:space="preserve">% </w:t>
      </w:r>
      <w:r w:rsidR="007C1495">
        <w:rPr>
          <w:rFonts w:cs="ArialMT"/>
        </w:rPr>
        <w:t xml:space="preserve">compared with 2000) </w:t>
      </w:r>
      <w:r w:rsidR="00340602">
        <w:rPr>
          <w:rFonts w:cs="ArialMT"/>
        </w:rPr>
        <w:t xml:space="preserve">and reaching another plateau until </w:t>
      </w:r>
      <w:r w:rsidR="006E0910">
        <w:rPr>
          <w:rFonts w:cs="ArialMT"/>
        </w:rPr>
        <w:t>200</w:t>
      </w:r>
      <w:r w:rsidR="001A5F20">
        <w:rPr>
          <w:rFonts w:cs="ArialMT"/>
        </w:rPr>
        <w:t>6. In 2007, another sudden increase</w:t>
      </w:r>
      <w:r w:rsidR="00F078E2">
        <w:rPr>
          <w:rFonts w:cs="ArialMT"/>
        </w:rPr>
        <w:t xml:space="preserve"> but smaller</w:t>
      </w:r>
      <w:r w:rsidR="001A5F20">
        <w:rPr>
          <w:rFonts w:cs="ArialMT"/>
        </w:rPr>
        <w:t xml:space="preserve"> is </w:t>
      </w:r>
      <w:r w:rsidR="00315FF0">
        <w:rPr>
          <w:rFonts w:cs="ArialMT"/>
        </w:rPr>
        <w:t xml:space="preserve">observed </w:t>
      </w:r>
      <w:r w:rsidR="0076777A">
        <w:rPr>
          <w:rFonts w:cs="ArialMT"/>
        </w:rPr>
        <w:t>(+</w:t>
      </w:r>
      <w:r w:rsidR="00F078E2">
        <w:rPr>
          <w:rFonts w:cs="ArialMT"/>
        </w:rPr>
        <w:t>12% compared with 2006), before being rather stable from 2007 to 2022, although a progressive and continuous growth in emissions is observed</w:t>
      </w:r>
      <w:r w:rsidR="00004A9B">
        <w:rPr>
          <w:rFonts w:cs="ArialMT"/>
        </w:rPr>
        <w:t xml:space="preserve">. In total, over the whole timeseries, the GHG emissions from settlements have </w:t>
      </w:r>
      <w:r w:rsidR="00AD166B">
        <w:rPr>
          <w:rFonts w:cs="ArialMT"/>
        </w:rPr>
        <w:t>slightly more than doubled (+105%).</w:t>
      </w:r>
      <w:r w:rsidR="00004A9B">
        <w:rPr>
          <w:rFonts w:cs="ArialMT"/>
        </w:rPr>
        <w:t xml:space="preserve"> </w:t>
      </w:r>
    </w:p>
    <w:p w14:paraId="57019A26" w14:textId="0A01AB68" w:rsidR="00A67EC9" w:rsidRPr="00A67EC9" w:rsidRDefault="0034100C" w:rsidP="00180D15">
      <w:pPr>
        <w:spacing w:after="0"/>
        <w:jc w:val="left"/>
      </w:pPr>
      <w:r>
        <w:rPr>
          <w:noProof/>
          <w:lang w:val="en-US"/>
        </w:rPr>
        <w:lastRenderedPageBreak/>
        <w:drawing>
          <wp:inline distT="0" distB="0" distL="0" distR="0" wp14:anchorId="3E198C26" wp14:editId="0C76F71F">
            <wp:extent cx="5760000" cy="1753712"/>
            <wp:effectExtent l="0" t="0" r="0" b="0"/>
            <wp:docPr id="874694337"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3F6F71A0" w14:textId="77777777" w:rsidR="00180D15" w:rsidRDefault="00180D15" w:rsidP="00683251">
      <w:pPr>
        <w:pStyle w:val="Caption"/>
        <w:spacing w:before="0"/>
        <w:jc w:val="left"/>
      </w:pPr>
      <w:bookmarkStart w:id="1000" w:name="_Toc184808527"/>
      <w:r w:rsidRPr="00622F40">
        <w:t xml:space="preserve">Figure </w:t>
      </w:r>
      <w:r w:rsidRPr="00622F40">
        <w:fldChar w:fldCharType="begin"/>
      </w:r>
      <w:r w:rsidRPr="00622F40">
        <w:instrText xml:space="preserve"> SEQ Figure \* ARABIC </w:instrText>
      </w:r>
      <w:r w:rsidRPr="00622F40">
        <w:fldChar w:fldCharType="separate"/>
      </w:r>
      <w:r>
        <w:rPr>
          <w:noProof/>
        </w:rPr>
        <w:t>140</w:t>
      </w:r>
      <w:r w:rsidRPr="00622F40">
        <w:fldChar w:fldCharType="end"/>
      </w:r>
      <w:r w:rsidRPr="00622F40">
        <w:t>: GHG emissions from forest land converted to settlements (</w:t>
      </w:r>
      <w:r>
        <w:t>CRT</w:t>
      </w:r>
      <w:r w:rsidRPr="00622F40">
        <w:t xml:space="preserve"> 4.E.2.1) (kt CO</w:t>
      </w:r>
      <w:r w:rsidRPr="00683251">
        <w:rPr>
          <w:vertAlign w:val="subscript"/>
        </w:rPr>
        <w:t>2e</w:t>
      </w:r>
      <w:r w:rsidRPr="00622F40">
        <w:t>)</w:t>
      </w:r>
      <w:bookmarkEnd w:id="1000"/>
    </w:p>
    <w:p w14:paraId="26E2ACE9" w14:textId="4DFA501B" w:rsidR="00A67EC9" w:rsidRDefault="005F3C59" w:rsidP="00180D15">
      <w:pPr>
        <w:pStyle w:val="Caption"/>
        <w:spacing w:before="0" w:after="0"/>
        <w:jc w:val="left"/>
      </w:pPr>
      <w:r>
        <w:rPr>
          <w:noProof/>
          <w:lang w:val="en-US"/>
        </w:rPr>
        <w:drawing>
          <wp:inline distT="0" distB="0" distL="0" distR="0" wp14:anchorId="1BD362F5" wp14:editId="798B8528">
            <wp:extent cx="5760000" cy="1753712"/>
            <wp:effectExtent l="0" t="0" r="0" b="0"/>
            <wp:docPr id="96238718"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544124D9" w14:textId="77777777" w:rsidR="00180D15" w:rsidRDefault="00180D15" w:rsidP="00683251">
      <w:pPr>
        <w:pStyle w:val="Caption"/>
        <w:spacing w:before="0"/>
        <w:jc w:val="left"/>
      </w:pPr>
      <w:bookmarkStart w:id="1001" w:name="_Toc184808528"/>
      <w:r w:rsidRPr="00622F40">
        <w:t xml:space="preserve">Figure </w:t>
      </w:r>
      <w:r w:rsidRPr="00622F40">
        <w:fldChar w:fldCharType="begin"/>
      </w:r>
      <w:r w:rsidRPr="00622F40">
        <w:instrText xml:space="preserve"> SEQ Figure \* ARABIC </w:instrText>
      </w:r>
      <w:r w:rsidRPr="00622F40">
        <w:fldChar w:fldCharType="separate"/>
      </w:r>
      <w:r>
        <w:t>141</w:t>
      </w:r>
      <w:r w:rsidRPr="00622F40">
        <w:fldChar w:fldCharType="end"/>
      </w:r>
      <w:r w:rsidRPr="00622F40">
        <w:t>: GHG emissions from cropland converted to settlements (</w:t>
      </w:r>
      <w:r>
        <w:t>CRT</w:t>
      </w:r>
      <w:r w:rsidRPr="00622F40">
        <w:t xml:space="preserve"> 4.E.2.2) (kt CO</w:t>
      </w:r>
      <w:r w:rsidRPr="00683251">
        <w:rPr>
          <w:vertAlign w:val="subscript"/>
        </w:rPr>
        <w:t>2e</w:t>
      </w:r>
      <w:r w:rsidRPr="00622F40">
        <w:t>)</w:t>
      </w:r>
      <w:bookmarkEnd w:id="1001"/>
    </w:p>
    <w:p w14:paraId="7CF8931E" w14:textId="6C19A7A0" w:rsidR="00A67EC9" w:rsidRPr="00A67EC9" w:rsidRDefault="00FE505C" w:rsidP="00180D15">
      <w:pPr>
        <w:spacing w:after="0"/>
        <w:jc w:val="left"/>
      </w:pPr>
      <w:r>
        <w:rPr>
          <w:noProof/>
          <w:lang w:val="en-US"/>
        </w:rPr>
        <w:drawing>
          <wp:inline distT="0" distB="0" distL="0" distR="0" wp14:anchorId="47EE5026" wp14:editId="12B3F541">
            <wp:extent cx="5760000" cy="1753712"/>
            <wp:effectExtent l="0" t="0" r="0" b="0"/>
            <wp:docPr id="210035825"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52ADB261" w14:textId="77777777" w:rsidR="00180D15" w:rsidRDefault="00180D15" w:rsidP="00683251">
      <w:pPr>
        <w:pStyle w:val="Caption"/>
        <w:spacing w:before="0"/>
        <w:jc w:val="left"/>
      </w:pPr>
      <w:bookmarkStart w:id="1002" w:name="_Toc184808529"/>
      <w:r w:rsidRPr="00622F40">
        <w:t xml:space="preserve">Figure </w:t>
      </w:r>
      <w:r w:rsidRPr="00622F40">
        <w:fldChar w:fldCharType="begin"/>
      </w:r>
      <w:r w:rsidRPr="00622F40">
        <w:instrText xml:space="preserve"> SEQ Figure \* ARABIC </w:instrText>
      </w:r>
      <w:r w:rsidRPr="00622F40">
        <w:fldChar w:fldCharType="separate"/>
      </w:r>
      <w:r>
        <w:rPr>
          <w:noProof/>
        </w:rPr>
        <w:t>142</w:t>
      </w:r>
      <w:r w:rsidRPr="00622F40">
        <w:fldChar w:fldCharType="end"/>
      </w:r>
      <w:r w:rsidRPr="00622F40">
        <w:t>: GHG emissions from grassland converted to settlements (</w:t>
      </w:r>
      <w:r>
        <w:t>CRT</w:t>
      </w:r>
      <w:r w:rsidRPr="00622F40">
        <w:t xml:space="preserve"> 4.E.2.3) (kt CO</w:t>
      </w:r>
      <w:r w:rsidRPr="00683251">
        <w:rPr>
          <w:vertAlign w:val="subscript"/>
        </w:rPr>
        <w:t>2e</w:t>
      </w:r>
      <w:r w:rsidRPr="00622F40">
        <w:t>)</w:t>
      </w:r>
      <w:bookmarkEnd w:id="1002"/>
    </w:p>
    <w:p w14:paraId="2AA28AA7" w14:textId="3F9C4DBF" w:rsidR="00A67EC9" w:rsidRDefault="00FF29FE" w:rsidP="00180D15">
      <w:pPr>
        <w:spacing w:after="0"/>
        <w:jc w:val="left"/>
      </w:pPr>
      <w:r>
        <w:rPr>
          <w:noProof/>
          <w:lang w:val="en-US"/>
        </w:rPr>
        <w:drawing>
          <wp:inline distT="0" distB="0" distL="0" distR="0" wp14:anchorId="709E0DF2" wp14:editId="5902EFFC">
            <wp:extent cx="5760000" cy="1753712"/>
            <wp:effectExtent l="0" t="0" r="0" b="0"/>
            <wp:docPr id="1171523815"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392910A4" w14:textId="77777777" w:rsidR="00180D15" w:rsidRDefault="00180D15" w:rsidP="00683251">
      <w:pPr>
        <w:pStyle w:val="Caption"/>
        <w:spacing w:before="0"/>
        <w:jc w:val="left"/>
      </w:pPr>
      <w:bookmarkStart w:id="1003" w:name="_Toc184808530"/>
      <w:r w:rsidRPr="00622F40">
        <w:t xml:space="preserve">Figure </w:t>
      </w:r>
      <w:r w:rsidRPr="00622F40">
        <w:fldChar w:fldCharType="begin"/>
      </w:r>
      <w:r w:rsidRPr="00622F40">
        <w:instrText xml:space="preserve"> SEQ Figure \* ARABIC </w:instrText>
      </w:r>
      <w:r w:rsidRPr="00622F40">
        <w:fldChar w:fldCharType="separate"/>
      </w:r>
      <w:r>
        <w:rPr>
          <w:noProof/>
        </w:rPr>
        <w:t>143</w:t>
      </w:r>
      <w:r w:rsidRPr="00622F40">
        <w:fldChar w:fldCharType="end"/>
      </w:r>
      <w:r w:rsidRPr="00622F40">
        <w:t>: Direct N</w:t>
      </w:r>
      <w:r w:rsidRPr="00683251">
        <w:rPr>
          <w:vertAlign w:val="subscript"/>
        </w:rPr>
        <w:t>2</w:t>
      </w:r>
      <w:r w:rsidRPr="00622F40">
        <w:t>O emissions from N mineralization/immobilization in settlements (</w:t>
      </w:r>
      <w:r>
        <w:t>CRT</w:t>
      </w:r>
      <w:r w:rsidRPr="00622F40">
        <w:t xml:space="preserve"> 4.E.2) (kt CO</w:t>
      </w:r>
      <w:r w:rsidRPr="00683251">
        <w:rPr>
          <w:vertAlign w:val="subscript"/>
        </w:rPr>
        <w:t>2e</w:t>
      </w:r>
      <w:r w:rsidRPr="00622F40">
        <w:t>)</w:t>
      </w:r>
      <w:bookmarkEnd w:id="1003"/>
    </w:p>
    <w:p w14:paraId="545AC449" w14:textId="77777777" w:rsidR="00180D15" w:rsidRPr="00A67EC9" w:rsidRDefault="00180D15" w:rsidP="00A67EC9"/>
    <w:p w14:paraId="733B9DF4" w14:textId="77777777" w:rsidR="005F3D43" w:rsidRDefault="005F3D43" w:rsidP="005F3D43">
      <w:pPr>
        <w:pStyle w:val="Heading3"/>
        <w:keepNext/>
        <w:keepLines/>
        <w:tabs>
          <w:tab w:val="clear" w:pos="142"/>
          <w:tab w:val="clear" w:pos="1134"/>
        </w:tabs>
        <w:spacing w:before="200" w:after="0" w:line="276" w:lineRule="auto"/>
        <w:jc w:val="left"/>
      </w:pPr>
      <w:bookmarkStart w:id="1004" w:name="_Toc182328047"/>
      <w:bookmarkStart w:id="1005" w:name="_Toc184808333"/>
      <w:r>
        <w:lastRenderedPageBreak/>
        <w:t>Methodological issues</w:t>
      </w:r>
      <w:bookmarkEnd w:id="1004"/>
      <w:bookmarkEnd w:id="1005"/>
      <w:r>
        <w:t xml:space="preserve"> </w:t>
      </w:r>
    </w:p>
    <w:p w14:paraId="51278F5A" w14:textId="058109A0" w:rsidR="005F3D43" w:rsidRDefault="005F3D43" w:rsidP="005F3D43">
      <w:pPr>
        <w:pStyle w:val="Heading4"/>
        <w:keepNext/>
        <w:keepLines/>
        <w:tabs>
          <w:tab w:val="clear" w:pos="993"/>
          <w:tab w:val="clear" w:pos="2127"/>
        </w:tabs>
        <w:spacing w:before="200" w:after="0" w:line="276" w:lineRule="auto"/>
        <w:jc w:val="left"/>
      </w:pPr>
      <w:bookmarkStart w:id="1006" w:name="_Toc182328048"/>
      <w:r>
        <w:t>Settlements remaining settlements (</w:t>
      </w:r>
      <w:r w:rsidR="00FF2718">
        <w:t xml:space="preserve">CRT </w:t>
      </w:r>
      <w:r>
        <w:t>4E1)</w:t>
      </w:r>
      <w:bookmarkEnd w:id="1006"/>
    </w:p>
    <w:p w14:paraId="75B35751" w14:textId="77777777" w:rsidR="005F3D43" w:rsidRPr="00A76C94" w:rsidRDefault="005F3D43" w:rsidP="005F3D43">
      <w:pPr>
        <w:pStyle w:val="Heading5"/>
        <w:spacing w:before="200" w:after="0" w:line="276" w:lineRule="auto"/>
        <w:jc w:val="left"/>
      </w:pPr>
      <w:bookmarkStart w:id="1007" w:name="_Toc182328049"/>
      <w:r w:rsidRPr="00A76C94">
        <w:t>Carbon stock changes</w:t>
      </w:r>
      <w:bookmarkEnd w:id="1007"/>
      <w:r w:rsidRPr="00A76C94">
        <w:t xml:space="preserve"> </w:t>
      </w:r>
    </w:p>
    <w:p w14:paraId="7C29C6A4" w14:textId="77777777" w:rsidR="005F3D43" w:rsidRDefault="005F3D43" w:rsidP="00AB11C1">
      <w:pPr>
        <w:pStyle w:val="ListParagraph"/>
        <w:numPr>
          <w:ilvl w:val="0"/>
          <w:numId w:val="51"/>
        </w:numPr>
        <w:spacing w:before="120" w:after="0"/>
        <w:ind w:left="714" w:hanging="357"/>
        <w:jc w:val="left"/>
      </w:pPr>
      <w:r>
        <w:t>Living biomass</w:t>
      </w:r>
    </w:p>
    <w:p w14:paraId="69B68A78" w14:textId="77777777" w:rsidR="005F3D43" w:rsidRDefault="005F3D43" w:rsidP="005F3D43">
      <w:pPr>
        <w:spacing w:before="120"/>
      </w:pPr>
      <w:r>
        <w:t xml:space="preserve">On settlement remaining settlement equilibrium is assumed for living biomass, it is reported as not estimated in the Serbian inventory. </w:t>
      </w:r>
    </w:p>
    <w:p w14:paraId="1AEB1867" w14:textId="77777777" w:rsidR="005F3D43" w:rsidRDefault="005F3D43" w:rsidP="00AB11C1">
      <w:pPr>
        <w:pStyle w:val="ListParagraph"/>
        <w:numPr>
          <w:ilvl w:val="0"/>
          <w:numId w:val="51"/>
        </w:numPr>
        <w:spacing w:after="0"/>
        <w:jc w:val="left"/>
      </w:pPr>
      <w:r>
        <w:t>Dead organic matter (dead wood, litter)</w:t>
      </w:r>
    </w:p>
    <w:p w14:paraId="4813F618" w14:textId="77777777" w:rsidR="005F3D43" w:rsidRDefault="005F3D43" w:rsidP="005F3D43">
      <w:pPr>
        <w:spacing w:before="120"/>
      </w:pPr>
      <w:r>
        <w:t xml:space="preserve">On settlement remaining settlement equilibrium is assumed for dead organic matter, it is reported as not estimated in the Serbian inventory. </w:t>
      </w:r>
    </w:p>
    <w:p w14:paraId="40D4C5EB" w14:textId="77777777" w:rsidR="005F3D43" w:rsidRDefault="005F3D43" w:rsidP="00AB11C1">
      <w:pPr>
        <w:pStyle w:val="ListParagraph"/>
        <w:numPr>
          <w:ilvl w:val="0"/>
          <w:numId w:val="51"/>
        </w:numPr>
        <w:spacing w:after="0"/>
        <w:jc w:val="left"/>
      </w:pPr>
      <w:r>
        <w:t>Soils (mineral and organic soils)</w:t>
      </w:r>
    </w:p>
    <w:p w14:paraId="3DB9A1FC" w14:textId="77777777" w:rsidR="005F3D43" w:rsidRDefault="005F3D43" w:rsidP="005F3D43">
      <w:pPr>
        <w:spacing w:before="120"/>
      </w:pPr>
      <w:r>
        <w:t xml:space="preserve">On settlement remaining settlement equilibrium is assumed for mineral soils, it is reported as not estimated in the Serbian inventory. </w:t>
      </w:r>
    </w:p>
    <w:p w14:paraId="158823AE" w14:textId="77777777" w:rsidR="005F3D43" w:rsidRDefault="005F3D43" w:rsidP="005F3D43">
      <w:pPr>
        <w:pStyle w:val="Heading5"/>
        <w:spacing w:before="200" w:after="0" w:line="276" w:lineRule="auto"/>
        <w:jc w:val="left"/>
      </w:pPr>
      <w:bookmarkStart w:id="1008" w:name="_Toc182328050"/>
      <w:r w:rsidRPr="00A76C94">
        <w:t>Direct N</w:t>
      </w:r>
      <w:r w:rsidRPr="00622F40">
        <w:rPr>
          <w:vertAlign w:val="subscript"/>
        </w:rPr>
        <w:t>2</w:t>
      </w:r>
      <w:r w:rsidRPr="00A76C94">
        <w:t>O Emissions from N Inputs to Managed Soils</w:t>
      </w:r>
      <w:bookmarkEnd w:id="1008"/>
    </w:p>
    <w:p w14:paraId="22CD899A" w14:textId="77777777" w:rsidR="005F3D43" w:rsidRPr="00F054D7" w:rsidRDefault="005F3D43" w:rsidP="005F3D43">
      <w:pPr>
        <w:spacing w:before="120"/>
      </w:pPr>
      <w:r>
        <w:t>It is assumed that no other land but agricultural land is fertilized in Serbia, thus direct N</w:t>
      </w:r>
      <w:r w:rsidRPr="00622F40">
        <w:rPr>
          <w:vertAlign w:val="subscript"/>
        </w:rPr>
        <w:t>2</w:t>
      </w:r>
      <w:r>
        <w:t>O emissions are reported as not occurring.</w:t>
      </w:r>
    </w:p>
    <w:p w14:paraId="4224A60C" w14:textId="77777777" w:rsidR="005F3D43" w:rsidRDefault="005F3D43" w:rsidP="005F3D43">
      <w:pPr>
        <w:pStyle w:val="Heading5"/>
        <w:spacing w:before="200" w:after="0" w:line="276" w:lineRule="auto"/>
        <w:jc w:val="left"/>
      </w:pPr>
      <w:bookmarkStart w:id="1009" w:name="_Toc182328051"/>
      <w:r w:rsidRPr="00A76C94">
        <w:t>Emissions and removals from drainage and rewetting and other management of organic and mineral soils</w:t>
      </w:r>
      <w:bookmarkEnd w:id="1009"/>
    </w:p>
    <w:p w14:paraId="1302F0AE" w14:textId="77777777" w:rsidR="005F3D43" w:rsidRPr="00F054D7" w:rsidRDefault="005F3D43" w:rsidP="005F3D43">
      <w:pPr>
        <w:spacing w:before="120"/>
      </w:pPr>
      <w:r>
        <w:t>Drainage and rewetting of organic and mineral soils are assumed to be not occurring in Serbia, thus related emissions and removals are reported as not occurring.</w:t>
      </w:r>
    </w:p>
    <w:p w14:paraId="72D80046" w14:textId="77777777" w:rsidR="005F3D43" w:rsidRDefault="005F3D43" w:rsidP="005F3D43">
      <w:pPr>
        <w:pStyle w:val="Heading5"/>
        <w:spacing w:before="200" w:after="0" w:line="276" w:lineRule="auto"/>
        <w:jc w:val="left"/>
      </w:pPr>
      <w:bookmarkStart w:id="1010" w:name="_Toc182328052"/>
      <w:r w:rsidRPr="00A76C94">
        <w:t>Direct N</w:t>
      </w:r>
      <w:r w:rsidRPr="00622F40">
        <w:rPr>
          <w:vertAlign w:val="subscript"/>
        </w:rPr>
        <w:t>2</w:t>
      </w:r>
      <w:r w:rsidRPr="00A76C94">
        <w:t>O Emissions from N Mineralization/Immobilization</w:t>
      </w:r>
      <w:bookmarkEnd w:id="1010"/>
    </w:p>
    <w:p w14:paraId="638F7F0E" w14:textId="77777777" w:rsidR="005F3D43" w:rsidRPr="00B15266" w:rsidRDefault="005F3D43" w:rsidP="005F3D43">
      <w:pPr>
        <w:spacing w:before="120"/>
      </w:pPr>
      <w:r>
        <w:t>No carbon losses are estimated from soils, thus d</w:t>
      </w:r>
      <w:r w:rsidRPr="0095681F">
        <w:t>irect N</w:t>
      </w:r>
      <w:r w:rsidRPr="00622F40">
        <w:rPr>
          <w:vertAlign w:val="subscript"/>
        </w:rPr>
        <w:t>2</w:t>
      </w:r>
      <w:r w:rsidRPr="0095681F">
        <w:t xml:space="preserve">O </w:t>
      </w:r>
      <w:r>
        <w:t xml:space="preserve">Emissions from N Mineralization are reported as not occurring for settlements remaining settlements. </w:t>
      </w:r>
    </w:p>
    <w:p w14:paraId="130A1F38" w14:textId="77777777" w:rsidR="005F3D43" w:rsidRDefault="005F3D43" w:rsidP="005F3D43">
      <w:pPr>
        <w:pStyle w:val="Heading5"/>
        <w:spacing w:before="200" w:after="0" w:line="276" w:lineRule="auto"/>
        <w:jc w:val="left"/>
      </w:pPr>
      <w:bookmarkStart w:id="1011" w:name="_Toc182328053"/>
      <w:r w:rsidRPr="00A76C94">
        <w:t>Indirect N</w:t>
      </w:r>
      <w:r w:rsidRPr="00622F40">
        <w:rPr>
          <w:vertAlign w:val="subscript"/>
        </w:rPr>
        <w:t>2</w:t>
      </w:r>
      <w:r w:rsidRPr="00A76C94">
        <w:t>O Emissions from Managed Soils</w:t>
      </w:r>
      <w:bookmarkEnd w:id="1011"/>
    </w:p>
    <w:p w14:paraId="065C66BD" w14:textId="77777777" w:rsidR="005F3D43" w:rsidRPr="00881B25" w:rsidRDefault="005F3D43" w:rsidP="005F3D43">
      <w:r>
        <w:t>No direct N</w:t>
      </w:r>
      <w:r w:rsidRPr="00622F40">
        <w:rPr>
          <w:vertAlign w:val="subscript"/>
        </w:rPr>
        <w:t>2</w:t>
      </w:r>
      <w:r>
        <w:t>O emissions are estimated on these areas, thus indirect N</w:t>
      </w:r>
      <w:r w:rsidRPr="00622F40">
        <w:rPr>
          <w:vertAlign w:val="subscript"/>
        </w:rPr>
        <w:t>2</w:t>
      </w:r>
      <w:r>
        <w:t>O emissions from soils are also assumed as not occurring.</w:t>
      </w:r>
    </w:p>
    <w:p w14:paraId="21DE0766" w14:textId="77777777" w:rsidR="005F3D43" w:rsidRDefault="005F3D43" w:rsidP="005F3D43">
      <w:pPr>
        <w:pStyle w:val="Heading5"/>
        <w:spacing w:before="200" w:after="0" w:line="276" w:lineRule="auto"/>
        <w:jc w:val="left"/>
      </w:pPr>
      <w:bookmarkStart w:id="1012" w:name="_Toc182328054"/>
      <w:r w:rsidRPr="00A76C94">
        <w:t>Biomass Burning</w:t>
      </w:r>
      <w:bookmarkEnd w:id="1012"/>
    </w:p>
    <w:p w14:paraId="5DCEAA5F" w14:textId="77777777" w:rsidR="005F3D43" w:rsidRPr="00DC3EF3" w:rsidRDefault="005F3D43" w:rsidP="005F3D43">
      <w:pPr>
        <w:spacing w:before="120"/>
      </w:pPr>
      <w:r>
        <w:t xml:space="preserve">It is assumed that no biomass burning is occurring on this type of land. </w:t>
      </w:r>
    </w:p>
    <w:p w14:paraId="5C6AE1F1" w14:textId="36FA0588" w:rsidR="005F3D43" w:rsidRPr="00A76C94" w:rsidRDefault="005F3D43" w:rsidP="005F3D43">
      <w:pPr>
        <w:pStyle w:val="Heading4"/>
        <w:keepNext/>
        <w:keepLines/>
        <w:tabs>
          <w:tab w:val="clear" w:pos="993"/>
          <w:tab w:val="clear" w:pos="2127"/>
        </w:tabs>
        <w:spacing w:before="200" w:after="0" w:line="276" w:lineRule="auto"/>
        <w:jc w:val="left"/>
      </w:pPr>
      <w:bookmarkStart w:id="1013" w:name="_Toc182328055"/>
      <w:r>
        <w:t>Land converted to settlements (</w:t>
      </w:r>
      <w:r w:rsidR="00FF2718">
        <w:t xml:space="preserve">CRT </w:t>
      </w:r>
      <w:r>
        <w:t>4E2)</w:t>
      </w:r>
      <w:bookmarkEnd w:id="1013"/>
    </w:p>
    <w:p w14:paraId="0B6AB5D1" w14:textId="77777777" w:rsidR="005F3D43" w:rsidRPr="00A76C94" w:rsidRDefault="005F3D43" w:rsidP="005F3D43">
      <w:pPr>
        <w:pStyle w:val="Heading5"/>
        <w:spacing w:before="200" w:after="0" w:line="276" w:lineRule="auto"/>
        <w:jc w:val="left"/>
      </w:pPr>
      <w:bookmarkStart w:id="1014" w:name="_Toc182328056"/>
      <w:r w:rsidRPr="00A76C94">
        <w:t>Carbon stock changes</w:t>
      </w:r>
      <w:bookmarkEnd w:id="1014"/>
      <w:r w:rsidRPr="00A76C94">
        <w:t xml:space="preserve"> </w:t>
      </w:r>
    </w:p>
    <w:p w14:paraId="17CDCF8C" w14:textId="77777777" w:rsidR="005F3D43" w:rsidRDefault="005F3D43" w:rsidP="00AB11C1">
      <w:pPr>
        <w:pStyle w:val="ListParagraph"/>
        <w:numPr>
          <w:ilvl w:val="0"/>
          <w:numId w:val="51"/>
        </w:numPr>
        <w:spacing w:before="120" w:after="120"/>
        <w:jc w:val="left"/>
      </w:pPr>
      <w:r>
        <w:t>Living biomass</w:t>
      </w:r>
    </w:p>
    <w:p w14:paraId="4D9FDF50" w14:textId="77777777" w:rsidR="005F3D43" w:rsidRDefault="005F3D43" w:rsidP="005F3D43">
      <w:pPr>
        <w:spacing w:before="120" w:after="120"/>
      </w:pPr>
      <w:r>
        <w:t>Fluxes on living biomass are estimated thanks to a stock-difference method and default carbon stocks from IPCC guidelines.</w:t>
      </w:r>
    </w:p>
    <w:p w14:paraId="0946D569" w14:textId="77777777" w:rsidR="005F3D43" w:rsidRDefault="005F3D43" w:rsidP="00AB11C1">
      <w:pPr>
        <w:pStyle w:val="ListParagraph"/>
        <w:numPr>
          <w:ilvl w:val="0"/>
          <w:numId w:val="51"/>
        </w:numPr>
        <w:spacing w:before="120" w:after="120"/>
        <w:jc w:val="left"/>
      </w:pPr>
      <w:r>
        <w:t>Dead organic matter (dead wood, litter)</w:t>
      </w:r>
    </w:p>
    <w:p w14:paraId="7D75CC59" w14:textId="77777777" w:rsidR="005F3D43" w:rsidRDefault="005F3D43" w:rsidP="005F3D43">
      <w:pPr>
        <w:spacing w:before="120" w:after="120"/>
      </w:pPr>
      <w:r>
        <w:t xml:space="preserve">Emissions on land converted to settlements are estimated for forest converted to settlements. IPCC guidelines do not provide default value for deadwood but a value of 16tC/ha (Table 2.2) for litter. All emissions reported under land converted to settlements for dead organic matters are related to litter. </w:t>
      </w:r>
    </w:p>
    <w:p w14:paraId="2B2D5CCF" w14:textId="77777777" w:rsidR="005F3D43" w:rsidRDefault="005F3D43" w:rsidP="00AB11C1">
      <w:pPr>
        <w:pStyle w:val="ListParagraph"/>
        <w:numPr>
          <w:ilvl w:val="0"/>
          <w:numId w:val="51"/>
        </w:numPr>
        <w:spacing w:after="0"/>
        <w:jc w:val="left"/>
      </w:pPr>
      <w:r>
        <w:lastRenderedPageBreak/>
        <w:t>Soils (mineral and organic soils)</w:t>
      </w:r>
    </w:p>
    <w:p w14:paraId="064E2906" w14:textId="6A5F7991" w:rsidR="005F3D43" w:rsidRDefault="005F3D43" w:rsidP="005F3D43">
      <w:pPr>
        <w:spacing w:before="120" w:after="120"/>
      </w:pPr>
      <w:r>
        <w:t>It is assumed that</w:t>
      </w:r>
      <w:r w:rsidR="002A4066">
        <w:t>,</w:t>
      </w:r>
      <w:r>
        <w:t xml:space="preserve"> in </w:t>
      </w:r>
      <w:r w:rsidR="002A4066">
        <w:t xml:space="preserve">the Republic of </w:t>
      </w:r>
      <w:r>
        <w:t>Serbia</w:t>
      </w:r>
      <w:r w:rsidR="002A4066">
        <w:t>,</w:t>
      </w:r>
      <w:r>
        <w:t xml:space="preserve"> no organic soil exist</w:t>
      </w:r>
      <w:r w:rsidR="002A4066">
        <w:t>s</w:t>
      </w:r>
      <w:r>
        <w:t xml:space="preserve"> in settlements. </w:t>
      </w:r>
    </w:p>
    <w:p w14:paraId="7F888B04" w14:textId="77777777" w:rsidR="005F3D43" w:rsidRDefault="005F3D43" w:rsidP="005F3D43">
      <w:pPr>
        <w:spacing w:before="120" w:after="120"/>
      </w:pPr>
      <w:r>
        <w:t>Fluxes on mineral soils are estimated thanks to a stock-difference method.</w:t>
      </w:r>
    </w:p>
    <w:p w14:paraId="344A0F5E" w14:textId="77777777" w:rsidR="005F3D43" w:rsidRDefault="005F3D43" w:rsidP="005F3D43">
      <w:pPr>
        <w:pStyle w:val="Heading5"/>
        <w:spacing w:before="200" w:after="0" w:line="276" w:lineRule="auto"/>
        <w:jc w:val="left"/>
      </w:pPr>
      <w:bookmarkStart w:id="1015" w:name="_Toc182328057"/>
      <w:r w:rsidRPr="00A76C94">
        <w:t>Direct N</w:t>
      </w:r>
      <w:r w:rsidRPr="00622F40">
        <w:rPr>
          <w:vertAlign w:val="subscript"/>
        </w:rPr>
        <w:t>2</w:t>
      </w:r>
      <w:r w:rsidRPr="00A76C94">
        <w:t>O Emissions from N Inputs to Managed Soils</w:t>
      </w:r>
      <w:bookmarkEnd w:id="1015"/>
    </w:p>
    <w:p w14:paraId="183C46D1" w14:textId="77777777" w:rsidR="005F3D43" w:rsidRPr="00F054D7" w:rsidRDefault="005F3D43" w:rsidP="005F3D43">
      <w:pPr>
        <w:spacing w:before="120"/>
      </w:pPr>
      <w:r>
        <w:t>It is assumed that no other land but agricultural land is fertilized in Serbia, thus direct N</w:t>
      </w:r>
      <w:r w:rsidRPr="00622F40">
        <w:rPr>
          <w:vertAlign w:val="subscript"/>
        </w:rPr>
        <w:t>2</w:t>
      </w:r>
      <w:r>
        <w:t>O emissions are reported as not occurring.</w:t>
      </w:r>
    </w:p>
    <w:p w14:paraId="5B758635" w14:textId="77777777" w:rsidR="005F3D43" w:rsidRDefault="005F3D43" w:rsidP="005F3D43">
      <w:pPr>
        <w:pStyle w:val="Heading5"/>
        <w:spacing w:before="200" w:after="0" w:line="276" w:lineRule="auto"/>
        <w:jc w:val="left"/>
      </w:pPr>
      <w:bookmarkStart w:id="1016" w:name="_Toc182328058"/>
      <w:r w:rsidRPr="00A76C94">
        <w:t>Emissions and removals from drainage and rewetting and other management of organic and mineral soils</w:t>
      </w:r>
      <w:bookmarkEnd w:id="1016"/>
    </w:p>
    <w:p w14:paraId="46AA87A1" w14:textId="77777777" w:rsidR="005F3D43" w:rsidRPr="00F054D7" w:rsidRDefault="005F3D43" w:rsidP="005F3D43">
      <w:pPr>
        <w:spacing w:before="120"/>
      </w:pPr>
      <w:r>
        <w:t>Drainage and rewetting of organic and mineral soils are assumed to be not occurring in Serbia, thus related emissions and removals are reported as not occurring.</w:t>
      </w:r>
    </w:p>
    <w:p w14:paraId="1722064E" w14:textId="77777777" w:rsidR="005F3D43" w:rsidRDefault="005F3D43" w:rsidP="005F3D43">
      <w:pPr>
        <w:pStyle w:val="Heading5"/>
        <w:spacing w:before="200" w:after="0" w:line="276" w:lineRule="auto"/>
        <w:jc w:val="left"/>
      </w:pPr>
      <w:bookmarkStart w:id="1017" w:name="_Toc182328059"/>
      <w:r w:rsidRPr="00A76C94">
        <w:t>Direct N</w:t>
      </w:r>
      <w:r w:rsidRPr="00622F40">
        <w:rPr>
          <w:vertAlign w:val="subscript"/>
        </w:rPr>
        <w:t>2</w:t>
      </w:r>
      <w:r w:rsidRPr="00A76C94">
        <w:t>O Emissions from N Mineralization/Immobilization</w:t>
      </w:r>
      <w:bookmarkEnd w:id="1017"/>
    </w:p>
    <w:p w14:paraId="0F589782" w14:textId="77777777" w:rsidR="005F3D43" w:rsidRPr="00B15266" w:rsidRDefault="005F3D43" w:rsidP="005F3D43">
      <w:pPr>
        <w:spacing w:before="120"/>
      </w:pPr>
      <w:r>
        <w:t>Carbon losses are estimated from mineral soils, thus d</w:t>
      </w:r>
      <w:r w:rsidRPr="0095681F">
        <w:t>irect N</w:t>
      </w:r>
      <w:r w:rsidRPr="00622F40">
        <w:rPr>
          <w:vertAlign w:val="subscript"/>
        </w:rPr>
        <w:t>2</w:t>
      </w:r>
      <w:r w:rsidRPr="0095681F">
        <w:t xml:space="preserve">O </w:t>
      </w:r>
      <w:r>
        <w:t>Emissions from N Mineralization are estimated in accordance with IPCC 2006 guidelines for land converted to settlements.</w:t>
      </w:r>
    </w:p>
    <w:p w14:paraId="54B92068" w14:textId="77777777" w:rsidR="005F3D43" w:rsidRDefault="005F3D43" w:rsidP="005F3D43">
      <w:pPr>
        <w:pStyle w:val="Heading5"/>
        <w:spacing w:before="200" w:after="0" w:line="276" w:lineRule="auto"/>
        <w:jc w:val="left"/>
      </w:pPr>
      <w:bookmarkStart w:id="1018" w:name="_Toc182328060"/>
      <w:r w:rsidRPr="00A76C94">
        <w:t>Indirect N</w:t>
      </w:r>
      <w:r w:rsidRPr="00622F40">
        <w:rPr>
          <w:vertAlign w:val="subscript"/>
        </w:rPr>
        <w:t>2</w:t>
      </w:r>
      <w:r w:rsidRPr="00A76C94">
        <w:t>O Emissions from Managed Soils</w:t>
      </w:r>
      <w:bookmarkEnd w:id="1018"/>
    </w:p>
    <w:p w14:paraId="5D1D08E0" w14:textId="77777777" w:rsidR="005F3D43" w:rsidRPr="00881B25" w:rsidRDefault="005F3D43" w:rsidP="005F3D43">
      <w:r>
        <w:t>Indirect N</w:t>
      </w:r>
      <w:r w:rsidRPr="00622F40">
        <w:rPr>
          <w:vertAlign w:val="subscript"/>
        </w:rPr>
        <w:t>2</w:t>
      </w:r>
      <w:r>
        <w:t>O emissions from soils are currently not estimated in the Serbian inventory.</w:t>
      </w:r>
    </w:p>
    <w:p w14:paraId="3DEA6413" w14:textId="77777777" w:rsidR="005F3D43" w:rsidRDefault="005F3D43" w:rsidP="005F3D43">
      <w:pPr>
        <w:pStyle w:val="Heading5"/>
        <w:spacing w:before="200" w:after="0" w:line="276" w:lineRule="auto"/>
        <w:jc w:val="left"/>
      </w:pPr>
      <w:bookmarkStart w:id="1019" w:name="_Toc182328061"/>
      <w:r w:rsidRPr="00A76C94">
        <w:t>Biomass Burning</w:t>
      </w:r>
      <w:bookmarkEnd w:id="1019"/>
    </w:p>
    <w:p w14:paraId="640DF98D" w14:textId="77777777" w:rsidR="005F3D43" w:rsidRPr="0038438D" w:rsidRDefault="005F3D43" w:rsidP="005F3D43">
      <w:pPr>
        <w:spacing w:before="120"/>
      </w:pPr>
      <w:r>
        <w:t xml:space="preserve">It is assumed that no biomass burning is occurring on this type of land. </w:t>
      </w:r>
    </w:p>
    <w:p w14:paraId="072B8F76" w14:textId="365198BC" w:rsidR="005F3D43" w:rsidRDefault="005F3D43" w:rsidP="005F3D43">
      <w:pPr>
        <w:pStyle w:val="Heading3"/>
        <w:keepNext/>
        <w:keepLines/>
        <w:tabs>
          <w:tab w:val="clear" w:pos="142"/>
          <w:tab w:val="clear" w:pos="1134"/>
        </w:tabs>
        <w:spacing w:before="200" w:after="0" w:line="276" w:lineRule="auto"/>
        <w:jc w:val="left"/>
      </w:pPr>
      <w:bookmarkStart w:id="1020" w:name="_Toc182328062"/>
      <w:bookmarkStart w:id="1021" w:name="_Toc184808334"/>
      <w:r>
        <w:t>Uncertainties and time-series consistency</w:t>
      </w:r>
      <w:bookmarkEnd w:id="1020"/>
      <w:bookmarkEnd w:id="1021"/>
    </w:p>
    <w:p w14:paraId="57CDAD4A" w14:textId="77777777" w:rsidR="00FA7C36" w:rsidRPr="002462F0" w:rsidRDefault="00FA7C36" w:rsidP="00FA7C36">
      <w:pPr>
        <w:pStyle w:val="BodyText"/>
        <w:rPr>
          <w:lang w:eastAsia="fr-FR"/>
        </w:rPr>
      </w:pPr>
      <w:r w:rsidRPr="002462F0">
        <w:rPr>
          <w:lang w:eastAsia="fr-FR"/>
        </w:rPr>
        <w:t xml:space="preserve">Uncertainty estimate associated with activity data amounts to </w:t>
      </w:r>
      <w:r>
        <w:rPr>
          <w:lang w:eastAsia="fr-FR"/>
        </w:rPr>
        <w:t>10</w:t>
      </w:r>
      <w:r w:rsidRPr="002462F0">
        <w:rPr>
          <w:lang w:eastAsia="fr-FR"/>
        </w:rPr>
        <w:t>%, based on expert judgment.</w:t>
      </w:r>
    </w:p>
    <w:p w14:paraId="087DD15E" w14:textId="6BC7A011" w:rsidR="00FA7C36" w:rsidRPr="002462F0" w:rsidRDefault="00FA7C36" w:rsidP="00FA7C36">
      <w:pPr>
        <w:pStyle w:val="BodyText"/>
        <w:rPr>
          <w:lang w:eastAsia="fr-FR"/>
        </w:rPr>
      </w:pPr>
      <w:r w:rsidRPr="002462F0">
        <w:rPr>
          <w:lang w:eastAsia="fr-FR"/>
        </w:rPr>
        <w:t>Uncertainty estimate</w:t>
      </w:r>
      <w:r w:rsidR="00EB3585">
        <w:rPr>
          <w:lang w:eastAsia="fr-FR"/>
        </w:rPr>
        <w:t>s</w:t>
      </w:r>
      <w:r w:rsidRPr="002462F0">
        <w:rPr>
          <w:lang w:eastAsia="fr-FR"/>
        </w:rPr>
        <w:t xml:space="preserve"> associated </w:t>
      </w:r>
      <w:r>
        <w:rPr>
          <w:lang w:eastAsia="fr-FR"/>
        </w:rPr>
        <w:t xml:space="preserve">with </w:t>
      </w:r>
      <w:r w:rsidRPr="002462F0">
        <w:rPr>
          <w:lang w:eastAsia="fr-FR"/>
        </w:rPr>
        <w:t xml:space="preserve">emission factor </w:t>
      </w:r>
      <w:r w:rsidR="00EB3585">
        <w:rPr>
          <w:lang w:eastAsia="fr-FR"/>
        </w:rPr>
        <w:t xml:space="preserve">are </w:t>
      </w:r>
      <w:r>
        <w:rPr>
          <w:lang w:eastAsia="fr-FR"/>
        </w:rPr>
        <w:t xml:space="preserve">30% for </w:t>
      </w:r>
      <w:r w:rsidRPr="002462F0">
        <w:rPr>
          <w:lang w:eastAsia="fr-FR"/>
        </w:rPr>
        <w:t>CO</w:t>
      </w:r>
      <w:r w:rsidRPr="002462F0">
        <w:rPr>
          <w:vertAlign w:val="subscript"/>
          <w:lang w:eastAsia="fr-FR"/>
        </w:rPr>
        <w:t>2</w:t>
      </w:r>
      <w:r w:rsidRPr="002462F0">
        <w:rPr>
          <w:lang w:eastAsia="fr-FR"/>
        </w:rPr>
        <w:t xml:space="preserve"> </w:t>
      </w:r>
      <w:r>
        <w:rPr>
          <w:lang w:eastAsia="fr-FR"/>
        </w:rPr>
        <w:t>and 100% for N</w:t>
      </w:r>
      <w:r w:rsidRPr="00BD6A2E">
        <w:rPr>
          <w:vertAlign w:val="subscript"/>
          <w:lang w:eastAsia="fr-FR"/>
        </w:rPr>
        <w:t>2</w:t>
      </w:r>
      <w:r>
        <w:rPr>
          <w:lang w:eastAsia="fr-FR"/>
        </w:rPr>
        <w:t>O, based on expert judgement</w:t>
      </w:r>
      <w:r w:rsidRPr="002462F0">
        <w:rPr>
          <w:lang w:eastAsia="fr-FR"/>
        </w:rPr>
        <w:t>.</w:t>
      </w:r>
    </w:p>
    <w:p w14:paraId="735D2302" w14:textId="1C4C7AAE" w:rsidR="00FA7C36" w:rsidRDefault="00FA7C36" w:rsidP="00FA7C36">
      <w:pPr>
        <w:rPr>
          <w:lang w:eastAsia="fr-FR"/>
        </w:rPr>
      </w:pPr>
      <w:r>
        <w:rPr>
          <w:lang w:eastAsia="fr-FR"/>
        </w:rPr>
        <w:t>Combined uncertaint</w:t>
      </w:r>
      <w:r w:rsidR="00EB3585">
        <w:rPr>
          <w:lang w:eastAsia="fr-FR"/>
        </w:rPr>
        <w:t>ies</w:t>
      </w:r>
      <w:r>
        <w:rPr>
          <w:lang w:eastAsia="fr-FR"/>
        </w:rPr>
        <w:t xml:space="preserve"> </w:t>
      </w:r>
      <w:r w:rsidR="00EB3585">
        <w:rPr>
          <w:lang w:eastAsia="fr-FR"/>
        </w:rPr>
        <w:t xml:space="preserve">are </w:t>
      </w:r>
      <w:r>
        <w:rPr>
          <w:lang w:eastAsia="fr-FR"/>
        </w:rPr>
        <w:t>32</w:t>
      </w:r>
      <w:r w:rsidRPr="002462F0">
        <w:rPr>
          <w:lang w:eastAsia="fr-FR"/>
        </w:rPr>
        <w:t>%</w:t>
      </w:r>
      <w:r>
        <w:rPr>
          <w:lang w:eastAsia="fr-FR"/>
        </w:rPr>
        <w:t xml:space="preserve"> for CO</w:t>
      </w:r>
      <w:r w:rsidRPr="00BD6A2E">
        <w:rPr>
          <w:vertAlign w:val="subscript"/>
          <w:lang w:eastAsia="fr-FR"/>
        </w:rPr>
        <w:t>2</w:t>
      </w:r>
      <w:r>
        <w:rPr>
          <w:lang w:eastAsia="fr-FR"/>
        </w:rPr>
        <w:t xml:space="preserve"> emissions and 100% for N</w:t>
      </w:r>
      <w:r w:rsidRPr="00BD6A2E">
        <w:rPr>
          <w:vertAlign w:val="subscript"/>
          <w:lang w:eastAsia="fr-FR"/>
        </w:rPr>
        <w:t>2</w:t>
      </w:r>
      <w:r>
        <w:rPr>
          <w:lang w:eastAsia="fr-FR"/>
        </w:rPr>
        <w:t>O emissions</w:t>
      </w:r>
      <w:r w:rsidRPr="002462F0">
        <w:rPr>
          <w:lang w:eastAsia="fr-FR"/>
        </w:rPr>
        <w:t>.</w:t>
      </w:r>
      <w:r w:rsidR="008358A5">
        <w:rPr>
          <w:lang w:eastAsia="fr-FR"/>
        </w:rPr>
        <w:t xml:space="preserve"> The uncertainties combined in the national totals of emissions are of 0.</w:t>
      </w:r>
      <w:r w:rsidR="00595263">
        <w:rPr>
          <w:lang w:eastAsia="fr-FR"/>
        </w:rPr>
        <w:t>08</w:t>
      </w:r>
      <w:r w:rsidR="008358A5">
        <w:rPr>
          <w:lang w:eastAsia="fr-FR"/>
        </w:rPr>
        <w:t>%</w:t>
      </w:r>
      <w:r w:rsidR="00595263">
        <w:rPr>
          <w:lang w:eastAsia="fr-FR"/>
        </w:rPr>
        <w:t xml:space="preserve"> and 0.005% for CO</w:t>
      </w:r>
      <w:r w:rsidR="00595263" w:rsidRPr="00622F40">
        <w:rPr>
          <w:vertAlign w:val="subscript"/>
          <w:lang w:eastAsia="fr-FR"/>
        </w:rPr>
        <w:t>2</w:t>
      </w:r>
      <w:r w:rsidR="00595263">
        <w:rPr>
          <w:lang w:eastAsia="fr-FR"/>
        </w:rPr>
        <w:t xml:space="preserve"> and N</w:t>
      </w:r>
      <w:r w:rsidR="00595263" w:rsidRPr="00622F40">
        <w:rPr>
          <w:vertAlign w:val="subscript"/>
          <w:lang w:eastAsia="fr-FR"/>
        </w:rPr>
        <w:t>2</w:t>
      </w:r>
      <w:r w:rsidR="00595263">
        <w:rPr>
          <w:lang w:eastAsia="fr-FR"/>
        </w:rPr>
        <w:t>O, respectively</w:t>
      </w:r>
      <w:r w:rsidR="008358A5">
        <w:rPr>
          <w:lang w:eastAsia="fr-FR"/>
        </w:rPr>
        <w:t xml:space="preserve"> in 2022, in the Republic of Serbia.</w:t>
      </w:r>
    </w:p>
    <w:p w14:paraId="2D2B514C" w14:textId="5F4D8731" w:rsidR="005F3D43" w:rsidRDefault="005F3D43" w:rsidP="005F3D43">
      <w:pPr>
        <w:pStyle w:val="Heading3"/>
        <w:keepNext/>
        <w:keepLines/>
        <w:tabs>
          <w:tab w:val="clear" w:pos="142"/>
          <w:tab w:val="clear" w:pos="1134"/>
        </w:tabs>
        <w:spacing w:before="200" w:after="0" w:line="276" w:lineRule="auto"/>
        <w:jc w:val="left"/>
      </w:pPr>
      <w:bookmarkStart w:id="1022" w:name="_Toc182328063"/>
      <w:bookmarkStart w:id="1023" w:name="_Toc184808335"/>
      <w:r>
        <w:t>Category-spec</w:t>
      </w:r>
      <w:r w:rsidR="00A67EC9">
        <w:t>ific QA/QC and verification</w:t>
      </w:r>
      <w:bookmarkEnd w:id="1022"/>
      <w:bookmarkEnd w:id="1023"/>
    </w:p>
    <w:p w14:paraId="2101255D" w14:textId="31657D57" w:rsidR="0035245C" w:rsidRDefault="0035245C" w:rsidP="00622F40">
      <w:pPr>
        <w:pStyle w:val="BodyText"/>
        <w:rPr>
          <w:lang w:val="en-US" w:eastAsia="fr-FR"/>
        </w:rPr>
      </w:pPr>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71DAA99F" w14:textId="3C0C99F2" w:rsidR="005F3D43" w:rsidRDefault="005F3D43" w:rsidP="005F3D43">
      <w:pPr>
        <w:pStyle w:val="Heading3"/>
        <w:keepNext/>
        <w:keepLines/>
        <w:tabs>
          <w:tab w:val="clear" w:pos="142"/>
          <w:tab w:val="clear" w:pos="1134"/>
        </w:tabs>
        <w:spacing w:before="200" w:after="0" w:line="276" w:lineRule="auto"/>
        <w:jc w:val="left"/>
      </w:pPr>
      <w:bookmarkStart w:id="1024" w:name="_Toc182328064"/>
      <w:bookmarkStart w:id="1025" w:name="_Toc184808336"/>
      <w:r>
        <w:t>Category-specific rec</w:t>
      </w:r>
      <w:r w:rsidR="00A67EC9">
        <w:t>alculations</w:t>
      </w:r>
      <w:bookmarkEnd w:id="1024"/>
      <w:bookmarkEnd w:id="1025"/>
    </w:p>
    <w:p w14:paraId="52C8EEFC" w14:textId="6B0CDBE3" w:rsidR="0035245C" w:rsidRDefault="0035245C" w:rsidP="00622F40">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6CAA30DF" w14:textId="0EFC3BF4" w:rsidR="005F3D43" w:rsidRDefault="005F3D43" w:rsidP="005F3D43">
      <w:pPr>
        <w:pStyle w:val="Heading3"/>
        <w:keepNext/>
        <w:keepLines/>
        <w:tabs>
          <w:tab w:val="clear" w:pos="142"/>
          <w:tab w:val="clear" w:pos="1134"/>
        </w:tabs>
        <w:spacing w:before="200" w:after="0" w:line="276" w:lineRule="auto"/>
        <w:jc w:val="left"/>
      </w:pPr>
      <w:bookmarkStart w:id="1026" w:name="_Toc182328065"/>
      <w:bookmarkStart w:id="1027" w:name="_Toc184808337"/>
      <w:r>
        <w:t>Category</w:t>
      </w:r>
      <w:r w:rsidR="00A67EC9">
        <w:t>-specific planned improvements</w:t>
      </w:r>
      <w:bookmarkEnd w:id="1026"/>
      <w:bookmarkEnd w:id="1027"/>
    </w:p>
    <w:p w14:paraId="2BDDDA7B" w14:textId="23612895" w:rsidR="00AD43B2" w:rsidRDefault="00AD43B2" w:rsidP="00AD43B2">
      <w:pPr>
        <w:rPr>
          <w:lang w:val="en-US"/>
        </w:rPr>
      </w:pPr>
      <w:r>
        <w:rPr>
          <w:lang w:val="en-US"/>
        </w:rPr>
        <w:t>For all LULUCF sector, land-use and land-use change areas monitoring needs to be improved, at least to include more recent CLC datasets available such as 2018 edition; and at best to revise the land-use monitoring approach for enhanced spatial precision, compatibility with forest definition, and temporal consistency.</w:t>
      </w:r>
    </w:p>
    <w:p w14:paraId="7D94B237" w14:textId="77777777" w:rsidR="00A67EC9" w:rsidRPr="00A67EC9" w:rsidRDefault="00A67EC9" w:rsidP="00A67EC9">
      <w:pPr>
        <w:rPr>
          <w:lang w:val="en-US"/>
        </w:rPr>
      </w:pPr>
    </w:p>
    <w:p w14:paraId="5821BB71" w14:textId="30B2FD43" w:rsidR="005F3D43" w:rsidRPr="00027C19" w:rsidRDefault="004C3D6F" w:rsidP="005F3D43">
      <w:pPr>
        <w:pStyle w:val="Heading2"/>
        <w:keepNext/>
        <w:keepLines/>
        <w:spacing w:before="200" w:after="0" w:line="276" w:lineRule="auto"/>
      </w:pPr>
      <w:r>
        <w:lastRenderedPageBreak/>
        <w:t xml:space="preserve"> </w:t>
      </w:r>
      <w:bookmarkStart w:id="1028" w:name="_Toc182328066"/>
      <w:bookmarkStart w:id="1029" w:name="_Toc184808338"/>
      <w:r w:rsidR="005F3D43">
        <w:t>Other lands (</w:t>
      </w:r>
      <w:r w:rsidR="00FF2718">
        <w:t xml:space="preserve">CRT </w:t>
      </w:r>
      <w:r w:rsidR="005F3D43">
        <w:t>4F)</w:t>
      </w:r>
      <w:bookmarkEnd w:id="1028"/>
      <w:bookmarkEnd w:id="1029"/>
    </w:p>
    <w:p w14:paraId="2120D590" w14:textId="6F94A06A" w:rsidR="005F3D43" w:rsidRDefault="004C3D6F" w:rsidP="005F3D43">
      <w:pPr>
        <w:pStyle w:val="Heading3"/>
        <w:keepNext/>
        <w:keepLines/>
        <w:tabs>
          <w:tab w:val="clear" w:pos="142"/>
          <w:tab w:val="clear" w:pos="1134"/>
        </w:tabs>
        <w:spacing w:before="200" w:after="0" w:line="276" w:lineRule="auto"/>
        <w:jc w:val="left"/>
      </w:pPr>
      <w:r>
        <w:t xml:space="preserve"> </w:t>
      </w:r>
      <w:bookmarkStart w:id="1030" w:name="_Toc182328067"/>
      <w:bookmarkStart w:id="1031" w:name="_Toc184808339"/>
      <w:r w:rsidR="005F3D43">
        <w:t>Description</w:t>
      </w:r>
      <w:bookmarkEnd w:id="1030"/>
      <w:bookmarkEnd w:id="1031"/>
    </w:p>
    <w:p w14:paraId="03ADC44A" w14:textId="77777777" w:rsidR="005F3D43" w:rsidRDefault="005F3D43" w:rsidP="005F3D43">
      <w:pPr>
        <w:autoSpaceDE w:val="0"/>
        <w:autoSpaceDN w:val="0"/>
        <w:adjustRightInd w:val="0"/>
        <w:spacing w:after="120" w:line="240" w:lineRule="auto"/>
        <w:rPr>
          <w:rFonts w:cs="ArialMT"/>
        </w:rPr>
      </w:pPr>
      <w:r w:rsidRPr="004B7EA1">
        <w:rPr>
          <w:rFonts w:cs="ArialMT"/>
        </w:rPr>
        <w:t xml:space="preserve">This category comprises GHG emissions and removals arising from </w:t>
      </w:r>
      <w:r>
        <w:rPr>
          <w:rFonts w:cs="ArialMT"/>
        </w:rPr>
        <w:t>other lands</w:t>
      </w:r>
      <w:r w:rsidRPr="004B7EA1">
        <w:rPr>
          <w:rFonts w:cs="ArialMT"/>
        </w:rPr>
        <w:t>.</w:t>
      </w:r>
    </w:p>
    <w:p w14:paraId="44A61181" w14:textId="5C8C6E5A" w:rsidR="00FE505C" w:rsidRDefault="00FE505C" w:rsidP="00FE505C">
      <w:pPr>
        <w:autoSpaceDE w:val="0"/>
        <w:autoSpaceDN w:val="0"/>
        <w:adjustRightInd w:val="0"/>
        <w:spacing w:before="120" w:after="120" w:line="240" w:lineRule="auto"/>
        <w:rPr>
          <w:rFonts w:cs="ArialMT"/>
        </w:rPr>
      </w:pPr>
      <w:r>
        <w:rPr>
          <w:rFonts w:cs="ArialMT"/>
        </w:rPr>
        <w:t xml:space="preserve">In this category, emissions and absorptions are only estimated for land conversions. No emission estimation is calculated for croplands remaining croplands and for biomass burning (4F1). </w:t>
      </w:r>
    </w:p>
    <w:p w14:paraId="4A5F70EB" w14:textId="46454FB4" w:rsidR="00FE505C" w:rsidRPr="004B7EA1" w:rsidRDefault="00FE505C" w:rsidP="00622F40">
      <w:pPr>
        <w:autoSpaceDE w:val="0"/>
        <w:autoSpaceDN w:val="0"/>
        <w:adjustRightInd w:val="0"/>
        <w:spacing w:before="120" w:after="120" w:line="240" w:lineRule="auto"/>
        <w:rPr>
          <w:rFonts w:cs="ArialMT"/>
        </w:rPr>
      </w:pPr>
      <w:r>
        <w:rPr>
          <w:rFonts w:cs="ArialMT"/>
        </w:rPr>
        <w:t>The emission evolution for lands converted to croplands (4</w:t>
      </w:r>
      <w:r w:rsidR="00D52DC4">
        <w:rPr>
          <w:rFonts w:cs="ArialMT"/>
        </w:rPr>
        <w:t>.</w:t>
      </w:r>
      <w:r>
        <w:rPr>
          <w:rFonts w:cs="ArialMT"/>
        </w:rPr>
        <w:t>F</w:t>
      </w:r>
      <w:r w:rsidR="00D52DC4">
        <w:rPr>
          <w:rFonts w:cs="ArialMT"/>
        </w:rPr>
        <w:t>.</w:t>
      </w:r>
      <w:r>
        <w:rPr>
          <w:rFonts w:cs="ArialMT"/>
        </w:rPr>
        <w:t xml:space="preserve">2) reflects the trend in land-use change areas. </w:t>
      </w:r>
      <w:r w:rsidR="00D95125">
        <w:rPr>
          <w:rFonts w:cs="ArialMT"/>
        </w:rPr>
        <w:t>The emissions follow the trend of the category “forest land converted to other land” (4.F.2.1)</w:t>
      </w:r>
      <w:r w:rsidR="00A257A6">
        <w:rPr>
          <w:rFonts w:cs="ArialMT"/>
        </w:rPr>
        <w:t>. After being rather stable from 1990 to 2006, they decreased for the period 2001 to 2006, until increasing significantly in 2007 (about 11 times more important). Since 2007, the emissions increase progressively</w:t>
      </w:r>
      <w:r w:rsidR="003D3541">
        <w:rPr>
          <w:rFonts w:cs="ArialMT"/>
        </w:rPr>
        <w:t xml:space="preserve">, by 41% in 2022 compared with 2007, </w:t>
      </w:r>
      <w:r w:rsidR="00106DA4">
        <w:rPr>
          <w:rFonts w:cs="ArialMT"/>
        </w:rPr>
        <w:t xml:space="preserve">as the area of forest being converted to other lands grows. </w:t>
      </w:r>
    </w:p>
    <w:p w14:paraId="4879F56C" w14:textId="4D542F40" w:rsidR="00FD61A0" w:rsidRPr="00FD61A0" w:rsidRDefault="00007A2A" w:rsidP="00683251">
      <w:pPr>
        <w:spacing w:after="0"/>
        <w:jc w:val="left"/>
      </w:pPr>
      <w:r>
        <w:rPr>
          <w:noProof/>
          <w:lang w:val="en-US"/>
        </w:rPr>
        <w:drawing>
          <wp:inline distT="0" distB="0" distL="0" distR="0" wp14:anchorId="2A561221" wp14:editId="1B808D2D">
            <wp:extent cx="5760000" cy="1753712"/>
            <wp:effectExtent l="0" t="0" r="0" b="0"/>
            <wp:docPr id="276103235"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6FEB9627" w14:textId="77777777" w:rsidR="00683251" w:rsidRDefault="00683251" w:rsidP="00683251">
      <w:pPr>
        <w:pStyle w:val="Caption"/>
        <w:spacing w:before="0"/>
        <w:jc w:val="left"/>
      </w:pPr>
      <w:bookmarkStart w:id="1032" w:name="_Toc184808531"/>
      <w:r w:rsidRPr="00622F40">
        <w:t xml:space="preserve">Figure </w:t>
      </w:r>
      <w:r w:rsidRPr="00622F40">
        <w:fldChar w:fldCharType="begin"/>
      </w:r>
      <w:r w:rsidRPr="00622F40">
        <w:instrText xml:space="preserve"> SEQ Figure \* ARABIC </w:instrText>
      </w:r>
      <w:r w:rsidRPr="00622F40">
        <w:fldChar w:fldCharType="separate"/>
      </w:r>
      <w:r>
        <w:rPr>
          <w:noProof/>
        </w:rPr>
        <w:t>144</w:t>
      </w:r>
      <w:r w:rsidRPr="00622F40">
        <w:fldChar w:fldCharType="end"/>
      </w:r>
      <w:r w:rsidRPr="00622F40">
        <w:t>: GHG emissions from forest land converted to other land (</w:t>
      </w:r>
      <w:r>
        <w:t>CRT</w:t>
      </w:r>
      <w:r w:rsidRPr="00622F40">
        <w:t xml:space="preserve"> 4.F.2.1) (kt CO</w:t>
      </w:r>
      <w:r w:rsidRPr="00D52DC4">
        <w:rPr>
          <w:vertAlign w:val="subscript"/>
        </w:rPr>
        <w:t>2e</w:t>
      </w:r>
      <w:r w:rsidRPr="00622F40">
        <w:t>)</w:t>
      </w:r>
      <w:bookmarkEnd w:id="1032"/>
    </w:p>
    <w:p w14:paraId="77F23C1C" w14:textId="7DC291BD" w:rsidR="00FD61A0" w:rsidRPr="00FD61A0" w:rsidRDefault="004E24C6" w:rsidP="00683251">
      <w:pPr>
        <w:spacing w:after="0"/>
        <w:jc w:val="left"/>
      </w:pPr>
      <w:r>
        <w:rPr>
          <w:noProof/>
          <w:lang w:val="en-US"/>
        </w:rPr>
        <w:drawing>
          <wp:inline distT="0" distB="0" distL="0" distR="0" wp14:anchorId="26F028EE" wp14:editId="2B418B52">
            <wp:extent cx="5760000" cy="1753712"/>
            <wp:effectExtent l="0" t="0" r="0" b="0"/>
            <wp:docPr id="179134498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718FB0BA" w14:textId="77777777" w:rsidR="00683251" w:rsidRDefault="00683251" w:rsidP="00D52DC4">
      <w:pPr>
        <w:pStyle w:val="Caption"/>
        <w:spacing w:before="0"/>
        <w:jc w:val="left"/>
      </w:pPr>
      <w:bookmarkStart w:id="1033" w:name="_Toc184808532"/>
      <w:r w:rsidRPr="00622F40">
        <w:t xml:space="preserve">Figure </w:t>
      </w:r>
      <w:r w:rsidRPr="00622F40">
        <w:fldChar w:fldCharType="begin"/>
      </w:r>
      <w:r w:rsidRPr="00622F40">
        <w:instrText xml:space="preserve"> SEQ Figure \* ARABIC </w:instrText>
      </w:r>
      <w:r w:rsidRPr="00622F40">
        <w:fldChar w:fldCharType="separate"/>
      </w:r>
      <w:r>
        <w:rPr>
          <w:noProof/>
        </w:rPr>
        <w:t>145</w:t>
      </w:r>
      <w:r w:rsidRPr="00622F40">
        <w:fldChar w:fldCharType="end"/>
      </w:r>
      <w:r w:rsidRPr="00622F40">
        <w:t>: GHG emissions from grassland converted to other land (</w:t>
      </w:r>
      <w:r>
        <w:t>CRT</w:t>
      </w:r>
      <w:r w:rsidRPr="00622F40">
        <w:t xml:space="preserve"> 4.F.2.3) (kt CO</w:t>
      </w:r>
      <w:r w:rsidRPr="00D52DC4">
        <w:rPr>
          <w:vertAlign w:val="subscript"/>
        </w:rPr>
        <w:t>2e</w:t>
      </w:r>
      <w:r w:rsidRPr="00622F40">
        <w:t>)</w:t>
      </w:r>
      <w:bookmarkEnd w:id="1033"/>
    </w:p>
    <w:p w14:paraId="0BC0BCDC" w14:textId="7415E866" w:rsidR="00A67EC9" w:rsidRDefault="00181888" w:rsidP="00683251">
      <w:pPr>
        <w:spacing w:after="0"/>
        <w:jc w:val="left"/>
      </w:pPr>
      <w:r>
        <w:rPr>
          <w:noProof/>
          <w:lang w:val="en-US"/>
        </w:rPr>
        <w:drawing>
          <wp:inline distT="0" distB="0" distL="0" distR="0" wp14:anchorId="4C70B690" wp14:editId="155F32A0">
            <wp:extent cx="5760000" cy="1753712"/>
            <wp:effectExtent l="0" t="0" r="0" b="0"/>
            <wp:docPr id="2046826400"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0022D2B6" w14:textId="77777777" w:rsidR="00683251" w:rsidRDefault="00683251" w:rsidP="00D52DC4">
      <w:pPr>
        <w:pStyle w:val="Caption"/>
        <w:spacing w:before="0"/>
        <w:jc w:val="left"/>
      </w:pPr>
      <w:bookmarkStart w:id="1034" w:name="_Toc184808533"/>
      <w:r w:rsidRPr="00622F40">
        <w:t xml:space="preserve">Figure </w:t>
      </w:r>
      <w:r w:rsidRPr="00622F40">
        <w:fldChar w:fldCharType="begin"/>
      </w:r>
      <w:r w:rsidRPr="00622F40">
        <w:instrText xml:space="preserve"> SEQ Figure \* ARABIC </w:instrText>
      </w:r>
      <w:r w:rsidRPr="00622F40">
        <w:fldChar w:fldCharType="separate"/>
      </w:r>
      <w:r>
        <w:t>146</w:t>
      </w:r>
      <w:r w:rsidRPr="00622F40">
        <w:fldChar w:fldCharType="end"/>
      </w:r>
      <w:r w:rsidRPr="00622F40">
        <w:t>: Direct N</w:t>
      </w:r>
      <w:r w:rsidRPr="00D52DC4">
        <w:t>2</w:t>
      </w:r>
      <w:r w:rsidRPr="00622F40">
        <w:t>O emissions from N mineralization/immobilization in other lands (</w:t>
      </w:r>
      <w:r>
        <w:t>CRT</w:t>
      </w:r>
      <w:r w:rsidRPr="00622F40">
        <w:t xml:space="preserve"> 4.F.2) (kt CO</w:t>
      </w:r>
      <w:r w:rsidRPr="00D52DC4">
        <w:t>2e</w:t>
      </w:r>
      <w:r w:rsidRPr="00622F40">
        <w:t>)</w:t>
      </w:r>
      <w:bookmarkEnd w:id="1034"/>
    </w:p>
    <w:p w14:paraId="3C861D67" w14:textId="77777777" w:rsidR="00683251" w:rsidRPr="00A67EC9" w:rsidRDefault="00683251" w:rsidP="00A67EC9"/>
    <w:p w14:paraId="66730359" w14:textId="77777777" w:rsidR="005F3D43" w:rsidRDefault="005F3D43" w:rsidP="005F3D43">
      <w:pPr>
        <w:pStyle w:val="Heading3"/>
        <w:keepNext/>
        <w:keepLines/>
        <w:tabs>
          <w:tab w:val="clear" w:pos="142"/>
          <w:tab w:val="clear" w:pos="1134"/>
        </w:tabs>
        <w:spacing w:before="200" w:after="0" w:line="276" w:lineRule="auto"/>
        <w:jc w:val="left"/>
      </w:pPr>
      <w:bookmarkStart w:id="1035" w:name="_Toc182328068"/>
      <w:bookmarkStart w:id="1036" w:name="_Toc184808340"/>
      <w:r>
        <w:lastRenderedPageBreak/>
        <w:t>Methodological issues</w:t>
      </w:r>
      <w:bookmarkEnd w:id="1035"/>
      <w:bookmarkEnd w:id="1036"/>
      <w:r>
        <w:t xml:space="preserve"> </w:t>
      </w:r>
    </w:p>
    <w:p w14:paraId="655451F5" w14:textId="7971F334" w:rsidR="005F3D43" w:rsidRDefault="005F3D43" w:rsidP="005F3D43">
      <w:pPr>
        <w:pStyle w:val="Heading4"/>
        <w:keepNext/>
        <w:keepLines/>
        <w:tabs>
          <w:tab w:val="clear" w:pos="993"/>
          <w:tab w:val="clear" w:pos="2127"/>
        </w:tabs>
        <w:spacing w:before="200" w:after="0" w:line="276" w:lineRule="auto"/>
        <w:jc w:val="left"/>
      </w:pPr>
      <w:bookmarkStart w:id="1037" w:name="_Toc182328069"/>
      <w:r>
        <w:t>Other lands remaining other lands (</w:t>
      </w:r>
      <w:r w:rsidR="00FF2718">
        <w:t xml:space="preserve">CRT </w:t>
      </w:r>
      <w:r>
        <w:t>4F1)</w:t>
      </w:r>
      <w:bookmarkEnd w:id="1037"/>
    </w:p>
    <w:p w14:paraId="6ED92208" w14:textId="77777777" w:rsidR="005F3D43" w:rsidRPr="00A76C94" w:rsidRDefault="005F3D43" w:rsidP="005F3D43">
      <w:pPr>
        <w:pStyle w:val="Heading5"/>
        <w:spacing w:before="200" w:after="0" w:line="276" w:lineRule="auto"/>
        <w:jc w:val="left"/>
      </w:pPr>
      <w:bookmarkStart w:id="1038" w:name="_Toc182328070"/>
      <w:r w:rsidRPr="00A76C94">
        <w:t>Carbon stock changes</w:t>
      </w:r>
      <w:bookmarkEnd w:id="1038"/>
      <w:r w:rsidRPr="00A76C94">
        <w:t xml:space="preserve"> </w:t>
      </w:r>
    </w:p>
    <w:p w14:paraId="1AFB7AAE" w14:textId="77777777" w:rsidR="005F3D43" w:rsidRDefault="005F3D43" w:rsidP="00AB11C1">
      <w:pPr>
        <w:pStyle w:val="ListParagraph"/>
        <w:numPr>
          <w:ilvl w:val="0"/>
          <w:numId w:val="51"/>
        </w:numPr>
        <w:spacing w:before="120" w:after="0"/>
        <w:ind w:left="714" w:hanging="357"/>
        <w:jc w:val="left"/>
      </w:pPr>
      <w:r>
        <w:t>Living biomass</w:t>
      </w:r>
    </w:p>
    <w:p w14:paraId="3C9E1CBC" w14:textId="77777777" w:rsidR="005F3D43" w:rsidRDefault="005F3D43" w:rsidP="005F3D43">
      <w:pPr>
        <w:spacing w:before="120"/>
      </w:pPr>
      <w:r>
        <w:t xml:space="preserve">On other lands remaining other lands equilibrium is assumed for living biomass, it is reported as not estimated in the Serbian inventory. </w:t>
      </w:r>
    </w:p>
    <w:p w14:paraId="18C122A1" w14:textId="77777777" w:rsidR="005F3D43" w:rsidRDefault="005F3D43" w:rsidP="00AB11C1">
      <w:pPr>
        <w:pStyle w:val="ListParagraph"/>
        <w:numPr>
          <w:ilvl w:val="0"/>
          <w:numId w:val="51"/>
        </w:numPr>
        <w:spacing w:after="0"/>
        <w:jc w:val="left"/>
      </w:pPr>
      <w:r>
        <w:t>Dead organic matter (dead wood, litter)</w:t>
      </w:r>
    </w:p>
    <w:p w14:paraId="445A3528" w14:textId="77777777" w:rsidR="005F3D43" w:rsidRDefault="005F3D43" w:rsidP="005F3D43">
      <w:pPr>
        <w:spacing w:before="120"/>
      </w:pPr>
      <w:r>
        <w:t xml:space="preserve">On other lands remaining other lands equilibrium is assumed for dead organic matter, it is reported as not estimated in the Serbian inventory. </w:t>
      </w:r>
    </w:p>
    <w:p w14:paraId="53B621FC" w14:textId="77777777" w:rsidR="005F3D43" w:rsidRDefault="005F3D43" w:rsidP="00AB11C1">
      <w:pPr>
        <w:pStyle w:val="ListParagraph"/>
        <w:numPr>
          <w:ilvl w:val="0"/>
          <w:numId w:val="51"/>
        </w:numPr>
        <w:spacing w:after="0"/>
        <w:jc w:val="left"/>
      </w:pPr>
      <w:r>
        <w:t>Soils (mineral and organic soils)</w:t>
      </w:r>
    </w:p>
    <w:p w14:paraId="0D42B451" w14:textId="77777777" w:rsidR="005F3D43" w:rsidRDefault="005F3D43" w:rsidP="005F3D43">
      <w:pPr>
        <w:spacing w:before="120"/>
      </w:pPr>
      <w:r>
        <w:t xml:space="preserve">On other lands remaining other lands equilibrium is assumed for mineral soils, it is reported as not estimated in the Serbian inventory. </w:t>
      </w:r>
    </w:p>
    <w:p w14:paraId="530C2CE4" w14:textId="77777777" w:rsidR="005F3D43" w:rsidRDefault="005F3D43" w:rsidP="005F3D43">
      <w:pPr>
        <w:pStyle w:val="Heading5"/>
        <w:spacing w:before="200" w:after="0" w:line="276" w:lineRule="auto"/>
        <w:jc w:val="left"/>
      </w:pPr>
      <w:bookmarkStart w:id="1039" w:name="_Toc182328071"/>
      <w:r w:rsidRPr="00A76C94">
        <w:t>Direct N</w:t>
      </w:r>
      <w:r w:rsidRPr="00622F40">
        <w:rPr>
          <w:vertAlign w:val="subscript"/>
        </w:rPr>
        <w:t>2</w:t>
      </w:r>
      <w:r w:rsidRPr="00A76C94">
        <w:t>O Emissions from N Inputs to Managed Soils</w:t>
      </w:r>
      <w:bookmarkEnd w:id="1039"/>
    </w:p>
    <w:p w14:paraId="1522F9C7" w14:textId="77777777" w:rsidR="005F3D43" w:rsidRPr="00F054D7" w:rsidRDefault="005F3D43" w:rsidP="005F3D43">
      <w:pPr>
        <w:spacing w:before="120"/>
      </w:pPr>
      <w:r>
        <w:t>It is assumed that no other land but agricultural land is fertilized in Serbia, thus direct N</w:t>
      </w:r>
      <w:r w:rsidRPr="00622F40">
        <w:rPr>
          <w:vertAlign w:val="subscript"/>
        </w:rPr>
        <w:t>2</w:t>
      </w:r>
      <w:r>
        <w:t>O emissions are reported as not occurring.</w:t>
      </w:r>
    </w:p>
    <w:p w14:paraId="79D4FDB0" w14:textId="77777777" w:rsidR="005F3D43" w:rsidRDefault="005F3D43" w:rsidP="005F3D43">
      <w:pPr>
        <w:pStyle w:val="Heading5"/>
        <w:spacing w:before="200" w:after="0" w:line="276" w:lineRule="auto"/>
        <w:jc w:val="left"/>
      </w:pPr>
      <w:bookmarkStart w:id="1040" w:name="_Toc182328072"/>
      <w:r w:rsidRPr="00A76C94">
        <w:t>Emissions and removals from drainage and rewetting and other management of organic and mineral soils</w:t>
      </w:r>
      <w:bookmarkEnd w:id="1040"/>
    </w:p>
    <w:p w14:paraId="7B154431" w14:textId="77777777" w:rsidR="005F3D43" w:rsidRPr="00F054D7" w:rsidRDefault="005F3D43" w:rsidP="005F3D43">
      <w:pPr>
        <w:spacing w:before="120"/>
      </w:pPr>
      <w:r>
        <w:t>Drainage and rewetting of organic and mineral soils are assumed to be not occurring in Serbia, thus related emissions and removals are reported as not occurring.</w:t>
      </w:r>
    </w:p>
    <w:p w14:paraId="79E6045B" w14:textId="77777777" w:rsidR="005F3D43" w:rsidRDefault="005F3D43" w:rsidP="005F3D43">
      <w:pPr>
        <w:pStyle w:val="Heading5"/>
        <w:spacing w:before="200" w:after="0" w:line="276" w:lineRule="auto"/>
        <w:jc w:val="left"/>
      </w:pPr>
      <w:bookmarkStart w:id="1041" w:name="_Toc182328073"/>
      <w:r w:rsidRPr="00A76C94">
        <w:t>Direct N</w:t>
      </w:r>
      <w:r w:rsidRPr="00622F40">
        <w:rPr>
          <w:vertAlign w:val="subscript"/>
        </w:rPr>
        <w:t>2</w:t>
      </w:r>
      <w:r w:rsidRPr="00A76C94">
        <w:t>O Emissions from N Mineralization/Immobilization</w:t>
      </w:r>
      <w:bookmarkEnd w:id="1041"/>
    </w:p>
    <w:p w14:paraId="0842214E" w14:textId="77777777" w:rsidR="005F3D43" w:rsidRPr="00B15266" w:rsidRDefault="005F3D43" w:rsidP="005F3D43">
      <w:pPr>
        <w:spacing w:before="120"/>
      </w:pPr>
      <w:r>
        <w:t>No carbon losses are estimated from soils, thus d</w:t>
      </w:r>
      <w:r w:rsidRPr="0095681F">
        <w:t>irect N</w:t>
      </w:r>
      <w:r w:rsidRPr="00622F40">
        <w:rPr>
          <w:vertAlign w:val="subscript"/>
        </w:rPr>
        <w:t>2</w:t>
      </w:r>
      <w:r w:rsidRPr="0095681F">
        <w:t xml:space="preserve">O </w:t>
      </w:r>
      <w:r>
        <w:t xml:space="preserve">Emissions from N Mineralization are reported as not occurring for other lands remaining other lands. </w:t>
      </w:r>
    </w:p>
    <w:p w14:paraId="6C0465C1" w14:textId="77777777" w:rsidR="005F3D43" w:rsidRDefault="005F3D43" w:rsidP="005F3D43">
      <w:pPr>
        <w:pStyle w:val="Heading5"/>
        <w:spacing w:before="200" w:after="0" w:line="276" w:lineRule="auto"/>
        <w:jc w:val="left"/>
      </w:pPr>
      <w:bookmarkStart w:id="1042" w:name="_Toc182328074"/>
      <w:r w:rsidRPr="00A76C94">
        <w:t>Indirect N</w:t>
      </w:r>
      <w:r w:rsidRPr="00622F40">
        <w:rPr>
          <w:vertAlign w:val="subscript"/>
        </w:rPr>
        <w:t>2</w:t>
      </w:r>
      <w:r w:rsidRPr="00A76C94">
        <w:t>O Emissions from Managed Soils</w:t>
      </w:r>
      <w:bookmarkEnd w:id="1042"/>
    </w:p>
    <w:p w14:paraId="7FC094B2" w14:textId="77777777" w:rsidR="005F3D43" w:rsidRPr="00881B25" w:rsidRDefault="005F3D43" w:rsidP="005F3D43">
      <w:r>
        <w:t>No direct N</w:t>
      </w:r>
      <w:r w:rsidRPr="00622F40">
        <w:rPr>
          <w:vertAlign w:val="subscript"/>
        </w:rPr>
        <w:t>2</w:t>
      </w:r>
      <w:r>
        <w:t>O emissions are estimated on these areas, thus indirect N</w:t>
      </w:r>
      <w:r w:rsidRPr="00622F40">
        <w:rPr>
          <w:vertAlign w:val="subscript"/>
        </w:rPr>
        <w:t>2</w:t>
      </w:r>
      <w:r>
        <w:t>O emissions from soils are also assumed as not occurring.</w:t>
      </w:r>
    </w:p>
    <w:p w14:paraId="1A156CF9" w14:textId="77777777" w:rsidR="005F3D43" w:rsidRDefault="005F3D43" w:rsidP="005F3D43">
      <w:pPr>
        <w:pStyle w:val="Heading5"/>
        <w:spacing w:before="200" w:after="0" w:line="276" w:lineRule="auto"/>
        <w:jc w:val="left"/>
      </w:pPr>
      <w:bookmarkStart w:id="1043" w:name="_Toc182328075"/>
      <w:r w:rsidRPr="00A76C94">
        <w:t>Biomass Burning</w:t>
      </w:r>
      <w:bookmarkEnd w:id="1043"/>
    </w:p>
    <w:p w14:paraId="43024D1F" w14:textId="77777777" w:rsidR="005F3D43" w:rsidRPr="00DC3EF3" w:rsidRDefault="005F3D43" w:rsidP="005F3D43">
      <w:pPr>
        <w:spacing w:before="120"/>
      </w:pPr>
      <w:r>
        <w:t xml:space="preserve">It is assumed that no biomass burning is occurring on this type of land. </w:t>
      </w:r>
    </w:p>
    <w:p w14:paraId="4A556EBC" w14:textId="3FF4D8E3" w:rsidR="005F3D43" w:rsidRPr="00A76C94" w:rsidRDefault="005F3D43" w:rsidP="005F3D43">
      <w:pPr>
        <w:pStyle w:val="Heading4"/>
        <w:keepNext/>
        <w:keepLines/>
        <w:tabs>
          <w:tab w:val="clear" w:pos="993"/>
          <w:tab w:val="clear" w:pos="2127"/>
        </w:tabs>
        <w:spacing w:before="200" w:after="0" w:line="276" w:lineRule="auto"/>
        <w:jc w:val="left"/>
      </w:pPr>
      <w:bookmarkStart w:id="1044" w:name="_Toc182328076"/>
      <w:r>
        <w:t>Land converted to other lands (4</w:t>
      </w:r>
      <w:r w:rsidR="00D52DC4">
        <w:t>.</w:t>
      </w:r>
      <w:r>
        <w:t>F</w:t>
      </w:r>
      <w:r w:rsidR="00D52DC4">
        <w:t>.</w:t>
      </w:r>
      <w:r>
        <w:t>2)</w:t>
      </w:r>
      <w:bookmarkEnd w:id="1044"/>
    </w:p>
    <w:p w14:paraId="4A85FF48" w14:textId="77777777" w:rsidR="005F3D43" w:rsidRPr="00A76C94" w:rsidRDefault="005F3D43" w:rsidP="005F3D43">
      <w:pPr>
        <w:pStyle w:val="Heading5"/>
        <w:spacing w:before="200" w:after="0" w:line="276" w:lineRule="auto"/>
        <w:jc w:val="left"/>
      </w:pPr>
      <w:bookmarkStart w:id="1045" w:name="_Toc182328077"/>
      <w:r w:rsidRPr="00A76C94">
        <w:t>Carbon stock changes</w:t>
      </w:r>
      <w:bookmarkEnd w:id="1045"/>
      <w:r w:rsidRPr="00A76C94">
        <w:t xml:space="preserve"> </w:t>
      </w:r>
    </w:p>
    <w:p w14:paraId="119F56F5" w14:textId="77777777" w:rsidR="005F3D43" w:rsidRDefault="005F3D43" w:rsidP="00AB11C1">
      <w:pPr>
        <w:pStyle w:val="ListParagraph"/>
        <w:numPr>
          <w:ilvl w:val="0"/>
          <w:numId w:val="51"/>
        </w:numPr>
        <w:spacing w:before="120" w:after="120"/>
        <w:jc w:val="left"/>
      </w:pPr>
      <w:r>
        <w:t>Living biomass</w:t>
      </w:r>
    </w:p>
    <w:p w14:paraId="28D7BAC4" w14:textId="77777777" w:rsidR="005F3D43" w:rsidRDefault="005F3D43" w:rsidP="005F3D43">
      <w:pPr>
        <w:spacing w:before="120" w:after="120"/>
      </w:pPr>
      <w:r>
        <w:t>Fluxes on living biomass are estimated thanks to a stock-difference method and default carbon stocks from IPCC guidelines.</w:t>
      </w:r>
    </w:p>
    <w:p w14:paraId="7724A8CC" w14:textId="77777777" w:rsidR="005F3D43" w:rsidRDefault="005F3D43" w:rsidP="00AB11C1">
      <w:pPr>
        <w:pStyle w:val="ListParagraph"/>
        <w:numPr>
          <w:ilvl w:val="0"/>
          <w:numId w:val="51"/>
        </w:numPr>
        <w:spacing w:before="120" w:after="120"/>
        <w:jc w:val="left"/>
      </w:pPr>
      <w:r>
        <w:t>Dead organic matter (dead wood, litter)</w:t>
      </w:r>
    </w:p>
    <w:p w14:paraId="546C91C5" w14:textId="77777777" w:rsidR="005F3D43" w:rsidRDefault="005F3D43" w:rsidP="005F3D43">
      <w:pPr>
        <w:spacing w:before="120" w:after="120"/>
      </w:pPr>
      <w:r>
        <w:t xml:space="preserve">Emissions on land converted to other lands are estimated for forest converted to other lands. IPCC guidelines do not provide default value for deadwood but a value of 16tC/ha (Table 2.2) for litter. All emissions reported under land converted to other lands for dead organic matters are related to litter. </w:t>
      </w:r>
    </w:p>
    <w:p w14:paraId="64210F8D" w14:textId="77777777" w:rsidR="005F3D43" w:rsidRDefault="005F3D43" w:rsidP="00AB11C1">
      <w:pPr>
        <w:pStyle w:val="ListParagraph"/>
        <w:numPr>
          <w:ilvl w:val="0"/>
          <w:numId w:val="51"/>
        </w:numPr>
        <w:spacing w:after="0"/>
        <w:jc w:val="left"/>
      </w:pPr>
      <w:r>
        <w:lastRenderedPageBreak/>
        <w:t>Soils (mineral and organic soils)</w:t>
      </w:r>
    </w:p>
    <w:p w14:paraId="635E7E05" w14:textId="77777777" w:rsidR="005F3D43" w:rsidRDefault="005F3D43" w:rsidP="005F3D43">
      <w:pPr>
        <w:spacing w:before="120" w:after="120"/>
      </w:pPr>
      <w:r>
        <w:t xml:space="preserve">It is assumed that in Serbia no organic soils exist in other lands. </w:t>
      </w:r>
    </w:p>
    <w:p w14:paraId="3B1571F0" w14:textId="77777777" w:rsidR="005F3D43" w:rsidRDefault="005F3D43" w:rsidP="005F3D43">
      <w:pPr>
        <w:spacing w:before="120" w:after="120"/>
      </w:pPr>
      <w:r>
        <w:t>Fluxes on mineral soils are estimated thanks to a stock-difference method.</w:t>
      </w:r>
    </w:p>
    <w:p w14:paraId="40C0E226" w14:textId="77777777" w:rsidR="005F3D43" w:rsidRDefault="005F3D43" w:rsidP="005F3D43">
      <w:pPr>
        <w:pStyle w:val="Heading5"/>
        <w:spacing w:before="200" w:after="0" w:line="276" w:lineRule="auto"/>
        <w:jc w:val="left"/>
      </w:pPr>
      <w:bookmarkStart w:id="1046" w:name="_Toc182328078"/>
      <w:r w:rsidRPr="00A76C94">
        <w:t>Direct N</w:t>
      </w:r>
      <w:r w:rsidRPr="00622F40">
        <w:rPr>
          <w:vertAlign w:val="subscript"/>
        </w:rPr>
        <w:t>2</w:t>
      </w:r>
      <w:r w:rsidRPr="00A76C94">
        <w:t>O Emissions from N Inputs to Managed Soils</w:t>
      </w:r>
      <w:bookmarkEnd w:id="1046"/>
    </w:p>
    <w:p w14:paraId="42B09D1A" w14:textId="77777777" w:rsidR="005F3D43" w:rsidRPr="00F054D7" w:rsidRDefault="005F3D43" w:rsidP="005F3D43">
      <w:pPr>
        <w:spacing w:before="120"/>
      </w:pPr>
      <w:r>
        <w:t>It is assumed that no other land but agricultural land is fertilized in Serbia, thus direct N</w:t>
      </w:r>
      <w:r w:rsidRPr="00622F40">
        <w:rPr>
          <w:vertAlign w:val="subscript"/>
        </w:rPr>
        <w:t>2</w:t>
      </w:r>
      <w:r>
        <w:t>O emissions are reported as not occurring.</w:t>
      </w:r>
    </w:p>
    <w:p w14:paraId="0C87CB5C" w14:textId="77777777" w:rsidR="005F3D43" w:rsidRDefault="005F3D43" w:rsidP="005F3D43">
      <w:pPr>
        <w:pStyle w:val="Heading5"/>
        <w:spacing w:before="200" w:after="0" w:line="276" w:lineRule="auto"/>
        <w:jc w:val="left"/>
      </w:pPr>
      <w:bookmarkStart w:id="1047" w:name="_Toc182328079"/>
      <w:r w:rsidRPr="00A76C94">
        <w:t>Emissions and removals from drainage and rewetting and other management of organic and mineral soils</w:t>
      </w:r>
      <w:bookmarkEnd w:id="1047"/>
    </w:p>
    <w:p w14:paraId="509144E3" w14:textId="77777777" w:rsidR="005F3D43" w:rsidRPr="00F054D7" w:rsidRDefault="005F3D43" w:rsidP="005F3D43">
      <w:pPr>
        <w:spacing w:before="120"/>
      </w:pPr>
      <w:r>
        <w:t>Drainage and rewetting of organic and mineral soils are assumed to be not occurring in Serbia, thus related emissions and removals are reported as not occurring.</w:t>
      </w:r>
    </w:p>
    <w:p w14:paraId="700CA8B4" w14:textId="77777777" w:rsidR="005F3D43" w:rsidRDefault="005F3D43" w:rsidP="005F3D43">
      <w:pPr>
        <w:pStyle w:val="Heading5"/>
        <w:spacing w:before="200" w:after="0" w:line="276" w:lineRule="auto"/>
        <w:jc w:val="left"/>
      </w:pPr>
      <w:bookmarkStart w:id="1048" w:name="_Toc182328080"/>
      <w:r w:rsidRPr="00A76C94">
        <w:t>Direct N</w:t>
      </w:r>
      <w:r w:rsidRPr="00622F40">
        <w:rPr>
          <w:vertAlign w:val="subscript"/>
        </w:rPr>
        <w:t>2</w:t>
      </w:r>
      <w:r w:rsidRPr="00A76C94">
        <w:t>O Emissions from N Mineralization/Immobilization</w:t>
      </w:r>
      <w:bookmarkEnd w:id="1048"/>
    </w:p>
    <w:p w14:paraId="30B10557" w14:textId="77777777" w:rsidR="005F3D43" w:rsidRPr="00B15266" w:rsidRDefault="005F3D43" w:rsidP="005F3D43">
      <w:pPr>
        <w:spacing w:before="120"/>
      </w:pPr>
      <w:r>
        <w:t>Carbon losses are estimated from mineral soils, thus d</w:t>
      </w:r>
      <w:r w:rsidRPr="0095681F">
        <w:t>irect N</w:t>
      </w:r>
      <w:r w:rsidRPr="00622F40">
        <w:rPr>
          <w:vertAlign w:val="subscript"/>
        </w:rPr>
        <w:t>2</w:t>
      </w:r>
      <w:r w:rsidRPr="0095681F">
        <w:t xml:space="preserve">O </w:t>
      </w:r>
      <w:r>
        <w:t>Emissions from N Mineralization are estimated in accordance with IPCC 2006 guidelines for land converted to other lands.</w:t>
      </w:r>
    </w:p>
    <w:p w14:paraId="1226AF81" w14:textId="77777777" w:rsidR="005F3D43" w:rsidRDefault="005F3D43" w:rsidP="005F3D43">
      <w:pPr>
        <w:pStyle w:val="Heading5"/>
        <w:spacing w:before="200" w:after="0" w:line="276" w:lineRule="auto"/>
        <w:jc w:val="left"/>
      </w:pPr>
      <w:bookmarkStart w:id="1049" w:name="_Toc182328081"/>
      <w:r w:rsidRPr="00A76C94">
        <w:t>Indirect N</w:t>
      </w:r>
      <w:r w:rsidRPr="00622F40">
        <w:rPr>
          <w:vertAlign w:val="subscript"/>
        </w:rPr>
        <w:t>2</w:t>
      </w:r>
      <w:r w:rsidRPr="00A76C94">
        <w:t>O Emissions from Managed Soils</w:t>
      </w:r>
      <w:bookmarkEnd w:id="1049"/>
    </w:p>
    <w:p w14:paraId="7127939E" w14:textId="77777777" w:rsidR="005F3D43" w:rsidRPr="00881B25" w:rsidRDefault="005F3D43" w:rsidP="005F3D43">
      <w:r>
        <w:t>Indirect N</w:t>
      </w:r>
      <w:r w:rsidRPr="00622F40">
        <w:rPr>
          <w:vertAlign w:val="subscript"/>
        </w:rPr>
        <w:t>2</w:t>
      </w:r>
      <w:r>
        <w:t>O emissions from soils are currently not estimated in the Serbian inventory.</w:t>
      </w:r>
    </w:p>
    <w:p w14:paraId="1657179A" w14:textId="77777777" w:rsidR="005F3D43" w:rsidRDefault="005F3D43" w:rsidP="005F3D43">
      <w:pPr>
        <w:pStyle w:val="Heading5"/>
        <w:spacing w:before="200" w:after="0" w:line="276" w:lineRule="auto"/>
        <w:jc w:val="left"/>
      </w:pPr>
      <w:bookmarkStart w:id="1050" w:name="_Toc182328082"/>
      <w:r w:rsidRPr="00A76C94">
        <w:t>Biomass Burning</w:t>
      </w:r>
      <w:bookmarkEnd w:id="1050"/>
    </w:p>
    <w:p w14:paraId="26312485" w14:textId="77777777" w:rsidR="005F3D43" w:rsidRPr="00DC3EF3" w:rsidRDefault="005F3D43" w:rsidP="005F3D43">
      <w:pPr>
        <w:spacing w:before="120"/>
      </w:pPr>
      <w:r>
        <w:t xml:space="preserve">It is assumed that no biomass burning is occurring on this type of land. </w:t>
      </w:r>
    </w:p>
    <w:p w14:paraId="4652D749" w14:textId="1384F238" w:rsidR="005F3D43" w:rsidRDefault="005F3D43" w:rsidP="005F3D43">
      <w:pPr>
        <w:pStyle w:val="Heading3"/>
        <w:keepNext/>
        <w:keepLines/>
        <w:tabs>
          <w:tab w:val="clear" w:pos="142"/>
          <w:tab w:val="clear" w:pos="1134"/>
        </w:tabs>
        <w:spacing w:before="200" w:after="0" w:line="276" w:lineRule="auto"/>
        <w:jc w:val="left"/>
      </w:pPr>
      <w:bookmarkStart w:id="1051" w:name="_Toc182328083"/>
      <w:bookmarkStart w:id="1052" w:name="_Toc184808341"/>
      <w:r>
        <w:t>Uncertainties and time-series consistency</w:t>
      </w:r>
      <w:bookmarkEnd w:id="1051"/>
      <w:bookmarkEnd w:id="1052"/>
    </w:p>
    <w:p w14:paraId="2FBCEC77" w14:textId="77777777" w:rsidR="00FA7C36" w:rsidRPr="002462F0" w:rsidRDefault="00FA7C36" w:rsidP="00FA7C36">
      <w:pPr>
        <w:pStyle w:val="BodyText"/>
        <w:rPr>
          <w:lang w:eastAsia="fr-FR"/>
        </w:rPr>
      </w:pPr>
      <w:r w:rsidRPr="002462F0">
        <w:rPr>
          <w:lang w:eastAsia="fr-FR"/>
        </w:rPr>
        <w:t xml:space="preserve">Uncertainty estimate associated with activity data amounts to </w:t>
      </w:r>
      <w:r>
        <w:rPr>
          <w:lang w:eastAsia="fr-FR"/>
        </w:rPr>
        <w:t>10</w:t>
      </w:r>
      <w:r w:rsidRPr="002462F0">
        <w:rPr>
          <w:lang w:eastAsia="fr-FR"/>
        </w:rPr>
        <w:t>%, based on expert judgment.</w:t>
      </w:r>
    </w:p>
    <w:p w14:paraId="7DC86692" w14:textId="07818DD0" w:rsidR="00FA7C36" w:rsidRPr="002462F0" w:rsidRDefault="00FA7C36" w:rsidP="00FA7C36">
      <w:pPr>
        <w:pStyle w:val="BodyText"/>
        <w:rPr>
          <w:lang w:eastAsia="fr-FR"/>
        </w:rPr>
      </w:pPr>
      <w:r w:rsidRPr="002462F0">
        <w:rPr>
          <w:lang w:eastAsia="fr-FR"/>
        </w:rPr>
        <w:t>Uncertainty estimate</w:t>
      </w:r>
      <w:r w:rsidR="00EB3585">
        <w:rPr>
          <w:lang w:eastAsia="fr-FR"/>
        </w:rPr>
        <w:t>s</w:t>
      </w:r>
      <w:r w:rsidRPr="002462F0">
        <w:rPr>
          <w:lang w:eastAsia="fr-FR"/>
        </w:rPr>
        <w:t xml:space="preserve"> associated </w:t>
      </w:r>
      <w:r>
        <w:rPr>
          <w:lang w:eastAsia="fr-FR"/>
        </w:rPr>
        <w:t xml:space="preserve">with </w:t>
      </w:r>
      <w:r w:rsidRPr="002462F0">
        <w:rPr>
          <w:lang w:eastAsia="fr-FR"/>
        </w:rPr>
        <w:t xml:space="preserve">emission factor </w:t>
      </w:r>
      <w:r w:rsidR="00EB3585">
        <w:rPr>
          <w:lang w:eastAsia="fr-FR"/>
        </w:rPr>
        <w:t xml:space="preserve">are </w:t>
      </w:r>
      <w:r>
        <w:rPr>
          <w:lang w:eastAsia="fr-FR"/>
        </w:rPr>
        <w:t xml:space="preserve">80% for </w:t>
      </w:r>
      <w:r w:rsidRPr="002462F0">
        <w:rPr>
          <w:lang w:eastAsia="fr-FR"/>
        </w:rPr>
        <w:t>CO</w:t>
      </w:r>
      <w:r w:rsidRPr="002462F0">
        <w:rPr>
          <w:vertAlign w:val="subscript"/>
          <w:lang w:eastAsia="fr-FR"/>
        </w:rPr>
        <w:t>2</w:t>
      </w:r>
      <w:r w:rsidRPr="002462F0">
        <w:rPr>
          <w:lang w:eastAsia="fr-FR"/>
        </w:rPr>
        <w:t>.</w:t>
      </w:r>
      <w:r>
        <w:rPr>
          <w:lang w:eastAsia="fr-FR"/>
        </w:rPr>
        <w:t xml:space="preserve"> For N2O, the uncertainty estimate for the emission factor has not been determined for this submission.</w:t>
      </w:r>
    </w:p>
    <w:p w14:paraId="6E4CFAEC" w14:textId="3C672C98" w:rsidR="00FA7C36" w:rsidRDefault="00FA7C36" w:rsidP="00FA7C36">
      <w:pPr>
        <w:rPr>
          <w:lang w:eastAsia="fr-FR"/>
        </w:rPr>
      </w:pPr>
      <w:r>
        <w:rPr>
          <w:lang w:eastAsia="fr-FR"/>
        </w:rPr>
        <w:t>Combined uncertaint</w:t>
      </w:r>
      <w:r w:rsidR="00EB3585">
        <w:rPr>
          <w:lang w:eastAsia="fr-FR"/>
        </w:rPr>
        <w:t>ies</w:t>
      </w:r>
      <w:r>
        <w:rPr>
          <w:lang w:eastAsia="fr-FR"/>
        </w:rPr>
        <w:t xml:space="preserve"> </w:t>
      </w:r>
      <w:r w:rsidR="00EB3585">
        <w:rPr>
          <w:lang w:eastAsia="fr-FR"/>
        </w:rPr>
        <w:t>are</w:t>
      </w:r>
      <w:r w:rsidRPr="002462F0">
        <w:rPr>
          <w:lang w:eastAsia="fr-FR"/>
        </w:rPr>
        <w:t xml:space="preserve"> </w:t>
      </w:r>
      <w:r>
        <w:rPr>
          <w:lang w:eastAsia="fr-FR"/>
        </w:rPr>
        <w:t>81</w:t>
      </w:r>
      <w:r w:rsidRPr="002462F0">
        <w:rPr>
          <w:lang w:eastAsia="fr-FR"/>
        </w:rPr>
        <w:t>%</w:t>
      </w:r>
      <w:r>
        <w:rPr>
          <w:lang w:eastAsia="fr-FR"/>
        </w:rPr>
        <w:t xml:space="preserve"> for CO</w:t>
      </w:r>
      <w:r w:rsidRPr="00BD6A2E">
        <w:rPr>
          <w:vertAlign w:val="subscript"/>
          <w:lang w:eastAsia="fr-FR"/>
        </w:rPr>
        <w:t>2</w:t>
      </w:r>
      <w:r>
        <w:rPr>
          <w:lang w:eastAsia="fr-FR"/>
        </w:rPr>
        <w:t xml:space="preserve"> emissions</w:t>
      </w:r>
      <w:r w:rsidRPr="002462F0">
        <w:rPr>
          <w:lang w:eastAsia="fr-FR"/>
        </w:rPr>
        <w:t>.</w:t>
      </w:r>
      <w:r w:rsidR="008358A5">
        <w:rPr>
          <w:lang w:eastAsia="fr-FR"/>
        </w:rPr>
        <w:t xml:space="preserve"> The uncertainty combined in the national totals of emissions is of 0.4% in 2022, in the Republic of Serbia.</w:t>
      </w:r>
    </w:p>
    <w:p w14:paraId="42108CAC" w14:textId="77777777" w:rsidR="006E35FA" w:rsidRPr="00FA7C36" w:rsidRDefault="006E35FA" w:rsidP="00FA7C36">
      <w:pPr>
        <w:rPr>
          <w:lang w:val="en-US"/>
        </w:rPr>
      </w:pPr>
    </w:p>
    <w:p w14:paraId="7319E49B" w14:textId="6887E4B4" w:rsidR="005F3D43" w:rsidRDefault="0035245C" w:rsidP="005F3D43">
      <w:pPr>
        <w:pStyle w:val="Heading3"/>
        <w:keepNext/>
        <w:keepLines/>
        <w:tabs>
          <w:tab w:val="clear" w:pos="142"/>
          <w:tab w:val="clear" w:pos="1134"/>
        </w:tabs>
        <w:spacing w:before="200" w:after="0" w:line="276" w:lineRule="auto"/>
        <w:jc w:val="left"/>
      </w:pPr>
      <w:r>
        <w:t xml:space="preserve"> </w:t>
      </w:r>
      <w:bookmarkStart w:id="1053" w:name="_Toc182328084"/>
      <w:bookmarkStart w:id="1054" w:name="_Toc184808342"/>
      <w:r w:rsidR="005F3D43">
        <w:t>Category-s</w:t>
      </w:r>
      <w:r w:rsidR="00FD61A0">
        <w:t>pecific QA/QC and verification</w:t>
      </w:r>
      <w:bookmarkEnd w:id="1053"/>
      <w:bookmarkEnd w:id="1054"/>
    </w:p>
    <w:p w14:paraId="52D21D96" w14:textId="796FCDEF" w:rsidR="0035245C" w:rsidRPr="00622F40" w:rsidRDefault="0035245C" w:rsidP="00622F40">
      <w:pPr>
        <w:pStyle w:val="BodyText"/>
        <w:rPr>
          <w:lang w:eastAsia="fr-FR"/>
        </w:rPr>
      </w:pPr>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43640D63" w14:textId="7870B0CA" w:rsidR="005F3D43" w:rsidRDefault="0035245C" w:rsidP="005F3D43">
      <w:pPr>
        <w:pStyle w:val="Heading3"/>
        <w:keepNext/>
        <w:keepLines/>
        <w:tabs>
          <w:tab w:val="clear" w:pos="142"/>
          <w:tab w:val="clear" w:pos="1134"/>
        </w:tabs>
        <w:spacing w:before="200" w:after="0" w:line="276" w:lineRule="auto"/>
        <w:jc w:val="left"/>
      </w:pPr>
      <w:r>
        <w:t xml:space="preserve"> </w:t>
      </w:r>
      <w:bookmarkStart w:id="1055" w:name="_Toc182328085"/>
      <w:bookmarkStart w:id="1056" w:name="_Toc184808343"/>
      <w:r w:rsidR="005F3D43">
        <w:t>Ca</w:t>
      </w:r>
      <w:r w:rsidR="00FD61A0">
        <w:t>tegory-specific recalculations</w:t>
      </w:r>
      <w:bookmarkEnd w:id="1055"/>
      <w:bookmarkEnd w:id="1056"/>
    </w:p>
    <w:p w14:paraId="12519A01" w14:textId="622D2063" w:rsidR="0035245C" w:rsidRDefault="0035245C" w:rsidP="00622F40">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227CBE0D" w14:textId="77777777" w:rsidR="006E35FA" w:rsidRPr="00622F40" w:rsidRDefault="006E35FA" w:rsidP="00622F40">
      <w:pPr>
        <w:pStyle w:val="BodyText"/>
        <w:rPr>
          <w:lang w:eastAsia="fr-FR"/>
        </w:rPr>
      </w:pPr>
    </w:p>
    <w:p w14:paraId="70626B33" w14:textId="6DF76432" w:rsidR="005F3D43" w:rsidRDefault="0035245C" w:rsidP="005F3D43">
      <w:pPr>
        <w:pStyle w:val="Heading3"/>
        <w:keepNext/>
        <w:keepLines/>
        <w:tabs>
          <w:tab w:val="clear" w:pos="142"/>
          <w:tab w:val="clear" w:pos="1134"/>
        </w:tabs>
        <w:spacing w:before="200" w:after="0" w:line="276" w:lineRule="auto"/>
        <w:jc w:val="left"/>
      </w:pPr>
      <w:r>
        <w:t xml:space="preserve"> </w:t>
      </w:r>
      <w:bookmarkStart w:id="1057" w:name="_Toc182328086"/>
      <w:bookmarkStart w:id="1058" w:name="_Toc184808344"/>
      <w:r w:rsidR="005F3D43">
        <w:t>Category-specific planned imp</w:t>
      </w:r>
      <w:r w:rsidR="00FD61A0">
        <w:t>rovements</w:t>
      </w:r>
      <w:bookmarkEnd w:id="1057"/>
      <w:bookmarkEnd w:id="1058"/>
    </w:p>
    <w:p w14:paraId="0FF5B67F" w14:textId="77777777" w:rsidR="00AD43B2" w:rsidRDefault="00AD43B2" w:rsidP="00AD43B2">
      <w:pPr>
        <w:rPr>
          <w:lang w:val="en-US"/>
        </w:rPr>
      </w:pPr>
      <w:bookmarkStart w:id="1059" w:name="_Toc496101081"/>
      <w:r>
        <w:rPr>
          <w:lang w:val="en-US"/>
        </w:rPr>
        <w:t>For all LULULUCF sector, land-use and land-use change areas monitoring needs to be improved, at least to include more recent CLC datasets available such as 2018 edition; and at best to revise the land-use monitoring approach for enhanced spatial precision, compatibility with forest definition, and temporal consistency.</w:t>
      </w:r>
    </w:p>
    <w:p w14:paraId="7C36A530" w14:textId="77777777" w:rsidR="00FF4E98" w:rsidRDefault="00FF4E98">
      <w:pPr>
        <w:jc w:val="left"/>
        <w:rPr>
          <w:lang w:eastAsia="fr-FR"/>
        </w:rPr>
      </w:pPr>
    </w:p>
    <w:p w14:paraId="73575027" w14:textId="238C0848" w:rsidR="00FF4E98" w:rsidRPr="00027C19" w:rsidRDefault="006B027E" w:rsidP="00FF4E98">
      <w:pPr>
        <w:pStyle w:val="Heading2"/>
        <w:keepNext/>
        <w:keepLines/>
        <w:spacing w:before="200" w:after="0" w:line="276" w:lineRule="auto"/>
      </w:pPr>
      <w:r>
        <w:lastRenderedPageBreak/>
        <w:t xml:space="preserve"> </w:t>
      </w:r>
      <w:bookmarkStart w:id="1060" w:name="_Toc182328087"/>
      <w:bookmarkStart w:id="1061" w:name="_Toc184808345"/>
      <w:r w:rsidR="00FF4E98">
        <w:t>Ha</w:t>
      </w:r>
      <w:r>
        <w:t>r</w:t>
      </w:r>
      <w:r w:rsidR="00FF4E98">
        <w:t>vested wood products (</w:t>
      </w:r>
      <w:r w:rsidR="00FF2718">
        <w:t xml:space="preserve">CRT </w:t>
      </w:r>
      <w:r w:rsidR="00FF4E98">
        <w:t>4G)</w:t>
      </w:r>
      <w:bookmarkEnd w:id="1060"/>
      <w:bookmarkEnd w:id="1061"/>
    </w:p>
    <w:p w14:paraId="77AAD423" w14:textId="77777777" w:rsidR="00FF4E98" w:rsidRDefault="00FF4E98" w:rsidP="00FF4E98">
      <w:pPr>
        <w:pStyle w:val="Heading3"/>
        <w:keepNext/>
        <w:keepLines/>
        <w:tabs>
          <w:tab w:val="clear" w:pos="142"/>
          <w:tab w:val="clear" w:pos="1134"/>
        </w:tabs>
        <w:spacing w:before="200" w:after="0" w:line="276" w:lineRule="auto"/>
        <w:jc w:val="left"/>
      </w:pPr>
      <w:r>
        <w:t xml:space="preserve"> </w:t>
      </w:r>
      <w:bookmarkStart w:id="1062" w:name="_Toc182328088"/>
      <w:bookmarkStart w:id="1063" w:name="_Toc184808346"/>
      <w:r>
        <w:t>Description</w:t>
      </w:r>
      <w:bookmarkEnd w:id="1062"/>
      <w:bookmarkEnd w:id="1063"/>
    </w:p>
    <w:p w14:paraId="6F99392D" w14:textId="2E3310D0" w:rsidR="00FF4E98" w:rsidRDefault="00FF4E98" w:rsidP="00FF4E98">
      <w:pPr>
        <w:autoSpaceDE w:val="0"/>
        <w:autoSpaceDN w:val="0"/>
        <w:adjustRightInd w:val="0"/>
        <w:spacing w:after="120" w:line="240" w:lineRule="auto"/>
        <w:rPr>
          <w:rFonts w:cs="ArialMT"/>
        </w:rPr>
      </w:pPr>
      <w:r w:rsidRPr="004B7EA1">
        <w:rPr>
          <w:rFonts w:cs="ArialMT"/>
        </w:rPr>
        <w:t xml:space="preserve">This category </w:t>
      </w:r>
      <w:r w:rsidR="006B027E">
        <w:rPr>
          <w:rFonts w:cs="ArialMT"/>
        </w:rPr>
        <w:t>includes</w:t>
      </w:r>
      <w:r w:rsidRPr="004B7EA1">
        <w:rPr>
          <w:rFonts w:cs="ArialMT"/>
        </w:rPr>
        <w:t xml:space="preserve"> GHG </w:t>
      </w:r>
      <w:r w:rsidR="00132800">
        <w:rPr>
          <w:rFonts w:cs="ArialMT"/>
        </w:rPr>
        <w:t xml:space="preserve">emissions and </w:t>
      </w:r>
      <w:r w:rsidRPr="004B7EA1">
        <w:rPr>
          <w:rFonts w:cs="ArialMT"/>
        </w:rPr>
        <w:t>removals arising from</w:t>
      </w:r>
      <w:r w:rsidR="002E6F0E">
        <w:rPr>
          <w:rFonts w:cs="ArialMT"/>
        </w:rPr>
        <w:t xml:space="preserve"> biomass which is </w:t>
      </w:r>
      <w:r w:rsidR="004E29F6">
        <w:rPr>
          <w:rFonts w:cs="ArialMT"/>
        </w:rPr>
        <w:t>harvested</w:t>
      </w:r>
      <w:r w:rsidR="00DB2676">
        <w:rPr>
          <w:rFonts w:cs="ArialMT"/>
        </w:rPr>
        <w:t xml:space="preserve"> in order to produce</w:t>
      </w:r>
      <w:r w:rsidRPr="004B7EA1">
        <w:rPr>
          <w:rFonts w:cs="ArialMT"/>
        </w:rPr>
        <w:t xml:space="preserve"> </w:t>
      </w:r>
      <w:r w:rsidR="002E6F0E">
        <w:rPr>
          <w:rFonts w:cs="ArialMT"/>
        </w:rPr>
        <w:t>wood products</w:t>
      </w:r>
      <w:r w:rsidR="00DB2676">
        <w:rPr>
          <w:rFonts w:cs="ArialMT"/>
        </w:rPr>
        <w:t xml:space="preserve">, and hence </w:t>
      </w:r>
      <w:r w:rsidR="00AC2DF3">
        <w:rPr>
          <w:rFonts w:cs="ArialMT"/>
        </w:rPr>
        <w:t>sequester</w:t>
      </w:r>
      <w:r w:rsidR="00DB2676">
        <w:rPr>
          <w:rFonts w:cs="ArialMT"/>
        </w:rPr>
        <w:t xml:space="preserve"> the CO</w:t>
      </w:r>
      <w:r w:rsidR="00DB2676" w:rsidRPr="00622F40">
        <w:rPr>
          <w:rFonts w:cs="ArialMT"/>
          <w:vertAlign w:val="subscript"/>
        </w:rPr>
        <w:t>2</w:t>
      </w:r>
      <w:r w:rsidR="00132800">
        <w:rPr>
          <w:rFonts w:cs="ArialMT"/>
        </w:rPr>
        <w:t>, until its end-of use where it is released.</w:t>
      </w:r>
      <w:r w:rsidR="004E29F6">
        <w:rPr>
          <w:rFonts w:cs="ArialMT"/>
        </w:rPr>
        <w:t xml:space="preserve"> Only </w:t>
      </w:r>
      <w:r w:rsidR="002A4D15">
        <w:rPr>
          <w:rFonts w:cs="ArialMT"/>
        </w:rPr>
        <w:t>CO</w:t>
      </w:r>
      <w:r w:rsidR="002A4D15" w:rsidRPr="005C143B">
        <w:rPr>
          <w:rFonts w:cs="ArialMT"/>
          <w:vertAlign w:val="subscript"/>
        </w:rPr>
        <w:t>2</w:t>
      </w:r>
      <w:r w:rsidR="002A4D15">
        <w:rPr>
          <w:rFonts w:cs="ArialMT"/>
          <w:vertAlign w:val="subscript"/>
        </w:rPr>
        <w:t xml:space="preserve"> </w:t>
      </w:r>
      <w:r w:rsidR="006B027E">
        <w:rPr>
          <w:rFonts w:cs="ArialMT"/>
        </w:rPr>
        <w:t>fluxes</w:t>
      </w:r>
      <w:r w:rsidR="004E29F6">
        <w:rPr>
          <w:rFonts w:cs="ArialMT"/>
        </w:rPr>
        <w:t xml:space="preserve"> </w:t>
      </w:r>
      <w:r w:rsidR="002A4D15">
        <w:rPr>
          <w:rFonts w:cs="ArialMT"/>
        </w:rPr>
        <w:t>are applicable to this category.</w:t>
      </w:r>
    </w:p>
    <w:p w14:paraId="1F914C31" w14:textId="4E266555" w:rsidR="005B16E6" w:rsidRDefault="005B16E6" w:rsidP="00FF4E98">
      <w:pPr>
        <w:autoSpaceDE w:val="0"/>
        <w:autoSpaceDN w:val="0"/>
        <w:adjustRightInd w:val="0"/>
        <w:spacing w:before="120" w:after="120" w:line="240" w:lineRule="auto"/>
        <w:rPr>
          <w:rFonts w:cs="ArialMT"/>
        </w:rPr>
      </w:pPr>
      <w:r>
        <w:rPr>
          <w:rFonts w:cs="ArialMT"/>
        </w:rPr>
        <w:t>The following graph gives the</w:t>
      </w:r>
      <w:r w:rsidR="00685C8A">
        <w:rPr>
          <w:rFonts w:cs="ArialMT"/>
        </w:rPr>
        <w:t xml:space="preserve"> evolution of the annual</w:t>
      </w:r>
      <w:r>
        <w:rPr>
          <w:rFonts w:cs="ArialMT"/>
        </w:rPr>
        <w:t xml:space="preserve"> amounts of </w:t>
      </w:r>
      <w:r w:rsidR="00685C8A">
        <w:rPr>
          <w:rFonts w:cs="ArialMT"/>
        </w:rPr>
        <w:t>harvested wood products</w:t>
      </w:r>
      <w:r w:rsidR="00A92688">
        <w:rPr>
          <w:rFonts w:cs="ArialMT"/>
        </w:rPr>
        <w:t xml:space="preserve"> (HWP)</w:t>
      </w:r>
      <w:r w:rsidR="00685C8A">
        <w:rPr>
          <w:rFonts w:cs="ArialMT"/>
        </w:rPr>
        <w:t xml:space="preserve">, </w:t>
      </w:r>
      <w:r w:rsidR="005E51FF">
        <w:rPr>
          <w:rFonts w:cs="ArialMT"/>
        </w:rPr>
        <w:t>in carbon mass produced (tonnes of C), from domestic harvest.</w:t>
      </w:r>
      <w:r w:rsidR="00D806C7">
        <w:rPr>
          <w:rFonts w:cs="ArialMT"/>
        </w:rPr>
        <w:t xml:space="preserve"> The three different types of product</w:t>
      </w:r>
      <w:r w:rsidR="006B027E">
        <w:rPr>
          <w:rFonts w:cs="ArialMT"/>
        </w:rPr>
        <w:t>s</w:t>
      </w:r>
      <w:r w:rsidR="00D806C7">
        <w:rPr>
          <w:rFonts w:cs="ArialMT"/>
        </w:rPr>
        <w:t xml:space="preserve"> </w:t>
      </w:r>
      <w:r w:rsidR="006B027E">
        <w:rPr>
          <w:rFonts w:cs="ArialMT"/>
        </w:rPr>
        <w:t>considered</w:t>
      </w:r>
      <w:r w:rsidR="00D806C7">
        <w:rPr>
          <w:rFonts w:cs="ArialMT"/>
        </w:rPr>
        <w:t xml:space="preserve"> are </w:t>
      </w:r>
      <w:proofErr w:type="spellStart"/>
      <w:r w:rsidR="00D806C7">
        <w:rPr>
          <w:rFonts w:cs="ArialMT"/>
        </w:rPr>
        <w:t>sawnwood</w:t>
      </w:r>
      <w:proofErr w:type="spellEnd"/>
      <w:r w:rsidR="00D806C7">
        <w:rPr>
          <w:rFonts w:cs="ArialMT"/>
        </w:rPr>
        <w:t xml:space="preserve">, wood-based panels, and paper and paperboard. In total, the carbon mass produced from domestic </w:t>
      </w:r>
      <w:r w:rsidR="00A92688">
        <w:rPr>
          <w:rFonts w:cs="ArialMT"/>
        </w:rPr>
        <w:t>HWP</w:t>
      </w:r>
      <w:r w:rsidR="00D806C7">
        <w:rPr>
          <w:rFonts w:cs="ArialMT"/>
        </w:rPr>
        <w:t xml:space="preserve"> increase</w:t>
      </w:r>
      <w:r w:rsidR="00C5790F">
        <w:rPr>
          <w:rFonts w:cs="ArialMT"/>
        </w:rPr>
        <w:t xml:space="preserve">s continuously for the period 1990-2019, until </w:t>
      </w:r>
      <w:r w:rsidR="009F425E">
        <w:rPr>
          <w:rFonts w:cs="ArialMT"/>
        </w:rPr>
        <w:t xml:space="preserve">slightly decreasing. In 2022, the amount of carbon mass produced is </w:t>
      </w:r>
      <w:r w:rsidR="000F5F19">
        <w:rPr>
          <w:rFonts w:cs="ArialMT"/>
        </w:rPr>
        <w:t xml:space="preserve">78% superior to the level of 1990. All different types of </w:t>
      </w:r>
      <w:r w:rsidR="00FF2718">
        <w:rPr>
          <w:rFonts w:cs="ArialMT"/>
        </w:rPr>
        <w:t>products</w:t>
      </w:r>
      <w:r w:rsidR="000F5F19">
        <w:rPr>
          <w:rFonts w:cs="ArialMT"/>
        </w:rPr>
        <w:t xml:space="preserve"> have increased over the studied period, </w:t>
      </w:r>
      <w:r w:rsidR="001830ED">
        <w:rPr>
          <w:rFonts w:cs="ArialMT"/>
        </w:rPr>
        <w:t xml:space="preserve">by 36% for </w:t>
      </w:r>
      <w:proofErr w:type="spellStart"/>
      <w:r w:rsidR="006071FE">
        <w:rPr>
          <w:rFonts w:cs="ArialMT"/>
        </w:rPr>
        <w:t>sawnwood</w:t>
      </w:r>
      <w:proofErr w:type="spellEnd"/>
      <w:r w:rsidR="006071FE">
        <w:rPr>
          <w:rFonts w:cs="ArialMT"/>
        </w:rPr>
        <w:t>, by 223% for wood-based panels and by 78% for paper and paperboard.</w:t>
      </w:r>
      <w:r w:rsidR="00A92688">
        <w:rPr>
          <w:rFonts w:cs="ArialMT"/>
        </w:rPr>
        <w:t xml:space="preserve"> In 2022, the amounts of carbon mass produced from domestic</w:t>
      </w:r>
      <w:r w:rsidR="00C5790F">
        <w:rPr>
          <w:rFonts w:cs="ArialMT"/>
        </w:rPr>
        <w:t xml:space="preserve"> </w:t>
      </w:r>
      <w:r w:rsidR="00A92688">
        <w:rPr>
          <w:rFonts w:cs="ArialMT"/>
        </w:rPr>
        <w:t xml:space="preserve">HWP </w:t>
      </w:r>
      <w:r w:rsidR="00F95BD7">
        <w:rPr>
          <w:rFonts w:cs="ArialMT"/>
        </w:rPr>
        <w:t>are rather evenly spread between the different product types</w:t>
      </w:r>
      <w:r w:rsidR="00197DE8">
        <w:rPr>
          <w:rFonts w:cs="ArialMT"/>
        </w:rPr>
        <w:t xml:space="preserve">: 37% for </w:t>
      </w:r>
      <w:proofErr w:type="spellStart"/>
      <w:r w:rsidR="00197DE8">
        <w:rPr>
          <w:rFonts w:cs="ArialMT"/>
        </w:rPr>
        <w:t>sawnwood</w:t>
      </w:r>
      <w:proofErr w:type="spellEnd"/>
      <w:r w:rsidR="00197DE8">
        <w:rPr>
          <w:rFonts w:cs="ArialMT"/>
        </w:rPr>
        <w:t xml:space="preserve">, 25% for </w:t>
      </w:r>
      <w:r w:rsidR="00D75969">
        <w:rPr>
          <w:rFonts w:cs="ArialMT"/>
        </w:rPr>
        <w:t xml:space="preserve">wood-based panels and 38% for </w:t>
      </w:r>
      <w:r w:rsidR="00644195">
        <w:rPr>
          <w:rFonts w:cs="ArialMT"/>
        </w:rPr>
        <w:t xml:space="preserve">paper and paperboard. </w:t>
      </w:r>
    </w:p>
    <w:p w14:paraId="52370507" w14:textId="79ABF246" w:rsidR="005E51FF" w:rsidRDefault="005E51FF" w:rsidP="00D52DC4">
      <w:pPr>
        <w:autoSpaceDE w:val="0"/>
        <w:autoSpaceDN w:val="0"/>
        <w:adjustRightInd w:val="0"/>
        <w:spacing w:after="0" w:line="240" w:lineRule="auto"/>
        <w:jc w:val="left"/>
        <w:rPr>
          <w:rFonts w:cs="ArialMT"/>
        </w:rPr>
      </w:pPr>
      <w:r>
        <w:rPr>
          <w:rFonts w:cs="ArialMT"/>
          <w:noProof/>
          <w:lang w:val="en-US"/>
        </w:rPr>
        <w:drawing>
          <wp:inline distT="0" distB="0" distL="0" distR="0" wp14:anchorId="0F68E92B" wp14:editId="63B5B178">
            <wp:extent cx="5760000" cy="2895933"/>
            <wp:effectExtent l="0" t="0" r="0" b="0"/>
            <wp:docPr id="1472292256"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60000" cy="2895933"/>
                    </a:xfrm>
                    <a:prstGeom prst="rect">
                      <a:avLst/>
                    </a:prstGeom>
                    <a:noFill/>
                  </pic:spPr>
                </pic:pic>
              </a:graphicData>
            </a:graphic>
          </wp:inline>
        </w:drawing>
      </w:r>
    </w:p>
    <w:p w14:paraId="1CBC6617" w14:textId="77777777" w:rsidR="00D52DC4" w:rsidRDefault="00D52DC4" w:rsidP="00D52DC4">
      <w:pPr>
        <w:pStyle w:val="Caption"/>
        <w:spacing w:before="0"/>
        <w:jc w:val="left"/>
      </w:pPr>
      <w:bookmarkStart w:id="1064" w:name="_Toc184808534"/>
      <w:r w:rsidRPr="005C143B">
        <w:t xml:space="preserve">Figure </w:t>
      </w:r>
      <w:r w:rsidRPr="005C143B">
        <w:fldChar w:fldCharType="begin"/>
      </w:r>
      <w:r w:rsidRPr="005C143B">
        <w:instrText xml:space="preserve"> SEQ Figure \* ARABIC </w:instrText>
      </w:r>
      <w:r w:rsidRPr="005C143B">
        <w:fldChar w:fldCharType="separate"/>
      </w:r>
      <w:r>
        <w:rPr>
          <w:noProof/>
        </w:rPr>
        <w:t>147</w:t>
      </w:r>
      <w:r w:rsidRPr="005C143B">
        <w:fldChar w:fldCharType="end"/>
      </w:r>
      <w:r w:rsidRPr="005C143B">
        <w:t xml:space="preserve">: </w:t>
      </w:r>
      <w:r>
        <w:t xml:space="preserve">Carbon mass produced </w:t>
      </w:r>
      <w:r w:rsidRPr="005C143B">
        <w:t xml:space="preserve">from </w:t>
      </w:r>
      <w:r>
        <w:t>domestic harvested wood products</w:t>
      </w:r>
      <w:r w:rsidRPr="005C143B">
        <w:t xml:space="preserve"> (</w:t>
      </w:r>
      <w:r>
        <w:t>CRT</w:t>
      </w:r>
      <w:r w:rsidRPr="005C143B">
        <w:t xml:space="preserve"> 4</w:t>
      </w:r>
      <w:r>
        <w:t>G</w:t>
      </w:r>
      <w:r w:rsidRPr="005C143B">
        <w:t>)</w:t>
      </w:r>
      <w:r>
        <w:t>, per product type</w:t>
      </w:r>
      <w:r w:rsidRPr="005C143B">
        <w:t xml:space="preserve"> (</w:t>
      </w:r>
      <w:r>
        <w:t>in t C</w:t>
      </w:r>
      <w:r w:rsidRPr="005C143B">
        <w:t>)</w:t>
      </w:r>
      <w:bookmarkEnd w:id="1064"/>
    </w:p>
    <w:p w14:paraId="2027B08C" w14:textId="75128BDA" w:rsidR="00FF4E98" w:rsidRPr="004B7EA1" w:rsidRDefault="00E94478" w:rsidP="00FF4E98">
      <w:pPr>
        <w:autoSpaceDE w:val="0"/>
        <w:autoSpaceDN w:val="0"/>
        <w:adjustRightInd w:val="0"/>
        <w:spacing w:before="120" w:after="120" w:line="240" w:lineRule="auto"/>
        <w:rPr>
          <w:rFonts w:cs="ArialMT"/>
        </w:rPr>
      </w:pPr>
      <w:r>
        <w:rPr>
          <w:rFonts w:cs="ArialMT"/>
        </w:rPr>
        <w:t xml:space="preserve">The </w:t>
      </w:r>
      <w:r w:rsidR="001971CB">
        <w:rPr>
          <w:rFonts w:cs="ArialMT"/>
        </w:rPr>
        <w:t>emi</w:t>
      </w:r>
      <w:r w:rsidR="000B0D00">
        <w:rPr>
          <w:rFonts w:cs="ArialMT"/>
        </w:rPr>
        <w:t xml:space="preserve">ssions from harvested wood products are given in the following graph. </w:t>
      </w:r>
      <w:r w:rsidR="00FF778E">
        <w:rPr>
          <w:rFonts w:cs="ArialMT"/>
        </w:rPr>
        <w:t>Some fluctuations are observed between 1990 to 2004, where most of the years the balances are net removals of CO</w:t>
      </w:r>
      <w:r w:rsidR="00FF778E" w:rsidRPr="00622F40">
        <w:rPr>
          <w:rFonts w:cs="ArialMT"/>
          <w:vertAlign w:val="subscript"/>
        </w:rPr>
        <w:t>2</w:t>
      </w:r>
      <w:r w:rsidR="00FF778E">
        <w:rPr>
          <w:rFonts w:cs="ArialMT"/>
        </w:rPr>
        <w:t xml:space="preserve"> but, for some years, some net emissions are </w:t>
      </w:r>
      <w:r w:rsidR="002D143A">
        <w:rPr>
          <w:rFonts w:cs="ArialMT"/>
        </w:rPr>
        <w:t>reported. T</w:t>
      </w:r>
      <w:r w:rsidR="009111E9">
        <w:rPr>
          <w:rFonts w:cs="ArialMT"/>
        </w:rPr>
        <w:t>he emission removals for the years 1993 and 1999 are</w:t>
      </w:r>
      <w:r w:rsidR="00BC51BD">
        <w:rPr>
          <w:rFonts w:cs="ArialMT"/>
        </w:rPr>
        <w:t xml:space="preserve"> particularly elevated, following the high levels of harvest wood products from 1992 and 1998 (see previous figure). </w:t>
      </w:r>
      <w:r w:rsidR="00721F2F">
        <w:rPr>
          <w:rFonts w:cs="ArialMT"/>
        </w:rPr>
        <w:t>Then, the net removals increased from 2008 onwards, following the higher level of harvesting observed starting from 2007.</w:t>
      </w:r>
      <w:r w:rsidR="00D05CAE">
        <w:rPr>
          <w:rFonts w:cs="ArialMT"/>
        </w:rPr>
        <w:t xml:space="preserve"> In total, the net removals have increased by </w:t>
      </w:r>
      <w:r w:rsidR="00747552">
        <w:rPr>
          <w:rFonts w:cs="ArialMT"/>
        </w:rPr>
        <w:t>391%</w:t>
      </w:r>
      <w:r w:rsidR="008A37A3">
        <w:rPr>
          <w:rFonts w:cs="ArialMT"/>
        </w:rPr>
        <w:t xml:space="preserve"> between 1990 and 2022</w:t>
      </w:r>
      <w:r w:rsidR="00747552">
        <w:rPr>
          <w:rFonts w:cs="ArialMT"/>
        </w:rPr>
        <w:t xml:space="preserve">. </w:t>
      </w:r>
    </w:p>
    <w:p w14:paraId="281CAA4D" w14:textId="6FB06F53" w:rsidR="00FF4E98" w:rsidRDefault="00170CF5" w:rsidP="00D52DC4">
      <w:pPr>
        <w:spacing w:after="0" w:line="240" w:lineRule="auto"/>
        <w:jc w:val="left"/>
      </w:pPr>
      <w:r>
        <w:rPr>
          <w:noProof/>
          <w:lang w:val="en-US"/>
        </w:rPr>
        <w:drawing>
          <wp:inline distT="0" distB="0" distL="0" distR="0" wp14:anchorId="4D51A1E3" wp14:editId="75B41BAE">
            <wp:extent cx="5760000" cy="1753712"/>
            <wp:effectExtent l="0" t="0" r="0" b="0"/>
            <wp:docPr id="1658792041"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4C4B41FD" w14:textId="77777777" w:rsidR="00D52DC4" w:rsidRDefault="00D52DC4" w:rsidP="00D52DC4">
      <w:pPr>
        <w:pStyle w:val="Caption"/>
        <w:spacing w:before="0" w:after="0"/>
        <w:jc w:val="left"/>
      </w:pPr>
      <w:bookmarkStart w:id="1065" w:name="_Toc184808535"/>
      <w:r w:rsidRPr="005C143B">
        <w:t xml:space="preserve">Figure </w:t>
      </w:r>
      <w:r w:rsidRPr="005C143B">
        <w:fldChar w:fldCharType="begin"/>
      </w:r>
      <w:r w:rsidRPr="005C143B">
        <w:instrText xml:space="preserve"> SEQ Figure \* ARABIC </w:instrText>
      </w:r>
      <w:r w:rsidRPr="005C143B">
        <w:fldChar w:fldCharType="separate"/>
      </w:r>
      <w:r>
        <w:rPr>
          <w:noProof/>
        </w:rPr>
        <w:t>148</w:t>
      </w:r>
      <w:r w:rsidRPr="005C143B">
        <w:fldChar w:fldCharType="end"/>
      </w:r>
      <w:r w:rsidRPr="005C143B">
        <w:t xml:space="preserve">: GHG emissions from </w:t>
      </w:r>
      <w:r>
        <w:t>harvested wood products</w:t>
      </w:r>
      <w:r w:rsidRPr="005C143B">
        <w:t xml:space="preserve"> (</w:t>
      </w:r>
      <w:r>
        <w:t>CRT</w:t>
      </w:r>
      <w:r w:rsidRPr="005C143B">
        <w:t xml:space="preserve"> 4</w:t>
      </w:r>
      <w:r>
        <w:t>G</w:t>
      </w:r>
      <w:r w:rsidRPr="005C143B">
        <w:t>) (kt CO</w:t>
      </w:r>
      <w:r w:rsidRPr="00D52DC4">
        <w:rPr>
          <w:vertAlign w:val="subscript"/>
        </w:rPr>
        <w:t>2e</w:t>
      </w:r>
      <w:r w:rsidRPr="005C143B">
        <w:t>)</w:t>
      </w:r>
      <w:bookmarkEnd w:id="1065"/>
    </w:p>
    <w:p w14:paraId="29B24DB3" w14:textId="1DDE5594" w:rsidR="00FF4E98" w:rsidRDefault="00FF4E98" w:rsidP="00FF4E98">
      <w:pPr>
        <w:pStyle w:val="Heading3"/>
        <w:keepNext/>
        <w:keepLines/>
        <w:tabs>
          <w:tab w:val="clear" w:pos="142"/>
          <w:tab w:val="clear" w:pos="1134"/>
        </w:tabs>
        <w:spacing w:before="200" w:after="0" w:line="276" w:lineRule="auto"/>
        <w:jc w:val="left"/>
      </w:pPr>
      <w:r>
        <w:lastRenderedPageBreak/>
        <w:t xml:space="preserve"> </w:t>
      </w:r>
      <w:bookmarkStart w:id="1066" w:name="_Toc182328089"/>
      <w:bookmarkStart w:id="1067" w:name="_Toc184808347"/>
      <w:r>
        <w:t>Methodological issues</w:t>
      </w:r>
      <w:bookmarkEnd w:id="1066"/>
      <w:bookmarkEnd w:id="1067"/>
      <w:r>
        <w:t xml:space="preserve"> </w:t>
      </w:r>
    </w:p>
    <w:p w14:paraId="67636D1F" w14:textId="560A6CDC" w:rsidR="00132800" w:rsidRPr="0003002C" w:rsidRDefault="00132800" w:rsidP="00132800">
      <w:pPr>
        <w:pStyle w:val="BodyText"/>
        <w:rPr>
          <w:lang w:val="en-US" w:eastAsia="fr-FR"/>
        </w:rPr>
      </w:pPr>
      <w:r>
        <w:rPr>
          <w:lang w:val="en-US" w:eastAsia="fr-FR"/>
        </w:rPr>
        <w:t xml:space="preserve">GHG emissions from </w:t>
      </w:r>
      <w:r w:rsidR="00E86153">
        <w:rPr>
          <w:lang w:val="en-US" w:eastAsia="fr-FR"/>
        </w:rPr>
        <w:t>harvested wood products</w:t>
      </w:r>
      <w:r w:rsidRPr="0003002C">
        <w:rPr>
          <w:lang w:val="en-US" w:eastAsia="fr-FR"/>
        </w:rPr>
        <w:t xml:space="preserve"> are calculated </w:t>
      </w:r>
      <w:r w:rsidR="00E86153">
        <w:rPr>
          <w:lang w:val="en-US" w:eastAsia="fr-FR"/>
        </w:rPr>
        <w:t xml:space="preserve">based on </w:t>
      </w:r>
      <w:r w:rsidR="00E86153" w:rsidRPr="00E86153">
        <w:rPr>
          <w:lang w:val="en-US" w:eastAsia="fr-FR"/>
        </w:rPr>
        <w:t>2013 Revised Supplementary Methods and Good Practice Guidance Arising from the Kyoto Protocol</w:t>
      </w:r>
      <w:r w:rsidRPr="0003002C">
        <w:rPr>
          <w:lang w:val="en-US" w:eastAsia="fr-FR"/>
        </w:rPr>
        <w:t xml:space="preserve">. </w:t>
      </w:r>
    </w:p>
    <w:p w14:paraId="6C5E2AFB" w14:textId="1D6BB045" w:rsidR="00132800" w:rsidRPr="0003002C" w:rsidRDefault="00132800" w:rsidP="00132800">
      <w:pPr>
        <w:pStyle w:val="BodyText"/>
        <w:rPr>
          <w:lang w:val="en-US" w:eastAsia="fr-FR"/>
        </w:rPr>
      </w:pPr>
      <w:r w:rsidRPr="0003002C">
        <w:rPr>
          <w:lang w:val="en-US" w:eastAsia="fr-FR"/>
        </w:rPr>
        <w:t xml:space="preserve">Activity data used </w:t>
      </w:r>
      <w:r>
        <w:rPr>
          <w:lang w:val="en-US" w:eastAsia="fr-FR"/>
        </w:rPr>
        <w:t>are</w:t>
      </w:r>
      <w:r w:rsidRPr="0003002C">
        <w:rPr>
          <w:lang w:val="en-US" w:eastAsia="fr-FR"/>
        </w:rPr>
        <w:t xml:space="preserve"> </w:t>
      </w:r>
      <w:r>
        <w:rPr>
          <w:lang w:val="en-US" w:eastAsia="fr-FR"/>
        </w:rPr>
        <w:t xml:space="preserve">the annual quantities of </w:t>
      </w:r>
      <w:proofErr w:type="spellStart"/>
      <w:r w:rsidR="00850FA8">
        <w:rPr>
          <w:lang w:val="en-US" w:eastAsia="fr-FR"/>
        </w:rPr>
        <w:t>sawnwood</w:t>
      </w:r>
      <w:proofErr w:type="spellEnd"/>
      <w:r w:rsidR="00850FA8">
        <w:rPr>
          <w:lang w:val="en-US" w:eastAsia="fr-FR"/>
        </w:rPr>
        <w:t xml:space="preserve">, wood-based panels and paper and paperboard produced, imported and exported, which are taken from </w:t>
      </w:r>
      <w:r w:rsidR="00354FB0">
        <w:rPr>
          <w:lang w:val="en-US" w:eastAsia="fr-FR"/>
        </w:rPr>
        <w:t xml:space="preserve">FAOSTAT </w:t>
      </w:r>
      <w:r w:rsidR="00354FB0">
        <w:rPr>
          <w:lang w:val="en-US" w:eastAsia="fr-FR"/>
        </w:rPr>
        <w:fldChar w:fldCharType="begin"/>
      </w:r>
      <w:r w:rsidR="00354FB0">
        <w:rPr>
          <w:lang w:val="en-US" w:eastAsia="fr-FR"/>
        </w:rPr>
        <w:instrText xml:space="preserve"> REF _Ref179466192 \r \h </w:instrText>
      </w:r>
      <w:r w:rsidR="00354FB0">
        <w:rPr>
          <w:lang w:val="en-US" w:eastAsia="fr-FR"/>
        </w:rPr>
      </w:r>
      <w:r w:rsidR="00354FB0">
        <w:rPr>
          <w:lang w:val="en-US" w:eastAsia="fr-FR"/>
        </w:rPr>
        <w:fldChar w:fldCharType="separate"/>
      </w:r>
      <w:r w:rsidR="00F14C78">
        <w:rPr>
          <w:lang w:val="en-US" w:eastAsia="fr-FR"/>
        </w:rPr>
        <w:t>[L1]</w:t>
      </w:r>
      <w:r w:rsidR="00354FB0">
        <w:rPr>
          <w:lang w:val="en-US" w:eastAsia="fr-FR"/>
        </w:rPr>
        <w:fldChar w:fldCharType="end"/>
      </w:r>
      <w:r>
        <w:rPr>
          <w:lang w:val="en-US" w:eastAsia="fr-FR"/>
        </w:rPr>
        <w:t>.</w:t>
      </w:r>
      <w:r w:rsidRPr="0003002C">
        <w:rPr>
          <w:lang w:val="en-US" w:eastAsia="fr-FR"/>
        </w:rPr>
        <w:t xml:space="preserve"> </w:t>
      </w:r>
    </w:p>
    <w:p w14:paraId="3D74A466" w14:textId="55F9EDD9" w:rsidR="00132800" w:rsidRDefault="000F41DE" w:rsidP="00132800">
      <w:pPr>
        <w:pStyle w:val="BodyText"/>
        <w:rPr>
          <w:lang w:val="en-US" w:eastAsia="fr-FR"/>
        </w:rPr>
      </w:pPr>
      <w:r>
        <w:rPr>
          <w:lang w:val="en-US" w:eastAsia="fr-FR"/>
        </w:rPr>
        <w:t>The emission factors and other parameters used to estimate the emissions are taken from the</w:t>
      </w:r>
      <w:r w:rsidRPr="000F41DE">
        <w:rPr>
          <w:lang w:val="en-US" w:eastAsia="fr-FR"/>
        </w:rPr>
        <w:t xml:space="preserve"> 2013 KP Supplement</w:t>
      </w:r>
      <w:r>
        <w:rPr>
          <w:lang w:val="en-US" w:eastAsia="fr-FR"/>
        </w:rPr>
        <w:t xml:space="preserve">. </w:t>
      </w:r>
      <w:r w:rsidR="008932EE">
        <w:rPr>
          <w:lang w:val="en-US" w:eastAsia="fr-FR"/>
        </w:rPr>
        <w:t>The default values for densities, carbon conversion factors and half-lives, depending on the product type, are given in the following table.</w:t>
      </w:r>
    </w:p>
    <w:p w14:paraId="29ED79D2" w14:textId="38B95C0A" w:rsidR="004C69FE" w:rsidRDefault="004C69FE" w:rsidP="00D52DC4">
      <w:pPr>
        <w:pStyle w:val="Caption"/>
        <w:keepNext/>
        <w:jc w:val="left"/>
      </w:pPr>
      <w:bookmarkStart w:id="1068" w:name="_Ref179977950"/>
      <w:bookmarkStart w:id="1069" w:name="_Toc184808588"/>
      <w:r>
        <w:t xml:space="preserve">Table </w:t>
      </w:r>
      <w:r>
        <w:fldChar w:fldCharType="begin"/>
      </w:r>
      <w:r>
        <w:instrText xml:space="preserve"> SEQ Table \* ARABIC </w:instrText>
      </w:r>
      <w:r>
        <w:fldChar w:fldCharType="separate"/>
      </w:r>
      <w:r w:rsidR="00F14C78">
        <w:rPr>
          <w:noProof/>
        </w:rPr>
        <w:t>44</w:t>
      </w:r>
      <w:r>
        <w:fldChar w:fldCharType="end"/>
      </w:r>
      <w:bookmarkEnd w:id="1068"/>
      <w:r>
        <w:t xml:space="preserve">: </w:t>
      </w:r>
      <w:r w:rsidR="00F579C3">
        <w:t>Default parameters for emission estimation, for harvested wood products (CRT 4G),</w:t>
      </w:r>
      <w:r>
        <w:t xml:space="preserve"> used in Serbian inventory</w:t>
      </w:r>
      <w:bookmarkEnd w:id="1069"/>
    </w:p>
    <w:tbl>
      <w:tblPr>
        <w:tblStyle w:val="TableGrid"/>
        <w:tblW w:w="0" w:type="auto"/>
        <w:tblLook w:val="04A0" w:firstRow="1" w:lastRow="0" w:firstColumn="1" w:lastColumn="0" w:noHBand="0" w:noVBand="1"/>
      </w:tblPr>
      <w:tblGrid>
        <w:gridCol w:w="2411"/>
        <w:gridCol w:w="1837"/>
        <w:gridCol w:w="2551"/>
        <w:gridCol w:w="1714"/>
      </w:tblGrid>
      <w:tr w:rsidR="008A37A3" w:rsidRPr="00036F78" w14:paraId="61C27041" w14:textId="305EC422" w:rsidTr="00D52DC4">
        <w:tc>
          <w:tcPr>
            <w:tcW w:w="2411" w:type="dxa"/>
            <w:shd w:val="clear" w:color="auto" w:fill="B8CCE4" w:themeFill="accent1" w:themeFillTint="66"/>
          </w:tcPr>
          <w:p w14:paraId="16672C15" w14:textId="6F276E68" w:rsidR="004C69FE" w:rsidRPr="001F0275" w:rsidRDefault="004C69FE" w:rsidP="005C143B">
            <w:pPr>
              <w:pStyle w:val="BodyText"/>
              <w:jc w:val="center"/>
              <w:rPr>
                <w:b/>
                <w:bCs/>
                <w:lang w:val="en-US" w:eastAsia="fr-FR"/>
              </w:rPr>
            </w:pPr>
            <w:r>
              <w:rPr>
                <w:b/>
                <w:bCs/>
                <w:lang w:val="en-US" w:eastAsia="fr-FR"/>
              </w:rPr>
              <w:t>Wood product</w:t>
            </w:r>
          </w:p>
        </w:tc>
        <w:tc>
          <w:tcPr>
            <w:tcW w:w="1837" w:type="dxa"/>
            <w:shd w:val="clear" w:color="auto" w:fill="B8CCE4" w:themeFill="accent1" w:themeFillTint="66"/>
          </w:tcPr>
          <w:p w14:paraId="0F12DD5A" w14:textId="244D611C" w:rsidR="004C69FE" w:rsidRPr="001F0275" w:rsidRDefault="004C69FE" w:rsidP="005C143B">
            <w:pPr>
              <w:pStyle w:val="BodyText"/>
              <w:jc w:val="center"/>
              <w:rPr>
                <w:b/>
                <w:bCs/>
                <w:lang w:val="en-US" w:eastAsia="fr-FR"/>
              </w:rPr>
            </w:pPr>
            <w:r>
              <w:rPr>
                <w:b/>
                <w:bCs/>
                <w:lang w:val="en-US" w:eastAsia="fr-FR"/>
              </w:rPr>
              <w:t xml:space="preserve">Density </w:t>
            </w:r>
            <w:r w:rsidR="00B21F80">
              <w:rPr>
                <w:b/>
                <w:bCs/>
                <w:lang w:val="en-US" w:eastAsia="fr-FR"/>
              </w:rPr>
              <w:br/>
            </w:r>
            <w:r w:rsidR="007F50A2">
              <w:rPr>
                <w:b/>
                <w:bCs/>
                <w:lang w:val="en-US" w:eastAsia="fr-FR"/>
              </w:rPr>
              <w:t>(t/</w:t>
            </w:r>
            <w:r w:rsidR="00B21F80">
              <w:rPr>
                <w:b/>
                <w:bCs/>
                <w:lang w:val="en-US" w:eastAsia="fr-FR"/>
              </w:rPr>
              <w:t>unit of product</w:t>
            </w:r>
            <w:r w:rsidR="00871F5E">
              <w:rPr>
                <w:b/>
                <w:bCs/>
                <w:lang w:val="en-US" w:eastAsia="fr-FR"/>
              </w:rPr>
              <w:t>)</w:t>
            </w:r>
          </w:p>
        </w:tc>
        <w:tc>
          <w:tcPr>
            <w:tcW w:w="2551" w:type="dxa"/>
            <w:shd w:val="clear" w:color="auto" w:fill="B8CCE4" w:themeFill="accent1" w:themeFillTint="66"/>
          </w:tcPr>
          <w:p w14:paraId="11586257" w14:textId="027B5D12" w:rsidR="004C69FE" w:rsidRPr="00622F40" w:rsidRDefault="00871F5E" w:rsidP="005C143B">
            <w:pPr>
              <w:pStyle w:val="BodyText"/>
              <w:jc w:val="center"/>
              <w:rPr>
                <w:b/>
                <w:bCs/>
                <w:lang w:val="fr-FR" w:eastAsia="fr-FR"/>
              </w:rPr>
            </w:pPr>
            <w:r w:rsidRPr="00622F40">
              <w:rPr>
                <w:b/>
                <w:bCs/>
                <w:lang w:val="fr-FR" w:eastAsia="fr-FR"/>
              </w:rPr>
              <w:t xml:space="preserve">Carbon conversion factor </w:t>
            </w:r>
            <w:r w:rsidR="00B21F80">
              <w:rPr>
                <w:b/>
                <w:bCs/>
                <w:lang w:val="fr-FR" w:eastAsia="fr-FR"/>
              </w:rPr>
              <w:br/>
            </w:r>
            <w:r w:rsidRPr="00622F40">
              <w:rPr>
                <w:b/>
                <w:bCs/>
                <w:lang w:val="fr-FR" w:eastAsia="fr-FR"/>
              </w:rPr>
              <w:t>(t C/</w:t>
            </w:r>
            <w:r w:rsidR="00B21F80">
              <w:rPr>
                <w:b/>
                <w:bCs/>
                <w:lang w:val="fr-FR" w:eastAsia="fr-FR"/>
              </w:rPr>
              <w:t xml:space="preserve">unit of </w:t>
            </w:r>
            <w:proofErr w:type="spellStart"/>
            <w:r w:rsidR="00B21F80">
              <w:rPr>
                <w:b/>
                <w:bCs/>
                <w:lang w:val="fr-FR" w:eastAsia="fr-FR"/>
              </w:rPr>
              <w:t>product</w:t>
            </w:r>
            <w:proofErr w:type="spellEnd"/>
            <w:r w:rsidR="00036F78" w:rsidRPr="00622F40">
              <w:rPr>
                <w:b/>
                <w:bCs/>
                <w:lang w:val="fr-FR" w:eastAsia="fr-FR"/>
              </w:rPr>
              <w:t>)</w:t>
            </w:r>
          </w:p>
        </w:tc>
        <w:tc>
          <w:tcPr>
            <w:tcW w:w="1714" w:type="dxa"/>
            <w:shd w:val="clear" w:color="auto" w:fill="B8CCE4" w:themeFill="accent1" w:themeFillTint="66"/>
          </w:tcPr>
          <w:p w14:paraId="3E9720B9" w14:textId="65597418" w:rsidR="004C69FE" w:rsidRPr="00622F40" w:rsidRDefault="00036F78" w:rsidP="005C143B">
            <w:pPr>
              <w:pStyle w:val="BodyText"/>
              <w:jc w:val="center"/>
              <w:rPr>
                <w:b/>
                <w:bCs/>
                <w:lang w:val="fr-FR" w:eastAsia="fr-FR"/>
              </w:rPr>
            </w:pPr>
            <w:r>
              <w:rPr>
                <w:b/>
                <w:bCs/>
                <w:lang w:val="fr-FR" w:eastAsia="fr-FR"/>
              </w:rPr>
              <w:t xml:space="preserve">Half </w:t>
            </w:r>
            <w:proofErr w:type="spellStart"/>
            <w:r>
              <w:rPr>
                <w:b/>
                <w:bCs/>
                <w:lang w:val="fr-FR" w:eastAsia="fr-FR"/>
              </w:rPr>
              <w:t>lives</w:t>
            </w:r>
            <w:proofErr w:type="spellEnd"/>
            <w:r>
              <w:rPr>
                <w:b/>
                <w:bCs/>
                <w:lang w:val="fr-FR" w:eastAsia="fr-FR"/>
              </w:rPr>
              <w:br/>
              <w:t>(</w:t>
            </w:r>
            <w:proofErr w:type="spellStart"/>
            <w:r>
              <w:rPr>
                <w:b/>
                <w:bCs/>
                <w:lang w:val="fr-FR" w:eastAsia="fr-FR"/>
              </w:rPr>
              <w:t>years</w:t>
            </w:r>
            <w:proofErr w:type="spellEnd"/>
            <w:r>
              <w:rPr>
                <w:b/>
                <w:bCs/>
                <w:lang w:val="fr-FR" w:eastAsia="fr-FR"/>
              </w:rPr>
              <w:t>)</w:t>
            </w:r>
          </w:p>
        </w:tc>
      </w:tr>
      <w:tr w:rsidR="004C69FE" w14:paraId="146EB17C" w14:textId="7A9763C1" w:rsidTr="00D52DC4">
        <w:tc>
          <w:tcPr>
            <w:tcW w:w="2411" w:type="dxa"/>
          </w:tcPr>
          <w:p w14:paraId="7B594E0B" w14:textId="49026A7A" w:rsidR="004C69FE" w:rsidRDefault="00402026" w:rsidP="005C143B">
            <w:pPr>
              <w:pStyle w:val="BodyText"/>
              <w:jc w:val="center"/>
              <w:rPr>
                <w:lang w:val="en-US" w:eastAsia="fr-FR"/>
              </w:rPr>
            </w:pPr>
            <w:proofErr w:type="spellStart"/>
            <w:r>
              <w:rPr>
                <w:lang w:val="en-US" w:eastAsia="fr-FR"/>
              </w:rPr>
              <w:t>Sawnwood</w:t>
            </w:r>
            <w:proofErr w:type="spellEnd"/>
            <w:r w:rsidR="00B21F80">
              <w:rPr>
                <w:lang w:val="en-US" w:eastAsia="fr-FR"/>
              </w:rPr>
              <w:t xml:space="preserve"> (m</w:t>
            </w:r>
            <w:r w:rsidR="00B21F80" w:rsidRPr="00622F40">
              <w:rPr>
                <w:vertAlign w:val="superscript"/>
                <w:lang w:val="en-US" w:eastAsia="fr-FR"/>
              </w:rPr>
              <w:t>3</w:t>
            </w:r>
            <w:r w:rsidR="00B21F80">
              <w:rPr>
                <w:lang w:val="en-US" w:eastAsia="fr-FR"/>
              </w:rPr>
              <w:t>)</w:t>
            </w:r>
          </w:p>
        </w:tc>
        <w:tc>
          <w:tcPr>
            <w:tcW w:w="1837" w:type="dxa"/>
          </w:tcPr>
          <w:p w14:paraId="2C13F36F" w14:textId="5E51D20F" w:rsidR="004C69FE" w:rsidRDefault="00871F5E" w:rsidP="005C143B">
            <w:pPr>
              <w:pStyle w:val="BodyText"/>
              <w:jc w:val="center"/>
              <w:rPr>
                <w:lang w:val="en-US" w:eastAsia="fr-FR"/>
              </w:rPr>
            </w:pPr>
            <w:r>
              <w:rPr>
                <w:lang w:val="en-US" w:eastAsia="fr-FR"/>
              </w:rPr>
              <w:t>0.458</w:t>
            </w:r>
          </w:p>
        </w:tc>
        <w:tc>
          <w:tcPr>
            <w:tcW w:w="2551" w:type="dxa"/>
          </w:tcPr>
          <w:p w14:paraId="47B6FF7D" w14:textId="7524E337" w:rsidR="004C69FE" w:rsidRDefault="009E26A8" w:rsidP="005C143B">
            <w:pPr>
              <w:pStyle w:val="BodyText"/>
              <w:jc w:val="center"/>
              <w:rPr>
                <w:lang w:val="en-US" w:eastAsia="fr-FR"/>
              </w:rPr>
            </w:pPr>
            <w:r>
              <w:rPr>
                <w:lang w:val="en-US" w:eastAsia="fr-FR"/>
              </w:rPr>
              <w:t>0.229</w:t>
            </w:r>
          </w:p>
        </w:tc>
        <w:tc>
          <w:tcPr>
            <w:tcW w:w="1714" w:type="dxa"/>
          </w:tcPr>
          <w:p w14:paraId="1CDAC9C4" w14:textId="4D865F6F" w:rsidR="004C69FE" w:rsidRDefault="00036F78" w:rsidP="005C143B">
            <w:pPr>
              <w:pStyle w:val="BodyText"/>
              <w:jc w:val="center"/>
              <w:rPr>
                <w:lang w:val="en-US" w:eastAsia="fr-FR"/>
              </w:rPr>
            </w:pPr>
            <w:r>
              <w:rPr>
                <w:lang w:val="en-US" w:eastAsia="fr-FR"/>
              </w:rPr>
              <w:t>35</w:t>
            </w:r>
          </w:p>
        </w:tc>
      </w:tr>
      <w:tr w:rsidR="004C69FE" w14:paraId="0E13EBA5" w14:textId="07B3F2D3" w:rsidTr="00D52DC4">
        <w:tc>
          <w:tcPr>
            <w:tcW w:w="2411" w:type="dxa"/>
          </w:tcPr>
          <w:p w14:paraId="759B9273" w14:textId="0E61C68F" w:rsidR="004C69FE" w:rsidRDefault="00402026" w:rsidP="005C143B">
            <w:pPr>
              <w:pStyle w:val="BodyText"/>
              <w:jc w:val="center"/>
              <w:rPr>
                <w:lang w:val="en-US" w:eastAsia="fr-FR"/>
              </w:rPr>
            </w:pPr>
            <w:r>
              <w:rPr>
                <w:lang w:val="en-US" w:eastAsia="fr-FR"/>
              </w:rPr>
              <w:t>Wood-based panels</w:t>
            </w:r>
            <w:r w:rsidR="00B21F80">
              <w:rPr>
                <w:lang w:val="en-US" w:eastAsia="fr-FR"/>
              </w:rPr>
              <w:t xml:space="preserve"> (m</w:t>
            </w:r>
            <w:r w:rsidR="00B21F80" w:rsidRPr="005C143B">
              <w:rPr>
                <w:vertAlign w:val="superscript"/>
                <w:lang w:val="en-US" w:eastAsia="fr-FR"/>
              </w:rPr>
              <w:t>3</w:t>
            </w:r>
            <w:r w:rsidR="00B21F80">
              <w:rPr>
                <w:lang w:val="en-US" w:eastAsia="fr-FR"/>
              </w:rPr>
              <w:t xml:space="preserve">) </w:t>
            </w:r>
          </w:p>
        </w:tc>
        <w:tc>
          <w:tcPr>
            <w:tcW w:w="1837" w:type="dxa"/>
          </w:tcPr>
          <w:p w14:paraId="6C4E2CA7" w14:textId="7DCC74F7" w:rsidR="004C69FE" w:rsidRDefault="00871F5E" w:rsidP="005C143B">
            <w:pPr>
              <w:pStyle w:val="BodyText"/>
              <w:jc w:val="center"/>
              <w:rPr>
                <w:lang w:val="en-US" w:eastAsia="fr-FR"/>
              </w:rPr>
            </w:pPr>
            <w:r>
              <w:rPr>
                <w:lang w:val="en-US" w:eastAsia="fr-FR"/>
              </w:rPr>
              <w:t>0.595</w:t>
            </w:r>
          </w:p>
        </w:tc>
        <w:tc>
          <w:tcPr>
            <w:tcW w:w="2551" w:type="dxa"/>
          </w:tcPr>
          <w:p w14:paraId="7611720C" w14:textId="61872583" w:rsidR="004C69FE" w:rsidRDefault="009E26A8" w:rsidP="005C143B">
            <w:pPr>
              <w:pStyle w:val="BodyText"/>
              <w:jc w:val="center"/>
              <w:rPr>
                <w:lang w:val="en-US" w:eastAsia="fr-FR"/>
              </w:rPr>
            </w:pPr>
            <w:r>
              <w:rPr>
                <w:lang w:val="en-US" w:eastAsia="fr-FR"/>
              </w:rPr>
              <w:t>0.269</w:t>
            </w:r>
          </w:p>
        </w:tc>
        <w:tc>
          <w:tcPr>
            <w:tcW w:w="1714" w:type="dxa"/>
          </w:tcPr>
          <w:p w14:paraId="1D773A68" w14:textId="62404DEB" w:rsidR="004C69FE" w:rsidRDefault="00036F78" w:rsidP="005C143B">
            <w:pPr>
              <w:pStyle w:val="BodyText"/>
              <w:jc w:val="center"/>
              <w:rPr>
                <w:lang w:val="en-US" w:eastAsia="fr-FR"/>
              </w:rPr>
            </w:pPr>
            <w:r>
              <w:rPr>
                <w:lang w:val="en-US" w:eastAsia="fr-FR"/>
              </w:rPr>
              <w:t>25</w:t>
            </w:r>
          </w:p>
        </w:tc>
      </w:tr>
      <w:tr w:rsidR="004C69FE" w14:paraId="0079CCFE" w14:textId="5FD2FB95" w:rsidTr="00D52DC4">
        <w:tc>
          <w:tcPr>
            <w:tcW w:w="2411" w:type="dxa"/>
          </w:tcPr>
          <w:p w14:paraId="2D43DEDA" w14:textId="53AD7EC8" w:rsidR="004C69FE" w:rsidRDefault="00402026" w:rsidP="005C143B">
            <w:pPr>
              <w:pStyle w:val="BodyText"/>
              <w:jc w:val="center"/>
              <w:rPr>
                <w:lang w:val="en-US" w:eastAsia="fr-FR"/>
              </w:rPr>
            </w:pPr>
            <w:r>
              <w:rPr>
                <w:lang w:val="en-US" w:eastAsia="fr-FR"/>
              </w:rPr>
              <w:t xml:space="preserve">Paper and paperboard </w:t>
            </w:r>
            <w:r w:rsidR="00B21F80">
              <w:rPr>
                <w:lang w:val="en-US" w:eastAsia="fr-FR"/>
              </w:rPr>
              <w:t>(t)</w:t>
            </w:r>
          </w:p>
        </w:tc>
        <w:tc>
          <w:tcPr>
            <w:tcW w:w="1837" w:type="dxa"/>
          </w:tcPr>
          <w:p w14:paraId="1FC916BB" w14:textId="19EDF438" w:rsidR="004C69FE" w:rsidRDefault="00871F5E" w:rsidP="005C143B">
            <w:pPr>
              <w:pStyle w:val="BodyText"/>
              <w:jc w:val="center"/>
              <w:rPr>
                <w:lang w:val="en-US" w:eastAsia="fr-FR"/>
              </w:rPr>
            </w:pPr>
            <w:r>
              <w:rPr>
                <w:lang w:val="en-US" w:eastAsia="fr-FR"/>
              </w:rPr>
              <w:t>0.9</w:t>
            </w:r>
          </w:p>
        </w:tc>
        <w:tc>
          <w:tcPr>
            <w:tcW w:w="2551" w:type="dxa"/>
          </w:tcPr>
          <w:p w14:paraId="01EC397A" w14:textId="6C44E925" w:rsidR="004C69FE" w:rsidRDefault="009E26A8" w:rsidP="005C143B">
            <w:pPr>
              <w:pStyle w:val="BodyText"/>
              <w:jc w:val="center"/>
              <w:rPr>
                <w:lang w:val="en-US" w:eastAsia="fr-FR"/>
              </w:rPr>
            </w:pPr>
            <w:r>
              <w:rPr>
                <w:lang w:val="en-US" w:eastAsia="fr-FR"/>
              </w:rPr>
              <w:t>0.386</w:t>
            </w:r>
          </w:p>
        </w:tc>
        <w:tc>
          <w:tcPr>
            <w:tcW w:w="1714" w:type="dxa"/>
          </w:tcPr>
          <w:p w14:paraId="3C0A6A28" w14:textId="0FAE69D5" w:rsidR="004C69FE" w:rsidRDefault="00036F78" w:rsidP="005C143B">
            <w:pPr>
              <w:pStyle w:val="BodyText"/>
              <w:jc w:val="center"/>
              <w:rPr>
                <w:lang w:val="en-US" w:eastAsia="fr-FR"/>
              </w:rPr>
            </w:pPr>
            <w:r>
              <w:rPr>
                <w:lang w:val="en-US" w:eastAsia="fr-FR"/>
              </w:rPr>
              <w:t>2</w:t>
            </w:r>
          </w:p>
        </w:tc>
      </w:tr>
    </w:tbl>
    <w:p w14:paraId="67B07EFF" w14:textId="77777777" w:rsidR="005274F9" w:rsidRDefault="00FF4E98" w:rsidP="005274F9">
      <w:r>
        <w:t xml:space="preserve"> </w:t>
      </w:r>
    </w:p>
    <w:p w14:paraId="2CF42E45" w14:textId="67EC1A0E" w:rsidR="00FF4E98" w:rsidRDefault="00FF4E98" w:rsidP="00FF4E98">
      <w:pPr>
        <w:pStyle w:val="Heading3"/>
        <w:keepNext/>
        <w:keepLines/>
        <w:tabs>
          <w:tab w:val="clear" w:pos="142"/>
          <w:tab w:val="clear" w:pos="1134"/>
        </w:tabs>
        <w:spacing w:before="200" w:after="0" w:line="276" w:lineRule="auto"/>
        <w:jc w:val="left"/>
      </w:pPr>
      <w:bookmarkStart w:id="1070" w:name="_Toc182328090"/>
      <w:bookmarkStart w:id="1071" w:name="_Toc184808348"/>
      <w:r>
        <w:t>Uncertainties and time-series consistency</w:t>
      </w:r>
      <w:bookmarkEnd w:id="1070"/>
      <w:bookmarkEnd w:id="1071"/>
    </w:p>
    <w:p w14:paraId="2E9FE94E" w14:textId="77777777" w:rsidR="00FF4E98" w:rsidRPr="002462F0" w:rsidRDefault="00FF4E98" w:rsidP="00FF4E98">
      <w:pPr>
        <w:pStyle w:val="BodyText"/>
        <w:rPr>
          <w:lang w:eastAsia="fr-FR"/>
        </w:rPr>
      </w:pPr>
      <w:r w:rsidRPr="002462F0">
        <w:rPr>
          <w:lang w:eastAsia="fr-FR"/>
        </w:rPr>
        <w:t xml:space="preserve">Uncertainty estimate associated with activity data amounts to </w:t>
      </w:r>
      <w:r>
        <w:rPr>
          <w:lang w:eastAsia="fr-FR"/>
        </w:rPr>
        <w:t>10</w:t>
      </w:r>
      <w:r w:rsidRPr="002462F0">
        <w:rPr>
          <w:lang w:eastAsia="fr-FR"/>
        </w:rPr>
        <w:t>%, based on expert judgment.</w:t>
      </w:r>
    </w:p>
    <w:p w14:paraId="47C61FD1" w14:textId="514DD3CA" w:rsidR="00FF4E98" w:rsidRPr="002462F0" w:rsidRDefault="00FF4E98" w:rsidP="00FF4E98">
      <w:pPr>
        <w:pStyle w:val="BodyText"/>
        <w:rPr>
          <w:lang w:eastAsia="fr-FR"/>
        </w:rPr>
      </w:pPr>
      <w:r w:rsidRPr="002462F0">
        <w:rPr>
          <w:lang w:eastAsia="fr-FR"/>
        </w:rPr>
        <w:t xml:space="preserve">Uncertainty estimate associated </w:t>
      </w:r>
      <w:r>
        <w:rPr>
          <w:lang w:eastAsia="fr-FR"/>
        </w:rPr>
        <w:t xml:space="preserve">with </w:t>
      </w:r>
      <w:r w:rsidRPr="002462F0">
        <w:rPr>
          <w:lang w:eastAsia="fr-FR"/>
        </w:rPr>
        <w:t xml:space="preserve">emission factor </w:t>
      </w:r>
      <w:r>
        <w:rPr>
          <w:lang w:eastAsia="fr-FR"/>
        </w:rPr>
        <w:t xml:space="preserve">is </w:t>
      </w:r>
      <w:r w:rsidR="00053B09">
        <w:rPr>
          <w:lang w:eastAsia="fr-FR"/>
        </w:rPr>
        <w:t>100</w:t>
      </w:r>
      <w:r>
        <w:rPr>
          <w:lang w:eastAsia="fr-FR"/>
        </w:rPr>
        <w:t xml:space="preserve">% for </w:t>
      </w:r>
      <w:r w:rsidRPr="002462F0">
        <w:rPr>
          <w:lang w:eastAsia="fr-FR"/>
        </w:rPr>
        <w:t>CO</w:t>
      </w:r>
      <w:r w:rsidRPr="002462F0">
        <w:rPr>
          <w:vertAlign w:val="subscript"/>
          <w:lang w:eastAsia="fr-FR"/>
        </w:rPr>
        <w:t>2</w:t>
      </w:r>
      <w:r w:rsidR="00053B09">
        <w:rPr>
          <w:lang w:eastAsia="fr-FR"/>
        </w:rPr>
        <w:t>.</w:t>
      </w:r>
    </w:p>
    <w:p w14:paraId="16BF5D89" w14:textId="0F6879E2" w:rsidR="00FF4E98" w:rsidRDefault="00FF4E98" w:rsidP="00FF4E98">
      <w:pPr>
        <w:rPr>
          <w:lang w:eastAsia="fr-FR"/>
        </w:rPr>
      </w:pPr>
      <w:r>
        <w:rPr>
          <w:lang w:eastAsia="fr-FR"/>
        </w:rPr>
        <w:t xml:space="preserve">Combined uncertainty </w:t>
      </w:r>
      <w:r w:rsidRPr="002462F0">
        <w:rPr>
          <w:lang w:eastAsia="fr-FR"/>
        </w:rPr>
        <w:t xml:space="preserve">is </w:t>
      </w:r>
      <w:r w:rsidR="00DB201E">
        <w:rPr>
          <w:lang w:eastAsia="fr-FR"/>
        </w:rPr>
        <w:t>100</w:t>
      </w:r>
      <w:r w:rsidRPr="002462F0">
        <w:rPr>
          <w:lang w:eastAsia="fr-FR"/>
        </w:rPr>
        <w:t>%</w:t>
      </w:r>
      <w:r>
        <w:rPr>
          <w:lang w:eastAsia="fr-FR"/>
        </w:rPr>
        <w:t xml:space="preserve"> for CO</w:t>
      </w:r>
      <w:r w:rsidRPr="00BD6A2E">
        <w:rPr>
          <w:vertAlign w:val="subscript"/>
          <w:lang w:eastAsia="fr-FR"/>
        </w:rPr>
        <w:t>2</w:t>
      </w:r>
      <w:r>
        <w:rPr>
          <w:lang w:eastAsia="fr-FR"/>
        </w:rPr>
        <w:t xml:space="preserve"> emissions</w:t>
      </w:r>
      <w:r w:rsidRPr="002462F0">
        <w:rPr>
          <w:lang w:eastAsia="fr-FR"/>
        </w:rPr>
        <w:t>.</w:t>
      </w:r>
      <w:r w:rsidR="00DB201E">
        <w:rPr>
          <w:lang w:eastAsia="fr-FR"/>
        </w:rPr>
        <w:t xml:space="preserve"> The uncertainty combined in the national totals of emissions</w:t>
      </w:r>
      <w:r w:rsidR="005D1AFC">
        <w:rPr>
          <w:lang w:eastAsia="fr-FR"/>
        </w:rPr>
        <w:t xml:space="preserve"> is of 0.4% in 2022, in the Republic of Serbia.</w:t>
      </w:r>
    </w:p>
    <w:p w14:paraId="4674049F" w14:textId="02B4986C" w:rsidR="00FF4E98" w:rsidRDefault="00FF4E98" w:rsidP="00FF4E98">
      <w:pPr>
        <w:pStyle w:val="Heading3"/>
        <w:keepNext/>
        <w:keepLines/>
        <w:tabs>
          <w:tab w:val="clear" w:pos="142"/>
          <w:tab w:val="clear" w:pos="1134"/>
        </w:tabs>
        <w:spacing w:before="200" w:after="0" w:line="276" w:lineRule="auto"/>
        <w:jc w:val="left"/>
      </w:pPr>
      <w:bookmarkStart w:id="1072" w:name="_Toc182328091"/>
      <w:bookmarkStart w:id="1073" w:name="_Toc184808349"/>
      <w:r>
        <w:t>Category-specific QA/QC and verification</w:t>
      </w:r>
      <w:bookmarkEnd w:id="1072"/>
      <w:bookmarkEnd w:id="1073"/>
    </w:p>
    <w:p w14:paraId="6BE215E9" w14:textId="3A560781" w:rsidR="00FF4E98" w:rsidRPr="005C143B" w:rsidRDefault="00FF4E98" w:rsidP="00FF4E98">
      <w:pPr>
        <w:pStyle w:val="BodyText"/>
        <w:rPr>
          <w:lang w:val="en-US" w:eastAsia="fr-FR"/>
        </w:rPr>
      </w:pPr>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5B6F76CA" w14:textId="77777777" w:rsidR="00FF4E98" w:rsidRDefault="00FF4E98" w:rsidP="00FF4E98">
      <w:pPr>
        <w:pStyle w:val="Heading3"/>
        <w:keepNext/>
        <w:keepLines/>
        <w:tabs>
          <w:tab w:val="clear" w:pos="142"/>
          <w:tab w:val="clear" w:pos="1134"/>
        </w:tabs>
        <w:spacing w:before="200" w:after="0" w:line="276" w:lineRule="auto"/>
        <w:jc w:val="left"/>
      </w:pPr>
      <w:r>
        <w:t xml:space="preserve"> </w:t>
      </w:r>
      <w:bookmarkStart w:id="1074" w:name="_Toc182328092"/>
      <w:bookmarkStart w:id="1075" w:name="_Toc184808350"/>
      <w:r>
        <w:t>Category-specific recalculations</w:t>
      </w:r>
      <w:bookmarkEnd w:id="1074"/>
      <w:bookmarkEnd w:id="1075"/>
    </w:p>
    <w:p w14:paraId="5E2D19FE" w14:textId="56EBFBE0" w:rsidR="00FF4E98" w:rsidRDefault="00FF4E98" w:rsidP="00FF4E98">
      <w:pPr>
        <w:pStyle w:val="BodyText"/>
        <w:rPr>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034B13B9" w14:textId="77777777" w:rsidR="00FF4E98" w:rsidRDefault="00FF4E98" w:rsidP="00FF4E98">
      <w:pPr>
        <w:pStyle w:val="Heading3"/>
        <w:keepNext/>
        <w:keepLines/>
        <w:tabs>
          <w:tab w:val="clear" w:pos="142"/>
          <w:tab w:val="clear" w:pos="1134"/>
        </w:tabs>
        <w:spacing w:before="200" w:after="0" w:line="276" w:lineRule="auto"/>
        <w:jc w:val="left"/>
      </w:pPr>
      <w:r>
        <w:t xml:space="preserve"> </w:t>
      </w:r>
      <w:bookmarkStart w:id="1076" w:name="_Toc182328093"/>
      <w:bookmarkStart w:id="1077" w:name="_Toc184808351"/>
      <w:r>
        <w:t>Category-specific planned improvements</w:t>
      </w:r>
      <w:bookmarkEnd w:id="1076"/>
      <w:bookmarkEnd w:id="1077"/>
    </w:p>
    <w:p w14:paraId="56E6F5E1" w14:textId="508D901E" w:rsidR="00D52DC4" w:rsidRDefault="00065E86" w:rsidP="00AD43B2">
      <w:pPr>
        <w:rPr>
          <w:lang w:val="en-US"/>
        </w:rPr>
      </w:pPr>
      <w:r>
        <w:rPr>
          <w:lang w:val="en-US"/>
        </w:rPr>
        <w:t>Refined approach using national parameters could be implemented for this sector.</w:t>
      </w:r>
    </w:p>
    <w:p w14:paraId="61DEBB2B" w14:textId="77777777" w:rsidR="00D52DC4" w:rsidRDefault="00D52DC4">
      <w:pPr>
        <w:jc w:val="left"/>
        <w:rPr>
          <w:lang w:val="en-US"/>
        </w:rPr>
      </w:pPr>
      <w:r>
        <w:rPr>
          <w:lang w:val="en-US"/>
        </w:rPr>
        <w:br w:type="page"/>
      </w:r>
    </w:p>
    <w:p w14:paraId="3C2342F6" w14:textId="77777777" w:rsidR="00AD43B2" w:rsidRDefault="00AD43B2" w:rsidP="00AD43B2">
      <w:pPr>
        <w:rPr>
          <w:lang w:val="en-US"/>
        </w:rPr>
      </w:pPr>
    </w:p>
    <w:p w14:paraId="26714352" w14:textId="6775937D" w:rsidR="00614555" w:rsidRPr="002462F0" w:rsidRDefault="00614555" w:rsidP="00DA572D">
      <w:pPr>
        <w:pStyle w:val="Title"/>
        <w:spacing w:after="240"/>
        <w:rPr>
          <w:lang w:eastAsia="fr-FR"/>
        </w:rPr>
      </w:pPr>
      <w:bookmarkStart w:id="1078" w:name="_Toc182328094"/>
      <w:bookmarkStart w:id="1079" w:name="_Toc184808352"/>
      <w:r w:rsidRPr="002462F0">
        <w:rPr>
          <w:lang w:eastAsia="fr-FR"/>
        </w:rPr>
        <w:t>Chapter 7: Waste (</w:t>
      </w:r>
      <w:r w:rsidR="000F6001">
        <w:rPr>
          <w:lang w:eastAsia="fr-FR"/>
        </w:rPr>
        <w:t>CRT</w:t>
      </w:r>
      <w:r w:rsidRPr="002462F0">
        <w:rPr>
          <w:lang w:eastAsia="fr-FR"/>
        </w:rPr>
        <w:t xml:space="preserve"> sector 5)</w:t>
      </w:r>
      <w:bookmarkEnd w:id="1059"/>
      <w:bookmarkEnd w:id="1078"/>
      <w:bookmarkEnd w:id="1079"/>
    </w:p>
    <w:p w14:paraId="62305FF4" w14:textId="77777777" w:rsidR="00CC7C4D" w:rsidRPr="00DA572D" w:rsidRDefault="00CC7C4D" w:rsidP="00DA572D">
      <w:pPr>
        <w:pStyle w:val="ListParagraph"/>
        <w:widowControl w:val="0"/>
        <w:numPr>
          <w:ilvl w:val="0"/>
          <w:numId w:val="1"/>
        </w:numPr>
        <w:spacing w:after="0" w:line="240" w:lineRule="auto"/>
        <w:ind w:left="431" w:hanging="431"/>
        <w:contextualSpacing w:val="0"/>
        <w:outlineLvl w:val="0"/>
        <w:rPr>
          <w:rStyle w:val="Heading2Char"/>
          <w:b w:val="0"/>
          <w:vanish/>
          <w:color w:val="FFFFFF" w:themeColor="background1"/>
          <w:lang w:val="en-GB"/>
        </w:rPr>
      </w:pPr>
      <w:bookmarkStart w:id="1080" w:name="_Toc496101434"/>
      <w:bookmarkStart w:id="1081" w:name="_Toc496217098"/>
      <w:bookmarkStart w:id="1082" w:name="_Toc496269289"/>
      <w:bookmarkStart w:id="1083" w:name="_Toc496617794"/>
      <w:bookmarkStart w:id="1084" w:name="_Toc496618091"/>
      <w:bookmarkStart w:id="1085" w:name="_Toc496628015"/>
      <w:bookmarkStart w:id="1086" w:name="_Toc496628400"/>
      <w:bookmarkStart w:id="1087" w:name="_Toc496631989"/>
      <w:bookmarkStart w:id="1088" w:name="_Toc496687933"/>
      <w:bookmarkStart w:id="1089" w:name="_Toc496692211"/>
      <w:bookmarkStart w:id="1090" w:name="_Toc496785695"/>
      <w:bookmarkStart w:id="1091" w:name="_Toc496786903"/>
      <w:bookmarkStart w:id="1092" w:name="_Toc496787632"/>
      <w:bookmarkStart w:id="1093" w:name="_Toc496869139"/>
      <w:bookmarkStart w:id="1094" w:name="_Toc180742795"/>
      <w:bookmarkStart w:id="1095" w:name="_Toc181897690"/>
      <w:bookmarkStart w:id="1096" w:name="_Toc182314570"/>
      <w:bookmarkStart w:id="1097" w:name="_Toc182316074"/>
      <w:bookmarkStart w:id="1098" w:name="_Toc182319378"/>
      <w:bookmarkStart w:id="1099" w:name="_Toc182323523"/>
      <w:bookmarkStart w:id="1100" w:name="_Toc182324808"/>
      <w:bookmarkStart w:id="1101" w:name="_Toc182326046"/>
      <w:bookmarkStart w:id="1102" w:name="_Toc182326729"/>
      <w:bookmarkStart w:id="1103" w:name="_Toc182327637"/>
      <w:bookmarkStart w:id="1104" w:name="_Toc182328095"/>
      <w:bookmarkStart w:id="1105" w:name="_Toc183737612"/>
      <w:bookmarkStart w:id="1106" w:name="_Toc183738111"/>
      <w:bookmarkStart w:id="1107" w:name="_Toc183738355"/>
      <w:bookmarkStart w:id="1108" w:name="_Toc183738597"/>
      <w:bookmarkStart w:id="1109" w:name="_Toc184804900"/>
      <w:bookmarkStart w:id="1110" w:name="_Toc184806452"/>
      <w:bookmarkStart w:id="1111" w:name="_Toc184808353"/>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74DDF232" w14:textId="77777777" w:rsidR="007B2433" w:rsidRPr="002462F0" w:rsidRDefault="007B2433" w:rsidP="00DA572D">
      <w:pPr>
        <w:pStyle w:val="Heading2"/>
        <w:spacing w:before="240"/>
        <w:ind w:left="578" w:hanging="578"/>
        <w:rPr>
          <w:lang w:val="en-GB" w:eastAsia="fr-FR"/>
        </w:rPr>
      </w:pPr>
      <w:bookmarkStart w:id="1112" w:name="_Toc495655065"/>
      <w:bookmarkStart w:id="1113" w:name="_Toc182328096"/>
      <w:bookmarkStart w:id="1114" w:name="_Toc184808354"/>
      <w:r w:rsidRPr="002462F0">
        <w:rPr>
          <w:rStyle w:val="Heading2Char"/>
          <w:lang w:val="en-GB"/>
        </w:rPr>
        <w:t>Overview of sector</w:t>
      </w:r>
      <w:bookmarkEnd w:id="1112"/>
      <w:bookmarkEnd w:id="1113"/>
      <w:bookmarkEnd w:id="1114"/>
    </w:p>
    <w:p w14:paraId="1272EFC7" w14:textId="284A9B73" w:rsidR="007D4BE4" w:rsidRDefault="007B2433" w:rsidP="00D916DB">
      <w:pPr>
        <w:pStyle w:val="BodyText"/>
        <w:rPr>
          <w:lang w:eastAsia="fr-FR"/>
        </w:rPr>
      </w:pPr>
      <w:r w:rsidRPr="002462F0">
        <w:rPr>
          <w:lang w:eastAsia="fr-FR"/>
        </w:rPr>
        <w:t xml:space="preserve">In the </w:t>
      </w:r>
      <w:r w:rsidR="00BF3629">
        <w:rPr>
          <w:lang w:eastAsia="fr-FR"/>
        </w:rPr>
        <w:t xml:space="preserve">Republic of </w:t>
      </w:r>
      <w:r w:rsidRPr="002462F0">
        <w:rPr>
          <w:lang w:eastAsia="fr-FR"/>
        </w:rPr>
        <w:t xml:space="preserve">Serbia, </w:t>
      </w:r>
      <w:r w:rsidR="00C06665">
        <w:rPr>
          <w:lang w:eastAsia="fr-FR"/>
        </w:rPr>
        <w:t>the Waste sector (CRT 5) includes the emissions from the following activities:</w:t>
      </w:r>
    </w:p>
    <w:p w14:paraId="791B2E30" w14:textId="1EF711B8" w:rsidR="00C06665" w:rsidRDefault="007072CA" w:rsidP="00D15AF0">
      <w:pPr>
        <w:pStyle w:val="BodyText"/>
        <w:numPr>
          <w:ilvl w:val="0"/>
          <w:numId w:val="77"/>
        </w:numPr>
        <w:rPr>
          <w:lang w:eastAsia="fr-FR"/>
        </w:rPr>
      </w:pPr>
      <w:r>
        <w:rPr>
          <w:lang w:eastAsia="fr-FR"/>
        </w:rPr>
        <w:t>Solid waste disposal (5</w:t>
      </w:r>
      <w:r w:rsidR="00D52DC4">
        <w:rPr>
          <w:lang w:eastAsia="fr-FR"/>
        </w:rPr>
        <w:t>.</w:t>
      </w:r>
      <w:r>
        <w:rPr>
          <w:lang w:eastAsia="fr-FR"/>
        </w:rPr>
        <w:t>A)</w:t>
      </w:r>
      <w:r w:rsidR="0019070F">
        <w:rPr>
          <w:lang w:eastAsia="fr-FR"/>
        </w:rPr>
        <w:t xml:space="preserve"> for managed waste (5</w:t>
      </w:r>
      <w:r w:rsidR="00D52DC4">
        <w:rPr>
          <w:lang w:eastAsia="fr-FR"/>
        </w:rPr>
        <w:t>.</w:t>
      </w:r>
      <w:r w:rsidR="0019070F">
        <w:rPr>
          <w:lang w:eastAsia="fr-FR"/>
        </w:rPr>
        <w:t>A</w:t>
      </w:r>
      <w:r w:rsidR="00D52DC4">
        <w:rPr>
          <w:lang w:eastAsia="fr-FR"/>
        </w:rPr>
        <w:t>.</w:t>
      </w:r>
      <w:r w:rsidR="0019070F">
        <w:rPr>
          <w:lang w:eastAsia="fr-FR"/>
        </w:rPr>
        <w:t>1),</w:t>
      </w:r>
    </w:p>
    <w:p w14:paraId="7141FB83" w14:textId="2E540D31" w:rsidR="003B5E29" w:rsidRDefault="0019070F" w:rsidP="00622F40">
      <w:pPr>
        <w:pStyle w:val="BodyText"/>
        <w:numPr>
          <w:ilvl w:val="0"/>
          <w:numId w:val="77"/>
        </w:numPr>
        <w:rPr>
          <w:lang w:eastAsia="fr-FR"/>
        </w:rPr>
      </w:pPr>
      <w:r>
        <w:rPr>
          <w:lang w:eastAsia="fr-FR"/>
        </w:rPr>
        <w:t>Wastewater treatment and discharge (5</w:t>
      </w:r>
      <w:r w:rsidR="00D52DC4">
        <w:rPr>
          <w:lang w:eastAsia="fr-FR"/>
        </w:rPr>
        <w:t>.</w:t>
      </w:r>
      <w:r>
        <w:rPr>
          <w:lang w:eastAsia="fr-FR"/>
        </w:rPr>
        <w:t>D)</w:t>
      </w:r>
      <w:r w:rsidR="003B5E29">
        <w:rPr>
          <w:lang w:eastAsia="fr-FR"/>
        </w:rPr>
        <w:t>, including domestic (5</w:t>
      </w:r>
      <w:r w:rsidR="00D52DC4">
        <w:rPr>
          <w:lang w:eastAsia="fr-FR"/>
        </w:rPr>
        <w:t>.</w:t>
      </w:r>
      <w:r w:rsidR="003B5E29">
        <w:rPr>
          <w:lang w:eastAsia="fr-FR"/>
        </w:rPr>
        <w:t>D</w:t>
      </w:r>
      <w:r w:rsidR="00D52DC4">
        <w:rPr>
          <w:lang w:eastAsia="fr-FR"/>
        </w:rPr>
        <w:t>.</w:t>
      </w:r>
      <w:r w:rsidR="003B5E29">
        <w:rPr>
          <w:lang w:eastAsia="fr-FR"/>
        </w:rPr>
        <w:t>1) and industrial (5</w:t>
      </w:r>
      <w:r w:rsidR="00D52DC4">
        <w:rPr>
          <w:lang w:eastAsia="fr-FR"/>
        </w:rPr>
        <w:t>.</w:t>
      </w:r>
      <w:r w:rsidR="003B5E29">
        <w:rPr>
          <w:lang w:eastAsia="fr-FR"/>
        </w:rPr>
        <w:t>D</w:t>
      </w:r>
      <w:r w:rsidR="00D52DC4">
        <w:rPr>
          <w:lang w:eastAsia="fr-FR"/>
        </w:rPr>
        <w:t>.</w:t>
      </w:r>
      <w:r w:rsidR="003B5E29">
        <w:rPr>
          <w:lang w:eastAsia="fr-FR"/>
        </w:rPr>
        <w:t>2) wastewater.</w:t>
      </w:r>
    </w:p>
    <w:p w14:paraId="76B8C70C" w14:textId="75C197BE" w:rsidR="00B05570" w:rsidRPr="002462F0" w:rsidRDefault="007B2433" w:rsidP="00D916DB">
      <w:pPr>
        <w:pStyle w:val="BodyText"/>
        <w:rPr>
          <w:lang w:eastAsia="fr-FR"/>
        </w:rPr>
      </w:pPr>
      <w:r w:rsidRPr="002462F0">
        <w:rPr>
          <w:lang w:eastAsia="fr-FR"/>
        </w:rPr>
        <w:t>There is no incineration of waste (5</w:t>
      </w:r>
      <w:r w:rsidR="00D52DC4">
        <w:rPr>
          <w:lang w:eastAsia="fr-FR"/>
        </w:rPr>
        <w:t>.</w:t>
      </w:r>
      <w:r w:rsidRPr="002462F0">
        <w:rPr>
          <w:lang w:eastAsia="fr-FR"/>
        </w:rPr>
        <w:t>C</w:t>
      </w:r>
      <w:r w:rsidR="00D52DC4">
        <w:rPr>
          <w:lang w:eastAsia="fr-FR"/>
        </w:rPr>
        <w:t>.</w:t>
      </w:r>
      <w:r w:rsidRPr="002462F0">
        <w:rPr>
          <w:lang w:eastAsia="fr-FR"/>
        </w:rPr>
        <w:t>1)</w:t>
      </w:r>
      <w:r w:rsidR="00B16DDE">
        <w:rPr>
          <w:lang w:eastAsia="fr-FR"/>
        </w:rPr>
        <w:t xml:space="preserve"> in the Republic of Serbia for the studied period</w:t>
      </w:r>
      <w:r w:rsidRPr="002462F0">
        <w:rPr>
          <w:lang w:eastAsia="fr-FR"/>
        </w:rPr>
        <w:t xml:space="preserve">, neither composting </w:t>
      </w:r>
      <w:r w:rsidR="00BE0A1B">
        <w:rPr>
          <w:lang w:eastAsia="fr-FR"/>
        </w:rPr>
        <w:t>(5</w:t>
      </w:r>
      <w:r w:rsidR="00D52DC4">
        <w:rPr>
          <w:lang w:eastAsia="fr-FR"/>
        </w:rPr>
        <w:t>.</w:t>
      </w:r>
      <w:r w:rsidR="00BE0A1B">
        <w:rPr>
          <w:lang w:eastAsia="fr-FR"/>
        </w:rPr>
        <w:t>B</w:t>
      </w:r>
      <w:r w:rsidR="00D52DC4">
        <w:rPr>
          <w:lang w:eastAsia="fr-FR"/>
        </w:rPr>
        <w:t>.</w:t>
      </w:r>
      <w:r w:rsidR="00BE0A1B">
        <w:rPr>
          <w:lang w:eastAsia="fr-FR"/>
        </w:rPr>
        <w:t xml:space="preserve">1) </w:t>
      </w:r>
      <w:r w:rsidRPr="002462F0">
        <w:rPr>
          <w:lang w:eastAsia="fr-FR"/>
        </w:rPr>
        <w:t>or biogas production (5</w:t>
      </w:r>
      <w:r w:rsidR="00D52DC4">
        <w:rPr>
          <w:lang w:eastAsia="fr-FR"/>
        </w:rPr>
        <w:t>.</w:t>
      </w:r>
      <w:r w:rsidRPr="002462F0">
        <w:rPr>
          <w:lang w:eastAsia="fr-FR"/>
        </w:rPr>
        <w:t>B</w:t>
      </w:r>
      <w:r w:rsidR="00BE0A1B">
        <w:rPr>
          <w:lang w:eastAsia="fr-FR"/>
        </w:rPr>
        <w:t>2</w:t>
      </w:r>
      <w:r w:rsidR="00D52DC4">
        <w:rPr>
          <w:lang w:eastAsia="fr-FR"/>
        </w:rPr>
        <w:t>.</w:t>
      </w:r>
      <w:r w:rsidRPr="002462F0">
        <w:rPr>
          <w:lang w:eastAsia="fr-FR"/>
        </w:rPr>
        <w:t>). Open burning</w:t>
      </w:r>
      <w:r w:rsidR="00B65540">
        <w:rPr>
          <w:lang w:eastAsia="fr-FR"/>
        </w:rPr>
        <w:t xml:space="preserve"> of waste</w:t>
      </w:r>
      <w:r w:rsidRPr="002462F0">
        <w:rPr>
          <w:lang w:eastAsia="fr-FR"/>
        </w:rPr>
        <w:t xml:space="preserve"> (5</w:t>
      </w:r>
      <w:r w:rsidR="00D52DC4">
        <w:rPr>
          <w:lang w:eastAsia="fr-FR"/>
        </w:rPr>
        <w:t>.</w:t>
      </w:r>
      <w:r w:rsidRPr="002462F0">
        <w:rPr>
          <w:lang w:eastAsia="fr-FR"/>
        </w:rPr>
        <w:t>C</w:t>
      </w:r>
      <w:r w:rsidR="00D52DC4">
        <w:rPr>
          <w:lang w:eastAsia="fr-FR"/>
        </w:rPr>
        <w:t>.</w:t>
      </w:r>
      <w:r w:rsidRPr="002462F0">
        <w:rPr>
          <w:lang w:eastAsia="fr-FR"/>
        </w:rPr>
        <w:t xml:space="preserve">2) may occur in rural areas but there is no data about this practice and no </w:t>
      </w:r>
      <w:r w:rsidR="006E561E">
        <w:rPr>
          <w:lang w:eastAsia="fr-FR"/>
        </w:rPr>
        <w:t>estimations (</w:t>
      </w:r>
      <w:r w:rsidR="00D52DC4">
        <w:rPr>
          <w:lang w:eastAsia="fr-FR"/>
        </w:rPr>
        <w:t>“</w:t>
      </w:r>
      <w:r w:rsidR="006E561E">
        <w:rPr>
          <w:lang w:eastAsia="fr-FR"/>
        </w:rPr>
        <w:t>NE</w:t>
      </w:r>
      <w:r w:rsidR="00D52DC4">
        <w:rPr>
          <w:lang w:eastAsia="fr-FR"/>
        </w:rPr>
        <w:t>”</w:t>
      </w:r>
      <w:r w:rsidR="006E561E">
        <w:rPr>
          <w:lang w:eastAsia="fr-FR"/>
        </w:rPr>
        <w:t xml:space="preserve">) for the </w:t>
      </w:r>
      <w:r w:rsidRPr="002462F0">
        <w:rPr>
          <w:lang w:eastAsia="fr-FR"/>
        </w:rPr>
        <w:t>emissions</w:t>
      </w:r>
      <w:r w:rsidR="006E561E">
        <w:rPr>
          <w:lang w:eastAsia="fr-FR"/>
        </w:rPr>
        <w:t xml:space="preserve"> of this sector</w:t>
      </w:r>
      <w:r w:rsidRPr="002462F0">
        <w:rPr>
          <w:lang w:eastAsia="fr-FR"/>
        </w:rPr>
        <w:t xml:space="preserve"> in the current inventory.</w:t>
      </w:r>
    </w:p>
    <w:p w14:paraId="411FB92C" w14:textId="0EF06F4F" w:rsidR="00815A70" w:rsidRDefault="00B05570" w:rsidP="00D916DB">
      <w:pPr>
        <w:pStyle w:val="BodyText"/>
        <w:rPr>
          <w:lang w:eastAsia="fr-FR"/>
        </w:rPr>
      </w:pPr>
      <w:r>
        <w:rPr>
          <w:lang w:eastAsia="fr-FR"/>
        </w:rPr>
        <w:t xml:space="preserve"> Among the </w:t>
      </w:r>
      <w:r w:rsidR="00BA78AB">
        <w:rPr>
          <w:lang w:eastAsia="fr-FR"/>
        </w:rPr>
        <w:t>different GHG, o</w:t>
      </w:r>
      <w:r>
        <w:rPr>
          <w:lang w:eastAsia="fr-FR"/>
        </w:rPr>
        <w:t>nly CH</w:t>
      </w:r>
      <w:r w:rsidRPr="00622F40">
        <w:rPr>
          <w:vertAlign w:val="subscript"/>
          <w:lang w:eastAsia="fr-FR"/>
        </w:rPr>
        <w:t>4</w:t>
      </w:r>
      <w:r>
        <w:rPr>
          <w:lang w:eastAsia="fr-FR"/>
        </w:rPr>
        <w:t xml:space="preserve"> and N</w:t>
      </w:r>
      <w:r w:rsidRPr="00622F40">
        <w:rPr>
          <w:vertAlign w:val="subscript"/>
          <w:lang w:eastAsia="fr-FR"/>
        </w:rPr>
        <w:t>2</w:t>
      </w:r>
      <w:r>
        <w:rPr>
          <w:lang w:eastAsia="fr-FR"/>
        </w:rPr>
        <w:t xml:space="preserve">O emissions are </w:t>
      </w:r>
      <w:r w:rsidR="00BA78AB">
        <w:rPr>
          <w:lang w:eastAsia="fr-FR"/>
        </w:rPr>
        <w:t xml:space="preserve">estimated for the Waste sector. In 2022, </w:t>
      </w:r>
      <w:r w:rsidR="003729D2">
        <w:rPr>
          <w:lang w:eastAsia="fr-FR"/>
        </w:rPr>
        <w:t xml:space="preserve">the CRT 5 contributes to 36% of the </w:t>
      </w:r>
      <w:r w:rsidR="00383A55">
        <w:rPr>
          <w:lang w:eastAsia="fr-FR"/>
        </w:rPr>
        <w:t xml:space="preserve">national </w:t>
      </w:r>
      <w:r w:rsidR="003729D2">
        <w:rPr>
          <w:lang w:eastAsia="fr-FR"/>
        </w:rPr>
        <w:t>CH</w:t>
      </w:r>
      <w:r w:rsidR="003729D2" w:rsidRPr="00622F40">
        <w:rPr>
          <w:vertAlign w:val="subscript"/>
          <w:lang w:eastAsia="fr-FR"/>
        </w:rPr>
        <w:t>4</w:t>
      </w:r>
      <w:r w:rsidR="003729D2">
        <w:rPr>
          <w:lang w:eastAsia="fr-FR"/>
        </w:rPr>
        <w:t xml:space="preserve"> emissions </w:t>
      </w:r>
      <w:r w:rsidR="00383A55">
        <w:rPr>
          <w:lang w:eastAsia="fr-FR"/>
        </w:rPr>
        <w:t>and 3.8% of the national totals of N</w:t>
      </w:r>
      <w:r w:rsidR="00383A55" w:rsidRPr="00622F40">
        <w:rPr>
          <w:vertAlign w:val="subscript"/>
          <w:lang w:eastAsia="fr-FR"/>
        </w:rPr>
        <w:t>2</w:t>
      </w:r>
      <w:r w:rsidR="00383A55">
        <w:rPr>
          <w:lang w:eastAsia="fr-FR"/>
        </w:rPr>
        <w:t>O</w:t>
      </w:r>
      <w:r w:rsidR="00B81D00">
        <w:rPr>
          <w:lang w:eastAsia="fr-FR"/>
        </w:rPr>
        <w:t xml:space="preserve">, excluding LULUCF contribution. </w:t>
      </w:r>
      <w:r w:rsidR="001D4DF1">
        <w:rPr>
          <w:lang w:eastAsia="fr-FR"/>
        </w:rPr>
        <w:t>In</w:t>
      </w:r>
      <w:r w:rsidR="001674D3">
        <w:rPr>
          <w:lang w:eastAsia="fr-FR"/>
        </w:rPr>
        <w:t xml:space="preserve"> 1990, the share </w:t>
      </w:r>
      <w:r w:rsidR="001D4DF1">
        <w:rPr>
          <w:lang w:eastAsia="fr-FR"/>
        </w:rPr>
        <w:t xml:space="preserve">in the national </w:t>
      </w:r>
      <w:r w:rsidR="001674D3">
        <w:rPr>
          <w:lang w:eastAsia="fr-FR"/>
        </w:rPr>
        <w:t xml:space="preserve">emissions </w:t>
      </w:r>
      <w:r w:rsidR="00A15059">
        <w:rPr>
          <w:lang w:eastAsia="fr-FR"/>
        </w:rPr>
        <w:t>for</w:t>
      </w:r>
      <w:r w:rsidR="0052238B">
        <w:rPr>
          <w:lang w:eastAsia="fr-FR"/>
        </w:rPr>
        <w:t xml:space="preserve"> the </w:t>
      </w:r>
      <w:r w:rsidR="001D4DF1">
        <w:rPr>
          <w:lang w:eastAsia="fr-FR"/>
        </w:rPr>
        <w:t xml:space="preserve">methane was </w:t>
      </w:r>
      <w:r w:rsidR="00E5298F">
        <w:rPr>
          <w:lang w:eastAsia="fr-FR"/>
        </w:rPr>
        <w:t>smaller (34%), meanwhile the share for N</w:t>
      </w:r>
      <w:r w:rsidR="00E5298F" w:rsidRPr="00622F40">
        <w:rPr>
          <w:vertAlign w:val="subscript"/>
          <w:lang w:eastAsia="fr-FR"/>
        </w:rPr>
        <w:t>2</w:t>
      </w:r>
      <w:r w:rsidR="00E5298F">
        <w:rPr>
          <w:lang w:eastAsia="fr-FR"/>
        </w:rPr>
        <w:t>O was slightly higher (</w:t>
      </w:r>
      <w:r w:rsidR="002C1301">
        <w:rPr>
          <w:lang w:eastAsia="fr-FR"/>
        </w:rPr>
        <w:t>4.9%).</w:t>
      </w:r>
      <w:r w:rsidR="00173CFC">
        <w:rPr>
          <w:lang w:eastAsia="fr-FR"/>
        </w:rPr>
        <w:t xml:space="preserve"> Hence, the waste sector is particularly preponderant in the Serbian methane emissions</w:t>
      </w:r>
      <w:r w:rsidR="00033D2F">
        <w:rPr>
          <w:lang w:eastAsia="fr-FR"/>
        </w:rPr>
        <w:t xml:space="preserve">. </w:t>
      </w:r>
      <w:r w:rsidR="000B37CA">
        <w:rPr>
          <w:lang w:eastAsia="fr-FR"/>
        </w:rPr>
        <w:t xml:space="preserve">In terms of GHG contribution, </w:t>
      </w:r>
      <w:r w:rsidR="00B06C05">
        <w:rPr>
          <w:lang w:eastAsia="fr-FR"/>
        </w:rPr>
        <w:t xml:space="preserve">the waste sector accounts for </w:t>
      </w:r>
      <w:r w:rsidR="001369EA">
        <w:rPr>
          <w:lang w:eastAsia="fr-FR"/>
        </w:rPr>
        <w:t xml:space="preserve">slightly more than </w:t>
      </w:r>
      <w:r w:rsidR="00B06C05">
        <w:rPr>
          <w:lang w:eastAsia="fr-FR"/>
        </w:rPr>
        <w:t>5%</w:t>
      </w:r>
      <w:r w:rsidR="001369EA">
        <w:rPr>
          <w:lang w:eastAsia="fr-FR"/>
        </w:rPr>
        <w:t xml:space="preserve"> of the national emissions in 1990 and in 2022, and on average on the timeseries (with a maximum at 7%).</w:t>
      </w:r>
      <w:r w:rsidR="00815A70">
        <w:rPr>
          <w:lang w:eastAsia="fr-FR"/>
        </w:rPr>
        <w:t xml:space="preserve"> </w:t>
      </w:r>
      <w:r w:rsidR="00476BDE">
        <w:rPr>
          <w:lang w:eastAsia="fr-FR"/>
        </w:rPr>
        <w:t xml:space="preserve">For the sector </w:t>
      </w:r>
      <w:r w:rsidR="005252D1">
        <w:rPr>
          <w:lang w:eastAsia="fr-FR"/>
        </w:rPr>
        <w:t xml:space="preserve">CRT 5, the methane emissions are predominant and represent more than 97% of the </w:t>
      </w:r>
      <w:r w:rsidR="00D164D6">
        <w:rPr>
          <w:lang w:eastAsia="fr-FR"/>
        </w:rPr>
        <w:t xml:space="preserve">emissions </w:t>
      </w:r>
      <w:r w:rsidR="003A7253">
        <w:rPr>
          <w:lang w:eastAsia="fr-FR"/>
        </w:rPr>
        <w:t xml:space="preserve">for the waste. </w:t>
      </w:r>
    </w:p>
    <w:p w14:paraId="064ECCC2" w14:textId="73A2DF25" w:rsidR="00173CFC" w:rsidRPr="002462F0" w:rsidRDefault="00033D2F" w:rsidP="00D916DB">
      <w:pPr>
        <w:pStyle w:val="BodyText"/>
        <w:rPr>
          <w:lang w:eastAsia="fr-FR"/>
        </w:rPr>
      </w:pPr>
      <w:r>
        <w:rPr>
          <w:lang w:eastAsia="fr-FR"/>
        </w:rPr>
        <w:t xml:space="preserve">The following graph presents the GHG emission trend for the CRT 5. </w:t>
      </w:r>
    </w:p>
    <w:p w14:paraId="58CB22C1" w14:textId="0C3916F1" w:rsidR="007B2433" w:rsidRPr="00622F40" w:rsidRDefault="0035408B" w:rsidP="00D52DC4">
      <w:pPr>
        <w:autoSpaceDE w:val="0"/>
        <w:autoSpaceDN w:val="0"/>
        <w:adjustRightInd w:val="0"/>
        <w:spacing w:after="0" w:line="240" w:lineRule="auto"/>
        <w:jc w:val="left"/>
        <w:rPr>
          <w:b/>
          <w:sz w:val="24"/>
          <w:szCs w:val="24"/>
          <w:highlight w:val="magenta"/>
          <w:lang w:val="sr-Latn-RS" w:eastAsia="fr-FR"/>
        </w:rPr>
      </w:pPr>
      <w:r w:rsidRPr="00622F40">
        <w:rPr>
          <w:b/>
          <w:noProof/>
          <w:sz w:val="24"/>
          <w:szCs w:val="24"/>
          <w:lang w:val="en-US"/>
        </w:rPr>
        <w:drawing>
          <wp:inline distT="0" distB="0" distL="0" distR="0" wp14:anchorId="5B46B3CD" wp14:editId="4F5B6468">
            <wp:extent cx="5339301" cy="3165176"/>
            <wp:effectExtent l="0" t="0" r="0" b="0"/>
            <wp:docPr id="1255613469"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344669" cy="3168358"/>
                    </a:xfrm>
                    <a:prstGeom prst="rect">
                      <a:avLst/>
                    </a:prstGeom>
                    <a:noFill/>
                  </pic:spPr>
                </pic:pic>
              </a:graphicData>
            </a:graphic>
          </wp:inline>
        </w:drawing>
      </w:r>
    </w:p>
    <w:p w14:paraId="288929FF" w14:textId="77777777" w:rsidR="00D52DC4" w:rsidRPr="002462F0" w:rsidRDefault="00D52DC4" w:rsidP="00D52DC4">
      <w:pPr>
        <w:pStyle w:val="Caption"/>
        <w:spacing w:before="0" w:after="0"/>
        <w:jc w:val="left"/>
        <w:rPr>
          <w:sz w:val="22"/>
          <w:lang w:eastAsia="fr-FR"/>
        </w:rPr>
      </w:pPr>
      <w:bookmarkStart w:id="1115" w:name="_Toc184808536"/>
      <w:r w:rsidRPr="00622F40">
        <w:t xml:space="preserve">Figure </w:t>
      </w:r>
      <w:r w:rsidRPr="00622F40">
        <w:fldChar w:fldCharType="begin"/>
      </w:r>
      <w:r w:rsidRPr="00622F40">
        <w:instrText xml:space="preserve"> SEQ Figure \* ARABIC </w:instrText>
      </w:r>
      <w:r w:rsidRPr="00622F40">
        <w:fldChar w:fldCharType="separate"/>
      </w:r>
      <w:r>
        <w:rPr>
          <w:noProof/>
        </w:rPr>
        <w:t>149</w:t>
      </w:r>
      <w:r w:rsidRPr="00622F40">
        <w:fldChar w:fldCharType="end"/>
      </w:r>
      <w:r w:rsidRPr="00622F40">
        <w:t>: GHG emission trends for waste</w:t>
      </w:r>
      <w:r>
        <w:t xml:space="preserve"> (CRT 5), for the period 1990-2022</w:t>
      </w:r>
      <w:r w:rsidRPr="00622F40">
        <w:t xml:space="preserve"> (</w:t>
      </w:r>
      <w:r>
        <w:t xml:space="preserve">in </w:t>
      </w:r>
      <w:r w:rsidRPr="00622F40">
        <w:t>kt CO</w:t>
      </w:r>
      <w:r w:rsidRPr="00622F40">
        <w:rPr>
          <w:vertAlign w:val="subscript"/>
        </w:rPr>
        <w:t>2</w:t>
      </w:r>
      <w:r w:rsidRPr="00622F40">
        <w:t>e)</w:t>
      </w:r>
      <w:bookmarkEnd w:id="1115"/>
    </w:p>
    <w:p w14:paraId="04012760" w14:textId="77777777" w:rsidR="007B2433" w:rsidRPr="002462F0" w:rsidRDefault="007B2433" w:rsidP="007B2433">
      <w:pPr>
        <w:autoSpaceDE w:val="0"/>
        <w:autoSpaceDN w:val="0"/>
        <w:adjustRightInd w:val="0"/>
        <w:spacing w:after="0" w:line="240" w:lineRule="auto"/>
        <w:jc w:val="left"/>
        <w:rPr>
          <w:b/>
          <w:sz w:val="24"/>
          <w:szCs w:val="24"/>
          <w:highlight w:val="magenta"/>
          <w:lang w:eastAsia="fr-FR"/>
        </w:rPr>
      </w:pPr>
    </w:p>
    <w:p w14:paraId="3B503883" w14:textId="5AF064C7" w:rsidR="007B2433" w:rsidRPr="002462F0" w:rsidRDefault="00773C75" w:rsidP="00D916DB">
      <w:pPr>
        <w:pStyle w:val="BodyText"/>
        <w:rPr>
          <w:lang w:eastAsia="fr-FR"/>
        </w:rPr>
      </w:pPr>
      <w:r>
        <w:rPr>
          <w:lang w:eastAsia="fr-FR"/>
        </w:rPr>
        <w:t xml:space="preserve">The trend of GHG emissions for the waste sector is rather stable and </w:t>
      </w:r>
      <w:r w:rsidR="00C82AD1">
        <w:rPr>
          <w:lang w:eastAsia="fr-FR"/>
        </w:rPr>
        <w:t xml:space="preserve">does not present significant </w:t>
      </w:r>
      <w:r w:rsidR="00F1244F">
        <w:rPr>
          <w:lang w:eastAsia="fr-FR"/>
        </w:rPr>
        <w:t xml:space="preserve">and rapid </w:t>
      </w:r>
      <w:r w:rsidR="00C82AD1">
        <w:rPr>
          <w:lang w:eastAsia="fr-FR"/>
        </w:rPr>
        <w:t>changes</w:t>
      </w:r>
      <w:r w:rsidR="00666F26">
        <w:rPr>
          <w:lang w:eastAsia="fr-FR"/>
        </w:rPr>
        <w:t xml:space="preserve"> </w:t>
      </w:r>
      <w:r w:rsidR="00F1244F">
        <w:rPr>
          <w:lang w:eastAsia="fr-FR"/>
        </w:rPr>
        <w:t>related to</w:t>
      </w:r>
      <w:r w:rsidR="00666F26">
        <w:rPr>
          <w:lang w:eastAsia="fr-FR"/>
        </w:rPr>
        <w:t xml:space="preserve"> events such as wars, economic crisis or</w:t>
      </w:r>
      <w:r w:rsidR="009B244B">
        <w:rPr>
          <w:lang w:eastAsia="fr-FR"/>
        </w:rPr>
        <w:t xml:space="preserve"> meteorological phenomena (floodings, drought, etc.)</w:t>
      </w:r>
      <w:r w:rsidR="00666F26">
        <w:rPr>
          <w:lang w:eastAsia="fr-FR"/>
        </w:rPr>
        <w:t>.</w:t>
      </w:r>
      <w:r w:rsidR="009B244B">
        <w:rPr>
          <w:lang w:eastAsia="fr-FR"/>
        </w:rPr>
        <w:t xml:space="preserve"> </w:t>
      </w:r>
      <w:r w:rsidR="00F1244F">
        <w:rPr>
          <w:lang w:eastAsia="fr-FR"/>
        </w:rPr>
        <w:t xml:space="preserve">This is not the case for </w:t>
      </w:r>
      <w:r w:rsidR="00421626">
        <w:rPr>
          <w:lang w:eastAsia="fr-FR"/>
        </w:rPr>
        <w:t>subsectors related to industrial activity but the only here (5D2) is rather marginal in weight in the sector emissions.</w:t>
      </w:r>
      <w:r w:rsidR="00666F26">
        <w:rPr>
          <w:lang w:eastAsia="fr-FR"/>
        </w:rPr>
        <w:t xml:space="preserve"> </w:t>
      </w:r>
      <w:r w:rsidR="00421626">
        <w:rPr>
          <w:lang w:eastAsia="fr-FR"/>
        </w:rPr>
        <w:t>T</w:t>
      </w:r>
      <w:r w:rsidR="00705C91">
        <w:rPr>
          <w:lang w:eastAsia="fr-FR"/>
        </w:rPr>
        <w:t>he emissions are observed to be slightly but progressively declining between 1990 and 20</w:t>
      </w:r>
      <w:r w:rsidR="000250CB">
        <w:rPr>
          <w:lang w:eastAsia="fr-FR"/>
        </w:rPr>
        <w:t>09</w:t>
      </w:r>
      <w:r w:rsidR="00705C91">
        <w:rPr>
          <w:lang w:eastAsia="fr-FR"/>
        </w:rPr>
        <w:t xml:space="preserve"> (-</w:t>
      </w:r>
      <w:r w:rsidR="000701BC">
        <w:rPr>
          <w:lang w:eastAsia="fr-FR"/>
        </w:rPr>
        <w:t>30</w:t>
      </w:r>
      <w:r w:rsidR="00705C91">
        <w:rPr>
          <w:lang w:eastAsia="fr-FR"/>
        </w:rPr>
        <w:t xml:space="preserve">%), before being </w:t>
      </w:r>
      <w:r w:rsidR="000250CB">
        <w:rPr>
          <w:lang w:eastAsia="fr-FR"/>
        </w:rPr>
        <w:t>rather constant until 201</w:t>
      </w:r>
      <w:r w:rsidR="00A13FCA">
        <w:rPr>
          <w:lang w:eastAsia="fr-FR"/>
        </w:rPr>
        <w:t>8</w:t>
      </w:r>
      <w:r w:rsidR="0055047C">
        <w:rPr>
          <w:lang w:eastAsia="fr-FR"/>
        </w:rPr>
        <w:t>.</w:t>
      </w:r>
      <w:r w:rsidR="0083334E">
        <w:rPr>
          <w:lang w:eastAsia="fr-FR"/>
        </w:rPr>
        <w:t xml:space="preserve"> </w:t>
      </w:r>
      <w:r w:rsidR="0055047C">
        <w:rPr>
          <w:lang w:eastAsia="fr-FR"/>
        </w:rPr>
        <w:t xml:space="preserve">Then, from 2018 onwards, the emissions </w:t>
      </w:r>
      <w:r w:rsidR="0083334E">
        <w:rPr>
          <w:lang w:eastAsia="fr-FR"/>
        </w:rPr>
        <w:t>progressively and slowly increas</w:t>
      </w:r>
      <w:r w:rsidR="0055047C">
        <w:rPr>
          <w:lang w:eastAsia="fr-FR"/>
        </w:rPr>
        <w:t>e</w:t>
      </w:r>
      <w:r w:rsidR="0083334E">
        <w:rPr>
          <w:lang w:eastAsia="fr-FR"/>
        </w:rPr>
        <w:t xml:space="preserve"> </w:t>
      </w:r>
      <w:r w:rsidR="0055047C">
        <w:rPr>
          <w:lang w:eastAsia="fr-FR"/>
        </w:rPr>
        <w:t xml:space="preserve">until </w:t>
      </w:r>
      <w:r w:rsidR="0083334E">
        <w:rPr>
          <w:lang w:eastAsia="fr-FR"/>
        </w:rPr>
        <w:t>2022,</w:t>
      </w:r>
      <w:r w:rsidR="00B060D5">
        <w:rPr>
          <w:lang w:eastAsia="fr-FR"/>
        </w:rPr>
        <w:t xml:space="preserve"> in particular due to the increase of solid waste disposal activity,</w:t>
      </w:r>
      <w:r w:rsidR="0083334E">
        <w:rPr>
          <w:lang w:eastAsia="fr-FR"/>
        </w:rPr>
        <w:t xml:space="preserve"> but </w:t>
      </w:r>
      <w:r w:rsidR="00B060D5">
        <w:rPr>
          <w:lang w:eastAsia="fr-FR"/>
        </w:rPr>
        <w:t xml:space="preserve">reach </w:t>
      </w:r>
      <w:r w:rsidR="0083334E">
        <w:rPr>
          <w:lang w:eastAsia="fr-FR"/>
        </w:rPr>
        <w:t xml:space="preserve">lower </w:t>
      </w:r>
      <w:r w:rsidR="0083334E">
        <w:rPr>
          <w:lang w:eastAsia="fr-FR"/>
        </w:rPr>
        <w:lastRenderedPageBreak/>
        <w:t xml:space="preserve">emission levels than in 1990. Overall, the CRT 5 GHG emissions have been reduced by </w:t>
      </w:r>
      <w:r w:rsidR="0055047C">
        <w:rPr>
          <w:lang w:eastAsia="fr-FR"/>
        </w:rPr>
        <w:t xml:space="preserve">25% </w:t>
      </w:r>
      <w:r w:rsidR="00022F54">
        <w:rPr>
          <w:lang w:eastAsia="fr-FR"/>
        </w:rPr>
        <w:t xml:space="preserve">between </w:t>
      </w:r>
      <w:r w:rsidR="003B77D4">
        <w:rPr>
          <w:lang w:eastAsia="fr-FR"/>
        </w:rPr>
        <w:t xml:space="preserve">1990 and 2022, due to emission reductions in both categories. </w:t>
      </w:r>
    </w:p>
    <w:p w14:paraId="56E96650" w14:textId="2F4E72DD" w:rsidR="00C82976" w:rsidRDefault="007B2433" w:rsidP="00D916DB">
      <w:pPr>
        <w:pStyle w:val="BodyText"/>
        <w:rPr>
          <w:lang w:eastAsia="fr-FR"/>
        </w:rPr>
      </w:pPr>
      <w:r w:rsidRPr="002462F0">
        <w:rPr>
          <w:lang w:eastAsia="fr-FR"/>
        </w:rPr>
        <w:t xml:space="preserve">In </w:t>
      </w:r>
      <w:r w:rsidR="003B77D4" w:rsidRPr="002462F0">
        <w:rPr>
          <w:lang w:eastAsia="fr-FR"/>
        </w:rPr>
        <w:t>20</w:t>
      </w:r>
      <w:r w:rsidR="003B77D4">
        <w:rPr>
          <w:lang w:eastAsia="fr-FR"/>
        </w:rPr>
        <w:t>22</w:t>
      </w:r>
      <w:r w:rsidRPr="002462F0">
        <w:rPr>
          <w:lang w:eastAsia="fr-FR"/>
        </w:rPr>
        <w:t xml:space="preserve">, GHG emissions from Sector 5 Waste amounted to </w:t>
      </w:r>
      <w:r w:rsidR="003B77D4">
        <w:rPr>
          <w:lang w:eastAsia="fr-FR"/>
        </w:rPr>
        <w:t>3.2</w:t>
      </w:r>
      <w:r w:rsidRPr="002462F0">
        <w:rPr>
          <w:lang w:eastAsia="fr-FR"/>
        </w:rPr>
        <w:t xml:space="preserve"> </w:t>
      </w:r>
      <w:r w:rsidR="003B77D4">
        <w:rPr>
          <w:lang w:eastAsia="fr-FR"/>
        </w:rPr>
        <w:t xml:space="preserve">Mt </w:t>
      </w:r>
      <w:r w:rsidRPr="002462F0">
        <w:rPr>
          <w:lang w:eastAsia="fr-FR"/>
        </w:rPr>
        <w:t>CO</w:t>
      </w:r>
      <w:r w:rsidRPr="002462F0">
        <w:rPr>
          <w:vertAlign w:val="subscript"/>
          <w:lang w:eastAsia="fr-FR"/>
        </w:rPr>
        <w:t>2</w:t>
      </w:r>
      <w:r w:rsidRPr="002462F0">
        <w:rPr>
          <w:lang w:eastAsia="fr-FR"/>
        </w:rPr>
        <w:t xml:space="preserve">e, compared to </w:t>
      </w:r>
      <w:r w:rsidR="00857C79">
        <w:rPr>
          <w:lang w:eastAsia="fr-FR"/>
        </w:rPr>
        <w:t>4.3 Mt</w:t>
      </w:r>
      <w:r w:rsidRPr="002462F0">
        <w:rPr>
          <w:lang w:eastAsia="fr-FR"/>
        </w:rPr>
        <w:t xml:space="preserve"> CO</w:t>
      </w:r>
      <w:r w:rsidRPr="002462F0">
        <w:rPr>
          <w:vertAlign w:val="subscript"/>
          <w:lang w:eastAsia="fr-FR"/>
        </w:rPr>
        <w:t>2</w:t>
      </w:r>
      <w:r w:rsidRPr="002462F0">
        <w:rPr>
          <w:lang w:eastAsia="fr-FR"/>
        </w:rPr>
        <w:t xml:space="preserve">e in 1990. </w:t>
      </w:r>
    </w:p>
    <w:p w14:paraId="03D5EE4D" w14:textId="2C5044CE" w:rsidR="006E54E7" w:rsidRDefault="00C82976" w:rsidP="00D916DB">
      <w:pPr>
        <w:pStyle w:val="BodyText"/>
        <w:rPr>
          <w:lang w:eastAsia="fr-FR"/>
        </w:rPr>
      </w:pPr>
      <w:r>
        <w:rPr>
          <w:lang w:eastAsia="fr-FR"/>
        </w:rPr>
        <w:t xml:space="preserve">The following graph presents the GHG emission distribution </w:t>
      </w:r>
      <w:r w:rsidR="003A7253">
        <w:rPr>
          <w:lang w:eastAsia="fr-FR"/>
        </w:rPr>
        <w:t xml:space="preserve">between the different </w:t>
      </w:r>
      <w:r w:rsidR="006E54E7">
        <w:rPr>
          <w:lang w:eastAsia="fr-FR"/>
        </w:rPr>
        <w:t>emission sources from the waste sector.</w:t>
      </w:r>
      <w:r w:rsidR="007C3D7D">
        <w:rPr>
          <w:lang w:eastAsia="fr-FR"/>
        </w:rPr>
        <w:t xml:space="preserve"> </w:t>
      </w:r>
      <w:r w:rsidR="008B3683">
        <w:rPr>
          <w:lang w:eastAsia="fr-FR"/>
        </w:rPr>
        <w:t xml:space="preserve">The emissions from all subsectors decreased between 1990 and 2022, but to different orders of magnitude, hence the distribution of emissions also changed. </w:t>
      </w:r>
      <w:r w:rsidR="00D531B8">
        <w:rPr>
          <w:lang w:eastAsia="fr-FR"/>
        </w:rPr>
        <w:t xml:space="preserve">Overall, the </w:t>
      </w:r>
      <w:r w:rsidR="004F795E">
        <w:rPr>
          <w:lang w:eastAsia="fr-FR"/>
        </w:rPr>
        <w:t xml:space="preserve">activity of </w:t>
      </w:r>
      <w:r w:rsidR="00D531B8">
        <w:rPr>
          <w:lang w:eastAsia="fr-FR"/>
        </w:rPr>
        <w:t>managed waste disposal (5A1</w:t>
      </w:r>
      <w:r w:rsidR="004F795E">
        <w:rPr>
          <w:lang w:eastAsia="fr-FR"/>
        </w:rPr>
        <w:t xml:space="preserve">) </w:t>
      </w:r>
      <w:r w:rsidR="002C2163">
        <w:rPr>
          <w:lang w:eastAsia="fr-FR"/>
        </w:rPr>
        <w:t>is predominant for the sector</w:t>
      </w:r>
      <w:r w:rsidR="00D34AF0">
        <w:rPr>
          <w:lang w:eastAsia="fr-FR"/>
        </w:rPr>
        <w:t xml:space="preserve"> GHG emissions</w:t>
      </w:r>
      <w:r w:rsidR="002C2163">
        <w:rPr>
          <w:lang w:eastAsia="fr-FR"/>
        </w:rPr>
        <w:t xml:space="preserve">, and </w:t>
      </w:r>
      <w:r w:rsidR="00D34AF0">
        <w:rPr>
          <w:lang w:eastAsia="fr-FR"/>
        </w:rPr>
        <w:t>its contribution increases from 71% in 1990 to 7</w:t>
      </w:r>
      <w:r w:rsidR="00681D76">
        <w:rPr>
          <w:lang w:eastAsia="fr-FR"/>
        </w:rPr>
        <w:t xml:space="preserve">5% in 2022. The other </w:t>
      </w:r>
      <w:r w:rsidR="00A038E4">
        <w:rPr>
          <w:lang w:eastAsia="fr-FR"/>
        </w:rPr>
        <w:t xml:space="preserve">major emission source is the domestic wastewater </w:t>
      </w:r>
      <w:r w:rsidR="00991B7C">
        <w:rPr>
          <w:lang w:eastAsia="fr-FR"/>
        </w:rPr>
        <w:t xml:space="preserve">treatment </w:t>
      </w:r>
      <w:r w:rsidR="00A038E4">
        <w:rPr>
          <w:lang w:eastAsia="fr-FR"/>
        </w:rPr>
        <w:t>(5D1)</w:t>
      </w:r>
      <w:r w:rsidR="00991B7C">
        <w:rPr>
          <w:lang w:eastAsia="fr-FR"/>
        </w:rPr>
        <w:t xml:space="preserve">, which is responsible for 24% of the sector GHG emissions in 1990 and 22% in 2022. Finally, the industrial wastewater treatment </w:t>
      </w:r>
      <w:r w:rsidR="00915960">
        <w:rPr>
          <w:lang w:eastAsia="fr-FR"/>
        </w:rPr>
        <w:t xml:space="preserve">(5D2), which contributed to 5% of the sector emissions in 1990, has seen its share divided by 2 </w:t>
      </w:r>
      <w:r w:rsidR="00852B76">
        <w:rPr>
          <w:lang w:eastAsia="fr-FR"/>
        </w:rPr>
        <w:t>over the timeseries.</w:t>
      </w:r>
    </w:p>
    <w:p w14:paraId="0F94BAA2" w14:textId="14347226" w:rsidR="007B2433" w:rsidRDefault="00DC0C34" w:rsidP="006E54E7">
      <w:pPr>
        <w:pStyle w:val="BodyText"/>
        <w:rPr>
          <w:lang w:eastAsia="fr-FR"/>
        </w:rPr>
      </w:pPr>
      <w:bookmarkStart w:id="1116" w:name="_Toc495655066"/>
      <w:r>
        <w:rPr>
          <w:noProof/>
          <w:lang w:val="en-US"/>
        </w:rPr>
        <w:drawing>
          <wp:inline distT="0" distB="0" distL="0" distR="0" wp14:anchorId="6F3686BD" wp14:editId="79162098">
            <wp:extent cx="2844000" cy="1866913"/>
            <wp:effectExtent l="0" t="0" r="0" b="0"/>
            <wp:docPr id="376284539"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44000" cy="1866913"/>
                    </a:xfrm>
                    <a:prstGeom prst="rect">
                      <a:avLst/>
                    </a:prstGeom>
                    <a:noFill/>
                  </pic:spPr>
                </pic:pic>
              </a:graphicData>
            </a:graphic>
          </wp:inline>
        </w:drawing>
      </w:r>
      <w:r w:rsidR="00244CE4">
        <w:rPr>
          <w:noProof/>
          <w:lang w:val="en-US"/>
        </w:rPr>
        <w:drawing>
          <wp:inline distT="0" distB="0" distL="0" distR="0" wp14:anchorId="55086237" wp14:editId="6495F60D">
            <wp:extent cx="2844000" cy="1866913"/>
            <wp:effectExtent l="0" t="0" r="0" b="0"/>
            <wp:docPr id="1359751260"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44000" cy="1866913"/>
                    </a:xfrm>
                    <a:prstGeom prst="rect">
                      <a:avLst/>
                    </a:prstGeom>
                    <a:noFill/>
                  </pic:spPr>
                </pic:pic>
              </a:graphicData>
            </a:graphic>
          </wp:inline>
        </w:drawing>
      </w:r>
    </w:p>
    <w:p w14:paraId="21E3915D" w14:textId="77777777" w:rsidR="00D52DC4" w:rsidRPr="002462F0" w:rsidRDefault="00D52DC4" w:rsidP="00D52DC4">
      <w:pPr>
        <w:pStyle w:val="Caption"/>
        <w:spacing w:before="0"/>
        <w:jc w:val="both"/>
        <w:rPr>
          <w:sz w:val="22"/>
          <w:lang w:eastAsia="fr-FR"/>
        </w:rPr>
      </w:pPr>
      <w:bookmarkStart w:id="1117" w:name="_Toc184808537"/>
      <w:r w:rsidRPr="002462F0">
        <w:t xml:space="preserve">Figure </w:t>
      </w:r>
      <w:r w:rsidRPr="002462F0">
        <w:fldChar w:fldCharType="begin"/>
      </w:r>
      <w:r w:rsidRPr="002462F0">
        <w:instrText xml:space="preserve"> SEQ Figure \* ARABIC </w:instrText>
      </w:r>
      <w:r w:rsidRPr="002462F0">
        <w:fldChar w:fldCharType="separate"/>
      </w:r>
      <w:r>
        <w:rPr>
          <w:noProof/>
        </w:rPr>
        <w:t>150</w:t>
      </w:r>
      <w:r w:rsidRPr="002462F0">
        <w:fldChar w:fldCharType="end"/>
      </w:r>
      <w:r w:rsidRPr="002462F0">
        <w:t xml:space="preserve">: GHG emission </w:t>
      </w:r>
      <w:r>
        <w:t>distribution</w:t>
      </w:r>
      <w:r w:rsidRPr="002462F0">
        <w:t xml:space="preserve"> for </w:t>
      </w:r>
      <w:r>
        <w:t xml:space="preserve">waste sector (CRT 5), for the period 1990-2022, per subcategory </w:t>
      </w:r>
      <w:r w:rsidRPr="002462F0">
        <w:t>(</w:t>
      </w:r>
      <w:r>
        <w:t>in %</w:t>
      </w:r>
      <w:r w:rsidRPr="002462F0">
        <w:t>)</w:t>
      </w:r>
      <w:bookmarkEnd w:id="1117"/>
    </w:p>
    <w:p w14:paraId="4E4FC661" w14:textId="77777777" w:rsidR="00D52DC4" w:rsidRPr="002462F0" w:rsidRDefault="00D52DC4" w:rsidP="006E54E7">
      <w:pPr>
        <w:pStyle w:val="BodyText"/>
        <w:rPr>
          <w:lang w:eastAsia="fr-FR"/>
        </w:rPr>
      </w:pPr>
    </w:p>
    <w:p w14:paraId="57C87F70" w14:textId="4FC74B81" w:rsidR="007B2433" w:rsidRPr="002462F0" w:rsidRDefault="007B2433" w:rsidP="007B2433">
      <w:pPr>
        <w:pStyle w:val="Heading2"/>
        <w:rPr>
          <w:rStyle w:val="Heading2Char"/>
          <w:lang w:val="en-GB"/>
        </w:rPr>
      </w:pPr>
      <w:bookmarkStart w:id="1118" w:name="_Toc182328097"/>
      <w:bookmarkStart w:id="1119" w:name="_Toc184808355"/>
      <w:bookmarkStart w:id="1120" w:name="_Toc495655067"/>
      <w:bookmarkEnd w:id="1116"/>
      <w:r w:rsidRPr="002462F0">
        <w:rPr>
          <w:rStyle w:val="Heading2Char"/>
          <w:lang w:val="en-GB"/>
        </w:rPr>
        <w:t>Managed waste disposal sites (</w:t>
      </w:r>
      <w:r w:rsidR="00FF2718">
        <w:rPr>
          <w:rStyle w:val="Heading2Char"/>
          <w:lang w:val="en-GB"/>
        </w:rPr>
        <w:t xml:space="preserve">CRFT </w:t>
      </w:r>
      <w:r w:rsidRPr="002462F0">
        <w:rPr>
          <w:rStyle w:val="Heading2Char"/>
          <w:lang w:val="en-GB"/>
        </w:rPr>
        <w:t>5A</w:t>
      </w:r>
      <w:r w:rsidR="00D531B8">
        <w:rPr>
          <w:rStyle w:val="Heading2Char"/>
          <w:lang w:val="en-GB"/>
        </w:rPr>
        <w:t>1</w:t>
      </w:r>
      <w:r w:rsidRPr="002462F0">
        <w:rPr>
          <w:rStyle w:val="Heading2Char"/>
          <w:lang w:val="en-GB"/>
        </w:rPr>
        <w:t>)</w:t>
      </w:r>
      <w:bookmarkEnd w:id="1118"/>
      <w:bookmarkEnd w:id="1119"/>
    </w:p>
    <w:p w14:paraId="41CDDA6F" w14:textId="77777777" w:rsidR="007B2433" w:rsidRPr="002462F0" w:rsidRDefault="007B2433" w:rsidP="007B2433">
      <w:pPr>
        <w:pStyle w:val="Heading3"/>
        <w:ind w:left="1430"/>
        <w:rPr>
          <w:lang w:val="en-GB" w:eastAsia="fr-FR"/>
        </w:rPr>
      </w:pPr>
      <w:bookmarkStart w:id="1121" w:name="_Toc182328098"/>
      <w:bookmarkStart w:id="1122" w:name="_Toc184808356"/>
      <w:r w:rsidRPr="002462F0">
        <w:rPr>
          <w:lang w:val="en-GB" w:eastAsia="fr-FR"/>
        </w:rPr>
        <w:t>Category description</w:t>
      </w:r>
      <w:bookmarkEnd w:id="1120"/>
      <w:bookmarkEnd w:id="1121"/>
      <w:bookmarkEnd w:id="1122"/>
      <w:r w:rsidRPr="002462F0">
        <w:rPr>
          <w:lang w:val="en-GB" w:eastAsia="fr-FR"/>
        </w:rPr>
        <w:t xml:space="preserve"> </w:t>
      </w:r>
    </w:p>
    <w:p w14:paraId="7B2AC191" w14:textId="7193376B" w:rsidR="00471370" w:rsidRDefault="00471370" w:rsidP="00D916DB">
      <w:pPr>
        <w:pStyle w:val="BodyText"/>
        <w:rPr>
          <w:lang w:eastAsia="fr-FR"/>
        </w:rPr>
      </w:pPr>
      <w:r>
        <w:rPr>
          <w:lang w:eastAsia="fr-FR"/>
        </w:rPr>
        <w:t xml:space="preserve">The </w:t>
      </w:r>
      <w:r w:rsidR="00FF7830">
        <w:rPr>
          <w:lang w:eastAsia="fr-FR"/>
        </w:rPr>
        <w:t xml:space="preserve">category of the </w:t>
      </w:r>
      <w:r>
        <w:rPr>
          <w:lang w:eastAsia="fr-FR"/>
        </w:rPr>
        <w:t xml:space="preserve">disposal </w:t>
      </w:r>
      <w:r w:rsidR="00EF6A31">
        <w:rPr>
          <w:lang w:eastAsia="fr-FR"/>
        </w:rPr>
        <w:t>of</w:t>
      </w:r>
      <w:r>
        <w:rPr>
          <w:lang w:eastAsia="fr-FR"/>
        </w:rPr>
        <w:t xml:space="preserve"> managed waste </w:t>
      </w:r>
      <w:r w:rsidR="00FF7830">
        <w:rPr>
          <w:lang w:eastAsia="fr-FR"/>
        </w:rPr>
        <w:t>(5</w:t>
      </w:r>
      <w:r w:rsidR="00D52DC4">
        <w:rPr>
          <w:lang w:eastAsia="fr-FR"/>
        </w:rPr>
        <w:t>.</w:t>
      </w:r>
      <w:r w:rsidR="00FF7830">
        <w:rPr>
          <w:lang w:eastAsia="fr-FR"/>
        </w:rPr>
        <w:t>A</w:t>
      </w:r>
      <w:r w:rsidR="00D52DC4">
        <w:rPr>
          <w:lang w:eastAsia="fr-FR"/>
        </w:rPr>
        <w:t>.</w:t>
      </w:r>
      <w:r w:rsidR="00FF7830">
        <w:rPr>
          <w:lang w:eastAsia="fr-FR"/>
        </w:rPr>
        <w:t xml:space="preserve">1) </w:t>
      </w:r>
      <w:r w:rsidR="00EF6A31">
        <w:rPr>
          <w:lang w:eastAsia="fr-FR"/>
        </w:rPr>
        <w:t xml:space="preserve">is responsible of emissions of </w:t>
      </w:r>
      <w:r w:rsidR="00824DD2">
        <w:rPr>
          <w:lang w:eastAsia="fr-FR"/>
        </w:rPr>
        <w:t>methane (</w:t>
      </w:r>
      <w:r w:rsidR="00EF6A31">
        <w:rPr>
          <w:lang w:eastAsia="fr-FR"/>
        </w:rPr>
        <w:t>CH</w:t>
      </w:r>
      <w:r w:rsidR="00EF6A31" w:rsidRPr="00622F40">
        <w:rPr>
          <w:vertAlign w:val="subscript"/>
          <w:lang w:eastAsia="fr-FR"/>
        </w:rPr>
        <w:t>4</w:t>
      </w:r>
      <w:r w:rsidR="00824DD2">
        <w:rPr>
          <w:lang w:eastAsia="fr-FR"/>
        </w:rPr>
        <w:t>)</w:t>
      </w:r>
      <w:r w:rsidR="00C05546">
        <w:rPr>
          <w:lang w:eastAsia="fr-FR"/>
        </w:rPr>
        <w:t>,</w:t>
      </w:r>
      <w:r w:rsidR="00824DD2">
        <w:rPr>
          <w:lang w:eastAsia="fr-FR"/>
        </w:rPr>
        <w:t xml:space="preserve"> and </w:t>
      </w:r>
      <w:r w:rsidR="00FF0A9F">
        <w:rPr>
          <w:lang w:eastAsia="fr-FR"/>
        </w:rPr>
        <w:t>of biogenic CO</w:t>
      </w:r>
      <w:r w:rsidR="00FF0A9F" w:rsidRPr="00622F40">
        <w:rPr>
          <w:vertAlign w:val="subscript"/>
          <w:lang w:eastAsia="fr-FR"/>
        </w:rPr>
        <w:t>2</w:t>
      </w:r>
      <w:r w:rsidR="00C177C4">
        <w:rPr>
          <w:lang w:eastAsia="fr-FR"/>
        </w:rPr>
        <w:t>, which is not reported in the national totals.</w:t>
      </w:r>
    </w:p>
    <w:p w14:paraId="4F31AB0E" w14:textId="4CD652C2" w:rsidR="004841BA" w:rsidRDefault="007B2433" w:rsidP="00D916DB">
      <w:pPr>
        <w:pStyle w:val="BodyText"/>
        <w:rPr>
          <w:lang w:eastAsia="fr-FR"/>
        </w:rPr>
      </w:pPr>
      <w:r w:rsidRPr="002462F0">
        <w:rPr>
          <w:lang w:eastAsia="fr-FR"/>
        </w:rPr>
        <w:t xml:space="preserve">In </w:t>
      </w:r>
      <w:r w:rsidR="002C3EED" w:rsidRPr="002462F0">
        <w:rPr>
          <w:lang w:eastAsia="fr-FR"/>
        </w:rPr>
        <w:t>20</w:t>
      </w:r>
      <w:r w:rsidR="002C3EED">
        <w:rPr>
          <w:lang w:eastAsia="fr-FR"/>
        </w:rPr>
        <w:t>22</w:t>
      </w:r>
      <w:r w:rsidRPr="002462F0">
        <w:rPr>
          <w:lang w:eastAsia="fr-FR"/>
        </w:rPr>
        <w:t xml:space="preserve">, the </w:t>
      </w:r>
      <w:r w:rsidR="002C3EED">
        <w:rPr>
          <w:lang w:eastAsia="fr-FR"/>
        </w:rPr>
        <w:t xml:space="preserve">CRT </w:t>
      </w:r>
      <w:r w:rsidRPr="002462F0">
        <w:rPr>
          <w:lang w:eastAsia="fr-FR"/>
        </w:rPr>
        <w:t>category 5</w:t>
      </w:r>
      <w:r w:rsidR="00D52DC4">
        <w:rPr>
          <w:lang w:eastAsia="fr-FR"/>
        </w:rPr>
        <w:t>.</w:t>
      </w:r>
      <w:r w:rsidRPr="002462F0">
        <w:rPr>
          <w:lang w:eastAsia="fr-FR"/>
        </w:rPr>
        <w:t>A</w:t>
      </w:r>
      <w:r w:rsidR="00D52DC4">
        <w:rPr>
          <w:lang w:eastAsia="fr-FR"/>
        </w:rPr>
        <w:t>.</w:t>
      </w:r>
      <w:r w:rsidR="002C3EED">
        <w:rPr>
          <w:lang w:eastAsia="fr-FR"/>
        </w:rPr>
        <w:t>1</w:t>
      </w:r>
      <w:r w:rsidRPr="002462F0">
        <w:rPr>
          <w:lang w:eastAsia="fr-FR"/>
        </w:rPr>
        <w:t xml:space="preserve"> </w:t>
      </w:r>
      <w:r w:rsidR="002C3EED">
        <w:rPr>
          <w:lang w:eastAsia="fr-FR"/>
        </w:rPr>
        <w:t>Managed</w:t>
      </w:r>
      <w:r w:rsidR="002C3EED" w:rsidRPr="002462F0">
        <w:rPr>
          <w:lang w:eastAsia="fr-FR"/>
        </w:rPr>
        <w:t xml:space="preserve"> </w:t>
      </w:r>
      <w:r w:rsidRPr="002462F0">
        <w:rPr>
          <w:lang w:eastAsia="fr-FR"/>
        </w:rPr>
        <w:t>Waste Disposal</w:t>
      </w:r>
      <w:r w:rsidR="00174A23">
        <w:rPr>
          <w:lang w:eastAsia="fr-FR"/>
        </w:rPr>
        <w:t xml:space="preserve"> Sites</w:t>
      </w:r>
      <w:r w:rsidRPr="002462F0">
        <w:rPr>
          <w:lang w:eastAsia="fr-FR"/>
        </w:rPr>
        <w:t xml:space="preserve"> is a key category for CH</w:t>
      </w:r>
      <w:r w:rsidRPr="002462F0">
        <w:rPr>
          <w:vertAlign w:val="subscript"/>
          <w:lang w:eastAsia="fr-FR"/>
        </w:rPr>
        <w:t>4</w:t>
      </w:r>
      <w:r w:rsidRPr="002462F0">
        <w:rPr>
          <w:lang w:eastAsia="fr-FR"/>
        </w:rPr>
        <w:t xml:space="preserve"> emissions in </w:t>
      </w:r>
      <w:r w:rsidR="002C3EED">
        <w:rPr>
          <w:lang w:eastAsia="fr-FR"/>
        </w:rPr>
        <w:t xml:space="preserve">the Republic of </w:t>
      </w:r>
      <w:r w:rsidRPr="002462F0">
        <w:rPr>
          <w:lang w:eastAsia="fr-FR"/>
        </w:rPr>
        <w:t>Serbia</w:t>
      </w:r>
      <w:r w:rsidR="002C3EED">
        <w:rPr>
          <w:lang w:eastAsia="fr-FR"/>
        </w:rPr>
        <w:t xml:space="preserve">, both in terms of emission levels as well as </w:t>
      </w:r>
      <w:r w:rsidR="009434DE">
        <w:rPr>
          <w:lang w:eastAsia="fr-FR"/>
        </w:rPr>
        <w:t xml:space="preserve">emission </w:t>
      </w:r>
      <w:r w:rsidR="002C3EED">
        <w:rPr>
          <w:lang w:eastAsia="fr-FR"/>
        </w:rPr>
        <w:t>trend</w:t>
      </w:r>
      <w:r w:rsidR="004841BA">
        <w:rPr>
          <w:lang w:eastAsia="fr-FR"/>
        </w:rPr>
        <w:t>. This sector contributes to 3</w:t>
      </w:r>
      <w:r w:rsidR="00D95FB8">
        <w:rPr>
          <w:lang w:eastAsia="fr-FR"/>
        </w:rPr>
        <w:t>.9</w:t>
      </w:r>
      <w:r w:rsidRPr="002462F0">
        <w:rPr>
          <w:lang w:eastAsia="fr-FR"/>
        </w:rPr>
        <w:t>% in terms of emission</w:t>
      </w:r>
      <w:r w:rsidR="004841BA">
        <w:rPr>
          <w:lang w:eastAsia="fr-FR"/>
        </w:rPr>
        <w:t xml:space="preserve">s level without LULUCF (rank </w:t>
      </w:r>
      <w:r w:rsidR="00D95FB8">
        <w:rPr>
          <w:lang w:eastAsia="fr-FR"/>
        </w:rPr>
        <w:t>4</w:t>
      </w:r>
      <w:r w:rsidR="004841BA">
        <w:rPr>
          <w:lang w:eastAsia="fr-FR"/>
        </w:rPr>
        <w:t>) and 0</w:t>
      </w:r>
      <w:r w:rsidR="00385172">
        <w:rPr>
          <w:lang w:eastAsia="fr-FR"/>
        </w:rPr>
        <w:t>.4</w:t>
      </w:r>
      <w:r w:rsidR="004841BA">
        <w:rPr>
          <w:lang w:eastAsia="fr-FR"/>
        </w:rPr>
        <w:t xml:space="preserve">% in terms of trend (rank </w:t>
      </w:r>
      <w:r w:rsidR="00385172">
        <w:rPr>
          <w:lang w:eastAsia="fr-FR"/>
        </w:rPr>
        <w:t>46</w:t>
      </w:r>
      <w:r w:rsidR="004841BA">
        <w:rPr>
          <w:lang w:eastAsia="fr-FR"/>
        </w:rPr>
        <w:t xml:space="preserve">). </w:t>
      </w:r>
    </w:p>
    <w:p w14:paraId="1CAFB65E" w14:textId="5F06600A" w:rsidR="007B2433" w:rsidRPr="002462F0" w:rsidRDefault="007B2433" w:rsidP="00D916DB">
      <w:pPr>
        <w:pStyle w:val="BodyText"/>
        <w:rPr>
          <w:lang w:eastAsia="fr-FR"/>
        </w:rPr>
      </w:pPr>
      <w:r w:rsidRPr="002462F0">
        <w:rPr>
          <w:lang w:eastAsia="fr-FR"/>
        </w:rPr>
        <w:t xml:space="preserve">The </w:t>
      </w:r>
      <w:r w:rsidR="007A5A79">
        <w:rPr>
          <w:lang w:eastAsia="fr-FR"/>
        </w:rPr>
        <w:t xml:space="preserve">evolution of the </w:t>
      </w:r>
      <w:r w:rsidRPr="002462F0">
        <w:rPr>
          <w:lang w:eastAsia="fr-FR"/>
        </w:rPr>
        <w:t xml:space="preserve">emissions </w:t>
      </w:r>
      <w:r w:rsidR="007A5A79">
        <w:rPr>
          <w:lang w:eastAsia="fr-FR"/>
        </w:rPr>
        <w:t xml:space="preserve">is presented in the following graph. </w:t>
      </w:r>
      <w:r w:rsidR="008475A8">
        <w:rPr>
          <w:lang w:eastAsia="fr-FR"/>
        </w:rPr>
        <w:t xml:space="preserve">Three </w:t>
      </w:r>
      <w:r w:rsidR="006A3B3D">
        <w:rPr>
          <w:lang w:eastAsia="fr-FR"/>
        </w:rPr>
        <w:t>distinct</w:t>
      </w:r>
      <w:r w:rsidR="008475A8">
        <w:rPr>
          <w:lang w:eastAsia="fr-FR"/>
        </w:rPr>
        <w:t xml:space="preserve"> phases can be observed: a gradual emission reduction from 199</w:t>
      </w:r>
      <w:r w:rsidR="00647402">
        <w:rPr>
          <w:lang w:eastAsia="fr-FR"/>
        </w:rPr>
        <w:t>1</w:t>
      </w:r>
      <w:r w:rsidR="008475A8">
        <w:rPr>
          <w:lang w:eastAsia="fr-FR"/>
        </w:rPr>
        <w:t xml:space="preserve"> to </w:t>
      </w:r>
      <w:r w:rsidR="00343920">
        <w:rPr>
          <w:lang w:eastAsia="fr-FR"/>
        </w:rPr>
        <w:t>2007</w:t>
      </w:r>
      <w:r w:rsidR="006A3B3D">
        <w:rPr>
          <w:lang w:eastAsia="fr-FR"/>
        </w:rPr>
        <w:t xml:space="preserve"> (-3</w:t>
      </w:r>
      <w:r w:rsidR="00647402">
        <w:rPr>
          <w:lang w:eastAsia="fr-FR"/>
        </w:rPr>
        <w:t>1</w:t>
      </w:r>
      <w:r w:rsidR="006A3B3D">
        <w:rPr>
          <w:lang w:eastAsia="fr-FR"/>
        </w:rPr>
        <w:t>%)</w:t>
      </w:r>
      <w:r w:rsidR="00343920">
        <w:rPr>
          <w:lang w:eastAsia="fr-FR"/>
        </w:rPr>
        <w:t>,</w:t>
      </w:r>
      <w:r w:rsidR="006A3B3D">
        <w:rPr>
          <w:lang w:eastAsia="fr-FR"/>
        </w:rPr>
        <w:t xml:space="preserve"> a stagnation between </w:t>
      </w:r>
      <w:r w:rsidR="00AC5B2E">
        <w:rPr>
          <w:lang w:eastAsia="fr-FR"/>
        </w:rPr>
        <w:t xml:space="preserve">2008 and 2017, </w:t>
      </w:r>
      <w:r w:rsidR="00356E14">
        <w:rPr>
          <w:lang w:eastAsia="fr-FR"/>
        </w:rPr>
        <w:t xml:space="preserve">before a progressive increase </w:t>
      </w:r>
      <w:r w:rsidR="00C206D2">
        <w:rPr>
          <w:lang w:eastAsia="fr-FR"/>
        </w:rPr>
        <w:t xml:space="preserve">from 2018 </w:t>
      </w:r>
      <w:r w:rsidR="00DA457F">
        <w:rPr>
          <w:lang w:eastAsia="fr-FR"/>
        </w:rPr>
        <w:t>to 2022 (+</w:t>
      </w:r>
      <w:r w:rsidR="00A240A5">
        <w:rPr>
          <w:lang w:eastAsia="fr-FR"/>
        </w:rPr>
        <w:t xml:space="preserve">12%). In total, the methane emissions have been reduced by 20% over the whole timeseries. </w:t>
      </w:r>
    </w:p>
    <w:p w14:paraId="61086083" w14:textId="29231EA7" w:rsidR="00FC2341" w:rsidRDefault="00A50FCC" w:rsidP="007132BE">
      <w:r>
        <w:t>The managed industrial waste</w:t>
      </w:r>
      <w:r w:rsidR="007132BE">
        <w:t>, which contributed to 44% of the emissions of the CRT 5</w:t>
      </w:r>
      <w:r w:rsidR="00D52DC4">
        <w:t>.</w:t>
      </w:r>
      <w:r w:rsidR="007132BE">
        <w:t>A</w:t>
      </w:r>
      <w:r w:rsidR="00D52DC4">
        <w:t>.</w:t>
      </w:r>
      <w:r w:rsidR="007132BE">
        <w:t>1 in 1990,</w:t>
      </w:r>
      <w:r>
        <w:t xml:space="preserve"> </w:t>
      </w:r>
      <w:r w:rsidR="00386CA4">
        <w:t xml:space="preserve">is responsible </w:t>
      </w:r>
      <w:r w:rsidR="00647402">
        <w:t xml:space="preserve">for </w:t>
      </w:r>
      <w:r w:rsidR="00EA0612">
        <w:t>an important part of this reduction, with a</w:t>
      </w:r>
      <w:r w:rsidR="007132BE">
        <w:t xml:space="preserve"> decrease of its emissions by </w:t>
      </w:r>
      <w:r w:rsidR="007D0ACB">
        <w:t xml:space="preserve">70% between 1990 and 2015, </w:t>
      </w:r>
      <w:r w:rsidR="00B41214">
        <w:t xml:space="preserve">due to a large reduction of the amounts of industrial waste deposited </w:t>
      </w:r>
      <w:r w:rsidR="00836AA3">
        <w:t xml:space="preserve">in disposal sites for </w:t>
      </w:r>
      <w:r w:rsidR="00EB5D37">
        <w:t>1990-2014</w:t>
      </w:r>
      <w:r w:rsidR="00836AA3">
        <w:t xml:space="preserve"> (-</w:t>
      </w:r>
      <w:r w:rsidR="00EB5D37">
        <w:t>87%), although some important variations are observed over the period</w:t>
      </w:r>
      <w:r w:rsidR="007D0ACB">
        <w:t xml:space="preserve">. </w:t>
      </w:r>
      <w:r w:rsidR="00797064">
        <w:t xml:space="preserve">In particular, there has been a huge drop in the amount of industrial waste disposed </w:t>
      </w:r>
      <w:r w:rsidR="00FC2341">
        <w:t>between 1990 and 1993 (-80%), due to the fall in GDP and in the waste generation rate, in relation with the war and the hyperinflation in that period.</w:t>
      </w:r>
      <w:r w:rsidR="00A77AFC">
        <w:t xml:space="preserve"> </w:t>
      </w:r>
      <w:r w:rsidR="004E3FCF">
        <w:t>Nevertheless</w:t>
      </w:r>
      <w:r w:rsidR="00A77AFC">
        <w:t xml:space="preserve">, the emissions decrease in a </w:t>
      </w:r>
      <w:r w:rsidR="004E3FCF">
        <w:t>less drastic way but more progressively, as it depends on the kinetic of degradation of the waste.</w:t>
      </w:r>
    </w:p>
    <w:p w14:paraId="68E1868C" w14:textId="3F20CEC8" w:rsidR="007816F3" w:rsidRDefault="00C13F6E" w:rsidP="007132BE">
      <w:r>
        <w:lastRenderedPageBreak/>
        <w:t>For domestic waste, the amounts</w:t>
      </w:r>
      <w:r w:rsidR="00A77AFC">
        <w:t xml:space="preserve"> being deposited to landfill </w:t>
      </w:r>
      <w:r w:rsidR="00483CBC">
        <w:t>vary</w:t>
      </w:r>
      <w:r w:rsidR="00A77AFC">
        <w:t xml:space="preserve"> directly proportional to the population, which varies less rapidly, although </w:t>
      </w:r>
      <w:r w:rsidR="00483CBC">
        <w:t>a significant reduction of 20% is observed between 1990 and 1991.</w:t>
      </w:r>
      <w:r w:rsidR="00E40517">
        <w:t xml:space="preserve"> </w:t>
      </w:r>
      <w:r w:rsidR="00421BB3">
        <w:t xml:space="preserve">For the rest of the studied period, the population decreases continuously and slowly, and the overall reduction is of 15% for 1991-2022. In addition, the amount of domestic waste deposited varies depending on the annual waste generation rate per inhabitant. </w:t>
      </w:r>
      <w:r w:rsidR="00BB5E8D">
        <w:t xml:space="preserve">This latter is constant from 1990 to </w:t>
      </w:r>
      <w:r w:rsidR="00325779">
        <w:t>2008, varies slightly up to 2013, before decreasing significantly from 2013 to 2015 (-</w:t>
      </w:r>
      <w:r w:rsidR="001D7458">
        <w:t>24</w:t>
      </w:r>
      <w:r w:rsidR="00325779">
        <w:t>%)</w:t>
      </w:r>
      <w:r w:rsidR="001D7458">
        <w:t xml:space="preserve">, before </w:t>
      </w:r>
      <w:r w:rsidR="00DD4B54">
        <w:t xml:space="preserve">increasing significantly in 2017 (+50% compared with 2016), and then slightly but progressively increasing </w:t>
      </w:r>
      <w:r w:rsidR="001515A7">
        <w:t xml:space="preserve">between 2018 and 2022 </w:t>
      </w:r>
      <w:r w:rsidR="00DD4B54">
        <w:t>(+</w:t>
      </w:r>
      <w:r w:rsidR="001515A7">
        <w:t xml:space="preserve">20%, see </w:t>
      </w:r>
      <w:r w:rsidR="001F13A0">
        <w:fldChar w:fldCharType="begin"/>
      </w:r>
      <w:r w:rsidR="001F13A0">
        <w:instrText xml:space="preserve"> REF _Ref179978014 \h </w:instrText>
      </w:r>
      <w:r w:rsidR="001F13A0">
        <w:fldChar w:fldCharType="separate"/>
      </w:r>
      <w:r w:rsidR="00F14C78">
        <w:t xml:space="preserve">Table </w:t>
      </w:r>
      <w:r w:rsidR="00F14C78">
        <w:rPr>
          <w:noProof/>
        </w:rPr>
        <w:t>45</w:t>
      </w:r>
      <w:r w:rsidR="001F13A0">
        <w:fldChar w:fldCharType="end"/>
      </w:r>
      <w:r w:rsidR="001515A7">
        <w:t>)</w:t>
      </w:r>
      <w:r w:rsidR="00325779">
        <w:t xml:space="preserve">. </w:t>
      </w:r>
      <w:r w:rsidR="001515A7">
        <w:t>As a consequence</w:t>
      </w:r>
      <w:r w:rsidR="00B00DF2">
        <w:t xml:space="preserve">, </w:t>
      </w:r>
      <w:r w:rsidR="00A72308">
        <w:t xml:space="preserve">after a sudden drop of 20% in 1991, compared with 1990, </w:t>
      </w:r>
      <w:r w:rsidR="00B00DF2">
        <w:t>a progressive but slow decline</w:t>
      </w:r>
      <w:r w:rsidR="005D6C42">
        <w:t xml:space="preserve"> of 8%</w:t>
      </w:r>
      <w:r w:rsidR="00B00DF2">
        <w:t xml:space="preserve"> is observed </w:t>
      </w:r>
      <w:r w:rsidR="005D6C42">
        <w:t>in the total amounts of domestic waste deposited</w:t>
      </w:r>
      <w:r w:rsidR="001F13A0">
        <w:t xml:space="preserve"> </w:t>
      </w:r>
      <w:r w:rsidR="00A72308">
        <w:t>for the period 1991-20</w:t>
      </w:r>
      <w:r w:rsidR="007816F3">
        <w:t>15</w:t>
      </w:r>
      <w:r w:rsidR="005D6C42">
        <w:t>.</w:t>
      </w:r>
      <w:r w:rsidR="00A72308">
        <w:t xml:space="preserve"> </w:t>
      </w:r>
      <w:r w:rsidR="002F62ED">
        <w:t xml:space="preserve">Then, in 2017, a </w:t>
      </w:r>
      <w:r w:rsidR="006C3B41">
        <w:t xml:space="preserve">rapid increase is observed compared with 2016, of +47%, mostly based on the generation rate. </w:t>
      </w:r>
      <w:r w:rsidR="00E12164">
        <w:t>Finally, for the period 2017-2022, the slow reduction in the Serbian population does not compensate the increase of the generation rate, hence the amount of domestic waste disposed into landfill</w:t>
      </w:r>
      <w:r w:rsidR="000A35F2">
        <w:t xml:space="preserve"> increases by 18%.</w:t>
      </w:r>
      <w:r w:rsidR="007816F3">
        <w:t xml:space="preserve"> </w:t>
      </w:r>
      <w:r w:rsidR="00062DDC">
        <w:t>In terms of methane emissions generated, the domestic waste</w:t>
      </w:r>
      <w:r w:rsidR="007E2517">
        <w:t>, which</w:t>
      </w:r>
      <w:r w:rsidR="00062DDC">
        <w:t xml:space="preserve"> accounted for 59% of the </w:t>
      </w:r>
      <w:r w:rsidR="007E2517">
        <w:t>CRT 5</w:t>
      </w:r>
      <w:r w:rsidR="00D52DC4">
        <w:t>.</w:t>
      </w:r>
      <w:r w:rsidR="007E2517">
        <w:t>A</w:t>
      </w:r>
      <w:r w:rsidR="00D52DC4">
        <w:t>.</w:t>
      </w:r>
      <w:r w:rsidR="007E2517">
        <w:t>1</w:t>
      </w:r>
      <w:r w:rsidR="00062DDC">
        <w:t xml:space="preserve"> emissions in 1990</w:t>
      </w:r>
      <w:r w:rsidR="007E2517">
        <w:t xml:space="preserve">, has a share of 84% of the emissions in </w:t>
      </w:r>
      <w:r w:rsidR="00EE5118">
        <w:t>2022.</w:t>
      </w:r>
    </w:p>
    <w:p w14:paraId="7E26B3B7" w14:textId="064670C4" w:rsidR="00D177FB" w:rsidRDefault="007816F3" w:rsidP="00622F40">
      <w:pPr>
        <w:rPr>
          <w:b/>
          <w:bCs/>
          <w:color w:val="4F81BD" w:themeColor="accent1"/>
          <w:sz w:val="18"/>
          <w:szCs w:val="18"/>
        </w:rPr>
      </w:pPr>
      <w:r>
        <w:t xml:space="preserve">The </w:t>
      </w:r>
      <w:r w:rsidR="00EE5118">
        <w:t xml:space="preserve">emissions presented in the graph below evolve according to a mix of the different analyses given above, about the evolution of the amounts of industrial and domestic waste, as well </w:t>
      </w:r>
      <w:r w:rsidR="00B7051F">
        <w:t xml:space="preserve">as the fact that from 2002 onwards, 10% of the </w:t>
      </w:r>
      <w:r w:rsidR="00F3029A">
        <w:t xml:space="preserve">waste disposed </w:t>
      </w:r>
      <w:r w:rsidR="00360428">
        <w:t>are</w:t>
      </w:r>
      <w:r w:rsidR="00F3029A">
        <w:t xml:space="preserve"> considered to be managed in an anaerobic </w:t>
      </w:r>
      <w:r w:rsidR="00D1022C">
        <w:t xml:space="preserve">manner, due to </w:t>
      </w:r>
      <w:r w:rsidR="00BC43CA">
        <w:t xml:space="preserve">the first landfill site </w:t>
      </w:r>
      <w:r w:rsidR="00A70BAF">
        <w:t xml:space="preserve">compliant with the EC regulation which has been built. </w:t>
      </w:r>
    </w:p>
    <w:p w14:paraId="79769ADC" w14:textId="577D58E3" w:rsidR="007B2433" w:rsidRDefault="00603CC1" w:rsidP="00D52DC4">
      <w:pPr>
        <w:pStyle w:val="BodyText"/>
        <w:spacing w:after="0"/>
        <w:jc w:val="left"/>
        <w:rPr>
          <w:lang w:eastAsia="fr-FR"/>
        </w:rPr>
      </w:pPr>
      <w:r>
        <w:rPr>
          <w:noProof/>
          <w:lang w:val="en-US"/>
        </w:rPr>
        <w:drawing>
          <wp:inline distT="0" distB="0" distL="0" distR="0" wp14:anchorId="2B2FB44E" wp14:editId="5B39304E">
            <wp:extent cx="5760000" cy="1753712"/>
            <wp:effectExtent l="0" t="0" r="0" b="0"/>
            <wp:docPr id="300317026"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724C2C8F" w14:textId="77777777" w:rsidR="00D52DC4" w:rsidRPr="002462F0" w:rsidRDefault="00D52DC4" w:rsidP="00D52DC4">
      <w:pPr>
        <w:pStyle w:val="Caption"/>
        <w:spacing w:before="0"/>
        <w:jc w:val="left"/>
        <w:rPr>
          <w:sz w:val="22"/>
          <w:lang w:eastAsia="fr-FR"/>
        </w:rPr>
      </w:pPr>
      <w:bookmarkStart w:id="1123" w:name="_Toc184808538"/>
      <w:r w:rsidRPr="00622F40">
        <w:t xml:space="preserve">Figure </w:t>
      </w:r>
      <w:r w:rsidRPr="00622F40">
        <w:fldChar w:fldCharType="begin"/>
      </w:r>
      <w:r w:rsidRPr="00622F40">
        <w:instrText xml:space="preserve"> SEQ Figure \* ARABIC </w:instrText>
      </w:r>
      <w:r w:rsidRPr="00622F40">
        <w:fldChar w:fldCharType="separate"/>
      </w:r>
      <w:r>
        <w:rPr>
          <w:noProof/>
        </w:rPr>
        <w:t>151</w:t>
      </w:r>
      <w:r w:rsidRPr="00622F40">
        <w:fldChar w:fldCharType="end"/>
      </w:r>
      <w:r w:rsidRPr="00622F40">
        <w:t>: GHG emissions for manage</w:t>
      </w:r>
      <w:r>
        <w:t>d</w:t>
      </w:r>
      <w:r w:rsidRPr="00622F40">
        <w:t xml:space="preserve"> waste disposal sites (kt CO</w:t>
      </w:r>
      <w:r w:rsidRPr="00622F40">
        <w:rPr>
          <w:vertAlign w:val="subscript"/>
        </w:rPr>
        <w:t>2</w:t>
      </w:r>
      <w:r w:rsidRPr="00622F40">
        <w:t>e)</w:t>
      </w:r>
      <w:bookmarkEnd w:id="1123"/>
    </w:p>
    <w:p w14:paraId="561FE1E2" w14:textId="3B83AA0E" w:rsidR="007B2433" w:rsidRPr="00D916DB" w:rsidRDefault="007B2433" w:rsidP="00D916DB">
      <w:pPr>
        <w:pStyle w:val="BodyText"/>
      </w:pPr>
      <w:r w:rsidRPr="00D916DB">
        <w:t>The first landfill compliant with the EC regulation has been built in 2002. These landfills received municipal solid waste as well as commercial and industrial waste.</w:t>
      </w:r>
    </w:p>
    <w:p w14:paraId="20296D9A" w14:textId="77777777" w:rsidR="007B2433" w:rsidRPr="002462F0" w:rsidRDefault="007B2433" w:rsidP="007B2433">
      <w:pPr>
        <w:pStyle w:val="Heading3"/>
        <w:ind w:left="1430"/>
        <w:rPr>
          <w:lang w:val="en-GB" w:eastAsia="fr-FR"/>
        </w:rPr>
      </w:pPr>
      <w:r w:rsidRPr="002462F0">
        <w:rPr>
          <w:lang w:val="en-GB" w:eastAsia="fr-FR"/>
        </w:rPr>
        <w:t xml:space="preserve"> </w:t>
      </w:r>
      <w:bookmarkStart w:id="1124" w:name="_Toc495655068"/>
      <w:bookmarkStart w:id="1125" w:name="_Toc182328099"/>
      <w:bookmarkStart w:id="1126" w:name="_Toc184808357"/>
      <w:r w:rsidRPr="002462F0">
        <w:rPr>
          <w:lang w:val="en-GB" w:eastAsia="fr-FR"/>
        </w:rPr>
        <w:t>Methodological issues</w:t>
      </w:r>
      <w:bookmarkEnd w:id="1124"/>
      <w:bookmarkEnd w:id="1125"/>
      <w:bookmarkEnd w:id="1126"/>
      <w:r w:rsidRPr="002462F0">
        <w:rPr>
          <w:lang w:val="en-GB" w:eastAsia="fr-FR"/>
        </w:rPr>
        <w:t xml:space="preserve"> </w:t>
      </w:r>
    </w:p>
    <w:p w14:paraId="705E5FE5" w14:textId="77777777" w:rsidR="007B2433" w:rsidRPr="002462F0" w:rsidRDefault="007B2433" w:rsidP="00D916DB">
      <w:pPr>
        <w:pStyle w:val="BodyText"/>
        <w:rPr>
          <w:lang w:eastAsia="fr-FR"/>
        </w:rPr>
      </w:pPr>
      <w:r w:rsidRPr="002462F0">
        <w:rPr>
          <w:lang w:eastAsia="fr-FR"/>
        </w:rPr>
        <w:t>A Tier 1 methodology recommended by the 2006 IPCC Guidelines is applied. The IPCC Waste Software proposed by the IPCC is implemented, more especially the “waste by composition” approach.</w:t>
      </w:r>
    </w:p>
    <w:p w14:paraId="6F91C1CF" w14:textId="77777777" w:rsidR="007B2433" w:rsidRPr="002462F0" w:rsidRDefault="007B2433" w:rsidP="00D916DB">
      <w:pPr>
        <w:pStyle w:val="BodyText"/>
        <w:rPr>
          <w:lang w:eastAsia="fr-FR"/>
        </w:rPr>
      </w:pPr>
      <w:r w:rsidRPr="002462F0">
        <w:rPr>
          <w:lang w:eastAsia="fr-FR"/>
        </w:rPr>
        <w:t>As far as possible country-specific parameters have been used as input data in the IPCC Waste Software.</w:t>
      </w:r>
    </w:p>
    <w:p w14:paraId="45C51883" w14:textId="77777777" w:rsidR="007B2433" w:rsidRPr="002462F0" w:rsidRDefault="007B2433" w:rsidP="007B2433">
      <w:pPr>
        <w:pStyle w:val="Titre4Bleu"/>
        <w:rPr>
          <w:lang w:val="en-GB" w:eastAsia="fr-FR"/>
        </w:rPr>
      </w:pPr>
      <w:bookmarkStart w:id="1127" w:name="_Toc182328100"/>
      <w:r w:rsidRPr="002462F0">
        <w:rPr>
          <w:lang w:val="en-GB" w:eastAsia="fr-FR"/>
        </w:rPr>
        <w:t>Municipal Solid Waste (MSW)</w:t>
      </w:r>
      <w:bookmarkEnd w:id="1127"/>
    </w:p>
    <w:p w14:paraId="354A2C3D" w14:textId="77777777" w:rsidR="007B2433" w:rsidRPr="002462F0" w:rsidRDefault="007B2433" w:rsidP="007B2433">
      <w:pPr>
        <w:pStyle w:val="Heading5"/>
        <w:rPr>
          <w:lang w:eastAsia="fr-FR"/>
        </w:rPr>
      </w:pPr>
      <w:bookmarkStart w:id="1128" w:name="_Toc182328101"/>
      <w:r w:rsidRPr="002462F0">
        <w:rPr>
          <w:lang w:eastAsia="fr-FR"/>
        </w:rPr>
        <w:t>Population and fraction of urban population</w:t>
      </w:r>
      <w:bookmarkEnd w:id="1128"/>
    </w:p>
    <w:p w14:paraId="798FE10B" w14:textId="10EDC26D" w:rsidR="007B2433" w:rsidRPr="002462F0" w:rsidRDefault="007B2433" w:rsidP="00D916DB">
      <w:pPr>
        <w:pStyle w:val="BodyText"/>
        <w:rPr>
          <w:lang w:eastAsia="fr-FR"/>
        </w:rPr>
      </w:pPr>
      <w:r w:rsidRPr="002462F0">
        <w:rPr>
          <w:lang w:eastAsia="fr-FR"/>
        </w:rPr>
        <w:t>National data on population used in the Serbian inventory are from</w:t>
      </w:r>
      <w:r w:rsidR="007654D7">
        <w:rPr>
          <w:lang w:eastAsia="fr-FR"/>
        </w:rPr>
        <w:t xml:space="preserve"> Statistical Office</w:t>
      </w:r>
      <w:r w:rsidRPr="002462F0">
        <w:rPr>
          <w:lang w:eastAsia="fr-FR"/>
        </w:rPr>
        <w:t>.</w:t>
      </w:r>
    </w:p>
    <w:p w14:paraId="1FB96EBD" w14:textId="79FB1C06" w:rsidR="007B2433" w:rsidRPr="002462F0" w:rsidRDefault="007B2433" w:rsidP="00D916DB">
      <w:pPr>
        <w:pStyle w:val="BodyText"/>
        <w:rPr>
          <w:lang w:eastAsia="fr-FR"/>
        </w:rPr>
      </w:pPr>
      <w:r w:rsidRPr="002462F0">
        <w:rPr>
          <w:lang w:eastAsia="fr-FR"/>
        </w:rPr>
        <w:t>Concerning waste disposal, the Serbian inventory has been developed to allow a distinction between urban and rural population. Anyway, up to now national data are not precise enough and the same average generation rate</w:t>
      </w:r>
      <w:r w:rsidR="005B4D34">
        <w:rPr>
          <w:lang w:eastAsia="fr-FR"/>
        </w:rPr>
        <w:t xml:space="preserve"> </w:t>
      </w:r>
      <w:r w:rsidRPr="002462F0">
        <w:rPr>
          <w:lang w:eastAsia="fr-FR"/>
        </w:rPr>
        <w:t>is applied to urban and rural population.</w:t>
      </w:r>
    </w:p>
    <w:p w14:paraId="27DA195C" w14:textId="0194BA60" w:rsidR="007B2433" w:rsidRPr="002462F0" w:rsidRDefault="007B2433" w:rsidP="007B2433">
      <w:pPr>
        <w:pStyle w:val="Heading5"/>
        <w:rPr>
          <w:lang w:eastAsia="fr-FR"/>
        </w:rPr>
      </w:pPr>
      <w:bookmarkStart w:id="1129" w:name="_Toc182328102"/>
      <w:r w:rsidRPr="002462F0">
        <w:rPr>
          <w:lang w:eastAsia="fr-FR"/>
        </w:rPr>
        <w:lastRenderedPageBreak/>
        <w:t>Municipal Solid Waste (MSW) generation rate</w:t>
      </w:r>
      <w:bookmarkEnd w:id="1129"/>
    </w:p>
    <w:p w14:paraId="750BA9F2" w14:textId="76D29D44" w:rsidR="007B2433" w:rsidRDefault="007B2433" w:rsidP="00970392">
      <w:pPr>
        <w:pStyle w:val="BodyText"/>
        <w:spacing w:after="0" w:line="240" w:lineRule="auto"/>
        <w:rPr>
          <w:lang w:eastAsia="fr-FR"/>
        </w:rPr>
      </w:pPr>
      <w:r w:rsidRPr="002462F0">
        <w:rPr>
          <w:lang w:eastAsia="fr-FR"/>
        </w:rPr>
        <w:t>The Serbian generation rate is based on national data.</w:t>
      </w:r>
      <w:r w:rsidR="00DF1913">
        <w:rPr>
          <w:lang w:eastAsia="fr-FR"/>
        </w:rPr>
        <w:t xml:space="preserve"> SEPA collect</w:t>
      </w:r>
      <w:r w:rsidR="005B4D34">
        <w:rPr>
          <w:lang w:eastAsia="fr-FR"/>
        </w:rPr>
        <w:t>s</w:t>
      </w:r>
      <w:r w:rsidR="00DF1913">
        <w:rPr>
          <w:lang w:eastAsia="fr-FR"/>
        </w:rPr>
        <w:t xml:space="preserve"> annual data on the </w:t>
      </w:r>
      <w:r w:rsidR="009C2E85">
        <w:rPr>
          <w:lang w:eastAsia="fr-FR"/>
        </w:rPr>
        <w:t>a</w:t>
      </w:r>
      <w:r w:rsidR="009C2E85" w:rsidRPr="009C2E85">
        <w:rPr>
          <w:lang w:eastAsia="fr-FR"/>
        </w:rPr>
        <w:t>verage coverage of waste collection</w:t>
      </w:r>
      <w:r w:rsidR="009C2E85">
        <w:rPr>
          <w:lang w:eastAsia="fr-FR"/>
        </w:rPr>
        <w:t xml:space="preserve"> (</w:t>
      </w:r>
      <w:r w:rsidR="009C2E85" w:rsidRPr="002462F0">
        <w:rPr>
          <w:lang w:eastAsia="fr-FR"/>
        </w:rPr>
        <w:t>fraction of generated MSW going to landfills</w:t>
      </w:r>
      <w:r w:rsidR="009C2E85">
        <w:rPr>
          <w:lang w:eastAsia="fr-FR"/>
        </w:rPr>
        <w:t xml:space="preserve">) and the </w:t>
      </w:r>
      <w:r w:rsidR="00DF1913">
        <w:rPr>
          <w:lang w:eastAsia="fr-FR"/>
        </w:rPr>
        <w:t>amount of waste reported from municipal companies in local self-governme</w:t>
      </w:r>
      <w:r w:rsidR="009C2E85">
        <w:rPr>
          <w:lang w:eastAsia="fr-FR"/>
        </w:rPr>
        <w:t>nts in accordance with the Rulebook</w:t>
      </w:r>
      <w:r w:rsidR="00DF1913">
        <w:rPr>
          <w:lang w:eastAsia="fr-FR"/>
        </w:rPr>
        <w:t xml:space="preserve"> on the Form</w:t>
      </w:r>
      <w:r w:rsidR="009C2E85">
        <w:rPr>
          <w:lang w:eastAsia="fr-FR"/>
        </w:rPr>
        <w:t xml:space="preserve"> of </w:t>
      </w:r>
      <w:r w:rsidR="00DF1913">
        <w:rPr>
          <w:lang w:eastAsia="fr-FR"/>
        </w:rPr>
        <w:t>daily records and annual report on waste (Official Gazette of RS, number 95/10). In accordance with the Rulebook on the methodology for collecting data on composition and quantities municipal waste in the territory of the local self-government unit (Official Gazette of the Republic of Serbia, No. 61/2010)</w:t>
      </w:r>
      <w:r w:rsidR="00466B8F">
        <w:rPr>
          <w:lang w:eastAsia="fr-FR"/>
        </w:rPr>
        <w:t>,</w:t>
      </w:r>
      <w:r w:rsidR="00DF1913">
        <w:rPr>
          <w:lang w:eastAsia="fr-FR"/>
        </w:rPr>
        <w:t xml:space="preserve"> local governments have an obligation to conduct four times a year analy</w:t>
      </w:r>
      <w:r w:rsidR="00466B8F">
        <w:rPr>
          <w:lang w:eastAsia="fr-FR"/>
        </w:rPr>
        <w:t>ses</w:t>
      </w:r>
      <w:r w:rsidR="00DF1913">
        <w:rPr>
          <w:lang w:eastAsia="fr-FR"/>
        </w:rPr>
        <w:t xml:space="preserve"> of quantities and composition of municipal waste on its territory. </w:t>
      </w:r>
      <w:r w:rsidRPr="002462F0">
        <w:rPr>
          <w:lang w:eastAsia="fr-FR"/>
        </w:rPr>
        <w:t xml:space="preserve"> </w:t>
      </w:r>
    </w:p>
    <w:p w14:paraId="21F58C3C" w14:textId="20CBF48E" w:rsidR="000A7467" w:rsidRPr="00622F40" w:rsidRDefault="000A7467" w:rsidP="000641AC">
      <w:pPr>
        <w:pStyle w:val="Caption"/>
        <w:keepNext/>
        <w:jc w:val="both"/>
      </w:pPr>
      <w:bookmarkStart w:id="1130" w:name="_Ref179978014"/>
      <w:bookmarkStart w:id="1131" w:name="_Toc184808589"/>
      <w:r>
        <w:t xml:space="preserve">Table </w:t>
      </w:r>
      <w:r>
        <w:fldChar w:fldCharType="begin"/>
      </w:r>
      <w:r>
        <w:instrText xml:space="preserve"> SEQ Table \* ARABIC </w:instrText>
      </w:r>
      <w:r>
        <w:fldChar w:fldCharType="separate"/>
      </w:r>
      <w:r w:rsidR="00F14C78">
        <w:rPr>
          <w:noProof/>
        </w:rPr>
        <w:t>45</w:t>
      </w:r>
      <w:r>
        <w:fldChar w:fldCharType="end"/>
      </w:r>
      <w:bookmarkEnd w:id="1130"/>
      <w:r>
        <w:t xml:space="preserve">: </w:t>
      </w:r>
      <w:r w:rsidRPr="002462F0">
        <w:t>MSW generation rate</w:t>
      </w:r>
      <w:r>
        <w:t>, for the period 1990-2022, used in the Serbian inventory (in kg/inhabitant/year)</w:t>
      </w:r>
      <w:bookmarkEnd w:id="1131"/>
    </w:p>
    <w:tbl>
      <w:tblPr>
        <w:tblStyle w:val="TableGrid"/>
        <w:tblW w:w="5098" w:type="dxa"/>
        <w:tblLook w:val="04A0" w:firstRow="1" w:lastRow="0" w:firstColumn="1" w:lastColumn="0" w:noHBand="0" w:noVBand="1"/>
      </w:tblPr>
      <w:tblGrid>
        <w:gridCol w:w="2405"/>
        <w:gridCol w:w="2693"/>
      </w:tblGrid>
      <w:tr w:rsidR="007B2433" w:rsidRPr="002462F0" w14:paraId="542E6CCF" w14:textId="77777777" w:rsidTr="000641AC">
        <w:trPr>
          <w:trHeight w:val="270"/>
        </w:trPr>
        <w:tc>
          <w:tcPr>
            <w:tcW w:w="2405" w:type="dxa"/>
            <w:shd w:val="clear" w:color="auto" w:fill="C6D9F1" w:themeFill="text2" w:themeFillTint="33"/>
            <w:noWrap/>
            <w:vAlign w:val="center"/>
            <w:hideMark/>
          </w:tcPr>
          <w:p w14:paraId="6585AF70" w14:textId="77777777" w:rsidR="007B2433" w:rsidRPr="002462F0" w:rsidRDefault="007B2433" w:rsidP="00D52DC4">
            <w:pPr>
              <w:pStyle w:val="ListParagraph"/>
              <w:keepNext/>
              <w:autoSpaceDE w:val="0"/>
              <w:autoSpaceDN w:val="0"/>
              <w:adjustRightInd w:val="0"/>
              <w:ind w:left="-112"/>
              <w:jc w:val="center"/>
              <w:rPr>
                <w:b/>
                <w:bCs/>
                <w:szCs w:val="20"/>
                <w:lang w:eastAsia="fr-FR"/>
              </w:rPr>
            </w:pPr>
            <w:r w:rsidRPr="002462F0">
              <w:rPr>
                <w:b/>
                <w:bCs/>
                <w:szCs w:val="20"/>
                <w:lang w:eastAsia="fr-FR"/>
              </w:rPr>
              <w:t>Year</w:t>
            </w:r>
          </w:p>
        </w:tc>
        <w:tc>
          <w:tcPr>
            <w:tcW w:w="2693" w:type="dxa"/>
            <w:shd w:val="clear" w:color="auto" w:fill="C6D9F1" w:themeFill="text2" w:themeFillTint="33"/>
            <w:noWrap/>
            <w:vAlign w:val="center"/>
          </w:tcPr>
          <w:p w14:paraId="54A8360D" w14:textId="77777777" w:rsidR="007B2433" w:rsidRPr="002462F0" w:rsidRDefault="007B2433" w:rsidP="00D52DC4">
            <w:pPr>
              <w:keepNext/>
              <w:autoSpaceDE w:val="0"/>
              <w:autoSpaceDN w:val="0"/>
              <w:adjustRightInd w:val="0"/>
              <w:jc w:val="center"/>
              <w:rPr>
                <w:b/>
                <w:bCs/>
                <w:szCs w:val="20"/>
                <w:lang w:eastAsia="fr-FR"/>
              </w:rPr>
            </w:pPr>
            <w:r w:rsidRPr="002462F0">
              <w:rPr>
                <w:b/>
                <w:bCs/>
                <w:szCs w:val="20"/>
                <w:lang w:eastAsia="fr-FR"/>
              </w:rPr>
              <w:t>Generation rate (kg /</w:t>
            </w:r>
            <w:proofErr w:type="spellStart"/>
            <w:r w:rsidRPr="002462F0">
              <w:rPr>
                <w:b/>
                <w:bCs/>
                <w:szCs w:val="20"/>
                <w:lang w:eastAsia="fr-FR"/>
              </w:rPr>
              <w:t>inhab</w:t>
            </w:r>
            <w:proofErr w:type="spellEnd"/>
            <w:r w:rsidRPr="002462F0">
              <w:rPr>
                <w:b/>
                <w:bCs/>
                <w:szCs w:val="20"/>
                <w:lang w:eastAsia="fr-FR"/>
              </w:rPr>
              <w:t>./year)</w:t>
            </w:r>
          </w:p>
        </w:tc>
      </w:tr>
      <w:tr w:rsidR="007B2433" w:rsidRPr="002462F0" w14:paraId="35F7367F" w14:textId="77777777" w:rsidTr="000641AC">
        <w:trPr>
          <w:trHeight w:val="255"/>
        </w:trPr>
        <w:tc>
          <w:tcPr>
            <w:tcW w:w="2405" w:type="dxa"/>
            <w:noWrap/>
            <w:vAlign w:val="center"/>
            <w:hideMark/>
          </w:tcPr>
          <w:p w14:paraId="1411241C" w14:textId="77777777" w:rsidR="007B2433" w:rsidRPr="002462F0" w:rsidRDefault="007B2433" w:rsidP="00D52DC4">
            <w:pPr>
              <w:keepNext/>
              <w:jc w:val="center"/>
              <w:rPr>
                <w:rFonts w:cs="Arial"/>
                <w:szCs w:val="20"/>
              </w:rPr>
            </w:pPr>
            <w:r w:rsidRPr="002462F0">
              <w:rPr>
                <w:rFonts w:cs="Arial"/>
                <w:szCs w:val="20"/>
              </w:rPr>
              <w:t>1950-2008</w:t>
            </w:r>
          </w:p>
        </w:tc>
        <w:tc>
          <w:tcPr>
            <w:tcW w:w="2693" w:type="dxa"/>
            <w:noWrap/>
            <w:vAlign w:val="center"/>
          </w:tcPr>
          <w:p w14:paraId="70A2F0A7" w14:textId="77777777" w:rsidR="007B2433" w:rsidRPr="002462F0" w:rsidRDefault="007B2433" w:rsidP="00D52DC4">
            <w:pPr>
              <w:keepNext/>
              <w:jc w:val="center"/>
              <w:rPr>
                <w:rFonts w:cs="Arial"/>
                <w:szCs w:val="20"/>
              </w:rPr>
            </w:pPr>
            <w:r w:rsidRPr="002462F0">
              <w:rPr>
                <w:rFonts w:cs="Arial"/>
                <w:szCs w:val="20"/>
              </w:rPr>
              <w:t>350</w:t>
            </w:r>
          </w:p>
        </w:tc>
      </w:tr>
      <w:tr w:rsidR="007B2433" w:rsidRPr="002462F0" w14:paraId="00BBC8BA" w14:textId="77777777" w:rsidTr="000641AC">
        <w:trPr>
          <w:trHeight w:val="255"/>
        </w:trPr>
        <w:tc>
          <w:tcPr>
            <w:tcW w:w="2405" w:type="dxa"/>
            <w:noWrap/>
            <w:vAlign w:val="center"/>
            <w:hideMark/>
          </w:tcPr>
          <w:p w14:paraId="67F27B7A" w14:textId="77777777" w:rsidR="007B2433" w:rsidRPr="002462F0" w:rsidRDefault="007B2433" w:rsidP="00D52DC4">
            <w:pPr>
              <w:keepNext/>
              <w:jc w:val="center"/>
              <w:rPr>
                <w:rFonts w:cs="Arial"/>
                <w:szCs w:val="20"/>
              </w:rPr>
            </w:pPr>
            <w:r w:rsidRPr="002462F0">
              <w:rPr>
                <w:rFonts w:cs="Arial"/>
                <w:szCs w:val="20"/>
              </w:rPr>
              <w:t>2009</w:t>
            </w:r>
          </w:p>
        </w:tc>
        <w:tc>
          <w:tcPr>
            <w:tcW w:w="2693" w:type="dxa"/>
            <w:noWrap/>
            <w:vAlign w:val="center"/>
          </w:tcPr>
          <w:p w14:paraId="5C77F340" w14:textId="77777777" w:rsidR="007B2433" w:rsidRPr="002462F0" w:rsidRDefault="007B2433" w:rsidP="00D52DC4">
            <w:pPr>
              <w:keepNext/>
              <w:jc w:val="center"/>
              <w:rPr>
                <w:rFonts w:cs="Arial"/>
                <w:szCs w:val="20"/>
              </w:rPr>
            </w:pPr>
            <w:r w:rsidRPr="002462F0">
              <w:rPr>
                <w:rFonts w:cs="Arial"/>
                <w:szCs w:val="20"/>
              </w:rPr>
              <w:t>360</w:t>
            </w:r>
          </w:p>
        </w:tc>
      </w:tr>
      <w:tr w:rsidR="007B2433" w:rsidRPr="002462F0" w14:paraId="2CCC6487" w14:textId="77777777" w:rsidTr="000641AC">
        <w:trPr>
          <w:trHeight w:val="255"/>
        </w:trPr>
        <w:tc>
          <w:tcPr>
            <w:tcW w:w="2405" w:type="dxa"/>
            <w:noWrap/>
            <w:vAlign w:val="center"/>
            <w:hideMark/>
          </w:tcPr>
          <w:p w14:paraId="3F103F51" w14:textId="77777777" w:rsidR="007B2433" w:rsidRPr="002462F0" w:rsidRDefault="007B2433" w:rsidP="00D52DC4">
            <w:pPr>
              <w:keepNext/>
              <w:jc w:val="center"/>
              <w:rPr>
                <w:rFonts w:cs="Arial"/>
                <w:szCs w:val="20"/>
              </w:rPr>
            </w:pPr>
            <w:r w:rsidRPr="002462F0">
              <w:rPr>
                <w:rFonts w:cs="Arial"/>
                <w:szCs w:val="20"/>
              </w:rPr>
              <w:t>2010</w:t>
            </w:r>
          </w:p>
        </w:tc>
        <w:tc>
          <w:tcPr>
            <w:tcW w:w="2693" w:type="dxa"/>
            <w:noWrap/>
            <w:vAlign w:val="center"/>
          </w:tcPr>
          <w:p w14:paraId="6D59E5A9" w14:textId="77777777" w:rsidR="007B2433" w:rsidRPr="002462F0" w:rsidRDefault="007B2433" w:rsidP="00D52DC4">
            <w:pPr>
              <w:keepNext/>
              <w:jc w:val="center"/>
              <w:rPr>
                <w:rFonts w:cs="Arial"/>
                <w:szCs w:val="20"/>
              </w:rPr>
            </w:pPr>
            <w:r w:rsidRPr="002462F0">
              <w:rPr>
                <w:rFonts w:cs="Arial"/>
                <w:szCs w:val="20"/>
              </w:rPr>
              <w:t>360</w:t>
            </w:r>
          </w:p>
        </w:tc>
      </w:tr>
      <w:tr w:rsidR="007B2433" w:rsidRPr="002462F0" w14:paraId="5E8EADB2" w14:textId="77777777" w:rsidTr="000641AC">
        <w:trPr>
          <w:trHeight w:val="255"/>
        </w:trPr>
        <w:tc>
          <w:tcPr>
            <w:tcW w:w="2405" w:type="dxa"/>
            <w:noWrap/>
            <w:vAlign w:val="center"/>
            <w:hideMark/>
          </w:tcPr>
          <w:p w14:paraId="38396AAE" w14:textId="77777777" w:rsidR="007B2433" w:rsidRPr="002462F0" w:rsidRDefault="007B2433" w:rsidP="00D52DC4">
            <w:pPr>
              <w:keepNext/>
              <w:jc w:val="center"/>
              <w:rPr>
                <w:rFonts w:cs="Arial"/>
                <w:szCs w:val="20"/>
              </w:rPr>
            </w:pPr>
            <w:r w:rsidRPr="002462F0">
              <w:rPr>
                <w:rFonts w:cs="Arial"/>
                <w:szCs w:val="20"/>
              </w:rPr>
              <w:t>2011</w:t>
            </w:r>
          </w:p>
        </w:tc>
        <w:tc>
          <w:tcPr>
            <w:tcW w:w="2693" w:type="dxa"/>
            <w:noWrap/>
            <w:vAlign w:val="center"/>
          </w:tcPr>
          <w:p w14:paraId="0DBE74AC" w14:textId="77777777" w:rsidR="007B2433" w:rsidRPr="002462F0" w:rsidRDefault="007B2433" w:rsidP="00D52DC4">
            <w:pPr>
              <w:keepNext/>
              <w:jc w:val="center"/>
              <w:rPr>
                <w:rFonts w:cs="Arial"/>
                <w:szCs w:val="20"/>
              </w:rPr>
            </w:pPr>
            <w:r w:rsidRPr="002462F0">
              <w:rPr>
                <w:rFonts w:cs="Arial"/>
                <w:szCs w:val="20"/>
              </w:rPr>
              <w:t>370</w:t>
            </w:r>
          </w:p>
        </w:tc>
      </w:tr>
      <w:tr w:rsidR="007B2433" w:rsidRPr="002462F0" w14:paraId="08BA4BFD" w14:textId="77777777" w:rsidTr="000641AC">
        <w:trPr>
          <w:trHeight w:val="255"/>
        </w:trPr>
        <w:tc>
          <w:tcPr>
            <w:tcW w:w="2405" w:type="dxa"/>
            <w:noWrap/>
            <w:vAlign w:val="center"/>
            <w:hideMark/>
          </w:tcPr>
          <w:p w14:paraId="22AA5CE2" w14:textId="77777777" w:rsidR="007B2433" w:rsidRPr="002462F0" w:rsidRDefault="007B2433" w:rsidP="00D52DC4">
            <w:pPr>
              <w:keepNext/>
              <w:jc w:val="center"/>
              <w:rPr>
                <w:rFonts w:cs="Arial"/>
                <w:szCs w:val="20"/>
              </w:rPr>
            </w:pPr>
            <w:r w:rsidRPr="002462F0">
              <w:rPr>
                <w:rFonts w:cs="Arial"/>
                <w:szCs w:val="20"/>
              </w:rPr>
              <w:t>2012</w:t>
            </w:r>
          </w:p>
        </w:tc>
        <w:tc>
          <w:tcPr>
            <w:tcW w:w="2693" w:type="dxa"/>
            <w:noWrap/>
            <w:vAlign w:val="center"/>
          </w:tcPr>
          <w:p w14:paraId="7CBA0E0F" w14:textId="77777777" w:rsidR="007B2433" w:rsidRPr="002462F0" w:rsidRDefault="007B2433" w:rsidP="00D52DC4">
            <w:pPr>
              <w:keepNext/>
              <w:jc w:val="center"/>
              <w:rPr>
                <w:rFonts w:cs="Arial"/>
                <w:szCs w:val="20"/>
              </w:rPr>
            </w:pPr>
            <w:r w:rsidRPr="002462F0">
              <w:rPr>
                <w:rFonts w:cs="Arial"/>
                <w:szCs w:val="20"/>
              </w:rPr>
              <w:t>360</w:t>
            </w:r>
          </w:p>
        </w:tc>
      </w:tr>
      <w:tr w:rsidR="007B2433" w:rsidRPr="002462F0" w14:paraId="3478C9A3" w14:textId="77777777" w:rsidTr="000641AC">
        <w:trPr>
          <w:trHeight w:val="255"/>
        </w:trPr>
        <w:tc>
          <w:tcPr>
            <w:tcW w:w="2405" w:type="dxa"/>
            <w:noWrap/>
            <w:vAlign w:val="center"/>
            <w:hideMark/>
          </w:tcPr>
          <w:p w14:paraId="6E01EA2C" w14:textId="77777777" w:rsidR="007B2433" w:rsidRPr="002462F0" w:rsidRDefault="007B2433" w:rsidP="00D52DC4">
            <w:pPr>
              <w:keepNext/>
              <w:jc w:val="center"/>
              <w:rPr>
                <w:rFonts w:cs="Arial"/>
                <w:szCs w:val="20"/>
              </w:rPr>
            </w:pPr>
            <w:r w:rsidRPr="002462F0">
              <w:rPr>
                <w:rFonts w:cs="Arial"/>
                <w:szCs w:val="20"/>
              </w:rPr>
              <w:t>2013</w:t>
            </w:r>
          </w:p>
        </w:tc>
        <w:tc>
          <w:tcPr>
            <w:tcW w:w="2693" w:type="dxa"/>
            <w:noWrap/>
            <w:vAlign w:val="center"/>
          </w:tcPr>
          <w:p w14:paraId="5A817BD7" w14:textId="77777777" w:rsidR="007B2433" w:rsidRPr="002462F0" w:rsidRDefault="007B2433" w:rsidP="00D52DC4">
            <w:pPr>
              <w:keepNext/>
              <w:jc w:val="center"/>
              <w:rPr>
                <w:rFonts w:cs="Arial"/>
                <w:szCs w:val="20"/>
              </w:rPr>
            </w:pPr>
            <w:r w:rsidRPr="002462F0">
              <w:rPr>
                <w:rFonts w:cs="Arial"/>
                <w:szCs w:val="20"/>
              </w:rPr>
              <w:t>340</w:t>
            </w:r>
          </w:p>
        </w:tc>
      </w:tr>
      <w:tr w:rsidR="007B2433" w:rsidRPr="002462F0" w14:paraId="115067DA" w14:textId="77777777" w:rsidTr="000641AC">
        <w:trPr>
          <w:trHeight w:val="255"/>
        </w:trPr>
        <w:tc>
          <w:tcPr>
            <w:tcW w:w="2405" w:type="dxa"/>
            <w:noWrap/>
            <w:vAlign w:val="center"/>
            <w:hideMark/>
          </w:tcPr>
          <w:p w14:paraId="18DC4696" w14:textId="77777777" w:rsidR="007B2433" w:rsidRPr="002462F0" w:rsidRDefault="007B2433" w:rsidP="00D52DC4">
            <w:pPr>
              <w:keepNext/>
              <w:jc w:val="center"/>
              <w:rPr>
                <w:rFonts w:cs="Arial"/>
                <w:szCs w:val="20"/>
              </w:rPr>
            </w:pPr>
            <w:r w:rsidRPr="002462F0">
              <w:rPr>
                <w:rFonts w:cs="Arial"/>
                <w:szCs w:val="20"/>
              </w:rPr>
              <w:t>2014</w:t>
            </w:r>
          </w:p>
        </w:tc>
        <w:tc>
          <w:tcPr>
            <w:tcW w:w="2693" w:type="dxa"/>
            <w:noWrap/>
            <w:vAlign w:val="center"/>
          </w:tcPr>
          <w:p w14:paraId="558CB033" w14:textId="77777777" w:rsidR="007B2433" w:rsidRPr="002462F0" w:rsidRDefault="007B2433" w:rsidP="00D52DC4">
            <w:pPr>
              <w:keepNext/>
              <w:jc w:val="center"/>
              <w:rPr>
                <w:rFonts w:cs="Arial"/>
                <w:szCs w:val="20"/>
              </w:rPr>
            </w:pPr>
            <w:r w:rsidRPr="002462F0">
              <w:rPr>
                <w:rFonts w:cs="Arial"/>
                <w:szCs w:val="20"/>
              </w:rPr>
              <w:t>300</w:t>
            </w:r>
          </w:p>
        </w:tc>
      </w:tr>
      <w:tr w:rsidR="007B2433" w:rsidRPr="002462F0" w14:paraId="438391CC" w14:textId="77777777" w:rsidTr="000641AC">
        <w:trPr>
          <w:trHeight w:val="270"/>
        </w:trPr>
        <w:tc>
          <w:tcPr>
            <w:tcW w:w="2405" w:type="dxa"/>
            <w:noWrap/>
            <w:vAlign w:val="center"/>
            <w:hideMark/>
          </w:tcPr>
          <w:p w14:paraId="54ACC912" w14:textId="77777777" w:rsidR="007B2433" w:rsidRPr="002462F0" w:rsidRDefault="007B2433" w:rsidP="00D52DC4">
            <w:pPr>
              <w:keepNext/>
              <w:jc w:val="center"/>
              <w:rPr>
                <w:rFonts w:cs="Arial"/>
                <w:szCs w:val="20"/>
              </w:rPr>
            </w:pPr>
            <w:r w:rsidRPr="002462F0">
              <w:rPr>
                <w:rFonts w:cs="Arial"/>
                <w:szCs w:val="20"/>
              </w:rPr>
              <w:t>2015</w:t>
            </w:r>
          </w:p>
        </w:tc>
        <w:tc>
          <w:tcPr>
            <w:tcW w:w="2693" w:type="dxa"/>
            <w:noWrap/>
            <w:vAlign w:val="center"/>
          </w:tcPr>
          <w:p w14:paraId="03AA9E32" w14:textId="77777777" w:rsidR="007B2433" w:rsidRPr="002462F0" w:rsidRDefault="007B2433" w:rsidP="00D52DC4">
            <w:pPr>
              <w:keepNext/>
              <w:jc w:val="center"/>
              <w:rPr>
                <w:rFonts w:cs="Arial"/>
                <w:szCs w:val="20"/>
              </w:rPr>
            </w:pPr>
            <w:r w:rsidRPr="002462F0">
              <w:rPr>
                <w:rFonts w:cs="Arial"/>
                <w:szCs w:val="20"/>
              </w:rPr>
              <w:t>260</w:t>
            </w:r>
          </w:p>
        </w:tc>
      </w:tr>
      <w:tr w:rsidR="00C22823" w:rsidRPr="002462F0" w14:paraId="27C98FD1" w14:textId="77777777" w:rsidTr="000641AC">
        <w:trPr>
          <w:trHeight w:val="270"/>
        </w:trPr>
        <w:tc>
          <w:tcPr>
            <w:tcW w:w="2405" w:type="dxa"/>
            <w:noWrap/>
            <w:vAlign w:val="center"/>
          </w:tcPr>
          <w:p w14:paraId="2AFF3426" w14:textId="7A9F02F7" w:rsidR="00C22823" w:rsidRPr="002462F0" w:rsidRDefault="00C22823" w:rsidP="00D52DC4">
            <w:pPr>
              <w:keepNext/>
              <w:jc w:val="center"/>
              <w:rPr>
                <w:rFonts w:cs="Arial"/>
                <w:szCs w:val="20"/>
              </w:rPr>
            </w:pPr>
            <w:r>
              <w:rPr>
                <w:rFonts w:cs="Arial"/>
                <w:szCs w:val="20"/>
              </w:rPr>
              <w:t>2016</w:t>
            </w:r>
          </w:p>
        </w:tc>
        <w:tc>
          <w:tcPr>
            <w:tcW w:w="2693" w:type="dxa"/>
            <w:noWrap/>
            <w:vAlign w:val="center"/>
          </w:tcPr>
          <w:p w14:paraId="1B8065AE" w14:textId="4141A6DB" w:rsidR="00C22823" w:rsidRPr="002462F0" w:rsidRDefault="00C22823" w:rsidP="00D52DC4">
            <w:pPr>
              <w:keepNext/>
              <w:jc w:val="center"/>
              <w:rPr>
                <w:rFonts w:cs="Arial"/>
                <w:szCs w:val="20"/>
              </w:rPr>
            </w:pPr>
            <w:r>
              <w:rPr>
                <w:rFonts w:cs="Arial"/>
                <w:szCs w:val="20"/>
              </w:rPr>
              <w:t>270</w:t>
            </w:r>
          </w:p>
        </w:tc>
      </w:tr>
      <w:tr w:rsidR="00466B8F" w:rsidRPr="002462F0" w14:paraId="5A4CC922" w14:textId="77777777" w:rsidTr="000641AC">
        <w:trPr>
          <w:trHeight w:val="270"/>
        </w:trPr>
        <w:tc>
          <w:tcPr>
            <w:tcW w:w="2405" w:type="dxa"/>
            <w:noWrap/>
            <w:vAlign w:val="center"/>
          </w:tcPr>
          <w:p w14:paraId="49DC00A0" w14:textId="2D4C8608" w:rsidR="00466B8F" w:rsidRDefault="00466B8F" w:rsidP="00D52DC4">
            <w:pPr>
              <w:keepNext/>
              <w:jc w:val="center"/>
              <w:rPr>
                <w:rFonts w:cs="Arial"/>
                <w:szCs w:val="20"/>
              </w:rPr>
            </w:pPr>
            <w:r>
              <w:rPr>
                <w:rFonts w:cs="Arial"/>
                <w:szCs w:val="20"/>
              </w:rPr>
              <w:t>2017</w:t>
            </w:r>
          </w:p>
        </w:tc>
        <w:tc>
          <w:tcPr>
            <w:tcW w:w="2693" w:type="dxa"/>
            <w:noWrap/>
            <w:vAlign w:val="center"/>
          </w:tcPr>
          <w:p w14:paraId="1810DF22" w14:textId="2067D2A8" w:rsidR="00466B8F" w:rsidRDefault="003C094B" w:rsidP="00D52DC4">
            <w:pPr>
              <w:keepNext/>
              <w:jc w:val="center"/>
              <w:rPr>
                <w:rFonts w:cs="Arial"/>
                <w:szCs w:val="20"/>
              </w:rPr>
            </w:pPr>
            <w:r>
              <w:rPr>
                <w:rFonts w:cs="Arial"/>
                <w:szCs w:val="20"/>
              </w:rPr>
              <w:t>390</w:t>
            </w:r>
          </w:p>
        </w:tc>
      </w:tr>
      <w:tr w:rsidR="00466B8F" w:rsidRPr="002462F0" w14:paraId="09571656" w14:textId="77777777" w:rsidTr="000641AC">
        <w:trPr>
          <w:trHeight w:val="270"/>
        </w:trPr>
        <w:tc>
          <w:tcPr>
            <w:tcW w:w="2405" w:type="dxa"/>
            <w:noWrap/>
            <w:vAlign w:val="center"/>
          </w:tcPr>
          <w:p w14:paraId="4ECCF684" w14:textId="1A37E460" w:rsidR="00466B8F" w:rsidRDefault="00466B8F" w:rsidP="00D52DC4">
            <w:pPr>
              <w:keepNext/>
              <w:jc w:val="center"/>
              <w:rPr>
                <w:rFonts w:cs="Arial"/>
                <w:szCs w:val="20"/>
              </w:rPr>
            </w:pPr>
            <w:r>
              <w:rPr>
                <w:rFonts w:cs="Arial"/>
                <w:szCs w:val="20"/>
              </w:rPr>
              <w:t>2018</w:t>
            </w:r>
          </w:p>
        </w:tc>
        <w:tc>
          <w:tcPr>
            <w:tcW w:w="2693" w:type="dxa"/>
            <w:noWrap/>
            <w:vAlign w:val="center"/>
          </w:tcPr>
          <w:p w14:paraId="281A05A3" w14:textId="2F788C93" w:rsidR="00466B8F" w:rsidRDefault="003C094B" w:rsidP="00D52DC4">
            <w:pPr>
              <w:keepNext/>
              <w:jc w:val="center"/>
              <w:rPr>
                <w:rFonts w:cs="Arial"/>
                <w:szCs w:val="20"/>
              </w:rPr>
            </w:pPr>
            <w:r>
              <w:rPr>
                <w:rFonts w:cs="Arial"/>
                <w:szCs w:val="20"/>
              </w:rPr>
              <w:t>401</w:t>
            </w:r>
          </w:p>
        </w:tc>
      </w:tr>
      <w:tr w:rsidR="00466B8F" w:rsidRPr="002462F0" w14:paraId="3F5A6F5C" w14:textId="77777777" w:rsidTr="000641AC">
        <w:trPr>
          <w:trHeight w:val="270"/>
        </w:trPr>
        <w:tc>
          <w:tcPr>
            <w:tcW w:w="2405" w:type="dxa"/>
            <w:noWrap/>
            <w:vAlign w:val="center"/>
          </w:tcPr>
          <w:p w14:paraId="6D0085BB" w14:textId="6B9660BF" w:rsidR="00466B8F" w:rsidRDefault="00466B8F" w:rsidP="00D52DC4">
            <w:pPr>
              <w:keepNext/>
              <w:jc w:val="center"/>
              <w:rPr>
                <w:rFonts w:cs="Arial"/>
                <w:szCs w:val="20"/>
              </w:rPr>
            </w:pPr>
            <w:r>
              <w:rPr>
                <w:rFonts w:cs="Arial"/>
                <w:szCs w:val="20"/>
              </w:rPr>
              <w:t>2019</w:t>
            </w:r>
          </w:p>
        </w:tc>
        <w:tc>
          <w:tcPr>
            <w:tcW w:w="2693" w:type="dxa"/>
            <w:noWrap/>
            <w:vAlign w:val="center"/>
          </w:tcPr>
          <w:p w14:paraId="48174261" w14:textId="2BCC0EF4" w:rsidR="00466B8F" w:rsidRDefault="003C094B" w:rsidP="00D52DC4">
            <w:pPr>
              <w:keepNext/>
              <w:jc w:val="center"/>
              <w:rPr>
                <w:rFonts w:cs="Arial"/>
                <w:szCs w:val="20"/>
              </w:rPr>
            </w:pPr>
            <w:r>
              <w:rPr>
                <w:rFonts w:cs="Arial"/>
                <w:szCs w:val="20"/>
              </w:rPr>
              <w:t>405</w:t>
            </w:r>
          </w:p>
        </w:tc>
      </w:tr>
      <w:tr w:rsidR="00466B8F" w:rsidRPr="002462F0" w14:paraId="77E11E76" w14:textId="77777777" w:rsidTr="000641AC">
        <w:trPr>
          <w:trHeight w:val="270"/>
        </w:trPr>
        <w:tc>
          <w:tcPr>
            <w:tcW w:w="2405" w:type="dxa"/>
            <w:noWrap/>
            <w:vAlign w:val="center"/>
          </w:tcPr>
          <w:p w14:paraId="0B6EFA63" w14:textId="11D32C0F" w:rsidR="00466B8F" w:rsidRDefault="00466B8F" w:rsidP="00D52DC4">
            <w:pPr>
              <w:keepNext/>
              <w:jc w:val="center"/>
              <w:rPr>
                <w:rFonts w:cs="Arial"/>
                <w:szCs w:val="20"/>
              </w:rPr>
            </w:pPr>
            <w:r>
              <w:rPr>
                <w:rFonts w:cs="Arial"/>
                <w:szCs w:val="20"/>
              </w:rPr>
              <w:t>2020</w:t>
            </w:r>
          </w:p>
        </w:tc>
        <w:tc>
          <w:tcPr>
            <w:tcW w:w="2693" w:type="dxa"/>
            <w:noWrap/>
            <w:vAlign w:val="center"/>
          </w:tcPr>
          <w:p w14:paraId="3B8852E6" w14:textId="776085A4" w:rsidR="00466B8F" w:rsidRDefault="003C094B" w:rsidP="00D52DC4">
            <w:pPr>
              <w:keepNext/>
              <w:jc w:val="center"/>
              <w:rPr>
                <w:rFonts w:cs="Arial"/>
                <w:szCs w:val="20"/>
              </w:rPr>
            </w:pPr>
            <w:r>
              <w:rPr>
                <w:rFonts w:cs="Arial"/>
                <w:szCs w:val="20"/>
              </w:rPr>
              <w:t>419</w:t>
            </w:r>
          </w:p>
        </w:tc>
      </w:tr>
      <w:tr w:rsidR="00466B8F" w:rsidRPr="002462F0" w14:paraId="6F8D3269" w14:textId="77777777" w:rsidTr="000641AC">
        <w:trPr>
          <w:trHeight w:val="270"/>
        </w:trPr>
        <w:tc>
          <w:tcPr>
            <w:tcW w:w="2405" w:type="dxa"/>
            <w:noWrap/>
            <w:vAlign w:val="center"/>
          </w:tcPr>
          <w:p w14:paraId="3B01821E" w14:textId="114EE257" w:rsidR="00466B8F" w:rsidRDefault="00466B8F" w:rsidP="00D52DC4">
            <w:pPr>
              <w:keepNext/>
              <w:jc w:val="center"/>
              <w:rPr>
                <w:rFonts w:cs="Arial"/>
                <w:szCs w:val="20"/>
              </w:rPr>
            </w:pPr>
            <w:r>
              <w:rPr>
                <w:rFonts w:cs="Arial"/>
                <w:szCs w:val="20"/>
              </w:rPr>
              <w:t>2021</w:t>
            </w:r>
          </w:p>
        </w:tc>
        <w:tc>
          <w:tcPr>
            <w:tcW w:w="2693" w:type="dxa"/>
            <w:noWrap/>
            <w:vAlign w:val="center"/>
          </w:tcPr>
          <w:p w14:paraId="43E97DD5" w14:textId="11A4BD78" w:rsidR="00466B8F" w:rsidRDefault="003C094B" w:rsidP="00D52DC4">
            <w:pPr>
              <w:keepNext/>
              <w:jc w:val="center"/>
              <w:rPr>
                <w:rFonts w:cs="Arial"/>
                <w:szCs w:val="20"/>
              </w:rPr>
            </w:pPr>
            <w:r>
              <w:rPr>
                <w:rFonts w:cs="Arial"/>
                <w:szCs w:val="20"/>
              </w:rPr>
              <w:t>416</w:t>
            </w:r>
          </w:p>
        </w:tc>
      </w:tr>
      <w:tr w:rsidR="00466B8F" w:rsidRPr="002462F0" w14:paraId="40EA2DCA" w14:textId="77777777" w:rsidTr="000641AC">
        <w:trPr>
          <w:trHeight w:val="270"/>
        </w:trPr>
        <w:tc>
          <w:tcPr>
            <w:tcW w:w="2405" w:type="dxa"/>
            <w:noWrap/>
            <w:vAlign w:val="center"/>
          </w:tcPr>
          <w:p w14:paraId="16D3E4C7" w14:textId="7E40FB8C" w:rsidR="00466B8F" w:rsidRDefault="00466B8F" w:rsidP="00D52DC4">
            <w:pPr>
              <w:keepNext/>
              <w:jc w:val="center"/>
              <w:rPr>
                <w:rFonts w:cs="Arial"/>
                <w:szCs w:val="20"/>
              </w:rPr>
            </w:pPr>
            <w:r>
              <w:rPr>
                <w:rFonts w:cs="Arial"/>
                <w:szCs w:val="20"/>
              </w:rPr>
              <w:t>2022</w:t>
            </w:r>
          </w:p>
        </w:tc>
        <w:tc>
          <w:tcPr>
            <w:tcW w:w="2693" w:type="dxa"/>
            <w:noWrap/>
            <w:vAlign w:val="center"/>
          </w:tcPr>
          <w:p w14:paraId="59FC58DE" w14:textId="3B12B803" w:rsidR="00466B8F" w:rsidRDefault="003C094B" w:rsidP="00D52DC4">
            <w:pPr>
              <w:keepNext/>
              <w:jc w:val="center"/>
              <w:rPr>
                <w:rFonts w:cs="Arial"/>
                <w:szCs w:val="20"/>
              </w:rPr>
            </w:pPr>
            <w:r>
              <w:rPr>
                <w:rFonts w:cs="Arial"/>
                <w:szCs w:val="20"/>
              </w:rPr>
              <w:t>467</w:t>
            </w:r>
          </w:p>
        </w:tc>
      </w:tr>
    </w:tbl>
    <w:p w14:paraId="3D026D2B" w14:textId="1632A65C" w:rsidR="007B2433" w:rsidRPr="002462F0" w:rsidRDefault="007B2433" w:rsidP="00970392">
      <w:pPr>
        <w:pStyle w:val="BodyText"/>
        <w:spacing w:before="240"/>
        <w:rPr>
          <w:lang w:eastAsia="fr-FR"/>
        </w:rPr>
      </w:pPr>
      <w:r w:rsidRPr="002462F0">
        <w:rPr>
          <w:lang w:eastAsia="fr-FR"/>
        </w:rPr>
        <w:t>The regional default value proposed in the 2006 IPCC Guidelines (Vol 5, Chap 2, table 3.3) is 380 kg/</w:t>
      </w:r>
      <w:r w:rsidR="003C094B">
        <w:rPr>
          <w:lang w:eastAsia="fr-FR"/>
        </w:rPr>
        <w:t>inhabitant</w:t>
      </w:r>
      <w:r w:rsidRPr="002462F0">
        <w:rPr>
          <w:lang w:eastAsia="fr-FR"/>
        </w:rPr>
        <w:t>/year in the 2000</w:t>
      </w:r>
      <w:r w:rsidRPr="002462F0">
        <w:rPr>
          <w:vertAlign w:val="superscript"/>
          <w:lang w:eastAsia="fr-FR"/>
        </w:rPr>
        <w:t>th</w:t>
      </w:r>
      <w:r w:rsidRPr="002462F0">
        <w:rPr>
          <w:lang w:eastAsia="fr-FR"/>
        </w:rPr>
        <w:t>,</w:t>
      </w:r>
      <w:r w:rsidRPr="002462F0">
        <w:rPr>
          <w:vertAlign w:val="superscript"/>
          <w:lang w:eastAsia="fr-FR"/>
        </w:rPr>
        <w:t xml:space="preserve"> </w:t>
      </w:r>
      <w:r w:rsidRPr="002462F0">
        <w:rPr>
          <w:lang w:eastAsia="fr-FR"/>
        </w:rPr>
        <w:t>which is quite consistent with the country-specific historical values.</w:t>
      </w:r>
      <w:r w:rsidR="00970392">
        <w:rPr>
          <w:lang w:eastAsia="fr-FR"/>
        </w:rPr>
        <w:t xml:space="preserve"> It has to be noted that Serbia’s MSW generation rate is increasing due to growth in purchase power and increase in</w:t>
      </w:r>
      <w:r w:rsidR="000641AC">
        <w:rPr>
          <w:lang w:eastAsia="fr-FR"/>
        </w:rPr>
        <w:t xml:space="preserve"> urban population.</w:t>
      </w:r>
    </w:p>
    <w:p w14:paraId="2122E1FD" w14:textId="77777777" w:rsidR="007B2433" w:rsidRPr="002462F0" w:rsidRDefault="007B2433" w:rsidP="007B2433">
      <w:pPr>
        <w:pStyle w:val="Heading5"/>
        <w:rPr>
          <w:lang w:eastAsia="fr-FR"/>
        </w:rPr>
      </w:pPr>
      <w:bookmarkStart w:id="1132" w:name="_Toc182328103"/>
      <w:r w:rsidRPr="002462F0">
        <w:rPr>
          <w:lang w:eastAsia="fr-FR"/>
        </w:rPr>
        <w:t>Fraction of generated MSW going to landfills (% to SWDS)</w:t>
      </w:r>
      <w:bookmarkEnd w:id="1132"/>
    </w:p>
    <w:p w14:paraId="524478CE" w14:textId="3CDA5A75" w:rsidR="007B2433" w:rsidRPr="002462F0" w:rsidRDefault="007B2433" w:rsidP="00D916DB">
      <w:pPr>
        <w:pStyle w:val="BodyText"/>
        <w:rPr>
          <w:lang w:eastAsia="fr-FR"/>
        </w:rPr>
      </w:pPr>
      <w:r w:rsidRPr="002462F0">
        <w:rPr>
          <w:lang w:eastAsia="fr-FR"/>
        </w:rPr>
        <w:t>The fraction of generated MSW going to landfills is based on national data</w:t>
      </w:r>
      <w:r w:rsidR="009C2E85">
        <w:rPr>
          <w:lang w:eastAsia="fr-FR"/>
        </w:rPr>
        <w:t xml:space="preserve">, </w:t>
      </w:r>
      <w:r w:rsidR="009C2E85" w:rsidRPr="009C2E85">
        <w:rPr>
          <w:lang w:eastAsia="fr-FR"/>
        </w:rPr>
        <w:t>provided in the described manner</w:t>
      </w:r>
      <w:r w:rsidRPr="002462F0">
        <w:rPr>
          <w:lang w:eastAsia="fr-FR"/>
        </w:rPr>
        <w:t xml:space="preserve">. </w:t>
      </w:r>
    </w:p>
    <w:p w14:paraId="7D1198CF" w14:textId="5AACA9F9" w:rsidR="000A7467" w:rsidRPr="00622F40" w:rsidRDefault="000A7467" w:rsidP="00970392">
      <w:pPr>
        <w:pStyle w:val="Caption"/>
        <w:keepNext/>
      </w:pPr>
      <w:bookmarkStart w:id="1133" w:name="_Toc184808590"/>
      <w:r>
        <w:lastRenderedPageBreak/>
        <w:t xml:space="preserve">Table </w:t>
      </w:r>
      <w:r>
        <w:fldChar w:fldCharType="begin"/>
      </w:r>
      <w:r>
        <w:instrText xml:space="preserve"> SEQ Table \* ARABIC </w:instrText>
      </w:r>
      <w:r>
        <w:fldChar w:fldCharType="separate"/>
      </w:r>
      <w:r w:rsidR="00F14C78">
        <w:rPr>
          <w:noProof/>
        </w:rPr>
        <w:t>46</w:t>
      </w:r>
      <w:r>
        <w:fldChar w:fldCharType="end"/>
      </w:r>
      <w:r>
        <w:t xml:space="preserve">: </w:t>
      </w:r>
      <w:r w:rsidRPr="002462F0">
        <w:t>Fraction of generated MSW going to landfills</w:t>
      </w:r>
      <w:r>
        <w:t xml:space="preserve">, for the period 1990-2022, used in the Serbian inventory (in </w:t>
      </w:r>
      <w:r w:rsidR="00704D4A">
        <w:t>%</w:t>
      </w:r>
      <w:r>
        <w:t>)</w:t>
      </w:r>
      <w:bookmarkEnd w:id="1133"/>
    </w:p>
    <w:tbl>
      <w:tblPr>
        <w:tblStyle w:val="TableGrid"/>
        <w:tblW w:w="6925" w:type="dxa"/>
        <w:tblLook w:val="04A0" w:firstRow="1" w:lastRow="0" w:firstColumn="1" w:lastColumn="0" w:noHBand="0" w:noVBand="1"/>
      </w:tblPr>
      <w:tblGrid>
        <w:gridCol w:w="2972"/>
        <w:gridCol w:w="3953"/>
      </w:tblGrid>
      <w:tr w:rsidR="007B2433" w:rsidRPr="002462F0" w14:paraId="13757E56" w14:textId="77777777" w:rsidTr="00970392">
        <w:trPr>
          <w:trHeight w:val="270"/>
        </w:trPr>
        <w:tc>
          <w:tcPr>
            <w:tcW w:w="2972" w:type="dxa"/>
            <w:shd w:val="clear" w:color="auto" w:fill="C6D9F1" w:themeFill="text2" w:themeFillTint="33"/>
            <w:noWrap/>
            <w:vAlign w:val="center"/>
            <w:hideMark/>
          </w:tcPr>
          <w:p w14:paraId="26C38B37" w14:textId="77777777" w:rsidR="007B2433" w:rsidRPr="002462F0" w:rsidRDefault="007B2433" w:rsidP="00970392">
            <w:pPr>
              <w:pStyle w:val="ListParagraph"/>
              <w:keepNext/>
              <w:autoSpaceDE w:val="0"/>
              <w:autoSpaceDN w:val="0"/>
              <w:adjustRightInd w:val="0"/>
              <w:ind w:left="0"/>
              <w:jc w:val="center"/>
              <w:rPr>
                <w:b/>
                <w:bCs/>
                <w:szCs w:val="20"/>
                <w:lang w:eastAsia="fr-FR"/>
              </w:rPr>
            </w:pPr>
            <w:r w:rsidRPr="002462F0">
              <w:rPr>
                <w:b/>
                <w:bCs/>
                <w:szCs w:val="20"/>
                <w:lang w:eastAsia="fr-FR"/>
              </w:rPr>
              <w:t>Year</w:t>
            </w:r>
          </w:p>
        </w:tc>
        <w:tc>
          <w:tcPr>
            <w:tcW w:w="3953" w:type="dxa"/>
            <w:shd w:val="clear" w:color="auto" w:fill="C6D9F1" w:themeFill="text2" w:themeFillTint="33"/>
            <w:noWrap/>
            <w:vAlign w:val="center"/>
          </w:tcPr>
          <w:p w14:paraId="36C089DC" w14:textId="77777777" w:rsidR="007B2433" w:rsidRPr="002462F0" w:rsidRDefault="007B2433" w:rsidP="00970392">
            <w:pPr>
              <w:keepNext/>
              <w:autoSpaceDE w:val="0"/>
              <w:autoSpaceDN w:val="0"/>
              <w:adjustRightInd w:val="0"/>
              <w:jc w:val="center"/>
              <w:rPr>
                <w:b/>
                <w:bCs/>
                <w:szCs w:val="20"/>
                <w:lang w:eastAsia="fr-FR"/>
              </w:rPr>
            </w:pPr>
            <w:r w:rsidRPr="002462F0">
              <w:rPr>
                <w:b/>
                <w:szCs w:val="20"/>
                <w:lang w:eastAsia="fr-FR"/>
              </w:rPr>
              <w:t>% to SWDS</w:t>
            </w:r>
          </w:p>
        </w:tc>
      </w:tr>
      <w:tr w:rsidR="007B2433" w:rsidRPr="002462F0" w14:paraId="48CC634F" w14:textId="77777777" w:rsidTr="00970392">
        <w:trPr>
          <w:trHeight w:val="255"/>
        </w:trPr>
        <w:tc>
          <w:tcPr>
            <w:tcW w:w="2972" w:type="dxa"/>
            <w:noWrap/>
            <w:vAlign w:val="center"/>
            <w:hideMark/>
          </w:tcPr>
          <w:p w14:paraId="1D7C72AD" w14:textId="77777777" w:rsidR="007B2433" w:rsidRPr="002462F0" w:rsidRDefault="007B2433" w:rsidP="00970392">
            <w:pPr>
              <w:keepNext/>
              <w:jc w:val="center"/>
              <w:rPr>
                <w:rFonts w:cs="Arial"/>
                <w:szCs w:val="20"/>
              </w:rPr>
            </w:pPr>
            <w:r w:rsidRPr="002462F0">
              <w:rPr>
                <w:rFonts w:cs="Arial"/>
                <w:szCs w:val="20"/>
              </w:rPr>
              <w:t>1950-2008</w:t>
            </w:r>
          </w:p>
        </w:tc>
        <w:tc>
          <w:tcPr>
            <w:tcW w:w="3953" w:type="dxa"/>
            <w:noWrap/>
            <w:vAlign w:val="center"/>
          </w:tcPr>
          <w:p w14:paraId="4A480A9F" w14:textId="1AD149F1" w:rsidR="007B2433" w:rsidRPr="002462F0" w:rsidRDefault="007B2433" w:rsidP="00970392">
            <w:pPr>
              <w:keepNext/>
              <w:jc w:val="center"/>
              <w:rPr>
                <w:rFonts w:cs="Arial"/>
                <w:szCs w:val="20"/>
              </w:rPr>
            </w:pPr>
            <w:r w:rsidRPr="002462F0">
              <w:rPr>
                <w:rFonts w:cs="Arial"/>
                <w:szCs w:val="20"/>
              </w:rPr>
              <w:t>60</w:t>
            </w:r>
            <w:r w:rsidR="00C520E8">
              <w:rPr>
                <w:rFonts w:cs="Arial"/>
                <w:szCs w:val="20"/>
              </w:rPr>
              <w:t>.0</w:t>
            </w:r>
            <w:r w:rsidRPr="002462F0">
              <w:rPr>
                <w:rFonts w:cs="Arial"/>
                <w:szCs w:val="20"/>
              </w:rPr>
              <w:t>%</w:t>
            </w:r>
          </w:p>
        </w:tc>
      </w:tr>
      <w:tr w:rsidR="007B2433" w:rsidRPr="002462F0" w14:paraId="17AF7EF0" w14:textId="77777777" w:rsidTr="00970392">
        <w:trPr>
          <w:trHeight w:val="255"/>
        </w:trPr>
        <w:tc>
          <w:tcPr>
            <w:tcW w:w="2972" w:type="dxa"/>
            <w:noWrap/>
            <w:vAlign w:val="center"/>
            <w:hideMark/>
          </w:tcPr>
          <w:p w14:paraId="640A969A" w14:textId="77777777" w:rsidR="007B2433" w:rsidRPr="002462F0" w:rsidRDefault="007B2433" w:rsidP="00970392">
            <w:pPr>
              <w:keepNext/>
              <w:jc w:val="center"/>
              <w:rPr>
                <w:rFonts w:cs="Arial"/>
                <w:szCs w:val="20"/>
              </w:rPr>
            </w:pPr>
            <w:r w:rsidRPr="002462F0">
              <w:rPr>
                <w:rFonts w:cs="Arial"/>
                <w:szCs w:val="20"/>
              </w:rPr>
              <w:t>2009</w:t>
            </w:r>
          </w:p>
        </w:tc>
        <w:tc>
          <w:tcPr>
            <w:tcW w:w="3953" w:type="dxa"/>
            <w:noWrap/>
            <w:vAlign w:val="center"/>
          </w:tcPr>
          <w:p w14:paraId="05408809" w14:textId="2DDADE54" w:rsidR="007B2433" w:rsidRPr="002462F0" w:rsidRDefault="007B2433" w:rsidP="00970392">
            <w:pPr>
              <w:keepNext/>
              <w:jc w:val="center"/>
              <w:rPr>
                <w:rFonts w:cs="Arial"/>
                <w:szCs w:val="20"/>
              </w:rPr>
            </w:pPr>
            <w:r w:rsidRPr="002462F0">
              <w:rPr>
                <w:rFonts w:cs="Arial"/>
                <w:szCs w:val="20"/>
              </w:rPr>
              <w:t>60</w:t>
            </w:r>
            <w:r w:rsidR="00C520E8">
              <w:rPr>
                <w:rFonts w:cs="Arial"/>
                <w:szCs w:val="20"/>
              </w:rPr>
              <w:t>.0</w:t>
            </w:r>
            <w:r w:rsidRPr="002462F0">
              <w:rPr>
                <w:rFonts w:cs="Arial"/>
                <w:szCs w:val="20"/>
              </w:rPr>
              <w:t>%</w:t>
            </w:r>
          </w:p>
        </w:tc>
      </w:tr>
      <w:tr w:rsidR="007B2433" w:rsidRPr="002462F0" w14:paraId="4DC756E8" w14:textId="77777777" w:rsidTr="00970392">
        <w:trPr>
          <w:trHeight w:val="255"/>
        </w:trPr>
        <w:tc>
          <w:tcPr>
            <w:tcW w:w="2972" w:type="dxa"/>
            <w:noWrap/>
            <w:vAlign w:val="center"/>
            <w:hideMark/>
          </w:tcPr>
          <w:p w14:paraId="42A58378" w14:textId="77777777" w:rsidR="007B2433" w:rsidRPr="002462F0" w:rsidRDefault="007B2433" w:rsidP="00970392">
            <w:pPr>
              <w:keepNext/>
              <w:jc w:val="center"/>
              <w:rPr>
                <w:rFonts w:cs="Arial"/>
                <w:szCs w:val="20"/>
              </w:rPr>
            </w:pPr>
            <w:r w:rsidRPr="002462F0">
              <w:rPr>
                <w:rFonts w:cs="Arial"/>
                <w:szCs w:val="20"/>
              </w:rPr>
              <w:t>2010</w:t>
            </w:r>
          </w:p>
        </w:tc>
        <w:tc>
          <w:tcPr>
            <w:tcW w:w="3953" w:type="dxa"/>
            <w:noWrap/>
            <w:vAlign w:val="center"/>
          </w:tcPr>
          <w:p w14:paraId="62B17AF8" w14:textId="1F3361B7" w:rsidR="007B2433" w:rsidRPr="002462F0" w:rsidRDefault="007B2433" w:rsidP="00970392">
            <w:pPr>
              <w:keepNext/>
              <w:jc w:val="center"/>
              <w:rPr>
                <w:rFonts w:cs="Arial"/>
                <w:szCs w:val="20"/>
              </w:rPr>
            </w:pPr>
            <w:r w:rsidRPr="002462F0">
              <w:rPr>
                <w:rFonts w:cs="Arial"/>
                <w:szCs w:val="20"/>
              </w:rPr>
              <w:t>72</w:t>
            </w:r>
            <w:r w:rsidR="00C520E8">
              <w:rPr>
                <w:rFonts w:cs="Arial"/>
                <w:szCs w:val="20"/>
              </w:rPr>
              <w:t>.0</w:t>
            </w:r>
            <w:r w:rsidRPr="002462F0">
              <w:rPr>
                <w:rFonts w:cs="Arial"/>
                <w:szCs w:val="20"/>
              </w:rPr>
              <w:t>%</w:t>
            </w:r>
          </w:p>
        </w:tc>
      </w:tr>
      <w:tr w:rsidR="007B2433" w:rsidRPr="002462F0" w14:paraId="4911B40E" w14:textId="77777777" w:rsidTr="00970392">
        <w:trPr>
          <w:trHeight w:val="255"/>
        </w:trPr>
        <w:tc>
          <w:tcPr>
            <w:tcW w:w="2972" w:type="dxa"/>
            <w:noWrap/>
            <w:vAlign w:val="center"/>
            <w:hideMark/>
          </w:tcPr>
          <w:p w14:paraId="735DE1D0" w14:textId="77777777" w:rsidR="007B2433" w:rsidRPr="002462F0" w:rsidRDefault="007B2433" w:rsidP="00970392">
            <w:pPr>
              <w:keepNext/>
              <w:jc w:val="center"/>
              <w:rPr>
                <w:rFonts w:cs="Arial"/>
                <w:szCs w:val="20"/>
              </w:rPr>
            </w:pPr>
            <w:r w:rsidRPr="002462F0">
              <w:rPr>
                <w:rFonts w:cs="Arial"/>
                <w:szCs w:val="20"/>
              </w:rPr>
              <w:t>2011</w:t>
            </w:r>
          </w:p>
        </w:tc>
        <w:tc>
          <w:tcPr>
            <w:tcW w:w="3953" w:type="dxa"/>
            <w:noWrap/>
            <w:vAlign w:val="center"/>
          </w:tcPr>
          <w:p w14:paraId="73ACD91A" w14:textId="71BDDB74" w:rsidR="007B2433" w:rsidRPr="002462F0" w:rsidRDefault="007B2433" w:rsidP="00970392">
            <w:pPr>
              <w:keepNext/>
              <w:jc w:val="center"/>
              <w:rPr>
                <w:rFonts w:cs="Arial"/>
                <w:szCs w:val="20"/>
              </w:rPr>
            </w:pPr>
            <w:r w:rsidRPr="002462F0">
              <w:rPr>
                <w:rFonts w:cs="Arial"/>
                <w:szCs w:val="20"/>
              </w:rPr>
              <w:t>77</w:t>
            </w:r>
            <w:r w:rsidR="00C520E8">
              <w:rPr>
                <w:rFonts w:cs="Arial"/>
                <w:szCs w:val="20"/>
              </w:rPr>
              <w:t>.0</w:t>
            </w:r>
            <w:r w:rsidRPr="002462F0">
              <w:rPr>
                <w:rFonts w:cs="Arial"/>
                <w:szCs w:val="20"/>
              </w:rPr>
              <w:t>%</w:t>
            </w:r>
          </w:p>
        </w:tc>
      </w:tr>
      <w:tr w:rsidR="007B2433" w:rsidRPr="002462F0" w14:paraId="083468E5" w14:textId="77777777" w:rsidTr="00970392">
        <w:trPr>
          <w:trHeight w:val="255"/>
        </w:trPr>
        <w:tc>
          <w:tcPr>
            <w:tcW w:w="2972" w:type="dxa"/>
            <w:noWrap/>
            <w:vAlign w:val="center"/>
            <w:hideMark/>
          </w:tcPr>
          <w:p w14:paraId="47354F6F" w14:textId="77777777" w:rsidR="007B2433" w:rsidRPr="002462F0" w:rsidRDefault="007B2433" w:rsidP="00970392">
            <w:pPr>
              <w:keepNext/>
              <w:jc w:val="center"/>
              <w:rPr>
                <w:rFonts w:cs="Arial"/>
                <w:szCs w:val="20"/>
              </w:rPr>
            </w:pPr>
            <w:r w:rsidRPr="002462F0">
              <w:rPr>
                <w:rFonts w:cs="Arial"/>
                <w:szCs w:val="20"/>
              </w:rPr>
              <w:t>2012</w:t>
            </w:r>
          </w:p>
        </w:tc>
        <w:tc>
          <w:tcPr>
            <w:tcW w:w="3953" w:type="dxa"/>
            <w:noWrap/>
            <w:vAlign w:val="center"/>
          </w:tcPr>
          <w:p w14:paraId="633520B3" w14:textId="6CA6BEB5" w:rsidR="007B2433" w:rsidRPr="002462F0" w:rsidRDefault="007B2433" w:rsidP="00970392">
            <w:pPr>
              <w:keepNext/>
              <w:jc w:val="center"/>
              <w:rPr>
                <w:rFonts w:cs="Arial"/>
                <w:szCs w:val="20"/>
              </w:rPr>
            </w:pPr>
            <w:r w:rsidRPr="002462F0">
              <w:rPr>
                <w:rFonts w:cs="Arial"/>
                <w:szCs w:val="20"/>
              </w:rPr>
              <w:t>70</w:t>
            </w:r>
            <w:r w:rsidR="00C520E8">
              <w:rPr>
                <w:rFonts w:cs="Arial"/>
                <w:szCs w:val="20"/>
              </w:rPr>
              <w:t>.0</w:t>
            </w:r>
            <w:r w:rsidRPr="002462F0">
              <w:rPr>
                <w:rFonts w:cs="Arial"/>
                <w:szCs w:val="20"/>
              </w:rPr>
              <w:t>%</w:t>
            </w:r>
          </w:p>
        </w:tc>
      </w:tr>
      <w:tr w:rsidR="007B2433" w:rsidRPr="002462F0" w14:paraId="6FB757C5" w14:textId="77777777" w:rsidTr="00970392">
        <w:trPr>
          <w:trHeight w:val="255"/>
        </w:trPr>
        <w:tc>
          <w:tcPr>
            <w:tcW w:w="2972" w:type="dxa"/>
            <w:noWrap/>
            <w:vAlign w:val="center"/>
            <w:hideMark/>
          </w:tcPr>
          <w:p w14:paraId="5DA8C1F3" w14:textId="77777777" w:rsidR="007B2433" w:rsidRPr="002462F0" w:rsidRDefault="007B2433" w:rsidP="00970392">
            <w:pPr>
              <w:keepNext/>
              <w:jc w:val="center"/>
              <w:rPr>
                <w:rFonts w:cs="Arial"/>
                <w:szCs w:val="20"/>
              </w:rPr>
            </w:pPr>
            <w:r w:rsidRPr="002462F0">
              <w:rPr>
                <w:rFonts w:cs="Arial"/>
                <w:szCs w:val="20"/>
              </w:rPr>
              <w:t>2013</w:t>
            </w:r>
          </w:p>
        </w:tc>
        <w:tc>
          <w:tcPr>
            <w:tcW w:w="3953" w:type="dxa"/>
            <w:noWrap/>
            <w:vAlign w:val="center"/>
          </w:tcPr>
          <w:p w14:paraId="2E25804A" w14:textId="5CE88D5E" w:rsidR="007B2433" w:rsidRPr="002462F0" w:rsidRDefault="007B2433" w:rsidP="00970392">
            <w:pPr>
              <w:keepNext/>
              <w:jc w:val="center"/>
              <w:rPr>
                <w:rFonts w:cs="Arial"/>
                <w:szCs w:val="20"/>
              </w:rPr>
            </w:pPr>
            <w:r w:rsidRPr="002462F0">
              <w:rPr>
                <w:rFonts w:cs="Arial"/>
                <w:szCs w:val="20"/>
              </w:rPr>
              <w:t>80</w:t>
            </w:r>
            <w:r w:rsidR="00C520E8">
              <w:rPr>
                <w:rFonts w:cs="Arial"/>
                <w:szCs w:val="20"/>
              </w:rPr>
              <w:t>.0</w:t>
            </w:r>
            <w:r w:rsidRPr="002462F0">
              <w:rPr>
                <w:rFonts w:cs="Arial"/>
                <w:szCs w:val="20"/>
              </w:rPr>
              <w:t>%</w:t>
            </w:r>
          </w:p>
        </w:tc>
      </w:tr>
      <w:tr w:rsidR="007B2433" w:rsidRPr="002462F0" w14:paraId="1F0C8391" w14:textId="77777777" w:rsidTr="00970392">
        <w:trPr>
          <w:trHeight w:val="255"/>
        </w:trPr>
        <w:tc>
          <w:tcPr>
            <w:tcW w:w="2972" w:type="dxa"/>
            <w:noWrap/>
            <w:vAlign w:val="center"/>
            <w:hideMark/>
          </w:tcPr>
          <w:p w14:paraId="67AF05F1" w14:textId="77777777" w:rsidR="007B2433" w:rsidRPr="002462F0" w:rsidRDefault="007B2433" w:rsidP="00970392">
            <w:pPr>
              <w:keepNext/>
              <w:jc w:val="center"/>
              <w:rPr>
                <w:rFonts w:cs="Arial"/>
                <w:szCs w:val="20"/>
              </w:rPr>
            </w:pPr>
            <w:r w:rsidRPr="002462F0">
              <w:rPr>
                <w:rFonts w:cs="Arial"/>
                <w:szCs w:val="20"/>
              </w:rPr>
              <w:t>2014</w:t>
            </w:r>
          </w:p>
        </w:tc>
        <w:tc>
          <w:tcPr>
            <w:tcW w:w="3953" w:type="dxa"/>
            <w:noWrap/>
            <w:vAlign w:val="center"/>
          </w:tcPr>
          <w:p w14:paraId="4083E59D" w14:textId="155345A9" w:rsidR="007B2433" w:rsidRPr="002462F0" w:rsidRDefault="007B2433" w:rsidP="00970392">
            <w:pPr>
              <w:keepNext/>
              <w:jc w:val="center"/>
              <w:rPr>
                <w:rFonts w:cs="Arial"/>
                <w:szCs w:val="20"/>
              </w:rPr>
            </w:pPr>
            <w:r w:rsidRPr="002462F0">
              <w:rPr>
                <w:rFonts w:cs="Arial"/>
                <w:szCs w:val="20"/>
              </w:rPr>
              <w:t>80</w:t>
            </w:r>
            <w:r w:rsidR="00C520E8">
              <w:rPr>
                <w:rFonts w:cs="Arial"/>
                <w:szCs w:val="20"/>
              </w:rPr>
              <w:t>.0</w:t>
            </w:r>
            <w:r w:rsidRPr="002462F0">
              <w:rPr>
                <w:rFonts w:cs="Arial"/>
                <w:szCs w:val="20"/>
              </w:rPr>
              <w:t>%</w:t>
            </w:r>
          </w:p>
        </w:tc>
      </w:tr>
      <w:tr w:rsidR="007B2433" w:rsidRPr="002462F0" w14:paraId="09133E40" w14:textId="77777777" w:rsidTr="00970392">
        <w:trPr>
          <w:trHeight w:val="270"/>
        </w:trPr>
        <w:tc>
          <w:tcPr>
            <w:tcW w:w="2972" w:type="dxa"/>
            <w:noWrap/>
            <w:vAlign w:val="center"/>
            <w:hideMark/>
          </w:tcPr>
          <w:p w14:paraId="3E2008C0" w14:textId="77777777" w:rsidR="007B2433" w:rsidRPr="002462F0" w:rsidRDefault="007B2433" w:rsidP="00970392">
            <w:pPr>
              <w:keepNext/>
              <w:jc w:val="center"/>
              <w:rPr>
                <w:rFonts w:cs="Arial"/>
                <w:szCs w:val="20"/>
              </w:rPr>
            </w:pPr>
            <w:r w:rsidRPr="002462F0">
              <w:rPr>
                <w:rFonts w:cs="Arial"/>
                <w:szCs w:val="20"/>
              </w:rPr>
              <w:t>2015</w:t>
            </w:r>
          </w:p>
        </w:tc>
        <w:tc>
          <w:tcPr>
            <w:tcW w:w="3953" w:type="dxa"/>
            <w:noWrap/>
            <w:vAlign w:val="center"/>
          </w:tcPr>
          <w:p w14:paraId="6DFC74A1" w14:textId="6254058C" w:rsidR="007B2433" w:rsidRPr="002462F0" w:rsidRDefault="007B2433" w:rsidP="00970392">
            <w:pPr>
              <w:keepNext/>
              <w:jc w:val="center"/>
              <w:rPr>
                <w:rFonts w:cs="Arial"/>
                <w:szCs w:val="20"/>
              </w:rPr>
            </w:pPr>
            <w:r w:rsidRPr="002462F0">
              <w:rPr>
                <w:rFonts w:cs="Arial"/>
                <w:szCs w:val="20"/>
              </w:rPr>
              <w:t>82</w:t>
            </w:r>
            <w:r w:rsidR="00C520E8">
              <w:rPr>
                <w:rFonts w:cs="Arial"/>
                <w:szCs w:val="20"/>
              </w:rPr>
              <w:t>.0</w:t>
            </w:r>
            <w:r w:rsidRPr="002462F0">
              <w:rPr>
                <w:rFonts w:cs="Arial"/>
                <w:szCs w:val="20"/>
              </w:rPr>
              <w:t>%</w:t>
            </w:r>
          </w:p>
        </w:tc>
      </w:tr>
      <w:tr w:rsidR="009C2E85" w:rsidRPr="002462F0" w14:paraId="6C53DA76" w14:textId="77777777" w:rsidTr="00970392">
        <w:trPr>
          <w:trHeight w:val="270"/>
        </w:trPr>
        <w:tc>
          <w:tcPr>
            <w:tcW w:w="2972" w:type="dxa"/>
            <w:noWrap/>
            <w:vAlign w:val="center"/>
          </w:tcPr>
          <w:p w14:paraId="15FA6CF0" w14:textId="67F0DB39" w:rsidR="009C2E85" w:rsidRPr="002462F0" w:rsidRDefault="009C2E85" w:rsidP="00970392">
            <w:pPr>
              <w:keepNext/>
              <w:jc w:val="center"/>
              <w:rPr>
                <w:rFonts w:cs="Arial"/>
                <w:szCs w:val="20"/>
              </w:rPr>
            </w:pPr>
            <w:r>
              <w:rPr>
                <w:rFonts w:cs="Arial"/>
                <w:szCs w:val="20"/>
              </w:rPr>
              <w:t>2016</w:t>
            </w:r>
          </w:p>
        </w:tc>
        <w:tc>
          <w:tcPr>
            <w:tcW w:w="3953" w:type="dxa"/>
            <w:noWrap/>
            <w:vAlign w:val="center"/>
          </w:tcPr>
          <w:p w14:paraId="4331E610" w14:textId="7FBAC25C" w:rsidR="009C2E85" w:rsidRPr="002462F0" w:rsidRDefault="009C2E85" w:rsidP="00970392">
            <w:pPr>
              <w:keepNext/>
              <w:jc w:val="center"/>
              <w:rPr>
                <w:rFonts w:cs="Arial"/>
                <w:szCs w:val="20"/>
              </w:rPr>
            </w:pPr>
            <w:r>
              <w:rPr>
                <w:rFonts w:cs="Arial"/>
                <w:szCs w:val="20"/>
              </w:rPr>
              <w:t>82</w:t>
            </w:r>
            <w:r w:rsidR="00C520E8">
              <w:rPr>
                <w:rFonts w:cs="Arial"/>
                <w:szCs w:val="20"/>
              </w:rPr>
              <w:t>.0</w:t>
            </w:r>
            <w:r>
              <w:rPr>
                <w:rFonts w:cs="Arial"/>
                <w:szCs w:val="20"/>
              </w:rPr>
              <w:t>%</w:t>
            </w:r>
          </w:p>
        </w:tc>
      </w:tr>
      <w:tr w:rsidR="005E511F" w:rsidRPr="002462F0" w14:paraId="44762CAB" w14:textId="77777777" w:rsidTr="00970392">
        <w:trPr>
          <w:trHeight w:val="270"/>
        </w:trPr>
        <w:tc>
          <w:tcPr>
            <w:tcW w:w="2972" w:type="dxa"/>
            <w:noWrap/>
            <w:vAlign w:val="center"/>
          </w:tcPr>
          <w:p w14:paraId="5425F0D5" w14:textId="630F44CA" w:rsidR="005E511F" w:rsidRDefault="005E511F" w:rsidP="00970392">
            <w:pPr>
              <w:keepNext/>
              <w:jc w:val="center"/>
              <w:rPr>
                <w:rFonts w:cs="Arial"/>
                <w:szCs w:val="20"/>
              </w:rPr>
            </w:pPr>
            <w:r>
              <w:rPr>
                <w:rFonts w:cs="Arial"/>
                <w:szCs w:val="20"/>
              </w:rPr>
              <w:t>2017</w:t>
            </w:r>
          </w:p>
        </w:tc>
        <w:tc>
          <w:tcPr>
            <w:tcW w:w="3953" w:type="dxa"/>
            <w:noWrap/>
            <w:vAlign w:val="center"/>
          </w:tcPr>
          <w:p w14:paraId="4E94FB36" w14:textId="55EA4821" w:rsidR="005E511F" w:rsidRDefault="00AB5EAB" w:rsidP="00970392">
            <w:pPr>
              <w:keepNext/>
              <w:jc w:val="center"/>
              <w:rPr>
                <w:rFonts w:cs="Arial"/>
                <w:szCs w:val="20"/>
              </w:rPr>
            </w:pPr>
            <w:r>
              <w:rPr>
                <w:rFonts w:cs="Arial"/>
                <w:szCs w:val="20"/>
              </w:rPr>
              <w:t>83.7%</w:t>
            </w:r>
          </w:p>
        </w:tc>
      </w:tr>
      <w:tr w:rsidR="005E511F" w:rsidRPr="002462F0" w14:paraId="4BDD56F0" w14:textId="77777777" w:rsidTr="00970392">
        <w:trPr>
          <w:trHeight w:val="270"/>
        </w:trPr>
        <w:tc>
          <w:tcPr>
            <w:tcW w:w="2972" w:type="dxa"/>
            <w:noWrap/>
            <w:vAlign w:val="center"/>
          </w:tcPr>
          <w:p w14:paraId="049C8519" w14:textId="5BCEF0F8" w:rsidR="005E511F" w:rsidRDefault="005E511F" w:rsidP="00970392">
            <w:pPr>
              <w:keepNext/>
              <w:jc w:val="center"/>
              <w:rPr>
                <w:rFonts w:cs="Arial"/>
                <w:szCs w:val="20"/>
              </w:rPr>
            </w:pPr>
            <w:r>
              <w:rPr>
                <w:rFonts w:cs="Arial"/>
                <w:szCs w:val="20"/>
              </w:rPr>
              <w:t>2018</w:t>
            </w:r>
          </w:p>
        </w:tc>
        <w:tc>
          <w:tcPr>
            <w:tcW w:w="3953" w:type="dxa"/>
            <w:noWrap/>
            <w:vAlign w:val="center"/>
          </w:tcPr>
          <w:p w14:paraId="03AAD5EB" w14:textId="46BABCBC" w:rsidR="005E511F" w:rsidRDefault="00AB5EAB" w:rsidP="00970392">
            <w:pPr>
              <w:keepNext/>
              <w:jc w:val="center"/>
              <w:rPr>
                <w:rFonts w:cs="Arial"/>
                <w:szCs w:val="20"/>
              </w:rPr>
            </w:pPr>
            <w:r>
              <w:rPr>
                <w:rFonts w:cs="Arial"/>
                <w:szCs w:val="20"/>
              </w:rPr>
              <w:t>87.2%</w:t>
            </w:r>
          </w:p>
        </w:tc>
      </w:tr>
      <w:tr w:rsidR="005E511F" w:rsidRPr="002462F0" w14:paraId="4CBA9CD9" w14:textId="77777777" w:rsidTr="00970392">
        <w:trPr>
          <w:trHeight w:val="270"/>
        </w:trPr>
        <w:tc>
          <w:tcPr>
            <w:tcW w:w="2972" w:type="dxa"/>
            <w:noWrap/>
            <w:vAlign w:val="center"/>
          </w:tcPr>
          <w:p w14:paraId="055D025E" w14:textId="2CFF300A" w:rsidR="005E511F" w:rsidRDefault="005E511F" w:rsidP="00970392">
            <w:pPr>
              <w:keepNext/>
              <w:jc w:val="center"/>
              <w:rPr>
                <w:rFonts w:cs="Arial"/>
                <w:szCs w:val="20"/>
              </w:rPr>
            </w:pPr>
            <w:r>
              <w:rPr>
                <w:rFonts w:cs="Arial"/>
                <w:szCs w:val="20"/>
              </w:rPr>
              <w:t>2019</w:t>
            </w:r>
          </w:p>
        </w:tc>
        <w:tc>
          <w:tcPr>
            <w:tcW w:w="3953" w:type="dxa"/>
            <w:noWrap/>
            <w:vAlign w:val="center"/>
          </w:tcPr>
          <w:p w14:paraId="5C308712" w14:textId="78F7D4E8" w:rsidR="005E511F" w:rsidRDefault="00AB5EAB" w:rsidP="00970392">
            <w:pPr>
              <w:keepNext/>
              <w:jc w:val="center"/>
              <w:rPr>
                <w:rFonts w:cs="Arial"/>
                <w:szCs w:val="20"/>
              </w:rPr>
            </w:pPr>
            <w:r>
              <w:rPr>
                <w:rFonts w:cs="Arial"/>
                <w:szCs w:val="20"/>
              </w:rPr>
              <w:t>86.2%</w:t>
            </w:r>
          </w:p>
        </w:tc>
      </w:tr>
      <w:tr w:rsidR="005E511F" w:rsidRPr="002462F0" w14:paraId="5DCBD74C" w14:textId="77777777" w:rsidTr="00970392">
        <w:trPr>
          <w:trHeight w:val="270"/>
        </w:trPr>
        <w:tc>
          <w:tcPr>
            <w:tcW w:w="2972" w:type="dxa"/>
            <w:noWrap/>
            <w:vAlign w:val="center"/>
          </w:tcPr>
          <w:p w14:paraId="2E200C79" w14:textId="54E2B038" w:rsidR="005E511F" w:rsidRDefault="005E511F" w:rsidP="00970392">
            <w:pPr>
              <w:keepNext/>
              <w:jc w:val="center"/>
              <w:rPr>
                <w:rFonts w:cs="Arial"/>
                <w:szCs w:val="20"/>
              </w:rPr>
            </w:pPr>
            <w:r>
              <w:rPr>
                <w:rFonts w:cs="Arial"/>
                <w:szCs w:val="20"/>
              </w:rPr>
              <w:t>2020</w:t>
            </w:r>
          </w:p>
        </w:tc>
        <w:tc>
          <w:tcPr>
            <w:tcW w:w="3953" w:type="dxa"/>
            <w:noWrap/>
            <w:vAlign w:val="center"/>
          </w:tcPr>
          <w:p w14:paraId="1E8B370E" w14:textId="38D443BF" w:rsidR="005E511F" w:rsidRDefault="00AB5EAB" w:rsidP="00970392">
            <w:pPr>
              <w:keepNext/>
              <w:jc w:val="center"/>
              <w:rPr>
                <w:rFonts w:cs="Arial"/>
                <w:szCs w:val="20"/>
              </w:rPr>
            </w:pPr>
            <w:r>
              <w:rPr>
                <w:rFonts w:cs="Arial"/>
                <w:szCs w:val="20"/>
              </w:rPr>
              <w:t>86.4%</w:t>
            </w:r>
          </w:p>
        </w:tc>
      </w:tr>
      <w:tr w:rsidR="005E511F" w:rsidRPr="002462F0" w14:paraId="4F5A6C11" w14:textId="77777777" w:rsidTr="00970392">
        <w:trPr>
          <w:trHeight w:val="270"/>
        </w:trPr>
        <w:tc>
          <w:tcPr>
            <w:tcW w:w="2972" w:type="dxa"/>
            <w:noWrap/>
            <w:vAlign w:val="center"/>
          </w:tcPr>
          <w:p w14:paraId="700F55D3" w14:textId="178F4437" w:rsidR="005E511F" w:rsidRDefault="005E511F" w:rsidP="00970392">
            <w:pPr>
              <w:keepNext/>
              <w:jc w:val="center"/>
              <w:rPr>
                <w:rFonts w:cs="Arial"/>
                <w:szCs w:val="20"/>
              </w:rPr>
            </w:pPr>
            <w:r>
              <w:rPr>
                <w:rFonts w:cs="Arial"/>
                <w:szCs w:val="20"/>
              </w:rPr>
              <w:t>2021</w:t>
            </w:r>
          </w:p>
        </w:tc>
        <w:tc>
          <w:tcPr>
            <w:tcW w:w="3953" w:type="dxa"/>
            <w:noWrap/>
            <w:vAlign w:val="center"/>
          </w:tcPr>
          <w:p w14:paraId="175C69FA" w14:textId="3CA67CE2" w:rsidR="005E511F" w:rsidRDefault="00AB5EAB" w:rsidP="00970392">
            <w:pPr>
              <w:keepNext/>
              <w:jc w:val="center"/>
              <w:rPr>
                <w:rFonts w:cs="Arial"/>
                <w:szCs w:val="20"/>
              </w:rPr>
            </w:pPr>
            <w:r>
              <w:rPr>
                <w:rFonts w:cs="Arial"/>
                <w:szCs w:val="20"/>
              </w:rPr>
              <w:t>88.0%</w:t>
            </w:r>
          </w:p>
        </w:tc>
      </w:tr>
      <w:tr w:rsidR="005E511F" w:rsidRPr="002462F0" w14:paraId="4F0075F2" w14:textId="77777777" w:rsidTr="00970392">
        <w:trPr>
          <w:trHeight w:val="270"/>
        </w:trPr>
        <w:tc>
          <w:tcPr>
            <w:tcW w:w="2972" w:type="dxa"/>
            <w:noWrap/>
            <w:vAlign w:val="center"/>
          </w:tcPr>
          <w:p w14:paraId="5AF0B69E" w14:textId="6E38ACB9" w:rsidR="005E511F" w:rsidRDefault="005E511F" w:rsidP="00970392">
            <w:pPr>
              <w:keepNext/>
              <w:jc w:val="center"/>
              <w:rPr>
                <w:rFonts w:cs="Arial"/>
                <w:szCs w:val="20"/>
              </w:rPr>
            </w:pPr>
            <w:r>
              <w:rPr>
                <w:rFonts w:cs="Arial"/>
                <w:szCs w:val="20"/>
              </w:rPr>
              <w:t>2022</w:t>
            </w:r>
          </w:p>
        </w:tc>
        <w:tc>
          <w:tcPr>
            <w:tcW w:w="3953" w:type="dxa"/>
            <w:noWrap/>
            <w:vAlign w:val="center"/>
          </w:tcPr>
          <w:p w14:paraId="5F9AC18F" w14:textId="64BB98E2" w:rsidR="005E511F" w:rsidRDefault="00C520E8" w:rsidP="00970392">
            <w:pPr>
              <w:keepNext/>
              <w:jc w:val="center"/>
              <w:rPr>
                <w:rFonts w:cs="Arial"/>
                <w:szCs w:val="20"/>
              </w:rPr>
            </w:pPr>
            <w:r>
              <w:rPr>
                <w:rFonts w:cs="Arial"/>
                <w:szCs w:val="20"/>
              </w:rPr>
              <w:t>87.0%</w:t>
            </w:r>
          </w:p>
        </w:tc>
      </w:tr>
    </w:tbl>
    <w:p w14:paraId="4247D72B" w14:textId="77777777" w:rsidR="007B2433" w:rsidRPr="002462F0" w:rsidRDefault="007B2433" w:rsidP="007B2433">
      <w:pPr>
        <w:autoSpaceDE w:val="0"/>
        <w:autoSpaceDN w:val="0"/>
        <w:adjustRightInd w:val="0"/>
        <w:spacing w:after="0" w:line="240" w:lineRule="auto"/>
        <w:jc w:val="left"/>
        <w:rPr>
          <w:sz w:val="24"/>
          <w:szCs w:val="24"/>
          <w:lang w:eastAsia="fr-FR"/>
        </w:rPr>
      </w:pPr>
    </w:p>
    <w:p w14:paraId="5916761E" w14:textId="77777777" w:rsidR="007B2433" w:rsidRPr="002462F0" w:rsidRDefault="007B2433" w:rsidP="00D916DB">
      <w:pPr>
        <w:pStyle w:val="BodyText"/>
        <w:rPr>
          <w:lang w:eastAsia="fr-FR"/>
        </w:rPr>
      </w:pPr>
      <w:r w:rsidRPr="002462F0">
        <w:rPr>
          <w:lang w:eastAsia="fr-FR"/>
        </w:rPr>
        <w:t>In absence of further information, these fractions are applied both in urban and rural areas.</w:t>
      </w:r>
    </w:p>
    <w:p w14:paraId="4DBE5382" w14:textId="77777777" w:rsidR="007B2433" w:rsidRPr="002462F0" w:rsidRDefault="007B2433" w:rsidP="00D916DB">
      <w:pPr>
        <w:pStyle w:val="BodyText"/>
        <w:rPr>
          <w:lang w:eastAsia="fr-FR"/>
        </w:rPr>
      </w:pPr>
      <w:r w:rsidRPr="002462F0">
        <w:rPr>
          <w:lang w:eastAsia="fr-FR"/>
        </w:rPr>
        <w:t>The regional default value proposed in the 2006 IPCC Guidelines (Vol 5, Chap 2, table 3.3) is 90% in the 2000</w:t>
      </w:r>
      <w:r w:rsidRPr="002462F0">
        <w:rPr>
          <w:vertAlign w:val="superscript"/>
          <w:lang w:eastAsia="fr-FR"/>
        </w:rPr>
        <w:t>th</w:t>
      </w:r>
      <w:r w:rsidRPr="002462F0">
        <w:rPr>
          <w:lang w:eastAsia="fr-FR"/>
        </w:rPr>
        <w:t>.</w:t>
      </w:r>
    </w:p>
    <w:p w14:paraId="199690AC" w14:textId="77777777" w:rsidR="007B2433" w:rsidRPr="002462F0" w:rsidRDefault="007B2433" w:rsidP="007B2433">
      <w:pPr>
        <w:pStyle w:val="Heading5"/>
        <w:rPr>
          <w:lang w:eastAsia="fr-FR"/>
        </w:rPr>
      </w:pPr>
      <w:bookmarkStart w:id="1134" w:name="_Toc182328104"/>
      <w:r w:rsidRPr="002462F0">
        <w:rPr>
          <w:lang w:eastAsia="fr-FR"/>
        </w:rPr>
        <w:t>MSW disposed in landfills</w:t>
      </w:r>
      <w:bookmarkEnd w:id="1134"/>
    </w:p>
    <w:p w14:paraId="4038E649" w14:textId="55E1526B" w:rsidR="007B2433" w:rsidRPr="002462F0" w:rsidRDefault="007B2433" w:rsidP="00D916DB">
      <w:pPr>
        <w:pStyle w:val="BodyText"/>
        <w:rPr>
          <w:lang w:eastAsia="fr-FR"/>
        </w:rPr>
      </w:pPr>
      <w:r w:rsidRPr="002462F0">
        <w:rPr>
          <w:lang w:eastAsia="fr-FR"/>
        </w:rPr>
        <w:t>The amount of MSW disposed in landfills is estimated based on the parameters presented above</w:t>
      </w:r>
      <w:r w:rsidR="00557B2D">
        <w:rPr>
          <w:lang w:eastAsia="fr-FR"/>
        </w:rPr>
        <w:t xml:space="preserve"> and evolves as follows</w:t>
      </w:r>
      <w:r w:rsidRPr="002462F0">
        <w:rPr>
          <w:lang w:eastAsia="fr-FR"/>
        </w:rPr>
        <w:t>.</w:t>
      </w:r>
    </w:p>
    <w:p w14:paraId="61E74327" w14:textId="14088F05" w:rsidR="007B2433" w:rsidRPr="002462F0" w:rsidRDefault="000A7467" w:rsidP="00D916DB">
      <w:pPr>
        <w:pStyle w:val="Caption"/>
      </w:pPr>
      <w:bookmarkStart w:id="1135" w:name="_Toc184808591"/>
      <w:r>
        <w:t xml:space="preserve">Table </w:t>
      </w:r>
      <w:r>
        <w:fldChar w:fldCharType="begin"/>
      </w:r>
      <w:r>
        <w:instrText xml:space="preserve"> SEQ Table \* ARABIC </w:instrText>
      </w:r>
      <w:r>
        <w:fldChar w:fldCharType="separate"/>
      </w:r>
      <w:r w:rsidR="00F14C78">
        <w:rPr>
          <w:noProof/>
        </w:rPr>
        <w:t>47</w:t>
      </w:r>
      <w:r>
        <w:fldChar w:fldCharType="end"/>
      </w:r>
      <w:r>
        <w:t xml:space="preserve">: Evolution of the amount of </w:t>
      </w:r>
      <w:r w:rsidRPr="002462F0">
        <w:t>MSW disposed in landfills</w:t>
      </w:r>
      <w:r>
        <w:t>, for the period 1990-2022, in the Republic of Serbia (in kt)</w:t>
      </w:r>
      <w:bookmarkEnd w:id="1135"/>
    </w:p>
    <w:tbl>
      <w:tblPr>
        <w:tblStyle w:val="TableGrid"/>
        <w:tblW w:w="0" w:type="auto"/>
        <w:tblLook w:val="04A0" w:firstRow="1" w:lastRow="0" w:firstColumn="1" w:lastColumn="0" w:noHBand="0" w:noVBand="1"/>
      </w:tblPr>
      <w:tblGrid>
        <w:gridCol w:w="1132"/>
        <w:gridCol w:w="1132"/>
        <w:gridCol w:w="1133"/>
        <w:gridCol w:w="1133"/>
        <w:gridCol w:w="1133"/>
        <w:gridCol w:w="1133"/>
        <w:gridCol w:w="1133"/>
        <w:gridCol w:w="1133"/>
      </w:tblGrid>
      <w:tr w:rsidR="007B2433" w:rsidRPr="002462F0" w14:paraId="47794EC4" w14:textId="77777777" w:rsidTr="000641AC">
        <w:trPr>
          <w:trHeight w:val="765"/>
        </w:trPr>
        <w:tc>
          <w:tcPr>
            <w:tcW w:w="1132" w:type="dxa"/>
            <w:shd w:val="clear" w:color="auto" w:fill="C6D9F1" w:themeFill="text2" w:themeFillTint="33"/>
            <w:noWrap/>
            <w:vAlign w:val="center"/>
            <w:hideMark/>
          </w:tcPr>
          <w:p w14:paraId="000817B2"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Year</w:t>
            </w:r>
          </w:p>
        </w:tc>
        <w:tc>
          <w:tcPr>
            <w:tcW w:w="1132" w:type="dxa"/>
            <w:shd w:val="clear" w:color="auto" w:fill="C6D9F1" w:themeFill="text2" w:themeFillTint="33"/>
            <w:vAlign w:val="center"/>
            <w:hideMark/>
          </w:tcPr>
          <w:p w14:paraId="5181CA0D"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MSW in landfills (Gg)</w:t>
            </w:r>
          </w:p>
        </w:tc>
        <w:tc>
          <w:tcPr>
            <w:tcW w:w="1133" w:type="dxa"/>
            <w:shd w:val="clear" w:color="auto" w:fill="C6D9F1" w:themeFill="text2" w:themeFillTint="33"/>
            <w:noWrap/>
            <w:vAlign w:val="center"/>
            <w:hideMark/>
          </w:tcPr>
          <w:p w14:paraId="7B312C03"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Year</w:t>
            </w:r>
          </w:p>
        </w:tc>
        <w:tc>
          <w:tcPr>
            <w:tcW w:w="1133" w:type="dxa"/>
            <w:shd w:val="clear" w:color="auto" w:fill="C6D9F1" w:themeFill="text2" w:themeFillTint="33"/>
            <w:vAlign w:val="center"/>
            <w:hideMark/>
          </w:tcPr>
          <w:p w14:paraId="28726E05"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MSW in landfills (Gg)</w:t>
            </w:r>
          </w:p>
        </w:tc>
        <w:tc>
          <w:tcPr>
            <w:tcW w:w="1133" w:type="dxa"/>
            <w:shd w:val="clear" w:color="auto" w:fill="C6D9F1" w:themeFill="text2" w:themeFillTint="33"/>
            <w:noWrap/>
            <w:vAlign w:val="center"/>
            <w:hideMark/>
          </w:tcPr>
          <w:p w14:paraId="48F38444"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Year</w:t>
            </w:r>
          </w:p>
        </w:tc>
        <w:tc>
          <w:tcPr>
            <w:tcW w:w="1133" w:type="dxa"/>
            <w:shd w:val="clear" w:color="auto" w:fill="C6D9F1" w:themeFill="text2" w:themeFillTint="33"/>
            <w:vAlign w:val="center"/>
            <w:hideMark/>
          </w:tcPr>
          <w:p w14:paraId="4126055C"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MSW in landfills (Gg)</w:t>
            </w:r>
          </w:p>
        </w:tc>
        <w:tc>
          <w:tcPr>
            <w:tcW w:w="1133" w:type="dxa"/>
            <w:shd w:val="clear" w:color="auto" w:fill="C6D9F1" w:themeFill="text2" w:themeFillTint="33"/>
            <w:noWrap/>
            <w:vAlign w:val="center"/>
            <w:hideMark/>
          </w:tcPr>
          <w:p w14:paraId="6AA88066"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Year</w:t>
            </w:r>
          </w:p>
        </w:tc>
        <w:tc>
          <w:tcPr>
            <w:tcW w:w="1133" w:type="dxa"/>
            <w:shd w:val="clear" w:color="auto" w:fill="C6D9F1" w:themeFill="text2" w:themeFillTint="33"/>
            <w:vAlign w:val="center"/>
            <w:hideMark/>
          </w:tcPr>
          <w:p w14:paraId="5D52AB0F"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MSW in landfills (Gg)</w:t>
            </w:r>
          </w:p>
        </w:tc>
      </w:tr>
      <w:tr w:rsidR="007B2433" w:rsidRPr="002462F0" w14:paraId="1E42C953" w14:textId="77777777" w:rsidTr="00F540CA">
        <w:trPr>
          <w:trHeight w:val="255"/>
        </w:trPr>
        <w:tc>
          <w:tcPr>
            <w:tcW w:w="1132" w:type="dxa"/>
            <w:noWrap/>
            <w:hideMark/>
          </w:tcPr>
          <w:p w14:paraId="13CF99C3"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1950</w:t>
            </w:r>
          </w:p>
        </w:tc>
        <w:tc>
          <w:tcPr>
            <w:tcW w:w="1132" w:type="dxa"/>
            <w:noWrap/>
            <w:hideMark/>
          </w:tcPr>
          <w:p w14:paraId="1E4A782D" w14:textId="16D5B80D"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9C5908">
              <w:rPr>
                <w:szCs w:val="20"/>
                <w:lang w:eastAsia="fr-FR"/>
              </w:rPr>
              <w:t>,</w:t>
            </w:r>
            <w:r w:rsidRPr="002462F0">
              <w:rPr>
                <w:szCs w:val="20"/>
                <w:lang w:eastAsia="fr-FR"/>
              </w:rPr>
              <w:t>414</w:t>
            </w:r>
            <w:r w:rsidR="00A90E1C">
              <w:rPr>
                <w:szCs w:val="20"/>
                <w:lang w:eastAsia="fr-FR"/>
              </w:rPr>
              <w:t>.</w:t>
            </w:r>
            <w:r w:rsidRPr="002462F0">
              <w:rPr>
                <w:szCs w:val="20"/>
                <w:lang w:eastAsia="fr-FR"/>
              </w:rPr>
              <w:t>1</w:t>
            </w:r>
          </w:p>
        </w:tc>
        <w:tc>
          <w:tcPr>
            <w:tcW w:w="1133" w:type="dxa"/>
            <w:noWrap/>
            <w:hideMark/>
          </w:tcPr>
          <w:p w14:paraId="29F121E1"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1970</w:t>
            </w:r>
          </w:p>
        </w:tc>
        <w:tc>
          <w:tcPr>
            <w:tcW w:w="1133" w:type="dxa"/>
            <w:noWrap/>
            <w:hideMark/>
          </w:tcPr>
          <w:p w14:paraId="22AD6BD0" w14:textId="20028385"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760</w:t>
            </w:r>
            <w:r w:rsidR="00A90E1C">
              <w:rPr>
                <w:szCs w:val="20"/>
                <w:lang w:eastAsia="fr-FR"/>
              </w:rPr>
              <w:t>.</w:t>
            </w:r>
            <w:r w:rsidRPr="002462F0">
              <w:rPr>
                <w:szCs w:val="20"/>
                <w:lang w:eastAsia="fr-FR"/>
              </w:rPr>
              <w:t>9</w:t>
            </w:r>
          </w:p>
        </w:tc>
        <w:tc>
          <w:tcPr>
            <w:tcW w:w="1133" w:type="dxa"/>
            <w:noWrap/>
            <w:hideMark/>
          </w:tcPr>
          <w:p w14:paraId="720DD171"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1990</w:t>
            </w:r>
          </w:p>
        </w:tc>
        <w:tc>
          <w:tcPr>
            <w:tcW w:w="1133" w:type="dxa"/>
            <w:noWrap/>
            <w:hideMark/>
          </w:tcPr>
          <w:p w14:paraId="1728D5D0" w14:textId="1B7C5305" w:rsidR="007B2433" w:rsidRPr="002462F0" w:rsidRDefault="007B2433" w:rsidP="00F540CA">
            <w:pPr>
              <w:autoSpaceDE w:val="0"/>
              <w:autoSpaceDN w:val="0"/>
              <w:adjustRightInd w:val="0"/>
              <w:jc w:val="center"/>
              <w:rPr>
                <w:szCs w:val="20"/>
                <w:lang w:eastAsia="fr-FR"/>
              </w:rPr>
            </w:pPr>
            <w:r w:rsidRPr="002462F0">
              <w:rPr>
                <w:szCs w:val="20"/>
                <w:lang w:eastAsia="fr-FR"/>
              </w:rPr>
              <w:t>2</w:t>
            </w:r>
            <w:r w:rsidR="00326E57">
              <w:rPr>
                <w:szCs w:val="20"/>
                <w:lang w:eastAsia="fr-FR"/>
              </w:rPr>
              <w:t>,</w:t>
            </w:r>
            <w:r w:rsidRPr="002462F0">
              <w:rPr>
                <w:szCs w:val="20"/>
                <w:lang w:eastAsia="fr-FR"/>
              </w:rPr>
              <w:t>049</w:t>
            </w:r>
            <w:r w:rsidR="00A90E1C">
              <w:rPr>
                <w:szCs w:val="20"/>
                <w:lang w:eastAsia="fr-FR"/>
              </w:rPr>
              <w:t>.</w:t>
            </w:r>
            <w:r w:rsidRPr="002462F0">
              <w:rPr>
                <w:szCs w:val="20"/>
                <w:lang w:eastAsia="fr-FR"/>
              </w:rPr>
              <w:t>0</w:t>
            </w:r>
          </w:p>
        </w:tc>
        <w:tc>
          <w:tcPr>
            <w:tcW w:w="1133" w:type="dxa"/>
            <w:noWrap/>
            <w:hideMark/>
          </w:tcPr>
          <w:p w14:paraId="149F467C"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2010</w:t>
            </w:r>
          </w:p>
        </w:tc>
        <w:tc>
          <w:tcPr>
            <w:tcW w:w="1133" w:type="dxa"/>
            <w:noWrap/>
            <w:hideMark/>
          </w:tcPr>
          <w:p w14:paraId="3D5FC62F" w14:textId="0B89A828"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889</w:t>
            </w:r>
            <w:r w:rsidR="00A90E1C">
              <w:rPr>
                <w:szCs w:val="20"/>
                <w:lang w:eastAsia="fr-FR"/>
              </w:rPr>
              <w:t>.</w:t>
            </w:r>
            <w:r w:rsidRPr="002462F0">
              <w:rPr>
                <w:szCs w:val="20"/>
                <w:lang w:eastAsia="fr-FR"/>
              </w:rPr>
              <w:t>8</w:t>
            </w:r>
          </w:p>
        </w:tc>
      </w:tr>
      <w:tr w:rsidR="007B2433" w:rsidRPr="002462F0" w14:paraId="6044405B" w14:textId="77777777" w:rsidTr="00F540CA">
        <w:trPr>
          <w:trHeight w:val="255"/>
        </w:trPr>
        <w:tc>
          <w:tcPr>
            <w:tcW w:w="1132" w:type="dxa"/>
            <w:noWrap/>
            <w:hideMark/>
          </w:tcPr>
          <w:p w14:paraId="03323D3D"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1951</w:t>
            </w:r>
          </w:p>
        </w:tc>
        <w:tc>
          <w:tcPr>
            <w:tcW w:w="1132" w:type="dxa"/>
            <w:noWrap/>
            <w:hideMark/>
          </w:tcPr>
          <w:p w14:paraId="3963F699" w14:textId="3B04C8FE"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9C5908">
              <w:rPr>
                <w:szCs w:val="20"/>
                <w:lang w:eastAsia="fr-FR"/>
              </w:rPr>
              <w:t>,</w:t>
            </w:r>
            <w:r w:rsidRPr="002462F0">
              <w:rPr>
                <w:szCs w:val="20"/>
                <w:lang w:eastAsia="fr-FR"/>
              </w:rPr>
              <w:t>433</w:t>
            </w:r>
            <w:r w:rsidR="00A90E1C">
              <w:rPr>
                <w:szCs w:val="20"/>
                <w:lang w:eastAsia="fr-FR"/>
              </w:rPr>
              <w:t>.</w:t>
            </w:r>
            <w:r w:rsidRPr="002462F0">
              <w:rPr>
                <w:szCs w:val="20"/>
                <w:lang w:eastAsia="fr-FR"/>
              </w:rPr>
              <w:t>5</w:t>
            </w:r>
          </w:p>
        </w:tc>
        <w:tc>
          <w:tcPr>
            <w:tcW w:w="1133" w:type="dxa"/>
            <w:noWrap/>
            <w:hideMark/>
          </w:tcPr>
          <w:p w14:paraId="4AF81038"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1971</w:t>
            </w:r>
          </w:p>
        </w:tc>
        <w:tc>
          <w:tcPr>
            <w:tcW w:w="1133" w:type="dxa"/>
            <w:noWrap/>
            <w:hideMark/>
          </w:tcPr>
          <w:p w14:paraId="29930D83" w14:textId="419F9689"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777</w:t>
            </w:r>
            <w:r w:rsidR="00A90E1C">
              <w:rPr>
                <w:szCs w:val="20"/>
                <w:lang w:eastAsia="fr-FR"/>
              </w:rPr>
              <w:t>.</w:t>
            </w:r>
            <w:r w:rsidRPr="002462F0">
              <w:rPr>
                <w:szCs w:val="20"/>
                <w:lang w:eastAsia="fr-FR"/>
              </w:rPr>
              <w:t>9</w:t>
            </w:r>
          </w:p>
        </w:tc>
        <w:tc>
          <w:tcPr>
            <w:tcW w:w="1133" w:type="dxa"/>
            <w:noWrap/>
            <w:hideMark/>
          </w:tcPr>
          <w:p w14:paraId="097A13EA"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1991</w:t>
            </w:r>
          </w:p>
        </w:tc>
        <w:tc>
          <w:tcPr>
            <w:tcW w:w="1133" w:type="dxa"/>
            <w:noWrap/>
            <w:hideMark/>
          </w:tcPr>
          <w:p w14:paraId="2B5AA9C3" w14:textId="225ECC94"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643</w:t>
            </w:r>
            <w:r w:rsidR="00A90E1C">
              <w:rPr>
                <w:szCs w:val="20"/>
                <w:lang w:eastAsia="fr-FR"/>
              </w:rPr>
              <w:t>.</w:t>
            </w:r>
            <w:r w:rsidRPr="002462F0">
              <w:rPr>
                <w:szCs w:val="20"/>
                <w:lang w:eastAsia="fr-FR"/>
              </w:rPr>
              <w:t>3</w:t>
            </w:r>
          </w:p>
        </w:tc>
        <w:tc>
          <w:tcPr>
            <w:tcW w:w="1133" w:type="dxa"/>
            <w:noWrap/>
            <w:hideMark/>
          </w:tcPr>
          <w:p w14:paraId="502F68B1"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2011</w:t>
            </w:r>
          </w:p>
        </w:tc>
        <w:tc>
          <w:tcPr>
            <w:tcW w:w="1133" w:type="dxa"/>
            <w:noWrap/>
            <w:hideMark/>
          </w:tcPr>
          <w:p w14:paraId="45D039BF" w14:textId="29DB1632" w:rsidR="007B2433" w:rsidRPr="002462F0" w:rsidRDefault="007B2433" w:rsidP="00F540CA">
            <w:pPr>
              <w:autoSpaceDE w:val="0"/>
              <w:autoSpaceDN w:val="0"/>
              <w:adjustRightInd w:val="0"/>
              <w:jc w:val="center"/>
              <w:rPr>
                <w:szCs w:val="20"/>
                <w:lang w:eastAsia="fr-FR"/>
              </w:rPr>
            </w:pPr>
            <w:r w:rsidRPr="002462F0">
              <w:rPr>
                <w:szCs w:val="20"/>
                <w:lang w:eastAsia="fr-FR"/>
              </w:rPr>
              <w:t>2</w:t>
            </w:r>
            <w:r w:rsidR="00326E57">
              <w:rPr>
                <w:szCs w:val="20"/>
                <w:lang w:eastAsia="fr-FR"/>
              </w:rPr>
              <w:t>,</w:t>
            </w:r>
            <w:r w:rsidRPr="002462F0">
              <w:rPr>
                <w:szCs w:val="20"/>
                <w:lang w:eastAsia="fr-FR"/>
              </w:rPr>
              <w:t>067</w:t>
            </w:r>
            <w:r w:rsidR="00A90E1C">
              <w:rPr>
                <w:szCs w:val="20"/>
                <w:lang w:eastAsia="fr-FR"/>
              </w:rPr>
              <w:t>.</w:t>
            </w:r>
            <w:r w:rsidRPr="002462F0">
              <w:rPr>
                <w:szCs w:val="20"/>
                <w:lang w:eastAsia="fr-FR"/>
              </w:rPr>
              <w:t>8</w:t>
            </w:r>
          </w:p>
        </w:tc>
      </w:tr>
      <w:tr w:rsidR="007B2433" w:rsidRPr="002462F0" w14:paraId="2941796B" w14:textId="77777777" w:rsidTr="00F540CA">
        <w:trPr>
          <w:trHeight w:val="255"/>
        </w:trPr>
        <w:tc>
          <w:tcPr>
            <w:tcW w:w="1132" w:type="dxa"/>
            <w:noWrap/>
            <w:hideMark/>
          </w:tcPr>
          <w:p w14:paraId="3565D972"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1952</w:t>
            </w:r>
          </w:p>
        </w:tc>
        <w:tc>
          <w:tcPr>
            <w:tcW w:w="1132" w:type="dxa"/>
            <w:noWrap/>
            <w:hideMark/>
          </w:tcPr>
          <w:p w14:paraId="1F53C3F5" w14:textId="54EF3A21"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9C5908">
              <w:rPr>
                <w:szCs w:val="20"/>
                <w:lang w:eastAsia="fr-FR"/>
              </w:rPr>
              <w:t>,</w:t>
            </w:r>
            <w:r w:rsidRPr="002462F0">
              <w:rPr>
                <w:szCs w:val="20"/>
                <w:lang w:eastAsia="fr-FR"/>
              </w:rPr>
              <w:t>449</w:t>
            </w:r>
            <w:r w:rsidR="00A90E1C">
              <w:rPr>
                <w:szCs w:val="20"/>
                <w:lang w:eastAsia="fr-FR"/>
              </w:rPr>
              <w:t>.</w:t>
            </w:r>
            <w:r w:rsidRPr="002462F0">
              <w:rPr>
                <w:szCs w:val="20"/>
                <w:lang w:eastAsia="fr-FR"/>
              </w:rPr>
              <w:t>0</w:t>
            </w:r>
          </w:p>
        </w:tc>
        <w:tc>
          <w:tcPr>
            <w:tcW w:w="1133" w:type="dxa"/>
            <w:noWrap/>
            <w:hideMark/>
          </w:tcPr>
          <w:p w14:paraId="6B9143CD"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1972</w:t>
            </w:r>
          </w:p>
        </w:tc>
        <w:tc>
          <w:tcPr>
            <w:tcW w:w="1133" w:type="dxa"/>
            <w:noWrap/>
            <w:hideMark/>
          </w:tcPr>
          <w:p w14:paraId="3EE2F959" w14:textId="7895E624"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794</w:t>
            </w:r>
            <w:r w:rsidR="00A90E1C">
              <w:rPr>
                <w:szCs w:val="20"/>
                <w:lang w:eastAsia="fr-FR"/>
              </w:rPr>
              <w:t>.</w:t>
            </w:r>
            <w:r w:rsidRPr="002462F0">
              <w:rPr>
                <w:szCs w:val="20"/>
                <w:lang w:eastAsia="fr-FR"/>
              </w:rPr>
              <w:t>5</w:t>
            </w:r>
          </w:p>
        </w:tc>
        <w:tc>
          <w:tcPr>
            <w:tcW w:w="1133" w:type="dxa"/>
            <w:noWrap/>
            <w:hideMark/>
          </w:tcPr>
          <w:p w14:paraId="24849823"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1992</w:t>
            </w:r>
          </w:p>
        </w:tc>
        <w:tc>
          <w:tcPr>
            <w:tcW w:w="1133" w:type="dxa"/>
            <w:noWrap/>
            <w:hideMark/>
          </w:tcPr>
          <w:p w14:paraId="0DCD312A" w14:textId="29AAF156"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644</w:t>
            </w:r>
            <w:r w:rsidR="00A90E1C">
              <w:rPr>
                <w:szCs w:val="20"/>
                <w:lang w:eastAsia="fr-FR"/>
              </w:rPr>
              <w:t>.</w:t>
            </w:r>
            <w:r w:rsidRPr="002462F0">
              <w:rPr>
                <w:szCs w:val="20"/>
                <w:lang w:eastAsia="fr-FR"/>
              </w:rPr>
              <w:t>7</w:t>
            </w:r>
          </w:p>
        </w:tc>
        <w:tc>
          <w:tcPr>
            <w:tcW w:w="1133" w:type="dxa"/>
            <w:noWrap/>
            <w:hideMark/>
          </w:tcPr>
          <w:p w14:paraId="13E3BF73"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2012</w:t>
            </w:r>
          </w:p>
        </w:tc>
        <w:tc>
          <w:tcPr>
            <w:tcW w:w="1133" w:type="dxa"/>
            <w:noWrap/>
            <w:hideMark/>
          </w:tcPr>
          <w:p w14:paraId="2334522E" w14:textId="1DF92645"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814</w:t>
            </w:r>
            <w:r w:rsidR="00A90E1C">
              <w:rPr>
                <w:szCs w:val="20"/>
                <w:lang w:eastAsia="fr-FR"/>
              </w:rPr>
              <w:t>.</w:t>
            </w:r>
            <w:r w:rsidRPr="002462F0">
              <w:rPr>
                <w:szCs w:val="20"/>
                <w:lang w:eastAsia="fr-FR"/>
              </w:rPr>
              <w:t>1</w:t>
            </w:r>
          </w:p>
        </w:tc>
      </w:tr>
      <w:tr w:rsidR="007B2433" w:rsidRPr="002462F0" w14:paraId="5C025DEC" w14:textId="77777777" w:rsidTr="00F540CA">
        <w:trPr>
          <w:trHeight w:val="255"/>
        </w:trPr>
        <w:tc>
          <w:tcPr>
            <w:tcW w:w="1132" w:type="dxa"/>
            <w:noWrap/>
            <w:hideMark/>
          </w:tcPr>
          <w:p w14:paraId="4FDBB505"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1953</w:t>
            </w:r>
          </w:p>
        </w:tc>
        <w:tc>
          <w:tcPr>
            <w:tcW w:w="1132" w:type="dxa"/>
            <w:noWrap/>
            <w:hideMark/>
          </w:tcPr>
          <w:p w14:paraId="3ABC4EAB" w14:textId="7A3DD71E"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469</w:t>
            </w:r>
            <w:r w:rsidR="00A90E1C">
              <w:rPr>
                <w:szCs w:val="20"/>
                <w:lang w:eastAsia="fr-FR"/>
              </w:rPr>
              <w:t>.</w:t>
            </w:r>
            <w:r w:rsidRPr="002462F0">
              <w:rPr>
                <w:szCs w:val="20"/>
                <w:lang w:eastAsia="fr-FR"/>
              </w:rPr>
              <w:t>8</w:t>
            </w:r>
          </w:p>
        </w:tc>
        <w:tc>
          <w:tcPr>
            <w:tcW w:w="1133" w:type="dxa"/>
            <w:noWrap/>
            <w:hideMark/>
          </w:tcPr>
          <w:p w14:paraId="6522C565"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1973</w:t>
            </w:r>
          </w:p>
        </w:tc>
        <w:tc>
          <w:tcPr>
            <w:tcW w:w="1133" w:type="dxa"/>
            <w:noWrap/>
            <w:hideMark/>
          </w:tcPr>
          <w:p w14:paraId="01FB9447" w14:textId="317280A0"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809</w:t>
            </w:r>
            <w:r w:rsidR="00A90E1C">
              <w:rPr>
                <w:szCs w:val="20"/>
                <w:lang w:eastAsia="fr-FR"/>
              </w:rPr>
              <w:t>.</w:t>
            </w:r>
            <w:r w:rsidRPr="002462F0">
              <w:rPr>
                <w:szCs w:val="20"/>
                <w:lang w:eastAsia="fr-FR"/>
              </w:rPr>
              <w:t>6</w:t>
            </w:r>
          </w:p>
        </w:tc>
        <w:tc>
          <w:tcPr>
            <w:tcW w:w="1133" w:type="dxa"/>
            <w:noWrap/>
            <w:hideMark/>
          </w:tcPr>
          <w:p w14:paraId="2B742071"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1993</w:t>
            </w:r>
          </w:p>
        </w:tc>
        <w:tc>
          <w:tcPr>
            <w:tcW w:w="1133" w:type="dxa"/>
            <w:noWrap/>
            <w:hideMark/>
          </w:tcPr>
          <w:p w14:paraId="210D4ED2" w14:textId="10BD552B"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646</w:t>
            </w:r>
            <w:r w:rsidR="00A90E1C">
              <w:rPr>
                <w:szCs w:val="20"/>
                <w:lang w:eastAsia="fr-FR"/>
              </w:rPr>
              <w:t>.</w:t>
            </w:r>
            <w:r w:rsidRPr="002462F0">
              <w:rPr>
                <w:szCs w:val="20"/>
                <w:lang w:eastAsia="fr-FR"/>
              </w:rPr>
              <w:t>6</w:t>
            </w:r>
          </w:p>
        </w:tc>
        <w:tc>
          <w:tcPr>
            <w:tcW w:w="1133" w:type="dxa"/>
            <w:noWrap/>
            <w:hideMark/>
          </w:tcPr>
          <w:p w14:paraId="16958883"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2013</w:t>
            </w:r>
          </w:p>
        </w:tc>
        <w:tc>
          <w:tcPr>
            <w:tcW w:w="1133" w:type="dxa"/>
            <w:noWrap/>
            <w:hideMark/>
          </w:tcPr>
          <w:p w14:paraId="01A2C23D" w14:textId="4A78FA55"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947</w:t>
            </w:r>
            <w:r w:rsidR="00A90E1C">
              <w:rPr>
                <w:szCs w:val="20"/>
                <w:lang w:eastAsia="fr-FR"/>
              </w:rPr>
              <w:t>.</w:t>
            </w:r>
            <w:r w:rsidRPr="002462F0">
              <w:rPr>
                <w:szCs w:val="20"/>
                <w:lang w:eastAsia="fr-FR"/>
              </w:rPr>
              <w:t>5</w:t>
            </w:r>
          </w:p>
        </w:tc>
      </w:tr>
      <w:tr w:rsidR="007B2433" w:rsidRPr="002462F0" w14:paraId="34B42440" w14:textId="77777777" w:rsidTr="00F540CA">
        <w:trPr>
          <w:trHeight w:val="255"/>
        </w:trPr>
        <w:tc>
          <w:tcPr>
            <w:tcW w:w="1132" w:type="dxa"/>
            <w:noWrap/>
            <w:hideMark/>
          </w:tcPr>
          <w:p w14:paraId="61DA16AD"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1954</w:t>
            </w:r>
          </w:p>
        </w:tc>
        <w:tc>
          <w:tcPr>
            <w:tcW w:w="1132" w:type="dxa"/>
            <w:noWrap/>
            <w:hideMark/>
          </w:tcPr>
          <w:p w14:paraId="06A4DE64" w14:textId="1E28730F"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491</w:t>
            </w:r>
            <w:r w:rsidR="00A90E1C">
              <w:rPr>
                <w:szCs w:val="20"/>
                <w:lang w:eastAsia="fr-FR"/>
              </w:rPr>
              <w:t>.</w:t>
            </w:r>
            <w:r w:rsidRPr="002462F0">
              <w:rPr>
                <w:szCs w:val="20"/>
                <w:lang w:eastAsia="fr-FR"/>
              </w:rPr>
              <w:t>6</w:t>
            </w:r>
          </w:p>
        </w:tc>
        <w:tc>
          <w:tcPr>
            <w:tcW w:w="1133" w:type="dxa"/>
            <w:noWrap/>
            <w:hideMark/>
          </w:tcPr>
          <w:p w14:paraId="7DF4593F"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1974</w:t>
            </w:r>
          </w:p>
        </w:tc>
        <w:tc>
          <w:tcPr>
            <w:tcW w:w="1133" w:type="dxa"/>
            <w:noWrap/>
            <w:hideMark/>
          </w:tcPr>
          <w:p w14:paraId="2210CB90" w14:textId="10D2DAAC"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826</w:t>
            </w:r>
            <w:r w:rsidR="00A90E1C">
              <w:rPr>
                <w:szCs w:val="20"/>
                <w:lang w:eastAsia="fr-FR"/>
              </w:rPr>
              <w:t>.</w:t>
            </w:r>
            <w:r w:rsidRPr="002462F0">
              <w:rPr>
                <w:szCs w:val="20"/>
                <w:lang w:eastAsia="fr-FR"/>
              </w:rPr>
              <w:t>4</w:t>
            </w:r>
          </w:p>
        </w:tc>
        <w:tc>
          <w:tcPr>
            <w:tcW w:w="1133" w:type="dxa"/>
            <w:noWrap/>
            <w:hideMark/>
          </w:tcPr>
          <w:p w14:paraId="795E0895"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1994</w:t>
            </w:r>
          </w:p>
        </w:tc>
        <w:tc>
          <w:tcPr>
            <w:tcW w:w="1133" w:type="dxa"/>
            <w:noWrap/>
            <w:hideMark/>
          </w:tcPr>
          <w:p w14:paraId="277C41F4" w14:textId="041BB242"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648</w:t>
            </w:r>
            <w:r w:rsidR="00A90E1C">
              <w:rPr>
                <w:szCs w:val="20"/>
                <w:lang w:eastAsia="fr-FR"/>
              </w:rPr>
              <w:t>.</w:t>
            </w:r>
            <w:r w:rsidRPr="002462F0">
              <w:rPr>
                <w:szCs w:val="20"/>
                <w:lang w:eastAsia="fr-FR"/>
              </w:rPr>
              <w:t>3</w:t>
            </w:r>
          </w:p>
        </w:tc>
        <w:tc>
          <w:tcPr>
            <w:tcW w:w="1133" w:type="dxa"/>
            <w:noWrap/>
            <w:hideMark/>
          </w:tcPr>
          <w:p w14:paraId="64FAF100"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2014</w:t>
            </w:r>
          </w:p>
        </w:tc>
        <w:tc>
          <w:tcPr>
            <w:tcW w:w="1133" w:type="dxa"/>
            <w:noWrap/>
            <w:hideMark/>
          </w:tcPr>
          <w:p w14:paraId="09FC7228" w14:textId="3592432D"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711</w:t>
            </w:r>
            <w:r w:rsidR="00A90E1C">
              <w:rPr>
                <w:szCs w:val="20"/>
                <w:lang w:eastAsia="fr-FR"/>
              </w:rPr>
              <w:t>.</w:t>
            </w:r>
            <w:r w:rsidRPr="002462F0">
              <w:rPr>
                <w:szCs w:val="20"/>
                <w:lang w:eastAsia="fr-FR"/>
              </w:rPr>
              <w:t>2</w:t>
            </w:r>
          </w:p>
        </w:tc>
      </w:tr>
      <w:tr w:rsidR="007B2433" w:rsidRPr="002462F0" w14:paraId="5C228CAE" w14:textId="77777777" w:rsidTr="00F540CA">
        <w:trPr>
          <w:trHeight w:val="270"/>
        </w:trPr>
        <w:tc>
          <w:tcPr>
            <w:tcW w:w="1132" w:type="dxa"/>
            <w:noWrap/>
            <w:hideMark/>
          </w:tcPr>
          <w:p w14:paraId="7DDF7C2B"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1955</w:t>
            </w:r>
          </w:p>
        </w:tc>
        <w:tc>
          <w:tcPr>
            <w:tcW w:w="1132" w:type="dxa"/>
            <w:noWrap/>
            <w:hideMark/>
          </w:tcPr>
          <w:p w14:paraId="01AB846C" w14:textId="4727EDD6"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514</w:t>
            </w:r>
            <w:r w:rsidR="00A90E1C">
              <w:rPr>
                <w:szCs w:val="20"/>
                <w:lang w:eastAsia="fr-FR"/>
              </w:rPr>
              <w:t>.</w:t>
            </w:r>
            <w:r w:rsidRPr="002462F0">
              <w:rPr>
                <w:szCs w:val="20"/>
                <w:lang w:eastAsia="fr-FR"/>
              </w:rPr>
              <w:t>3</w:t>
            </w:r>
          </w:p>
        </w:tc>
        <w:tc>
          <w:tcPr>
            <w:tcW w:w="1133" w:type="dxa"/>
            <w:noWrap/>
            <w:hideMark/>
          </w:tcPr>
          <w:p w14:paraId="2C03CE05"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1975</w:t>
            </w:r>
          </w:p>
        </w:tc>
        <w:tc>
          <w:tcPr>
            <w:tcW w:w="1133" w:type="dxa"/>
            <w:noWrap/>
            <w:hideMark/>
          </w:tcPr>
          <w:p w14:paraId="290364CB" w14:textId="61DC186F"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843</w:t>
            </w:r>
            <w:r w:rsidR="00A90E1C">
              <w:rPr>
                <w:szCs w:val="20"/>
                <w:lang w:eastAsia="fr-FR"/>
              </w:rPr>
              <w:t>.</w:t>
            </w:r>
            <w:r w:rsidRPr="002462F0">
              <w:rPr>
                <w:szCs w:val="20"/>
                <w:lang w:eastAsia="fr-FR"/>
              </w:rPr>
              <w:t>6</w:t>
            </w:r>
          </w:p>
        </w:tc>
        <w:tc>
          <w:tcPr>
            <w:tcW w:w="1133" w:type="dxa"/>
            <w:noWrap/>
            <w:hideMark/>
          </w:tcPr>
          <w:p w14:paraId="023E9B76"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1995</w:t>
            </w:r>
          </w:p>
        </w:tc>
        <w:tc>
          <w:tcPr>
            <w:tcW w:w="1133" w:type="dxa"/>
            <w:noWrap/>
            <w:hideMark/>
          </w:tcPr>
          <w:p w14:paraId="36DEBDEF" w14:textId="53A25787"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649</w:t>
            </w:r>
            <w:r w:rsidR="00A90E1C">
              <w:rPr>
                <w:szCs w:val="20"/>
                <w:lang w:eastAsia="fr-FR"/>
              </w:rPr>
              <w:t>.</w:t>
            </w:r>
            <w:r w:rsidRPr="002462F0">
              <w:rPr>
                <w:szCs w:val="20"/>
                <w:lang w:eastAsia="fr-FR"/>
              </w:rPr>
              <w:t>8</w:t>
            </w:r>
          </w:p>
        </w:tc>
        <w:tc>
          <w:tcPr>
            <w:tcW w:w="1133" w:type="dxa"/>
            <w:noWrap/>
            <w:hideMark/>
          </w:tcPr>
          <w:p w14:paraId="1A2938EB"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2015</w:t>
            </w:r>
          </w:p>
        </w:tc>
        <w:tc>
          <w:tcPr>
            <w:tcW w:w="1133" w:type="dxa"/>
            <w:noWrap/>
            <w:hideMark/>
          </w:tcPr>
          <w:p w14:paraId="3A79579A" w14:textId="1604C3E4"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511</w:t>
            </w:r>
            <w:r w:rsidR="00A90E1C">
              <w:rPr>
                <w:szCs w:val="20"/>
                <w:lang w:eastAsia="fr-FR"/>
              </w:rPr>
              <w:t>.</w:t>
            </w:r>
            <w:r w:rsidRPr="002462F0">
              <w:rPr>
                <w:szCs w:val="20"/>
                <w:lang w:eastAsia="fr-FR"/>
              </w:rPr>
              <w:t>6</w:t>
            </w:r>
          </w:p>
        </w:tc>
      </w:tr>
      <w:tr w:rsidR="007B2433" w:rsidRPr="002462F0" w14:paraId="372DE6DB" w14:textId="77777777" w:rsidTr="00F540CA">
        <w:trPr>
          <w:trHeight w:val="255"/>
        </w:trPr>
        <w:tc>
          <w:tcPr>
            <w:tcW w:w="1132" w:type="dxa"/>
            <w:noWrap/>
            <w:hideMark/>
          </w:tcPr>
          <w:p w14:paraId="347BD1F8"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1956</w:t>
            </w:r>
          </w:p>
        </w:tc>
        <w:tc>
          <w:tcPr>
            <w:tcW w:w="1132" w:type="dxa"/>
            <w:noWrap/>
            <w:hideMark/>
          </w:tcPr>
          <w:p w14:paraId="0D32DA02" w14:textId="4FDBC03E"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529</w:t>
            </w:r>
            <w:r w:rsidR="00A90E1C">
              <w:rPr>
                <w:szCs w:val="20"/>
                <w:lang w:eastAsia="fr-FR"/>
              </w:rPr>
              <w:t>.</w:t>
            </w:r>
            <w:r w:rsidRPr="002462F0">
              <w:rPr>
                <w:szCs w:val="20"/>
                <w:lang w:eastAsia="fr-FR"/>
              </w:rPr>
              <w:t>2</w:t>
            </w:r>
          </w:p>
        </w:tc>
        <w:tc>
          <w:tcPr>
            <w:tcW w:w="1133" w:type="dxa"/>
            <w:noWrap/>
            <w:hideMark/>
          </w:tcPr>
          <w:p w14:paraId="72E23A11"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1976</w:t>
            </w:r>
          </w:p>
        </w:tc>
        <w:tc>
          <w:tcPr>
            <w:tcW w:w="1133" w:type="dxa"/>
            <w:noWrap/>
            <w:hideMark/>
          </w:tcPr>
          <w:p w14:paraId="6BDA98FB" w14:textId="3C6AF020"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861</w:t>
            </w:r>
            <w:r w:rsidR="00A90E1C">
              <w:rPr>
                <w:szCs w:val="20"/>
                <w:lang w:eastAsia="fr-FR"/>
              </w:rPr>
              <w:t>.</w:t>
            </w:r>
            <w:r w:rsidRPr="002462F0">
              <w:rPr>
                <w:szCs w:val="20"/>
                <w:lang w:eastAsia="fr-FR"/>
              </w:rPr>
              <w:t>7</w:t>
            </w:r>
          </w:p>
        </w:tc>
        <w:tc>
          <w:tcPr>
            <w:tcW w:w="1133" w:type="dxa"/>
            <w:noWrap/>
            <w:hideMark/>
          </w:tcPr>
          <w:p w14:paraId="3C2BCA4C"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1996</w:t>
            </w:r>
          </w:p>
        </w:tc>
        <w:tc>
          <w:tcPr>
            <w:tcW w:w="1133" w:type="dxa"/>
            <w:noWrap/>
            <w:hideMark/>
          </w:tcPr>
          <w:p w14:paraId="76FC9BD9" w14:textId="6D8AE126"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647</w:t>
            </w:r>
            <w:r w:rsidR="00A90E1C">
              <w:rPr>
                <w:szCs w:val="20"/>
                <w:lang w:eastAsia="fr-FR"/>
              </w:rPr>
              <w:t>.</w:t>
            </w:r>
            <w:r w:rsidRPr="002462F0">
              <w:rPr>
                <w:szCs w:val="20"/>
                <w:lang w:eastAsia="fr-FR"/>
              </w:rPr>
              <w:t>2</w:t>
            </w:r>
          </w:p>
        </w:tc>
        <w:tc>
          <w:tcPr>
            <w:tcW w:w="1133" w:type="dxa"/>
            <w:noWrap/>
            <w:hideMark/>
          </w:tcPr>
          <w:p w14:paraId="53F3D6A8" w14:textId="06279851" w:rsidR="007B2433" w:rsidRPr="006E35FA" w:rsidRDefault="00AC6B00" w:rsidP="00F540CA">
            <w:pPr>
              <w:autoSpaceDE w:val="0"/>
              <w:autoSpaceDN w:val="0"/>
              <w:adjustRightInd w:val="0"/>
              <w:jc w:val="center"/>
              <w:rPr>
                <w:b/>
                <w:bCs/>
                <w:szCs w:val="20"/>
                <w:lang w:eastAsia="fr-FR"/>
              </w:rPr>
            </w:pPr>
            <w:r w:rsidRPr="006E35FA">
              <w:rPr>
                <w:b/>
                <w:bCs/>
                <w:szCs w:val="20"/>
                <w:lang w:eastAsia="fr-FR"/>
              </w:rPr>
              <w:t>2016</w:t>
            </w:r>
          </w:p>
        </w:tc>
        <w:tc>
          <w:tcPr>
            <w:tcW w:w="1133" w:type="dxa"/>
            <w:noWrap/>
            <w:hideMark/>
          </w:tcPr>
          <w:p w14:paraId="4C7ECA90" w14:textId="03EC73BB" w:rsidR="007B2433" w:rsidRPr="002462F0" w:rsidRDefault="00AC6B00" w:rsidP="00F540CA">
            <w:pPr>
              <w:autoSpaceDE w:val="0"/>
              <w:autoSpaceDN w:val="0"/>
              <w:adjustRightInd w:val="0"/>
              <w:jc w:val="center"/>
              <w:rPr>
                <w:szCs w:val="20"/>
                <w:lang w:eastAsia="fr-FR"/>
              </w:rPr>
            </w:pPr>
            <w:r>
              <w:rPr>
                <w:szCs w:val="20"/>
                <w:lang w:eastAsia="fr-FR"/>
              </w:rPr>
              <w:t>1</w:t>
            </w:r>
            <w:r w:rsidR="00326E57">
              <w:rPr>
                <w:szCs w:val="20"/>
                <w:lang w:eastAsia="fr-FR"/>
              </w:rPr>
              <w:t>,</w:t>
            </w:r>
            <w:r>
              <w:rPr>
                <w:szCs w:val="20"/>
                <w:lang w:eastAsia="fr-FR"/>
              </w:rPr>
              <w:t>561</w:t>
            </w:r>
            <w:r w:rsidR="00A90E1C">
              <w:rPr>
                <w:szCs w:val="20"/>
                <w:lang w:eastAsia="fr-FR"/>
              </w:rPr>
              <w:t>.</w:t>
            </w:r>
            <w:r>
              <w:rPr>
                <w:szCs w:val="20"/>
                <w:lang w:eastAsia="fr-FR"/>
              </w:rPr>
              <w:t>8</w:t>
            </w:r>
          </w:p>
        </w:tc>
      </w:tr>
      <w:tr w:rsidR="00A90E1C" w:rsidRPr="002462F0" w14:paraId="7B644AB2" w14:textId="77777777" w:rsidTr="00622F40">
        <w:trPr>
          <w:trHeight w:val="255"/>
        </w:trPr>
        <w:tc>
          <w:tcPr>
            <w:tcW w:w="1132" w:type="dxa"/>
            <w:noWrap/>
            <w:hideMark/>
          </w:tcPr>
          <w:p w14:paraId="76FE32A7"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1957</w:t>
            </w:r>
          </w:p>
        </w:tc>
        <w:tc>
          <w:tcPr>
            <w:tcW w:w="1132" w:type="dxa"/>
            <w:noWrap/>
            <w:hideMark/>
          </w:tcPr>
          <w:p w14:paraId="10EA1B5E" w14:textId="21208967"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544</w:t>
            </w:r>
            <w:r>
              <w:rPr>
                <w:szCs w:val="20"/>
                <w:lang w:eastAsia="fr-FR"/>
              </w:rPr>
              <w:t>.</w:t>
            </w:r>
            <w:r w:rsidRPr="002462F0">
              <w:rPr>
                <w:szCs w:val="20"/>
                <w:lang w:eastAsia="fr-FR"/>
              </w:rPr>
              <w:t>6</w:t>
            </w:r>
          </w:p>
        </w:tc>
        <w:tc>
          <w:tcPr>
            <w:tcW w:w="1133" w:type="dxa"/>
            <w:noWrap/>
            <w:hideMark/>
          </w:tcPr>
          <w:p w14:paraId="0028B1CE"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1977</w:t>
            </w:r>
          </w:p>
        </w:tc>
        <w:tc>
          <w:tcPr>
            <w:tcW w:w="1133" w:type="dxa"/>
            <w:noWrap/>
            <w:hideMark/>
          </w:tcPr>
          <w:p w14:paraId="3439D858" w14:textId="7843FE4B"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879</w:t>
            </w:r>
            <w:r>
              <w:rPr>
                <w:szCs w:val="20"/>
                <w:lang w:eastAsia="fr-FR"/>
              </w:rPr>
              <w:t>.</w:t>
            </w:r>
            <w:r w:rsidRPr="002462F0">
              <w:rPr>
                <w:szCs w:val="20"/>
                <w:lang w:eastAsia="fr-FR"/>
              </w:rPr>
              <w:t>5</w:t>
            </w:r>
          </w:p>
        </w:tc>
        <w:tc>
          <w:tcPr>
            <w:tcW w:w="1133" w:type="dxa"/>
            <w:noWrap/>
            <w:hideMark/>
          </w:tcPr>
          <w:p w14:paraId="2A2D7DC4"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1997</w:t>
            </w:r>
          </w:p>
        </w:tc>
        <w:tc>
          <w:tcPr>
            <w:tcW w:w="1133" w:type="dxa"/>
            <w:noWrap/>
            <w:hideMark/>
          </w:tcPr>
          <w:p w14:paraId="2E3E893E" w14:textId="637F8731"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643</w:t>
            </w:r>
            <w:r>
              <w:rPr>
                <w:szCs w:val="20"/>
                <w:lang w:eastAsia="fr-FR"/>
              </w:rPr>
              <w:t>.</w:t>
            </w:r>
            <w:r w:rsidRPr="002462F0">
              <w:rPr>
                <w:szCs w:val="20"/>
                <w:lang w:eastAsia="fr-FR"/>
              </w:rPr>
              <w:t>9</w:t>
            </w:r>
          </w:p>
        </w:tc>
        <w:tc>
          <w:tcPr>
            <w:tcW w:w="1133" w:type="dxa"/>
            <w:noWrap/>
            <w:vAlign w:val="center"/>
            <w:hideMark/>
          </w:tcPr>
          <w:p w14:paraId="3023DC7A" w14:textId="7CE42279" w:rsidR="00A90E1C" w:rsidRPr="006E35FA" w:rsidRDefault="00A90E1C" w:rsidP="00A90E1C">
            <w:pPr>
              <w:autoSpaceDE w:val="0"/>
              <w:autoSpaceDN w:val="0"/>
              <w:adjustRightInd w:val="0"/>
              <w:jc w:val="center"/>
              <w:rPr>
                <w:b/>
                <w:bCs/>
                <w:szCs w:val="20"/>
                <w:lang w:eastAsia="fr-FR"/>
              </w:rPr>
            </w:pPr>
            <w:r w:rsidRPr="006E35FA">
              <w:rPr>
                <w:rFonts w:cs="Arial"/>
                <w:b/>
                <w:bCs/>
                <w:szCs w:val="20"/>
              </w:rPr>
              <w:t>2017</w:t>
            </w:r>
          </w:p>
        </w:tc>
        <w:tc>
          <w:tcPr>
            <w:tcW w:w="1133" w:type="dxa"/>
            <w:noWrap/>
            <w:vAlign w:val="center"/>
            <w:hideMark/>
          </w:tcPr>
          <w:p w14:paraId="6ACDFCB3" w14:textId="719750B8" w:rsidR="00A90E1C" w:rsidRPr="002462F0" w:rsidRDefault="00A90E1C" w:rsidP="00A90E1C">
            <w:pPr>
              <w:autoSpaceDE w:val="0"/>
              <w:autoSpaceDN w:val="0"/>
              <w:adjustRightInd w:val="0"/>
              <w:jc w:val="center"/>
              <w:rPr>
                <w:szCs w:val="20"/>
                <w:lang w:eastAsia="fr-FR"/>
              </w:rPr>
            </w:pPr>
            <w:r w:rsidRPr="00622F40">
              <w:rPr>
                <w:szCs w:val="20"/>
                <w:lang w:eastAsia="fr-FR"/>
              </w:rPr>
              <w:t>2</w:t>
            </w:r>
            <w:r w:rsidR="00326E57">
              <w:rPr>
                <w:szCs w:val="20"/>
                <w:lang w:eastAsia="fr-FR"/>
              </w:rPr>
              <w:t>,</w:t>
            </w:r>
            <w:r w:rsidRPr="00622F40">
              <w:rPr>
                <w:szCs w:val="20"/>
                <w:lang w:eastAsia="fr-FR"/>
              </w:rPr>
              <w:t>291</w:t>
            </w:r>
            <w:r>
              <w:rPr>
                <w:szCs w:val="20"/>
                <w:lang w:eastAsia="fr-FR"/>
              </w:rPr>
              <w:t>.</w:t>
            </w:r>
            <w:r w:rsidRPr="00622F40">
              <w:rPr>
                <w:szCs w:val="20"/>
                <w:lang w:eastAsia="fr-FR"/>
              </w:rPr>
              <w:t>5</w:t>
            </w:r>
          </w:p>
        </w:tc>
      </w:tr>
      <w:tr w:rsidR="00A90E1C" w:rsidRPr="002462F0" w14:paraId="2FA09505" w14:textId="77777777" w:rsidTr="00622F40">
        <w:trPr>
          <w:trHeight w:val="255"/>
        </w:trPr>
        <w:tc>
          <w:tcPr>
            <w:tcW w:w="1132" w:type="dxa"/>
            <w:noWrap/>
            <w:hideMark/>
          </w:tcPr>
          <w:p w14:paraId="51928F9D"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1958</w:t>
            </w:r>
          </w:p>
        </w:tc>
        <w:tc>
          <w:tcPr>
            <w:tcW w:w="1132" w:type="dxa"/>
            <w:noWrap/>
            <w:hideMark/>
          </w:tcPr>
          <w:p w14:paraId="7E9C6B19" w14:textId="2E725E0F"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559</w:t>
            </w:r>
            <w:r>
              <w:rPr>
                <w:szCs w:val="20"/>
                <w:lang w:eastAsia="fr-FR"/>
              </w:rPr>
              <w:t>.</w:t>
            </w:r>
            <w:r w:rsidRPr="002462F0">
              <w:rPr>
                <w:szCs w:val="20"/>
                <w:lang w:eastAsia="fr-FR"/>
              </w:rPr>
              <w:t>3</w:t>
            </w:r>
          </w:p>
        </w:tc>
        <w:tc>
          <w:tcPr>
            <w:tcW w:w="1133" w:type="dxa"/>
            <w:noWrap/>
            <w:hideMark/>
          </w:tcPr>
          <w:p w14:paraId="51C5A1F4"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1978</w:t>
            </w:r>
          </w:p>
        </w:tc>
        <w:tc>
          <w:tcPr>
            <w:tcW w:w="1133" w:type="dxa"/>
            <w:noWrap/>
            <w:hideMark/>
          </w:tcPr>
          <w:p w14:paraId="25E301DB" w14:textId="748F3791"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896</w:t>
            </w:r>
            <w:r>
              <w:rPr>
                <w:szCs w:val="20"/>
                <w:lang w:eastAsia="fr-FR"/>
              </w:rPr>
              <w:t>.</w:t>
            </w:r>
            <w:r w:rsidRPr="002462F0">
              <w:rPr>
                <w:szCs w:val="20"/>
                <w:lang w:eastAsia="fr-FR"/>
              </w:rPr>
              <w:t>3</w:t>
            </w:r>
          </w:p>
        </w:tc>
        <w:tc>
          <w:tcPr>
            <w:tcW w:w="1133" w:type="dxa"/>
            <w:noWrap/>
            <w:hideMark/>
          </w:tcPr>
          <w:p w14:paraId="10CAFDD6"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1998</w:t>
            </w:r>
          </w:p>
        </w:tc>
        <w:tc>
          <w:tcPr>
            <w:tcW w:w="1133" w:type="dxa"/>
            <w:noWrap/>
            <w:hideMark/>
          </w:tcPr>
          <w:p w14:paraId="5678B4F6" w14:textId="3553B8E0"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639</w:t>
            </w:r>
            <w:r>
              <w:rPr>
                <w:szCs w:val="20"/>
                <w:lang w:eastAsia="fr-FR"/>
              </w:rPr>
              <w:t>.</w:t>
            </w:r>
            <w:r w:rsidRPr="002462F0">
              <w:rPr>
                <w:szCs w:val="20"/>
                <w:lang w:eastAsia="fr-FR"/>
              </w:rPr>
              <w:t>5</w:t>
            </w:r>
          </w:p>
        </w:tc>
        <w:tc>
          <w:tcPr>
            <w:tcW w:w="1133" w:type="dxa"/>
            <w:noWrap/>
            <w:vAlign w:val="center"/>
            <w:hideMark/>
          </w:tcPr>
          <w:p w14:paraId="6FC32060" w14:textId="570B8560" w:rsidR="00A90E1C" w:rsidRPr="006E35FA" w:rsidRDefault="00A90E1C" w:rsidP="00A90E1C">
            <w:pPr>
              <w:autoSpaceDE w:val="0"/>
              <w:autoSpaceDN w:val="0"/>
              <w:adjustRightInd w:val="0"/>
              <w:jc w:val="center"/>
              <w:rPr>
                <w:b/>
                <w:bCs/>
                <w:szCs w:val="20"/>
                <w:lang w:eastAsia="fr-FR"/>
              </w:rPr>
            </w:pPr>
            <w:r w:rsidRPr="006E35FA">
              <w:rPr>
                <w:rFonts w:cs="Arial"/>
                <w:b/>
                <w:bCs/>
                <w:szCs w:val="20"/>
              </w:rPr>
              <w:t>2018</w:t>
            </w:r>
          </w:p>
        </w:tc>
        <w:tc>
          <w:tcPr>
            <w:tcW w:w="1133" w:type="dxa"/>
            <w:noWrap/>
            <w:vAlign w:val="center"/>
            <w:hideMark/>
          </w:tcPr>
          <w:p w14:paraId="2BBDE901" w14:textId="5500866C" w:rsidR="00A90E1C" w:rsidRPr="002462F0" w:rsidRDefault="00A90E1C" w:rsidP="00A90E1C">
            <w:pPr>
              <w:autoSpaceDE w:val="0"/>
              <w:autoSpaceDN w:val="0"/>
              <w:adjustRightInd w:val="0"/>
              <w:jc w:val="center"/>
              <w:rPr>
                <w:szCs w:val="20"/>
                <w:lang w:eastAsia="fr-FR"/>
              </w:rPr>
            </w:pPr>
            <w:r w:rsidRPr="00622F40">
              <w:rPr>
                <w:szCs w:val="20"/>
                <w:lang w:eastAsia="fr-FR"/>
              </w:rPr>
              <w:t>2</w:t>
            </w:r>
            <w:r w:rsidR="00326E57">
              <w:rPr>
                <w:szCs w:val="20"/>
                <w:lang w:eastAsia="fr-FR"/>
              </w:rPr>
              <w:t>,</w:t>
            </w:r>
            <w:r w:rsidRPr="00622F40">
              <w:rPr>
                <w:szCs w:val="20"/>
                <w:lang w:eastAsia="fr-FR"/>
              </w:rPr>
              <w:t>440</w:t>
            </w:r>
            <w:r>
              <w:rPr>
                <w:szCs w:val="20"/>
                <w:lang w:eastAsia="fr-FR"/>
              </w:rPr>
              <w:t>.</w:t>
            </w:r>
            <w:r w:rsidRPr="00622F40">
              <w:rPr>
                <w:szCs w:val="20"/>
                <w:lang w:eastAsia="fr-FR"/>
              </w:rPr>
              <w:t>7</w:t>
            </w:r>
          </w:p>
        </w:tc>
      </w:tr>
      <w:tr w:rsidR="00A90E1C" w:rsidRPr="002462F0" w14:paraId="246D5874" w14:textId="77777777" w:rsidTr="00622F40">
        <w:trPr>
          <w:trHeight w:val="255"/>
        </w:trPr>
        <w:tc>
          <w:tcPr>
            <w:tcW w:w="1132" w:type="dxa"/>
            <w:noWrap/>
            <w:hideMark/>
          </w:tcPr>
          <w:p w14:paraId="3E81A97F"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1959</w:t>
            </w:r>
          </w:p>
        </w:tc>
        <w:tc>
          <w:tcPr>
            <w:tcW w:w="1132" w:type="dxa"/>
            <w:noWrap/>
            <w:hideMark/>
          </w:tcPr>
          <w:p w14:paraId="0F504E52" w14:textId="67E8454F"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576</w:t>
            </w:r>
            <w:r>
              <w:rPr>
                <w:szCs w:val="20"/>
                <w:lang w:eastAsia="fr-FR"/>
              </w:rPr>
              <w:t>.</w:t>
            </w:r>
            <w:r w:rsidRPr="002462F0">
              <w:rPr>
                <w:szCs w:val="20"/>
                <w:lang w:eastAsia="fr-FR"/>
              </w:rPr>
              <w:t>7</w:t>
            </w:r>
          </w:p>
        </w:tc>
        <w:tc>
          <w:tcPr>
            <w:tcW w:w="1133" w:type="dxa"/>
            <w:noWrap/>
            <w:hideMark/>
          </w:tcPr>
          <w:p w14:paraId="16D969D2"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1979</w:t>
            </w:r>
          </w:p>
        </w:tc>
        <w:tc>
          <w:tcPr>
            <w:tcW w:w="1133" w:type="dxa"/>
            <w:noWrap/>
            <w:hideMark/>
          </w:tcPr>
          <w:p w14:paraId="2DBD6273" w14:textId="54B7E308"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912</w:t>
            </w:r>
            <w:r>
              <w:rPr>
                <w:szCs w:val="20"/>
                <w:lang w:eastAsia="fr-FR"/>
              </w:rPr>
              <w:t>.</w:t>
            </w:r>
            <w:r w:rsidRPr="002462F0">
              <w:rPr>
                <w:szCs w:val="20"/>
                <w:lang w:eastAsia="fr-FR"/>
              </w:rPr>
              <w:t>5</w:t>
            </w:r>
          </w:p>
        </w:tc>
        <w:tc>
          <w:tcPr>
            <w:tcW w:w="1133" w:type="dxa"/>
            <w:noWrap/>
            <w:hideMark/>
          </w:tcPr>
          <w:p w14:paraId="5576A25A"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1999</w:t>
            </w:r>
          </w:p>
        </w:tc>
        <w:tc>
          <w:tcPr>
            <w:tcW w:w="1133" w:type="dxa"/>
            <w:noWrap/>
            <w:hideMark/>
          </w:tcPr>
          <w:p w14:paraId="433F48F6" w14:textId="2D8D82FF"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634</w:t>
            </w:r>
            <w:r>
              <w:rPr>
                <w:szCs w:val="20"/>
                <w:lang w:eastAsia="fr-FR"/>
              </w:rPr>
              <w:t>.</w:t>
            </w:r>
            <w:r w:rsidRPr="002462F0">
              <w:rPr>
                <w:szCs w:val="20"/>
                <w:lang w:eastAsia="fr-FR"/>
              </w:rPr>
              <w:t>0</w:t>
            </w:r>
          </w:p>
        </w:tc>
        <w:tc>
          <w:tcPr>
            <w:tcW w:w="1133" w:type="dxa"/>
            <w:noWrap/>
            <w:vAlign w:val="center"/>
            <w:hideMark/>
          </w:tcPr>
          <w:p w14:paraId="6DDEDF47" w14:textId="700892CE" w:rsidR="00A90E1C" w:rsidRPr="006E35FA" w:rsidRDefault="00A90E1C" w:rsidP="00A90E1C">
            <w:pPr>
              <w:autoSpaceDE w:val="0"/>
              <w:autoSpaceDN w:val="0"/>
              <w:adjustRightInd w:val="0"/>
              <w:jc w:val="center"/>
              <w:rPr>
                <w:b/>
                <w:bCs/>
                <w:szCs w:val="20"/>
                <w:lang w:eastAsia="fr-FR"/>
              </w:rPr>
            </w:pPr>
            <w:r w:rsidRPr="006E35FA">
              <w:rPr>
                <w:rFonts w:cs="Arial"/>
                <w:b/>
                <w:bCs/>
                <w:szCs w:val="20"/>
              </w:rPr>
              <w:t>2019</w:t>
            </w:r>
          </w:p>
        </w:tc>
        <w:tc>
          <w:tcPr>
            <w:tcW w:w="1133" w:type="dxa"/>
            <w:noWrap/>
            <w:vAlign w:val="center"/>
            <w:hideMark/>
          </w:tcPr>
          <w:p w14:paraId="1A28A5CD" w14:textId="1031C683" w:rsidR="00A90E1C" w:rsidRPr="002462F0" w:rsidRDefault="00A90E1C" w:rsidP="00A90E1C">
            <w:pPr>
              <w:autoSpaceDE w:val="0"/>
              <w:autoSpaceDN w:val="0"/>
              <w:adjustRightInd w:val="0"/>
              <w:jc w:val="center"/>
              <w:rPr>
                <w:szCs w:val="20"/>
                <w:lang w:eastAsia="fr-FR"/>
              </w:rPr>
            </w:pPr>
            <w:r w:rsidRPr="00622F40">
              <w:rPr>
                <w:szCs w:val="20"/>
                <w:lang w:eastAsia="fr-FR"/>
              </w:rPr>
              <w:t>2</w:t>
            </w:r>
            <w:r w:rsidR="00326E57">
              <w:rPr>
                <w:szCs w:val="20"/>
                <w:lang w:eastAsia="fr-FR"/>
              </w:rPr>
              <w:t>,</w:t>
            </w:r>
            <w:r w:rsidRPr="00622F40">
              <w:rPr>
                <w:szCs w:val="20"/>
                <w:lang w:eastAsia="fr-FR"/>
              </w:rPr>
              <w:t>419</w:t>
            </w:r>
            <w:r>
              <w:rPr>
                <w:szCs w:val="20"/>
                <w:lang w:eastAsia="fr-FR"/>
              </w:rPr>
              <w:t>.</w:t>
            </w:r>
            <w:r w:rsidRPr="00622F40">
              <w:rPr>
                <w:szCs w:val="20"/>
                <w:lang w:eastAsia="fr-FR"/>
              </w:rPr>
              <w:t>3</w:t>
            </w:r>
          </w:p>
        </w:tc>
      </w:tr>
      <w:tr w:rsidR="00A90E1C" w:rsidRPr="002462F0" w14:paraId="4EE212CE" w14:textId="77777777" w:rsidTr="00622F40">
        <w:trPr>
          <w:trHeight w:val="255"/>
        </w:trPr>
        <w:tc>
          <w:tcPr>
            <w:tcW w:w="1132" w:type="dxa"/>
            <w:noWrap/>
            <w:hideMark/>
          </w:tcPr>
          <w:p w14:paraId="11E72FB6"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1960</w:t>
            </w:r>
          </w:p>
        </w:tc>
        <w:tc>
          <w:tcPr>
            <w:tcW w:w="1132" w:type="dxa"/>
            <w:noWrap/>
            <w:hideMark/>
          </w:tcPr>
          <w:p w14:paraId="6D1E1D39" w14:textId="28E7495B"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592</w:t>
            </w:r>
            <w:r>
              <w:rPr>
                <w:szCs w:val="20"/>
                <w:lang w:eastAsia="fr-FR"/>
              </w:rPr>
              <w:t>.</w:t>
            </w:r>
            <w:r w:rsidRPr="002462F0">
              <w:rPr>
                <w:szCs w:val="20"/>
                <w:lang w:eastAsia="fr-FR"/>
              </w:rPr>
              <w:t>4</w:t>
            </w:r>
          </w:p>
        </w:tc>
        <w:tc>
          <w:tcPr>
            <w:tcW w:w="1133" w:type="dxa"/>
            <w:noWrap/>
            <w:hideMark/>
          </w:tcPr>
          <w:p w14:paraId="3754182E"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1980</w:t>
            </w:r>
          </w:p>
        </w:tc>
        <w:tc>
          <w:tcPr>
            <w:tcW w:w="1133" w:type="dxa"/>
            <w:noWrap/>
            <w:hideMark/>
          </w:tcPr>
          <w:p w14:paraId="30307BF2" w14:textId="4BF5DDEE"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937</w:t>
            </w:r>
            <w:r>
              <w:rPr>
                <w:szCs w:val="20"/>
                <w:lang w:eastAsia="fr-FR"/>
              </w:rPr>
              <w:t>.</w:t>
            </w:r>
            <w:r w:rsidRPr="002462F0">
              <w:rPr>
                <w:szCs w:val="20"/>
                <w:lang w:eastAsia="fr-FR"/>
              </w:rPr>
              <w:t>7</w:t>
            </w:r>
          </w:p>
        </w:tc>
        <w:tc>
          <w:tcPr>
            <w:tcW w:w="1133" w:type="dxa"/>
            <w:noWrap/>
            <w:hideMark/>
          </w:tcPr>
          <w:p w14:paraId="4F0FC795"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2000</w:t>
            </w:r>
          </w:p>
        </w:tc>
        <w:tc>
          <w:tcPr>
            <w:tcW w:w="1133" w:type="dxa"/>
            <w:noWrap/>
            <w:hideMark/>
          </w:tcPr>
          <w:p w14:paraId="2B6882B6" w14:textId="324FE44E"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626</w:t>
            </w:r>
            <w:r>
              <w:rPr>
                <w:szCs w:val="20"/>
                <w:lang w:eastAsia="fr-FR"/>
              </w:rPr>
              <w:t>.</w:t>
            </w:r>
            <w:r w:rsidRPr="002462F0">
              <w:rPr>
                <w:szCs w:val="20"/>
                <w:lang w:eastAsia="fr-FR"/>
              </w:rPr>
              <w:t>9</w:t>
            </w:r>
          </w:p>
        </w:tc>
        <w:tc>
          <w:tcPr>
            <w:tcW w:w="1133" w:type="dxa"/>
            <w:noWrap/>
            <w:vAlign w:val="center"/>
            <w:hideMark/>
          </w:tcPr>
          <w:p w14:paraId="636B42F4" w14:textId="13F4EE5C" w:rsidR="00A90E1C" w:rsidRPr="006E35FA" w:rsidRDefault="00A90E1C" w:rsidP="00A90E1C">
            <w:pPr>
              <w:autoSpaceDE w:val="0"/>
              <w:autoSpaceDN w:val="0"/>
              <w:adjustRightInd w:val="0"/>
              <w:jc w:val="center"/>
              <w:rPr>
                <w:b/>
                <w:bCs/>
                <w:szCs w:val="20"/>
                <w:lang w:eastAsia="fr-FR"/>
              </w:rPr>
            </w:pPr>
            <w:r w:rsidRPr="006E35FA">
              <w:rPr>
                <w:rFonts w:cs="Arial"/>
                <w:b/>
                <w:bCs/>
                <w:szCs w:val="20"/>
              </w:rPr>
              <w:t>2020</w:t>
            </w:r>
          </w:p>
        </w:tc>
        <w:tc>
          <w:tcPr>
            <w:tcW w:w="1133" w:type="dxa"/>
            <w:noWrap/>
            <w:vAlign w:val="center"/>
            <w:hideMark/>
          </w:tcPr>
          <w:p w14:paraId="24F46561" w14:textId="60994AEE" w:rsidR="00A90E1C" w:rsidRPr="002462F0" w:rsidRDefault="00A90E1C" w:rsidP="00A90E1C">
            <w:pPr>
              <w:autoSpaceDE w:val="0"/>
              <w:autoSpaceDN w:val="0"/>
              <w:adjustRightInd w:val="0"/>
              <w:jc w:val="center"/>
              <w:rPr>
                <w:szCs w:val="20"/>
                <w:lang w:eastAsia="fr-FR"/>
              </w:rPr>
            </w:pPr>
            <w:r w:rsidRPr="00622F40">
              <w:rPr>
                <w:szCs w:val="20"/>
                <w:lang w:eastAsia="fr-FR"/>
              </w:rPr>
              <w:t>2</w:t>
            </w:r>
            <w:r w:rsidR="00326E57">
              <w:rPr>
                <w:szCs w:val="20"/>
                <w:lang w:eastAsia="fr-FR"/>
              </w:rPr>
              <w:t>,</w:t>
            </w:r>
            <w:r w:rsidRPr="00622F40">
              <w:rPr>
                <w:szCs w:val="20"/>
                <w:lang w:eastAsia="fr-FR"/>
              </w:rPr>
              <w:t>487</w:t>
            </w:r>
            <w:r>
              <w:rPr>
                <w:szCs w:val="20"/>
                <w:lang w:eastAsia="fr-FR"/>
              </w:rPr>
              <w:t>.</w:t>
            </w:r>
            <w:r w:rsidRPr="00622F40">
              <w:rPr>
                <w:szCs w:val="20"/>
                <w:lang w:eastAsia="fr-FR"/>
              </w:rPr>
              <w:t>0</w:t>
            </w:r>
          </w:p>
        </w:tc>
      </w:tr>
      <w:tr w:rsidR="00A90E1C" w:rsidRPr="002462F0" w14:paraId="6FFDBE8F" w14:textId="77777777" w:rsidTr="004D66E9">
        <w:trPr>
          <w:trHeight w:val="255"/>
        </w:trPr>
        <w:tc>
          <w:tcPr>
            <w:tcW w:w="1132" w:type="dxa"/>
            <w:noWrap/>
            <w:hideMark/>
          </w:tcPr>
          <w:p w14:paraId="51F83723"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1961</w:t>
            </w:r>
          </w:p>
        </w:tc>
        <w:tc>
          <w:tcPr>
            <w:tcW w:w="1132" w:type="dxa"/>
            <w:noWrap/>
            <w:hideMark/>
          </w:tcPr>
          <w:p w14:paraId="3A680C70" w14:textId="3DF64CF1"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609</w:t>
            </w:r>
            <w:r>
              <w:rPr>
                <w:szCs w:val="20"/>
                <w:lang w:eastAsia="fr-FR"/>
              </w:rPr>
              <w:t>.</w:t>
            </w:r>
            <w:r w:rsidRPr="002462F0">
              <w:rPr>
                <w:szCs w:val="20"/>
                <w:lang w:eastAsia="fr-FR"/>
              </w:rPr>
              <w:t>4</w:t>
            </w:r>
          </w:p>
        </w:tc>
        <w:tc>
          <w:tcPr>
            <w:tcW w:w="1133" w:type="dxa"/>
            <w:noWrap/>
            <w:hideMark/>
          </w:tcPr>
          <w:p w14:paraId="44B1EC8B"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1981</w:t>
            </w:r>
          </w:p>
        </w:tc>
        <w:tc>
          <w:tcPr>
            <w:tcW w:w="1133" w:type="dxa"/>
            <w:noWrap/>
            <w:hideMark/>
          </w:tcPr>
          <w:p w14:paraId="78CC71C0" w14:textId="2CF293C4"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959</w:t>
            </w:r>
            <w:r>
              <w:rPr>
                <w:szCs w:val="20"/>
                <w:lang w:eastAsia="fr-FR"/>
              </w:rPr>
              <w:t>.</w:t>
            </w:r>
            <w:r w:rsidRPr="002462F0">
              <w:rPr>
                <w:szCs w:val="20"/>
                <w:lang w:eastAsia="fr-FR"/>
              </w:rPr>
              <w:t>7</w:t>
            </w:r>
          </w:p>
        </w:tc>
        <w:tc>
          <w:tcPr>
            <w:tcW w:w="1133" w:type="dxa"/>
            <w:noWrap/>
            <w:hideMark/>
          </w:tcPr>
          <w:p w14:paraId="5634CA1C"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2001</w:t>
            </w:r>
          </w:p>
        </w:tc>
        <w:tc>
          <w:tcPr>
            <w:tcW w:w="1133" w:type="dxa"/>
            <w:noWrap/>
            <w:hideMark/>
          </w:tcPr>
          <w:p w14:paraId="423A7BA6" w14:textId="711B945A"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622</w:t>
            </w:r>
            <w:r>
              <w:rPr>
                <w:szCs w:val="20"/>
                <w:lang w:eastAsia="fr-FR"/>
              </w:rPr>
              <w:t>.</w:t>
            </w:r>
            <w:r w:rsidRPr="002462F0">
              <w:rPr>
                <w:szCs w:val="20"/>
                <w:lang w:eastAsia="fr-FR"/>
              </w:rPr>
              <w:t>7</w:t>
            </w:r>
          </w:p>
        </w:tc>
        <w:tc>
          <w:tcPr>
            <w:tcW w:w="1133" w:type="dxa"/>
            <w:tcBorders>
              <w:bottom w:val="single" w:sz="4" w:space="0" w:color="auto"/>
            </w:tcBorders>
            <w:noWrap/>
            <w:vAlign w:val="center"/>
            <w:hideMark/>
          </w:tcPr>
          <w:p w14:paraId="58A66339" w14:textId="36690D46" w:rsidR="00A90E1C" w:rsidRPr="006E35FA" w:rsidRDefault="00A90E1C" w:rsidP="00A90E1C">
            <w:pPr>
              <w:autoSpaceDE w:val="0"/>
              <w:autoSpaceDN w:val="0"/>
              <w:adjustRightInd w:val="0"/>
              <w:jc w:val="center"/>
              <w:rPr>
                <w:b/>
                <w:bCs/>
                <w:szCs w:val="20"/>
                <w:lang w:eastAsia="fr-FR"/>
              </w:rPr>
            </w:pPr>
            <w:r w:rsidRPr="006E35FA">
              <w:rPr>
                <w:rFonts w:cs="Arial"/>
                <w:b/>
                <w:bCs/>
                <w:szCs w:val="20"/>
              </w:rPr>
              <w:t>2021</w:t>
            </w:r>
          </w:p>
        </w:tc>
        <w:tc>
          <w:tcPr>
            <w:tcW w:w="1133" w:type="dxa"/>
            <w:tcBorders>
              <w:bottom w:val="single" w:sz="4" w:space="0" w:color="auto"/>
            </w:tcBorders>
            <w:noWrap/>
            <w:vAlign w:val="center"/>
            <w:hideMark/>
          </w:tcPr>
          <w:p w14:paraId="02396C56" w14:textId="2C79A158" w:rsidR="00A90E1C" w:rsidRPr="002462F0" w:rsidRDefault="00A90E1C" w:rsidP="00A90E1C">
            <w:pPr>
              <w:autoSpaceDE w:val="0"/>
              <w:autoSpaceDN w:val="0"/>
              <w:adjustRightInd w:val="0"/>
              <w:jc w:val="center"/>
              <w:rPr>
                <w:szCs w:val="20"/>
                <w:lang w:eastAsia="fr-FR"/>
              </w:rPr>
            </w:pPr>
            <w:r w:rsidRPr="00622F40">
              <w:rPr>
                <w:szCs w:val="20"/>
                <w:lang w:eastAsia="fr-FR"/>
              </w:rPr>
              <w:t>2</w:t>
            </w:r>
            <w:r w:rsidR="00326E57">
              <w:rPr>
                <w:szCs w:val="20"/>
                <w:lang w:eastAsia="fr-FR"/>
              </w:rPr>
              <w:t>,</w:t>
            </w:r>
            <w:r w:rsidRPr="00622F40">
              <w:rPr>
                <w:szCs w:val="20"/>
                <w:lang w:eastAsia="fr-FR"/>
              </w:rPr>
              <w:t>488</w:t>
            </w:r>
            <w:r>
              <w:rPr>
                <w:szCs w:val="20"/>
                <w:lang w:eastAsia="fr-FR"/>
              </w:rPr>
              <w:t>.</w:t>
            </w:r>
            <w:r w:rsidRPr="00622F40">
              <w:rPr>
                <w:szCs w:val="20"/>
                <w:lang w:eastAsia="fr-FR"/>
              </w:rPr>
              <w:t>3</w:t>
            </w:r>
          </w:p>
        </w:tc>
      </w:tr>
      <w:tr w:rsidR="00A90E1C" w:rsidRPr="002462F0" w14:paraId="72FEBC2E" w14:textId="77777777" w:rsidTr="004D66E9">
        <w:trPr>
          <w:trHeight w:val="255"/>
        </w:trPr>
        <w:tc>
          <w:tcPr>
            <w:tcW w:w="1132" w:type="dxa"/>
            <w:noWrap/>
            <w:hideMark/>
          </w:tcPr>
          <w:p w14:paraId="7484714E"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1962</w:t>
            </w:r>
          </w:p>
        </w:tc>
        <w:tc>
          <w:tcPr>
            <w:tcW w:w="1132" w:type="dxa"/>
            <w:noWrap/>
            <w:hideMark/>
          </w:tcPr>
          <w:p w14:paraId="17FBA9C3" w14:textId="4A172BD8"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627</w:t>
            </w:r>
            <w:r>
              <w:rPr>
                <w:szCs w:val="20"/>
                <w:lang w:eastAsia="fr-FR"/>
              </w:rPr>
              <w:t>.</w:t>
            </w:r>
            <w:r w:rsidRPr="002462F0">
              <w:rPr>
                <w:szCs w:val="20"/>
                <w:lang w:eastAsia="fr-FR"/>
              </w:rPr>
              <w:t>1</w:t>
            </w:r>
          </w:p>
        </w:tc>
        <w:tc>
          <w:tcPr>
            <w:tcW w:w="1133" w:type="dxa"/>
            <w:noWrap/>
            <w:hideMark/>
          </w:tcPr>
          <w:p w14:paraId="2CAC4B06"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1982</w:t>
            </w:r>
          </w:p>
        </w:tc>
        <w:tc>
          <w:tcPr>
            <w:tcW w:w="1133" w:type="dxa"/>
            <w:noWrap/>
            <w:hideMark/>
          </w:tcPr>
          <w:p w14:paraId="68C6ECF5" w14:textId="75F9CDB7"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970</w:t>
            </w:r>
            <w:r>
              <w:rPr>
                <w:szCs w:val="20"/>
                <w:lang w:eastAsia="fr-FR"/>
              </w:rPr>
              <w:t>.</w:t>
            </w:r>
            <w:r w:rsidRPr="002462F0">
              <w:rPr>
                <w:szCs w:val="20"/>
                <w:lang w:eastAsia="fr-FR"/>
              </w:rPr>
              <w:t>9</w:t>
            </w:r>
          </w:p>
        </w:tc>
        <w:tc>
          <w:tcPr>
            <w:tcW w:w="1133" w:type="dxa"/>
            <w:noWrap/>
            <w:hideMark/>
          </w:tcPr>
          <w:p w14:paraId="327D73A8" w14:textId="77777777" w:rsidR="00A90E1C" w:rsidRPr="006E35FA" w:rsidRDefault="00A90E1C" w:rsidP="00A90E1C">
            <w:pPr>
              <w:autoSpaceDE w:val="0"/>
              <w:autoSpaceDN w:val="0"/>
              <w:adjustRightInd w:val="0"/>
              <w:jc w:val="center"/>
              <w:rPr>
                <w:b/>
                <w:bCs/>
                <w:szCs w:val="20"/>
                <w:lang w:eastAsia="fr-FR"/>
              </w:rPr>
            </w:pPr>
            <w:r w:rsidRPr="006E35FA">
              <w:rPr>
                <w:b/>
                <w:bCs/>
                <w:szCs w:val="20"/>
                <w:lang w:eastAsia="fr-FR"/>
              </w:rPr>
              <w:t>2002</w:t>
            </w:r>
          </w:p>
        </w:tc>
        <w:tc>
          <w:tcPr>
            <w:tcW w:w="1133" w:type="dxa"/>
            <w:tcBorders>
              <w:bottom w:val="single" w:sz="4" w:space="0" w:color="auto"/>
            </w:tcBorders>
            <w:noWrap/>
            <w:hideMark/>
          </w:tcPr>
          <w:p w14:paraId="11CAC927" w14:textId="0B55D3EE" w:rsidR="00A90E1C" w:rsidRPr="002462F0" w:rsidRDefault="00A90E1C" w:rsidP="00A90E1C">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575</w:t>
            </w:r>
            <w:r>
              <w:rPr>
                <w:szCs w:val="20"/>
                <w:lang w:eastAsia="fr-FR"/>
              </w:rPr>
              <w:t>.</w:t>
            </w:r>
            <w:r w:rsidRPr="002462F0">
              <w:rPr>
                <w:szCs w:val="20"/>
                <w:lang w:eastAsia="fr-FR"/>
              </w:rPr>
              <w:t>0</w:t>
            </w:r>
          </w:p>
        </w:tc>
        <w:tc>
          <w:tcPr>
            <w:tcW w:w="1133" w:type="dxa"/>
            <w:tcBorders>
              <w:bottom w:val="single" w:sz="4" w:space="0" w:color="auto"/>
            </w:tcBorders>
            <w:noWrap/>
            <w:vAlign w:val="center"/>
            <w:hideMark/>
          </w:tcPr>
          <w:p w14:paraId="2B939DD5" w14:textId="772F05B3" w:rsidR="00A90E1C" w:rsidRPr="006E35FA" w:rsidRDefault="00A90E1C" w:rsidP="00A90E1C">
            <w:pPr>
              <w:autoSpaceDE w:val="0"/>
              <w:autoSpaceDN w:val="0"/>
              <w:adjustRightInd w:val="0"/>
              <w:jc w:val="center"/>
              <w:rPr>
                <w:b/>
                <w:bCs/>
                <w:szCs w:val="20"/>
                <w:lang w:eastAsia="fr-FR"/>
              </w:rPr>
            </w:pPr>
            <w:r w:rsidRPr="006E35FA">
              <w:rPr>
                <w:rFonts w:cs="Arial"/>
                <w:b/>
                <w:bCs/>
                <w:szCs w:val="20"/>
              </w:rPr>
              <w:t>2022</w:t>
            </w:r>
          </w:p>
        </w:tc>
        <w:tc>
          <w:tcPr>
            <w:tcW w:w="1133" w:type="dxa"/>
            <w:tcBorders>
              <w:bottom w:val="single" w:sz="4" w:space="0" w:color="auto"/>
            </w:tcBorders>
            <w:noWrap/>
            <w:vAlign w:val="center"/>
            <w:hideMark/>
          </w:tcPr>
          <w:p w14:paraId="591AC4DA" w14:textId="2158CCF7" w:rsidR="00A90E1C" w:rsidRPr="002462F0" w:rsidRDefault="00A90E1C" w:rsidP="00A90E1C">
            <w:pPr>
              <w:autoSpaceDE w:val="0"/>
              <w:autoSpaceDN w:val="0"/>
              <w:adjustRightInd w:val="0"/>
              <w:jc w:val="center"/>
              <w:rPr>
                <w:szCs w:val="20"/>
                <w:lang w:eastAsia="fr-FR"/>
              </w:rPr>
            </w:pPr>
            <w:r w:rsidRPr="00622F40">
              <w:rPr>
                <w:szCs w:val="20"/>
                <w:lang w:eastAsia="fr-FR"/>
              </w:rPr>
              <w:t>2</w:t>
            </w:r>
            <w:r w:rsidR="00326E57">
              <w:rPr>
                <w:szCs w:val="20"/>
                <w:lang w:eastAsia="fr-FR"/>
              </w:rPr>
              <w:t>,</w:t>
            </w:r>
            <w:r w:rsidRPr="00622F40">
              <w:rPr>
                <w:szCs w:val="20"/>
                <w:lang w:eastAsia="fr-FR"/>
              </w:rPr>
              <w:t>698</w:t>
            </w:r>
            <w:r>
              <w:rPr>
                <w:szCs w:val="20"/>
                <w:lang w:eastAsia="fr-FR"/>
              </w:rPr>
              <w:t>.</w:t>
            </w:r>
            <w:r w:rsidRPr="00622F40">
              <w:rPr>
                <w:szCs w:val="20"/>
                <w:lang w:eastAsia="fr-FR"/>
              </w:rPr>
              <w:t>3</w:t>
            </w:r>
          </w:p>
        </w:tc>
      </w:tr>
      <w:tr w:rsidR="001D0979" w:rsidRPr="002462F0" w14:paraId="6022EA1F" w14:textId="77777777" w:rsidTr="004D66E9">
        <w:trPr>
          <w:trHeight w:val="255"/>
        </w:trPr>
        <w:tc>
          <w:tcPr>
            <w:tcW w:w="1132" w:type="dxa"/>
            <w:noWrap/>
            <w:hideMark/>
          </w:tcPr>
          <w:p w14:paraId="31861A83" w14:textId="77777777" w:rsidR="001D0979" w:rsidRPr="006E35FA" w:rsidRDefault="001D0979" w:rsidP="001D0979">
            <w:pPr>
              <w:autoSpaceDE w:val="0"/>
              <w:autoSpaceDN w:val="0"/>
              <w:adjustRightInd w:val="0"/>
              <w:jc w:val="center"/>
              <w:rPr>
                <w:b/>
                <w:bCs/>
                <w:szCs w:val="20"/>
                <w:lang w:eastAsia="fr-FR"/>
              </w:rPr>
            </w:pPr>
            <w:r w:rsidRPr="006E35FA">
              <w:rPr>
                <w:b/>
                <w:bCs/>
                <w:szCs w:val="20"/>
                <w:lang w:eastAsia="fr-FR"/>
              </w:rPr>
              <w:t>1963</w:t>
            </w:r>
          </w:p>
        </w:tc>
        <w:tc>
          <w:tcPr>
            <w:tcW w:w="1132" w:type="dxa"/>
            <w:noWrap/>
            <w:hideMark/>
          </w:tcPr>
          <w:p w14:paraId="00B3D95A" w14:textId="76AFFB0B" w:rsidR="001D0979" w:rsidRPr="002462F0" w:rsidRDefault="001D0979" w:rsidP="001D0979">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644</w:t>
            </w:r>
            <w:r w:rsidR="00A90E1C">
              <w:rPr>
                <w:szCs w:val="20"/>
                <w:lang w:eastAsia="fr-FR"/>
              </w:rPr>
              <w:t>.</w:t>
            </w:r>
            <w:r w:rsidRPr="002462F0">
              <w:rPr>
                <w:szCs w:val="20"/>
                <w:lang w:eastAsia="fr-FR"/>
              </w:rPr>
              <w:t>7</w:t>
            </w:r>
          </w:p>
        </w:tc>
        <w:tc>
          <w:tcPr>
            <w:tcW w:w="1133" w:type="dxa"/>
            <w:noWrap/>
            <w:hideMark/>
          </w:tcPr>
          <w:p w14:paraId="0EA6094C" w14:textId="77777777" w:rsidR="001D0979" w:rsidRPr="006E35FA" w:rsidRDefault="001D0979" w:rsidP="001D0979">
            <w:pPr>
              <w:autoSpaceDE w:val="0"/>
              <w:autoSpaceDN w:val="0"/>
              <w:adjustRightInd w:val="0"/>
              <w:jc w:val="center"/>
              <w:rPr>
                <w:b/>
                <w:bCs/>
                <w:szCs w:val="20"/>
                <w:lang w:eastAsia="fr-FR"/>
              </w:rPr>
            </w:pPr>
            <w:r w:rsidRPr="006E35FA">
              <w:rPr>
                <w:b/>
                <w:bCs/>
                <w:szCs w:val="20"/>
                <w:lang w:eastAsia="fr-FR"/>
              </w:rPr>
              <w:t>1983</w:t>
            </w:r>
          </w:p>
        </w:tc>
        <w:tc>
          <w:tcPr>
            <w:tcW w:w="1133" w:type="dxa"/>
            <w:noWrap/>
            <w:hideMark/>
          </w:tcPr>
          <w:p w14:paraId="12BF538C" w14:textId="583ECDEE" w:rsidR="001D0979" w:rsidRPr="002462F0" w:rsidRDefault="001D0979" w:rsidP="001D0979">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981</w:t>
            </w:r>
            <w:r w:rsidR="00A90E1C">
              <w:rPr>
                <w:szCs w:val="20"/>
                <w:lang w:eastAsia="fr-FR"/>
              </w:rPr>
              <w:t>.</w:t>
            </w:r>
            <w:r w:rsidRPr="002462F0">
              <w:rPr>
                <w:szCs w:val="20"/>
                <w:lang w:eastAsia="fr-FR"/>
              </w:rPr>
              <w:t>6</w:t>
            </w:r>
          </w:p>
        </w:tc>
        <w:tc>
          <w:tcPr>
            <w:tcW w:w="1133" w:type="dxa"/>
            <w:noWrap/>
            <w:hideMark/>
          </w:tcPr>
          <w:p w14:paraId="50F4E3E8" w14:textId="77777777" w:rsidR="001D0979" w:rsidRPr="006E35FA" w:rsidRDefault="001D0979" w:rsidP="001D0979">
            <w:pPr>
              <w:autoSpaceDE w:val="0"/>
              <w:autoSpaceDN w:val="0"/>
              <w:adjustRightInd w:val="0"/>
              <w:jc w:val="center"/>
              <w:rPr>
                <w:b/>
                <w:bCs/>
                <w:szCs w:val="20"/>
                <w:lang w:eastAsia="fr-FR"/>
              </w:rPr>
            </w:pPr>
            <w:r w:rsidRPr="006E35FA">
              <w:rPr>
                <w:b/>
                <w:bCs/>
                <w:szCs w:val="20"/>
                <w:lang w:eastAsia="fr-FR"/>
              </w:rPr>
              <w:t>2003</w:t>
            </w:r>
          </w:p>
        </w:tc>
        <w:tc>
          <w:tcPr>
            <w:tcW w:w="1133" w:type="dxa"/>
            <w:tcBorders>
              <w:right w:val="single" w:sz="4" w:space="0" w:color="auto"/>
            </w:tcBorders>
            <w:noWrap/>
            <w:hideMark/>
          </w:tcPr>
          <w:p w14:paraId="5DD82CC2" w14:textId="7C6F03E4" w:rsidR="001D0979" w:rsidRPr="002462F0" w:rsidRDefault="001D0979" w:rsidP="001D0979">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570</w:t>
            </w:r>
            <w:r w:rsidR="00A90E1C">
              <w:rPr>
                <w:szCs w:val="20"/>
                <w:lang w:eastAsia="fr-FR"/>
              </w:rPr>
              <w:t>.</w:t>
            </w:r>
            <w:r w:rsidRPr="002462F0">
              <w:rPr>
                <w:szCs w:val="20"/>
                <w:lang w:eastAsia="fr-FR"/>
              </w:rPr>
              <w:t>8</w:t>
            </w:r>
          </w:p>
        </w:tc>
        <w:tc>
          <w:tcPr>
            <w:tcW w:w="1133" w:type="dxa"/>
            <w:tcBorders>
              <w:top w:val="single" w:sz="4" w:space="0" w:color="auto"/>
              <w:left w:val="single" w:sz="4" w:space="0" w:color="auto"/>
              <w:bottom w:val="nil"/>
              <w:right w:val="nil"/>
            </w:tcBorders>
            <w:noWrap/>
            <w:hideMark/>
          </w:tcPr>
          <w:p w14:paraId="4939FF2B" w14:textId="77777777" w:rsidR="001D0979" w:rsidRPr="002462F0" w:rsidRDefault="001D0979" w:rsidP="001D0979">
            <w:pPr>
              <w:autoSpaceDE w:val="0"/>
              <w:autoSpaceDN w:val="0"/>
              <w:adjustRightInd w:val="0"/>
              <w:jc w:val="center"/>
              <w:rPr>
                <w:szCs w:val="20"/>
                <w:lang w:eastAsia="fr-FR"/>
              </w:rPr>
            </w:pPr>
          </w:p>
        </w:tc>
        <w:tc>
          <w:tcPr>
            <w:tcW w:w="1133" w:type="dxa"/>
            <w:tcBorders>
              <w:top w:val="single" w:sz="4" w:space="0" w:color="auto"/>
              <w:left w:val="nil"/>
              <w:bottom w:val="nil"/>
              <w:right w:val="nil"/>
            </w:tcBorders>
            <w:noWrap/>
            <w:vAlign w:val="center"/>
          </w:tcPr>
          <w:p w14:paraId="50FEF5A7" w14:textId="6B6C258D" w:rsidR="001D0979" w:rsidRPr="002462F0" w:rsidRDefault="001D0979" w:rsidP="001D0979">
            <w:pPr>
              <w:autoSpaceDE w:val="0"/>
              <w:autoSpaceDN w:val="0"/>
              <w:adjustRightInd w:val="0"/>
              <w:jc w:val="center"/>
              <w:rPr>
                <w:szCs w:val="20"/>
                <w:lang w:eastAsia="fr-FR"/>
              </w:rPr>
            </w:pPr>
          </w:p>
        </w:tc>
      </w:tr>
      <w:tr w:rsidR="001D0979" w:rsidRPr="002462F0" w14:paraId="34E15BB2" w14:textId="77777777" w:rsidTr="004D66E9">
        <w:trPr>
          <w:trHeight w:val="255"/>
        </w:trPr>
        <w:tc>
          <w:tcPr>
            <w:tcW w:w="1132" w:type="dxa"/>
            <w:noWrap/>
            <w:hideMark/>
          </w:tcPr>
          <w:p w14:paraId="367C9B07" w14:textId="77777777" w:rsidR="001D0979" w:rsidRPr="006E35FA" w:rsidRDefault="001D0979" w:rsidP="001D0979">
            <w:pPr>
              <w:autoSpaceDE w:val="0"/>
              <w:autoSpaceDN w:val="0"/>
              <w:adjustRightInd w:val="0"/>
              <w:jc w:val="center"/>
              <w:rPr>
                <w:b/>
                <w:bCs/>
                <w:szCs w:val="20"/>
                <w:lang w:eastAsia="fr-FR"/>
              </w:rPr>
            </w:pPr>
            <w:r w:rsidRPr="006E35FA">
              <w:rPr>
                <w:b/>
                <w:bCs/>
                <w:szCs w:val="20"/>
                <w:lang w:eastAsia="fr-FR"/>
              </w:rPr>
              <w:t>1964</w:t>
            </w:r>
          </w:p>
        </w:tc>
        <w:tc>
          <w:tcPr>
            <w:tcW w:w="1132" w:type="dxa"/>
            <w:noWrap/>
            <w:hideMark/>
          </w:tcPr>
          <w:p w14:paraId="6554275E" w14:textId="49F53943" w:rsidR="001D0979" w:rsidRPr="002462F0" w:rsidRDefault="001D0979" w:rsidP="001D0979">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660</w:t>
            </w:r>
            <w:r w:rsidR="00A90E1C">
              <w:rPr>
                <w:szCs w:val="20"/>
                <w:lang w:eastAsia="fr-FR"/>
              </w:rPr>
              <w:t>.</w:t>
            </w:r>
            <w:r w:rsidRPr="002462F0">
              <w:rPr>
                <w:szCs w:val="20"/>
                <w:lang w:eastAsia="fr-FR"/>
              </w:rPr>
              <w:t>9</w:t>
            </w:r>
          </w:p>
        </w:tc>
        <w:tc>
          <w:tcPr>
            <w:tcW w:w="1133" w:type="dxa"/>
            <w:noWrap/>
            <w:hideMark/>
          </w:tcPr>
          <w:p w14:paraId="68773A75" w14:textId="77777777" w:rsidR="001D0979" w:rsidRPr="006E35FA" w:rsidRDefault="001D0979" w:rsidP="001D0979">
            <w:pPr>
              <w:autoSpaceDE w:val="0"/>
              <w:autoSpaceDN w:val="0"/>
              <w:adjustRightInd w:val="0"/>
              <w:jc w:val="center"/>
              <w:rPr>
                <w:b/>
                <w:bCs/>
                <w:szCs w:val="20"/>
                <w:lang w:eastAsia="fr-FR"/>
              </w:rPr>
            </w:pPr>
            <w:r w:rsidRPr="006E35FA">
              <w:rPr>
                <w:b/>
                <w:bCs/>
                <w:szCs w:val="20"/>
                <w:lang w:eastAsia="fr-FR"/>
              </w:rPr>
              <w:t>1984</w:t>
            </w:r>
          </w:p>
        </w:tc>
        <w:tc>
          <w:tcPr>
            <w:tcW w:w="1133" w:type="dxa"/>
            <w:noWrap/>
            <w:hideMark/>
          </w:tcPr>
          <w:p w14:paraId="410A7744" w14:textId="5FA2ADDC" w:rsidR="001D0979" w:rsidRPr="002462F0" w:rsidRDefault="001D0979" w:rsidP="001D0979">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992</w:t>
            </w:r>
            <w:r w:rsidR="00A90E1C">
              <w:rPr>
                <w:szCs w:val="20"/>
                <w:lang w:eastAsia="fr-FR"/>
              </w:rPr>
              <w:t>.</w:t>
            </w:r>
            <w:r w:rsidRPr="002462F0">
              <w:rPr>
                <w:szCs w:val="20"/>
                <w:lang w:eastAsia="fr-FR"/>
              </w:rPr>
              <w:t>7</w:t>
            </w:r>
          </w:p>
        </w:tc>
        <w:tc>
          <w:tcPr>
            <w:tcW w:w="1133" w:type="dxa"/>
            <w:noWrap/>
            <w:hideMark/>
          </w:tcPr>
          <w:p w14:paraId="498E4099" w14:textId="77777777" w:rsidR="001D0979" w:rsidRPr="006E35FA" w:rsidRDefault="001D0979" w:rsidP="001D0979">
            <w:pPr>
              <w:autoSpaceDE w:val="0"/>
              <w:autoSpaceDN w:val="0"/>
              <w:adjustRightInd w:val="0"/>
              <w:jc w:val="center"/>
              <w:rPr>
                <w:b/>
                <w:bCs/>
                <w:szCs w:val="20"/>
                <w:lang w:eastAsia="fr-FR"/>
              </w:rPr>
            </w:pPr>
            <w:r w:rsidRPr="006E35FA">
              <w:rPr>
                <w:b/>
                <w:bCs/>
                <w:szCs w:val="20"/>
                <w:lang w:eastAsia="fr-FR"/>
              </w:rPr>
              <w:t>2004</w:t>
            </w:r>
          </w:p>
        </w:tc>
        <w:tc>
          <w:tcPr>
            <w:tcW w:w="1133" w:type="dxa"/>
            <w:tcBorders>
              <w:right w:val="single" w:sz="4" w:space="0" w:color="auto"/>
            </w:tcBorders>
            <w:noWrap/>
            <w:hideMark/>
          </w:tcPr>
          <w:p w14:paraId="7150FFB3" w14:textId="7EF4A7AF" w:rsidR="001D0979" w:rsidRPr="002462F0" w:rsidRDefault="001D0979" w:rsidP="001D0979">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567</w:t>
            </w:r>
            <w:r w:rsidR="00A90E1C">
              <w:rPr>
                <w:szCs w:val="20"/>
                <w:lang w:eastAsia="fr-FR"/>
              </w:rPr>
              <w:t>.</w:t>
            </w:r>
            <w:r w:rsidRPr="002462F0">
              <w:rPr>
                <w:szCs w:val="20"/>
                <w:lang w:eastAsia="fr-FR"/>
              </w:rPr>
              <w:t>2</w:t>
            </w:r>
          </w:p>
        </w:tc>
        <w:tc>
          <w:tcPr>
            <w:tcW w:w="1133" w:type="dxa"/>
            <w:tcBorders>
              <w:top w:val="nil"/>
              <w:left w:val="single" w:sz="4" w:space="0" w:color="auto"/>
              <w:bottom w:val="nil"/>
              <w:right w:val="nil"/>
            </w:tcBorders>
            <w:noWrap/>
            <w:hideMark/>
          </w:tcPr>
          <w:p w14:paraId="4B6E793A" w14:textId="77777777" w:rsidR="001D0979" w:rsidRPr="002462F0" w:rsidRDefault="001D0979" w:rsidP="001D0979">
            <w:pPr>
              <w:autoSpaceDE w:val="0"/>
              <w:autoSpaceDN w:val="0"/>
              <w:adjustRightInd w:val="0"/>
              <w:jc w:val="center"/>
              <w:rPr>
                <w:szCs w:val="20"/>
                <w:lang w:eastAsia="fr-FR"/>
              </w:rPr>
            </w:pPr>
          </w:p>
        </w:tc>
        <w:tc>
          <w:tcPr>
            <w:tcW w:w="1133" w:type="dxa"/>
            <w:tcBorders>
              <w:top w:val="nil"/>
              <w:left w:val="nil"/>
              <w:bottom w:val="nil"/>
              <w:right w:val="nil"/>
            </w:tcBorders>
            <w:noWrap/>
            <w:vAlign w:val="center"/>
          </w:tcPr>
          <w:p w14:paraId="682D8201" w14:textId="2EE97820" w:rsidR="001D0979" w:rsidRPr="002462F0" w:rsidRDefault="001D0979" w:rsidP="001D0979">
            <w:pPr>
              <w:autoSpaceDE w:val="0"/>
              <w:autoSpaceDN w:val="0"/>
              <w:adjustRightInd w:val="0"/>
              <w:jc w:val="center"/>
              <w:rPr>
                <w:szCs w:val="20"/>
                <w:lang w:eastAsia="fr-FR"/>
              </w:rPr>
            </w:pPr>
          </w:p>
        </w:tc>
      </w:tr>
      <w:tr w:rsidR="001D0979" w:rsidRPr="002462F0" w14:paraId="1FF13730" w14:textId="77777777" w:rsidTr="004D66E9">
        <w:trPr>
          <w:trHeight w:val="255"/>
        </w:trPr>
        <w:tc>
          <w:tcPr>
            <w:tcW w:w="1132" w:type="dxa"/>
            <w:noWrap/>
            <w:hideMark/>
          </w:tcPr>
          <w:p w14:paraId="448794C1" w14:textId="77777777" w:rsidR="001D0979" w:rsidRPr="006E35FA" w:rsidRDefault="001D0979" w:rsidP="001D0979">
            <w:pPr>
              <w:autoSpaceDE w:val="0"/>
              <w:autoSpaceDN w:val="0"/>
              <w:adjustRightInd w:val="0"/>
              <w:jc w:val="center"/>
              <w:rPr>
                <w:b/>
                <w:bCs/>
                <w:szCs w:val="20"/>
                <w:lang w:eastAsia="fr-FR"/>
              </w:rPr>
            </w:pPr>
            <w:r w:rsidRPr="006E35FA">
              <w:rPr>
                <w:b/>
                <w:bCs/>
                <w:szCs w:val="20"/>
                <w:lang w:eastAsia="fr-FR"/>
              </w:rPr>
              <w:t>1965</w:t>
            </w:r>
          </w:p>
        </w:tc>
        <w:tc>
          <w:tcPr>
            <w:tcW w:w="1132" w:type="dxa"/>
            <w:noWrap/>
            <w:hideMark/>
          </w:tcPr>
          <w:p w14:paraId="206288D5" w14:textId="0AD1F1D1" w:rsidR="001D0979" w:rsidRPr="002462F0" w:rsidRDefault="001D0979" w:rsidP="001D0979">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678</w:t>
            </w:r>
            <w:r w:rsidR="00A90E1C">
              <w:rPr>
                <w:szCs w:val="20"/>
                <w:lang w:eastAsia="fr-FR"/>
              </w:rPr>
              <w:t>.</w:t>
            </w:r>
            <w:r w:rsidRPr="002462F0">
              <w:rPr>
                <w:szCs w:val="20"/>
                <w:lang w:eastAsia="fr-FR"/>
              </w:rPr>
              <w:t>7</w:t>
            </w:r>
          </w:p>
        </w:tc>
        <w:tc>
          <w:tcPr>
            <w:tcW w:w="1133" w:type="dxa"/>
            <w:noWrap/>
            <w:hideMark/>
          </w:tcPr>
          <w:p w14:paraId="7F280940" w14:textId="77777777" w:rsidR="001D0979" w:rsidRPr="006E35FA" w:rsidRDefault="001D0979" w:rsidP="001D0979">
            <w:pPr>
              <w:autoSpaceDE w:val="0"/>
              <w:autoSpaceDN w:val="0"/>
              <w:adjustRightInd w:val="0"/>
              <w:jc w:val="center"/>
              <w:rPr>
                <w:b/>
                <w:bCs/>
                <w:szCs w:val="20"/>
                <w:lang w:eastAsia="fr-FR"/>
              </w:rPr>
            </w:pPr>
            <w:r w:rsidRPr="006E35FA">
              <w:rPr>
                <w:b/>
                <w:bCs/>
                <w:szCs w:val="20"/>
                <w:lang w:eastAsia="fr-FR"/>
              </w:rPr>
              <w:t>1985</w:t>
            </w:r>
          </w:p>
        </w:tc>
        <w:tc>
          <w:tcPr>
            <w:tcW w:w="1133" w:type="dxa"/>
            <w:noWrap/>
            <w:hideMark/>
          </w:tcPr>
          <w:p w14:paraId="3DF7CD18" w14:textId="3336A18A" w:rsidR="001D0979" w:rsidRPr="002462F0" w:rsidRDefault="001D0979" w:rsidP="001D0979">
            <w:pPr>
              <w:autoSpaceDE w:val="0"/>
              <w:autoSpaceDN w:val="0"/>
              <w:adjustRightInd w:val="0"/>
              <w:jc w:val="center"/>
              <w:rPr>
                <w:szCs w:val="20"/>
                <w:lang w:eastAsia="fr-FR"/>
              </w:rPr>
            </w:pPr>
            <w:r w:rsidRPr="002462F0">
              <w:rPr>
                <w:szCs w:val="20"/>
                <w:lang w:eastAsia="fr-FR"/>
              </w:rPr>
              <w:t>2</w:t>
            </w:r>
            <w:r w:rsidR="00326E57">
              <w:rPr>
                <w:szCs w:val="20"/>
                <w:lang w:eastAsia="fr-FR"/>
              </w:rPr>
              <w:t>,</w:t>
            </w:r>
            <w:r w:rsidRPr="002462F0">
              <w:rPr>
                <w:szCs w:val="20"/>
                <w:lang w:eastAsia="fr-FR"/>
              </w:rPr>
              <w:t>003</w:t>
            </w:r>
            <w:r w:rsidR="00A90E1C">
              <w:rPr>
                <w:szCs w:val="20"/>
                <w:lang w:eastAsia="fr-FR"/>
              </w:rPr>
              <w:t>.</w:t>
            </w:r>
            <w:r w:rsidRPr="002462F0">
              <w:rPr>
                <w:szCs w:val="20"/>
                <w:lang w:eastAsia="fr-FR"/>
              </w:rPr>
              <w:t>2</w:t>
            </w:r>
          </w:p>
        </w:tc>
        <w:tc>
          <w:tcPr>
            <w:tcW w:w="1133" w:type="dxa"/>
            <w:noWrap/>
            <w:hideMark/>
          </w:tcPr>
          <w:p w14:paraId="6683DA79" w14:textId="77777777" w:rsidR="001D0979" w:rsidRPr="006E35FA" w:rsidRDefault="001D0979" w:rsidP="001D0979">
            <w:pPr>
              <w:autoSpaceDE w:val="0"/>
              <w:autoSpaceDN w:val="0"/>
              <w:adjustRightInd w:val="0"/>
              <w:jc w:val="center"/>
              <w:rPr>
                <w:b/>
                <w:bCs/>
                <w:szCs w:val="20"/>
                <w:lang w:eastAsia="fr-FR"/>
              </w:rPr>
            </w:pPr>
            <w:r w:rsidRPr="006E35FA">
              <w:rPr>
                <w:b/>
                <w:bCs/>
                <w:szCs w:val="20"/>
                <w:lang w:eastAsia="fr-FR"/>
              </w:rPr>
              <w:t>2005</w:t>
            </w:r>
          </w:p>
        </w:tc>
        <w:tc>
          <w:tcPr>
            <w:tcW w:w="1133" w:type="dxa"/>
            <w:tcBorders>
              <w:right w:val="single" w:sz="4" w:space="0" w:color="auto"/>
            </w:tcBorders>
            <w:noWrap/>
            <w:hideMark/>
          </w:tcPr>
          <w:p w14:paraId="6B613C1B" w14:textId="51DFF0F7" w:rsidR="001D0979" w:rsidRPr="002462F0" w:rsidRDefault="001D0979" w:rsidP="001D0979">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562</w:t>
            </w:r>
            <w:r w:rsidR="00A90E1C">
              <w:rPr>
                <w:szCs w:val="20"/>
                <w:lang w:eastAsia="fr-FR"/>
              </w:rPr>
              <w:t>.</w:t>
            </w:r>
            <w:r w:rsidRPr="002462F0">
              <w:rPr>
                <w:szCs w:val="20"/>
                <w:lang w:eastAsia="fr-FR"/>
              </w:rPr>
              <w:t>4</w:t>
            </w:r>
          </w:p>
        </w:tc>
        <w:tc>
          <w:tcPr>
            <w:tcW w:w="1133" w:type="dxa"/>
            <w:tcBorders>
              <w:top w:val="nil"/>
              <w:left w:val="single" w:sz="4" w:space="0" w:color="auto"/>
              <w:bottom w:val="nil"/>
              <w:right w:val="nil"/>
            </w:tcBorders>
            <w:noWrap/>
            <w:hideMark/>
          </w:tcPr>
          <w:p w14:paraId="0C4BC415" w14:textId="77777777" w:rsidR="001D0979" w:rsidRPr="002462F0" w:rsidRDefault="001D0979" w:rsidP="001D0979">
            <w:pPr>
              <w:autoSpaceDE w:val="0"/>
              <w:autoSpaceDN w:val="0"/>
              <w:adjustRightInd w:val="0"/>
              <w:jc w:val="center"/>
              <w:rPr>
                <w:szCs w:val="20"/>
                <w:lang w:eastAsia="fr-FR"/>
              </w:rPr>
            </w:pPr>
          </w:p>
        </w:tc>
        <w:tc>
          <w:tcPr>
            <w:tcW w:w="1133" w:type="dxa"/>
            <w:tcBorders>
              <w:top w:val="nil"/>
              <w:left w:val="nil"/>
              <w:bottom w:val="nil"/>
              <w:right w:val="nil"/>
            </w:tcBorders>
            <w:noWrap/>
            <w:vAlign w:val="center"/>
          </w:tcPr>
          <w:p w14:paraId="51AE1F3D" w14:textId="4DB23EAA" w:rsidR="001D0979" w:rsidRPr="002462F0" w:rsidRDefault="001D0979" w:rsidP="001D0979">
            <w:pPr>
              <w:autoSpaceDE w:val="0"/>
              <w:autoSpaceDN w:val="0"/>
              <w:adjustRightInd w:val="0"/>
              <w:jc w:val="center"/>
              <w:rPr>
                <w:szCs w:val="20"/>
                <w:lang w:eastAsia="fr-FR"/>
              </w:rPr>
            </w:pPr>
          </w:p>
        </w:tc>
      </w:tr>
      <w:tr w:rsidR="001D0979" w:rsidRPr="002462F0" w14:paraId="1F1EB8AC" w14:textId="77777777" w:rsidTr="004D66E9">
        <w:trPr>
          <w:trHeight w:val="255"/>
        </w:trPr>
        <w:tc>
          <w:tcPr>
            <w:tcW w:w="1132" w:type="dxa"/>
            <w:noWrap/>
            <w:hideMark/>
          </w:tcPr>
          <w:p w14:paraId="03DEDF9E" w14:textId="77777777" w:rsidR="001D0979" w:rsidRPr="006E35FA" w:rsidRDefault="001D0979" w:rsidP="001D0979">
            <w:pPr>
              <w:autoSpaceDE w:val="0"/>
              <w:autoSpaceDN w:val="0"/>
              <w:adjustRightInd w:val="0"/>
              <w:jc w:val="center"/>
              <w:rPr>
                <w:b/>
                <w:bCs/>
                <w:szCs w:val="20"/>
                <w:lang w:eastAsia="fr-FR"/>
              </w:rPr>
            </w:pPr>
            <w:r w:rsidRPr="006E35FA">
              <w:rPr>
                <w:b/>
                <w:bCs/>
                <w:szCs w:val="20"/>
                <w:lang w:eastAsia="fr-FR"/>
              </w:rPr>
              <w:t>1966</w:t>
            </w:r>
          </w:p>
        </w:tc>
        <w:tc>
          <w:tcPr>
            <w:tcW w:w="1132" w:type="dxa"/>
            <w:noWrap/>
            <w:hideMark/>
          </w:tcPr>
          <w:p w14:paraId="18356633" w14:textId="172C18A9" w:rsidR="001D0979" w:rsidRPr="002462F0" w:rsidRDefault="001D0979" w:rsidP="001D0979">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696</w:t>
            </w:r>
            <w:r w:rsidR="00A90E1C">
              <w:rPr>
                <w:szCs w:val="20"/>
                <w:lang w:eastAsia="fr-FR"/>
              </w:rPr>
              <w:t>.</w:t>
            </w:r>
            <w:r w:rsidRPr="002462F0">
              <w:rPr>
                <w:szCs w:val="20"/>
                <w:lang w:eastAsia="fr-FR"/>
              </w:rPr>
              <w:t>8</w:t>
            </w:r>
          </w:p>
        </w:tc>
        <w:tc>
          <w:tcPr>
            <w:tcW w:w="1133" w:type="dxa"/>
            <w:noWrap/>
            <w:hideMark/>
          </w:tcPr>
          <w:p w14:paraId="539E7609" w14:textId="77777777" w:rsidR="001D0979" w:rsidRPr="006E35FA" w:rsidRDefault="001D0979" w:rsidP="001D0979">
            <w:pPr>
              <w:autoSpaceDE w:val="0"/>
              <w:autoSpaceDN w:val="0"/>
              <w:adjustRightInd w:val="0"/>
              <w:jc w:val="center"/>
              <w:rPr>
                <w:b/>
                <w:bCs/>
                <w:szCs w:val="20"/>
                <w:lang w:eastAsia="fr-FR"/>
              </w:rPr>
            </w:pPr>
            <w:r w:rsidRPr="006E35FA">
              <w:rPr>
                <w:b/>
                <w:bCs/>
                <w:szCs w:val="20"/>
                <w:lang w:eastAsia="fr-FR"/>
              </w:rPr>
              <w:t>1986</w:t>
            </w:r>
          </w:p>
        </w:tc>
        <w:tc>
          <w:tcPr>
            <w:tcW w:w="1133" w:type="dxa"/>
            <w:noWrap/>
            <w:hideMark/>
          </w:tcPr>
          <w:p w14:paraId="01232A5D" w14:textId="11BAD893" w:rsidR="001D0979" w:rsidRPr="002462F0" w:rsidRDefault="001D0979" w:rsidP="001D0979">
            <w:pPr>
              <w:autoSpaceDE w:val="0"/>
              <w:autoSpaceDN w:val="0"/>
              <w:adjustRightInd w:val="0"/>
              <w:jc w:val="center"/>
              <w:rPr>
                <w:szCs w:val="20"/>
                <w:lang w:eastAsia="fr-FR"/>
              </w:rPr>
            </w:pPr>
            <w:r w:rsidRPr="002462F0">
              <w:rPr>
                <w:szCs w:val="20"/>
                <w:lang w:eastAsia="fr-FR"/>
              </w:rPr>
              <w:t>2</w:t>
            </w:r>
            <w:r w:rsidR="00326E57">
              <w:rPr>
                <w:szCs w:val="20"/>
                <w:lang w:eastAsia="fr-FR"/>
              </w:rPr>
              <w:t>,</w:t>
            </w:r>
            <w:r w:rsidRPr="002462F0">
              <w:rPr>
                <w:szCs w:val="20"/>
                <w:lang w:eastAsia="fr-FR"/>
              </w:rPr>
              <w:t>013</w:t>
            </w:r>
            <w:r w:rsidR="00A90E1C">
              <w:rPr>
                <w:szCs w:val="20"/>
                <w:lang w:eastAsia="fr-FR"/>
              </w:rPr>
              <w:t>.</w:t>
            </w:r>
            <w:r w:rsidRPr="002462F0">
              <w:rPr>
                <w:szCs w:val="20"/>
                <w:lang w:eastAsia="fr-FR"/>
              </w:rPr>
              <w:t>5</w:t>
            </w:r>
          </w:p>
        </w:tc>
        <w:tc>
          <w:tcPr>
            <w:tcW w:w="1133" w:type="dxa"/>
            <w:noWrap/>
            <w:hideMark/>
          </w:tcPr>
          <w:p w14:paraId="3D1CE543" w14:textId="77777777" w:rsidR="001D0979" w:rsidRPr="006E35FA" w:rsidRDefault="001D0979" w:rsidP="001D0979">
            <w:pPr>
              <w:autoSpaceDE w:val="0"/>
              <w:autoSpaceDN w:val="0"/>
              <w:adjustRightInd w:val="0"/>
              <w:jc w:val="center"/>
              <w:rPr>
                <w:b/>
                <w:bCs/>
                <w:szCs w:val="20"/>
                <w:lang w:eastAsia="fr-FR"/>
              </w:rPr>
            </w:pPr>
            <w:r w:rsidRPr="006E35FA">
              <w:rPr>
                <w:b/>
                <w:bCs/>
                <w:szCs w:val="20"/>
                <w:lang w:eastAsia="fr-FR"/>
              </w:rPr>
              <w:t>2006</w:t>
            </w:r>
          </w:p>
        </w:tc>
        <w:tc>
          <w:tcPr>
            <w:tcW w:w="1133" w:type="dxa"/>
            <w:tcBorders>
              <w:right w:val="single" w:sz="4" w:space="0" w:color="auto"/>
            </w:tcBorders>
            <w:noWrap/>
            <w:hideMark/>
          </w:tcPr>
          <w:p w14:paraId="18940D04" w14:textId="48133653" w:rsidR="001D0979" w:rsidRPr="002462F0" w:rsidRDefault="001D0979" w:rsidP="001D0979">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556</w:t>
            </w:r>
            <w:r w:rsidR="00A90E1C">
              <w:rPr>
                <w:szCs w:val="20"/>
                <w:lang w:eastAsia="fr-FR"/>
              </w:rPr>
              <w:t>.</w:t>
            </w:r>
            <w:r w:rsidRPr="002462F0">
              <w:rPr>
                <w:szCs w:val="20"/>
                <w:lang w:eastAsia="fr-FR"/>
              </w:rPr>
              <w:t>3</w:t>
            </w:r>
          </w:p>
        </w:tc>
        <w:tc>
          <w:tcPr>
            <w:tcW w:w="1133" w:type="dxa"/>
            <w:tcBorders>
              <w:top w:val="nil"/>
              <w:left w:val="single" w:sz="4" w:space="0" w:color="auto"/>
              <w:bottom w:val="nil"/>
              <w:right w:val="nil"/>
            </w:tcBorders>
            <w:noWrap/>
            <w:hideMark/>
          </w:tcPr>
          <w:p w14:paraId="02C410F3" w14:textId="77777777" w:rsidR="001D0979" w:rsidRPr="002462F0" w:rsidRDefault="001D0979" w:rsidP="001D0979">
            <w:pPr>
              <w:autoSpaceDE w:val="0"/>
              <w:autoSpaceDN w:val="0"/>
              <w:adjustRightInd w:val="0"/>
              <w:jc w:val="center"/>
              <w:rPr>
                <w:szCs w:val="20"/>
                <w:lang w:eastAsia="fr-FR"/>
              </w:rPr>
            </w:pPr>
          </w:p>
        </w:tc>
        <w:tc>
          <w:tcPr>
            <w:tcW w:w="1133" w:type="dxa"/>
            <w:tcBorders>
              <w:top w:val="nil"/>
              <w:left w:val="nil"/>
              <w:bottom w:val="nil"/>
              <w:right w:val="nil"/>
            </w:tcBorders>
            <w:noWrap/>
            <w:vAlign w:val="center"/>
          </w:tcPr>
          <w:p w14:paraId="36CADA1F" w14:textId="4A1ACDD5" w:rsidR="001D0979" w:rsidRPr="002462F0" w:rsidRDefault="001D0979" w:rsidP="001D0979">
            <w:pPr>
              <w:autoSpaceDE w:val="0"/>
              <w:autoSpaceDN w:val="0"/>
              <w:adjustRightInd w:val="0"/>
              <w:jc w:val="center"/>
              <w:rPr>
                <w:szCs w:val="20"/>
                <w:lang w:eastAsia="fr-FR"/>
              </w:rPr>
            </w:pPr>
          </w:p>
        </w:tc>
      </w:tr>
      <w:tr w:rsidR="007B2433" w:rsidRPr="002462F0" w14:paraId="2B143E7A" w14:textId="77777777" w:rsidTr="004D66E9">
        <w:trPr>
          <w:trHeight w:val="255"/>
        </w:trPr>
        <w:tc>
          <w:tcPr>
            <w:tcW w:w="1132" w:type="dxa"/>
            <w:noWrap/>
            <w:hideMark/>
          </w:tcPr>
          <w:p w14:paraId="789F6E0E"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1967</w:t>
            </w:r>
          </w:p>
        </w:tc>
        <w:tc>
          <w:tcPr>
            <w:tcW w:w="1132" w:type="dxa"/>
            <w:noWrap/>
            <w:hideMark/>
          </w:tcPr>
          <w:p w14:paraId="174E0B8B" w14:textId="2417ED77"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712</w:t>
            </w:r>
            <w:r w:rsidR="00A90E1C">
              <w:rPr>
                <w:szCs w:val="20"/>
                <w:lang w:eastAsia="fr-FR"/>
              </w:rPr>
              <w:t>.</w:t>
            </w:r>
            <w:r w:rsidRPr="002462F0">
              <w:rPr>
                <w:szCs w:val="20"/>
                <w:lang w:eastAsia="fr-FR"/>
              </w:rPr>
              <w:t>8</w:t>
            </w:r>
          </w:p>
        </w:tc>
        <w:tc>
          <w:tcPr>
            <w:tcW w:w="1133" w:type="dxa"/>
            <w:noWrap/>
            <w:hideMark/>
          </w:tcPr>
          <w:p w14:paraId="281DA219"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1987</w:t>
            </w:r>
          </w:p>
        </w:tc>
        <w:tc>
          <w:tcPr>
            <w:tcW w:w="1133" w:type="dxa"/>
            <w:noWrap/>
            <w:hideMark/>
          </w:tcPr>
          <w:p w14:paraId="13E06151" w14:textId="44FDA381" w:rsidR="007B2433" w:rsidRPr="002462F0" w:rsidRDefault="007B2433" w:rsidP="00F540CA">
            <w:pPr>
              <w:autoSpaceDE w:val="0"/>
              <w:autoSpaceDN w:val="0"/>
              <w:adjustRightInd w:val="0"/>
              <w:jc w:val="center"/>
              <w:rPr>
                <w:szCs w:val="20"/>
                <w:lang w:eastAsia="fr-FR"/>
              </w:rPr>
            </w:pPr>
            <w:r w:rsidRPr="002462F0">
              <w:rPr>
                <w:szCs w:val="20"/>
                <w:lang w:eastAsia="fr-FR"/>
              </w:rPr>
              <w:t>2</w:t>
            </w:r>
            <w:r w:rsidR="00326E57">
              <w:rPr>
                <w:szCs w:val="20"/>
                <w:lang w:eastAsia="fr-FR"/>
              </w:rPr>
              <w:t>,</w:t>
            </w:r>
            <w:r w:rsidRPr="002462F0">
              <w:rPr>
                <w:szCs w:val="20"/>
                <w:lang w:eastAsia="fr-FR"/>
              </w:rPr>
              <w:t>022</w:t>
            </w:r>
            <w:r w:rsidR="00A90E1C">
              <w:rPr>
                <w:szCs w:val="20"/>
                <w:lang w:eastAsia="fr-FR"/>
              </w:rPr>
              <w:t>.</w:t>
            </w:r>
            <w:r w:rsidRPr="002462F0">
              <w:rPr>
                <w:szCs w:val="20"/>
                <w:lang w:eastAsia="fr-FR"/>
              </w:rPr>
              <w:t>7</w:t>
            </w:r>
          </w:p>
        </w:tc>
        <w:tc>
          <w:tcPr>
            <w:tcW w:w="1133" w:type="dxa"/>
            <w:noWrap/>
            <w:hideMark/>
          </w:tcPr>
          <w:p w14:paraId="220217CD"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2007</w:t>
            </w:r>
          </w:p>
        </w:tc>
        <w:tc>
          <w:tcPr>
            <w:tcW w:w="1133" w:type="dxa"/>
            <w:tcBorders>
              <w:right w:val="single" w:sz="4" w:space="0" w:color="auto"/>
            </w:tcBorders>
            <w:noWrap/>
            <w:hideMark/>
          </w:tcPr>
          <w:p w14:paraId="4557CFDD" w14:textId="51766B52"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550</w:t>
            </w:r>
            <w:r w:rsidR="00A90E1C">
              <w:rPr>
                <w:szCs w:val="20"/>
                <w:lang w:eastAsia="fr-FR"/>
              </w:rPr>
              <w:t>.</w:t>
            </w:r>
            <w:r w:rsidRPr="002462F0">
              <w:rPr>
                <w:szCs w:val="20"/>
                <w:lang w:eastAsia="fr-FR"/>
              </w:rPr>
              <w:t>0</w:t>
            </w:r>
          </w:p>
        </w:tc>
        <w:tc>
          <w:tcPr>
            <w:tcW w:w="1133" w:type="dxa"/>
            <w:tcBorders>
              <w:top w:val="nil"/>
              <w:left w:val="single" w:sz="4" w:space="0" w:color="auto"/>
              <w:bottom w:val="nil"/>
              <w:right w:val="nil"/>
            </w:tcBorders>
            <w:noWrap/>
            <w:hideMark/>
          </w:tcPr>
          <w:p w14:paraId="54CE3A8F" w14:textId="77777777" w:rsidR="007B2433" w:rsidRPr="002462F0" w:rsidRDefault="007B2433" w:rsidP="00F540CA">
            <w:pPr>
              <w:autoSpaceDE w:val="0"/>
              <w:autoSpaceDN w:val="0"/>
              <w:adjustRightInd w:val="0"/>
              <w:jc w:val="center"/>
              <w:rPr>
                <w:szCs w:val="20"/>
                <w:lang w:eastAsia="fr-FR"/>
              </w:rPr>
            </w:pPr>
          </w:p>
        </w:tc>
        <w:tc>
          <w:tcPr>
            <w:tcW w:w="1133" w:type="dxa"/>
            <w:tcBorders>
              <w:top w:val="nil"/>
              <w:left w:val="nil"/>
              <w:bottom w:val="nil"/>
              <w:right w:val="nil"/>
            </w:tcBorders>
            <w:noWrap/>
            <w:hideMark/>
          </w:tcPr>
          <w:p w14:paraId="06A961A9" w14:textId="77777777" w:rsidR="007B2433" w:rsidRPr="002462F0" w:rsidRDefault="007B2433" w:rsidP="00F540CA">
            <w:pPr>
              <w:autoSpaceDE w:val="0"/>
              <w:autoSpaceDN w:val="0"/>
              <w:adjustRightInd w:val="0"/>
              <w:jc w:val="center"/>
              <w:rPr>
                <w:szCs w:val="20"/>
                <w:lang w:eastAsia="fr-FR"/>
              </w:rPr>
            </w:pPr>
          </w:p>
        </w:tc>
      </w:tr>
      <w:tr w:rsidR="007B2433" w:rsidRPr="002462F0" w14:paraId="28F435B4" w14:textId="77777777" w:rsidTr="004D66E9">
        <w:trPr>
          <w:trHeight w:val="255"/>
        </w:trPr>
        <w:tc>
          <w:tcPr>
            <w:tcW w:w="1132" w:type="dxa"/>
            <w:noWrap/>
            <w:hideMark/>
          </w:tcPr>
          <w:p w14:paraId="42AD9CFF"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1968</w:t>
            </w:r>
          </w:p>
        </w:tc>
        <w:tc>
          <w:tcPr>
            <w:tcW w:w="1132" w:type="dxa"/>
            <w:noWrap/>
            <w:hideMark/>
          </w:tcPr>
          <w:p w14:paraId="196CB1D7" w14:textId="4700125D"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729</w:t>
            </w:r>
            <w:r w:rsidR="00A90E1C">
              <w:rPr>
                <w:szCs w:val="20"/>
                <w:lang w:eastAsia="fr-FR"/>
              </w:rPr>
              <w:t>.</w:t>
            </w:r>
            <w:r w:rsidRPr="002462F0">
              <w:rPr>
                <w:szCs w:val="20"/>
                <w:lang w:eastAsia="fr-FR"/>
              </w:rPr>
              <w:t>4</w:t>
            </w:r>
          </w:p>
        </w:tc>
        <w:tc>
          <w:tcPr>
            <w:tcW w:w="1133" w:type="dxa"/>
            <w:noWrap/>
            <w:hideMark/>
          </w:tcPr>
          <w:p w14:paraId="79EF385A"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1988</w:t>
            </w:r>
          </w:p>
        </w:tc>
        <w:tc>
          <w:tcPr>
            <w:tcW w:w="1133" w:type="dxa"/>
            <w:noWrap/>
            <w:hideMark/>
          </w:tcPr>
          <w:p w14:paraId="6951DE30" w14:textId="68CD5100" w:rsidR="007B2433" w:rsidRPr="002462F0" w:rsidRDefault="007B2433" w:rsidP="00F540CA">
            <w:pPr>
              <w:autoSpaceDE w:val="0"/>
              <w:autoSpaceDN w:val="0"/>
              <w:adjustRightInd w:val="0"/>
              <w:jc w:val="center"/>
              <w:rPr>
                <w:szCs w:val="20"/>
                <w:lang w:eastAsia="fr-FR"/>
              </w:rPr>
            </w:pPr>
            <w:r w:rsidRPr="002462F0">
              <w:rPr>
                <w:szCs w:val="20"/>
                <w:lang w:eastAsia="fr-FR"/>
              </w:rPr>
              <w:t>2</w:t>
            </w:r>
            <w:r w:rsidR="00326E57">
              <w:rPr>
                <w:szCs w:val="20"/>
                <w:lang w:eastAsia="fr-FR"/>
              </w:rPr>
              <w:t>,</w:t>
            </w:r>
            <w:r w:rsidRPr="002462F0">
              <w:rPr>
                <w:szCs w:val="20"/>
                <w:lang w:eastAsia="fr-FR"/>
              </w:rPr>
              <w:t>023</w:t>
            </w:r>
            <w:r w:rsidR="00A90E1C">
              <w:rPr>
                <w:szCs w:val="20"/>
                <w:lang w:eastAsia="fr-FR"/>
              </w:rPr>
              <w:t>.</w:t>
            </w:r>
            <w:r w:rsidRPr="002462F0">
              <w:rPr>
                <w:szCs w:val="20"/>
                <w:lang w:eastAsia="fr-FR"/>
              </w:rPr>
              <w:t>1</w:t>
            </w:r>
          </w:p>
        </w:tc>
        <w:tc>
          <w:tcPr>
            <w:tcW w:w="1133" w:type="dxa"/>
            <w:noWrap/>
            <w:hideMark/>
          </w:tcPr>
          <w:p w14:paraId="04C5BD45"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2008</w:t>
            </w:r>
          </w:p>
        </w:tc>
        <w:tc>
          <w:tcPr>
            <w:tcW w:w="1133" w:type="dxa"/>
            <w:tcBorders>
              <w:right w:val="single" w:sz="4" w:space="0" w:color="auto"/>
            </w:tcBorders>
            <w:noWrap/>
            <w:hideMark/>
          </w:tcPr>
          <w:p w14:paraId="30FAADC6" w14:textId="27A95753"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543</w:t>
            </w:r>
            <w:r w:rsidR="00A90E1C">
              <w:rPr>
                <w:szCs w:val="20"/>
                <w:lang w:eastAsia="fr-FR"/>
              </w:rPr>
              <w:t>.</w:t>
            </w:r>
            <w:r w:rsidRPr="002462F0">
              <w:rPr>
                <w:szCs w:val="20"/>
                <w:lang w:eastAsia="fr-FR"/>
              </w:rPr>
              <w:t>5</w:t>
            </w:r>
          </w:p>
        </w:tc>
        <w:tc>
          <w:tcPr>
            <w:tcW w:w="1133" w:type="dxa"/>
            <w:tcBorders>
              <w:top w:val="nil"/>
              <w:left w:val="single" w:sz="4" w:space="0" w:color="auto"/>
              <w:bottom w:val="nil"/>
              <w:right w:val="nil"/>
            </w:tcBorders>
            <w:noWrap/>
            <w:hideMark/>
          </w:tcPr>
          <w:p w14:paraId="1BE95721" w14:textId="77777777" w:rsidR="007B2433" w:rsidRPr="002462F0" w:rsidRDefault="007B2433" w:rsidP="00F540CA">
            <w:pPr>
              <w:autoSpaceDE w:val="0"/>
              <w:autoSpaceDN w:val="0"/>
              <w:adjustRightInd w:val="0"/>
              <w:jc w:val="center"/>
              <w:rPr>
                <w:szCs w:val="20"/>
                <w:lang w:eastAsia="fr-FR"/>
              </w:rPr>
            </w:pPr>
          </w:p>
        </w:tc>
        <w:tc>
          <w:tcPr>
            <w:tcW w:w="1133" w:type="dxa"/>
            <w:tcBorders>
              <w:top w:val="nil"/>
              <w:left w:val="nil"/>
              <w:bottom w:val="nil"/>
              <w:right w:val="nil"/>
            </w:tcBorders>
            <w:noWrap/>
            <w:hideMark/>
          </w:tcPr>
          <w:p w14:paraId="61C04A6E" w14:textId="77777777" w:rsidR="007B2433" w:rsidRPr="002462F0" w:rsidRDefault="007B2433" w:rsidP="00F540CA">
            <w:pPr>
              <w:autoSpaceDE w:val="0"/>
              <w:autoSpaceDN w:val="0"/>
              <w:adjustRightInd w:val="0"/>
              <w:jc w:val="center"/>
              <w:rPr>
                <w:szCs w:val="20"/>
                <w:lang w:eastAsia="fr-FR"/>
              </w:rPr>
            </w:pPr>
          </w:p>
        </w:tc>
      </w:tr>
      <w:tr w:rsidR="007B2433" w:rsidRPr="002462F0" w14:paraId="2703EE77" w14:textId="77777777" w:rsidTr="004D66E9">
        <w:trPr>
          <w:trHeight w:val="270"/>
        </w:trPr>
        <w:tc>
          <w:tcPr>
            <w:tcW w:w="1132" w:type="dxa"/>
            <w:noWrap/>
            <w:hideMark/>
          </w:tcPr>
          <w:p w14:paraId="3BBD08C4"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1969</w:t>
            </w:r>
          </w:p>
        </w:tc>
        <w:tc>
          <w:tcPr>
            <w:tcW w:w="1132" w:type="dxa"/>
            <w:noWrap/>
            <w:hideMark/>
          </w:tcPr>
          <w:p w14:paraId="5E0620E4" w14:textId="2687DB54"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745</w:t>
            </w:r>
            <w:r w:rsidR="00A90E1C">
              <w:rPr>
                <w:szCs w:val="20"/>
                <w:lang w:eastAsia="fr-FR"/>
              </w:rPr>
              <w:t>.</w:t>
            </w:r>
            <w:r w:rsidRPr="002462F0">
              <w:rPr>
                <w:szCs w:val="20"/>
                <w:lang w:eastAsia="fr-FR"/>
              </w:rPr>
              <w:t>5</w:t>
            </w:r>
          </w:p>
        </w:tc>
        <w:tc>
          <w:tcPr>
            <w:tcW w:w="1133" w:type="dxa"/>
            <w:noWrap/>
            <w:hideMark/>
          </w:tcPr>
          <w:p w14:paraId="2C28B4EE"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1989</w:t>
            </w:r>
          </w:p>
        </w:tc>
        <w:tc>
          <w:tcPr>
            <w:tcW w:w="1133" w:type="dxa"/>
            <w:noWrap/>
            <w:hideMark/>
          </w:tcPr>
          <w:p w14:paraId="30B1C9BB" w14:textId="44F5E6A1" w:rsidR="007B2433" w:rsidRPr="002462F0" w:rsidRDefault="007B2433" w:rsidP="00F540CA">
            <w:pPr>
              <w:autoSpaceDE w:val="0"/>
              <w:autoSpaceDN w:val="0"/>
              <w:adjustRightInd w:val="0"/>
              <w:jc w:val="center"/>
              <w:rPr>
                <w:szCs w:val="20"/>
                <w:lang w:eastAsia="fr-FR"/>
              </w:rPr>
            </w:pPr>
            <w:r w:rsidRPr="002462F0">
              <w:rPr>
                <w:szCs w:val="20"/>
                <w:lang w:eastAsia="fr-FR"/>
              </w:rPr>
              <w:t>2</w:t>
            </w:r>
            <w:r w:rsidR="00326E57">
              <w:rPr>
                <w:szCs w:val="20"/>
                <w:lang w:eastAsia="fr-FR"/>
              </w:rPr>
              <w:t>,</w:t>
            </w:r>
            <w:r w:rsidRPr="002462F0">
              <w:rPr>
                <w:szCs w:val="20"/>
                <w:lang w:eastAsia="fr-FR"/>
              </w:rPr>
              <w:t>041</w:t>
            </w:r>
            <w:r w:rsidR="00A90E1C">
              <w:rPr>
                <w:szCs w:val="20"/>
                <w:lang w:eastAsia="fr-FR"/>
              </w:rPr>
              <w:t>.</w:t>
            </w:r>
            <w:r w:rsidRPr="002462F0">
              <w:rPr>
                <w:szCs w:val="20"/>
                <w:lang w:eastAsia="fr-FR"/>
              </w:rPr>
              <w:t>0</w:t>
            </w:r>
          </w:p>
        </w:tc>
        <w:tc>
          <w:tcPr>
            <w:tcW w:w="1133" w:type="dxa"/>
            <w:noWrap/>
            <w:hideMark/>
          </w:tcPr>
          <w:p w14:paraId="2F94D869" w14:textId="77777777" w:rsidR="007B2433" w:rsidRPr="006E35FA" w:rsidRDefault="007B2433" w:rsidP="00F540CA">
            <w:pPr>
              <w:autoSpaceDE w:val="0"/>
              <w:autoSpaceDN w:val="0"/>
              <w:adjustRightInd w:val="0"/>
              <w:jc w:val="center"/>
              <w:rPr>
                <w:b/>
                <w:bCs/>
                <w:szCs w:val="20"/>
                <w:lang w:eastAsia="fr-FR"/>
              </w:rPr>
            </w:pPr>
            <w:r w:rsidRPr="006E35FA">
              <w:rPr>
                <w:b/>
                <w:bCs/>
                <w:szCs w:val="20"/>
                <w:lang w:eastAsia="fr-FR"/>
              </w:rPr>
              <w:t>2009</w:t>
            </w:r>
          </w:p>
        </w:tc>
        <w:tc>
          <w:tcPr>
            <w:tcW w:w="1133" w:type="dxa"/>
            <w:tcBorders>
              <w:right w:val="single" w:sz="4" w:space="0" w:color="auto"/>
            </w:tcBorders>
            <w:noWrap/>
            <w:hideMark/>
          </w:tcPr>
          <w:p w14:paraId="7C3F06F0" w14:textId="289D8269" w:rsidR="007B2433" w:rsidRPr="002462F0" w:rsidRDefault="007B2433" w:rsidP="00F540CA">
            <w:pPr>
              <w:autoSpaceDE w:val="0"/>
              <w:autoSpaceDN w:val="0"/>
              <w:adjustRightInd w:val="0"/>
              <w:jc w:val="center"/>
              <w:rPr>
                <w:szCs w:val="20"/>
                <w:lang w:eastAsia="fr-FR"/>
              </w:rPr>
            </w:pPr>
            <w:r w:rsidRPr="002462F0">
              <w:rPr>
                <w:szCs w:val="20"/>
                <w:lang w:eastAsia="fr-FR"/>
              </w:rPr>
              <w:t>1</w:t>
            </w:r>
            <w:r w:rsidR="00326E57">
              <w:rPr>
                <w:szCs w:val="20"/>
                <w:lang w:eastAsia="fr-FR"/>
              </w:rPr>
              <w:t>,</w:t>
            </w:r>
            <w:r w:rsidRPr="002462F0">
              <w:rPr>
                <w:szCs w:val="20"/>
                <w:lang w:eastAsia="fr-FR"/>
              </w:rPr>
              <w:t>581</w:t>
            </w:r>
            <w:r w:rsidR="00A90E1C">
              <w:rPr>
                <w:szCs w:val="20"/>
                <w:lang w:eastAsia="fr-FR"/>
              </w:rPr>
              <w:t>.</w:t>
            </w:r>
            <w:r w:rsidRPr="002462F0">
              <w:rPr>
                <w:szCs w:val="20"/>
                <w:lang w:eastAsia="fr-FR"/>
              </w:rPr>
              <w:t>1</w:t>
            </w:r>
          </w:p>
        </w:tc>
        <w:tc>
          <w:tcPr>
            <w:tcW w:w="1133" w:type="dxa"/>
            <w:tcBorders>
              <w:top w:val="nil"/>
              <w:left w:val="single" w:sz="4" w:space="0" w:color="auto"/>
              <w:bottom w:val="nil"/>
              <w:right w:val="nil"/>
            </w:tcBorders>
            <w:noWrap/>
            <w:hideMark/>
          </w:tcPr>
          <w:p w14:paraId="18FA1A61" w14:textId="77777777" w:rsidR="007B2433" w:rsidRPr="002462F0" w:rsidRDefault="007B2433" w:rsidP="00F540CA">
            <w:pPr>
              <w:autoSpaceDE w:val="0"/>
              <w:autoSpaceDN w:val="0"/>
              <w:adjustRightInd w:val="0"/>
              <w:jc w:val="center"/>
              <w:rPr>
                <w:szCs w:val="20"/>
                <w:lang w:eastAsia="fr-FR"/>
              </w:rPr>
            </w:pPr>
          </w:p>
        </w:tc>
        <w:tc>
          <w:tcPr>
            <w:tcW w:w="1133" w:type="dxa"/>
            <w:tcBorders>
              <w:top w:val="nil"/>
              <w:left w:val="nil"/>
              <w:bottom w:val="nil"/>
              <w:right w:val="nil"/>
            </w:tcBorders>
            <w:noWrap/>
            <w:hideMark/>
          </w:tcPr>
          <w:p w14:paraId="4DD2B203" w14:textId="77777777" w:rsidR="007B2433" w:rsidRPr="002462F0" w:rsidRDefault="007B2433" w:rsidP="00F540CA">
            <w:pPr>
              <w:autoSpaceDE w:val="0"/>
              <w:autoSpaceDN w:val="0"/>
              <w:adjustRightInd w:val="0"/>
              <w:jc w:val="center"/>
              <w:rPr>
                <w:szCs w:val="20"/>
                <w:lang w:eastAsia="fr-FR"/>
              </w:rPr>
            </w:pPr>
          </w:p>
        </w:tc>
      </w:tr>
    </w:tbl>
    <w:p w14:paraId="5CE008BF" w14:textId="77777777" w:rsidR="007B2433" w:rsidRPr="002462F0" w:rsidRDefault="007B2433" w:rsidP="007B2433">
      <w:pPr>
        <w:pStyle w:val="Heading5"/>
        <w:rPr>
          <w:lang w:eastAsia="fr-FR"/>
        </w:rPr>
      </w:pPr>
      <w:bookmarkStart w:id="1136" w:name="_Toc182328105"/>
      <w:r w:rsidRPr="002462F0">
        <w:rPr>
          <w:lang w:eastAsia="fr-FR"/>
        </w:rPr>
        <w:lastRenderedPageBreak/>
        <w:t>Waste composition</w:t>
      </w:r>
      <w:bookmarkEnd w:id="1136"/>
      <w:r w:rsidRPr="002462F0">
        <w:rPr>
          <w:lang w:eastAsia="fr-FR"/>
        </w:rPr>
        <w:t xml:space="preserve"> </w:t>
      </w:r>
    </w:p>
    <w:p w14:paraId="19BC6619" w14:textId="7C71C538" w:rsidR="007B2433" w:rsidRPr="002462F0" w:rsidRDefault="007B2433" w:rsidP="001C4F15">
      <w:pPr>
        <w:pStyle w:val="BodyText"/>
        <w:rPr>
          <w:lang w:eastAsia="fr-FR"/>
        </w:rPr>
      </w:pPr>
      <w:r w:rsidRPr="002462F0">
        <w:rPr>
          <w:lang w:eastAsia="fr-FR"/>
        </w:rPr>
        <w:t>The MSW compos</w:t>
      </w:r>
      <w:r w:rsidR="00EF6FAF">
        <w:rPr>
          <w:lang w:eastAsia="fr-FR"/>
        </w:rPr>
        <w:t>ition is based on national data, through the project "Determination of waste composition and quantity estimation in order to define a management strategy secondary raw materials within the sustainable development of the Republic of Serbia ". Methodology for estimating the generated quantities and composition of municipal waste used, is the result of analysis by the experiences of EU Member States and is proposed as the official method under the name S.W.A.-Tool (Development of a Methodological Tool to enhance the Precision &amp;</w:t>
      </w:r>
      <w:r w:rsidR="001C4F15">
        <w:rPr>
          <w:lang w:eastAsia="fr-FR"/>
        </w:rPr>
        <w:t xml:space="preserve"> </w:t>
      </w:r>
      <w:r w:rsidR="00EF6FAF">
        <w:rPr>
          <w:lang w:eastAsia="fr-FR"/>
        </w:rPr>
        <w:t xml:space="preserve">Comparability of Solid Waste Analysis Data). The goal of its development is to increase precision and comparability of municipal waste data at the level of Europe. The methodology consists of two segments. The first segment is to evaluate the generated amount of municipal waste in the selected municipalities of Serbia, in the period from seven days of the amount of municipal waste before its disposal to the landfill. The second step represents the sampling and analysis of the morphological composition of waste for reference municipalities in accordance with defined catalogue for classification of waste. In this way, municipalities with associated </w:t>
      </w:r>
      <w:r w:rsidR="000C6822">
        <w:rPr>
          <w:lang w:eastAsia="fr-FR"/>
        </w:rPr>
        <w:t>districts</w:t>
      </w:r>
      <w:r w:rsidR="00EF6FAF">
        <w:rPr>
          <w:lang w:eastAsia="fr-FR"/>
        </w:rPr>
        <w:t xml:space="preserve"> will have a clear insight into the amount of generated waste in its territory, as well as the structure of that waste. Also, municipalities are representative in terms of using adequate statistical instruments, </w:t>
      </w:r>
      <w:r w:rsidR="000C6822">
        <w:rPr>
          <w:lang w:eastAsia="fr-FR"/>
        </w:rPr>
        <w:t xml:space="preserve">so that </w:t>
      </w:r>
      <w:r w:rsidR="00EF6FAF">
        <w:rPr>
          <w:lang w:eastAsia="fr-FR"/>
        </w:rPr>
        <w:t>data obtained can be projected at the level of the entire Republic.</w:t>
      </w:r>
      <w:r w:rsidRPr="002462F0">
        <w:rPr>
          <w:lang w:eastAsia="fr-FR"/>
        </w:rPr>
        <w:t xml:space="preserve"> </w:t>
      </w:r>
    </w:p>
    <w:p w14:paraId="6BA59755" w14:textId="240B13E1" w:rsidR="007B2433" w:rsidRPr="002462F0" w:rsidRDefault="00704D4A" w:rsidP="00D916DB">
      <w:pPr>
        <w:pStyle w:val="Caption"/>
      </w:pPr>
      <w:bookmarkStart w:id="1137" w:name="_Toc184808592"/>
      <w:r>
        <w:t xml:space="preserve">Table </w:t>
      </w:r>
      <w:r>
        <w:fldChar w:fldCharType="begin"/>
      </w:r>
      <w:r>
        <w:instrText xml:space="preserve"> SEQ Table \* ARABIC </w:instrText>
      </w:r>
      <w:r>
        <w:fldChar w:fldCharType="separate"/>
      </w:r>
      <w:r w:rsidR="00F14C78">
        <w:rPr>
          <w:noProof/>
        </w:rPr>
        <w:t>48</w:t>
      </w:r>
      <w:r>
        <w:fldChar w:fldCharType="end"/>
      </w:r>
      <w:r>
        <w:t>: Municipal solid w</w:t>
      </w:r>
      <w:r w:rsidRPr="002462F0">
        <w:t>aste composition</w:t>
      </w:r>
      <w:r>
        <w:t xml:space="preserve"> used in the Serbian inventory, per waste category</w:t>
      </w:r>
      <w:r w:rsidRPr="00704D4A">
        <w:t xml:space="preserve"> </w:t>
      </w:r>
      <w:r>
        <w:t>(in %)</w:t>
      </w:r>
      <w:bookmarkEnd w:id="1137"/>
    </w:p>
    <w:tbl>
      <w:tblPr>
        <w:tblStyle w:val="TableGrid"/>
        <w:tblW w:w="7198" w:type="dxa"/>
        <w:jc w:val="center"/>
        <w:tblLook w:val="04A0" w:firstRow="1" w:lastRow="0" w:firstColumn="1" w:lastColumn="0" w:noHBand="0" w:noVBand="1"/>
      </w:tblPr>
      <w:tblGrid>
        <w:gridCol w:w="825"/>
        <w:gridCol w:w="840"/>
        <w:gridCol w:w="1003"/>
        <w:gridCol w:w="840"/>
        <w:gridCol w:w="840"/>
        <w:gridCol w:w="923"/>
        <w:gridCol w:w="891"/>
        <w:gridCol w:w="1391"/>
      </w:tblGrid>
      <w:tr w:rsidR="00C376BD" w:rsidRPr="002462F0" w14:paraId="68283FF3" w14:textId="77777777" w:rsidTr="000641AC">
        <w:trPr>
          <w:trHeight w:val="765"/>
          <w:jc w:val="center"/>
        </w:trPr>
        <w:tc>
          <w:tcPr>
            <w:tcW w:w="825" w:type="dxa"/>
            <w:shd w:val="clear" w:color="auto" w:fill="C6D9F1" w:themeFill="text2" w:themeFillTint="33"/>
            <w:vAlign w:val="center"/>
            <w:hideMark/>
          </w:tcPr>
          <w:p w14:paraId="4AAB984E" w14:textId="77777777" w:rsidR="00C376BD" w:rsidRPr="002462F0" w:rsidRDefault="00C376BD" w:rsidP="00F540CA">
            <w:pPr>
              <w:autoSpaceDE w:val="0"/>
              <w:autoSpaceDN w:val="0"/>
              <w:adjustRightInd w:val="0"/>
              <w:jc w:val="center"/>
              <w:rPr>
                <w:b/>
                <w:bCs/>
                <w:szCs w:val="20"/>
                <w:lang w:eastAsia="fr-FR"/>
              </w:rPr>
            </w:pPr>
            <w:r w:rsidRPr="002462F0">
              <w:rPr>
                <w:b/>
                <w:bCs/>
                <w:szCs w:val="20"/>
                <w:lang w:eastAsia="fr-FR"/>
              </w:rPr>
              <w:t>Year</w:t>
            </w:r>
          </w:p>
        </w:tc>
        <w:tc>
          <w:tcPr>
            <w:tcW w:w="840" w:type="dxa"/>
            <w:shd w:val="clear" w:color="auto" w:fill="C6D9F1" w:themeFill="text2" w:themeFillTint="33"/>
            <w:vAlign w:val="center"/>
            <w:hideMark/>
          </w:tcPr>
          <w:p w14:paraId="33FECF10" w14:textId="77777777" w:rsidR="00C376BD" w:rsidRPr="002462F0" w:rsidRDefault="00C376BD" w:rsidP="00F540CA">
            <w:pPr>
              <w:autoSpaceDE w:val="0"/>
              <w:autoSpaceDN w:val="0"/>
              <w:adjustRightInd w:val="0"/>
              <w:jc w:val="center"/>
              <w:rPr>
                <w:b/>
                <w:bCs/>
                <w:szCs w:val="20"/>
                <w:lang w:eastAsia="fr-FR"/>
              </w:rPr>
            </w:pPr>
            <w:r w:rsidRPr="002462F0">
              <w:rPr>
                <w:b/>
                <w:bCs/>
                <w:szCs w:val="20"/>
                <w:lang w:eastAsia="fr-FR"/>
              </w:rPr>
              <w:t>Food (%)</w:t>
            </w:r>
          </w:p>
        </w:tc>
        <w:tc>
          <w:tcPr>
            <w:tcW w:w="1003" w:type="dxa"/>
            <w:shd w:val="clear" w:color="auto" w:fill="C6D9F1" w:themeFill="text2" w:themeFillTint="33"/>
            <w:vAlign w:val="center"/>
            <w:hideMark/>
          </w:tcPr>
          <w:p w14:paraId="515A73C6" w14:textId="77777777" w:rsidR="00C376BD" w:rsidRPr="002462F0" w:rsidRDefault="00C376BD" w:rsidP="00F540CA">
            <w:pPr>
              <w:autoSpaceDE w:val="0"/>
              <w:autoSpaceDN w:val="0"/>
              <w:adjustRightInd w:val="0"/>
              <w:jc w:val="center"/>
              <w:rPr>
                <w:b/>
                <w:bCs/>
                <w:szCs w:val="20"/>
                <w:lang w:eastAsia="fr-FR"/>
              </w:rPr>
            </w:pPr>
            <w:r w:rsidRPr="002462F0">
              <w:rPr>
                <w:b/>
                <w:bCs/>
                <w:szCs w:val="20"/>
                <w:lang w:eastAsia="fr-FR"/>
              </w:rPr>
              <w:t>Garden (%)</w:t>
            </w:r>
          </w:p>
        </w:tc>
        <w:tc>
          <w:tcPr>
            <w:tcW w:w="840" w:type="dxa"/>
            <w:shd w:val="clear" w:color="auto" w:fill="C6D9F1" w:themeFill="text2" w:themeFillTint="33"/>
            <w:vAlign w:val="center"/>
            <w:hideMark/>
          </w:tcPr>
          <w:p w14:paraId="16186067" w14:textId="77777777" w:rsidR="00C376BD" w:rsidRPr="002462F0" w:rsidRDefault="00C376BD" w:rsidP="00F540CA">
            <w:pPr>
              <w:autoSpaceDE w:val="0"/>
              <w:autoSpaceDN w:val="0"/>
              <w:adjustRightInd w:val="0"/>
              <w:jc w:val="center"/>
              <w:rPr>
                <w:b/>
                <w:bCs/>
                <w:szCs w:val="20"/>
                <w:lang w:eastAsia="fr-FR"/>
              </w:rPr>
            </w:pPr>
            <w:r w:rsidRPr="002462F0">
              <w:rPr>
                <w:b/>
                <w:bCs/>
                <w:szCs w:val="20"/>
                <w:lang w:eastAsia="fr-FR"/>
              </w:rPr>
              <w:t>Paper (%)</w:t>
            </w:r>
          </w:p>
        </w:tc>
        <w:tc>
          <w:tcPr>
            <w:tcW w:w="840" w:type="dxa"/>
            <w:shd w:val="clear" w:color="auto" w:fill="C6D9F1" w:themeFill="text2" w:themeFillTint="33"/>
            <w:vAlign w:val="center"/>
            <w:hideMark/>
          </w:tcPr>
          <w:p w14:paraId="4037115B" w14:textId="77777777" w:rsidR="00C376BD" w:rsidRPr="002462F0" w:rsidRDefault="00C376BD" w:rsidP="00F540CA">
            <w:pPr>
              <w:autoSpaceDE w:val="0"/>
              <w:autoSpaceDN w:val="0"/>
              <w:adjustRightInd w:val="0"/>
              <w:jc w:val="center"/>
              <w:rPr>
                <w:b/>
                <w:bCs/>
                <w:szCs w:val="20"/>
                <w:lang w:eastAsia="fr-FR"/>
              </w:rPr>
            </w:pPr>
            <w:r w:rsidRPr="002462F0">
              <w:rPr>
                <w:b/>
                <w:bCs/>
                <w:szCs w:val="20"/>
                <w:lang w:eastAsia="fr-FR"/>
              </w:rPr>
              <w:t>Wood (%)</w:t>
            </w:r>
          </w:p>
        </w:tc>
        <w:tc>
          <w:tcPr>
            <w:tcW w:w="923" w:type="dxa"/>
            <w:shd w:val="clear" w:color="auto" w:fill="C6D9F1" w:themeFill="text2" w:themeFillTint="33"/>
            <w:vAlign w:val="center"/>
            <w:hideMark/>
          </w:tcPr>
          <w:p w14:paraId="1BA1A3E8" w14:textId="77777777" w:rsidR="00C376BD" w:rsidRPr="002462F0" w:rsidRDefault="00C376BD" w:rsidP="00F540CA">
            <w:pPr>
              <w:autoSpaceDE w:val="0"/>
              <w:autoSpaceDN w:val="0"/>
              <w:adjustRightInd w:val="0"/>
              <w:jc w:val="center"/>
              <w:rPr>
                <w:b/>
                <w:bCs/>
                <w:szCs w:val="20"/>
                <w:lang w:eastAsia="fr-FR"/>
              </w:rPr>
            </w:pPr>
            <w:r w:rsidRPr="002462F0">
              <w:rPr>
                <w:b/>
                <w:bCs/>
                <w:szCs w:val="20"/>
                <w:lang w:eastAsia="fr-FR"/>
              </w:rPr>
              <w:t>Textile (%)</w:t>
            </w:r>
          </w:p>
        </w:tc>
        <w:tc>
          <w:tcPr>
            <w:tcW w:w="536" w:type="dxa"/>
            <w:shd w:val="clear" w:color="auto" w:fill="C6D9F1" w:themeFill="text2" w:themeFillTint="33"/>
            <w:vAlign w:val="center"/>
            <w:hideMark/>
          </w:tcPr>
          <w:p w14:paraId="2319B893" w14:textId="77777777" w:rsidR="00C376BD" w:rsidRPr="002462F0" w:rsidRDefault="00C376BD" w:rsidP="00F540CA">
            <w:pPr>
              <w:autoSpaceDE w:val="0"/>
              <w:autoSpaceDN w:val="0"/>
              <w:adjustRightInd w:val="0"/>
              <w:jc w:val="center"/>
              <w:rPr>
                <w:b/>
                <w:bCs/>
                <w:szCs w:val="20"/>
                <w:lang w:eastAsia="fr-FR"/>
              </w:rPr>
            </w:pPr>
            <w:r w:rsidRPr="002462F0">
              <w:rPr>
                <w:b/>
                <w:bCs/>
                <w:szCs w:val="20"/>
                <w:lang w:eastAsia="fr-FR"/>
              </w:rPr>
              <w:t>Nappies (%)</w:t>
            </w:r>
          </w:p>
        </w:tc>
        <w:tc>
          <w:tcPr>
            <w:tcW w:w="1391" w:type="dxa"/>
            <w:shd w:val="clear" w:color="auto" w:fill="C6D9F1" w:themeFill="text2" w:themeFillTint="33"/>
            <w:vAlign w:val="center"/>
            <w:hideMark/>
          </w:tcPr>
          <w:p w14:paraId="2CCAA935" w14:textId="77777777" w:rsidR="00C376BD" w:rsidRPr="002462F0" w:rsidRDefault="00C376BD" w:rsidP="00F540CA">
            <w:pPr>
              <w:autoSpaceDE w:val="0"/>
              <w:autoSpaceDN w:val="0"/>
              <w:adjustRightInd w:val="0"/>
              <w:jc w:val="center"/>
              <w:rPr>
                <w:b/>
                <w:bCs/>
                <w:szCs w:val="20"/>
                <w:lang w:eastAsia="fr-FR"/>
              </w:rPr>
            </w:pPr>
            <w:r w:rsidRPr="002462F0">
              <w:rPr>
                <w:b/>
                <w:bCs/>
                <w:szCs w:val="20"/>
                <w:lang w:eastAsia="fr-FR"/>
              </w:rPr>
              <w:t>Plastics, other inert (%)</w:t>
            </w:r>
          </w:p>
        </w:tc>
      </w:tr>
      <w:tr w:rsidR="00C376BD" w:rsidRPr="002462F0" w14:paraId="73FE3663" w14:textId="77777777" w:rsidTr="00622F40">
        <w:trPr>
          <w:trHeight w:val="270"/>
          <w:jc w:val="center"/>
        </w:trPr>
        <w:tc>
          <w:tcPr>
            <w:tcW w:w="825" w:type="dxa"/>
            <w:noWrap/>
            <w:vAlign w:val="center"/>
            <w:hideMark/>
          </w:tcPr>
          <w:p w14:paraId="6B2A3E7E" w14:textId="4463C571" w:rsidR="00C376BD" w:rsidRPr="002462F0" w:rsidRDefault="00C376BD" w:rsidP="00F540CA">
            <w:pPr>
              <w:autoSpaceDE w:val="0"/>
              <w:autoSpaceDN w:val="0"/>
              <w:adjustRightInd w:val="0"/>
              <w:jc w:val="center"/>
              <w:rPr>
                <w:szCs w:val="20"/>
                <w:lang w:eastAsia="fr-FR"/>
              </w:rPr>
            </w:pPr>
            <w:r w:rsidRPr="002462F0">
              <w:rPr>
                <w:szCs w:val="20"/>
                <w:lang w:eastAsia="fr-FR"/>
              </w:rPr>
              <w:t>1950-</w:t>
            </w:r>
            <w:r w:rsidR="00AF7915">
              <w:rPr>
                <w:szCs w:val="20"/>
                <w:lang w:eastAsia="fr-FR"/>
              </w:rPr>
              <w:t>1990</w:t>
            </w:r>
          </w:p>
        </w:tc>
        <w:tc>
          <w:tcPr>
            <w:tcW w:w="840" w:type="dxa"/>
            <w:noWrap/>
            <w:vAlign w:val="center"/>
            <w:hideMark/>
          </w:tcPr>
          <w:p w14:paraId="4EAC5338" w14:textId="429A49EE" w:rsidR="00C376BD" w:rsidRPr="002462F0" w:rsidRDefault="00C376BD" w:rsidP="00F540CA">
            <w:pPr>
              <w:jc w:val="center"/>
              <w:rPr>
                <w:rFonts w:cs="Arial"/>
                <w:szCs w:val="20"/>
              </w:rPr>
            </w:pPr>
            <w:r w:rsidRPr="002462F0">
              <w:rPr>
                <w:rFonts w:cs="Arial"/>
                <w:szCs w:val="20"/>
              </w:rPr>
              <w:t>3</w:t>
            </w:r>
            <w:r>
              <w:rPr>
                <w:rFonts w:cs="Arial"/>
                <w:szCs w:val="20"/>
              </w:rPr>
              <w:t>2</w:t>
            </w:r>
            <w:r w:rsidRPr="002462F0">
              <w:rPr>
                <w:rFonts w:cs="Arial"/>
                <w:szCs w:val="20"/>
              </w:rPr>
              <w:t>%</w:t>
            </w:r>
          </w:p>
        </w:tc>
        <w:tc>
          <w:tcPr>
            <w:tcW w:w="1003" w:type="dxa"/>
            <w:noWrap/>
            <w:vAlign w:val="center"/>
            <w:hideMark/>
          </w:tcPr>
          <w:p w14:paraId="44017777" w14:textId="34130D0C" w:rsidR="00C376BD" w:rsidRPr="002462F0" w:rsidRDefault="00C376BD" w:rsidP="00F540CA">
            <w:pPr>
              <w:jc w:val="center"/>
              <w:rPr>
                <w:rFonts w:cs="Arial"/>
                <w:szCs w:val="20"/>
              </w:rPr>
            </w:pPr>
            <w:r w:rsidRPr="002462F0">
              <w:rPr>
                <w:rFonts w:cs="Arial"/>
                <w:szCs w:val="20"/>
              </w:rPr>
              <w:t>1</w:t>
            </w:r>
            <w:r>
              <w:rPr>
                <w:rFonts w:cs="Arial"/>
                <w:szCs w:val="20"/>
              </w:rPr>
              <w:t>3</w:t>
            </w:r>
            <w:r w:rsidRPr="002462F0">
              <w:rPr>
                <w:rFonts w:cs="Arial"/>
                <w:szCs w:val="20"/>
              </w:rPr>
              <w:t>%</w:t>
            </w:r>
          </w:p>
        </w:tc>
        <w:tc>
          <w:tcPr>
            <w:tcW w:w="840" w:type="dxa"/>
            <w:noWrap/>
            <w:vAlign w:val="center"/>
            <w:hideMark/>
          </w:tcPr>
          <w:p w14:paraId="0750EE32" w14:textId="59E85A2D" w:rsidR="00C376BD" w:rsidRPr="002462F0" w:rsidRDefault="00C376BD" w:rsidP="00F540CA">
            <w:pPr>
              <w:jc w:val="center"/>
              <w:rPr>
                <w:rFonts w:cs="Arial"/>
                <w:szCs w:val="20"/>
              </w:rPr>
            </w:pPr>
            <w:r w:rsidRPr="002462F0">
              <w:rPr>
                <w:rFonts w:cs="Arial"/>
                <w:szCs w:val="20"/>
              </w:rPr>
              <w:t>1</w:t>
            </w:r>
            <w:r>
              <w:rPr>
                <w:rFonts w:cs="Arial"/>
                <w:szCs w:val="20"/>
              </w:rPr>
              <w:t>8</w:t>
            </w:r>
            <w:r w:rsidRPr="002462F0">
              <w:rPr>
                <w:rFonts w:cs="Arial"/>
                <w:szCs w:val="20"/>
              </w:rPr>
              <w:t>%</w:t>
            </w:r>
          </w:p>
        </w:tc>
        <w:tc>
          <w:tcPr>
            <w:tcW w:w="840" w:type="dxa"/>
            <w:noWrap/>
            <w:vAlign w:val="center"/>
            <w:hideMark/>
          </w:tcPr>
          <w:p w14:paraId="46CE9F19" w14:textId="77777777" w:rsidR="00C376BD" w:rsidRPr="002462F0" w:rsidRDefault="00C376BD" w:rsidP="00F540CA">
            <w:pPr>
              <w:jc w:val="center"/>
              <w:rPr>
                <w:rFonts w:cs="Arial"/>
                <w:szCs w:val="20"/>
              </w:rPr>
            </w:pPr>
            <w:r w:rsidRPr="002462F0">
              <w:rPr>
                <w:rFonts w:cs="Arial"/>
                <w:szCs w:val="20"/>
              </w:rPr>
              <w:t>0%</w:t>
            </w:r>
          </w:p>
        </w:tc>
        <w:tc>
          <w:tcPr>
            <w:tcW w:w="923" w:type="dxa"/>
            <w:noWrap/>
            <w:vAlign w:val="center"/>
            <w:hideMark/>
          </w:tcPr>
          <w:p w14:paraId="7FBA5EFD" w14:textId="41D861DD" w:rsidR="00C376BD" w:rsidRPr="002462F0" w:rsidRDefault="00C376BD" w:rsidP="00F540CA">
            <w:pPr>
              <w:jc w:val="center"/>
              <w:rPr>
                <w:rFonts w:cs="Arial"/>
                <w:szCs w:val="20"/>
              </w:rPr>
            </w:pPr>
            <w:r>
              <w:rPr>
                <w:rFonts w:cs="Arial"/>
                <w:szCs w:val="20"/>
              </w:rPr>
              <w:t>6</w:t>
            </w:r>
            <w:r w:rsidRPr="002462F0">
              <w:rPr>
                <w:rFonts w:cs="Arial"/>
                <w:szCs w:val="20"/>
              </w:rPr>
              <w:t>%</w:t>
            </w:r>
          </w:p>
        </w:tc>
        <w:tc>
          <w:tcPr>
            <w:tcW w:w="536" w:type="dxa"/>
            <w:noWrap/>
            <w:vAlign w:val="center"/>
            <w:hideMark/>
          </w:tcPr>
          <w:p w14:paraId="2BDB191B" w14:textId="252F3C3F" w:rsidR="00C376BD" w:rsidRPr="002462F0" w:rsidRDefault="00C376BD" w:rsidP="00F540CA">
            <w:pPr>
              <w:jc w:val="center"/>
              <w:rPr>
                <w:rFonts w:cs="Arial"/>
                <w:szCs w:val="20"/>
              </w:rPr>
            </w:pPr>
            <w:r>
              <w:rPr>
                <w:rFonts w:cs="Arial"/>
                <w:szCs w:val="20"/>
              </w:rPr>
              <w:t>0</w:t>
            </w:r>
            <w:r w:rsidRPr="002462F0">
              <w:rPr>
                <w:rFonts w:cs="Arial"/>
                <w:szCs w:val="20"/>
              </w:rPr>
              <w:t>%</w:t>
            </w:r>
          </w:p>
        </w:tc>
        <w:tc>
          <w:tcPr>
            <w:tcW w:w="1391" w:type="dxa"/>
            <w:noWrap/>
            <w:vAlign w:val="center"/>
            <w:hideMark/>
          </w:tcPr>
          <w:p w14:paraId="0F5EEAC4" w14:textId="77777777" w:rsidR="00C376BD" w:rsidRPr="002462F0" w:rsidRDefault="00C376BD" w:rsidP="00F540CA">
            <w:pPr>
              <w:jc w:val="center"/>
              <w:rPr>
                <w:rFonts w:cs="Arial"/>
                <w:szCs w:val="20"/>
              </w:rPr>
            </w:pPr>
            <w:r w:rsidRPr="002462F0">
              <w:rPr>
                <w:rFonts w:cs="Arial"/>
                <w:szCs w:val="20"/>
              </w:rPr>
              <w:t>31%</w:t>
            </w:r>
          </w:p>
        </w:tc>
      </w:tr>
      <w:tr w:rsidR="008952FB" w:rsidRPr="002462F0" w14:paraId="1CD3E613" w14:textId="77777777" w:rsidTr="00C376BD">
        <w:trPr>
          <w:trHeight w:val="270"/>
          <w:jc w:val="center"/>
        </w:trPr>
        <w:tc>
          <w:tcPr>
            <w:tcW w:w="825" w:type="dxa"/>
            <w:noWrap/>
            <w:vAlign w:val="center"/>
          </w:tcPr>
          <w:p w14:paraId="4B0ED54D" w14:textId="73359A43" w:rsidR="008952FB" w:rsidRPr="002462F0" w:rsidRDefault="00AF7915" w:rsidP="00F540CA">
            <w:pPr>
              <w:autoSpaceDE w:val="0"/>
              <w:autoSpaceDN w:val="0"/>
              <w:adjustRightInd w:val="0"/>
              <w:jc w:val="center"/>
              <w:rPr>
                <w:szCs w:val="20"/>
                <w:lang w:eastAsia="fr-FR"/>
              </w:rPr>
            </w:pPr>
            <w:r>
              <w:rPr>
                <w:szCs w:val="20"/>
                <w:lang w:eastAsia="fr-FR"/>
              </w:rPr>
              <w:t>1991-2022</w:t>
            </w:r>
          </w:p>
        </w:tc>
        <w:tc>
          <w:tcPr>
            <w:tcW w:w="840" w:type="dxa"/>
            <w:noWrap/>
            <w:vAlign w:val="center"/>
          </w:tcPr>
          <w:p w14:paraId="1319BD2C" w14:textId="1B77C83F" w:rsidR="008952FB" w:rsidRPr="002462F0" w:rsidRDefault="00AF7915" w:rsidP="00F540CA">
            <w:pPr>
              <w:jc w:val="center"/>
              <w:rPr>
                <w:rFonts w:cs="Arial"/>
                <w:szCs w:val="20"/>
              </w:rPr>
            </w:pPr>
            <w:r>
              <w:rPr>
                <w:rFonts w:cs="Arial"/>
                <w:szCs w:val="20"/>
              </w:rPr>
              <w:t>31%</w:t>
            </w:r>
          </w:p>
        </w:tc>
        <w:tc>
          <w:tcPr>
            <w:tcW w:w="1003" w:type="dxa"/>
            <w:noWrap/>
            <w:vAlign w:val="center"/>
          </w:tcPr>
          <w:p w14:paraId="5D7AFE6D" w14:textId="27180C57" w:rsidR="008952FB" w:rsidRPr="002462F0" w:rsidRDefault="00AF7915" w:rsidP="00F540CA">
            <w:pPr>
              <w:jc w:val="center"/>
              <w:rPr>
                <w:rFonts w:cs="Arial"/>
                <w:szCs w:val="20"/>
              </w:rPr>
            </w:pPr>
            <w:r>
              <w:rPr>
                <w:rFonts w:cs="Arial"/>
                <w:szCs w:val="20"/>
              </w:rPr>
              <w:t>12%</w:t>
            </w:r>
          </w:p>
        </w:tc>
        <w:tc>
          <w:tcPr>
            <w:tcW w:w="840" w:type="dxa"/>
            <w:noWrap/>
            <w:vAlign w:val="center"/>
          </w:tcPr>
          <w:p w14:paraId="527F7356" w14:textId="3814158C" w:rsidR="008952FB" w:rsidRPr="002462F0" w:rsidRDefault="00AF7915" w:rsidP="00F540CA">
            <w:pPr>
              <w:jc w:val="center"/>
              <w:rPr>
                <w:rFonts w:cs="Arial"/>
                <w:szCs w:val="20"/>
              </w:rPr>
            </w:pPr>
            <w:r>
              <w:rPr>
                <w:rFonts w:cs="Arial"/>
                <w:szCs w:val="20"/>
              </w:rPr>
              <w:t>17%</w:t>
            </w:r>
          </w:p>
        </w:tc>
        <w:tc>
          <w:tcPr>
            <w:tcW w:w="840" w:type="dxa"/>
            <w:noWrap/>
            <w:vAlign w:val="center"/>
          </w:tcPr>
          <w:p w14:paraId="7E789EFA" w14:textId="45C3E727" w:rsidR="008952FB" w:rsidRPr="002462F0" w:rsidRDefault="00AF7915" w:rsidP="00F540CA">
            <w:pPr>
              <w:jc w:val="center"/>
              <w:rPr>
                <w:rFonts w:cs="Arial"/>
                <w:szCs w:val="20"/>
              </w:rPr>
            </w:pPr>
            <w:r>
              <w:rPr>
                <w:rFonts w:cs="Arial"/>
                <w:szCs w:val="20"/>
              </w:rPr>
              <w:t>0%</w:t>
            </w:r>
          </w:p>
        </w:tc>
        <w:tc>
          <w:tcPr>
            <w:tcW w:w="923" w:type="dxa"/>
            <w:noWrap/>
            <w:vAlign w:val="center"/>
          </w:tcPr>
          <w:p w14:paraId="7477DCDF" w14:textId="7B495DED" w:rsidR="008952FB" w:rsidRDefault="00AF7915" w:rsidP="00F540CA">
            <w:pPr>
              <w:jc w:val="center"/>
              <w:rPr>
                <w:rFonts w:cs="Arial"/>
                <w:szCs w:val="20"/>
              </w:rPr>
            </w:pPr>
            <w:r>
              <w:rPr>
                <w:rFonts w:cs="Arial"/>
                <w:szCs w:val="20"/>
              </w:rPr>
              <w:t>5%</w:t>
            </w:r>
          </w:p>
        </w:tc>
        <w:tc>
          <w:tcPr>
            <w:tcW w:w="536" w:type="dxa"/>
            <w:noWrap/>
            <w:vAlign w:val="center"/>
          </w:tcPr>
          <w:p w14:paraId="35614130" w14:textId="2310820C" w:rsidR="008952FB" w:rsidRDefault="00AF7915" w:rsidP="00F540CA">
            <w:pPr>
              <w:jc w:val="center"/>
              <w:rPr>
                <w:rFonts w:cs="Arial"/>
                <w:szCs w:val="20"/>
              </w:rPr>
            </w:pPr>
            <w:r>
              <w:rPr>
                <w:rFonts w:cs="Arial"/>
                <w:szCs w:val="20"/>
              </w:rPr>
              <w:t>4%</w:t>
            </w:r>
          </w:p>
        </w:tc>
        <w:tc>
          <w:tcPr>
            <w:tcW w:w="1391" w:type="dxa"/>
            <w:noWrap/>
            <w:vAlign w:val="center"/>
          </w:tcPr>
          <w:p w14:paraId="6F0E90BF" w14:textId="7CF97638" w:rsidR="008952FB" w:rsidRPr="002462F0" w:rsidRDefault="00AF7915" w:rsidP="00F540CA">
            <w:pPr>
              <w:jc w:val="center"/>
              <w:rPr>
                <w:rFonts w:cs="Arial"/>
                <w:szCs w:val="20"/>
              </w:rPr>
            </w:pPr>
            <w:r>
              <w:rPr>
                <w:rFonts w:cs="Arial"/>
                <w:szCs w:val="20"/>
              </w:rPr>
              <w:t>31%</w:t>
            </w:r>
          </w:p>
        </w:tc>
      </w:tr>
    </w:tbl>
    <w:p w14:paraId="7A7965DA" w14:textId="77777777" w:rsidR="007B2433" w:rsidRPr="002462F0" w:rsidRDefault="007B2433" w:rsidP="007B2433">
      <w:pPr>
        <w:pStyle w:val="Titre4Bleu"/>
        <w:rPr>
          <w:lang w:val="en-GB" w:eastAsia="fr-FR"/>
        </w:rPr>
      </w:pPr>
      <w:bookmarkStart w:id="1138" w:name="_Toc182328106"/>
      <w:r w:rsidRPr="002462F0">
        <w:rPr>
          <w:lang w:val="en-GB" w:eastAsia="fr-FR"/>
        </w:rPr>
        <w:t>Industrial waste disposed in SWDS</w:t>
      </w:r>
      <w:bookmarkEnd w:id="1138"/>
    </w:p>
    <w:p w14:paraId="1E455FFF" w14:textId="2026F203" w:rsidR="007B2433" w:rsidRPr="002462F0" w:rsidRDefault="007B2433" w:rsidP="00D916DB">
      <w:pPr>
        <w:pStyle w:val="BodyText"/>
        <w:rPr>
          <w:lang w:eastAsia="fr-FR"/>
        </w:rPr>
      </w:pPr>
      <w:r w:rsidRPr="002462F0">
        <w:rPr>
          <w:lang w:eastAsia="fr-FR"/>
        </w:rPr>
        <w:t xml:space="preserve">The </w:t>
      </w:r>
      <w:r w:rsidRPr="002462F0">
        <w:rPr>
          <w:b/>
          <w:lang w:eastAsia="fr-FR"/>
        </w:rPr>
        <w:t>Gross Domestic Product (GDP)</w:t>
      </w:r>
      <w:r w:rsidRPr="002462F0">
        <w:rPr>
          <w:lang w:eastAsia="fr-FR"/>
        </w:rPr>
        <w:t xml:space="preserve"> </w:t>
      </w:r>
      <w:r w:rsidR="00B33682">
        <w:rPr>
          <w:lang w:eastAsia="fr-FR"/>
        </w:rPr>
        <w:t xml:space="preserve">is </w:t>
      </w:r>
      <w:r w:rsidRPr="002462F0">
        <w:rPr>
          <w:lang w:eastAsia="fr-FR"/>
        </w:rPr>
        <w:t>used in the Serbian Inventory to estimate the amount of industrial waste generated</w:t>
      </w:r>
      <w:r w:rsidR="009C4709">
        <w:rPr>
          <w:lang w:eastAsia="fr-FR"/>
        </w:rPr>
        <w:t>,</w:t>
      </w:r>
      <w:r w:rsidRPr="002462F0">
        <w:rPr>
          <w:lang w:eastAsia="fr-FR"/>
        </w:rPr>
        <w:t xml:space="preserve"> </w:t>
      </w:r>
      <w:r w:rsidR="009C4709">
        <w:rPr>
          <w:lang w:eastAsia="fr-FR"/>
        </w:rPr>
        <w:t xml:space="preserve">and </w:t>
      </w:r>
      <w:r w:rsidRPr="002462F0">
        <w:rPr>
          <w:lang w:eastAsia="fr-FR"/>
        </w:rPr>
        <w:t xml:space="preserve">based on national data published </w:t>
      </w:r>
      <w:r w:rsidR="00E81307">
        <w:rPr>
          <w:lang w:eastAsia="fr-FR"/>
        </w:rPr>
        <w:t xml:space="preserve">on </w:t>
      </w:r>
      <w:proofErr w:type="spellStart"/>
      <w:r w:rsidR="00E81307">
        <w:rPr>
          <w:lang w:eastAsia="fr-FR"/>
        </w:rPr>
        <w:t>Worldbank</w:t>
      </w:r>
      <w:proofErr w:type="spellEnd"/>
      <w:r w:rsidR="00E81307">
        <w:rPr>
          <w:lang w:eastAsia="fr-FR"/>
        </w:rPr>
        <w:t xml:space="preserve"> website.</w:t>
      </w:r>
    </w:p>
    <w:p w14:paraId="66808097" w14:textId="77777777" w:rsidR="007B2433" w:rsidRPr="002462F0" w:rsidRDefault="007B2433" w:rsidP="00D916DB">
      <w:pPr>
        <w:pStyle w:val="BodyText"/>
        <w:rPr>
          <w:lang w:eastAsia="fr-FR"/>
        </w:rPr>
      </w:pPr>
      <w:r w:rsidRPr="002462F0">
        <w:rPr>
          <w:lang w:eastAsia="fr-FR"/>
        </w:rPr>
        <w:t xml:space="preserve">The </w:t>
      </w:r>
      <w:r w:rsidRPr="002462F0">
        <w:rPr>
          <w:b/>
          <w:lang w:eastAsia="fr-FR"/>
        </w:rPr>
        <w:t>Industrial waste production per GDP unit</w:t>
      </w:r>
      <w:r w:rsidRPr="002462F0">
        <w:rPr>
          <w:lang w:eastAsia="fr-FR"/>
        </w:rPr>
        <w:t xml:space="preserve"> is based on national data. </w:t>
      </w:r>
    </w:p>
    <w:p w14:paraId="6AD22194" w14:textId="051B9786" w:rsidR="007B2433" w:rsidRPr="002462F0" w:rsidRDefault="00E81307" w:rsidP="00D916DB">
      <w:pPr>
        <w:pStyle w:val="BodyText"/>
        <w:rPr>
          <w:lang w:eastAsia="fr-FR"/>
        </w:rPr>
      </w:pPr>
      <w:r>
        <w:rPr>
          <w:lang w:eastAsia="fr-FR"/>
        </w:rPr>
        <w:t>T</w:t>
      </w:r>
      <w:r w:rsidR="007B2433" w:rsidRPr="002462F0">
        <w:rPr>
          <w:lang w:eastAsia="fr-FR"/>
        </w:rPr>
        <w:t xml:space="preserve">he </w:t>
      </w:r>
      <w:r w:rsidR="007B2433" w:rsidRPr="002462F0">
        <w:rPr>
          <w:b/>
          <w:lang w:eastAsia="fr-FR"/>
        </w:rPr>
        <w:t>fraction of industrial waste going to landfills</w:t>
      </w:r>
      <w:r w:rsidR="007B2433" w:rsidRPr="002462F0">
        <w:rPr>
          <w:lang w:eastAsia="fr-FR"/>
        </w:rPr>
        <w:t xml:space="preserve"> is </w:t>
      </w:r>
      <w:r>
        <w:rPr>
          <w:lang w:eastAsia="fr-FR"/>
        </w:rPr>
        <w:t>calculated according to data provided by Statistical Office</w:t>
      </w:r>
      <w:r w:rsidR="007B2433" w:rsidRPr="002462F0">
        <w:rPr>
          <w:lang w:eastAsia="fr-FR"/>
        </w:rPr>
        <w:t>.</w:t>
      </w:r>
    </w:p>
    <w:p w14:paraId="1A5F2D38" w14:textId="16676A41" w:rsidR="007B2433" w:rsidRPr="002462F0" w:rsidRDefault="00704D4A" w:rsidP="000641AC">
      <w:pPr>
        <w:pStyle w:val="Caption"/>
        <w:jc w:val="left"/>
      </w:pPr>
      <w:bookmarkStart w:id="1139" w:name="_Toc184808593"/>
      <w:r>
        <w:t xml:space="preserve">Table </w:t>
      </w:r>
      <w:r>
        <w:fldChar w:fldCharType="begin"/>
      </w:r>
      <w:r>
        <w:instrText xml:space="preserve"> SEQ Table \* ARABIC </w:instrText>
      </w:r>
      <w:r>
        <w:fldChar w:fldCharType="separate"/>
      </w:r>
      <w:r w:rsidR="00F14C78">
        <w:rPr>
          <w:noProof/>
        </w:rPr>
        <w:t>49</w:t>
      </w:r>
      <w:r>
        <w:fldChar w:fldCharType="end"/>
      </w:r>
      <w:r>
        <w:t xml:space="preserve">: </w:t>
      </w:r>
      <w:r w:rsidRPr="002462F0">
        <w:t>Industrial waste generation and destination</w:t>
      </w:r>
      <w:r>
        <w:t>, for the period 1990-2022, used in the Serbian inventory</w:t>
      </w:r>
      <w:bookmarkEnd w:id="1139"/>
    </w:p>
    <w:tbl>
      <w:tblPr>
        <w:tblStyle w:val="TableGrid"/>
        <w:tblW w:w="9067" w:type="dxa"/>
        <w:tblLook w:val="04A0" w:firstRow="1" w:lastRow="0" w:firstColumn="1" w:lastColumn="0" w:noHBand="0" w:noVBand="1"/>
      </w:tblPr>
      <w:tblGrid>
        <w:gridCol w:w="1555"/>
        <w:gridCol w:w="1417"/>
        <w:gridCol w:w="2410"/>
        <w:gridCol w:w="1984"/>
        <w:gridCol w:w="1701"/>
      </w:tblGrid>
      <w:tr w:rsidR="007B2433" w:rsidRPr="002462F0" w14:paraId="26E06BD5" w14:textId="77777777" w:rsidTr="000641AC">
        <w:trPr>
          <w:trHeight w:val="270"/>
          <w:tblHeader/>
        </w:trPr>
        <w:tc>
          <w:tcPr>
            <w:tcW w:w="1555" w:type="dxa"/>
            <w:shd w:val="clear" w:color="auto" w:fill="C6D9F1" w:themeFill="text2" w:themeFillTint="33"/>
            <w:noWrap/>
            <w:vAlign w:val="center"/>
          </w:tcPr>
          <w:p w14:paraId="505679F6" w14:textId="77777777" w:rsidR="007B2433" w:rsidRPr="002462F0" w:rsidRDefault="007B2433" w:rsidP="00F540CA">
            <w:pPr>
              <w:jc w:val="center"/>
              <w:rPr>
                <w:rFonts w:cs="Arial"/>
                <w:b/>
                <w:bCs/>
                <w:szCs w:val="20"/>
              </w:rPr>
            </w:pPr>
            <w:r w:rsidRPr="002462F0">
              <w:rPr>
                <w:rFonts w:cs="Arial"/>
                <w:b/>
                <w:bCs/>
                <w:szCs w:val="20"/>
              </w:rPr>
              <w:t>Year</w:t>
            </w:r>
          </w:p>
        </w:tc>
        <w:tc>
          <w:tcPr>
            <w:tcW w:w="1417" w:type="dxa"/>
            <w:shd w:val="clear" w:color="auto" w:fill="C6D9F1" w:themeFill="text2" w:themeFillTint="33"/>
            <w:noWrap/>
            <w:vAlign w:val="center"/>
          </w:tcPr>
          <w:p w14:paraId="2091AA2F" w14:textId="77777777" w:rsidR="007B2433" w:rsidRPr="002462F0" w:rsidRDefault="007B2433" w:rsidP="00F540CA">
            <w:pPr>
              <w:jc w:val="center"/>
              <w:rPr>
                <w:rFonts w:cs="Arial"/>
                <w:b/>
                <w:bCs/>
                <w:szCs w:val="20"/>
              </w:rPr>
            </w:pPr>
            <w:r w:rsidRPr="002462F0">
              <w:rPr>
                <w:rFonts w:cs="Arial"/>
                <w:b/>
                <w:bCs/>
                <w:szCs w:val="20"/>
              </w:rPr>
              <w:t>GDP</w:t>
            </w:r>
          </w:p>
          <w:p w14:paraId="0F3AA26C" w14:textId="77777777" w:rsidR="007B2433" w:rsidRPr="002462F0" w:rsidRDefault="007B2433" w:rsidP="00F540CA">
            <w:pPr>
              <w:jc w:val="center"/>
              <w:rPr>
                <w:rFonts w:cs="Arial"/>
                <w:b/>
                <w:bCs/>
                <w:szCs w:val="20"/>
              </w:rPr>
            </w:pPr>
            <w:r w:rsidRPr="002462F0">
              <w:rPr>
                <w:rFonts w:cs="Arial"/>
                <w:b/>
                <w:bCs/>
                <w:szCs w:val="20"/>
              </w:rPr>
              <w:t xml:space="preserve"> (</w:t>
            </w:r>
            <w:r w:rsidRPr="002462F0">
              <w:rPr>
                <w:rFonts w:cs="Arial"/>
                <w:b/>
                <w:szCs w:val="20"/>
              </w:rPr>
              <w:t>$ millions)</w:t>
            </w:r>
          </w:p>
        </w:tc>
        <w:tc>
          <w:tcPr>
            <w:tcW w:w="2410" w:type="dxa"/>
            <w:shd w:val="clear" w:color="auto" w:fill="C6D9F1" w:themeFill="text2" w:themeFillTint="33"/>
            <w:noWrap/>
            <w:vAlign w:val="center"/>
          </w:tcPr>
          <w:p w14:paraId="5775B870" w14:textId="77777777" w:rsidR="007B2433" w:rsidRPr="002462F0" w:rsidRDefault="007B2433" w:rsidP="00F540CA">
            <w:pPr>
              <w:jc w:val="center"/>
              <w:rPr>
                <w:rFonts w:cs="Arial"/>
                <w:b/>
                <w:bCs/>
                <w:szCs w:val="20"/>
              </w:rPr>
            </w:pPr>
            <w:r w:rsidRPr="002462F0">
              <w:rPr>
                <w:rFonts w:cs="Arial"/>
                <w:b/>
                <w:bCs/>
                <w:szCs w:val="20"/>
              </w:rPr>
              <w:t>Waste generation rate</w:t>
            </w:r>
          </w:p>
          <w:p w14:paraId="5A318B29" w14:textId="77777777" w:rsidR="007B2433" w:rsidRPr="002462F0" w:rsidRDefault="007B2433" w:rsidP="00F540CA">
            <w:pPr>
              <w:jc w:val="center"/>
              <w:rPr>
                <w:rFonts w:cs="Arial"/>
                <w:b/>
                <w:bCs/>
                <w:szCs w:val="20"/>
              </w:rPr>
            </w:pPr>
            <w:r w:rsidRPr="002462F0">
              <w:rPr>
                <w:rFonts w:cs="Arial"/>
                <w:b/>
                <w:bCs/>
                <w:szCs w:val="20"/>
              </w:rPr>
              <w:t>(</w:t>
            </w:r>
            <w:r w:rsidRPr="002462F0">
              <w:rPr>
                <w:rFonts w:cs="Arial"/>
                <w:b/>
                <w:szCs w:val="20"/>
              </w:rPr>
              <w:t>Gg/$m GDP/yr)</w:t>
            </w:r>
          </w:p>
        </w:tc>
        <w:tc>
          <w:tcPr>
            <w:tcW w:w="1984" w:type="dxa"/>
            <w:shd w:val="clear" w:color="auto" w:fill="C6D9F1" w:themeFill="text2" w:themeFillTint="33"/>
            <w:noWrap/>
            <w:vAlign w:val="center"/>
          </w:tcPr>
          <w:p w14:paraId="39B48201" w14:textId="77777777" w:rsidR="007B2433" w:rsidRPr="002462F0" w:rsidRDefault="007B2433" w:rsidP="00F540CA">
            <w:pPr>
              <w:jc w:val="center"/>
              <w:rPr>
                <w:rFonts w:cs="Arial"/>
                <w:b/>
                <w:bCs/>
                <w:szCs w:val="20"/>
              </w:rPr>
            </w:pPr>
            <w:r w:rsidRPr="002462F0">
              <w:rPr>
                <w:rFonts w:cs="Arial"/>
                <w:b/>
                <w:bCs/>
                <w:szCs w:val="20"/>
              </w:rPr>
              <w:t>Total industrial waste (Gg)</w:t>
            </w:r>
          </w:p>
        </w:tc>
        <w:tc>
          <w:tcPr>
            <w:tcW w:w="1701" w:type="dxa"/>
            <w:shd w:val="clear" w:color="auto" w:fill="C6D9F1" w:themeFill="text2" w:themeFillTint="33"/>
            <w:noWrap/>
            <w:vAlign w:val="center"/>
          </w:tcPr>
          <w:p w14:paraId="5CEC3F98" w14:textId="77777777" w:rsidR="007B2433" w:rsidRPr="002462F0" w:rsidRDefault="007B2433" w:rsidP="00F540CA">
            <w:pPr>
              <w:jc w:val="center"/>
              <w:rPr>
                <w:rFonts w:cs="Arial"/>
                <w:b/>
                <w:bCs/>
                <w:szCs w:val="20"/>
              </w:rPr>
            </w:pPr>
            <w:r w:rsidRPr="002462F0">
              <w:rPr>
                <w:rFonts w:cs="Arial"/>
                <w:b/>
                <w:bCs/>
                <w:szCs w:val="20"/>
              </w:rPr>
              <w:t xml:space="preserve">% to SWDS </w:t>
            </w:r>
          </w:p>
          <w:p w14:paraId="6E50A540" w14:textId="77777777" w:rsidR="007B2433" w:rsidRPr="002462F0" w:rsidRDefault="007B2433" w:rsidP="00F540CA">
            <w:pPr>
              <w:jc w:val="center"/>
              <w:rPr>
                <w:rFonts w:cs="Arial"/>
                <w:b/>
                <w:bCs/>
                <w:szCs w:val="20"/>
              </w:rPr>
            </w:pPr>
            <w:r w:rsidRPr="002462F0">
              <w:rPr>
                <w:rFonts w:cs="Arial"/>
                <w:b/>
                <w:bCs/>
                <w:szCs w:val="20"/>
              </w:rPr>
              <w:t>(%)</w:t>
            </w:r>
          </w:p>
        </w:tc>
      </w:tr>
      <w:tr w:rsidR="00E81307" w:rsidRPr="002462F0" w14:paraId="5A57E34B" w14:textId="77777777" w:rsidTr="005F06B5">
        <w:trPr>
          <w:trHeight w:val="270"/>
        </w:trPr>
        <w:tc>
          <w:tcPr>
            <w:tcW w:w="1555" w:type="dxa"/>
            <w:noWrap/>
          </w:tcPr>
          <w:p w14:paraId="0A958D4B"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1950-1990</w:t>
            </w:r>
          </w:p>
        </w:tc>
        <w:tc>
          <w:tcPr>
            <w:tcW w:w="1417" w:type="dxa"/>
            <w:noWrap/>
          </w:tcPr>
          <w:p w14:paraId="265A3197" w14:textId="7A7A9929" w:rsidR="00E81307" w:rsidRPr="002462F0" w:rsidRDefault="00E81307" w:rsidP="00E81307">
            <w:pPr>
              <w:autoSpaceDE w:val="0"/>
              <w:autoSpaceDN w:val="0"/>
              <w:adjustRightInd w:val="0"/>
              <w:jc w:val="center"/>
              <w:rPr>
                <w:szCs w:val="20"/>
                <w:lang w:eastAsia="fr-FR"/>
              </w:rPr>
            </w:pPr>
            <w:r w:rsidRPr="002462F0">
              <w:rPr>
                <w:szCs w:val="20"/>
                <w:lang w:eastAsia="fr-FR"/>
              </w:rPr>
              <w:t>40</w:t>
            </w:r>
            <w:r w:rsidR="00402248">
              <w:rPr>
                <w:szCs w:val="20"/>
                <w:lang w:eastAsia="fr-FR"/>
              </w:rPr>
              <w:t>,</w:t>
            </w:r>
            <w:r w:rsidRPr="002462F0">
              <w:rPr>
                <w:szCs w:val="20"/>
                <w:lang w:eastAsia="fr-FR"/>
              </w:rPr>
              <w:t>444</w:t>
            </w:r>
          </w:p>
        </w:tc>
        <w:tc>
          <w:tcPr>
            <w:tcW w:w="2410" w:type="dxa"/>
            <w:noWrap/>
          </w:tcPr>
          <w:p w14:paraId="6D2D424C" w14:textId="215C1683" w:rsidR="00E81307" w:rsidRPr="002462F0" w:rsidRDefault="00E81307" w:rsidP="00E81307">
            <w:pPr>
              <w:jc w:val="center"/>
              <w:rPr>
                <w:color w:val="000000"/>
                <w:szCs w:val="20"/>
                <w:lang w:val="fr-FR"/>
              </w:rPr>
            </w:pPr>
            <w:r w:rsidRPr="009B13D7">
              <w:t>0.144</w:t>
            </w:r>
          </w:p>
        </w:tc>
        <w:tc>
          <w:tcPr>
            <w:tcW w:w="1984" w:type="dxa"/>
            <w:noWrap/>
          </w:tcPr>
          <w:p w14:paraId="7C5552A5" w14:textId="6AD7E40A" w:rsidR="00E81307" w:rsidRPr="002462F0" w:rsidRDefault="00E81307" w:rsidP="00E81307">
            <w:pPr>
              <w:jc w:val="center"/>
              <w:rPr>
                <w:color w:val="000000"/>
                <w:szCs w:val="20"/>
                <w:lang w:val="fr-FR"/>
              </w:rPr>
            </w:pPr>
            <w:r w:rsidRPr="00C87C17">
              <w:t xml:space="preserve"> 5,817.35 </w:t>
            </w:r>
          </w:p>
        </w:tc>
        <w:tc>
          <w:tcPr>
            <w:tcW w:w="1701" w:type="dxa"/>
            <w:noWrap/>
          </w:tcPr>
          <w:p w14:paraId="705079A7" w14:textId="5F5F953A" w:rsidR="00E81307" w:rsidRPr="002462F0" w:rsidRDefault="00E81307" w:rsidP="00E81307">
            <w:pPr>
              <w:autoSpaceDE w:val="0"/>
              <w:autoSpaceDN w:val="0"/>
              <w:adjustRightInd w:val="0"/>
              <w:jc w:val="center"/>
              <w:rPr>
                <w:szCs w:val="20"/>
                <w:lang w:eastAsia="fr-FR"/>
              </w:rPr>
            </w:pPr>
            <w:r>
              <w:rPr>
                <w:szCs w:val="20"/>
                <w:lang w:eastAsia="fr-FR"/>
              </w:rPr>
              <w:t>24</w:t>
            </w:r>
            <w:r w:rsidRPr="002462F0">
              <w:rPr>
                <w:szCs w:val="20"/>
                <w:lang w:eastAsia="fr-FR"/>
              </w:rPr>
              <w:t>%</w:t>
            </w:r>
          </w:p>
        </w:tc>
      </w:tr>
      <w:tr w:rsidR="00E81307" w:rsidRPr="002462F0" w14:paraId="265381AD" w14:textId="77777777" w:rsidTr="005F06B5">
        <w:trPr>
          <w:trHeight w:val="270"/>
        </w:trPr>
        <w:tc>
          <w:tcPr>
            <w:tcW w:w="1555" w:type="dxa"/>
            <w:noWrap/>
            <w:hideMark/>
          </w:tcPr>
          <w:p w14:paraId="78B7962D"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1991</w:t>
            </w:r>
          </w:p>
        </w:tc>
        <w:tc>
          <w:tcPr>
            <w:tcW w:w="1417" w:type="dxa"/>
            <w:noWrap/>
            <w:hideMark/>
          </w:tcPr>
          <w:p w14:paraId="360925B3" w14:textId="5899DE12" w:rsidR="00E81307" w:rsidRPr="002462F0" w:rsidRDefault="00E81307" w:rsidP="00E81307">
            <w:pPr>
              <w:autoSpaceDE w:val="0"/>
              <w:autoSpaceDN w:val="0"/>
              <w:adjustRightInd w:val="0"/>
              <w:jc w:val="center"/>
              <w:rPr>
                <w:szCs w:val="20"/>
                <w:lang w:eastAsia="fr-FR"/>
              </w:rPr>
            </w:pPr>
            <w:r w:rsidRPr="002462F0">
              <w:rPr>
                <w:szCs w:val="20"/>
                <w:lang w:eastAsia="fr-FR"/>
              </w:rPr>
              <w:t>36</w:t>
            </w:r>
            <w:r w:rsidR="00402248">
              <w:rPr>
                <w:szCs w:val="20"/>
                <w:lang w:eastAsia="fr-FR"/>
              </w:rPr>
              <w:t>,</w:t>
            </w:r>
            <w:r w:rsidRPr="002462F0">
              <w:rPr>
                <w:szCs w:val="20"/>
                <w:lang w:eastAsia="fr-FR"/>
              </w:rPr>
              <w:t>915</w:t>
            </w:r>
          </w:p>
        </w:tc>
        <w:tc>
          <w:tcPr>
            <w:tcW w:w="2410" w:type="dxa"/>
            <w:noWrap/>
            <w:hideMark/>
          </w:tcPr>
          <w:p w14:paraId="17F8067E" w14:textId="5A78DF07" w:rsidR="00E81307" w:rsidRPr="002462F0" w:rsidRDefault="00E81307" w:rsidP="00E81307">
            <w:pPr>
              <w:jc w:val="center"/>
              <w:rPr>
                <w:color w:val="000000"/>
                <w:szCs w:val="20"/>
              </w:rPr>
            </w:pPr>
            <w:r w:rsidRPr="009B13D7">
              <w:t>0.132</w:t>
            </w:r>
          </w:p>
        </w:tc>
        <w:tc>
          <w:tcPr>
            <w:tcW w:w="1984" w:type="dxa"/>
            <w:noWrap/>
            <w:hideMark/>
          </w:tcPr>
          <w:p w14:paraId="211DC7AC" w14:textId="78189662" w:rsidR="00E81307" w:rsidRPr="002462F0" w:rsidRDefault="00E81307" w:rsidP="00E81307">
            <w:pPr>
              <w:jc w:val="center"/>
              <w:rPr>
                <w:color w:val="000000"/>
                <w:szCs w:val="20"/>
              </w:rPr>
            </w:pPr>
            <w:r w:rsidRPr="00C87C17">
              <w:t xml:space="preserve"> 4,856.66 </w:t>
            </w:r>
          </w:p>
        </w:tc>
        <w:tc>
          <w:tcPr>
            <w:tcW w:w="1701" w:type="dxa"/>
            <w:noWrap/>
            <w:vAlign w:val="center"/>
            <w:hideMark/>
          </w:tcPr>
          <w:p w14:paraId="0E81D84C" w14:textId="2A94C35C" w:rsidR="00E81307" w:rsidRPr="00E81307" w:rsidRDefault="00E81307" w:rsidP="00E81307">
            <w:pPr>
              <w:autoSpaceDE w:val="0"/>
              <w:autoSpaceDN w:val="0"/>
              <w:adjustRightInd w:val="0"/>
              <w:jc w:val="center"/>
              <w:rPr>
                <w:szCs w:val="20"/>
                <w:lang w:eastAsia="fr-FR"/>
              </w:rPr>
            </w:pPr>
            <w:r w:rsidRPr="00E81307">
              <w:rPr>
                <w:rFonts w:cs="Arial"/>
                <w:szCs w:val="20"/>
              </w:rPr>
              <w:t>23%</w:t>
            </w:r>
          </w:p>
        </w:tc>
      </w:tr>
      <w:tr w:rsidR="00E81307" w:rsidRPr="002462F0" w14:paraId="23C22627" w14:textId="77777777" w:rsidTr="005F06B5">
        <w:trPr>
          <w:trHeight w:val="270"/>
        </w:trPr>
        <w:tc>
          <w:tcPr>
            <w:tcW w:w="1555" w:type="dxa"/>
            <w:noWrap/>
            <w:hideMark/>
          </w:tcPr>
          <w:p w14:paraId="6CA287D0"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1992</w:t>
            </w:r>
          </w:p>
        </w:tc>
        <w:tc>
          <w:tcPr>
            <w:tcW w:w="1417" w:type="dxa"/>
            <w:noWrap/>
            <w:hideMark/>
          </w:tcPr>
          <w:p w14:paraId="324118B8" w14:textId="1D5A44FB" w:rsidR="00E81307" w:rsidRPr="002462F0" w:rsidRDefault="00E81307" w:rsidP="00E81307">
            <w:pPr>
              <w:autoSpaceDE w:val="0"/>
              <w:autoSpaceDN w:val="0"/>
              <w:adjustRightInd w:val="0"/>
              <w:jc w:val="center"/>
              <w:rPr>
                <w:szCs w:val="20"/>
                <w:lang w:eastAsia="fr-FR"/>
              </w:rPr>
            </w:pPr>
            <w:r w:rsidRPr="002462F0">
              <w:rPr>
                <w:szCs w:val="20"/>
                <w:lang w:eastAsia="fr-FR"/>
              </w:rPr>
              <w:t>27</w:t>
            </w:r>
            <w:r w:rsidR="00402248">
              <w:rPr>
                <w:szCs w:val="20"/>
                <w:lang w:eastAsia="fr-FR"/>
              </w:rPr>
              <w:t>,</w:t>
            </w:r>
            <w:r w:rsidRPr="002462F0">
              <w:rPr>
                <w:szCs w:val="20"/>
                <w:lang w:eastAsia="fr-FR"/>
              </w:rPr>
              <w:t>132</w:t>
            </w:r>
          </w:p>
        </w:tc>
        <w:tc>
          <w:tcPr>
            <w:tcW w:w="2410" w:type="dxa"/>
            <w:noWrap/>
            <w:hideMark/>
          </w:tcPr>
          <w:p w14:paraId="065E22E3" w14:textId="26B93C0F" w:rsidR="00E81307" w:rsidRPr="002462F0" w:rsidRDefault="00E81307" w:rsidP="00E81307">
            <w:pPr>
              <w:jc w:val="center"/>
              <w:rPr>
                <w:color w:val="000000"/>
                <w:szCs w:val="20"/>
              </w:rPr>
            </w:pPr>
            <w:r w:rsidRPr="009B13D7">
              <w:t>0.097</w:t>
            </w:r>
          </w:p>
        </w:tc>
        <w:tc>
          <w:tcPr>
            <w:tcW w:w="1984" w:type="dxa"/>
            <w:noWrap/>
            <w:hideMark/>
          </w:tcPr>
          <w:p w14:paraId="646D2259" w14:textId="6C9085F6" w:rsidR="00E81307" w:rsidRPr="002462F0" w:rsidRDefault="00E81307" w:rsidP="00E81307">
            <w:pPr>
              <w:jc w:val="center"/>
              <w:rPr>
                <w:color w:val="000000"/>
                <w:szCs w:val="20"/>
              </w:rPr>
            </w:pPr>
            <w:r w:rsidRPr="00C87C17">
              <w:t xml:space="preserve"> 2,626.02 </w:t>
            </w:r>
          </w:p>
        </w:tc>
        <w:tc>
          <w:tcPr>
            <w:tcW w:w="1701" w:type="dxa"/>
            <w:noWrap/>
            <w:vAlign w:val="center"/>
            <w:hideMark/>
          </w:tcPr>
          <w:p w14:paraId="49CB9FE6" w14:textId="263BDF37" w:rsidR="00E81307" w:rsidRPr="00E81307" w:rsidRDefault="00E81307" w:rsidP="00E81307">
            <w:pPr>
              <w:autoSpaceDE w:val="0"/>
              <w:autoSpaceDN w:val="0"/>
              <w:adjustRightInd w:val="0"/>
              <w:jc w:val="center"/>
              <w:rPr>
                <w:szCs w:val="20"/>
                <w:lang w:eastAsia="fr-FR"/>
              </w:rPr>
            </w:pPr>
            <w:r w:rsidRPr="00E81307">
              <w:rPr>
                <w:rFonts w:cs="Arial"/>
                <w:szCs w:val="20"/>
              </w:rPr>
              <w:t>22%</w:t>
            </w:r>
          </w:p>
        </w:tc>
      </w:tr>
      <w:tr w:rsidR="00E81307" w:rsidRPr="002462F0" w14:paraId="4F4E649B" w14:textId="77777777" w:rsidTr="005F06B5">
        <w:trPr>
          <w:trHeight w:val="270"/>
        </w:trPr>
        <w:tc>
          <w:tcPr>
            <w:tcW w:w="1555" w:type="dxa"/>
            <w:noWrap/>
            <w:hideMark/>
          </w:tcPr>
          <w:p w14:paraId="6A3E79B6"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1993</w:t>
            </w:r>
          </w:p>
        </w:tc>
        <w:tc>
          <w:tcPr>
            <w:tcW w:w="1417" w:type="dxa"/>
            <w:noWrap/>
            <w:hideMark/>
          </w:tcPr>
          <w:p w14:paraId="79D02942" w14:textId="1B113424" w:rsidR="00E81307" w:rsidRPr="002462F0" w:rsidRDefault="00E81307" w:rsidP="00E81307">
            <w:pPr>
              <w:autoSpaceDE w:val="0"/>
              <w:autoSpaceDN w:val="0"/>
              <w:adjustRightInd w:val="0"/>
              <w:jc w:val="center"/>
              <w:rPr>
                <w:szCs w:val="20"/>
                <w:lang w:eastAsia="fr-FR"/>
              </w:rPr>
            </w:pPr>
            <w:r w:rsidRPr="002462F0">
              <w:rPr>
                <w:szCs w:val="20"/>
                <w:lang w:eastAsia="fr-FR"/>
              </w:rPr>
              <w:t>19</w:t>
            </w:r>
            <w:r w:rsidR="00402248">
              <w:rPr>
                <w:szCs w:val="20"/>
                <w:lang w:eastAsia="fr-FR"/>
              </w:rPr>
              <w:t>,</w:t>
            </w:r>
            <w:r w:rsidRPr="002462F0">
              <w:rPr>
                <w:szCs w:val="20"/>
                <w:lang w:eastAsia="fr-FR"/>
              </w:rPr>
              <w:t>325</w:t>
            </w:r>
          </w:p>
        </w:tc>
        <w:tc>
          <w:tcPr>
            <w:tcW w:w="2410" w:type="dxa"/>
            <w:noWrap/>
            <w:hideMark/>
          </w:tcPr>
          <w:p w14:paraId="41CBC9A1" w14:textId="17291A89" w:rsidR="00E81307" w:rsidRPr="002462F0" w:rsidRDefault="00E81307" w:rsidP="00E81307">
            <w:pPr>
              <w:jc w:val="center"/>
              <w:rPr>
                <w:color w:val="000000"/>
                <w:szCs w:val="20"/>
              </w:rPr>
            </w:pPr>
            <w:r w:rsidRPr="009B13D7">
              <w:t>0.069</w:t>
            </w:r>
          </w:p>
        </w:tc>
        <w:tc>
          <w:tcPr>
            <w:tcW w:w="1984" w:type="dxa"/>
            <w:noWrap/>
            <w:hideMark/>
          </w:tcPr>
          <w:p w14:paraId="4202FAAF" w14:textId="08E64058" w:rsidR="00E81307" w:rsidRPr="002462F0" w:rsidRDefault="00E81307" w:rsidP="00E81307">
            <w:pPr>
              <w:jc w:val="center"/>
              <w:rPr>
                <w:color w:val="000000"/>
                <w:szCs w:val="20"/>
              </w:rPr>
            </w:pPr>
            <w:r w:rsidRPr="00C87C17">
              <w:t xml:space="preserve"> 1,329.81 </w:t>
            </w:r>
          </w:p>
        </w:tc>
        <w:tc>
          <w:tcPr>
            <w:tcW w:w="1701" w:type="dxa"/>
            <w:noWrap/>
            <w:vAlign w:val="center"/>
            <w:hideMark/>
          </w:tcPr>
          <w:p w14:paraId="0757D336" w14:textId="28BA4BF1" w:rsidR="00E81307" w:rsidRPr="00E81307" w:rsidRDefault="00E81307" w:rsidP="00E81307">
            <w:pPr>
              <w:autoSpaceDE w:val="0"/>
              <w:autoSpaceDN w:val="0"/>
              <w:adjustRightInd w:val="0"/>
              <w:jc w:val="center"/>
              <w:rPr>
                <w:szCs w:val="20"/>
                <w:lang w:eastAsia="fr-FR"/>
              </w:rPr>
            </w:pPr>
            <w:r w:rsidRPr="00E81307">
              <w:rPr>
                <w:rFonts w:cs="Arial"/>
                <w:szCs w:val="20"/>
              </w:rPr>
              <w:t>21%</w:t>
            </w:r>
          </w:p>
        </w:tc>
      </w:tr>
      <w:tr w:rsidR="00E81307" w:rsidRPr="002462F0" w14:paraId="031090CB" w14:textId="77777777" w:rsidTr="005F06B5">
        <w:trPr>
          <w:trHeight w:val="270"/>
        </w:trPr>
        <w:tc>
          <w:tcPr>
            <w:tcW w:w="1555" w:type="dxa"/>
            <w:noWrap/>
            <w:hideMark/>
          </w:tcPr>
          <w:p w14:paraId="0D766BAC"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1994</w:t>
            </w:r>
          </w:p>
        </w:tc>
        <w:tc>
          <w:tcPr>
            <w:tcW w:w="1417" w:type="dxa"/>
            <w:noWrap/>
            <w:hideMark/>
          </w:tcPr>
          <w:p w14:paraId="130D6567" w14:textId="100975ED" w:rsidR="00E81307" w:rsidRPr="002462F0" w:rsidRDefault="00E81307" w:rsidP="00E81307">
            <w:pPr>
              <w:autoSpaceDE w:val="0"/>
              <w:autoSpaceDN w:val="0"/>
              <w:adjustRightInd w:val="0"/>
              <w:jc w:val="center"/>
              <w:rPr>
                <w:szCs w:val="20"/>
                <w:lang w:eastAsia="fr-FR"/>
              </w:rPr>
            </w:pPr>
            <w:r w:rsidRPr="002462F0">
              <w:rPr>
                <w:szCs w:val="20"/>
                <w:lang w:eastAsia="fr-FR"/>
              </w:rPr>
              <w:t>20</w:t>
            </w:r>
            <w:r w:rsidR="00402248">
              <w:rPr>
                <w:szCs w:val="20"/>
                <w:lang w:eastAsia="fr-FR"/>
              </w:rPr>
              <w:t>,</w:t>
            </w:r>
            <w:r w:rsidRPr="002462F0">
              <w:rPr>
                <w:szCs w:val="20"/>
                <w:lang w:eastAsia="fr-FR"/>
              </w:rPr>
              <w:t>249</w:t>
            </w:r>
          </w:p>
        </w:tc>
        <w:tc>
          <w:tcPr>
            <w:tcW w:w="2410" w:type="dxa"/>
            <w:noWrap/>
            <w:hideMark/>
          </w:tcPr>
          <w:p w14:paraId="03F7D193" w14:textId="5492A257" w:rsidR="00E81307" w:rsidRPr="002462F0" w:rsidRDefault="00E81307" w:rsidP="00E81307">
            <w:pPr>
              <w:jc w:val="center"/>
              <w:rPr>
                <w:color w:val="000000"/>
                <w:szCs w:val="20"/>
              </w:rPr>
            </w:pPr>
            <w:r w:rsidRPr="009B13D7">
              <w:t>0.072</w:t>
            </w:r>
          </w:p>
        </w:tc>
        <w:tc>
          <w:tcPr>
            <w:tcW w:w="1984" w:type="dxa"/>
            <w:noWrap/>
            <w:hideMark/>
          </w:tcPr>
          <w:p w14:paraId="552FADDF" w14:textId="07C3811F" w:rsidR="00E81307" w:rsidRPr="002462F0" w:rsidRDefault="00E81307" w:rsidP="00E81307">
            <w:pPr>
              <w:jc w:val="center"/>
              <w:rPr>
                <w:color w:val="000000"/>
                <w:szCs w:val="20"/>
              </w:rPr>
            </w:pPr>
            <w:r w:rsidRPr="00C87C17">
              <w:t xml:space="preserve"> 1,459.46 </w:t>
            </w:r>
          </w:p>
        </w:tc>
        <w:tc>
          <w:tcPr>
            <w:tcW w:w="1701" w:type="dxa"/>
            <w:noWrap/>
            <w:vAlign w:val="center"/>
            <w:hideMark/>
          </w:tcPr>
          <w:p w14:paraId="212E2A11" w14:textId="384A967A" w:rsidR="00E81307" w:rsidRPr="00E81307" w:rsidRDefault="00E81307" w:rsidP="00E81307">
            <w:pPr>
              <w:autoSpaceDE w:val="0"/>
              <w:autoSpaceDN w:val="0"/>
              <w:adjustRightInd w:val="0"/>
              <w:jc w:val="center"/>
              <w:rPr>
                <w:szCs w:val="20"/>
                <w:lang w:eastAsia="fr-FR"/>
              </w:rPr>
            </w:pPr>
            <w:r w:rsidRPr="00E81307">
              <w:rPr>
                <w:rFonts w:cs="Arial"/>
                <w:szCs w:val="20"/>
              </w:rPr>
              <w:t>20%</w:t>
            </w:r>
          </w:p>
        </w:tc>
      </w:tr>
      <w:tr w:rsidR="00E81307" w:rsidRPr="002462F0" w14:paraId="52B498E5" w14:textId="77777777" w:rsidTr="005F06B5">
        <w:trPr>
          <w:trHeight w:val="270"/>
        </w:trPr>
        <w:tc>
          <w:tcPr>
            <w:tcW w:w="1555" w:type="dxa"/>
            <w:noWrap/>
            <w:hideMark/>
          </w:tcPr>
          <w:p w14:paraId="2D8F5B38"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1995</w:t>
            </w:r>
          </w:p>
        </w:tc>
        <w:tc>
          <w:tcPr>
            <w:tcW w:w="1417" w:type="dxa"/>
            <w:noWrap/>
            <w:hideMark/>
          </w:tcPr>
          <w:p w14:paraId="6FAB31E9" w14:textId="25C7EE78" w:rsidR="00E81307" w:rsidRPr="002462F0" w:rsidRDefault="00E81307" w:rsidP="00E81307">
            <w:pPr>
              <w:autoSpaceDE w:val="0"/>
              <w:autoSpaceDN w:val="0"/>
              <w:adjustRightInd w:val="0"/>
              <w:jc w:val="center"/>
              <w:rPr>
                <w:szCs w:val="20"/>
                <w:lang w:eastAsia="fr-FR"/>
              </w:rPr>
            </w:pPr>
            <w:r w:rsidRPr="002462F0">
              <w:rPr>
                <w:szCs w:val="20"/>
                <w:lang w:eastAsia="fr-FR"/>
              </w:rPr>
              <w:t>16</w:t>
            </w:r>
            <w:r w:rsidR="00402248">
              <w:rPr>
                <w:szCs w:val="20"/>
                <w:lang w:eastAsia="fr-FR"/>
              </w:rPr>
              <w:t>,</w:t>
            </w:r>
            <w:r w:rsidRPr="002462F0">
              <w:rPr>
                <w:szCs w:val="20"/>
                <w:lang w:eastAsia="fr-FR"/>
              </w:rPr>
              <w:t>750</w:t>
            </w:r>
          </w:p>
        </w:tc>
        <w:tc>
          <w:tcPr>
            <w:tcW w:w="2410" w:type="dxa"/>
            <w:noWrap/>
            <w:hideMark/>
          </w:tcPr>
          <w:p w14:paraId="15A69BD4" w14:textId="522EED5F" w:rsidR="00E81307" w:rsidRPr="002462F0" w:rsidRDefault="00E81307" w:rsidP="00E81307">
            <w:pPr>
              <w:jc w:val="center"/>
              <w:rPr>
                <w:color w:val="000000"/>
                <w:szCs w:val="20"/>
              </w:rPr>
            </w:pPr>
            <w:r w:rsidRPr="009B13D7">
              <w:t>0.078</w:t>
            </w:r>
          </w:p>
        </w:tc>
        <w:tc>
          <w:tcPr>
            <w:tcW w:w="1984" w:type="dxa"/>
            <w:noWrap/>
            <w:hideMark/>
          </w:tcPr>
          <w:p w14:paraId="33B4C1F3" w14:textId="30D62A3F" w:rsidR="00E81307" w:rsidRPr="002462F0" w:rsidRDefault="00E81307" w:rsidP="00E81307">
            <w:pPr>
              <w:jc w:val="center"/>
              <w:rPr>
                <w:color w:val="000000"/>
                <w:szCs w:val="20"/>
              </w:rPr>
            </w:pPr>
            <w:r w:rsidRPr="00C87C17">
              <w:t xml:space="preserve"> 1,302.40 </w:t>
            </w:r>
          </w:p>
        </w:tc>
        <w:tc>
          <w:tcPr>
            <w:tcW w:w="1701" w:type="dxa"/>
            <w:noWrap/>
            <w:vAlign w:val="center"/>
            <w:hideMark/>
          </w:tcPr>
          <w:p w14:paraId="38814804" w14:textId="3FF30B21" w:rsidR="00E81307" w:rsidRPr="00E81307" w:rsidRDefault="00E81307" w:rsidP="00E81307">
            <w:pPr>
              <w:autoSpaceDE w:val="0"/>
              <w:autoSpaceDN w:val="0"/>
              <w:adjustRightInd w:val="0"/>
              <w:jc w:val="center"/>
              <w:rPr>
                <w:szCs w:val="20"/>
                <w:lang w:eastAsia="fr-FR"/>
              </w:rPr>
            </w:pPr>
            <w:r w:rsidRPr="00E81307">
              <w:rPr>
                <w:rFonts w:cs="Arial"/>
                <w:szCs w:val="20"/>
              </w:rPr>
              <w:t>19%</w:t>
            </w:r>
          </w:p>
        </w:tc>
      </w:tr>
      <w:tr w:rsidR="00E81307" w:rsidRPr="002462F0" w14:paraId="104E6DD5" w14:textId="77777777" w:rsidTr="005F06B5">
        <w:trPr>
          <w:trHeight w:val="270"/>
        </w:trPr>
        <w:tc>
          <w:tcPr>
            <w:tcW w:w="1555" w:type="dxa"/>
            <w:noWrap/>
            <w:hideMark/>
          </w:tcPr>
          <w:p w14:paraId="755A620E"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1996</w:t>
            </w:r>
          </w:p>
        </w:tc>
        <w:tc>
          <w:tcPr>
            <w:tcW w:w="1417" w:type="dxa"/>
            <w:noWrap/>
            <w:hideMark/>
          </w:tcPr>
          <w:p w14:paraId="27709D43" w14:textId="4909E351" w:rsidR="00E81307" w:rsidRPr="002462F0" w:rsidRDefault="00E81307" w:rsidP="00E81307">
            <w:pPr>
              <w:autoSpaceDE w:val="0"/>
              <w:autoSpaceDN w:val="0"/>
              <w:adjustRightInd w:val="0"/>
              <w:jc w:val="center"/>
              <w:rPr>
                <w:szCs w:val="20"/>
                <w:lang w:eastAsia="fr-FR"/>
              </w:rPr>
            </w:pPr>
            <w:r w:rsidRPr="002462F0">
              <w:rPr>
                <w:szCs w:val="20"/>
                <w:lang w:eastAsia="fr-FR"/>
              </w:rPr>
              <w:t>20</w:t>
            </w:r>
            <w:r w:rsidR="00402248">
              <w:rPr>
                <w:szCs w:val="20"/>
                <w:lang w:eastAsia="fr-FR"/>
              </w:rPr>
              <w:t>,</w:t>
            </w:r>
            <w:r w:rsidRPr="002462F0">
              <w:rPr>
                <w:szCs w:val="20"/>
                <w:lang w:eastAsia="fr-FR"/>
              </w:rPr>
              <w:t>949</w:t>
            </w:r>
          </w:p>
        </w:tc>
        <w:tc>
          <w:tcPr>
            <w:tcW w:w="2410" w:type="dxa"/>
            <w:noWrap/>
            <w:hideMark/>
          </w:tcPr>
          <w:p w14:paraId="264DD5A7" w14:textId="767C9315" w:rsidR="00E81307" w:rsidRPr="002462F0" w:rsidRDefault="00E81307" w:rsidP="00E81307">
            <w:pPr>
              <w:jc w:val="center"/>
              <w:rPr>
                <w:color w:val="000000"/>
                <w:szCs w:val="20"/>
              </w:rPr>
            </w:pPr>
            <w:r w:rsidRPr="009B13D7">
              <w:t>0.083</w:t>
            </w:r>
          </w:p>
        </w:tc>
        <w:tc>
          <w:tcPr>
            <w:tcW w:w="1984" w:type="dxa"/>
            <w:noWrap/>
            <w:hideMark/>
          </w:tcPr>
          <w:p w14:paraId="130A37FF" w14:textId="0CCE0897" w:rsidR="00E81307" w:rsidRPr="002462F0" w:rsidRDefault="00E81307" w:rsidP="00E81307">
            <w:pPr>
              <w:jc w:val="center"/>
              <w:rPr>
                <w:color w:val="000000"/>
                <w:szCs w:val="20"/>
              </w:rPr>
            </w:pPr>
            <w:r w:rsidRPr="00C87C17">
              <w:t xml:space="preserve"> 1,737.25 </w:t>
            </w:r>
          </w:p>
        </w:tc>
        <w:tc>
          <w:tcPr>
            <w:tcW w:w="1701" w:type="dxa"/>
            <w:noWrap/>
            <w:vAlign w:val="center"/>
            <w:hideMark/>
          </w:tcPr>
          <w:p w14:paraId="0A12DA54" w14:textId="6F1C9429" w:rsidR="00E81307" w:rsidRPr="00E81307" w:rsidRDefault="00E81307" w:rsidP="00E81307">
            <w:pPr>
              <w:autoSpaceDE w:val="0"/>
              <w:autoSpaceDN w:val="0"/>
              <w:adjustRightInd w:val="0"/>
              <w:jc w:val="center"/>
              <w:rPr>
                <w:szCs w:val="20"/>
                <w:lang w:eastAsia="fr-FR"/>
              </w:rPr>
            </w:pPr>
            <w:r w:rsidRPr="00E81307">
              <w:rPr>
                <w:rFonts w:cs="Arial"/>
                <w:szCs w:val="20"/>
              </w:rPr>
              <w:t>18%</w:t>
            </w:r>
          </w:p>
        </w:tc>
      </w:tr>
      <w:tr w:rsidR="00E81307" w:rsidRPr="002462F0" w14:paraId="7CDFA6EE" w14:textId="77777777" w:rsidTr="005F06B5">
        <w:trPr>
          <w:trHeight w:val="270"/>
        </w:trPr>
        <w:tc>
          <w:tcPr>
            <w:tcW w:w="1555" w:type="dxa"/>
            <w:noWrap/>
            <w:hideMark/>
          </w:tcPr>
          <w:p w14:paraId="2BD84964"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1997</w:t>
            </w:r>
          </w:p>
        </w:tc>
        <w:tc>
          <w:tcPr>
            <w:tcW w:w="1417" w:type="dxa"/>
            <w:noWrap/>
            <w:hideMark/>
          </w:tcPr>
          <w:p w14:paraId="23843FF8" w14:textId="019728F0" w:rsidR="00E81307" w:rsidRPr="002462F0" w:rsidRDefault="00E81307" w:rsidP="00E81307">
            <w:pPr>
              <w:autoSpaceDE w:val="0"/>
              <w:autoSpaceDN w:val="0"/>
              <w:adjustRightInd w:val="0"/>
              <w:jc w:val="center"/>
              <w:rPr>
                <w:szCs w:val="20"/>
                <w:lang w:eastAsia="fr-FR"/>
              </w:rPr>
            </w:pPr>
            <w:r w:rsidRPr="002462F0">
              <w:rPr>
                <w:szCs w:val="20"/>
                <w:lang w:eastAsia="fr-FR"/>
              </w:rPr>
              <w:t>24</w:t>
            </w:r>
            <w:r w:rsidR="00402248">
              <w:rPr>
                <w:szCs w:val="20"/>
                <w:lang w:eastAsia="fr-FR"/>
              </w:rPr>
              <w:t>,</w:t>
            </w:r>
            <w:r w:rsidRPr="002462F0">
              <w:rPr>
                <w:szCs w:val="20"/>
                <w:lang w:eastAsia="fr-FR"/>
              </w:rPr>
              <w:t>148</w:t>
            </w:r>
          </w:p>
        </w:tc>
        <w:tc>
          <w:tcPr>
            <w:tcW w:w="2410" w:type="dxa"/>
            <w:noWrap/>
            <w:hideMark/>
          </w:tcPr>
          <w:p w14:paraId="2396E13E" w14:textId="012F6C87" w:rsidR="00E81307" w:rsidRPr="002462F0" w:rsidRDefault="00E81307" w:rsidP="00E81307">
            <w:pPr>
              <w:jc w:val="center"/>
              <w:rPr>
                <w:color w:val="000000"/>
                <w:szCs w:val="20"/>
              </w:rPr>
            </w:pPr>
            <w:r w:rsidRPr="009B13D7">
              <w:t>0.081</w:t>
            </w:r>
          </w:p>
        </w:tc>
        <w:tc>
          <w:tcPr>
            <w:tcW w:w="1984" w:type="dxa"/>
            <w:noWrap/>
            <w:hideMark/>
          </w:tcPr>
          <w:p w14:paraId="6E4BBA53" w14:textId="57C59288" w:rsidR="00E81307" w:rsidRPr="002462F0" w:rsidRDefault="00E81307" w:rsidP="00E81307">
            <w:pPr>
              <w:jc w:val="center"/>
              <w:rPr>
                <w:color w:val="000000"/>
                <w:szCs w:val="20"/>
              </w:rPr>
            </w:pPr>
            <w:r w:rsidRPr="00C87C17">
              <w:t xml:space="preserve"> 1,947.59 </w:t>
            </w:r>
          </w:p>
        </w:tc>
        <w:tc>
          <w:tcPr>
            <w:tcW w:w="1701" w:type="dxa"/>
            <w:noWrap/>
            <w:vAlign w:val="center"/>
            <w:hideMark/>
          </w:tcPr>
          <w:p w14:paraId="6A37E1D5" w14:textId="06C7C8D7" w:rsidR="00E81307" w:rsidRPr="00E81307" w:rsidRDefault="00E81307" w:rsidP="00E81307">
            <w:pPr>
              <w:autoSpaceDE w:val="0"/>
              <w:autoSpaceDN w:val="0"/>
              <w:adjustRightInd w:val="0"/>
              <w:jc w:val="center"/>
              <w:rPr>
                <w:szCs w:val="20"/>
                <w:lang w:eastAsia="fr-FR"/>
              </w:rPr>
            </w:pPr>
            <w:r w:rsidRPr="00E81307">
              <w:rPr>
                <w:rFonts w:cs="Arial"/>
                <w:szCs w:val="20"/>
              </w:rPr>
              <w:t>17%</w:t>
            </w:r>
          </w:p>
        </w:tc>
      </w:tr>
      <w:tr w:rsidR="00E81307" w:rsidRPr="002462F0" w14:paraId="54440B66" w14:textId="77777777" w:rsidTr="005F06B5">
        <w:trPr>
          <w:trHeight w:val="270"/>
        </w:trPr>
        <w:tc>
          <w:tcPr>
            <w:tcW w:w="1555" w:type="dxa"/>
            <w:noWrap/>
            <w:hideMark/>
          </w:tcPr>
          <w:p w14:paraId="2B13F0A6"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1998</w:t>
            </w:r>
          </w:p>
        </w:tc>
        <w:tc>
          <w:tcPr>
            <w:tcW w:w="1417" w:type="dxa"/>
            <w:noWrap/>
            <w:hideMark/>
          </w:tcPr>
          <w:p w14:paraId="3703D145" w14:textId="5E645083" w:rsidR="00E81307" w:rsidRPr="002462F0" w:rsidRDefault="00E81307" w:rsidP="00E81307">
            <w:pPr>
              <w:autoSpaceDE w:val="0"/>
              <w:autoSpaceDN w:val="0"/>
              <w:adjustRightInd w:val="0"/>
              <w:jc w:val="center"/>
              <w:rPr>
                <w:szCs w:val="20"/>
                <w:lang w:eastAsia="fr-FR"/>
              </w:rPr>
            </w:pPr>
            <w:r w:rsidRPr="002462F0">
              <w:rPr>
                <w:szCs w:val="20"/>
                <w:lang w:eastAsia="fr-FR"/>
              </w:rPr>
              <w:t>18</w:t>
            </w:r>
            <w:r w:rsidR="002F07DA">
              <w:rPr>
                <w:szCs w:val="20"/>
                <w:lang w:eastAsia="fr-FR"/>
              </w:rPr>
              <w:t>,</w:t>
            </w:r>
            <w:r w:rsidRPr="002462F0">
              <w:rPr>
                <w:szCs w:val="20"/>
                <w:lang w:eastAsia="fr-FR"/>
              </w:rPr>
              <w:t>284</w:t>
            </w:r>
          </w:p>
        </w:tc>
        <w:tc>
          <w:tcPr>
            <w:tcW w:w="2410" w:type="dxa"/>
            <w:noWrap/>
            <w:hideMark/>
          </w:tcPr>
          <w:p w14:paraId="28800A0D" w14:textId="6003CF3C" w:rsidR="00E81307" w:rsidRPr="002462F0" w:rsidRDefault="00E81307" w:rsidP="00E81307">
            <w:pPr>
              <w:jc w:val="center"/>
              <w:rPr>
                <w:color w:val="000000"/>
                <w:szCs w:val="20"/>
              </w:rPr>
            </w:pPr>
            <w:r w:rsidRPr="009B13D7">
              <w:t>0.075</w:t>
            </w:r>
          </w:p>
        </w:tc>
        <w:tc>
          <w:tcPr>
            <w:tcW w:w="1984" w:type="dxa"/>
            <w:noWrap/>
            <w:hideMark/>
          </w:tcPr>
          <w:p w14:paraId="530E6139" w14:textId="1BB73DD6" w:rsidR="00E81307" w:rsidRPr="002462F0" w:rsidRDefault="00E81307" w:rsidP="00E81307">
            <w:pPr>
              <w:jc w:val="center"/>
              <w:rPr>
                <w:color w:val="000000"/>
                <w:szCs w:val="20"/>
              </w:rPr>
            </w:pPr>
            <w:r w:rsidRPr="00C87C17">
              <w:t xml:space="preserve"> 1,378.47 </w:t>
            </w:r>
          </w:p>
        </w:tc>
        <w:tc>
          <w:tcPr>
            <w:tcW w:w="1701" w:type="dxa"/>
            <w:noWrap/>
            <w:vAlign w:val="center"/>
            <w:hideMark/>
          </w:tcPr>
          <w:p w14:paraId="69B4B301" w14:textId="314490FF" w:rsidR="00E81307" w:rsidRPr="00E81307" w:rsidRDefault="00E81307" w:rsidP="00E81307">
            <w:pPr>
              <w:autoSpaceDE w:val="0"/>
              <w:autoSpaceDN w:val="0"/>
              <w:adjustRightInd w:val="0"/>
              <w:jc w:val="center"/>
              <w:rPr>
                <w:szCs w:val="20"/>
                <w:lang w:eastAsia="fr-FR"/>
              </w:rPr>
            </w:pPr>
            <w:r w:rsidRPr="00E81307">
              <w:rPr>
                <w:rFonts w:cs="Arial"/>
                <w:szCs w:val="20"/>
              </w:rPr>
              <w:t>16%</w:t>
            </w:r>
          </w:p>
        </w:tc>
      </w:tr>
      <w:tr w:rsidR="00E81307" w:rsidRPr="002462F0" w14:paraId="46E004F9" w14:textId="77777777" w:rsidTr="005F06B5">
        <w:trPr>
          <w:trHeight w:val="270"/>
        </w:trPr>
        <w:tc>
          <w:tcPr>
            <w:tcW w:w="1555" w:type="dxa"/>
            <w:noWrap/>
            <w:hideMark/>
          </w:tcPr>
          <w:p w14:paraId="51762052"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1999</w:t>
            </w:r>
          </w:p>
        </w:tc>
        <w:tc>
          <w:tcPr>
            <w:tcW w:w="1417" w:type="dxa"/>
            <w:noWrap/>
            <w:hideMark/>
          </w:tcPr>
          <w:p w14:paraId="3BC2C294" w14:textId="615ABA6E" w:rsidR="00E81307" w:rsidRPr="002462F0" w:rsidRDefault="00E81307" w:rsidP="00E81307">
            <w:pPr>
              <w:autoSpaceDE w:val="0"/>
              <w:autoSpaceDN w:val="0"/>
              <w:adjustRightInd w:val="0"/>
              <w:jc w:val="center"/>
              <w:rPr>
                <w:szCs w:val="20"/>
                <w:lang w:eastAsia="fr-FR"/>
              </w:rPr>
            </w:pPr>
            <w:r w:rsidRPr="002462F0">
              <w:rPr>
                <w:szCs w:val="20"/>
                <w:lang w:eastAsia="fr-FR"/>
              </w:rPr>
              <w:t>18</w:t>
            </w:r>
            <w:r w:rsidR="002F07DA">
              <w:rPr>
                <w:szCs w:val="20"/>
                <w:lang w:eastAsia="fr-FR"/>
              </w:rPr>
              <w:t>,</w:t>
            </w:r>
            <w:r w:rsidRPr="002462F0">
              <w:rPr>
                <w:szCs w:val="20"/>
                <w:lang w:eastAsia="fr-FR"/>
              </w:rPr>
              <w:t>409</w:t>
            </w:r>
          </w:p>
        </w:tc>
        <w:tc>
          <w:tcPr>
            <w:tcW w:w="2410" w:type="dxa"/>
            <w:noWrap/>
            <w:hideMark/>
          </w:tcPr>
          <w:p w14:paraId="39AF8AF9" w14:textId="57E6A1B5" w:rsidR="00E81307" w:rsidRPr="002462F0" w:rsidRDefault="00E81307" w:rsidP="00E81307">
            <w:pPr>
              <w:jc w:val="center"/>
              <w:rPr>
                <w:color w:val="000000"/>
                <w:szCs w:val="20"/>
              </w:rPr>
            </w:pPr>
            <w:r w:rsidRPr="009B13D7">
              <w:t>0.048</w:t>
            </w:r>
          </w:p>
        </w:tc>
        <w:tc>
          <w:tcPr>
            <w:tcW w:w="1984" w:type="dxa"/>
            <w:noWrap/>
            <w:hideMark/>
          </w:tcPr>
          <w:p w14:paraId="1E7338D1" w14:textId="2D286FE6" w:rsidR="00E81307" w:rsidRPr="002462F0" w:rsidRDefault="00E81307" w:rsidP="00E81307">
            <w:pPr>
              <w:jc w:val="center"/>
              <w:rPr>
                <w:color w:val="000000"/>
                <w:szCs w:val="20"/>
              </w:rPr>
            </w:pPr>
            <w:r w:rsidRPr="00C87C17">
              <w:t xml:space="preserve"> 888.09 </w:t>
            </w:r>
          </w:p>
        </w:tc>
        <w:tc>
          <w:tcPr>
            <w:tcW w:w="1701" w:type="dxa"/>
            <w:noWrap/>
            <w:vAlign w:val="center"/>
            <w:hideMark/>
          </w:tcPr>
          <w:p w14:paraId="455772E8" w14:textId="4D92E11B" w:rsidR="00E81307" w:rsidRPr="00E81307" w:rsidRDefault="00E81307" w:rsidP="00E81307">
            <w:pPr>
              <w:autoSpaceDE w:val="0"/>
              <w:autoSpaceDN w:val="0"/>
              <w:adjustRightInd w:val="0"/>
              <w:jc w:val="center"/>
              <w:rPr>
                <w:szCs w:val="20"/>
                <w:lang w:eastAsia="fr-FR"/>
              </w:rPr>
            </w:pPr>
            <w:r w:rsidRPr="00E81307">
              <w:rPr>
                <w:rFonts w:cs="Arial"/>
                <w:szCs w:val="20"/>
              </w:rPr>
              <w:t>15%</w:t>
            </w:r>
          </w:p>
        </w:tc>
      </w:tr>
      <w:tr w:rsidR="00E81307" w:rsidRPr="002462F0" w14:paraId="358D5091" w14:textId="77777777" w:rsidTr="005F06B5">
        <w:trPr>
          <w:trHeight w:val="270"/>
        </w:trPr>
        <w:tc>
          <w:tcPr>
            <w:tcW w:w="1555" w:type="dxa"/>
            <w:noWrap/>
            <w:hideMark/>
          </w:tcPr>
          <w:p w14:paraId="1B2BA45E"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2000</w:t>
            </w:r>
          </w:p>
        </w:tc>
        <w:tc>
          <w:tcPr>
            <w:tcW w:w="1417" w:type="dxa"/>
            <w:noWrap/>
            <w:hideMark/>
          </w:tcPr>
          <w:p w14:paraId="744D70CE" w14:textId="1E91BC5A" w:rsidR="00E81307" w:rsidRPr="002462F0" w:rsidRDefault="00E81307" w:rsidP="00E81307">
            <w:pPr>
              <w:autoSpaceDE w:val="0"/>
              <w:autoSpaceDN w:val="0"/>
              <w:adjustRightInd w:val="0"/>
              <w:jc w:val="center"/>
              <w:rPr>
                <w:szCs w:val="20"/>
                <w:lang w:eastAsia="fr-FR"/>
              </w:rPr>
            </w:pPr>
            <w:r w:rsidRPr="002462F0">
              <w:rPr>
                <w:szCs w:val="20"/>
                <w:lang w:eastAsia="fr-FR"/>
              </w:rPr>
              <w:t>6</w:t>
            </w:r>
            <w:r w:rsidR="002F07DA">
              <w:rPr>
                <w:szCs w:val="20"/>
                <w:lang w:eastAsia="fr-FR"/>
              </w:rPr>
              <w:t>,</w:t>
            </w:r>
            <w:r w:rsidRPr="002462F0">
              <w:rPr>
                <w:szCs w:val="20"/>
                <w:lang w:eastAsia="fr-FR"/>
              </w:rPr>
              <w:t>540</w:t>
            </w:r>
          </w:p>
        </w:tc>
        <w:tc>
          <w:tcPr>
            <w:tcW w:w="2410" w:type="dxa"/>
            <w:noWrap/>
            <w:hideMark/>
          </w:tcPr>
          <w:p w14:paraId="59ED73B0" w14:textId="53D4C5BF" w:rsidR="00E81307" w:rsidRPr="002462F0" w:rsidRDefault="00E81307" w:rsidP="00E81307">
            <w:pPr>
              <w:jc w:val="center"/>
              <w:rPr>
                <w:color w:val="000000"/>
                <w:szCs w:val="20"/>
              </w:rPr>
            </w:pPr>
            <w:r w:rsidRPr="009B13D7">
              <w:t>0.039</w:t>
            </w:r>
          </w:p>
        </w:tc>
        <w:tc>
          <w:tcPr>
            <w:tcW w:w="1984" w:type="dxa"/>
            <w:noWrap/>
            <w:hideMark/>
          </w:tcPr>
          <w:p w14:paraId="057C13AA" w14:textId="1C7B3C9D" w:rsidR="00E81307" w:rsidRPr="002462F0" w:rsidRDefault="00E81307" w:rsidP="00E81307">
            <w:pPr>
              <w:jc w:val="center"/>
              <w:rPr>
                <w:color w:val="000000"/>
                <w:szCs w:val="20"/>
              </w:rPr>
            </w:pPr>
            <w:r w:rsidRPr="00C87C17">
              <w:t xml:space="preserve"> 253.66 </w:t>
            </w:r>
          </w:p>
        </w:tc>
        <w:tc>
          <w:tcPr>
            <w:tcW w:w="1701" w:type="dxa"/>
            <w:noWrap/>
            <w:vAlign w:val="center"/>
            <w:hideMark/>
          </w:tcPr>
          <w:p w14:paraId="040B0361" w14:textId="291E32D5" w:rsidR="00E81307" w:rsidRPr="00E81307" w:rsidRDefault="00E81307" w:rsidP="00E81307">
            <w:pPr>
              <w:autoSpaceDE w:val="0"/>
              <w:autoSpaceDN w:val="0"/>
              <w:adjustRightInd w:val="0"/>
              <w:jc w:val="center"/>
              <w:rPr>
                <w:szCs w:val="20"/>
                <w:lang w:eastAsia="fr-FR"/>
              </w:rPr>
            </w:pPr>
            <w:r w:rsidRPr="00E81307">
              <w:rPr>
                <w:rFonts w:cs="Arial"/>
                <w:szCs w:val="20"/>
              </w:rPr>
              <w:t>14%</w:t>
            </w:r>
          </w:p>
        </w:tc>
      </w:tr>
      <w:tr w:rsidR="00E81307" w:rsidRPr="002462F0" w14:paraId="5B505EA1" w14:textId="77777777" w:rsidTr="005F06B5">
        <w:trPr>
          <w:trHeight w:val="270"/>
        </w:trPr>
        <w:tc>
          <w:tcPr>
            <w:tcW w:w="1555" w:type="dxa"/>
            <w:noWrap/>
            <w:hideMark/>
          </w:tcPr>
          <w:p w14:paraId="0958AA96"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2001</w:t>
            </w:r>
          </w:p>
        </w:tc>
        <w:tc>
          <w:tcPr>
            <w:tcW w:w="1417" w:type="dxa"/>
            <w:noWrap/>
            <w:hideMark/>
          </w:tcPr>
          <w:p w14:paraId="29950327" w14:textId="0A68D1B9" w:rsidR="00E81307" w:rsidRPr="002462F0" w:rsidRDefault="00E81307" w:rsidP="00E81307">
            <w:pPr>
              <w:autoSpaceDE w:val="0"/>
              <w:autoSpaceDN w:val="0"/>
              <w:adjustRightInd w:val="0"/>
              <w:jc w:val="center"/>
              <w:rPr>
                <w:szCs w:val="20"/>
                <w:lang w:eastAsia="fr-FR"/>
              </w:rPr>
            </w:pPr>
            <w:r w:rsidRPr="002462F0">
              <w:rPr>
                <w:szCs w:val="20"/>
                <w:lang w:eastAsia="fr-FR"/>
              </w:rPr>
              <w:t>12</w:t>
            </w:r>
            <w:r w:rsidR="002F07DA">
              <w:rPr>
                <w:szCs w:val="20"/>
                <w:lang w:eastAsia="fr-FR"/>
              </w:rPr>
              <w:t>,</w:t>
            </w:r>
            <w:r w:rsidRPr="002462F0">
              <w:rPr>
                <w:szCs w:val="20"/>
                <w:lang w:eastAsia="fr-FR"/>
              </w:rPr>
              <w:t>267</w:t>
            </w:r>
          </w:p>
        </w:tc>
        <w:tc>
          <w:tcPr>
            <w:tcW w:w="2410" w:type="dxa"/>
            <w:noWrap/>
            <w:hideMark/>
          </w:tcPr>
          <w:p w14:paraId="54A6ADA8" w14:textId="049359A0" w:rsidR="00E81307" w:rsidRPr="002462F0" w:rsidRDefault="00E81307" w:rsidP="00E81307">
            <w:pPr>
              <w:jc w:val="center"/>
              <w:rPr>
                <w:color w:val="000000"/>
                <w:szCs w:val="20"/>
              </w:rPr>
            </w:pPr>
            <w:r w:rsidRPr="009B13D7">
              <w:t>0.051</w:t>
            </w:r>
          </w:p>
        </w:tc>
        <w:tc>
          <w:tcPr>
            <w:tcW w:w="1984" w:type="dxa"/>
            <w:noWrap/>
            <w:hideMark/>
          </w:tcPr>
          <w:p w14:paraId="1960F29B" w14:textId="762CC7A7" w:rsidR="00E81307" w:rsidRPr="002462F0" w:rsidRDefault="00E81307" w:rsidP="00E81307">
            <w:pPr>
              <w:jc w:val="center"/>
              <w:rPr>
                <w:color w:val="000000"/>
                <w:szCs w:val="20"/>
              </w:rPr>
            </w:pPr>
            <w:r w:rsidRPr="00C87C17">
              <w:t xml:space="preserve"> 623.06 </w:t>
            </w:r>
          </w:p>
        </w:tc>
        <w:tc>
          <w:tcPr>
            <w:tcW w:w="1701" w:type="dxa"/>
            <w:noWrap/>
            <w:vAlign w:val="center"/>
            <w:hideMark/>
          </w:tcPr>
          <w:p w14:paraId="3747DF5A" w14:textId="7F617E18" w:rsidR="00E81307" w:rsidRPr="00E81307" w:rsidRDefault="00E81307" w:rsidP="00E81307">
            <w:pPr>
              <w:autoSpaceDE w:val="0"/>
              <w:autoSpaceDN w:val="0"/>
              <w:adjustRightInd w:val="0"/>
              <w:jc w:val="center"/>
              <w:rPr>
                <w:szCs w:val="20"/>
                <w:lang w:eastAsia="fr-FR"/>
              </w:rPr>
            </w:pPr>
            <w:r w:rsidRPr="00E81307">
              <w:rPr>
                <w:rFonts w:cs="Arial"/>
                <w:szCs w:val="20"/>
              </w:rPr>
              <w:t>13%</w:t>
            </w:r>
          </w:p>
        </w:tc>
      </w:tr>
      <w:tr w:rsidR="00E81307" w:rsidRPr="002462F0" w14:paraId="411E0100" w14:textId="77777777" w:rsidTr="005F06B5">
        <w:trPr>
          <w:trHeight w:val="270"/>
        </w:trPr>
        <w:tc>
          <w:tcPr>
            <w:tcW w:w="1555" w:type="dxa"/>
            <w:noWrap/>
            <w:hideMark/>
          </w:tcPr>
          <w:p w14:paraId="354B25A6"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2002</w:t>
            </w:r>
          </w:p>
        </w:tc>
        <w:tc>
          <w:tcPr>
            <w:tcW w:w="1417" w:type="dxa"/>
            <w:noWrap/>
            <w:hideMark/>
          </w:tcPr>
          <w:p w14:paraId="1EF01F02" w14:textId="6A5A0076" w:rsidR="00E81307" w:rsidRPr="002462F0" w:rsidRDefault="00E81307" w:rsidP="00E81307">
            <w:pPr>
              <w:autoSpaceDE w:val="0"/>
              <w:autoSpaceDN w:val="0"/>
              <w:adjustRightInd w:val="0"/>
              <w:jc w:val="center"/>
              <w:rPr>
                <w:szCs w:val="20"/>
                <w:lang w:eastAsia="fr-FR"/>
              </w:rPr>
            </w:pPr>
            <w:r w:rsidRPr="002462F0">
              <w:rPr>
                <w:szCs w:val="20"/>
                <w:lang w:eastAsia="fr-FR"/>
              </w:rPr>
              <w:t>16</w:t>
            </w:r>
            <w:r w:rsidR="002F07DA">
              <w:rPr>
                <w:szCs w:val="20"/>
                <w:lang w:eastAsia="fr-FR"/>
              </w:rPr>
              <w:t>,</w:t>
            </w:r>
            <w:r w:rsidRPr="002462F0">
              <w:rPr>
                <w:szCs w:val="20"/>
                <w:lang w:eastAsia="fr-FR"/>
              </w:rPr>
              <w:t>117</w:t>
            </w:r>
          </w:p>
        </w:tc>
        <w:tc>
          <w:tcPr>
            <w:tcW w:w="2410" w:type="dxa"/>
            <w:noWrap/>
            <w:hideMark/>
          </w:tcPr>
          <w:p w14:paraId="7CE25110" w14:textId="2F1AB02C" w:rsidR="00E81307" w:rsidRPr="002462F0" w:rsidRDefault="00E81307" w:rsidP="00E81307">
            <w:pPr>
              <w:jc w:val="center"/>
              <w:rPr>
                <w:color w:val="000000"/>
                <w:szCs w:val="20"/>
              </w:rPr>
            </w:pPr>
            <w:r w:rsidRPr="009B13D7">
              <w:t>0.067</w:t>
            </w:r>
          </w:p>
        </w:tc>
        <w:tc>
          <w:tcPr>
            <w:tcW w:w="1984" w:type="dxa"/>
            <w:noWrap/>
            <w:hideMark/>
          </w:tcPr>
          <w:p w14:paraId="114CBBA4" w14:textId="6C57BC61" w:rsidR="00E81307" w:rsidRPr="002462F0" w:rsidRDefault="00E81307" w:rsidP="00E81307">
            <w:pPr>
              <w:jc w:val="center"/>
              <w:rPr>
                <w:color w:val="000000"/>
                <w:szCs w:val="20"/>
              </w:rPr>
            </w:pPr>
            <w:r w:rsidRPr="00C87C17">
              <w:t xml:space="preserve"> 1,080.10 </w:t>
            </w:r>
          </w:p>
        </w:tc>
        <w:tc>
          <w:tcPr>
            <w:tcW w:w="1701" w:type="dxa"/>
            <w:noWrap/>
            <w:vAlign w:val="center"/>
            <w:hideMark/>
          </w:tcPr>
          <w:p w14:paraId="47C73A8D" w14:textId="637696CA" w:rsidR="00E81307" w:rsidRPr="00E81307" w:rsidRDefault="00E81307" w:rsidP="00E81307">
            <w:pPr>
              <w:autoSpaceDE w:val="0"/>
              <w:autoSpaceDN w:val="0"/>
              <w:adjustRightInd w:val="0"/>
              <w:jc w:val="center"/>
              <w:rPr>
                <w:szCs w:val="20"/>
                <w:lang w:eastAsia="fr-FR"/>
              </w:rPr>
            </w:pPr>
            <w:r w:rsidRPr="00E81307">
              <w:rPr>
                <w:rFonts w:cs="Arial"/>
                <w:szCs w:val="20"/>
              </w:rPr>
              <w:t>12%</w:t>
            </w:r>
          </w:p>
        </w:tc>
      </w:tr>
      <w:tr w:rsidR="00E81307" w:rsidRPr="002462F0" w14:paraId="13A275F2" w14:textId="77777777" w:rsidTr="005F06B5">
        <w:trPr>
          <w:trHeight w:val="270"/>
        </w:trPr>
        <w:tc>
          <w:tcPr>
            <w:tcW w:w="1555" w:type="dxa"/>
            <w:noWrap/>
            <w:hideMark/>
          </w:tcPr>
          <w:p w14:paraId="3719254F"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lastRenderedPageBreak/>
              <w:t>2003</w:t>
            </w:r>
          </w:p>
        </w:tc>
        <w:tc>
          <w:tcPr>
            <w:tcW w:w="1417" w:type="dxa"/>
            <w:noWrap/>
            <w:hideMark/>
          </w:tcPr>
          <w:p w14:paraId="5AB9060A" w14:textId="263B2F8B" w:rsidR="00E81307" w:rsidRPr="002462F0" w:rsidRDefault="00E81307" w:rsidP="00E81307">
            <w:pPr>
              <w:autoSpaceDE w:val="0"/>
              <w:autoSpaceDN w:val="0"/>
              <w:adjustRightInd w:val="0"/>
              <w:jc w:val="center"/>
              <w:rPr>
                <w:szCs w:val="20"/>
                <w:lang w:eastAsia="fr-FR"/>
              </w:rPr>
            </w:pPr>
            <w:r w:rsidRPr="002462F0">
              <w:rPr>
                <w:szCs w:val="20"/>
                <w:lang w:eastAsia="fr-FR"/>
              </w:rPr>
              <w:t>21</w:t>
            </w:r>
            <w:r w:rsidR="002F07DA">
              <w:rPr>
                <w:szCs w:val="20"/>
                <w:lang w:eastAsia="fr-FR"/>
              </w:rPr>
              <w:t>,</w:t>
            </w:r>
            <w:r w:rsidRPr="002462F0">
              <w:rPr>
                <w:szCs w:val="20"/>
                <w:lang w:eastAsia="fr-FR"/>
              </w:rPr>
              <w:t>189</w:t>
            </w:r>
          </w:p>
        </w:tc>
        <w:tc>
          <w:tcPr>
            <w:tcW w:w="2410" w:type="dxa"/>
            <w:noWrap/>
            <w:hideMark/>
          </w:tcPr>
          <w:p w14:paraId="07298C45" w14:textId="52657EA7" w:rsidR="00E81307" w:rsidRPr="002462F0" w:rsidRDefault="00E81307" w:rsidP="00E81307">
            <w:pPr>
              <w:jc w:val="center"/>
              <w:rPr>
                <w:color w:val="000000"/>
                <w:szCs w:val="20"/>
              </w:rPr>
            </w:pPr>
            <w:r w:rsidRPr="009B13D7">
              <w:t>0.087</w:t>
            </w:r>
          </w:p>
        </w:tc>
        <w:tc>
          <w:tcPr>
            <w:tcW w:w="1984" w:type="dxa"/>
            <w:noWrap/>
            <w:hideMark/>
          </w:tcPr>
          <w:p w14:paraId="5FF6F65A" w14:textId="230F59CD" w:rsidR="00E81307" w:rsidRPr="002462F0" w:rsidRDefault="00E81307" w:rsidP="00E81307">
            <w:pPr>
              <w:jc w:val="center"/>
              <w:rPr>
                <w:color w:val="000000"/>
                <w:szCs w:val="20"/>
              </w:rPr>
            </w:pPr>
            <w:r w:rsidRPr="00C87C17">
              <w:t xml:space="preserve"> 1,840.93 </w:t>
            </w:r>
          </w:p>
        </w:tc>
        <w:tc>
          <w:tcPr>
            <w:tcW w:w="1701" w:type="dxa"/>
            <w:noWrap/>
            <w:vAlign w:val="center"/>
            <w:hideMark/>
          </w:tcPr>
          <w:p w14:paraId="2055B8E2" w14:textId="74B6C5E1" w:rsidR="00E81307" w:rsidRPr="00E81307" w:rsidRDefault="00E81307" w:rsidP="00E81307">
            <w:pPr>
              <w:autoSpaceDE w:val="0"/>
              <w:autoSpaceDN w:val="0"/>
              <w:adjustRightInd w:val="0"/>
              <w:jc w:val="center"/>
              <w:rPr>
                <w:szCs w:val="20"/>
                <w:lang w:eastAsia="fr-FR"/>
              </w:rPr>
            </w:pPr>
            <w:r w:rsidRPr="00E81307">
              <w:rPr>
                <w:rFonts w:cs="Arial"/>
                <w:szCs w:val="20"/>
              </w:rPr>
              <w:t>11%</w:t>
            </w:r>
          </w:p>
        </w:tc>
      </w:tr>
      <w:tr w:rsidR="00E81307" w:rsidRPr="002462F0" w14:paraId="2ABB7130" w14:textId="77777777" w:rsidTr="005F06B5">
        <w:trPr>
          <w:trHeight w:val="270"/>
        </w:trPr>
        <w:tc>
          <w:tcPr>
            <w:tcW w:w="1555" w:type="dxa"/>
            <w:noWrap/>
            <w:hideMark/>
          </w:tcPr>
          <w:p w14:paraId="5A936F19"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2004</w:t>
            </w:r>
          </w:p>
        </w:tc>
        <w:tc>
          <w:tcPr>
            <w:tcW w:w="1417" w:type="dxa"/>
            <w:noWrap/>
            <w:hideMark/>
          </w:tcPr>
          <w:p w14:paraId="6519F609" w14:textId="6CEFF4F7" w:rsidR="00E81307" w:rsidRPr="002462F0" w:rsidRDefault="00E81307" w:rsidP="00E81307">
            <w:pPr>
              <w:autoSpaceDE w:val="0"/>
              <w:autoSpaceDN w:val="0"/>
              <w:adjustRightInd w:val="0"/>
              <w:jc w:val="center"/>
              <w:rPr>
                <w:szCs w:val="20"/>
                <w:lang w:eastAsia="fr-FR"/>
              </w:rPr>
            </w:pPr>
            <w:r w:rsidRPr="002462F0">
              <w:rPr>
                <w:szCs w:val="20"/>
                <w:lang w:eastAsia="fr-FR"/>
              </w:rPr>
              <w:t>24</w:t>
            </w:r>
            <w:r w:rsidR="002F07DA">
              <w:rPr>
                <w:szCs w:val="20"/>
                <w:lang w:eastAsia="fr-FR"/>
              </w:rPr>
              <w:t>,</w:t>
            </w:r>
            <w:r w:rsidRPr="002462F0">
              <w:rPr>
                <w:szCs w:val="20"/>
                <w:lang w:eastAsia="fr-FR"/>
              </w:rPr>
              <w:t>861</w:t>
            </w:r>
          </w:p>
        </w:tc>
        <w:tc>
          <w:tcPr>
            <w:tcW w:w="2410" w:type="dxa"/>
            <w:noWrap/>
            <w:hideMark/>
          </w:tcPr>
          <w:p w14:paraId="30009CF3" w14:textId="3B0C018D" w:rsidR="00E81307" w:rsidRPr="002462F0" w:rsidRDefault="00E81307" w:rsidP="00E81307">
            <w:pPr>
              <w:jc w:val="center"/>
              <w:rPr>
                <w:color w:val="000000"/>
                <w:szCs w:val="20"/>
              </w:rPr>
            </w:pPr>
            <w:r w:rsidRPr="009B13D7">
              <w:t>0.105</w:t>
            </w:r>
          </w:p>
        </w:tc>
        <w:tc>
          <w:tcPr>
            <w:tcW w:w="1984" w:type="dxa"/>
            <w:noWrap/>
            <w:hideMark/>
          </w:tcPr>
          <w:p w14:paraId="2291DC6A" w14:textId="2FE86CF3" w:rsidR="00E81307" w:rsidRPr="002462F0" w:rsidRDefault="00E81307" w:rsidP="00E81307">
            <w:pPr>
              <w:jc w:val="center"/>
              <w:rPr>
                <w:color w:val="000000"/>
                <w:szCs w:val="20"/>
              </w:rPr>
            </w:pPr>
            <w:r w:rsidRPr="00C87C17">
              <w:t xml:space="preserve"> 2,612.17 </w:t>
            </w:r>
          </w:p>
        </w:tc>
        <w:tc>
          <w:tcPr>
            <w:tcW w:w="1701" w:type="dxa"/>
            <w:noWrap/>
            <w:vAlign w:val="center"/>
            <w:hideMark/>
          </w:tcPr>
          <w:p w14:paraId="50C18295" w14:textId="73ECA945" w:rsidR="00E81307" w:rsidRPr="00E81307" w:rsidRDefault="00E81307" w:rsidP="00E81307">
            <w:pPr>
              <w:autoSpaceDE w:val="0"/>
              <w:autoSpaceDN w:val="0"/>
              <w:adjustRightInd w:val="0"/>
              <w:jc w:val="center"/>
              <w:rPr>
                <w:szCs w:val="20"/>
                <w:lang w:eastAsia="fr-FR"/>
              </w:rPr>
            </w:pPr>
            <w:r w:rsidRPr="00E81307">
              <w:rPr>
                <w:rFonts w:cs="Arial"/>
                <w:szCs w:val="20"/>
              </w:rPr>
              <w:t>10%</w:t>
            </w:r>
          </w:p>
        </w:tc>
      </w:tr>
      <w:tr w:rsidR="00E81307" w:rsidRPr="002462F0" w14:paraId="636FC234" w14:textId="77777777" w:rsidTr="005F06B5">
        <w:trPr>
          <w:trHeight w:val="270"/>
        </w:trPr>
        <w:tc>
          <w:tcPr>
            <w:tcW w:w="1555" w:type="dxa"/>
            <w:noWrap/>
            <w:hideMark/>
          </w:tcPr>
          <w:p w14:paraId="73F1F6DB"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2005</w:t>
            </w:r>
          </w:p>
        </w:tc>
        <w:tc>
          <w:tcPr>
            <w:tcW w:w="1417" w:type="dxa"/>
            <w:noWrap/>
            <w:hideMark/>
          </w:tcPr>
          <w:p w14:paraId="24982725" w14:textId="055F3980" w:rsidR="00E81307" w:rsidRPr="002462F0" w:rsidRDefault="00E81307" w:rsidP="00E81307">
            <w:pPr>
              <w:autoSpaceDE w:val="0"/>
              <w:autoSpaceDN w:val="0"/>
              <w:adjustRightInd w:val="0"/>
              <w:jc w:val="center"/>
              <w:rPr>
                <w:szCs w:val="20"/>
                <w:lang w:eastAsia="fr-FR"/>
              </w:rPr>
            </w:pPr>
            <w:r w:rsidRPr="002462F0">
              <w:rPr>
                <w:szCs w:val="20"/>
                <w:lang w:eastAsia="fr-FR"/>
              </w:rPr>
              <w:t>26</w:t>
            </w:r>
            <w:r w:rsidR="002F07DA">
              <w:rPr>
                <w:szCs w:val="20"/>
                <w:lang w:eastAsia="fr-FR"/>
              </w:rPr>
              <w:t>,</w:t>
            </w:r>
            <w:r w:rsidRPr="002462F0">
              <w:rPr>
                <w:szCs w:val="20"/>
                <w:lang w:eastAsia="fr-FR"/>
              </w:rPr>
              <w:t>252</w:t>
            </w:r>
          </w:p>
        </w:tc>
        <w:tc>
          <w:tcPr>
            <w:tcW w:w="2410" w:type="dxa"/>
            <w:noWrap/>
            <w:hideMark/>
          </w:tcPr>
          <w:p w14:paraId="7C228C61" w14:textId="797173E1" w:rsidR="00E81307" w:rsidRPr="002462F0" w:rsidRDefault="00E81307" w:rsidP="00E81307">
            <w:pPr>
              <w:jc w:val="center"/>
              <w:rPr>
                <w:color w:val="000000"/>
                <w:szCs w:val="20"/>
              </w:rPr>
            </w:pPr>
            <w:r w:rsidRPr="009B13D7">
              <w:t>0.112</w:t>
            </w:r>
          </w:p>
        </w:tc>
        <w:tc>
          <w:tcPr>
            <w:tcW w:w="1984" w:type="dxa"/>
            <w:noWrap/>
            <w:hideMark/>
          </w:tcPr>
          <w:p w14:paraId="5470728D" w14:textId="12902FDF" w:rsidR="00E81307" w:rsidRPr="002462F0" w:rsidRDefault="00E81307" w:rsidP="00E81307">
            <w:pPr>
              <w:jc w:val="center"/>
              <w:rPr>
                <w:color w:val="000000"/>
                <w:szCs w:val="20"/>
              </w:rPr>
            </w:pPr>
            <w:r w:rsidRPr="00C87C17">
              <w:t xml:space="preserve"> 2,943.31 </w:t>
            </w:r>
          </w:p>
        </w:tc>
        <w:tc>
          <w:tcPr>
            <w:tcW w:w="1701" w:type="dxa"/>
            <w:noWrap/>
            <w:vAlign w:val="center"/>
            <w:hideMark/>
          </w:tcPr>
          <w:p w14:paraId="78E77B3D" w14:textId="3B8AB1FD" w:rsidR="00E81307" w:rsidRPr="00E81307" w:rsidRDefault="00E81307" w:rsidP="00E81307">
            <w:pPr>
              <w:autoSpaceDE w:val="0"/>
              <w:autoSpaceDN w:val="0"/>
              <w:adjustRightInd w:val="0"/>
              <w:jc w:val="center"/>
              <w:rPr>
                <w:szCs w:val="20"/>
                <w:lang w:eastAsia="fr-FR"/>
              </w:rPr>
            </w:pPr>
            <w:r w:rsidRPr="00E81307">
              <w:rPr>
                <w:rFonts w:cs="Arial"/>
                <w:szCs w:val="20"/>
              </w:rPr>
              <w:t>9%</w:t>
            </w:r>
          </w:p>
        </w:tc>
      </w:tr>
      <w:tr w:rsidR="00E81307" w:rsidRPr="002462F0" w14:paraId="2007DEC6" w14:textId="77777777" w:rsidTr="005F06B5">
        <w:trPr>
          <w:trHeight w:val="270"/>
        </w:trPr>
        <w:tc>
          <w:tcPr>
            <w:tcW w:w="1555" w:type="dxa"/>
            <w:noWrap/>
            <w:hideMark/>
          </w:tcPr>
          <w:p w14:paraId="517A2639"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2006</w:t>
            </w:r>
          </w:p>
        </w:tc>
        <w:tc>
          <w:tcPr>
            <w:tcW w:w="1417" w:type="dxa"/>
            <w:noWrap/>
            <w:hideMark/>
          </w:tcPr>
          <w:p w14:paraId="561930AC" w14:textId="365D7154" w:rsidR="00E81307" w:rsidRPr="002462F0" w:rsidRDefault="00E81307" w:rsidP="00E81307">
            <w:pPr>
              <w:autoSpaceDE w:val="0"/>
              <w:autoSpaceDN w:val="0"/>
              <w:adjustRightInd w:val="0"/>
              <w:jc w:val="center"/>
              <w:rPr>
                <w:szCs w:val="20"/>
                <w:lang w:eastAsia="fr-FR"/>
              </w:rPr>
            </w:pPr>
            <w:r w:rsidRPr="002462F0">
              <w:rPr>
                <w:szCs w:val="20"/>
                <w:lang w:eastAsia="fr-FR"/>
              </w:rPr>
              <w:t>30</w:t>
            </w:r>
            <w:r w:rsidR="002F07DA">
              <w:rPr>
                <w:szCs w:val="20"/>
                <w:lang w:eastAsia="fr-FR"/>
              </w:rPr>
              <w:t>,</w:t>
            </w:r>
            <w:r w:rsidRPr="002462F0">
              <w:rPr>
                <w:szCs w:val="20"/>
                <w:lang w:eastAsia="fr-FR"/>
              </w:rPr>
              <w:t>608</w:t>
            </w:r>
          </w:p>
        </w:tc>
        <w:tc>
          <w:tcPr>
            <w:tcW w:w="2410" w:type="dxa"/>
            <w:noWrap/>
            <w:hideMark/>
          </w:tcPr>
          <w:p w14:paraId="1F6D19C4" w14:textId="513CCD18" w:rsidR="00E81307" w:rsidRPr="002462F0" w:rsidRDefault="00E81307" w:rsidP="00E81307">
            <w:pPr>
              <w:jc w:val="center"/>
              <w:rPr>
                <w:color w:val="000000"/>
                <w:szCs w:val="20"/>
              </w:rPr>
            </w:pPr>
            <w:r w:rsidRPr="009B13D7">
              <w:t>0.130</w:t>
            </w:r>
          </w:p>
        </w:tc>
        <w:tc>
          <w:tcPr>
            <w:tcW w:w="1984" w:type="dxa"/>
            <w:noWrap/>
            <w:hideMark/>
          </w:tcPr>
          <w:p w14:paraId="37824188" w14:textId="6A25721E" w:rsidR="00E81307" w:rsidRPr="002462F0" w:rsidRDefault="00E81307" w:rsidP="00E81307">
            <w:pPr>
              <w:jc w:val="center"/>
              <w:rPr>
                <w:color w:val="000000"/>
                <w:szCs w:val="20"/>
              </w:rPr>
            </w:pPr>
            <w:r w:rsidRPr="00C87C17">
              <w:t xml:space="preserve"> 3,974.31 </w:t>
            </w:r>
          </w:p>
        </w:tc>
        <w:tc>
          <w:tcPr>
            <w:tcW w:w="1701" w:type="dxa"/>
            <w:noWrap/>
            <w:vAlign w:val="center"/>
            <w:hideMark/>
          </w:tcPr>
          <w:p w14:paraId="1B18C345" w14:textId="365E271C" w:rsidR="00E81307" w:rsidRPr="00E81307" w:rsidRDefault="00E81307" w:rsidP="00E81307">
            <w:pPr>
              <w:autoSpaceDE w:val="0"/>
              <w:autoSpaceDN w:val="0"/>
              <w:adjustRightInd w:val="0"/>
              <w:jc w:val="center"/>
              <w:rPr>
                <w:szCs w:val="20"/>
                <w:lang w:eastAsia="fr-FR"/>
              </w:rPr>
            </w:pPr>
            <w:r w:rsidRPr="00E81307">
              <w:rPr>
                <w:rFonts w:cs="Arial"/>
                <w:szCs w:val="20"/>
              </w:rPr>
              <w:t>8%</w:t>
            </w:r>
          </w:p>
        </w:tc>
      </w:tr>
      <w:tr w:rsidR="00E81307" w:rsidRPr="002462F0" w14:paraId="5B10392E" w14:textId="77777777" w:rsidTr="005F06B5">
        <w:trPr>
          <w:trHeight w:val="270"/>
        </w:trPr>
        <w:tc>
          <w:tcPr>
            <w:tcW w:w="1555" w:type="dxa"/>
            <w:noWrap/>
            <w:hideMark/>
          </w:tcPr>
          <w:p w14:paraId="68FA07F3"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2007</w:t>
            </w:r>
          </w:p>
        </w:tc>
        <w:tc>
          <w:tcPr>
            <w:tcW w:w="1417" w:type="dxa"/>
            <w:noWrap/>
            <w:hideMark/>
          </w:tcPr>
          <w:p w14:paraId="5B0FF40E" w14:textId="4753D181" w:rsidR="00E81307" w:rsidRPr="002462F0" w:rsidRDefault="00E81307" w:rsidP="00E81307">
            <w:pPr>
              <w:autoSpaceDE w:val="0"/>
              <w:autoSpaceDN w:val="0"/>
              <w:adjustRightInd w:val="0"/>
              <w:jc w:val="center"/>
              <w:rPr>
                <w:szCs w:val="20"/>
                <w:lang w:eastAsia="fr-FR"/>
              </w:rPr>
            </w:pPr>
            <w:r w:rsidRPr="002462F0">
              <w:rPr>
                <w:szCs w:val="20"/>
                <w:lang w:eastAsia="fr-FR"/>
              </w:rPr>
              <w:t>40</w:t>
            </w:r>
            <w:r w:rsidR="002F07DA">
              <w:rPr>
                <w:szCs w:val="20"/>
                <w:lang w:eastAsia="fr-FR"/>
              </w:rPr>
              <w:t>,</w:t>
            </w:r>
            <w:r w:rsidRPr="002462F0">
              <w:rPr>
                <w:szCs w:val="20"/>
                <w:lang w:eastAsia="fr-FR"/>
              </w:rPr>
              <w:t>290</w:t>
            </w:r>
          </w:p>
        </w:tc>
        <w:tc>
          <w:tcPr>
            <w:tcW w:w="2410" w:type="dxa"/>
            <w:noWrap/>
            <w:hideMark/>
          </w:tcPr>
          <w:p w14:paraId="0E12A3D1" w14:textId="7FBEC2E3" w:rsidR="00E81307" w:rsidRPr="002462F0" w:rsidRDefault="00E81307" w:rsidP="00E81307">
            <w:pPr>
              <w:jc w:val="center"/>
              <w:rPr>
                <w:color w:val="000000"/>
                <w:szCs w:val="20"/>
              </w:rPr>
            </w:pPr>
            <w:r w:rsidRPr="009B13D7">
              <w:t>0.129</w:t>
            </w:r>
          </w:p>
        </w:tc>
        <w:tc>
          <w:tcPr>
            <w:tcW w:w="1984" w:type="dxa"/>
            <w:noWrap/>
            <w:hideMark/>
          </w:tcPr>
          <w:p w14:paraId="7C233D86" w14:textId="119A55DB" w:rsidR="00E81307" w:rsidRPr="002462F0" w:rsidRDefault="00E81307" w:rsidP="00E81307">
            <w:pPr>
              <w:jc w:val="center"/>
              <w:rPr>
                <w:color w:val="000000"/>
                <w:szCs w:val="20"/>
              </w:rPr>
            </w:pPr>
            <w:r w:rsidRPr="00C87C17">
              <w:t xml:space="preserve"> 5,183.32 </w:t>
            </w:r>
          </w:p>
        </w:tc>
        <w:tc>
          <w:tcPr>
            <w:tcW w:w="1701" w:type="dxa"/>
            <w:noWrap/>
            <w:vAlign w:val="center"/>
            <w:hideMark/>
          </w:tcPr>
          <w:p w14:paraId="6EFC2B26" w14:textId="3FC1CDAC" w:rsidR="00E81307" w:rsidRPr="00E81307" w:rsidRDefault="00E81307" w:rsidP="00E81307">
            <w:pPr>
              <w:autoSpaceDE w:val="0"/>
              <w:autoSpaceDN w:val="0"/>
              <w:adjustRightInd w:val="0"/>
              <w:jc w:val="center"/>
              <w:rPr>
                <w:szCs w:val="20"/>
                <w:lang w:eastAsia="fr-FR"/>
              </w:rPr>
            </w:pPr>
            <w:r w:rsidRPr="00E81307">
              <w:rPr>
                <w:rFonts w:cs="Arial"/>
                <w:szCs w:val="20"/>
              </w:rPr>
              <w:t>7%</w:t>
            </w:r>
          </w:p>
        </w:tc>
      </w:tr>
      <w:tr w:rsidR="00E81307" w:rsidRPr="002462F0" w14:paraId="64E6233A" w14:textId="77777777" w:rsidTr="005F06B5">
        <w:trPr>
          <w:trHeight w:val="270"/>
        </w:trPr>
        <w:tc>
          <w:tcPr>
            <w:tcW w:w="1555" w:type="dxa"/>
            <w:noWrap/>
            <w:hideMark/>
          </w:tcPr>
          <w:p w14:paraId="186E749A"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2008</w:t>
            </w:r>
          </w:p>
        </w:tc>
        <w:tc>
          <w:tcPr>
            <w:tcW w:w="1417" w:type="dxa"/>
            <w:noWrap/>
            <w:hideMark/>
          </w:tcPr>
          <w:p w14:paraId="607BF815" w14:textId="5C09B95E" w:rsidR="00E81307" w:rsidRPr="002462F0" w:rsidRDefault="00E81307" w:rsidP="00E81307">
            <w:pPr>
              <w:autoSpaceDE w:val="0"/>
              <w:autoSpaceDN w:val="0"/>
              <w:adjustRightInd w:val="0"/>
              <w:jc w:val="center"/>
              <w:rPr>
                <w:szCs w:val="20"/>
                <w:lang w:eastAsia="fr-FR"/>
              </w:rPr>
            </w:pPr>
            <w:r w:rsidRPr="002462F0">
              <w:rPr>
                <w:szCs w:val="20"/>
                <w:lang w:eastAsia="fr-FR"/>
              </w:rPr>
              <w:t>49</w:t>
            </w:r>
            <w:r w:rsidR="002F07DA">
              <w:rPr>
                <w:szCs w:val="20"/>
                <w:lang w:eastAsia="fr-FR"/>
              </w:rPr>
              <w:t>,</w:t>
            </w:r>
            <w:r w:rsidRPr="002462F0">
              <w:rPr>
                <w:szCs w:val="20"/>
                <w:lang w:eastAsia="fr-FR"/>
              </w:rPr>
              <w:t>260</w:t>
            </w:r>
          </w:p>
        </w:tc>
        <w:tc>
          <w:tcPr>
            <w:tcW w:w="2410" w:type="dxa"/>
            <w:noWrap/>
            <w:hideMark/>
          </w:tcPr>
          <w:p w14:paraId="0EE92A0E" w14:textId="532436B3" w:rsidR="00E81307" w:rsidRPr="002462F0" w:rsidRDefault="00E81307" w:rsidP="00E81307">
            <w:pPr>
              <w:jc w:val="center"/>
              <w:rPr>
                <w:color w:val="000000"/>
                <w:szCs w:val="20"/>
              </w:rPr>
            </w:pPr>
            <w:r w:rsidRPr="009B13D7">
              <w:t>0.212</w:t>
            </w:r>
          </w:p>
        </w:tc>
        <w:tc>
          <w:tcPr>
            <w:tcW w:w="1984" w:type="dxa"/>
            <w:noWrap/>
            <w:hideMark/>
          </w:tcPr>
          <w:p w14:paraId="21FF0832" w14:textId="6C5CC0C1" w:rsidR="00E81307" w:rsidRPr="002462F0" w:rsidRDefault="00E81307" w:rsidP="00E81307">
            <w:pPr>
              <w:jc w:val="center"/>
              <w:rPr>
                <w:color w:val="000000"/>
                <w:szCs w:val="20"/>
              </w:rPr>
            </w:pPr>
            <w:r w:rsidRPr="00C87C17">
              <w:t xml:space="preserve"> 10,454.31 </w:t>
            </w:r>
          </w:p>
        </w:tc>
        <w:tc>
          <w:tcPr>
            <w:tcW w:w="1701" w:type="dxa"/>
            <w:noWrap/>
            <w:vAlign w:val="center"/>
            <w:hideMark/>
          </w:tcPr>
          <w:p w14:paraId="4FEA26FA" w14:textId="4B196EAD" w:rsidR="00E81307" w:rsidRPr="00E81307" w:rsidRDefault="00E81307" w:rsidP="00E81307">
            <w:pPr>
              <w:autoSpaceDE w:val="0"/>
              <w:autoSpaceDN w:val="0"/>
              <w:adjustRightInd w:val="0"/>
              <w:jc w:val="center"/>
              <w:rPr>
                <w:szCs w:val="20"/>
                <w:lang w:eastAsia="fr-FR"/>
              </w:rPr>
            </w:pPr>
            <w:r w:rsidRPr="00E81307">
              <w:rPr>
                <w:rFonts w:cs="Arial"/>
                <w:szCs w:val="20"/>
              </w:rPr>
              <w:t>7%</w:t>
            </w:r>
          </w:p>
        </w:tc>
      </w:tr>
      <w:tr w:rsidR="00E81307" w:rsidRPr="002462F0" w14:paraId="738CC093" w14:textId="77777777" w:rsidTr="005F06B5">
        <w:trPr>
          <w:trHeight w:val="270"/>
        </w:trPr>
        <w:tc>
          <w:tcPr>
            <w:tcW w:w="1555" w:type="dxa"/>
            <w:noWrap/>
            <w:hideMark/>
          </w:tcPr>
          <w:p w14:paraId="6BE2632D"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2009</w:t>
            </w:r>
          </w:p>
        </w:tc>
        <w:tc>
          <w:tcPr>
            <w:tcW w:w="1417" w:type="dxa"/>
            <w:noWrap/>
            <w:hideMark/>
          </w:tcPr>
          <w:p w14:paraId="67039FE5" w14:textId="5305D1D7" w:rsidR="00E81307" w:rsidRPr="002462F0" w:rsidRDefault="00E81307" w:rsidP="00E81307">
            <w:pPr>
              <w:autoSpaceDE w:val="0"/>
              <w:autoSpaceDN w:val="0"/>
              <w:adjustRightInd w:val="0"/>
              <w:jc w:val="center"/>
              <w:rPr>
                <w:szCs w:val="20"/>
                <w:lang w:eastAsia="fr-FR"/>
              </w:rPr>
            </w:pPr>
            <w:r w:rsidRPr="002462F0">
              <w:rPr>
                <w:szCs w:val="20"/>
                <w:lang w:eastAsia="fr-FR"/>
              </w:rPr>
              <w:t>42</w:t>
            </w:r>
            <w:r w:rsidR="002F07DA">
              <w:rPr>
                <w:szCs w:val="20"/>
                <w:lang w:eastAsia="fr-FR"/>
              </w:rPr>
              <w:t>,</w:t>
            </w:r>
            <w:r w:rsidRPr="002462F0">
              <w:rPr>
                <w:szCs w:val="20"/>
                <w:lang w:eastAsia="fr-FR"/>
              </w:rPr>
              <w:t>617</w:t>
            </w:r>
          </w:p>
        </w:tc>
        <w:tc>
          <w:tcPr>
            <w:tcW w:w="2410" w:type="dxa"/>
            <w:noWrap/>
            <w:hideMark/>
          </w:tcPr>
          <w:p w14:paraId="1119F96C" w14:textId="2D3A6C7B" w:rsidR="00E81307" w:rsidRPr="002462F0" w:rsidRDefault="00E81307" w:rsidP="00E81307">
            <w:pPr>
              <w:jc w:val="center"/>
              <w:rPr>
                <w:color w:val="000000"/>
                <w:szCs w:val="20"/>
              </w:rPr>
            </w:pPr>
            <w:r w:rsidRPr="009B13D7">
              <w:t>0.179</w:t>
            </w:r>
          </w:p>
        </w:tc>
        <w:tc>
          <w:tcPr>
            <w:tcW w:w="1984" w:type="dxa"/>
            <w:noWrap/>
            <w:hideMark/>
          </w:tcPr>
          <w:p w14:paraId="2C8266EC" w14:textId="005BD7B3" w:rsidR="00E81307" w:rsidRPr="002462F0" w:rsidRDefault="00E81307" w:rsidP="00E81307">
            <w:pPr>
              <w:jc w:val="center"/>
              <w:rPr>
                <w:color w:val="000000"/>
                <w:szCs w:val="20"/>
              </w:rPr>
            </w:pPr>
            <w:r w:rsidRPr="00C87C17">
              <w:t xml:space="preserve"> 7,622.09 </w:t>
            </w:r>
          </w:p>
        </w:tc>
        <w:tc>
          <w:tcPr>
            <w:tcW w:w="1701" w:type="dxa"/>
            <w:noWrap/>
            <w:vAlign w:val="center"/>
            <w:hideMark/>
          </w:tcPr>
          <w:p w14:paraId="21B3388A" w14:textId="0A134F00" w:rsidR="00E81307" w:rsidRPr="00E81307" w:rsidRDefault="00E81307" w:rsidP="00E81307">
            <w:pPr>
              <w:autoSpaceDE w:val="0"/>
              <w:autoSpaceDN w:val="0"/>
              <w:adjustRightInd w:val="0"/>
              <w:jc w:val="center"/>
              <w:rPr>
                <w:szCs w:val="20"/>
                <w:lang w:eastAsia="fr-FR"/>
              </w:rPr>
            </w:pPr>
            <w:r w:rsidRPr="00E81307">
              <w:rPr>
                <w:rFonts w:cs="Arial"/>
                <w:szCs w:val="20"/>
              </w:rPr>
              <w:t>4%</w:t>
            </w:r>
          </w:p>
        </w:tc>
      </w:tr>
      <w:tr w:rsidR="00E81307" w:rsidRPr="002462F0" w14:paraId="49E2DE6A" w14:textId="77777777" w:rsidTr="005F06B5">
        <w:trPr>
          <w:trHeight w:val="270"/>
        </w:trPr>
        <w:tc>
          <w:tcPr>
            <w:tcW w:w="1555" w:type="dxa"/>
            <w:noWrap/>
            <w:hideMark/>
          </w:tcPr>
          <w:p w14:paraId="79C4BB50"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2010</w:t>
            </w:r>
          </w:p>
        </w:tc>
        <w:tc>
          <w:tcPr>
            <w:tcW w:w="1417" w:type="dxa"/>
            <w:noWrap/>
            <w:hideMark/>
          </w:tcPr>
          <w:p w14:paraId="0B52EC45" w14:textId="59885BC3" w:rsidR="00E81307" w:rsidRPr="002462F0" w:rsidRDefault="00E81307" w:rsidP="00E81307">
            <w:pPr>
              <w:autoSpaceDE w:val="0"/>
              <w:autoSpaceDN w:val="0"/>
              <w:adjustRightInd w:val="0"/>
              <w:jc w:val="center"/>
              <w:rPr>
                <w:szCs w:val="20"/>
                <w:lang w:eastAsia="fr-FR"/>
              </w:rPr>
            </w:pPr>
            <w:r w:rsidRPr="002462F0">
              <w:rPr>
                <w:szCs w:val="20"/>
                <w:lang w:eastAsia="fr-FR"/>
              </w:rPr>
              <w:t>39</w:t>
            </w:r>
            <w:r w:rsidR="002F07DA">
              <w:rPr>
                <w:szCs w:val="20"/>
                <w:lang w:eastAsia="fr-FR"/>
              </w:rPr>
              <w:t>,</w:t>
            </w:r>
            <w:r w:rsidRPr="002462F0">
              <w:rPr>
                <w:szCs w:val="20"/>
                <w:lang w:eastAsia="fr-FR"/>
              </w:rPr>
              <w:t>460</w:t>
            </w:r>
          </w:p>
        </w:tc>
        <w:tc>
          <w:tcPr>
            <w:tcW w:w="2410" w:type="dxa"/>
            <w:noWrap/>
            <w:hideMark/>
          </w:tcPr>
          <w:p w14:paraId="073EBE74" w14:textId="505356AC" w:rsidR="00E81307" w:rsidRPr="002462F0" w:rsidRDefault="00E81307" w:rsidP="00E81307">
            <w:pPr>
              <w:jc w:val="center"/>
              <w:rPr>
                <w:color w:val="000000"/>
                <w:szCs w:val="20"/>
              </w:rPr>
            </w:pPr>
            <w:r w:rsidRPr="009B13D7">
              <w:t>0.189</w:t>
            </w:r>
          </w:p>
        </w:tc>
        <w:tc>
          <w:tcPr>
            <w:tcW w:w="1984" w:type="dxa"/>
            <w:noWrap/>
            <w:hideMark/>
          </w:tcPr>
          <w:p w14:paraId="0D1D2223" w14:textId="5225E6D7" w:rsidR="00E81307" w:rsidRPr="002462F0" w:rsidRDefault="00E81307" w:rsidP="00E81307">
            <w:pPr>
              <w:jc w:val="center"/>
              <w:rPr>
                <w:color w:val="000000"/>
                <w:szCs w:val="20"/>
              </w:rPr>
            </w:pPr>
            <w:r w:rsidRPr="00C87C17">
              <w:t xml:space="preserve"> 7,445.96 </w:t>
            </w:r>
          </w:p>
        </w:tc>
        <w:tc>
          <w:tcPr>
            <w:tcW w:w="1701" w:type="dxa"/>
            <w:noWrap/>
            <w:vAlign w:val="center"/>
            <w:hideMark/>
          </w:tcPr>
          <w:p w14:paraId="31B362D2" w14:textId="6BECD1F3" w:rsidR="00E81307" w:rsidRPr="00E81307" w:rsidRDefault="00E81307" w:rsidP="00E81307">
            <w:pPr>
              <w:autoSpaceDE w:val="0"/>
              <w:autoSpaceDN w:val="0"/>
              <w:adjustRightInd w:val="0"/>
              <w:jc w:val="center"/>
              <w:rPr>
                <w:szCs w:val="20"/>
                <w:lang w:eastAsia="fr-FR"/>
              </w:rPr>
            </w:pPr>
            <w:r w:rsidRPr="00E81307">
              <w:rPr>
                <w:rFonts w:cs="Arial"/>
                <w:szCs w:val="20"/>
              </w:rPr>
              <w:t>3%</w:t>
            </w:r>
          </w:p>
        </w:tc>
      </w:tr>
      <w:tr w:rsidR="00E81307" w:rsidRPr="002462F0" w14:paraId="40268B34" w14:textId="77777777" w:rsidTr="005F06B5">
        <w:trPr>
          <w:trHeight w:val="270"/>
        </w:trPr>
        <w:tc>
          <w:tcPr>
            <w:tcW w:w="1555" w:type="dxa"/>
            <w:noWrap/>
            <w:hideMark/>
          </w:tcPr>
          <w:p w14:paraId="1F7B7754"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2011</w:t>
            </w:r>
          </w:p>
        </w:tc>
        <w:tc>
          <w:tcPr>
            <w:tcW w:w="1417" w:type="dxa"/>
            <w:noWrap/>
            <w:hideMark/>
          </w:tcPr>
          <w:p w14:paraId="5E9D9DCB" w14:textId="041159FB" w:rsidR="00E81307" w:rsidRPr="002462F0" w:rsidRDefault="00E81307" w:rsidP="00E81307">
            <w:pPr>
              <w:autoSpaceDE w:val="0"/>
              <w:autoSpaceDN w:val="0"/>
              <w:adjustRightInd w:val="0"/>
              <w:jc w:val="center"/>
              <w:rPr>
                <w:szCs w:val="20"/>
                <w:lang w:eastAsia="fr-FR"/>
              </w:rPr>
            </w:pPr>
            <w:r w:rsidRPr="002462F0">
              <w:rPr>
                <w:szCs w:val="20"/>
                <w:lang w:eastAsia="fr-FR"/>
              </w:rPr>
              <w:t>46</w:t>
            </w:r>
            <w:r w:rsidR="002F07DA">
              <w:rPr>
                <w:szCs w:val="20"/>
                <w:lang w:eastAsia="fr-FR"/>
              </w:rPr>
              <w:t>,</w:t>
            </w:r>
            <w:r w:rsidRPr="002462F0">
              <w:rPr>
                <w:szCs w:val="20"/>
                <w:lang w:eastAsia="fr-FR"/>
              </w:rPr>
              <w:t>467</w:t>
            </w:r>
          </w:p>
        </w:tc>
        <w:tc>
          <w:tcPr>
            <w:tcW w:w="2410" w:type="dxa"/>
            <w:noWrap/>
            <w:hideMark/>
          </w:tcPr>
          <w:p w14:paraId="5FBB4B23" w14:textId="78C1E5CF" w:rsidR="00E81307" w:rsidRPr="002462F0" w:rsidRDefault="00E81307" w:rsidP="00E81307">
            <w:pPr>
              <w:jc w:val="center"/>
              <w:rPr>
                <w:color w:val="000000"/>
                <w:szCs w:val="20"/>
              </w:rPr>
            </w:pPr>
            <w:r w:rsidRPr="009B13D7">
              <w:t>0.132</w:t>
            </w:r>
          </w:p>
        </w:tc>
        <w:tc>
          <w:tcPr>
            <w:tcW w:w="1984" w:type="dxa"/>
            <w:noWrap/>
            <w:hideMark/>
          </w:tcPr>
          <w:p w14:paraId="2F3E681D" w14:textId="439C8AEF" w:rsidR="00E81307" w:rsidRPr="002462F0" w:rsidRDefault="00E81307" w:rsidP="00E81307">
            <w:pPr>
              <w:jc w:val="center"/>
              <w:rPr>
                <w:color w:val="000000"/>
                <w:szCs w:val="20"/>
              </w:rPr>
            </w:pPr>
            <w:r w:rsidRPr="00C87C17">
              <w:t xml:space="preserve"> 6,115.30 </w:t>
            </w:r>
          </w:p>
        </w:tc>
        <w:tc>
          <w:tcPr>
            <w:tcW w:w="1701" w:type="dxa"/>
            <w:noWrap/>
            <w:vAlign w:val="center"/>
            <w:hideMark/>
          </w:tcPr>
          <w:p w14:paraId="082CF7AE" w14:textId="4FCA6C5F" w:rsidR="00E81307" w:rsidRPr="00E81307" w:rsidRDefault="00E81307" w:rsidP="00E81307">
            <w:pPr>
              <w:autoSpaceDE w:val="0"/>
              <w:autoSpaceDN w:val="0"/>
              <w:adjustRightInd w:val="0"/>
              <w:jc w:val="center"/>
              <w:rPr>
                <w:szCs w:val="20"/>
                <w:lang w:eastAsia="fr-FR"/>
              </w:rPr>
            </w:pPr>
            <w:r w:rsidRPr="00E81307">
              <w:rPr>
                <w:rFonts w:cs="Arial"/>
                <w:szCs w:val="20"/>
              </w:rPr>
              <w:t>2%</w:t>
            </w:r>
          </w:p>
        </w:tc>
      </w:tr>
      <w:tr w:rsidR="00E81307" w:rsidRPr="002462F0" w14:paraId="68B5C5CA" w14:textId="77777777" w:rsidTr="005F06B5">
        <w:trPr>
          <w:trHeight w:val="270"/>
        </w:trPr>
        <w:tc>
          <w:tcPr>
            <w:tcW w:w="1555" w:type="dxa"/>
            <w:noWrap/>
            <w:hideMark/>
          </w:tcPr>
          <w:p w14:paraId="21B71E30"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2012</w:t>
            </w:r>
          </w:p>
        </w:tc>
        <w:tc>
          <w:tcPr>
            <w:tcW w:w="1417" w:type="dxa"/>
            <w:noWrap/>
            <w:hideMark/>
          </w:tcPr>
          <w:p w14:paraId="090DD82E" w14:textId="1F7C37DF" w:rsidR="00E81307" w:rsidRPr="002462F0" w:rsidRDefault="00E81307" w:rsidP="00E81307">
            <w:pPr>
              <w:autoSpaceDE w:val="0"/>
              <w:autoSpaceDN w:val="0"/>
              <w:adjustRightInd w:val="0"/>
              <w:jc w:val="center"/>
              <w:rPr>
                <w:szCs w:val="20"/>
                <w:lang w:eastAsia="fr-FR"/>
              </w:rPr>
            </w:pPr>
            <w:r w:rsidRPr="002462F0">
              <w:rPr>
                <w:szCs w:val="20"/>
                <w:lang w:eastAsia="fr-FR"/>
              </w:rPr>
              <w:t>40</w:t>
            </w:r>
            <w:r w:rsidR="002F07DA">
              <w:rPr>
                <w:szCs w:val="20"/>
                <w:lang w:eastAsia="fr-FR"/>
              </w:rPr>
              <w:t>,</w:t>
            </w:r>
            <w:r w:rsidRPr="002462F0">
              <w:rPr>
                <w:szCs w:val="20"/>
                <w:lang w:eastAsia="fr-FR"/>
              </w:rPr>
              <w:t>742</w:t>
            </w:r>
          </w:p>
        </w:tc>
        <w:tc>
          <w:tcPr>
            <w:tcW w:w="2410" w:type="dxa"/>
            <w:noWrap/>
            <w:hideMark/>
          </w:tcPr>
          <w:p w14:paraId="732B0DC9" w14:textId="52A1D08C" w:rsidR="00E81307" w:rsidRPr="002462F0" w:rsidRDefault="00E81307" w:rsidP="00E81307">
            <w:pPr>
              <w:jc w:val="center"/>
              <w:rPr>
                <w:color w:val="000000"/>
                <w:szCs w:val="20"/>
              </w:rPr>
            </w:pPr>
            <w:r w:rsidRPr="009B13D7">
              <w:t>0.201</w:t>
            </w:r>
          </w:p>
        </w:tc>
        <w:tc>
          <w:tcPr>
            <w:tcW w:w="1984" w:type="dxa"/>
            <w:noWrap/>
            <w:hideMark/>
          </w:tcPr>
          <w:p w14:paraId="55BCD73F" w14:textId="533F02E7" w:rsidR="00E81307" w:rsidRPr="002462F0" w:rsidRDefault="00E81307" w:rsidP="00E81307">
            <w:pPr>
              <w:jc w:val="center"/>
              <w:rPr>
                <w:color w:val="000000"/>
                <w:szCs w:val="20"/>
              </w:rPr>
            </w:pPr>
            <w:r w:rsidRPr="00C87C17">
              <w:t xml:space="preserve"> 8,207.00 </w:t>
            </w:r>
          </w:p>
        </w:tc>
        <w:tc>
          <w:tcPr>
            <w:tcW w:w="1701" w:type="dxa"/>
            <w:noWrap/>
            <w:vAlign w:val="center"/>
            <w:hideMark/>
          </w:tcPr>
          <w:p w14:paraId="489A7636" w14:textId="232B2C07" w:rsidR="00E81307" w:rsidRPr="00E81307" w:rsidRDefault="00E81307" w:rsidP="00E81307">
            <w:pPr>
              <w:autoSpaceDE w:val="0"/>
              <w:autoSpaceDN w:val="0"/>
              <w:adjustRightInd w:val="0"/>
              <w:jc w:val="center"/>
              <w:rPr>
                <w:szCs w:val="20"/>
                <w:lang w:eastAsia="fr-FR"/>
              </w:rPr>
            </w:pPr>
            <w:r w:rsidRPr="00E81307">
              <w:rPr>
                <w:rFonts w:cs="Arial"/>
                <w:szCs w:val="20"/>
              </w:rPr>
              <w:t>3%</w:t>
            </w:r>
          </w:p>
        </w:tc>
      </w:tr>
      <w:tr w:rsidR="00E81307" w:rsidRPr="002462F0" w14:paraId="1C7786C0" w14:textId="77777777" w:rsidTr="005F06B5">
        <w:trPr>
          <w:trHeight w:val="270"/>
        </w:trPr>
        <w:tc>
          <w:tcPr>
            <w:tcW w:w="1555" w:type="dxa"/>
            <w:noWrap/>
            <w:hideMark/>
          </w:tcPr>
          <w:p w14:paraId="2071BDDC"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2013</w:t>
            </w:r>
          </w:p>
        </w:tc>
        <w:tc>
          <w:tcPr>
            <w:tcW w:w="1417" w:type="dxa"/>
            <w:noWrap/>
            <w:hideMark/>
          </w:tcPr>
          <w:p w14:paraId="468D74D7" w14:textId="7D84E447" w:rsidR="00E81307" w:rsidRPr="002462F0" w:rsidRDefault="00E81307" w:rsidP="00E81307">
            <w:pPr>
              <w:autoSpaceDE w:val="0"/>
              <w:autoSpaceDN w:val="0"/>
              <w:adjustRightInd w:val="0"/>
              <w:jc w:val="center"/>
              <w:rPr>
                <w:szCs w:val="20"/>
                <w:lang w:eastAsia="fr-FR"/>
              </w:rPr>
            </w:pPr>
            <w:r w:rsidRPr="002462F0">
              <w:rPr>
                <w:szCs w:val="20"/>
                <w:lang w:eastAsia="fr-FR"/>
              </w:rPr>
              <w:t>45</w:t>
            </w:r>
            <w:r w:rsidR="002F07DA">
              <w:rPr>
                <w:szCs w:val="20"/>
                <w:lang w:eastAsia="fr-FR"/>
              </w:rPr>
              <w:t>,</w:t>
            </w:r>
            <w:r w:rsidRPr="002462F0">
              <w:rPr>
                <w:szCs w:val="20"/>
                <w:lang w:eastAsia="fr-FR"/>
              </w:rPr>
              <w:t>520</w:t>
            </w:r>
          </w:p>
        </w:tc>
        <w:tc>
          <w:tcPr>
            <w:tcW w:w="2410" w:type="dxa"/>
            <w:noWrap/>
            <w:hideMark/>
          </w:tcPr>
          <w:p w14:paraId="3BC846BB" w14:textId="0657783E" w:rsidR="00E81307" w:rsidRPr="002462F0" w:rsidRDefault="00E81307" w:rsidP="00E81307">
            <w:pPr>
              <w:jc w:val="center"/>
              <w:rPr>
                <w:color w:val="000000"/>
                <w:szCs w:val="20"/>
              </w:rPr>
            </w:pPr>
            <w:r w:rsidRPr="009B13D7">
              <w:t>0.193</w:t>
            </w:r>
          </w:p>
        </w:tc>
        <w:tc>
          <w:tcPr>
            <w:tcW w:w="1984" w:type="dxa"/>
            <w:noWrap/>
            <w:hideMark/>
          </w:tcPr>
          <w:p w14:paraId="0D4E399F" w14:textId="67550204" w:rsidR="00E81307" w:rsidRPr="002462F0" w:rsidRDefault="00E81307" w:rsidP="00E81307">
            <w:pPr>
              <w:jc w:val="center"/>
              <w:rPr>
                <w:color w:val="000000"/>
                <w:szCs w:val="20"/>
              </w:rPr>
            </w:pPr>
            <w:r w:rsidRPr="00C87C17">
              <w:t xml:space="preserve"> 8,773.35 </w:t>
            </w:r>
          </w:p>
        </w:tc>
        <w:tc>
          <w:tcPr>
            <w:tcW w:w="1701" w:type="dxa"/>
            <w:noWrap/>
            <w:vAlign w:val="center"/>
            <w:hideMark/>
          </w:tcPr>
          <w:p w14:paraId="0D053965" w14:textId="4BBF8889" w:rsidR="00E81307" w:rsidRPr="00E81307" w:rsidRDefault="00E81307" w:rsidP="00E81307">
            <w:pPr>
              <w:autoSpaceDE w:val="0"/>
              <w:autoSpaceDN w:val="0"/>
              <w:adjustRightInd w:val="0"/>
              <w:jc w:val="center"/>
              <w:rPr>
                <w:szCs w:val="20"/>
                <w:lang w:eastAsia="fr-FR"/>
              </w:rPr>
            </w:pPr>
            <w:r w:rsidRPr="00E81307">
              <w:rPr>
                <w:rFonts w:cs="Arial"/>
                <w:szCs w:val="20"/>
              </w:rPr>
              <w:t>2%</w:t>
            </w:r>
          </w:p>
        </w:tc>
      </w:tr>
      <w:tr w:rsidR="00E81307" w:rsidRPr="002462F0" w14:paraId="48214668" w14:textId="77777777" w:rsidTr="005F06B5">
        <w:trPr>
          <w:trHeight w:val="270"/>
        </w:trPr>
        <w:tc>
          <w:tcPr>
            <w:tcW w:w="1555" w:type="dxa"/>
            <w:noWrap/>
            <w:hideMark/>
          </w:tcPr>
          <w:p w14:paraId="307929ED"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2014</w:t>
            </w:r>
          </w:p>
        </w:tc>
        <w:tc>
          <w:tcPr>
            <w:tcW w:w="1417" w:type="dxa"/>
            <w:noWrap/>
            <w:hideMark/>
          </w:tcPr>
          <w:p w14:paraId="334A2916" w14:textId="69A13BB0" w:rsidR="00E81307" w:rsidRPr="002462F0" w:rsidRDefault="00E81307" w:rsidP="00E81307">
            <w:pPr>
              <w:autoSpaceDE w:val="0"/>
              <w:autoSpaceDN w:val="0"/>
              <w:adjustRightInd w:val="0"/>
              <w:jc w:val="center"/>
              <w:rPr>
                <w:szCs w:val="20"/>
                <w:lang w:eastAsia="fr-FR"/>
              </w:rPr>
            </w:pPr>
            <w:r w:rsidRPr="002462F0">
              <w:rPr>
                <w:szCs w:val="20"/>
                <w:lang w:eastAsia="fr-FR"/>
              </w:rPr>
              <w:t>44</w:t>
            </w:r>
            <w:r w:rsidR="002F07DA">
              <w:rPr>
                <w:szCs w:val="20"/>
                <w:lang w:eastAsia="fr-FR"/>
              </w:rPr>
              <w:t>,</w:t>
            </w:r>
            <w:r w:rsidRPr="002462F0">
              <w:rPr>
                <w:szCs w:val="20"/>
                <w:lang w:eastAsia="fr-FR"/>
              </w:rPr>
              <w:t>211</w:t>
            </w:r>
          </w:p>
        </w:tc>
        <w:tc>
          <w:tcPr>
            <w:tcW w:w="2410" w:type="dxa"/>
            <w:noWrap/>
            <w:hideMark/>
          </w:tcPr>
          <w:p w14:paraId="3F170F7A" w14:textId="4C28ADFD" w:rsidR="00E81307" w:rsidRPr="002462F0" w:rsidRDefault="00E81307" w:rsidP="00E81307">
            <w:pPr>
              <w:jc w:val="center"/>
              <w:rPr>
                <w:color w:val="000000"/>
                <w:szCs w:val="20"/>
              </w:rPr>
            </w:pPr>
            <w:r w:rsidRPr="009B13D7">
              <w:t>0.139</w:t>
            </w:r>
          </w:p>
        </w:tc>
        <w:tc>
          <w:tcPr>
            <w:tcW w:w="1984" w:type="dxa"/>
            <w:noWrap/>
            <w:hideMark/>
          </w:tcPr>
          <w:p w14:paraId="72B99708" w14:textId="52AF6C1D" w:rsidR="00E81307" w:rsidRPr="002462F0" w:rsidRDefault="00E81307" w:rsidP="00E81307">
            <w:pPr>
              <w:jc w:val="center"/>
              <w:rPr>
                <w:color w:val="000000"/>
                <w:szCs w:val="20"/>
              </w:rPr>
            </w:pPr>
            <w:r w:rsidRPr="00C87C17">
              <w:t xml:space="preserve"> 6,124.98 </w:t>
            </w:r>
          </w:p>
        </w:tc>
        <w:tc>
          <w:tcPr>
            <w:tcW w:w="1701" w:type="dxa"/>
            <w:noWrap/>
            <w:vAlign w:val="center"/>
            <w:hideMark/>
          </w:tcPr>
          <w:p w14:paraId="54E3F455" w14:textId="46D2908C" w:rsidR="00E81307" w:rsidRPr="00E81307" w:rsidRDefault="00E81307" w:rsidP="00E81307">
            <w:pPr>
              <w:autoSpaceDE w:val="0"/>
              <w:autoSpaceDN w:val="0"/>
              <w:adjustRightInd w:val="0"/>
              <w:jc w:val="center"/>
              <w:rPr>
                <w:szCs w:val="20"/>
                <w:lang w:eastAsia="fr-FR"/>
              </w:rPr>
            </w:pPr>
            <w:r w:rsidRPr="00E81307">
              <w:rPr>
                <w:rFonts w:cs="Arial"/>
                <w:szCs w:val="20"/>
              </w:rPr>
              <w:t>3%</w:t>
            </w:r>
          </w:p>
        </w:tc>
      </w:tr>
      <w:tr w:rsidR="00E81307" w:rsidRPr="002462F0" w14:paraId="59045C4F" w14:textId="77777777" w:rsidTr="005F06B5">
        <w:trPr>
          <w:trHeight w:val="270"/>
        </w:trPr>
        <w:tc>
          <w:tcPr>
            <w:tcW w:w="1555" w:type="dxa"/>
            <w:noWrap/>
            <w:hideMark/>
          </w:tcPr>
          <w:p w14:paraId="3F96E257" w14:textId="77777777" w:rsidR="00E81307" w:rsidRPr="002462F0" w:rsidRDefault="00E81307" w:rsidP="00E81307">
            <w:pPr>
              <w:autoSpaceDE w:val="0"/>
              <w:autoSpaceDN w:val="0"/>
              <w:adjustRightInd w:val="0"/>
              <w:jc w:val="center"/>
              <w:rPr>
                <w:szCs w:val="20"/>
                <w:lang w:eastAsia="fr-FR"/>
              </w:rPr>
            </w:pPr>
            <w:r w:rsidRPr="002462F0">
              <w:rPr>
                <w:szCs w:val="20"/>
                <w:lang w:eastAsia="fr-FR"/>
              </w:rPr>
              <w:t>2015</w:t>
            </w:r>
          </w:p>
        </w:tc>
        <w:tc>
          <w:tcPr>
            <w:tcW w:w="1417" w:type="dxa"/>
            <w:noWrap/>
            <w:hideMark/>
          </w:tcPr>
          <w:p w14:paraId="1A76064A" w14:textId="0F187474" w:rsidR="00E81307" w:rsidRPr="002462F0" w:rsidRDefault="00E81307" w:rsidP="00E81307">
            <w:pPr>
              <w:autoSpaceDE w:val="0"/>
              <w:autoSpaceDN w:val="0"/>
              <w:adjustRightInd w:val="0"/>
              <w:jc w:val="center"/>
              <w:rPr>
                <w:szCs w:val="20"/>
                <w:lang w:eastAsia="fr-FR"/>
              </w:rPr>
            </w:pPr>
            <w:r>
              <w:rPr>
                <w:szCs w:val="20"/>
                <w:lang w:eastAsia="fr-FR"/>
              </w:rPr>
              <w:t>37</w:t>
            </w:r>
            <w:r w:rsidR="002F07DA">
              <w:rPr>
                <w:szCs w:val="20"/>
                <w:lang w:eastAsia="fr-FR"/>
              </w:rPr>
              <w:t>,</w:t>
            </w:r>
            <w:r>
              <w:rPr>
                <w:szCs w:val="20"/>
                <w:lang w:eastAsia="fr-FR"/>
              </w:rPr>
              <w:t>160</w:t>
            </w:r>
          </w:p>
        </w:tc>
        <w:tc>
          <w:tcPr>
            <w:tcW w:w="2410" w:type="dxa"/>
            <w:noWrap/>
            <w:hideMark/>
          </w:tcPr>
          <w:p w14:paraId="3CDC00D3" w14:textId="6F9C3C3C" w:rsidR="00E81307" w:rsidRPr="002462F0" w:rsidRDefault="00E81307" w:rsidP="00E81307">
            <w:pPr>
              <w:jc w:val="center"/>
              <w:rPr>
                <w:color w:val="000000"/>
                <w:szCs w:val="20"/>
              </w:rPr>
            </w:pPr>
            <w:r w:rsidRPr="009B13D7">
              <w:t>0.207</w:t>
            </w:r>
          </w:p>
        </w:tc>
        <w:tc>
          <w:tcPr>
            <w:tcW w:w="1984" w:type="dxa"/>
            <w:noWrap/>
            <w:hideMark/>
          </w:tcPr>
          <w:p w14:paraId="5F18847A" w14:textId="7FA011A8" w:rsidR="00E81307" w:rsidRPr="002462F0" w:rsidRDefault="00E81307" w:rsidP="00E81307">
            <w:pPr>
              <w:jc w:val="center"/>
              <w:rPr>
                <w:color w:val="000000"/>
                <w:szCs w:val="20"/>
              </w:rPr>
            </w:pPr>
            <w:r w:rsidRPr="00C87C17">
              <w:t xml:space="preserve"> 7,690.97 </w:t>
            </w:r>
          </w:p>
        </w:tc>
        <w:tc>
          <w:tcPr>
            <w:tcW w:w="1701" w:type="dxa"/>
            <w:noWrap/>
            <w:vAlign w:val="center"/>
            <w:hideMark/>
          </w:tcPr>
          <w:p w14:paraId="4A9F36C1" w14:textId="7A2E0879" w:rsidR="00E81307" w:rsidRPr="00E81307" w:rsidRDefault="00E81307" w:rsidP="00E81307">
            <w:pPr>
              <w:autoSpaceDE w:val="0"/>
              <w:autoSpaceDN w:val="0"/>
              <w:adjustRightInd w:val="0"/>
              <w:jc w:val="center"/>
              <w:rPr>
                <w:szCs w:val="20"/>
                <w:lang w:eastAsia="fr-FR"/>
              </w:rPr>
            </w:pPr>
            <w:r w:rsidRPr="00E81307">
              <w:rPr>
                <w:rFonts w:cs="Arial"/>
                <w:szCs w:val="20"/>
              </w:rPr>
              <w:t>4%</w:t>
            </w:r>
          </w:p>
        </w:tc>
      </w:tr>
      <w:tr w:rsidR="00E81307" w:rsidRPr="002462F0" w14:paraId="2DE71EA1" w14:textId="77777777" w:rsidTr="005F06B5">
        <w:trPr>
          <w:trHeight w:val="270"/>
        </w:trPr>
        <w:tc>
          <w:tcPr>
            <w:tcW w:w="1555" w:type="dxa"/>
            <w:noWrap/>
          </w:tcPr>
          <w:p w14:paraId="6EF61C46" w14:textId="168ED7B7" w:rsidR="00E81307" w:rsidRPr="002462F0" w:rsidRDefault="00E81307" w:rsidP="00E81307">
            <w:pPr>
              <w:autoSpaceDE w:val="0"/>
              <w:autoSpaceDN w:val="0"/>
              <w:adjustRightInd w:val="0"/>
              <w:jc w:val="center"/>
              <w:rPr>
                <w:szCs w:val="20"/>
                <w:lang w:eastAsia="fr-FR"/>
              </w:rPr>
            </w:pPr>
            <w:r>
              <w:rPr>
                <w:szCs w:val="20"/>
                <w:lang w:eastAsia="fr-FR"/>
              </w:rPr>
              <w:t>2016</w:t>
            </w:r>
          </w:p>
        </w:tc>
        <w:tc>
          <w:tcPr>
            <w:tcW w:w="1417" w:type="dxa"/>
            <w:noWrap/>
          </w:tcPr>
          <w:p w14:paraId="72A79DB8" w14:textId="53CB51BF" w:rsidR="00E81307" w:rsidRPr="002462F0" w:rsidRDefault="00E81307" w:rsidP="00E81307">
            <w:pPr>
              <w:autoSpaceDE w:val="0"/>
              <w:autoSpaceDN w:val="0"/>
              <w:adjustRightInd w:val="0"/>
              <w:jc w:val="center"/>
              <w:rPr>
                <w:szCs w:val="20"/>
                <w:lang w:eastAsia="fr-FR"/>
              </w:rPr>
            </w:pPr>
            <w:r>
              <w:rPr>
                <w:szCs w:val="20"/>
                <w:lang w:eastAsia="fr-FR"/>
              </w:rPr>
              <w:t>38</w:t>
            </w:r>
            <w:r w:rsidR="004F6D62">
              <w:rPr>
                <w:szCs w:val="20"/>
                <w:lang w:eastAsia="fr-FR"/>
              </w:rPr>
              <w:t>,</w:t>
            </w:r>
            <w:r>
              <w:rPr>
                <w:szCs w:val="20"/>
                <w:lang w:eastAsia="fr-FR"/>
              </w:rPr>
              <w:t>300</w:t>
            </w:r>
          </w:p>
        </w:tc>
        <w:tc>
          <w:tcPr>
            <w:tcW w:w="2410" w:type="dxa"/>
            <w:noWrap/>
          </w:tcPr>
          <w:p w14:paraId="235A892B" w14:textId="57BFB47E" w:rsidR="00E81307" w:rsidRPr="002462F0" w:rsidRDefault="00E81307" w:rsidP="00E81307">
            <w:pPr>
              <w:jc w:val="center"/>
              <w:rPr>
                <w:color w:val="000000"/>
                <w:szCs w:val="20"/>
              </w:rPr>
            </w:pPr>
            <w:r w:rsidRPr="009B13D7">
              <w:t>0.191</w:t>
            </w:r>
          </w:p>
        </w:tc>
        <w:tc>
          <w:tcPr>
            <w:tcW w:w="1984" w:type="dxa"/>
            <w:noWrap/>
          </w:tcPr>
          <w:p w14:paraId="634CEAB2" w14:textId="3AD25643" w:rsidR="00E81307" w:rsidRPr="002462F0" w:rsidRDefault="00E81307" w:rsidP="00E81307">
            <w:pPr>
              <w:jc w:val="center"/>
              <w:rPr>
                <w:color w:val="000000"/>
                <w:szCs w:val="20"/>
              </w:rPr>
            </w:pPr>
            <w:r w:rsidRPr="00C87C17">
              <w:t xml:space="preserve"> 7,307.10 </w:t>
            </w:r>
          </w:p>
        </w:tc>
        <w:tc>
          <w:tcPr>
            <w:tcW w:w="1701" w:type="dxa"/>
            <w:noWrap/>
            <w:vAlign w:val="center"/>
          </w:tcPr>
          <w:p w14:paraId="18D491B9" w14:textId="53080DC1" w:rsidR="00E81307" w:rsidRPr="00E81307" w:rsidRDefault="00E81307" w:rsidP="00E81307">
            <w:pPr>
              <w:autoSpaceDE w:val="0"/>
              <w:autoSpaceDN w:val="0"/>
              <w:adjustRightInd w:val="0"/>
              <w:jc w:val="center"/>
              <w:rPr>
                <w:szCs w:val="20"/>
                <w:lang w:eastAsia="fr-FR"/>
              </w:rPr>
            </w:pPr>
            <w:r w:rsidRPr="00E81307">
              <w:rPr>
                <w:rFonts w:cs="Arial"/>
                <w:szCs w:val="20"/>
              </w:rPr>
              <w:t>5%</w:t>
            </w:r>
          </w:p>
        </w:tc>
      </w:tr>
      <w:tr w:rsidR="004F6D62" w:rsidRPr="002462F0" w14:paraId="3B85E27D" w14:textId="77777777" w:rsidTr="005F06B5">
        <w:trPr>
          <w:trHeight w:val="270"/>
        </w:trPr>
        <w:tc>
          <w:tcPr>
            <w:tcW w:w="1555" w:type="dxa"/>
            <w:noWrap/>
          </w:tcPr>
          <w:p w14:paraId="54CD9863" w14:textId="11310AC6" w:rsidR="004F6D62" w:rsidRDefault="004F6D62" w:rsidP="00E81307">
            <w:pPr>
              <w:autoSpaceDE w:val="0"/>
              <w:autoSpaceDN w:val="0"/>
              <w:adjustRightInd w:val="0"/>
              <w:jc w:val="center"/>
              <w:rPr>
                <w:szCs w:val="20"/>
                <w:lang w:eastAsia="fr-FR"/>
              </w:rPr>
            </w:pPr>
            <w:r>
              <w:rPr>
                <w:szCs w:val="20"/>
                <w:lang w:eastAsia="fr-FR"/>
              </w:rPr>
              <w:t>2017</w:t>
            </w:r>
          </w:p>
        </w:tc>
        <w:tc>
          <w:tcPr>
            <w:tcW w:w="1417" w:type="dxa"/>
            <w:noWrap/>
          </w:tcPr>
          <w:p w14:paraId="6E5BF31E" w14:textId="60CEA3DD" w:rsidR="004F6D62" w:rsidRDefault="004F6D62" w:rsidP="00E81307">
            <w:pPr>
              <w:autoSpaceDE w:val="0"/>
              <w:autoSpaceDN w:val="0"/>
              <w:adjustRightInd w:val="0"/>
              <w:jc w:val="center"/>
              <w:rPr>
                <w:szCs w:val="20"/>
                <w:lang w:eastAsia="fr-FR"/>
              </w:rPr>
            </w:pPr>
            <w:r>
              <w:rPr>
                <w:szCs w:val="20"/>
                <w:lang w:eastAsia="fr-FR"/>
              </w:rPr>
              <w:t>41,430</w:t>
            </w:r>
          </w:p>
        </w:tc>
        <w:tc>
          <w:tcPr>
            <w:tcW w:w="2410" w:type="dxa"/>
            <w:noWrap/>
          </w:tcPr>
          <w:p w14:paraId="588AA7FA" w14:textId="40ADFCC1" w:rsidR="004F6D62" w:rsidRPr="009B13D7" w:rsidRDefault="00DC13D1" w:rsidP="00E81307">
            <w:pPr>
              <w:jc w:val="center"/>
            </w:pPr>
            <w:r>
              <w:t>0.225</w:t>
            </w:r>
          </w:p>
        </w:tc>
        <w:tc>
          <w:tcPr>
            <w:tcW w:w="1984" w:type="dxa"/>
            <w:noWrap/>
          </w:tcPr>
          <w:p w14:paraId="5A5B192E" w14:textId="1A2F622B" w:rsidR="004F6D62" w:rsidRPr="00C87C17" w:rsidRDefault="00DC13D1" w:rsidP="00E81307">
            <w:pPr>
              <w:jc w:val="center"/>
            </w:pPr>
            <w:r>
              <w:t>9,327.61</w:t>
            </w:r>
          </w:p>
        </w:tc>
        <w:tc>
          <w:tcPr>
            <w:tcW w:w="1701" w:type="dxa"/>
            <w:noWrap/>
            <w:vAlign w:val="center"/>
          </w:tcPr>
          <w:p w14:paraId="73E1E11C" w14:textId="577E9E1C" w:rsidR="004F6D62" w:rsidRPr="00E81307" w:rsidRDefault="007F543E" w:rsidP="00E81307">
            <w:pPr>
              <w:autoSpaceDE w:val="0"/>
              <w:autoSpaceDN w:val="0"/>
              <w:adjustRightInd w:val="0"/>
              <w:jc w:val="center"/>
              <w:rPr>
                <w:rFonts w:cs="Arial"/>
                <w:szCs w:val="20"/>
              </w:rPr>
            </w:pPr>
            <w:r>
              <w:rPr>
                <w:rFonts w:cs="Arial"/>
                <w:szCs w:val="20"/>
              </w:rPr>
              <w:t>6%</w:t>
            </w:r>
          </w:p>
        </w:tc>
      </w:tr>
      <w:tr w:rsidR="004F6D62" w:rsidRPr="002462F0" w14:paraId="41BA90F6" w14:textId="77777777" w:rsidTr="005F06B5">
        <w:trPr>
          <w:trHeight w:val="270"/>
        </w:trPr>
        <w:tc>
          <w:tcPr>
            <w:tcW w:w="1555" w:type="dxa"/>
            <w:noWrap/>
          </w:tcPr>
          <w:p w14:paraId="1A4E9DDE" w14:textId="61177E54" w:rsidR="004F6D62" w:rsidRDefault="004F6D62" w:rsidP="00E81307">
            <w:pPr>
              <w:autoSpaceDE w:val="0"/>
              <w:autoSpaceDN w:val="0"/>
              <w:adjustRightInd w:val="0"/>
              <w:jc w:val="center"/>
              <w:rPr>
                <w:szCs w:val="20"/>
                <w:lang w:eastAsia="fr-FR"/>
              </w:rPr>
            </w:pPr>
            <w:r>
              <w:rPr>
                <w:szCs w:val="20"/>
                <w:lang w:eastAsia="fr-FR"/>
              </w:rPr>
              <w:t>2018</w:t>
            </w:r>
          </w:p>
        </w:tc>
        <w:tc>
          <w:tcPr>
            <w:tcW w:w="1417" w:type="dxa"/>
            <w:noWrap/>
          </w:tcPr>
          <w:p w14:paraId="550B19ED" w14:textId="255DB687" w:rsidR="004F6D62" w:rsidRDefault="004F6D62" w:rsidP="00E81307">
            <w:pPr>
              <w:autoSpaceDE w:val="0"/>
              <w:autoSpaceDN w:val="0"/>
              <w:adjustRightInd w:val="0"/>
              <w:jc w:val="center"/>
              <w:rPr>
                <w:szCs w:val="20"/>
                <w:lang w:eastAsia="fr-FR"/>
              </w:rPr>
            </w:pPr>
            <w:r>
              <w:rPr>
                <w:szCs w:val="20"/>
                <w:lang w:eastAsia="fr-FR"/>
              </w:rPr>
              <w:t>50,597</w:t>
            </w:r>
          </w:p>
        </w:tc>
        <w:tc>
          <w:tcPr>
            <w:tcW w:w="2410" w:type="dxa"/>
            <w:noWrap/>
          </w:tcPr>
          <w:p w14:paraId="25EE6F7E" w14:textId="7A7F75C9" w:rsidR="004F6D62" w:rsidRPr="009B13D7" w:rsidRDefault="00DC13D1" w:rsidP="00E81307">
            <w:pPr>
              <w:jc w:val="center"/>
            </w:pPr>
            <w:r>
              <w:t>0.185</w:t>
            </w:r>
          </w:p>
        </w:tc>
        <w:tc>
          <w:tcPr>
            <w:tcW w:w="1984" w:type="dxa"/>
            <w:noWrap/>
          </w:tcPr>
          <w:p w14:paraId="4737F8CF" w14:textId="3906B6A7" w:rsidR="004F6D62" w:rsidRPr="00C87C17" w:rsidRDefault="00DC13D1" w:rsidP="00E81307">
            <w:pPr>
              <w:jc w:val="center"/>
            </w:pPr>
            <w:r>
              <w:t>9,366.</w:t>
            </w:r>
            <w:r w:rsidR="00687B32">
              <w:t>23</w:t>
            </w:r>
          </w:p>
        </w:tc>
        <w:tc>
          <w:tcPr>
            <w:tcW w:w="1701" w:type="dxa"/>
            <w:noWrap/>
            <w:vAlign w:val="center"/>
          </w:tcPr>
          <w:p w14:paraId="4950F457" w14:textId="72D0F019" w:rsidR="004F6D62" w:rsidRPr="00E81307" w:rsidRDefault="007F543E" w:rsidP="00E81307">
            <w:pPr>
              <w:autoSpaceDE w:val="0"/>
              <w:autoSpaceDN w:val="0"/>
              <w:adjustRightInd w:val="0"/>
              <w:jc w:val="center"/>
              <w:rPr>
                <w:rFonts w:cs="Arial"/>
                <w:szCs w:val="20"/>
              </w:rPr>
            </w:pPr>
            <w:r>
              <w:rPr>
                <w:rFonts w:cs="Arial"/>
                <w:szCs w:val="20"/>
              </w:rPr>
              <w:t>6%</w:t>
            </w:r>
          </w:p>
        </w:tc>
      </w:tr>
      <w:tr w:rsidR="004F6D62" w:rsidRPr="002462F0" w14:paraId="6AA1F5CF" w14:textId="77777777" w:rsidTr="005F06B5">
        <w:trPr>
          <w:trHeight w:val="270"/>
        </w:trPr>
        <w:tc>
          <w:tcPr>
            <w:tcW w:w="1555" w:type="dxa"/>
            <w:noWrap/>
          </w:tcPr>
          <w:p w14:paraId="2D5801AA" w14:textId="037F500A" w:rsidR="004F6D62" w:rsidRDefault="004F6D62" w:rsidP="00E81307">
            <w:pPr>
              <w:autoSpaceDE w:val="0"/>
              <w:autoSpaceDN w:val="0"/>
              <w:adjustRightInd w:val="0"/>
              <w:jc w:val="center"/>
              <w:rPr>
                <w:szCs w:val="20"/>
                <w:lang w:eastAsia="fr-FR"/>
              </w:rPr>
            </w:pPr>
            <w:r>
              <w:rPr>
                <w:szCs w:val="20"/>
                <w:lang w:eastAsia="fr-FR"/>
              </w:rPr>
              <w:t>2019</w:t>
            </w:r>
          </w:p>
        </w:tc>
        <w:tc>
          <w:tcPr>
            <w:tcW w:w="1417" w:type="dxa"/>
            <w:noWrap/>
          </w:tcPr>
          <w:p w14:paraId="2444977F" w14:textId="16E19F25" w:rsidR="004F6D62" w:rsidRDefault="004F6D62" w:rsidP="00E81307">
            <w:pPr>
              <w:autoSpaceDE w:val="0"/>
              <w:autoSpaceDN w:val="0"/>
              <w:adjustRightInd w:val="0"/>
              <w:jc w:val="center"/>
              <w:rPr>
                <w:szCs w:val="20"/>
                <w:lang w:eastAsia="fr-FR"/>
              </w:rPr>
            </w:pPr>
            <w:r>
              <w:rPr>
                <w:szCs w:val="20"/>
                <w:lang w:eastAsia="fr-FR"/>
              </w:rPr>
              <w:t>51,409</w:t>
            </w:r>
          </w:p>
        </w:tc>
        <w:tc>
          <w:tcPr>
            <w:tcW w:w="2410" w:type="dxa"/>
            <w:noWrap/>
          </w:tcPr>
          <w:p w14:paraId="7674BA93" w14:textId="2EBFC62F" w:rsidR="004F6D62" w:rsidRPr="009B13D7" w:rsidRDefault="00DC13D1" w:rsidP="00E81307">
            <w:pPr>
              <w:jc w:val="center"/>
            </w:pPr>
            <w:r>
              <w:t>0.187</w:t>
            </w:r>
          </w:p>
        </w:tc>
        <w:tc>
          <w:tcPr>
            <w:tcW w:w="1984" w:type="dxa"/>
            <w:noWrap/>
          </w:tcPr>
          <w:p w14:paraId="772698A1" w14:textId="7A80931F" w:rsidR="004F6D62" w:rsidRPr="00C87C17" w:rsidRDefault="00687B32" w:rsidP="00E81307">
            <w:pPr>
              <w:jc w:val="center"/>
            </w:pPr>
            <w:r>
              <w:t>9,613.48</w:t>
            </w:r>
          </w:p>
        </w:tc>
        <w:tc>
          <w:tcPr>
            <w:tcW w:w="1701" w:type="dxa"/>
            <w:noWrap/>
            <w:vAlign w:val="center"/>
          </w:tcPr>
          <w:p w14:paraId="1EBA42D0" w14:textId="1E46ADAA" w:rsidR="004F6D62" w:rsidRPr="00E81307" w:rsidRDefault="007F543E" w:rsidP="00E81307">
            <w:pPr>
              <w:autoSpaceDE w:val="0"/>
              <w:autoSpaceDN w:val="0"/>
              <w:adjustRightInd w:val="0"/>
              <w:jc w:val="center"/>
              <w:rPr>
                <w:rFonts w:cs="Arial"/>
                <w:szCs w:val="20"/>
              </w:rPr>
            </w:pPr>
            <w:r>
              <w:rPr>
                <w:rFonts w:cs="Arial"/>
                <w:szCs w:val="20"/>
              </w:rPr>
              <w:t>5%</w:t>
            </w:r>
          </w:p>
        </w:tc>
      </w:tr>
      <w:tr w:rsidR="004F6D62" w:rsidRPr="002462F0" w14:paraId="6F4B9588" w14:textId="77777777" w:rsidTr="005F06B5">
        <w:trPr>
          <w:trHeight w:val="270"/>
        </w:trPr>
        <w:tc>
          <w:tcPr>
            <w:tcW w:w="1555" w:type="dxa"/>
            <w:noWrap/>
          </w:tcPr>
          <w:p w14:paraId="625FF4A4" w14:textId="7F0C9F14" w:rsidR="004F6D62" w:rsidRDefault="004F6D62" w:rsidP="00E81307">
            <w:pPr>
              <w:autoSpaceDE w:val="0"/>
              <w:autoSpaceDN w:val="0"/>
              <w:adjustRightInd w:val="0"/>
              <w:jc w:val="center"/>
              <w:rPr>
                <w:szCs w:val="20"/>
                <w:lang w:eastAsia="fr-FR"/>
              </w:rPr>
            </w:pPr>
            <w:r>
              <w:rPr>
                <w:szCs w:val="20"/>
                <w:lang w:eastAsia="fr-FR"/>
              </w:rPr>
              <w:t>2020</w:t>
            </w:r>
          </w:p>
        </w:tc>
        <w:tc>
          <w:tcPr>
            <w:tcW w:w="1417" w:type="dxa"/>
            <w:noWrap/>
          </w:tcPr>
          <w:p w14:paraId="16392DBE" w14:textId="24945ACD" w:rsidR="004F6D62" w:rsidRDefault="004F6D62" w:rsidP="00E81307">
            <w:pPr>
              <w:autoSpaceDE w:val="0"/>
              <w:autoSpaceDN w:val="0"/>
              <w:adjustRightInd w:val="0"/>
              <w:jc w:val="center"/>
              <w:rPr>
                <w:szCs w:val="20"/>
                <w:lang w:eastAsia="fr-FR"/>
              </w:rPr>
            </w:pPr>
            <w:r>
              <w:rPr>
                <w:szCs w:val="20"/>
                <w:lang w:eastAsia="fr-FR"/>
              </w:rPr>
              <w:t>52,960</w:t>
            </w:r>
          </w:p>
        </w:tc>
        <w:tc>
          <w:tcPr>
            <w:tcW w:w="2410" w:type="dxa"/>
            <w:noWrap/>
          </w:tcPr>
          <w:p w14:paraId="2A9C96A9" w14:textId="29CD2871" w:rsidR="004F6D62" w:rsidRPr="009B13D7" w:rsidRDefault="00DC13D1" w:rsidP="00E81307">
            <w:pPr>
              <w:jc w:val="center"/>
            </w:pPr>
            <w:r>
              <w:t>0.180</w:t>
            </w:r>
          </w:p>
        </w:tc>
        <w:tc>
          <w:tcPr>
            <w:tcW w:w="1984" w:type="dxa"/>
            <w:noWrap/>
          </w:tcPr>
          <w:p w14:paraId="544C938E" w14:textId="2C14B653" w:rsidR="004F6D62" w:rsidRPr="00C87C17" w:rsidRDefault="00687B32" w:rsidP="00E81307">
            <w:pPr>
              <w:jc w:val="center"/>
            </w:pPr>
            <w:r>
              <w:t>9,532.80</w:t>
            </w:r>
          </w:p>
        </w:tc>
        <w:tc>
          <w:tcPr>
            <w:tcW w:w="1701" w:type="dxa"/>
            <w:noWrap/>
            <w:vAlign w:val="center"/>
          </w:tcPr>
          <w:p w14:paraId="18C59757" w14:textId="02F5294B" w:rsidR="004F6D62" w:rsidRPr="00E81307" w:rsidRDefault="007F543E" w:rsidP="00E81307">
            <w:pPr>
              <w:autoSpaceDE w:val="0"/>
              <w:autoSpaceDN w:val="0"/>
              <w:adjustRightInd w:val="0"/>
              <w:jc w:val="center"/>
              <w:rPr>
                <w:rFonts w:cs="Arial"/>
                <w:szCs w:val="20"/>
              </w:rPr>
            </w:pPr>
            <w:r>
              <w:rPr>
                <w:rFonts w:cs="Arial"/>
                <w:szCs w:val="20"/>
              </w:rPr>
              <w:t>5%</w:t>
            </w:r>
          </w:p>
        </w:tc>
      </w:tr>
      <w:tr w:rsidR="004F6D62" w:rsidRPr="002462F0" w14:paraId="5BF04CEA" w14:textId="77777777" w:rsidTr="005F06B5">
        <w:trPr>
          <w:trHeight w:val="270"/>
        </w:trPr>
        <w:tc>
          <w:tcPr>
            <w:tcW w:w="1555" w:type="dxa"/>
            <w:noWrap/>
          </w:tcPr>
          <w:p w14:paraId="41B473B3" w14:textId="14B75526" w:rsidR="004F6D62" w:rsidRDefault="004F6D62" w:rsidP="00E81307">
            <w:pPr>
              <w:autoSpaceDE w:val="0"/>
              <w:autoSpaceDN w:val="0"/>
              <w:adjustRightInd w:val="0"/>
              <w:jc w:val="center"/>
              <w:rPr>
                <w:szCs w:val="20"/>
                <w:lang w:eastAsia="fr-FR"/>
              </w:rPr>
            </w:pPr>
            <w:r>
              <w:rPr>
                <w:szCs w:val="20"/>
                <w:lang w:eastAsia="fr-FR"/>
              </w:rPr>
              <w:t>2021</w:t>
            </w:r>
          </w:p>
        </w:tc>
        <w:tc>
          <w:tcPr>
            <w:tcW w:w="1417" w:type="dxa"/>
            <w:noWrap/>
          </w:tcPr>
          <w:p w14:paraId="42C76614" w14:textId="234D0A69" w:rsidR="004F6D62" w:rsidRDefault="004F6D62" w:rsidP="00E81307">
            <w:pPr>
              <w:autoSpaceDE w:val="0"/>
              <w:autoSpaceDN w:val="0"/>
              <w:adjustRightInd w:val="0"/>
              <w:jc w:val="center"/>
              <w:rPr>
                <w:szCs w:val="20"/>
                <w:lang w:eastAsia="fr-FR"/>
              </w:rPr>
            </w:pPr>
            <w:r>
              <w:rPr>
                <w:szCs w:val="20"/>
                <w:lang w:eastAsia="fr-FR"/>
              </w:rPr>
              <w:t>63,070</w:t>
            </w:r>
          </w:p>
        </w:tc>
        <w:tc>
          <w:tcPr>
            <w:tcW w:w="2410" w:type="dxa"/>
            <w:noWrap/>
          </w:tcPr>
          <w:p w14:paraId="76A3F51D" w14:textId="2C41ADAB" w:rsidR="004F6D62" w:rsidRPr="009B13D7" w:rsidRDefault="00DC13D1" w:rsidP="00E81307">
            <w:pPr>
              <w:jc w:val="center"/>
            </w:pPr>
            <w:r>
              <w:t>0.140</w:t>
            </w:r>
          </w:p>
        </w:tc>
        <w:tc>
          <w:tcPr>
            <w:tcW w:w="1984" w:type="dxa"/>
            <w:noWrap/>
          </w:tcPr>
          <w:p w14:paraId="0AFF504D" w14:textId="666E19C9" w:rsidR="004F6D62" w:rsidRPr="00C87C17" w:rsidRDefault="00687B32" w:rsidP="00E81307">
            <w:pPr>
              <w:jc w:val="center"/>
            </w:pPr>
            <w:r>
              <w:t>8,829.80</w:t>
            </w:r>
          </w:p>
        </w:tc>
        <w:tc>
          <w:tcPr>
            <w:tcW w:w="1701" w:type="dxa"/>
            <w:noWrap/>
            <w:vAlign w:val="center"/>
          </w:tcPr>
          <w:p w14:paraId="7FB849B3" w14:textId="6568A269" w:rsidR="004F6D62" w:rsidRPr="00E81307" w:rsidRDefault="007F543E" w:rsidP="00E81307">
            <w:pPr>
              <w:autoSpaceDE w:val="0"/>
              <w:autoSpaceDN w:val="0"/>
              <w:adjustRightInd w:val="0"/>
              <w:jc w:val="center"/>
              <w:rPr>
                <w:rFonts w:cs="Arial"/>
                <w:szCs w:val="20"/>
              </w:rPr>
            </w:pPr>
            <w:r>
              <w:rPr>
                <w:rFonts w:cs="Arial"/>
                <w:szCs w:val="20"/>
              </w:rPr>
              <w:t>4%</w:t>
            </w:r>
          </w:p>
        </w:tc>
      </w:tr>
      <w:tr w:rsidR="004F6D62" w:rsidRPr="002462F0" w14:paraId="2F653EB0" w14:textId="77777777" w:rsidTr="005F06B5">
        <w:trPr>
          <w:trHeight w:val="270"/>
        </w:trPr>
        <w:tc>
          <w:tcPr>
            <w:tcW w:w="1555" w:type="dxa"/>
            <w:noWrap/>
          </w:tcPr>
          <w:p w14:paraId="2CC394A3" w14:textId="0EFD7689" w:rsidR="004F6D62" w:rsidRDefault="004F6D62" w:rsidP="00E81307">
            <w:pPr>
              <w:autoSpaceDE w:val="0"/>
              <w:autoSpaceDN w:val="0"/>
              <w:adjustRightInd w:val="0"/>
              <w:jc w:val="center"/>
              <w:rPr>
                <w:szCs w:val="20"/>
                <w:lang w:eastAsia="fr-FR"/>
              </w:rPr>
            </w:pPr>
            <w:r>
              <w:rPr>
                <w:szCs w:val="20"/>
                <w:lang w:eastAsia="fr-FR"/>
              </w:rPr>
              <w:t>2022</w:t>
            </w:r>
          </w:p>
        </w:tc>
        <w:tc>
          <w:tcPr>
            <w:tcW w:w="1417" w:type="dxa"/>
            <w:noWrap/>
          </w:tcPr>
          <w:p w14:paraId="6629ECB5" w14:textId="039FE43C" w:rsidR="004F6D62" w:rsidRDefault="004F6D62" w:rsidP="00E81307">
            <w:pPr>
              <w:autoSpaceDE w:val="0"/>
              <w:autoSpaceDN w:val="0"/>
              <w:adjustRightInd w:val="0"/>
              <w:jc w:val="center"/>
              <w:rPr>
                <w:szCs w:val="20"/>
                <w:lang w:eastAsia="fr-FR"/>
              </w:rPr>
            </w:pPr>
            <w:r>
              <w:rPr>
                <w:szCs w:val="20"/>
                <w:lang w:eastAsia="fr-FR"/>
              </w:rPr>
              <w:t>63,563</w:t>
            </w:r>
          </w:p>
        </w:tc>
        <w:tc>
          <w:tcPr>
            <w:tcW w:w="2410" w:type="dxa"/>
            <w:noWrap/>
          </w:tcPr>
          <w:p w14:paraId="716ABE22" w14:textId="7FC5D101" w:rsidR="004F6D62" w:rsidRPr="009B13D7" w:rsidRDefault="00DC13D1" w:rsidP="00E81307">
            <w:pPr>
              <w:jc w:val="center"/>
            </w:pPr>
            <w:r>
              <w:t>0.130</w:t>
            </w:r>
          </w:p>
        </w:tc>
        <w:tc>
          <w:tcPr>
            <w:tcW w:w="1984" w:type="dxa"/>
            <w:noWrap/>
          </w:tcPr>
          <w:p w14:paraId="270D0B26" w14:textId="3568F0CB" w:rsidR="004F6D62" w:rsidRPr="00C87C17" w:rsidRDefault="00687B32" w:rsidP="00E81307">
            <w:pPr>
              <w:jc w:val="center"/>
            </w:pPr>
            <w:r>
              <w:t>8,263.19</w:t>
            </w:r>
          </w:p>
        </w:tc>
        <w:tc>
          <w:tcPr>
            <w:tcW w:w="1701" w:type="dxa"/>
            <w:noWrap/>
            <w:vAlign w:val="center"/>
          </w:tcPr>
          <w:p w14:paraId="3A7180C1" w14:textId="2B32139E" w:rsidR="004F6D62" w:rsidRPr="00E81307" w:rsidRDefault="007F543E" w:rsidP="00E81307">
            <w:pPr>
              <w:autoSpaceDE w:val="0"/>
              <w:autoSpaceDN w:val="0"/>
              <w:adjustRightInd w:val="0"/>
              <w:jc w:val="center"/>
              <w:rPr>
                <w:rFonts w:cs="Arial"/>
                <w:szCs w:val="20"/>
              </w:rPr>
            </w:pPr>
            <w:r>
              <w:rPr>
                <w:rFonts w:cs="Arial"/>
                <w:szCs w:val="20"/>
              </w:rPr>
              <w:t>2%</w:t>
            </w:r>
          </w:p>
        </w:tc>
      </w:tr>
    </w:tbl>
    <w:p w14:paraId="17562682" w14:textId="77777777" w:rsidR="007B2433" w:rsidRPr="002462F0" w:rsidRDefault="007B2433" w:rsidP="007B2433">
      <w:pPr>
        <w:pStyle w:val="Heading5"/>
        <w:rPr>
          <w:lang w:eastAsia="fr-FR"/>
        </w:rPr>
      </w:pPr>
      <w:bookmarkStart w:id="1140" w:name="_Toc182328107"/>
      <w:r w:rsidRPr="002462F0">
        <w:rPr>
          <w:lang w:eastAsia="fr-FR"/>
        </w:rPr>
        <w:t>- Repartition between management practices</w:t>
      </w:r>
      <w:bookmarkEnd w:id="1140"/>
    </w:p>
    <w:p w14:paraId="5F0FFA9A" w14:textId="77777777" w:rsidR="007B2433" w:rsidRPr="002462F0" w:rsidRDefault="007B2433" w:rsidP="00D916DB">
      <w:pPr>
        <w:pStyle w:val="BodyText"/>
        <w:rPr>
          <w:lang w:eastAsia="fr-FR"/>
        </w:rPr>
      </w:pPr>
      <w:r w:rsidRPr="002462F0">
        <w:rPr>
          <w:lang w:eastAsia="fr-FR"/>
        </w:rPr>
        <w:t>The same repartition between management practices is applied to MSW and Industrial waste.</w:t>
      </w:r>
    </w:p>
    <w:p w14:paraId="030DDAB0" w14:textId="50A7C275" w:rsidR="007B2433" w:rsidRPr="002462F0" w:rsidRDefault="00704D4A" w:rsidP="000641AC">
      <w:pPr>
        <w:pStyle w:val="Caption"/>
        <w:jc w:val="left"/>
      </w:pPr>
      <w:bookmarkStart w:id="1141" w:name="_Toc184808594"/>
      <w:r>
        <w:t xml:space="preserve">Table </w:t>
      </w:r>
      <w:r>
        <w:fldChar w:fldCharType="begin"/>
      </w:r>
      <w:r>
        <w:instrText xml:space="preserve"> SEQ Table \* ARABIC </w:instrText>
      </w:r>
      <w:r>
        <w:fldChar w:fldCharType="separate"/>
      </w:r>
      <w:r w:rsidR="00F14C78">
        <w:rPr>
          <w:noProof/>
        </w:rPr>
        <w:t>50</w:t>
      </w:r>
      <w:r>
        <w:fldChar w:fldCharType="end"/>
      </w:r>
      <w:r>
        <w:t xml:space="preserve">: </w:t>
      </w:r>
      <w:r w:rsidRPr="002462F0">
        <w:t>Repartition between management practices</w:t>
      </w:r>
      <w:r>
        <w:t>, used in the Serbian inventory</w:t>
      </w:r>
      <w:bookmarkEnd w:id="1141"/>
    </w:p>
    <w:tbl>
      <w:tblPr>
        <w:tblStyle w:val="TableGrid"/>
        <w:tblW w:w="9062" w:type="dxa"/>
        <w:tblLook w:val="04A0" w:firstRow="1" w:lastRow="0" w:firstColumn="1" w:lastColumn="0" w:noHBand="0" w:noVBand="1"/>
      </w:tblPr>
      <w:tblGrid>
        <w:gridCol w:w="1440"/>
        <w:gridCol w:w="1417"/>
        <w:gridCol w:w="1573"/>
        <w:gridCol w:w="1375"/>
        <w:gridCol w:w="1561"/>
        <w:gridCol w:w="1696"/>
      </w:tblGrid>
      <w:tr w:rsidR="007B2433" w:rsidRPr="002462F0" w14:paraId="31E87E04" w14:textId="77777777" w:rsidTr="000641AC">
        <w:trPr>
          <w:trHeight w:val="270"/>
        </w:trPr>
        <w:tc>
          <w:tcPr>
            <w:tcW w:w="1440" w:type="dxa"/>
            <w:shd w:val="clear" w:color="auto" w:fill="C6D9F1" w:themeFill="text2" w:themeFillTint="33"/>
            <w:noWrap/>
            <w:vAlign w:val="center"/>
          </w:tcPr>
          <w:p w14:paraId="458B4543" w14:textId="77777777" w:rsidR="007B2433" w:rsidRPr="002462F0" w:rsidRDefault="007B2433" w:rsidP="00F540CA">
            <w:pPr>
              <w:jc w:val="center"/>
              <w:rPr>
                <w:rFonts w:cs="Arial"/>
                <w:b/>
                <w:bCs/>
                <w:szCs w:val="20"/>
              </w:rPr>
            </w:pPr>
            <w:r w:rsidRPr="002462F0">
              <w:rPr>
                <w:rFonts w:cs="Arial"/>
                <w:b/>
                <w:bCs/>
                <w:szCs w:val="20"/>
              </w:rPr>
              <w:t>Year</w:t>
            </w:r>
          </w:p>
        </w:tc>
        <w:tc>
          <w:tcPr>
            <w:tcW w:w="1417" w:type="dxa"/>
            <w:shd w:val="clear" w:color="auto" w:fill="C6D9F1" w:themeFill="text2" w:themeFillTint="33"/>
            <w:noWrap/>
            <w:vAlign w:val="center"/>
          </w:tcPr>
          <w:p w14:paraId="0AED0572" w14:textId="77777777" w:rsidR="007B2433" w:rsidRPr="002462F0" w:rsidRDefault="007B2433" w:rsidP="00F540CA">
            <w:pPr>
              <w:jc w:val="center"/>
              <w:rPr>
                <w:rFonts w:cs="Arial"/>
                <w:b/>
                <w:bCs/>
                <w:szCs w:val="20"/>
              </w:rPr>
            </w:pPr>
            <w:r w:rsidRPr="002462F0">
              <w:rPr>
                <w:rFonts w:cs="Arial"/>
                <w:b/>
                <w:bCs/>
                <w:szCs w:val="20"/>
              </w:rPr>
              <w:t xml:space="preserve">Unmanaged, shallow </w:t>
            </w:r>
          </w:p>
          <w:p w14:paraId="41F69252" w14:textId="77777777" w:rsidR="007B2433" w:rsidRPr="002462F0" w:rsidRDefault="007B2433" w:rsidP="00F540CA">
            <w:pPr>
              <w:jc w:val="center"/>
              <w:rPr>
                <w:rFonts w:cs="Arial"/>
                <w:b/>
                <w:bCs/>
                <w:szCs w:val="20"/>
              </w:rPr>
            </w:pPr>
            <w:r w:rsidRPr="002462F0">
              <w:rPr>
                <w:rFonts w:cs="Arial"/>
                <w:b/>
                <w:bCs/>
                <w:szCs w:val="20"/>
              </w:rPr>
              <w:t>(%)</w:t>
            </w:r>
          </w:p>
        </w:tc>
        <w:tc>
          <w:tcPr>
            <w:tcW w:w="1573" w:type="dxa"/>
            <w:shd w:val="clear" w:color="auto" w:fill="C6D9F1" w:themeFill="text2" w:themeFillTint="33"/>
            <w:noWrap/>
            <w:vAlign w:val="center"/>
          </w:tcPr>
          <w:p w14:paraId="2B583E90" w14:textId="77777777" w:rsidR="007B2433" w:rsidRPr="002462F0" w:rsidRDefault="007B2433" w:rsidP="00F540CA">
            <w:pPr>
              <w:jc w:val="center"/>
              <w:rPr>
                <w:rFonts w:cs="Arial"/>
                <w:b/>
                <w:bCs/>
                <w:szCs w:val="20"/>
              </w:rPr>
            </w:pPr>
            <w:r w:rsidRPr="002462F0">
              <w:rPr>
                <w:rFonts w:cs="Arial"/>
                <w:b/>
                <w:bCs/>
                <w:szCs w:val="20"/>
              </w:rPr>
              <w:t xml:space="preserve">Unmanaged, deep </w:t>
            </w:r>
          </w:p>
          <w:p w14:paraId="7364EDEE" w14:textId="77777777" w:rsidR="007B2433" w:rsidRPr="002462F0" w:rsidRDefault="007B2433" w:rsidP="00F540CA">
            <w:pPr>
              <w:jc w:val="center"/>
              <w:rPr>
                <w:rFonts w:cs="Arial"/>
                <w:b/>
                <w:bCs/>
                <w:szCs w:val="20"/>
              </w:rPr>
            </w:pPr>
            <w:r w:rsidRPr="002462F0">
              <w:rPr>
                <w:rFonts w:cs="Arial"/>
                <w:b/>
                <w:bCs/>
                <w:szCs w:val="20"/>
              </w:rPr>
              <w:t>(%)</w:t>
            </w:r>
          </w:p>
        </w:tc>
        <w:tc>
          <w:tcPr>
            <w:tcW w:w="1375" w:type="dxa"/>
            <w:shd w:val="clear" w:color="auto" w:fill="C6D9F1" w:themeFill="text2" w:themeFillTint="33"/>
            <w:noWrap/>
            <w:vAlign w:val="center"/>
          </w:tcPr>
          <w:p w14:paraId="0208B894" w14:textId="77777777" w:rsidR="007B2433" w:rsidRPr="002462F0" w:rsidRDefault="007B2433" w:rsidP="00F540CA">
            <w:pPr>
              <w:jc w:val="center"/>
              <w:rPr>
                <w:rFonts w:cs="Arial"/>
                <w:b/>
                <w:bCs/>
                <w:szCs w:val="20"/>
              </w:rPr>
            </w:pPr>
            <w:r w:rsidRPr="002462F0">
              <w:rPr>
                <w:rFonts w:cs="Arial"/>
                <w:b/>
                <w:bCs/>
                <w:szCs w:val="20"/>
              </w:rPr>
              <w:t xml:space="preserve">Managed </w:t>
            </w:r>
          </w:p>
          <w:p w14:paraId="239DB5A6" w14:textId="77777777" w:rsidR="007B2433" w:rsidRPr="002462F0" w:rsidRDefault="007B2433" w:rsidP="00F540CA">
            <w:pPr>
              <w:jc w:val="center"/>
              <w:rPr>
                <w:rFonts w:cs="Arial"/>
                <w:b/>
                <w:bCs/>
                <w:szCs w:val="20"/>
              </w:rPr>
            </w:pPr>
            <w:r w:rsidRPr="002462F0">
              <w:rPr>
                <w:rFonts w:cs="Arial"/>
                <w:b/>
                <w:bCs/>
                <w:szCs w:val="20"/>
              </w:rPr>
              <w:t>(%)</w:t>
            </w:r>
          </w:p>
        </w:tc>
        <w:tc>
          <w:tcPr>
            <w:tcW w:w="1561" w:type="dxa"/>
            <w:shd w:val="clear" w:color="auto" w:fill="C6D9F1" w:themeFill="text2" w:themeFillTint="33"/>
            <w:noWrap/>
            <w:vAlign w:val="center"/>
          </w:tcPr>
          <w:p w14:paraId="744E5767" w14:textId="77777777" w:rsidR="007B2433" w:rsidRPr="002462F0" w:rsidRDefault="007B2433" w:rsidP="00F540CA">
            <w:pPr>
              <w:jc w:val="center"/>
              <w:rPr>
                <w:rFonts w:cs="Arial"/>
                <w:b/>
                <w:bCs/>
                <w:szCs w:val="20"/>
              </w:rPr>
            </w:pPr>
            <w:r w:rsidRPr="002462F0">
              <w:rPr>
                <w:rFonts w:cs="Arial"/>
                <w:b/>
                <w:bCs/>
                <w:szCs w:val="20"/>
              </w:rPr>
              <w:t xml:space="preserve">Managed, semi-aerobic </w:t>
            </w:r>
          </w:p>
          <w:p w14:paraId="7C7C00CD" w14:textId="77777777" w:rsidR="007B2433" w:rsidRPr="002462F0" w:rsidRDefault="007B2433" w:rsidP="00F540CA">
            <w:pPr>
              <w:jc w:val="center"/>
              <w:rPr>
                <w:rFonts w:cs="Arial"/>
                <w:b/>
                <w:bCs/>
                <w:szCs w:val="20"/>
              </w:rPr>
            </w:pPr>
            <w:r w:rsidRPr="002462F0">
              <w:rPr>
                <w:rFonts w:cs="Arial"/>
                <w:b/>
                <w:bCs/>
                <w:szCs w:val="20"/>
              </w:rPr>
              <w:t>(%)</w:t>
            </w:r>
          </w:p>
        </w:tc>
        <w:tc>
          <w:tcPr>
            <w:tcW w:w="1696" w:type="dxa"/>
            <w:shd w:val="clear" w:color="auto" w:fill="C6D9F1" w:themeFill="text2" w:themeFillTint="33"/>
            <w:vAlign w:val="center"/>
          </w:tcPr>
          <w:p w14:paraId="3C37B860" w14:textId="77777777" w:rsidR="007B2433" w:rsidRPr="002462F0" w:rsidRDefault="007B2433" w:rsidP="00F540CA">
            <w:pPr>
              <w:jc w:val="center"/>
              <w:rPr>
                <w:rFonts w:cs="Arial"/>
                <w:b/>
                <w:bCs/>
                <w:szCs w:val="20"/>
              </w:rPr>
            </w:pPr>
            <w:r w:rsidRPr="002462F0">
              <w:rPr>
                <w:rFonts w:cs="Arial"/>
                <w:b/>
                <w:bCs/>
                <w:szCs w:val="20"/>
              </w:rPr>
              <w:t>Uncategorised</w:t>
            </w:r>
          </w:p>
          <w:p w14:paraId="40A9171D" w14:textId="77777777" w:rsidR="007B2433" w:rsidRPr="002462F0" w:rsidRDefault="007B2433" w:rsidP="00F540CA">
            <w:pPr>
              <w:jc w:val="center"/>
              <w:rPr>
                <w:rFonts w:cs="Arial"/>
                <w:b/>
                <w:bCs/>
                <w:szCs w:val="20"/>
              </w:rPr>
            </w:pPr>
            <w:r w:rsidRPr="002462F0">
              <w:rPr>
                <w:rFonts w:cs="Arial"/>
                <w:b/>
                <w:bCs/>
                <w:szCs w:val="20"/>
              </w:rPr>
              <w:t>(%)</w:t>
            </w:r>
          </w:p>
        </w:tc>
      </w:tr>
      <w:tr w:rsidR="007B2433" w:rsidRPr="002462F0" w14:paraId="3AD71323" w14:textId="77777777" w:rsidTr="00F540CA">
        <w:trPr>
          <w:trHeight w:val="270"/>
        </w:trPr>
        <w:tc>
          <w:tcPr>
            <w:tcW w:w="1440" w:type="dxa"/>
            <w:noWrap/>
            <w:vAlign w:val="center"/>
          </w:tcPr>
          <w:p w14:paraId="3F37280F"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1950-2001</w:t>
            </w:r>
          </w:p>
        </w:tc>
        <w:tc>
          <w:tcPr>
            <w:tcW w:w="1417" w:type="dxa"/>
            <w:noWrap/>
            <w:vAlign w:val="center"/>
          </w:tcPr>
          <w:p w14:paraId="4208A1AA" w14:textId="77777777" w:rsidR="007B2433" w:rsidRPr="002462F0" w:rsidRDefault="007B2433" w:rsidP="00F540CA">
            <w:pPr>
              <w:jc w:val="center"/>
              <w:rPr>
                <w:rFonts w:cs="Arial"/>
                <w:szCs w:val="20"/>
              </w:rPr>
            </w:pPr>
            <w:r w:rsidRPr="002462F0">
              <w:rPr>
                <w:rFonts w:cs="Arial"/>
                <w:szCs w:val="20"/>
              </w:rPr>
              <w:t>25%</w:t>
            </w:r>
          </w:p>
        </w:tc>
        <w:tc>
          <w:tcPr>
            <w:tcW w:w="1573" w:type="dxa"/>
            <w:noWrap/>
            <w:vAlign w:val="center"/>
          </w:tcPr>
          <w:p w14:paraId="602EC4E8" w14:textId="77777777" w:rsidR="007B2433" w:rsidRPr="002462F0" w:rsidRDefault="007B2433" w:rsidP="00F540CA">
            <w:pPr>
              <w:jc w:val="center"/>
              <w:rPr>
                <w:rFonts w:cs="Arial"/>
                <w:szCs w:val="20"/>
              </w:rPr>
            </w:pPr>
            <w:r w:rsidRPr="002462F0">
              <w:rPr>
                <w:rFonts w:cs="Arial"/>
                <w:szCs w:val="20"/>
              </w:rPr>
              <w:t>55%</w:t>
            </w:r>
          </w:p>
        </w:tc>
        <w:tc>
          <w:tcPr>
            <w:tcW w:w="1375" w:type="dxa"/>
            <w:noWrap/>
            <w:vAlign w:val="center"/>
          </w:tcPr>
          <w:p w14:paraId="7D44E36D" w14:textId="77777777" w:rsidR="007B2433" w:rsidRPr="002462F0" w:rsidRDefault="007B2433" w:rsidP="00F540CA">
            <w:pPr>
              <w:jc w:val="center"/>
              <w:rPr>
                <w:rFonts w:cs="Arial"/>
                <w:szCs w:val="20"/>
              </w:rPr>
            </w:pPr>
            <w:r w:rsidRPr="002462F0">
              <w:rPr>
                <w:rFonts w:cs="Arial"/>
                <w:szCs w:val="20"/>
              </w:rPr>
              <w:t>0%</w:t>
            </w:r>
          </w:p>
        </w:tc>
        <w:tc>
          <w:tcPr>
            <w:tcW w:w="1561" w:type="dxa"/>
            <w:noWrap/>
            <w:vAlign w:val="center"/>
          </w:tcPr>
          <w:p w14:paraId="56D5C30F" w14:textId="77777777" w:rsidR="007B2433" w:rsidRPr="002462F0" w:rsidRDefault="007B2433" w:rsidP="00F540CA">
            <w:pPr>
              <w:jc w:val="center"/>
              <w:rPr>
                <w:rFonts w:cs="Arial"/>
                <w:szCs w:val="20"/>
              </w:rPr>
            </w:pPr>
            <w:r w:rsidRPr="002462F0">
              <w:rPr>
                <w:rFonts w:cs="Arial"/>
                <w:szCs w:val="20"/>
              </w:rPr>
              <w:t>0%</w:t>
            </w:r>
          </w:p>
        </w:tc>
        <w:tc>
          <w:tcPr>
            <w:tcW w:w="1696" w:type="dxa"/>
            <w:vAlign w:val="center"/>
          </w:tcPr>
          <w:p w14:paraId="2A19CCEB" w14:textId="340CCA07" w:rsidR="007B2433" w:rsidRPr="002462F0" w:rsidRDefault="007B2433" w:rsidP="00C372A0">
            <w:pPr>
              <w:jc w:val="center"/>
              <w:rPr>
                <w:rFonts w:cs="Arial"/>
                <w:szCs w:val="20"/>
              </w:rPr>
            </w:pPr>
            <w:r w:rsidRPr="002462F0">
              <w:rPr>
                <w:rFonts w:cs="Arial"/>
                <w:szCs w:val="20"/>
              </w:rPr>
              <w:t>20%</w:t>
            </w:r>
          </w:p>
        </w:tc>
      </w:tr>
      <w:tr w:rsidR="007B2433" w:rsidRPr="002462F0" w14:paraId="4C3B7B98" w14:textId="77777777" w:rsidTr="00F540CA">
        <w:trPr>
          <w:trHeight w:val="270"/>
        </w:trPr>
        <w:tc>
          <w:tcPr>
            <w:tcW w:w="1440" w:type="dxa"/>
            <w:noWrap/>
            <w:vAlign w:val="center"/>
            <w:hideMark/>
          </w:tcPr>
          <w:p w14:paraId="6805EF4B" w14:textId="79EBB512" w:rsidR="007B2433" w:rsidRPr="002462F0" w:rsidRDefault="007B2433" w:rsidP="00F54D62">
            <w:pPr>
              <w:autoSpaceDE w:val="0"/>
              <w:autoSpaceDN w:val="0"/>
              <w:adjustRightInd w:val="0"/>
              <w:jc w:val="center"/>
              <w:rPr>
                <w:szCs w:val="20"/>
                <w:lang w:eastAsia="fr-FR"/>
              </w:rPr>
            </w:pPr>
            <w:r w:rsidRPr="002462F0">
              <w:rPr>
                <w:szCs w:val="20"/>
                <w:lang w:eastAsia="fr-FR"/>
              </w:rPr>
              <w:t>2002-20</w:t>
            </w:r>
            <w:r w:rsidR="002E2C46">
              <w:rPr>
                <w:szCs w:val="20"/>
                <w:lang w:eastAsia="fr-FR"/>
              </w:rPr>
              <w:t>22</w:t>
            </w:r>
          </w:p>
        </w:tc>
        <w:tc>
          <w:tcPr>
            <w:tcW w:w="1417" w:type="dxa"/>
            <w:noWrap/>
            <w:vAlign w:val="center"/>
            <w:hideMark/>
          </w:tcPr>
          <w:p w14:paraId="46B9F852" w14:textId="77777777" w:rsidR="007B2433" w:rsidRPr="002462F0" w:rsidRDefault="007B2433" w:rsidP="00F540CA">
            <w:pPr>
              <w:jc w:val="center"/>
              <w:rPr>
                <w:rFonts w:cs="Arial"/>
                <w:szCs w:val="20"/>
              </w:rPr>
            </w:pPr>
            <w:r w:rsidRPr="002462F0">
              <w:rPr>
                <w:rFonts w:cs="Arial"/>
                <w:szCs w:val="20"/>
              </w:rPr>
              <w:t>25%</w:t>
            </w:r>
          </w:p>
        </w:tc>
        <w:tc>
          <w:tcPr>
            <w:tcW w:w="1573" w:type="dxa"/>
            <w:noWrap/>
            <w:vAlign w:val="center"/>
            <w:hideMark/>
          </w:tcPr>
          <w:p w14:paraId="67784717" w14:textId="77777777" w:rsidR="007B2433" w:rsidRPr="002462F0" w:rsidRDefault="007B2433" w:rsidP="00F540CA">
            <w:pPr>
              <w:jc w:val="center"/>
              <w:rPr>
                <w:rFonts w:cs="Arial"/>
                <w:szCs w:val="20"/>
              </w:rPr>
            </w:pPr>
            <w:r w:rsidRPr="002462F0">
              <w:rPr>
                <w:rFonts w:cs="Arial"/>
                <w:szCs w:val="20"/>
              </w:rPr>
              <w:t>55%</w:t>
            </w:r>
          </w:p>
        </w:tc>
        <w:tc>
          <w:tcPr>
            <w:tcW w:w="1375" w:type="dxa"/>
            <w:noWrap/>
            <w:vAlign w:val="center"/>
            <w:hideMark/>
          </w:tcPr>
          <w:p w14:paraId="0C4C2D60" w14:textId="77777777" w:rsidR="007B2433" w:rsidRPr="002462F0" w:rsidRDefault="007B2433" w:rsidP="00F540CA">
            <w:pPr>
              <w:jc w:val="center"/>
              <w:rPr>
                <w:rFonts w:cs="Arial"/>
                <w:szCs w:val="20"/>
              </w:rPr>
            </w:pPr>
            <w:r w:rsidRPr="002462F0">
              <w:rPr>
                <w:rFonts w:cs="Arial"/>
                <w:szCs w:val="20"/>
              </w:rPr>
              <w:t>10%</w:t>
            </w:r>
          </w:p>
        </w:tc>
        <w:tc>
          <w:tcPr>
            <w:tcW w:w="1561" w:type="dxa"/>
            <w:noWrap/>
            <w:vAlign w:val="center"/>
            <w:hideMark/>
          </w:tcPr>
          <w:p w14:paraId="6175848E" w14:textId="77777777" w:rsidR="007B2433" w:rsidRPr="002462F0" w:rsidRDefault="007B2433" w:rsidP="00F540CA">
            <w:pPr>
              <w:jc w:val="center"/>
              <w:rPr>
                <w:rFonts w:cs="Arial"/>
                <w:szCs w:val="20"/>
              </w:rPr>
            </w:pPr>
            <w:r w:rsidRPr="002462F0">
              <w:rPr>
                <w:rFonts w:cs="Arial"/>
                <w:szCs w:val="20"/>
              </w:rPr>
              <w:t>0%</w:t>
            </w:r>
          </w:p>
        </w:tc>
        <w:tc>
          <w:tcPr>
            <w:tcW w:w="1696" w:type="dxa"/>
            <w:vAlign w:val="center"/>
          </w:tcPr>
          <w:p w14:paraId="746B1CC4" w14:textId="77777777" w:rsidR="007B2433" w:rsidRPr="002462F0" w:rsidRDefault="007B2433" w:rsidP="00F540CA">
            <w:pPr>
              <w:jc w:val="center"/>
              <w:rPr>
                <w:rFonts w:cs="Arial"/>
                <w:szCs w:val="20"/>
              </w:rPr>
            </w:pPr>
            <w:r w:rsidRPr="002462F0">
              <w:rPr>
                <w:rFonts w:cs="Arial"/>
                <w:szCs w:val="20"/>
              </w:rPr>
              <w:t>10%</w:t>
            </w:r>
          </w:p>
        </w:tc>
      </w:tr>
    </w:tbl>
    <w:p w14:paraId="210161BE" w14:textId="77777777" w:rsidR="007B2433" w:rsidRPr="002462F0" w:rsidRDefault="007B2433" w:rsidP="007B2433">
      <w:pPr>
        <w:autoSpaceDE w:val="0"/>
        <w:autoSpaceDN w:val="0"/>
        <w:adjustRightInd w:val="0"/>
        <w:spacing w:after="0" w:line="240" w:lineRule="auto"/>
        <w:jc w:val="left"/>
        <w:rPr>
          <w:szCs w:val="20"/>
          <w:lang w:eastAsia="fr-FR"/>
        </w:rPr>
      </w:pPr>
    </w:p>
    <w:p w14:paraId="4D0F829A" w14:textId="77777777" w:rsidR="007B2433" w:rsidRDefault="007B2433" w:rsidP="00D916DB">
      <w:pPr>
        <w:pStyle w:val="BodyText"/>
        <w:rPr>
          <w:lang w:eastAsia="fr-FR"/>
        </w:rPr>
      </w:pPr>
      <w:r w:rsidRPr="002462F0">
        <w:rPr>
          <w:lang w:eastAsia="fr-FR"/>
        </w:rPr>
        <w:t>Default values recommended by the 2006 IPCC Tool have been applied for the other parameters:</w:t>
      </w:r>
    </w:p>
    <w:p w14:paraId="671219D8" w14:textId="2CE19EAF" w:rsidR="007B2433" w:rsidRPr="002462F0" w:rsidRDefault="007B2433" w:rsidP="007B2433">
      <w:pPr>
        <w:pStyle w:val="Heading5"/>
        <w:rPr>
          <w:lang w:eastAsia="fr-FR"/>
        </w:rPr>
      </w:pPr>
      <w:bookmarkStart w:id="1142" w:name="_Toc182328108"/>
      <w:r w:rsidRPr="002462F0">
        <w:rPr>
          <w:lang w:eastAsia="fr-FR"/>
        </w:rPr>
        <w:t>Degradable organic carbon (DOC) content of each category of waste</w:t>
      </w:r>
      <w:bookmarkEnd w:id="1142"/>
    </w:p>
    <w:p w14:paraId="3C7673BF" w14:textId="354E8D73" w:rsidR="007B2433" w:rsidRPr="002462F0" w:rsidRDefault="00704D4A" w:rsidP="00564020">
      <w:pPr>
        <w:pStyle w:val="Caption"/>
        <w:keepNext/>
        <w:jc w:val="left"/>
      </w:pPr>
      <w:bookmarkStart w:id="1143" w:name="_Toc184808595"/>
      <w:r>
        <w:t xml:space="preserve">Table </w:t>
      </w:r>
      <w:r>
        <w:fldChar w:fldCharType="begin"/>
      </w:r>
      <w:r>
        <w:instrText xml:space="preserve"> SEQ Table \* ARABIC </w:instrText>
      </w:r>
      <w:r>
        <w:fldChar w:fldCharType="separate"/>
      </w:r>
      <w:r w:rsidR="00F14C78">
        <w:rPr>
          <w:noProof/>
        </w:rPr>
        <w:t>51</w:t>
      </w:r>
      <w:r>
        <w:fldChar w:fldCharType="end"/>
      </w:r>
      <w:r>
        <w:t xml:space="preserve">: </w:t>
      </w:r>
      <w:r w:rsidRPr="002462F0">
        <w:t>Degradable Organic Content (DOC)</w:t>
      </w:r>
      <w:r>
        <w:t>, used in the Serbian inventory, per waste type</w:t>
      </w:r>
      <w:bookmarkEnd w:id="1143"/>
    </w:p>
    <w:tbl>
      <w:tblPr>
        <w:tblStyle w:val="TableGrid"/>
        <w:tblW w:w="9067" w:type="dxa"/>
        <w:tblLook w:val="04A0" w:firstRow="1" w:lastRow="0" w:firstColumn="1" w:lastColumn="0" w:noHBand="0" w:noVBand="1"/>
      </w:tblPr>
      <w:tblGrid>
        <w:gridCol w:w="2972"/>
        <w:gridCol w:w="2126"/>
        <w:gridCol w:w="2127"/>
        <w:gridCol w:w="1842"/>
      </w:tblGrid>
      <w:tr w:rsidR="007B2433" w:rsidRPr="002462F0" w14:paraId="74D0D432" w14:textId="77777777" w:rsidTr="00564020">
        <w:trPr>
          <w:trHeight w:val="270"/>
        </w:trPr>
        <w:tc>
          <w:tcPr>
            <w:tcW w:w="2972" w:type="dxa"/>
            <w:shd w:val="clear" w:color="auto" w:fill="C6D9F1" w:themeFill="text2" w:themeFillTint="33"/>
            <w:noWrap/>
            <w:vAlign w:val="center"/>
            <w:hideMark/>
          </w:tcPr>
          <w:p w14:paraId="27433F07" w14:textId="77777777" w:rsidR="007B2433" w:rsidRPr="002462F0" w:rsidRDefault="007B2433" w:rsidP="00622F40">
            <w:pPr>
              <w:pStyle w:val="ListParagraph"/>
              <w:keepNext/>
              <w:autoSpaceDE w:val="0"/>
              <w:autoSpaceDN w:val="0"/>
              <w:adjustRightInd w:val="0"/>
              <w:jc w:val="center"/>
              <w:rPr>
                <w:b/>
                <w:bCs/>
                <w:szCs w:val="20"/>
                <w:lang w:eastAsia="fr-FR"/>
              </w:rPr>
            </w:pPr>
            <w:r w:rsidRPr="002462F0">
              <w:rPr>
                <w:b/>
                <w:bCs/>
                <w:szCs w:val="20"/>
                <w:lang w:eastAsia="fr-FR"/>
              </w:rPr>
              <w:t>DOC</w:t>
            </w:r>
          </w:p>
          <w:p w14:paraId="59D5C4CF" w14:textId="77777777" w:rsidR="007B2433" w:rsidRPr="002462F0" w:rsidRDefault="007B2433" w:rsidP="00622F40">
            <w:pPr>
              <w:keepNext/>
              <w:autoSpaceDE w:val="0"/>
              <w:autoSpaceDN w:val="0"/>
              <w:adjustRightInd w:val="0"/>
              <w:rPr>
                <w:b/>
                <w:bCs/>
                <w:szCs w:val="20"/>
                <w:lang w:eastAsia="fr-FR"/>
              </w:rPr>
            </w:pPr>
            <w:r w:rsidRPr="002462F0">
              <w:rPr>
                <w:b/>
                <w:bCs/>
                <w:szCs w:val="20"/>
                <w:lang w:eastAsia="fr-FR"/>
              </w:rPr>
              <w:t>(weight fraction, wet basis)</w:t>
            </w:r>
          </w:p>
        </w:tc>
        <w:tc>
          <w:tcPr>
            <w:tcW w:w="2126" w:type="dxa"/>
            <w:shd w:val="clear" w:color="auto" w:fill="C6D9F1" w:themeFill="text2" w:themeFillTint="33"/>
            <w:noWrap/>
            <w:vAlign w:val="center"/>
          </w:tcPr>
          <w:p w14:paraId="78EC2E29" w14:textId="77777777" w:rsidR="007B2433" w:rsidRPr="002462F0" w:rsidRDefault="007B2433" w:rsidP="00622F40">
            <w:pPr>
              <w:keepNext/>
              <w:autoSpaceDE w:val="0"/>
              <w:autoSpaceDN w:val="0"/>
              <w:adjustRightInd w:val="0"/>
              <w:jc w:val="center"/>
              <w:rPr>
                <w:b/>
                <w:bCs/>
                <w:szCs w:val="20"/>
                <w:lang w:eastAsia="fr-FR"/>
              </w:rPr>
            </w:pPr>
            <w:r w:rsidRPr="002462F0">
              <w:rPr>
                <w:b/>
                <w:bCs/>
                <w:szCs w:val="20"/>
                <w:lang w:eastAsia="fr-FR"/>
              </w:rPr>
              <w:t>Range</w:t>
            </w:r>
          </w:p>
        </w:tc>
        <w:tc>
          <w:tcPr>
            <w:tcW w:w="2127" w:type="dxa"/>
            <w:shd w:val="clear" w:color="auto" w:fill="C6D9F1" w:themeFill="text2" w:themeFillTint="33"/>
            <w:noWrap/>
            <w:vAlign w:val="center"/>
            <w:hideMark/>
          </w:tcPr>
          <w:p w14:paraId="17B3C97E" w14:textId="77777777" w:rsidR="007B2433" w:rsidRPr="002462F0" w:rsidRDefault="007B2433" w:rsidP="00622F40">
            <w:pPr>
              <w:keepNext/>
              <w:autoSpaceDE w:val="0"/>
              <w:autoSpaceDN w:val="0"/>
              <w:adjustRightInd w:val="0"/>
              <w:jc w:val="center"/>
              <w:rPr>
                <w:b/>
                <w:bCs/>
                <w:szCs w:val="20"/>
                <w:lang w:eastAsia="fr-FR"/>
              </w:rPr>
            </w:pPr>
            <w:r w:rsidRPr="002462F0">
              <w:rPr>
                <w:b/>
                <w:bCs/>
                <w:szCs w:val="20"/>
                <w:lang w:eastAsia="fr-FR"/>
              </w:rPr>
              <w:t>IPCC Default</w:t>
            </w:r>
          </w:p>
        </w:tc>
        <w:tc>
          <w:tcPr>
            <w:tcW w:w="1842" w:type="dxa"/>
            <w:shd w:val="clear" w:color="auto" w:fill="C6D9F1" w:themeFill="text2" w:themeFillTint="33"/>
            <w:noWrap/>
            <w:vAlign w:val="center"/>
            <w:hideMark/>
          </w:tcPr>
          <w:p w14:paraId="67459E25" w14:textId="77777777" w:rsidR="007B2433" w:rsidRPr="002462F0" w:rsidRDefault="007B2433" w:rsidP="00622F40">
            <w:pPr>
              <w:keepNext/>
              <w:autoSpaceDE w:val="0"/>
              <w:autoSpaceDN w:val="0"/>
              <w:adjustRightInd w:val="0"/>
              <w:jc w:val="center"/>
              <w:rPr>
                <w:b/>
                <w:bCs/>
                <w:szCs w:val="20"/>
                <w:lang w:eastAsia="fr-FR"/>
              </w:rPr>
            </w:pPr>
            <w:r w:rsidRPr="002462F0">
              <w:rPr>
                <w:b/>
                <w:bCs/>
                <w:szCs w:val="20"/>
                <w:lang w:eastAsia="fr-FR"/>
              </w:rPr>
              <w:t>Applied</w:t>
            </w:r>
          </w:p>
        </w:tc>
      </w:tr>
      <w:tr w:rsidR="007B2433" w:rsidRPr="002462F0" w14:paraId="75B670BA" w14:textId="77777777" w:rsidTr="00622F40">
        <w:trPr>
          <w:trHeight w:val="255"/>
        </w:trPr>
        <w:tc>
          <w:tcPr>
            <w:tcW w:w="2972" w:type="dxa"/>
            <w:noWrap/>
            <w:vAlign w:val="center"/>
            <w:hideMark/>
          </w:tcPr>
          <w:p w14:paraId="0A696B71" w14:textId="77777777" w:rsidR="007B2433" w:rsidRPr="002462F0" w:rsidRDefault="007B2433" w:rsidP="00622F40">
            <w:pPr>
              <w:keepNext/>
              <w:autoSpaceDE w:val="0"/>
              <w:autoSpaceDN w:val="0"/>
              <w:adjustRightInd w:val="0"/>
              <w:jc w:val="left"/>
              <w:rPr>
                <w:szCs w:val="20"/>
                <w:lang w:eastAsia="fr-FR"/>
              </w:rPr>
            </w:pPr>
            <w:r w:rsidRPr="002462F0">
              <w:rPr>
                <w:szCs w:val="20"/>
                <w:lang w:eastAsia="fr-FR"/>
              </w:rPr>
              <w:t>Food waste</w:t>
            </w:r>
          </w:p>
        </w:tc>
        <w:tc>
          <w:tcPr>
            <w:tcW w:w="2126" w:type="dxa"/>
            <w:noWrap/>
            <w:vAlign w:val="center"/>
            <w:hideMark/>
          </w:tcPr>
          <w:p w14:paraId="094B8979" w14:textId="77777777" w:rsidR="007B2433" w:rsidRPr="002462F0" w:rsidRDefault="007B2433" w:rsidP="00622F40">
            <w:pPr>
              <w:keepNext/>
              <w:autoSpaceDE w:val="0"/>
              <w:autoSpaceDN w:val="0"/>
              <w:adjustRightInd w:val="0"/>
              <w:jc w:val="center"/>
              <w:rPr>
                <w:szCs w:val="20"/>
                <w:lang w:eastAsia="fr-FR"/>
              </w:rPr>
            </w:pPr>
            <w:r w:rsidRPr="002462F0">
              <w:rPr>
                <w:szCs w:val="20"/>
                <w:lang w:eastAsia="fr-FR"/>
              </w:rPr>
              <w:t>0.08-0.20</w:t>
            </w:r>
          </w:p>
        </w:tc>
        <w:tc>
          <w:tcPr>
            <w:tcW w:w="2127" w:type="dxa"/>
            <w:noWrap/>
            <w:vAlign w:val="center"/>
            <w:hideMark/>
          </w:tcPr>
          <w:p w14:paraId="31E59C02" w14:textId="7F7303EC"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15</w:t>
            </w:r>
          </w:p>
        </w:tc>
        <w:tc>
          <w:tcPr>
            <w:tcW w:w="1842" w:type="dxa"/>
            <w:noWrap/>
            <w:vAlign w:val="center"/>
            <w:hideMark/>
          </w:tcPr>
          <w:p w14:paraId="509EC348" w14:textId="7A6A6E1D"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15</w:t>
            </w:r>
          </w:p>
        </w:tc>
      </w:tr>
      <w:tr w:rsidR="007B2433" w:rsidRPr="002462F0" w14:paraId="64CA02FD" w14:textId="77777777" w:rsidTr="00622F40">
        <w:trPr>
          <w:trHeight w:val="255"/>
        </w:trPr>
        <w:tc>
          <w:tcPr>
            <w:tcW w:w="2972" w:type="dxa"/>
            <w:noWrap/>
            <w:vAlign w:val="center"/>
            <w:hideMark/>
          </w:tcPr>
          <w:p w14:paraId="730F8C06" w14:textId="77777777" w:rsidR="007B2433" w:rsidRPr="002462F0" w:rsidRDefault="007B2433" w:rsidP="00622F40">
            <w:pPr>
              <w:keepNext/>
              <w:autoSpaceDE w:val="0"/>
              <w:autoSpaceDN w:val="0"/>
              <w:adjustRightInd w:val="0"/>
              <w:rPr>
                <w:szCs w:val="20"/>
                <w:lang w:eastAsia="fr-FR"/>
              </w:rPr>
            </w:pPr>
            <w:r w:rsidRPr="002462F0">
              <w:rPr>
                <w:szCs w:val="20"/>
                <w:lang w:eastAsia="fr-FR"/>
              </w:rPr>
              <w:t>Garden</w:t>
            </w:r>
          </w:p>
        </w:tc>
        <w:tc>
          <w:tcPr>
            <w:tcW w:w="2126" w:type="dxa"/>
            <w:noWrap/>
            <w:vAlign w:val="center"/>
            <w:hideMark/>
          </w:tcPr>
          <w:p w14:paraId="367BB725" w14:textId="77777777" w:rsidR="007B2433" w:rsidRPr="002462F0" w:rsidRDefault="007B2433" w:rsidP="00622F40">
            <w:pPr>
              <w:keepNext/>
              <w:autoSpaceDE w:val="0"/>
              <w:autoSpaceDN w:val="0"/>
              <w:adjustRightInd w:val="0"/>
              <w:jc w:val="center"/>
              <w:rPr>
                <w:szCs w:val="20"/>
                <w:lang w:eastAsia="fr-FR"/>
              </w:rPr>
            </w:pPr>
            <w:r w:rsidRPr="002462F0">
              <w:rPr>
                <w:szCs w:val="20"/>
                <w:lang w:eastAsia="fr-FR"/>
              </w:rPr>
              <w:t>0.18-0.22</w:t>
            </w:r>
          </w:p>
        </w:tc>
        <w:tc>
          <w:tcPr>
            <w:tcW w:w="2127" w:type="dxa"/>
            <w:noWrap/>
            <w:vAlign w:val="center"/>
            <w:hideMark/>
          </w:tcPr>
          <w:p w14:paraId="432DCEBF" w14:textId="600F58A0"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2</w:t>
            </w:r>
          </w:p>
        </w:tc>
        <w:tc>
          <w:tcPr>
            <w:tcW w:w="1842" w:type="dxa"/>
            <w:noWrap/>
            <w:vAlign w:val="center"/>
            <w:hideMark/>
          </w:tcPr>
          <w:p w14:paraId="4F615A17" w14:textId="47C7E956"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2</w:t>
            </w:r>
          </w:p>
        </w:tc>
      </w:tr>
      <w:tr w:rsidR="007B2433" w:rsidRPr="002462F0" w14:paraId="1495BB4F" w14:textId="77777777" w:rsidTr="00622F40">
        <w:trPr>
          <w:trHeight w:val="255"/>
        </w:trPr>
        <w:tc>
          <w:tcPr>
            <w:tcW w:w="2972" w:type="dxa"/>
            <w:noWrap/>
            <w:vAlign w:val="center"/>
            <w:hideMark/>
          </w:tcPr>
          <w:p w14:paraId="34E18D8F" w14:textId="77777777" w:rsidR="007B2433" w:rsidRPr="002462F0" w:rsidRDefault="007B2433" w:rsidP="00622F40">
            <w:pPr>
              <w:keepNext/>
              <w:autoSpaceDE w:val="0"/>
              <w:autoSpaceDN w:val="0"/>
              <w:adjustRightInd w:val="0"/>
              <w:rPr>
                <w:szCs w:val="20"/>
                <w:lang w:eastAsia="fr-FR"/>
              </w:rPr>
            </w:pPr>
            <w:r w:rsidRPr="002462F0">
              <w:rPr>
                <w:szCs w:val="20"/>
                <w:lang w:eastAsia="fr-FR"/>
              </w:rPr>
              <w:t>Paper</w:t>
            </w:r>
          </w:p>
        </w:tc>
        <w:tc>
          <w:tcPr>
            <w:tcW w:w="2126" w:type="dxa"/>
            <w:noWrap/>
            <w:vAlign w:val="center"/>
            <w:hideMark/>
          </w:tcPr>
          <w:p w14:paraId="4C008522" w14:textId="77777777" w:rsidR="007B2433" w:rsidRPr="002462F0" w:rsidRDefault="007B2433" w:rsidP="00622F40">
            <w:pPr>
              <w:keepNext/>
              <w:autoSpaceDE w:val="0"/>
              <w:autoSpaceDN w:val="0"/>
              <w:adjustRightInd w:val="0"/>
              <w:jc w:val="center"/>
              <w:rPr>
                <w:szCs w:val="20"/>
                <w:lang w:eastAsia="fr-FR"/>
              </w:rPr>
            </w:pPr>
            <w:r w:rsidRPr="002462F0">
              <w:rPr>
                <w:szCs w:val="20"/>
                <w:lang w:eastAsia="fr-FR"/>
              </w:rPr>
              <w:t>0.36-0.45</w:t>
            </w:r>
          </w:p>
        </w:tc>
        <w:tc>
          <w:tcPr>
            <w:tcW w:w="2127" w:type="dxa"/>
            <w:noWrap/>
            <w:vAlign w:val="center"/>
            <w:hideMark/>
          </w:tcPr>
          <w:p w14:paraId="4B004F8E" w14:textId="5B4F61B5"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4</w:t>
            </w:r>
          </w:p>
        </w:tc>
        <w:tc>
          <w:tcPr>
            <w:tcW w:w="1842" w:type="dxa"/>
            <w:noWrap/>
            <w:vAlign w:val="center"/>
            <w:hideMark/>
          </w:tcPr>
          <w:p w14:paraId="65F8CB22" w14:textId="0F6431F3"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4</w:t>
            </w:r>
          </w:p>
        </w:tc>
      </w:tr>
      <w:tr w:rsidR="007B2433" w:rsidRPr="002462F0" w14:paraId="684C43BC" w14:textId="77777777" w:rsidTr="00622F40">
        <w:trPr>
          <w:trHeight w:val="255"/>
        </w:trPr>
        <w:tc>
          <w:tcPr>
            <w:tcW w:w="2972" w:type="dxa"/>
            <w:noWrap/>
            <w:vAlign w:val="center"/>
            <w:hideMark/>
          </w:tcPr>
          <w:p w14:paraId="4F3F8503" w14:textId="77777777" w:rsidR="007B2433" w:rsidRPr="002462F0" w:rsidRDefault="007B2433" w:rsidP="00622F40">
            <w:pPr>
              <w:keepNext/>
              <w:autoSpaceDE w:val="0"/>
              <w:autoSpaceDN w:val="0"/>
              <w:adjustRightInd w:val="0"/>
              <w:rPr>
                <w:szCs w:val="20"/>
                <w:lang w:eastAsia="fr-FR"/>
              </w:rPr>
            </w:pPr>
            <w:r w:rsidRPr="002462F0">
              <w:rPr>
                <w:szCs w:val="20"/>
                <w:lang w:eastAsia="fr-FR"/>
              </w:rPr>
              <w:t>Wood and straw</w:t>
            </w:r>
          </w:p>
        </w:tc>
        <w:tc>
          <w:tcPr>
            <w:tcW w:w="2126" w:type="dxa"/>
            <w:noWrap/>
            <w:vAlign w:val="center"/>
            <w:hideMark/>
          </w:tcPr>
          <w:p w14:paraId="52DEB096" w14:textId="77777777" w:rsidR="007B2433" w:rsidRPr="002462F0" w:rsidRDefault="007B2433" w:rsidP="00622F40">
            <w:pPr>
              <w:keepNext/>
              <w:autoSpaceDE w:val="0"/>
              <w:autoSpaceDN w:val="0"/>
              <w:adjustRightInd w:val="0"/>
              <w:jc w:val="center"/>
              <w:rPr>
                <w:szCs w:val="20"/>
                <w:lang w:eastAsia="fr-FR"/>
              </w:rPr>
            </w:pPr>
            <w:r w:rsidRPr="002462F0">
              <w:rPr>
                <w:szCs w:val="20"/>
                <w:lang w:eastAsia="fr-FR"/>
              </w:rPr>
              <w:t>0.39-0.46</w:t>
            </w:r>
          </w:p>
        </w:tc>
        <w:tc>
          <w:tcPr>
            <w:tcW w:w="2127" w:type="dxa"/>
            <w:noWrap/>
            <w:vAlign w:val="center"/>
            <w:hideMark/>
          </w:tcPr>
          <w:p w14:paraId="442944EE" w14:textId="11DCFEE9"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43</w:t>
            </w:r>
          </w:p>
        </w:tc>
        <w:tc>
          <w:tcPr>
            <w:tcW w:w="1842" w:type="dxa"/>
            <w:noWrap/>
            <w:vAlign w:val="center"/>
            <w:hideMark/>
          </w:tcPr>
          <w:p w14:paraId="7E464183" w14:textId="662BFCFF"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43</w:t>
            </w:r>
          </w:p>
        </w:tc>
      </w:tr>
      <w:tr w:rsidR="007B2433" w:rsidRPr="002462F0" w14:paraId="54074248" w14:textId="77777777" w:rsidTr="00622F40">
        <w:trPr>
          <w:trHeight w:val="255"/>
        </w:trPr>
        <w:tc>
          <w:tcPr>
            <w:tcW w:w="2972" w:type="dxa"/>
            <w:noWrap/>
            <w:vAlign w:val="center"/>
            <w:hideMark/>
          </w:tcPr>
          <w:p w14:paraId="50CF7AF5" w14:textId="77777777" w:rsidR="007B2433" w:rsidRPr="002462F0" w:rsidRDefault="007B2433" w:rsidP="00622F40">
            <w:pPr>
              <w:keepNext/>
              <w:autoSpaceDE w:val="0"/>
              <w:autoSpaceDN w:val="0"/>
              <w:adjustRightInd w:val="0"/>
              <w:rPr>
                <w:szCs w:val="20"/>
                <w:lang w:eastAsia="fr-FR"/>
              </w:rPr>
            </w:pPr>
            <w:r w:rsidRPr="002462F0">
              <w:rPr>
                <w:szCs w:val="20"/>
                <w:lang w:eastAsia="fr-FR"/>
              </w:rPr>
              <w:t>Textiles</w:t>
            </w:r>
          </w:p>
        </w:tc>
        <w:tc>
          <w:tcPr>
            <w:tcW w:w="2126" w:type="dxa"/>
            <w:noWrap/>
            <w:vAlign w:val="center"/>
            <w:hideMark/>
          </w:tcPr>
          <w:p w14:paraId="42ACE5EA" w14:textId="77777777" w:rsidR="007B2433" w:rsidRPr="002462F0" w:rsidRDefault="007B2433" w:rsidP="00622F40">
            <w:pPr>
              <w:keepNext/>
              <w:autoSpaceDE w:val="0"/>
              <w:autoSpaceDN w:val="0"/>
              <w:adjustRightInd w:val="0"/>
              <w:jc w:val="center"/>
              <w:rPr>
                <w:szCs w:val="20"/>
                <w:lang w:eastAsia="fr-FR"/>
              </w:rPr>
            </w:pPr>
            <w:r w:rsidRPr="002462F0">
              <w:rPr>
                <w:szCs w:val="20"/>
                <w:lang w:eastAsia="fr-FR"/>
              </w:rPr>
              <w:t>0.20-0.40</w:t>
            </w:r>
          </w:p>
        </w:tc>
        <w:tc>
          <w:tcPr>
            <w:tcW w:w="2127" w:type="dxa"/>
            <w:noWrap/>
            <w:vAlign w:val="center"/>
            <w:hideMark/>
          </w:tcPr>
          <w:p w14:paraId="7DFD24D6" w14:textId="40959FFF"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24</w:t>
            </w:r>
          </w:p>
        </w:tc>
        <w:tc>
          <w:tcPr>
            <w:tcW w:w="1842" w:type="dxa"/>
            <w:noWrap/>
            <w:vAlign w:val="center"/>
            <w:hideMark/>
          </w:tcPr>
          <w:p w14:paraId="737B15FB" w14:textId="4727DFEA"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24</w:t>
            </w:r>
          </w:p>
        </w:tc>
      </w:tr>
      <w:tr w:rsidR="007B2433" w:rsidRPr="002462F0" w14:paraId="3F91D929" w14:textId="77777777" w:rsidTr="00622F40">
        <w:trPr>
          <w:trHeight w:val="255"/>
        </w:trPr>
        <w:tc>
          <w:tcPr>
            <w:tcW w:w="2972" w:type="dxa"/>
            <w:noWrap/>
            <w:vAlign w:val="center"/>
            <w:hideMark/>
          </w:tcPr>
          <w:p w14:paraId="3586A6FD" w14:textId="77777777" w:rsidR="007B2433" w:rsidRPr="002462F0" w:rsidRDefault="007B2433" w:rsidP="00622F40">
            <w:pPr>
              <w:keepNext/>
              <w:autoSpaceDE w:val="0"/>
              <w:autoSpaceDN w:val="0"/>
              <w:adjustRightInd w:val="0"/>
              <w:rPr>
                <w:szCs w:val="20"/>
                <w:lang w:eastAsia="fr-FR"/>
              </w:rPr>
            </w:pPr>
            <w:r w:rsidRPr="002462F0">
              <w:rPr>
                <w:szCs w:val="20"/>
                <w:lang w:eastAsia="fr-FR"/>
              </w:rPr>
              <w:t>Disposable nappies</w:t>
            </w:r>
          </w:p>
        </w:tc>
        <w:tc>
          <w:tcPr>
            <w:tcW w:w="2126" w:type="dxa"/>
            <w:noWrap/>
            <w:vAlign w:val="center"/>
            <w:hideMark/>
          </w:tcPr>
          <w:p w14:paraId="09C101CB" w14:textId="77777777" w:rsidR="007B2433" w:rsidRPr="002462F0" w:rsidRDefault="007B2433" w:rsidP="00622F40">
            <w:pPr>
              <w:keepNext/>
              <w:autoSpaceDE w:val="0"/>
              <w:autoSpaceDN w:val="0"/>
              <w:adjustRightInd w:val="0"/>
              <w:jc w:val="center"/>
              <w:rPr>
                <w:szCs w:val="20"/>
                <w:lang w:eastAsia="fr-FR"/>
              </w:rPr>
            </w:pPr>
            <w:r w:rsidRPr="002462F0">
              <w:rPr>
                <w:szCs w:val="20"/>
                <w:lang w:eastAsia="fr-FR"/>
              </w:rPr>
              <w:t>0.18-0.32</w:t>
            </w:r>
          </w:p>
        </w:tc>
        <w:tc>
          <w:tcPr>
            <w:tcW w:w="2127" w:type="dxa"/>
            <w:noWrap/>
            <w:vAlign w:val="center"/>
            <w:hideMark/>
          </w:tcPr>
          <w:p w14:paraId="4C6E7FF8" w14:textId="5FC5EB86"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24</w:t>
            </w:r>
          </w:p>
        </w:tc>
        <w:tc>
          <w:tcPr>
            <w:tcW w:w="1842" w:type="dxa"/>
            <w:noWrap/>
            <w:vAlign w:val="center"/>
            <w:hideMark/>
          </w:tcPr>
          <w:p w14:paraId="463021EA" w14:textId="46E95383"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24</w:t>
            </w:r>
          </w:p>
        </w:tc>
      </w:tr>
      <w:tr w:rsidR="007B2433" w:rsidRPr="002462F0" w14:paraId="1DE5BB3D" w14:textId="77777777" w:rsidTr="00622F40">
        <w:trPr>
          <w:trHeight w:val="255"/>
        </w:trPr>
        <w:tc>
          <w:tcPr>
            <w:tcW w:w="2972" w:type="dxa"/>
            <w:noWrap/>
            <w:vAlign w:val="center"/>
            <w:hideMark/>
          </w:tcPr>
          <w:p w14:paraId="5944DADA" w14:textId="77777777" w:rsidR="007B2433" w:rsidRPr="002462F0" w:rsidRDefault="007B2433" w:rsidP="00622F40">
            <w:pPr>
              <w:keepNext/>
              <w:autoSpaceDE w:val="0"/>
              <w:autoSpaceDN w:val="0"/>
              <w:adjustRightInd w:val="0"/>
              <w:rPr>
                <w:szCs w:val="20"/>
                <w:lang w:eastAsia="fr-FR"/>
              </w:rPr>
            </w:pPr>
            <w:r w:rsidRPr="002462F0">
              <w:rPr>
                <w:szCs w:val="20"/>
                <w:lang w:eastAsia="fr-FR"/>
              </w:rPr>
              <w:t>Sewage sludge</w:t>
            </w:r>
          </w:p>
        </w:tc>
        <w:tc>
          <w:tcPr>
            <w:tcW w:w="2126" w:type="dxa"/>
            <w:noWrap/>
            <w:vAlign w:val="center"/>
            <w:hideMark/>
          </w:tcPr>
          <w:p w14:paraId="418CB8AF" w14:textId="77777777" w:rsidR="007B2433" w:rsidRPr="002462F0" w:rsidRDefault="007B2433" w:rsidP="00622F40">
            <w:pPr>
              <w:keepNext/>
              <w:autoSpaceDE w:val="0"/>
              <w:autoSpaceDN w:val="0"/>
              <w:adjustRightInd w:val="0"/>
              <w:jc w:val="center"/>
              <w:rPr>
                <w:szCs w:val="20"/>
                <w:lang w:eastAsia="fr-FR"/>
              </w:rPr>
            </w:pPr>
            <w:r w:rsidRPr="002462F0">
              <w:rPr>
                <w:szCs w:val="20"/>
                <w:lang w:eastAsia="fr-FR"/>
              </w:rPr>
              <w:t>0.04-0.05</w:t>
            </w:r>
          </w:p>
        </w:tc>
        <w:tc>
          <w:tcPr>
            <w:tcW w:w="2127" w:type="dxa"/>
            <w:noWrap/>
            <w:vAlign w:val="center"/>
            <w:hideMark/>
          </w:tcPr>
          <w:p w14:paraId="4E95E318" w14:textId="0035AEA5"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05</w:t>
            </w:r>
          </w:p>
        </w:tc>
        <w:tc>
          <w:tcPr>
            <w:tcW w:w="1842" w:type="dxa"/>
            <w:noWrap/>
            <w:vAlign w:val="center"/>
            <w:hideMark/>
          </w:tcPr>
          <w:p w14:paraId="67360188" w14:textId="2679B28E"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05</w:t>
            </w:r>
          </w:p>
        </w:tc>
      </w:tr>
      <w:tr w:rsidR="007B2433" w:rsidRPr="002462F0" w14:paraId="6EAC5195" w14:textId="77777777" w:rsidTr="00622F40">
        <w:trPr>
          <w:trHeight w:val="270"/>
        </w:trPr>
        <w:tc>
          <w:tcPr>
            <w:tcW w:w="2972" w:type="dxa"/>
            <w:noWrap/>
            <w:vAlign w:val="center"/>
            <w:hideMark/>
          </w:tcPr>
          <w:p w14:paraId="76879E87" w14:textId="77777777" w:rsidR="007B2433" w:rsidRPr="002462F0" w:rsidRDefault="007B2433" w:rsidP="00622F40">
            <w:pPr>
              <w:keepNext/>
              <w:autoSpaceDE w:val="0"/>
              <w:autoSpaceDN w:val="0"/>
              <w:adjustRightInd w:val="0"/>
              <w:jc w:val="left"/>
              <w:rPr>
                <w:szCs w:val="20"/>
                <w:lang w:eastAsia="fr-FR"/>
              </w:rPr>
            </w:pPr>
            <w:r w:rsidRPr="002462F0">
              <w:rPr>
                <w:szCs w:val="20"/>
                <w:lang w:eastAsia="fr-FR"/>
              </w:rPr>
              <w:t>Industrial waste</w:t>
            </w:r>
          </w:p>
        </w:tc>
        <w:tc>
          <w:tcPr>
            <w:tcW w:w="2126" w:type="dxa"/>
            <w:noWrap/>
            <w:vAlign w:val="center"/>
            <w:hideMark/>
          </w:tcPr>
          <w:p w14:paraId="4BD98EAA" w14:textId="77777777" w:rsidR="007B2433" w:rsidRPr="002462F0" w:rsidRDefault="007B2433" w:rsidP="00622F40">
            <w:pPr>
              <w:keepNext/>
              <w:autoSpaceDE w:val="0"/>
              <w:autoSpaceDN w:val="0"/>
              <w:adjustRightInd w:val="0"/>
              <w:jc w:val="center"/>
              <w:rPr>
                <w:szCs w:val="20"/>
                <w:lang w:eastAsia="fr-FR"/>
              </w:rPr>
            </w:pPr>
            <w:r w:rsidRPr="002462F0">
              <w:rPr>
                <w:szCs w:val="20"/>
                <w:lang w:eastAsia="fr-FR"/>
              </w:rPr>
              <w:t>0-0.54</w:t>
            </w:r>
          </w:p>
        </w:tc>
        <w:tc>
          <w:tcPr>
            <w:tcW w:w="2127" w:type="dxa"/>
            <w:noWrap/>
            <w:vAlign w:val="center"/>
            <w:hideMark/>
          </w:tcPr>
          <w:p w14:paraId="7442DFB4" w14:textId="65227856"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15</w:t>
            </w:r>
          </w:p>
        </w:tc>
        <w:tc>
          <w:tcPr>
            <w:tcW w:w="1842" w:type="dxa"/>
            <w:noWrap/>
            <w:vAlign w:val="center"/>
            <w:hideMark/>
          </w:tcPr>
          <w:p w14:paraId="448CF553" w14:textId="766F5F7E" w:rsidR="007B2433" w:rsidRPr="002462F0" w:rsidRDefault="007B2433" w:rsidP="00622F40">
            <w:pPr>
              <w:pStyle w:val="ListParagraph"/>
              <w:keepNext/>
              <w:autoSpaceDE w:val="0"/>
              <w:autoSpaceDN w:val="0"/>
              <w:adjustRightInd w:val="0"/>
              <w:jc w:val="left"/>
              <w:rPr>
                <w:szCs w:val="20"/>
                <w:lang w:eastAsia="fr-FR"/>
              </w:rPr>
            </w:pPr>
            <w:r w:rsidRPr="002462F0">
              <w:rPr>
                <w:szCs w:val="20"/>
                <w:lang w:eastAsia="fr-FR"/>
              </w:rPr>
              <w:t>0</w:t>
            </w:r>
            <w:r w:rsidR="0091232E">
              <w:rPr>
                <w:szCs w:val="20"/>
                <w:lang w:eastAsia="fr-FR"/>
              </w:rPr>
              <w:t>.</w:t>
            </w:r>
            <w:r w:rsidRPr="002462F0">
              <w:rPr>
                <w:szCs w:val="20"/>
                <w:lang w:eastAsia="fr-FR"/>
              </w:rPr>
              <w:t>15</w:t>
            </w:r>
          </w:p>
        </w:tc>
      </w:tr>
    </w:tbl>
    <w:p w14:paraId="63C2B890" w14:textId="77777777" w:rsidR="007B2433" w:rsidRPr="00564020" w:rsidRDefault="007B2433" w:rsidP="007B2433">
      <w:pPr>
        <w:autoSpaceDE w:val="0"/>
        <w:autoSpaceDN w:val="0"/>
        <w:adjustRightInd w:val="0"/>
        <w:spacing w:after="0" w:line="240" w:lineRule="auto"/>
        <w:jc w:val="left"/>
        <w:rPr>
          <w:i/>
          <w:sz w:val="18"/>
          <w:szCs w:val="18"/>
          <w:lang w:eastAsia="fr-FR"/>
        </w:rPr>
      </w:pPr>
      <w:r w:rsidRPr="00564020">
        <w:rPr>
          <w:i/>
          <w:sz w:val="18"/>
          <w:szCs w:val="18"/>
          <w:lang w:eastAsia="fr-FR"/>
        </w:rPr>
        <w:t>*Recommended in the 2006 IPCC Guidelines, Vol5, Chap 2, Table 2.4</w:t>
      </w:r>
    </w:p>
    <w:p w14:paraId="402F5AD5" w14:textId="77777777" w:rsidR="007B2433" w:rsidRPr="002462F0" w:rsidRDefault="007B2433" w:rsidP="007B2433">
      <w:pPr>
        <w:pStyle w:val="Heading5"/>
        <w:rPr>
          <w:lang w:eastAsia="fr-FR"/>
        </w:rPr>
      </w:pPr>
      <w:bookmarkStart w:id="1144" w:name="_Toc182328109"/>
      <w:r w:rsidRPr="002462F0">
        <w:rPr>
          <w:lang w:eastAsia="fr-FR"/>
        </w:rPr>
        <w:lastRenderedPageBreak/>
        <w:t>Fraction of DOC dissimilated (</w:t>
      </w:r>
      <w:proofErr w:type="spellStart"/>
      <w:r w:rsidRPr="002462F0">
        <w:rPr>
          <w:lang w:eastAsia="fr-FR"/>
        </w:rPr>
        <w:t>DOC</w:t>
      </w:r>
      <w:r w:rsidRPr="00622F40">
        <w:rPr>
          <w:vertAlign w:val="subscript"/>
          <w:lang w:eastAsia="fr-FR"/>
        </w:rPr>
        <w:t>f</w:t>
      </w:r>
      <w:proofErr w:type="spellEnd"/>
      <w:r w:rsidRPr="002462F0">
        <w:rPr>
          <w:lang w:eastAsia="fr-FR"/>
        </w:rPr>
        <w:t>):</w:t>
      </w:r>
      <w:bookmarkEnd w:id="1144"/>
      <w:r w:rsidRPr="002462F0">
        <w:rPr>
          <w:lang w:eastAsia="fr-FR"/>
        </w:rPr>
        <w:t xml:space="preserve"> </w:t>
      </w:r>
    </w:p>
    <w:p w14:paraId="73BC7425" w14:textId="738B5EDC" w:rsidR="007B2433" w:rsidRPr="002462F0" w:rsidRDefault="00704D4A" w:rsidP="00564020">
      <w:pPr>
        <w:pStyle w:val="Caption"/>
        <w:jc w:val="left"/>
      </w:pPr>
      <w:bookmarkStart w:id="1145" w:name="_Toc184808596"/>
      <w:r>
        <w:t xml:space="preserve">Table </w:t>
      </w:r>
      <w:r>
        <w:fldChar w:fldCharType="begin"/>
      </w:r>
      <w:r>
        <w:instrText xml:space="preserve"> SEQ Table \* ARABIC </w:instrText>
      </w:r>
      <w:r>
        <w:fldChar w:fldCharType="separate"/>
      </w:r>
      <w:r w:rsidR="00F14C78">
        <w:rPr>
          <w:noProof/>
        </w:rPr>
        <w:t>52</w:t>
      </w:r>
      <w:r>
        <w:fldChar w:fldCharType="end"/>
      </w:r>
      <w:r>
        <w:t xml:space="preserve">: </w:t>
      </w:r>
      <w:r w:rsidRPr="002462F0">
        <w:t>Dissimilated degradable organic content (</w:t>
      </w:r>
      <w:proofErr w:type="spellStart"/>
      <w:r w:rsidRPr="002462F0">
        <w:t>DOC</w:t>
      </w:r>
      <w:r w:rsidRPr="00622F40">
        <w:rPr>
          <w:vertAlign w:val="subscript"/>
        </w:rPr>
        <w:t>f</w:t>
      </w:r>
      <w:proofErr w:type="spellEnd"/>
      <w:r w:rsidRPr="002462F0">
        <w:t>)</w:t>
      </w:r>
      <w:r>
        <w:t>, used in the Serbian inventory</w:t>
      </w:r>
      <w:bookmarkEnd w:id="1145"/>
    </w:p>
    <w:tbl>
      <w:tblPr>
        <w:tblStyle w:val="TableGrid"/>
        <w:tblW w:w="9067" w:type="dxa"/>
        <w:tblLook w:val="04A0" w:firstRow="1" w:lastRow="0" w:firstColumn="1" w:lastColumn="0" w:noHBand="0" w:noVBand="1"/>
      </w:tblPr>
      <w:tblGrid>
        <w:gridCol w:w="3980"/>
        <w:gridCol w:w="2536"/>
        <w:gridCol w:w="2551"/>
      </w:tblGrid>
      <w:tr w:rsidR="007B2433" w:rsidRPr="002462F0" w14:paraId="12AD172E" w14:textId="77777777" w:rsidTr="00564020">
        <w:trPr>
          <w:trHeight w:val="270"/>
        </w:trPr>
        <w:tc>
          <w:tcPr>
            <w:tcW w:w="3980" w:type="dxa"/>
            <w:shd w:val="clear" w:color="auto" w:fill="C6D9F1" w:themeFill="text2" w:themeFillTint="33"/>
            <w:noWrap/>
            <w:vAlign w:val="center"/>
            <w:hideMark/>
          </w:tcPr>
          <w:p w14:paraId="1FC09652" w14:textId="77777777" w:rsidR="007B2433" w:rsidRPr="002462F0" w:rsidRDefault="007B2433" w:rsidP="00F540CA">
            <w:pPr>
              <w:pStyle w:val="ListParagraph"/>
              <w:autoSpaceDE w:val="0"/>
              <w:autoSpaceDN w:val="0"/>
              <w:adjustRightInd w:val="0"/>
              <w:rPr>
                <w:b/>
                <w:bCs/>
                <w:szCs w:val="20"/>
                <w:lang w:eastAsia="fr-FR"/>
              </w:rPr>
            </w:pPr>
            <w:r w:rsidRPr="002462F0">
              <w:rPr>
                <w:b/>
                <w:bCs/>
                <w:szCs w:val="20"/>
                <w:lang w:eastAsia="fr-FR"/>
              </w:rPr>
              <w:t>Parameter</w:t>
            </w:r>
          </w:p>
        </w:tc>
        <w:tc>
          <w:tcPr>
            <w:tcW w:w="2536" w:type="dxa"/>
            <w:shd w:val="clear" w:color="auto" w:fill="C6D9F1" w:themeFill="text2" w:themeFillTint="33"/>
            <w:noWrap/>
            <w:vAlign w:val="center"/>
          </w:tcPr>
          <w:p w14:paraId="3A538A67"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IPCC Default</w:t>
            </w:r>
          </w:p>
        </w:tc>
        <w:tc>
          <w:tcPr>
            <w:tcW w:w="2551" w:type="dxa"/>
            <w:shd w:val="clear" w:color="auto" w:fill="C6D9F1" w:themeFill="text2" w:themeFillTint="33"/>
            <w:noWrap/>
            <w:vAlign w:val="center"/>
            <w:hideMark/>
          </w:tcPr>
          <w:p w14:paraId="31F15741"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Applied</w:t>
            </w:r>
          </w:p>
        </w:tc>
      </w:tr>
      <w:tr w:rsidR="007B2433" w:rsidRPr="002462F0" w14:paraId="0AD4F117" w14:textId="77777777" w:rsidTr="00F540CA">
        <w:trPr>
          <w:trHeight w:val="255"/>
        </w:trPr>
        <w:tc>
          <w:tcPr>
            <w:tcW w:w="3980" w:type="dxa"/>
            <w:noWrap/>
            <w:vAlign w:val="center"/>
            <w:hideMark/>
          </w:tcPr>
          <w:p w14:paraId="155F0CE4" w14:textId="77777777" w:rsidR="007B2433" w:rsidRPr="002462F0" w:rsidRDefault="007B2433" w:rsidP="00F540CA">
            <w:pPr>
              <w:autoSpaceDE w:val="0"/>
              <w:autoSpaceDN w:val="0"/>
              <w:adjustRightInd w:val="0"/>
              <w:jc w:val="left"/>
              <w:rPr>
                <w:szCs w:val="20"/>
                <w:lang w:eastAsia="fr-FR"/>
              </w:rPr>
            </w:pPr>
            <w:proofErr w:type="spellStart"/>
            <w:r w:rsidRPr="002462F0">
              <w:rPr>
                <w:szCs w:val="20"/>
                <w:lang w:eastAsia="fr-FR"/>
              </w:rPr>
              <w:t>DOC</w:t>
            </w:r>
            <w:r w:rsidRPr="00622F40">
              <w:rPr>
                <w:szCs w:val="20"/>
                <w:vertAlign w:val="subscript"/>
                <w:lang w:eastAsia="fr-FR"/>
              </w:rPr>
              <w:t>f</w:t>
            </w:r>
            <w:proofErr w:type="spellEnd"/>
          </w:p>
        </w:tc>
        <w:tc>
          <w:tcPr>
            <w:tcW w:w="2536" w:type="dxa"/>
            <w:noWrap/>
            <w:vAlign w:val="center"/>
            <w:hideMark/>
          </w:tcPr>
          <w:p w14:paraId="7A7E3DBF" w14:textId="492F9206"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56E5F">
              <w:rPr>
                <w:szCs w:val="20"/>
                <w:lang w:eastAsia="fr-FR"/>
              </w:rPr>
              <w:t>.</w:t>
            </w:r>
            <w:r w:rsidRPr="002462F0">
              <w:rPr>
                <w:szCs w:val="20"/>
                <w:lang w:eastAsia="fr-FR"/>
              </w:rPr>
              <w:t>5</w:t>
            </w:r>
          </w:p>
        </w:tc>
        <w:tc>
          <w:tcPr>
            <w:tcW w:w="2551" w:type="dxa"/>
            <w:noWrap/>
            <w:vAlign w:val="center"/>
            <w:hideMark/>
          </w:tcPr>
          <w:p w14:paraId="5813CE0F" w14:textId="4101C9A5" w:rsidR="007B2433" w:rsidRPr="002462F0" w:rsidRDefault="007B2433" w:rsidP="00F540CA">
            <w:pPr>
              <w:pStyle w:val="ListParagraph"/>
              <w:autoSpaceDE w:val="0"/>
              <w:autoSpaceDN w:val="0"/>
              <w:adjustRightInd w:val="0"/>
              <w:rPr>
                <w:szCs w:val="20"/>
                <w:lang w:eastAsia="fr-FR"/>
              </w:rPr>
            </w:pPr>
            <w:r w:rsidRPr="002462F0">
              <w:rPr>
                <w:szCs w:val="20"/>
                <w:lang w:eastAsia="fr-FR"/>
              </w:rPr>
              <w:t>0</w:t>
            </w:r>
            <w:r w:rsidR="00D56E5F">
              <w:rPr>
                <w:szCs w:val="20"/>
                <w:lang w:eastAsia="fr-FR"/>
              </w:rPr>
              <w:t>.</w:t>
            </w:r>
            <w:r w:rsidRPr="002462F0">
              <w:rPr>
                <w:szCs w:val="20"/>
                <w:lang w:eastAsia="fr-FR"/>
              </w:rPr>
              <w:t>5</w:t>
            </w:r>
          </w:p>
        </w:tc>
      </w:tr>
    </w:tbl>
    <w:p w14:paraId="2631B874" w14:textId="77777777" w:rsidR="007B2433" w:rsidRPr="00564020" w:rsidRDefault="007B2433" w:rsidP="007B2433">
      <w:pPr>
        <w:autoSpaceDE w:val="0"/>
        <w:autoSpaceDN w:val="0"/>
        <w:adjustRightInd w:val="0"/>
        <w:spacing w:after="0" w:line="240" w:lineRule="auto"/>
        <w:jc w:val="left"/>
        <w:rPr>
          <w:i/>
          <w:sz w:val="18"/>
          <w:szCs w:val="18"/>
          <w:lang w:eastAsia="fr-FR"/>
        </w:rPr>
      </w:pPr>
      <w:r w:rsidRPr="00564020">
        <w:rPr>
          <w:i/>
          <w:sz w:val="18"/>
          <w:szCs w:val="18"/>
          <w:lang w:eastAsia="fr-FR"/>
        </w:rPr>
        <w:t>*Recommended in the 2006 IPCC Guidelines, Vol5, Chap 3, page 3.13</w:t>
      </w:r>
    </w:p>
    <w:p w14:paraId="5C7DFD5A" w14:textId="77777777" w:rsidR="007B2433" w:rsidRPr="002462F0" w:rsidRDefault="007B2433" w:rsidP="007B2433">
      <w:pPr>
        <w:pStyle w:val="Heading5"/>
        <w:rPr>
          <w:lang w:eastAsia="fr-FR"/>
        </w:rPr>
      </w:pPr>
      <w:bookmarkStart w:id="1146" w:name="_Toc182328110"/>
      <w:r w:rsidRPr="002462F0">
        <w:rPr>
          <w:lang w:eastAsia="fr-FR"/>
        </w:rPr>
        <w:t>Methane generation rate constant (k):</w:t>
      </w:r>
      <w:bookmarkEnd w:id="1146"/>
      <w:r w:rsidRPr="002462F0">
        <w:rPr>
          <w:lang w:eastAsia="fr-FR"/>
        </w:rPr>
        <w:t xml:space="preserve"> </w:t>
      </w:r>
    </w:p>
    <w:p w14:paraId="686D3CE9" w14:textId="77777777" w:rsidR="007B2433" w:rsidRPr="002462F0" w:rsidRDefault="007B2433" w:rsidP="00D916DB">
      <w:pPr>
        <w:pStyle w:val="BodyText"/>
        <w:rPr>
          <w:lang w:eastAsia="fr-FR"/>
        </w:rPr>
      </w:pPr>
      <w:r w:rsidRPr="002462F0">
        <w:rPr>
          <w:lang w:eastAsia="fr-FR"/>
        </w:rPr>
        <w:t>On the basis of the map of delineation of major climatic zones presented in the chapter 3.A.5 of the 2006 IPCC Guidelines, the climatic Zone of Serbia is between “Warm temperate Moist” and “Cool Temperate Moist”. Therefore, the Serbian Republic has been classified as “</w:t>
      </w:r>
      <w:r w:rsidRPr="002462F0">
        <w:rPr>
          <w:b/>
          <w:lang w:eastAsia="fr-FR"/>
        </w:rPr>
        <w:t>Temperate Wet</w:t>
      </w:r>
      <w:r w:rsidRPr="002462F0">
        <w:rPr>
          <w:lang w:eastAsia="fr-FR"/>
        </w:rPr>
        <w:t>” in the IPCC Waste Software.</w:t>
      </w:r>
    </w:p>
    <w:p w14:paraId="7C1A1A44" w14:textId="77777777" w:rsidR="007B2433" w:rsidRPr="002462F0" w:rsidRDefault="007B2433" w:rsidP="00D916DB">
      <w:pPr>
        <w:pStyle w:val="BodyText"/>
        <w:rPr>
          <w:szCs w:val="20"/>
          <w:lang w:eastAsia="fr-FR"/>
        </w:rPr>
      </w:pPr>
      <w:r w:rsidRPr="002462F0">
        <w:rPr>
          <w:lang w:eastAsia="fr-FR"/>
        </w:rPr>
        <w:t>The default values recommended in the 2006 IPCC Guidelines for a climate “Temperate Wet” are applied to each category of waste.</w:t>
      </w:r>
    </w:p>
    <w:p w14:paraId="106E8A2F" w14:textId="2776460B" w:rsidR="007B2433" w:rsidRPr="002462F0" w:rsidRDefault="00704D4A" w:rsidP="00564020">
      <w:pPr>
        <w:pStyle w:val="Caption"/>
        <w:jc w:val="left"/>
      </w:pPr>
      <w:bookmarkStart w:id="1147" w:name="_Toc184808597"/>
      <w:r>
        <w:t xml:space="preserve">Table </w:t>
      </w:r>
      <w:r>
        <w:fldChar w:fldCharType="begin"/>
      </w:r>
      <w:r>
        <w:instrText xml:space="preserve"> SEQ Table \* ARABIC </w:instrText>
      </w:r>
      <w:r>
        <w:fldChar w:fldCharType="separate"/>
      </w:r>
      <w:r w:rsidR="00F14C78">
        <w:rPr>
          <w:noProof/>
        </w:rPr>
        <w:t>53</w:t>
      </w:r>
      <w:r>
        <w:fldChar w:fldCharType="end"/>
      </w:r>
      <w:r>
        <w:t xml:space="preserve">: </w:t>
      </w:r>
      <w:r w:rsidRPr="002462F0">
        <w:t>Methane generation rate constant (k)</w:t>
      </w:r>
      <w:r>
        <w:t>, used in the Serbian inventory, per waste type (in years</w:t>
      </w:r>
      <w:r w:rsidRPr="00622F40">
        <w:rPr>
          <w:vertAlign w:val="superscript"/>
        </w:rPr>
        <w:t>-1</w:t>
      </w:r>
      <w:r>
        <w:t>)</w:t>
      </w:r>
      <w:bookmarkEnd w:id="1147"/>
    </w:p>
    <w:tbl>
      <w:tblPr>
        <w:tblStyle w:val="TableGrid"/>
        <w:tblW w:w="9067" w:type="dxa"/>
        <w:tblLook w:val="04A0" w:firstRow="1" w:lastRow="0" w:firstColumn="1" w:lastColumn="0" w:noHBand="0" w:noVBand="1"/>
      </w:tblPr>
      <w:tblGrid>
        <w:gridCol w:w="3397"/>
        <w:gridCol w:w="1985"/>
        <w:gridCol w:w="1843"/>
        <w:gridCol w:w="1842"/>
      </w:tblGrid>
      <w:tr w:rsidR="007B2433" w:rsidRPr="002462F0" w14:paraId="27E9BE08" w14:textId="77777777" w:rsidTr="00564020">
        <w:trPr>
          <w:trHeight w:val="270"/>
        </w:trPr>
        <w:tc>
          <w:tcPr>
            <w:tcW w:w="3397" w:type="dxa"/>
            <w:shd w:val="clear" w:color="auto" w:fill="C6D9F1" w:themeFill="text2" w:themeFillTint="33"/>
            <w:noWrap/>
            <w:hideMark/>
          </w:tcPr>
          <w:p w14:paraId="7BB7DAB4" w14:textId="77777777" w:rsidR="007B2433" w:rsidRPr="002462F0" w:rsidRDefault="007B2433" w:rsidP="00F540CA">
            <w:pPr>
              <w:autoSpaceDE w:val="0"/>
              <w:autoSpaceDN w:val="0"/>
              <w:adjustRightInd w:val="0"/>
              <w:jc w:val="center"/>
              <w:rPr>
                <w:b/>
                <w:bCs/>
                <w:szCs w:val="20"/>
                <w:lang w:eastAsia="fr-FR"/>
              </w:rPr>
            </w:pPr>
            <w:r w:rsidRPr="002462F0">
              <w:rPr>
                <w:b/>
                <w:szCs w:val="20"/>
                <w:lang w:eastAsia="fr-FR"/>
              </w:rPr>
              <w:t>k</w:t>
            </w:r>
            <w:r w:rsidRPr="002462F0">
              <w:rPr>
                <w:b/>
                <w:bCs/>
                <w:szCs w:val="20"/>
                <w:lang w:eastAsia="fr-FR"/>
              </w:rPr>
              <w:t xml:space="preserve"> (years</w:t>
            </w:r>
            <w:r w:rsidRPr="002462F0">
              <w:rPr>
                <w:b/>
                <w:bCs/>
                <w:szCs w:val="20"/>
                <w:vertAlign w:val="superscript"/>
                <w:lang w:eastAsia="fr-FR"/>
              </w:rPr>
              <w:t>-1</w:t>
            </w:r>
            <w:r w:rsidRPr="002462F0">
              <w:rPr>
                <w:b/>
                <w:bCs/>
                <w:szCs w:val="20"/>
                <w:lang w:eastAsia="fr-FR"/>
              </w:rPr>
              <w:t>)</w:t>
            </w:r>
          </w:p>
        </w:tc>
        <w:tc>
          <w:tcPr>
            <w:tcW w:w="1985" w:type="dxa"/>
            <w:shd w:val="clear" w:color="auto" w:fill="C6D9F1" w:themeFill="text2" w:themeFillTint="33"/>
            <w:noWrap/>
            <w:vAlign w:val="center"/>
            <w:hideMark/>
          </w:tcPr>
          <w:p w14:paraId="574E1CFB"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Range</w:t>
            </w:r>
          </w:p>
        </w:tc>
        <w:tc>
          <w:tcPr>
            <w:tcW w:w="1843" w:type="dxa"/>
            <w:shd w:val="clear" w:color="auto" w:fill="C6D9F1" w:themeFill="text2" w:themeFillTint="33"/>
            <w:noWrap/>
            <w:vAlign w:val="center"/>
            <w:hideMark/>
          </w:tcPr>
          <w:p w14:paraId="6ABAB11B"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IPCC Default*</w:t>
            </w:r>
          </w:p>
        </w:tc>
        <w:tc>
          <w:tcPr>
            <w:tcW w:w="1842" w:type="dxa"/>
            <w:shd w:val="clear" w:color="auto" w:fill="C6D9F1" w:themeFill="text2" w:themeFillTint="33"/>
            <w:noWrap/>
            <w:vAlign w:val="center"/>
            <w:hideMark/>
          </w:tcPr>
          <w:p w14:paraId="1729568B"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Applied</w:t>
            </w:r>
          </w:p>
        </w:tc>
      </w:tr>
      <w:tr w:rsidR="007B2433" w:rsidRPr="002462F0" w14:paraId="4C116471" w14:textId="77777777" w:rsidTr="00F540CA">
        <w:trPr>
          <w:trHeight w:val="255"/>
        </w:trPr>
        <w:tc>
          <w:tcPr>
            <w:tcW w:w="3397" w:type="dxa"/>
            <w:noWrap/>
            <w:hideMark/>
          </w:tcPr>
          <w:p w14:paraId="4D2C00D6" w14:textId="77777777" w:rsidR="007B2433" w:rsidRPr="002462F0" w:rsidRDefault="007B2433" w:rsidP="00F540CA">
            <w:pPr>
              <w:autoSpaceDE w:val="0"/>
              <w:autoSpaceDN w:val="0"/>
              <w:adjustRightInd w:val="0"/>
              <w:jc w:val="left"/>
              <w:rPr>
                <w:szCs w:val="20"/>
                <w:lang w:eastAsia="fr-FR"/>
              </w:rPr>
            </w:pPr>
            <w:r w:rsidRPr="002462F0">
              <w:rPr>
                <w:szCs w:val="20"/>
                <w:lang w:eastAsia="fr-FR"/>
              </w:rPr>
              <w:t>Food waste</w:t>
            </w:r>
          </w:p>
        </w:tc>
        <w:tc>
          <w:tcPr>
            <w:tcW w:w="1985" w:type="dxa"/>
            <w:noWrap/>
            <w:hideMark/>
          </w:tcPr>
          <w:p w14:paraId="2C28F9F8"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0.1–0.2</w:t>
            </w:r>
          </w:p>
        </w:tc>
        <w:tc>
          <w:tcPr>
            <w:tcW w:w="1843" w:type="dxa"/>
            <w:noWrap/>
            <w:hideMark/>
          </w:tcPr>
          <w:p w14:paraId="3B0A6BF9" w14:textId="025511F7"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185</w:t>
            </w:r>
          </w:p>
        </w:tc>
        <w:tc>
          <w:tcPr>
            <w:tcW w:w="1842" w:type="dxa"/>
            <w:noWrap/>
            <w:hideMark/>
          </w:tcPr>
          <w:p w14:paraId="19DCF0DF" w14:textId="149EEA34"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185</w:t>
            </w:r>
          </w:p>
        </w:tc>
      </w:tr>
      <w:tr w:rsidR="007B2433" w:rsidRPr="002462F0" w14:paraId="7205FE50" w14:textId="77777777" w:rsidTr="00F540CA">
        <w:trPr>
          <w:trHeight w:val="255"/>
        </w:trPr>
        <w:tc>
          <w:tcPr>
            <w:tcW w:w="3397" w:type="dxa"/>
            <w:noWrap/>
            <w:hideMark/>
          </w:tcPr>
          <w:p w14:paraId="52471D30" w14:textId="77777777" w:rsidR="007B2433" w:rsidRPr="002462F0" w:rsidRDefault="007B2433" w:rsidP="00F540CA">
            <w:pPr>
              <w:autoSpaceDE w:val="0"/>
              <w:autoSpaceDN w:val="0"/>
              <w:adjustRightInd w:val="0"/>
              <w:jc w:val="left"/>
              <w:rPr>
                <w:szCs w:val="20"/>
                <w:lang w:eastAsia="fr-FR"/>
              </w:rPr>
            </w:pPr>
            <w:r w:rsidRPr="002462F0">
              <w:rPr>
                <w:szCs w:val="20"/>
                <w:lang w:eastAsia="fr-FR"/>
              </w:rPr>
              <w:t>Garden</w:t>
            </w:r>
          </w:p>
        </w:tc>
        <w:tc>
          <w:tcPr>
            <w:tcW w:w="1985" w:type="dxa"/>
            <w:noWrap/>
            <w:hideMark/>
          </w:tcPr>
          <w:p w14:paraId="0D37A7FC"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0.06–0.1</w:t>
            </w:r>
          </w:p>
        </w:tc>
        <w:tc>
          <w:tcPr>
            <w:tcW w:w="1843" w:type="dxa"/>
            <w:noWrap/>
            <w:hideMark/>
          </w:tcPr>
          <w:p w14:paraId="2B343774" w14:textId="2F8B8C95"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1</w:t>
            </w:r>
          </w:p>
        </w:tc>
        <w:tc>
          <w:tcPr>
            <w:tcW w:w="1842" w:type="dxa"/>
            <w:noWrap/>
            <w:hideMark/>
          </w:tcPr>
          <w:p w14:paraId="0D402CDE" w14:textId="179D09BF"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1</w:t>
            </w:r>
          </w:p>
        </w:tc>
      </w:tr>
      <w:tr w:rsidR="007B2433" w:rsidRPr="002462F0" w14:paraId="45190C34" w14:textId="77777777" w:rsidTr="00F540CA">
        <w:trPr>
          <w:trHeight w:val="255"/>
        </w:trPr>
        <w:tc>
          <w:tcPr>
            <w:tcW w:w="3397" w:type="dxa"/>
            <w:noWrap/>
            <w:hideMark/>
          </w:tcPr>
          <w:p w14:paraId="6AFA2FB5" w14:textId="77777777" w:rsidR="007B2433" w:rsidRPr="002462F0" w:rsidRDefault="007B2433" w:rsidP="00F540CA">
            <w:pPr>
              <w:autoSpaceDE w:val="0"/>
              <w:autoSpaceDN w:val="0"/>
              <w:adjustRightInd w:val="0"/>
              <w:jc w:val="left"/>
              <w:rPr>
                <w:szCs w:val="20"/>
                <w:lang w:eastAsia="fr-FR"/>
              </w:rPr>
            </w:pPr>
            <w:r w:rsidRPr="002462F0">
              <w:rPr>
                <w:szCs w:val="20"/>
                <w:lang w:eastAsia="fr-FR"/>
              </w:rPr>
              <w:t>Paper</w:t>
            </w:r>
          </w:p>
        </w:tc>
        <w:tc>
          <w:tcPr>
            <w:tcW w:w="1985" w:type="dxa"/>
            <w:noWrap/>
            <w:hideMark/>
          </w:tcPr>
          <w:p w14:paraId="1B051B48"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0.05–0.07</w:t>
            </w:r>
          </w:p>
        </w:tc>
        <w:tc>
          <w:tcPr>
            <w:tcW w:w="1843" w:type="dxa"/>
            <w:noWrap/>
            <w:hideMark/>
          </w:tcPr>
          <w:p w14:paraId="2DF45B9E" w14:textId="7E8BA126"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06</w:t>
            </w:r>
          </w:p>
        </w:tc>
        <w:tc>
          <w:tcPr>
            <w:tcW w:w="1842" w:type="dxa"/>
            <w:noWrap/>
            <w:hideMark/>
          </w:tcPr>
          <w:p w14:paraId="126B9AA9" w14:textId="4DB23AEC"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06</w:t>
            </w:r>
          </w:p>
        </w:tc>
      </w:tr>
      <w:tr w:rsidR="007B2433" w:rsidRPr="002462F0" w14:paraId="5825F734" w14:textId="77777777" w:rsidTr="00F540CA">
        <w:trPr>
          <w:trHeight w:val="255"/>
        </w:trPr>
        <w:tc>
          <w:tcPr>
            <w:tcW w:w="3397" w:type="dxa"/>
            <w:noWrap/>
            <w:hideMark/>
          </w:tcPr>
          <w:p w14:paraId="6CF5F351" w14:textId="77777777" w:rsidR="007B2433" w:rsidRPr="002462F0" w:rsidRDefault="007B2433" w:rsidP="00F540CA">
            <w:pPr>
              <w:autoSpaceDE w:val="0"/>
              <w:autoSpaceDN w:val="0"/>
              <w:adjustRightInd w:val="0"/>
              <w:jc w:val="left"/>
              <w:rPr>
                <w:szCs w:val="20"/>
                <w:lang w:eastAsia="fr-FR"/>
              </w:rPr>
            </w:pPr>
            <w:r w:rsidRPr="002462F0">
              <w:rPr>
                <w:szCs w:val="20"/>
                <w:lang w:eastAsia="fr-FR"/>
              </w:rPr>
              <w:t>Wood and straw</w:t>
            </w:r>
          </w:p>
        </w:tc>
        <w:tc>
          <w:tcPr>
            <w:tcW w:w="1985" w:type="dxa"/>
            <w:noWrap/>
            <w:hideMark/>
          </w:tcPr>
          <w:p w14:paraId="32844EC2"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0.02–0.04</w:t>
            </w:r>
          </w:p>
        </w:tc>
        <w:tc>
          <w:tcPr>
            <w:tcW w:w="1843" w:type="dxa"/>
            <w:noWrap/>
            <w:hideMark/>
          </w:tcPr>
          <w:p w14:paraId="18CE2459" w14:textId="498B3CFC"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03</w:t>
            </w:r>
          </w:p>
        </w:tc>
        <w:tc>
          <w:tcPr>
            <w:tcW w:w="1842" w:type="dxa"/>
            <w:noWrap/>
            <w:hideMark/>
          </w:tcPr>
          <w:p w14:paraId="375522D4" w14:textId="7DAF73CC"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03</w:t>
            </w:r>
          </w:p>
        </w:tc>
      </w:tr>
      <w:tr w:rsidR="007B2433" w:rsidRPr="002462F0" w14:paraId="62546BCF" w14:textId="77777777" w:rsidTr="00F540CA">
        <w:trPr>
          <w:trHeight w:val="255"/>
        </w:trPr>
        <w:tc>
          <w:tcPr>
            <w:tcW w:w="3397" w:type="dxa"/>
            <w:noWrap/>
            <w:hideMark/>
          </w:tcPr>
          <w:p w14:paraId="43897E13" w14:textId="77777777" w:rsidR="007B2433" w:rsidRPr="002462F0" w:rsidRDefault="007B2433" w:rsidP="00F540CA">
            <w:pPr>
              <w:autoSpaceDE w:val="0"/>
              <w:autoSpaceDN w:val="0"/>
              <w:adjustRightInd w:val="0"/>
              <w:jc w:val="left"/>
              <w:rPr>
                <w:szCs w:val="20"/>
                <w:lang w:eastAsia="fr-FR"/>
              </w:rPr>
            </w:pPr>
            <w:r w:rsidRPr="002462F0">
              <w:rPr>
                <w:szCs w:val="20"/>
                <w:lang w:eastAsia="fr-FR"/>
              </w:rPr>
              <w:t>Textiles</w:t>
            </w:r>
          </w:p>
        </w:tc>
        <w:tc>
          <w:tcPr>
            <w:tcW w:w="1985" w:type="dxa"/>
            <w:noWrap/>
            <w:hideMark/>
          </w:tcPr>
          <w:p w14:paraId="0CB6863B"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0.05–0.07</w:t>
            </w:r>
          </w:p>
        </w:tc>
        <w:tc>
          <w:tcPr>
            <w:tcW w:w="1843" w:type="dxa"/>
            <w:noWrap/>
            <w:hideMark/>
          </w:tcPr>
          <w:p w14:paraId="51484B6A" w14:textId="4EFA5AA9"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06</w:t>
            </w:r>
          </w:p>
        </w:tc>
        <w:tc>
          <w:tcPr>
            <w:tcW w:w="1842" w:type="dxa"/>
            <w:noWrap/>
            <w:hideMark/>
          </w:tcPr>
          <w:p w14:paraId="5D82145F" w14:textId="7574E17A"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06</w:t>
            </w:r>
          </w:p>
        </w:tc>
      </w:tr>
      <w:tr w:rsidR="007B2433" w:rsidRPr="002462F0" w14:paraId="000C9788" w14:textId="77777777" w:rsidTr="00F540CA">
        <w:trPr>
          <w:trHeight w:val="255"/>
        </w:trPr>
        <w:tc>
          <w:tcPr>
            <w:tcW w:w="3397" w:type="dxa"/>
            <w:noWrap/>
            <w:hideMark/>
          </w:tcPr>
          <w:p w14:paraId="5BB8C23C" w14:textId="77777777" w:rsidR="007B2433" w:rsidRPr="002462F0" w:rsidRDefault="007B2433" w:rsidP="00F540CA">
            <w:pPr>
              <w:autoSpaceDE w:val="0"/>
              <w:autoSpaceDN w:val="0"/>
              <w:adjustRightInd w:val="0"/>
              <w:jc w:val="left"/>
              <w:rPr>
                <w:szCs w:val="20"/>
                <w:lang w:eastAsia="fr-FR"/>
              </w:rPr>
            </w:pPr>
            <w:r w:rsidRPr="002462F0">
              <w:rPr>
                <w:szCs w:val="20"/>
                <w:lang w:eastAsia="fr-FR"/>
              </w:rPr>
              <w:t>Disposable nappies</w:t>
            </w:r>
          </w:p>
        </w:tc>
        <w:tc>
          <w:tcPr>
            <w:tcW w:w="1985" w:type="dxa"/>
            <w:noWrap/>
            <w:hideMark/>
          </w:tcPr>
          <w:p w14:paraId="5A005010"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0.06–0.1</w:t>
            </w:r>
          </w:p>
        </w:tc>
        <w:tc>
          <w:tcPr>
            <w:tcW w:w="1843" w:type="dxa"/>
            <w:noWrap/>
            <w:hideMark/>
          </w:tcPr>
          <w:p w14:paraId="590C4E9A" w14:textId="1FFB0E97"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1</w:t>
            </w:r>
          </w:p>
        </w:tc>
        <w:tc>
          <w:tcPr>
            <w:tcW w:w="1842" w:type="dxa"/>
            <w:noWrap/>
            <w:hideMark/>
          </w:tcPr>
          <w:p w14:paraId="48304D26" w14:textId="7D6B87B3"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1</w:t>
            </w:r>
          </w:p>
        </w:tc>
      </w:tr>
      <w:tr w:rsidR="007B2433" w:rsidRPr="002462F0" w14:paraId="40817C53" w14:textId="77777777" w:rsidTr="00F540CA">
        <w:trPr>
          <w:trHeight w:val="255"/>
        </w:trPr>
        <w:tc>
          <w:tcPr>
            <w:tcW w:w="3397" w:type="dxa"/>
            <w:noWrap/>
            <w:hideMark/>
          </w:tcPr>
          <w:p w14:paraId="7E1DDF05" w14:textId="77777777" w:rsidR="007B2433" w:rsidRPr="002462F0" w:rsidRDefault="007B2433" w:rsidP="00F540CA">
            <w:pPr>
              <w:autoSpaceDE w:val="0"/>
              <w:autoSpaceDN w:val="0"/>
              <w:adjustRightInd w:val="0"/>
              <w:jc w:val="left"/>
              <w:rPr>
                <w:szCs w:val="20"/>
                <w:lang w:eastAsia="fr-FR"/>
              </w:rPr>
            </w:pPr>
            <w:r w:rsidRPr="002462F0">
              <w:rPr>
                <w:szCs w:val="20"/>
                <w:lang w:eastAsia="fr-FR"/>
              </w:rPr>
              <w:t>Sewage sludge</w:t>
            </w:r>
          </w:p>
        </w:tc>
        <w:tc>
          <w:tcPr>
            <w:tcW w:w="1985" w:type="dxa"/>
            <w:noWrap/>
            <w:hideMark/>
          </w:tcPr>
          <w:p w14:paraId="5B01BFDF"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0.1–0.2</w:t>
            </w:r>
          </w:p>
        </w:tc>
        <w:tc>
          <w:tcPr>
            <w:tcW w:w="1843" w:type="dxa"/>
            <w:noWrap/>
            <w:hideMark/>
          </w:tcPr>
          <w:p w14:paraId="6D2ABBA1" w14:textId="2141DDDB"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185</w:t>
            </w:r>
          </w:p>
        </w:tc>
        <w:tc>
          <w:tcPr>
            <w:tcW w:w="1842" w:type="dxa"/>
            <w:noWrap/>
            <w:hideMark/>
          </w:tcPr>
          <w:p w14:paraId="1B6D05BA" w14:textId="76E8EFE6"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185</w:t>
            </w:r>
          </w:p>
        </w:tc>
      </w:tr>
      <w:tr w:rsidR="007B2433" w:rsidRPr="002462F0" w14:paraId="3BC95DC0" w14:textId="77777777" w:rsidTr="00F540CA">
        <w:trPr>
          <w:trHeight w:val="270"/>
        </w:trPr>
        <w:tc>
          <w:tcPr>
            <w:tcW w:w="3397" w:type="dxa"/>
            <w:noWrap/>
            <w:hideMark/>
          </w:tcPr>
          <w:p w14:paraId="6A3EBF76" w14:textId="77777777" w:rsidR="007B2433" w:rsidRPr="002462F0" w:rsidRDefault="007B2433" w:rsidP="00F540CA">
            <w:pPr>
              <w:autoSpaceDE w:val="0"/>
              <w:autoSpaceDN w:val="0"/>
              <w:adjustRightInd w:val="0"/>
              <w:jc w:val="left"/>
              <w:rPr>
                <w:szCs w:val="20"/>
                <w:lang w:eastAsia="fr-FR"/>
              </w:rPr>
            </w:pPr>
            <w:r w:rsidRPr="002462F0">
              <w:rPr>
                <w:szCs w:val="20"/>
                <w:lang w:eastAsia="fr-FR"/>
              </w:rPr>
              <w:t>Industrial waste</w:t>
            </w:r>
          </w:p>
        </w:tc>
        <w:tc>
          <w:tcPr>
            <w:tcW w:w="1985" w:type="dxa"/>
            <w:noWrap/>
            <w:hideMark/>
          </w:tcPr>
          <w:p w14:paraId="0443F17B"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0.08–0.1</w:t>
            </w:r>
          </w:p>
        </w:tc>
        <w:tc>
          <w:tcPr>
            <w:tcW w:w="1843" w:type="dxa"/>
            <w:noWrap/>
            <w:hideMark/>
          </w:tcPr>
          <w:p w14:paraId="3D93A678" w14:textId="0270AE3A"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09</w:t>
            </w:r>
          </w:p>
        </w:tc>
        <w:tc>
          <w:tcPr>
            <w:tcW w:w="1842" w:type="dxa"/>
            <w:noWrap/>
            <w:hideMark/>
          </w:tcPr>
          <w:p w14:paraId="64661891" w14:textId="37D88797"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DA43F4">
              <w:rPr>
                <w:szCs w:val="20"/>
                <w:lang w:eastAsia="fr-FR"/>
              </w:rPr>
              <w:t>.</w:t>
            </w:r>
            <w:r w:rsidRPr="002462F0">
              <w:rPr>
                <w:szCs w:val="20"/>
                <w:lang w:eastAsia="fr-FR"/>
              </w:rPr>
              <w:t>09</w:t>
            </w:r>
          </w:p>
        </w:tc>
      </w:tr>
    </w:tbl>
    <w:p w14:paraId="371E57E2" w14:textId="77777777" w:rsidR="007B2433" w:rsidRPr="00564020" w:rsidRDefault="007B2433" w:rsidP="007B2433">
      <w:pPr>
        <w:autoSpaceDE w:val="0"/>
        <w:autoSpaceDN w:val="0"/>
        <w:adjustRightInd w:val="0"/>
        <w:spacing w:after="0" w:line="240" w:lineRule="auto"/>
        <w:jc w:val="left"/>
        <w:rPr>
          <w:i/>
          <w:sz w:val="18"/>
          <w:szCs w:val="18"/>
          <w:lang w:eastAsia="fr-FR"/>
        </w:rPr>
      </w:pPr>
      <w:r w:rsidRPr="00564020">
        <w:rPr>
          <w:i/>
          <w:sz w:val="18"/>
          <w:szCs w:val="18"/>
          <w:lang w:eastAsia="fr-FR"/>
        </w:rPr>
        <w:t>*Recommended in the 2006 IPCC Guidelines, Vol5, Chap 3, Table 3.3</w:t>
      </w:r>
    </w:p>
    <w:p w14:paraId="221E375E" w14:textId="77777777" w:rsidR="007B2433" w:rsidRPr="002462F0" w:rsidRDefault="007B2433" w:rsidP="007B2433">
      <w:pPr>
        <w:pStyle w:val="Heading5"/>
        <w:rPr>
          <w:lang w:eastAsia="fr-FR"/>
        </w:rPr>
      </w:pPr>
      <w:bookmarkStart w:id="1148" w:name="_Toc182328111"/>
      <w:r w:rsidRPr="002462F0">
        <w:rPr>
          <w:lang w:eastAsia="fr-FR"/>
        </w:rPr>
        <w:t>Methane Correction Factor (MCF):</w:t>
      </w:r>
      <w:bookmarkEnd w:id="1148"/>
      <w:r w:rsidRPr="002462F0">
        <w:rPr>
          <w:lang w:eastAsia="fr-FR"/>
        </w:rPr>
        <w:t xml:space="preserve"> </w:t>
      </w:r>
    </w:p>
    <w:p w14:paraId="2921C8B8" w14:textId="713E9A57" w:rsidR="00542005" w:rsidRDefault="00542005" w:rsidP="00622F40">
      <w:r>
        <w:t xml:space="preserve">The default values of the methane correction factors (MCF) used in the </w:t>
      </w:r>
      <w:r w:rsidR="00A351FC">
        <w:t>Serbian inventory, for both municipal and industrial waste, are as follows:</w:t>
      </w:r>
    </w:p>
    <w:p w14:paraId="7C3EE8D0" w14:textId="22BD8198" w:rsidR="007B2433" w:rsidRPr="002462F0" w:rsidRDefault="00704D4A" w:rsidP="00564020">
      <w:pPr>
        <w:pStyle w:val="Caption"/>
        <w:jc w:val="left"/>
      </w:pPr>
      <w:bookmarkStart w:id="1149" w:name="_Toc184808598"/>
      <w:r>
        <w:t xml:space="preserve">Table </w:t>
      </w:r>
      <w:r>
        <w:fldChar w:fldCharType="begin"/>
      </w:r>
      <w:r>
        <w:instrText xml:space="preserve"> SEQ Table \* ARABIC </w:instrText>
      </w:r>
      <w:r>
        <w:fldChar w:fldCharType="separate"/>
      </w:r>
      <w:r w:rsidR="00F14C78">
        <w:rPr>
          <w:noProof/>
        </w:rPr>
        <w:t>54</w:t>
      </w:r>
      <w:r>
        <w:fldChar w:fldCharType="end"/>
      </w:r>
      <w:r>
        <w:t xml:space="preserve">: </w:t>
      </w:r>
      <w:r w:rsidRPr="002462F0">
        <w:t>Methane correction factor (MCF)</w:t>
      </w:r>
      <w:r w:rsidRPr="00A351FC">
        <w:t xml:space="preserve"> </w:t>
      </w:r>
      <w:r>
        <w:t>, used in the Serbian inventory, per waste management type</w:t>
      </w:r>
      <w:bookmarkEnd w:id="1149"/>
    </w:p>
    <w:tbl>
      <w:tblPr>
        <w:tblStyle w:val="TableGrid"/>
        <w:tblW w:w="9067" w:type="dxa"/>
        <w:tblLook w:val="04A0" w:firstRow="1" w:lastRow="0" w:firstColumn="1" w:lastColumn="0" w:noHBand="0" w:noVBand="1"/>
      </w:tblPr>
      <w:tblGrid>
        <w:gridCol w:w="1506"/>
        <w:gridCol w:w="1457"/>
        <w:gridCol w:w="1457"/>
        <w:gridCol w:w="1245"/>
        <w:gridCol w:w="1719"/>
        <w:gridCol w:w="1683"/>
      </w:tblGrid>
      <w:tr w:rsidR="007B2433" w:rsidRPr="002462F0" w14:paraId="3565BD8E" w14:textId="77777777" w:rsidTr="00564020">
        <w:trPr>
          <w:trHeight w:val="765"/>
        </w:trPr>
        <w:tc>
          <w:tcPr>
            <w:tcW w:w="1506" w:type="dxa"/>
            <w:shd w:val="clear" w:color="auto" w:fill="C6D9F1" w:themeFill="text2" w:themeFillTint="33"/>
            <w:vAlign w:val="center"/>
            <w:hideMark/>
          </w:tcPr>
          <w:p w14:paraId="14766156" w14:textId="77777777" w:rsidR="007B2433" w:rsidRPr="002462F0" w:rsidRDefault="007B2433" w:rsidP="00F540CA">
            <w:pPr>
              <w:autoSpaceDE w:val="0"/>
              <w:autoSpaceDN w:val="0"/>
              <w:adjustRightInd w:val="0"/>
              <w:jc w:val="center"/>
              <w:rPr>
                <w:b/>
                <w:bCs/>
                <w:szCs w:val="20"/>
                <w:lang w:eastAsia="fr-FR"/>
              </w:rPr>
            </w:pPr>
            <w:r w:rsidRPr="002462F0">
              <w:rPr>
                <w:b/>
                <w:szCs w:val="20"/>
                <w:lang w:eastAsia="fr-FR"/>
              </w:rPr>
              <w:t>MCF</w:t>
            </w:r>
          </w:p>
        </w:tc>
        <w:tc>
          <w:tcPr>
            <w:tcW w:w="1457" w:type="dxa"/>
            <w:shd w:val="clear" w:color="auto" w:fill="C6D9F1" w:themeFill="text2" w:themeFillTint="33"/>
            <w:vAlign w:val="center"/>
            <w:hideMark/>
          </w:tcPr>
          <w:p w14:paraId="1C80D7C4"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Unmanaged shallow</w:t>
            </w:r>
          </w:p>
        </w:tc>
        <w:tc>
          <w:tcPr>
            <w:tcW w:w="1457" w:type="dxa"/>
            <w:shd w:val="clear" w:color="auto" w:fill="C6D9F1" w:themeFill="text2" w:themeFillTint="33"/>
            <w:vAlign w:val="center"/>
            <w:hideMark/>
          </w:tcPr>
          <w:p w14:paraId="15E24489"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Unmanaged deep</w:t>
            </w:r>
          </w:p>
        </w:tc>
        <w:tc>
          <w:tcPr>
            <w:tcW w:w="1245" w:type="dxa"/>
            <w:shd w:val="clear" w:color="auto" w:fill="C6D9F1" w:themeFill="text2" w:themeFillTint="33"/>
            <w:vAlign w:val="center"/>
            <w:hideMark/>
          </w:tcPr>
          <w:p w14:paraId="246BF671"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Managed</w:t>
            </w:r>
          </w:p>
        </w:tc>
        <w:tc>
          <w:tcPr>
            <w:tcW w:w="1719" w:type="dxa"/>
            <w:shd w:val="clear" w:color="auto" w:fill="C6D9F1" w:themeFill="text2" w:themeFillTint="33"/>
            <w:vAlign w:val="center"/>
            <w:hideMark/>
          </w:tcPr>
          <w:p w14:paraId="5CDA0924"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 xml:space="preserve">Managed, </w:t>
            </w:r>
          </w:p>
          <w:p w14:paraId="339D9DD8"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semi-aerobic</w:t>
            </w:r>
          </w:p>
        </w:tc>
        <w:tc>
          <w:tcPr>
            <w:tcW w:w="1683" w:type="dxa"/>
            <w:shd w:val="clear" w:color="auto" w:fill="C6D9F1" w:themeFill="text2" w:themeFillTint="33"/>
            <w:vAlign w:val="center"/>
            <w:hideMark/>
          </w:tcPr>
          <w:p w14:paraId="40BD334C"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Uncategorised</w:t>
            </w:r>
          </w:p>
        </w:tc>
      </w:tr>
      <w:tr w:rsidR="007B2433" w:rsidRPr="002462F0" w14:paraId="51391B36" w14:textId="77777777" w:rsidTr="00F540CA">
        <w:trPr>
          <w:trHeight w:val="270"/>
        </w:trPr>
        <w:tc>
          <w:tcPr>
            <w:tcW w:w="1506" w:type="dxa"/>
            <w:vAlign w:val="center"/>
            <w:hideMark/>
          </w:tcPr>
          <w:p w14:paraId="1B25CD5A" w14:textId="77777777" w:rsidR="007B2433" w:rsidRPr="002462F0" w:rsidRDefault="007B2433" w:rsidP="00F540CA">
            <w:pPr>
              <w:autoSpaceDE w:val="0"/>
              <w:autoSpaceDN w:val="0"/>
              <w:adjustRightInd w:val="0"/>
              <w:jc w:val="left"/>
              <w:rPr>
                <w:szCs w:val="20"/>
                <w:lang w:eastAsia="fr-FR"/>
              </w:rPr>
            </w:pPr>
            <w:r w:rsidRPr="002462F0">
              <w:rPr>
                <w:szCs w:val="20"/>
                <w:lang w:eastAsia="fr-FR"/>
              </w:rPr>
              <w:t>IPCC default</w:t>
            </w:r>
          </w:p>
        </w:tc>
        <w:tc>
          <w:tcPr>
            <w:tcW w:w="1457" w:type="dxa"/>
            <w:vAlign w:val="center"/>
            <w:hideMark/>
          </w:tcPr>
          <w:p w14:paraId="1443A43B" w14:textId="20FDE789"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5A75B0">
              <w:rPr>
                <w:szCs w:val="20"/>
                <w:lang w:eastAsia="fr-FR"/>
              </w:rPr>
              <w:t>.</w:t>
            </w:r>
            <w:r w:rsidRPr="002462F0">
              <w:rPr>
                <w:szCs w:val="20"/>
                <w:lang w:eastAsia="fr-FR"/>
              </w:rPr>
              <w:t>4</w:t>
            </w:r>
          </w:p>
        </w:tc>
        <w:tc>
          <w:tcPr>
            <w:tcW w:w="1457" w:type="dxa"/>
            <w:vAlign w:val="center"/>
            <w:hideMark/>
          </w:tcPr>
          <w:p w14:paraId="02001732" w14:textId="47A83F1F"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5A75B0">
              <w:rPr>
                <w:szCs w:val="20"/>
                <w:lang w:eastAsia="fr-FR"/>
              </w:rPr>
              <w:t>.</w:t>
            </w:r>
            <w:r w:rsidRPr="002462F0">
              <w:rPr>
                <w:szCs w:val="20"/>
                <w:lang w:eastAsia="fr-FR"/>
              </w:rPr>
              <w:t>8</w:t>
            </w:r>
          </w:p>
        </w:tc>
        <w:tc>
          <w:tcPr>
            <w:tcW w:w="1245" w:type="dxa"/>
            <w:vAlign w:val="center"/>
            <w:hideMark/>
          </w:tcPr>
          <w:p w14:paraId="58868FA3"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1</w:t>
            </w:r>
          </w:p>
        </w:tc>
        <w:tc>
          <w:tcPr>
            <w:tcW w:w="1719" w:type="dxa"/>
            <w:vAlign w:val="center"/>
            <w:hideMark/>
          </w:tcPr>
          <w:p w14:paraId="3D413C14" w14:textId="1C8A65A0"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5A75B0">
              <w:rPr>
                <w:szCs w:val="20"/>
                <w:lang w:eastAsia="fr-FR"/>
              </w:rPr>
              <w:t>.</w:t>
            </w:r>
            <w:r w:rsidRPr="002462F0">
              <w:rPr>
                <w:szCs w:val="20"/>
                <w:lang w:eastAsia="fr-FR"/>
              </w:rPr>
              <w:t>5</w:t>
            </w:r>
          </w:p>
        </w:tc>
        <w:tc>
          <w:tcPr>
            <w:tcW w:w="1683" w:type="dxa"/>
            <w:vAlign w:val="center"/>
            <w:hideMark/>
          </w:tcPr>
          <w:p w14:paraId="0AAAB046" w14:textId="04696B0B"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5A75B0">
              <w:rPr>
                <w:szCs w:val="20"/>
                <w:lang w:eastAsia="fr-FR"/>
              </w:rPr>
              <w:t>.</w:t>
            </w:r>
            <w:r w:rsidRPr="002462F0">
              <w:rPr>
                <w:szCs w:val="20"/>
                <w:lang w:eastAsia="fr-FR"/>
              </w:rPr>
              <w:t>6</w:t>
            </w:r>
          </w:p>
        </w:tc>
      </w:tr>
      <w:tr w:rsidR="007B2433" w:rsidRPr="002462F0" w14:paraId="78202247" w14:textId="77777777" w:rsidTr="00F540CA">
        <w:trPr>
          <w:trHeight w:val="266"/>
        </w:trPr>
        <w:tc>
          <w:tcPr>
            <w:tcW w:w="1506" w:type="dxa"/>
            <w:vAlign w:val="center"/>
            <w:hideMark/>
          </w:tcPr>
          <w:p w14:paraId="16D5BFC9" w14:textId="77777777" w:rsidR="007B2433" w:rsidRPr="002462F0" w:rsidRDefault="007B2433" w:rsidP="00F540CA">
            <w:pPr>
              <w:autoSpaceDE w:val="0"/>
              <w:autoSpaceDN w:val="0"/>
              <w:adjustRightInd w:val="0"/>
              <w:jc w:val="left"/>
              <w:rPr>
                <w:szCs w:val="20"/>
                <w:lang w:eastAsia="fr-FR"/>
              </w:rPr>
            </w:pPr>
            <w:r w:rsidRPr="002462F0">
              <w:rPr>
                <w:szCs w:val="20"/>
                <w:lang w:eastAsia="fr-FR"/>
              </w:rPr>
              <w:t>Applied</w:t>
            </w:r>
          </w:p>
        </w:tc>
        <w:tc>
          <w:tcPr>
            <w:tcW w:w="1457" w:type="dxa"/>
            <w:vAlign w:val="center"/>
            <w:hideMark/>
          </w:tcPr>
          <w:p w14:paraId="212B3B58" w14:textId="5B3C3626"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5A75B0">
              <w:rPr>
                <w:szCs w:val="20"/>
                <w:lang w:eastAsia="fr-FR"/>
              </w:rPr>
              <w:t>.</w:t>
            </w:r>
            <w:r w:rsidRPr="002462F0">
              <w:rPr>
                <w:szCs w:val="20"/>
                <w:lang w:eastAsia="fr-FR"/>
              </w:rPr>
              <w:t>4</w:t>
            </w:r>
          </w:p>
        </w:tc>
        <w:tc>
          <w:tcPr>
            <w:tcW w:w="1457" w:type="dxa"/>
            <w:vAlign w:val="center"/>
            <w:hideMark/>
          </w:tcPr>
          <w:p w14:paraId="129050B9" w14:textId="2FF62FA4"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5A75B0">
              <w:rPr>
                <w:szCs w:val="20"/>
                <w:lang w:eastAsia="fr-FR"/>
              </w:rPr>
              <w:t>.</w:t>
            </w:r>
            <w:r w:rsidRPr="002462F0">
              <w:rPr>
                <w:szCs w:val="20"/>
                <w:lang w:eastAsia="fr-FR"/>
              </w:rPr>
              <w:t>8</w:t>
            </w:r>
          </w:p>
        </w:tc>
        <w:tc>
          <w:tcPr>
            <w:tcW w:w="1245" w:type="dxa"/>
            <w:vAlign w:val="center"/>
            <w:hideMark/>
          </w:tcPr>
          <w:p w14:paraId="4575940F"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1</w:t>
            </w:r>
          </w:p>
        </w:tc>
        <w:tc>
          <w:tcPr>
            <w:tcW w:w="1719" w:type="dxa"/>
            <w:vAlign w:val="center"/>
            <w:hideMark/>
          </w:tcPr>
          <w:p w14:paraId="4ABDEEE5" w14:textId="128E6645"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5A75B0">
              <w:rPr>
                <w:szCs w:val="20"/>
                <w:lang w:eastAsia="fr-FR"/>
              </w:rPr>
              <w:t>.</w:t>
            </w:r>
            <w:r w:rsidRPr="002462F0">
              <w:rPr>
                <w:szCs w:val="20"/>
                <w:lang w:eastAsia="fr-FR"/>
              </w:rPr>
              <w:t>5</w:t>
            </w:r>
          </w:p>
        </w:tc>
        <w:tc>
          <w:tcPr>
            <w:tcW w:w="1683" w:type="dxa"/>
            <w:vAlign w:val="center"/>
            <w:hideMark/>
          </w:tcPr>
          <w:p w14:paraId="7382B329" w14:textId="7BF627AD"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5A75B0">
              <w:rPr>
                <w:szCs w:val="20"/>
                <w:lang w:eastAsia="fr-FR"/>
              </w:rPr>
              <w:t>.</w:t>
            </w:r>
            <w:r w:rsidRPr="002462F0">
              <w:rPr>
                <w:szCs w:val="20"/>
                <w:lang w:eastAsia="fr-FR"/>
              </w:rPr>
              <w:t>6</w:t>
            </w:r>
          </w:p>
        </w:tc>
      </w:tr>
    </w:tbl>
    <w:p w14:paraId="03CFFDB3" w14:textId="77777777" w:rsidR="007B2433" w:rsidRPr="00564020" w:rsidRDefault="007B2433" w:rsidP="007B2433">
      <w:pPr>
        <w:autoSpaceDE w:val="0"/>
        <w:autoSpaceDN w:val="0"/>
        <w:adjustRightInd w:val="0"/>
        <w:spacing w:after="0" w:line="240" w:lineRule="auto"/>
        <w:jc w:val="left"/>
        <w:rPr>
          <w:i/>
          <w:sz w:val="18"/>
          <w:szCs w:val="18"/>
          <w:lang w:eastAsia="fr-FR"/>
        </w:rPr>
      </w:pPr>
      <w:r w:rsidRPr="00564020">
        <w:rPr>
          <w:i/>
          <w:sz w:val="18"/>
          <w:szCs w:val="18"/>
          <w:lang w:eastAsia="fr-FR"/>
        </w:rPr>
        <w:t>*Recommended in the 2006 IPCC Guidelines, Vol5, Chap 3, Table 3.1</w:t>
      </w:r>
    </w:p>
    <w:p w14:paraId="5D4471E6" w14:textId="77777777" w:rsidR="007B2433" w:rsidRPr="002462F0" w:rsidRDefault="007B2433" w:rsidP="007B2433">
      <w:pPr>
        <w:pStyle w:val="Heading5"/>
        <w:rPr>
          <w:lang w:eastAsia="fr-FR"/>
        </w:rPr>
      </w:pPr>
      <w:bookmarkStart w:id="1150" w:name="_Toc182328112"/>
      <w:r w:rsidRPr="002462F0">
        <w:rPr>
          <w:lang w:eastAsia="fr-FR"/>
        </w:rPr>
        <w:t>Oxidation factor (OX):</w:t>
      </w:r>
      <w:bookmarkEnd w:id="1150"/>
      <w:r w:rsidRPr="002462F0">
        <w:rPr>
          <w:lang w:eastAsia="fr-FR"/>
        </w:rPr>
        <w:t xml:space="preserve"> </w:t>
      </w:r>
    </w:p>
    <w:p w14:paraId="25D27566" w14:textId="2D5D040C" w:rsidR="007B2433" w:rsidRPr="002462F0" w:rsidRDefault="007B2433" w:rsidP="00D916DB">
      <w:pPr>
        <w:pStyle w:val="BodyText"/>
        <w:rPr>
          <w:lang w:eastAsia="fr-FR"/>
        </w:rPr>
      </w:pPr>
      <w:r w:rsidRPr="002462F0">
        <w:rPr>
          <w:lang w:eastAsia="fr-FR"/>
        </w:rPr>
        <w:t>An average oxidation factor (OX) is calculated. An OX of 0</w:t>
      </w:r>
      <w:r w:rsidR="00571BAE">
        <w:rPr>
          <w:lang w:eastAsia="fr-FR"/>
        </w:rPr>
        <w:t>.</w:t>
      </w:r>
      <w:r w:rsidRPr="002462F0">
        <w:rPr>
          <w:lang w:eastAsia="fr-FR"/>
        </w:rPr>
        <w:t>1 is applied to sanitary landfills assuming in-operation covering as required in recent EC landfills. The fraction of waste disposed in sanitary landfills is rather low (10% since 2002). Therefore, the averaged OX is low.</w:t>
      </w:r>
    </w:p>
    <w:p w14:paraId="15EE92AA" w14:textId="4760E9C8" w:rsidR="007B2433" w:rsidRPr="002462F0" w:rsidRDefault="00704D4A" w:rsidP="00564020">
      <w:pPr>
        <w:pStyle w:val="Caption"/>
        <w:keepNext/>
        <w:jc w:val="left"/>
      </w:pPr>
      <w:bookmarkStart w:id="1151" w:name="_Toc184808599"/>
      <w:r>
        <w:lastRenderedPageBreak/>
        <w:t xml:space="preserve">Table </w:t>
      </w:r>
      <w:r>
        <w:fldChar w:fldCharType="begin"/>
      </w:r>
      <w:r>
        <w:instrText xml:space="preserve"> SEQ Table \* ARABIC </w:instrText>
      </w:r>
      <w:r>
        <w:fldChar w:fldCharType="separate"/>
      </w:r>
      <w:r w:rsidR="00F14C78">
        <w:rPr>
          <w:noProof/>
        </w:rPr>
        <w:t>55</w:t>
      </w:r>
      <w:r>
        <w:fldChar w:fldCharType="end"/>
      </w:r>
      <w:r>
        <w:t xml:space="preserve">: </w:t>
      </w:r>
      <w:r w:rsidRPr="002462F0">
        <w:t>Oxidation factor (F)</w:t>
      </w:r>
      <w:r>
        <w:t>, used in the Serbian inventory, for the period 1990-2022</w:t>
      </w:r>
      <w:bookmarkEnd w:id="1151"/>
    </w:p>
    <w:tbl>
      <w:tblPr>
        <w:tblStyle w:val="TableGrid"/>
        <w:tblW w:w="9067" w:type="dxa"/>
        <w:tblLook w:val="04A0" w:firstRow="1" w:lastRow="0" w:firstColumn="1" w:lastColumn="0" w:noHBand="0" w:noVBand="1"/>
      </w:tblPr>
      <w:tblGrid>
        <w:gridCol w:w="1271"/>
        <w:gridCol w:w="2977"/>
        <w:gridCol w:w="2551"/>
        <w:gridCol w:w="2268"/>
      </w:tblGrid>
      <w:tr w:rsidR="007B2433" w:rsidRPr="002462F0" w14:paraId="34323054" w14:textId="77777777" w:rsidTr="00564020">
        <w:trPr>
          <w:trHeight w:val="765"/>
        </w:trPr>
        <w:tc>
          <w:tcPr>
            <w:tcW w:w="1271" w:type="dxa"/>
            <w:shd w:val="clear" w:color="auto" w:fill="C6D9F1" w:themeFill="text2" w:themeFillTint="33"/>
            <w:vAlign w:val="center"/>
            <w:hideMark/>
          </w:tcPr>
          <w:p w14:paraId="7C7D379B" w14:textId="77777777" w:rsidR="007B2433" w:rsidRPr="002462F0" w:rsidRDefault="007B2433" w:rsidP="00F540CA">
            <w:pPr>
              <w:autoSpaceDE w:val="0"/>
              <w:autoSpaceDN w:val="0"/>
              <w:adjustRightInd w:val="0"/>
              <w:jc w:val="center"/>
              <w:rPr>
                <w:b/>
                <w:bCs/>
                <w:szCs w:val="20"/>
                <w:lang w:eastAsia="fr-FR"/>
              </w:rPr>
            </w:pPr>
            <w:r w:rsidRPr="002462F0">
              <w:rPr>
                <w:b/>
                <w:szCs w:val="20"/>
                <w:lang w:eastAsia="fr-FR"/>
              </w:rPr>
              <w:t>F</w:t>
            </w:r>
          </w:p>
        </w:tc>
        <w:tc>
          <w:tcPr>
            <w:tcW w:w="2977" w:type="dxa"/>
            <w:shd w:val="clear" w:color="auto" w:fill="C6D9F1" w:themeFill="text2" w:themeFillTint="33"/>
            <w:vAlign w:val="center"/>
            <w:hideMark/>
          </w:tcPr>
          <w:p w14:paraId="6ACB29D2"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IPCC default for</w:t>
            </w:r>
          </w:p>
          <w:p w14:paraId="0F104884"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managed landfills covered with oxidating material*</w:t>
            </w:r>
          </w:p>
        </w:tc>
        <w:tc>
          <w:tcPr>
            <w:tcW w:w="2551" w:type="dxa"/>
            <w:shd w:val="clear" w:color="auto" w:fill="C6D9F1" w:themeFill="text2" w:themeFillTint="33"/>
            <w:vAlign w:val="center"/>
            <w:hideMark/>
          </w:tcPr>
          <w:p w14:paraId="7EBAA0BA"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IPCC default for other landfills</w:t>
            </w:r>
          </w:p>
        </w:tc>
        <w:tc>
          <w:tcPr>
            <w:tcW w:w="2268" w:type="dxa"/>
            <w:shd w:val="clear" w:color="auto" w:fill="C6D9F1" w:themeFill="text2" w:themeFillTint="33"/>
            <w:vAlign w:val="center"/>
            <w:hideMark/>
          </w:tcPr>
          <w:p w14:paraId="58B5094A"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Averaged OX</w:t>
            </w:r>
          </w:p>
        </w:tc>
      </w:tr>
      <w:tr w:rsidR="007B2433" w:rsidRPr="002462F0" w14:paraId="2F46BC03" w14:textId="77777777" w:rsidTr="00F540CA">
        <w:trPr>
          <w:trHeight w:val="270"/>
        </w:trPr>
        <w:tc>
          <w:tcPr>
            <w:tcW w:w="1271" w:type="dxa"/>
            <w:vAlign w:val="center"/>
            <w:hideMark/>
          </w:tcPr>
          <w:p w14:paraId="0474D532" w14:textId="77777777" w:rsidR="007B2433" w:rsidRPr="002462F0" w:rsidRDefault="007B2433" w:rsidP="00F540CA">
            <w:pPr>
              <w:autoSpaceDE w:val="0"/>
              <w:autoSpaceDN w:val="0"/>
              <w:adjustRightInd w:val="0"/>
              <w:jc w:val="left"/>
              <w:rPr>
                <w:szCs w:val="20"/>
                <w:lang w:eastAsia="fr-FR"/>
              </w:rPr>
            </w:pPr>
            <w:r w:rsidRPr="002462F0">
              <w:rPr>
                <w:szCs w:val="20"/>
                <w:lang w:eastAsia="fr-FR"/>
              </w:rPr>
              <w:t>1950-2001</w:t>
            </w:r>
          </w:p>
        </w:tc>
        <w:tc>
          <w:tcPr>
            <w:tcW w:w="2977" w:type="dxa"/>
            <w:vAlign w:val="center"/>
            <w:hideMark/>
          </w:tcPr>
          <w:p w14:paraId="11238801" w14:textId="74618CC9"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1669E3">
              <w:rPr>
                <w:szCs w:val="20"/>
                <w:lang w:eastAsia="fr-FR"/>
              </w:rPr>
              <w:t>.</w:t>
            </w:r>
            <w:r w:rsidRPr="002462F0">
              <w:rPr>
                <w:szCs w:val="20"/>
                <w:lang w:eastAsia="fr-FR"/>
              </w:rPr>
              <w:t>1</w:t>
            </w:r>
          </w:p>
        </w:tc>
        <w:tc>
          <w:tcPr>
            <w:tcW w:w="2551" w:type="dxa"/>
            <w:vAlign w:val="center"/>
            <w:hideMark/>
          </w:tcPr>
          <w:p w14:paraId="1B25419E"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0</w:t>
            </w:r>
          </w:p>
        </w:tc>
        <w:tc>
          <w:tcPr>
            <w:tcW w:w="2268" w:type="dxa"/>
            <w:vAlign w:val="center"/>
            <w:hideMark/>
          </w:tcPr>
          <w:p w14:paraId="7F530729"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0</w:t>
            </w:r>
          </w:p>
        </w:tc>
      </w:tr>
      <w:tr w:rsidR="007B2433" w:rsidRPr="002462F0" w14:paraId="19E2AC04" w14:textId="77777777" w:rsidTr="00F540CA">
        <w:trPr>
          <w:trHeight w:val="270"/>
        </w:trPr>
        <w:tc>
          <w:tcPr>
            <w:tcW w:w="1271" w:type="dxa"/>
            <w:vAlign w:val="center"/>
          </w:tcPr>
          <w:p w14:paraId="47A78C57" w14:textId="3991885A" w:rsidR="007B2433" w:rsidRPr="002462F0" w:rsidRDefault="007B2433" w:rsidP="00582623">
            <w:pPr>
              <w:autoSpaceDE w:val="0"/>
              <w:autoSpaceDN w:val="0"/>
              <w:adjustRightInd w:val="0"/>
              <w:jc w:val="left"/>
              <w:rPr>
                <w:szCs w:val="20"/>
                <w:lang w:eastAsia="fr-FR"/>
              </w:rPr>
            </w:pPr>
            <w:r w:rsidRPr="002462F0">
              <w:rPr>
                <w:szCs w:val="20"/>
                <w:lang w:eastAsia="fr-FR"/>
              </w:rPr>
              <w:t>2002-20</w:t>
            </w:r>
            <w:r w:rsidR="00571BAE">
              <w:rPr>
                <w:szCs w:val="20"/>
                <w:lang w:eastAsia="fr-FR"/>
              </w:rPr>
              <w:t>22</w:t>
            </w:r>
          </w:p>
        </w:tc>
        <w:tc>
          <w:tcPr>
            <w:tcW w:w="2977" w:type="dxa"/>
            <w:vAlign w:val="center"/>
          </w:tcPr>
          <w:p w14:paraId="01BFC9DD" w14:textId="1F28AEE0"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1669E3">
              <w:rPr>
                <w:szCs w:val="20"/>
                <w:lang w:eastAsia="fr-FR"/>
              </w:rPr>
              <w:t>.</w:t>
            </w:r>
            <w:r w:rsidRPr="002462F0">
              <w:rPr>
                <w:szCs w:val="20"/>
                <w:lang w:eastAsia="fr-FR"/>
              </w:rPr>
              <w:t>1</w:t>
            </w:r>
          </w:p>
        </w:tc>
        <w:tc>
          <w:tcPr>
            <w:tcW w:w="2551" w:type="dxa"/>
            <w:vAlign w:val="center"/>
          </w:tcPr>
          <w:p w14:paraId="35AFD81C" w14:textId="77777777" w:rsidR="007B2433" w:rsidRPr="002462F0" w:rsidRDefault="007B2433" w:rsidP="00F540CA">
            <w:pPr>
              <w:autoSpaceDE w:val="0"/>
              <w:autoSpaceDN w:val="0"/>
              <w:adjustRightInd w:val="0"/>
              <w:jc w:val="center"/>
              <w:rPr>
                <w:szCs w:val="20"/>
                <w:lang w:eastAsia="fr-FR"/>
              </w:rPr>
            </w:pPr>
            <w:r w:rsidRPr="002462F0">
              <w:rPr>
                <w:szCs w:val="20"/>
                <w:lang w:eastAsia="fr-FR"/>
              </w:rPr>
              <w:t>0</w:t>
            </w:r>
          </w:p>
        </w:tc>
        <w:tc>
          <w:tcPr>
            <w:tcW w:w="2268" w:type="dxa"/>
            <w:vAlign w:val="center"/>
          </w:tcPr>
          <w:p w14:paraId="36028630" w14:textId="76C99A78" w:rsidR="007B2433" w:rsidRPr="002462F0" w:rsidRDefault="007B2433" w:rsidP="00F540CA">
            <w:pPr>
              <w:autoSpaceDE w:val="0"/>
              <w:autoSpaceDN w:val="0"/>
              <w:adjustRightInd w:val="0"/>
              <w:jc w:val="center"/>
              <w:rPr>
                <w:szCs w:val="20"/>
                <w:lang w:eastAsia="fr-FR"/>
              </w:rPr>
            </w:pPr>
            <w:r w:rsidRPr="002462F0">
              <w:rPr>
                <w:szCs w:val="20"/>
                <w:lang w:eastAsia="fr-FR"/>
              </w:rPr>
              <w:t>0</w:t>
            </w:r>
            <w:r w:rsidR="001669E3">
              <w:rPr>
                <w:szCs w:val="20"/>
                <w:lang w:eastAsia="fr-FR"/>
              </w:rPr>
              <w:t>.</w:t>
            </w:r>
            <w:r w:rsidRPr="002462F0">
              <w:rPr>
                <w:szCs w:val="20"/>
                <w:lang w:eastAsia="fr-FR"/>
              </w:rPr>
              <w:t>01</w:t>
            </w:r>
          </w:p>
        </w:tc>
      </w:tr>
    </w:tbl>
    <w:p w14:paraId="27EDE15B" w14:textId="77777777" w:rsidR="007B2433" w:rsidRPr="00564020" w:rsidRDefault="007B2433" w:rsidP="007B2433">
      <w:pPr>
        <w:autoSpaceDE w:val="0"/>
        <w:autoSpaceDN w:val="0"/>
        <w:adjustRightInd w:val="0"/>
        <w:spacing w:after="0" w:line="240" w:lineRule="auto"/>
        <w:jc w:val="left"/>
        <w:rPr>
          <w:i/>
          <w:sz w:val="18"/>
          <w:szCs w:val="18"/>
          <w:lang w:eastAsia="fr-FR"/>
        </w:rPr>
      </w:pPr>
      <w:r w:rsidRPr="00564020">
        <w:rPr>
          <w:i/>
          <w:sz w:val="18"/>
          <w:szCs w:val="18"/>
          <w:lang w:eastAsia="fr-FR"/>
        </w:rPr>
        <w:t>*Recommended in the 2006 IPCC Guidelines, Vol5, Chap 3, Table 3.2</w:t>
      </w:r>
    </w:p>
    <w:p w14:paraId="6BEB39F8" w14:textId="77777777" w:rsidR="007B2433" w:rsidRPr="002462F0" w:rsidRDefault="007B2433" w:rsidP="007B2433">
      <w:pPr>
        <w:autoSpaceDE w:val="0"/>
        <w:autoSpaceDN w:val="0"/>
        <w:adjustRightInd w:val="0"/>
        <w:spacing w:after="0" w:line="240" w:lineRule="auto"/>
        <w:jc w:val="left"/>
        <w:rPr>
          <w:i/>
          <w:szCs w:val="20"/>
          <w:lang w:eastAsia="fr-FR"/>
        </w:rPr>
      </w:pPr>
    </w:p>
    <w:p w14:paraId="3A1BDE19" w14:textId="2F37D84B" w:rsidR="007B2433" w:rsidRPr="002462F0" w:rsidRDefault="007B2433" w:rsidP="00622F40">
      <w:pPr>
        <w:pStyle w:val="Heading3"/>
        <w:rPr>
          <w:lang w:eastAsia="fr-FR"/>
        </w:rPr>
      </w:pPr>
      <w:bookmarkStart w:id="1152" w:name="_Toc182328113"/>
      <w:bookmarkStart w:id="1153" w:name="_Toc184808358"/>
      <w:r w:rsidRPr="002462F0">
        <w:rPr>
          <w:lang w:eastAsia="fr-FR"/>
        </w:rPr>
        <w:t>Uncertainties and time-series consistency</w:t>
      </w:r>
      <w:bookmarkEnd w:id="1152"/>
      <w:bookmarkEnd w:id="1153"/>
    </w:p>
    <w:p w14:paraId="5A243A6D" w14:textId="77777777" w:rsidR="007B2433" w:rsidRPr="002462F0" w:rsidRDefault="007B2433" w:rsidP="007B2433">
      <w:pPr>
        <w:autoSpaceDE w:val="0"/>
        <w:autoSpaceDN w:val="0"/>
        <w:adjustRightInd w:val="0"/>
        <w:spacing w:after="0" w:line="240" w:lineRule="auto"/>
        <w:rPr>
          <w:sz w:val="22"/>
          <w:lang w:eastAsia="fr-FR"/>
        </w:rPr>
      </w:pPr>
    </w:p>
    <w:p w14:paraId="3AE23D2B" w14:textId="77777777" w:rsidR="007B2433" w:rsidRPr="002462F0" w:rsidRDefault="007B2433" w:rsidP="00D916DB">
      <w:pPr>
        <w:pStyle w:val="BodyText"/>
        <w:rPr>
          <w:lang w:eastAsia="fr-FR"/>
        </w:rPr>
      </w:pPr>
      <w:r w:rsidRPr="002462F0">
        <w:rPr>
          <w:lang w:eastAsia="fr-FR"/>
        </w:rPr>
        <w:t>Uncertainty estimate associated with activity data amounts to 30%, based on 2006 IPCC Guidelines (Volume 5, Chapter 3, Table 3.5).</w:t>
      </w:r>
    </w:p>
    <w:p w14:paraId="14515EBC" w14:textId="77777777" w:rsidR="007B2433" w:rsidRPr="002462F0" w:rsidRDefault="007B2433" w:rsidP="00D916DB">
      <w:pPr>
        <w:pStyle w:val="BodyText"/>
        <w:rPr>
          <w:lang w:eastAsia="fr-FR"/>
        </w:rPr>
      </w:pPr>
      <w:r w:rsidRPr="002462F0">
        <w:rPr>
          <w:lang w:eastAsia="fr-FR"/>
        </w:rPr>
        <w:t xml:space="preserve">Uncertainty estimate associated with emission factor amounts to 175%, based on expert judgment. </w:t>
      </w:r>
    </w:p>
    <w:p w14:paraId="10AC0A0C" w14:textId="380554AF" w:rsidR="007B2433" w:rsidRPr="002462F0" w:rsidRDefault="007B2433" w:rsidP="00D916DB">
      <w:pPr>
        <w:pStyle w:val="BodyText"/>
        <w:rPr>
          <w:lang w:eastAsia="fr-FR"/>
        </w:rPr>
      </w:pPr>
      <w:r w:rsidRPr="002462F0">
        <w:rPr>
          <w:lang w:eastAsia="fr-FR"/>
        </w:rPr>
        <w:t>Combined uncertainty for emissions is 178%.</w:t>
      </w:r>
      <w:r w:rsidR="003E296A">
        <w:rPr>
          <w:lang w:eastAsia="fr-FR"/>
        </w:rPr>
        <w:t xml:space="preserve"> The uncertainty combined in the national </w:t>
      </w:r>
      <w:r w:rsidR="00A853E9">
        <w:rPr>
          <w:lang w:eastAsia="fr-FR"/>
        </w:rPr>
        <w:t xml:space="preserve">total emissions, excluding LULUCF contribution, is of 6.8% in 2022, and </w:t>
      </w:r>
      <w:r w:rsidR="003507CC">
        <w:rPr>
          <w:lang w:eastAsia="fr-FR"/>
        </w:rPr>
        <w:t>contributes</w:t>
      </w:r>
      <w:r w:rsidR="00A853E9">
        <w:rPr>
          <w:lang w:eastAsia="fr-FR"/>
        </w:rPr>
        <w:t xml:space="preserve"> the highe</w:t>
      </w:r>
      <w:r w:rsidR="003507CC">
        <w:rPr>
          <w:lang w:eastAsia="fr-FR"/>
        </w:rPr>
        <w:t>st to the overall emission inventory</w:t>
      </w:r>
      <w:r w:rsidR="00A853E9">
        <w:rPr>
          <w:lang w:eastAsia="fr-FR"/>
        </w:rPr>
        <w:t xml:space="preserve"> uncertainty </w:t>
      </w:r>
      <w:r w:rsidR="003507CC">
        <w:rPr>
          <w:lang w:eastAsia="fr-FR"/>
        </w:rPr>
        <w:t>between all sectors</w:t>
      </w:r>
      <w:r w:rsidR="00A853E9">
        <w:rPr>
          <w:lang w:eastAsia="fr-FR"/>
        </w:rPr>
        <w:t>.</w:t>
      </w:r>
    </w:p>
    <w:p w14:paraId="278FD71B" w14:textId="0C7181E7" w:rsidR="007B2433" w:rsidRPr="002462F0" w:rsidRDefault="007B2433" w:rsidP="00622F40">
      <w:pPr>
        <w:pStyle w:val="Heading3"/>
        <w:rPr>
          <w:lang w:eastAsia="fr-FR"/>
        </w:rPr>
      </w:pPr>
      <w:bookmarkStart w:id="1154" w:name="_Toc182328114"/>
      <w:bookmarkStart w:id="1155" w:name="_Toc184808359"/>
      <w:r w:rsidRPr="002462F0">
        <w:rPr>
          <w:lang w:eastAsia="fr-FR"/>
        </w:rPr>
        <w:t>Category-specific QA/QC and verification</w:t>
      </w:r>
      <w:bookmarkEnd w:id="1154"/>
      <w:bookmarkEnd w:id="1155"/>
    </w:p>
    <w:p w14:paraId="543BE406" w14:textId="5AF5713B" w:rsidR="007B2433" w:rsidRPr="00622F40" w:rsidRDefault="003507CC" w:rsidP="00622F40">
      <w:pPr>
        <w:pStyle w:val="BodyText"/>
        <w:rPr>
          <w:lang w:val="en-US" w:eastAsia="fr-FR"/>
        </w:rPr>
      </w:pPr>
      <w:r w:rsidRPr="002462F0">
        <w:rPr>
          <w:lang w:eastAsia="fr-FR"/>
        </w:rPr>
        <w:t>During the preparation of the inventory submission, activities related to quality control were mainly focused on completeness and consistency of emission estimates, and on proper use of notation keys in the CR</w:t>
      </w:r>
      <w:r w:rsidR="002E2C46">
        <w:rPr>
          <w:lang w:eastAsia="fr-FR"/>
        </w:rPr>
        <w:t>T</w:t>
      </w:r>
      <w:r w:rsidRPr="002462F0">
        <w:rPr>
          <w:lang w:eastAsia="fr-FR"/>
        </w:rPr>
        <w:t>.</w:t>
      </w:r>
      <w:r w:rsidRPr="002462F0">
        <w:rPr>
          <w:lang w:val="en-US" w:eastAsia="fr-FR"/>
        </w:rPr>
        <w:t xml:space="preserve"> </w:t>
      </w:r>
    </w:p>
    <w:p w14:paraId="18A7A362" w14:textId="7991276C" w:rsidR="007B2433" w:rsidRPr="002462F0" w:rsidRDefault="007B2433" w:rsidP="00622F40">
      <w:pPr>
        <w:pStyle w:val="Heading3"/>
        <w:rPr>
          <w:lang w:eastAsia="fr-FR"/>
        </w:rPr>
      </w:pPr>
      <w:bookmarkStart w:id="1156" w:name="_Toc182328115"/>
      <w:bookmarkStart w:id="1157" w:name="_Toc184808360"/>
      <w:r w:rsidRPr="002462F0">
        <w:rPr>
          <w:lang w:eastAsia="fr-FR"/>
        </w:rPr>
        <w:t>Category-specific recalculations</w:t>
      </w:r>
      <w:bookmarkEnd w:id="1156"/>
      <w:bookmarkEnd w:id="1157"/>
    </w:p>
    <w:p w14:paraId="40CD4163" w14:textId="1F2B1676" w:rsidR="007B2433" w:rsidRPr="002462F0" w:rsidRDefault="007B2433" w:rsidP="00D916DB">
      <w:pPr>
        <w:pStyle w:val="BodyText"/>
        <w:rPr>
          <w:b/>
          <w:color w:val="233F85"/>
          <w:sz w:val="28"/>
          <w:szCs w:val="32"/>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77A4602A" w14:textId="68CAC896" w:rsidR="007B2433" w:rsidRPr="002462F0" w:rsidRDefault="007B2433" w:rsidP="00622F40">
      <w:pPr>
        <w:pStyle w:val="Heading3"/>
        <w:rPr>
          <w:lang w:eastAsia="fr-FR"/>
        </w:rPr>
      </w:pPr>
      <w:bookmarkStart w:id="1158" w:name="_Toc182328116"/>
      <w:bookmarkStart w:id="1159" w:name="_Toc184808361"/>
      <w:r w:rsidRPr="002462F0">
        <w:rPr>
          <w:lang w:eastAsia="fr-FR"/>
        </w:rPr>
        <w:t>Category-specific planned improvements</w:t>
      </w:r>
      <w:bookmarkEnd w:id="1158"/>
      <w:bookmarkEnd w:id="1159"/>
    </w:p>
    <w:p w14:paraId="780A113B" w14:textId="77777777" w:rsidR="007B2433" w:rsidRPr="002462F0" w:rsidRDefault="007B2433" w:rsidP="007B2433">
      <w:pPr>
        <w:autoSpaceDE w:val="0"/>
        <w:autoSpaceDN w:val="0"/>
        <w:adjustRightInd w:val="0"/>
        <w:spacing w:after="0" w:line="240" w:lineRule="auto"/>
        <w:jc w:val="left"/>
        <w:rPr>
          <w:b/>
          <w:color w:val="233F85"/>
          <w:sz w:val="28"/>
          <w:szCs w:val="32"/>
          <w:lang w:eastAsia="fr-FR"/>
        </w:rPr>
      </w:pPr>
    </w:p>
    <w:p w14:paraId="35440CE1" w14:textId="77777777" w:rsidR="007B2433" w:rsidRPr="002462F0" w:rsidRDefault="007B2433" w:rsidP="00D916DB">
      <w:pPr>
        <w:pStyle w:val="BodyText"/>
        <w:rPr>
          <w:lang w:eastAsia="fr-FR"/>
        </w:rPr>
      </w:pPr>
      <w:r w:rsidRPr="002462F0">
        <w:rPr>
          <w:lang w:eastAsia="fr-FR"/>
        </w:rPr>
        <w:t>Concerning landfilling, the planned improvements deal mainly with the historical trends of the country-specific parameters, especially concerning the following aspects:</w:t>
      </w:r>
    </w:p>
    <w:p w14:paraId="0EAEE4BD" w14:textId="77777777" w:rsidR="007B2433" w:rsidRPr="002462F0" w:rsidRDefault="007B2433" w:rsidP="00AB11C1">
      <w:pPr>
        <w:pStyle w:val="BodyText"/>
        <w:numPr>
          <w:ilvl w:val="0"/>
          <w:numId w:val="43"/>
        </w:numPr>
        <w:rPr>
          <w:lang w:eastAsia="fr-FR"/>
        </w:rPr>
      </w:pPr>
      <w:r w:rsidRPr="002462F0">
        <w:rPr>
          <w:lang w:eastAsia="fr-FR"/>
        </w:rPr>
        <w:t>improve the historical trend of the parameters considered as constant over the timeseries (MSW generation rate, waste composition…),</w:t>
      </w:r>
    </w:p>
    <w:p w14:paraId="6689E7B2" w14:textId="467DFEBB" w:rsidR="007B2433" w:rsidRDefault="007B2433" w:rsidP="00AB11C1">
      <w:pPr>
        <w:pStyle w:val="BodyText"/>
        <w:numPr>
          <w:ilvl w:val="0"/>
          <w:numId w:val="43"/>
        </w:numPr>
        <w:rPr>
          <w:lang w:eastAsia="fr-FR"/>
        </w:rPr>
      </w:pPr>
      <w:r w:rsidRPr="002462F0">
        <w:rPr>
          <w:lang w:eastAsia="fr-FR"/>
        </w:rPr>
        <w:t>improve the repartition between management practices on the basis of the landfill database managed by the SEPA.</w:t>
      </w:r>
    </w:p>
    <w:p w14:paraId="41242DA6" w14:textId="7A3EE6CA" w:rsidR="00D22F3E" w:rsidRPr="002462F0" w:rsidRDefault="00A644E2" w:rsidP="00AB11C1">
      <w:pPr>
        <w:pStyle w:val="BodyText"/>
        <w:numPr>
          <w:ilvl w:val="0"/>
          <w:numId w:val="43"/>
        </w:numPr>
        <w:rPr>
          <w:lang w:eastAsia="fr-FR"/>
        </w:rPr>
      </w:pPr>
      <w:r>
        <w:rPr>
          <w:lang w:eastAsia="fr-FR"/>
        </w:rPr>
        <w:t>improve the estimation</w:t>
      </w:r>
      <w:r w:rsidR="00A268F8">
        <w:rPr>
          <w:lang w:eastAsia="fr-FR"/>
        </w:rPr>
        <w:t xml:space="preserve">s using </w:t>
      </w:r>
      <w:r w:rsidR="00490078" w:rsidRPr="00490078">
        <w:rPr>
          <w:lang w:eastAsia="fr-FR"/>
        </w:rPr>
        <w:t>2019 Refinement to the 2006 IPCC Guidelines for National Greenhouse Gas Inventories</w:t>
      </w:r>
      <w:r w:rsidR="00490078">
        <w:rPr>
          <w:lang w:eastAsia="fr-FR"/>
        </w:rPr>
        <w:t xml:space="preserve"> (new default values for </w:t>
      </w:r>
      <w:proofErr w:type="spellStart"/>
      <w:r w:rsidR="00490078">
        <w:rPr>
          <w:lang w:eastAsia="fr-FR"/>
        </w:rPr>
        <w:t>DOC</w:t>
      </w:r>
      <w:r w:rsidR="00490078" w:rsidRPr="00622F40">
        <w:rPr>
          <w:vertAlign w:val="subscript"/>
          <w:lang w:eastAsia="fr-FR"/>
        </w:rPr>
        <w:t>f</w:t>
      </w:r>
      <w:proofErr w:type="spellEnd"/>
      <w:r w:rsidR="00A81CA0">
        <w:rPr>
          <w:lang w:eastAsia="fr-FR"/>
        </w:rPr>
        <w:t>)</w:t>
      </w:r>
    </w:p>
    <w:p w14:paraId="538A8AFA" w14:textId="6AA21669" w:rsidR="007B2433" w:rsidRPr="002462F0" w:rsidRDefault="007B2433" w:rsidP="00D916DB">
      <w:pPr>
        <w:pStyle w:val="BodyText"/>
        <w:rPr>
          <w:lang w:eastAsia="fr-FR"/>
        </w:rPr>
      </w:pPr>
      <w:r w:rsidRPr="002462F0">
        <w:rPr>
          <w:lang w:eastAsia="fr-FR"/>
        </w:rPr>
        <w:t xml:space="preserve">In addition, open burning </w:t>
      </w:r>
      <w:r w:rsidR="00020C0D">
        <w:rPr>
          <w:lang w:eastAsia="fr-FR"/>
        </w:rPr>
        <w:t xml:space="preserve">of waste (5C2) </w:t>
      </w:r>
      <w:r w:rsidRPr="002462F0">
        <w:rPr>
          <w:lang w:eastAsia="fr-FR"/>
        </w:rPr>
        <w:t xml:space="preserve">will be included </w:t>
      </w:r>
      <w:r w:rsidR="00020C0D">
        <w:rPr>
          <w:lang w:eastAsia="fr-FR"/>
        </w:rPr>
        <w:t>when</w:t>
      </w:r>
      <w:r w:rsidR="00020C0D" w:rsidRPr="002462F0">
        <w:rPr>
          <w:lang w:eastAsia="fr-FR"/>
        </w:rPr>
        <w:t xml:space="preserve"> </w:t>
      </w:r>
      <w:r w:rsidRPr="002462F0">
        <w:rPr>
          <w:lang w:eastAsia="fr-FR"/>
        </w:rPr>
        <w:t>some data are available.</w:t>
      </w:r>
    </w:p>
    <w:p w14:paraId="05028791" w14:textId="7DA992F3" w:rsidR="007B2433" w:rsidRPr="002462F0" w:rsidRDefault="007B2433" w:rsidP="007B2433">
      <w:pPr>
        <w:pStyle w:val="Heading2"/>
        <w:rPr>
          <w:rStyle w:val="Heading2Char"/>
          <w:lang w:val="en-GB"/>
        </w:rPr>
      </w:pPr>
      <w:bookmarkStart w:id="1160" w:name="_Toc495655069"/>
      <w:bookmarkStart w:id="1161" w:name="_Toc182328117"/>
      <w:bookmarkStart w:id="1162" w:name="_Toc184808362"/>
      <w:r w:rsidRPr="002462F0">
        <w:rPr>
          <w:rStyle w:val="Heading2Char"/>
          <w:lang w:val="en-GB"/>
        </w:rPr>
        <w:lastRenderedPageBreak/>
        <w:t>Wastewater treatment and discharge</w:t>
      </w:r>
      <w:bookmarkEnd w:id="1160"/>
      <w:r w:rsidRPr="002462F0">
        <w:rPr>
          <w:rStyle w:val="Heading2Char"/>
          <w:lang w:val="en-GB"/>
        </w:rPr>
        <w:t xml:space="preserve"> (</w:t>
      </w:r>
      <w:r w:rsidR="00FF2718">
        <w:rPr>
          <w:rStyle w:val="Heading2Char"/>
          <w:lang w:val="en-GB"/>
        </w:rPr>
        <w:t xml:space="preserve">CRT </w:t>
      </w:r>
      <w:r w:rsidRPr="002462F0">
        <w:rPr>
          <w:rStyle w:val="Heading2Char"/>
          <w:lang w:val="en-GB"/>
        </w:rPr>
        <w:t>5D)</w:t>
      </w:r>
      <w:bookmarkEnd w:id="1161"/>
      <w:bookmarkEnd w:id="1162"/>
    </w:p>
    <w:p w14:paraId="4D178AFC" w14:textId="77777777" w:rsidR="007B2433" w:rsidRPr="002462F0" w:rsidRDefault="007B2433" w:rsidP="007B2433">
      <w:pPr>
        <w:pStyle w:val="Heading3"/>
        <w:ind w:left="1430"/>
        <w:rPr>
          <w:lang w:val="en-GB" w:eastAsia="fr-FR"/>
        </w:rPr>
      </w:pPr>
      <w:bookmarkStart w:id="1163" w:name="_Toc495655070"/>
      <w:bookmarkStart w:id="1164" w:name="_Toc182328118"/>
      <w:bookmarkStart w:id="1165" w:name="_Toc184808363"/>
      <w:r w:rsidRPr="002462F0">
        <w:rPr>
          <w:lang w:val="en-GB" w:eastAsia="fr-FR"/>
        </w:rPr>
        <w:t>Category description</w:t>
      </w:r>
      <w:bookmarkEnd w:id="1163"/>
      <w:bookmarkEnd w:id="1164"/>
      <w:bookmarkEnd w:id="1165"/>
      <w:r w:rsidRPr="002462F0">
        <w:rPr>
          <w:lang w:val="en-GB" w:eastAsia="fr-FR"/>
        </w:rPr>
        <w:t xml:space="preserve"> </w:t>
      </w:r>
    </w:p>
    <w:p w14:paraId="1B3BC010" w14:textId="21E6C17E" w:rsidR="007B2433" w:rsidRPr="002462F0" w:rsidRDefault="007B2433" w:rsidP="00D916DB">
      <w:pPr>
        <w:pStyle w:val="BodyText"/>
        <w:rPr>
          <w:lang w:eastAsia="fr-FR"/>
        </w:rPr>
      </w:pPr>
      <w:r w:rsidRPr="002462F0">
        <w:rPr>
          <w:lang w:eastAsia="fr-FR"/>
        </w:rPr>
        <w:t xml:space="preserve">In </w:t>
      </w:r>
      <w:r w:rsidR="00D84F97">
        <w:rPr>
          <w:lang w:eastAsia="fr-FR"/>
        </w:rPr>
        <w:t>2022</w:t>
      </w:r>
      <w:r w:rsidRPr="002462F0">
        <w:rPr>
          <w:lang w:eastAsia="fr-FR"/>
        </w:rPr>
        <w:t>, the category 5D Wastewater treatment and discharge is a key category for CH</w:t>
      </w:r>
      <w:r w:rsidRPr="002462F0">
        <w:rPr>
          <w:vertAlign w:val="subscript"/>
          <w:lang w:eastAsia="fr-FR"/>
        </w:rPr>
        <w:t>4</w:t>
      </w:r>
      <w:r w:rsidRPr="002462F0">
        <w:rPr>
          <w:lang w:eastAsia="fr-FR"/>
        </w:rPr>
        <w:t xml:space="preserve"> emissions in </w:t>
      </w:r>
      <w:r w:rsidR="00CC188E">
        <w:rPr>
          <w:lang w:eastAsia="fr-FR"/>
        </w:rPr>
        <w:t xml:space="preserve">the Republic of </w:t>
      </w:r>
      <w:r w:rsidRPr="002462F0">
        <w:rPr>
          <w:lang w:eastAsia="fr-FR"/>
        </w:rPr>
        <w:t>Serbia</w:t>
      </w:r>
      <w:r w:rsidR="00CC188E">
        <w:rPr>
          <w:lang w:eastAsia="fr-FR"/>
        </w:rPr>
        <w:t>, both in terms of emission levels and trend</w:t>
      </w:r>
      <w:r w:rsidR="00660ECF">
        <w:rPr>
          <w:lang w:eastAsia="fr-FR"/>
        </w:rPr>
        <w:t xml:space="preserve">. </w:t>
      </w:r>
      <w:r w:rsidR="00CC188E">
        <w:rPr>
          <w:lang w:eastAsia="fr-FR"/>
        </w:rPr>
        <w:t xml:space="preserve">The </w:t>
      </w:r>
      <w:r w:rsidR="00674EF0">
        <w:rPr>
          <w:lang w:eastAsia="fr-FR"/>
        </w:rPr>
        <w:t xml:space="preserve">methane </w:t>
      </w:r>
      <w:r w:rsidR="00CC188E">
        <w:rPr>
          <w:lang w:eastAsia="fr-FR"/>
        </w:rPr>
        <w:t xml:space="preserve">emissions related to </w:t>
      </w:r>
      <w:r w:rsidR="00674EF0">
        <w:rPr>
          <w:lang w:eastAsia="fr-FR"/>
        </w:rPr>
        <w:t>domestic wastewater treatment and discharge (5D1)</w:t>
      </w:r>
      <w:r w:rsidR="00660ECF">
        <w:rPr>
          <w:lang w:eastAsia="fr-FR"/>
        </w:rPr>
        <w:t xml:space="preserve"> contribute to 1</w:t>
      </w:r>
      <w:r w:rsidR="00674EF0">
        <w:rPr>
          <w:lang w:eastAsia="fr-FR"/>
        </w:rPr>
        <w:t>.0</w:t>
      </w:r>
      <w:r w:rsidRPr="002462F0">
        <w:rPr>
          <w:lang w:eastAsia="fr-FR"/>
        </w:rPr>
        <w:t>% in terms of emissions level without LULUCF (rank 1</w:t>
      </w:r>
      <w:r w:rsidR="00674EF0">
        <w:rPr>
          <w:lang w:eastAsia="fr-FR"/>
        </w:rPr>
        <w:t>6</w:t>
      </w:r>
      <w:r w:rsidRPr="002462F0">
        <w:rPr>
          <w:lang w:eastAsia="fr-FR"/>
        </w:rPr>
        <w:t>)</w:t>
      </w:r>
      <w:r w:rsidR="00674EF0">
        <w:rPr>
          <w:lang w:eastAsia="fr-FR"/>
        </w:rPr>
        <w:t xml:space="preserve">, and to </w:t>
      </w:r>
      <w:r w:rsidR="005256CE">
        <w:rPr>
          <w:lang w:eastAsia="fr-FR"/>
        </w:rPr>
        <w:t>0.3% in terms of emission trend (rank 52)</w:t>
      </w:r>
      <w:r w:rsidRPr="002462F0">
        <w:rPr>
          <w:lang w:eastAsia="fr-FR"/>
        </w:rPr>
        <w:t>.</w:t>
      </w:r>
      <w:r w:rsidR="005256CE">
        <w:rPr>
          <w:lang w:eastAsia="fr-FR"/>
        </w:rPr>
        <w:t xml:space="preserve"> </w:t>
      </w:r>
      <w:r w:rsidR="00EF3711">
        <w:rPr>
          <w:lang w:eastAsia="fr-FR"/>
        </w:rPr>
        <w:t xml:space="preserve">The methane emissions related to industrial wastewater (5D2) are only a key category in terms of emission trends, with a contribution </w:t>
      </w:r>
      <w:r w:rsidR="00A64C73">
        <w:rPr>
          <w:lang w:eastAsia="fr-FR"/>
        </w:rPr>
        <w:t xml:space="preserve">to 0.3% (rank 51). </w:t>
      </w:r>
    </w:p>
    <w:p w14:paraId="5E43E979" w14:textId="77777777" w:rsidR="007B2433" w:rsidRPr="002462F0" w:rsidRDefault="007B2433" w:rsidP="00D916DB">
      <w:pPr>
        <w:pStyle w:val="BodyText"/>
        <w:rPr>
          <w:lang w:eastAsia="fr-FR"/>
        </w:rPr>
      </w:pPr>
      <w:r w:rsidRPr="002462F0">
        <w:rPr>
          <w:lang w:eastAsia="fr-FR"/>
        </w:rPr>
        <w:t>Under this category, the following sources must be considered:</w:t>
      </w:r>
    </w:p>
    <w:p w14:paraId="6E60A19E" w14:textId="77777777" w:rsidR="007B2433" w:rsidRPr="002462F0" w:rsidRDefault="007B2433" w:rsidP="00AB11C1">
      <w:pPr>
        <w:pStyle w:val="BodyText"/>
        <w:numPr>
          <w:ilvl w:val="0"/>
          <w:numId w:val="44"/>
        </w:numPr>
        <w:rPr>
          <w:rFonts w:eastAsia="Times New Roman" w:cs="Times New Roman"/>
          <w:lang w:eastAsia="fr-FR"/>
        </w:rPr>
      </w:pPr>
      <w:r w:rsidRPr="002462F0">
        <w:rPr>
          <w:lang w:eastAsia="fr-FR"/>
        </w:rPr>
        <w:t>Wastewater treatment (domestic and industrial),</w:t>
      </w:r>
    </w:p>
    <w:p w14:paraId="0C25225D" w14:textId="77777777" w:rsidR="007B2433" w:rsidRPr="002462F0" w:rsidRDefault="007B2433" w:rsidP="00AB11C1">
      <w:pPr>
        <w:pStyle w:val="BodyText"/>
        <w:numPr>
          <w:ilvl w:val="0"/>
          <w:numId w:val="44"/>
        </w:numPr>
        <w:rPr>
          <w:rFonts w:eastAsia="Times New Roman" w:cs="Times New Roman"/>
          <w:lang w:eastAsia="fr-FR"/>
        </w:rPr>
      </w:pPr>
      <w:r w:rsidRPr="002462F0">
        <w:rPr>
          <w:lang w:eastAsia="fr-FR"/>
        </w:rPr>
        <w:t>Water discharge in water bodies,</w:t>
      </w:r>
    </w:p>
    <w:p w14:paraId="07A3F5EC" w14:textId="77777777" w:rsidR="007B2433" w:rsidRPr="002462F0" w:rsidRDefault="007B2433" w:rsidP="00AB11C1">
      <w:pPr>
        <w:pStyle w:val="BodyText"/>
        <w:numPr>
          <w:ilvl w:val="0"/>
          <w:numId w:val="44"/>
        </w:numPr>
        <w:rPr>
          <w:rFonts w:eastAsia="Times New Roman" w:cs="Times New Roman"/>
          <w:lang w:eastAsia="fr-FR"/>
        </w:rPr>
      </w:pPr>
      <w:r w:rsidRPr="002462F0">
        <w:rPr>
          <w:lang w:eastAsia="fr-FR"/>
        </w:rPr>
        <w:t>One plant biogas production.</w:t>
      </w:r>
    </w:p>
    <w:p w14:paraId="381E11B0" w14:textId="61BD481F" w:rsidR="007B2433" w:rsidRPr="002462F0" w:rsidRDefault="007B2433" w:rsidP="00D916DB">
      <w:pPr>
        <w:pStyle w:val="BodyText"/>
        <w:rPr>
          <w:lang w:eastAsia="fr-FR"/>
        </w:rPr>
      </w:pPr>
      <w:r w:rsidRPr="002462F0">
        <w:rPr>
          <w:lang w:eastAsia="fr-FR"/>
        </w:rPr>
        <w:t xml:space="preserve">In </w:t>
      </w:r>
      <w:r w:rsidR="00A64C73">
        <w:rPr>
          <w:lang w:eastAsia="fr-FR"/>
        </w:rPr>
        <w:t xml:space="preserve">the Republic of </w:t>
      </w:r>
      <w:r w:rsidRPr="002462F0">
        <w:rPr>
          <w:lang w:eastAsia="fr-FR"/>
        </w:rPr>
        <w:t xml:space="preserve">Serbia, </w:t>
      </w:r>
      <w:r w:rsidR="008D093E">
        <w:rPr>
          <w:lang w:eastAsia="fr-FR"/>
        </w:rPr>
        <w:t xml:space="preserve">for urban areas, </w:t>
      </w:r>
      <w:r w:rsidRPr="002462F0">
        <w:rPr>
          <w:lang w:eastAsia="fr-FR"/>
        </w:rPr>
        <w:t xml:space="preserve">a fraction of domestic wastewater treatment occurs in centralized </w:t>
      </w:r>
      <w:proofErr w:type="spellStart"/>
      <w:r w:rsidRPr="002462F0">
        <w:rPr>
          <w:lang w:eastAsia="fr-FR"/>
        </w:rPr>
        <w:t>WasteWater</w:t>
      </w:r>
      <w:proofErr w:type="spellEnd"/>
      <w:r w:rsidRPr="002462F0">
        <w:rPr>
          <w:lang w:eastAsia="fr-FR"/>
        </w:rPr>
        <w:t xml:space="preserve"> Treatment Plants (WWTP</w:t>
      </w:r>
      <w:r w:rsidR="0076406F">
        <w:rPr>
          <w:lang w:eastAsia="fr-FR"/>
        </w:rPr>
        <w:t>, about 20%</w:t>
      </w:r>
      <w:r w:rsidRPr="002462F0">
        <w:rPr>
          <w:lang w:eastAsia="fr-FR"/>
        </w:rPr>
        <w:t xml:space="preserve">), </w:t>
      </w:r>
      <w:r w:rsidR="0076406F">
        <w:rPr>
          <w:lang w:eastAsia="fr-FR"/>
        </w:rPr>
        <w:t>another part</w:t>
      </w:r>
      <w:r w:rsidRPr="002462F0">
        <w:rPr>
          <w:lang w:eastAsia="fr-FR"/>
        </w:rPr>
        <w:t xml:space="preserve"> is treated in septic tanks</w:t>
      </w:r>
      <w:r w:rsidR="0076406F">
        <w:rPr>
          <w:lang w:eastAsia="fr-FR"/>
        </w:rPr>
        <w:t xml:space="preserve"> (around 10%)</w:t>
      </w:r>
      <w:r w:rsidR="00540369">
        <w:rPr>
          <w:lang w:eastAsia="fr-FR"/>
        </w:rPr>
        <w:t>, another fraction is treated in flowing sewer</w:t>
      </w:r>
      <w:r w:rsidR="0076406F">
        <w:rPr>
          <w:lang w:eastAsia="fr-FR"/>
        </w:rPr>
        <w:t xml:space="preserve"> (around 20%)</w:t>
      </w:r>
      <w:r w:rsidRPr="002462F0">
        <w:rPr>
          <w:lang w:eastAsia="fr-FR"/>
        </w:rPr>
        <w:t xml:space="preserve"> and</w:t>
      </w:r>
      <w:r w:rsidR="0076406F">
        <w:rPr>
          <w:lang w:eastAsia="fr-FR"/>
        </w:rPr>
        <w:t>,</w:t>
      </w:r>
      <w:r w:rsidRPr="002462F0">
        <w:rPr>
          <w:lang w:eastAsia="fr-FR"/>
        </w:rPr>
        <w:t xml:space="preserve"> the remaining fraction (</w:t>
      </w:r>
      <w:r w:rsidR="0076406F">
        <w:rPr>
          <w:lang w:eastAsia="fr-FR"/>
        </w:rPr>
        <w:t xml:space="preserve">i.e., </w:t>
      </w:r>
      <w:r w:rsidRPr="002462F0">
        <w:rPr>
          <w:lang w:eastAsia="fr-FR"/>
        </w:rPr>
        <w:t>50%)</w:t>
      </w:r>
      <w:r w:rsidR="0076406F">
        <w:rPr>
          <w:lang w:eastAsia="fr-FR"/>
        </w:rPr>
        <w:t>,</w:t>
      </w:r>
      <w:r w:rsidRPr="002462F0">
        <w:rPr>
          <w:lang w:eastAsia="fr-FR"/>
        </w:rPr>
        <w:t xml:space="preserve"> is directly discharged in water bodies without treatment.</w:t>
      </w:r>
      <w:r w:rsidR="0076406F">
        <w:rPr>
          <w:lang w:eastAsia="fr-FR"/>
        </w:rPr>
        <w:t xml:space="preserve"> For rural areas, </w:t>
      </w:r>
      <w:r w:rsidR="00C96F46">
        <w:rPr>
          <w:lang w:eastAsia="fr-FR"/>
        </w:rPr>
        <w:t>half the share is considered to be treated in septic tanks, 10% in flowing sewer and the rest (i.e., 40%) is treated in stagnant sewer</w:t>
      </w:r>
      <w:r w:rsidR="00700992">
        <w:rPr>
          <w:lang w:eastAsia="fr-FR"/>
        </w:rPr>
        <w:t xml:space="preserve"> (see </w:t>
      </w:r>
      <w:r w:rsidR="00700992">
        <w:rPr>
          <w:lang w:eastAsia="fr-FR"/>
        </w:rPr>
        <w:fldChar w:fldCharType="begin"/>
      </w:r>
      <w:r w:rsidR="00700992">
        <w:rPr>
          <w:lang w:eastAsia="fr-FR"/>
        </w:rPr>
        <w:instrText xml:space="preserve"> REF _Ref179988142 \h </w:instrText>
      </w:r>
      <w:r w:rsidR="00700992">
        <w:rPr>
          <w:lang w:eastAsia="fr-FR"/>
        </w:rPr>
      </w:r>
      <w:r w:rsidR="00700992">
        <w:rPr>
          <w:lang w:eastAsia="fr-FR"/>
        </w:rPr>
        <w:fldChar w:fldCharType="separate"/>
      </w:r>
      <w:r w:rsidR="00F14C78" w:rsidRPr="002462F0">
        <w:t xml:space="preserve">Figure </w:t>
      </w:r>
      <w:r w:rsidR="00F14C78">
        <w:rPr>
          <w:noProof/>
        </w:rPr>
        <w:t>155</w:t>
      </w:r>
      <w:r w:rsidR="00700992">
        <w:rPr>
          <w:lang w:eastAsia="fr-FR"/>
        </w:rPr>
        <w:fldChar w:fldCharType="end"/>
      </w:r>
      <w:r w:rsidR="00700992">
        <w:rPr>
          <w:lang w:eastAsia="fr-FR"/>
        </w:rPr>
        <w:t>)</w:t>
      </w:r>
      <w:r w:rsidR="00C96F46">
        <w:rPr>
          <w:lang w:eastAsia="fr-FR"/>
        </w:rPr>
        <w:t>.</w:t>
      </w:r>
      <w:r w:rsidR="00E830C3">
        <w:rPr>
          <w:lang w:eastAsia="fr-FR"/>
        </w:rPr>
        <w:t xml:space="preserve"> </w:t>
      </w:r>
      <w:r w:rsidR="002C683A">
        <w:rPr>
          <w:lang w:eastAsia="fr-FR"/>
        </w:rPr>
        <w:t>For the industry, t</w:t>
      </w:r>
      <w:r w:rsidR="00E830C3">
        <w:rPr>
          <w:lang w:eastAsia="fr-FR"/>
        </w:rPr>
        <w:t xml:space="preserve">he </w:t>
      </w:r>
      <w:r w:rsidR="002C683A">
        <w:rPr>
          <w:lang w:eastAsia="fr-FR"/>
        </w:rPr>
        <w:t xml:space="preserve">generated </w:t>
      </w:r>
      <w:r w:rsidR="00E830C3">
        <w:rPr>
          <w:lang w:eastAsia="fr-FR"/>
        </w:rPr>
        <w:t xml:space="preserve">wastewater is based on </w:t>
      </w:r>
      <w:r w:rsidR="002C683A">
        <w:rPr>
          <w:lang w:eastAsia="fr-FR"/>
        </w:rPr>
        <w:t xml:space="preserve">the industrial productions of some products (see </w:t>
      </w:r>
      <w:r w:rsidR="00936128">
        <w:rPr>
          <w:lang w:eastAsia="fr-FR"/>
        </w:rPr>
        <w:fldChar w:fldCharType="begin"/>
      </w:r>
      <w:r w:rsidR="00936128">
        <w:rPr>
          <w:lang w:eastAsia="fr-FR"/>
        </w:rPr>
        <w:instrText xml:space="preserve"> REF _Ref179995491 \h </w:instrText>
      </w:r>
      <w:r w:rsidR="00936128">
        <w:rPr>
          <w:lang w:eastAsia="fr-FR"/>
        </w:rPr>
      </w:r>
      <w:r w:rsidR="00936128">
        <w:rPr>
          <w:lang w:eastAsia="fr-FR"/>
        </w:rPr>
        <w:fldChar w:fldCharType="separate"/>
      </w:r>
      <w:r w:rsidR="00F14C78">
        <w:t xml:space="preserve">Table </w:t>
      </w:r>
      <w:r w:rsidR="00F14C78">
        <w:rPr>
          <w:noProof/>
        </w:rPr>
        <w:t>63</w:t>
      </w:r>
      <w:r w:rsidR="00936128">
        <w:rPr>
          <w:lang w:eastAsia="fr-FR"/>
        </w:rPr>
        <w:fldChar w:fldCharType="end"/>
      </w:r>
      <w:r w:rsidR="002C683A">
        <w:rPr>
          <w:lang w:eastAsia="fr-FR"/>
        </w:rPr>
        <w:t>).</w:t>
      </w:r>
    </w:p>
    <w:p w14:paraId="74995431" w14:textId="24EA9C6A" w:rsidR="007B2433" w:rsidRPr="002462F0" w:rsidRDefault="0058351B" w:rsidP="00D916DB">
      <w:pPr>
        <w:pStyle w:val="BodyText"/>
        <w:rPr>
          <w:lang w:eastAsia="fr-FR"/>
        </w:rPr>
      </w:pPr>
      <w:r>
        <w:rPr>
          <w:lang w:eastAsia="fr-FR"/>
        </w:rPr>
        <w:t>D</w:t>
      </w:r>
      <w:r w:rsidR="007B2433" w:rsidRPr="002462F0">
        <w:rPr>
          <w:lang w:eastAsia="fr-FR"/>
        </w:rPr>
        <w:t>ata concerning industrial wastewater treatment</w:t>
      </w:r>
      <w:r>
        <w:rPr>
          <w:lang w:eastAsia="fr-FR"/>
        </w:rPr>
        <w:t xml:space="preserve"> </w:t>
      </w:r>
      <w:r w:rsidRPr="002462F0">
        <w:rPr>
          <w:lang w:eastAsia="fr-FR"/>
        </w:rPr>
        <w:t>are available</w:t>
      </w:r>
      <w:r>
        <w:rPr>
          <w:lang w:eastAsia="fr-FR"/>
        </w:rPr>
        <w:t xml:space="preserve"> through SEPAs Information system</w:t>
      </w:r>
      <w:r w:rsidR="007B2433" w:rsidRPr="002462F0">
        <w:rPr>
          <w:lang w:eastAsia="fr-FR"/>
        </w:rPr>
        <w:t>.</w:t>
      </w:r>
    </w:p>
    <w:p w14:paraId="393FD20A" w14:textId="58B798E5" w:rsidR="007B2433" w:rsidRPr="002462F0" w:rsidRDefault="007B2433" w:rsidP="00D916DB">
      <w:pPr>
        <w:pStyle w:val="BodyText"/>
        <w:rPr>
          <w:lang w:eastAsia="fr-FR"/>
        </w:rPr>
      </w:pPr>
      <w:r w:rsidRPr="002462F0">
        <w:rPr>
          <w:lang w:eastAsia="fr-FR"/>
        </w:rPr>
        <w:t>On-site biogas production in WWTP does</w:t>
      </w:r>
      <w:r w:rsidR="00A64C73">
        <w:rPr>
          <w:lang w:eastAsia="fr-FR"/>
        </w:rPr>
        <w:t xml:space="preserve"> not</w:t>
      </w:r>
      <w:r w:rsidRPr="002462F0">
        <w:rPr>
          <w:lang w:eastAsia="fr-FR"/>
        </w:rPr>
        <w:t xml:space="preserve"> occur </w:t>
      </w:r>
      <w:r w:rsidR="00A64C73">
        <w:rPr>
          <w:lang w:eastAsia="fr-FR"/>
        </w:rPr>
        <w:t>over the territory</w:t>
      </w:r>
      <w:r w:rsidRPr="002462F0">
        <w:rPr>
          <w:lang w:eastAsia="fr-FR"/>
        </w:rPr>
        <w:t>.</w:t>
      </w:r>
    </w:p>
    <w:p w14:paraId="08D70173" w14:textId="167174CB" w:rsidR="007B2804" w:rsidRDefault="007B2433" w:rsidP="00D916DB">
      <w:pPr>
        <w:pStyle w:val="BodyText"/>
        <w:rPr>
          <w:lang w:eastAsia="fr-FR"/>
        </w:rPr>
      </w:pPr>
      <w:r w:rsidRPr="002462F0">
        <w:rPr>
          <w:lang w:eastAsia="fr-FR"/>
        </w:rPr>
        <w:t>The</w:t>
      </w:r>
      <w:r w:rsidR="0076036C">
        <w:rPr>
          <w:lang w:eastAsia="fr-FR"/>
        </w:rPr>
        <w:t xml:space="preserve"> GHG</w:t>
      </w:r>
      <w:r w:rsidRPr="002462F0">
        <w:rPr>
          <w:lang w:eastAsia="fr-FR"/>
        </w:rPr>
        <w:t xml:space="preserve"> emission</w:t>
      </w:r>
      <w:r w:rsidR="0076036C">
        <w:rPr>
          <w:lang w:eastAsia="fr-FR"/>
        </w:rPr>
        <w:t xml:space="preserve"> trend</w:t>
      </w:r>
      <w:r w:rsidRPr="002462F0">
        <w:rPr>
          <w:lang w:eastAsia="fr-FR"/>
        </w:rPr>
        <w:t xml:space="preserve">s </w:t>
      </w:r>
      <w:r w:rsidR="0076036C">
        <w:rPr>
          <w:lang w:eastAsia="fr-FR"/>
        </w:rPr>
        <w:t xml:space="preserve">for these two categories </w:t>
      </w:r>
      <w:r w:rsidRPr="002462F0">
        <w:rPr>
          <w:lang w:eastAsia="fr-FR"/>
        </w:rPr>
        <w:t xml:space="preserve">are </w:t>
      </w:r>
      <w:r w:rsidR="0076036C">
        <w:rPr>
          <w:lang w:eastAsia="fr-FR"/>
        </w:rPr>
        <w:t>presented in the following graphs.</w:t>
      </w:r>
    </w:p>
    <w:p w14:paraId="60699562" w14:textId="3F728671" w:rsidR="007B2433" w:rsidRDefault="007B2804" w:rsidP="00D916DB">
      <w:pPr>
        <w:pStyle w:val="BodyText"/>
        <w:rPr>
          <w:lang w:eastAsia="fr-FR"/>
        </w:rPr>
      </w:pPr>
      <w:r>
        <w:rPr>
          <w:lang w:eastAsia="fr-FR"/>
        </w:rPr>
        <w:t xml:space="preserve">For the </w:t>
      </w:r>
      <w:r w:rsidR="00B60892">
        <w:rPr>
          <w:lang w:eastAsia="fr-FR"/>
        </w:rPr>
        <w:t xml:space="preserve">CRT 5D1, after a sudden decline in </w:t>
      </w:r>
      <w:r w:rsidR="00866E1D">
        <w:rPr>
          <w:lang w:eastAsia="fr-FR"/>
        </w:rPr>
        <w:t>1991 (-</w:t>
      </w:r>
      <w:r w:rsidR="009F12C7">
        <w:rPr>
          <w:lang w:eastAsia="fr-FR"/>
        </w:rPr>
        <w:t xml:space="preserve">20% compared with 1990), </w:t>
      </w:r>
      <w:r w:rsidR="00DB0C87">
        <w:rPr>
          <w:lang w:eastAsia="fr-FR"/>
        </w:rPr>
        <w:t>for both CH</w:t>
      </w:r>
      <w:r w:rsidR="00DB0C87" w:rsidRPr="00622F40">
        <w:rPr>
          <w:vertAlign w:val="subscript"/>
          <w:lang w:eastAsia="fr-FR"/>
        </w:rPr>
        <w:t>4</w:t>
      </w:r>
      <w:r w:rsidR="00DB0C87">
        <w:rPr>
          <w:lang w:eastAsia="fr-FR"/>
        </w:rPr>
        <w:t xml:space="preserve"> and N</w:t>
      </w:r>
      <w:r w:rsidR="00DB0C87" w:rsidRPr="00622F40">
        <w:rPr>
          <w:vertAlign w:val="subscript"/>
          <w:lang w:eastAsia="fr-FR"/>
        </w:rPr>
        <w:t>2</w:t>
      </w:r>
      <w:r w:rsidR="00DB0C87">
        <w:rPr>
          <w:lang w:eastAsia="fr-FR"/>
        </w:rPr>
        <w:t xml:space="preserve">O, </w:t>
      </w:r>
      <w:r w:rsidR="009F12C7">
        <w:rPr>
          <w:lang w:eastAsia="fr-FR"/>
        </w:rPr>
        <w:t xml:space="preserve">the </w:t>
      </w:r>
      <w:r w:rsidR="00DB0C87">
        <w:rPr>
          <w:lang w:eastAsia="fr-FR"/>
        </w:rPr>
        <w:t xml:space="preserve">GHG </w:t>
      </w:r>
      <w:r w:rsidR="009F12C7">
        <w:rPr>
          <w:lang w:eastAsia="fr-FR"/>
        </w:rPr>
        <w:t xml:space="preserve">emissions </w:t>
      </w:r>
      <w:r w:rsidR="00DB0C87">
        <w:rPr>
          <w:lang w:eastAsia="fr-FR"/>
        </w:rPr>
        <w:t xml:space="preserve">from </w:t>
      </w:r>
      <w:r w:rsidR="00936128">
        <w:rPr>
          <w:lang w:eastAsia="fr-FR"/>
        </w:rPr>
        <w:t xml:space="preserve">domestic industrial wastewater treatment and discharge are rather stable </w:t>
      </w:r>
      <w:r w:rsidR="0071145A">
        <w:rPr>
          <w:lang w:eastAsia="fr-FR"/>
        </w:rPr>
        <w:t xml:space="preserve">until 1998, before slowly but progressively declining up to 2022. </w:t>
      </w:r>
      <w:r w:rsidR="00C1326D">
        <w:rPr>
          <w:lang w:eastAsia="fr-FR"/>
        </w:rPr>
        <w:t xml:space="preserve">The GHG emissions actually follow exactly the population trend </w:t>
      </w:r>
      <w:r w:rsidR="0060595A">
        <w:rPr>
          <w:lang w:eastAsia="fr-FR"/>
        </w:rPr>
        <w:t xml:space="preserve">as all other parameters are taken as constant over the timeseries </w:t>
      </w:r>
      <w:r w:rsidR="00C1326D">
        <w:rPr>
          <w:lang w:eastAsia="fr-FR"/>
        </w:rPr>
        <w:t xml:space="preserve">(see chapter </w:t>
      </w:r>
      <w:r w:rsidR="00C1326D">
        <w:rPr>
          <w:lang w:eastAsia="fr-FR"/>
        </w:rPr>
        <w:fldChar w:fldCharType="begin"/>
      </w:r>
      <w:r w:rsidR="00C1326D">
        <w:rPr>
          <w:lang w:eastAsia="fr-FR"/>
        </w:rPr>
        <w:instrText xml:space="preserve"> REF _Ref179995687 \r \h </w:instrText>
      </w:r>
      <w:r w:rsidR="00C1326D">
        <w:rPr>
          <w:lang w:eastAsia="fr-FR"/>
        </w:rPr>
      </w:r>
      <w:r w:rsidR="00C1326D">
        <w:rPr>
          <w:lang w:eastAsia="fr-FR"/>
        </w:rPr>
        <w:fldChar w:fldCharType="separate"/>
      </w:r>
      <w:r w:rsidR="00F14C78">
        <w:rPr>
          <w:lang w:eastAsia="fr-FR"/>
        </w:rPr>
        <w:t>7.3.2.1</w:t>
      </w:r>
      <w:r w:rsidR="00C1326D">
        <w:rPr>
          <w:lang w:eastAsia="fr-FR"/>
        </w:rPr>
        <w:fldChar w:fldCharType="end"/>
      </w:r>
      <w:r w:rsidR="00C1326D">
        <w:rPr>
          <w:lang w:eastAsia="fr-FR"/>
        </w:rPr>
        <w:t xml:space="preserve"> for the emission methodology). </w:t>
      </w:r>
      <w:r w:rsidR="0071145A">
        <w:rPr>
          <w:lang w:eastAsia="fr-FR"/>
        </w:rPr>
        <w:t xml:space="preserve">Overall, a total GHG emission reduction of 32% is achieved in 2022, compared with 1990 emission levels. </w:t>
      </w:r>
    </w:p>
    <w:p w14:paraId="13B7873A" w14:textId="237D7616" w:rsidR="00177F03" w:rsidRDefault="00C1326D" w:rsidP="00B36FD8">
      <w:pPr>
        <w:pStyle w:val="BodyText"/>
        <w:rPr>
          <w:lang w:eastAsia="fr-FR"/>
        </w:rPr>
      </w:pPr>
      <w:r>
        <w:rPr>
          <w:lang w:eastAsia="fr-FR"/>
        </w:rPr>
        <w:t xml:space="preserve">For the CRT 5D2, the methane emissions are proportional to the evolution of the </w:t>
      </w:r>
      <w:r w:rsidR="00BB7E7F">
        <w:rPr>
          <w:lang w:eastAsia="fr-FR"/>
        </w:rPr>
        <w:t>industrial productions</w:t>
      </w:r>
      <w:r w:rsidR="00F64CFE">
        <w:rPr>
          <w:lang w:eastAsia="fr-FR"/>
        </w:rPr>
        <w:t>,</w:t>
      </w:r>
      <w:r w:rsidR="00BB7E7F">
        <w:rPr>
          <w:lang w:eastAsia="fr-FR"/>
        </w:rPr>
        <w:t xml:space="preserve"> </w:t>
      </w:r>
      <w:r w:rsidR="00F64CFE">
        <w:rPr>
          <w:lang w:eastAsia="fr-FR"/>
        </w:rPr>
        <w:t>as well as</w:t>
      </w:r>
      <w:r w:rsidR="00BB7E7F">
        <w:rPr>
          <w:lang w:eastAsia="fr-FR"/>
        </w:rPr>
        <w:t xml:space="preserve"> the </w:t>
      </w:r>
      <w:r w:rsidR="00F64CFE">
        <w:rPr>
          <w:lang w:eastAsia="fr-FR"/>
        </w:rPr>
        <w:t xml:space="preserve">average wastewater generation rate </w:t>
      </w:r>
      <w:r w:rsidR="00725A21">
        <w:rPr>
          <w:lang w:eastAsia="fr-FR"/>
        </w:rPr>
        <w:t xml:space="preserve">and the chemical oxygen demand (COD) </w:t>
      </w:r>
      <w:r w:rsidR="00F64CFE">
        <w:rPr>
          <w:lang w:eastAsia="fr-FR"/>
        </w:rPr>
        <w:t>of each product</w:t>
      </w:r>
      <w:r w:rsidR="00725A21">
        <w:rPr>
          <w:lang w:eastAsia="fr-FR"/>
        </w:rPr>
        <w:t xml:space="preserve">. </w:t>
      </w:r>
      <w:r w:rsidR="00460E79">
        <w:rPr>
          <w:lang w:eastAsia="fr-FR"/>
        </w:rPr>
        <w:t xml:space="preserve">For example, the pulp and paper </w:t>
      </w:r>
      <w:r w:rsidR="00B36FD8">
        <w:rPr>
          <w:lang w:eastAsia="fr-FR"/>
        </w:rPr>
        <w:t xml:space="preserve">industries produce large volumes of wastewater </w:t>
      </w:r>
      <w:r w:rsidR="00FE2FE6">
        <w:rPr>
          <w:lang w:eastAsia="fr-FR"/>
        </w:rPr>
        <w:t>which</w:t>
      </w:r>
      <w:r w:rsidR="00B36FD8">
        <w:rPr>
          <w:lang w:eastAsia="fr-FR"/>
        </w:rPr>
        <w:t xml:space="preserve"> contain high levels of degradable organics</w:t>
      </w:r>
      <w:r w:rsidR="00B36FD8" w:rsidDel="00B36FD8">
        <w:rPr>
          <w:lang w:eastAsia="fr-FR"/>
        </w:rPr>
        <w:t xml:space="preserve"> </w:t>
      </w:r>
      <w:r w:rsidR="00DE3B80">
        <w:rPr>
          <w:lang w:eastAsia="fr-FR"/>
        </w:rPr>
        <w:t>(1,458 kg COD/t product)</w:t>
      </w:r>
      <w:r w:rsidR="00E6144D">
        <w:rPr>
          <w:lang w:eastAsia="fr-FR"/>
        </w:rPr>
        <w:t xml:space="preserve">, whereas </w:t>
      </w:r>
      <w:r w:rsidR="000066F0">
        <w:rPr>
          <w:lang w:eastAsia="fr-FR"/>
        </w:rPr>
        <w:t xml:space="preserve">other products have a much lower </w:t>
      </w:r>
      <w:r w:rsidR="00F809B7">
        <w:rPr>
          <w:lang w:eastAsia="fr-FR"/>
        </w:rPr>
        <w:t>COD</w:t>
      </w:r>
      <w:r w:rsidR="000066F0">
        <w:rPr>
          <w:lang w:eastAsia="fr-FR"/>
        </w:rPr>
        <w:t xml:space="preserve"> production rate,</w:t>
      </w:r>
      <w:r w:rsidR="000066F0" w:rsidRPr="000066F0">
        <w:rPr>
          <w:lang w:eastAsia="fr-FR"/>
        </w:rPr>
        <w:t xml:space="preserve"> </w:t>
      </w:r>
      <w:r w:rsidR="000066F0">
        <w:rPr>
          <w:lang w:eastAsia="fr-FR"/>
        </w:rPr>
        <w:t>such as meat and poultry</w:t>
      </w:r>
      <w:r w:rsidR="00F369F4">
        <w:rPr>
          <w:lang w:eastAsia="fr-FR"/>
        </w:rPr>
        <w:t xml:space="preserve"> (</w:t>
      </w:r>
      <w:r w:rsidR="00676E54">
        <w:rPr>
          <w:lang w:eastAsia="fr-FR"/>
        </w:rPr>
        <w:t>53 kg COD/t product)</w:t>
      </w:r>
      <w:r w:rsidR="008B5F55">
        <w:rPr>
          <w:lang w:eastAsia="fr-FR"/>
        </w:rPr>
        <w:t xml:space="preserve">. </w:t>
      </w:r>
      <w:r w:rsidR="00676E54">
        <w:rPr>
          <w:lang w:eastAsia="fr-FR"/>
        </w:rPr>
        <w:t xml:space="preserve">However, </w:t>
      </w:r>
      <w:r w:rsidR="00B7261D">
        <w:rPr>
          <w:lang w:eastAsia="fr-FR"/>
        </w:rPr>
        <w:t>depending on the</w:t>
      </w:r>
      <w:r w:rsidR="003A7D8A">
        <w:rPr>
          <w:lang w:eastAsia="fr-FR"/>
        </w:rPr>
        <w:t>ir</w:t>
      </w:r>
      <w:r w:rsidR="00B7261D">
        <w:rPr>
          <w:lang w:eastAsia="fr-FR"/>
        </w:rPr>
        <w:t xml:space="preserve"> production</w:t>
      </w:r>
      <w:r w:rsidR="003A7D8A">
        <w:rPr>
          <w:lang w:eastAsia="fr-FR"/>
        </w:rPr>
        <w:t xml:space="preserve">, the different products have </w:t>
      </w:r>
      <w:r w:rsidR="00A10522">
        <w:rPr>
          <w:lang w:eastAsia="fr-FR"/>
        </w:rPr>
        <w:t>various</w:t>
      </w:r>
      <w:r w:rsidR="003A7D8A">
        <w:rPr>
          <w:lang w:eastAsia="fr-FR"/>
        </w:rPr>
        <w:t xml:space="preserve"> impact</w:t>
      </w:r>
      <w:r w:rsidR="00A10522">
        <w:rPr>
          <w:lang w:eastAsia="fr-FR"/>
        </w:rPr>
        <w:t>s</w:t>
      </w:r>
      <w:r w:rsidR="003A7D8A">
        <w:rPr>
          <w:lang w:eastAsia="fr-FR"/>
        </w:rPr>
        <w:t xml:space="preserve"> on the emissions from the </w:t>
      </w:r>
      <w:r w:rsidR="00A10522">
        <w:rPr>
          <w:lang w:eastAsia="fr-FR"/>
        </w:rPr>
        <w:t xml:space="preserve">industrial wastewater treatment and discharge. Indeed, </w:t>
      </w:r>
      <w:r w:rsidR="005B641A">
        <w:rPr>
          <w:lang w:eastAsia="fr-FR"/>
        </w:rPr>
        <w:t xml:space="preserve">as all the industrial wastewater is considered to be directly </w:t>
      </w:r>
      <w:r w:rsidR="00BE4CB3">
        <w:rPr>
          <w:lang w:eastAsia="fr-FR"/>
        </w:rPr>
        <w:t>discharged, no matter the product</w:t>
      </w:r>
      <w:r w:rsidR="004A2193">
        <w:rPr>
          <w:lang w:eastAsia="fr-FR"/>
        </w:rPr>
        <w:t xml:space="preserve">, </w:t>
      </w:r>
      <w:r w:rsidR="003F5DFB">
        <w:rPr>
          <w:lang w:eastAsia="fr-FR"/>
        </w:rPr>
        <w:t xml:space="preserve">the emission are directly proportional </w:t>
      </w:r>
      <w:r w:rsidR="00040009">
        <w:rPr>
          <w:lang w:eastAsia="fr-FR"/>
        </w:rPr>
        <w:t xml:space="preserve">to the total chemical oxygen demand </w:t>
      </w:r>
      <w:r w:rsidR="00D20BD1">
        <w:rPr>
          <w:lang w:eastAsia="fr-FR"/>
        </w:rPr>
        <w:t>aggregated among the</w:t>
      </w:r>
      <w:r w:rsidR="00040009">
        <w:rPr>
          <w:lang w:eastAsia="fr-FR"/>
        </w:rPr>
        <w:t xml:space="preserve"> </w:t>
      </w:r>
      <w:r w:rsidR="00D20BD1">
        <w:rPr>
          <w:lang w:eastAsia="fr-FR"/>
        </w:rPr>
        <w:t>different productions</w:t>
      </w:r>
      <w:r w:rsidR="00040009">
        <w:rPr>
          <w:lang w:eastAsia="fr-FR"/>
        </w:rPr>
        <w:t xml:space="preserve">. </w:t>
      </w:r>
      <w:r w:rsidR="00D20BD1">
        <w:rPr>
          <w:lang w:eastAsia="fr-FR"/>
        </w:rPr>
        <w:t xml:space="preserve">In 1990, </w:t>
      </w:r>
      <w:r w:rsidR="007B1147">
        <w:rPr>
          <w:lang w:eastAsia="fr-FR"/>
        </w:rPr>
        <w:t xml:space="preserve">organic chemicals were responsible for more than half the emissions from the CRT 5D2, </w:t>
      </w:r>
      <w:r w:rsidR="00177F03">
        <w:rPr>
          <w:lang w:eastAsia="fr-FR"/>
        </w:rPr>
        <w:t xml:space="preserve">and </w:t>
      </w:r>
      <w:r w:rsidR="008C7D93">
        <w:rPr>
          <w:lang w:eastAsia="fr-FR"/>
        </w:rPr>
        <w:t xml:space="preserve">after </w:t>
      </w:r>
      <w:r w:rsidR="00177F03">
        <w:rPr>
          <w:lang w:eastAsia="fr-FR"/>
        </w:rPr>
        <w:t xml:space="preserve">the emission trend follows </w:t>
      </w:r>
      <w:r w:rsidR="008C7D93">
        <w:rPr>
          <w:lang w:eastAsia="fr-FR"/>
        </w:rPr>
        <w:t xml:space="preserve">closely </w:t>
      </w:r>
      <w:r w:rsidR="00177F03">
        <w:rPr>
          <w:lang w:eastAsia="fr-FR"/>
        </w:rPr>
        <w:t>the evolution of this production</w:t>
      </w:r>
      <w:r w:rsidR="008C7D93">
        <w:rPr>
          <w:lang w:eastAsia="fr-FR"/>
        </w:rPr>
        <w:t xml:space="preserve">, the other productions </w:t>
      </w:r>
      <w:r w:rsidR="003F6315">
        <w:rPr>
          <w:lang w:eastAsia="fr-FR"/>
        </w:rPr>
        <w:t xml:space="preserve">being less preponderant or more stable (see </w:t>
      </w:r>
      <w:r w:rsidR="003F6315">
        <w:rPr>
          <w:lang w:eastAsia="fr-FR"/>
        </w:rPr>
        <w:fldChar w:fldCharType="begin"/>
      </w:r>
      <w:r w:rsidR="003F6315">
        <w:rPr>
          <w:lang w:eastAsia="fr-FR"/>
        </w:rPr>
        <w:instrText xml:space="preserve"> REF _Ref179995491 \h </w:instrText>
      </w:r>
      <w:r w:rsidR="003F6315">
        <w:rPr>
          <w:lang w:eastAsia="fr-FR"/>
        </w:rPr>
      </w:r>
      <w:r w:rsidR="003F6315">
        <w:rPr>
          <w:lang w:eastAsia="fr-FR"/>
        </w:rPr>
        <w:fldChar w:fldCharType="separate"/>
      </w:r>
      <w:r w:rsidR="00F14C78">
        <w:t xml:space="preserve">Table </w:t>
      </w:r>
      <w:r w:rsidR="00F14C78">
        <w:rPr>
          <w:noProof/>
        </w:rPr>
        <w:t>63</w:t>
      </w:r>
      <w:r w:rsidR="003F6315">
        <w:rPr>
          <w:lang w:eastAsia="fr-FR"/>
        </w:rPr>
        <w:fldChar w:fldCharType="end"/>
      </w:r>
      <w:r w:rsidR="003F6315">
        <w:rPr>
          <w:lang w:eastAsia="fr-FR"/>
        </w:rPr>
        <w:t>)</w:t>
      </w:r>
      <w:r w:rsidR="002D4E12">
        <w:rPr>
          <w:lang w:eastAsia="fr-FR"/>
        </w:rPr>
        <w:t xml:space="preserve">. The figure gives the evolution of the chemical oxygen demand by product type. </w:t>
      </w:r>
      <w:r w:rsidR="00E868B7">
        <w:rPr>
          <w:lang w:eastAsia="fr-FR"/>
        </w:rPr>
        <w:t xml:space="preserve">In 2017, the organic chemical production stopped and thus, the </w:t>
      </w:r>
      <w:r w:rsidR="00ED044B">
        <w:rPr>
          <w:lang w:eastAsia="fr-FR"/>
        </w:rPr>
        <w:t>CH</w:t>
      </w:r>
      <w:r w:rsidR="00ED044B" w:rsidRPr="00622F40">
        <w:rPr>
          <w:vertAlign w:val="subscript"/>
          <w:lang w:eastAsia="fr-FR"/>
        </w:rPr>
        <w:t>4</w:t>
      </w:r>
      <w:r w:rsidR="00E868B7">
        <w:rPr>
          <w:lang w:eastAsia="fr-FR"/>
        </w:rPr>
        <w:t xml:space="preserve"> emissions of industrial wastewater treatment and discharge </w:t>
      </w:r>
      <w:r w:rsidR="00CE6F10">
        <w:rPr>
          <w:lang w:eastAsia="fr-FR"/>
        </w:rPr>
        <w:t>decreased significantly</w:t>
      </w:r>
      <w:r w:rsidR="00E868B7">
        <w:rPr>
          <w:lang w:eastAsia="fr-FR"/>
        </w:rPr>
        <w:t>,</w:t>
      </w:r>
      <w:r w:rsidR="00CE6F10">
        <w:rPr>
          <w:lang w:eastAsia="fr-FR"/>
        </w:rPr>
        <w:t xml:space="preserve"> before being rather stable up to 2022. Overall, the </w:t>
      </w:r>
      <w:r w:rsidR="00ED044B">
        <w:rPr>
          <w:lang w:eastAsia="fr-FR"/>
        </w:rPr>
        <w:t>methane</w:t>
      </w:r>
      <w:r w:rsidR="00CE6F10">
        <w:rPr>
          <w:lang w:eastAsia="fr-FR"/>
        </w:rPr>
        <w:t xml:space="preserve"> emissions from this category have been reduced by </w:t>
      </w:r>
      <w:r w:rsidR="00ED044B">
        <w:rPr>
          <w:lang w:eastAsia="fr-FR"/>
        </w:rPr>
        <w:t>61% for the period 1990-2022.</w:t>
      </w:r>
    </w:p>
    <w:p w14:paraId="5F07786E" w14:textId="66BFCE5C" w:rsidR="007B2433" w:rsidRDefault="00FD15F9" w:rsidP="00564020">
      <w:pPr>
        <w:autoSpaceDE w:val="0"/>
        <w:autoSpaceDN w:val="0"/>
        <w:adjustRightInd w:val="0"/>
        <w:spacing w:after="0" w:line="240" w:lineRule="auto"/>
        <w:jc w:val="left"/>
        <w:rPr>
          <w:sz w:val="22"/>
          <w:lang w:eastAsia="fr-FR"/>
        </w:rPr>
      </w:pPr>
      <w:r>
        <w:rPr>
          <w:noProof/>
          <w:sz w:val="22"/>
          <w:lang w:val="en-US"/>
        </w:rPr>
        <w:lastRenderedPageBreak/>
        <w:drawing>
          <wp:inline distT="0" distB="0" distL="0" distR="0" wp14:anchorId="5F7091D4" wp14:editId="0AA6CDD0">
            <wp:extent cx="5760000" cy="1753712"/>
            <wp:effectExtent l="0" t="0" r="0" b="0"/>
            <wp:docPr id="18142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68DA2AE1" w14:textId="3B2F4815" w:rsidR="00564020" w:rsidRPr="002462F0" w:rsidRDefault="00564020" w:rsidP="00564020">
      <w:pPr>
        <w:pStyle w:val="Caption"/>
        <w:spacing w:before="0"/>
        <w:jc w:val="left"/>
        <w:rPr>
          <w:sz w:val="22"/>
          <w:lang w:eastAsia="fr-FR"/>
        </w:rPr>
      </w:pPr>
      <w:bookmarkStart w:id="1166" w:name="_Hlk496109814"/>
      <w:bookmarkStart w:id="1167" w:name="_Toc184808539"/>
      <w:r w:rsidRPr="00622F40">
        <w:t xml:space="preserve">Figure </w:t>
      </w:r>
      <w:r w:rsidRPr="00622F40">
        <w:fldChar w:fldCharType="begin"/>
      </w:r>
      <w:r w:rsidRPr="00622F40">
        <w:instrText xml:space="preserve"> SEQ Figure \* ARABIC </w:instrText>
      </w:r>
      <w:r w:rsidRPr="00622F40">
        <w:fldChar w:fldCharType="separate"/>
      </w:r>
      <w:r>
        <w:rPr>
          <w:noProof/>
        </w:rPr>
        <w:t>152</w:t>
      </w:r>
      <w:r w:rsidRPr="00622F40">
        <w:fldChar w:fldCharType="end"/>
      </w:r>
      <w:r w:rsidRPr="00622F40">
        <w:t xml:space="preserve">: </w:t>
      </w:r>
      <w:bookmarkEnd w:id="1166"/>
      <w:r w:rsidRPr="00622F40">
        <w:t xml:space="preserve">GHG emissions for </w:t>
      </w:r>
      <w:r>
        <w:t xml:space="preserve">domestic </w:t>
      </w:r>
      <w:r w:rsidRPr="00622F40">
        <w:t>wastewater treatment and discharge</w:t>
      </w:r>
      <w:r>
        <w:t xml:space="preserve"> (CRT 5.D.1)</w:t>
      </w:r>
      <w:r w:rsidRPr="00622F40">
        <w:t xml:space="preserve"> (kt CO</w:t>
      </w:r>
      <w:r w:rsidRPr="00622F40">
        <w:rPr>
          <w:vertAlign w:val="subscript"/>
        </w:rPr>
        <w:t>2</w:t>
      </w:r>
      <w:r w:rsidRPr="00622F40">
        <w:t>e)</w:t>
      </w:r>
      <w:bookmarkEnd w:id="1167"/>
    </w:p>
    <w:p w14:paraId="42830EB0" w14:textId="24B55787" w:rsidR="00FD15F9" w:rsidRDefault="00922BEB" w:rsidP="00564020">
      <w:pPr>
        <w:autoSpaceDE w:val="0"/>
        <w:autoSpaceDN w:val="0"/>
        <w:adjustRightInd w:val="0"/>
        <w:spacing w:after="0" w:line="240" w:lineRule="auto"/>
        <w:jc w:val="left"/>
        <w:rPr>
          <w:sz w:val="22"/>
          <w:lang w:eastAsia="fr-FR"/>
        </w:rPr>
      </w:pPr>
      <w:r>
        <w:rPr>
          <w:noProof/>
          <w:sz w:val="22"/>
          <w:lang w:val="en-US"/>
        </w:rPr>
        <w:drawing>
          <wp:inline distT="0" distB="0" distL="0" distR="0" wp14:anchorId="086E3925" wp14:editId="34646A69">
            <wp:extent cx="5760000" cy="1753712"/>
            <wp:effectExtent l="0" t="0" r="0" b="0"/>
            <wp:docPr id="617222579"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60000" cy="1753712"/>
                    </a:xfrm>
                    <a:prstGeom prst="rect">
                      <a:avLst/>
                    </a:prstGeom>
                    <a:noFill/>
                  </pic:spPr>
                </pic:pic>
              </a:graphicData>
            </a:graphic>
          </wp:inline>
        </w:drawing>
      </w:r>
    </w:p>
    <w:p w14:paraId="23A08FBC" w14:textId="7C599B2A" w:rsidR="00564020" w:rsidRPr="00564020" w:rsidRDefault="00564020" w:rsidP="00564020">
      <w:pPr>
        <w:pStyle w:val="Caption"/>
        <w:spacing w:before="0"/>
        <w:jc w:val="left"/>
      </w:pPr>
      <w:bookmarkStart w:id="1168" w:name="_Toc184808540"/>
      <w:r w:rsidRPr="00B75289">
        <w:t xml:space="preserve">Figure </w:t>
      </w:r>
      <w:r w:rsidRPr="00B75289">
        <w:fldChar w:fldCharType="begin"/>
      </w:r>
      <w:r w:rsidRPr="00B75289">
        <w:instrText xml:space="preserve"> SEQ Figure \* ARABIC </w:instrText>
      </w:r>
      <w:r w:rsidRPr="00B75289">
        <w:fldChar w:fldCharType="separate"/>
      </w:r>
      <w:r>
        <w:t>153</w:t>
      </w:r>
      <w:r w:rsidRPr="00B75289">
        <w:fldChar w:fldCharType="end"/>
      </w:r>
      <w:r w:rsidRPr="00B75289">
        <w:t xml:space="preserve">: GHG emissions for </w:t>
      </w:r>
      <w:r>
        <w:t xml:space="preserve">industrial </w:t>
      </w:r>
      <w:r w:rsidRPr="00B75289">
        <w:t>wastewater treatment and discharge</w:t>
      </w:r>
      <w:r>
        <w:t xml:space="preserve"> (CRT 5.D.2)</w:t>
      </w:r>
      <w:r w:rsidRPr="00B75289">
        <w:t xml:space="preserve"> (kt CO</w:t>
      </w:r>
      <w:r w:rsidRPr="00564020">
        <w:rPr>
          <w:vertAlign w:val="subscript"/>
        </w:rPr>
        <w:t>2</w:t>
      </w:r>
      <w:r w:rsidRPr="00B75289">
        <w:t>e)</w:t>
      </w:r>
      <w:bookmarkEnd w:id="1168"/>
    </w:p>
    <w:p w14:paraId="7D4A9962" w14:textId="05C71728" w:rsidR="002D4E12" w:rsidRDefault="00757AE4" w:rsidP="00564020">
      <w:pPr>
        <w:autoSpaceDE w:val="0"/>
        <w:autoSpaceDN w:val="0"/>
        <w:adjustRightInd w:val="0"/>
        <w:spacing w:after="0" w:line="240" w:lineRule="auto"/>
        <w:jc w:val="left"/>
        <w:rPr>
          <w:sz w:val="22"/>
          <w:lang w:eastAsia="fr-FR"/>
        </w:rPr>
      </w:pPr>
      <w:r>
        <w:rPr>
          <w:noProof/>
          <w:sz w:val="22"/>
          <w:lang w:val="en-US"/>
        </w:rPr>
        <w:drawing>
          <wp:inline distT="0" distB="0" distL="0" distR="0" wp14:anchorId="2F494F57" wp14:editId="7DCA295C">
            <wp:extent cx="5760000" cy="3508999"/>
            <wp:effectExtent l="0" t="0" r="0" b="0"/>
            <wp:docPr id="1138574476"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60000" cy="3508999"/>
                    </a:xfrm>
                    <a:prstGeom prst="rect">
                      <a:avLst/>
                    </a:prstGeom>
                    <a:noFill/>
                  </pic:spPr>
                </pic:pic>
              </a:graphicData>
            </a:graphic>
          </wp:inline>
        </w:drawing>
      </w:r>
    </w:p>
    <w:p w14:paraId="03FA740F" w14:textId="1267D15F" w:rsidR="00564020" w:rsidRPr="002462F0" w:rsidRDefault="00564020" w:rsidP="00564020">
      <w:pPr>
        <w:pStyle w:val="Caption"/>
        <w:spacing w:before="0" w:after="0"/>
        <w:jc w:val="left"/>
        <w:rPr>
          <w:sz w:val="22"/>
          <w:lang w:eastAsia="fr-FR"/>
        </w:rPr>
      </w:pPr>
      <w:bookmarkStart w:id="1169" w:name="_Toc184808541"/>
      <w:r w:rsidRPr="00B75289">
        <w:t xml:space="preserve">Figure </w:t>
      </w:r>
      <w:r w:rsidRPr="00B75289">
        <w:fldChar w:fldCharType="begin"/>
      </w:r>
      <w:r w:rsidRPr="00B75289">
        <w:instrText xml:space="preserve"> SEQ Figure \* ARABIC </w:instrText>
      </w:r>
      <w:r w:rsidRPr="00B75289">
        <w:fldChar w:fldCharType="separate"/>
      </w:r>
      <w:r>
        <w:rPr>
          <w:noProof/>
        </w:rPr>
        <w:t>154</w:t>
      </w:r>
      <w:r w:rsidRPr="00B75289">
        <w:fldChar w:fldCharType="end"/>
      </w:r>
      <w:r w:rsidRPr="00B75289">
        <w:t xml:space="preserve">: </w:t>
      </w:r>
      <w:r>
        <w:t>Evolution of the COD for industrial wastewater, depending on the product type (CRT 5.D.2)</w:t>
      </w:r>
      <w:r w:rsidRPr="00B75289">
        <w:t xml:space="preserve"> (</w:t>
      </w:r>
      <w:r>
        <w:t>in t</w:t>
      </w:r>
      <w:r w:rsidRPr="00B75289">
        <w:t>)</w:t>
      </w:r>
      <w:bookmarkEnd w:id="1169"/>
    </w:p>
    <w:p w14:paraId="46F6C543" w14:textId="77777777" w:rsidR="00564020" w:rsidRPr="002462F0" w:rsidRDefault="00564020" w:rsidP="007B2433">
      <w:pPr>
        <w:autoSpaceDE w:val="0"/>
        <w:autoSpaceDN w:val="0"/>
        <w:adjustRightInd w:val="0"/>
        <w:spacing w:after="0" w:line="240" w:lineRule="auto"/>
        <w:jc w:val="left"/>
        <w:rPr>
          <w:sz w:val="22"/>
          <w:lang w:eastAsia="fr-FR"/>
        </w:rPr>
      </w:pPr>
    </w:p>
    <w:p w14:paraId="3CA40ED8" w14:textId="77777777" w:rsidR="007B2433" w:rsidRPr="002462F0" w:rsidRDefault="007B2433" w:rsidP="007B2433">
      <w:pPr>
        <w:pStyle w:val="Heading3"/>
        <w:ind w:left="1430"/>
        <w:rPr>
          <w:lang w:val="en-GB" w:eastAsia="fr-FR"/>
        </w:rPr>
      </w:pPr>
      <w:bookmarkStart w:id="1170" w:name="_Toc495655071"/>
      <w:bookmarkStart w:id="1171" w:name="_Toc182328119"/>
      <w:bookmarkStart w:id="1172" w:name="_Toc184808364"/>
      <w:r w:rsidRPr="002462F0">
        <w:rPr>
          <w:lang w:val="en-GB" w:eastAsia="fr-FR"/>
        </w:rPr>
        <w:t>Methodological issues</w:t>
      </w:r>
      <w:bookmarkEnd w:id="1170"/>
      <w:bookmarkEnd w:id="1171"/>
      <w:bookmarkEnd w:id="1172"/>
      <w:r w:rsidRPr="002462F0">
        <w:rPr>
          <w:lang w:val="en-GB" w:eastAsia="fr-FR"/>
        </w:rPr>
        <w:t xml:space="preserve"> </w:t>
      </w:r>
    </w:p>
    <w:p w14:paraId="7CDA4A1C" w14:textId="311CEA7F" w:rsidR="007B2433" w:rsidRPr="002462F0" w:rsidRDefault="007B2433" w:rsidP="00D916DB">
      <w:pPr>
        <w:pStyle w:val="BodyText"/>
        <w:rPr>
          <w:lang w:eastAsia="fr-FR"/>
        </w:rPr>
      </w:pPr>
      <w:r w:rsidRPr="002462F0">
        <w:rPr>
          <w:lang w:eastAsia="fr-FR"/>
        </w:rPr>
        <w:t>A Tier 1 methodology recommended by the 2006 IPCC Guidelines is applied to estimate CH</w:t>
      </w:r>
      <w:r w:rsidRPr="002462F0">
        <w:rPr>
          <w:vertAlign w:val="subscript"/>
          <w:lang w:eastAsia="fr-FR"/>
        </w:rPr>
        <w:t>4</w:t>
      </w:r>
      <w:r w:rsidRPr="002462F0">
        <w:rPr>
          <w:lang w:eastAsia="fr-FR"/>
        </w:rPr>
        <w:t xml:space="preserve"> and N</w:t>
      </w:r>
      <w:r w:rsidRPr="002462F0">
        <w:rPr>
          <w:vertAlign w:val="subscript"/>
          <w:lang w:eastAsia="fr-FR"/>
        </w:rPr>
        <w:t>2</w:t>
      </w:r>
      <w:r w:rsidRPr="002462F0">
        <w:rPr>
          <w:lang w:eastAsia="fr-FR"/>
        </w:rPr>
        <w:t>0 emissions from domestic and industrial wastewater treatment and discharge.</w:t>
      </w:r>
    </w:p>
    <w:p w14:paraId="5D5A059D" w14:textId="77777777" w:rsidR="007B2433" w:rsidRPr="002462F0" w:rsidRDefault="007B2433" w:rsidP="007B2433">
      <w:pPr>
        <w:pStyle w:val="Titre4Bleu"/>
        <w:rPr>
          <w:lang w:val="en-GB" w:eastAsia="fr-FR"/>
        </w:rPr>
      </w:pPr>
      <w:bookmarkStart w:id="1173" w:name="_Ref179995687"/>
      <w:bookmarkStart w:id="1174" w:name="_Toc182328120"/>
      <w:r w:rsidRPr="002462F0">
        <w:rPr>
          <w:lang w:val="en-GB" w:eastAsia="fr-FR"/>
        </w:rPr>
        <w:lastRenderedPageBreak/>
        <w:t>Domestic wastewaters (DWW)</w:t>
      </w:r>
      <w:bookmarkEnd w:id="1173"/>
      <w:bookmarkEnd w:id="1174"/>
    </w:p>
    <w:p w14:paraId="6196322C" w14:textId="77777777" w:rsidR="007B2433" w:rsidRPr="002462F0" w:rsidRDefault="007B2433" w:rsidP="007B2433">
      <w:pPr>
        <w:pStyle w:val="Heading5"/>
        <w:rPr>
          <w:lang w:eastAsia="fr-FR"/>
        </w:rPr>
      </w:pPr>
      <w:bookmarkStart w:id="1175" w:name="_Toc182328121"/>
      <w:r w:rsidRPr="002462F0">
        <w:rPr>
          <w:lang w:eastAsia="fr-FR"/>
        </w:rPr>
        <w:t>CH</w:t>
      </w:r>
      <w:r w:rsidRPr="002462F0">
        <w:rPr>
          <w:vertAlign w:val="subscript"/>
          <w:lang w:eastAsia="fr-FR"/>
        </w:rPr>
        <w:t>4</w:t>
      </w:r>
      <w:r w:rsidRPr="002462F0">
        <w:rPr>
          <w:lang w:eastAsia="fr-FR"/>
        </w:rPr>
        <w:t xml:space="preserve"> emissions</w:t>
      </w:r>
      <w:bookmarkEnd w:id="1175"/>
    </w:p>
    <w:p w14:paraId="5A0FAF87" w14:textId="77777777" w:rsidR="007B2433" w:rsidRPr="002462F0" w:rsidRDefault="007B2433" w:rsidP="00D916DB">
      <w:pPr>
        <w:pStyle w:val="BodyText"/>
        <w:rPr>
          <w:lang w:eastAsia="fr-FR"/>
        </w:rPr>
      </w:pPr>
      <w:r w:rsidRPr="002462F0">
        <w:rPr>
          <w:lang w:eastAsia="fr-FR"/>
        </w:rPr>
        <w:t>The treatment systems and discharge pathways presented in Figure 6.1 of the 2006 IPCC Guidelines have been adapted to national circumstances.</w:t>
      </w:r>
    </w:p>
    <w:p w14:paraId="69E1AD01" w14:textId="77777777" w:rsidR="007B2433" w:rsidRPr="002462F0" w:rsidRDefault="007B2433" w:rsidP="007B2433">
      <w:pPr>
        <w:rPr>
          <w:lang w:eastAsia="fr-FR"/>
        </w:rPr>
      </w:pPr>
    </w:p>
    <w:p w14:paraId="11B6E7BE" w14:textId="2F2DDE89" w:rsidR="007B2433" w:rsidRPr="002462F0" w:rsidRDefault="00E13FD9" w:rsidP="007B2433">
      <w:pPr>
        <w:rPr>
          <w:lang w:eastAsia="fr-FR"/>
        </w:rPr>
      </w:pPr>
      <w:r w:rsidRPr="002462F0">
        <w:rPr>
          <w:noProof/>
          <w:lang w:val="en-US"/>
        </w:rPr>
        <mc:AlternateContent>
          <mc:Choice Requires="wps">
            <w:drawing>
              <wp:anchor distT="0" distB="0" distL="114300" distR="114300" simplePos="0" relativeHeight="251658251" behindDoc="0" locked="0" layoutInCell="1" allowOverlap="1" wp14:anchorId="0C35B768" wp14:editId="53EEB0A7">
                <wp:simplePos x="0" y="0"/>
                <wp:positionH relativeFrom="margin">
                  <wp:posOffset>1911863</wp:posOffset>
                </wp:positionH>
                <wp:positionV relativeFrom="paragraph">
                  <wp:posOffset>3201175</wp:posOffset>
                </wp:positionV>
                <wp:extent cx="2259965" cy="298280"/>
                <wp:effectExtent l="0" t="0" r="6985" b="6985"/>
                <wp:wrapNone/>
                <wp:docPr id="129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298280"/>
                        </a:xfrm>
                        <a:prstGeom prst="rect">
                          <a:avLst/>
                        </a:prstGeom>
                        <a:solidFill>
                          <a:srgbClr val="FFFFFF"/>
                        </a:solidFill>
                        <a:ln w="9525">
                          <a:noFill/>
                          <a:miter lim="800000"/>
                          <a:headEnd/>
                          <a:tailEnd/>
                        </a:ln>
                      </wps:spPr>
                      <wps:txbx>
                        <w:txbxContent>
                          <w:p w14:paraId="654300CE" w14:textId="06FBDE39" w:rsidR="0071559E" w:rsidRPr="002E35EC" w:rsidRDefault="0071559E" w:rsidP="00E13FD9">
                            <w:pPr>
                              <w:jc w:val="center"/>
                              <w:rPr>
                                <w:color w:val="0070C0"/>
                              </w:rPr>
                            </w:pPr>
                            <w:r>
                              <w:rPr>
                                <w:color w:val="0070C0"/>
                              </w:rPr>
                              <w:t xml:space="preserve">Urban areas           </w:t>
                            </w:r>
                            <w:r>
                              <w:rPr>
                                <w:color w:val="00B050"/>
                              </w:rPr>
                              <w:t>Rural areas</w:t>
                            </w:r>
                          </w:p>
                        </w:txbxContent>
                      </wps:txbx>
                      <wps:bodyPr rot="0" vert="horz" wrap="square" lIns="91440" tIns="81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35B768" id="_x0000_t202" coordsize="21600,21600" o:spt="202" path="m,l,21600r21600,l21600,xe">
                <v:stroke joinstyle="miter"/>
                <v:path gradientshapeok="t" o:connecttype="rect"/>
              </v:shapetype>
              <v:shape id="Text Box 69" o:spid="_x0000_s1026" type="#_x0000_t202" style="position:absolute;left:0;text-align:left;margin-left:150.55pt;margin-top:252.05pt;width:177.95pt;height:2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" stroked="f">
                <v:textbox inset=",2.27mm">
                  <w:txbxContent>
                    <w:p w14:paraId="654300CE" w14:textId="06FBDE39" w:rsidR="0071559E" w:rsidRPr="002E35EC" w:rsidRDefault="0071559E" w:rsidP="00E13FD9">
                      <w:pPr>
                        <w:jc w:val="center"/>
                        <w:rPr>
                          <w:color w:val="0070C0"/>
                        </w:rPr>
                      </w:pPr>
                      <w:r>
                        <w:rPr>
                          <w:color w:val="0070C0"/>
                        </w:rPr>
                        <w:t xml:space="preserve">Urban areas           </w:t>
                      </w:r>
                      <w:r>
                        <w:rPr>
                          <w:color w:val="00B050"/>
                        </w:rPr>
                        <w:t>Rural areas</w:t>
                      </w:r>
                    </w:p>
                  </w:txbxContent>
                </v:textbox>
                <w10:wrap anchorx="margin"/>
              </v:shape>
            </w:pict>
          </mc:Fallback>
        </mc:AlternateContent>
      </w:r>
      <w:r w:rsidR="00564020" w:rsidRPr="00564020">
        <w:rPr>
          <w:noProof/>
          <w:lang w:val="en-US"/>
        </w:rPr>
        <w:drawing>
          <wp:inline distT="0" distB="0" distL="0" distR="0" wp14:anchorId="73528152" wp14:editId="51C86F45">
            <wp:extent cx="5760720" cy="3140075"/>
            <wp:effectExtent l="0" t="0" r="0" b="3175"/>
            <wp:docPr id="16596641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60720" cy="3140075"/>
                    </a:xfrm>
                    <a:prstGeom prst="rect">
                      <a:avLst/>
                    </a:prstGeom>
                    <a:noFill/>
                    <a:ln>
                      <a:noFill/>
                    </a:ln>
                  </pic:spPr>
                </pic:pic>
              </a:graphicData>
            </a:graphic>
          </wp:inline>
        </w:drawing>
      </w:r>
    </w:p>
    <w:p w14:paraId="3F37054D" w14:textId="674DCFE8" w:rsidR="007B2433" w:rsidRPr="002462F0" w:rsidRDefault="007B2433" w:rsidP="007B2433">
      <w:pPr>
        <w:rPr>
          <w:lang w:eastAsia="fr-FR"/>
        </w:rPr>
      </w:pPr>
    </w:p>
    <w:p w14:paraId="0D73A70A" w14:textId="3D11493D" w:rsidR="00564020" w:rsidRPr="002462F0" w:rsidRDefault="00564020" w:rsidP="00E13FD9">
      <w:pPr>
        <w:pStyle w:val="Caption"/>
        <w:jc w:val="left"/>
      </w:pPr>
      <w:bookmarkStart w:id="1176" w:name="_Ref179988142"/>
      <w:bookmarkStart w:id="1177" w:name="_Ref179988139"/>
      <w:bookmarkStart w:id="1178" w:name="_Toc184808542"/>
      <w:r w:rsidRPr="002462F0">
        <w:t xml:space="preserve">Figure </w:t>
      </w:r>
      <w:r w:rsidRPr="002462F0">
        <w:fldChar w:fldCharType="begin"/>
      </w:r>
      <w:r w:rsidRPr="002462F0">
        <w:instrText xml:space="preserve"> SEQ Figure \* ARABIC </w:instrText>
      </w:r>
      <w:r w:rsidRPr="002462F0">
        <w:fldChar w:fldCharType="separate"/>
      </w:r>
      <w:r>
        <w:rPr>
          <w:noProof/>
        </w:rPr>
        <w:t>155</w:t>
      </w:r>
      <w:r w:rsidRPr="002462F0">
        <w:fldChar w:fldCharType="end"/>
      </w:r>
      <w:bookmarkEnd w:id="1176"/>
      <w:r w:rsidRPr="002462F0">
        <w:t>: Serbia</w:t>
      </w:r>
      <w:r w:rsidR="00E13FD9">
        <w:t>’s</w:t>
      </w:r>
      <w:r w:rsidRPr="002462F0">
        <w:t xml:space="preserve"> treatment systems and pathways for domestic wastewater</w:t>
      </w:r>
      <w:bookmarkEnd w:id="1177"/>
      <w:bookmarkEnd w:id="1178"/>
    </w:p>
    <w:p w14:paraId="46FB7AC7" w14:textId="77777777" w:rsidR="007B2433" w:rsidRPr="002462F0" w:rsidRDefault="007B2433" w:rsidP="00D916DB">
      <w:pPr>
        <w:pStyle w:val="BodyText"/>
        <w:rPr>
          <w:lang w:eastAsia="fr-FR"/>
        </w:rPr>
      </w:pPr>
      <w:r w:rsidRPr="002462F0">
        <w:rPr>
          <w:lang w:eastAsia="fr-FR"/>
        </w:rPr>
        <w:t>In order to estimate CH</w:t>
      </w:r>
      <w:r w:rsidRPr="002462F0">
        <w:rPr>
          <w:vertAlign w:val="subscript"/>
          <w:lang w:eastAsia="fr-FR"/>
        </w:rPr>
        <w:t>4</w:t>
      </w:r>
      <w:r w:rsidRPr="002462F0">
        <w:rPr>
          <w:lang w:eastAsia="fr-FR"/>
        </w:rPr>
        <w:t xml:space="preserve"> emissions from domestic wastewater treated and discharged, the equation 6.1 of the 2006 IPCC Guidelines is applied.</w:t>
      </w:r>
    </w:p>
    <w:p w14:paraId="3A9664E7" w14:textId="77777777" w:rsidR="007B2433" w:rsidRPr="002462F0" w:rsidRDefault="007B2433" w:rsidP="007B2433">
      <w:pPr>
        <w:pStyle w:val="Heading6"/>
        <w:rPr>
          <w:lang w:eastAsia="fr-FR"/>
        </w:rPr>
      </w:pPr>
      <w:r w:rsidRPr="002462F0">
        <w:rPr>
          <w:lang w:eastAsia="fr-FR"/>
        </w:rPr>
        <w:t>- Total organically degradable material (TOW)</w:t>
      </w:r>
    </w:p>
    <w:p w14:paraId="36A9C22B" w14:textId="77777777" w:rsidR="007B2433" w:rsidRPr="002462F0" w:rsidRDefault="007B2433" w:rsidP="00D916DB">
      <w:pPr>
        <w:pStyle w:val="BodyText"/>
        <w:rPr>
          <w:lang w:eastAsia="fr-FR"/>
        </w:rPr>
      </w:pPr>
      <w:r w:rsidRPr="002462F0">
        <w:rPr>
          <w:lang w:eastAsia="fr-FR"/>
        </w:rPr>
        <w:t>TOW in domestic wastewater is estimated using the equation 6.3 of the 2006 IPCC Guidelines.</w:t>
      </w:r>
    </w:p>
    <w:p w14:paraId="298AB3B4" w14:textId="599744A3" w:rsidR="007B2433" w:rsidRPr="002462F0" w:rsidRDefault="007B2433" w:rsidP="00D916DB">
      <w:pPr>
        <w:pStyle w:val="BodyText"/>
        <w:rPr>
          <w:lang w:eastAsia="fr-FR"/>
        </w:rPr>
      </w:pPr>
      <w:r w:rsidRPr="002462F0">
        <w:rPr>
          <w:lang w:eastAsia="fr-FR"/>
        </w:rPr>
        <w:t>As far as possible</w:t>
      </w:r>
      <w:r w:rsidR="00940E6E">
        <w:rPr>
          <w:lang w:eastAsia="fr-FR"/>
        </w:rPr>
        <w:t>,</w:t>
      </w:r>
      <w:r w:rsidRPr="002462F0">
        <w:rPr>
          <w:lang w:eastAsia="fr-FR"/>
        </w:rPr>
        <w:t xml:space="preserve"> country-specific parameters have been used as input data in the calculation.</w:t>
      </w:r>
    </w:p>
    <w:p w14:paraId="491CD030" w14:textId="77777777" w:rsidR="007B2433" w:rsidRPr="002462F0" w:rsidRDefault="007B2433" w:rsidP="00AB11C1">
      <w:pPr>
        <w:pStyle w:val="BodyText"/>
        <w:numPr>
          <w:ilvl w:val="0"/>
          <w:numId w:val="45"/>
        </w:numPr>
        <w:rPr>
          <w:lang w:eastAsia="fr-FR"/>
        </w:rPr>
      </w:pPr>
      <w:r w:rsidRPr="002462F0">
        <w:rPr>
          <w:lang w:eastAsia="fr-FR"/>
        </w:rPr>
        <w:t xml:space="preserve">Population (P) </w:t>
      </w:r>
    </w:p>
    <w:p w14:paraId="716BAC6F" w14:textId="3EF40EF1" w:rsidR="007B2433" w:rsidRPr="002462F0" w:rsidRDefault="007B2433" w:rsidP="00D916DB">
      <w:pPr>
        <w:pStyle w:val="BodyText"/>
        <w:rPr>
          <w:lang w:eastAsia="fr-FR"/>
        </w:rPr>
      </w:pPr>
      <w:r w:rsidRPr="002462F0">
        <w:rPr>
          <w:lang w:eastAsia="fr-FR"/>
        </w:rPr>
        <w:t>National data on population used in the Serbian inventory are from</w:t>
      </w:r>
      <w:r w:rsidR="005F06B5">
        <w:rPr>
          <w:lang w:eastAsia="fr-FR"/>
        </w:rPr>
        <w:t xml:space="preserve"> Statistical Office</w:t>
      </w:r>
      <w:r w:rsidRPr="002462F0">
        <w:rPr>
          <w:lang w:eastAsia="fr-FR"/>
        </w:rPr>
        <w:t>. The population data used for the category 5D are consistent with the data used for the category 5A.</w:t>
      </w:r>
    </w:p>
    <w:p w14:paraId="4AC306D9" w14:textId="00934182" w:rsidR="007B2433" w:rsidRPr="002462F0" w:rsidRDefault="00D85B44" w:rsidP="007B2433">
      <w:pPr>
        <w:pStyle w:val="Caption"/>
        <w:jc w:val="left"/>
      </w:pPr>
      <w:bookmarkStart w:id="1179" w:name="_Toc184808600"/>
      <w:r>
        <w:t xml:space="preserve">Table </w:t>
      </w:r>
      <w:r>
        <w:fldChar w:fldCharType="begin"/>
      </w:r>
      <w:r>
        <w:instrText xml:space="preserve"> SEQ Table \* ARABIC </w:instrText>
      </w:r>
      <w:r>
        <w:fldChar w:fldCharType="separate"/>
      </w:r>
      <w:r w:rsidR="00F14C78">
        <w:rPr>
          <w:noProof/>
        </w:rPr>
        <w:t>56</w:t>
      </w:r>
      <w:r>
        <w:fldChar w:fldCharType="end"/>
      </w:r>
      <w:r>
        <w:t xml:space="preserve">: Evolution of </w:t>
      </w:r>
      <w:r w:rsidRPr="002462F0">
        <w:t>Serbian population (P)</w:t>
      </w:r>
      <w:r>
        <w:t>, in millions of inhabitants, for the period 1990-2022</w:t>
      </w:r>
      <w:bookmarkEnd w:id="1179"/>
    </w:p>
    <w:tbl>
      <w:tblPr>
        <w:tblW w:w="5081" w:type="pct"/>
        <w:jc w:val="center"/>
        <w:tblCellMar>
          <w:left w:w="70" w:type="dxa"/>
          <w:right w:w="70" w:type="dxa"/>
        </w:tblCellMar>
        <w:tblLook w:val="04A0" w:firstRow="1" w:lastRow="0" w:firstColumn="1" w:lastColumn="0" w:noHBand="0" w:noVBand="1"/>
      </w:tblPr>
      <w:tblGrid>
        <w:gridCol w:w="1194"/>
        <w:gridCol w:w="465"/>
        <w:gridCol w:w="465"/>
        <w:gridCol w:w="465"/>
        <w:gridCol w:w="465"/>
        <w:gridCol w:w="465"/>
        <w:gridCol w:w="465"/>
        <w:gridCol w:w="465"/>
        <w:gridCol w:w="465"/>
        <w:gridCol w:w="465"/>
        <w:gridCol w:w="465"/>
        <w:gridCol w:w="465"/>
        <w:gridCol w:w="465"/>
        <w:gridCol w:w="465"/>
        <w:gridCol w:w="465"/>
        <w:gridCol w:w="465"/>
        <w:gridCol w:w="465"/>
        <w:gridCol w:w="575"/>
      </w:tblGrid>
      <w:tr w:rsidR="00700992" w:rsidRPr="002462F0" w14:paraId="1B08BFAB" w14:textId="03F5AA27" w:rsidTr="00E13FD9">
        <w:trPr>
          <w:trHeight w:val="292"/>
          <w:jc w:val="center"/>
        </w:trPr>
        <w:tc>
          <w:tcPr>
            <w:tcW w:w="646" w:type="pct"/>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36EA9BA8" w14:textId="77777777" w:rsidR="00700992" w:rsidRPr="002462F0" w:rsidRDefault="00700992" w:rsidP="00622F40">
            <w:pPr>
              <w:spacing w:after="0" w:line="240" w:lineRule="auto"/>
              <w:jc w:val="center"/>
              <w:rPr>
                <w:rFonts w:eastAsia="Times New Roman" w:cs="Times New Roman"/>
                <w:sz w:val="16"/>
                <w:szCs w:val="16"/>
                <w:lang w:eastAsia="fr-FR"/>
              </w:rPr>
            </w:pPr>
          </w:p>
        </w:tc>
        <w:tc>
          <w:tcPr>
            <w:tcW w:w="25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1625A4A" w14:textId="77777777" w:rsidR="00700992" w:rsidRPr="00F31D6B" w:rsidRDefault="00700992" w:rsidP="00083302">
            <w:pPr>
              <w:spacing w:after="0" w:line="240" w:lineRule="auto"/>
              <w:jc w:val="center"/>
              <w:rPr>
                <w:rFonts w:eastAsia="Times New Roman" w:cs="Arial"/>
                <w:b/>
                <w:sz w:val="16"/>
                <w:szCs w:val="16"/>
                <w:lang w:eastAsia="fr-FR"/>
              </w:rPr>
            </w:pPr>
            <w:r w:rsidRPr="00F31D6B">
              <w:rPr>
                <w:rFonts w:eastAsia="Times New Roman" w:cs="Arial"/>
                <w:b/>
                <w:sz w:val="16"/>
                <w:szCs w:val="16"/>
                <w:lang w:eastAsia="fr-FR"/>
              </w:rPr>
              <w:t>1990</w:t>
            </w:r>
          </w:p>
        </w:tc>
        <w:tc>
          <w:tcPr>
            <w:tcW w:w="252"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52EB60E" w14:textId="0E6A7180" w:rsidR="00700992" w:rsidRPr="00F31D6B" w:rsidRDefault="00700992" w:rsidP="00083302">
            <w:pPr>
              <w:spacing w:after="0" w:line="240" w:lineRule="auto"/>
              <w:jc w:val="center"/>
              <w:rPr>
                <w:rFonts w:eastAsia="Times New Roman" w:cs="Arial"/>
                <w:b/>
                <w:sz w:val="16"/>
                <w:szCs w:val="16"/>
                <w:lang w:eastAsia="fr-FR"/>
              </w:rPr>
            </w:pPr>
            <w:r w:rsidRPr="00F31D6B">
              <w:rPr>
                <w:rFonts w:eastAsia="Times New Roman" w:cs="Arial"/>
                <w:b/>
                <w:sz w:val="16"/>
                <w:szCs w:val="16"/>
                <w:lang w:eastAsia="fr-FR"/>
              </w:rPr>
              <w:t>199</w:t>
            </w:r>
            <w:r>
              <w:rPr>
                <w:rFonts w:eastAsia="Times New Roman" w:cs="Arial"/>
                <w:b/>
                <w:sz w:val="16"/>
                <w:szCs w:val="16"/>
                <w:lang w:eastAsia="fr-FR"/>
              </w:rPr>
              <w:t>1</w:t>
            </w:r>
          </w:p>
        </w:tc>
        <w:tc>
          <w:tcPr>
            <w:tcW w:w="25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C0B0383" w14:textId="2490FC8A"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1992</w:t>
            </w:r>
          </w:p>
        </w:tc>
        <w:tc>
          <w:tcPr>
            <w:tcW w:w="25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D929CEC" w14:textId="69350715"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1993</w:t>
            </w:r>
          </w:p>
        </w:tc>
        <w:tc>
          <w:tcPr>
            <w:tcW w:w="25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C9AC587" w14:textId="325D9F60"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1994</w:t>
            </w:r>
          </w:p>
        </w:tc>
        <w:tc>
          <w:tcPr>
            <w:tcW w:w="25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898A3EF" w14:textId="4CB7EB2F"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1995</w:t>
            </w:r>
          </w:p>
        </w:tc>
        <w:tc>
          <w:tcPr>
            <w:tcW w:w="25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2D5E423" w14:textId="46C64496"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1996</w:t>
            </w:r>
          </w:p>
        </w:tc>
        <w:tc>
          <w:tcPr>
            <w:tcW w:w="25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29DE42A" w14:textId="3F421884"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1997</w:t>
            </w:r>
          </w:p>
        </w:tc>
        <w:tc>
          <w:tcPr>
            <w:tcW w:w="25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E46E3BF" w14:textId="65B35A9D"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1998</w:t>
            </w:r>
          </w:p>
        </w:tc>
        <w:tc>
          <w:tcPr>
            <w:tcW w:w="25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09BCA9D" w14:textId="2CA830FF"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1999</w:t>
            </w:r>
          </w:p>
        </w:tc>
        <w:tc>
          <w:tcPr>
            <w:tcW w:w="25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3B8B3AB" w14:textId="4B6C790F"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2000</w:t>
            </w:r>
          </w:p>
        </w:tc>
        <w:tc>
          <w:tcPr>
            <w:tcW w:w="25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FD1574D" w14:textId="1B6D06CC"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2001</w:t>
            </w:r>
          </w:p>
        </w:tc>
        <w:tc>
          <w:tcPr>
            <w:tcW w:w="25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D0EF6F3" w14:textId="40AA8B7D"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2002</w:t>
            </w:r>
          </w:p>
        </w:tc>
        <w:tc>
          <w:tcPr>
            <w:tcW w:w="251"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22470D1" w14:textId="69B609E8"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2003</w:t>
            </w:r>
          </w:p>
        </w:tc>
        <w:tc>
          <w:tcPr>
            <w:tcW w:w="251" w:type="pct"/>
            <w:tcBorders>
              <w:top w:val="single" w:sz="4" w:space="0" w:color="auto"/>
              <w:left w:val="nil"/>
              <w:bottom w:val="single" w:sz="4" w:space="0" w:color="auto"/>
              <w:right w:val="single" w:sz="4" w:space="0" w:color="auto"/>
            </w:tcBorders>
            <w:shd w:val="clear" w:color="auto" w:fill="C6D9F1" w:themeFill="text2" w:themeFillTint="33"/>
            <w:vAlign w:val="center"/>
          </w:tcPr>
          <w:p w14:paraId="3ACC7510" w14:textId="102A64DF"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2004</w:t>
            </w:r>
          </w:p>
        </w:tc>
        <w:tc>
          <w:tcPr>
            <w:tcW w:w="251" w:type="pct"/>
            <w:tcBorders>
              <w:top w:val="single" w:sz="4" w:space="0" w:color="auto"/>
              <w:left w:val="nil"/>
              <w:bottom w:val="single" w:sz="4" w:space="0" w:color="auto"/>
              <w:right w:val="single" w:sz="4" w:space="0" w:color="auto"/>
            </w:tcBorders>
            <w:shd w:val="clear" w:color="auto" w:fill="C6D9F1" w:themeFill="text2" w:themeFillTint="33"/>
            <w:vAlign w:val="center"/>
          </w:tcPr>
          <w:p w14:paraId="20A93E52" w14:textId="01115ABB"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2005</w:t>
            </w:r>
          </w:p>
        </w:tc>
        <w:tc>
          <w:tcPr>
            <w:tcW w:w="331" w:type="pct"/>
            <w:tcBorders>
              <w:top w:val="single" w:sz="4" w:space="0" w:color="auto"/>
              <w:left w:val="nil"/>
              <w:bottom w:val="single" w:sz="4" w:space="0" w:color="auto"/>
              <w:right w:val="single" w:sz="4" w:space="0" w:color="auto"/>
            </w:tcBorders>
            <w:shd w:val="clear" w:color="auto" w:fill="C6D9F1" w:themeFill="text2" w:themeFillTint="33"/>
            <w:vAlign w:val="center"/>
          </w:tcPr>
          <w:p w14:paraId="028D4003" w14:textId="2CEA43A8" w:rsidR="00700992" w:rsidRPr="00F31D6B" w:rsidRDefault="00700992" w:rsidP="00083302">
            <w:pPr>
              <w:spacing w:after="0" w:line="240" w:lineRule="auto"/>
              <w:jc w:val="center"/>
              <w:rPr>
                <w:rFonts w:eastAsia="Times New Roman" w:cs="Arial"/>
                <w:b/>
                <w:sz w:val="16"/>
                <w:szCs w:val="16"/>
                <w:lang w:eastAsia="fr-FR"/>
              </w:rPr>
            </w:pPr>
            <w:r>
              <w:rPr>
                <w:rFonts w:eastAsia="Times New Roman" w:cs="Arial"/>
                <w:b/>
                <w:sz w:val="16"/>
                <w:szCs w:val="16"/>
                <w:lang w:eastAsia="fr-FR"/>
              </w:rPr>
              <w:t>2006</w:t>
            </w:r>
          </w:p>
        </w:tc>
      </w:tr>
      <w:tr w:rsidR="00B34661" w:rsidRPr="002462F0" w14:paraId="6BB9E9E8" w14:textId="2A56B9ED" w:rsidTr="00E13FD9">
        <w:trPr>
          <w:trHeight w:val="255"/>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DD05F" w14:textId="77777777" w:rsidR="00B34661" w:rsidRPr="002462F0" w:rsidRDefault="00B34661" w:rsidP="00083302">
            <w:pPr>
              <w:spacing w:after="0" w:line="240" w:lineRule="auto"/>
              <w:jc w:val="center"/>
              <w:rPr>
                <w:rFonts w:eastAsia="Times New Roman" w:cs="Arial"/>
                <w:sz w:val="16"/>
                <w:szCs w:val="16"/>
                <w:lang w:eastAsia="fr-FR"/>
              </w:rPr>
            </w:pPr>
            <w:r w:rsidRPr="002462F0">
              <w:rPr>
                <w:rFonts w:eastAsia="Times New Roman" w:cs="Arial"/>
                <w:sz w:val="16"/>
                <w:szCs w:val="16"/>
                <w:lang w:eastAsia="fr-FR"/>
              </w:rPr>
              <w:t>Population</w:t>
            </w:r>
          </w:p>
          <w:p w14:paraId="5C1FB0C4" w14:textId="77777777" w:rsidR="00B34661" w:rsidRPr="002462F0" w:rsidRDefault="00B34661" w:rsidP="00083302">
            <w:pPr>
              <w:spacing w:after="0" w:line="240" w:lineRule="auto"/>
              <w:jc w:val="center"/>
              <w:rPr>
                <w:rFonts w:eastAsia="Times New Roman" w:cs="Arial"/>
                <w:sz w:val="16"/>
                <w:szCs w:val="16"/>
                <w:lang w:eastAsia="fr-FR"/>
              </w:rPr>
            </w:pPr>
            <w:r w:rsidRPr="002462F0">
              <w:rPr>
                <w:rFonts w:eastAsia="Times New Roman" w:cs="Arial"/>
                <w:sz w:val="16"/>
                <w:szCs w:val="16"/>
                <w:lang w:eastAsia="fr-FR"/>
              </w:rPr>
              <w:t xml:space="preserve">(Millions </w:t>
            </w:r>
            <w:proofErr w:type="spellStart"/>
            <w:r w:rsidRPr="002462F0">
              <w:rPr>
                <w:rFonts w:eastAsia="Times New Roman" w:cs="Arial"/>
                <w:sz w:val="16"/>
                <w:szCs w:val="16"/>
                <w:lang w:eastAsia="fr-FR"/>
              </w:rPr>
              <w:t>inhab</w:t>
            </w:r>
            <w:proofErr w:type="spellEnd"/>
            <w:r w:rsidRPr="002462F0">
              <w:rPr>
                <w:rFonts w:eastAsia="Times New Roman" w:cs="Arial"/>
                <w:sz w:val="16"/>
                <w:szCs w:val="16"/>
                <w:lang w:eastAsia="fr-FR"/>
              </w:rPr>
              <w:t>.)</w:t>
            </w:r>
          </w:p>
        </w:tc>
        <w:tc>
          <w:tcPr>
            <w:tcW w:w="252" w:type="pct"/>
            <w:tcBorders>
              <w:top w:val="single" w:sz="4" w:space="0" w:color="auto"/>
              <w:left w:val="nil"/>
              <w:bottom w:val="single" w:sz="4" w:space="0" w:color="auto"/>
              <w:right w:val="single" w:sz="4" w:space="0" w:color="auto"/>
            </w:tcBorders>
            <w:shd w:val="clear" w:color="auto" w:fill="auto"/>
            <w:vAlign w:val="center"/>
          </w:tcPr>
          <w:p w14:paraId="46CD2A64" w14:textId="456C7E07"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9</w:t>
            </w:r>
            <w:r w:rsidR="0064733B">
              <w:rPr>
                <w:sz w:val="16"/>
                <w:szCs w:val="16"/>
              </w:rPr>
              <w:t>.</w:t>
            </w:r>
            <w:r w:rsidRPr="00622F40">
              <w:rPr>
                <w:sz w:val="16"/>
                <w:szCs w:val="16"/>
              </w:rPr>
              <w:t>76</w:t>
            </w:r>
          </w:p>
        </w:tc>
        <w:tc>
          <w:tcPr>
            <w:tcW w:w="252" w:type="pct"/>
            <w:tcBorders>
              <w:top w:val="single" w:sz="4" w:space="0" w:color="auto"/>
              <w:left w:val="nil"/>
              <w:bottom w:val="single" w:sz="4" w:space="0" w:color="auto"/>
              <w:right w:val="single" w:sz="4" w:space="0" w:color="auto"/>
            </w:tcBorders>
            <w:shd w:val="clear" w:color="auto" w:fill="auto"/>
            <w:vAlign w:val="center"/>
          </w:tcPr>
          <w:p w14:paraId="47E01A57" w14:textId="6E2BA32A"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83</w:t>
            </w:r>
          </w:p>
        </w:tc>
        <w:tc>
          <w:tcPr>
            <w:tcW w:w="251" w:type="pct"/>
            <w:tcBorders>
              <w:top w:val="single" w:sz="4" w:space="0" w:color="auto"/>
              <w:left w:val="nil"/>
              <w:bottom w:val="single" w:sz="4" w:space="0" w:color="auto"/>
              <w:right w:val="single" w:sz="4" w:space="0" w:color="auto"/>
            </w:tcBorders>
            <w:shd w:val="clear" w:color="auto" w:fill="auto"/>
            <w:vAlign w:val="center"/>
          </w:tcPr>
          <w:p w14:paraId="7B5F578A" w14:textId="1B1F6D2F"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83</w:t>
            </w:r>
          </w:p>
        </w:tc>
        <w:tc>
          <w:tcPr>
            <w:tcW w:w="251" w:type="pct"/>
            <w:tcBorders>
              <w:top w:val="single" w:sz="4" w:space="0" w:color="auto"/>
              <w:left w:val="nil"/>
              <w:bottom w:val="single" w:sz="4" w:space="0" w:color="auto"/>
              <w:right w:val="single" w:sz="4" w:space="0" w:color="auto"/>
            </w:tcBorders>
            <w:shd w:val="clear" w:color="auto" w:fill="auto"/>
            <w:vAlign w:val="center"/>
          </w:tcPr>
          <w:p w14:paraId="13AE4478" w14:textId="1FAC5F58"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84</w:t>
            </w:r>
          </w:p>
        </w:tc>
        <w:tc>
          <w:tcPr>
            <w:tcW w:w="251" w:type="pct"/>
            <w:tcBorders>
              <w:top w:val="single" w:sz="4" w:space="0" w:color="auto"/>
              <w:left w:val="nil"/>
              <w:bottom w:val="single" w:sz="4" w:space="0" w:color="auto"/>
              <w:right w:val="single" w:sz="4" w:space="0" w:color="auto"/>
            </w:tcBorders>
            <w:shd w:val="clear" w:color="auto" w:fill="auto"/>
            <w:vAlign w:val="center"/>
          </w:tcPr>
          <w:p w14:paraId="1F856279" w14:textId="32D28072"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85</w:t>
            </w:r>
          </w:p>
        </w:tc>
        <w:tc>
          <w:tcPr>
            <w:tcW w:w="251" w:type="pct"/>
            <w:tcBorders>
              <w:top w:val="single" w:sz="4" w:space="0" w:color="auto"/>
              <w:left w:val="nil"/>
              <w:bottom w:val="single" w:sz="4" w:space="0" w:color="auto"/>
              <w:right w:val="single" w:sz="4" w:space="0" w:color="auto"/>
            </w:tcBorders>
            <w:shd w:val="clear" w:color="auto" w:fill="auto"/>
            <w:vAlign w:val="center"/>
          </w:tcPr>
          <w:p w14:paraId="5B1F7C3F" w14:textId="50966836"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86</w:t>
            </w:r>
          </w:p>
        </w:tc>
        <w:tc>
          <w:tcPr>
            <w:tcW w:w="251" w:type="pct"/>
            <w:tcBorders>
              <w:top w:val="single" w:sz="4" w:space="0" w:color="auto"/>
              <w:left w:val="nil"/>
              <w:bottom w:val="single" w:sz="4" w:space="0" w:color="auto"/>
              <w:right w:val="single" w:sz="4" w:space="0" w:color="auto"/>
            </w:tcBorders>
            <w:shd w:val="clear" w:color="auto" w:fill="auto"/>
            <w:vAlign w:val="center"/>
          </w:tcPr>
          <w:p w14:paraId="61EE50E1" w14:textId="3528AE71"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84</w:t>
            </w:r>
          </w:p>
        </w:tc>
        <w:tc>
          <w:tcPr>
            <w:tcW w:w="251" w:type="pct"/>
            <w:tcBorders>
              <w:top w:val="single" w:sz="4" w:space="0" w:color="auto"/>
              <w:left w:val="nil"/>
              <w:bottom w:val="single" w:sz="4" w:space="0" w:color="auto"/>
              <w:right w:val="single" w:sz="4" w:space="0" w:color="auto"/>
            </w:tcBorders>
            <w:shd w:val="clear" w:color="auto" w:fill="auto"/>
            <w:vAlign w:val="center"/>
          </w:tcPr>
          <w:p w14:paraId="0EA1B955" w14:textId="74B9022F"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83</w:t>
            </w:r>
          </w:p>
        </w:tc>
        <w:tc>
          <w:tcPr>
            <w:tcW w:w="251" w:type="pct"/>
            <w:tcBorders>
              <w:top w:val="single" w:sz="4" w:space="0" w:color="auto"/>
              <w:left w:val="nil"/>
              <w:bottom w:val="single" w:sz="4" w:space="0" w:color="auto"/>
              <w:right w:val="single" w:sz="4" w:space="0" w:color="auto"/>
            </w:tcBorders>
            <w:shd w:val="clear" w:color="auto" w:fill="auto"/>
            <w:vAlign w:val="center"/>
          </w:tcPr>
          <w:p w14:paraId="6D4FB370" w14:textId="7895BCCE"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81</w:t>
            </w:r>
          </w:p>
        </w:tc>
        <w:tc>
          <w:tcPr>
            <w:tcW w:w="251" w:type="pct"/>
            <w:tcBorders>
              <w:top w:val="single" w:sz="4" w:space="0" w:color="auto"/>
              <w:left w:val="nil"/>
              <w:bottom w:val="single" w:sz="4" w:space="0" w:color="auto"/>
              <w:right w:val="single" w:sz="4" w:space="0" w:color="auto"/>
            </w:tcBorders>
            <w:shd w:val="clear" w:color="auto" w:fill="auto"/>
            <w:vAlign w:val="center"/>
          </w:tcPr>
          <w:p w14:paraId="25A3CD6B" w14:textId="2379353B"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78</w:t>
            </w:r>
          </w:p>
        </w:tc>
        <w:tc>
          <w:tcPr>
            <w:tcW w:w="251" w:type="pct"/>
            <w:tcBorders>
              <w:top w:val="single" w:sz="4" w:space="0" w:color="auto"/>
              <w:left w:val="nil"/>
              <w:bottom w:val="single" w:sz="4" w:space="0" w:color="auto"/>
              <w:right w:val="single" w:sz="4" w:space="0" w:color="auto"/>
            </w:tcBorders>
            <w:shd w:val="clear" w:color="auto" w:fill="auto"/>
            <w:vAlign w:val="center"/>
          </w:tcPr>
          <w:p w14:paraId="180C53EC" w14:textId="7BFBDECA"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75</w:t>
            </w:r>
          </w:p>
        </w:tc>
        <w:tc>
          <w:tcPr>
            <w:tcW w:w="251" w:type="pct"/>
            <w:tcBorders>
              <w:top w:val="single" w:sz="4" w:space="0" w:color="auto"/>
              <w:left w:val="nil"/>
              <w:bottom w:val="single" w:sz="4" w:space="0" w:color="auto"/>
              <w:right w:val="single" w:sz="4" w:space="0" w:color="auto"/>
            </w:tcBorders>
            <w:shd w:val="clear" w:color="auto" w:fill="auto"/>
            <w:vAlign w:val="center"/>
          </w:tcPr>
          <w:p w14:paraId="2BFC343E" w14:textId="089EDABB"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73</w:t>
            </w:r>
          </w:p>
        </w:tc>
        <w:tc>
          <w:tcPr>
            <w:tcW w:w="251" w:type="pct"/>
            <w:tcBorders>
              <w:top w:val="single" w:sz="4" w:space="0" w:color="auto"/>
              <w:left w:val="nil"/>
              <w:bottom w:val="single" w:sz="4" w:space="0" w:color="auto"/>
              <w:right w:val="single" w:sz="4" w:space="0" w:color="auto"/>
            </w:tcBorders>
            <w:shd w:val="clear" w:color="auto" w:fill="auto"/>
            <w:vAlign w:val="center"/>
          </w:tcPr>
          <w:p w14:paraId="056CE826" w14:textId="5139E869"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50</w:t>
            </w:r>
          </w:p>
        </w:tc>
        <w:tc>
          <w:tcPr>
            <w:tcW w:w="251" w:type="pct"/>
            <w:tcBorders>
              <w:top w:val="single" w:sz="4" w:space="0" w:color="auto"/>
              <w:left w:val="nil"/>
              <w:bottom w:val="single" w:sz="4" w:space="0" w:color="auto"/>
              <w:right w:val="single" w:sz="4" w:space="0" w:color="auto"/>
            </w:tcBorders>
            <w:shd w:val="clear" w:color="auto" w:fill="auto"/>
            <w:vAlign w:val="center"/>
          </w:tcPr>
          <w:p w14:paraId="3E12A111" w14:textId="3595F1FE"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48</w:t>
            </w:r>
          </w:p>
        </w:tc>
        <w:tc>
          <w:tcPr>
            <w:tcW w:w="251" w:type="pct"/>
            <w:tcBorders>
              <w:top w:val="single" w:sz="4" w:space="0" w:color="auto"/>
              <w:left w:val="nil"/>
              <w:bottom w:val="single" w:sz="4" w:space="0" w:color="auto"/>
              <w:right w:val="single" w:sz="4" w:space="0" w:color="auto"/>
            </w:tcBorders>
            <w:vAlign w:val="center"/>
          </w:tcPr>
          <w:p w14:paraId="189CB33E" w14:textId="2218616B"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46</w:t>
            </w:r>
          </w:p>
        </w:tc>
        <w:tc>
          <w:tcPr>
            <w:tcW w:w="251" w:type="pct"/>
            <w:tcBorders>
              <w:top w:val="single" w:sz="4" w:space="0" w:color="auto"/>
              <w:left w:val="nil"/>
              <w:bottom w:val="single" w:sz="4" w:space="0" w:color="auto"/>
              <w:right w:val="single" w:sz="4" w:space="0" w:color="auto"/>
            </w:tcBorders>
            <w:vAlign w:val="center"/>
          </w:tcPr>
          <w:p w14:paraId="7BEE3D08" w14:textId="5CF233FB"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44</w:t>
            </w:r>
          </w:p>
        </w:tc>
        <w:tc>
          <w:tcPr>
            <w:tcW w:w="331" w:type="pct"/>
            <w:tcBorders>
              <w:top w:val="single" w:sz="4" w:space="0" w:color="auto"/>
              <w:left w:val="nil"/>
              <w:bottom w:val="single" w:sz="4" w:space="0" w:color="auto"/>
              <w:right w:val="single" w:sz="4" w:space="0" w:color="auto"/>
            </w:tcBorders>
            <w:vAlign w:val="center"/>
          </w:tcPr>
          <w:p w14:paraId="5C27708B" w14:textId="52C3C7FF" w:rsidR="00B34661" w:rsidRPr="00B34661" w:rsidRDefault="00B34661" w:rsidP="00083302">
            <w:pPr>
              <w:spacing w:after="0" w:line="240" w:lineRule="auto"/>
              <w:jc w:val="center"/>
              <w:rPr>
                <w:rFonts w:eastAsia="Times New Roman" w:cs="Arial"/>
                <w:sz w:val="16"/>
                <w:szCs w:val="16"/>
                <w:lang w:eastAsia="fr-FR"/>
              </w:rPr>
            </w:pPr>
            <w:r w:rsidRPr="00622F40">
              <w:rPr>
                <w:sz w:val="16"/>
                <w:szCs w:val="16"/>
              </w:rPr>
              <w:t>7</w:t>
            </w:r>
            <w:r w:rsidR="0064733B">
              <w:rPr>
                <w:sz w:val="16"/>
                <w:szCs w:val="16"/>
              </w:rPr>
              <w:t>.</w:t>
            </w:r>
            <w:r w:rsidRPr="00622F40">
              <w:rPr>
                <w:sz w:val="16"/>
                <w:szCs w:val="16"/>
              </w:rPr>
              <w:t>41</w:t>
            </w:r>
          </w:p>
        </w:tc>
      </w:tr>
      <w:tr w:rsidR="00700992" w:rsidRPr="00F31D6B" w14:paraId="5F26C300" w14:textId="77777777" w:rsidTr="00E13FD9">
        <w:trPr>
          <w:trHeight w:val="255"/>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A9216" w14:textId="77777777" w:rsidR="00700992" w:rsidRPr="00700992" w:rsidRDefault="00700992" w:rsidP="00083302">
            <w:pPr>
              <w:spacing w:after="0" w:line="240" w:lineRule="auto"/>
              <w:jc w:val="center"/>
              <w:rPr>
                <w:rFonts w:eastAsia="Times New Roman" w:cs="Arial"/>
                <w:sz w:val="16"/>
                <w:szCs w:val="16"/>
                <w:lang w:eastAsia="fr-FR"/>
              </w:rPr>
            </w:pPr>
          </w:p>
        </w:tc>
        <w:tc>
          <w:tcPr>
            <w:tcW w:w="252" w:type="pct"/>
            <w:tcBorders>
              <w:top w:val="single" w:sz="4" w:space="0" w:color="auto"/>
              <w:left w:val="nil"/>
              <w:bottom w:val="single" w:sz="4" w:space="0" w:color="auto"/>
              <w:right w:val="single" w:sz="4" w:space="0" w:color="auto"/>
            </w:tcBorders>
            <w:shd w:val="clear" w:color="auto" w:fill="auto"/>
            <w:vAlign w:val="center"/>
          </w:tcPr>
          <w:p w14:paraId="710348DB" w14:textId="6053A87F"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2007</w:t>
            </w:r>
          </w:p>
        </w:tc>
        <w:tc>
          <w:tcPr>
            <w:tcW w:w="252" w:type="pct"/>
            <w:tcBorders>
              <w:top w:val="single" w:sz="4" w:space="0" w:color="auto"/>
              <w:left w:val="nil"/>
              <w:bottom w:val="single" w:sz="4" w:space="0" w:color="auto"/>
              <w:right w:val="single" w:sz="4" w:space="0" w:color="auto"/>
            </w:tcBorders>
            <w:shd w:val="clear" w:color="auto" w:fill="auto"/>
            <w:vAlign w:val="center"/>
          </w:tcPr>
          <w:p w14:paraId="260EE4DC" w14:textId="0473E82E"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2008</w:t>
            </w:r>
          </w:p>
        </w:tc>
        <w:tc>
          <w:tcPr>
            <w:tcW w:w="251" w:type="pct"/>
            <w:tcBorders>
              <w:top w:val="single" w:sz="4" w:space="0" w:color="auto"/>
              <w:left w:val="nil"/>
              <w:bottom w:val="single" w:sz="4" w:space="0" w:color="auto"/>
              <w:right w:val="single" w:sz="4" w:space="0" w:color="auto"/>
            </w:tcBorders>
            <w:shd w:val="clear" w:color="auto" w:fill="auto"/>
            <w:vAlign w:val="center"/>
          </w:tcPr>
          <w:p w14:paraId="246E8398" w14:textId="6D9EF098"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2009</w:t>
            </w:r>
          </w:p>
        </w:tc>
        <w:tc>
          <w:tcPr>
            <w:tcW w:w="251" w:type="pct"/>
            <w:tcBorders>
              <w:top w:val="single" w:sz="4" w:space="0" w:color="auto"/>
              <w:left w:val="nil"/>
              <w:bottom w:val="single" w:sz="4" w:space="0" w:color="auto"/>
              <w:right w:val="single" w:sz="4" w:space="0" w:color="auto"/>
            </w:tcBorders>
            <w:shd w:val="clear" w:color="auto" w:fill="auto"/>
            <w:vAlign w:val="center"/>
          </w:tcPr>
          <w:p w14:paraId="3EBB367C" w14:textId="0580E6CA"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2010</w:t>
            </w:r>
          </w:p>
        </w:tc>
        <w:tc>
          <w:tcPr>
            <w:tcW w:w="251" w:type="pct"/>
            <w:tcBorders>
              <w:top w:val="single" w:sz="4" w:space="0" w:color="auto"/>
              <w:left w:val="nil"/>
              <w:bottom w:val="single" w:sz="4" w:space="0" w:color="auto"/>
              <w:right w:val="single" w:sz="4" w:space="0" w:color="auto"/>
            </w:tcBorders>
            <w:shd w:val="clear" w:color="auto" w:fill="auto"/>
            <w:vAlign w:val="center"/>
          </w:tcPr>
          <w:p w14:paraId="2F260BD7" w14:textId="3D2298B1"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2011</w:t>
            </w:r>
          </w:p>
        </w:tc>
        <w:tc>
          <w:tcPr>
            <w:tcW w:w="251" w:type="pct"/>
            <w:tcBorders>
              <w:top w:val="single" w:sz="4" w:space="0" w:color="auto"/>
              <w:left w:val="nil"/>
              <w:bottom w:val="single" w:sz="4" w:space="0" w:color="auto"/>
              <w:right w:val="single" w:sz="4" w:space="0" w:color="auto"/>
            </w:tcBorders>
            <w:shd w:val="clear" w:color="auto" w:fill="auto"/>
            <w:vAlign w:val="center"/>
            <w:hideMark/>
          </w:tcPr>
          <w:p w14:paraId="61A0F3F2" w14:textId="431B4D96"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2012</w:t>
            </w:r>
          </w:p>
        </w:tc>
        <w:tc>
          <w:tcPr>
            <w:tcW w:w="251" w:type="pct"/>
            <w:tcBorders>
              <w:top w:val="single" w:sz="4" w:space="0" w:color="auto"/>
              <w:left w:val="nil"/>
              <w:bottom w:val="single" w:sz="4" w:space="0" w:color="auto"/>
              <w:right w:val="single" w:sz="4" w:space="0" w:color="auto"/>
            </w:tcBorders>
            <w:shd w:val="clear" w:color="auto" w:fill="auto"/>
            <w:vAlign w:val="center"/>
            <w:hideMark/>
          </w:tcPr>
          <w:p w14:paraId="76BB77A2" w14:textId="00D20601"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2013</w:t>
            </w:r>
          </w:p>
        </w:tc>
        <w:tc>
          <w:tcPr>
            <w:tcW w:w="251" w:type="pct"/>
            <w:tcBorders>
              <w:top w:val="single" w:sz="4" w:space="0" w:color="auto"/>
              <w:left w:val="nil"/>
              <w:bottom w:val="single" w:sz="4" w:space="0" w:color="auto"/>
              <w:right w:val="single" w:sz="4" w:space="0" w:color="auto"/>
            </w:tcBorders>
            <w:shd w:val="clear" w:color="auto" w:fill="auto"/>
            <w:vAlign w:val="center"/>
            <w:hideMark/>
          </w:tcPr>
          <w:p w14:paraId="10E97133" w14:textId="02A7E8B3"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2014</w:t>
            </w:r>
          </w:p>
        </w:tc>
        <w:tc>
          <w:tcPr>
            <w:tcW w:w="251" w:type="pct"/>
            <w:tcBorders>
              <w:top w:val="single" w:sz="4" w:space="0" w:color="auto"/>
              <w:left w:val="nil"/>
              <w:bottom w:val="single" w:sz="4" w:space="0" w:color="auto"/>
              <w:right w:val="single" w:sz="4" w:space="0" w:color="auto"/>
            </w:tcBorders>
            <w:shd w:val="clear" w:color="auto" w:fill="auto"/>
            <w:vAlign w:val="center"/>
            <w:hideMark/>
          </w:tcPr>
          <w:p w14:paraId="66A86201" w14:textId="798457B9"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2015</w:t>
            </w:r>
          </w:p>
        </w:tc>
        <w:tc>
          <w:tcPr>
            <w:tcW w:w="251" w:type="pct"/>
            <w:tcBorders>
              <w:top w:val="single" w:sz="4" w:space="0" w:color="auto"/>
              <w:left w:val="nil"/>
              <w:bottom w:val="single" w:sz="4" w:space="0" w:color="auto"/>
              <w:right w:val="single" w:sz="4" w:space="0" w:color="auto"/>
            </w:tcBorders>
            <w:shd w:val="clear" w:color="auto" w:fill="auto"/>
            <w:vAlign w:val="center"/>
            <w:hideMark/>
          </w:tcPr>
          <w:p w14:paraId="64C4AE35" w14:textId="75AD82BC"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2016</w:t>
            </w:r>
          </w:p>
        </w:tc>
        <w:tc>
          <w:tcPr>
            <w:tcW w:w="251" w:type="pct"/>
            <w:tcBorders>
              <w:top w:val="single" w:sz="4" w:space="0" w:color="auto"/>
              <w:left w:val="nil"/>
              <w:bottom w:val="single" w:sz="4" w:space="0" w:color="auto"/>
              <w:right w:val="single" w:sz="4" w:space="0" w:color="auto"/>
            </w:tcBorders>
            <w:shd w:val="clear" w:color="auto" w:fill="auto"/>
            <w:vAlign w:val="center"/>
          </w:tcPr>
          <w:p w14:paraId="685C0C08" w14:textId="56DA40FE"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2017</w:t>
            </w:r>
          </w:p>
        </w:tc>
        <w:tc>
          <w:tcPr>
            <w:tcW w:w="251" w:type="pct"/>
            <w:tcBorders>
              <w:top w:val="single" w:sz="4" w:space="0" w:color="auto"/>
              <w:left w:val="nil"/>
              <w:bottom w:val="single" w:sz="4" w:space="0" w:color="auto"/>
              <w:right w:val="single" w:sz="4" w:space="0" w:color="auto"/>
            </w:tcBorders>
            <w:shd w:val="clear" w:color="auto" w:fill="auto"/>
            <w:vAlign w:val="center"/>
          </w:tcPr>
          <w:p w14:paraId="2E467483" w14:textId="79F77A41"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2018</w:t>
            </w:r>
          </w:p>
        </w:tc>
        <w:tc>
          <w:tcPr>
            <w:tcW w:w="251" w:type="pct"/>
            <w:tcBorders>
              <w:top w:val="single" w:sz="4" w:space="0" w:color="auto"/>
              <w:left w:val="nil"/>
              <w:bottom w:val="single" w:sz="4" w:space="0" w:color="auto"/>
              <w:right w:val="single" w:sz="4" w:space="0" w:color="auto"/>
            </w:tcBorders>
            <w:shd w:val="clear" w:color="auto" w:fill="auto"/>
            <w:vAlign w:val="center"/>
          </w:tcPr>
          <w:p w14:paraId="5FF084C1" w14:textId="234B3AFD"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2019</w:t>
            </w:r>
          </w:p>
        </w:tc>
        <w:tc>
          <w:tcPr>
            <w:tcW w:w="251" w:type="pct"/>
            <w:tcBorders>
              <w:top w:val="single" w:sz="4" w:space="0" w:color="auto"/>
              <w:left w:val="nil"/>
              <w:bottom w:val="single" w:sz="4" w:space="0" w:color="auto"/>
              <w:right w:val="single" w:sz="4" w:space="0" w:color="auto"/>
            </w:tcBorders>
            <w:shd w:val="clear" w:color="auto" w:fill="auto"/>
            <w:vAlign w:val="center"/>
          </w:tcPr>
          <w:p w14:paraId="2921BEAD" w14:textId="60055B5F"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2020</w:t>
            </w:r>
          </w:p>
        </w:tc>
        <w:tc>
          <w:tcPr>
            <w:tcW w:w="251" w:type="pct"/>
            <w:tcBorders>
              <w:top w:val="single" w:sz="4" w:space="0" w:color="auto"/>
              <w:left w:val="nil"/>
              <w:bottom w:val="single" w:sz="4" w:space="0" w:color="auto"/>
              <w:right w:val="single" w:sz="4" w:space="0" w:color="auto"/>
            </w:tcBorders>
            <w:vAlign w:val="center"/>
          </w:tcPr>
          <w:p w14:paraId="2BF8C091" w14:textId="6E579512"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2021</w:t>
            </w:r>
          </w:p>
        </w:tc>
        <w:tc>
          <w:tcPr>
            <w:tcW w:w="251" w:type="pct"/>
            <w:tcBorders>
              <w:top w:val="single" w:sz="4" w:space="0" w:color="auto"/>
              <w:left w:val="nil"/>
              <w:bottom w:val="single" w:sz="4" w:space="0" w:color="auto"/>
              <w:right w:val="single" w:sz="4" w:space="0" w:color="auto"/>
            </w:tcBorders>
            <w:vAlign w:val="center"/>
          </w:tcPr>
          <w:p w14:paraId="01003A25" w14:textId="25FE3EB1" w:rsidR="00700992" w:rsidRPr="00622F40" w:rsidRDefault="00700992" w:rsidP="00083302">
            <w:pPr>
              <w:spacing w:after="0" w:line="240" w:lineRule="auto"/>
              <w:jc w:val="center"/>
              <w:rPr>
                <w:rFonts w:eastAsia="Times New Roman" w:cs="Arial"/>
                <w:b/>
                <w:bCs/>
                <w:sz w:val="16"/>
                <w:szCs w:val="16"/>
                <w:lang w:eastAsia="fr-FR"/>
              </w:rPr>
            </w:pPr>
            <w:r w:rsidRPr="00622F40">
              <w:rPr>
                <w:rFonts w:eastAsia="Times New Roman" w:cs="Arial"/>
                <w:b/>
                <w:bCs/>
                <w:sz w:val="16"/>
                <w:szCs w:val="16"/>
                <w:lang w:eastAsia="fr-FR"/>
              </w:rPr>
              <w:t>2022</w:t>
            </w:r>
          </w:p>
        </w:tc>
        <w:tc>
          <w:tcPr>
            <w:tcW w:w="331" w:type="pct"/>
            <w:tcBorders>
              <w:top w:val="single" w:sz="4" w:space="0" w:color="auto"/>
              <w:left w:val="nil"/>
              <w:bottom w:val="single" w:sz="4" w:space="0" w:color="auto"/>
              <w:right w:val="single" w:sz="4" w:space="0" w:color="auto"/>
            </w:tcBorders>
            <w:vAlign w:val="center"/>
          </w:tcPr>
          <w:p w14:paraId="00C34B27" w14:textId="77777777" w:rsidR="00700992" w:rsidRPr="00622F40" w:rsidRDefault="00700992" w:rsidP="00083302">
            <w:pPr>
              <w:spacing w:after="0" w:line="240" w:lineRule="auto"/>
              <w:jc w:val="center"/>
              <w:rPr>
                <w:rFonts w:eastAsia="Times New Roman" w:cs="Arial"/>
                <w:b/>
                <w:bCs/>
                <w:sz w:val="16"/>
                <w:szCs w:val="16"/>
                <w:lang w:eastAsia="fr-FR"/>
              </w:rPr>
            </w:pPr>
          </w:p>
        </w:tc>
      </w:tr>
      <w:tr w:rsidR="0064733B" w14:paraId="2E387D6F" w14:textId="77777777" w:rsidTr="00E13FD9">
        <w:trPr>
          <w:trHeight w:val="255"/>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3C64D" w14:textId="77777777" w:rsidR="0064733B" w:rsidRPr="002462F0" w:rsidRDefault="0064733B" w:rsidP="00083302">
            <w:pPr>
              <w:spacing w:after="0" w:line="240" w:lineRule="auto"/>
              <w:jc w:val="center"/>
              <w:rPr>
                <w:rFonts w:eastAsia="Times New Roman" w:cs="Arial"/>
                <w:sz w:val="16"/>
                <w:szCs w:val="16"/>
                <w:lang w:eastAsia="fr-FR"/>
              </w:rPr>
            </w:pPr>
            <w:r w:rsidRPr="002462F0">
              <w:rPr>
                <w:rFonts w:eastAsia="Times New Roman" w:cs="Arial"/>
                <w:sz w:val="16"/>
                <w:szCs w:val="16"/>
                <w:lang w:eastAsia="fr-FR"/>
              </w:rPr>
              <w:t>Population</w:t>
            </w:r>
          </w:p>
          <w:p w14:paraId="2AAB6DC3" w14:textId="77777777" w:rsidR="0064733B" w:rsidRPr="002462F0" w:rsidRDefault="0064733B" w:rsidP="00083302">
            <w:pPr>
              <w:spacing w:after="0" w:line="240" w:lineRule="auto"/>
              <w:jc w:val="center"/>
              <w:rPr>
                <w:rFonts w:eastAsia="Times New Roman" w:cs="Arial"/>
                <w:sz w:val="16"/>
                <w:szCs w:val="16"/>
                <w:lang w:eastAsia="fr-FR"/>
              </w:rPr>
            </w:pPr>
            <w:r w:rsidRPr="002462F0">
              <w:rPr>
                <w:rFonts w:eastAsia="Times New Roman" w:cs="Arial"/>
                <w:sz w:val="16"/>
                <w:szCs w:val="16"/>
                <w:lang w:eastAsia="fr-FR"/>
              </w:rPr>
              <w:t xml:space="preserve">(Millions </w:t>
            </w:r>
            <w:proofErr w:type="spellStart"/>
            <w:r w:rsidRPr="002462F0">
              <w:rPr>
                <w:rFonts w:eastAsia="Times New Roman" w:cs="Arial"/>
                <w:sz w:val="16"/>
                <w:szCs w:val="16"/>
                <w:lang w:eastAsia="fr-FR"/>
              </w:rPr>
              <w:t>inhab</w:t>
            </w:r>
            <w:proofErr w:type="spellEnd"/>
            <w:r w:rsidRPr="002462F0">
              <w:rPr>
                <w:rFonts w:eastAsia="Times New Roman" w:cs="Arial"/>
                <w:sz w:val="16"/>
                <w:szCs w:val="16"/>
                <w:lang w:eastAsia="fr-FR"/>
              </w:rPr>
              <w:t>.)</w:t>
            </w:r>
          </w:p>
        </w:tc>
        <w:tc>
          <w:tcPr>
            <w:tcW w:w="252" w:type="pct"/>
            <w:tcBorders>
              <w:top w:val="single" w:sz="4" w:space="0" w:color="auto"/>
              <w:left w:val="nil"/>
              <w:bottom w:val="single" w:sz="4" w:space="0" w:color="auto"/>
              <w:right w:val="single" w:sz="4" w:space="0" w:color="auto"/>
            </w:tcBorders>
            <w:shd w:val="clear" w:color="auto" w:fill="auto"/>
            <w:vAlign w:val="center"/>
          </w:tcPr>
          <w:p w14:paraId="0D9E9A00" w14:textId="74732E9D"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7</w:t>
            </w:r>
            <w:r w:rsidR="00F712DE">
              <w:rPr>
                <w:sz w:val="16"/>
                <w:szCs w:val="16"/>
              </w:rPr>
              <w:t>.</w:t>
            </w:r>
            <w:r w:rsidRPr="00622F40">
              <w:rPr>
                <w:sz w:val="16"/>
                <w:szCs w:val="16"/>
              </w:rPr>
              <w:t>38</w:t>
            </w:r>
          </w:p>
        </w:tc>
        <w:tc>
          <w:tcPr>
            <w:tcW w:w="252" w:type="pct"/>
            <w:tcBorders>
              <w:top w:val="single" w:sz="4" w:space="0" w:color="auto"/>
              <w:left w:val="nil"/>
              <w:bottom w:val="single" w:sz="4" w:space="0" w:color="auto"/>
              <w:right w:val="single" w:sz="4" w:space="0" w:color="auto"/>
            </w:tcBorders>
            <w:shd w:val="clear" w:color="auto" w:fill="auto"/>
            <w:vAlign w:val="center"/>
          </w:tcPr>
          <w:p w14:paraId="1886A268" w14:textId="28ED4B66"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7</w:t>
            </w:r>
            <w:r w:rsidR="00F712DE">
              <w:rPr>
                <w:sz w:val="16"/>
                <w:szCs w:val="16"/>
              </w:rPr>
              <w:t>.</w:t>
            </w:r>
            <w:r w:rsidRPr="00622F40">
              <w:rPr>
                <w:sz w:val="16"/>
                <w:szCs w:val="16"/>
              </w:rPr>
              <w:t>35</w:t>
            </w:r>
          </w:p>
        </w:tc>
        <w:tc>
          <w:tcPr>
            <w:tcW w:w="251" w:type="pct"/>
            <w:tcBorders>
              <w:top w:val="single" w:sz="4" w:space="0" w:color="auto"/>
              <w:left w:val="nil"/>
              <w:bottom w:val="single" w:sz="4" w:space="0" w:color="auto"/>
              <w:right w:val="single" w:sz="4" w:space="0" w:color="auto"/>
            </w:tcBorders>
            <w:shd w:val="clear" w:color="auto" w:fill="auto"/>
            <w:vAlign w:val="center"/>
          </w:tcPr>
          <w:p w14:paraId="0011304C" w14:textId="6417D0EF"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7</w:t>
            </w:r>
            <w:r w:rsidR="00F712DE">
              <w:rPr>
                <w:sz w:val="16"/>
                <w:szCs w:val="16"/>
              </w:rPr>
              <w:t>.</w:t>
            </w:r>
            <w:r w:rsidRPr="00622F40">
              <w:rPr>
                <w:sz w:val="16"/>
                <w:szCs w:val="16"/>
              </w:rPr>
              <w:t>32</w:t>
            </w:r>
          </w:p>
        </w:tc>
        <w:tc>
          <w:tcPr>
            <w:tcW w:w="251" w:type="pct"/>
            <w:tcBorders>
              <w:top w:val="single" w:sz="4" w:space="0" w:color="auto"/>
              <w:left w:val="nil"/>
              <w:bottom w:val="single" w:sz="4" w:space="0" w:color="auto"/>
              <w:right w:val="single" w:sz="4" w:space="0" w:color="auto"/>
            </w:tcBorders>
            <w:shd w:val="clear" w:color="auto" w:fill="auto"/>
            <w:vAlign w:val="center"/>
          </w:tcPr>
          <w:p w14:paraId="2E769626" w14:textId="103B5E78"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7</w:t>
            </w:r>
            <w:r w:rsidR="00F712DE">
              <w:rPr>
                <w:sz w:val="16"/>
                <w:szCs w:val="16"/>
              </w:rPr>
              <w:t>.</w:t>
            </w:r>
            <w:r w:rsidRPr="00622F40">
              <w:rPr>
                <w:sz w:val="16"/>
                <w:szCs w:val="16"/>
              </w:rPr>
              <w:t>29</w:t>
            </w:r>
          </w:p>
        </w:tc>
        <w:tc>
          <w:tcPr>
            <w:tcW w:w="251" w:type="pct"/>
            <w:tcBorders>
              <w:top w:val="single" w:sz="4" w:space="0" w:color="auto"/>
              <w:left w:val="nil"/>
              <w:bottom w:val="single" w:sz="4" w:space="0" w:color="auto"/>
              <w:right w:val="single" w:sz="4" w:space="0" w:color="auto"/>
            </w:tcBorders>
            <w:shd w:val="clear" w:color="auto" w:fill="auto"/>
            <w:vAlign w:val="center"/>
          </w:tcPr>
          <w:p w14:paraId="166AEEAC" w14:textId="3751BACD"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7</w:t>
            </w:r>
            <w:r w:rsidR="00F712DE">
              <w:rPr>
                <w:sz w:val="16"/>
                <w:szCs w:val="16"/>
              </w:rPr>
              <w:t>.</w:t>
            </w:r>
            <w:r w:rsidRPr="00622F40">
              <w:rPr>
                <w:sz w:val="16"/>
                <w:szCs w:val="16"/>
              </w:rPr>
              <w:t>26</w:t>
            </w:r>
          </w:p>
        </w:tc>
        <w:tc>
          <w:tcPr>
            <w:tcW w:w="251" w:type="pct"/>
            <w:tcBorders>
              <w:top w:val="single" w:sz="4" w:space="0" w:color="auto"/>
              <w:left w:val="nil"/>
              <w:bottom w:val="single" w:sz="4" w:space="0" w:color="auto"/>
              <w:right w:val="single" w:sz="4" w:space="0" w:color="auto"/>
            </w:tcBorders>
            <w:shd w:val="clear" w:color="auto" w:fill="auto"/>
            <w:vAlign w:val="center"/>
          </w:tcPr>
          <w:p w14:paraId="1F530CCF" w14:textId="7BA3136A"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7</w:t>
            </w:r>
            <w:r w:rsidR="00F712DE">
              <w:rPr>
                <w:sz w:val="16"/>
                <w:szCs w:val="16"/>
              </w:rPr>
              <w:t>.</w:t>
            </w:r>
            <w:r w:rsidRPr="00622F40">
              <w:rPr>
                <w:sz w:val="16"/>
                <w:szCs w:val="16"/>
              </w:rPr>
              <w:t>20</w:t>
            </w:r>
          </w:p>
        </w:tc>
        <w:tc>
          <w:tcPr>
            <w:tcW w:w="251" w:type="pct"/>
            <w:tcBorders>
              <w:top w:val="single" w:sz="4" w:space="0" w:color="auto"/>
              <w:left w:val="nil"/>
              <w:bottom w:val="single" w:sz="4" w:space="0" w:color="auto"/>
              <w:right w:val="single" w:sz="4" w:space="0" w:color="auto"/>
            </w:tcBorders>
            <w:shd w:val="clear" w:color="auto" w:fill="auto"/>
            <w:vAlign w:val="center"/>
          </w:tcPr>
          <w:p w14:paraId="501F303F" w14:textId="62600701"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7</w:t>
            </w:r>
            <w:r w:rsidR="00F712DE">
              <w:rPr>
                <w:sz w:val="16"/>
                <w:szCs w:val="16"/>
              </w:rPr>
              <w:t>.</w:t>
            </w:r>
            <w:r w:rsidRPr="00622F40">
              <w:rPr>
                <w:sz w:val="16"/>
                <w:szCs w:val="16"/>
              </w:rPr>
              <w:t>16</w:t>
            </w:r>
          </w:p>
        </w:tc>
        <w:tc>
          <w:tcPr>
            <w:tcW w:w="251" w:type="pct"/>
            <w:tcBorders>
              <w:top w:val="single" w:sz="4" w:space="0" w:color="auto"/>
              <w:left w:val="nil"/>
              <w:bottom w:val="single" w:sz="4" w:space="0" w:color="auto"/>
              <w:right w:val="single" w:sz="4" w:space="0" w:color="auto"/>
            </w:tcBorders>
            <w:shd w:val="clear" w:color="auto" w:fill="auto"/>
            <w:vAlign w:val="center"/>
          </w:tcPr>
          <w:p w14:paraId="578AD2ED" w14:textId="3B189C23"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7</w:t>
            </w:r>
            <w:r w:rsidR="00F712DE">
              <w:rPr>
                <w:sz w:val="16"/>
                <w:szCs w:val="16"/>
              </w:rPr>
              <w:t>.</w:t>
            </w:r>
            <w:r w:rsidRPr="00622F40">
              <w:rPr>
                <w:sz w:val="16"/>
                <w:szCs w:val="16"/>
              </w:rPr>
              <w:t>13</w:t>
            </w:r>
          </w:p>
        </w:tc>
        <w:tc>
          <w:tcPr>
            <w:tcW w:w="251" w:type="pct"/>
            <w:tcBorders>
              <w:top w:val="single" w:sz="4" w:space="0" w:color="auto"/>
              <w:left w:val="nil"/>
              <w:bottom w:val="single" w:sz="4" w:space="0" w:color="auto"/>
              <w:right w:val="single" w:sz="4" w:space="0" w:color="auto"/>
            </w:tcBorders>
            <w:shd w:val="clear" w:color="auto" w:fill="auto"/>
            <w:vAlign w:val="center"/>
          </w:tcPr>
          <w:p w14:paraId="03CAB979" w14:textId="1519B4E4"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7</w:t>
            </w:r>
            <w:r w:rsidR="00F712DE">
              <w:rPr>
                <w:sz w:val="16"/>
                <w:szCs w:val="16"/>
              </w:rPr>
              <w:t>.</w:t>
            </w:r>
            <w:r w:rsidRPr="00622F40">
              <w:rPr>
                <w:sz w:val="16"/>
                <w:szCs w:val="16"/>
              </w:rPr>
              <w:t>09</w:t>
            </w:r>
          </w:p>
        </w:tc>
        <w:tc>
          <w:tcPr>
            <w:tcW w:w="251" w:type="pct"/>
            <w:tcBorders>
              <w:top w:val="single" w:sz="4" w:space="0" w:color="auto"/>
              <w:left w:val="nil"/>
              <w:bottom w:val="single" w:sz="4" w:space="0" w:color="auto"/>
              <w:right w:val="single" w:sz="4" w:space="0" w:color="auto"/>
            </w:tcBorders>
            <w:shd w:val="clear" w:color="auto" w:fill="auto"/>
            <w:vAlign w:val="center"/>
          </w:tcPr>
          <w:p w14:paraId="133A159A" w14:textId="49058669"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7</w:t>
            </w:r>
            <w:r w:rsidR="00F712DE">
              <w:rPr>
                <w:sz w:val="16"/>
                <w:szCs w:val="16"/>
              </w:rPr>
              <w:t>.</w:t>
            </w:r>
            <w:r w:rsidRPr="00622F40">
              <w:rPr>
                <w:sz w:val="16"/>
                <w:szCs w:val="16"/>
              </w:rPr>
              <w:t>05</w:t>
            </w:r>
          </w:p>
        </w:tc>
        <w:tc>
          <w:tcPr>
            <w:tcW w:w="251" w:type="pct"/>
            <w:tcBorders>
              <w:top w:val="single" w:sz="4" w:space="0" w:color="auto"/>
              <w:left w:val="nil"/>
              <w:bottom w:val="single" w:sz="4" w:space="0" w:color="auto"/>
              <w:right w:val="single" w:sz="4" w:space="0" w:color="auto"/>
            </w:tcBorders>
            <w:shd w:val="clear" w:color="auto" w:fill="auto"/>
            <w:vAlign w:val="center"/>
          </w:tcPr>
          <w:p w14:paraId="365B62BA" w14:textId="163EC8FD"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7</w:t>
            </w:r>
            <w:r w:rsidR="00F712DE">
              <w:rPr>
                <w:sz w:val="16"/>
                <w:szCs w:val="16"/>
              </w:rPr>
              <w:t>.</w:t>
            </w:r>
            <w:r w:rsidRPr="00622F40">
              <w:rPr>
                <w:sz w:val="16"/>
                <w:szCs w:val="16"/>
              </w:rPr>
              <w:t>02</w:t>
            </w:r>
          </w:p>
        </w:tc>
        <w:tc>
          <w:tcPr>
            <w:tcW w:w="251" w:type="pct"/>
            <w:tcBorders>
              <w:top w:val="single" w:sz="4" w:space="0" w:color="auto"/>
              <w:left w:val="nil"/>
              <w:bottom w:val="single" w:sz="4" w:space="0" w:color="auto"/>
              <w:right w:val="single" w:sz="4" w:space="0" w:color="auto"/>
            </w:tcBorders>
            <w:shd w:val="clear" w:color="auto" w:fill="auto"/>
            <w:vAlign w:val="center"/>
          </w:tcPr>
          <w:p w14:paraId="6AE752BC" w14:textId="0A802477"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6</w:t>
            </w:r>
            <w:r w:rsidR="00F712DE">
              <w:rPr>
                <w:sz w:val="16"/>
                <w:szCs w:val="16"/>
              </w:rPr>
              <w:t>.</w:t>
            </w:r>
            <w:r w:rsidRPr="00622F40">
              <w:rPr>
                <w:sz w:val="16"/>
                <w:szCs w:val="16"/>
              </w:rPr>
              <w:t>96</w:t>
            </w:r>
          </w:p>
        </w:tc>
        <w:tc>
          <w:tcPr>
            <w:tcW w:w="251" w:type="pct"/>
            <w:tcBorders>
              <w:top w:val="single" w:sz="4" w:space="0" w:color="auto"/>
              <w:left w:val="nil"/>
              <w:bottom w:val="single" w:sz="4" w:space="0" w:color="auto"/>
              <w:right w:val="single" w:sz="4" w:space="0" w:color="auto"/>
            </w:tcBorders>
            <w:shd w:val="clear" w:color="auto" w:fill="auto"/>
            <w:vAlign w:val="center"/>
          </w:tcPr>
          <w:p w14:paraId="475DD5FB" w14:textId="33F2E529"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6</w:t>
            </w:r>
            <w:r w:rsidR="00F712DE">
              <w:rPr>
                <w:sz w:val="16"/>
                <w:szCs w:val="16"/>
              </w:rPr>
              <w:t>.</w:t>
            </w:r>
            <w:r w:rsidRPr="00622F40">
              <w:rPr>
                <w:sz w:val="16"/>
                <w:szCs w:val="16"/>
              </w:rPr>
              <w:t>93</w:t>
            </w:r>
          </w:p>
        </w:tc>
        <w:tc>
          <w:tcPr>
            <w:tcW w:w="251" w:type="pct"/>
            <w:tcBorders>
              <w:top w:val="single" w:sz="4" w:space="0" w:color="auto"/>
              <w:left w:val="nil"/>
              <w:bottom w:val="single" w:sz="4" w:space="0" w:color="auto"/>
              <w:right w:val="single" w:sz="4" w:space="0" w:color="auto"/>
            </w:tcBorders>
            <w:shd w:val="clear" w:color="auto" w:fill="auto"/>
            <w:vAlign w:val="center"/>
          </w:tcPr>
          <w:p w14:paraId="75E6D65F" w14:textId="38B2A62E"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6</w:t>
            </w:r>
            <w:r w:rsidR="00F712DE">
              <w:rPr>
                <w:sz w:val="16"/>
                <w:szCs w:val="16"/>
              </w:rPr>
              <w:t>.</w:t>
            </w:r>
            <w:r w:rsidRPr="00622F40">
              <w:rPr>
                <w:sz w:val="16"/>
                <w:szCs w:val="16"/>
              </w:rPr>
              <w:t>87</w:t>
            </w:r>
          </w:p>
        </w:tc>
        <w:tc>
          <w:tcPr>
            <w:tcW w:w="251" w:type="pct"/>
            <w:tcBorders>
              <w:top w:val="single" w:sz="4" w:space="0" w:color="auto"/>
              <w:left w:val="nil"/>
              <w:bottom w:val="single" w:sz="4" w:space="0" w:color="auto"/>
              <w:right w:val="single" w:sz="4" w:space="0" w:color="auto"/>
            </w:tcBorders>
            <w:vAlign w:val="center"/>
          </w:tcPr>
          <w:p w14:paraId="08D73F43" w14:textId="200FA905"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6</w:t>
            </w:r>
            <w:r w:rsidR="00F712DE">
              <w:rPr>
                <w:sz w:val="16"/>
                <w:szCs w:val="16"/>
              </w:rPr>
              <w:t>.</w:t>
            </w:r>
            <w:r w:rsidRPr="00622F40">
              <w:rPr>
                <w:sz w:val="16"/>
                <w:szCs w:val="16"/>
              </w:rPr>
              <w:t>80</w:t>
            </w:r>
          </w:p>
        </w:tc>
        <w:tc>
          <w:tcPr>
            <w:tcW w:w="251" w:type="pct"/>
            <w:tcBorders>
              <w:top w:val="single" w:sz="4" w:space="0" w:color="auto"/>
              <w:left w:val="nil"/>
              <w:bottom w:val="single" w:sz="4" w:space="0" w:color="auto"/>
              <w:right w:val="single" w:sz="4" w:space="0" w:color="auto"/>
            </w:tcBorders>
            <w:vAlign w:val="center"/>
          </w:tcPr>
          <w:p w14:paraId="44A2937A" w14:textId="45115965" w:rsidR="0064733B" w:rsidRPr="0064733B" w:rsidRDefault="0064733B" w:rsidP="00083302">
            <w:pPr>
              <w:spacing w:after="0" w:line="240" w:lineRule="auto"/>
              <w:jc w:val="center"/>
              <w:rPr>
                <w:rFonts w:eastAsia="Times New Roman" w:cs="Arial"/>
                <w:sz w:val="16"/>
                <w:szCs w:val="16"/>
                <w:lang w:eastAsia="fr-FR"/>
              </w:rPr>
            </w:pPr>
            <w:r w:rsidRPr="00622F40">
              <w:rPr>
                <w:sz w:val="16"/>
                <w:szCs w:val="16"/>
              </w:rPr>
              <w:t>6</w:t>
            </w:r>
            <w:r w:rsidR="00F712DE">
              <w:rPr>
                <w:sz w:val="16"/>
                <w:szCs w:val="16"/>
              </w:rPr>
              <w:t>.</w:t>
            </w:r>
            <w:r w:rsidRPr="00622F40">
              <w:rPr>
                <w:sz w:val="16"/>
                <w:szCs w:val="16"/>
              </w:rPr>
              <w:t>64</w:t>
            </w:r>
          </w:p>
        </w:tc>
        <w:tc>
          <w:tcPr>
            <w:tcW w:w="331" w:type="pct"/>
            <w:tcBorders>
              <w:top w:val="single" w:sz="4" w:space="0" w:color="auto"/>
              <w:left w:val="nil"/>
              <w:bottom w:val="single" w:sz="4" w:space="0" w:color="auto"/>
              <w:right w:val="single" w:sz="4" w:space="0" w:color="auto"/>
            </w:tcBorders>
            <w:vAlign w:val="center"/>
          </w:tcPr>
          <w:p w14:paraId="2C009A9F" w14:textId="77777777" w:rsidR="0064733B" w:rsidRDefault="0064733B" w:rsidP="00083302">
            <w:pPr>
              <w:spacing w:after="0" w:line="240" w:lineRule="auto"/>
              <w:jc w:val="center"/>
              <w:rPr>
                <w:rFonts w:eastAsia="Times New Roman" w:cs="Arial"/>
                <w:sz w:val="16"/>
                <w:szCs w:val="16"/>
                <w:lang w:eastAsia="fr-FR"/>
              </w:rPr>
            </w:pPr>
          </w:p>
        </w:tc>
      </w:tr>
    </w:tbl>
    <w:p w14:paraId="564F563A" w14:textId="0348CB4A" w:rsidR="007B2433" w:rsidRPr="002462F0" w:rsidRDefault="007B2433" w:rsidP="005F06B5">
      <w:pPr>
        <w:autoSpaceDE w:val="0"/>
        <w:autoSpaceDN w:val="0"/>
        <w:adjustRightInd w:val="0"/>
        <w:spacing w:after="0" w:line="240" w:lineRule="auto"/>
        <w:jc w:val="center"/>
        <w:rPr>
          <w:sz w:val="24"/>
          <w:szCs w:val="24"/>
          <w:lang w:eastAsia="fr-FR"/>
        </w:rPr>
      </w:pPr>
    </w:p>
    <w:p w14:paraId="25E85D13" w14:textId="77777777" w:rsidR="007B2433" w:rsidRPr="00D916DB" w:rsidRDefault="007B2433" w:rsidP="00AB11C1">
      <w:pPr>
        <w:pStyle w:val="BodyText"/>
        <w:numPr>
          <w:ilvl w:val="0"/>
          <w:numId w:val="45"/>
        </w:numPr>
        <w:rPr>
          <w:lang w:eastAsia="fr-FR"/>
        </w:rPr>
      </w:pPr>
      <w:r w:rsidRPr="00D916DB">
        <w:rPr>
          <w:lang w:eastAsia="fr-FR"/>
        </w:rPr>
        <w:t>Fraction of urban/rural population (Ui)</w:t>
      </w:r>
    </w:p>
    <w:p w14:paraId="5E477AB1" w14:textId="3FA2A718" w:rsidR="007B2433" w:rsidRPr="002462F0" w:rsidRDefault="007B2433" w:rsidP="00D916DB">
      <w:pPr>
        <w:pStyle w:val="BodyText"/>
        <w:rPr>
          <w:lang w:eastAsia="fr-FR"/>
        </w:rPr>
      </w:pPr>
      <w:r w:rsidRPr="002462F0">
        <w:rPr>
          <w:lang w:eastAsia="fr-FR"/>
        </w:rPr>
        <w:lastRenderedPageBreak/>
        <w:t>Concerning wastewater treatment, consistently with the 2006 IPCC Guidelines recommendation, the Serbian inventory has been developed to allow a distinction between urban and rural population</w:t>
      </w:r>
      <w:r w:rsidR="00967A26">
        <w:rPr>
          <w:lang w:eastAsia="fr-FR"/>
        </w:rPr>
        <w:t>s</w:t>
      </w:r>
      <w:r w:rsidRPr="002462F0">
        <w:rPr>
          <w:lang w:eastAsia="fr-FR"/>
        </w:rPr>
        <w:t>.</w:t>
      </w:r>
    </w:p>
    <w:p w14:paraId="773ABB81" w14:textId="1C5E15D2" w:rsidR="007B2433" w:rsidRPr="002462F0" w:rsidRDefault="007B2433" w:rsidP="00D916DB">
      <w:pPr>
        <w:pStyle w:val="BodyText"/>
        <w:rPr>
          <w:lang w:eastAsia="fr-FR"/>
        </w:rPr>
      </w:pPr>
      <w:r w:rsidRPr="002462F0">
        <w:rPr>
          <w:lang w:eastAsia="fr-FR"/>
        </w:rPr>
        <w:t>The fraction of urban population is considered to be 59% all over the timeseries.</w:t>
      </w:r>
    </w:p>
    <w:p w14:paraId="23383096" w14:textId="77777777" w:rsidR="007B2433" w:rsidRPr="00D916DB" w:rsidRDefault="007B2433" w:rsidP="00AB11C1">
      <w:pPr>
        <w:pStyle w:val="BodyText"/>
        <w:numPr>
          <w:ilvl w:val="0"/>
          <w:numId w:val="45"/>
        </w:numPr>
        <w:rPr>
          <w:lang w:eastAsia="fr-FR"/>
        </w:rPr>
      </w:pPr>
      <w:r w:rsidRPr="00D916DB">
        <w:rPr>
          <w:lang w:eastAsia="fr-FR"/>
        </w:rPr>
        <w:t>Degree of utilisation of treatment/discharge pathway or system (</w:t>
      </w:r>
      <w:proofErr w:type="spellStart"/>
      <w:r w:rsidRPr="00D916DB">
        <w:rPr>
          <w:lang w:eastAsia="fr-FR"/>
        </w:rPr>
        <w:t>Ti,j</w:t>
      </w:r>
      <w:proofErr w:type="spellEnd"/>
      <w:r w:rsidRPr="00D916DB">
        <w:rPr>
          <w:lang w:eastAsia="fr-FR"/>
        </w:rPr>
        <w:t>)</w:t>
      </w:r>
    </w:p>
    <w:p w14:paraId="3DACB38C" w14:textId="6077EBDC" w:rsidR="007B2433" w:rsidRPr="002462F0" w:rsidRDefault="007B2433" w:rsidP="00D916DB">
      <w:pPr>
        <w:pStyle w:val="BodyText"/>
        <w:rPr>
          <w:lang w:eastAsia="fr-FR"/>
        </w:rPr>
      </w:pPr>
      <w:r w:rsidRPr="002462F0">
        <w:rPr>
          <w:lang w:eastAsia="fr-FR"/>
        </w:rPr>
        <w:t xml:space="preserve">Two </w:t>
      </w:r>
      <w:proofErr w:type="spellStart"/>
      <w:r w:rsidRPr="002462F0">
        <w:rPr>
          <w:lang w:eastAsia="fr-FR"/>
        </w:rPr>
        <w:t>Ti,j</w:t>
      </w:r>
      <w:proofErr w:type="spellEnd"/>
      <w:r w:rsidRPr="002462F0">
        <w:rPr>
          <w:lang w:eastAsia="fr-FR"/>
        </w:rPr>
        <w:t xml:space="preserve">  are used in the Serbian inventory, one dedicated to urban areas and the other one to rural areas. These parameters are considered as constant all over the timeseries.</w:t>
      </w:r>
    </w:p>
    <w:p w14:paraId="48EDE525" w14:textId="27F87FA1" w:rsidR="00957F2B" w:rsidRPr="002462F0" w:rsidRDefault="00D85B44" w:rsidP="00E13FD9">
      <w:pPr>
        <w:pStyle w:val="Caption"/>
        <w:jc w:val="left"/>
      </w:pPr>
      <w:bookmarkStart w:id="1180" w:name="_Toc184808601"/>
      <w:r>
        <w:t xml:space="preserve">Table </w:t>
      </w:r>
      <w:r>
        <w:fldChar w:fldCharType="begin"/>
      </w:r>
      <w:r>
        <w:instrText xml:space="preserve"> SEQ Table \* ARABIC </w:instrText>
      </w:r>
      <w:r>
        <w:fldChar w:fldCharType="separate"/>
      </w:r>
      <w:r w:rsidR="00F14C78">
        <w:rPr>
          <w:noProof/>
        </w:rPr>
        <w:t>57</w:t>
      </w:r>
      <w:r>
        <w:fldChar w:fldCharType="end"/>
      </w:r>
      <w:r>
        <w:t>: Degree of utilisation of treatment/discharge pathway or system (</w:t>
      </w:r>
      <w:proofErr w:type="spellStart"/>
      <w:r>
        <w:t>Ti,j</w:t>
      </w:r>
      <w:proofErr w:type="spellEnd"/>
      <w:r>
        <w:t>), used in Serbian inventory</w:t>
      </w:r>
      <w:bookmarkEnd w:id="1180"/>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0"/>
        <w:gridCol w:w="1620"/>
        <w:gridCol w:w="1620"/>
      </w:tblGrid>
      <w:tr w:rsidR="00CA0F1B" w:rsidRPr="00434AC8" w14:paraId="51081A4C" w14:textId="20254A10" w:rsidTr="00E13FD9">
        <w:trPr>
          <w:trHeight w:val="255"/>
          <w:jc w:val="center"/>
        </w:trPr>
        <w:tc>
          <w:tcPr>
            <w:tcW w:w="5680" w:type="dxa"/>
            <w:shd w:val="clear" w:color="auto" w:fill="C6D9F1" w:themeFill="text2" w:themeFillTint="33"/>
            <w:noWrap/>
            <w:vAlign w:val="center"/>
          </w:tcPr>
          <w:p w14:paraId="1B6D4FED" w14:textId="64DD44CC" w:rsidR="00CA0F1B" w:rsidRPr="00622F40" w:rsidRDefault="00CA0F1B" w:rsidP="00101503">
            <w:pPr>
              <w:spacing w:after="0" w:line="240" w:lineRule="auto"/>
              <w:jc w:val="left"/>
              <w:rPr>
                <w:rFonts w:eastAsia="Times New Roman" w:cstheme="minorHAnsi"/>
                <w:b/>
                <w:bCs/>
                <w:szCs w:val="20"/>
                <w:lang w:val="en-US" w:eastAsia="fr-FR"/>
              </w:rPr>
            </w:pPr>
            <w:r w:rsidRPr="00622F40">
              <w:rPr>
                <w:rFonts w:eastAsia="Times New Roman" w:cstheme="minorHAnsi"/>
                <w:b/>
                <w:bCs/>
                <w:szCs w:val="20"/>
                <w:lang w:val="en-US" w:eastAsia="fr-FR"/>
              </w:rPr>
              <w:t>Treatment/discharge system</w:t>
            </w:r>
          </w:p>
        </w:tc>
        <w:tc>
          <w:tcPr>
            <w:tcW w:w="1620" w:type="dxa"/>
            <w:shd w:val="clear" w:color="auto" w:fill="C6D9F1" w:themeFill="text2" w:themeFillTint="33"/>
            <w:vAlign w:val="center"/>
          </w:tcPr>
          <w:p w14:paraId="4B9FEB06" w14:textId="5ACD375E" w:rsidR="00CA0F1B" w:rsidRPr="00622F40" w:rsidRDefault="00CA0F1B" w:rsidP="00101503">
            <w:pPr>
              <w:spacing w:after="0"/>
              <w:jc w:val="center"/>
              <w:rPr>
                <w:rFonts w:cstheme="minorHAnsi"/>
                <w:b/>
                <w:bCs/>
                <w:szCs w:val="20"/>
              </w:rPr>
            </w:pPr>
            <w:r w:rsidRPr="00622F40">
              <w:rPr>
                <w:rFonts w:cstheme="minorHAnsi"/>
                <w:b/>
                <w:bCs/>
                <w:szCs w:val="20"/>
              </w:rPr>
              <w:t>Urban</w:t>
            </w:r>
          </w:p>
        </w:tc>
        <w:tc>
          <w:tcPr>
            <w:tcW w:w="1620" w:type="dxa"/>
            <w:shd w:val="clear" w:color="auto" w:fill="C6D9F1" w:themeFill="text2" w:themeFillTint="33"/>
          </w:tcPr>
          <w:p w14:paraId="51970960" w14:textId="56B6B4F2" w:rsidR="00CA0F1B" w:rsidRPr="00CA0F1B" w:rsidRDefault="00CA0F1B" w:rsidP="00101503">
            <w:pPr>
              <w:spacing w:after="0"/>
              <w:jc w:val="center"/>
              <w:rPr>
                <w:rFonts w:cstheme="minorHAnsi"/>
                <w:b/>
                <w:bCs/>
                <w:szCs w:val="20"/>
              </w:rPr>
            </w:pPr>
            <w:r>
              <w:rPr>
                <w:rFonts w:cstheme="minorHAnsi"/>
                <w:b/>
                <w:bCs/>
                <w:szCs w:val="20"/>
              </w:rPr>
              <w:t>Rural</w:t>
            </w:r>
          </w:p>
        </w:tc>
      </w:tr>
      <w:tr w:rsidR="00CA0F1B" w:rsidRPr="00434AC8" w14:paraId="1E4DDE52" w14:textId="647ADA2A" w:rsidTr="00622F40">
        <w:trPr>
          <w:trHeight w:val="255"/>
          <w:jc w:val="center"/>
        </w:trPr>
        <w:tc>
          <w:tcPr>
            <w:tcW w:w="5680" w:type="dxa"/>
            <w:shd w:val="clear" w:color="auto" w:fill="auto"/>
            <w:noWrap/>
            <w:vAlign w:val="center"/>
            <w:hideMark/>
          </w:tcPr>
          <w:p w14:paraId="33008932" w14:textId="77777777" w:rsidR="00CA0F1B" w:rsidRPr="00622F40" w:rsidRDefault="00CA0F1B" w:rsidP="00101503">
            <w:pPr>
              <w:spacing w:after="0" w:line="240" w:lineRule="auto"/>
              <w:jc w:val="left"/>
              <w:rPr>
                <w:rFonts w:eastAsia="Times New Roman" w:cstheme="minorHAnsi"/>
                <w:szCs w:val="20"/>
                <w:lang w:val="en-US" w:eastAsia="fr-FR"/>
              </w:rPr>
            </w:pPr>
            <w:r w:rsidRPr="00622F40">
              <w:rPr>
                <w:rFonts w:eastAsia="Times New Roman" w:cstheme="minorHAnsi"/>
                <w:szCs w:val="20"/>
                <w:lang w:val="en-US" w:eastAsia="fr-FR"/>
              </w:rPr>
              <w:t>Wastewater treatment plants well managed</w:t>
            </w:r>
          </w:p>
        </w:tc>
        <w:tc>
          <w:tcPr>
            <w:tcW w:w="1620" w:type="dxa"/>
            <w:vAlign w:val="center"/>
          </w:tcPr>
          <w:p w14:paraId="369C1E94" w14:textId="065CC77D" w:rsidR="00CA0F1B" w:rsidRPr="00622F40" w:rsidRDefault="00CA0F1B" w:rsidP="00101503">
            <w:pPr>
              <w:spacing w:after="0"/>
              <w:jc w:val="center"/>
              <w:rPr>
                <w:rFonts w:eastAsia="Times New Roman" w:cstheme="minorHAnsi"/>
                <w:szCs w:val="20"/>
                <w:lang w:val="en-US" w:eastAsia="fr-FR"/>
              </w:rPr>
            </w:pPr>
            <w:r w:rsidRPr="00622F40">
              <w:rPr>
                <w:rFonts w:cstheme="minorHAnsi"/>
                <w:szCs w:val="20"/>
              </w:rPr>
              <w:t>10%</w:t>
            </w:r>
          </w:p>
        </w:tc>
        <w:tc>
          <w:tcPr>
            <w:tcW w:w="1620" w:type="dxa"/>
          </w:tcPr>
          <w:p w14:paraId="5810657B" w14:textId="7AE6B442" w:rsidR="00CA0F1B" w:rsidRPr="00CA0F1B" w:rsidRDefault="0016792A" w:rsidP="00101503">
            <w:pPr>
              <w:spacing w:after="0"/>
              <w:jc w:val="center"/>
              <w:rPr>
                <w:rFonts w:cstheme="minorHAnsi"/>
                <w:szCs w:val="20"/>
              </w:rPr>
            </w:pPr>
            <w:r>
              <w:rPr>
                <w:rFonts w:cstheme="minorHAnsi"/>
                <w:szCs w:val="20"/>
              </w:rPr>
              <w:t>0%</w:t>
            </w:r>
          </w:p>
        </w:tc>
      </w:tr>
      <w:tr w:rsidR="00CA0F1B" w:rsidRPr="00434AC8" w14:paraId="49450E43" w14:textId="41619E05" w:rsidTr="00622F40">
        <w:trPr>
          <w:trHeight w:val="255"/>
          <w:jc w:val="center"/>
        </w:trPr>
        <w:tc>
          <w:tcPr>
            <w:tcW w:w="5680" w:type="dxa"/>
            <w:shd w:val="clear" w:color="auto" w:fill="auto"/>
            <w:noWrap/>
            <w:vAlign w:val="center"/>
            <w:hideMark/>
          </w:tcPr>
          <w:p w14:paraId="2C56BF5D" w14:textId="77777777" w:rsidR="00CA0F1B" w:rsidRPr="00622F40" w:rsidRDefault="00CA0F1B" w:rsidP="00101503">
            <w:pPr>
              <w:spacing w:after="0" w:line="240" w:lineRule="auto"/>
              <w:jc w:val="left"/>
              <w:rPr>
                <w:rFonts w:eastAsia="Times New Roman" w:cstheme="minorHAnsi"/>
                <w:szCs w:val="20"/>
                <w:lang w:val="en-US" w:eastAsia="fr-FR"/>
              </w:rPr>
            </w:pPr>
            <w:r w:rsidRPr="00622F40">
              <w:rPr>
                <w:rFonts w:eastAsia="Times New Roman" w:cstheme="minorHAnsi"/>
                <w:szCs w:val="20"/>
                <w:lang w:val="en-US" w:eastAsia="fr-FR"/>
              </w:rPr>
              <w:t>Wastewater treatment plants not well managed</w:t>
            </w:r>
          </w:p>
        </w:tc>
        <w:tc>
          <w:tcPr>
            <w:tcW w:w="0" w:type="auto"/>
            <w:vAlign w:val="center"/>
          </w:tcPr>
          <w:p w14:paraId="16F828E1" w14:textId="305DC893" w:rsidR="00CA0F1B" w:rsidRPr="00622F40" w:rsidRDefault="00CA0F1B" w:rsidP="00101503">
            <w:pPr>
              <w:spacing w:after="0"/>
              <w:jc w:val="center"/>
              <w:rPr>
                <w:rFonts w:eastAsia="Times New Roman" w:cstheme="minorHAnsi"/>
                <w:szCs w:val="20"/>
                <w:lang w:val="en-US" w:eastAsia="fr-FR"/>
              </w:rPr>
            </w:pPr>
            <w:r w:rsidRPr="00622F40">
              <w:rPr>
                <w:rFonts w:cstheme="minorHAnsi"/>
                <w:szCs w:val="20"/>
              </w:rPr>
              <w:t>10%</w:t>
            </w:r>
          </w:p>
        </w:tc>
        <w:tc>
          <w:tcPr>
            <w:tcW w:w="0" w:type="auto"/>
          </w:tcPr>
          <w:p w14:paraId="58F7FFF4" w14:textId="78016A7C" w:rsidR="00CA0F1B" w:rsidRPr="00CA0F1B" w:rsidRDefault="0016792A" w:rsidP="00101503">
            <w:pPr>
              <w:spacing w:after="0"/>
              <w:jc w:val="center"/>
              <w:rPr>
                <w:rFonts w:cstheme="minorHAnsi"/>
                <w:szCs w:val="20"/>
              </w:rPr>
            </w:pPr>
            <w:r>
              <w:rPr>
                <w:rFonts w:cstheme="minorHAnsi"/>
                <w:szCs w:val="20"/>
              </w:rPr>
              <w:t>0%</w:t>
            </w:r>
          </w:p>
        </w:tc>
      </w:tr>
      <w:tr w:rsidR="00CA0F1B" w:rsidRPr="00434AC8" w14:paraId="537B0D06" w14:textId="7769BAB0" w:rsidTr="00622F40">
        <w:trPr>
          <w:trHeight w:val="255"/>
          <w:jc w:val="center"/>
        </w:trPr>
        <w:tc>
          <w:tcPr>
            <w:tcW w:w="5680" w:type="dxa"/>
            <w:shd w:val="clear" w:color="auto" w:fill="auto"/>
            <w:noWrap/>
            <w:vAlign w:val="center"/>
            <w:hideMark/>
          </w:tcPr>
          <w:p w14:paraId="794107F6" w14:textId="77777777" w:rsidR="00CA0F1B" w:rsidRPr="00622F40" w:rsidRDefault="00CA0F1B" w:rsidP="00101503">
            <w:pPr>
              <w:spacing w:after="0" w:line="240" w:lineRule="auto"/>
              <w:jc w:val="left"/>
              <w:rPr>
                <w:rFonts w:eastAsia="Times New Roman" w:cstheme="minorHAnsi"/>
                <w:szCs w:val="20"/>
                <w:lang w:val="fr-FR" w:eastAsia="fr-FR"/>
              </w:rPr>
            </w:pPr>
            <w:proofErr w:type="spellStart"/>
            <w:r w:rsidRPr="00622F40">
              <w:rPr>
                <w:rFonts w:eastAsia="Times New Roman" w:cstheme="minorHAnsi"/>
                <w:szCs w:val="20"/>
                <w:lang w:val="fr-FR" w:eastAsia="fr-FR"/>
              </w:rPr>
              <w:t>Anaerobic</w:t>
            </w:r>
            <w:proofErr w:type="spellEnd"/>
            <w:r w:rsidRPr="00622F40">
              <w:rPr>
                <w:rFonts w:eastAsia="Times New Roman" w:cstheme="minorHAnsi"/>
                <w:szCs w:val="20"/>
                <w:lang w:val="fr-FR" w:eastAsia="fr-FR"/>
              </w:rPr>
              <w:t xml:space="preserve"> </w:t>
            </w:r>
            <w:proofErr w:type="spellStart"/>
            <w:r w:rsidRPr="00622F40">
              <w:rPr>
                <w:rFonts w:eastAsia="Times New Roman" w:cstheme="minorHAnsi"/>
                <w:szCs w:val="20"/>
                <w:lang w:val="fr-FR" w:eastAsia="fr-FR"/>
              </w:rPr>
              <w:t>shallow</w:t>
            </w:r>
            <w:proofErr w:type="spellEnd"/>
            <w:r w:rsidRPr="00622F40">
              <w:rPr>
                <w:rFonts w:eastAsia="Times New Roman" w:cstheme="minorHAnsi"/>
                <w:szCs w:val="20"/>
                <w:lang w:val="fr-FR" w:eastAsia="fr-FR"/>
              </w:rPr>
              <w:t xml:space="preserve"> </w:t>
            </w:r>
            <w:proofErr w:type="spellStart"/>
            <w:r w:rsidRPr="00622F40">
              <w:rPr>
                <w:rFonts w:eastAsia="Times New Roman" w:cstheme="minorHAnsi"/>
                <w:szCs w:val="20"/>
                <w:lang w:val="fr-FR" w:eastAsia="fr-FR"/>
              </w:rPr>
              <w:t>lagoons</w:t>
            </w:r>
            <w:proofErr w:type="spellEnd"/>
          </w:p>
        </w:tc>
        <w:tc>
          <w:tcPr>
            <w:tcW w:w="0" w:type="auto"/>
            <w:vAlign w:val="center"/>
          </w:tcPr>
          <w:p w14:paraId="4EDB7096" w14:textId="18E471CB" w:rsidR="00CA0F1B" w:rsidRPr="00622F40" w:rsidRDefault="00CA0F1B" w:rsidP="00101503">
            <w:pPr>
              <w:spacing w:after="0"/>
              <w:jc w:val="center"/>
              <w:rPr>
                <w:rFonts w:eastAsia="Times New Roman" w:cstheme="minorHAnsi"/>
                <w:szCs w:val="20"/>
                <w:lang w:val="fr-FR" w:eastAsia="fr-FR"/>
              </w:rPr>
            </w:pPr>
            <w:r w:rsidRPr="00622F40">
              <w:rPr>
                <w:rFonts w:cstheme="minorHAnsi"/>
                <w:szCs w:val="20"/>
              </w:rPr>
              <w:t>0%</w:t>
            </w:r>
          </w:p>
        </w:tc>
        <w:tc>
          <w:tcPr>
            <w:tcW w:w="0" w:type="auto"/>
          </w:tcPr>
          <w:p w14:paraId="2E2BFC55" w14:textId="7E56D7A7" w:rsidR="00CA0F1B" w:rsidRPr="00CA0F1B" w:rsidRDefault="0016792A" w:rsidP="00101503">
            <w:pPr>
              <w:spacing w:after="0"/>
              <w:jc w:val="center"/>
              <w:rPr>
                <w:rFonts w:cstheme="minorHAnsi"/>
                <w:szCs w:val="20"/>
              </w:rPr>
            </w:pPr>
            <w:r>
              <w:rPr>
                <w:rFonts w:cstheme="minorHAnsi"/>
                <w:szCs w:val="20"/>
              </w:rPr>
              <w:t>0%</w:t>
            </w:r>
          </w:p>
        </w:tc>
      </w:tr>
      <w:tr w:rsidR="00CA0F1B" w:rsidRPr="00434AC8" w14:paraId="1F9A10C9" w14:textId="04B21BC6" w:rsidTr="00622F40">
        <w:trPr>
          <w:trHeight w:val="255"/>
          <w:jc w:val="center"/>
        </w:trPr>
        <w:tc>
          <w:tcPr>
            <w:tcW w:w="5680" w:type="dxa"/>
            <w:shd w:val="clear" w:color="auto" w:fill="auto"/>
            <w:noWrap/>
            <w:vAlign w:val="center"/>
            <w:hideMark/>
          </w:tcPr>
          <w:p w14:paraId="32AF738D" w14:textId="77777777" w:rsidR="00CA0F1B" w:rsidRPr="00622F40" w:rsidRDefault="00CA0F1B" w:rsidP="00101503">
            <w:pPr>
              <w:spacing w:after="0" w:line="240" w:lineRule="auto"/>
              <w:jc w:val="left"/>
              <w:rPr>
                <w:rFonts w:eastAsia="Times New Roman" w:cstheme="minorHAnsi"/>
                <w:szCs w:val="20"/>
                <w:lang w:val="fr-FR" w:eastAsia="fr-FR"/>
              </w:rPr>
            </w:pPr>
            <w:proofErr w:type="spellStart"/>
            <w:r w:rsidRPr="00622F40">
              <w:rPr>
                <w:rFonts w:eastAsia="Times New Roman" w:cstheme="minorHAnsi"/>
                <w:szCs w:val="20"/>
                <w:lang w:val="fr-FR" w:eastAsia="fr-FR"/>
              </w:rPr>
              <w:t>Anaerobic</w:t>
            </w:r>
            <w:proofErr w:type="spellEnd"/>
            <w:r w:rsidRPr="00622F40">
              <w:rPr>
                <w:rFonts w:eastAsia="Times New Roman" w:cstheme="minorHAnsi"/>
                <w:szCs w:val="20"/>
                <w:lang w:val="fr-FR" w:eastAsia="fr-FR"/>
              </w:rPr>
              <w:t xml:space="preserve"> </w:t>
            </w:r>
            <w:proofErr w:type="spellStart"/>
            <w:r w:rsidRPr="00622F40">
              <w:rPr>
                <w:rFonts w:eastAsia="Times New Roman" w:cstheme="minorHAnsi"/>
                <w:szCs w:val="20"/>
                <w:lang w:val="fr-FR" w:eastAsia="fr-FR"/>
              </w:rPr>
              <w:t>deep</w:t>
            </w:r>
            <w:proofErr w:type="spellEnd"/>
            <w:r w:rsidRPr="00622F40">
              <w:rPr>
                <w:rFonts w:eastAsia="Times New Roman" w:cstheme="minorHAnsi"/>
                <w:szCs w:val="20"/>
                <w:lang w:val="fr-FR" w:eastAsia="fr-FR"/>
              </w:rPr>
              <w:t xml:space="preserve"> </w:t>
            </w:r>
            <w:proofErr w:type="spellStart"/>
            <w:r w:rsidRPr="00622F40">
              <w:rPr>
                <w:rFonts w:eastAsia="Times New Roman" w:cstheme="minorHAnsi"/>
                <w:szCs w:val="20"/>
                <w:lang w:val="fr-FR" w:eastAsia="fr-FR"/>
              </w:rPr>
              <w:t>lagoons</w:t>
            </w:r>
            <w:proofErr w:type="spellEnd"/>
          </w:p>
        </w:tc>
        <w:tc>
          <w:tcPr>
            <w:tcW w:w="0" w:type="auto"/>
            <w:vAlign w:val="center"/>
          </w:tcPr>
          <w:p w14:paraId="0FF0AFEF" w14:textId="0EEE29AD" w:rsidR="00CA0F1B" w:rsidRPr="00622F40" w:rsidRDefault="00CA0F1B" w:rsidP="00101503">
            <w:pPr>
              <w:spacing w:after="0"/>
              <w:jc w:val="center"/>
              <w:rPr>
                <w:rFonts w:eastAsia="Times New Roman" w:cstheme="minorHAnsi"/>
                <w:szCs w:val="20"/>
                <w:lang w:val="fr-FR" w:eastAsia="fr-FR"/>
              </w:rPr>
            </w:pPr>
            <w:r w:rsidRPr="00622F40">
              <w:rPr>
                <w:rFonts w:cstheme="minorHAnsi"/>
                <w:szCs w:val="20"/>
              </w:rPr>
              <w:t>0%</w:t>
            </w:r>
          </w:p>
        </w:tc>
        <w:tc>
          <w:tcPr>
            <w:tcW w:w="0" w:type="auto"/>
          </w:tcPr>
          <w:p w14:paraId="3FE0348D" w14:textId="61FA3130" w:rsidR="00CA0F1B" w:rsidRPr="00CA0F1B" w:rsidRDefault="0016792A" w:rsidP="00101503">
            <w:pPr>
              <w:spacing w:after="0"/>
              <w:jc w:val="center"/>
              <w:rPr>
                <w:rFonts w:cstheme="minorHAnsi"/>
                <w:szCs w:val="20"/>
              </w:rPr>
            </w:pPr>
            <w:r>
              <w:rPr>
                <w:rFonts w:cstheme="minorHAnsi"/>
                <w:szCs w:val="20"/>
              </w:rPr>
              <w:t>0%</w:t>
            </w:r>
          </w:p>
        </w:tc>
      </w:tr>
      <w:tr w:rsidR="00CA0F1B" w:rsidRPr="00434AC8" w14:paraId="07EB969E" w14:textId="67F91442" w:rsidTr="00622F40">
        <w:trPr>
          <w:trHeight w:val="255"/>
          <w:jc w:val="center"/>
        </w:trPr>
        <w:tc>
          <w:tcPr>
            <w:tcW w:w="5680" w:type="dxa"/>
            <w:shd w:val="clear" w:color="auto" w:fill="auto"/>
            <w:noWrap/>
            <w:vAlign w:val="center"/>
            <w:hideMark/>
          </w:tcPr>
          <w:p w14:paraId="7482A1E5" w14:textId="77777777" w:rsidR="00CA0F1B" w:rsidRPr="00622F40" w:rsidRDefault="00CA0F1B" w:rsidP="00101503">
            <w:pPr>
              <w:spacing w:after="0" w:line="240" w:lineRule="auto"/>
              <w:jc w:val="left"/>
              <w:rPr>
                <w:rFonts w:eastAsia="Times New Roman" w:cstheme="minorHAnsi"/>
                <w:szCs w:val="20"/>
                <w:lang w:val="fr-FR" w:eastAsia="fr-FR"/>
              </w:rPr>
            </w:pPr>
            <w:proofErr w:type="spellStart"/>
            <w:r w:rsidRPr="00622F40">
              <w:rPr>
                <w:rFonts w:eastAsia="Times New Roman" w:cstheme="minorHAnsi"/>
                <w:szCs w:val="20"/>
                <w:lang w:val="fr-FR" w:eastAsia="fr-FR"/>
              </w:rPr>
              <w:t>Discharge</w:t>
            </w:r>
            <w:proofErr w:type="spellEnd"/>
            <w:r w:rsidRPr="00622F40">
              <w:rPr>
                <w:rFonts w:eastAsia="Times New Roman" w:cstheme="minorHAnsi"/>
                <w:szCs w:val="20"/>
                <w:lang w:val="fr-FR" w:eastAsia="fr-FR"/>
              </w:rPr>
              <w:t xml:space="preserve"> of </w:t>
            </w:r>
            <w:proofErr w:type="spellStart"/>
            <w:r w:rsidRPr="00622F40">
              <w:rPr>
                <w:rFonts w:eastAsia="Times New Roman" w:cstheme="minorHAnsi"/>
                <w:szCs w:val="20"/>
                <w:lang w:val="fr-FR" w:eastAsia="fr-FR"/>
              </w:rPr>
              <w:t>treated</w:t>
            </w:r>
            <w:proofErr w:type="spellEnd"/>
            <w:r w:rsidRPr="00622F40">
              <w:rPr>
                <w:rFonts w:eastAsia="Times New Roman" w:cstheme="minorHAnsi"/>
                <w:szCs w:val="20"/>
                <w:lang w:val="fr-FR" w:eastAsia="fr-FR"/>
              </w:rPr>
              <w:t xml:space="preserve"> </w:t>
            </w:r>
            <w:proofErr w:type="spellStart"/>
            <w:r w:rsidRPr="00622F40">
              <w:rPr>
                <w:rFonts w:eastAsia="Times New Roman" w:cstheme="minorHAnsi"/>
                <w:szCs w:val="20"/>
                <w:lang w:val="fr-FR" w:eastAsia="fr-FR"/>
              </w:rPr>
              <w:t>wastewater</w:t>
            </w:r>
            <w:proofErr w:type="spellEnd"/>
            <w:r w:rsidRPr="00622F40">
              <w:rPr>
                <w:rFonts w:eastAsia="Times New Roman" w:cstheme="minorHAnsi"/>
                <w:szCs w:val="20"/>
                <w:lang w:val="fr-FR" w:eastAsia="fr-FR"/>
              </w:rPr>
              <w:t xml:space="preserve"> </w:t>
            </w:r>
          </w:p>
        </w:tc>
        <w:tc>
          <w:tcPr>
            <w:tcW w:w="0" w:type="auto"/>
            <w:vAlign w:val="center"/>
          </w:tcPr>
          <w:p w14:paraId="5289B4D8" w14:textId="61C19CC6" w:rsidR="00CA0F1B" w:rsidRPr="00622F40" w:rsidRDefault="00CA0F1B" w:rsidP="00101503">
            <w:pPr>
              <w:spacing w:after="0"/>
              <w:jc w:val="center"/>
              <w:rPr>
                <w:rFonts w:eastAsia="Times New Roman" w:cstheme="minorHAnsi"/>
                <w:szCs w:val="20"/>
                <w:lang w:val="fr-FR" w:eastAsia="fr-FR"/>
              </w:rPr>
            </w:pPr>
            <w:r w:rsidRPr="00622F40">
              <w:rPr>
                <w:rFonts w:cstheme="minorHAnsi"/>
                <w:szCs w:val="20"/>
              </w:rPr>
              <w:t>0%</w:t>
            </w:r>
          </w:p>
        </w:tc>
        <w:tc>
          <w:tcPr>
            <w:tcW w:w="0" w:type="auto"/>
          </w:tcPr>
          <w:p w14:paraId="598B0603" w14:textId="1BA6B0A6" w:rsidR="00CA0F1B" w:rsidRPr="00CA0F1B" w:rsidRDefault="0016792A" w:rsidP="00101503">
            <w:pPr>
              <w:spacing w:after="0"/>
              <w:jc w:val="center"/>
              <w:rPr>
                <w:rFonts w:cstheme="minorHAnsi"/>
                <w:szCs w:val="20"/>
              </w:rPr>
            </w:pPr>
            <w:r>
              <w:rPr>
                <w:rFonts w:cstheme="minorHAnsi"/>
                <w:szCs w:val="20"/>
              </w:rPr>
              <w:t>0%</w:t>
            </w:r>
          </w:p>
        </w:tc>
      </w:tr>
      <w:tr w:rsidR="00CA0F1B" w:rsidRPr="00434AC8" w14:paraId="1E5A31CF" w14:textId="3344180A" w:rsidTr="00622F40">
        <w:trPr>
          <w:trHeight w:val="255"/>
          <w:jc w:val="center"/>
        </w:trPr>
        <w:tc>
          <w:tcPr>
            <w:tcW w:w="5680" w:type="dxa"/>
            <w:shd w:val="clear" w:color="auto" w:fill="auto"/>
            <w:noWrap/>
            <w:vAlign w:val="center"/>
            <w:hideMark/>
          </w:tcPr>
          <w:p w14:paraId="73FDDE32" w14:textId="77777777" w:rsidR="00CA0F1B" w:rsidRPr="00622F40" w:rsidRDefault="00CA0F1B" w:rsidP="00101503">
            <w:pPr>
              <w:spacing w:after="0" w:line="240" w:lineRule="auto"/>
              <w:jc w:val="left"/>
              <w:rPr>
                <w:rFonts w:eastAsia="Times New Roman" w:cstheme="minorHAnsi"/>
                <w:szCs w:val="20"/>
                <w:lang w:val="fr-FR" w:eastAsia="fr-FR"/>
              </w:rPr>
            </w:pPr>
            <w:r w:rsidRPr="00622F40">
              <w:rPr>
                <w:rFonts w:eastAsia="Times New Roman" w:cstheme="minorHAnsi"/>
                <w:szCs w:val="20"/>
                <w:lang w:val="fr-FR" w:eastAsia="fr-FR"/>
              </w:rPr>
              <w:t xml:space="preserve">Direct </w:t>
            </w:r>
            <w:proofErr w:type="spellStart"/>
            <w:r w:rsidRPr="00622F40">
              <w:rPr>
                <w:rFonts w:eastAsia="Times New Roman" w:cstheme="minorHAnsi"/>
                <w:szCs w:val="20"/>
                <w:lang w:val="fr-FR" w:eastAsia="fr-FR"/>
              </w:rPr>
              <w:t>discharge</w:t>
            </w:r>
            <w:proofErr w:type="spellEnd"/>
            <w:r w:rsidRPr="00622F40">
              <w:rPr>
                <w:rFonts w:eastAsia="Times New Roman" w:cstheme="minorHAnsi"/>
                <w:szCs w:val="20"/>
                <w:lang w:val="fr-FR" w:eastAsia="fr-FR"/>
              </w:rPr>
              <w:t xml:space="preserve"> (</w:t>
            </w:r>
            <w:proofErr w:type="spellStart"/>
            <w:r w:rsidRPr="00622F40">
              <w:rPr>
                <w:rFonts w:eastAsia="Times New Roman" w:cstheme="minorHAnsi"/>
                <w:szCs w:val="20"/>
                <w:lang w:val="fr-FR" w:eastAsia="fr-FR"/>
              </w:rPr>
              <w:t>Untreated</w:t>
            </w:r>
            <w:proofErr w:type="spellEnd"/>
            <w:r w:rsidRPr="00622F40">
              <w:rPr>
                <w:rFonts w:eastAsia="Times New Roman" w:cstheme="minorHAnsi"/>
                <w:szCs w:val="20"/>
                <w:lang w:val="fr-FR" w:eastAsia="fr-FR"/>
              </w:rPr>
              <w:t>)</w:t>
            </w:r>
          </w:p>
        </w:tc>
        <w:tc>
          <w:tcPr>
            <w:tcW w:w="0" w:type="auto"/>
            <w:vAlign w:val="center"/>
          </w:tcPr>
          <w:p w14:paraId="6D422A35" w14:textId="5BA84A58" w:rsidR="00CA0F1B" w:rsidRPr="00622F40" w:rsidRDefault="00CA0F1B" w:rsidP="00101503">
            <w:pPr>
              <w:spacing w:after="0"/>
              <w:jc w:val="center"/>
              <w:rPr>
                <w:rFonts w:eastAsia="Times New Roman" w:cstheme="minorHAnsi"/>
                <w:szCs w:val="20"/>
                <w:lang w:val="fr-FR" w:eastAsia="fr-FR"/>
              </w:rPr>
            </w:pPr>
            <w:r w:rsidRPr="00622F40">
              <w:rPr>
                <w:rFonts w:cstheme="minorHAnsi"/>
                <w:szCs w:val="20"/>
              </w:rPr>
              <w:t>50%</w:t>
            </w:r>
          </w:p>
        </w:tc>
        <w:tc>
          <w:tcPr>
            <w:tcW w:w="0" w:type="auto"/>
          </w:tcPr>
          <w:p w14:paraId="565AFDFD" w14:textId="30E88EFD" w:rsidR="00CA0F1B" w:rsidRPr="00CA0F1B" w:rsidRDefault="0016792A" w:rsidP="00101503">
            <w:pPr>
              <w:spacing w:after="0"/>
              <w:jc w:val="center"/>
              <w:rPr>
                <w:rFonts w:cstheme="minorHAnsi"/>
                <w:szCs w:val="20"/>
              </w:rPr>
            </w:pPr>
            <w:r>
              <w:rPr>
                <w:rFonts w:cstheme="minorHAnsi"/>
                <w:szCs w:val="20"/>
              </w:rPr>
              <w:t>0%</w:t>
            </w:r>
          </w:p>
        </w:tc>
      </w:tr>
      <w:tr w:rsidR="00CA0F1B" w:rsidRPr="00434AC8" w14:paraId="714A2A50" w14:textId="64D4A651" w:rsidTr="00622F40">
        <w:trPr>
          <w:trHeight w:val="255"/>
          <w:jc w:val="center"/>
        </w:trPr>
        <w:tc>
          <w:tcPr>
            <w:tcW w:w="5680" w:type="dxa"/>
            <w:shd w:val="clear" w:color="auto" w:fill="auto"/>
            <w:noWrap/>
            <w:vAlign w:val="center"/>
            <w:hideMark/>
          </w:tcPr>
          <w:p w14:paraId="0535A41A" w14:textId="77777777" w:rsidR="00CA0F1B" w:rsidRPr="00622F40" w:rsidRDefault="00CA0F1B" w:rsidP="00101503">
            <w:pPr>
              <w:spacing w:after="0" w:line="240" w:lineRule="auto"/>
              <w:jc w:val="left"/>
              <w:rPr>
                <w:rFonts w:eastAsia="Times New Roman" w:cstheme="minorHAnsi"/>
                <w:szCs w:val="20"/>
                <w:lang w:val="fr-FR" w:eastAsia="fr-FR"/>
              </w:rPr>
            </w:pPr>
            <w:proofErr w:type="spellStart"/>
            <w:r w:rsidRPr="00622F40">
              <w:rPr>
                <w:rFonts w:eastAsia="Times New Roman" w:cstheme="minorHAnsi"/>
                <w:szCs w:val="20"/>
                <w:lang w:val="fr-FR" w:eastAsia="fr-FR"/>
              </w:rPr>
              <w:t>Septic</w:t>
            </w:r>
            <w:proofErr w:type="spellEnd"/>
            <w:r w:rsidRPr="00622F40">
              <w:rPr>
                <w:rFonts w:eastAsia="Times New Roman" w:cstheme="minorHAnsi"/>
                <w:szCs w:val="20"/>
                <w:lang w:val="fr-FR" w:eastAsia="fr-FR"/>
              </w:rPr>
              <w:t xml:space="preserve"> tanks</w:t>
            </w:r>
          </w:p>
        </w:tc>
        <w:tc>
          <w:tcPr>
            <w:tcW w:w="0" w:type="auto"/>
            <w:vAlign w:val="center"/>
          </w:tcPr>
          <w:p w14:paraId="75E51B03" w14:textId="6238F9D1" w:rsidR="00CA0F1B" w:rsidRPr="00622F40" w:rsidRDefault="00CA0F1B" w:rsidP="00101503">
            <w:pPr>
              <w:spacing w:after="0"/>
              <w:jc w:val="center"/>
              <w:rPr>
                <w:rFonts w:eastAsia="Times New Roman" w:cstheme="minorHAnsi"/>
                <w:szCs w:val="20"/>
                <w:lang w:val="fr-FR" w:eastAsia="fr-FR"/>
              </w:rPr>
            </w:pPr>
            <w:r w:rsidRPr="00622F40">
              <w:rPr>
                <w:rFonts w:cstheme="minorHAnsi"/>
                <w:szCs w:val="20"/>
              </w:rPr>
              <w:t>10%</w:t>
            </w:r>
          </w:p>
        </w:tc>
        <w:tc>
          <w:tcPr>
            <w:tcW w:w="0" w:type="auto"/>
          </w:tcPr>
          <w:p w14:paraId="4CFD656A" w14:textId="618B196C" w:rsidR="00CA0F1B" w:rsidRPr="00CA0F1B" w:rsidRDefault="0016792A" w:rsidP="00101503">
            <w:pPr>
              <w:spacing w:after="0"/>
              <w:jc w:val="center"/>
              <w:rPr>
                <w:rFonts w:cstheme="minorHAnsi"/>
                <w:szCs w:val="20"/>
              </w:rPr>
            </w:pPr>
            <w:r>
              <w:rPr>
                <w:rFonts w:cstheme="minorHAnsi"/>
                <w:szCs w:val="20"/>
              </w:rPr>
              <w:t>50%</w:t>
            </w:r>
          </w:p>
        </w:tc>
      </w:tr>
      <w:tr w:rsidR="00CA0F1B" w:rsidRPr="00434AC8" w14:paraId="072127F2" w14:textId="72022AB1" w:rsidTr="00622F40">
        <w:trPr>
          <w:trHeight w:val="255"/>
          <w:jc w:val="center"/>
        </w:trPr>
        <w:tc>
          <w:tcPr>
            <w:tcW w:w="5680" w:type="dxa"/>
            <w:shd w:val="clear" w:color="auto" w:fill="auto"/>
            <w:noWrap/>
            <w:vAlign w:val="center"/>
            <w:hideMark/>
          </w:tcPr>
          <w:p w14:paraId="45463261" w14:textId="77777777" w:rsidR="00CA0F1B" w:rsidRPr="00622F40" w:rsidRDefault="00CA0F1B" w:rsidP="00101503">
            <w:pPr>
              <w:spacing w:after="0" w:line="240" w:lineRule="auto"/>
              <w:jc w:val="left"/>
              <w:rPr>
                <w:rFonts w:eastAsia="Times New Roman" w:cstheme="minorHAnsi"/>
                <w:szCs w:val="20"/>
                <w:lang w:val="fr-FR" w:eastAsia="fr-FR"/>
              </w:rPr>
            </w:pPr>
            <w:r w:rsidRPr="00622F40">
              <w:rPr>
                <w:rFonts w:eastAsia="Times New Roman" w:cstheme="minorHAnsi"/>
                <w:szCs w:val="20"/>
                <w:lang w:val="fr-FR" w:eastAsia="fr-FR"/>
              </w:rPr>
              <w:t>Latrine</w:t>
            </w:r>
          </w:p>
        </w:tc>
        <w:tc>
          <w:tcPr>
            <w:tcW w:w="0" w:type="auto"/>
            <w:vAlign w:val="center"/>
          </w:tcPr>
          <w:p w14:paraId="31077BB2" w14:textId="3ED4BDB0" w:rsidR="00CA0F1B" w:rsidRPr="00622F40" w:rsidRDefault="00CA0F1B" w:rsidP="00101503">
            <w:pPr>
              <w:spacing w:after="0"/>
              <w:jc w:val="center"/>
              <w:rPr>
                <w:rFonts w:eastAsia="Times New Roman" w:cstheme="minorHAnsi"/>
                <w:szCs w:val="20"/>
                <w:lang w:val="fr-FR" w:eastAsia="fr-FR"/>
              </w:rPr>
            </w:pPr>
            <w:r w:rsidRPr="00622F40">
              <w:rPr>
                <w:rFonts w:cstheme="minorHAnsi"/>
                <w:szCs w:val="20"/>
              </w:rPr>
              <w:t>0%</w:t>
            </w:r>
          </w:p>
        </w:tc>
        <w:tc>
          <w:tcPr>
            <w:tcW w:w="0" w:type="auto"/>
          </w:tcPr>
          <w:p w14:paraId="582CB8FE" w14:textId="225AF2AA" w:rsidR="00CA0F1B" w:rsidRPr="00CA0F1B" w:rsidRDefault="0016792A" w:rsidP="00101503">
            <w:pPr>
              <w:spacing w:after="0"/>
              <w:jc w:val="center"/>
              <w:rPr>
                <w:rFonts w:cstheme="minorHAnsi"/>
                <w:szCs w:val="20"/>
              </w:rPr>
            </w:pPr>
            <w:r>
              <w:rPr>
                <w:rFonts w:cstheme="minorHAnsi"/>
                <w:szCs w:val="20"/>
              </w:rPr>
              <w:t>0%</w:t>
            </w:r>
          </w:p>
        </w:tc>
      </w:tr>
      <w:tr w:rsidR="00CA0F1B" w:rsidRPr="00434AC8" w14:paraId="3BFE5A6B" w14:textId="2F501426" w:rsidTr="00622F40">
        <w:trPr>
          <w:trHeight w:val="255"/>
          <w:jc w:val="center"/>
        </w:trPr>
        <w:tc>
          <w:tcPr>
            <w:tcW w:w="5680" w:type="dxa"/>
            <w:shd w:val="clear" w:color="auto" w:fill="auto"/>
            <w:noWrap/>
            <w:vAlign w:val="center"/>
            <w:hideMark/>
          </w:tcPr>
          <w:p w14:paraId="1E061EF2" w14:textId="77777777" w:rsidR="00CA0F1B" w:rsidRPr="00622F40" w:rsidRDefault="00CA0F1B" w:rsidP="00101503">
            <w:pPr>
              <w:spacing w:after="0" w:line="240" w:lineRule="auto"/>
              <w:jc w:val="left"/>
              <w:rPr>
                <w:rFonts w:eastAsia="Times New Roman" w:cstheme="minorHAnsi"/>
                <w:szCs w:val="20"/>
                <w:lang w:val="en-US" w:eastAsia="fr-FR"/>
              </w:rPr>
            </w:pPr>
            <w:r w:rsidRPr="00622F40">
              <w:rPr>
                <w:rFonts w:eastAsia="Times New Roman" w:cstheme="minorHAnsi"/>
                <w:szCs w:val="20"/>
                <w:lang w:val="en-US" w:eastAsia="fr-FR"/>
              </w:rPr>
              <w:t>Flowing sewer (open or closed)</w:t>
            </w:r>
          </w:p>
        </w:tc>
        <w:tc>
          <w:tcPr>
            <w:tcW w:w="0" w:type="auto"/>
            <w:vAlign w:val="center"/>
          </w:tcPr>
          <w:p w14:paraId="6BDDEDF2" w14:textId="027DDEF6" w:rsidR="00CA0F1B" w:rsidRPr="00622F40" w:rsidRDefault="00CA0F1B" w:rsidP="00101503">
            <w:pPr>
              <w:spacing w:after="0"/>
              <w:jc w:val="center"/>
              <w:rPr>
                <w:rFonts w:eastAsia="Times New Roman" w:cstheme="minorHAnsi"/>
                <w:szCs w:val="20"/>
                <w:lang w:val="en-US" w:eastAsia="fr-FR"/>
              </w:rPr>
            </w:pPr>
            <w:r w:rsidRPr="00622F40">
              <w:rPr>
                <w:rFonts w:cstheme="minorHAnsi"/>
                <w:szCs w:val="20"/>
              </w:rPr>
              <w:t>20%</w:t>
            </w:r>
          </w:p>
        </w:tc>
        <w:tc>
          <w:tcPr>
            <w:tcW w:w="0" w:type="auto"/>
          </w:tcPr>
          <w:p w14:paraId="2E21C1A2" w14:textId="1EB93B12" w:rsidR="00CA0F1B" w:rsidRPr="00CA0F1B" w:rsidRDefault="0016792A" w:rsidP="00101503">
            <w:pPr>
              <w:spacing w:after="0"/>
              <w:jc w:val="center"/>
              <w:rPr>
                <w:rFonts w:cstheme="minorHAnsi"/>
                <w:szCs w:val="20"/>
              </w:rPr>
            </w:pPr>
            <w:r>
              <w:rPr>
                <w:rFonts w:cstheme="minorHAnsi"/>
                <w:szCs w:val="20"/>
              </w:rPr>
              <w:t>10%</w:t>
            </w:r>
          </w:p>
        </w:tc>
      </w:tr>
      <w:tr w:rsidR="00CA0F1B" w:rsidRPr="00434AC8" w14:paraId="5A299FC7" w14:textId="1F4F9BE8" w:rsidTr="00622F40">
        <w:trPr>
          <w:trHeight w:val="255"/>
          <w:jc w:val="center"/>
        </w:trPr>
        <w:tc>
          <w:tcPr>
            <w:tcW w:w="5680" w:type="dxa"/>
            <w:shd w:val="clear" w:color="auto" w:fill="auto"/>
            <w:noWrap/>
            <w:vAlign w:val="center"/>
            <w:hideMark/>
          </w:tcPr>
          <w:p w14:paraId="27DF9E4E" w14:textId="77777777" w:rsidR="00CA0F1B" w:rsidRPr="00622F40" w:rsidRDefault="00CA0F1B" w:rsidP="00101503">
            <w:pPr>
              <w:spacing w:after="0" w:line="240" w:lineRule="auto"/>
              <w:jc w:val="left"/>
              <w:rPr>
                <w:rFonts w:eastAsia="Times New Roman" w:cstheme="minorHAnsi"/>
                <w:szCs w:val="20"/>
                <w:lang w:val="fr-FR" w:eastAsia="fr-FR"/>
              </w:rPr>
            </w:pPr>
            <w:r w:rsidRPr="00622F40">
              <w:rPr>
                <w:rFonts w:eastAsia="Times New Roman" w:cstheme="minorHAnsi"/>
                <w:szCs w:val="20"/>
                <w:lang w:val="fr-FR" w:eastAsia="fr-FR"/>
              </w:rPr>
              <w:t xml:space="preserve">Stagnant </w:t>
            </w:r>
            <w:proofErr w:type="spellStart"/>
            <w:r w:rsidRPr="00622F40">
              <w:rPr>
                <w:rFonts w:eastAsia="Times New Roman" w:cstheme="minorHAnsi"/>
                <w:szCs w:val="20"/>
                <w:lang w:val="fr-FR" w:eastAsia="fr-FR"/>
              </w:rPr>
              <w:t>sewer</w:t>
            </w:r>
            <w:proofErr w:type="spellEnd"/>
          </w:p>
        </w:tc>
        <w:tc>
          <w:tcPr>
            <w:tcW w:w="0" w:type="auto"/>
            <w:vAlign w:val="center"/>
          </w:tcPr>
          <w:p w14:paraId="48C8CB3C" w14:textId="31DF2490" w:rsidR="00CA0F1B" w:rsidRPr="00622F40" w:rsidRDefault="00CA0F1B" w:rsidP="00101503">
            <w:pPr>
              <w:spacing w:after="0"/>
              <w:jc w:val="center"/>
              <w:rPr>
                <w:rFonts w:eastAsia="Times New Roman" w:cstheme="minorHAnsi"/>
                <w:szCs w:val="20"/>
                <w:lang w:val="fr-FR" w:eastAsia="fr-FR"/>
              </w:rPr>
            </w:pPr>
            <w:r w:rsidRPr="00622F40">
              <w:rPr>
                <w:rFonts w:cstheme="minorHAnsi"/>
                <w:szCs w:val="20"/>
              </w:rPr>
              <w:t>0%</w:t>
            </w:r>
          </w:p>
        </w:tc>
        <w:tc>
          <w:tcPr>
            <w:tcW w:w="0" w:type="auto"/>
          </w:tcPr>
          <w:p w14:paraId="4C1CE567" w14:textId="492323E9" w:rsidR="00CA0F1B" w:rsidRPr="00CA0F1B" w:rsidRDefault="0016792A" w:rsidP="00101503">
            <w:pPr>
              <w:spacing w:after="0"/>
              <w:jc w:val="center"/>
              <w:rPr>
                <w:rFonts w:cstheme="minorHAnsi"/>
                <w:szCs w:val="20"/>
              </w:rPr>
            </w:pPr>
            <w:r>
              <w:rPr>
                <w:rFonts w:cstheme="minorHAnsi"/>
                <w:szCs w:val="20"/>
              </w:rPr>
              <w:t>40%</w:t>
            </w:r>
          </w:p>
        </w:tc>
      </w:tr>
    </w:tbl>
    <w:p w14:paraId="7A2133DB" w14:textId="77777777" w:rsidR="00957F2B" w:rsidRPr="002462F0" w:rsidRDefault="00957F2B" w:rsidP="007B2433">
      <w:pPr>
        <w:rPr>
          <w:lang w:eastAsia="fr-FR"/>
        </w:rPr>
      </w:pPr>
    </w:p>
    <w:p w14:paraId="763BCD1A" w14:textId="77777777" w:rsidR="007B2433" w:rsidRPr="00D916DB" w:rsidRDefault="007B2433" w:rsidP="00AB11C1">
      <w:pPr>
        <w:pStyle w:val="BodyText"/>
        <w:numPr>
          <w:ilvl w:val="0"/>
          <w:numId w:val="45"/>
        </w:numPr>
        <w:rPr>
          <w:lang w:eastAsia="fr-FR"/>
        </w:rPr>
      </w:pPr>
      <w:r w:rsidRPr="00D916DB">
        <w:rPr>
          <w:lang w:eastAsia="fr-FR"/>
        </w:rPr>
        <w:t>Correction factor for additional Industrial BOD (I)</w:t>
      </w:r>
    </w:p>
    <w:p w14:paraId="6F384BD7" w14:textId="519F3E26" w:rsidR="007B2433" w:rsidRPr="002462F0" w:rsidRDefault="007B2433" w:rsidP="00D916DB">
      <w:pPr>
        <w:pStyle w:val="BodyText"/>
        <w:rPr>
          <w:lang w:eastAsia="fr-FR"/>
        </w:rPr>
      </w:pPr>
      <w:r w:rsidRPr="002462F0">
        <w:rPr>
          <w:lang w:eastAsia="fr-FR"/>
        </w:rPr>
        <w:t>The default I</w:t>
      </w:r>
      <w:r w:rsidR="00CA3215">
        <w:rPr>
          <w:lang w:eastAsia="fr-FR"/>
        </w:rPr>
        <w:t xml:space="preserve"> values</w:t>
      </w:r>
      <w:r w:rsidRPr="002462F0">
        <w:rPr>
          <w:lang w:eastAsia="fr-FR"/>
        </w:rPr>
        <w:t xml:space="preserve"> proposed in the 2006 IPCC Gu</w:t>
      </w:r>
      <w:r w:rsidR="005E791E">
        <w:rPr>
          <w:lang w:eastAsia="fr-FR"/>
        </w:rPr>
        <w:t xml:space="preserve">idelines </w:t>
      </w:r>
      <w:r w:rsidR="00CA3215">
        <w:rPr>
          <w:lang w:eastAsia="fr-FR"/>
        </w:rPr>
        <w:t xml:space="preserve">are </w:t>
      </w:r>
      <w:r w:rsidR="005E791E">
        <w:rPr>
          <w:lang w:eastAsia="fr-FR"/>
        </w:rPr>
        <w:t xml:space="preserve">considered for </w:t>
      </w:r>
      <w:r w:rsidR="006D16E3">
        <w:rPr>
          <w:lang w:eastAsia="fr-FR"/>
        </w:rPr>
        <w:t>all different treatment and discharge system</w:t>
      </w:r>
      <w:r w:rsidR="005E791E">
        <w:rPr>
          <w:lang w:eastAsia="fr-FR"/>
        </w:rPr>
        <w:t>.</w:t>
      </w:r>
    </w:p>
    <w:p w14:paraId="5DC25870" w14:textId="4E532A78" w:rsidR="007B2433" w:rsidRPr="002462F0" w:rsidRDefault="00D85B44" w:rsidP="00E13FD9">
      <w:pPr>
        <w:pStyle w:val="Caption"/>
        <w:jc w:val="left"/>
      </w:pPr>
      <w:bookmarkStart w:id="1181" w:name="_Toc184808602"/>
      <w:r>
        <w:t xml:space="preserve">Table </w:t>
      </w:r>
      <w:r>
        <w:fldChar w:fldCharType="begin"/>
      </w:r>
      <w:r>
        <w:instrText xml:space="preserve"> SEQ Table \* ARABIC </w:instrText>
      </w:r>
      <w:r>
        <w:fldChar w:fldCharType="separate"/>
      </w:r>
      <w:r w:rsidR="00F14C78">
        <w:rPr>
          <w:noProof/>
        </w:rPr>
        <w:t>58</w:t>
      </w:r>
      <w:r>
        <w:fldChar w:fldCharType="end"/>
      </w:r>
      <w:r>
        <w:t xml:space="preserve">: </w:t>
      </w:r>
      <w:r w:rsidRPr="002462F0">
        <w:t>Correction factor for additional Industrial BOD (I)</w:t>
      </w:r>
      <w:r>
        <w:t>, per treatment/discharge system</w:t>
      </w:r>
      <w:bookmarkEnd w:id="1181"/>
    </w:p>
    <w:tbl>
      <w:tblPr>
        <w:tblStyle w:val="TableGrid"/>
        <w:tblW w:w="8926" w:type="dxa"/>
        <w:tblLook w:val="04A0" w:firstRow="1" w:lastRow="0" w:firstColumn="1" w:lastColumn="0" w:noHBand="0" w:noVBand="1"/>
      </w:tblPr>
      <w:tblGrid>
        <w:gridCol w:w="6091"/>
        <w:gridCol w:w="2835"/>
      </w:tblGrid>
      <w:tr w:rsidR="007B2433" w:rsidRPr="002462F0" w14:paraId="41C19E7F" w14:textId="77777777" w:rsidTr="00E13FD9">
        <w:trPr>
          <w:trHeight w:val="255"/>
        </w:trPr>
        <w:tc>
          <w:tcPr>
            <w:tcW w:w="6091" w:type="dxa"/>
            <w:shd w:val="clear" w:color="auto" w:fill="C6D9F1" w:themeFill="text2" w:themeFillTint="33"/>
            <w:noWrap/>
            <w:hideMark/>
          </w:tcPr>
          <w:p w14:paraId="03C798BB" w14:textId="77777777" w:rsidR="007B2433" w:rsidRPr="002462F0" w:rsidRDefault="007B2433" w:rsidP="00F540CA">
            <w:pPr>
              <w:jc w:val="center"/>
              <w:rPr>
                <w:b/>
                <w:lang w:eastAsia="fr-FR"/>
              </w:rPr>
            </w:pPr>
            <w:r w:rsidRPr="002462F0">
              <w:rPr>
                <w:b/>
                <w:lang w:eastAsia="fr-FR"/>
              </w:rPr>
              <w:t>I (ratio)</w:t>
            </w:r>
          </w:p>
        </w:tc>
        <w:tc>
          <w:tcPr>
            <w:tcW w:w="2835" w:type="dxa"/>
            <w:shd w:val="clear" w:color="auto" w:fill="C6D9F1" w:themeFill="text2" w:themeFillTint="33"/>
          </w:tcPr>
          <w:p w14:paraId="1B3B01D2" w14:textId="77777777" w:rsidR="007B2433" w:rsidRPr="002462F0" w:rsidRDefault="007B2433" w:rsidP="00F540CA">
            <w:pPr>
              <w:jc w:val="center"/>
              <w:rPr>
                <w:b/>
                <w:lang w:eastAsia="fr-FR"/>
              </w:rPr>
            </w:pPr>
            <w:r w:rsidRPr="002462F0">
              <w:rPr>
                <w:b/>
                <w:lang w:eastAsia="fr-FR"/>
              </w:rPr>
              <w:t>Applied</w:t>
            </w:r>
          </w:p>
        </w:tc>
      </w:tr>
      <w:tr w:rsidR="007B2433" w:rsidRPr="002462F0" w14:paraId="77CCE23A" w14:textId="77777777" w:rsidTr="00F540CA">
        <w:trPr>
          <w:trHeight w:val="255"/>
        </w:trPr>
        <w:tc>
          <w:tcPr>
            <w:tcW w:w="6091" w:type="dxa"/>
            <w:noWrap/>
            <w:hideMark/>
          </w:tcPr>
          <w:p w14:paraId="3BEA335F" w14:textId="77777777" w:rsidR="007B2433" w:rsidRPr="002462F0" w:rsidRDefault="007B2433" w:rsidP="00F540CA">
            <w:pPr>
              <w:rPr>
                <w:lang w:eastAsia="fr-FR"/>
              </w:rPr>
            </w:pPr>
            <w:r w:rsidRPr="002462F0">
              <w:rPr>
                <w:lang w:eastAsia="fr-FR"/>
              </w:rPr>
              <w:t>Wastewater treatment plants well managed</w:t>
            </w:r>
          </w:p>
        </w:tc>
        <w:tc>
          <w:tcPr>
            <w:tcW w:w="2835" w:type="dxa"/>
            <w:vAlign w:val="bottom"/>
          </w:tcPr>
          <w:p w14:paraId="22C1970F" w14:textId="288203EF" w:rsidR="007B2433" w:rsidRPr="002462F0" w:rsidRDefault="007B2433" w:rsidP="00F540CA">
            <w:pPr>
              <w:jc w:val="center"/>
              <w:rPr>
                <w:rFonts w:cs="Arial"/>
                <w:szCs w:val="20"/>
              </w:rPr>
            </w:pPr>
            <w:r w:rsidRPr="002462F0">
              <w:rPr>
                <w:rFonts w:cs="Arial"/>
                <w:szCs w:val="20"/>
              </w:rPr>
              <w:t>1</w:t>
            </w:r>
            <w:r w:rsidR="00046123">
              <w:rPr>
                <w:rFonts w:cs="Arial"/>
                <w:szCs w:val="20"/>
              </w:rPr>
              <w:t>.</w:t>
            </w:r>
            <w:r w:rsidRPr="002462F0">
              <w:rPr>
                <w:rFonts w:cs="Arial"/>
                <w:szCs w:val="20"/>
              </w:rPr>
              <w:t>25</w:t>
            </w:r>
          </w:p>
        </w:tc>
      </w:tr>
      <w:tr w:rsidR="007B2433" w:rsidRPr="002462F0" w14:paraId="0231300E" w14:textId="77777777" w:rsidTr="00F540CA">
        <w:trPr>
          <w:trHeight w:val="255"/>
        </w:trPr>
        <w:tc>
          <w:tcPr>
            <w:tcW w:w="6091" w:type="dxa"/>
            <w:noWrap/>
            <w:hideMark/>
          </w:tcPr>
          <w:p w14:paraId="0A0FCBBA" w14:textId="77777777" w:rsidR="007B2433" w:rsidRPr="002462F0" w:rsidRDefault="007B2433" w:rsidP="00F540CA">
            <w:pPr>
              <w:rPr>
                <w:lang w:eastAsia="fr-FR"/>
              </w:rPr>
            </w:pPr>
            <w:r w:rsidRPr="002462F0">
              <w:rPr>
                <w:lang w:eastAsia="fr-FR"/>
              </w:rPr>
              <w:t>Wastewater treatment plants not well managed</w:t>
            </w:r>
          </w:p>
        </w:tc>
        <w:tc>
          <w:tcPr>
            <w:tcW w:w="2835" w:type="dxa"/>
            <w:vAlign w:val="bottom"/>
          </w:tcPr>
          <w:p w14:paraId="1B074D67" w14:textId="1EDDC02B" w:rsidR="007B2433" w:rsidRPr="002462F0" w:rsidRDefault="007B2433" w:rsidP="00F540CA">
            <w:pPr>
              <w:jc w:val="center"/>
              <w:rPr>
                <w:rFonts w:cs="Arial"/>
                <w:szCs w:val="20"/>
              </w:rPr>
            </w:pPr>
            <w:r w:rsidRPr="002462F0">
              <w:rPr>
                <w:rFonts w:cs="Arial"/>
                <w:szCs w:val="20"/>
              </w:rPr>
              <w:t>1</w:t>
            </w:r>
            <w:r w:rsidR="00046123">
              <w:rPr>
                <w:rFonts w:cs="Arial"/>
                <w:szCs w:val="20"/>
              </w:rPr>
              <w:t>.</w:t>
            </w:r>
            <w:r w:rsidRPr="002462F0">
              <w:rPr>
                <w:rFonts w:cs="Arial"/>
                <w:szCs w:val="20"/>
              </w:rPr>
              <w:t>25</w:t>
            </w:r>
          </w:p>
        </w:tc>
      </w:tr>
      <w:tr w:rsidR="007B2433" w:rsidRPr="002462F0" w14:paraId="6FDD0C9E" w14:textId="77777777" w:rsidTr="00F540CA">
        <w:trPr>
          <w:trHeight w:val="255"/>
        </w:trPr>
        <w:tc>
          <w:tcPr>
            <w:tcW w:w="6091" w:type="dxa"/>
            <w:noWrap/>
            <w:hideMark/>
          </w:tcPr>
          <w:p w14:paraId="340D2F13" w14:textId="77777777" w:rsidR="007B2433" w:rsidRPr="002462F0" w:rsidRDefault="007B2433" w:rsidP="00F540CA">
            <w:pPr>
              <w:rPr>
                <w:lang w:eastAsia="fr-FR"/>
              </w:rPr>
            </w:pPr>
            <w:r w:rsidRPr="002462F0">
              <w:rPr>
                <w:lang w:eastAsia="fr-FR"/>
              </w:rPr>
              <w:t>Anaerobic shallow lagoons</w:t>
            </w:r>
          </w:p>
        </w:tc>
        <w:tc>
          <w:tcPr>
            <w:tcW w:w="2835" w:type="dxa"/>
            <w:vAlign w:val="bottom"/>
          </w:tcPr>
          <w:p w14:paraId="78D3C943" w14:textId="77777777" w:rsidR="007B2433" w:rsidRPr="002462F0" w:rsidRDefault="007B2433" w:rsidP="00F540CA">
            <w:pPr>
              <w:jc w:val="center"/>
              <w:rPr>
                <w:rFonts w:cs="Arial"/>
                <w:szCs w:val="20"/>
              </w:rPr>
            </w:pPr>
            <w:r w:rsidRPr="002462F0">
              <w:rPr>
                <w:rFonts w:cs="Arial"/>
                <w:szCs w:val="20"/>
              </w:rPr>
              <w:t>1</w:t>
            </w:r>
          </w:p>
        </w:tc>
      </w:tr>
      <w:tr w:rsidR="007B2433" w:rsidRPr="002462F0" w14:paraId="0C96C948" w14:textId="77777777" w:rsidTr="00F540CA">
        <w:trPr>
          <w:trHeight w:val="255"/>
        </w:trPr>
        <w:tc>
          <w:tcPr>
            <w:tcW w:w="6091" w:type="dxa"/>
            <w:noWrap/>
            <w:hideMark/>
          </w:tcPr>
          <w:p w14:paraId="0E39FE37" w14:textId="77777777" w:rsidR="007B2433" w:rsidRPr="002462F0" w:rsidRDefault="007B2433" w:rsidP="00F540CA">
            <w:pPr>
              <w:rPr>
                <w:lang w:eastAsia="fr-FR"/>
              </w:rPr>
            </w:pPr>
            <w:r w:rsidRPr="002462F0">
              <w:rPr>
                <w:lang w:eastAsia="fr-FR"/>
              </w:rPr>
              <w:t>Anaerobic deep lagoons</w:t>
            </w:r>
          </w:p>
        </w:tc>
        <w:tc>
          <w:tcPr>
            <w:tcW w:w="2835" w:type="dxa"/>
            <w:vAlign w:val="bottom"/>
          </w:tcPr>
          <w:p w14:paraId="61DA3E59" w14:textId="77777777" w:rsidR="007B2433" w:rsidRPr="002462F0" w:rsidRDefault="007B2433" w:rsidP="00F540CA">
            <w:pPr>
              <w:jc w:val="center"/>
              <w:rPr>
                <w:rFonts w:cs="Arial"/>
                <w:szCs w:val="20"/>
              </w:rPr>
            </w:pPr>
            <w:r w:rsidRPr="002462F0">
              <w:rPr>
                <w:rFonts w:cs="Arial"/>
                <w:szCs w:val="20"/>
              </w:rPr>
              <w:t>1</w:t>
            </w:r>
          </w:p>
        </w:tc>
      </w:tr>
      <w:tr w:rsidR="007B2433" w:rsidRPr="002462F0" w14:paraId="52B90E2A" w14:textId="77777777" w:rsidTr="00F540CA">
        <w:trPr>
          <w:trHeight w:val="255"/>
        </w:trPr>
        <w:tc>
          <w:tcPr>
            <w:tcW w:w="6091" w:type="dxa"/>
            <w:noWrap/>
            <w:hideMark/>
          </w:tcPr>
          <w:p w14:paraId="0FB486AE" w14:textId="77777777" w:rsidR="007B2433" w:rsidRPr="002462F0" w:rsidRDefault="007B2433" w:rsidP="00F540CA">
            <w:pPr>
              <w:rPr>
                <w:lang w:eastAsia="fr-FR"/>
              </w:rPr>
            </w:pPr>
            <w:r w:rsidRPr="002462F0">
              <w:rPr>
                <w:lang w:eastAsia="fr-FR"/>
              </w:rPr>
              <w:t xml:space="preserve">Discharge of treated wastewater </w:t>
            </w:r>
          </w:p>
        </w:tc>
        <w:tc>
          <w:tcPr>
            <w:tcW w:w="2835" w:type="dxa"/>
            <w:vAlign w:val="bottom"/>
          </w:tcPr>
          <w:p w14:paraId="1B9F8B8B" w14:textId="3C21EB04" w:rsidR="007B2433" w:rsidRPr="002462F0" w:rsidRDefault="007B2433" w:rsidP="00F540CA">
            <w:pPr>
              <w:jc w:val="center"/>
              <w:rPr>
                <w:rFonts w:cs="Arial"/>
                <w:szCs w:val="20"/>
              </w:rPr>
            </w:pPr>
            <w:r w:rsidRPr="002462F0">
              <w:rPr>
                <w:rFonts w:cs="Arial"/>
                <w:szCs w:val="20"/>
              </w:rPr>
              <w:t>1</w:t>
            </w:r>
            <w:r w:rsidR="00046123">
              <w:rPr>
                <w:rFonts w:cs="Arial"/>
                <w:szCs w:val="20"/>
              </w:rPr>
              <w:t>.</w:t>
            </w:r>
            <w:r w:rsidRPr="002462F0">
              <w:rPr>
                <w:rFonts w:cs="Arial"/>
                <w:szCs w:val="20"/>
              </w:rPr>
              <w:t>25</w:t>
            </w:r>
          </w:p>
        </w:tc>
      </w:tr>
      <w:tr w:rsidR="007B2433" w:rsidRPr="002462F0" w14:paraId="2915F9EE" w14:textId="77777777" w:rsidTr="00F540CA">
        <w:trPr>
          <w:trHeight w:val="255"/>
        </w:trPr>
        <w:tc>
          <w:tcPr>
            <w:tcW w:w="6091" w:type="dxa"/>
            <w:noWrap/>
            <w:hideMark/>
          </w:tcPr>
          <w:p w14:paraId="206143B7" w14:textId="77777777" w:rsidR="007B2433" w:rsidRPr="002462F0" w:rsidRDefault="007B2433" w:rsidP="00F540CA">
            <w:pPr>
              <w:rPr>
                <w:lang w:eastAsia="fr-FR"/>
              </w:rPr>
            </w:pPr>
            <w:r w:rsidRPr="002462F0">
              <w:rPr>
                <w:lang w:eastAsia="fr-FR"/>
              </w:rPr>
              <w:t>Direct discharge (Untreated)</w:t>
            </w:r>
          </w:p>
        </w:tc>
        <w:tc>
          <w:tcPr>
            <w:tcW w:w="2835" w:type="dxa"/>
            <w:vAlign w:val="bottom"/>
          </w:tcPr>
          <w:p w14:paraId="4E6F90E1" w14:textId="77777777" w:rsidR="007B2433" w:rsidRPr="002462F0" w:rsidRDefault="007B2433" w:rsidP="00F540CA">
            <w:pPr>
              <w:jc w:val="center"/>
              <w:rPr>
                <w:rFonts w:cs="Arial"/>
                <w:szCs w:val="20"/>
              </w:rPr>
            </w:pPr>
            <w:r w:rsidRPr="002462F0">
              <w:rPr>
                <w:rFonts w:cs="Arial"/>
                <w:szCs w:val="20"/>
              </w:rPr>
              <w:t>1</w:t>
            </w:r>
          </w:p>
        </w:tc>
      </w:tr>
      <w:tr w:rsidR="007B2433" w:rsidRPr="002462F0" w14:paraId="48B41564" w14:textId="77777777" w:rsidTr="00F540CA">
        <w:trPr>
          <w:trHeight w:val="255"/>
        </w:trPr>
        <w:tc>
          <w:tcPr>
            <w:tcW w:w="6091" w:type="dxa"/>
            <w:noWrap/>
            <w:hideMark/>
          </w:tcPr>
          <w:p w14:paraId="4B21F268" w14:textId="77777777" w:rsidR="007B2433" w:rsidRPr="002462F0" w:rsidRDefault="007B2433" w:rsidP="00F540CA">
            <w:pPr>
              <w:rPr>
                <w:lang w:eastAsia="fr-FR"/>
              </w:rPr>
            </w:pPr>
            <w:r w:rsidRPr="002462F0">
              <w:rPr>
                <w:lang w:eastAsia="fr-FR"/>
              </w:rPr>
              <w:t>Septic tanks</w:t>
            </w:r>
          </w:p>
        </w:tc>
        <w:tc>
          <w:tcPr>
            <w:tcW w:w="2835" w:type="dxa"/>
            <w:vAlign w:val="bottom"/>
          </w:tcPr>
          <w:p w14:paraId="705D5C8A" w14:textId="77777777" w:rsidR="007B2433" w:rsidRPr="002462F0" w:rsidRDefault="007B2433" w:rsidP="00F540CA">
            <w:pPr>
              <w:jc w:val="center"/>
              <w:rPr>
                <w:rFonts w:cs="Arial"/>
                <w:szCs w:val="20"/>
              </w:rPr>
            </w:pPr>
            <w:r w:rsidRPr="002462F0">
              <w:rPr>
                <w:rFonts w:cs="Arial"/>
                <w:szCs w:val="20"/>
              </w:rPr>
              <w:t>1</w:t>
            </w:r>
          </w:p>
        </w:tc>
      </w:tr>
      <w:tr w:rsidR="007B2433" w:rsidRPr="002462F0" w14:paraId="47C0ABCA" w14:textId="77777777" w:rsidTr="00F540CA">
        <w:trPr>
          <w:trHeight w:val="255"/>
        </w:trPr>
        <w:tc>
          <w:tcPr>
            <w:tcW w:w="6091" w:type="dxa"/>
            <w:noWrap/>
            <w:hideMark/>
          </w:tcPr>
          <w:p w14:paraId="3FA56F86" w14:textId="77777777" w:rsidR="007B2433" w:rsidRPr="002462F0" w:rsidRDefault="007B2433" w:rsidP="00F540CA">
            <w:pPr>
              <w:rPr>
                <w:lang w:eastAsia="fr-FR"/>
              </w:rPr>
            </w:pPr>
            <w:r w:rsidRPr="002462F0">
              <w:rPr>
                <w:lang w:eastAsia="fr-FR"/>
              </w:rPr>
              <w:t>Latrine</w:t>
            </w:r>
          </w:p>
        </w:tc>
        <w:tc>
          <w:tcPr>
            <w:tcW w:w="2835" w:type="dxa"/>
            <w:vAlign w:val="bottom"/>
          </w:tcPr>
          <w:p w14:paraId="48B44B7C" w14:textId="77777777" w:rsidR="007B2433" w:rsidRPr="002462F0" w:rsidRDefault="007B2433" w:rsidP="00F540CA">
            <w:pPr>
              <w:jc w:val="center"/>
              <w:rPr>
                <w:rFonts w:cs="Arial"/>
                <w:szCs w:val="20"/>
              </w:rPr>
            </w:pPr>
            <w:r w:rsidRPr="002462F0">
              <w:rPr>
                <w:rFonts w:cs="Arial"/>
                <w:szCs w:val="20"/>
              </w:rPr>
              <w:t>1</w:t>
            </w:r>
          </w:p>
        </w:tc>
      </w:tr>
      <w:tr w:rsidR="007B2433" w:rsidRPr="002462F0" w14:paraId="5E8A335B" w14:textId="77777777" w:rsidTr="00F540CA">
        <w:trPr>
          <w:trHeight w:val="255"/>
        </w:trPr>
        <w:tc>
          <w:tcPr>
            <w:tcW w:w="6091" w:type="dxa"/>
            <w:noWrap/>
            <w:hideMark/>
          </w:tcPr>
          <w:p w14:paraId="458B32C2" w14:textId="77777777" w:rsidR="007B2433" w:rsidRPr="002462F0" w:rsidRDefault="007B2433" w:rsidP="00F540CA">
            <w:pPr>
              <w:rPr>
                <w:lang w:eastAsia="fr-FR"/>
              </w:rPr>
            </w:pPr>
            <w:r w:rsidRPr="002462F0">
              <w:rPr>
                <w:lang w:eastAsia="fr-FR"/>
              </w:rPr>
              <w:t>Flowing sewer (open or closed)</w:t>
            </w:r>
          </w:p>
        </w:tc>
        <w:tc>
          <w:tcPr>
            <w:tcW w:w="2835" w:type="dxa"/>
            <w:vAlign w:val="bottom"/>
          </w:tcPr>
          <w:p w14:paraId="0827162B" w14:textId="7C41D789" w:rsidR="007B2433" w:rsidRPr="002462F0" w:rsidRDefault="007B2433" w:rsidP="00F540CA">
            <w:pPr>
              <w:jc w:val="center"/>
              <w:rPr>
                <w:rFonts w:cs="Arial"/>
                <w:szCs w:val="20"/>
              </w:rPr>
            </w:pPr>
            <w:r w:rsidRPr="002462F0">
              <w:rPr>
                <w:rFonts w:cs="Arial"/>
                <w:szCs w:val="20"/>
              </w:rPr>
              <w:t>1</w:t>
            </w:r>
            <w:r w:rsidR="00046123">
              <w:rPr>
                <w:rFonts w:cs="Arial"/>
                <w:szCs w:val="20"/>
              </w:rPr>
              <w:t>.</w:t>
            </w:r>
            <w:r w:rsidRPr="002462F0">
              <w:rPr>
                <w:rFonts w:cs="Arial"/>
                <w:szCs w:val="20"/>
              </w:rPr>
              <w:t>25</w:t>
            </w:r>
          </w:p>
        </w:tc>
      </w:tr>
      <w:tr w:rsidR="007B2433" w:rsidRPr="002462F0" w14:paraId="7F966F3C" w14:textId="77777777" w:rsidTr="00F540CA">
        <w:trPr>
          <w:trHeight w:val="255"/>
        </w:trPr>
        <w:tc>
          <w:tcPr>
            <w:tcW w:w="6091" w:type="dxa"/>
            <w:noWrap/>
            <w:hideMark/>
          </w:tcPr>
          <w:p w14:paraId="76E10BB0" w14:textId="77777777" w:rsidR="007B2433" w:rsidRPr="002462F0" w:rsidRDefault="007B2433" w:rsidP="00F540CA">
            <w:pPr>
              <w:rPr>
                <w:lang w:eastAsia="fr-FR"/>
              </w:rPr>
            </w:pPr>
            <w:r w:rsidRPr="002462F0">
              <w:rPr>
                <w:lang w:eastAsia="fr-FR"/>
              </w:rPr>
              <w:t>Stagnant sewer</w:t>
            </w:r>
          </w:p>
        </w:tc>
        <w:tc>
          <w:tcPr>
            <w:tcW w:w="2835" w:type="dxa"/>
            <w:vAlign w:val="bottom"/>
          </w:tcPr>
          <w:p w14:paraId="328A52C7" w14:textId="04F68FDE" w:rsidR="007B2433" w:rsidRPr="002462F0" w:rsidRDefault="007B2433" w:rsidP="00F540CA">
            <w:pPr>
              <w:jc w:val="center"/>
              <w:rPr>
                <w:rFonts w:cs="Arial"/>
                <w:szCs w:val="20"/>
              </w:rPr>
            </w:pPr>
            <w:r w:rsidRPr="002462F0">
              <w:rPr>
                <w:rFonts w:cs="Arial"/>
                <w:szCs w:val="20"/>
              </w:rPr>
              <w:t>1</w:t>
            </w:r>
            <w:r w:rsidR="00046123">
              <w:rPr>
                <w:rFonts w:cs="Arial"/>
                <w:szCs w:val="20"/>
              </w:rPr>
              <w:t>.</w:t>
            </w:r>
            <w:r w:rsidRPr="002462F0">
              <w:rPr>
                <w:rFonts w:cs="Arial"/>
                <w:szCs w:val="20"/>
              </w:rPr>
              <w:t>25</w:t>
            </w:r>
          </w:p>
        </w:tc>
      </w:tr>
    </w:tbl>
    <w:p w14:paraId="493653EC" w14:textId="77777777" w:rsidR="007B2433" w:rsidRPr="002462F0" w:rsidRDefault="007B2433" w:rsidP="007B2433">
      <w:pPr>
        <w:rPr>
          <w:lang w:eastAsia="fr-FR"/>
        </w:rPr>
      </w:pPr>
    </w:p>
    <w:p w14:paraId="443E59C7" w14:textId="77777777" w:rsidR="007B2433" w:rsidRPr="002462F0" w:rsidRDefault="007B2433" w:rsidP="007B2433">
      <w:pPr>
        <w:pStyle w:val="Heading6"/>
        <w:rPr>
          <w:lang w:eastAsia="fr-FR"/>
        </w:rPr>
      </w:pPr>
      <w:r w:rsidRPr="002462F0">
        <w:rPr>
          <w:lang w:eastAsia="fr-FR"/>
        </w:rPr>
        <w:t>Organic component removed as sludge (S)</w:t>
      </w:r>
    </w:p>
    <w:p w14:paraId="2707075A" w14:textId="77777777" w:rsidR="007B2433" w:rsidRPr="002462F0" w:rsidRDefault="007B2433" w:rsidP="00D916DB">
      <w:pPr>
        <w:pStyle w:val="BodyText"/>
        <w:rPr>
          <w:lang w:eastAsia="fr-FR"/>
        </w:rPr>
      </w:pPr>
      <w:r w:rsidRPr="002462F0">
        <w:rPr>
          <w:lang w:eastAsia="fr-FR"/>
        </w:rPr>
        <w:t>In absence of data, the default value recommended in the 2006 IPCC Guidelines (0) is applied in the Serbian inventory.</w:t>
      </w:r>
    </w:p>
    <w:p w14:paraId="53B1DC4A" w14:textId="77777777" w:rsidR="007B2433" w:rsidRPr="002462F0" w:rsidRDefault="007B2433" w:rsidP="007B2433">
      <w:pPr>
        <w:pStyle w:val="Heading6"/>
        <w:rPr>
          <w:lang w:eastAsia="fr-FR"/>
        </w:rPr>
      </w:pPr>
      <w:r w:rsidRPr="002462F0">
        <w:rPr>
          <w:lang w:eastAsia="fr-FR"/>
        </w:rPr>
        <w:t>Emission factor (EF)</w:t>
      </w:r>
    </w:p>
    <w:p w14:paraId="695CDF7E" w14:textId="01F9FD1C" w:rsidR="007B2433" w:rsidRPr="002462F0" w:rsidRDefault="007B2433" w:rsidP="00D916DB">
      <w:pPr>
        <w:pStyle w:val="BodyText"/>
        <w:rPr>
          <w:lang w:eastAsia="fr-FR"/>
        </w:rPr>
      </w:pPr>
      <w:r w:rsidRPr="002462F0">
        <w:rPr>
          <w:lang w:eastAsia="fr-FR"/>
        </w:rPr>
        <w:t>Emission factor</w:t>
      </w:r>
      <w:r w:rsidR="00FE3C88">
        <w:rPr>
          <w:lang w:eastAsia="fr-FR"/>
        </w:rPr>
        <w:t>s</w:t>
      </w:r>
      <w:r w:rsidRPr="002462F0">
        <w:rPr>
          <w:lang w:eastAsia="fr-FR"/>
        </w:rPr>
        <w:t xml:space="preserve"> for domestic wastewater</w:t>
      </w:r>
      <w:r w:rsidR="00FE3C88">
        <w:rPr>
          <w:lang w:eastAsia="fr-FR"/>
        </w:rPr>
        <w:t>, for each discharge/treatment system,</w:t>
      </w:r>
      <w:r w:rsidRPr="002462F0">
        <w:rPr>
          <w:lang w:eastAsia="fr-FR"/>
        </w:rPr>
        <w:t xml:space="preserve"> </w:t>
      </w:r>
      <w:r w:rsidR="00FE3C88">
        <w:rPr>
          <w:lang w:eastAsia="fr-FR"/>
        </w:rPr>
        <w:t>are</w:t>
      </w:r>
      <w:r w:rsidR="00FE3C88" w:rsidRPr="002462F0">
        <w:rPr>
          <w:lang w:eastAsia="fr-FR"/>
        </w:rPr>
        <w:t xml:space="preserve"> </w:t>
      </w:r>
      <w:r w:rsidRPr="002462F0">
        <w:rPr>
          <w:lang w:eastAsia="fr-FR"/>
        </w:rPr>
        <w:t>estimated using the equation 6.2 of the 2006 IPCC Guidelines.</w:t>
      </w:r>
    </w:p>
    <w:p w14:paraId="2AF6D218" w14:textId="77777777" w:rsidR="007B2433" w:rsidRPr="00D916DB" w:rsidRDefault="007B2433" w:rsidP="00AB11C1">
      <w:pPr>
        <w:pStyle w:val="BodyText"/>
        <w:numPr>
          <w:ilvl w:val="0"/>
          <w:numId w:val="45"/>
        </w:numPr>
        <w:rPr>
          <w:lang w:eastAsia="fr-FR"/>
        </w:rPr>
      </w:pPr>
      <w:r w:rsidRPr="00D916DB">
        <w:rPr>
          <w:lang w:eastAsia="fr-FR"/>
        </w:rPr>
        <w:t>Methane Correction factor (MCF)</w:t>
      </w:r>
    </w:p>
    <w:p w14:paraId="59E6BD15" w14:textId="77777777" w:rsidR="007B2433" w:rsidRPr="002462F0" w:rsidRDefault="007B2433" w:rsidP="00D916DB">
      <w:pPr>
        <w:pStyle w:val="BodyText"/>
        <w:rPr>
          <w:lang w:eastAsia="fr-FR"/>
        </w:rPr>
      </w:pPr>
      <w:r w:rsidRPr="002462F0">
        <w:rPr>
          <w:lang w:eastAsia="fr-FR"/>
        </w:rPr>
        <w:lastRenderedPageBreak/>
        <w:t>In the Serbian inventory, the default values recommended in the 2006 IPCC Guidelines are applied to each treatment system and discharge pathway.</w:t>
      </w:r>
    </w:p>
    <w:p w14:paraId="03F0AAB8" w14:textId="762E41C6" w:rsidR="007B2433" w:rsidRPr="002462F0" w:rsidRDefault="00D85B44" w:rsidP="007B2433">
      <w:pPr>
        <w:pStyle w:val="Caption"/>
        <w:jc w:val="left"/>
      </w:pPr>
      <w:bookmarkStart w:id="1182" w:name="_Toc184808603"/>
      <w:r>
        <w:t xml:space="preserve">Table </w:t>
      </w:r>
      <w:r>
        <w:fldChar w:fldCharType="begin"/>
      </w:r>
      <w:r>
        <w:instrText xml:space="preserve"> SEQ Table \* ARABIC </w:instrText>
      </w:r>
      <w:r>
        <w:fldChar w:fldCharType="separate"/>
      </w:r>
      <w:r w:rsidR="00F14C78">
        <w:rPr>
          <w:noProof/>
        </w:rPr>
        <w:t>59</w:t>
      </w:r>
      <w:r>
        <w:fldChar w:fldCharType="end"/>
      </w:r>
      <w:r>
        <w:t xml:space="preserve">: </w:t>
      </w:r>
      <w:r w:rsidRPr="002462F0">
        <w:t>Methane correction factor per treatment systems and discharge pathways (MCF)</w:t>
      </w:r>
      <w:bookmarkEnd w:id="1182"/>
    </w:p>
    <w:tbl>
      <w:tblPr>
        <w:tblStyle w:val="TableGrid"/>
        <w:tblW w:w="8926" w:type="dxa"/>
        <w:tblLook w:val="04A0" w:firstRow="1" w:lastRow="0" w:firstColumn="1" w:lastColumn="0" w:noHBand="0" w:noVBand="1"/>
      </w:tblPr>
      <w:tblGrid>
        <w:gridCol w:w="6091"/>
        <w:gridCol w:w="2835"/>
      </w:tblGrid>
      <w:tr w:rsidR="007B2433" w:rsidRPr="002462F0" w14:paraId="4B57AC07" w14:textId="77777777" w:rsidTr="00E13FD9">
        <w:trPr>
          <w:trHeight w:val="255"/>
        </w:trPr>
        <w:tc>
          <w:tcPr>
            <w:tcW w:w="6091" w:type="dxa"/>
            <w:shd w:val="clear" w:color="auto" w:fill="C6D9F1" w:themeFill="text2" w:themeFillTint="33"/>
            <w:noWrap/>
            <w:hideMark/>
          </w:tcPr>
          <w:p w14:paraId="42D21163" w14:textId="77777777" w:rsidR="007B2433" w:rsidRPr="002462F0" w:rsidRDefault="007B2433" w:rsidP="00F540CA">
            <w:pPr>
              <w:jc w:val="center"/>
              <w:rPr>
                <w:b/>
                <w:lang w:eastAsia="fr-FR"/>
              </w:rPr>
            </w:pPr>
            <w:r w:rsidRPr="002462F0">
              <w:rPr>
                <w:b/>
                <w:lang w:eastAsia="fr-FR"/>
              </w:rPr>
              <w:t>MCF (ratio)</w:t>
            </w:r>
          </w:p>
        </w:tc>
        <w:tc>
          <w:tcPr>
            <w:tcW w:w="2835" w:type="dxa"/>
            <w:shd w:val="clear" w:color="auto" w:fill="C6D9F1" w:themeFill="text2" w:themeFillTint="33"/>
          </w:tcPr>
          <w:p w14:paraId="0FF1D3D1" w14:textId="77777777" w:rsidR="007B2433" w:rsidRPr="002462F0" w:rsidRDefault="007B2433" w:rsidP="00F540CA">
            <w:pPr>
              <w:jc w:val="center"/>
              <w:rPr>
                <w:b/>
                <w:lang w:eastAsia="fr-FR"/>
              </w:rPr>
            </w:pPr>
            <w:r w:rsidRPr="002462F0">
              <w:rPr>
                <w:b/>
                <w:lang w:eastAsia="fr-FR"/>
              </w:rPr>
              <w:t>Applied</w:t>
            </w:r>
          </w:p>
        </w:tc>
      </w:tr>
      <w:tr w:rsidR="007B2433" w:rsidRPr="002462F0" w14:paraId="29FB809A" w14:textId="77777777" w:rsidTr="00F540CA">
        <w:trPr>
          <w:trHeight w:val="255"/>
        </w:trPr>
        <w:tc>
          <w:tcPr>
            <w:tcW w:w="6091" w:type="dxa"/>
            <w:noWrap/>
            <w:hideMark/>
          </w:tcPr>
          <w:p w14:paraId="7D6F5DBC" w14:textId="77777777" w:rsidR="007B2433" w:rsidRPr="002462F0" w:rsidRDefault="007B2433" w:rsidP="00F540CA">
            <w:pPr>
              <w:rPr>
                <w:lang w:eastAsia="fr-FR"/>
              </w:rPr>
            </w:pPr>
            <w:r w:rsidRPr="002462F0">
              <w:rPr>
                <w:lang w:eastAsia="fr-FR"/>
              </w:rPr>
              <w:t>Wastewater treatment plants well managed</w:t>
            </w:r>
          </w:p>
        </w:tc>
        <w:tc>
          <w:tcPr>
            <w:tcW w:w="2835" w:type="dxa"/>
            <w:vAlign w:val="bottom"/>
          </w:tcPr>
          <w:p w14:paraId="346BE34B" w14:textId="77777777" w:rsidR="007B2433" w:rsidRPr="002462F0" w:rsidRDefault="007B2433" w:rsidP="00F540CA">
            <w:pPr>
              <w:jc w:val="center"/>
              <w:rPr>
                <w:rFonts w:cs="Arial"/>
                <w:szCs w:val="20"/>
              </w:rPr>
            </w:pPr>
            <w:r w:rsidRPr="002462F0">
              <w:rPr>
                <w:rFonts w:cs="Arial"/>
                <w:szCs w:val="20"/>
              </w:rPr>
              <w:t>0</w:t>
            </w:r>
          </w:p>
        </w:tc>
      </w:tr>
      <w:tr w:rsidR="007B2433" w:rsidRPr="002462F0" w14:paraId="0191CD89" w14:textId="77777777" w:rsidTr="00F540CA">
        <w:trPr>
          <w:trHeight w:val="255"/>
        </w:trPr>
        <w:tc>
          <w:tcPr>
            <w:tcW w:w="6091" w:type="dxa"/>
            <w:noWrap/>
            <w:hideMark/>
          </w:tcPr>
          <w:p w14:paraId="30814AF2" w14:textId="77777777" w:rsidR="007B2433" w:rsidRPr="002462F0" w:rsidRDefault="007B2433" w:rsidP="00F540CA">
            <w:pPr>
              <w:rPr>
                <w:lang w:eastAsia="fr-FR"/>
              </w:rPr>
            </w:pPr>
            <w:r w:rsidRPr="002462F0">
              <w:rPr>
                <w:lang w:eastAsia="fr-FR"/>
              </w:rPr>
              <w:t>Wastewater treatment plants not well managed</w:t>
            </w:r>
          </w:p>
        </w:tc>
        <w:tc>
          <w:tcPr>
            <w:tcW w:w="2835" w:type="dxa"/>
            <w:vAlign w:val="bottom"/>
          </w:tcPr>
          <w:p w14:paraId="6B24E5D3" w14:textId="793384AD" w:rsidR="007B2433" w:rsidRPr="002462F0" w:rsidRDefault="007B2433" w:rsidP="00F540CA">
            <w:pPr>
              <w:jc w:val="center"/>
              <w:rPr>
                <w:rFonts w:cs="Arial"/>
                <w:szCs w:val="20"/>
              </w:rPr>
            </w:pPr>
            <w:r w:rsidRPr="002462F0">
              <w:rPr>
                <w:rFonts w:cs="Arial"/>
                <w:szCs w:val="20"/>
              </w:rPr>
              <w:t>0</w:t>
            </w:r>
            <w:r w:rsidR="004E1909">
              <w:rPr>
                <w:rFonts w:cs="Arial"/>
                <w:szCs w:val="20"/>
              </w:rPr>
              <w:t>.</w:t>
            </w:r>
            <w:r w:rsidRPr="002462F0">
              <w:rPr>
                <w:rFonts w:cs="Arial"/>
                <w:szCs w:val="20"/>
              </w:rPr>
              <w:t>3</w:t>
            </w:r>
          </w:p>
        </w:tc>
      </w:tr>
      <w:tr w:rsidR="007B2433" w:rsidRPr="002462F0" w14:paraId="77ACB80D" w14:textId="77777777" w:rsidTr="00F540CA">
        <w:trPr>
          <w:trHeight w:val="255"/>
        </w:trPr>
        <w:tc>
          <w:tcPr>
            <w:tcW w:w="6091" w:type="dxa"/>
            <w:noWrap/>
            <w:hideMark/>
          </w:tcPr>
          <w:p w14:paraId="5186BA3D" w14:textId="77777777" w:rsidR="007B2433" w:rsidRPr="002462F0" w:rsidRDefault="007B2433" w:rsidP="00F540CA">
            <w:pPr>
              <w:rPr>
                <w:lang w:eastAsia="fr-FR"/>
              </w:rPr>
            </w:pPr>
            <w:r w:rsidRPr="002462F0">
              <w:rPr>
                <w:lang w:eastAsia="fr-FR"/>
              </w:rPr>
              <w:t>Anaerobic shallow lagoons</w:t>
            </w:r>
          </w:p>
        </w:tc>
        <w:tc>
          <w:tcPr>
            <w:tcW w:w="2835" w:type="dxa"/>
            <w:vAlign w:val="bottom"/>
          </w:tcPr>
          <w:p w14:paraId="38A39C37" w14:textId="4875D79C" w:rsidR="007B2433" w:rsidRPr="002462F0" w:rsidRDefault="007B2433" w:rsidP="00F540CA">
            <w:pPr>
              <w:jc w:val="center"/>
              <w:rPr>
                <w:rFonts w:cs="Arial"/>
                <w:szCs w:val="20"/>
              </w:rPr>
            </w:pPr>
            <w:r w:rsidRPr="002462F0">
              <w:rPr>
                <w:rFonts w:cs="Arial"/>
                <w:szCs w:val="20"/>
              </w:rPr>
              <w:t>0</w:t>
            </w:r>
            <w:r w:rsidR="004E1909">
              <w:rPr>
                <w:rFonts w:cs="Arial"/>
                <w:szCs w:val="20"/>
              </w:rPr>
              <w:t>.</w:t>
            </w:r>
            <w:r w:rsidRPr="002462F0">
              <w:rPr>
                <w:rFonts w:cs="Arial"/>
                <w:szCs w:val="20"/>
              </w:rPr>
              <w:t>2</w:t>
            </w:r>
          </w:p>
        </w:tc>
      </w:tr>
      <w:tr w:rsidR="007B2433" w:rsidRPr="002462F0" w14:paraId="5DD4CEBD" w14:textId="77777777" w:rsidTr="00F540CA">
        <w:trPr>
          <w:trHeight w:val="255"/>
        </w:trPr>
        <w:tc>
          <w:tcPr>
            <w:tcW w:w="6091" w:type="dxa"/>
            <w:noWrap/>
            <w:hideMark/>
          </w:tcPr>
          <w:p w14:paraId="381DD544" w14:textId="77777777" w:rsidR="007B2433" w:rsidRPr="002462F0" w:rsidRDefault="007B2433" w:rsidP="00F540CA">
            <w:pPr>
              <w:rPr>
                <w:lang w:eastAsia="fr-FR"/>
              </w:rPr>
            </w:pPr>
            <w:r w:rsidRPr="002462F0">
              <w:rPr>
                <w:lang w:eastAsia="fr-FR"/>
              </w:rPr>
              <w:t>Anaerobic deep lagoons</w:t>
            </w:r>
          </w:p>
        </w:tc>
        <w:tc>
          <w:tcPr>
            <w:tcW w:w="2835" w:type="dxa"/>
            <w:vAlign w:val="bottom"/>
          </w:tcPr>
          <w:p w14:paraId="6B8B65FF" w14:textId="6BDD68B1" w:rsidR="007B2433" w:rsidRPr="002462F0" w:rsidRDefault="007B2433" w:rsidP="00F540CA">
            <w:pPr>
              <w:jc w:val="center"/>
              <w:rPr>
                <w:rFonts w:cs="Arial"/>
                <w:szCs w:val="20"/>
              </w:rPr>
            </w:pPr>
            <w:r w:rsidRPr="002462F0">
              <w:rPr>
                <w:rFonts w:cs="Arial"/>
                <w:szCs w:val="20"/>
              </w:rPr>
              <w:t>0</w:t>
            </w:r>
            <w:r w:rsidR="004E1909">
              <w:rPr>
                <w:rFonts w:cs="Arial"/>
                <w:szCs w:val="20"/>
              </w:rPr>
              <w:t>.</w:t>
            </w:r>
            <w:r w:rsidRPr="002462F0">
              <w:rPr>
                <w:rFonts w:cs="Arial"/>
                <w:szCs w:val="20"/>
              </w:rPr>
              <w:t>8</w:t>
            </w:r>
          </w:p>
        </w:tc>
      </w:tr>
      <w:tr w:rsidR="007B2433" w:rsidRPr="002462F0" w14:paraId="59CDC6DF" w14:textId="77777777" w:rsidTr="00F540CA">
        <w:trPr>
          <w:trHeight w:val="255"/>
        </w:trPr>
        <w:tc>
          <w:tcPr>
            <w:tcW w:w="6091" w:type="dxa"/>
            <w:noWrap/>
            <w:hideMark/>
          </w:tcPr>
          <w:p w14:paraId="480C001A" w14:textId="77777777" w:rsidR="007B2433" w:rsidRPr="002462F0" w:rsidRDefault="007B2433" w:rsidP="00F540CA">
            <w:pPr>
              <w:rPr>
                <w:lang w:eastAsia="fr-FR"/>
              </w:rPr>
            </w:pPr>
            <w:r w:rsidRPr="002462F0">
              <w:rPr>
                <w:lang w:eastAsia="fr-FR"/>
              </w:rPr>
              <w:t xml:space="preserve">Discharge of treated wastewater </w:t>
            </w:r>
          </w:p>
        </w:tc>
        <w:tc>
          <w:tcPr>
            <w:tcW w:w="2835" w:type="dxa"/>
            <w:vAlign w:val="bottom"/>
          </w:tcPr>
          <w:p w14:paraId="0F6CBE50" w14:textId="77777777" w:rsidR="007B2433" w:rsidRPr="002462F0" w:rsidRDefault="007B2433" w:rsidP="00F540CA">
            <w:pPr>
              <w:jc w:val="center"/>
              <w:rPr>
                <w:rFonts w:cs="Arial"/>
                <w:szCs w:val="20"/>
              </w:rPr>
            </w:pPr>
            <w:r w:rsidRPr="002462F0">
              <w:rPr>
                <w:rFonts w:cs="Arial"/>
                <w:szCs w:val="20"/>
              </w:rPr>
              <w:t>0</w:t>
            </w:r>
          </w:p>
        </w:tc>
      </w:tr>
      <w:tr w:rsidR="007B2433" w:rsidRPr="002462F0" w14:paraId="0887E881" w14:textId="77777777" w:rsidTr="00F540CA">
        <w:trPr>
          <w:trHeight w:val="255"/>
        </w:trPr>
        <w:tc>
          <w:tcPr>
            <w:tcW w:w="6091" w:type="dxa"/>
            <w:noWrap/>
            <w:hideMark/>
          </w:tcPr>
          <w:p w14:paraId="4653419D" w14:textId="77777777" w:rsidR="007B2433" w:rsidRPr="002462F0" w:rsidRDefault="007B2433" w:rsidP="00F540CA">
            <w:pPr>
              <w:rPr>
                <w:lang w:eastAsia="fr-FR"/>
              </w:rPr>
            </w:pPr>
            <w:r w:rsidRPr="002462F0">
              <w:rPr>
                <w:lang w:eastAsia="fr-FR"/>
              </w:rPr>
              <w:t>Direct discharge (Untreated)</w:t>
            </w:r>
          </w:p>
        </w:tc>
        <w:tc>
          <w:tcPr>
            <w:tcW w:w="2835" w:type="dxa"/>
            <w:vAlign w:val="bottom"/>
          </w:tcPr>
          <w:p w14:paraId="0308ED65" w14:textId="77777777" w:rsidR="007B2433" w:rsidRPr="002462F0" w:rsidRDefault="007B2433" w:rsidP="00F540CA">
            <w:pPr>
              <w:jc w:val="center"/>
              <w:rPr>
                <w:rFonts w:cs="Arial"/>
                <w:szCs w:val="20"/>
              </w:rPr>
            </w:pPr>
            <w:r w:rsidRPr="002462F0">
              <w:rPr>
                <w:rFonts w:cs="Arial"/>
                <w:szCs w:val="20"/>
              </w:rPr>
              <w:t>0</w:t>
            </w:r>
          </w:p>
        </w:tc>
      </w:tr>
      <w:tr w:rsidR="007B2433" w:rsidRPr="002462F0" w14:paraId="3609B9AE" w14:textId="77777777" w:rsidTr="00F540CA">
        <w:trPr>
          <w:trHeight w:val="255"/>
        </w:trPr>
        <w:tc>
          <w:tcPr>
            <w:tcW w:w="6091" w:type="dxa"/>
            <w:noWrap/>
            <w:hideMark/>
          </w:tcPr>
          <w:p w14:paraId="60EF41CE" w14:textId="77777777" w:rsidR="007B2433" w:rsidRPr="002462F0" w:rsidRDefault="007B2433" w:rsidP="00F540CA">
            <w:pPr>
              <w:rPr>
                <w:lang w:eastAsia="fr-FR"/>
              </w:rPr>
            </w:pPr>
            <w:r w:rsidRPr="002462F0">
              <w:rPr>
                <w:lang w:eastAsia="fr-FR"/>
              </w:rPr>
              <w:t>Septic tanks</w:t>
            </w:r>
          </w:p>
        </w:tc>
        <w:tc>
          <w:tcPr>
            <w:tcW w:w="2835" w:type="dxa"/>
            <w:vAlign w:val="bottom"/>
          </w:tcPr>
          <w:p w14:paraId="55BC5B5C" w14:textId="28063328" w:rsidR="007B2433" w:rsidRPr="002462F0" w:rsidRDefault="007B2433" w:rsidP="00F540CA">
            <w:pPr>
              <w:jc w:val="center"/>
              <w:rPr>
                <w:rFonts w:cs="Arial"/>
                <w:szCs w:val="20"/>
              </w:rPr>
            </w:pPr>
            <w:r w:rsidRPr="002462F0">
              <w:rPr>
                <w:rFonts w:cs="Arial"/>
                <w:szCs w:val="20"/>
              </w:rPr>
              <w:t>0</w:t>
            </w:r>
            <w:r w:rsidR="004E1909">
              <w:rPr>
                <w:rFonts w:cs="Arial"/>
                <w:szCs w:val="20"/>
              </w:rPr>
              <w:t>.</w:t>
            </w:r>
            <w:r w:rsidRPr="002462F0">
              <w:rPr>
                <w:rFonts w:cs="Arial"/>
                <w:szCs w:val="20"/>
              </w:rPr>
              <w:t>5</w:t>
            </w:r>
          </w:p>
        </w:tc>
      </w:tr>
      <w:tr w:rsidR="007B2433" w:rsidRPr="002462F0" w14:paraId="4F5E12FB" w14:textId="77777777" w:rsidTr="00F540CA">
        <w:trPr>
          <w:trHeight w:val="255"/>
        </w:trPr>
        <w:tc>
          <w:tcPr>
            <w:tcW w:w="6091" w:type="dxa"/>
            <w:noWrap/>
            <w:hideMark/>
          </w:tcPr>
          <w:p w14:paraId="2E251936" w14:textId="77777777" w:rsidR="007B2433" w:rsidRPr="002462F0" w:rsidRDefault="007B2433" w:rsidP="00F540CA">
            <w:pPr>
              <w:rPr>
                <w:lang w:eastAsia="fr-FR"/>
              </w:rPr>
            </w:pPr>
            <w:r w:rsidRPr="002462F0">
              <w:rPr>
                <w:lang w:eastAsia="fr-FR"/>
              </w:rPr>
              <w:t>Latrine</w:t>
            </w:r>
          </w:p>
        </w:tc>
        <w:tc>
          <w:tcPr>
            <w:tcW w:w="2835" w:type="dxa"/>
            <w:vAlign w:val="bottom"/>
          </w:tcPr>
          <w:p w14:paraId="6044EDA7" w14:textId="10E54BE4" w:rsidR="007B2433" w:rsidRPr="002462F0" w:rsidRDefault="007B2433" w:rsidP="00F540CA">
            <w:pPr>
              <w:jc w:val="center"/>
              <w:rPr>
                <w:rFonts w:cs="Arial"/>
                <w:szCs w:val="20"/>
              </w:rPr>
            </w:pPr>
            <w:r w:rsidRPr="002462F0">
              <w:rPr>
                <w:rFonts w:cs="Arial"/>
                <w:szCs w:val="20"/>
              </w:rPr>
              <w:t>0</w:t>
            </w:r>
            <w:r w:rsidR="004E1909">
              <w:rPr>
                <w:rFonts w:cs="Arial"/>
                <w:szCs w:val="20"/>
              </w:rPr>
              <w:t>.</w:t>
            </w:r>
            <w:r w:rsidRPr="002462F0">
              <w:rPr>
                <w:rFonts w:cs="Arial"/>
                <w:szCs w:val="20"/>
              </w:rPr>
              <w:t>7</w:t>
            </w:r>
          </w:p>
        </w:tc>
      </w:tr>
      <w:tr w:rsidR="005E791E" w:rsidRPr="002462F0" w14:paraId="5D638308" w14:textId="77777777" w:rsidTr="00F540CA">
        <w:trPr>
          <w:trHeight w:val="255"/>
        </w:trPr>
        <w:tc>
          <w:tcPr>
            <w:tcW w:w="6091" w:type="dxa"/>
            <w:noWrap/>
          </w:tcPr>
          <w:p w14:paraId="10F1A6F4" w14:textId="67A17390" w:rsidR="005E791E" w:rsidRPr="002462F0" w:rsidRDefault="0014749B" w:rsidP="00F540CA">
            <w:pPr>
              <w:rPr>
                <w:lang w:eastAsia="fr-FR"/>
              </w:rPr>
            </w:pPr>
            <w:r w:rsidRPr="0014749B">
              <w:rPr>
                <w:lang w:eastAsia="fr-FR"/>
              </w:rPr>
              <w:t>Anaerobic digester for sludge</w:t>
            </w:r>
          </w:p>
        </w:tc>
        <w:tc>
          <w:tcPr>
            <w:tcW w:w="2835" w:type="dxa"/>
            <w:vAlign w:val="bottom"/>
          </w:tcPr>
          <w:p w14:paraId="219E9FC1" w14:textId="479D32CF" w:rsidR="005E791E" w:rsidRPr="002462F0" w:rsidRDefault="0014749B" w:rsidP="00F540CA">
            <w:pPr>
              <w:jc w:val="center"/>
              <w:rPr>
                <w:rFonts w:cs="Arial"/>
                <w:szCs w:val="20"/>
              </w:rPr>
            </w:pPr>
            <w:r>
              <w:rPr>
                <w:rFonts w:cs="Arial"/>
                <w:szCs w:val="20"/>
              </w:rPr>
              <w:t>0</w:t>
            </w:r>
            <w:r w:rsidR="004E1909">
              <w:rPr>
                <w:rFonts w:cs="Arial"/>
                <w:szCs w:val="20"/>
              </w:rPr>
              <w:t>.</w:t>
            </w:r>
            <w:r>
              <w:rPr>
                <w:rFonts w:cs="Arial"/>
                <w:szCs w:val="20"/>
              </w:rPr>
              <w:t>8</w:t>
            </w:r>
          </w:p>
        </w:tc>
      </w:tr>
      <w:tr w:rsidR="007B2433" w:rsidRPr="002462F0" w14:paraId="6D713014" w14:textId="77777777" w:rsidTr="00F540CA">
        <w:trPr>
          <w:trHeight w:val="255"/>
        </w:trPr>
        <w:tc>
          <w:tcPr>
            <w:tcW w:w="6091" w:type="dxa"/>
            <w:noWrap/>
            <w:hideMark/>
          </w:tcPr>
          <w:p w14:paraId="670B15ED" w14:textId="77777777" w:rsidR="007B2433" w:rsidRPr="002462F0" w:rsidRDefault="007B2433" w:rsidP="00F540CA">
            <w:pPr>
              <w:rPr>
                <w:lang w:eastAsia="fr-FR"/>
              </w:rPr>
            </w:pPr>
            <w:r w:rsidRPr="002462F0">
              <w:rPr>
                <w:lang w:eastAsia="fr-FR"/>
              </w:rPr>
              <w:t>Flowing sewer (open or closed)</w:t>
            </w:r>
          </w:p>
        </w:tc>
        <w:tc>
          <w:tcPr>
            <w:tcW w:w="2835" w:type="dxa"/>
            <w:vAlign w:val="bottom"/>
          </w:tcPr>
          <w:p w14:paraId="2F5510C5" w14:textId="406CA4DE" w:rsidR="007B2433" w:rsidRPr="002462F0" w:rsidRDefault="0014749B" w:rsidP="00F540CA">
            <w:pPr>
              <w:jc w:val="center"/>
              <w:rPr>
                <w:rFonts w:cs="Arial"/>
                <w:szCs w:val="20"/>
              </w:rPr>
            </w:pPr>
            <w:r>
              <w:rPr>
                <w:rFonts w:cs="Arial"/>
                <w:szCs w:val="20"/>
              </w:rPr>
              <w:t>0</w:t>
            </w:r>
          </w:p>
        </w:tc>
      </w:tr>
      <w:tr w:rsidR="007B2433" w:rsidRPr="002462F0" w14:paraId="76D61A53" w14:textId="77777777" w:rsidTr="00F540CA">
        <w:trPr>
          <w:trHeight w:val="255"/>
        </w:trPr>
        <w:tc>
          <w:tcPr>
            <w:tcW w:w="6091" w:type="dxa"/>
            <w:noWrap/>
            <w:hideMark/>
          </w:tcPr>
          <w:p w14:paraId="2A4E594A" w14:textId="77777777" w:rsidR="007B2433" w:rsidRPr="002462F0" w:rsidRDefault="007B2433" w:rsidP="00F540CA">
            <w:pPr>
              <w:rPr>
                <w:lang w:eastAsia="fr-FR"/>
              </w:rPr>
            </w:pPr>
            <w:r w:rsidRPr="002462F0">
              <w:rPr>
                <w:lang w:eastAsia="fr-FR"/>
              </w:rPr>
              <w:t>Stagnant sewer</w:t>
            </w:r>
          </w:p>
        </w:tc>
        <w:tc>
          <w:tcPr>
            <w:tcW w:w="2835" w:type="dxa"/>
            <w:vAlign w:val="bottom"/>
          </w:tcPr>
          <w:p w14:paraId="1AC446A0" w14:textId="74B305E3" w:rsidR="007B2433" w:rsidRPr="002462F0" w:rsidRDefault="0014749B" w:rsidP="00F540CA">
            <w:pPr>
              <w:jc w:val="center"/>
              <w:rPr>
                <w:rFonts w:cs="Arial"/>
                <w:szCs w:val="20"/>
              </w:rPr>
            </w:pPr>
            <w:r>
              <w:rPr>
                <w:rFonts w:cs="Arial"/>
                <w:szCs w:val="20"/>
              </w:rPr>
              <w:t>0</w:t>
            </w:r>
            <w:r w:rsidR="004E1909">
              <w:rPr>
                <w:rFonts w:cs="Arial"/>
                <w:szCs w:val="20"/>
              </w:rPr>
              <w:t>.</w:t>
            </w:r>
            <w:r>
              <w:rPr>
                <w:rFonts w:cs="Arial"/>
                <w:szCs w:val="20"/>
              </w:rPr>
              <w:t>5</w:t>
            </w:r>
          </w:p>
        </w:tc>
      </w:tr>
    </w:tbl>
    <w:p w14:paraId="0EBCD6D2" w14:textId="77777777" w:rsidR="007B2433" w:rsidRPr="002462F0" w:rsidRDefault="007B2433" w:rsidP="007B2433">
      <w:pPr>
        <w:rPr>
          <w:lang w:eastAsia="fr-FR"/>
        </w:rPr>
      </w:pPr>
    </w:p>
    <w:p w14:paraId="7D89E2B8" w14:textId="77777777" w:rsidR="007B2433" w:rsidRPr="00D916DB" w:rsidRDefault="007B2433" w:rsidP="00AB11C1">
      <w:pPr>
        <w:pStyle w:val="BodyText"/>
        <w:numPr>
          <w:ilvl w:val="0"/>
          <w:numId w:val="45"/>
        </w:numPr>
        <w:rPr>
          <w:lang w:eastAsia="fr-FR"/>
        </w:rPr>
      </w:pPr>
      <w:r w:rsidRPr="00D916DB">
        <w:rPr>
          <w:lang w:eastAsia="fr-FR"/>
        </w:rPr>
        <w:t>Maximum CH</w:t>
      </w:r>
      <w:r w:rsidRPr="00622F40">
        <w:rPr>
          <w:vertAlign w:val="subscript"/>
          <w:lang w:eastAsia="fr-FR"/>
        </w:rPr>
        <w:t>4</w:t>
      </w:r>
      <w:r w:rsidRPr="00D916DB">
        <w:rPr>
          <w:lang w:eastAsia="fr-FR"/>
        </w:rPr>
        <w:t xml:space="preserve"> producing capacity (B</w:t>
      </w:r>
      <w:r w:rsidRPr="00622F40">
        <w:rPr>
          <w:vertAlign w:val="subscript"/>
          <w:lang w:eastAsia="fr-FR"/>
        </w:rPr>
        <w:t>0</w:t>
      </w:r>
      <w:r w:rsidRPr="00D916DB">
        <w:rPr>
          <w:lang w:eastAsia="fr-FR"/>
        </w:rPr>
        <w:t>)</w:t>
      </w:r>
    </w:p>
    <w:p w14:paraId="2DCBA208" w14:textId="12F5DBBD" w:rsidR="007B2433" w:rsidRPr="002462F0" w:rsidRDefault="007B2433" w:rsidP="00D916DB">
      <w:pPr>
        <w:pStyle w:val="BodyText"/>
        <w:rPr>
          <w:lang w:eastAsia="fr-FR"/>
        </w:rPr>
      </w:pPr>
      <w:r w:rsidRPr="002462F0">
        <w:rPr>
          <w:lang w:eastAsia="fr-FR"/>
        </w:rPr>
        <w:t>In the Serbian inventory, the default value recommended in the 2006 IPCC Guidelines (0</w:t>
      </w:r>
      <w:r w:rsidR="00920666">
        <w:rPr>
          <w:lang w:eastAsia="fr-FR"/>
        </w:rPr>
        <w:t>.</w:t>
      </w:r>
      <w:r w:rsidRPr="002462F0">
        <w:rPr>
          <w:lang w:eastAsia="fr-FR"/>
        </w:rPr>
        <w:t>6 kg CH</w:t>
      </w:r>
      <w:r w:rsidRPr="00622F40">
        <w:rPr>
          <w:vertAlign w:val="subscript"/>
          <w:lang w:eastAsia="fr-FR"/>
        </w:rPr>
        <w:t>4</w:t>
      </w:r>
      <w:r w:rsidRPr="002462F0">
        <w:rPr>
          <w:lang w:eastAsia="fr-FR"/>
        </w:rPr>
        <w:t>/kg BOD) is applied.</w:t>
      </w:r>
    </w:p>
    <w:p w14:paraId="7813EA0A" w14:textId="77777777" w:rsidR="007B2433" w:rsidRPr="002462F0" w:rsidRDefault="007B2433" w:rsidP="007B2433">
      <w:pPr>
        <w:pStyle w:val="Heading6"/>
        <w:rPr>
          <w:lang w:eastAsia="fr-FR"/>
        </w:rPr>
      </w:pPr>
      <w:r w:rsidRPr="002462F0">
        <w:rPr>
          <w:lang w:eastAsia="fr-FR"/>
        </w:rPr>
        <w:t>Amount of CH4 recovered (R)</w:t>
      </w:r>
    </w:p>
    <w:p w14:paraId="2F06795F" w14:textId="77777777" w:rsidR="007B2433" w:rsidRPr="002462F0" w:rsidRDefault="007B2433" w:rsidP="00D916DB">
      <w:pPr>
        <w:pStyle w:val="BodyText"/>
        <w:rPr>
          <w:lang w:eastAsia="fr-FR"/>
        </w:rPr>
      </w:pPr>
      <w:r w:rsidRPr="002462F0">
        <w:rPr>
          <w:lang w:eastAsia="fr-FR"/>
        </w:rPr>
        <w:t>In absence of national data, the default value recommended in the 2006 IPCC Guidelines (0) is applied in the Serbian inventory.</w:t>
      </w:r>
    </w:p>
    <w:p w14:paraId="266AEF2E" w14:textId="7CFBA850" w:rsidR="007B2433" w:rsidRPr="002462F0" w:rsidRDefault="007B2433" w:rsidP="007B2433">
      <w:pPr>
        <w:pStyle w:val="Heading5"/>
        <w:rPr>
          <w:lang w:eastAsia="fr-FR"/>
        </w:rPr>
      </w:pPr>
      <w:bookmarkStart w:id="1183" w:name="_Toc182328122"/>
      <w:r w:rsidRPr="002462F0">
        <w:rPr>
          <w:lang w:eastAsia="fr-FR"/>
        </w:rPr>
        <w:t>N</w:t>
      </w:r>
      <w:r w:rsidRPr="002462F0">
        <w:rPr>
          <w:vertAlign w:val="subscript"/>
          <w:lang w:eastAsia="fr-FR"/>
        </w:rPr>
        <w:t>2</w:t>
      </w:r>
      <w:r w:rsidR="00F4320B">
        <w:rPr>
          <w:lang w:eastAsia="fr-FR"/>
        </w:rPr>
        <w:t>O</w:t>
      </w:r>
      <w:r w:rsidRPr="002462F0">
        <w:rPr>
          <w:lang w:eastAsia="fr-FR"/>
        </w:rPr>
        <w:t xml:space="preserve"> emissions from wastewater discharge</w:t>
      </w:r>
      <w:bookmarkEnd w:id="1183"/>
    </w:p>
    <w:p w14:paraId="6F667DFE" w14:textId="5D751047" w:rsidR="007B2433" w:rsidRPr="002462F0" w:rsidRDefault="007B2433" w:rsidP="00D916DB">
      <w:pPr>
        <w:pStyle w:val="BodyText"/>
        <w:rPr>
          <w:szCs w:val="20"/>
          <w:lang w:eastAsia="fr-FR"/>
        </w:rPr>
      </w:pPr>
      <w:r w:rsidRPr="002462F0">
        <w:rPr>
          <w:lang w:eastAsia="fr-FR"/>
        </w:rPr>
        <w:t>In order to estimate N</w:t>
      </w:r>
      <w:r w:rsidRPr="00622F40">
        <w:rPr>
          <w:vertAlign w:val="subscript"/>
          <w:lang w:eastAsia="fr-FR"/>
        </w:rPr>
        <w:t>2</w:t>
      </w:r>
      <w:r w:rsidR="00F4320B">
        <w:rPr>
          <w:lang w:eastAsia="fr-FR"/>
        </w:rPr>
        <w:t>O</w:t>
      </w:r>
      <w:r w:rsidRPr="002462F0">
        <w:rPr>
          <w:lang w:eastAsia="fr-FR"/>
        </w:rPr>
        <w:t xml:space="preserve"> emissions from domestic wastewater discharged, the equation 6.7 of the 2006 IPCC Guidelines is applied.</w:t>
      </w:r>
    </w:p>
    <w:p w14:paraId="49FC61A6" w14:textId="77777777" w:rsidR="007B2433" w:rsidRPr="002462F0" w:rsidRDefault="007B2433" w:rsidP="007B2433">
      <w:pPr>
        <w:pStyle w:val="Heading6"/>
        <w:rPr>
          <w:lang w:eastAsia="fr-FR"/>
        </w:rPr>
      </w:pPr>
      <w:r w:rsidRPr="002462F0">
        <w:rPr>
          <w:lang w:eastAsia="fr-FR"/>
        </w:rPr>
        <w:t>Total nitrogen in effluent (</w:t>
      </w:r>
      <w:proofErr w:type="spellStart"/>
      <w:r w:rsidRPr="002462F0">
        <w:rPr>
          <w:lang w:eastAsia="fr-FR"/>
        </w:rPr>
        <w:t>Neffluent</w:t>
      </w:r>
      <w:proofErr w:type="spellEnd"/>
      <w:r w:rsidRPr="002462F0">
        <w:rPr>
          <w:lang w:eastAsia="fr-FR"/>
        </w:rPr>
        <w:t>)</w:t>
      </w:r>
    </w:p>
    <w:p w14:paraId="723AF831" w14:textId="77777777" w:rsidR="007B2433" w:rsidRPr="002462F0" w:rsidRDefault="007B2433" w:rsidP="00D916DB">
      <w:pPr>
        <w:pStyle w:val="BodyText"/>
        <w:rPr>
          <w:lang w:eastAsia="fr-FR"/>
        </w:rPr>
      </w:pPr>
      <w:r w:rsidRPr="002462F0">
        <w:rPr>
          <w:lang w:eastAsia="fr-FR"/>
        </w:rPr>
        <w:t>TOW in domestic wastewater is estimated using the equation 6.3 of the 2006 IPCC Guidelines.</w:t>
      </w:r>
    </w:p>
    <w:p w14:paraId="5B50564D" w14:textId="77777777" w:rsidR="007B2433" w:rsidRPr="00D916DB" w:rsidRDefault="007B2433" w:rsidP="00AB11C1">
      <w:pPr>
        <w:pStyle w:val="BodyText"/>
        <w:numPr>
          <w:ilvl w:val="0"/>
          <w:numId w:val="45"/>
        </w:numPr>
        <w:rPr>
          <w:lang w:eastAsia="fr-FR"/>
        </w:rPr>
      </w:pPr>
      <w:r w:rsidRPr="00D916DB">
        <w:rPr>
          <w:lang w:eastAsia="fr-FR"/>
        </w:rPr>
        <w:t xml:space="preserve">Population (P) </w:t>
      </w:r>
    </w:p>
    <w:p w14:paraId="340BB465" w14:textId="77777777" w:rsidR="007B2433" w:rsidRPr="002462F0" w:rsidRDefault="007B2433" w:rsidP="00D916DB">
      <w:pPr>
        <w:pStyle w:val="BodyText"/>
        <w:rPr>
          <w:lang w:eastAsia="fr-FR"/>
        </w:rPr>
      </w:pPr>
      <w:r w:rsidRPr="002462F0">
        <w:rPr>
          <w:lang w:eastAsia="fr-FR"/>
        </w:rPr>
        <w:t>The population data used for the category 5D are consistent with the data used for the category 5A and population data used for CH</w:t>
      </w:r>
      <w:r w:rsidRPr="00622F40">
        <w:rPr>
          <w:vertAlign w:val="subscript"/>
          <w:lang w:eastAsia="fr-FR"/>
        </w:rPr>
        <w:t>4</w:t>
      </w:r>
      <w:r w:rsidRPr="002462F0">
        <w:rPr>
          <w:lang w:eastAsia="fr-FR"/>
        </w:rPr>
        <w:t xml:space="preserve"> emissions from 5D.</w:t>
      </w:r>
    </w:p>
    <w:p w14:paraId="40145A29" w14:textId="77777777" w:rsidR="007B2433" w:rsidRPr="00D916DB" w:rsidRDefault="007B2433" w:rsidP="00AB11C1">
      <w:pPr>
        <w:pStyle w:val="BodyText"/>
        <w:numPr>
          <w:ilvl w:val="0"/>
          <w:numId w:val="45"/>
        </w:numPr>
        <w:rPr>
          <w:lang w:eastAsia="fr-FR"/>
        </w:rPr>
      </w:pPr>
      <w:r w:rsidRPr="00D916DB">
        <w:rPr>
          <w:lang w:eastAsia="fr-FR"/>
        </w:rPr>
        <w:t xml:space="preserve">Annual per capita protein consumption (Protein) </w:t>
      </w:r>
    </w:p>
    <w:p w14:paraId="67D3BE12" w14:textId="52F44840" w:rsidR="007B2433" w:rsidRPr="002462F0" w:rsidRDefault="007B2433" w:rsidP="00D916DB">
      <w:pPr>
        <w:pStyle w:val="BodyText"/>
        <w:rPr>
          <w:lang w:eastAsia="fr-FR"/>
        </w:rPr>
      </w:pPr>
      <w:r w:rsidRPr="002462F0">
        <w:rPr>
          <w:lang w:eastAsia="fr-FR"/>
        </w:rPr>
        <w:t>National data on the annual amount of protein consumed per capita used in the Serbian inventory are from</w:t>
      </w:r>
      <w:r w:rsidR="0014749B">
        <w:rPr>
          <w:lang w:eastAsia="fr-FR"/>
        </w:rPr>
        <w:t xml:space="preserve"> FAO Statistics (</w:t>
      </w:r>
      <w:r w:rsidR="00C0785E">
        <w:rPr>
          <w:lang w:eastAsia="fr-FR"/>
        </w:rPr>
        <w:t>Dietary Protein Consumption: g/person/day); average data in kg/year are considered in calculations.</w:t>
      </w:r>
      <w:r w:rsidRPr="002462F0">
        <w:rPr>
          <w:lang w:eastAsia="fr-FR"/>
        </w:rPr>
        <w:t xml:space="preserve"> The value is used all over the time series.</w:t>
      </w:r>
    </w:p>
    <w:p w14:paraId="366A7BC9" w14:textId="7B87D567" w:rsidR="00D85B44" w:rsidRPr="002462F0" w:rsidRDefault="00D85B44" w:rsidP="00D85B44">
      <w:pPr>
        <w:pStyle w:val="Caption"/>
        <w:jc w:val="left"/>
      </w:pPr>
      <w:bookmarkStart w:id="1184" w:name="_Toc184808604"/>
      <w:r>
        <w:t xml:space="preserve">Table </w:t>
      </w:r>
      <w:r>
        <w:fldChar w:fldCharType="begin"/>
      </w:r>
      <w:r>
        <w:instrText xml:space="preserve"> SEQ Table \* ARABIC </w:instrText>
      </w:r>
      <w:r>
        <w:fldChar w:fldCharType="separate"/>
      </w:r>
      <w:r w:rsidR="00F14C78">
        <w:rPr>
          <w:noProof/>
        </w:rPr>
        <w:t>60</w:t>
      </w:r>
      <w:r>
        <w:fldChar w:fldCharType="end"/>
      </w:r>
      <w:r>
        <w:t xml:space="preserve">: </w:t>
      </w:r>
      <w:r w:rsidRPr="002462F0">
        <w:t>Protein consumption per capita (Protein)</w:t>
      </w:r>
      <w:bookmarkEnd w:id="1184"/>
    </w:p>
    <w:tbl>
      <w:tblPr>
        <w:tblStyle w:val="TableGrid"/>
        <w:tblW w:w="9067" w:type="dxa"/>
        <w:tblLayout w:type="fixed"/>
        <w:tblLook w:val="04A0" w:firstRow="1" w:lastRow="0" w:firstColumn="1" w:lastColumn="0" w:noHBand="0" w:noVBand="1"/>
      </w:tblPr>
      <w:tblGrid>
        <w:gridCol w:w="4533"/>
        <w:gridCol w:w="4534"/>
      </w:tblGrid>
      <w:tr w:rsidR="007B2433" w:rsidRPr="002462F0" w14:paraId="4198FBDD" w14:textId="77777777" w:rsidTr="00E13FD9">
        <w:trPr>
          <w:trHeight w:val="270"/>
        </w:trPr>
        <w:tc>
          <w:tcPr>
            <w:tcW w:w="4533" w:type="dxa"/>
            <w:shd w:val="clear" w:color="auto" w:fill="C6D9F1" w:themeFill="text2" w:themeFillTint="33"/>
            <w:noWrap/>
            <w:vAlign w:val="center"/>
            <w:hideMark/>
          </w:tcPr>
          <w:p w14:paraId="59BEBD05" w14:textId="77777777" w:rsidR="007B2433" w:rsidRPr="002462F0" w:rsidRDefault="007B2433" w:rsidP="00F540CA">
            <w:pPr>
              <w:pStyle w:val="ListParagraph"/>
              <w:autoSpaceDE w:val="0"/>
              <w:autoSpaceDN w:val="0"/>
              <w:adjustRightInd w:val="0"/>
              <w:rPr>
                <w:b/>
                <w:bCs/>
                <w:szCs w:val="20"/>
                <w:lang w:eastAsia="fr-FR"/>
              </w:rPr>
            </w:pPr>
            <w:r w:rsidRPr="002462F0">
              <w:rPr>
                <w:b/>
                <w:bCs/>
                <w:szCs w:val="20"/>
                <w:lang w:eastAsia="fr-FR"/>
              </w:rPr>
              <w:t>Parameter</w:t>
            </w:r>
          </w:p>
        </w:tc>
        <w:tc>
          <w:tcPr>
            <w:tcW w:w="4534" w:type="dxa"/>
            <w:shd w:val="clear" w:color="auto" w:fill="C6D9F1" w:themeFill="text2" w:themeFillTint="33"/>
            <w:noWrap/>
            <w:vAlign w:val="center"/>
            <w:hideMark/>
          </w:tcPr>
          <w:p w14:paraId="0566535E" w14:textId="77777777" w:rsidR="007B2433" w:rsidRPr="002462F0" w:rsidRDefault="007B2433" w:rsidP="00F540CA">
            <w:pPr>
              <w:autoSpaceDE w:val="0"/>
              <w:autoSpaceDN w:val="0"/>
              <w:adjustRightInd w:val="0"/>
              <w:jc w:val="center"/>
              <w:rPr>
                <w:b/>
                <w:bCs/>
                <w:szCs w:val="20"/>
                <w:lang w:eastAsia="fr-FR"/>
              </w:rPr>
            </w:pPr>
            <w:r w:rsidRPr="002462F0">
              <w:rPr>
                <w:b/>
                <w:bCs/>
                <w:szCs w:val="20"/>
                <w:lang w:eastAsia="fr-FR"/>
              </w:rPr>
              <w:t>Applied</w:t>
            </w:r>
          </w:p>
        </w:tc>
      </w:tr>
      <w:tr w:rsidR="007B2433" w:rsidRPr="002462F0" w14:paraId="5CBDED24" w14:textId="77777777" w:rsidTr="00622F40">
        <w:trPr>
          <w:trHeight w:val="255"/>
        </w:trPr>
        <w:tc>
          <w:tcPr>
            <w:tcW w:w="4533" w:type="dxa"/>
            <w:noWrap/>
            <w:vAlign w:val="center"/>
            <w:hideMark/>
          </w:tcPr>
          <w:p w14:paraId="25032866" w14:textId="77777777" w:rsidR="007B2433" w:rsidRPr="002462F0" w:rsidRDefault="007B2433" w:rsidP="00F540CA">
            <w:pPr>
              <w:autoSpaceDE w:val="0"/>
              <w:autoSpaceDN w:val="0"/>
              <w:adjustRightInd w:val="0"/>
              <w:jc w:val="left"/>
              <w:rPr>
                <w:szCs w:val="20"/>
                <w:lang w:eastAsia="fr-FR"/>
              </w:rPr>
            </w:pPr>
            <w:r w:rsidRPr="002462F0">
              <w:rPr>
                <w:szCs w:val="20"/>
                <w:lang w:eastAsia="fr-FR"/>
              </w:rPr>
              <w:t>Protein (kg/person/year)</w:t>
            </w:r>
          </w:p>
        </w:tc>
        <w:tc>
          <w:tcPr>
            <w:tcW w:w="4534" w:type="dxa"/>
            <w:noWrap/>
            <w:vAlign w:val="center"/>
            <w:hideMark/>
          </w:tcPr>
          <w:p w14:paraId="0531A61A" w14:textId="0176029B" w:rsidR="007B2433" w:rsidRPr="00F4320B" w:rsidRDefault="007B2433" w:rsidP="00622F40">
            <w:pPr>
              <w:autoSpaceDE w:val="0"/>
              <w:autoSpaceDN w:val="0"/>
              <w:adjustRightInd w:val="0"/>
              <w:jc w:val="center"/>
              <w:rPr>
                <w:szCs w:val="20"/>
                <w:lang w:eastAsia="fr-FR"/>
              </w:rPr>
            </w:pPr>
            <w:r w:rsidRPr="00F4320B">
              <w:rPr>
                <w:szCs w:val="20"/>
                <w:lang w:eastAsia="fr-FR"/>
              </w:rPr>
              <w:t>27</w:t>
            </w:r>
            <w:r w:rsidR="00F4320B">
              <w:rPr>
                <w:szCs w:val="20"/>
                <w:lang w:eastAsia="fr-FR"/>
              </w:rPr>
              <w:t>.</w:t>
            </w:r>
            <w:r w:rsidRPr="00F4320B">
              <w:rPr>
                <w:szCs w:val="20"/>
                <w:lang w:eastAsia="fr-FR"/>
              </w:rPr>
              <w:t>3</w:t>
            </w:r>
          </w:p>
        </w:tc>
      </w:tr>
    </w:tbl>
    <w:p w14:paraId="01536D1A" w14:textId="77777777" w:rsidR="007B2433" w:rsidRPr="00D916DB" w:rsidRDefault="007B2433" w:rsidP="00E13FD9">
      <w:pPr>
        <w:pStyle w:val="BodyText"/>
        <w:numPr>
          <w:ilvl w:val="0"/>
          <w:numId w:val="45"/>
        </w:numPr>
        <w:spacing w:before="120" w:after="0"/>
        <w:ind w:left="714" w:hanging="357"/>
        <w:rPr>
          <w:lang w:eastAsia="fr-FR"/>
        </w:rPr>
      </w:pPr>
      <w:r w:rsidRPr="00D916DB">
        <w:rPr>
          <w:lang w:eastAsia="fr-FR"/>
        </w:rPr>
        <w:t>Fraction of Nitrogen in protein (</w:t>
      </w:r>
      <w:proofErr w:type="spellStart"/>
      <w:r w:rsidRPr="00D916DB">
        <w:rPr>
          <w:lang w:eastAsia="fr-FR"/>
        </w:rPr>
        <w:t>F</w:t>
      </w:r>
      <w:r w:rsidRPr="00622F40">
        <w:rPr>
          <w:vertAlign w:val="subscript"/>
          <w:lang w:eastAsia="fr-FR"/>
        </w:rPr>
        <w:t>npr</w:t>
      </w:r>
      <w:proofErr w:type="spellEnd"/>
      <w:r w:rsidRPr="00D916DB">
        <w:rPr>
          <w:lang w:eastAsia="fr-FR"/>
        </w:rPr>
        <w:t>), Factor for non-consumed protein (</w:t>
      </w:r>
      <w:proofErr w:type="spellStart"/>
      <w:r w:rsidRPr="00D916DB">
        <w:rPr>
          <w:lang w:eastAsia="fr-FR"/>
        </w:rPr>
        <w:t>F</w:t>
      </w:r>
      <w:r w:rsidRPr="00622F40">
        <w:rPr>
          <w:vertAlign w:val="subscript"/>
          <w:lang w:eastAsia="fr-FR"/>
        </w:rPr>
        <w:t>non</w:t>
      </w:r>
      <w:proofErr w:type="spellEnd"/>
      <w:r w:rsidRPr="00622F40">
        <w:rPr>
          <w:vertAlign w:val="subscript"/>
          <w:lang w:eastAsia="fr-FR"/>
        </w:rPr>
        <w:t>-con</w:t>
      </w:r>
      <w:r w:rsidRPr="00D916DB">
        <w:rPr>
          <w:lang w:eastAsia="fr-FR"/>
        </w:rPr>
        <w:t>) and factor for industrial and commercial co-discharged (F</w:t>
      </w:r>
      <w:r w:rsidRPr="00622F40">
        <w:rPr>
          <w:vertAlign w:val="subscript"/>
          <w:lang w:eastAsia="fr-FR"/>
        </w:rPr>
        <w:t>ind-com</w:t>
      </w:r>
      <w:r w:rsidRPr="00D916DB">
        <w:rPr>
          <w:lang w:eastAsia="fr-FR"/>
        </w:rPr>
        <w:t>)</w:t>
      </w:r>
    </w:p>
    <w:p w14:paraId="788D1F09" w14:textId="77777777" w:rsidR="007B2433" w:rsidRPr="002462F0" w:rsidRDefault="007B2433" w:rsidP="00D916DB">
      <w:pPr>
        <w:pStyle w:val="BodyText"/>
        <w:rPr>
          <w:lang w:eastAsia="fr-FR"/>
        </w:rPr>
      </w:pPr>
      <w:r w:rsidRPr="002462F0">
        <w:rPr>
          <w:lang w:eastAsia="fr-FR"/>
        </w:rPr>
        <w:lastRenderedPageBreak/>
        <w:t>In absence of country specific information, default values recommended in the 2006 IPCC Guidelines are applied for the fraction of Nitrogen in protein, the factor for non-consumed protein added to the wastewater and for the factor for industrial and commercial co-discharged protein into the sewer system.</w:t>
      </w:r>
    </w:p>
    <w:p w14:paraId="58EC9CFF" w14:textId="70A20A35" w:rsidR="007B2433" w:rsidRPr="002462F0" w:rsidRDefault="00D85B44" w:rsidP="00622F40">
      <w:pPr>
        <w:pStyle w:val="Caption"/>
        <w:jc w:val="left"/>
      </w:pPr>
      <w:bookmarkStart w:id="1185" w:name="_Toc184808605"/>
      <w:r>
        <w:t xml:space="preserve">Table </w:t>
      </w:r>
      <w:r>
        <w:fldChar w:fldCharType="begin"/>
      </w:r>
      <w:r>
        <w:instrText xml:space="preserve"> SEQ Table \* ARABIC </w:instrText>
      </w:r>
      <w:r>
        <w:fldChar w:fldCharType="separate"/>
      </w:r>
      <w:r w:rsidR="00F14C78">
        <w:rPr>
          <w:noProof/>
        </w:rPr>
        <w:t>61</w:t>
      </w:r>
      <w:r>
        <w:fldChar w:fldCharType="end"/>
      </w:r>
      <w:r>
        <w:t xml:space="preserve">: </w:t>
      </w:r>
      <w:r w:rsidRPr="002462F0">
        <w:t>Fraction of Nitrogen in protein (</w:t>
      </w:r>
      <w:proofErr w:type="spellStart"/>
      <w:r w:rsidRPr="002462F0">
        <w:t>Fnpr</w:t>
      </w:r>
      <w:proofErr w:type="spellEnd"/>
      <w:r w:rsidRPr="002462F0">
        <w:t>), Factor for non-consumed protein (</w:t>
      </w:r>
      <w:proofErr w:type="spellStart"/>
      <w:r w:rsidRPr="002462F0">
        <w:t>Fnon</w:t>
      </w:r>
      <w:proofErr w:type="spellEnd"/>
      <w:r w:rsidRPr="002462F0">
        <w:t>-con) and factor for industrial and commercial co-discharged (Find-com)</w:t>
      </w:r>
      <w:bookmarkEnd w:id="118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1843"/>
        <w:gridCol w:w="1842"/>
      </w:tblGrid>
      <w:tr w:rsidR="007B2433" w:rsidRPr="002462F0" w14:paraId="3A62DF5E" w14:textId="77777777" w:rsidTr="00E13FD9">
        <w:trPr>
          <w:trHeight w:val="510"/>
        </w:trPr>
        <w:tc>
          <w:tcPr>
            <w:tcW w:w="5382" w:type="dxa"/>
            <w:shd w:val="clear" w:color="auto" w:fill="C6D9F1" w:themeFill="text2" w:themeFillTint="33"/>
            <w:vAlign w:val="center"/>
          </w:tcPr>
          <w:p w14:paraId="084FCA44" w14:textId="77777777" w:rsidR="007B2433" w:rsidRPr="002462F0" w:rsidRDefault="007B2433" w:rsidP="00F540CA">
            <w:pPr>
              <w:spacing w:after="0" w:line="240" w:lineRule="auto"/>
              <w:jc w:val="center"/>
              <w:rPr>
                <w:rFonts w:eastAsia="Times New Roman" w:cs="Arial"/>
                <w:b/>
                <w:szCs w:val="20"/>
                <w:lang w:eastAsia="fr-FR"/>
              </w:rPr>
            </w:pPr>
            <w:r w:rsidRPr="002462F0">
              <w:rPr>
                <w:rFonts w:eastAsia="Times New Roman" w:cs="Arial"/>
                <w:b/>
                <w:szCs w:val="20"/>
                <w:lang w:eastAsia="fr-FR"/>
              </w:rPr>
              <w:t>Parameters</w:t>
            </w:r>
          </w:p>
        </w:tc>
        <w:tc>
          <w:tcPr>
            <w:tcW w:w="1843" w:type="dxa"/>
            <w:shd w:val="clear" w:color="auto" w:fill="C6D9F1" w:themeFill="text2" w:themeFillTint="33"/>
            <w:noWrap/>
            <w:vAlign w:val="center"/>
          </w:tcPr>
          <w:p w14:paraId="780F4E31" w14:textId="77777777" w:rsidR="007B2433" w:rsidRPr="002462F0" w:rsidRDefault="007B2433" w:rsidP="00F540CA">
            <w:pPr>
              <w:spacing w:after="0" w:line="240" w:lineRule="auto"/>
              <w:jc w:val="center"/>
              <w:rPr>
                <w:rFonts w:eastAsia="Times New Roman" w:cs="Arial"/>
                <w:b/>
                <w:szCs w:val="20"/>
                <w:lang w:eastAsia="fr-FR"/>
              </w:rPr>
            </w:pPr>
            <w:r w:rsidRPr="002462F0">
              <w:rPr>
                <w:rFonts w:eastAsia="Times New Roman" w:cs="Arial"/>
                <w:b/>
                <w:szCs w:val="20"/>
                <w:lang w:eastAsia="fr-FR"/>
              </w:rPr>
              <w:t>IPCC Default*</w:t>
            </w:r>
          </w:p>
        </w:tc>
        <w:tc>
          <w:tcPr>
            <w:tcW w:w="1842" w:type="dxa"/>
            <w:shd w:val="clear" w:color="auto" w:fill="C6D9F1" w:themeFill="text2" w:themeFillTint="33"/>
            <w:vAlign w:val="center"/>
          </w:tcPr>
          <w:p w14:paraId="7E37B68B" w14:textId="77777777" w:rsidR="007B2433" w:rsidRPr="002462F0" w:rsidRDefault="007B2433" w:rsidP="00F540CA">
            <w:pPr>
              <w:spacing w:after="0" w:line="240" w:lineRule="auto"/>
              <w:jc w:val="center"/>
              <w:rPr>
                <w:rFonts w:eastAsia="Times New Roman" w:cs="Arial"/>
                <w:b/>
                <w:szCs w:val="20"/>
                <w:lang w:eastAsia="fr-FR"/>
              </w:rPr>
            </w:pPr>
            <w:r w:rsidRPr="002462F0">
              <w:rPr>
                <w:b/>
                <w:bCs/>
                <w:szCs w:val="20"/>
                <w:lang w:eastAsia="fr-FR"/>
              </w:rPr>
              <w:t>Applied</w:t>
            </w:r>
          </w:p>
        </w:tc>
      </w:tr>
      <w:tr w:rsidR="007B2433" w:rsidRPr="002462F0" w14:paraId="67D5BAD6" w14:textId="77777777" w:rsidTr="00E13FD9">
        <w:tc>
          <w:tcPr>
            <w:tcW w:w="5382" w:type="dxa"/>
            <w:shd w:val="clear" w:color="auto" w:fill="auto"/>
            <w:vAlign w:val="center"/>
          </w:tcPr>
          <w:p w14:paraId="7E1FF023" w14:textId="77777777" w:rsidR="007B2433" w:rsidRPr="002462F0" w:rsidRDefault="007B2433" w:rsidP="00E13FD9">
            <w:pPr>
              <w:spacing w:before="40" w:after="40" w:line="240" w:lineRule="auto"/>
              <w:jc w:val="left"/>
              <w:rPr>
                <w:rFonts w:eastAsia="Times New Roman" w:cs="Arial"/>
                <w:szCs w:val="20"/>
                <w:lang w:eastAsia="fr-FR"/>
              </w:rPr>
            </w:pPr>
            <w:r w:rsidRPr="002462F0">
              <w:rPr>
                <w:rFonts w:eastAsia="Times New Roman" w:cs="Arial"/>
                <w:szCs w:val="20"/>
                <w:lang w:eastAsia="fr-FR"/>
              </w:rPr>
              <w:t>Fraction of Nitrogen in protein (kg N/kg protein)</w:t>
            </w:r>
          </w:p>
        </w:tc>
        <w:tc>
          <w:tcPr>
            <w:tcW w:w="1843" w:type="dxa"/>
            <w:shd w:val="clear" w:color="auto" w:fill="auto"/>
            <w:noWrap/>
            <w:vAlign w:val="center"/>
          </w:tcPr>
          <w:p w14:paraId="2A4C6A7F" w14:textId="27B58448" w:rsidR="007B2433" w:rsidRPr="002462F0" w:rsidRDefault="007B2433" w:rsidP="00E13FD9">
            <w:pPr>
              <w:spacing w:before="40" w:after="40" w:line="240" w:lineRule="auto"/>
              <w:jc w:val="center"/>
              <w:rPr>
                <w:rFonts w:eastAsia="Times New Roman" w:cs="Arial"/>
                <w:szCs w:val="20"/>
                <w:lang w:eastAsia="fr-FR"/>
              </w:rPr>
            </w:pPr>
            <w:r w:rsidRPr="002462F0">
              <w:rPr>
                <w:rFonts w:eastAsia="Times New Roman" w:cs="Arial"/>
                <w:szCs w:val="20"/>
                <w:lang w:eastAsia="fr-FR"/>
              </w:rPr>
              <w:t>0</w:t>
            </w:r>
            <w:r w:rsidR="00F4320B">
              <w:rPr>
                <w:rFonts w:eastAsia="Times New Roman" w:cs="Arial"/>
                <w:szCs w:val="20"/>
                <w:lang w:eastAsia="fr-FR"/>
              </w:rPr>
              <w:t>.</w:t>
            </w:r>
            <w:r w:rsidRPr="002462F0">
              <w:rPr>
                <w:rFonts w:eastAsia="Times New Roman" w:cs="Arial"/>
                <w:szCs w:val="20"/>
                <w:lang w:eastAsia="fr-FR"/>
              </w:rPr>
              <w:t>16</w:t>
            </w:r>
          </w:p>
        </w:tc>
        <w:tc>
          <w:tcPr>
            <w:tcW w:w="1842" w:type="dxa"/>
            <w:shd w:val="clear" w:color="auto" w:fill="auto"/>
            <w:vAlign w:val="center"/>
          </w:tcPr>
          <w:p w14:paraId="509E66AC" w14:textId="79A07AD8" w:rsidR="007B2433" w:rsidRPr="002462F0" w:rsidRDefault="007B2433" w:rsidP="00E13FD9">
            <w:pPr>
              <w:spacing w:before="40" w:after="40" w:line="240" w:lineRule="auto"/>
              <w:jc w:val="center"/>
              <w:rPr>
                <w:rFonts w:eastAsia="Times New Roman" w:cs="Arial"/>
                <w:szCs w:val="20"/>
                <w:lang w:eastAsia="fr-FR"/>
              </w:rPr>
            </w:pPr>
            <w:r w:rsidRPr="002462F0">
              <w:rPr>
                <w:rFonts w:eastAsia="Times New Roman" w:cs="Arial"/>
                <w:szCs w:val="20"/>
                <w:lang w:eastAsia="fr-FR"/>
              </w:rPr>
              <w:t>0</w:t>
            </w:r>
            <w:r w:rsidR="009D5234">
              <w:rPr>
                <w:rFonts w:eastAsia="Times New Roman" w:cs="Arial"/>
                <w:szCs w:val="20"/>
                <w:lang w:eastAsia="fr-FR"/>
              </w:rPr>
              <w:t>.</w:t>
            </w:r>
            <w:r w:rsidRPr="002462F0">
              <w:rPr>
                <w:rFonts w:eastAsia="Times New Roman" w:cs="Arial"/>
                <w:szCs w:val="20"/>
                <w:lang w:eastAsia="fr-FR"/>
              </w:rPr>
              <w:t>16</w:t>
            </w:r>
          </w:p>
        </w:tc>
      </w:tr>
      <w:tr w:rsidR="007B2433" w:rsidRPr="002462F0" w14:paraId="6DB78414" w14:textId="77777777" w:rsidTr="00E13FD9">
        <w:tc>
          <w:tcPr>
            <w:tcW w:w="5382" w:type="dxa"/>
            <w:shd w:val="clear" w:color="auto" w:fill="auto"/>
            <w:vAlign w:val="center"/>
            <w:hideMark/>
          </w:tcPr>
          <w:p w14:paraId="0D6D823B" w14:textId="77777777" w:rsidR="007B2433" w:rsidRPr="002462F0" w:rsidRDefault="007B2433" w:rsidP="00E13FD9">
            <w:pPr>
              <w:spacing w:before="40" w:after="40" w:line="240" w:lineRule="auto"/>
              <w:jc w:val="left"/>
              <w:rPr>
                <w:rFonts w:eastAsia="Times New Roman" w:cs="Arial"/>
                <w:szCs w:val="20"/>
                <w:lang w:eastAsia="fr-FR"/>
              </w:rPr>
            </w:pPr>
            <w:r w:rsidRPr="002462F0">
              <w:rPr>
                <w:rFonts w:eastAsia="Times New Roman" w:cs="Arial"/>
                <w:szCs w:val="20"/>
                <w:lang w:eastAsia="fr-FR"/>
              </w:rPr>
              <w:t>Factor for non-consumed protein (</w:t>
            </w:r>
            <w:proofErr w:type="spellStart"/>
            <w:r w:rsidRPr="002462F0">
              <w:rPr>
                <w:rFonts w:eastAsia="Times New Roman" w:cs="Arial"/>
                <w:szCs w:val="20"/>
                <w:lang w:eastAsia="fr-FR"/>
              </w:rPr>
              <w:t>F</w:t>
            </w:r>
            <w:r w:rsidRPr="00622F40">
              <w:rPr>
                <w:rFonts w:eastAsia="Times New Roman" w:cs="Arial"/>
                <w:szCs w:val="20"/>
                <w:vertAlign w:val="subscript"/>
                <w:lang w:eastAsia="fr-FR"/>
              </w:rPr>
              <w:t>non</w:t>
            </w:r>
            <w:proofErr w:type="spellEnd"/>
            <w:r w:rsidRPr="00622F40">
              <w:rPr>
                <w:rFonts w:eastAsia="Times New Roman" w:cs="Arial"/>
                <w:szCs w:val="20"/>
                <w:vertAlign w:val="subscript"/>
                <w:lang w:eastAsia="fr-FR"/>
              </w:rPr>
              <w:t>-com</w:t>
            </w:r>
            <w:r w:rsidRPr="002462F0">
              <w:rPr>
                <w:rFonts w:eastAsia="Times New Roman" w:cs="Arial"/>
                <w:szCs w:val="20"/>
                <w:lang w:eastAsia="fr-FR"/>
              </w:rPr>
              <w:t>)</w:t>
            </w:r>
          </w:p>
        </w:tc>
        <w:tc>
          <w:tcPr>
            <w:tcW w:w="1843" w:type="dxa"/>
            <w:shd w:val="clear" w:color="auto" w:fill="auto"/>
            <w:noWrap/>
            <w:vAlign w:val="center"/>
            <w:hideMark/>
          </w:tcPr>
          <w:p w14:paraId="3D29C6C8" w14:textId="1C95B59E" w:rsidR="007B2433" w:rsidRPr="002462F0" w:rsidRDefault="007B2433" w:rsidP="00E13FD9">
            <w:pPr>
              <w:spacing w:before="40" w:after="40" w:line="240" w:lineRule="auto"/>
              <w:jc w:val="center"/>
              <w:rPr>
                <w:rFonts w:eastAsia="Times New Roman" w:cs="Arial"/>
                <w:szCs w:val="20"/>
                <w:lang w:eastAsia="fr-FR"/>
              </w:rPr>
            </w:pPr>
            <w:r w:rsidRPr="002462F0">
              <w:rPr>
                <w:rFonts w:eastAsia="Times New Roman" w:cs="Arial"/>
                <w:szCs w:val="20"/>
                <w:lang w:eastAsia="fr-FR"/>
              </w:rPr>
              <w:t>1</w:t>
            </w:r>
            <w:r w:rsidR="00F4320B">
              <w:rPr>
                <w:rFonts w:eastAsia="Times New Roman" w:cs="Arial"/>
                <w:szCs w:val="20"/>
                <w:lang w:eastAsia="fr-FR"/>
              </w:rPr>
              <w:t>.</w:t>
            </w:r>
            <w:r w:rsidRPr="002462F0">
              <w:rPr>
                <w:rFonts w:eastAsia="Times New Roman" w:cs="Arial"/>
                <w:szCs w:val="20"/>
                <w:lang w:eastAsia="fr-FR"/>
              </w:rPr>
              <w:t>1</w:t>
            </w:r>
          </w:p>
        </w:tc>
        <w:tc>
          <w:tcPr>
            <w:tcW w:w="1842" w:type="dxa"/>
            <w:shd w:val="clear" w:color="auto" w:fill="auto"/>
            <w:vAlign w:val="center"/>
          </w:tcPr>
          <w:p w14:paraId="06BBCD16" w14:textId="36653FB2" w:rsidR="007B2433" w:rsidRPr="002462F0" w:rsidRDefault="007B2433" w:rsidP="00E13FD9">
            <w:pPr>
              <w:spacing w:before="40" w:after="40" w:line="240" w:lineRule="auto"/>
              <w:jc w:val="center"/>
              <w:rPr>
                <w:rFonts w:eastAsia="Times New Roman" w:cs="Arial"/>
                <w:szCs w:val="20"/>
                <w:lang w:eastAsia="fr-FR"/>
              </w:rPr>
            </w:pPr>
            <w:r w:rsidRPr="002462F0">
              <w:rPr>
                <w:rFonts w:eastAsia="Times New Roman" w:cs="Arial"/>
                <w:szCs w:val="20"/>
                <w:lang w:eastAsia="fr-FR"/>
              </w:rPr>
              <w:t>1</w:t>
            </w:r>
            <w:r w:rsidR="009D5234">
              <w:rPr>
                <w:rFonts w:eastAsia="Times New Roman" w:cs="Arial"/>
                <w:szCs w:val="20"/>
                <w:lang w:eastAsia="fr-FR"/>
              </w:rPr>
              <w:t>.</w:t>
            </w:r>
            <w:r w:rsidRPr="002462F0">
              <w:rPr>
                <w:rFonts w:eastAsia="Times New Roman" w:cs="Arial"/>
                <w:szCs w:val="20"/>
                <w:lang w:eastAsia="fr-FR"/>
              </w:rPr>
              <w:t>1</w:t>
            </w:r>
          </w:p>
        </w:tc>
      </w:tr>
      <w:tr w:rsidR="007B2433" w:rsidRPr="002462F0" w14:paraId="013EC0C1" w14:textId="77777777" w:rsidTr="00E13FD9">
        <w:tc>
          <w:tcPr>
            <w:tcW w:w="5382" w:type="dxa"/>
            <w:shd w:val="clear" w:color="auto" w:fill="auto"/>
            <w:vAlign w:val="center"/>
            <w:hideMark/>
          </w:tcPr>
          <w:p w14:paraId="3452F139" w14:textId="77777777" w:rsidR="007B2433" w:rsidRPr="002462F0" w:rsidRDefault="007B2433" w:rsidP="00E13FD9">
            <w:pPr>
              <w:spacing w:before="40" w:after="40" w:line="240" w:lineRule="auto"/>
              <w:jc w:val="left"/>
              <w:rPr>
                <w:rFonts w:eastAsia="Times New Roman" w:cs="Arial"/>
                <w:szCs w:val="20"/>
                <w:lang w:eastAsia="fr-FR"/>
              </w:rPr>
            </w:pPr>
            <w:r w:rsidRPr="002462F0">
              <w:rPr>
                <w:rFonts w:eastAsia="Times New Roman" w:cs="Arial"/>
                <w:szCs w:val="20"/>
                <w:lang w:eastAsia="fr-FR"/>
              </w:rPr>
              <w:t>Factor for industrial and commercial co-discharged (F</w:t>
            </w:r>
            <w:r w:rsidRPr="00622F40">
              <w:rPr>
                <w:rFonts w:eastAsia="Times New Roman" w:cs="Arial"/>
                <w:szCs w:val="20"/>
                <w:vertAlign w:val="subscript"/>
                <w:lang w:eastAsia="fr-FR"/>
              </w:rPr>
              <w:t>ind-com</w:t>
            </w:r>
            <w:r w:rsidRPr="002462F0">
              <w:rPr>
                <w:rFonts w:eastAsia="Times New Roman" w:cs="Arial"/>
                <w:szCs w:val="20"/>
                <w:lang w:eastAsia="fr-FR"/>
              </w:rPr>
              <w:t>)</w:t>
            </w:r>
          </w:p>
        </w:tc>
        <w:tc>
          <w:tcPr>
            <w:tcW w:w="1843" w:type="dxa"/>
            <w:shd w:val="clear" w:color="auto" w:fill="auto"/>
            <w:noWrap/>
            <w:vAlign w:val="center"/>
            <w:hideMark/>
          </w:tcPr>
          <w:p w14:paraId="6CFCD838" w14:textId="65496C93" w:rsidR="007B2433" w:rsidRPr="002462F0" w:rsidRDefault="007B2433" w:rsidP="00E13FD9">
            <w:pPr>
              <w:spacing w:before="40" w:after="40" w:line="240" w:lineRule="auto"/>
              <w:jc w:val="center"/>
              <w:rPr>
                <w:rFonts w:eastAsia="Times New Roman" w:cs="Arial"/>
                <w:szCs w:val="20"/>
                <w:lang w:eastAsia="fr-FR"/>
              </w:rPr>
            </w:pPr>
            <w:r w:rsidRPr="002462F0">
              <w:rPr>
                <w:rFonts w:eastAsia="Times New Roman" w:cs="Arial"/>
                <w:szCs w:val="20"/>
                <w:lang w:eastAsia="fr-FR"/>
              </w:rPr>
              <w:t>1</w:t>
            </w:r>
            <w:r w:rsidR="00F4320B">
              <w:rPr>
                <w:rFonts w:eastAsia="Times New Roman" w:cs="Arial"/>
                <w:szCs w:val="20"/>
                <w:lang w:eastAsia="fr-FR"/>
              </w:rPr>
              <w:t>.</w:t>
            </w:r>
            <w:r w:rsidRPr="002462F0">
              <w:rPr>
                <w:rFonts w:eastAsia="Times New Roman" w:cs="Arial"/>
                <w:szCs w:val="20"/>
                <w:lang w:eastAsia="fr-FR"/>
              </w:rPr>
              <w:t>25</w:t>
            </w:r>
          </w:p>
        </w:tc>
        <w:tc>
          <w:tcPr>
            <w:tcW w:w="1842" w:type="dxa"/>
            <w:shd w:val="clear" w:color="auto" w:fill="auto"/>
            <w:vAlign w:val="center"/>
          </w:tcPr>
          <w:p w14:paraId="3AFFC53E" w14:textId="4CD7263B" w:rsidR="007B2433" w:rsidRPr="002462F0" w:rsidRDefault="007B2433" w:rsidP="00E13FD9">
            <w:pPr>
              <w:spacing w:before="40" w:after="40" w:line="240" w:lineRule="auto"/>
              <w:jc w:val="center"/>
              <w:rPr>
                <w:rFonts w:eastAsia="Times New Roman" w:cs="Arial"/>
                <w:szCs w:val="20"/>
                <w:lang w:eastAsia="fr-FR"/>
              </w:rPr>
            </w:pPr>
            <w:r w:rsidRPr="002462F0">
              <w:rPr>
                <w:rFonts w:eastAsia="Times New Roman" w:cs="Arial"/>
                <w:szCs w:val="20"/>
                <w:lang w:eastAsia="fr-FR"/>
              </w:rPr>
              <w:t>1</w:t>
            </w:r>
            <w:r w:rsidR="009D5234">
              <w:rPr>
                <w:rFonts w:eastAsia="Times New Roman" w:cs="Arial"/>
                <w:szCs w:val="20"/>
                <w:lang w:eastAsia="fr-FR"/>
              </w:rPr>
              <w:t>.</w:t>
            </w:r>
            <w:r w:rsidRPr="002462F0">
              <w:rPr>
                <w:rFonts w:eastAsia="Times New Roman" w:cs="Arial"/>
                <w:szCs w:val="20"/>
                <w:lang w:eastAsia="fr-FR"/>
              </w:rPr>
              <w:t>25</w:t>
            </w:r>
          </w:p>
        </w:tc>
      </w:tr>
    </w:tbl>
    <w:p w14:paraId="589D2B27" w14:textId="77777777" w:rsidR="007B2433" w:rsidRPr="00622F40" w:rsidRDefault="007B2433" w:rsidP="007B2433">
      <w:pPr>
        <w:autoSpaceDE w:val="0"/>
        <w:autoSpaceDN w:val="0"/>
        <w:adjustRightInd w:val="0"/>
        <w:spacing w:after="0" w:line="240" w:lineRule="auto"/>
        <w:jc w:val="left"/>
        <w:rPr>
          <w:i/>
          <w:sz w:val="18"/>
          <w:szCs w:val="18"/>
          <w:lang w:eastAsia="fr-FR"/>
        </w:rPr>
      </w:pPr>
      <w:r w:rsidRPr="00622F40">
        <w:rPr>
          <w:i/>
          <w:sz w:val="18"/>
          <w:szCs w:val="18"/>
          <w:lang w:eastAsia="fr-FR"/>
        </w:rPr>
        <w:t>*Recommended in the 2006 IPCC Guidelines, Vol5, Chap 5, paragraph 6.3.1.3</w:t>
      </w:r>
    </w:p>
    <w:p w14:paraId="208D54D5" w14:textId="77777777" w:rsidR="007B2433" w:rsidRPr="002462F0" w:rsidRDefault="007B2433" w:rsidP="007B2433">
      <w:pPr>
        <w:rPr>
          <w:szCs w:val="20"/>
          <w:lang w:eastAsia="fr-FR"/>
        </w:rPr>
      </w:pPr>
    </w:p>
    <w:p w14:paraId="68FC24CD" w14:textId="77777777" w:rsidR="007B2433" w:rsidRPr="002462F0" w:rsidRDefault="007B2433" w:rsidP="007B2433">
      <w:pPr>
        <w:pStyle w:val="Heading6"/>
        <w:rPr>
          <w:lang w:eastAsia="fr-FR"/>
        </w:rPr>
      </w:pPr>
      <w:r w:rsidRPr="002462F0">
        <w:rPr>
          <w:lang w:eastAsia="fr-FR"/>
        </w:rPr>
        <w:t>Nitrogen removed with sludge (</w:t>
      </w:r>
      <w:proofErr w:type="spellStart"/>
      <w:r w:rsidRPr="002462F0">
        <w:rPr>
          <w:lang w:eastAsia="fr-FR"/>
        </w:rPr>
        <w:t>Nsludge</w:t>
      </w:r>
      <w:proofErr w:type="spellEnd"/>
      <w:r w:rsidRPr="002462F0">
        <w:rPr>
          <w:lang w:eastAsia="fr-FR"/>
        </w:rPr>
        <w:t>)</w:t>
      </w:r>
    </w:p>
    <w:p w14:paraId="2C1CB9DF" w14:textId="77777777" w:rsidR="007B2433" w:rsidRPr="002462F0" w:rsidRDefault="007B2433" w:rsidP="00D916DB">
      <w:pPr>
        <w:pStyle w:val="BodyText"/>
        <w:rPr>
          <w:lang w:eastAsia="fr-FR"/>
        </w:rPr>
      </w:pPr>
      <w:r w:rsidRPr="002462F0">
        <w:rPr>
          <w:lang w:eastAsia="fr-FR"/>
        </w:rPr>
        <w:t>In absence of country specific information, the default value recommended in the 2006 IPCC Guidelines is applied.</w:t>
      </w:r>
    </w:p>
    <w:p w14:paraId="65135AFA" w14:textId="7D1CBB21" w:rsidR="007B2433" w:rsidRPr="002462F0" w:rsidRDefault="00D85B44" w:rsidP="00D916DB">
      <w:pPr>
        <w:pStyle w:val="Caption"/>
      </w:pPr>
      <w:bookmarkStart w:id="1186" w:name="_Toc184808606"/>
      <w:r>
        <w:t xml:space="preserve">Table </w:t>
      </w:r>
      <w:r>
        <w:fldChar w:fldCharType="begin"/>
      </w:r>
      <w:r>
        <w:instrText xml:space="preserve"> SEQ Table \* ARABIC </w:instrText>
      </w:r>
      <w:r>
        <w:fldChar w:fldCharType="separate"/>
      </w:r>
      <w:r w:rsidR="00F14C78">
        <w:rPr>
          <w:noProof/>
        </w:rPr>
        <w:t>62</w:t>
      </w:r>
      <w:r>
        <w:fldChar w:fldCharType="end"/>
      </w:r>
      <w:r>
        <w:t xml:space="preserve">: </w:t>
      </w:r>
      <w:r w:rsidRPr="002462F0">
        <w:t>Nitrogen removed with sludge (</w:t>
      </w:r>
      <w:proofErr w:type="spellStart"/>
      <w:r w:rsidRPr="002462F0">
        <w:t>N</w:t>
      </w:r>
      <w:r w:rsidRPr="00622F40">
        <w:rPr>
          <w:vertAlign w:val="subscript"/>
        </w:rPr>
        <w:t>sludge</w:t>
      </w:r>
      <w:proofErr w:type="spellEnd"/>
      <w:r w:rsidRPr="002462F0">
        <w:t>)</w:t>
      </w:r>
      <w:r>
        <w:t xml:space="preserve"> (in kg N/year)</w:t>
      </w:r>
      <w:bookmarkEnd w:id="118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1843"/>
        <w:gridCol w:w="1842"/>
      </w:tblGrid>
      <w:tr w:rsidR="007B2433" w:rsidRPr="002462F0" w14:paraId="68A6E3A5" w14:textId="77777777" w:rsidTr="00E13FD9">
        <w:trPr>
          <w:trHeight w:val="510"/>
        </w:trPr>
        <w:tc>
          <w:tcPr>
            <w:tcW w:w="5382" w:type="dxa"/>
            <w:shd w:val="clear" w:color="auto" w:fill="C6D9F1" w:themeFill="text2" w:themeFillTint="33"/>
            <w:vAlign w:val="center"/>
          </w:tcPr>
          <w:p w14:paraId="32962727" w14:textId="77777777" w:rsidR="007B2433" w:rsidRPr="002462F0" w:rsidRDefault="007B2433" w:rsidP="00F540CA">
            <w:pPr>
              <w:spacing w:after="0" w:line="240" w:lineRule="auto"/>
              <w:jc w:val="center"/>
              <w:rPr>
                <w:rFonts w:eastAsia="Times New Roman" w:cs="Arial"/>
                <w:b/>
                <w:szCs w:val="20"/>
                <w:lang w:eastAsia="fr-FR"/>
              </w:rPr>
            </w:pPr>
            <w:r w:rsidRPr="002462F0">
              <w:rPr>
                <w:rFonts w:eastAsia="Times New Roman" w:cs="Arial"/>
                <w:b/>
                <w:szCs w:val="20"/>
                <w:lang w:eastAsia="fr-FR"/>
              </w:rPr>
              <w:t>Parameter</w:t>
            </w:r>
          </w:p>
        </w:tc>
        <w:tc>
          <w:tcPr>
            <w:tcW w:w="1843" w:type="dxa"/>
            <w:shd w:val="clear" w:color="auto" w:fill="C6D9F1" w:themeFill="text2" w:themeFillTint="33"/>
            <w:noWrap/>
            <w:vAlign w:val="center"/>
          </w:tcPr>
          <w:p w14:paraId="4568C016" w14:textId="77777777" w:rsidR="007B2433" w:rsidRPr="002462F0" w:rsidRDefault="007B2433" w:rsidP="00F540CA">
            <w:pPr>
              <w:spacing w:after="0" w:line="240" w:lineRule="auto"/>
              <w:jc w:val="center"/>
              <w:rPr>
                <w:rFonts w:eastAsia="Times New Roman" w:cs="Arial"/>
                <w:b/>
                <w:szCs w:val="20"/>
                <w:lang w:eastAsia="fr-FR"/>
              </w:rPr>
            </w:pPr>
            <w:r w:rsidRPr="002462F0">
              <w:rPr>
                <w:rFonts w:eastAsia="Times New Roman" w:cs="Arial"/>
                <w:b/>
                <w:szCs w:val="20"/>
                <w:lang w:eastAsia="fr-FR"/>
              </w:rPr>
              <w:t>IPCC Default*</w:t>
            </w:r>
          </w:p>
        </w:tc>
        <w:tc>
          <w:tcPr>
            <w:tcW w:w="1842" w:type="dxa"/>
            <w:shd w:val="clear" w:color="auto" w:fill="C6D9F1" w:themeFill="text2" w:themeFillTint="33"/>
            <w:vAlign w:val="center"/>
          </w:tcPr>
          <w:p w14:paraId="5E9DD951" w14:textId="77777777" w:rsidR="007B2433" w:rsidRPr="002462F0" w:rsidRDefault="007B2433" w:rsidP="00F540CA">
            <w:pPr>
              <w:spacing w:after="0" w:line="240" w:lineRule="auto"/>
              <w:jc w:val="center"/>
              <w:rPr>
                <w:rFonts w:eastAsia="Times New Roman" w:cs="Arial"/>
                <w:b/>
                <w:szCs w:val="20"/>
                <w:lang w:eastAsia="fr-FR"/>
              </w:rPr>
            </w:pPr>
            <w:r w:rsidRPr="002462F0">
              <w:rPr>
                <w:b/>
                <w:bCs/>
                <w:szCs w:val="20"/>
                <w:lang w:eastAsia="fr-FR"/>
              </w:rPr>
              <w:t>Applied</w:t>
            </w:r>
          </w:p>
        </w:tc>
      </w:tr>
      <w:tr w:rsidR="007B2433" w:rsidRPr="002462F0" w14:paraId="7B6281D1" w14:textId="77777777" w:rsidTr="00E13FD9">
        <w:tc>
          <w:tcPr>
            <w:tcW w:w="5382" w:type="dxa"/>
            <w:shd w:val="clear" w:color="auto" w:fill="auto"/>
            <w:vAlign w:val="center"/>
            <w:hideMark/>
          </w:tcPr>
          <w:p w14:paraId="65782E5F" w14:textId="77777777" w:rsidR="007B2433" w:rsidRPr="002462F0" w:rsidRDefault="007B2433" w:rsidP="00E13FD9">
            <w:pPr>
              <w:spacing w:before="40" w:after="40" w:line="240" w:lineRule="auto"/>
              <w:jc w:val="left"/>
              <w:rPr>
                <w:rFonts w:eastAsia="Times New Roman" w:cs="Arial"/>
                <w:szCs w:val="20"/>
                <w:lang w:eastAsia="fr-FR"/>
              </w:rPr>
            </w:pPr>
            <w:proofErr w:type="spellStart"/>
            <w:r w:rsidRPr="002462F0">
              <w:rPr>
                <w:rFonts w:eastAsia="Times New Roman" w:cs="Arial"/>
                <w:szCs w:val="20"/>
                <w:lang w:eastAsia="fr-FR"/>
              </w:rPr>
              <w:t>Nsludge</w:t>
            </w:r>
            <w:proofErr w:type="spellEnd"/>
            <w:r w:rsidRPr="002462F0">
              <w:rPr>
                <w:rFonts w:eastAsia="Times New Roman" w:cs="Arial"/>
                <w:szCs w:val="20"/>
                <w:lang w:eastAsia="fr-FR"/>
              </w:rPr>
              <w:t>- Nitrogen removed with sludge, kg N/yr</w:t>
            </w:r>
          </w:p>
        </w:tc>
        <w:tc>
          <w:tcPr>
            <w:tcW w:w="1843" w:type="dxa"/>
            <w:shd w:val="clear" w:color="auto" w:fill="auto"/>
            <w:noWrap/>
            <w:vAlign w:val="center"/>
            <w:hideMark/>
          </w:tcPr>
          <w:p w14:paraId="4E97CEE6" w14:textId="77777777" w:rsidR="007B2433" w:rsidRPr="002462F0" w:rsidRDefault="007B2433" w:rsidP="00E13FD9">
            <w:pPr>
              <w:spacing w:before="40" w:after="40" w:line="240" w:lineRule="auto"/>
              <w:jc w:val="center"/>
              <w:rPr>
                <w:rFonts w:eastAsia="Times New Roman" w:cs="Arial"/>
                <w:szCs w:val="20"/>
                <w:lang w:eastAsia="fr-FR"/>
              </w:rPr>
            </w:pPr>
            <w:r w:rsidRPr="002462F0">
              <w:rPr>
                <w:rFonts w:eastAsia="Times New Roman" w:cs="Arial"/>
                <w:szCs w:val="20"/>
                <w:lang w:eastAsia="fr-FR"/>
              </w:rPr>
              <w:t>0</w:t>
            </w:r>
          </w:p>
        </w:tc>
        <w:tc>
          <w:tcPr>
            <w:tcW w:w="1842" w:type="dxa"/>
            <w:shd w:val="clear" w:color="auto" w:fill="auto"/>
            <w:vAlign w:val="center"/>
          </w:tcPr>
          <w:p w14:paraId="30E925F9" w14:textId="77777777" w:rsidR="007B2433" w:rsidRPr="002462F0" w:rsidRDefault="007B2433" w:rsidP="00E13FD9">
            <w:pPr>
              <w:spacing w:before="40" w:after="40" w:line="240" w:lineRule="auto"/>
              <w:jc w:val="center"/>
              <w:rPr>
                <w:rFonts w:eastAsia="Times New Roman" w:cs="Arial"/>
                <w:szCs w:val="20"/>
                <w:lang w:eastAsia="fr-FR"/>
              </w:rPr>
            </w:pPr>
            <w:r w:rsidRPr="002462F0">
              <w:rPr>
                <w:rFonts w:eastAsia="Times New Roman" w:cs="Arial"/>
                <w:szCs w:val="20"/>
                <w:lang w:eastAsia="fr-FR"/>
              </w:rPr>
              <w:t>0</w:t>
            </w:r>
          </w:p>
        </w:tc>
      </w:tr>
    </w:tbl>
    <w:p w14:paraId="0D1B3041" w14:textId="77777777" w:rsidR="007B2433" w:rsidRPr="00622F40" w:rsidRDefault="007B2433" w:rsidP="007B2433">
      <w:pPr>
        <w:autoSpaceDE w:val="0"/>
        <w:autoSpaceDN w:val="0"/>
        <w:adjustRightInd w:val="0"/>
        <w:spacing w:after="0" w:line="240" w:lineRule="auto"/>
        <w:jc w:val="left"/>
        <w:rPr>
          <w:i/>
          <w:sz w:val="18"/>
          <w:szCs w:val="18"/>
          <w:lang w:eastAsia="fr-FR"/>
        </w:rPr>
      </w:pPr>
      <w:r w:rsidRPr="00622F40">
        <w:rPr>
          <w:i/>
          <w:sz w:val="18"/>
          <w:szCs w:val="18"/>
          <w:lang w:eastAsia="fr-FR"/>
        </w:rPr>
        <w:t>*Recommended in the 2006 IPCC Guidelines, Vol5, Chap 5, page 6.25</w:t>
      </w:r>
    </w:p>
    <w:p w14:paraId="6716F4DE" w14:textId="77777777" w:rsidR="007B2433" w:rsidRPr="002462F0" w:rsidRDefault="007B2433" w:rsidP="007B2433">
      <w:pPr>
        <w:rPr>
          <w:lang w:eastAsia="fr-FR"/>
        </w:rPr>
      </w:pPr>
    </w:p>
    <w:p w14:paraId="76BCDEE2" w14:textId="77777777" w:rsidR="007B2433" w:rsidRPr="002462F0" w:rsidRDefault="007B2433" w:rsidP="007B2433">
      <w:pPr>
        <w:pStyle w:val="Heading6"/>
        <w:rPr>
          <w:lang w:eastAsia="fr-FR"/>
        </w:rPr>
      </w:pPr>
      <w:r w:rsidRPr="002462F0">
        <w:rPr>
          <w:lang w:eastAsia="fr-FR"/>
        </w:rPr>
        <w:t>Emission factor (EF)</w:t>
      </w:r>
    </w:p>
    <w:p w14:paraId="46BF7611" w14:textId="19D216B2" w:rsidR="007B2433" w:rsidRPr="002462F0" w:rsidRDefault="007B2433" w:rsidP="00D916DB">
      <w:pPr>
        <w:pStyle w:val="BodyText"/>
        <w:rPr>
          <w:lang w:eastAsia="fr-FR"/>
        </w:rPr>
      </w:pPr>
      <w:r w:rsidRPr="002462F0">
        <w:rPr>
          <w:lang w:eastAsia="fr-FR"/>
        </w:rPr>
        <w:t>The default EF recommended in the 2006 IPCC Guidelines (0</w:t>
      </w:r>
      <w:r w:rsidR="00F5506B">
        <w:rPr>
          <w:lang w:eastAsia="fr-FR"/>
        </w:rPr>
        <w:t>.</w:t>
      </w:r>
      <w:r w:rsidRPr="002462F0">
        <w:rPr>
          <w:lang w:eastAsia="fr-FR"/>
        </w:rPr>
        <w:t>005 kg N</w:t>
      </w:r>
      <w:r w:rsidRPr="002462F0">
        <w:rPr>
          <w:vertAlign w:val="subscript"/>
          <w:lang w:eastAsia="fr-FR"/>
        </w:rPr>
        <w:t>2</w:t>
      </w:r>
      <w:r w:rsidRPr="002462F0">
        <w:rPr>
          <w:lang w:eastAsia="fr-FR"/>
        </w:rPr>
        <w:t>O-N/kg N) is applied in the Serbian inventory.</w:t>
      </w:r>
    </w:p>
    <w:p w14:paraId="3A214EA8" w14:textId="2BBD7AD7" w:rsidR="007B2433" w:rsidRPr="002462F0" w:rsidRDefault="007B2433" w:rsidP="007B2433">
      <w:pPr>
        <w:pStyle w:val="Heading5"/>
        <w:rPr>
          <w:lang w:eastAsia="fr-FR"/>
        </w:rPr>
      </w:pPr>
      <w:bookmarkStart w:id="1187" w:name="_Toc182328123"/>
      <w:r w:rsidRPr="002462F0">
        <w:rPr>
          <w:lang w:eastAsia="fr-FR"/>
        </w:rPr>
        <w:t>N</w:t>
      </w:r>
      <w:r w:rsidRPr="002462F0">
        <w:rPr>
          <w:vertAlign w:val="subscript"/>
          <w:lang w:eastAsia="fr-FR"/>
        </w:rPr>
        <w:t>2</w:t>
      </w:r>
      <w:r w:rsidR="00F5506B">
        <w:rPr>
          <w:lang w:eastAsia="fr-FR"/>
        </w:rPr>
        <w:t>O</w:t>
      </w:r>
      <w:r w:rsidRPr="002462F0">
        <w:rPr>
          <w:lang w:eastAsia="fr-FR"/>
        </w:rPr>
        <w:t xml:space="preserve"> emissions from advanced WWTP</w:t>
      </w:r>
      <w:bookmarkEnd w:id="1187"/>
    </w:p>
    <w:p w14:paraId="2AD34CC3" w14:textId="1F1E4B38" w:rsidR="007B2433" w:rsidRPr="002462F0" w:rsidRDefault="007B2433" w:rsidP="00D916DB">
      <w:pPr>
        <w:pStyle w:val="BodyText"/>
        <w:rPr>
          <w:szCs w:val="20"/>
          <w:lang w:eastAsia="fr-FR"/>
        </w:rPr>
      </w:pPr>
      <w:r w:rsidRPr="002462F0">
        <w:rPr>
          <w:lang w:eastAsia="fr-FR"/>
        </w:rPr>
        <w:t>In order to estimate N</w:t>
      </w:r>
      <w:r w:rsidRPr="002462F0">
        <w:rPr>
          <w:vertAlign w:val="subscript"/>
          <w:lang w:eastAsia="fr-FR"/>
        </w:rPr>
        <w:t>2</w:t>
      </w:r>
      <w:r w:rsidR="00F5506B">
        <w:rPr>
          <w:lang w:eastAsia="fr-FR"/>
        </w:rPr>
        <w:t>O</w:t>
      </w:r>
      <w:r w:rsidRPr="002462F0">
        <w:rPr>
          <w:lang w:eastAsia="fr-FR"/>
        </w:rPr>
        <w:t xml:space="preserve"> emissions from domestic wastewater discharged, the equation 6.9 of the 2006 IPCC Guidelines is applied.</w:t>
      </w:r>
    </w:p>
    <w:p w14:paraId="0734A47E" w14:textId="77777777" w:rsidR="007B2433" w:rsidRPr="002462F0" w:rsidRDefault="007B2433" w:rsidP="007B2433">
      <w:pPr>
        <w:pStyle w:val="Heading6"/>
        <w:rPr>
          <w:lang w:eastAsia="fr-FR"/>
        </w:rPr>
      </w:pPr>
      <w:r w:rsidRPr="002462F0">
        <w:rPr>
          <w:lang w:eastAsia="fr-FR"/>
        </w:rPr>
        <w:t>Degree of utilisation of modern, centralized WWTP (</w:t>
      </w:r>
      <w:proofErr w:type="spellStart"/>
      <w:r w:rsidRPr="002462F0">
        <w:rPr>
          <w:lang w:eastAsia="fr-FR"/>
        </w:rPr>
        <w:t>T</w:t>
      </w:r>
      <w:r w:rsidRPr="00622F40">
        <w:rPr>
          <w:vertAlign w:val="subscript"/>
          <w:lang w:eastAsia="fr-FR"/>
        </w:rPr>
        <w:t>plant</w:t>
      </w:r>
      <w:proofErr w:type="spellEnd"/>
      <w:r w:rsidRPr="002462F0">
        <w:rPr>
          <w:lang w:eastAsia="fr-FR"/>
        </w:rPr>
        <w:t>)</w:t>
      </w:r>
    </w:p>
    <w:p w14:paraId="09972C7A" w14:textId="68387743" w:rsidR="007B2433" w:rsidRPr="002462F0" w:rsidRDefault="007B2433" w:rsidP="00D916DB">
      <w:pPr>
        <w:pStyle w:val="BodyText"/>
        <w:rPr>
          <w:lang w:eastAsia="fr-FR"/>
        </w:rPr>
      </w:pPr>
      <w:r w:rsidRPr="002462F0">
        <w:rPr>
          <w:lang w:eastAsia="fr-FR"/>
        </w:rPr>
        <w:t xml:space="preserve">In the Serbian inventory, a distinction is done between urban and rural areas. In the urban areas </w:t>
      </w:r>
      <w:proofErr w:type="spellStart"/>
      <w:r w:rsidRPr="002462F0">
        <w:rPr>
          <w:lang w:eastAsia="fr-FR"/>
        </w:rPr>
        <w:t>Tplant</w:t>
      </w:r>
      <w:proofErr w:type="spellEnd"/>
      <w:r w:rsidRPr="002462F0">
        <w:rPr>
          <w:lang w:eastAsia="fr-FR"/>
        </w:rPr>
        <w:t xml:space="preserve"> is considered to be 20% and in rural areas it is considered to be 10%. These values are applied all over the timeseries.</w:t>
      </w:r>
    </w:p>
    <w:p w14:paraId="0791E85D" w14:textId="77777777" w:rsidR="007B2433" w:rsidRPr="002462F0" w:rsidRDefault="007B2433" w:rsidP="00D916DB">
      <w:pPr>
        <w:pStyle w:val="BodyText"/>
        <w:rPr>
          <w:lang w:eastAsia="fr-FR"/>
        </w:rPr>
      </w:pPr>
      <w:r w:rsidRPr="002462F0">
        <w:rPr>
          <w:lang w:eastAsia="fr-FR"/>
        </w:rPr>
        <w:t>Population data (P) and the fraction of industrial and commercial co-discharged protein into the sewer system (Find-com) are consistent with the values presented above.</w:t>
      </w:r>
    </w:p>
    <w:p w14:paraId="038BF96D" w14:textId="77777777" w:rsidR="007B2433" w:rsidRPr="002462F0" w:rsidRDefault="007B2433" w:rsidP="007B2433">
      <w:pPr>
        <w:pStyle w:val="Heading6"/>
        <w:rPr>
          <w:lang w:eastAsia="fr-FR"/>
        </w:rPr>
      </w:pPr>
      <w:r w:rsidRPr="002462F0">
        <w:rPr>
          <w:lang w:eastAsia="fr-FR"/>
        </w:rPr>
        <w:t>Emission factor (EF)</w:t>
      </w:r>
    </w:p>
    <w:p w14:paraId="2BEC8292" w14:textId="59442FF6" w:rsidR="007B2433" w:rsidRPr="002462F0" w:rsidRDefault="007B2433" w:rsidP="00D916DB">
      <w:pPr>
        <w:pStyle w:val="BodyText"/>
        <w:rPr>
          <w:lang w:eastAsia="fr-FR"/>
        </w:rPr>
      </w:pPr>
      <w:r w:rsidRPr="002462F0">
        <w:rPr>
          <w:lang w:eastAsia="fr-FR"/>
        </w:rPr>
        <w:t>The default EF recommended in the 2006 IPCC Guidelines (3</w:t>
      </w:r>
      <w:r w:rsidR="00FB575E">
        <w:rPr>
          <w:lang w:eastAsia="fr-FR"/>
        </w:rPr>
        <w:t>.</w:t>
      </w:r>
      <w:r w:rsidRPr="002462F0">
        <w:rPr>
          <w:lang w:eastAsia="fr-FR"/>
        </w:rPr>
        <w:t>2 g N</w:t>
      </w:r>
      <w:r w:rsidRPr="002462F0">
        <w:rPr>
          <w:vertAlign w:val="subscript"/>
          <w:lang w:eastAsia="fr-FR"/>
        </w:rPr>
        <w:t>2</w:t>
      </w:r>
      <w:r w:rsidRPr="002462F0">
        <w:rPr>
          <w:lang w:eastAsia="fr-FR"/>
        </w:rPr>
        <w:t>O-N/person) is applied in the Serbian inventory.</w:t>
      </w:r>
    </w:p>
    <w:p w14:paraId="2B59E8D1" w14:textId="77777777" w:rsidR="007B2433" w:rsidRPr="002462F0" w:rsidRDefault="007B2433" w:rsidP="007B2433">
      <w:pPr>
        <w:pStyle w:val="Titre4Bleu"/>
        <w:rPr>
          <w:lang w:val="en-GB" w:eastAsia="fr-FR"/>
        </w:rPr>
      </w:pPr>
      <w:bookmarkStart w:id="1188" w:name="_Toc182328124"/>
      <w:r w:rsidRPr="002462F0">
        <w:rPr>
          <w:lang w:val="en-GB" w:eastAsia="fr-FR"/>
        </w:rPr>
        <w:t>Industrial wastewaters (IWW)</w:t>
      </w:r>
      <w:bookmarkEnd w:id="1188"/>
    </w:p>
    <w:p w14:paraId="3345623C" w14:textId="77777777" w:rsidR="007B2433" w:rsidRPr="002462F0" w:rsidRDefault="007B2433" w:rsidP="00D916DB">
      <w:pPr>
        <w:pStyle w:val="BodyText"/>
        <w:rPr>
          <w:szCs w:val="20"/>
          <w:lang w:eastAsia="fr-FR"/>
        </w:rPr>
      </w:pPr>
      <w:r w:rsidRPr="002462F0">
        <w:rPr>
          <w:lang w:eastAsia="fr-FR"/>
        </w:rPr>
        <w:lastRenderedPageBreak/>
        <w:t>In order to estimate CH</w:t>
      </w:r>
      <w:r w:rsidRPr="002462F0">
        <w:rPr>
          <w:vertAlign w:val="subscript"/>
          <w:lang w:eastAsia="fr-FR"/>
        </w:rPr>
        <w:t>4</w:t>
      </w:r>
      <w:r w:rsidRPr="002462F0">
        <w:rPr>
          <w:lang w:eastAsia="fr-FR"/>
        </w:rPr>
        <w:t xml:space="preserve"> emissions from industrial wastewater treated and discharged, the equation 6.4 of the 2006 IPCC Guidelines is applied.</w:t>
      </w:r>
    </w:p>
    <w:p w14:paraId="07D65624" w14:textId="77777777" w:rsidR="007B2433" w:rsidRPr="002462F0" w:rsidRDefault="007B2433" w:rsidP="007B2433">
      <w:pPr>
        <w:pStyle w:val="Heading5"/>
        <w:rPr>
          <w:lang w:eastAsia="fr-FR"/>
        </w:rPr>
      </w:pPr>
      <w:bookmarkStart w:id="1189" w:name="_Toc182328125"/>
      <w:r w:rsidRPr="002462F0">
        <w:rPr>
          <w:lang w:eastAsia="fr-FR"/>
        </w:rPr>
        <w:t>Total organically degradable material for industry I (</w:t>
      </w:r>
      <w:proofErr w:type="spellStart"/>
      <w:r w:rsidRPr="002462F0">
        <w:rPr>
          <w:lang w:eastAsia="fr-FR"/>
        </w:rPr>
        <w:t>TOW</w:t>
      </w:r>
      <w:r w:rsidRPr="00622F40">
        <w:rPr>
          <w:vertAlign w:val="subscript"/>
          <w:lang w:eastAsia="fr-FR"/>
        </w:rPr>
        <w:t>i</w:t>
      </w:r>
      <w:proofErr w:type="spellEnd"/>
      <w:r w:rsidRPr="002462F0">
        <w:rPr>
          <w:lang w:eastAsia="fr-FR"/>
        </w:rPr>
        <w:t>)</w:t>
      </w:r>
      <w:bookmarkEnd w:id="1189"/>
    </w:p>
    <w:p w14:paraId="44B35B59" w14:textId="77777777" w:rsidR="007B2433" w:rsidRPr="002462F0" w:rsidRDefault="007B2433" w:rsidP="00D916DB">
      <w:pPr>
        <w:pStyle w:val="BodyText"/>
        <w:rPr>
          <w:lang w:eastAsia="fr-FR"/>
        </w:rPr>
      </w:pPr>
      <w:r w:rsidRPr="002462F0">
        <w:rPr>
          <w:lang w:eastAsia="fr-FR"/>
        </w:rPr>
        <w:t>TOW in industrial wastewater is estimated using the equation 6.6 of the 2006 IPCC Guidelines.</w:t>
      </w:r>
    </w:p>
    <w:p w14:paraId="2FC44EFB" w14:textId="77777777" w:rsidR="007B2433" w:rsidRPr="00D916DB" w:rsidRDefault="007B2433" w:rsidP="00AB11C1">
      <w:pPr>
        <w:pStyle w:val="BodyText"/>
        <w:numPr>
          <w:ilvl w:val="0"/>
          <w:numId w:val="45"/>
        </w:numPr>
        <w:rPr>
          <w:lang w:eastAsia="fr-FR"/>
        </w:rPr>
      </w:pPr>
      <w:r w:rsidRPr="00D916DB">
        <w:rPr>
          <w:lang w:eastAsia="fr-FR"/>
        </w:rPr>
        <w:t>Total industrial product (P</w:t>
      </w:r>
      <w:r w:rsidRPr="00622F40">
        <w:rPr>
          <w:vertAlign w:val="subscript"/>
          <w:lang w:eastAsia="fr-FR"/>
        </w:rPr>
        <w:t>i</w:t>
      </w:r>
      <w:r w:rsidRPr="00D916DB">
        <w:rPr>
          <w:lang w:eastAsia="fr-FR"/>
        </w:rPr>
        <w:t>)</w:t>
      </w:r>
    </w:p>
    <w:p w14:paraId="1916D15F" w14:textId="4C93D35C" w:rsidR="007B2433" w:rsidRPr="002462F0" w:rsidRDefault="007B2433" w:rsidP="00D916DB">
      <w:pPr>
        <w:pStyle w:val="BodyText"/>
        <w:rPr>
          <w:lang w:eastAsia="fr-FR"/>
        </w:rPr>
      </w:pPr>
      <w:r w:rsidRPr="002462F0">
        <w:rPr>
          <w:lang w:eastAsia="fr-FR"/>
        </w:rPr>
        <w:t>National data on total industrial product used in the Serbian inventory are from</w:t>
      </w:r>
      <w:r w:rsidR="00C0785E">
        <w:rPr>
          <w:lang w:eastAsia="fr-FR"/>
        </w:rPr>
        <w:t xml:space="preserve"> Statistical Office.</w:t>
      </w:r>
    </w:p>
    <w:p w14:paraId="1B6AE95A" w14:textId="3B003EDA" w:rsidR="007B2433" w:rsidRPr="002462F0" w:rsidRDefault="005360ED" w:rsidP="00D916DB">
      <w:pPr>
        <w:pStyle w:val="Caption"/>
      </w:pPr>
      <w:bookmarkStart w:id="1190" w:name="_Ref179995491"/>
      <w:bookmarkStart w:id="1191" w:name="_Ref180056676"/>
      <w:bookmarkStart w:id="1192" w:name="_Toc184808607"/>
      <w:r>
        <w:t xml:space="preserve">Table </w:t>
      </w:r>
      <w:r>
        <w:fldChar w:fldCharType="begin"/>
      </w:r>
      <w:r>
        <w:instrText xml:space="preserve"> SEQ Table \* ARABIC </w:instrText>
      </w:r>
      <w:r>
        <w:fldChar w:fldCharType="separate"/>
      </w:r>
      <w:r w:rsidR="00F14C78">
        <w:rPr>
          <w:noProof/>
        </w:rPr>
        <w:t>63</w:t>
      </w:r>
      <w:r>
        <w:fldChar w:fldCharType="end"/>
      </w:r>
      <w:bookmarkEnd w:id="1190"/>
      <w:r>
        <w:t xml:space="preserve">: </w:t>
      </w:r>
      <w:r w:rsidRPr="002462F0">
        <w:t>Total industrial product</w:t>
      </w:r>
      <w:r>
        <w:t>ions</w:t>
      </w:r>
      <w:r w:rsidRPr="002462F0">
        <w:t xml:space="preserve"> (Pi)</w:t>
      </w:r>
      <w:r>
        <w:t xml:space="preserve"> used in the CRT 5D2, for the period 1990-2022, in the Republic of Serbia (in kt)</w:t>
      </w:r>
      <w:bookmarkEnd w:id="1191"/>
      <w:bookmarkEnd w:id="1192"/>
    </w:p>
    <w:tbl>
      <w:tblPr>
        <w:tblW w:w="5000" w:type="pct"/>
        <w:tblCellMar>
          <w:left w:w="70" w:type="dxa"/>
          <w:right w:w="70" w:type="dxa"/>
        </w:tblCellMar>
        <w:tblLook w:val="04A0" w:firstRow="1" w:lastRow="0" w:firstColumn="1" w:lastColumn="0" w:noHBand="0" w:noVBand="1"/>
      </w:tblPr>
      <w:tblGrid>
        <w:gridCol w:w="1806"/>
        <w:gridCol w:w="649"/>
        <w:gridCol w:w="649"/>
        <w:gridCol w:w="649"/>
        <w:gridCol w:w="649"/>
        <w:gridCol w:w="649"/>
        <w:gridCol w:w="649"/>
        <w:gridCol w:w="649"/>
        <w:gridCol w:w="649"/>
        <w:gridCol w:w="649"/>
        <w:gridCol w:w="649"/>
        <w:gridCol w:w="766"/>
      </w:tblGrid>
      <w:tr w:rsidR="000632E6" w:rsidRPr="00155CA1" w14:paraId="08CD2B1D" w14:textId="5ACAA2F5" w:rsidTr="00E13FD9">
        <w:tc>
          <w:tcPr>
            <w:tcW w:w="628" w:type="pct"/>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6F86F23E" w14:textId="77777777" w:rsidR="000632E6" w:rsidRPr="00622F40" w:rsidRDefault="000632E6" w:rsidP="00F540CA">
            <w:pPr>
              <w:spacing w:after="0" w:line="240" w:lineRule="auto"/>
              <w:jc w:val="center"/>
              <w:rPr>
                <w:rFonts w:eastAsia="Times New Roman" w:cs="Times New Roman"/>
                <w:b/>
                <w:sz w:val="16"/>
                <w:szCs w:val="16"/>
                <w:lang w:eastAsia="fr-FR"/>
              </w:rPr>
            </w:pPr>
            <w:r w:rsidRPr="00622F40">
              <w:rPr>
                <w:rFonts w:eastAsia="Times New Roman" w:cs="Times New Roman"/>
                <w:b/>
                <w:sz w:val="16"/>
                <w:szCs w:val="16"/>
                <w:lang w:eastAsia="fr-FR"/>
              </w:rPr>
              <w:t>Pi (kt)</w:t>
            </w:r>
          </w:p>
        </w:tc>
        <w:tc>
          <w:tcPr>
            <w:tcW w:w="397"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708187B" w14:textId="77777777" w:rsidR="000632E6" w:rsidRPr="00622F40" w:rsidRDefault="000632E6" w:rsidP="00E13FD9">
            <w:pPr>
              <w:spacing w:after="0" w:line="240" w:lineRule="auto"/>
              <w:ind w:right="-23"/>
              <w:jc w:val="center"/>
              <w:rPr>
                <w:rFonts w:eastAsia="Times New Roman" w:cs="Arial"/>
                <w:b/>
                <w:sz w:val="16"/>
                <w:szCs w:val="16"/>
                <w:lang w:eastAsia="fr-FR"/>
              </w:rPr>
            </w:pPr>
            <w:r w:rsidRPr="00622F40">
              <w:rPr>
                <w:rFonts w:eastAsia="Times New Roman" w:cs="Arial"/>
                <w:b/>
                <w:sz w:val="16"/>
                <w:szCs w:val="16"/>
                <w:lang w:eastAsia="fr-FR"/>
              </w:rPr>
              <w:t>1990</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C9FE625" w14:textId="27F0DC6A" w:rsidR="000632E6" w:rsidRPr="00622F40" w:rsidRDefault="000632E6" w:rsidP="00E13FD9">
            <w:pPr>
              <w:spacing w:after="0" w:line="240" w:lineRule="auto"/>
              <w:ind w:right="-23"/>
              <w:jc w:val="center"/>
              <w:rPr>
                <w:rFonts w:eastAsia="Times New Roman" w:cs="Arial"/>
                <w:b/>
                <w:sz w:val="16"/>
                <w:szCs w:val="16"/>
                <w:lang w:eastAsia="fr-FR"/>
              </w:rPr>
            </w:pPr>
            <w:r w:rsidRPr="00622F40">
              <w:rPr>
                <w:rFonts w:eastAsia="Times New Roman" w:cs="Arial"/>
                <w:b/>
                <w:sz w:val="16"/>
                <w:szCs w:val="16"/>
                <w:lang w:eastAsia="fr-FR"/>
              </w:rPr>
              <w:t>1991</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D4D13E0" w14:textId="5E44A57F" w:rsidR="000632E6" w:rsidRPr="00622F40" w:rsidRDefault="000632E6" w:rsidP="00E13FD9">
            <w:pPr>
              <w:spacing w:after="0" w:line="240" w:lineRule="auto"/>
              <w:ind w:right="-23"/>
              <w:jc w:val="center"/>
              <w:rPr>
                <w:rFonts w:eastAsia="Times New Roman" w:cs="Arial"/>
                <w:b/>
                <w:sz w:val="16"/>
                <w:szCs w:val="16"/>
                <w:lang w:eastAsia="fr-FR"/>
              </w:rPr>
            </w:pPr>
            <w:r w:rsidRPr="00622F40">
              <w:rPr>
                <w:rFonts w:eastAsia="Times New Roman" w:cs="Arial"/>
                <w:b/>
                <w:sz w:val="16"/>
                <w:szCs w:val="16"/>
                <w:lang w:eastAsia="fr-FR"/>
              </w:rPr>
              <w:t>1992</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1004AB9" w14:textId="0A8DF4EC" w:rsidR="000632E6" w:rsidRPr="00622F40" w:rsidRDefault="000632E6" w:rsidP="00E13FD9">
            <w:pPr>
              <w:spacing w:after="0" w:line="240" w:lineRule="auto"/>
              <w:ind w:right="-23"/>
              <w:jc w:val="center"/>
              <w:rPr>
                <w:rFonts w:eastAsia="Times New Roman" w:cs="Arial"/>
                <w:b/>
                <w:sz w:val="16"/>
                <w:szCs w:val="16"/>
                <w:lang w:eastAsia="fr-FR"/>
              </w:rPr>
            </w:pPr>
            <w:r w:rsidRPr="00622F40">
              <w:rPr>
                <w:rFonts w:eastAsia="Times New Roman" w:cs="Arial"/>
                <w:b/>
                <w:sz w:val="16"/>
                <w:szCs w:val="16"/>
                <w:lang w:eastAsia="fr-FR"/>
              </w:rPr>
              <w:t>1993</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33F6695" w14:textId="02F9B7E9" w:rsidR="000632E6" w:rsidRPr="00622F40" w:rsidRDefault="000632E6" w:rsidP="00E13FD9">
            <w:pPr>
              <w:spacing w:after="0" w:line="240" w:lineRule="auto"/>
              <w:ind w:right="-23"/>
              <w:jc w:val="center"/>
              <w:rPr>
                <w:rFonts w:eastAsia="Times New Roman" w:cs="Arial"/>
                <w:b/>
                <w:sz w:val="16"/>
                <w:szCs w:val="16"/>
                <w:lang w:eastAsia="fr-FR"/>
              </w:rPr>
            </w:pPr>
            <w:r w:rsidRPr="00622F40">
              <w:rPr>
                <w:rFonts w:eastAsia="Times New Roman" w:cs="Arial"/>
                <w:b/>
                <w:sz w:val="16"/>
                <w:szCs w:val="16"/>
                <w:lang w:eastAsia="fr-FR"/>
              </w:rPr>
              <w:t>1994</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24F57FD" w14:textId="411125A2" w:rsidR="000632E6" w:rsidRPr="00622F40" w:rsidRDefault="000632E6" w:rsidP="00E13FD9">
            <w:pPr>
              <w:spacing w:after="0" w:line="240" w:lineRule="auto"/>
              <w:ind w:right="-23"/>
              <w:jc w:val="center"/>
              <w:rPr>
                <w:rFonts w:eastAsia="Times New Roman" w:cs="Arial"/>
                <w:b/>
                <w:sz w:val="16"/>
                <w:szCs w:val="16"/>
                <w:lang w:eastAsia="fr-FR"/>
              </w:rPr>
            </w:pPr>
            <w:r w:rsidRPr="00622F40">
              <w:rPr>
                <w:rFonts w:eastAsia="Times New Roman" w:cs="Arial"/>
                <w:b/>
                <w:sz w:val="16"/>
                <w:szCs w:val="16"/>
                <w:lang w:eastAsia="fr-FR"/>
              </w:rPr>
              <w:t>1995</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8EF7A7A" w14:textId="49DD9657" w:rsidR="000632E6" w:rsidRPr="00622F40" w:rsidRDefault="000632E6" w:rsidP="00E13FD9">
            <w:pPr>
              <w:spacing w:after="0" w:line="240" w:lineRule="auto"/>
              <w:ind w:right="-23"/>
              <w:jc w:val="center"/>
              <w:rPr>
                <w:rFonts w:eastAsia="Times New Roman" w:cs="Arial"/>
                <w:b/>
                <w:sz w:val="16"/>
                <w:szCs w:val="16"/>
                <w:lang w:eastAsia="fr-FR"/>
              </w:rPr>
            </w:pPr>
            <w:r w:rsidRPr="00622F40">
              <w:rPr>
                <w:rFonts w:eastAsia="Times New Roman" w:cs="Arial"/>
                <w:b/>
                <w:sz w:val="16"/>
                <w:szCs w:val="16"/>
                <w:lang w:eastAsia="fr-FR"/>
              </w:rPr>
              <w:t>1996</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63A4D92" w14:textId="54DD53F5" w:rsidR="000632E6" w:rsidRPr="00622F40" w:rsidRDefault="000632E6" w:rsidP="00E13FD9">
            <w:pPr>
              <w:spacing w:after="0" w:line="240" w:lineRule="auto"/>
              <w:ind w:right="-23"/>
              <w:jc w:val="center"/>
              <w:rPr>
                <w:rFonts w:eastAsia="Times New Roman" w:cs="Arial"/>
                <w:b/>
                <w:sz w:val="16"/>
                <w:szCs w:val="16"/>
                <w:lang w:eastAsia="fr-FR"/>
              </w:rPr>
            </w:pPr>
            <w:r w:rsidRPr="00622F40">
              <w:rPr>
                <w:rFonts w:eastAsia="Times New Roman" w:cs="Arial"/>
                <w:b/>
                <w:sz w:val="16"/>
                <w:szCs w:val="16"/>
                <w:lang w:eastAsia="fr-FR"/>
              </w:rPr>
              <w:t>1997</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5BEBD2B" w14:textId="49EABB5D" w:rsidR="000632E6" w:rsidRPr="00622F40" w:rsidRDefault="000632E6" w:rsidP="00E13FD9">
            <w:pPr>
              <w:spacing w:after="0" w:line="240" w:lineRule="auto"/>
              <w:ind w:right="-23"/>
              <w:jc w:val="center"/>
              <w:rPr>
                <w:rFonts w:eastAsia="Times New Roman" w:cs="Arial"/>
                <w:b/>
                <w:sz w:val="16"/>
                <w:szCs w:val="16"/>
                <w:lang w:eastAsia="fr-FR"/>
              </w:rPr>
            </w:pPr>
            <w:r w:rsidRPr="00622F40">
              <w:rPr>
                <w:rFonts w:eastAsia="Times New Roman" w:cs="Arial"/>
                <w:b/>
                <w:sz w:val="16"/>
                <w:szCs w:val="16"/>
                <w:lang w:eastAsia="fr-FR"/>
              </w:rPr>
              <w:t>1998</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16C0060" w14:textId="4D22C510" w:rsidR="000632E6" w:rsidRPr="00622F40" w:rsidRDefault="000632E6" w:rsidP="00E13FD9">
            <w:pPr>
              <w:spacing w:after="0" w:line="240" w:lineRule="auto"/>
              <w:ind w:right="-23"/>
              <w:jc w:val="center"/>
              <w:rPr>
                <w:rFonts w:eastAsia="Times New Roman" w:cs="Arial"/>
                <w:b/>
                <w:sz w:val="16"/>
                <w:szCs w:val="16"/>
                <w:lang w:eastAsia="fr-FR"/>
              </w:rPr>
            </w:pPr>
            <w:r w:rsidRPr="00622F40">
              <w:rPr>
                <w:rFonts w:eastAsia="Times New Roman" w:cs="Arial"/>
                <w:b/>
                <w:sz w:val="16"/>
                <w:szCs w:val="16"/>
                <w:lang w:eastAsia="fr-FR"/>
              </w:rPr>
              <w:t>1999</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7573021" w14:textId="49EECE54" w:rsidR="000632E6" w:rsidRPr="00622F40" w:rsidRDefault="000632E6" w:rsidP="00E13FD9">
            <w:pPr>
              <w:spacing w:after="0" w:line="240" w:lineRule="auto"/>
              <w:ind w:right="-23"/>
              <w:jc w:val="center"/>
              <w:rPr>
                <w:rFonts w:eastAsia="Times New Roman" w:cs="Arial"/>
                <w:b/>
                <w:sz w:val="16"/>
                <w:szCs w:val="16"/>
                <w:lang w:eastAsia="fr-FR"/>
              </w:rPr>
            </w:pPr>
            <w:r w:rsidRPr="00622F40">
              <w:rPr>
                <w:rFonts w:eastAsia="Times New Roman" w:cs="Arial"/>
                <w:b/>
                <w:sz w:val="16"/>
                <w:szCs w:val="16"/>
                <w:lang w:eastAsia="fr-FR"/>
              </w:rPr>
              <w:t>2000</w:t>
            </w:r>
          </w:p>
        </w:tc>
      </w:tr>
      <w:tr w:rsidR="00CF33C0" w:rsidRPr="00155CA1" w14:paraId="204E1E7D" w14:textId="1C41041A"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BA624"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Alcohol Refining</w:t>
            </w:r>
          </w:p>
        </w:tc>
        <w:tc>
          <w:tcPr>
            <w:tcW w:w="397" w:type="pct"/>
            <w:tcBorders>
              <w:top w:val="single" w:sz="4" w:space="0" w:color="auto"/>
              <w:left w:val="nil"/>
              <w:bottom w:val="single" w:sz="4" w:space="0" w:color="auto"/>
              <w:right w:val="single" w:sz="4" w:space="0" w:color="auto"/>
            </w:tcBorders>
            <w:shd w:val="clear" w:color="auto" w:fill="auto"/>
            <w:vAlign w:val="center"/>
          </w:tcPr>
          <w:p w14:paraId="6E218C2A" w14:textId="696E4C5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21</w:t>
            </w:r>
            <w:r>
              <w:rPr>
                <w:sz w:val="16"/>
                <w:szCs w:val="18"/>
              </w:rPr>
              <w:t>,</w:t>
            </w:r>
            <w:r w:rsidRPr="00622F40">
              <w:rPr>
                <w:sz w:val="16"/>
                <w:szCs w:val="18"/>
              </w:rPr>
              <w:t>996</w:t>
            </w:r>
          </w:p>
        </w:tc>
        <w:tc>
          <w:tcPr>
            <w:tcW w:w="397" w:type="pct"/>
            <w:tcBorders>
              <w:top w:val="single" w:sz="4" w:space="0" w:color="auto"/>
              <w:left w:val="nil"/>
              <w:bottom w:val="single" w:sz="4" w:space="0" w:color="auto"/>
              <w:right w:val="single" w:sz="4" w:space="0" w:color="auto"/>
            </w:tcBorders>
            <w:shd w:val="clear" w:color="auto" w:fill="auto"/>
            <w:vAlign w:val="center"/>
          </w:tcPr>
          <w:p w14:paraId="180B2657" w14:textId="4773D862"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30</w:t>
            </w:r>
            <w:r>
              <w:rPr>
                <w:sz w:val="16"/>
                <w:szCs w:val="18"/>
              </w:rPr>
              <w:t>,</w:t>
            </w:r>
            <w:r w:rsidRPr="00622F40">
              <w:rPr>
                <w:sz w:val="16"/>
                <w:szCs w:val="18"/>
              </w:rPr>
              <w:t>668</w:t>
            </w:r>
          </w:p>
        </w:tc>
        <w:tc>
          <w:tcPr>
            <w:tcW w:w="397" w:type="pct"/>
            <w:tcBorders>
              <w:top w:val="single" w:sz="4" w:space="0" w:color="auto"/>
              <w:left w:val="nil"/>
              <w:bottom w:val="single" w:sz="4" w:space="0" w:color="auto"/>
              <w:right w:val="single" w:sz="4" w:space="0" w:color="auto"/>
            </w:tcBorders>
            <w:shd w:val="clear" w:color="auto" w:fill="auto"/>
            <w:vAlign w:val="center"/>
          </w:tcPr>
          <w:p w14:paraId="7ECA8D7A" w14:textId="42411094"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35</w:t>
            </w:r>
            <w:r>
              <w:rPr>
                <w:sz w:val="16"/>
                <w:szCs w:val="18"/>
              </w:rPr>
              <w:t>,</w:t>
            </w:r>
            <w:r w:rsidRPr="00622F40">
              <w:rPr>
                <w:sz w:val="16"/>
                <w:szCs w:val="18"/>
              </w:rPr>
              <w:t>934</w:t>
            </w:r>
          </w:p>
        </w:tc>
        <w:tc>
          <w:tcPr>
            <w:tcW w:w="397" w:type="pct"/>
            <w:tcBorders>
              <w:top w:val="single" w:sz="4" w:space="0" w:color="auto"/>
              <w:left w:val="nil"/>
              <w:bottom w:val="single" w:sz="4" w:space="0" w:color="auto"/>
              <w:right w:val="single" w:sz="4" w:space="0" w:color="auto"/>
            </w:tcBorders>
            <w:shd w:val="clear" w:color="auto" w:fill="auto"/>
            <w:vAlign w:val="center"/>
          </w:tcPr>
          <w:p w14:paraId="3BA2722A" w14:textId="5525C39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66</w:t>
            </w:r>
            <w:r>
              <w:rPr>
                <w:sz w:val="16"/>
                <w:szCs w:val="18"/>
              </w:rPr>
              <w:t>,</w:t>
            </w:r>
            <w:r w:rsidRPr="00622F40">
              <w:rPr>
                <w:sz w:val="16"/>
                <w:szCs w:val="18"/>
              </w:rPr>
              <w:t>988</w:t>
            </w:r>
          </w:p>
        </w:tc>
        <w:tc>
          <w:tcPr>
            <w:tcW w:w="397" w:type="pct"/>
            <w:tcBorders>
              <w:top w:val="single" w:sz="4" w:space="0" w:color="auto"/>
              <w:left w:val="nil"/>
              <w:bottom w:val="single" w:sz="4" w:space="0" w:color="auto"/>
              <w:right w:val="single" w:sz="4" w:space="0" w:color="auto"/>
            </w:tcBorders>
            <w:shd w:val="clear" w:color="auto" w:fill="auto"/>
            <w:vAlign w:val="center"/>
          </w:tcPr>
          <w:p w14:paraId="62027E03" w14:textId="24CDA983"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13</w:t>
            </w:r>
            <w:r>
              <w:rPr>
                <w:sz w:val="16"/>
                <w:szCs w:val="18"/>
              </w:rPr>
              <w:t>,</w:t>
            </w:r>
            <w:r w:rsidRPr="00622F40">
              <w:rPr>
                <w:sz w:val="16"/>
                <w:szCs w:val="18"/>
              </w:rPr>
              <w:t>831</w:t>
            </w:r>
          </w:p>
        </w:tc>
        <w:tc>
          <w:tcPr>
            <w:tcW w:w="397" w:type="pct"/>
            <w:tcBorders>
              <w:top w:val="single" w:sz="4" w:space="0" w:color="auto"/>
              <w:left w:val="nil"/>
              <w:bottom w:val="single" w:sz="4" w:space="0" w:color="auto"/>
              <w:right w:val="single" w:sz="4" w:space="0" w:color="auto"/>
            </w:tcBorders>
            <w:shd w:val="clear" w:color="auto" w:fill="auto"/>
            <w:vAlign w:val="center"/>
          </w:tcPr>
          <w:p w14:paraId="14A9213E" w14:textId="00ECD3C5"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12</w:t>
            </w:r>
            <w:r>
              <w:rPr>
                <w:sz w:val="16"/>
                <w:szCs w:val="18"/>
              </w:rPr>
              <w:t>,</w:t>
            </w:r>
            <w:r w:rsidRPr="00622F40">
              <w:rPr>
                <w:sz w:val="16"/>
                <w:szCs w:val="18"/>
              </w:rPr>
              <w:t>350</w:t>
            </w:r>
          </w:p>
        </w:tc>
        <w:tc>
          <w:tcPr>
            <w:tcW w:w="397" w:type="pct"/>
            <w:tcBorders>
              <w:top w:val="single" w:sz="4" w:space="0" w:color="auto"/>
              <w:left w:val="nil"/>
              <w:bottom w:val="single" w:sz="4" w:space="0" w:color="auto"/>
              <w:right w:val="single" w:sz="4" w:space="0" w:color="auto"/>
            </w:tcBorders>
            <w:shd w:val="clear" w:color="auto" w:fill="auto"/>
            <w:vAlign w:val="center"/>
          </w:tcPr>
          <w:p w14:paraId="376D0D6F" w14:textId="1884E37E"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w:t>
            </w:r>
            <w:r>
              <w:rPr>
                <w:sz w:val="16"/>
                <w:szCs w:val="18"/>
              </w:rPr>
              <w:t>,</w:t>
            </w:r>
            <w:r w:rsidRPr="00622F40">
              <w:rPr>
                <w:sz w:val="16"/>
                <w:szCs w:val="18"/>
              </w:rPr>
              <w:t>605</w:t>
            </w:r>
          </w:p>
        </w:tc>
        <w:tc>
          <w:tcPr>
            <w:tcW w:w="397" w:type="pct"/>
            <w:tcBorders>
              <w:top w:val="single" w:sz="4" w:space="0" w:color="auto"/>
              <w:left w:val="nil"/>
              <w:bottom w:val="single" w:sz="4" w:space="0" w:color="auto"/>
              <w:right w:val="single" w:sz="4" w:space="0" w:color="auto"/>
            </w:tcBorders>
            <w:shd w:val="clear" w:color="auto" w:fill="auto"/>
            <w:vAlign w:val="center"/>
          </w:tcPr>
          <w:p w14:paraId="6DA920DB" w14:textId="3D1811B8"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w:t>
            </w:r>
            <w:r>
              <w:rPr>
                <w:sz w:val="16"/>
                <w:szCs w:val="18"/>
              </w:rPr>
              <w:t>,</w:t>
            </w:r>
            <w:r w:rsidRPr="00622F40">
              <w:rPr>
                <w:sz w:val="16"/>
                <w:szCs w:val="18"/>
              </w:rPr>
              <w:t>494</w:t>
            </w:r>
          </w:p>
        </w:tc>
        <w:tc>
          <w:tcPr>
            <w:tcW w:w="397" w:type="pct"/>
            <w:tcBorders>
              <w:top w:val="single" w:sz="4" w:space="0" w:color="auto"/>
              <w:left w:val="nil"/>
              <w:bottom w:val="single" w:sz="4" w:space="0" w:color="auto"/>
              <w:right w:val="single" w:sz="4" w:space="0" w:color="auto"/>
            </w:tcBorders>
            <w:shd w:val="clear" w:color="auto" w:fill="auto"/>
            <w:vAlign w:val="center"/>
          </w:tcPr>
          <w:p w14:paraId="0C5E60FB" w14:textId="5F6CA6FB"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w:t>
            </w:r>
            <w:r>
              <w:rPr>
                <w:sz w:val="16"/>
                <w:szCs w:val="18"/>
              </w:rPr>
              <w:t>,</w:t>
            </w:r>
            <w:r w:rsidRPr="00622F40">
              <w:rPr>
                <w:sz w:val="16"/>
                <w:szCs w:val="18"/>
              </w:rPr>
              <w:t>798</w:t>
            </w:r>
          </w:p>
        </w:tc>
        <w:tc>
          <w:tcPr>
            <w:tcW w:w="397" w:type="pct"/>
            <w:tcBorders>
              <w:top w:val="single" w:sz="4" w:space="0" w:color="auto"/>
              <w:left w:val="nil"/>
              <w:bottom w:val="single" w:sz="4" w:space="0" w:color="auto"/>
              <w:right w:val="single" w:sz="4" w:space="0" w:color="auto"/>
            </w:tcBorders>
            <w:shd w:val="clear" w:color="auto" w:fill="auto"/>
            <w:vAlign w:val="center"/>
          </w:tcPr>
          <w:p w14:paraId="1BBB348F" w14:textId="664ED953"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w:t>
            </w:r>
            <w:r>
              <w:rPr>
                <w:sz w:val="16"/>
                <w:szCs w:val="18"/>
              </w:rPr>
              <w:t>,</w:t>
            </w:r>
            <w:r w:rsidRPr="00622F40">
              <w:rPr>
                <w:sz w:val="16"/>
                <w:szCs w:val="18"/>
              </w:rPr>
              <w:t>624</w:t>
            </w:r>
          </w:p>
        </w:tc>
        <w:tc>
          <w:tcPr>
            <w:tcW w:w="397" w:type="pct"/>
            <w:tcBorders>
              <w:top w:val="single" w:sz="4" w:space="0" w:color="auto"/>
              <w:left w:val="nil"/>
              <w:bottom w:val="single" w:sz="4" w:space="0" w:color="auto"/>
              <w:right w:val="single" w:sz="4" w:space="0" w:color="auto"/>
            </w:tcBorders>
            <w:shd w:val="clear" w:color="auto" w:fill="auto"/>
            <w:vAlign w:val="center"/>
          </w:tcPr>
          <w:p w14:paraId="77DC0E57" w14:textId="79F445CD"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22</w:t>
            </w:r>
            <w:r>
              <w:rPr>
                <w:sz w:val="16"/>
                <w:szCs w:val="18"/>
              </w:rPr>
              <w:t>,</w:t>
            </w:r>
            <w:r w:rsidRPr="00622F40">
              <w:rPr>
                <w:sz w:val="16"/>
                <w:szCs w:val="18"/>
              </w:rPr>
              <w:t>701</w:t>
            </w:r>
          </w:p>
        </w:tc>
      </w:tr>
      <w:tr w:rsidR="00CF33C0" w:rsidRPr="00155CA1" w14:paraId="7DFCAC74" w14:textId="16119A02"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470FB"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Beer &amp; Malt</w:t>
            </w:r>
          </w:p>
        </w:tc>
        <w:tc>
          <w:tcPr>
            <w:tcW w:w="397" w:type="pct"/>
            <w:tcBorders>
              <w:top w:val="single" w:sz="4" w:space="0" w:color="auto"/>
              <w:left w:val="nil"/>
              <w:bottom w:val="single" w:sz="4" w:space="0" w:color="auto"/>
              <w:right w:val="single" w:sz="4" w:space="0" w:color="auto"/>
            </w:tcBorders>
            <w:shd w:val="clear" w:color="auto" w:fill="auto"/>
            <w:vAlign w:val="center"/>
          </w:tcPr>
          <w:p w14:paraId="0F9F49A5" w14:textId="2B26C4F5"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653</w:t>
            </w:r>
            <w:r>
              <w:rPr>
                <w:sz w:val="16"/>
                <w:szCs w:val="18"/>
              </w:rPr>
              <w:t>,</w:t>
            </w:r>
            <w:r w:rsidRPr="00622F40">
              <w:rPr>
                <w:sz w:val="16"/>
                <w:szCs w:val="18"/>
              </w:rPr>
              <w:t>505</w:t>
            </w:r>
          </w:p>
        </w:tc>
        <w:tc>
          <w:tcPr>
            <w:tcW w:w="397" w:type="pct"/>
            <w:tcBorders>
              <w:top w:val="single" w:sz="4" w:space="0" w:color="auto"/>
              <w:left w:val="nil"/>
              <w:bottom w:val="single" w:sz="4" w:space="0" w:color="auto"/>
              <w:right w:val="single" w:sz="4" w:space="0" w:color="auto"/>
            </w:tcBorders>
            <w:shd w:val="clear" w:color="auto" w:fill="auto"/>
            <w:vAlign w:val="center"/>
          </w:tcPr>
          <w:p w14:paraId="6CD8E72D" w14:textId="095EABAC"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614</w:t>
            </w:r>
            <w:r>
              <w:rPr>
                <w:sz w:val="16"/>
                <w:szCs w:val="18"/>
              </w:rPr>
              <w:t>,</w:t>
            </w:r>
            <w:r w:rsidRPr="00622F40">
              <w:rPr>
                <w:sz w:val="16"/>
                <w:szCs w:val="18"/>
              </w:rPr>
              <w:t>543</w:t>
            </w:r>
          </w:p>
        </w:tc>
        <w:tc>
          <w:tcPr>
            <w:tcW w:w="397" w:type="pct"/>
            <w:tcBorders>
              <w:top w:val="single" w:sz="4" w:space="0" w:color="auto"/>
              <w:left w:val="nil"/>
              <w:bottom w:val="single" w:sz="4" w:space="0" w:color="auto"/>
              <w:right w:val="single" w:sz="4" w:space="0" w:color="auto"/>
            </w:tcBorders>
            <w:shd w:val="clear" w:color="auto" w:fill="auto"/>
            <w:vAlign w:val="center"/>
          </w:tcPr>
          <w:p w14:paraId="582997F1" w14:textId="0FEC8F9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502</w:t>
            </w:r>
            <w:r>
              <w:rPr>
                <w:sz w:val="16"/>
                <w:szCs w:val="18"/>
              </w:rPr>
              <w:t>,</w:t>
            </w:r>
            <w:r w:rsidRPr="00622F40">
              <w:rPr>
                <w:sz w:val="16"/>
                <w:szCs w:val="18"/>
              </w:rPr>
              <w:t>877</w:t>
            </w:r>
          </w:p>
        </w:tc>
        <w:tc>
          <w:tcPr>
            <w:tcW w:w="397" w:type="pct"/>
            <w:tcBorders>
              <w:top w:val="single" w:sz="4" w:space="0" w:color="auto"/>
              <w:left w:val="nil"/>
              <w:bottom w:val="single" w:sz="4" w:space="0" w:color="auto"/>
              <w:right w:val="single" w:sz="4" w:space="0" w:color="auto"/>
            </w:tcBorders>
            <w:shd w:val="clear" w:color="auto" w:fill="auto"/>
            <w:vAlign w:val="center"/>
          </w:tcPr>
          <w:p w14:paraId="4EB6D649" w14:textId="014D9735"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326</w:t>
            </w:r>
            <w:r>
              <w:rPr>
                <w:sz w:val="16"/>
                <w:szCs w:val="18"/>
              </w:rPr>
              <w:t>,</w:t>
            </w:r>
            <w:r w:rsidRPr="00622F40">
              <w:rPr>
                <w:sz w:val="16"/>
                <w:szCs w:val="18"/>
              </w:rPr>
              <w:t>175</w:t>
            </w:r>
          </w:p>
        </w:tc>
        <w:tc>
          <w:tcPr>
            <w:tcW w:w="397" w:type="pct"/>
            <w:tcBorders>
              <w:top w:val="single" w:sz="4" w:space="0" w:color="auto"/>
              <w:left w:val="nil"/>
              <w:bottom w:val="single" w:sz="4" w:space="0" w:color="auto"/>
              <w:right w:val="single" w:sz="4" w:space="0" w:color="auto"/>
            </w:tcBorders>
            <w:shd w:val="clear" w:color="auto" w:fill="auto"/>
            <w:vAlign w:val="center"/>
          </w:tcPr>
          <w:p w14:paraId="57479146" w14:textId="18AE8FB1"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532</w:t>
            </w:r>
            <w:r>
              <w:rPr>
                <w:sz w:val="16"/>
                <w:szCs w:val="18"/>
              </w:rPr>
              <w:t>,</w:t>
            </w:r>
            <w:r w:rsidRPr="00622F40">
              <w:rPr>
                <w:sz w:val="16"/>
                <w:szCs w:val="18"/>
              </w:rPr>
              <w:t>526</w:t>
            </w:r>
          </w:p>
        </w:tc>
        <w:tc>
          <w:tcPr>
            <w:tcW w:w="397" w:type="pct"/>
            <w:tcBorders>
              <w:top w:val="single" w:sz="4" w:space="0" w:color="auto"/>
              <w:left w:val="nil"/>
              <w:bottom w:val="single" w:sz="4" w:space="0" w:color="auto"/>
              <w:right w:val="single" w:sz="4" w:space="0" w:color="auto"/>
            </w:tcBorders>
            <w:shd w:val="clear" w:color="auto" w:fill="auto"/>
            <w:vAlign w:val="center"/>
          </w:tcPr>
          <w:p w14:paraId="6F9D13B4" w14:textId="7BCB3F0F"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588</w:t>
            </w:r>
            <w:r>
              <w:rPr>
                <w:sz w:val="16"/>
                <w:szCs w:val="18"/>
              </w:rPr>
              <w:t>,</w:t>
            </w:r>
            <w:r w:rsidRPr="00622F40">
              <w:rPr>
                <w:sz w:val="16"/>
                <w:szCs w:val="18"/>
              </w:rPr>
              <w:t>077</w:t>
            </w:r>
          </w:p>
        </w:tc>
        <w:tc>
          <w:tcPr>
            <w:tcW w:w="397" w:type="pct"/>
            <w:tcBorders>
              <w:top w:val="single" w:sz="4" w:space="0" w:color="auto"/>
              <w:left w:val="nil"/>
              <w:bottom w:val="single" w:sz="4" w:space="0" w:color="auto"/>
              <w:right w:val="single" w:sz="4" w:space="0" w:color="auto"/>
            </w:tcBorders>
            <w:shd w:val="clear" w:color="auto" w:fill="auto"/>
            <w:vAlign w:val="center"/>
          </w:tcPr>
          <w:p w14:paraId="7809C218" w14:textId="3F3F0BE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650</w:t>
            </w:r>
            <w:r>
              <w:rPr>
                <w:sz w:val="16"/>
                <w:szCs w:val="18"/>
              </w:rPr>
              <w:t>,</w:t>
            </w:r>
            <w:r w:rsidRPr="00622F40">
              <w:rPr>
                <w:sz w:val="16"/>
                <w:szCs w:val="18"/>
              </w:rPr>
              <w:t>056</w:t>
            </w:r>
          </w:p>
        </w:tc>
        <w:tc>
          <w:tcPr>
            <w:tcW w:w="397" w:type="pct"/>
            <w:tcBorders>
              <w:top w:val="single" w:sz="4" w:space="0" w:color="auto"/>
              <w:left w:val="nil"/>
              <w:bottom w:val="single" w:sz="4" w:space="0" w:color="auto"/>
              <w:right w:val="single" w:sz="4" w:space="0" w:color="auto"/>
            </w:tcBorders>
            <w:shd w:val="clear" w:color="auto" w:fill="auto"/>
            <w:vAlign w:val="center"/>
          </w:tcPr>
          <w:p w14:paraId="29680D87" w14:textId="70B8C9A0"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650</w:t>
            </w:r>
            <w:r>
              <w:rPr>
                <w:sz w:val="16"/>
                <w:szCs w:val="18"/>
              </w:rPr>
              <w:t>,</w:t>
            </w:r>
            <w:r w:rsidRPr="00622F40">
              <w:rPr>
                <w:sz w:val="16"/>
                <w:szCs w:val="18"/>
              </w:rPr>
              <w:t>594</w:t>
            </w:r>
          </w:p>
        </w:tc>
        <w:tc>
          <w:tcPr>
            <w:tcW w:w="397" w:type="pct"/>
            <w:tcBorders>
              <w:top w:val="single" w:sz="4" w:space="0" w:color="auto"/>
              <w:left w:val="nil"/>
              <w:bottom w:val="single" w:sz="4" w:space="0" w:color="auto"/>
              <w:right w:val="single" w:sz="4" w:space="0" w:color="auto"/>
            </w:tcBorders>
            <w:shd w:val="clear" w:color="auto" w:fill="auto"/>
            <w:vAlign w:val="center"/>
          </w:tcPr>
          <w:p w14:paraId="17DBC2CC" w14:textId="7C1BF31C"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708</w:t>
            </w:r>
            <w:r>
              <w:rPr>
                <w:sz w:val="16"/>
                <w:szCs w:val="18"/>
              </w:rPr>
              <w:t>,</w:t>
            </w:r>
            <w:r w:rsidRPr="00622F40">
              <w:rPr>
                <w:sz w:val="16"/>
                <w:szCs w:val="18"/>
              </w:rPr>
              <w:t>698</w:t>
            </w:r>
          </w:p>
        </w:tc>
        <w:tc>
          <w:tcPr>
            <w:tcW w:w="397" w:type="pct"/>
            <w:tcBorders>
              <w:top w:val="single" w:sz="4" w:space="0" w:color="auto"/>
              <w:left w:val="nil"/>
              <w:bottom w:val="single" w:sz="4" w:space="0" w:color="auto"/>
              <w:right w:val="single" w:sz="4" w:space="0" w:color="auto"/>
            </w:tcBorders>
            <w:shd w:val="clear" w:color="auto" w:fill="auto"/>
            <w:vAlign w:val="center"/>
          </w:tcPr>
          <w:p w14:paraId="64CCBBE9" w14:textId="574A8044"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717</w:t>
            </w:r>
            <w:r>
              <w:rPr>
                <w:sz w:val="16"/>
                <w:szCs w:val="18"/>
              </w:rPr>
              <w:t>,</w:t>
            </w:r>
            <w:r w:rsidRPr="00622F40">
              <w:rPr>
                <w:sz w:val="16"/>
                <w:szCs w:val="18"/>
              </w:rPr>
              <w:t>942</w:t>
            </w:r>
          </w:p>
        </w:tc>
        <w:tc>
          <w:tcPr>
            <w:tcW w:w="397" w:type="pct"/>
            <w:tcBorders>
              <w:top w:val="single" w:sz="4" w:space="0" w:color="auto"/>
              <w:left w:val="nil"/>
              <w:bottom w:val="single" w:sz="4" w:space="0" w:color="auto"/>
              <w:right w:val="single" w:sz="4" w:space="0" w:color="auto"/>
            </w:tcBorders>
            <w:shd w:val="clear" w:color="auto" w:fill="auto"/>
            <w:vAlign w:val="center"/>
          </w:tcPr>
          <w:p w14:paraId="1D51D581" w14:textId="60279DB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694</w:t>
            </w:r>
            <w:r>
              <w:rPr>
                <w:sz w:val="16"/>
                <w:szCs w:val="18"/>
              </w:rPr>
              <w:t>,</w:t>
            </w:r>
            <w:r w:rsidRPr="00622F40">
              <w:rPr>
                <w:sz w:val="16"/>
                <w:szCs w:val="18"/>
              </w:rPr>
              <w:t>386</w:t>
            </w:r>
          </w:p>
        </w:tc>
      </w:tr>
      <w:tr w:rsidR="00CF33C0" w:rsidRPr="00155CA1" w14:paraId="01EFC1CF" w14:textId="150C89AB"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70D653"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Dairy Products</w:t>
            </w:r>
          </w:p>
        </w:tc>
        <w:tc>
          <w:tcPr>
            <w:tcW w:w="397" w:type="pct"/>
            <w:tcBorders>
              <w:top w:val="single" w:sz="4" w:space="0" w:color="auto"/>
              <w:left w:val="nil"/>
              <w:bottom w:val="single" w:sz="4" w:space="0" w:color="auto"/>
              <w:right w:val="single" w:sz="4" w:space="0" w:color="auto"/>
            </w:tcBorders>
            <w:shd w:val="clear" w:color="auto" w:fill="auto"/>
            <w:vAlign w:val="center"/>
          </w:tcPr>
          <w:p w14:paraId="40DB157B" w14:textId="6ADAA70F"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486</w:t>
            </w:r>
            <w:r>
              <w:rPr>
                <w:sz w:val="16"/>
                <w:szCs w:val="18"/>
              </w:rPr>
              <w:t>,</w:t>
            </w:r>
            <w:r w:rsidRPr="00622F40">
              <w:rPr>
                <w:sz w:val="16"/>
                <w:szCs w:val="18"/>
              </w:rPr>
              <w:t>486</w:t>
            </w:r>
          </w:p>
        </w:tc>
        <w:tc>
          <w:tcPr>
            <w:tcW w:w="397" w:type="pct"/>
            <w:tcBorders>
              <w:top w:val="single" w:sz="4" w:space="0" w:color="auto"/>
              <w:left w:val="nil"/>
              <w:bottom w:val="single" w:sz="4" w:space="0" w:color="auto"/>
              <w:right w:val="single" w:sz="4" w:space="0" w:color="auto"/>
            </w:tcBorders>
            <w:shd w:val="clear" w:color="auto" w:fill="auto"/>
            <w:vAlign w:val="center"/>
          </w:tcPr>
          <w:p w14:paraId="2FD3D5AB" w14:textId="6147D705"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535</w:t>
            </w:r>
            <w:r>
              <w:rPr>
                <w:sz w:val="16"/>
                <w:szCs w:val="18"/>
              </w:rPr>
              <w:t>,</w:t>
            </w:r>
            <w:r w:rsidRPr="00622F40">
              <w:rPr>
                <w:sz w:val="16"/>
                <w:szCs w:val="18"/>
              </w:rPr>
              <w:t>877</w:t>
            </w:r>
          </w:p>
        </w:tc>
        <w:tc>
          <w:tcPr>
            <w:tcW w:w="397" w:type="pct"/>
            <w:tcBorders>
              <w:top w:val="single" w:sz="4" w:space="0" w:color="auto"/>
              <w:left w:val="nil"/>
              <w:bottom w:val="single" w:sz="4" w:space="0" w:color="auto"/>
              <w:right w:val="single" w:sz="4" w:space="0" w:color="auto"/>
            </w:tcBorders>
            <w:shd w:val="clear" w:color="auto" w:fill="auto"/>
            <w:vAlign w:val="center"/>
          </w:tcPr>
          <w:p w14:paraId="6CB8CD9F" w14:textId="1C10BC4D"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435</w:t>
            </w:r>
            <w:r>
              <w:rPr>
                <w:sz w:val="16"/>
                <w:szCs w:val="18"/>
              </w:rPr>
              <w:t>,</w:t>
            </w:r>
            <w:r w:rsidRPr="00622F40">
              <w:rPr>
                <w:sz w:val="16"/>
                <w:szCs w:val="18"/>
              </w:rPr>
              <w:t>686</w:t>
            </w:r>
          </w:p>
        </w:tc>
        <w:tc>
          <w:tcPr>
            <w:tcW w:w="397" w:type="pct"/>
            <w:tcBorders>
              <w:top w:val="single" w:sz="4" w:space="0" w:color="auto"/>
              <w:left w:val="nil"/>
              <w:bottom w:val="single" w:sz="4" w:space="0" w:color="auto"/>
              <w:right w:val="single" w:sz="4" w:space="0" w:color="auto"/>
            </w:tcBorders>
            <w:shd w:val="clear" w:color="auto" w:fill="auto"/>
            <w:vAlign w:val="center"/>
          </w:tcPr>
          <w:p w14:paraId="08B53810" w14:textId="49149583"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268</w:t>
            </w:r>
            <w:r>
              <w:rPr>
                <w:sz w:val="16"/>
                <w:szCs w:val="18"/>
              </w:rPr>
              <w:t>,</w:t>
            </w:r>
            <w:r w:rsidRPr="00622F40">
              <w:rPr>
                <w:sz w:val="16"/>
                <w:szCs w:val="18"/>
              </w:rPr>
              <w:t>695</w:t>
            </w:r>
          </w:p>
        </w:tc>
        <w:tc>
          <w:tcPr>
            <w:tcW w:w="397" w:type="pct"/>
            <w:tcBorders>
              <w:top w:val="single" w:sz="4" w:space="0" w:color="auto"/>
              <w:left w:val="nil"/>
              <w:bottom w:val="single" w:sz="4" w:space="0" w:color="auto"/>
              <w:right w:val="single" w:sz="4" w:space="0" w:color="auto"/>
            </w:tcBorders>
            <w:shd w:val="clear" w:color="auto" w:fill="auto"/>
            <w:vAlign w:val="center"/>
          </w:tcPr>
          <w:p w14:paraId="2B34757C" w14:textId="35B89DA1"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244</w:t>
            </w:r>
            <w:r>
              <w:rPr>
                <w:sz w:val="16"/>
                <w:szCs w:val="18"/>
              </w:rPr>
              <w:t>,</w:t>
            </w:r>
            <w:r w:rsidRPr="00622F40">
              <w:rPr>
                <w:sz w:val="16"/>
                <w:szCs w:val="18"/>
              </w:rPr>
              <w:t>414</w:t>
            </w:r>
          </w:p>
        </w:tc>
        <w:tc>
          <w:tcPr>
            <w:tcW w:w="397" w:type="pct"/>
            <w:tcBorders>
              <w:top w:val="single" w:sz="4" w:space="0" w:color="auto"/>
              <w:left w:val="nil"/>
              <w:bottom w:val="single" w:sz="4" w:space="0" w:color="auto"/>
              <w:right w:val="single" w:sz="4" w:space="0" w:color="auto"/>
            </w:tcBorders>
            <w:shd w:val="clear" w:color="auto" w:fill="auto"/>
            <w:vAlign w:val="center"/>
          </w:tcPr>
          <w:p w14:paraId="168BEE51" w14:textId="0683F791"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302</w:t>
            </w:r>
            <w:r>
              <w:rPr>
                <w:sz w:val="16"/>
                <w:szCs w:val="18"/>
              </w:rPr>
              <w:t>,</w:t>
            </w:r>
            <w:r w:rsidRPr="00622F40">
              <w:rPr>
                <w:sz w:val="16"/>
                <w:szCs w:val="18"/>
              </w:rPr>
              <w:t>425</w:t>
            </w:r>
          </w:p>
        </w:tc>
        <w:tc>
          <w:tcPr>
            <w:tcW w:w="397" w:type="pct"/>
            <w:tcBorders>
              <w:top w:val="single" w:sz="4" w:space="0" w:color="auto"/>
              <w:left w:val="nil"/>
              <w:bottom w:val="single" w:sz="4" w:space="0" w:color="auto"/>
              <w:right w:val="single" w:sz="4" w:space="0" w:color="auto"/>
            </w:tcBorders>
            <w:shd w:val="clear" w:color="auto" w:fill="auto"/>
            <w:vAlign w:val="center"/>
          </w:tcPr>
          <w:p w14:paraId="11424BDB" w14:textId="0FBD337F"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359</w:t>
            </w:r>
            <w:r>
              <w:rPr>
                <w:sz w:val="16"/>
                <w:szCs w:val="18"/>
              </w:rPr>
              <w:t>,</w:t>
            </w:r>
            <w:r w:rsidRPr="00622F40">
              <w:rPr>
                <w:sz w:val="16"/>
                <w:szCs w:val="18"/>
              </w:rPr>
              <w:t>648</w:t>
            </w:r>
          </w:p>
        </w:tc>
        <w:tc>
          <w:tcPr>
            <w:tcW w:w="397" w:type="pct"/>
            <w:tcBorders>
              <w:top w:val="single" w:sz="4" w:space="0" w:color="auto"/>
              <w:left w:val="nil"/>
              <w:bottom w:val="single" w:sz="4" w:space="0" w:color="auto"/>
              <w:right w:val="single" w:sz="4" w:space="0" w:color="auto"/>
            </w:tcBorders>
            <w:shd w:val="clear" w:color="auto" w:fill="auto"/>
            <w:vAlign w:val="center"/>
          </w:tcPr>
          <w:p w14:paraId="3764CD67" w14:textId="686D3CFE"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348</w:t>
            </w:r>
            <w:r>
              <w:rPr>
                <w:sz w:val="16"/>
                <w:szCs w:val="18"/>
              </w:rPr>
              <w:t>,</w:t>
            </w:r>
            <w:r w:rsidRPr="00622F40">
              <w:rPr>
                <w:sz w:val="16"/>
                <w:szCs w:val="18"/>
              </w:rPr>
              <w:t>692</w:t>
            </w:r>
          </w:p>
        </w:tc>
        <w:tc>
          <w:tcPr>
            <w:tcW w:w="397" w:type="pct"/>
            <w:tcBorders>
              <w:top w:val="single" w:sz="4" w:space="0" w:color="auto"/>
              <w:left w:val="nil"/>
              <w:bottom w:val="single" w:sz="4" w:space="0" w:color="auto"/>
              <w:right w:val="single" w:sz="4" w:space="0" w:color="auto"/>
            </w:tcBorders>
            <w:shd w:val="clear" w:color="auto" w:fill="auto"/>
            <w:vAlign w:val="center"/>
          </w:tcPr>
          <w:p w14:paraId="3128AEC7" w14:textId="41C9BC68"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377</w:t>
            </w:r>
            <w:r>
              <w:rPr>
                <w:sz w:val="16"/>
                <w:szCs w:val="18"/>
              </w:rPr>
              <w:t>,</w:t>
            </w:r>
            <w:r w:rsidRPr="00622F40">
              <w:rPr>
                <w:sz w:val="16"/>
                <w:szCs w:val="18"/>
              </w:rPr>
              <w:t>818</w:t>
            </w:r>
          </w:p>
        </w:tc>
        <w:tc>
          <w:tcPr>
            <w:tcW w:w="397" w:type="pct"/>
            <w:tcBorders>
              <w:top w:val="single" w:sz="4" w:space="0" w:color="auto"/>
              <w:left w:val="nil"/>
              <w:bottom w:val="single" w:sz="4" w:space="0" w:color="auto"/>
              <w:right w:val="single" w:sz="4" w:space="0" w:color="auto"/>
            </w:tcBorders>
            <w:shd w:val="clear" w:color="auto" w:fill="auto"/>
            <w:vAlign w:val="center"/>
          </w:tcPr>
          <w:p w14:paraId="00C5D147" w14:textId="734DBD57"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349</w:t>
            </w:r>
            <w:r>
              <w:rPr>
                <w:sz w:val="16"/>
                <w:szCs w:val="18"/>
              </w:rPr>
              <w:t>,</w:t>
            </w:r>
            <w:r w:rsidRPr="00622F40">
              <w:rPr>
                <w:sz w:val="16"/>
                <w:szCs w:val="18"/>
              </w:rPr>
              <w:t>920</w:t>
            </w:r>
          </w:p>
        </w:tc>
        <w:tc>
          <w:tcPr>
            <w:tcW w:w="397" w:type="pct"/>
            <w:tcBorders>
              <w:top w:val="single" w:sz="4" w:space="0" w:color="auto"/>
              <w:left w:val="nil"/>
              <w:bottom w:val="single" w:sz="4" w:space="0" w:color="auto"/>
              <w:right w:val="single" w:sz="4" w:space="0" w:color="auto"/>
            </w:tcBorders>
            <w:shd w:val="clear" w:color="auto" w:fill="auto"/>
            <w:vAlign w:val="center"/>
          </w:tcPr>
          <w:p w14:paraId="3FFA411F" w14:textId="0865B176"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330</w:t>
            </w:r>
            <w:r>
              <w:rPr>
                <w:sz w:val="16"/>
                <w:szCs w:val="18"/>
              </w:rPr>
              <w:t>,</w:t>
            </w:r>
            <w:r w:rsidRPr="00622F40">
              <w:rPr>
                <w:sz w:val="16"/>
                <w:szCs w:val="18"/>
              </w:rPr>
              <w:t>637</w:t>
            </w:r>
          </w:p>
        </w:tc>
      </w:tr>
      <w:tr w:rsidR="00CF33C0" w:rsidRPr="00155CA1" w14:paraId="2CE6F030" w14:textId="2AA011C0"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EAC9D6"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Fish Processing</w:t>
            </w:r>
          </w:p>
        </w:tc>
        <w:tc>
          <w:tcPr>
            <w:tcW w:w="397" w:type="pct"/>
            <w:tcBorders>
              <w:top w:val="single" w:sz="4" w:space="0" w:color="auto"/>
              <w:left w:val="nil"/>
              <w:bottom w:val="single" w:sz="4" w:space="0" w:color="auto"/>
              <w:right w:val="single" w:sz="4" w:space="0" w:color="auto"/>
            </w:tcBorders>
            <w:shd w:val="clear" w:color="auto" w:fill="auto"/>
            <w:vAlign w:val="center"/>
          </w:tcPr>
          <w:p w14:paraId="7B4DF3F4" w14:textId="4055C346"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644</w:t>
            </w:r>
          </w:p>
        </w:tc>
        <w:tc>
          <w:tcPr>
            <w:tcW w:w="397" w:type="pct"/>
            <w:tcBorders>
              <w:top w:val="single" w:sz="4" w:space="0" w:color="auto"/>
              <w:left w:val="nil"/>
              <w:bottom w:val="single" w:sz="4" w:space="0" w:color="auto"/>
              <w:right w:val="single" w:sz="4" w:space="0" w:color="auto"/>
            </w:tcBorders>
            <w:shd w:val="clear" w:color="auto" w:fill="auto"/>
            <w:vAlign w:val="center"/>
          </w:tcPr>
          <w:p w14:paraId="7894C6FB" w14:textId="3531323E"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568</w:t>
            </w:r>
          </w:p>
        </w:tc>
        <w:tc>
          <w:tcPr>
            <w:tcW w:w="397" w:type="pct"/>
            <w:tcBorders>
              <w:top w:val="single" w:sz="4" w:space="0" w:color="auto"/>
              <w:left w:val="nil"/>
              <w:bottom w:val="single" w:sz="4" w:space="0" w:color="auto"/>
              <w:right w:val="single" w:sz="4" w:space="0" w:color="auto"/>
            </w:tcBorders>
            <w:shd w:val="clear" w:color="auto" w:fill="auto"/>
            <w:vAlign w:val="center"/>
          </w:tcPr>
          <w:p w14:paraId="7EA28863" w14:textId="3B6137E2"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516</w:t>
            </w:r>
          </w:p>
        </w:tc>
        <w:tc>
          <w:tcPr>
            <w:tcW w:w="397" w:type="pct"/>
            <w:tcBorders>
              <w:top w:val="single" w:sz="4" w:space="0" w:color="auto"/>
              <w:left w:val="nil"/>
              <w:bottom w:val="single" w:sz="4" w:space="0" w:color="auto"/>
              <w:right w:val="single" w:sz="4" w:space="0" w:color="auto"/>
            </w:tcBorders>
            <w:shd w:val="clear" w:color="auto" w:fill="auto"/>
            <w:vAlign w:val="center"/>
          </w:tcPr>
          <w:p w14:paraId="3C572BE3" w14:textId="1BA9BE42"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546</w:t>
            </w:r>
          </w:p>
        </w:tc>
        <w:tc>
          <w:tcPr>
            <w:tcW w:w="397" w:type="pct"/>
            <w:tcBorders>
              <w:top w:val="single" w:sz="4" w:space="0" w:color="auto"/>
              <w:left w:val="nil"/>
              <w:bottom w:val="single" w:sz="4" w:space="0" w:color="auto"/>
              <w:right w:val="single" w:sz="4" w:space="0" w:color="auto"/>
            </w:tcBorders>
            <w:shd w:val="clear" w:color="auto" w:fill="auto"/>
            <w:vAlign w:val="center"/>
          </w:tcPr>
          <w:p w14:paraId="773B68EC" w14:textId="59F4A5B1"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549</w:t>
            </w:r>
          </w:p>
        </w:tc>
        <w:tc>
          <w:tcPr>
            <w:tcW w:w="397" w:type="pct"/>
            <w:tcBorders>
              <w:top w:val="single" w:sz="4" w:space="0" w:color="auto"/>
              <w:left w:val="nil"/>
              <w:bottom w:val="single" w:sz="4" w:space="0" w:color="auto"/>
              <w:right w:val="single" w:sz="4" w:space="0" w:color="auto"/>
            </w:tcBorders>
            <w:shd w:val="clear" w:color="auto" w:fill="auto"/>
            <w:vAlign w:val="center"/>
          </w:tcPr>
          <w:p w14:paraId="3D350E2F" w14:textId="19856E97"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553</w:t>
            </w:r>
          </w:p>
        </w:tc>
        <w:tc>
          <w:tcPr>
            <w:tcW w:w="397" w:type="pct"/>
            <w:tcBorders>
              <w:top w:val="single" w:sz="4" w:space="0" w:color="auto"/>
              <w:left w:val="nil"/>
              <w:bottom w:val="single" w:sz="4" w:space="0" w:color="auto"/>
              <w:right w:val="single" w:sz="4" w:space="0" w:color="auto"/>
            </w:tcBorders>
            <w:shd w:val="clear" w:color="auto" w:fill="auto"/>
            <w:vAlign w:val="center"/>
          </w:tcPr>
          <w:p w14:paraId="376E0302" w14:textId="2EF050ED"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591</w:t>
            </w:r>
          </w:p>
        </w:tc>
        <w:tc>
          <w:tcPr>
            <w:tcW w:w="397" w:type="pct"/>
            <w:tcBorders>
              <w:top w:val="single" w:sz="4" w:space="0" w:color="auto"/>
              <w:left w:val="nil"/>
              <w:bottom w:val="single" w:sz="4" w:space="0" w:color="auto"/>
              <w:right w:val="single" w:sz="4" w:space="0" w:color="auto"/>
            </w:tcBorders>
            <w:shd w:val="clear" w:color="auto" w:fill="auto"/>
            <w:vAlign w:val="center"/>
          </w:tcPr>
          <w:p w14:paraId="127626B7" w14:textId="545D652B"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578</w:t>
            </w:r>
          </w:p>
        </w:tc>
        <w:tc>
          <w:tcPr>
            <w:tcW w:w="397" w:type="pct"/>
            <w:tcBorders>
              <w:top w:val="single" w:sz="4" w:space="0" w:color="auto"/>
              <w:left w:val="nil"/>
              <w:bottom w:val="single" w:sz="4" w:space="0" w:color="auto"/>
              <w:right w:val="single" w:sz="4" w:space="0" w:color="auto"/>
            </w:tcBorders>
            <w:shd w:val="clear" w:color="auto" w:fill="auto"/>
            <w:vAlign w:val="center"/>
          </w:tcPr>
          <w:p w14:paraId="59B7FCCA" w14:textId="1DFF10FE"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579</w:t>
            </w:r>
          </w:p>
        </w:tc>
        <w:tc>
          <w:tcPr>
            <w:tcW w:w="397" w:type="pct"/>
            <w:tcBorders>
              <w:top w:val="single" w:sz="4" w:space="0" w:color="auto"/>
              <w:left w:val="nil"/>
              <w:bottom w:val="single" w:sz="4" w:space="0" w:color="auto"/>
              <w:right w:val="single" w:sz="4" w:space="0" w:color="auto"/>
            </w:tcBorders>
            <w:shd w:val="clear" w:color="auto" w:fill="auto"/>
            <w:vAlign w:val="center"/>
          </w:tcPr>
          <w:p w14:paraId="0269C813" w14:textId="5D3BA91A"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544</w:t>
            </w:r>
          </w:p>
        </w:tc>
        <w:tc>
          <w:tcPr>
            <w:tcW w:w="397" w:type="pct"/>
            <w:tcBorders>
              <w:top w:val="single" w:sz="4" w:space="0" w:color="auto"/>
              <w:left w:val="nil"/>
              <w:bottom w:val="single" w:sz="4" w:space="0" w:color="auto"/>
              <w:right w:val="single" w:sz="4" w:space="0" w:color="auto"/>
            </w:tcBorders>
            <w:shd w:val="clear" w:color="auto" w:fill="auto"/>
            <w:vAlign w:val="center"/>
          </w:tcPr>
          <w:p w14:paraId="2F2D2997" w14:textId="54D33990"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542</w:t>
            </w:r>
          </w:p>
        </w:tc>
      </w:tr>
      <w:tr w:rsidR="00CF33C0" w:rsidRPr="00155CA1" w14:paraId="2C914C2F" w14:textId="79251963"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93AAE"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Meat &amp; Poultry</w:t>
            </w:r>
          </w:p>
        </w:tc>
        <w:tc>
          <w:tcPr>
            <w:tcW w:w="397" w:type="pct"/>
            <w:tcBorders>
              <w:top w:val="single" w:sz="4" w:space="0" w:color="auto"/>
              <w:left w:val="nil"/>
              <w:bottom w:val="single" w:sz="4" w:space="0" w:color="auto"/>
              <w:right w:val="single" w:sz="4" w:space="0" w:color="auto"/>
            </w:tcBorders>
            <w:shd w:val="clear" w:color="auto" w:fill="auto"/>
            <w:vAlign w:val="center"/>
          </w:tcPr>
          <w:p w14:paraId="3B6CE580" w14:textId="46543176"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616</w:t>
            </w:r>
            <w:r>
              <w:rPr>
                <w:sz w:val="16"/>
                <w:szCs w:val="18"/>
              </w:rPr>
              <w:t>,</w:t>
            </w:r>
            <w:r w:rsidRPr="00622F40">
              <w:rPr>
                <w:sz w:val="16"/>
                <w:szCs w:val="18"/>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5BAD337E" w14:textId="26FA6824"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543</w:t>
            </w:r>
            <w:r>
              <w:rPr>
                <w:sz w:val="16"/>
                <w:szCs w:val="18"/>
              </w:rPr>
              <w:t>,</w:t>
            </w:r>
            <w:r w:rsidRPr="00622F40">
              <w:rPr>
                <w:sz w:val="16"/>
                <w:szCs w:val="18"/>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1E9D5A5E" w14:textId="6F79F29C"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493</w:t>
            </w:r>
            <w:r>
              <w:rPr>
                <w:sz w:val="16"/>
                <w:szCs w:val="18"/>
              </w:rPr>
              <w:t>,</w:t>
            </w:r>
            <w:r w:rsidRPr="00622F40">
              <w:rPr>
                <w:sz w:val="16"/>
                <w:szCs w:val="18"/>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15A089B7" w14:textId="345D3A17"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522</w:t>
            </w:r>
            <w:r>
              <w:rPr>
                <w:sz w:val="16"/>
                <w:szCs w:val="18"/>
              </w:rPr>
              <w:t>,</w:t>
            </w:r>
            <w:r w:rsidRPr="00622F40">
              <w:rPr>
                <w:sz w:val="16"/>
                <w:szCs w:val="18"/>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4ACFE27C" w14:textId="778A6216"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525</w:t>
            </w:r>
            <w:r>
              <w:rPr>
                <w:sz w:val="16"/>
                <w:szCs w:val="18"/>
              </w:rPr>
              <w:t>,</w:t>
            </w:r>
            <w:r w:rsidRPr="00622F40">
              <w:rPr>
                <w:sz w:val="16"/>
                <w:szCs w:val="18"/>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243080F2" w14:textId="12E1EF1D"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529</w:t>
            </w:r>
            <w:r>
              <w:rPr>
                <w:sz w:val="16"/>
                <w:szCs w:val="18"/>
              </w:rPr>
              <w:t>,</w:t>
            </w:r>
            <w:r w:rsidRPr="00622F40">
              <w:rPr>
                <w:sz w:val="16"/>
                <w:szCs w:val="18"/>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73CF8BD8" w14:textId="009EEE9A"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565</w:t>
            </w:r>
            <w:r>
              <w:rPr>
                <w:sz w:val="16"/>
                <w:szCs w:val="18"/>
              </w:rPr>
              <w:t>,</w:t>
            </w:r>
            <w:r w:rsidRPr="00622F40">
              <w:rPr>
                <w:sz w:val="16"/>
                <w:szCs w:val="18"/>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7C34C5B1" w14:textId="6C342CDC"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553</w:t>
            </w:r>
            <w:r>
              <w:rPr>
                <w:sz w:val="16"/>
                <w:szCs w:val="18"/>
              </w:rPr>
              <w:t>,</w:t>
            </w:r>
            <w:r w:rsidRPr="00622F40">
              <w:rPr>
                <w:sz w:val="16"/>
                <w:szCs w:val="18"/>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0F910A9E" w14:textId="28A9E67D"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554</w:t>
            </w:r>
            <w:r>
              <w:rPr>
                <w:sz w:val="16"/>
                <w:szCs w:val="18"/>
              </w:rPr>
              <w:t>,</w:t>
            </w:r>
            <w:r w:rsidRPr="00622F40">
              <w:rPr>
                <w:sz w:val="16"/>
                <w:szCs w:val="18"/>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4A5117DB" w14:textId="18FC2473"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520</w:t>
            </w:r>
            <w:r>
              <w:rPr>
                <w:sz w:val="16"/>
                <w:szCs w:val="18"/>
              </w:rPr>
              <w:t>,</w:t>
            </w:r>
            <w:r w:rsidRPr="00622F40">
              <w:rPr>
                <w:sz w:val="16"/>
                <w:szCs w:val="18"/>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240CF8D6" w14:textId="1C0F1DDB"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518</w:t>
            </w:r>
            <w:r>
              <w:rPr>
                <w:sz w:val="16"/>
                <w:szCs w:val="18"/>
              </w:rPr>
              <w:t>,</w:t>
            </w:r>
            <w:r w:rsidRPr="00622F40">
              <w:rPr>
                <w:sz w:val="16"/>
                <w:szCs w:val="18"/>
              </w:rPr>
              <w:t>000</w:t>
            </w:r>
          </w:p>
        </w:tc>
      </w:tr>
      <w:tr w:rsidR="00CF33C0" w:rsidRPr="00155CA1" w14:paraId="683AA9BB" w14:textId="3E9AE198"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247B84"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Organic Chemicals</w:t>
            </w:r>
          </w:p>
        </w:tc>
        <w:tc>
          <w:tcPr>
            <w:tcW w:w="397" w:type="pct"/>
            <w:tcBorders>
              <w:top w:val="single" w:sz="4" w:space="0" w:color="auto"/>
              <w:left w:val="nil"/>
              <w:bottom w:val="single" w:sz="4" w:space="0" w:color="auto"/>
              <w:right w:val="single" w:sz="4" w:space="0" w:color="auto"/>
            </w:tcBorders>
            <w:shd w:val="clear" w:color="auto" w:fill="auto"/>
            <w:vAlign w:val="center"/>
          </w:tcPr>
          <w:p w14:paraId="5BA36BFD" w14:textId="0AF91861"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757</w:t>
            </w:r>
            <w:r>
              <w:rPr>
                <w:sz w:val="16"/>
                <w:szCs w:val="18"/>
              </w:rPr>
              <w:t>,</w:t>
            </w:r>
            <w:r w:rsidRPr="00622F40">
              <w:rPr>
                <w:sz w:val="16"/>
                <w:szCs w:val="18"/>
              </w:rPr>
              <w:t>563</w:t>
            </w:r>
          </w:p>
        </w:tc>
        <w:tc>
          <w:tcPr>
            <w:tcW w:w="397" w:type="pct"/>
            <w:tcBorders>
              <w:top w:val="single" w:sz="4" w:space="0" w:color="auto"/>
              <w:left w:val="nil"/>
              <w:bottom w:val="single" w:sz="4" w:space="0" w:color="auto"/>
              <w:right w:val="single" w:sz="4" w:space="0" w:color="auto"/>
            </w:tcBorders>
            <w:shd w:val="clear" w:color="auto" w:fill="auto"/>
            <w:vAlign w:val="center"/>
          </w:tcPr>
          <w:p w14:paraId="2772BE79" w14:textId="1128EF1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703</w:t>
            </w:r>
            <w:r>
              <w:rPr>
                <w:sz w:val="16"/>
                <w:szCs w:val="18"/>
              </w:rPr>
              <w:t>,</w:t>
            </w:r>
            <w:r w:rsidRPr="00622F40">
              <w:rPr>
                <w:sz w:val="16"/>
                <w:szCs w:val="18"/>
              </w:rPr>
              <w:t>160</w:t>
            </w:r>
          </w:p>
        </w:tc>
        <w:tc>
          <w:tcPr>
            <w:tcW w:w="397" w:type="pct"/>
            <w:tcBorders>
              <w:top w:val="single" w:sz="4" w:space="0" w:color="auto"/>
              <w:left w:val="nil"/>
              <w:bottom w:val="single" w:sz="4" w:space="0" w:color="auto"/>
              <w:right w:val="single" w:sz="4" w:space="0" w:color="auto"/>
            </w:tcBorders>
            <w:shd w:val="clear" w:color="auto" w:fill="auto"/>
            <w:vAlign w:val="center"/>
          </w:tcPr>
          <w:p w14:paraId="78020191" w14:textId="6A694BD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564</w:t>
            </w:r>
            <w:r>
              <w:rPr>
                <w:sz w:val="16"/>
                <w:szCs w:val="18"/>
              </w:rPr>
              <w:t>,</w:t>
            </w:r>
            <w:r w:rsidRPr="00622F40">
              <w:rPr>
                <w:sz w:val="16"/>
                <w:szCs w:val="18"/>
              </w:rPr>
              <w:t>273</w:t>
            </w:r>
          </w:p>
        </w:tc>
        <w:tc>
          <w:tcPr>
            <w:tcW w:w="397" w:type="pct"/>
            <w:tcBorders>
              <w:top w:val="single" w:sz="4" w:space="0" w:color="auto"/>
              <w:left w:val="nil"/>
              <w:bottom w:val="single" w:sz="4" w:space="0" w:color="auto"/>
              <w:right w:val="single" w:sz="4" w:space="0" w:color="auto"/>
            </w:tcBorders>
            <w:shd w:val="clear" w:color="auto" w:fill="auto"/>
            <w:vAlign w:val="center"/>
          </w:tcPr>
          <w:p w14:paraId="0003212C" w14:textId="648FC5C1"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150</w:t>
            </w:r>
            <w:r>
              <w:rPr>
                <w:sz w:val="16"/>
                <w:szCs w:val="18"/>
              </w:rPr>
              <w:t>,</w:t>
            </w:r>
            <w:r w:rsidRPr="00622F40">
              <w:rPr>
                <w:sz w:val="16"/>
                <w:szCs w:val="18"/>
              </w:rPr>
              <w:t>631</w:t>
            </w:r>
          </w:p>
        </w:tc>
        <w:tc>
          <w:tcPr>
            <w:tcW w:w="397" w:type="pct"/>
            <w:tcBorders>
              <w:top w:val="single" w:sz="4" w:space="0" w:color="auto"/>
              <w:left w:val="nil"/>
              <w:bottom w:val="single" w:sz="4" w:space="0" w:color="auto"/>
              <w:right w:val="single" w:sz="4" w:space="0" w:color="auto"/>
            </w:tcBorders>
            <w:shd w:val="clear" w:color="auto" w:fill="auto"/>
            <w:vAlign w:val="center"/>
          </w:tcPr>
          <w:p w14:paraId="131C5474" w14:textId="7AA27BF7"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73</w:t>
            </w:r>
            <w:r>
              <w:rPr>
                <w:sz w:val="16"/>
                <w:szCs w:val="18"/>
              </w:rPr>
              <w:t>,</w:t>
            </w:r>
            <w:r w:rsidRPr="00622F40">
              <w:rPr>
                <w:sz w:val="16"/>
                <w:szCs w:val="18"/>
              </w:rPr>
              <w:t>846</w:t>
            </w:r>
          </w:p>
        </w:tc>
        <w:tc>
          <w:tcPr>
            <w:tcW w:w="397" w:type="pct"/>
            <w:tcBorders>
              <w:top w:val="single" w:sz="4" w:space="0" w:color="auto"/>
              <w:left w:val="nil"/>
              <w:bottom w:val="single" w:sz="4" w:space="0" w:color="auto"/>
              <w:right w:val="single" w:sz="4" w:space="0" w:color="auto"/>
            </w:tcBorders>
            <w:shd w:val="clear" w:color="auto" w:fill="auto"/>
            <w:vAlign w:val="center"/>
          </w:tcPr>
          <w:p w14:paraId="40E093D9" w14:textId="467AA06D"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99</w:t>
            </w:r>
            <w:r>
              <w:rPr>
                <w:sz w:val="16"/>
                <w:szCs w:val="18"/>
              </w:rPr>
              <w:t>,</w:t>
            </w:r>
            <w:r w:rsidRPr="00622F40">
              <w:rPr>
                <w:sz w:val="16"/>
                <w:szCs w:val="18"/>
              </w:rPr>
              <w:t>446</w:t>
            </w:r>
          </w:p>
        </w:tc>
        <w:tc>
          <w:tcPr>
            <w:tcW w:w="397" w:type="pct"/>
            <w:tcBorders>
              <w:top w:val="single" w:sz="4" w:space="0" w:color="auto"/>
              <w:left w:val="nil"/>
              <w:bottom w:val="single" w:sz="4" w:space="0" w:color="auto"/>
              <w:right w:val="single" w:sz="4" w:space="0" w:color="auto"/>
            </w:tcBorders>
            <w:shd w:val="clear" w:color="auto" w:fill="auto"/>
            <w:vAlign w:val="center"/>
          </w:tcPr>
          <w:p w14:paraId="0294CBDB" w14:textId="69694C70"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350</w:t>
            </w:r>
            <w:r>
              <w:rPr>
                <w:sz w:val="16"/>
                <w:szCs w:val="18"/>
              </w:rPr>
              <w:t>,</w:t>
            </w:r>
            <w:r w:rsidRPr="00622F40">
              <w:rPr>
                <w:sz w:val="16"/>
                <w:szCs w:val="18"/>
              </w:rPr>
              <w:t>479</w:t>
            </w:r>
          </w:p>
        </w:tc>
        <w:tc>
          <w:tcPr>
            <w:tcW w:w="397" w:type="pct"/>
            <w:tcBorders>
              <w:top w:val="single" w:sz="4" w:space="0" w:color="auto"/>
              <w:left w:val="nil"/>
              <w:bottom w:val="single" w:sz="4" w:space="0" w:color="auto"/>
              <w:right w:val="single" w:sz="4" w:space="0" w:color="auto"/>
            </w:tcBorders>
            <w:shd w:val="clear" w:color="auto" w:fill="auto"/>
            <w:vAlign w:val="center"/>
          </w:tcPr>
          <w:p w14:paraId="215D4E74" w14:textId="07A6528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728</w:t>
            </w:r>
            <w:r>
              <w:rPr>
                <w:sz w:val="16"/>
                <w:szCs w:val="18"/>
              </w:rPr>
              <w:t>,</w:t>
            </w:r>
            <w:r w:rsidRPr="00622F40">
              <w:rPr>
                <w:sz w:val="16"/>
                <w:szCs w:val="18"/>
              </w:rPr>
              <w:t>610</w:t>
            </w:r>
          </w:p>
        </w:tc>
        <w:tc>
          <w:tcPr>
            <w:tcW w:w="397" w:type="pct"/>
            <w:tcBorders>
              <w:top w:val="single" w:sz="4" w:space="0" w:color="auto"/>
              <w:left w:val="nil"/>
              <w:bottom w:val="single" w:sz="4" w:space="0" w:color="auto"/>
              <w:right w:val="single" w:sz="4" w:space="0" w:color="auto"/>
            </w:tcBorders>
            <w:shd w:val="clear" w:color="auto" w:fill="auto"/>
            <w:vAlign w:val="center"/>
          </w:tcPr>
          <w:p w14:paraId="13976CF8" w14:textId="12B91030"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724</w:t>
            </w:r>
            <w:r>
              <w:rPr>
                <w:sz w:val="16"/>
                <w:szCs w:val="18"/>
              </w:rPr>
              <w:t>,</w:t>
            </w:r>
            <w:r w:rsidRPr="00622F40">
              <w:rPr>
                <w:sz w:val="16"/>
                <w:szCs w:val="18"/>
              </w:rPr>
              <w:t>091</w:t>
            </w:r>
          </w:p>
        </w:tc>
        <w:tc>
          <w:tcPr>
            <w:tcW w:w="397" w:type="pct"/>
            <w:tcBorders>
              <w:top w:val="single" w:sz="4" w:space="0" w:color="auto"/>
              <w:left w:val="nil"/>
              <w:bottom w:val="single" w:sz="4" w:space="0" w:color="auto"/>
              <w:right w:val="single" w:sz="4" w:space="0" w:color="auto"/>
            </w:tcBorders>
            <w:shd w:val="clear" w:color="auto" w:fill="auto"/>
            <w:vAlign w:val="center"/>
          </w:tcPr>
          <w:p w14:paraId="333C32BF" w14:textId="60AEC0AD"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275</w:t>
            </w:r>
            <w:r>
              <w:rPr>
                <w:sz w:val="16"/>
                <w:szCs w:val="18"/>
              </w:rPr>
              <w:t>,</w:t>
            </w:r>
            <w:r w:rsidRPr="00622F40">
              <w:rPr>
                <w:sz w:val="16"/>
                <w:szCs w:val="18"/>
              </w:rPr>
              <w:t>060</w:t>
            </w:r>
          </w:p>
        </w:tc>
        <w:tc>
          <w:tcPr>
            <w:tcW w:w="397" w:type="pct"/>
            <w:tcBorders>
              <w:top w:val="single" w:sz="4" w:space="0" w:color="auto"/>
              <w:left w:val="nil"/>
              <w:bottom w:val="single" w:sz="4" w:space="0" w:color="auto"/>
              <w:right w:val="single" w:sz="4" w:space="0" w:color="auto"/>
            </w:tcBorders>
            <w:shd w:val="clear" w:color="auto" w:fill="auto"/>
            <w:vAlign w:val="center"/>
          </w:tcPr>
          <w:p w14:paraId="27739C42" w14:textId="2B229261"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426</w:t>
            </w:r>
            <w:r>
              <w:rPr>
                <w:sz w:val="16"/>
                <w:szCs w:val="18"/>
              </w:rPr>
              <w:t>,</w:t>
            </w:r>
            <w:r w:rsidRPr="00622F40">
              <w:rPr>
                <w:sz w:val="16"/>
                <w:szCs w:val="18"/>
              </w:rPr>
              <w:t>769</w:t>
            </w:r>
          </w:p>
        </w:tc>
      </w:tr>
      <w:tr w:rsidR="00F71BF8" w:rsidRPr="00155CA1" w14:paraId="407841CB" w14:textId="1CE3B68D"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8E5B67" w14:textId="77777777" w:rsidR="00F71BF8" w:rsidRPr="00622F40" w:rsidRDefault="00F71BF8" w:rsidP="00E13FD9">
            <w:pPr>
              <w:spacing w:beforeLines="40" w:before="96" w:afterLines="40" w:after="96" w:line="240" w:lineRule="auto"/>
              <w:jc w:val="center"/>
              <w:rPr>
                <w:rFonts w:cs="Arial"/>
                <w:sz w:val="16"/>
                <w:szCs w:val="16"/>
              </w:rPr>
            </w:pPr>
            <w:r w:rsidRPr="00622F40">
              <w:rPr>
                <w:rFonts w:cs="Arial"/>
                <w:sz w:val="16"/>
                <w:szCs w:val="16"/>
              </w:rPr>
              <w:t>Petroleum Refineries</w:t>
            </w:r>
          </w:p>
        </w:tc>
        <w:tc>
          <w:tcPr>
            <w:tcW w:w="397" w:type="pct"/>
            <w:tcBorders>
              <w:top w:val="single" w:sz="4" w:space="0" w:color="auto"/>
              <w:left w:val="nil"/>
              <w:bottom w:val="single" w:sz="4" w:space="0" w:color="auto"/>
              <w:right w:val="single" w:sz="4" w:space="0" w:color="auto"/>
            </w:tcBorders>
            <w:shd w:val="clear" w:color="auto" w:fill="auto"/>
            <w:vAlign w:val="center"/>
          </w:tcPr>
          <w:p w14:paraId="49555602" w14:textId="68564B6F" w:rsidR="00F71BF8" w:rsidRPr="00622F40" w:rsidRDefault="00F71BF8" w:rsidP="00E13FD9">
            <w:pPr>
              <w:spacing w:beforeLines="40" w:before="96" w:afterLines="40" w:after="96" w:line="240" w:lineRule="auto"/>
              <w:ind w:right="-23"/>
              <w:jc w:val="center"/>
              <w:rPr>
                <w:rFonts w:cstheme="minorHAnsi"/>
                <w:sz w:val="16"/>
                <w:szCs w:val="18"/>
              </w:rPr>
            </w:pPr>
            <w:r>
              <w:rPr>
                <w:rFonts w:cstheme="minorHAnsi"/>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69D17187" w14:textId="5198C401" w:rsidR="00F71BF8" w:rsidRPr="00622F40" w:rsidRDefault="00F71BF8" w:rsidP="00E13FD9">
            <w:pPr>
              <w:spacing w:beforeLines="40" w:before="96" w:afterLines="40" w:after="96" w:line="240" w:lineRule="auto"/>
              <w:ind w:right="-23"/>
              <w:jc w:val="center"/>
              <w:rPr>
                <w:rFonts w:cstheme="minorHAnsi"/>
                <w:sz w:val="16"/>
                <w:szCs w:val="18"/>
              </w:rPr>
            </w:pPr>
            <w:r w:rsidRPr="007F3B66">
              <w:rPr>
                <w:rFonts w:cstheme="minorHAnsi"/>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22FD29FA" w14:textId="6CA43CAB" w:rsidR="00F71BF8" w:rsidRPr="00622F40" w:rsidRDefault="00F71BF8" w:rsidP="00E13FD9">
            <w:pPr>
              <w:spacing w:beforeLines="40" w:before="96" w:afterLines="40" w:after="96" w:line="240" w:lineRule="auto"/>
              <w:ind w:right="-23"/>
              <w:jc w:val="center"/>
              <w:rPr>
                <w:rFonts w:cstheme="minorHAnsi"/>
                <w:sz w:val="16"/>
                <w:szCs w:val="18"/>
              </w:rPr>
            </w:pPr>
            <w:r w:rsidRPr="007F3B66">
              <w:rPr>
                <w:rFonts w:cstheme="minorHAnsi"/>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65401ECE" w14:textId="73B851F2" w:rsidR="00F71BF8" w:rsidRPr="00622F40" w:rsidRDefault="00F71BF8" w:rsidP="00E13FD9">
            <w:pPr>
              <w:spacing w:beforeLines="40" w:before="96" w:afterLines="40" w:after="96" w:line="240" w:lineRule="auto"/>
              <w:ind w:right="-23"/>
              <w:jc w:val="center"/>
              <w:rPr>
                <w:rFonts w:cstheme="minorHAnsi"/>
                <w:sz w:val="16"/>
                <w:szCs w:val="18"/>
              </w:rPr>
            </w:pPr>
            <w:r w:rsidRPr="007F3B66">
              <w:rPr>
                <w:rFonts w:cstheme="minorHAnsi"/>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67EAAD82" w14:textId="012CAB6D" w:rsidR="00F71BF8" w:rsidRPr="00622F40" w:rsidRDefault="00F71BF8" w:rsidP="00E13FD9">
            <w:pPr>
              <w:spacing w:beforeLines="40" w:before="96" w:afterLines="40" w:after="96" w:line="240" w:lineRule="auto"/>
              <w:ind w:right="-23"/>
              <w:jc w:val="center"/>
              <w:rPr>
                <w:rFonts w:cstheme="minorHAnsi"/>
                <w:sz w:val="16"/>
                <w:szCs w:val="18"/>
              </w:rPr>
            </w:pPr>
            <w:r w:rsidRPr="007F3B66">
              <w:rPr>
                <w:rFonts w:cstheme="minorHAnsi"/>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310F4AEA" w14:textId="29B9277A" w:rsidR="00F71BF8" w:rsidRPr="00622F40" w:rsidRDefault="00F71BF8" w:rsidP="00E13FD9">
            <w:pPr>
              <w:spacing w:beforeLines="40" w:before="96" w:afterLines="40" w:after="96" w:line="240" w:lineRule="auto"/>
              <w:ind w:right="-23"/>
              <w:jc w:val="center"/>
              <w:rPr>
                <w:rFonts w:cstheme="minorHAnsi"/>
                <w:sz w:val="16"/>
                <w:szCs w:val="18"/>
              </w:rPr>
            </w:pPr>
            <w:r w:rsidRPr="007F3B66">
              <w:rPr>
                <w:rFonts w:cstheme="minorHAnsi"/>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32B9C20F" w14:textId="3F2C339C" w:rsidR="00F71BF8" w:rsidRPr="00622F40" w:rsidRDefault="00F71BF8" w:rsidP="00E13FD9">
            <w:pPr>
              <w:spacing w:beforeLines="40" w:before="96" w:afterLines="40" w:after="96" w:line="240" w:lineRule="auto"/>
              <w:ind w:right="-23"/>
              <w:jc w:val="center"/>
              <w:rPr>
                <w:rFonts w:cstheme="minorHAnsi"/>
                <w:sz w:val="16"/>
                <w:szCs w:val="18"/>
              </w:rPr>
            </w:pPr>
            <w:r w:rsidRPr="007F3B66">
              <w:rPr>
                <w:rFonts w:cstheme="minorHAnsi"/>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1B568521" w14:textId="1DC4C72C" w:rsidR="00F71BF8" w:rsidRPr="00622F40" w:rsidRDefault="00F71BF8" w:rsidP="00E13FD9">
            <w:pPr>
              <w:spacing w:beforeLines="40" w:before="96" w:afterLines="40" w:after="96" w:line="240" w:lineRule="auto"/>
              <w:ind w:right="-23"/>
              <w:jc w:val="center"/>
              <w:rPr>
                <w:rFonts w:cstheme="minorHAnsi"/>
                <w:sz w:val="16"/>
                <w:szCs w:val="18"/>
              </w:rPr>
            </w:pPr>
            <w:r w:rsidRPr="007F3B66">
              <w:rPr>
                <w:rFonts w:cstheme="minorHAnsi"/>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613E07FF" w14:textId="2119968A" w:rsidR="00F71BF8" w:rsidRPr="00622F40" w:rsidRDefault="00F71BF8" w:rsidP="00E13FD9">
            <w:pPr>
              <w:spacing w:beforeLines="40" w:before="96" w:afterLines="40" w:after="96" w:line="240" w:lineRule="auto"/>
              <w:ind w:right="-23"/>
              <w:jc w:val="center"/>
              <w:rPr>
                <w:rFonts w:cstheme="minorHAnsi"/>
                <w:sz w:val="16"/>
                <w:szCs w:val="18"/>
              </w:rPr>
            </w:pPr>
            <w:r w:rsidRPr="007F3B66">
              <w:rPr>
                <w:rFonts w:cstheme="minorHAnsi"/>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23C5A6A4" w14:textId="6DB0DE68" w:rsidR="00F71BF8" w:rsidRPr="00622F40" w:rsidRDefault="00F71BF8" w:rsidP="00E13FD9">
            <w:pPr>
              <w:spacing w:beforeLines="40" w:before="96" w:afterLines="40" w:after="96" w:line="240" w:lineRule="auto"/>
              <w:ind w:right="-23"/>
              <w:jc w:val="center"/>
              <w:rPr>
                <w:rFonts w:cstheme="minorHAnsi"/>
                <w:sz w:val="16"/>
                <w:szCs w:val="18"/>
              </w:rPr>
            </w:pPr>
            <w:r w:rsidRPr="007F3B66">
              <w:rPr>
                <w:rFonts w:cstheme="minorHAnsi"/>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7096B5B8" w14:textId="3551376A" w:rsidR="00F71BF8" w:rsidRPr="00622F40" w:rsidRDefault="00F71BF8" w:rsidP="00E13FD9">
            <w:pPr>
              <w:spacing w:beforeLines="40" w:before="96" w:afterLines="40" w:after="96" w:line="240" w:lineRule="auto"/>
              <w:ind w:right="-23"/>
              <w:jc w:val="center"/>
              <w:rPr>
                <w:rFonts w:cstheme="minorHAnsi"/>
                <w:sz w:val="16"/>
                <w:szCs w:val="18"/>
              </w:rPr>
            </w:pPr>
            <w:r w:rsidRPr="00622F40">
              <w:rPr>
                <w:sz w:val="16"/>
                <w:szCs w:val="18"/>
              </w:rPr>
              <w:t>1</w:t>
            </w:r>
            <w:r>
              <w:rPr>
                <w:sz w:val="16"/>
                <w:szCs w:val="18"/>
              </w:rPr>
              <w:t>,</w:t>
            </w:r>
            <w:r w:rsidRPr="00622F40">
              <w:rPr>
                <w:sz w:val="16"/>
                <w:szCs w:val="18"/>
              </w:rPr>
              <w:t>134</w:t>
            </w:r>
            <w:r>
              <w:rPr>
                <w:sz w:val="16"/>
                <w:szCs w:val="18"/>
              </w:rPr>
              <w:t>,</w:t>
            </w:r>
            <w:r w:rsidRPr="00622F40">
              <w:rPr>
                <w:sz w:val="16"/>
                <w:szCs w:val="18"/>
              </w:rPr>
              <w:t>610</w:t>
            </w:r>
          </w:p>
        </w:tc>
      </w:tr>
      <w:tr w:rsidR="00CF33C0" w:rsidRPr="00155CA1" w14:paraId="2F496A41" w14:textId="1298A8A0"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80CE94"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Plastics &amp; Resins</w:t>
            </w:r>
          </w:p>
        </w:tc>
        <w:tc>
          <w:tcPr>
            <w:tcW w:w="397" w:type="pct"/>
            <w:tcBorders>
              <w:top w:val="single" w:sz="4" w:space="0" w:color="auto"/>
              <w:left w:val="nil"/>
              <w:bottom w:val="single" w:sz="4" w:space="0" w:color="auto"/>
              <w:right w:val="single" w:sz="4" w:space="0" w:color="auto"/>
            </w:tcBorders>
            <w:shd w:val="clear" w:color="auto" w:fill="auto"/>
            <w:vAlign w:val="center"/>
          </w:tcPr>
          <w:p w14:paraId="4881E8B2" w14:textId="07C7AC43"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232</w:t>
            </w:r>
            <w:r w:rsidR="00F71BF8">
              <w:rPr>
                <w:sz w:val="16"/>
                <w:szCs w:val="18"/>
              </w:rPr>
              <w:t>,</w:t>
            </w:r>
            <w:r w:rsidRPr="00622F40">
              <w:rPr>
                <w:sz w:val="16"/>
                <w:szCs w:val="18"/>
              </w:rPr>
              <w:t>667</w:t>
            </w:r>
          </w:p>
        </w:tc>
        <w:tc>
          <w:tcPr>
            <w:tcW w:w="397" w:type="pct"/>
            <w:tcBorders>
              <w:top w:val="single" w:sz="4" w:space="0" w:color="auto"/>
              <w:left w:val="nil"/>
              <w:bottom w:val="single" w:sz="4" w:space="0" w:color="auto"/>
              <w:right w:val="single" w:sz="4" w:space="0" w:color="auto"/>
            </w:tcBorders>
            <w:shd w:val="clear" w:color="auto" w:fill="auto"/>
            <w:vAlign w:val="center"/>
          </w:tcPr>
          <w:p w14:paraId="3AC8C1D7" w14:textId="12283626"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194</w:t>
            </w:r>
            <w:r w:rsidR="00F71BF8">
              <w:rPr>
                <w:sz w:val="16"/>
                <w:szCs w:val="18"/>
              </w:rPr>
              <w:t>,</w:t>
            </w:r>
            <w:r w:rsidRPr="00622F40">
              <w:rPr>
                <w:sz w:val="16"/>
                <w:szCs w:val="18"/>
              </w:rPr>
              <w:t>388</w:t>
            </w:r>
          </w:p>
        </w:tc>
        <w:tc>
          <w:tcPr>
            <w:tcW w:w="397" w:type="pct"/>
            <w:tcBorders>
              <w:top w:val="single" w:sz="4" w:space="0" w:color="auto"/>
              <w:left w:val="nil"/>
              <w:bottom w:val="single" w:sz="4" w:space="0" w:color="auto"/>
              <w:right w:val="single" w:sz="4" w:space="0" w:color="auto"/>
            </w:tcBorders>
            <w:shd w:val="clear" w:color="auto" w:fill="auto"/>
            <w:vAlign w:val="center"/>
          </w:tcPr>
          <w:p w14:paraId="42C13264" w14:textId="2BB1FEF0"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115</w:t>
            </w:r>
            <w:r w:rsidR="00F71BF8">
              <w:rPr>
                <w:sz w:val="16"/>
                <w:szCs w:val="18"/>
              </w:rPr>
              <w:t>,</w:t>
            </w:r>
            <w:r w:rsidRPr="00622F40">
              <w:rPr>
                <w:sz w:val="16"/>
                <w:szCs w:val="18"/>
              </w:rPr>
              <w:t>259</w:t>
            </w:r>
          </w:p>
        </w:tc>
        <w:tc>
          <w:tcPr>
            <w:tcW w:w="397" w:type="pct"/>
            <w:tcBorders>
              <w:top w:val="single" w:sz="4" w:space="0" w:color="auto"/>
              <w:left w:val="nil"/>
              <w:bottom w:val="single" w:sz="4" w:space="0" w:color="auto"/>
              <w:right w:val="single" w:sz="4" w:space="0" w:color="auto"/>
            </w:tcBorders>
            <w:shd w:val="clear" w:color="auto" w:fill="auto"/>
            <w:vAlign w:val="center"/>
          </w:tcPr>
          <w:p w14:paraId="08B705A4" w14:textId="668DFA54"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12</w:t>
            </w:r>
            <w:r w:rsidR="00F71BF8">
              <w:rPr>
                <w:sz w:val="16"/>
                <w:szCs w:val="18"/>
              </w:rPr>
              <w:t>,</w:t>
            </w:r>
            <w:r w:rsidRPr="00622F40">
              <w:rPr>
                <w:sz w:val="16"/>
                <w:szCs w:val="18"/>
              </w:rPr>
              <w:t>248</w:t>
            </w:r>
          </w:p>
        </w:tc>
        <w:tc>
          <w:tcPr>
            <w:tcW w:w="397" w:type="pct"/>
            <w:tcBorders>
              <w:top w:val="single" w:sz="4" w:space="0" w:color="auto"/>
              <w:left w:val="nil"/>
              <w:bottom w:val="single" w:sz="4" w:space="0" w:color="auto"/>
              <w:right w:val="single" w:sz="4" w:space="0" w:color="auto"/>
            </w:tcBorders>
            <w:shd w:val="clear" w:color="auto" w:fill="auto"/>
            <w:vAlign w:val="center"/>
          </w:tcPr>
          <w:p w14:paraId="706019D9" w14:textId="6FC94ABE"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13</w:t>
            </w:r>
            <w:r w:rsidR="00F71BF8">
              <w:rPr>
                <w:sz w:val="16"/>
                <w:szCs w:val="18"/>
              </w:rPr>
              <w:t>,</w:t>
            </w:r>
            <w:r w:rsidRPr="00622F40">
              <w:rPr>
                <w:sz w:val="16"/>
                <w:szCs w:val="18"/>
              </w:rPr>
              <w:t>491</w:t>
            </w:r>
          </w:p>
        </w:tc>
        <w:tc>
          <w:tcPr>
            <w:tcW w:w="397" w:type="pct"/>
            <w:tcBorders>
              <w:top w:val="single" w:sz="4" w:space="0" w:color="auto"/>
              <w:left w:val="nil"/>
              <w:bottom w:val="single" w:sz="4" w:space="0" w:color="auto"/>
              <w:right w:val="single" w:sz="4" w:space="0" w:color="auto"/>
            </w:tcBorders>
            <w:shd w:val="clear" w:color="auto" w:fill="auto"/>
            <w:vAlign w:val="center"/>
          </w:tcPr>
          <w:p w14:paraId="31CC9FA8" w14:textId="18456040"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13</w:t>
            </w:r>
            <w:r w:rsidR="00F71BF8">
              <w:rPr>
                <w:sz w:val="16"/>
                <w:szCs w:val="18"/>
              </w:rPr>
              <w:t>,</w:t>
            </w:r>
            <w:r w:rsidRPr="00622F40">
              <w:rPr>
                <w:sz w:val="16"/>
                <w:szCs w:val="18"/>
              </w:rPr>
              <w:t>778</w:t>
            </w:r>
          </w:p>
        </w:tc>
        <w:tc>
          <w:tcPr>
            <w:tcW w:w="397" w:type="pct"/>
            <w:tcBorders>
              <w:top w:val="single" w:sz="4" w:space="0" w:color="auto"/>
              <w:left w:val="nil"/>
              <w:bottom w:val="single" w:sz="4" w:space="0" w:color="auto"/>
              <w:right w:val="single" w:sz="4" w:space="0" w:color="auto"/>
            </w:tcBorders>
            <w:shd w:val="clear" w:color="auto" w:fill="auto"/>
            <w:vAlign w:val="center"/>
          </w:tcPr>
          <w:p w14:paraId="1215B365" w14:textId="388A293A"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95</w:t>
            </w:r>
            <w:r w:rsidR="00F71BF8">
              <w:rPr>
                <w:sz w:val="16"/>
                <w:szCs w:val="18"/>
              </w:rPr>
              <w:t>,</w:t>
            </w:r>
            <w:r w:rsidRPr="00622F40">
              <w:rPr>
                <w:sz w:val="16"/>
                <w:szCs w:val="18"/>
              </w:rPr>
              <w:t>016</w:t>
            </w:r>
          </w:p>
        </w:tc>
        <w:tc>
          <w:tcPr>
            <w:tcW w:w="397" w:type="pct"/>
            <w:tcBorders>
              <w:top w:val="single" w:sz="4" w:space="0" w:color="auto"/>
              <w:left w:val="nil"/>
              <w:bottom w:val="single" w:sz="4" w:space="0" w:color="auto"/>
              <w:right w:val="single" w:sz="4" w:space="0" w:color="auto"/>
            </w:tcBorders>
            <w:shd w:val="clear" w:color="auto" w:fill="auto"/>
            <w:vAlign w:val="center"/>
          </w:tcPr>
          <w:p w14:paraId="658FE87B" w14:textId="275C75D5"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203</w:t>
            </w:r>
            <w:r w:rsidR="00F71BF8">
              <w:rPr>
                <w:sz w:val="16"/>
                <w:szCs w:val="18"/>
              </w:rPr>
              <w:t>,</w:t>
            </w:r>
            <w:r w:rsidRPr="00622F40">
              <w:rPr>
                <w:sz w:val="16"/>
                <w:szCs w:val="18"/>
              </w:rPr>
              <w:t>901</w:t>
            </w:r>
          </w:p>
        </w:tc>
        <w:tc>
          <w:tcPr>
            <w:tcW w:w="397" w:type="pct"/>
            <w:tcBorders>
              <w:top w:val="single" w:sz="4" w:space="0" w:color="auto"/>
              <w:left w:val="nil"/>
              <w:bottom w:val="single" w:sz="4" w:space="0" w:color="auto"/>
              <w:right w:val="single" w:sz="4" w:space="0" w:color="auto"/>
            </w:tcBorders>
            <w:shd w:val="clear" w:color="auto" w:fill="auto"/>
            <w:vAlign w:val="center"/>
          </w:tcPr>
          <w:p w14:paraId="5CD698C3" w14:textId="2121251A"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214</w:t>
            </w:r>
            <w:r w:rsidR="00F71BF8">
              <w:rPr>
                <w:sz w:val="16"/>
                <w:szCs w:val="18"/>
              </w:rPr>
              <w:t>,</w:t>
            </w:r>
            <w:r w:rsidRPr="00622F40">
              <w:rPr>
                <w:sz w:val="16"/>
                <w:szCs w:val="18"/>
              </w:rPr>
              <w:t>610</w:t>
            </w:r>
          </w:p>
        </w:tc>
        <w:tc>
          <w:tcPr>
            <w:tcW w:w="397" w:type="pct"/>
            <w:tcBorders>
              <w:top w:val="single" w:sz="4" w:space="0" w:color="auto"/>
              <w:left w:val="nil"/>
              <w:bottom w:val="single" w:sz="4" w:space="0" w:color="auto"/>
              <w:right w:val="single" w:sz="4" w:space="0" w:color="auto"/>
            </w:tcBorders>
            <w:shd w:val="clear" w:color="auto" w:fill="auto"/>
            <w:vAlign w:val="center"/>
          </w:tcPr>
          <w:p w14:paraId="2FAF6821" w14:textId="0F991D2E"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78</w:t>
            </w:r>
            <w:r w:rsidR="00F71BF8">
              <w:rPr>
                <w:sz w:val="16"/>
                <w:szCs w:val="18"/>
              </w:rPr>
              <w:t>,</w:t>
            </w:r>
            <w:r w:rsidRPr="00622F40">
              <w:rPr>
                <w:sz w:val="16"/>
                <w:szCs w:val="18"/>
              </w:rPr>
              <w:t>151</w:t>
            </w:r>
          </w:p>
        </w:tc>
        <w:tc>
          <w:tcPr>
            <w:tcW w:w="397" w:type="pct"/>
            <w:tcBorders>
              <w:top w:val="single" w:sz="4" w:space="0" w:color="auto"/>
              <w:left w:val="nil"/>
              <w:bottom w:val="single" w:sz="4" w:space="0" w:color="auto"/>
              <w:right w:val="single" w:sz="4" w:space="0" w:color="auto"/>
            </w:tcBorders>
            <w:shd w:val="clear" w:color="auto" w:fill="auto"/>
            <w:vAlign w:val="center"/>
          </w:tcPr>
          <w:p w14:paraId="773A740E" w14:textId="0001332C"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126</w:t>
            </w:r>
            <w:r w:rsidR="00F71BF8">
              <w:rPr>
                <w:sz w:val="16"/>
                <w:szCs w:val="18"/>
              </w:rPr>
              <w:t>,</w:t>
            </w:r>
            <w:r w:rsidRPr="00622F40">
              <w:rPr>
                <w:sz w:val="16"/>
                <w:szCs w:val="18"/>
              </w:rPr>
              <w:t>966</w:t>
            </w:r>
          </w:p>
        </w:tc>
      </w:tr>
      <w:tr w:rsidR="00CF33C0" w:rsidRPr="00155CA1" w14:paraId="0E83F275" w14:textId="0EAF8AA1"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E1016"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Pulp &amp; Paper (combined)</w:t>
            </w:r>
          </w:p>
        </w:tc>
        <w:tc>
          <w:tcPr>
            <w:tcW w:w="397" w:type="pct"/>
            <w:tcBorders>
              <w:top w:val="single" w:sz="4" w:space="0" w:color="auto"/>
              <w:left w:val="nil"/>
              <w:bottom w:val="single" w:sz="4" w:space="0" w:color="auto"/>
              <w:right w:val="single" w:sz="4" w:space="0" w:color="auto"/>
            </w:tcBorders>
            <w:shd w:val="clear" w:color="auto" w:fill="auto"/>
            <w:vAlign w:val="center"/>
          </w:tcPr>
          <w:p w14:paraId="353BF8FB" w14:textId="4914E112"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14</w:t>
            </w:r>
            <w:r w:rsidR="00F71BF8">
              <w:rPr>
                <w:sz w:val="16"/>
                <w:szCs w:val="18"/>
              </w:rPr>
              <w:t>,</w:t>
            </w:r>
            <w:r w:rsidRPr="00622F40">
              <w:rPr>
                <w:sz w:val="16"/>
                <w:szCs w:val="18"/>
              </w:rPr>
              <w:t>686</w:t>
            </w:r>
          </w:p>
        </w:tc>
        <w:tc>
          <w:tcPr>
            <w:tcW w:w="397" w:type="pct"/>
            <w:tcBorders>
              <w:top w:val="single" w:sz="4" w:space="0" w:color="auto"/>
              <w:left w:val="nil"/>
              <w:bottom w:val="single" w:sz="4" w:space="0" w:color="auto"/>
              <w:right w:val="single" w:sz="4" w:space="0" w:color="auto"/>
            </w:tcBorders>
            <w:shd w:val="clear" w:color="auto" w:fill="auto"/>
            <w:vAlign w:val="center"/>
          </w:tcPr>
          <w:p w14:paraId="58CB789E" w14:textId="410B5152"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13</w:t>
            </w:r>
            <w:r w:rsidR="00F71BF8">
              <w:rPr>
                <w:sz w:val="16"/>
                <w:szCs w:val="18"/>
              </w:rPr>
              <w:t>,</w:t>
            </w:r>
            <w:r w:rsidRPr="00622F40">
              <w:rPr>
                <w:sz w:val="16"/>
                <w:szCs w:val="18"/>
              </w:rPr>
              <w:t>788</w:t>
            </w:r>
          </w:p>
        </w:tc>
        <w:tc>
          <w:tcPr>
            <w:tcW w:w="397" w:type="pct"/>
            <w:tcBorders>
              <w:top w:val="single" w:sz="4" w:space="0" w:color="auto"/>
              <w:left w:val="nil"/>
              <w:bottom w:val="single" w:sz="4" w:space="0" w:color="auto"/>
              <w:right w:val="single" w:sz="4" w:space="0" w:color="auto"/>
            </w:tcBorders>
            <w:shd w:val="clear" w:color="auto" w:fill="auto"/>
            <w:vAlign w:val="center"/>
          </w:tcPr>
          <w:p w14:paraId="10DF3186" w14:textId="6A3BA010"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10</w:t>
            </w:r>
            <w:r w:rsidR="00F71BF8">
              <w:rPr>
                <w:sz w:val="16"/>
                <w:szCs w:val="18"/>
              </w:rPr>
              <w:t>,</w:t>
            </w:r>
            <w:r w:rsidRPr="00622F40">
              <w:rPr>
                <w:sz w:val="16"/>
                <w:szCs w:val="18"/>
              </w:rPr>
              <w:t>571</w:t>
            </w:r>
          </w:p>
        </w:tc>
        <w:tc>
          <w:tcPr>
            <w:tcW w:w="397" w:type="pct"/>
            <w:tcBorders>
              <w:top w:val="single" w:sz="4" w:space="0" w:color="auto"/>
              <w:left w:val="nil"/>
              <w:bottom w:val="single" w:sz="4" w:space="0" w:color="auto"/>
              <w:right w:val="single" w:sz="4" w:space="0" w:color="auto"/>
            </w:tcBorders>
            <w:shd w:val="clear" w:color="auto" w:fill="auto"/>
            <w:vAlign w:val="center"/>
          </w:tcPr>
          <w:p w14:paraId="5D7B9946" w14:textId="0C786786"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w:t>
            </w:r>
            <w:r w:rsidR="00F71BF8">
              <w:rPr>
                <w:sz w:val="16"/>
                <w:szCs w:val="18"/>
              </w:rPr>
              <w:t>,</w:t>
            </w:r>
            <w:r w:rsidRPr="00622F40">
              <w:rPr>
                <w:sz w:val="16"/>
                <w:szCs w:val="18"/>
              </w:rPr>
              <w:t>807</w:t>
            </w:r>
          </w:p>
        </w:tc>
        <w:tc>
          <w:tcPr>
            <w:tcW w:w="397" w:type="pct"/>
            <w:tcBorders>
              <w:top w:val="single" w:sz="4" w:space="0" w:color="auto"/>
              <w:left w:val="nil"/>
              <w:bottom w:val="single" w:sz="4" w:space="0" w:color="auto"/>
              <w:right w:val="single" w:sz="4" w:space="0" w:color="auto"/>
            </w:tcBorders>
            <w:shd w:val="clear" w:color="auto" w:fill="auto"/>
            <w:vAlign w:val="center"/>
          </w:tcPr>
          <w:p w14:paraId="69B40A17" w14:textId="02282DC4"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9</w:t>
            </w:r>
            <w:r w:rsidR="00F71BF8">
              <w:rPr>
                <w:sz w:val="16"/>
                <w:szCs w:val="18"/>
              </w:rPr>
              <w:t>,</w:t>
            </w:r>
            <w:r w:rsidRPr="00622F40">
              <w:rPr>
                <w:sz w:val="16"/>
                <w:szCs w:val="18"/>
              </w:rPr>
              <w:t>865</w:t>
            </w:r>
          </w:p>
        </w:tc>
        <w:tc>
          <w:tcPr>
            <w:tcW w:w="397" w:type="pct"/>
            <w:tcBorders>
              <w:top w:val="single" w:sz="4" w:space="0" w:color="auto"/>
              <w:left w:val="nil"/>
              <w:bottom w:val="single" w:sz="4" w:space="0" w:color="auto"/>
              <w:right w:val="single" w:sz="4" w:space="0" w:color="auto"/>
            </w:tcBorders>
            <w:shd w:val="clear" w:color="auto" w:fill="auto"/>
            <w:vAlign w:val="center"/>
          </w:tcPr>
          <w:p w14:paraId="3AF3F144" w14:textId="5A706083"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11</w:t>
            </w:r>
            <w:r w:rsidR="00F71BF8">
              <w:rPr>
                <w:sz w:val="16"/>
                <w:szCs w:val="18"/>
              </w:rPr>
              <w:t>,</w:t>
            </w:r>
            <w:r w:rsidRPr="00622F40">
              <w:rPr>
                <w:sz w:val="16"/>
                <w:szCs w:val="18"/>
              </w:rPr>
              <w:t>769</w:t>
            </w:r>
          </w:p>
        </w:tc>
        <w:tc>
          <w:tcPr>
            <w:tcW w:w="397" w:type="pct"/>
            <w:tcBorders>
              <w:top w:val="single" w:sz="4" w:space="0" w:color="auto"/>
              <w:left w:val="nil"/>
              <w:bottom w:val="single" w:sz="4" w:space="0" w:color="auto"/>
              <w:right w:val="single" w:sz="4" w:space="0" w:color="auto"/>
            </w:tcBorders>
            <w:shd w:val="clear" w:color="auto" w:fill="auto"/>
            <w:vAlign w:val="center"/>
          </w:tcPr>
          <w:p w14:paraId="3B7BA089" w14:textId="24337728"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11</w:t>
            </w:r>
            <w:r w:rsidR="00F71BF8">
              <w:rPr>
                <w:sz w:val="16"/>
                <w:szCs w:val="18"/>
              </w:rPr>
              <w:t>,</w:t>
            </w:r>
            <w:r w:rsidRPr="00622F40">
              <w:rPr>
                <w:sz w:val="16"/>
                <w:szCs w:val="18"/>
              </w:rPr>
              <w:t>282</w:t>
            </w:r>
          </w:p>
        </w:tc>
        <w:tc>
          <w:tcPr>
            <w:tcW w:w="397" w:type="pct"/>
            <w:tcBorders>
              <w:top w:val="single" w:sz="4" w:space="0" w:color="auto"/>
              <w:left w:val="nil"/>
              <w:bottom w:val="single" w:sz="4" w:space="0" w:color="auto"/>
              <w:right w:val="single" w:sz="4" w:space="0" w:color="auto"/>
            </w:tcBorders>
            <w:shd w:val="clear" w:color="auto" w:fill="auto"/>
            <w:vAlign w:val="center"/>
          </w:tcPr>
          <w:p w14:paraId="10CA71A7" w14:textId="656F03C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8</w:t>
            </w:r>
            <w:r w:rsidR="00F71BF8">
              <w:rPr>
                <w:sz w:val="16"/>
                <w:szCs w:val="18"/>
              </w:rPr>
              <w:t>,</w:t>
            </w:r>
            <w:r w:rsidRPr="00622F40">
              <w:rPr>
                <w:sz w:val="16"/>
                <w:szCs w:val="18"/>
              </w:rPr>
              <w:t>752</w:t>
            </w:r>
          </w:p>
        </w:tc>
        <w:tc>
          <w:tcPr>
            <w:tcW w:w="397" w:type="pct"/>
            <w:tcBorders>
              <w:top w:val="single" w:sz="4" w:space="0" w:color="auto"/>
              <w:left w:val="nil"/>
              <w:bottom w:val="single" w:sz="4" w:space="0" w:color="auto"/>
              <w:right w:val="single" w:sz="4" w:space="0" w:color="auto"/>
            </w:tcBorders>
            <w:shd w:val="clear" w:color="auto" w:fill="auto"/>
            <w:vAlign w:val="center"/>
          </w:tcPr>
          <w:p w14:paraId="4176CAE4" w14:textId="6EF11015"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12</w:t>
            </w:r>
            <w:r w:rsidR="00F71BF8">
              <w:rPr>
                <w:sz w:val="16"/>
                <w:szCs w:val="18"/>
              </w:rPr>
              <w:t>,</w:t>
            </w:r>
            <w:r w:rsidRPr="00622F40">
              <w:rPr>
                <w:sz w:val="16"/>
                <w:szCs w:val="18"/>
              </w:rPr>
              <w:t>783</w:t>
            </w:r>
          </w:p>
        </w:tc>
        <w:tc>
          <w:tcPr>
            <w:tcW w:w="397" w:type="pct"/>
            <w:tcBorders>
              <w:top w:val="single" w:sz="4" w:space="0" w:color="auto"/>
              <w:left w:val="nil"/>
              <w:bottom w:val="single" w:sz="4" w:space="0" w:color="auto"/>
              <w:right w:val="single" w:sz="4" w:space="0" w:color="auto"/>
            </w:tcBorders>
            <w:shd w:val="clear" w:color="auto" w:fill="auto"/>
            <w:vAlign w:val="center"/>
          </w:tcPr>
          <w:p w14:paraId="055261A7" w14:textId="3102DC35"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8</w:t>
            </w:r>
            <w:r w:rsidR="00F71BF8">
              <w:rPr>
                <w:sz w:val="16"/>
                <w:szCs w:val="18"/>
              </w:rPr>
              <w:t>,</w:t>
            </w:r>
            <w:r w:rsidRPr="00622F40">
              <w:rPr>
                <w:sz w:val="16"/>
                <w:szCs w:val="18"/>
              </w:rPr>
              <w:t>756</w:t>
            </w:r>
          </w:p>
        </w:tc>
        <w:tc>
          <w:tcPr>
            <w:tcW w:w="397" w:type="pct"/>
            <w:tcBorders>
              <w:top w:val="single" w:sz="4" w:space="0" w:color="auto"/>
              <w:left w:val="nil"/>
              <w:bottom w:val="single" w:sz="4" w:space="0" w:color="auto"/>
              <w:right w:val="single" w:sz="4" w:space="0" w:color="auto"/>
            </w:tcBorders>
            <w:shd w:val="clear" w:color="auto" w:fill="auto"/>
            <w:vAlign w:val="center"/>
          </w:tcPr>
          <w:p w14:paraId="4478E875" w14:textId="55C6AA5B"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10</w:t>
            </w:r>
            <w:r w:rsidR="00F71BF8">
              <w:rPr>
                <w:sz w:val="16"/>
                <w:szCs w:val="18"/>
              </w:rPr>
              <w:t>,</w:t>
            </w:r>
            <w:r w:rsidRPr="00622F40">
              <w:rPr>
                <w:sz w:val="16"/>
                <w:szCs w:val="18"/>
              </w:rPr>
              <w:t>028</w:t>
            </w:r>
          </w:p>
        </w:tc>
      </w:tr>
      <w:tr w:rsidR="00CF33C0" w:rsidRPr="00155CA1" w14:paraId="0475188A" w14:textId="076E6153"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91E7C"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Soap &amp; Detergents</w:t>
            </w:r>
          </w:p>
        </w:tc>
        <w:tc>
          <w:tcPr>
            <w:tcW w:w="397" w:type="pct"/>
            <w:tcBorders>
              <w:top w:val="single" w:sz="4" w:space="0" w:color="auto"/>
              <w:left w:val="nil"/>
              <w:bottom w:val="single" w:sz="4" w:space="0" w:color="auto"/>
              <w:right w:val="single" w:sz="4" w:space="0" w:color="auto"/>
            </w:tcBorders>
            <w:shd w:val="clear" w:color="auto" w:fill="auto"/>
            <w:vAlign w:val="center"/>
          </w:tcPr>
          <w:p w14:paraId="4E136CCA" w14:textId="41823B60"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80</w:t>
            </w:r>
            <w:r w:rsidR="00F71BF8">
              <w:rPr>
                <w:sz w:val="16"/>
                <w:szCs w:val="18"/>
              </w:rPr>
              <w:t>,</w:t>
            </w:r>
            <w:r w:rsidRPr="00622F40">
              <w:rPr>
                <w:sz w:val="16"/>
                <w:szCs w:val="18"/>
              </w:rPr>
              <w:t>427</w:t>
            </w:r>
          </w:p>
        </w:tc>
        <w:tc>
          <w:tcPr>
            <w:tcW w:w="397" w:type="pct"/>
            <w:tcBorders>
              <w:top w:val="single" w:sz="4" w:space="0" w:color="auto"/>
              <w:left w:val="nil"/>
              <w:bottom w:val="single" w:sz="4" w:space="0" w:color="auto"/>
              <w:right w:val="single" w:sz="4" w:space="0" w:color="auto"/>
            </w:tcBorders>
            <w:shd w:val="clear" w:color="auto" w:fill="auto"/>
            <w:vAlign w:val="center"/>
          </w:tcPr>
          <w:p w14:paraId="5A415108" w14:textId="3C2CB54E"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47</w:t>
            </w:r>
            <w:r w:rsidR="00F71BF8">
              <w:rPr>
                <w:sz w:val="16"/>
                <w:szCs w:val="18"/>
              </w:rPr>
              <w:t>,</w:t>
            </w:r>
            <w:r w:rsidRPr="00622F40">
              <w:rPr>
                <w:sz w:val="16"/>
                <w:szCs w:val="18"/>
              </w:rPr>
              <w:t>893</w:t>
            </w:r>
          </w:p>
        </w:tc>
        <w:tc>
          <w:tcPr>
            <w:tcW w:w="397" w:type="pct"/>
            <w:tcBorders>
              <w:top w:val="single" w:sz="4" w:space="0" w:color="auto"/>
              <w:left w:val="nil"/>
              <w:bottom w:val="single" w:sz="4" w:space="0" w:color="auto"/>
              <w:right w:val="single" w:sz="4" w:space="0" w:color="auto"/>
            </w:tcBorders>
            <w:shd w:val="clear" w:color="auto" w:fill="auto"/>
            <w:vAlign w:val="center"/>
          </w:tcPr>
          <w:p w14:paraId="16CE7CF8" w14:textId="1A344C9A"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71</w:t>
            </w:r>
            <w:r w:rsidR="00F71BF8">
              <w:rPr>
                <w:sz w:val="16"/>
                <w:szCs w:val="18"/>
              </w:rPr>
              <w:t>,</w:t>
            </w:r>
            <w:r w:rsidRPr="00622F40">
              <w:rPr>
                <w:sz w:val="16"/>
                <w:szCs w:val="18"/>
              </w:rPr>
              <w:t>709</w:t>
            </w:r>
          </w:p>
        </w:tc>
        <w:tc>
          <w:tcPr>
            <w:tcW w:w="397" w:type="pct"/>
            <w:tcBorders>
              <w:top w:val="single" w:sz="4" w:space="0" w:color="auto"/>
              <w:left w:val="nil"/>
              <w:bottom w:val="single" w:sz="4" w:space="0" w:color="auto"/>
              <w:right w:val="single" w:sz="4" w:space="0" w:color="auto"/>
            </w:tcBorders>
            <w:shd w:val="clear" w:color="auto" w:fill="auto"/>
            <w:vAlign w:val="center"/>
          </w:tcPr>
          <w:p w14:paraId="0A9D0080" w14:textId="636B6C8F"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46</w:t>
            </w:r>
            <w:r w:rsidR="00F71BF8">
              <w:rPr>
                <w:sz w:val="16"/>
                <w:szCs w:val="18"/>
              </w:rPr>
              <w:t>,</w:t>
            </w:r>
            <w:r w:rsidRPr="00622F40">
              <w:rPr>
                <w:sz w:val="16"/>
                <w:szCs w:val="18"/>
              </w:rPr>
              <w:t>404</w:t>
            </w:r>
          </w:p>
        </w:tc>
        <w:tc>
          <w:tcPr>
            <w:tcW w:w="397" w:type="pct"/>
            <w:tcBorders>
              <w:top w:val="single" w:sz="4" w:space="0" w:color="auto"/>
              <w:left w:val="nil"/>
              <w:bottom w:val="single" w:sz="4" w:space="0" w:color="auto"/>
              <w:right w:val="single" w:sz="4" w:space="0" w:color="auto"/>
            </w:tcBorders>
            <w:shd w:val="clear" w:color="auto" w:fill="auto"/>
            <w:vAlign w:val="center"/>
          </w:tcPr>
          <w:p w14:paraId="4428F023" w14:textId="2B30A821"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41</w:t>
            </w:r>
            <w:r w:rsidR="00F71BF8">
              <w:rPr>
                <w:sz w:val="16"/>
                <w:szCs w:val="18"/>
              </w:rPr>
              <w:t>,</w:t>
            </w:r>
            <w:r w:rsidRPr="00622F40">
              <w:rPr>
                <w:sz w:val="16"/>
                <w:szCs w:val="18"/>
              </w:rPr>
              <w:t>226</w:t>
            </w:r>
          </w:p>
        </w:tc>
        <w:tc>
          <w:tcPr>
            <w:tcW w:w="397" w:type="pct"/>
            <w:tcBorders>
              <w:top w:val="single" w:sz="4" w:space="0" w:color="auto"/>
              <w:left w:val="nil"/>
              <w:bottom w:val="single" w:sz="4" w:space="0" w:color="auto"/>
              <w:right w:val="single" w:sz="4" w:space="0" w:color="auto"/>
            </w:tcBorders>
            <w:shd w:val="clear" w:color="auto" w:fill="auto"/>
            <w:vAlign w:val="center"/>
          </w:tcPr>
          <w:p w14:paraId="71914D0C" w14:textId="04AECF56"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51</w:t>
            </w:r>
            <w:r w:rsidR="00F71BF8">
              <w:rPr>
                <w:sz w:val="16"/>
                <w:szCs w:val="18"/>
              </w:rPr>
              <w:t>,</w:t>
            </w:r>
            <w:r w:rsidRPr="00622F40">
              <w:rPr>
                <w:sz w:val="16"/>
                <w:szCs w:val="18"/>
              </w:rPr>
              <w:t>129</w:t>
            </w:r>
          </w:p>
        </w:tc>
        <w:tc>
          <w:tcPr>
            <w:tcW w:w="397" w:type="pct"/>
            <w:tcBorders>
              <w:top w:val="single" w:sz="4" w:space="0" w:color="auto"/>
              <w:left w:val="nil"/>
              <w:bottom w:val="single" w:sz="4" w:space="0" w:color="auto"/>
              <w:right w:val="single" w:sz="4" w:space="0" w:color="auto"/>
            </w:tcBorders>
            <w:shd w:val="clear" w:color="auto" w:fill="auto"/>
            <w:vAlign w:val="center"/>
          </w:tcPr>
          <w:p w14:paraId="6E45B97F" w14:textId="4154C572"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61</w:t>
            </w:r>
            <w:r w:rsidR="00F71BF8">
              <w:rPr>
                <w:sz w:val="16"/>
                <w:szCs w:val="18"/>
              </w:rPr>
              <w:t>,</w:t>
            </w:r>
            <w:r w:rsidRPr="00622F40">
              <w:rPr>
                <w:sz w:val="16"/>
                <w:szCs w:val="18"/>
              </w:rPr>
              <w:t>679</w:t>
            </w:r>
          </w:p>
        </w:tc>
        <w:tc>
          <w:tcPr>
            <w:tcW w:w="397" w:type="pct"/>
            <w:tcBorders>
              <w:top w:val="single" w:sz="4" w:space="0" w:color="auto"/>
              <w:left w:val="nil"/>
              <w:bottom w:val="single" w:sz="4" w:space="0" w:color="auto"/>
              <w:right w:val="single" w:sz="4" w:space="0" w:color="auto"/>
            </w:tcBorders>
            <w:shd w:val="clear" w:color="auto" w:fill="auto"/>
            <w:vAlign w:val="center"/>
          </w:tcPr>
          <w:p w14:paraId="03EA2BF6" w14:textId="6C2790E3"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76</w:t>
            </w:r>
            <w:r w:rsidR="00F71BF8">
              <w:rPr>
                <w:sz w:val="16"/>
                <w:szCs w:val="18"/>
              </w:rPr>
              <w:t>,</w:t>
            </w:r>
            <w:r w:rsidRPr="00622F40">
              <w:rPr>
                <w:sz w:val="16"/>
                <w:szCs w:val="18"/>
              </w:rPr>
              <w:t>870</w:t>
            </w:r>
          </w:p>
        </w:tc>
        <w:tc>
          <w:tcPr>
            <w:tcW w:w="397" w:type="pct"/>
            <w:tcBorders>
              <w:top w:val="single" w:sz="4" w:space="0" w:color="auto"/>
              <w:left w:val="nil"/>
              <w:bottom w:val="single" w:sz="4" w:space="0" w:color="auto"/>
              <w:right w:val="single" w:sz="4" w:space="0" w:color="auto"/>
            </w:tcBorders>
            <w:shd w:val="clear" w:color="auto" w:fill="auto"/>
            <w:vAlign w:val="center"/>
          </w:tcPr>
          <w:p w14:paraId="49A5225B" w14:textId="44EE3293"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71</w:t>
            </w:r>
            <w:r w:rsidR="00F71BF8">
              <w:rPr>
                <w:sz w:val="16"/>
                <w:szCs w:val="18"/>
              </w:rPr>
              <w:t>,</w:t>
            </w:r>
            <w:r w:rsidRPr="00622F40">
              <w:rPr>
                <w:sz w:val="16"/>
                <w:szCs w:val="18"/>
              </w:rPr>
              <w:t>107</w:t>
            </w:r>
          </w:p>
        </w:tc>
        <w:tc>
          <w:tcPr>
            <w:tcW w:w="397" w:type="pct"/>
            <w:tcBorders>
              <w:top w:val="single" w:sz="4" w:space="0" w:color="auto"/>
              <w:left w:val="nil"/>
              <w:bottom w:val="single" w:sz="4" w:space="0" w:color="auto"/>
              <w:right w:val="single" w:sz="4" w:space="0" w:color="auto"/>
            </w:tcBorders>
            <w:shd w:val="clear" w:color="auto" w:fill="auto"/>
            <w:vAlign w:val="center"/>
          </w:tcPr>
          <w:p w14:paraId="5F23DA6B" w14:textId="011710A4"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57</w:t>
            </w:r>
            <w:r w:rsidR="00F71BF8">
              <w:rPr>
                <w:sz w:val="16"/>
                <w:szCs w:val="18"/>
              </w:rPr>
              <w:t>,</w:t>
            </w:r>
            <w:r w:rsidRPr="00622F40">
              <w:rPr>
                <w:sz w:val="16"/>
                <w:szCs w:val="18"/>
              </w:rPr>
              <w:t>261</w:t>
            </w:r>
          </w:p>
        </w:tc>
        <w:tc>
          <w:tcPr>
            <w:tcW w:w="397" w:type="pct"/>
            <w:tcBorders>
              <w:top w:val="single" w:sz="4" w:space="0" w:color="auto"/>
              <w:left w:val="nil"/>
              <w:bottom w:val="single" w:sz="4" w:space="0" w:color="auto"/>
              <w:right w:val="single" w:sz="4" w:space="0" w:color="auto"/>
            </w:tcBorders>
            <w:shd w:val="clear" w:color="auto" w:fill="auto"/>
            <w:vAlign w:val="center"/>
          </w:tcPr>
          <w:p w14:paraId="7D7F2125" w14:textId="6CE611E2"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51</w:t>
            </w:r>
            <w:r w:rsidR="00F71BF8">
              <w:rPr>
                <w:sz w:val="16"/>
                <w:szCs w:val="18"/>
              </w:rPr>
              <w:t>,</w:t>
            </w:r>
            <w:r w:rsidRPr="00622F40">
              <w:rPr>
                <w:sz w:val="16"/>
                <w:szCs w:val="18"/>
              </w:rPr>
              <w:t>144</w:t>
            </w:r>
          </w:p>
        </w:tc>
      </w:tr>
      <w:tr w:rsidR="00CF33C0" w:rsidRPr="00155CA1" w14:paraId="54DF7EBE" w14:textId="6382F258"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B2BF8"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Starch Production</w:t>
            </w:r>
          </w:p>
        </w:tc>
        <w:tc>
          <w:tcPr>
            <w:tcW w:w="397" w:type="pct"/>
            <w:tcBorders>
              <w:top w:val="single" w:sz="4" w:space="0" w:color="auto"/>
              <w:left w:val="nil"/>
              <w:bottom w:val="single" w:sz="4" w:space="0" w:color="auto"/>
              <w:right w:val="single" w:sz="4" w:space="0" w:color="auto"/>
            </w:tcBorders>
            <w:shd w:val="clear" w:color="auto" w:fill="auto"/>
            <w:vAlign w:val="center"/>
          </w:tcPr>
          <w:p w14:paraId="481287A9" w14:textId="5148EEAF"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101</w:t>
            </w:r>
            <w:r w:rsidR="00F71BF8">
              <w:rPr>
                <w:sz w:val="16"/>
                <w:szCs w:val="18"/>
              </w:rPr>
              <w:t>,</w:t>
            </w:r>
            <w:r w:rsidRPr="00622F40">
              <w:rPr>
                <w:sz w:val="16"/>
                <w:szCs w:val="18"/>
              </w:rPr>
              <w:t>710</w:t>
            </w:r>
          </w:p>
        </w:tc>
        <w:tc>
          <w:tcPr>
            <w:tcW w:w="397" w:type="pct"/>
            <w:tcBorders>
              <w:top w:val="single" w:sz="4" w:space="0" w:color="auto"/>
              <w:left w:val="nil"/>
              <w:bottom w:val="single" w:sz="4" w:space="0" w:color="auto"/>
              <w:right w:val="single" w:sz="4" w:space="0" w:color="auto"/>
            </w:tcBorders>
            <w:shd w:val="clear" w:color="auto" w:fill="auto"/>
            <w:vAlign w:val="center"/>
          </w:tcPr>
          <w:p w14:paraId="09EB2B93" w14:textId="75F97E05"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77</w:t>
            </w:r>
            <w:r w:rsidR="00F71BF8">
              <w:rPr>
                <w:sz w:val="16"/>
                <w:szCs w:val="18"/>
              </w:rPr>
              <w:t>,</w:t>
            </w:r>
            <w:r w:rsidRPr="00622F40">
              <w:rPr>
                <w:sz w:val="16"/>
                <w:szCs w:val="18"/>
              </w:rPr>
              <w:t>114</w:t>
            </w:r>
          </w:p>
        </w:tc>
        <w:tc>
          <w:tcPr>
            <w:tcW w:w="397" w:type="pct"/>
            <w:tcBorders>
              <w:top w:val="single" w:sz="4" w:space="0" w:color="auto"/>
              <w:left w:val="nil"/>
              <w:bottom w:val="single" w:sz="4" w:space="0" w:color="auto"/>
              <w:right w:val="single" w:sz="4" w:space="0" w:color="auto"/>
            </w:tcBorders>
            <w:shd w:val="clear" w:color="auto" w:fill="auto"/>
            <w:vAlign w:val="center"/>
          </w:tcPr>
          <w:p w14:paraId="1DF35D54" w14:textId="7F648CD5"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73</w:t>
            </w:r>
            <w:r w:rsidR="00F71BF8">
              <w:rPr>
                <w:sz w:val="16"/>
                <w:szCs w:val="18"/>
              </w:rPr>
              <w:t>,</w:t>
            </w:r>
            <w:r w:rsidRPr="00622F40">
              <w:rPr>
                <w:sz w:val="16"/>
                <w:szCs w:val="18"/>
              </w:rPr>
              <w:t>172</w:t>
            </w:r>
          </w:p>
        </w:tc>
        <w:tc>
          <w:tcPr>
            <w:tcW w:w="397" w:type="pct"/>
            <w:tcBorders>
              <w:top w:val="single" w:sz="4" w:space="0" w:color="auto"/>
              <w:left w:val="nil"/>
              <w:bottom w:val="single" w:sz="4" w:space="0" w:color="auto"/>
              <w:right w:val="single" w:sz="4" w:space="0" w:color="auto"/>
            </w:tcBorders>
            <w:shd w:val="clear" w:color="auto" w:fill="auto"/>
            <w:vAlign w:val="center"/>
          </w:tcPr>
          <w:p w14:paraId="1C501877" w14:textId="4F7BD3DE"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37</w:t>
            </w:r>
            <w:r w:rsidR="00F71BF8">
              <w:rPr>
                <w:sz w:val="16"/>
                <w:szCs w:val="18"/>
              </w:rPr>
              <w:t>,</w:t>
            </w:r>
            <w:r w:rsidRPr="00622F40">
              <w:rPr>
                <w:sz w:val="16"/>
                <w:szCs w:val="18"/>
              </w:rPr>
              <w:t>903</w:t>
            </w:r>
          </w:p>
        </w:tc>
        <w:tc>
          <w:tcPr>
            <w:tcW w:w="397" w:type="pct"/>
            <w:tcBorders>
              <w:top w:val="single" w:sz="4" w:space="0" w:color="auto"/>
              <w:left w:val="nil"/>
              <w:bottom w:val="single" w:sz="4" w:space="0" w:color="auto"/>
              <w:right w:val="single" w:sz="4" w:space="0" w:color="auto"/>
            </w:tcBorders>
            <w:shd w:val="clear" w:color="auto" w:fill="auto"/>
            <w:vAlign w:val="center"/>
          </w:tcPr>
          <w:p w14:paraId="47C74281" w14:textId="5C7BDBAA"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70</w:t>
            </w:r>
            <w:r w:rsidR="00F71BF8">
              <w:rPr>
                <w:sz w:val="16"/>
                <w:szCs w:val="18"/>
              </w:rPr>
              <w:t>,</w:t>
            </w:r>
            <w:r w:rsidRPr="00622F40">
              <w:rPr>
                <w:sz w:val="16"/>
                <w:szCs w:val="18"/>
              </w:rPr>
              <w:t>921</w:t>
            </w:r>
          </w:p>
        </w:tc>
        <w:tc>
          <w:tcPr>
            <w:tcW w:w="397" w:type="pct"/>
            <w:tcBorders>
              <w:top w:val="single" w:sz="4" w:space="0" w:color="auto"/>
              <w:left w:val="nil"/>
              <w:bottom w:val="single" w:sz="4" w:space="0" w:color="auto"/>
              <w:right w:val="single" w:sz="4" w:space="0" w:color="auto"/>
            </w:tcBorders>
            <w:shd w:val="clear" w:color="auto" w:fill="auto"/>
            <w:vAlign w:val="center"/>
          </w:tcPr>
          <w:p w14:paraId="424F2E52" w14:textId="16A6F7CE"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51</w:t>
            </w:r>
            <w:r w:rsidR="00F71BF8">
              <w:rPr>
                <w:sz w:val="16"/>
                <w:szCs w:val="18"/>
              </w:rPr>
              <w:t>,</w:t>
            </w:r>
            <w:r w:rsidRPr="00622F40">
              <w:rPr>
                <w:sz w:val="16"/>
                <w:szCs w:val="18"/>
              </w:rPr>
              <w:t>811</w:t>
            </w:r>
          </w:p>
        </w:tc>
        <w:tc>
          <w:tcPr>
            <w:tcW w:w="397" w:type="pct"/>
            <w:tcBorders>
              <w:top w:val="single" w:sz="4" w:space="0" w:color="auto"/>
              <w:left w:val="nil"/>
              <w:bottom w:val="single" w:sz="4" w:space="0" w:color="auto"/>
              <w:right w:val="single" w:sz="4" w:space="0" w:color="auto"/>
            </w:tcBorders>
            <w:shd w:val="clear" w:color="auto" w:fill="auto"/>
            <w:vAlign w:val="center"/>
          </w:tcPr>
          <w:p w14:paraId="72B0E95C" w14:textId="1E7D54A8"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43</w:t>
            </w:r>
            <w:r w:rsidR="00F71BF8">
              <w:rPr>
                <w:sz w:val="16"/>
                <w:szCs w:val="18"/>
              </w:rPr>
              <w:t>,</w:t>
            </w:r>
            <w:r w:rsidRPr="00622F40">
              <w:rPr>
                <w:sz w:val="16"/>
                <w:szCs w:val="18"/>
              </w:rPr>
              <w:t>377</w:t>
            </w:r>
          </w:p>
        </w:tc>
        <w:tc>
          <w:tcPr>
            <w:tcW w:w="397" w:type="pct"/>
            <w:tcBorders>
              <w:top w:val="single" w:sz="4" w:space="0" w:color="auto"/>
              <w:left w:val="nil"/>
              <w:bottom w:val="single" w:sz="4" w:space="0" w:color="auto"/>
              <w:right w:val="single" w:sz="4" w:space="0" w:color="auto"/>
            </w:tcBorders>
            <w:shd w:val="clear" w:color="auto" w:fill="auto"/>
            <w:vAlign w:val="center"/>
          </w:tcPr>
          <w:p w14:paraId="07F56C01" w14:textId="49257B0F"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32</w:t>
            </w:r>
            <w:r w:rsidR="00F71BF8">
              <w:rPr>
                <w:sz w:val="16"/>
                <w:szCs w:val="18"/>
              </w:rPr>
              <w:t>,</w:t>
            </w:r>
            <w:r w:rsidRPr="00622F40">
              <w:rPr>
                <w:sz w:val="16"/>
                <w:szCs w:val="18"/>
              </w:rPr>
              <w:t>351</w:t>
            </w:r>
          </w:p>
        </w:tc>
        <w:tc>
          <w:tcPr>
            <w:tcW w:w="397" w:type="pct"/>
            <w:tcBorders>
              <w:top w:val="single" w:sz="4" w:space="0" w:color="auto"/>
              <w:left w:val="nil"/>
              <w:bottom w:val="single" w:sz="4" w:space="0" w:color="auto"/>
              <w:right w:val="single" w:sz="4" w:space="0" w:color="auto"/>
            </w:tcBorders>
            <w:shd w:val="clear" w:color="auto" w:fill="auto"/>
            <w:vAlign w:val="center"/>
          </w:tcPr>
          <w:p w14:paraId="6D3D2652" w14:textId="3DEED9F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45</w:t>
            </w:r>
            <w:r w:rsidR="00F71BF8">
              <w:rPr>
                <w:sz w:val="16"/>
                <w:szCs w:val="18"/>
              </w:rPr>
              <w:t>,</w:t>
            </w:r>
            <w:r w:rsidRPr="00622F40">
              <w:rPr>
                <w:sz w:val="16"/>
                <w:szCs w:val="18"/>
              </w:rPr>
              <w:t>465</w:t>
            </w:r>
          </w:p>
        </w:tc>
        <w:tc>
          <w:tcPr>
            <w:tcW w:w="397" w:type="pct"/>
            <w:tcBorders>
              <w:top w:val="single" w:sz="4" w:space="0" w:color="auto"/>
              <w:left w:val="nil"/>
              <w:bottom w:val="single" w:sz="4" w:space="0" w:color="auto"/>
              <w:right w:val="single" w:sz="4" w:space="0" w:color="auto"/>
            </w:tcBorders>
            <w:shd w:val="clear" w:color="auto" w:fill="auto"/>
            <w:vAlign w:val="center"/>
          </w:tcPr>
          <w:p w14:paraId="5DF40E53" w14:textId="0F2CF20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40</w:t>
            </w:r>
            <w:r w:rsidR="00F71BF8">
              <w:rPr>
                <w:sz w:val="16"/>
                <w:szCs w:val="18"/>
              </w:rPr>
              <w:t>,</w:t>
            </w:r>
            <w:r w:rsidRPr="00622F40">
              <w:rPr>
                <w:sz w:val="16"/>
                <w:szCs w:val="18"/>
              </w:rPr>
              <w:t>418</w:t>
            </w:r>
          </w:p>
        </w:tc>
        <w:tc>
          <w:tcPr>
            <w:tcW w:w="397" w:type="pct"/>
            <w:tcBorders>
              <w:top w:val="single" w:sz="4" w:space="0" w:color="auto"/>
              <w:left w:val="nil"/>
              <w:bottom w:val="single" w:sz="4" w:space="0" w:color="auto"/>
              <w:right w:val="single" w:sz="4" w:space="0" w:color="auto"/>
            </w:tcBorders>
            <w:shd w:val="clear" w:color="auto" w:fill="auto"/>
            <w:vAlign w:val="center"/>
          </w:tcPr>
          <w:p w14:paraId="76D66DC6" w14:textId="4A4E0F2C"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47</w:t>
            </w:r>
            <w:r w:rsidR="00F71BF8">
              <w:rPr>
                <w:sz w:val="16"/>
                <w:szCs w:val="18"/>
              </w:rPr>
              <w:t>,</w:t>
            </w:r>
            <w:r w:rsidRPr="00622F40">
              <w:rPr>
                <w:sz w:val="16"/>
                <w:szCs w:val="18"/>
              </w:rPr>
              <w:t>449</w:t>
            </w:r>
          </w:p>
        </w:tc>
      </w:tr>
      <w:tr w:rsidR="00CF33C0" w:rsidRPr="00155CA1" w14:paraId="34FC6A1B" w14:textId="30ACF8A0"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0E1259"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Sugar Refining</w:t>
            </w:r>
          </w:p>
        </w:tc>
        <w:tc>
          <w:tcPr>
            <w:tcW w:w="397" w:type="pct"/>
            <w:tcBorders>
              <w:top w:val="single" w:sz="4" w:space="0" w:color="auto"/>
              <w:left w:val="nil"/>
              <w:bottom w:val="single" w:sz="4" w:space="0" w:color="auto"/>
              <w:right w:val="single" w:sz="4" w:space="0" w:color="auto"/>
            </w:tcBorders>
            <w:shd w:val="clear" w:color="auto" w:fill="auto"/>
            <w:vAlign w:val="center"/>
          </w:tcPr>
          <w:p w14:paraId="3FE29335" w14:textId="2FA8E4E6"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619</w:t>
            </w:r>
            <w:r w:rsidR="00F71BF8">
              <w:rPr>
                <w:sz w:val="16"/>
                <w:szCs w:val="18"/>
              </w:rPr>
              <w:t>,</w:t>
            </w:r>
            <w:r w:rsidRPr="00622F40">
              <w:rPr>
                <w:sz w:val="16"/>
                <w:szCs w:val="18"/>
              </w:rPr>
              <w:t>213</w:t>
            </w:r>
          </w:p>
        </w:tc>
        <w:tc>
          <w:tcPr>
            <w:tcW w:w="397" w:type="pct"/>
            <w:tcBorders>
              <w:top w:val="single" w:sz="4" w:space="0" w:color="auto"/>
              <w:left w:val="nil"/>
              <w:bottom w:val="single" w:sz="4" w:space="0" w:color="auto"/>
              <w:right w:val="single" w:sz="4" w:space="0" w:color="auto"/>
            </w:tcBorders>
            <w:shd w:val="clear" w:color="auto" w:fill="auto"/>
            <w:vAlign w:val="center"/>
          </w:tcPr>
          <w:p w14:paraId="72363EE7" w14:textId="7D622431"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469</w:t>
            </w:r>
            <w:r w:rsidR="00F71BF8">
              <w:rPr>
                <w:sz w:val="16"/>
                <w:szCs w:val="18"/>
              </w:rPr>
              <w:t>,</w:t>
            </w:r>
            <w:r w:rsidRPr="00622F40">
              <w:rPr>
                <w:sz w:val="16"/>
                <w:szCs w:val="18"/>
              </w:rPr>
              <w:t>520</w:t>
            </w:r>
          </w:p>
        </w:tc>
        <w:tc>
          <w:tcPr>
            <w:tcW w:w="397" w:type="pct"/>
            <w:tcBorders>
              <w:top w:val="single" w:sz="4" w:space="0" w:color="auto"/>
              <w:left w:val="nil"/>
              <w:bottom w:val="single" w:sz="4" w:space="0" w:color="auto"/>
              <w:right w:val="single" w:sz="4" w:space="0" w:color="auto"/>
            </w:tcBorders>
            <w:shd w:val="clear" w:color="auto" w:fill="auto"/>
            <w:vAlign w:val="center"/>
          </w:tcPr>
          <w:p w14:paraId="26181E47" w14:textId="3913676F"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314</w:t>
            </w:r>
            <w:r w:rsidR="00F71BF8">
              <w:rPr>
                <w:sz w:val="16"/>
                <w:szCs w:val="18"/>
              </w:rPr>
              <w:t>,</w:t>
            </w:r>
            <w:r w:rsidRPr="00622F40">
              <w:rPr>
                <w:sz w:val="16"/>
                <w:szCs w:val="18"/>
              </w:rPr>
              <w:t>227</w:t>
            </w:r>
          </w:p>
        </w:tc>
        <w:tc>
          <w:tcPr>
            <w:tcW w:w="397" w:type="pct"/>
            <w:tcBorders>
              <w:top w:val="single" w:sz="4" w:space="0" w:color="auto"/>
              <w:left w:val="nil"/>
              <w:bottom w:val="single" w:sz="4" w:space="0" w:color="auto"/>
              <w:right w:val="single" w:sz="4" w:space="0" w:color="auto"/>
            </w:tcBorders>
            <w:shd w:val="clear" w:color="auto" w:fill="auto"/>
            <w:vAlign w:val="center"/>
          </w:tcPr>
          <w:p w14:paraId="064E551A" w14:textId="3873DC13"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126</w:t>
            </w:r>
            <w:r w:rsidR="00F71BF8">
              <w:rPr>
                <w:sz w:val="16"/>
                <w:szCs w:val="18"/>
              </w:rPr>
              <w:t>,</w:t>
            </w:r>
            <w:r w:rsidRPr="00622F40">
              <w:rPr>
                <w:sz w:val="16"/>
                <w:szCs w:val="18"/>
              </w:rPr>
              <w:t>646</w:t>
            </w:r>
          </w:p>
        </w:tc>
        <w:tc>
          <w:tcPr>
            <w:tcW w:w="397" w:type="pct"/>
            <w:tcBorders>
              <w:top w:val="single" w:sz="4" w:space="0" w:color="auto"/>
              <w:left w:val="nil"/>
              <w:bottom w:val="single" w:sz="4" w:space="0" w:color="auto"/>
              <w:right w:val="single" w:sz="4" w:space="0" w:color="auto"/>
            </w:tcBorders>
            <w:shd w:val="clear" w:color="auto" w:fill="auto"/>
            <w:vAlign w:val="center"/>
          </w:tcPr>
          <w:p w14:paraId="0623689E" w14:textId="4FCE9B12"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209</w:t>
            </w:r>
            <w:r w:rsidR="00F71BF8">
              <w:rPr>
                <w:sz w:val="16"/>
                <w:szCs w:val="18"/>
              </w:rPr>
              <w:t>,</w:t>
            </w:r>
            <w:r w:rsidRPr="00622F40">
              <w:rPr>
                <w:sz w:val="16"/>
                <w:szCs w:val="18"/>
              </w:rPr>
              <w:t>964</w:t>
            </w:r>
          </w:p>
        </w:tc>
        <w:tc>
          <w:tcPr>
            <w:tcW w:w="397" w:type="pct"/>
            <w:tcBorders>
              <w:top w:val="single" w:sz="4" w:space="0" w:color="auto"/>
              <w:left w:val="nil"/>
              <w:bottom w:val="single" w:sz="4" w:space="0" w:color="auto"/>
              <w:right w:val="single" w:sz="4" w:space="0" w:color="auto"/>
            </w:tcBorders>
            <w:shd w:val="clear" w:color="auto" w:fill="auto"/>
            <w:vAlign w:val="center"/>
          </w:tcPr>
          <w:p w14:paraId="17712249" w14:textId="441FD708"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155</w:t>
            </w:r>
            <w:r w:rsidR="00F71BF8">
              <w:rPr>
                <w:sz w:val="16"/>
                <w:szCs w:val="18"/>
              </w:rPr>
              <w:t>,</w:t>
            </w:r>
            <w:r w:rsidRPr="00622F40">
              <w:rPr>
                <w:sz w:val="16"/>
                <w:szCs w:val="18"/>
              </w:rPr>
              <w:t>750</w:t>
            </w:r>
          </w:p>
        </w:tc>
        <w:tc>
          <w:tcPr>
            <w:tcW w:w="397" w:type="pct"/>
            <w:tcBorders>
              <w:top w:val="single" w:sz="4" w:space="0" w:color="auto"/>
              <w:left w:val="nil"/>
              <w:bottom w:val="single" w:sz="4" w:space="0" w:color="auto"/>
              <w:right w:val="single" w:sz="4" w:space="0" w:color="auto"/>
            </w:tcBorders>
            <w:shd w:val="clear" w:color="auto" w:fill="auto"/>
            <w:vAlign w:val="center"/>
          </w:tcPr>
          <w:p w14:paraId="6A3CF66D" w14:textId="1489316A"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382</w:t>
            </w:r>
            <w:r w:rsidR="00F71BF8">
              <w:rPr>
                <w:sz w:val="16"/>
                <w:szCs w:val="18"/>
              </w:rPr>
              <w:t>,</w:t>
            </w:r>
            <w:r w:rsidRPr="00622F40">
              <w:rPr>
                <w:sz w:val="16"/>
                <w:szCs w:val="18"/>
              </w:rPr>
              <w:t>040</w:t>
            </w:r>
          </w:p>
        </w:tc>
        <w:tc>
          <w:tcPr>
            <w:tcW w:w="397" w:type="pct"/>
            <w:tcBorders>
              <w:top w:val="single" w:sz="4" w:space="0" w:color="auto"/>
              <w:left w:val="nil"/>
              <w:bottom w:val="single" w:sz="4" w:space="0" w:color="auto"/>
              <w:right w:val="single" w:sz="4" w:space="0" w:color="auto"/>
            </w:tcBorders>
            <w:shd w:val="clear" w:color="auto" w:fill="auto"/>
            <w:vAlign w:val="center"/>
          </w:tcPr>
          <w:p w14:paraId="3FC69E5F" w14:textId="6E396B5F"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239</w:t>
            </w:r>
            <w:r w:rsidR="00F71BF8">
              <w:rPr>
                <w:sz w:val="16"/>
                <w:szCs w:val="18"/>
              </w:rPr>
              <w:t>,</w:t>
            </w:r>
            <w:r w:rsidRPr="00622F40">
              <w:rPr>
                <w:sz w:val="16"/>
                <w:szCs w:val="18"/>
              </w:rPr>
              <w:t>527</w:t>
            </w:r>
          </w:p>
        </w:tc>
        <w:tc>
          <w:tcPr>
            <w:tcW w:w="397" w:type="pct"/>
            <w:tcBorders>
              <w:top w:val="single" w:sz="4" w:space="0" w:color="auto"/>
              <w:left w:val="nil"/>
              <w:bottom w:val="single" w:sz="4" w:space="0" w:color="auto"/>
              <w:right w:val="single" w:sz="4" w:space="0" w:color="auto"/>
            </w:tcBorders>
            <w:shd w:val="clear" w:color="auto" w:fill="auto"/>
            <w:vAlign w:val="center"/>
          </w:tcPr>
          <w:p w14:paraId="41B67622" w14:textId="2BD920BC"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212</w:t>
            </w:r>
            <w:r w:rsidR="00F71BF8">
              <w:rPr>
                <w:sz w:val="16"/>
                <w:szCs w:val="18"/>
              </w:rPr>
              <w:t>,</w:t>
            </w:r>
            <w:r w:rsidRPr="00622F40">
              <w:rPr>
                <w:sz w:val="16"/>
                <w:szCs w:val="18"/>
              </w:rPr>
              <w:t>874</w:t>
            </w:r>
          </w:p>
        </w:tc>
        <w:tc>
          <w:tcPr>
            <w:tcW w:w="397" w:type="pct"/>
            <w:tcBorders>
              <w:top w:val="single" w:sz="4" w:space="0" w:color="auto"/>
              <w:left w:val="nil"/>
              <w:bottom w:val="single" w:sz="4" w:space="0" w:color="auto"/>
              <w:right w:val="single" w:sz="4" w:space="0" w:color="auto"/>
            </w:tcBorders>
            <w:shd w:val="clear" w:color="auto" w:fill="auto"/>
            <w:vAlign w:val="center"/>
          </w:tcPr>
          <w:p w14:paraId="0FDEC51B" w14:textId="43C9A4A3"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248</w:t>
            </w:r>
            <w:r w:rsidR="00F71BF8">
              <w:rPr>
                <w:sz w:val="16"/>
                <w:szCs w:val="18"/>
              </w:rPr>
              <w:t>,</w:t>
            </w:r>
            <w:r w:rsidRPr="00622F40">
              <w:rPr>
                <w:sz w:val="16"/>
                <w:szCs w:val="18"/>
              </w:rPr>
              <w:t>442</w:t>
            </w:r>
          </w:p>
        </w:tc>
        <w:tc>
          <w:tcPr>
            <w:tcW w:w="397" w:type="pct"/>
            <w:tcBorders>
              <w:top w:val="single" w:sz="4" w:space="0" w:color="auto"/>
              <w:left w:val="nil"/>
              <w:bottom w:val="single" w:sz="4" w:space="0" w:color="auto"/>
              <w:right w:val="single" w:sz="4" w:space="0" w:color="auto"/>
            </w:tcBorders>
            <w:shd w:val="clear" w:color="auto" w:fill="auto"/>
            <w:vAlign w:val="center"/>
          </w:tcPr>
          <w:p w14:paraId="703C4C9C" w14:textId="29BDE0FA"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115</w:t>
            </w:r>
            <w:r w:rsidR="00F71BF8">
              <w:rPr>
                <w:sz w:val="16"/>
                <w:szCs w:val="18"/>
              </w:rPr>
              <w:t>,</w:t>
            </w:r>
            <w:r w:rsidRPr="00622F40">
              <w:rPr>
                <w:sz w:val="16"/>
                <w:szCs w:val="18"/>
              </w:rPr>
              <w:t>440</w:t>
            </w:r>
          </w:p>
        </w:tc>
      </w:tr>
      <w:tr w:rsidR="00CF33C0" w:rsidRPr="00155CA1" w14:paraId="337E15F2" w14:textId="6215F10A"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F665F"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Vegetable Oils</w:t>
            </w:r>
          </w:p>
        </w:tc>
        <w:tc>
          <w:tcPr>
            <w:tcW w:w="397" w:type="pct"/>
            <w:tcBorders>
              <w:top w:val="single" w:sz="4" w:space="0" w:color="auto"/>
              <w:left w:val="nil"/>
              <w:bottom w:val="single" w:sz="4" w:space="0" w:color="auto"/>
              <w:right w:val="single" w:sz="4" w:space="0" w:color="auto"/>
            </w:tcBorders>
            <w:shd w:val="clear" w:color="auto" w:fill="auto"/>
            <w:vAlign w:val="center"/>
          </w:tcPr>
          <w:p w14:paraId="7C873F2C" w14:textId="746C8F8A"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375</w:t>
            </w:r>
            <w:r w:rsidR="00F71BF8">
              <w:rPr>
                <w:sz w:val="16"/>
                <w:szCs w:val="18"/>
              </w:rPr>
              <w:t>,</w:t>
            </w:r>
            <w:r w:rsidRPr="00622F40">
              <w:rPr>
                <w:sz w:val="16"/>
                <w:szCs w:val="18"/>
              </w:rPr>
              <w:t>593</w:t>
            </w:r>
          </w:p>
        </w:tc>
        <w:tc>
          <w:tcPr>
            <w:tcW w:w="397" w:type="pct"/>
            <w:tcBorders>
              <w:top w:val="single" w:sz="4" w:space="0" w:color="auto"/>
              <w:left w:val="nil"/>
              <w:bottom w:val="single" w:sz="4" w:space="0" w:color="auto"/>
              <w:right w:val="single" w:sz="4" w:space="0" w:color="auto"/>
            </w:tcBorders>
            <w:shd w:val="clear" w:color="auto" w:fill="auto"/>
            <w:vAlign w:val="center"/>
          </w:tcPr>
          <w:p w14:paraId="6B8F7411" w14:textId="03CB8E3B"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429</w:t>
            </w:r>
            <w:r w:rsidR="00F71BF8">
              <w:rPr>
                <w:sz w:val="16"/>
                <w:szCs w:val="18"/>
              </w:rPr>
              <w:t>,</w:t>
            </w:r>
            <w:r w:rsidRPr="00622F40">
              <w:rPr>
                <w:sz w:val="16"/>
                <w:szCs w:val="18"/>
              </w:rPr>
              <w:t>254</w:t>
            </w:r>
          </w:p>
        </w:tc>
        <w:tc>
          <w:tcPr>
            <w:tcW w:w="397" w:type="pct"/>
            <w:tcBorders>
              <w:top w:val="single" w:sz="4" w:space="0" w:color="auto"/>
              <w:left w:val="nil"/>
              <w:bottom w:val="single" w:sz="4" w:space="0" w:color="auto"/>
              <w:right w:val="single" w:sz="4" w:space="0" w:color="auto"/>
            </w:tcBorders>
            <w:shd w:val="clear" w:color="auto" w:fill="auto"/>
            <w:vAlign w:val="center"/>
          </w:tcPr>
          <w:p w14:paraId="79649E64" w14:textId="331C32E5"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365</w:t>
            </w:r>
            <w:r w:rsidR="00F71BF8">
              <w:rPr>
                <w:sz w:val="16"/>
                <w:szCs w:val="18"/>
              </w:rPr>
              <w:t>,</w:t>
            </w:r>
            <w:r w:rsidRPr="00622F40">
              <w:rPr>
                <w:sz w:val="16"/>
                <w:szCs w:val="18"/>
              </w:rPr>
              <w:t>290</w:t>
            </w:r>
          </w:p>
        </w:tc>
        <w:tc>
          <w:tcPr>
            <w:tcW w:w="397" w:type="pct"/>
            <w:tcBorders>
              <w:top w:val="single" w:sz="4" w:space="0" w:color="auto"/>
              <w:left w:val="nil"/>
              <w:bottom w:val="single" w:sz="4" w:space="0" w:color="auto"/>
              <w:right w:val="single" w:sz="4" w:space="0" w:color="auto"/>
            </w:tcBorders>
            <w:shd w:val="clear" w:color="auto" w:fill="auto"/>
            <w:vAlign w:val="center"/>
          </w:tcPr>
          <w:p w14:paraId="241D6A06" w14:textId="5BD93D47"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365</w:t>
            </w:r>
            <w:r w:rsidR="00F71BF8">
              <w:rPr>
                <w:sz w:val="16"/>
                <w:szCs w:val="18"/>
              </w:rPr>
              <w:t>,</w:t>
            </w:r>
            <w:r w:rsidRPr="00622F40">
              <w:rPr>
                <w:sz w:val="16"/>
                <w:szCs w:val="18"/>
              </w:rPr>
              <w:t>375</w:t>
            </w:r>
          </w:p>
        </w:tc>
        <w:tc>
          <w:tcPr>
            <w:tcW w:w="397" w:type="pct"/>
            <w:tcBorders>
              <w:top w:val="single" w:sz="4" w:space="0" w:color="auto"/>
              <w:left w:val="nil"/>
              <w:bottom w:val="single" w:sz="4" w:space="0" w:color="auto"/>
              <w:right w:val="single" w:sz="4" w:space="0" w:color="auto"/>
            </w:tcBorders>
            <w:shd w:val="clear" w:color="auto" w:fill="auto"/>
            <w:vAlign w:val="center"/>
          </w:tcPr>
          <w:p w14:paraId="17794039" w14:textId="3810AE93"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364</w:t>
            </w:r>
            <w:r w:rsidR="00F71BF8">
              <w:rPr>
                <w:sz w:val="16"/>
                <w:szCs w:val="18"/>
              </w:rPr>
              <w:t>,</w:t>
            </w:r>
            <w:r w:rsidRPr="00622F40">
              <w:rPr>
                <w:sz w:val="16"/>
                <w:szCs w:val="18"/>
              </w:rPr>
              <w:t>662</w:t>
            </w:r>
          </w:p>
        </w:tc>
        <w:tc>
          <w:tcPr>
            <w:tcW w:w="397" w:type="pct"/>
            <w:tcBorders>
              <w:top w:val="single" w:sz="4" w:space="0" w:color="auto"/>
              <w:left w:val="nil"/>
              <w:bottom w:val="single" w:sz="4" w:space="0" w:color="auto"/>
              <w:right w:val="single" w:sz="4" w:space="0" w:color="auto"/>
            </w:tcBorders>
            <w:shd w:val="clear" w:color="auto" w:fill="auto"/>
            <w:vAlign w:val="center"/>
          </w:tcPr>
          <w:p w14:paraId="21A18E98" w14:textId="730618D0"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396</w:t>
            </w:r>
            <w:r w:rsidR="00F71BF8">
              <w:rPr>
                <w:sz w:val="16"/>
                <w:szCs w:val="18"/>
              </w:rPr>
              <w:t>,</w:t>
            </w:r>
            <w:r w:rsidRPr="00622F40">
              <w:rPr>
                <w:sz w:val="16"/>
                <w:szCs w:val="18"/>
              </w:rPr>
              <w:t>517</w:t>
            </w:r>
          </w:p>
        </w:tc>
        <w:tc>
          <w:tcPr>
            <w:tcW w:w="397" w:type="pct"/>
            <w:tcBorders>
              <w:top w:val="single" w:sz="4" w:space="0" w:color="auto"/>
              <w:left w:val="nil"/>
              <w:bottom w:val="single" w:sz="4" w:space="0" w:color="auto"/>
              <w:right w:val="single" w:sz="4" w:space="0" w:color="auto"/>
            </w:tcBorders>
            <w:shd w:val="clear" w:color="auto" w:fill="auto"/>
            <w:vAlign w:val="center"/>
          </w:tcPr>
          <w:p w14:paraId="4DE8266C" w14:textId="4BF2D47B"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342</w:t>
            </w:r>
            <w:r w:rsidR="00F71BF8">
              <w:rPr>
                <w:sz w:val="16"/>
                <w:szCs w:val="18"/>
              </w:rPr>
              <w:t>,</w:t>
            </w:r>
            <w:r w:rsidRPr="00622F40">
              <w:rPr>
                <w:sz w:val="16"/>
                <w:szCs w:val="18"/>
              </w:rPr>
              <w:t>346</w:t>
            </w:r>
          </w:p>
        </w:tc>
        <w:tc>
          <w:tcPr>
            <w:tcW w:w="397" w:type="pct"/>
            <w:tcBorders>
              <w:top w:val="single" w:sz="4" w:space="0" w:color="auto"/>
              <w:left w:val="nil"/>
              <w:bottom w:val="single" w:sz="4" w:space="0" w:color="auto"/>
              <w:right w:val="single" w:sz="4" w:space="0" w:color="auto"/>
            </w:tcBorders>
            <w:shd w:val="clear" w:color="auto" w:fill="auto"/>
            <w:vAlign w:val="center"/>
          </w:tcPr>
          <w:p w14:paraId="5E16E8D4" w14:textId="3DCE4255"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392</w:t>
            </w:r>
            <w:r w:rsidR="00F71BF8">
              <w:rPr>
                <w:sz w:val="16"/>
                <w:szCs w:val="18"/>
              </w:rPr>
              <w:t>,</w:t>
            </w:r>
            <w:r w:rsidRPr="00622F40">
              <w:rPr>
                <w:sz w:val="16"/>
                <w:szCs w:val="18"/>
              </w:rPr>
              <w:t>192</w:t>
            </w:r>
          </w:p>
        </w:tc>
        <w:tc>
          <w:tcPr>
            <w:tcW w:w="397" w:type="pct"/>
            <w:tcBorders>
              <w:top w:val="single" w:sz="4" w:space="0" w:color="auto"/>
              <w:left w:val="nil"/>
              <w:bottom w:val="single" w:sz="4" w:space="0" w:color="auto"/>
              <w:right w:val="single" w:sz="4" w:space="0" w:color="auto"/>
            </w:tcBorders>
            <w:shd w:val="clear" w:color="auto" w:fill="auto"/>
            <w:vAlign w:val="center"/>
          </w:tcPr>
          <w:p w14:paraId="2FEF06ED" w14:textId="2CD393F1"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398</w:t>
            </w:r>
            <w:r w:rsidR="00F71BF8">
              <w:rPr>
                <w:sz w:val="16"/>
                <w:szCs w:val="18"/>
              </w:rPr>
              <w:t>,</w:t>
            </w:r>
            <w:r w:rsidRPr="00622F40">
              <w:rPr>
                <w:sz w:val="16"/>
                <w:szCs w:val="18"/>
              </w:rPr>
              <w:t>447</w:t>
            </w:r>
          </w:p>
        </w:tc>
        <w:tc>
          <w:tcPr>
            <w:tcW w:w="397" w:type="pct"/>
            <w:tcBorders>
              <w:top w:val="single" w:sz="4" w:space="0" w:color="auto"/>
              <w:left w:val="nil"/>
              <w:bottom w:val="single" w:sz="4" w:space="0" w:color="auto"/>
              <w:right w:val="single" w:sz="4" w:space="0" w:color="auto"/>
            </w:tcBorders>
            <w:shd w:val="clear" w:color="auto" w:fill="auto"/>
            <w:vAlign w:val="center"/>
          </w:tcPr>
          <w:p w14:paraId="7FE979E0" w14:textId="4BDF4EF4"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294</w:t>
            </w:r>
            <w:r w:rsidR="00F71BF8">
              <w:rPr>
                <w:sz w:val="16"/>
                <w:szCs w:val="18"/>
              </w:rPr>
              <w:t>,</w:t>
            </w:r>
            <w:r w:rsidRPr="00622F40">
              <w:rPr>
                <w:sz w:val="16"/>
                <w:szCs w:val="18"/>
              </w:rPr>
              <w:t>645</w:t>
            </w:r>
          </w:p>
        </w:tc>
        <w:tc>
          <w:tcPr>
            <w:tcW w:w="397" w:type="pct"/>
            <w:tcBorders>
              <w:top w:val="single" w:sz="4" w:space="0" w:color="auto"/>
              <w:left w:val="nil"/>
              <w:bottom w:val="single" w:sz="4" w:space="0" w:color="auto"/>
              <w:right w:val="single" w:sz="4" w:space="0" w:color="auto"/>
            </w:tcBorders>
            <w:shd w:val="clear" w:color="auto" w:fill="auto"/>
            <w:vAlign w:val="center"/>
          </w:tcPr>
          <w:p w14:paraId="3AF58707" w14:textId="50E4CEA4"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239</w:t>
            </w:r>
            <w:r w:rsidR="00F71BF8">
              <w:rPr>
                <w:sz w:val="16"/>
                <w:szCs w:val="18"/>
              </w:rPr>
              <w:t>,</w:t>
            </w:r>
            <w:r w:rsidRPr="00622F40">
              <w:rPr>
                <w:sz w:val="16"/>
                <w:szCs w:val="18"/>
              </w:rPr>
              <w:t>866</w:t>
            </w:r>
          </w:p>
        </w:tc>
      </w:tr>
      <w:tr w:rsidR="00CF33C0" w:rsidRPr="00155CA1" w14:paraId="02E7D62D" w14:textId="16D1F4B3"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1CA4D5"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Vegetables, Fruits &amp; Juices</w:t>
            </w:r>
          </w:p>
        </w:tc>
        <w:tc>
          <w:tcPr>
            <w:tcW w:w="397" w:type="pct"/>
            <w:tcBorders>
              <w:top w:val="single" w:sz="4" w:space="0" w:color="auto"/>
              <w:left w:val="nil"/>
              <w:bottom w:val="single" w:sz="4" w:space="0" w:color="auto"/>
              <w:right w:val="single" w:sz="4" w:space="0" w:color="auto"/>
            </w:tcBorders>
            <w:shd w:val="clear" w:color="auto" w:fill="auto"/>
            <w:vAlign w:val="center"/>
          </w:tcPr>
          <w:p w14:paraId="70EC3087" w14:textId="74D847E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303</w:t>
            </w:r>
            <w:r w:rsidR="00F71BF8">
              <w:rPr>
                <w:sz w:val="16"/>
                <w:szCs w:val="18"/>
              </w:rPr>
              <w:t>,</w:t>
            </w:r>
            <w:r w:rsidRPr="00622F40">
              <w:rPr>
                <w:sz w:val="16"/>
                <w:szCs w:val="18"/>
              </w:rPr>
              <w:t>288</w:t>
            </w:r>
          </w:p>
        </w:tc>
        <w:tc>
          <w:tcPr>
            <w:tcW w:w="397" w:type="pct"/>
            <w:tcBorders>
              <w:top w:val="single" w:sz="4" w:space="0" w:color="auto"/>
              <w:left w:val="nil"/>
              <w:bottom w:val="single" w:sz="4" w:space="0" w:color="auto"/>
              <w:right w:val="single" w:sz="4" w:space="0" w:color="auto"/>
            </w:tcBorders>
            <w:shd w:val="clear" w:color="auto" w:fill="auto"/>
            <w:vAlign w:val="center"/>
          </w:tcPr>
          <w:p w14:paraId="300EB13E" w14:textId="284BA9C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285</w:t>
            </w:r>
            <w:r w:rsidR="00F71BF8">
              <w:rPr>
                <w:sz w:val="16"/>
                <w:szCs w:val="18"/>
              </w:rPr>
              <w:t>,</w:t>
            </w:r>
            <w:r w:rsidRPr="00622F40">
              <w:rPr>
                <w:sz w:val="16"/>
                <w:szCs w:val="18"/>
              </w:rPr>
              <w:t>717</w:t>
            </w:r>
          </w:p>
        </w:tc>
        <w:tc>
          <w:tcPr>
            <w:tcW w:w="397" w:type="pct"/>
            <w:tcBorders>
              <w:top w:val="single" w:sz="4" w:space="0" w:color="auto"/>
              <w:left w:val="nil"/>
              <w:bottom w:val="single" w:sz="4" w:space="0" w:color="auto"/>
              <w:right w:val="single" w:sz="4" w:space="0" w:color="auto"/>
            </w:tcBorders>
            <w:shd w:val="clear" w:color="auto" w:fill="auto"/>
            <w:vAlign w:val="center"/>
          </w:tcPr>
          <w:p w14:paraId="3EB2574A" w14:textId="79BD4C79"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225</w:t>
            </w:r>
            <w:r w:rsidR="00F71BF8">
              <w:rPr>
                <w:sz w:val="16"/>
                <w:szCs w:val="18"/>
              </w:rPr>
              <w:t>,</w:t>
            </w:r>
            <w:r w:rsidRPr="00622F40">
              <w:rPr>
                <w:sz w:val="16"/>
                <w:szCs w:val="18"/>
              </w:rPr>
              <w:t>572</w:t>
            </w:r>
          </w:p>
        </w:tc>
        <w:tc>
          <w:tcPr>
            <w:tcW w:w="397" w:type="pct"/>
            <w:tcBorders>
              <w:top w:val="single" w:sz="4" w:space="0" w:color="auto"/>
              <w:left w:val="nil"/>
              <w:bottom w:val="single" w:sz="4" w:space="0" w:color="auto"/>
              <w:right w:val="single" w:sz="4" w:space="0" w:color="auto"/>
            </w:tcBorders>
            <w:shd w:val="clear" w:color="auto" w:fill="auto"/>
            <w:vAlign w:val="center"/>
          </w:tcPr>
          <w:p w14:paraId="5ACB7B76" w14:textId="6E2BB098"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140</w:t>
            </w:r>
            <w:r w:rsidR="00F71BF8">
              <w:rPr>
                <w:sz w:val="16"/>
                <w:szCs w:val="18"/>
              </w:rPr>
              <w:t>,</w:t>
            </w:r>
            <w:r w:rsidRPr="00622F40">
              <w:rPr>
                <w:sz w:val="16"/>
                <w:szCs w:val="18"/>
              </w:rPr>
              <w:t>338</w:t>
            </w:r>
          </w:p>
        </w:tc>
        <w:tc>
          <w:tcPr>
            <w:tcW w:w="397" w:type="pct"/>
            <w:tcBorders>
              <w:top w:val="single" w:sz="4" w:space="0" w:color="auto"/>
              <w:left w:val="nil"/>
              <w:bottom w:val="single" w:sz="4" w:space="0" w:color="auto"/>
              <w:right w:val="single" w:sz="4" w:space="0" w:color="auto"/>
            </w:tcBorders>
            <w:shd w:val="clear" w:color="auto" w:fill="auto"/>
            <w:vAlign w:val="center"/>
          </w:tcPr>
          <w:p w14:paraId="4B4C45F1" w14:textId="1D22B420"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122</w:t>
            </w:r>
            <w:r w:rsidR="00F71BF8">
              <w:rPr>
                <w:sz w:val="16"/>
                <w:szCs w:val="18"/>
              </w:rPr>
              <w:t>,</w:t>
            </w:r>
            <w:r w:rsidRPr="00622F40">
              <w:rPr>
                <w:sz w:val="16"/>
                <w:szCs w:val="18"/>
              </w:rPr>
              <w:t>820</w:t>
            </w:r>
          </w:p>
        </w:tc>
        <w:tc>
          <w:tcPr>
            <w:tcW w:w="397" w:type="pct"/>
            <w:tcBorders>
              <w:top w:val="single" w:sz="4" w:space="0" w:color="auto"/>
              <w:left w:val="nil"/>
              <w:bottom w:val="single" w:sz="4" w:space="0" w:color="auto"/>
              <w:right w:val="single" w:sz="4" w:space="0" w:color="auto"/>
            </w:tcBorders>
            <w:shd w:val="clear" w:color="auto" w:fill="auto"/>
            <w:vAlign w:val="center"/>
          </w:tcPr>
          <w:p w14:paraId="482413DB" w14:textId="576501AC"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131</w:t>
            </w:r>
            <w:r w:rsidR="00F71BF8">
              <w:rPr>
                <w:sz w:val="16"/>
                <w:szCs w:val="18"/>
              </w:rPr>
              <w:t>,</w:t>
            </w:r>
            <w:r w:rsidRPr="00622F40">
              <w:rPr>
                <w:sz w:val="16"/>
                <w:szCs w:val="18"/>
              </w:rPr>
              <w:t>847</w:t>
            </w:r>
          </w:p>
        </w:tc>
        <w:tc>
          <w:tcPr>
            <w:tcW w:w="397" w:type="pct"/>
            <w:tcBorders>
              <w:top w:val="single" w:sz="4" w:space="0" w:color="auto"/>
              <w:left w:val="nil"/>
              <w:bottom w:val="single" w:sz="4" w:space="0" w:color="auto"/>
              <w:right w:val="single" w:sz="4" w:space="0" w:color="auto"/>
            </w:tcBorders>
            <w:shd w:val="clear" w:color="auto" w:fill="auto"/>
            <w:vAlign w:val="center"/>
          </w:tcPr>
          <w:p w14:paraId="2B1A8237" w14:textId="58FDF95A"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149</w:t>
            </w:r>
            <w:r w:rsidR="00F71BF8">
              <w:rPr>
                <w:sz w:val="16"/>
                <w:szCs w:val="18"/>
              </w:rPr>
              <w:t>,</w:t>
            </w:r>
            <w:r w:rsidRPr="00622F40">
              <w:rPr>
                <w:sz w:val="16"/>
                <w:szCs w:val="18"/>
              </w:rPr>
              <w:t>749</w:t>
            </w:r>
          </w:p>
        </w:tc>
        <w:tc>
          <w:tcPr>
            <w:tcW w:w="397" w:type="pct"/>
            <w:tcBorders>
              <w:top w:val="single" w:sz="4" w:space="0" w:color="auto"/>
              <w:left w:val="nil"/>
              <w:bottom w:val="single" w:sz="4" w:space="0" w:color="auto"/>
              <w:right w:val="single" w:sz="4" w:space="0" w:color="auto"/>
            </w:tcBorders>
            <w:shd w:val="clear" w:color="auto" w:fill="auto"/>
            <w:vAlign w:val="center"/>
          </w:tcPr>
          <w:p w14:paraId="330240A9" w14:textId="2253D1AE"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129</w:t>
            </w:r>
            <w:r w:rsidR="00F71BF8">
              <w:rPr>
                <w:sz w:val="16"/>
                <w:szCs w:val="18"/>
              </w:rPr>
              <w:t>,</w:t>
            </w:r>
            <w:r w:rsidRPr="00622F40">
              <w:rPr>
                <w:sz w:val="16"/>
                <w:szCs w:val="18"/>
              </w:rPr>
              <w:t>642</w:t>
            </w:r>
          </w:p>
        </w:tc>
        <w:tc>
          <w:tcPr>
            <w:tcW w:w="397" w:type="pct"/>
            <w:tcBorders>
              <w:top w:val="single" w:sz="4" w:space="0" w:color="auto"/>
              <w:left w:val="nil"/>
              <w:bottom w:val="single" w:sz="4" w:space="0" w:color="auto"/>
              <w:right w:val="single" w:sz="4" w:space="0" w:color="auto"/>
            </w:tcBorders>
            <w:shd w:val="clear" w:color="auto" w:fill="auto"/>
            <w:vAlign w:val="center"/>
          </w:tcPr>
          <w:p w14:paraId="78777493" w14:textId="049FCDD7"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140</w:t>
            </w:r>
            <w:r w:rsidR="00F71BF8">
              <w:rPr>
                <w:sz w:val="16"/>
                <w:szCs w:val="18"/>
              </w:rPr>
              <w:t>,</w:t>
            </w:r>
            <w:r w:rsidRPr="00622F40">
              <w:rPr>
                <w:sz w:val="16"/>
                <w:szCs w:val="18"/>
              </w:rPr>
              <w:t>914</w:t>
            </w:r>
          </w:p>
        </w:tc>
        <w:tc>
          <w:tcPr>
            <w:tcW w:w="397" w:type="pct"/>
            <w:tcBorders>
              <w:top w:val="single" w:sz="4" w:space="0" w:color="auto"/>
              <w:left w:val="nil"/>
              <w:bottom w:val="single" w:sz="4" w:space="0" w:color="auto"/>
              <w:right w:val="single" w:sz="4" w:space="0" w:color="auto"/>
            </w:tcBorders>
            <w:shd w:val="clear" w:color="auto" w:fill="auto"/>
            <w:vAlign w:val="center"/>
          </w:tcPr>
          <w:p w14:paraId="19C01BCC" w14:textId="01A86B7B"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126</w:t>
            </w:r>
            <w:r w:rsidR="00F71BF8">
              <w:rPr>
                <w:sz w:val="16"/>
                <w:szCs w:val="18"/>
              </w:rPr>
              <w:t>,</w:t>
            </w:r>
            <w:r w:rsidRPr="00622F40">
              <w:rPr>
                <w:sz w:val="16"/>
                <w:szCs w:val="18"/>
              </w:rPr>
              <w:t>140</w:t>
            </w:r>
          </w:p>
        </w:tc>
        <w:tc>
          <w:tcPr>
            <w:tcW w:w="397" w:type="pct"/>
            <w:tcBorders>
              <w:top w:val="single" w:sz="4" w:space="0" w:color="auto"/>
              <w:left w:val="nil"/>
              <w:bottom w:val="single" w:sz="4" w:space="0" w:color="auto"/>
              <w:right w:val="single" w:sz="4" w:space="0" w:color="auto"/>
            </w:tcBorders>
            <w:shd w:val="clear" w:color="auto" w:fill="auto"/>
            <w:vAlign w:val="center"/>
          </w:tcPr>
          <w:p w14:paraId="79F72644" w14:textId="352FEDE7"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145</w:t>
            </w:r>
            <w:r w:rsidR="00F71BF8">
              <w:rPr>
                <w:sz w:val="16"/>
                <w:szCs w:val="18"/>
              </w:rPr>
              <w:t>,</w:t>
            </w:r>
            <w:r w:rsidRPr="00622F40">
              <w:rPr>
                <w:sz w:val="16"/>
                <w:szCs w:val="18"/>
              </w:rPr>
              <w:t>208</w:t>
            </w:r>
          </w:p>
        </w:tc>
      </w:tr>
      <w:tr w:rsidR="00CF33C0" w:rsidRPr="00155CA1" w14:paraId="7D30DAE0" w14:textId="4FCC57FB" w:rsidTr="00E13FD9">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1039F1" w14:textId="77777777" w:rsidR="00CF33C0" w:rsidRPr="00622F40" w:rsidRDefault="00CF33C0" w:rsidP="00E13FD9">
            <w:pPr>
              <w:spacing w:beforeLines="40" w:before="96" w:afterLines="40" w:after="96" w:line="240" w:lineRule="auto"/>
              <w:jc w:val="center"/>
              <w:rPr>
                <w:rFonts w:cs="Arial"/>
                <w:sz w:val="16"/>
                <w:szCs w:val="16"/>
              </w:rPr>
            </w:pPr>
            <w:r w:rsidRPr="00622F40">
              <w:rPr>
                <w:rFonts w:cs="Arial"/>
                <w:sz w:val="16"/>
                <w:szCs w:val="16"/>
              </w:rPr>
              <w:t>Wine &amp; Vinegar</w:t>
            </w:r>
          </w:p>
        </w:tc>
        <w:tc>
          <w:tcPr>
            <w:tcW w:w="397" w:type="pct"/>
            <w:tcBorders>
              <w:top w:val="single" w:sz="4" w:space="0" w:color="auto"/>
              <w:left w:val="nil"/>
              <w:bottom w:val="single" w:sz="4" w:space="0" w:color="auto"/>
              <w:right w:val="single" w:sz="4" w:space="0" w:color="auto"/>
            </w:tcBorders>
            <w:shd w:val="clear" w:color="auto" w:fill="auto"/>
            <w:vAlign w:val="center"/>
          </w:tcPr>
          <w:p w14:paraId="708B91DD" w14:textId="0AC694CF"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97</w:t>
            </w:r>
            <w:r w:rsidR="00F71BF8">
              <w:rPr>
                <w:sz w:val="16"/>
                <w:szCs w:val="18"/>
              </w:rPr>
              <w:t>,</w:t>
            </w:r>
            <w:r w:rsidRPr="00622F40">
              <w:rPr>
                <w:sz w:val="16"/>
                <w:szCs w:val="18"/>
              </w:rPr>
              <w:t>834</w:t>
            </w:r>
          </w:p>
        </w:tc>
        <w:tc>
          <w:tcPr>
            <w:tcW w:w="397" w:type="pct"/>
            <w:tcBorders>
              <w:top w:val="single" w:sz="4" w:space="0" w:color="auto"/>
              <w:left w:val="nil"/>
              <w:bottom w:val="single" w:sz="4" w:space="0" w:color="auto"/>
              <w:right w:val="single" w:sz="4" w:space="0" w:color="auto"/>
            </w:tcBorders>
            <w:shd w:val="clear" w:color="auto" w:fill="auto"/>
            <w:vAlign w:val="center"/>
          </w:tcPr>
          <w:p w14:paraId="3567CEC9" w14:textId="7F4778AA"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123</w:t>
            </w:r>
            <w:r w:rsidR="00F71BF8">
              <w:rPr>
                <w:sz w:val="16"/>
                <w:szCs w:val="18"/>
              </w:rPr>
              <w:t>,</w:t>
            </w:r>
            <w:r w:rsidRPr="00622F40">
              <w:rPr>
                <w:sz w:val="16"/>
                <w:szCs w:val="18"/>
              </w:rPr>
              <w:t>704</w:t>
            </w:r>
          </w:p>
        </w:tc>
        <w:tc>
          <w:tcPr>
            <w:tcW w:w="397" w:type="pct"/>
            <w:tcBorders>
              <w:top w:val="single" w:sz="4" w:space="0" w:color="auto"/>
              <w:left w:val="nil"/>
              <w:bottom w:val="single" w:sz="4" w:space="0" w:color="auto"/>
              <w:right w:val="single" w:sz="4" w:space="0" w:color="auto"/>
            </w:tcBorders>
            <w:shd w:val="clear" w:color="auto" w:fill="auto"/>
            <w:vAlign w:val="center"/>
          </w:tcPr>
          <w:p w14:paraId="6A74C677" w14:textId="73ED0170"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115</w:t>
            </w:r>
            <w:r w:rsidR="00F71BF8">
              <w:rPr>
                <w:sz w:val="16"/>
                <w:szCs w:val="18"/>
              </w:rPr>
              <w:t>,</w:t>
            </w:r>
            <w:r w:rsidRPr="00622F40">
              <w:rPr>
                <w:sz w:val="16"/>
                <w:szCs w:val="18"/>
              </w:rPr>
              <w:t>807</w:t>
            </w:r>
          </w:p>
        </w:tc>
        <w:tc>
          <w:tcPr>
            <w:tcW w:w="397" w:type="pct"/>
            <w:tcBorders>
              <w:top w:val="single" w:sz="4" w:space="0" w:color="auto"/>
              <w:left w:val="nil"/>
              <w:bottom w:val="single" w:sz="4" w:space="0" w:color="auto"/>
              <w:right w:val="single" w:sz="4" w:space="0" w:color="auto"/>
            </w:tcBorders>
            <w:shd w:val="clear" w:color="auto" w:fill="auto"/>
            <w:vAlign w:val="center"/>
          </w:tcPr>
          <w:p w14:paraId="1CEEAE15" w14:textId="665D08AA"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82</w:t>
            </w:r>
            <w:r w:rsidR="00F71BF8">
              <w:rPr>
                <w:sz w:val="16"/>
                <w:szCs w:val="18"/>
              </w:rPr>
              <w:t>,</w:t>
            </w:r>
            <w:r w:rsidRPr="00622F40">
              <w:rPr>
                <w:sz w:val="16"/>
                <w:szCs w:val="18"/>
              </w:rPr>
              <w:t>857</w:t>
            </w:r>
          </w:p>
        </w:tc>
        <w:tc>
          <w:tcPr>
            <w:tcW w:w="397" w:type="pct"/>
            <w:tcBorders>
              <w:top w:val="single" w:sz="4" w:space="0" w:color="auto"/>
              <w:left w:val="nil"/>
              <w:bottom w:val="single" w:sz="4" w:space="0" w:color="auto"/>
              <w:right w:val="single" w:sz="4" w:space="0" w:color="auto"/>
            </w:tcBorders>
            <w:shd w:val="clear" w:color="auto" w:fill="auto"/>
            <w:vAlign w:val="center"/>
          </w:tcPr>
          <w:p w14:paraId="0B990FDC" w14:textId="1A226004"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86</w:t>
            </w:r>
            <w:r w:rsidR="00F71BF8">
              <w:rPr>
                <w:sz w:val="16"/>
                <w:szCs w:val="18"/>
              </w:rPr>
              <w:t>,</w:t>
            </w:r>
            <w:r w:rsidRPr="00622F40">
              <w:rPr>
                <w:sz w:val="16"/>
                <w:szCs w:val="18"/>
              </w:rPr>
              <w:t>253</w:t>
            </w:r>
          </w:p>
        </w:tc>
        <w:tc>
          <w:tcPr>
            <w:tcW w:w="397" w:type="pct"/>
            <w:tcBorders>
              <w:top w:val="single" w:sz="4" w:space="0" w:color="auto"/>
              <w:left w:val="nil"/>
              <w:bottom w:val="single" w:sz="4" w:space="0" w:color="auto"/>
              <w:right w:val="single" w:sz="4" w:space="0" w:color="auto"/>
            </w:tcBorders>
            <w:shd w:val="clear" w:color="auto" w:fill="auto"/>
            <w:vAlign w:val="center"/>
          </w:tcPr>
          <w:p w14:paraId="0A020F31" w14:textId="33CA2F67"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66</w:t>
            </w:r>
            <w:r w:rsidR="00F71BF8">
              <w:rPr>
                <w:sz w:val="16"/>
                <w:szCs w:val="18"/>
              </w:rPr>
              <w:t>,</w:t>
            </w:r>
            <w:r w:rsidRPr="00622F40">
              <w:rPr>
                <w:sz w:val="16"/>
                <w:szCs w:val="18"/>
              </w:rPr>
              <w:t>946</w:t>
            </w:r>
          </w:p>
        </w:tc>
        <w:tc>
          <w:tcPr>
            <w:tcW w:w="397" w:type="pct"/>
            <w:tcBorders>
              <w:top w:val="single" w:sz="4" w:space="0" w:color="auto"/>
              <w:left w:val="nil"/>
              <w:bottom w:val="single" w:sz="4" w:space="0" w:color="auto"/>
              <w:right w:val="single" w:sz="4" w:space="0" w:color="auto"/>
            </w:tcBorders>
            <w:shd w:val="clear" w:color="auto" w:fill="auto"/>
            <w:vAlign w:val="center"/>
          </w:tcPr>
          <w:p w14:paraId="0C0D7AFC" w14:textId="6E8953DD"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79</w:t>
            </w:r>
            <w:r w:rsidR="00F71BF8">
              <w:rPr>
                <w:sz w:val="16"/>
                <w:szCs w:val="18"/>
              </w:rPr>
              <w:t>,</w:t>
            </w:r>
            <w:r w:rsidRPr="00622F40">
              <w:rPr>
                <w:sz w:val="16"/>
                <w:szCs w:val="18"/>
              </w:rPr>
              <w:t>306</w:t>
            </w:r>
          </w:p>
        </w:tc>
        <w:tc>
          <w:tcPr>
            <w:tcW w:w="397" w:type="pct"/>
            <w:tcBorders>
              <w:top w:val="single" w:sz="4" w:space="0" w:color="auto"/>
              <w:left w:val="nil"/>
              <w:bottom w:val="single" w:sz="4" w:space="0" w:color="auto"/>
              <w:right w:val="single" w:sz="4" w:space="0" w:color="auto"/>
            </w:tcBorders>
            <w:shd w:val="clear" w:color="auto" w:fill="auto"/>
            <w:vAlign w:val="center"/>
          </w:tcPr>
          <w:p w14:paraId="7C33C127" w14:textId="25633023"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92</w:t>
            </w:r>
            <w:r w:rsidR="00F71BF8">
              <w:rPr>
                <w:sz w:val="16"/>
                <w:szCs w:val="18"/>
              </w:rPr>
              <w:t>,</w:t>
            </w:r>
            <w:r w:rsidRPr="00622F40">
              <w:rPr>
                <w:sz w:val="16"/>
                <w:szCs w:val="18"/>
              </w:rPr>
              <w:t>256</w:t>
            </w:r>
          </w:p>
        </w:tc>
        <w:tc>
          <w:tcPr>
            <w:tcW w:w="397" w:type="pct"/>
            <w:tcBorders>
              <w:top w:val="single" w:sz="4" w:space="0" w:color="auto"/>
              <w:left w:val="nil"/>
              <w:bottom w:val="single" w:sz="4" w:space="0" w:color="auto"/>
              <w:right w:val="single" w:sz="4" w:space="0" w:color="auto"/>
            </w:tcBorders>
            <w:shd w:val="clear" w:color="auto" w:fill="auto"/>
            <w:vAlign w:val="center"/>
          </w:tcPr>
          <w:p w14:paraId="6885EA6E" w14:textId="693A6316"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83</w:t>
            </w:r>
            <w:r w:rsidR="00F71BF8">
              <w:rPr>
                <w:sz w:val="16"/>
                <w:szCs w:val="18"/>
              </w:rPr>
              <w:t>,</w:t>
            </w:r>
            <w:r w:rsidRPr="00622F40">
              <w:rPr>
                <w:sz w:val="16"/>
                <w:szCs w:val="18"/>
              </w:rPr>
              <w:t>374</w:t>
            </w:r>
          </w:p>
        </w:tc>
        <w:tc>
          <w:tcPr>
            <w:tcW w:w="397" w:type="pct"/>
            <w:tcBorders>
              <w:top w:val="single" w:sz="4" w:space="0" w:color="auto"/>
              <w:left w:val="nil"/>
              <w:bottom w:val="single" w:sz="4" w:space="0" w:color="auto"/>
              <w:right w:val="single" w:sz="4" w:space="0" w:color="auto"/>
            </w:tcBorders>
            <w:shd w:val="clear" w:color="auto" w:fill="auto"/>
            <w:vAlign w:val="center"/>
          </w:tcPr>
          <w:p w14:paraId="747F6223" w14:textId="7FF841EB"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59</w:t>
            </w:r>
            <w:r w:rsidR="00F71BF8">
              <w:rPr>
                <w:sz w:val="16"/>
                <w:szCs w:val="18"/>
              </w:rPr>
              <w:t>,</w:t>
            </w:r>
            <w:r w:rsidRPr="00622F40">
              <w:rPr>
                <w:sz w:val="16"/>
                <w:szCs w:val="18"/>
              </w:rPr>
              <w:t>657</w:t>
            </w:r>
          </w:p>
        </w:tc>
        <w:tc>
          <w:tcPr>
            <w:tcW w:w="397" w:type="pct"/>
            <w:tcBorders>
              <w:top w:val="single" w:sz="4" w:space="0" w:color="auto"/>
              <w:left w:val="nil"/>
              <w:bottom w:val="single" w:sz="4" w:space="0" w:color="auto"/>
              <w:right w:val="single" w:sz="4" w:space="0" w:color="auto"/>
            </w:tcBorders>
            <w:shd w:val="clear" w:color="auto" w:fill="auto"/>
            <w:vAlign w:val="center"/>
          </w:tcPr>
          <w:p w14:paraId="55E4D34C" w14:textId="7205C908" w:rsidR="00CF33C0" w:rsidRPr="00622F40" w:rsidRDefault="00CF33C0" w:rsidP="00E13FD9">
            <w:pPr>
              <w:spacing w:beforeLines="40" w:before="96" w:afterLines="40" w:after="96" w:line="240" w:lineRule="auto"/>
              <w:ind w:right="-23"/>
              <w:jc w:val="center"/>
              <w:rPr>
                <w:rFonts w:cstheme="minorHAnsi"/>
                <w:sz w:val="16"/>
                <w:szCs w:val="18"/>
              </w:rPr>
            </w:pPr>
            <w:r w:rsidRPr="00622F40">
              <w:rPr>
                <w:sz w:val="16"/>
                <w:szCs w:val="18"/>
              </w:rPr>
              <w:t>61</w:t>
            </w:r>
            <w:r w:rsidR="00F71BF8">
              <w:rPr>
                <w:sz w:val="16"/>
                <w:szCs w:val="18"/>
              </w:rPr>
              <w:t>,</w:t>
            </w:r>
            <w:r w:rsidRPr="00622F40">
              <w:rPr>
                <w:sz w:val="16"/>
                <w:szCs w:val="18"/>
              </w:rPr>
              <w:t>766</w:t>
            </w:r>
          </w:p>
        </w:tc>
      </w:tr>
    </w:tbl>
    <w:p w14:paraId="5649C094" w14:textId="77777777" w:rsidR="007B2433" w:rsidRDefault="007B2433" w:rsidP="007B2433">
      <w:pPr>
        <w:autoSpaceDE w:val="0"/>
        <w:autoSpaceDN w:val="0"/>
        <w:adjustRightInd w:val="0"/>
        <w:spacing w:after="0" w:line="240" w:lineRule="auto"/>
        <w:jc w:val="left"/>
        <w:rPr>
          <w:sz w:val="24"/>
          <w:szCs w:val="24"/>
          <w:lang w:eastAsia="fr-FR"/>
        </w:rPr>
      </w:pPr>
    </w:p>
    <w:tbl>
      <w:tblPr>
        <w:tblW w:w="5000" w:type="pct"/>
        <w:tblCellMar>
          <w:left w:w="70" w:type="dxa"/>
          <w:right w:w="70" w:type="dxa"/>
        </w:tblCellMar>
        <w:tblLook w:val="04A0" w:firstRow="1" w:lastRow="0" w:firstColumn="1" w:lastColumn="0" w:noHBand="0" w:noVBand="1"/>
      </w:tblPr>
      <w:tblGrid>
        <w:gridCol w:w="1579"/>
        <w:gridCol w:w="681"/>
        <w:gridCol w:w="681"/>
        <w:gridCol w:w="681"/>
        <w:gridCol w:w="680"/>
        <w:gridCol w:w="680"/>
        <w:gridCol w:w="680"/>
        <w:gridCol w:w="680"/>
        <w:gridCol w:w="680"/>
        <w:gridCol w:w="680"/>
        <w:gridCol w:w="680"/>
        <w:gridCol w:w="680"/>
      </w:tblGrid>
      <w:tr w:rsidR="000632E6" w:rsidRPr="00155CA1" w14:paraId="6C5565FD" w14:textId="77777777" w:rsidTr="00E13FD9">
        <w:trPr>
          <w:trHeight w:val="255"/>
          <w:tblHeader/>
        </w:trPr>
        <w:tc>
          <w:tcPr>
            <w:tcW w:w="628" w:type="pct"/>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1BB378CD" w14:textId="77777777" w:rsidR="000632E6" w:rsidRPr="00B75289" w:rsidRDefault="000632E6" w:rsidP="00E13FD9">
            <w:pPr>
              <w:spacing w:before="40" w:afterLines="40" w:after="96" w:line="240" w:lineRule="auto"/>
              <w:jc w:val="center"/>
              <w:rPr>
                <w:rFonts w:eastAsia="Times New Roman" w:cs="Times New Roman"/>
                <w:b/>
                <w:sz w:val="16"/>
                <w:szCs w:val="16"/>
                <w:lang w:eastAsia="fr-FR"/>
              </w:rPr>
            </w:pPr>
            <w:r w:rsidRPr="00B75289">
              <w:rPr>
                <w:rFonts w:eastAsia="Times New Roman" w:cs="Times New Roman"/>
                <w:b/>
                <w:sz w:val="16"/>
                <w:szCs w:val="16"/>
                <w:lang w:eastAsia="fr-FR"/>
              </w:rPr>
              <w:t>Pi (kt)</w:t>
            </w:r>
          </w:p>
        </w:tc>
        <w:tc>
          <w:tcPr>
            <w:tcW w:w="397"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F2E1D6C" w14:textId="023B21AA" w:rsidR="000632E6" w:rsidRPr="00B75289" w:rsidRDefault="00F71BF8" w:rsidP="00E13FD9">
            <w:pPr>
              <w:spacing w:before="40" w:afterLines="40" w:after="96" w:line="240" w:lineRule="auto"/>
              <w:ind w:right="-74"/>
              <w:jc w:val="center"/>
              <w:rPr>
                <w:rFonts w:eastAsia="Times New Roman" w:cs="Arial"/>
                <w:b/>
                <w:sz w:val="16"/>
                <w:szCs w:val="16"/>
                <w:lang w:eastAsia="fr-FR"/>
              </w:rPr>
            </w:pPr>
            <w:r>
              <w:rPr>
                <w:rFonts w:eastAsia="Times New Roman" w:cs="Arial"/>
                <w:b/>
                <w:sz w:val="16"/>
                <w:szCs w:val="16"/>
                <w:lang w:eastAsia="fr-FR"/>
              </w:rPr>
              <w:t>2001</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372BA6FB" w14:textId="1D3D065B" w:rsidR="000632E6" w:rsidRPr="00B75289" w:rsidRDefault="00F71BF8" w:rsidP="00E13FD9">
            <w:pPr>
              <w:spacing w:before="40" w:afterLines="40" w:after="96" w:line="240" w:lineRule="auto"/>
              <w:ind w:right="-74"/>
              <w:jc w:val="center"/>
              <w:rPr>
                <w:rFonts w:eastAsia="Times New Roman" w:cs="Arial"/>
                <w:b/>
                <w:sz w:val="16"/>
                <w:szCs w:val="16"/>
                <w:lang w:eastAsia="fr-FR"/>
              </w:rPr>
            </w:pPr>
            <w:r>
              <w:rPr>
                <w:rFonts w:eastAsia="Times New Roman" w:cs="Arial"/>
                <w:b/>
                <w:sz w:val="16"/>
                <w:szCs w:val="16"/>
                <w:lang w:eastAsia="fr-FR"/>
              </w:rPr>
              <w:t>2002</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20B1B07F" w14:textId="1FFB6407" w:rsidR="000632E6" w:rsidRPr="00B75289" w:rsidRDefault="00F71BF8" w:rsidP="00E13FD9">
            <w:pPr>
              <w:spacing w:before="40" w:afterLines="40" w:after="96" w:line="240" w:lineRule="auto"/>
              <w:ind w:right="-74"/>
              <w:jc w:val="center"/>
              <w:rPr>
                <w:rFonts w:eastAsia="Times New Roman" w:cs="Arial"/>
                <w:b/>
                <w:sz w:val="16"/>
                <w:szCs w:val="16"/>
                <w:lang w:eastAsia="fr-FR"/>
              </w:rPr>
            </w:pPr>
            <w:r>
              <w:rPr>
                <w:rFonts w:eastAsia="Times New Roman" w:cs="Arial"/>
                <w:b/>
                <w:sz w:val="16"/>
                <w:szCs w:val="16"/>
                <w:lang w:eastAsia="fr-FR"/>
              </w:rPr>
              <w:t>2003</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5BCCAC49" w14:textId="2D4B62E3" w:rsidR="000632E6" w:rsidRPr="00B75289" w:rsidRDefault="00F71BF8" w:rsidP="00E13FD9">
            <w:pPr>
              <w:spacing w:before="40" w:afterLines="40" w:after="96" w:line="240" w:lineRule="auto"/>
              <w:ind w:right="-74"/>
              <w:jc w:val="center"/>
              <w:rPr>
                <w:rFonts w:eastAsia="Times New Roman" w:cs="Arial"/>
                <w:b/>
                <w:sz w:val="16"/>
                <w:szCs w:val="16"/>
                <w:lang w:eastAsia="fr-FR"/>
              </w:rPr>
            </w:pPr>
            <w:r>
              <w:rPr>
                <w:rFonts w:eastAsia="Times New Roman" w:cs="Arial"/>
                <w:b/>
                <w:sz w:val="16"/>
                <w:szCs w:val="16"/>
                <w:lang w:eastAsia="fr-FR"/>
              </w:rPr>
              <w:t>2004</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55FA568B" w14:textId="60F40A3F" w:rsidR="000632E6" w:rsidRPr="00B75289" w:rsidRDefault="00F71BF8" w:rsidP="00E13FD9">
            <w:pPr>
              <w:spacing w:before="40" w:afterLines="40" w:after="96" w:line="240" w:lineRule="auto"/>
              <w:ind w:right="-74"/>
              <w:jc w:val="center"/>
              <w:rPr>
                <w:rFonts w:eastAsia="Times New Roman" w:cs="Arial"/>
                <w:b/>
                <w:sz w:val="16"/>
                <w:szCs w:val="16"/>
                <w:lang w:eastAsia="fr-FR"/>
              </w:rPr>
            </w:pPr>
            <w:r>
              <w:rPr>
                <w:rFonts w:eastAsia="Times New Roman" w:cs="Arial"/>
                <w:b/>
                <w:sz w:val="16"/>
                <w:szCs w:val="16"/>
                <w:lang w:eastAsia="fr-FR"/>
              </w:rPr>
              <w:t>2005</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7FD6ED28" w14:textId="3DA6799B" w:rsidR="000632E6" w:rsidRPr="00B75289" w:rsidRDefault="00F71BF8" w:rsidP="00E13FD9">
            <w:pPr>
              <w:spacing w:before="40" w:afterLines="40" w:after="96" w:line="240" w:lineRule="auto"/>
              <w:ind w:right="-74"/>
              <w:jc w:val="center"/>
              <w:rPr>
                <w:rFonts w:eastAsia="Times New Roman" w:cs="Arial"/>
                <w:b/>
                <w:sz w:val="16"/>
                <w:szCs w:val="16"/>
                <w:lang w:eastAsia="fr-FR"/>
              </w:rPr>
            </w:pPr>
            <w:r>
              <w:rPr>
                <w:rFonts w:eastAsia="Times New Roman" w:cs="Arial"/>
                <w:b/>
                <w:sz w:val="16"/>
                <w:szCs w:val="16"/>
                <w:lang w:eastAsia="fr-FR"/>
              </w:rPr>
              <w:t>2006</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73550F7D" w14:textId="54242654" w:rsidR="000632E6" w:rsidRPr="00B75289" w:rsidRDefault="00F71BF8" w:rsidP="00E13FD9">
            <w:pPr>
              <w:spacing w:before="40" w:afterLines="40" w:after="96" w:line="240" w:lineRule="auto"/>
              <w:ind w:right="-74"/>
              <w:jc w:val="center"/>
              <w:rPr>
                <w:rFonts w:eastAsia="Times New Roman" w:cs="Arial"/>
                <w:b/>
                <w:sz w:val="16"/>
                <w:szCs w:val="16"/>
                <w:lang w:eastAsia="fr-FR"/>
              </w:rPr>
            </w:pPr>
            <w:r>
              <w:rPr>
                <w:rFonts w:eastAsia="Times New Roman" w:cs="Arial"/>
                <w:b/>
                <w:sz w:val="16"/>
                <w:szCs w:val="16"/>
                <w:lang w:eastAsia="fr-FR"/>
              </w:rPr>
              <w:t>2007</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21402746" w14:textId="13911AB1" w:rsidR="000632E6" w:rsidRPr="00B75289" w:rsidRDefault="00F71BF8" w:rsidP="00E13FD9">
            <w:pPr>
              <w:spacing w:before="40" w:afterLines="40" w:after="96" w:line="240" w:lineRule="auto"/>
              <w:ind w:right="-74"/>
              <w:jc w:val="center"/>
              <w:rPr>
                <w:rFonts w:eastAsia="Times New Roman" w:cs="Arial"/>
                <w:b/>
                <w:sz w:val="16"/>
                <w:szCs w:val="16"/>
                <w:lang w:eastAsia="fr-FR"/>
              </w:rPr>
            </w:pPr>
            <w:r>
              <w:rPr>
                <w:rFonts w:eastAsia="Times New Roman" w:cs="Arial"/>
                <w:b/>
                <w:sz w:val="16"/>
                <w:szCs w:val="16"/>
                <w:lang w:eastAsia="fr-FR"/>
              </w:rPr>
              <w:t>2008</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352F5B75" w14:textId="0FA1318F" w:rsidR="000632E6" w:rsidRPr="00B75289" w:rsidRDefault="00F71BF8" w:rsidP="00E13FD9">
            <w:pPr>
              <w:spacing w:before="40" w:afterLines="40" w:after="96" w:line="240" w:lineRule="auto"/>
              <w:ind w:right="-74"/>
              <w:jc w:val="center"/>
              <w:rPr>
                <w:rFonts w:eastAsia="Times New Roman" w:cs="Arial"/>
                <w:b/>
                <w:sz w:val="16"/>
                <w:szCs w:val="16"/>
                <w:lang w:eastAsia="fr-FR"/>
              </w:rPr>
            </w:pPr>
            <w:r>
              <w:rPr>
                <w:rFonts w:eastAsia="Times New Roman" w:cs="Arial"/>
                <w:b/>
                <w:sz w:val="16"/>
                <w:szCs w:val="16"/>
                <w:lang w:eastAsia="fr-FR"/>
              </w:rPr>
              <w:t>2009</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74D465BA" w14:textId="4D70101B" w:rsidR="000632E6" w:rsidRPr="00B75289" w:rsidRDefault="00F71BF8" w:rsidP="00E13FD9">
            <w:pPr>
              <w:spacing w:before="40" w:afterLines="40" w:after="96" w:line="240" w:lineRule="auto"/>
              <w:ind w:right="-74"/>
              <w:jc w:val="center"/>
              <w:rPr>
                <w:rFonts w:eastAsia="Times New Roman" w:cs="Arial"/>
                <w:b/>
                <w:sz w:val="16"/>
                <w:szCs w:val="16"/>
                <w:lang w:eastAsia="fr-FR"/>
              </w:rPr>
            </w:pPr>
            <w:r>
              <w:rPr>
                <w:rFonts w:eastAsia="Times New Roman" w:cs="Arial"/>
                <w:b/>
                <w:sz w:val="16"/>
                <w:szCs w:val="16"/>
                <w:lang w:eastAsia="fr-FR"/>
              </w:rPr>
              <w:t>2010</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134F82B0" w14:textId="0D856CD2" w:rsidR="000632E6" w:rsidRPr="00B75289" w:rsidRDefault="00F71BF8" w:rsidP="00E13FD9">
            <w:pPr>
              <w:spacing w:before="40" w:afterLines="40" w:after="96" w:line="240" w:lineRule="auto"/>
              <w:ind w:right="-74"/>
              <w:jc w:val="center"/>
              <w:rPr>
                <w:rFonts w:eastAsia="Times New Roman" w:cs="Arial"/>
                <w:b/>
                <w:sz w:val="16"/>
                <w:szCs w:val="16"/>
                <w:lang w:eastAsia="fr-FR"/>
              </w:rPr>
            </w:pPr>
            <w:r>
              <w:rPr>
                <w:rFonts w:eastAsia="Times New Roman" w:cs="Arial"/>
                <w:b/>
                <w:sz w:val="16"/>
                <w:szCs w:val="16"/>
                <w:lang w:eastAsia="fr-FR"/>
              </w:rPr>
              <w:t>2011</w:t>
            </w:r>
          </w:p>
        </w:tc>
      </w:tr>
      <w:tr w:rsidR="001C3915" w:rsidRPr="00155CA1" w14:paraId="7A9B13E2" w14:textId="77777777" w:rsidTr="00E13FD9">
        <w:trPr>
          <w:trHeight w:val="246"/>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682C3"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t>Alcohol Refining</w:t>
            </w:r>
          </w:p>
        </w:tc>
        <w:tc>
          <w:tcPr>
            <w:tcW w:w="397" w:type="pct"/>
            <w:tcBorders>
              <w:top w:val="single" w:sz="4" w:space="0" w:color="auto"/>
              <w:left w:val="nil"/>
              <w:bottom w:val="single" w:sz="4" w:space="0" w:color="auto"/>
              <w:right w:val="single" w:sz="4" w:space="0" w:color="auto"/>
            </w:tcBorders>
            <w:shd w:val="clear" w:color="auto" w:fill="auto"/>
            <w:vAlign w:val="center"/>
          </w:tcPr>
          <w:p w14:paraId="7D434362" w14:textId="5CDCC3D1"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17</w:t>
            </w:r>
            <w:r>
              <w:rPr>
                <w:rFonts w:cstheme="minorHAnsi"/>
                <w:sz w:val="16"/>
                <w:szCs w:val="16"/>
              </w:rPr>
              <w:t>,</w:t>
            </w:r>
            <w:r w:rsidRPr="00622F40">
              <w:rPr>
                <w:rFonts w:cstheme="minorHAnsi"/>
                <w:sz w:val="16"/>
                <w:szCs w:val="16"/>
              </w:rPr>
              <w:t>434</w:t>
            </w:r>
          </w:p>
        </w:tc>
        <w:tc>
          <w:tcPr>
            <w:tcW w:w="397" w:type="pct"/>
            <w:tcBorders>
              <w:top w:val="single" w:sz="4" w:space="0" w:color="auto"/>
              <w:left w:val="nil"/>
              <w:bottom w:val="single" w:sz="4" w:space="0" w:color="auto"/>
              <w:right w:val="single" w:sz="4" w:space="0" w:color="auto"/>
            </w:tcBorders>
            <w:shd w:val="clear" w:color="auto" w:fill="auto"/>
            <w:vAlign w:val="center"/>
          </w:tcPr>
          <w:p w14:paraId="187D10EC" w14:textId="6CEDEFBE"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16</w:t>
            </w:r>
            <w:r>
              <w:rPr>
                <w:rFonts w:cstheme="minorHAnsi"/>
                <w:sz w:val="16"/>
                <w:szCs w:val="16"/>
              </w:rPr>
              <w:t>,</w:t>
            </w:r>
            <w:r w:rsidRPr="00622F40">
              <w:rPr>
                <w:rFonts w:cstheme="minorHAnsi"/>
                <w:sz w:val="16"/>
                <w:szCs w:val="16"/>
              </w:rPr>
              <w:t>969</w:t>
            </w:r>
          </w:p>
        </w:tc>
        <w:tc>
          <w:tcPr>
            <w:tcW w:w="397" w:type="pct"/>
            <w:tcBorders>
              <w:top w:val="single" w:sz="4" w:space="0" w:color="auto"/>
              <w:left w:val="nil"/>
              <w:bottom w:val="single" w:sz="4" w:space="0" w:color="auto"/>
              <w:right w:val="single" w:sz="4" w:space="0" w:color="auto"/>
            </w:tcBorders>
            <w:shd w:val="clear" w:color="auto" w:fill="auto"/>
            <w:vAlign w:val="center"/>
          </w:tcPr>
          <w:p w14:paraId="10FEED34" w14:textId="377F467A"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19</w:t>
            </w:r>
            <w:r>
              <w:rPr>
                <w:rFonts w:cstheme="minorHAnsi"/>
                <w:sz w:val="16"/>
                <w:szCs w:val="16"/>
              </w:rPr>
              <w:t>,</w:t>
            </w:r>
            <w:r w:rsidRPr="00622F40">
              <w:rPr>
                <w:rFonts w:cstheme="minorHAnsi"/>
                <w:sz w:val="16"/>
                <w:szCs w:val="16"/>
              </w:rPr>
              <w:t>166</w:t>
            </w:r>
          </w:p>
        </w:tc>
        <w:tc>
          <w:tcPr>
            <w:tcW w:w="397" w:type="pct"/>
            <w:tcBorders>
              <w:top w:val="single" w:sz="4" w:space="0" w:color="auto"/>
              <w:left w:val="nil"/>
              <w:bottom w:val="single" w:sz="4" w:space="0" w:color="auto"/>
              <w:right w:val="single" w:sz="4" w:space="0" w:color="auto"/>
            </w:tcBorders>
            <w:shd w:val="clear" w:color="auto" w:fill="auto"/>
            <w:vAlign w:val="center"/>
          </w:tcPr>
          <w:p w14:paraId="1EDE9199" w14:textId="3EC15180"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20</w:t>
            </w:r>
            <w:r w:rsidR="00C11FDB">
              <w:rPr>
                <w:rFonts w:cstheme="minorHAnsi"/>
                <w:sz w:val="16"/>
                <w:szCs w:val="16"/>
              </w:rPr>
              <w:t>,</w:t>
            </w:r>
            <w:r w:rsidRPr="00622F40">
              <w:rPr>
                <w:rFonts w:cstheme="minorHAnsi"/>
                <w:sz w:val="16"/>
                <w:szCs w:val="16"/>
              </w:rPr>
              <w:t>166</w:t>
            </w:r>
          </w:p>
        </w:tc>
        <w:tc>
          <w:tcPr>
            <w:tcW w:w="397" w:type="pct"/>
            <w:tcBorders>
              <w:top w:val="single" w:sz="4" w:space="0" w:color="auto"/>
              <w:left w:val="nil"/>
              <w:bottom w:val="single" w:sz="4" w:space="0" w:color="auto"/>
              <w:right w:val="single" w:sz="4" w:space="0" w:color="auto"/>
            </w:tcBorders>
            <w:shd w:val="clear" w:color="auto" w:fill="auto"/>
            <w:vAlign w:val="center"/>
          </w:tcPr>
          <w:p w14:paraId="5B846CC7" w14:textId="5459F6D7"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15</w:t>
            </w:r>
            <w:r w:rsidR="00C11FDB">
              <w:rPr>
                <w:rFonts w:cstheme="minorHAnsi"/>
                <w:sz w:val="16"/>
                <w:szCs w:val="16"/>
              </w:rPr>
              <w:t>,</w:t>
            </w:r>
            <w:r w:rsidRPr="00622F40">
              <w:rPr>
                <w:rFonts w:cstheme="minorHAnsi"/>
                <w:sz w:val="16"/>
                <w:szCs w:val="16"/>
              </w:rPr>
              <w:t>286</w:t>
            </w:r>
          </w:p>
        </w:tc>
        <w:tc>
          <w:tcPr>
            <w:tcW w:w="397" w:type="pct"/>
            <w:tcBorders>
              <w:top w:val="single" w:sz="4" w:space="0" w:color="auto"/>
              <w:left w:val="nil"/>
              <w:bottom w:val="single" w:sz="4" w:space="0" w:color="auto"/>
              <w:right w:val="single" w:sz="4" w:space="0" w:color="auto"/>
            </w:tcBorders>
            <w:shd w:val="clear" w:color="auto" w:fill="auto"/>
            <w:vAlign w:val="center"/>
          </w:tcPr>
          <w:p w14:paraId="024DF21A" w14:textId="16E2037C"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17</w:t>
            </w:r>
            <w:r w:rsidR="00C11FDB">
              <w:rPr>
                <w:rFonts w:cstheme="minorHAnsi"/>
                <w:sz w:val="16"/>
                <w:szCs w:val="16"/>
              </w:rPr>
              <w:t>,</w:t>
            </w:r>
            <w:r w:rsidRPr="00622F40">
              <w:rPr>
                <w:rFonts w:cstheme="minorHAnsi"/>
                <w:sz w:val="16"/>
                <w:szCs w:val="16"/>
              </w:rPr>
              <w:t>761</w:t>
            </w:r>
          </w:p>
        </w:tc>
        <w:tc>
          <w:tcPr>
            <w:tcW w:w="397" w:type="pct"/>
            <w:tcBorders>
              <w:top w:val="single" w:sz="4" w:space="0" w:color="auto"/>
              <w:left w:val="nil"/>
              <w:bottom w:val="single" w:sz="4" w:space="0" w:color="auto"/>
              <w:right w:val="single" w:sz="4" w:space="0" w:color="auto"/>
            </w:tcBorders>
            <w:shd w:val="clear" w:color="auto" w:fill="auto"/>
            <w:vAlign w:val="center"/>
          </w:tcPr>
          <w:p w14:paraId="034D80D4" w14:textId="75F25A1A"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16</w:t>
            </w:r>
            <w:r w:rsidR="00C11FDB">
              <w:rPr>
                <w:rFonts w:cstheme="minorHAnsi"/>
                <w:sz w:val="16"/>
                <w:szCs w:val="16"/>
              </w:rPr>
              <w:t>,</w:t>
            </w:r>
            <w:r w:rsidRPr="00622F40">
              <w:rPr>
                <w:rFonts w:cstheme="minorHAnsi"/>
                <w:sz w:val="16"/>
                <w:szCs w:val="16"/>
              </w:rPr>
              <w:t>543</w:t>
            </w:r>
          </w:p>
        </w:tc>
        <w:tc>
          <w:tcPr>
            <w:tcW w:w="397" w:type="pct"/>
            <w:tcBorders>
              <w:top w:val="single" w:sz="4" w:space="0" w:color="auto"/>
              <w:left w:val="nil"/>
              <w:bottom w:val="single" w:sz="4" w:space="0" w:color="auto"/>
              <w:right w:val="single" w:sz="4" w:space="0" w:color="auto"/>
            </w:tcBorders>
            <w:shd w:val="clear" w:color="auto" w:fill="auto"/>
            <w:vAlign w:val="center"/>
          </w:tcPr>
          <w:p w14:paraId="4F53ED07" w14:textId="2448A80C"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16</w:t>
            </w:r>
            <w:r w:rsidR="00C11FDB">
              <w:rPr>
                <w:rFonts w:cstheme="minorHAnsi"/>
                <w:sz w:val="16"/>
                <w:szCs w:val="16"/>
              </w:rPr>
              <w:t>,</w:t>
            </w:r>
            <w:r w:rsidRPr="00622F40">
              <w:rPr>
                <w:rFonts w:cstheme="minorHAnsi"/>
                <w:sz w:val="16"/>
                <w:szCs w:val="16"/>
              </w:rPr>
              <w:t>553</w:t>
            </w:r>
          </w:p>
        </w:tc>
        <w:tc>
          <w:tcPr>
            <w:tcW w:w="397" w:type="pct"/>
            <w:tcBorders>
              <w:top w:val="single" w:sz="4" w:space="0" w:color="auto"/>
              <w:left w:val="nil"/>
              <w:bottom w:val="single" w:sz="4" w:space="0" w:color="auto"/>
              <w:right w:val="single" w:sz="4" w:space="0" w:color="auto"/>
            </w:tcBorders>
            <w:shd w:val="clear" w:color="auto" w:fill="auto"/>
            <w:vAlign w:val="center"/>
          </w:tcPr>
          <w:p w14:paraId="61B9163B" w14:textId="1AC7681D"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12</w:t>
            </w:r>
            <w:r w:rsidR="00C11FDB">
              <w:rPr>
                <w:rFonts w:cstheme="minorHAnsi"/>
                <w:sz w:val="16"/>
                <w:szCs w:val="16"/>
              </w:rPr>
              <w:t>,</w:t>
            </w:r>
            <w:r w:rsidRPr="00622F40">
              <w:rPr>
                <w:rFonts w:cstheme="minorHAnsi"/>
                <w:sz w:val="16"/>
                <w:szCs w:val="16"/>
              </w:rPr>
              <w:t>702</w:t>
            </w:r>
          </w:p>
        </w:tc>
        <w:tc>
          <w:tcPr>
            <w:tcW w:w="397" w:type="pct"/>
            <w:tcBorders>
              <w:top w:val="single" w:sz="4" w:space="0" w:color="auto"/>
              <w:left w:val="nil"/>
              <w:bottom w:val="single" w:sz="4" w:space="0" w:color="auto"/>
              <w:right w:val="single" w:sz="4" w:space="0" w:color="auto"/>
            </w:tcBorders>
            <w:shd w:val="clear" w:color="auto" w:fill="auto"/>
            <w:vAlign w:val="center"/>
          </w:tcPr>
          <w:p w14:paraId="1496AED3" w14:textId="53E1B32C"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11</w:t>
            </w:r>
            <w:r w:rsidR="00C11FDB">
              <w:rPr>
                <w:rFonts w:cstheme="minorHAnsi"/>
                <w:sz w:val="16"/>
                <w:szCs w:val="16"/>
              </w:rPr>
              <w:t>,</w:t>
            </w:r>
            <w:r w:rsidRPr="00622F40">
              <w:rPr>
                <w:rFonts w:cstheme="minorHAnsi"/>
                <w:sz w:val="16"/>
                <w:szCs w:val="16"/>
              </w:rPr>
              <w:t>159</w:t>
            </w:r>
          </w:p>
        </w:tc>
        <w:tc>
          <w:tcPr>
            <w:tcW w:w="397" w:type="pct"/>
            <w:tcBorders>
              <w:top w:val="single" w:sz="4" w:space="0" w:color="auto"/>
              <w:left w:val="nil"/>
              <w:bottom w:val="single" w:sz="4" w:space="0" w:color="auto"/>
              <w:right w:val="single" w:sz="4" w:space="0" w:color="auto"/>
            </w:tcBorders>
            <w:shd w:val="clear" w:color="auto" w:fill="auto"/>
            <w:vAlign w:val="center"/>
          </w:tcPr>
          <w:p w14:paraId="73BDA2E0" w14:textId="6326F18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9</w:t>
            </w:r>
            <w:r w:rsidR="00C11FDB">
              <w:rPr>
                <w:rFonts w:cstheme="minorHAnsi"/>
                <w:sz w:val="16"/>
                <w:szCs w:val="16"/>
              </w:rPr>
              <w:t>,</w:t>
            </w:r>
            <w:r w:rsidRPr="00622F40">
              <w:rPr>
                <w:rFonts w:cstheme="minorHAnsi"/>
                <w:sz w:val="16"/>
                <w:szCs w:val="16"/>
              </w:rPr>
              <w:t>135</w:t>
            </w:r>
          </w:p>
        </w:tc>
      </w:tr>
      <w:tr w:rsidR="001C3915" w:rsidRPr="00155CA1" w14:paraId="6C18AE15"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F576D4"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t>Beer &amp; Malt</w:t>
            </w:r>
          </w:p>
        </w:tc>
        <w:tc>
          <w:tcPr>
            <w:tcW w:w="397" w:type="pct"/>
            <w:tcBorders>
              <w:top w:val="single" w:sz="4" w:space="0" w:color="auto"/>
              <w:left w:val="nil"/>
              <w:bottom w:val="single" w:sz="4" w:space="0" w:color="auto"/>
              <w:right w:val="single" w:sz="4" w:space="0" w:color="auto"/>
            </w:tcBorders>
            <w:shd w:val="clear" w:color="auto" w:fill="auto"/>
            <w:vAlign w:val="center"/>
          </w:tcPr>
          <w:p w14:paraId="03DC6482" w14:textId="1C51229D"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638</w:t>
            </w:r>
            <w:r>
              <w:rPr>
                <w:rFonts w:cstheme="minorHAnsi"/>
                <w:sz w:val="16"/>
                <w:szCs w:val="16"/>
              </w:rPr>
              <w:t>,</w:t>
            </w:r>
            <w:r w:rsidRPr="00622F40">
              <w:rPr>
                <w:rFonts w:cstheme="minorHAnsi"/>
                <w:sz w:val="16"/>
                <w:szCs w:val="16"/>
              </w:rPr>
              <w:t>216</w:t>
            </w:r>
          </w:p>
        </w:tc>
        <w:tc>
          <w:tcPr>
            <w:tcW w:w="397" w:type="pct"/>
            <w:tcBorders>
              <w:top w:val="single" w:sz="4" w:space="0" w:color="auto"/>
              <w:left w:val="nil"/>
              <w:bottom w:val="single" w:sz="4" w:space="0" w:color="auto"/>
              <w:right w:val="single" w:sz="4" w:space="0" w:color="auto"/>
            </w:tcBorders>
            <w:shd w:val="clear" w:color="auto" w:fill="auto"/>
            <w:vAlign w:val="center"/>
          </w:tcPr>
          <w:p w14:paraId="39087943" w14:textId="6E3217E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644</w:t>
            </w:r>
            <w:r>
              <w:rPr>
                <w:rFonts w:cstheme="minorHAnsi"/>
                <w:sz w:val="16"/>
                <w:szCs w:val="16"/>
              </w:rPr>
              <w:t>,</w:t>
            </w:r>
            <w:r w:rsidRPr="00622F40">
              <w:rPr>
                <w:rFonts w:cstheme="minorHAnsi"/>
                <w:sz w:val="16"/>
                <w:szCs w:val="16"/>
              </w:rPr>
              <w:t>141</w:t>
            </w:r>
          </w:p>
        </w:tc>
        <w:tc>
          <w:tcPr>
            <w:tcW w:w="397" w:type="pct"/>
            <w:tcBorders>
              <w:top w:val="single" w:sz="4" w:space="0" w:color="auto"/>
              <w:left w:val="nil"/>
              <w:bottom w:val="single" w:sz="4" w:space="0" w:color="auto"/>
              <w:right w:val="single" w:sz="4" w:space="0" w:color="auto"/>
            </w:tcBorders>
            <w:shd w:val="clear" w:color="auto" w:fill="auto"/>
            <w:vAlign w:val="center"/>
          </w:tcPr>
          <w:p w14:paraId="1520D55C" w14:textId="43B13EA2"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631</w:t>
            </w:r>
            <w:r>
              <w:rPr>
                <w:rFonts w:cstheme="minorHAnsi"/>
                <w:sz w:val="16"/>
                <w:szCs w:val="16"/>
              </w:rPr>
              <w:t>,</w:t>
            </w:r>
            <w:r w:rsidRPr="00622F40">
              <w:rPr>
                <w:rFonts w:cstheme="minorHAnsi"/>
                <w:sz w:val="16"/>
                <w:szCs w:val="16"/>
              </w:rPr>
              <w:t>954</w:t>
            </w:r>
          </w:p>
        </w:tc>
        <w:tc>
          <w:tcPr>
            <w:tcW w:w="397" w:type="pct"/>
            <w:tcBorders>
              <w:top w:val="single" w:sz="4" w:space="0" w:color="auto"/>
              <w:left w:val="nil"/>
              <w:bottom w:val="single" w:sz="4" w:space="0" w:color="auto"/>
              <w:right w:val="single" w:sz="4" w:space="0" w:color="auto"/>
            </w:tcBorders>
            <w:shd w:val="clear" w:color="auto" w:fill="auto"/>
            <w:vAlign w:val="center"/>
          </w:tcPr>
          <w:p w14:paraId="27A5F1FB" w14:textId="6AAB2A26"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591</w:t>
            </w:r>
            <w:r w:rsidR="00C11FDB">
              <w:rPr>
                <w:rFonts w:cstheme="minorHAnsi"/>
                <w:sz w:val="16"/>
                <w:szCs w:val="16"/>
              </w:rPr>
              <w:t>,</w:t>
            </w:r>
            <w:r w:rsidRPr="00622F40">
              <w:rPr>
                <w:rFonts w:cstheme="minorHAnsi"/>
                <w:sz w:val="16"/>
                <w:szCs w:val="16"/>
              </w:rPr>
              <w:t>520</w:t>
            </w:r>
          </w:p>
        </w:tc>
        <w:tc>
          <w:tcPr>
            <w:tcW w:w="397" w:type="pct"/>
            <w:tcBorders>
              <w:top w:val="single" w:sz="4" w:space="0" w:color="auto"/>
              <w:left w:val="nil"/>
              <w:bottom w:val="single" w:sz="4" w:space="0" w:color="auto"/>
              <w:right w:val="single" w:sz="4" w:space="0" w:color="auto"/>
            </w:tcBorders>
            <w:shd w:val="clear" w:color="auto" w:fill="auto"/>
            <w:vAlign w:val="center"/>
          </w:tcPr>
          <w:p w14:paraId="2440EF92" w14:textId="39B2ABD8"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594</w:t>
            </w:r>
            <w:r w:rsidR="00C11FDB">
              <w:rPr>
                <w:rFonts w:cstheme="minorHAnsi"/>
                <w:sz w:val="16"/>
                <w:szCs w:val="16"/>
              </w:rPr>
              <w:t>,</w:t>
            </w:r>
            <w:r w:rsidRPr="00622F40">
              <w:rPr>
                <w:rFonts w:cstheme="minorHAnsi"/>
                <w:sz w:val="16"/>
                <w:szCs w:val="16"/>
              </w:rPr>
              <w:t>380</w:t>
            </w:r>
          </w:p>
        </w:tc>
        <w:tc>
          <w:tcPr>
            <w:tcW w:w="397" w:type="pct"/>
            <w:tcBorders>
              <w:top w:val="single" w:sz="4" w:space="0" w:color="auto"/>
              <w:left w:val="nil"/>
              <w:bottom w:val="single" w:sz="4" w:space="0" w:color="auto"/>
              <w:right w:val="single" w:sz="4" w:space="0" w:color="auto"/>
            </w:tcBorders>
            <w:shd w:val="clear" w:color="auto" w:fill="auto"/>
            <w:vAlign w:val="center"/>
          </w:tcPr>
          <w:p w14:paraId="6A336F28" w14:textId="4BFCD197"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733</w:t>
            </w:r>
            <w:r w:rsidR="00C11FDB">
              <w:rPr>
                <w:rFonts w:cstheme="minorHAnsi"/>
                <w:sz w:val="16"/>
                <w:szCs w:val="16"/>
              </w:rPr>
              <w:t>,</w:t>
            </w:r>
            <w:r w:rsidRPr="00622F40">
              <w:rPr>
                <w:rFonts w:cstheme="minorHAnsi"/>
                <w:sz w:val="16"/>
                <w:szCs w:val="16"/>
              </w:rPr>
              <w:t>840</w:t>
            </w:r>
          </w:p>
        </w:tc>
        <w:tc>
          <w:tcPr>
            <w:tcW w:w="397" w:type="pct"/>
            <w:tcBorders>
              <w:top w:val="single" w:sz="4" w:space="0" w:color="auto"/>
              <w:left w:val="nil"/>
              <w:bottom w:val="single" w:sz="4" w:space="0" w:color="auto"/>
              <w:right w:val="single" w:sz="4" w:space="0" w:color="auto"/>
            </w:tcBorders>
            <w:shd w:val="clear" w:color="auto" w:fill="auto"/>
            <w:vAlign w:val="center"/>
          </w:tcPr>
          <w:p w14:paraId="523C376F" w14:textId="7CAAFD16"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739</w:t>
            </w:r>
            <w:r w:rsidR="00C11FDB">
              <w:rPr>
                <w:rFonts w:cstheme="minorHAnsi"/>
                <w:sz w:val="16"/>
                <w:szCs w:val="16"/>
              </w:rPr>
              <w:t>,</w:t>
            </w:r>
            <w:r w:rsidRPr="00622F40">
              <w:rPr>
                <w:rFonts w:cstheme="minorHAnsi"/>
                <w:sz w:val="16"/>
                <w:szCs w:val="16"/>
              </w:rPr>
              <w:t>817</w:t>
            </w:r>
          </w:p>
        </w:tc>
        <w:tc>
          <w:tcPr>
            <w:tcW w:w="397" w:type="pct"/>
            <w:tcBorders>
              <w:top w:val="single" w:sz="4" w:space="0" w:color="auto"/>
              <w:left w:val="nil"/>
              <w:bottom w:val="single" w:sz="4" w:space="0" w:color="auto"/>
              <w:right w:val="single" w:sz="4" w:space="0" w:color="auto"/>
            </w:tcBorders>
            <w:shd w:val="clear" w:color="auto" w:fill="auto"/>
            <w:vAlign w:val="center"/>
          </w:tcPr>
          <w:p w14:paraId="6B27785C" w14:textId="60DF05E3"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739</w:t>
            </w:r>
            <w:r w:rsidR="00C11FDB">
              <w:rPr>
                <w:rFonts w:cstheme="minorHAnsi"/>
                <w:sz w:val="16"/>
                <w:szCs w:val="16"/>
              </w:rPr>
              <w:t>,</w:t>
            </w:r>
            <w:r w:rsidRPr="00622F40">
              <w:rPr>
                <w:rFonts w:cstheme="minorHAnsi"/>
                <w:sz w:val="16"/>
                <w:szCs w:val="16"/>
              </w:rPr>
              <w:t>950</w:t>
            </w:r>
          </w:p>
        </w:tc>
        <w:tc>
          <w:tcPr>
            <w:tcW w:w="397" w:type="pct"/>
            <w:tcBorders>
              <w:top w:val="single" w:sz="4" w:space="0" w:color="auto"/>
              <w:left w:val="nil"/>
              <w:bottom w:val="single" w:sz="4" w:space="0" w:color="auto"/>
              <w:right w:val="single" w:sz="4" w:space="0" w:color="auto"/>
            </w:tcBorders>
            <w:shd w:val="clear" w:color="auto" w:fill="auto"/>
            <w:vAlign w:val="center"/>
          </w:tcPr>
          <w:p w14:paraId="644155DC" w14:textId="0D0C435F"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97</w:t>
            </w:r>
            <w:r w:rsidR="00C11FDB">
              <w:rPr>
                <w:rFonts w:cstheme="minorHAnsi"/>
                <w:sz w:val="16"/>
                <w:szCs w:val="16"/>
              </w:rPr>
              <w:t>,</w:t>
            </w:r>
            <w:r w:rsidRPr="00622F40">
              <w:rPr>
                <w:rFonts w:cstheme="minorHAnsi"/>
                <w:sz w:val="16"/>
                <w:szCs w:val="16"/>
              </w:rPr>
              <w:t>611</w:t>
            </w:r>
          </w:p>
        </w:tc>
        <w:tc>
          <w:tcPr>
            <w:tcW w:w="397" w:type="pct"/>
            <w:tcBorders>
              <w:top w:val="single" w:sz="4" w:space="0" w:color="auto"/>
              <w:left w:val="nil"/>
              <w:bottom w:val="single" w:sz="4" w:space="0" w:color="auto"/>
              <w:right w:val="single" w:sz="4" w:space="0" w:color="auto"/>
            </w:tcBorders>
            <w:shd w:val="clear" w:color="auto" w:fill="auto"/>
            <w:vAlign w:val="center"/>
          </w:tcPr>
          <w:p w14:paraId="3987BD40" w14:textId="3FB0E407"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603</w:t>
            </w:r>
            <w:r w:rsidR="00C11FDB">
              <w:rPr>
                <w:rFonts w:cstheme="minorHAnsi"/>
                <w:sz w:val="16"/>
                <w:szCs w:val="16"/>
              </w:rPr>
              <w:t>,</w:t>
            </w:r>
            <w:r w:rsidRPr="00622F40">
              <w:rPr>
                <w:rFonts w:cstheme="minorHAnsi"/>
                <w:sz w:val="16"/>
                <w:szCs w:val="16"/>
              </w:rPr>
              <w:t>157</w:t>
            </w:r>
          </w:p>
        </w:tc>
        <w:tc>
          <w:tcPr>
            <w:tcW w:w="397" w:type="pct"/>
            <w:tcBorders>
              <w:top w:val="single" w:sz="4" w:space="0" w:color="auto"/>
              <w:left w:val="nil"/>
              <w:bottom w:val="single" w:sz="4" w:space="0" w:color="auto"/>
              <w:right w:val="single" w:sz="4" w:space="0" w:color="auto"/>
            </w:tcBorders>
            <w:shd w:val="clear" w:color="auto" w:fill="auto"/>
            <w:vAlign w:val="center"/>
          </w:tcPr>
          <w:p w14:paraId="27742268" w14:textId="1E551D07"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607</w:t>
            </w:r>
            <w:r w:rsidR="00C11FDB">
              <w:rPr>
                <w:rFonts w:cstheme="minorHAnsi"/>
                <w:sz w:val="16"/>
                <w:szCs w:val="16"/>
              </w:rPr>
              <w:t>,</w:t>
            </w:r>
            <w:r w:rsidRPr="00622F40">
              <w:rPr>
                <w:rFonts w:cstheme="minorHAnsi"/>
                <w:sz w:val="16"/>
                <w:szCs w:val="16"/>
              </w:rPr>
              <w:t>970</w:t>
            </w:r>
          </w:p>
        </w:tc>
      </w:tr>
      <w:tr w:rsidR="001C3915" w:rsidRPr="00155CA1" w14:paraId="2FA9DA4C"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0EDCC"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t>Dairy Products</w:t>
            </w:r>
          </w:p>
        </w:tc>
        <w:tc>
          <w:tcPr>
            <w:tcW w:w="397" w:type="pct"/>
            <w:tcBorders>
              <w:top w:val="single" w:sz="4" w:space="0" w:color="auto"/>
              <w:left w:val="nil"/>
              <w:bottom w:val="single" w:sz="4" w:space="0" w:color="auto"/>
              <w:right w:val="single" w:sz="4" w:space="0" w:color="auto"/>
            </w:tcBorders>
            <w:shd w:val="clear" w:color="auto" w:fill="auto"/>
            <w:vAlign w:val="center"/>
          </w:tcPr>
          <w:p w14:paraId="52DF7C8E" w14:textId="43F439B5"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368</w:t>
            </w:r>
            <w:r>
              <w:rPr>
                <w:rFonts w:cstheme="minorHAnsi"/>
                <w:sz w:val="16"/>
                <w:szCs w:val="16"/>
              </w:rPr>
              <w:t>,</w:t>
            </w:r>
            <w:r w:rsidRPr="00622F40">
              <w:rPr>
                <w:rFonts w:cstheme="minorHAnsi"/>
                <w:sz w:val="16"/>
                <w:szCs w:val="16"/>
              </w:rPr>
              <w:t>976</w:t>
            </w:r>
          </w:p>
        </w:tc>
        <w:tc>
          <w:tcPr>
            <w:tcW w:w="397" w:type="pct"/>
            <w:tcBorders>
              <w:top w:val="single" w:sz="4" w:space="0" w:color="auto"/>
              <w:left w:val="nil"/>
              <w:bottom w:val="single" w:sz="4" w:space="0" w:color="auto"/>
              <w:right w:val="single" w:sz="4" w:space="0" w:color="auto"/>
            </w:tcBorders>
            <w:shd w:val="clear" w:color="auto" w:fill="auto"/>
            <w:vAlign w:val="center"/>
          </w:tcPr>
          <w:p w14:paraId="62BA3E6F" w14:textId="223B350E"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423</w:t>
            </w:r>
            <w:r>
              <w:rPr>
                <w:rFonts w:cstheme="minorHAnsi"/>
                <w:sz w:val="16"/>
                <w:szCs w:val="16"/>
              </w:rPr>
              <w:t>,</w:t>
            </w:r>
            <w:r w:rsidRPr="00622F40">
              <w:rPr>
                <w:rFonts w:cstheme="minorHAnsi"/>
                <w:sz w:val="16"/>
                <w:szCs w:val="16"/>
              </w:rPr>
              <w:t>436</w:t>
            </w:r>
          </w:p>
        </w:tc>
        <w:tc>
          <w:tcPr>
            <w:tcW w:w="397" w:type="pct"/>
            <w:tcBorders>
              <w:top w:val="single" w:sz="4" w:space="0" w:color="auto"/>
              <w:left w:val="nil"/>
              <w:bottom w:val="single" w:sz="4" w:space="0" w:color="auto"/>
              <w:right w:val="single" w:sz="4" w:space="0" w:color="auto"/>
            </w:tcBorders>
            <w:shd w:val="clear" w:color="auto" w:fill="auto"/>
            <w:vAlign w:val="center"/>
          </w:tcPr>
          <w:p w14:paraId="1DFA02EA" w14:textId="05E9A913"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410</w:t>
            </w:r>
            <w:r>
              <w:rPr>
                <w:rFonts w:cstheme="minorHAnsi"/>
                <w:sz w:val="16"/>
                <w:szCs w:val="16"/>
              </w:rPr>
              <w:t>,</w:t>
            </w:r>
            <w:r w:rsidRPr="00622F40">
              <w:rPr>
                <w:rFonts w:cstheme="minorHAnsi"/>
                <w:sz w:val="16"/>
                <w:szCs w:val="16"/>
              </w:rPr>
              <w:t>288</w:t>
            </w:r>
          </w:p>
        </w:tc>
        <w:tc>
          <w:tcPr>
            <w:tcW w:w="397" w:type="pct"/>
            <w:tcBorders>
              <w:top w:val="single" w:sz="4" w:space="0" w:color="auto"/>
              <w:left w:val="nil"/>
              <w:bottom w:val="single" w:sz="4" w:space="0" w:color="auto"/>
              <w:right w:val="single" w:sz="4" w:space="0" w:color="auto"/>
            </w:tcBorders>
            <w:shd w:val="clear" w:color="auto" w:fill="auto"/>
            <w:vAlign w:val="center"/>
          </w:tcPr>
          <w:p w14:paraId="1B4E95A4" w14:textId="4B0D6324"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390</w:t>
            </w:r>
            <w:r w:rsidR="00C11FDB">
              <w:rPr>
                <w:rFonts w:cstheme="minorHAnsi"/>
                <w:sz w:val="16"/>
                <w:szCs w:val="16"/>
              </w:rPr>
              <w:t>,</w:t>
            </w:r>
            <w:r w:rsidRPr="00622F40">
              <w:rPr>
                <w:rFonts w:cstheme="minorHAnsi"/>
                <w:sz w:val="16"/>
                <w:szCs w:val="16"/>
              </w:rPr>
              <w:t>053</w:t>
            </w:r>
          </w:p>
        </w:tc>
        <w:tc>
          <w:tcPr>
            <w:tcW w:w="397" w:type="pct"/>
            <w:tcBorders>
              <w:top w:val="single" w:sz="4" w:space="0" w:color="auto"/>
              <w:left w:val="nil"/>
              <w:bottom w:val="single" w:sz="4" w:space="0" w:color="auto"/>
              <w:right w:val="single" w:sz="4" w:space="0" w:color="auto"/>
            </w:tcBorders>
            <w:shd w:val="clear" w:color="auto" w:fill="auto"/>
            <w:vAlign w:val="center"/>
          </w:tcPr>
          <w:p w14:paraId="30CF64C2" w14:textId="7A099CE7"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398</w:t>
            </w:r>
            <w:r w:rsidR="00C11FDB">
              <w:rPr>
                <w:rFonts w:cstheme="minorHAnsi"/>
                <w:sz w:val="16"/>
                <w:szCs w:val="16"/>
              </w:rPr>
              <w:t>,</w:t>
            </w:r>
            <w:r w:rsidRPr="00622F40">
              <w:rPr>
                <w:rFonts w:cstheme="minorHAnsi"/>
                <w:sz w:val="16"/>
                <w:szCs w:val="16"/>
              </w:rPr>
              <w:t>541</w:t>
            </w:r>
          </w:p>
        </w:tc>
        <w:tc>
          <w:tcPr>
            <w:tcW w:w="397" w:type="pct"/>
            <w:tcBorders>
              <w:top w:val="single" w:sz="4" w:space="0" w:color="auto"/>
              <w:left w:val="nil"/>
              <w:bottom w:val="single" w:sz="4" w:space="0" w:color="auto"/>
              <w:right w:val="single" w:sz="4" w:space="0" w:color="auto"/>
            </w:tcBorders>
            <w:shd w:val="clear" w:color="auto" w:fill="auto"/>
            <w:vAlign w:val="center"/>
          </w:tcPr>
          <w:p w14:paraId="1F593873" w14:textId="38C5A646"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408</w:t>
            </w:r>
            <w:r w:rsidR="00C11FDB">
              <w:rPr>
                <w:rFonts w:cstheme="minorHAnsi"/>
                <w:sz w:val="16"/>
                <w:szCs w:val="16"/>
              </w:rPr>
              <w:t>,</w:t>
            </w:r>
            <w:r w:rsidRPr="00622F40">
              <w:rPr>
                <w:rFonts w:cstheme="minorHAnsi"/>
                <w:sz w:val="16"/>
                <w:szCs w:val="16"/>
              </w:rPr>
              <w:t>644</w:t>
            </w:r>
          </w:p>
        </w:tc>
        <w:tc>
          <w:tcPr>
            <w:tcW w:w="397" w:type="pct"/>
            <w:tcBorders>
              <w:top w:val="single" w:sz="4" w:space="0" w:color="auto"/>
              <w:left w:val="nil"/>
              <w:bottom w:val="single" w:sz="4" w:space="0" w:color="auto"/>
              <w:right w:val="single" w:sz="4" w:space="0" w:color="auto"/>
            </w:tcBorders>
            <w:shd w:val="clear" w:color="auto" w:fill="auto"/>
            <w:vAlign w:val="center"/>
          </w:tcPr>
          <w:p w14:paraId="3CD762AD" w14:textId="260C735A"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469</w:t>
            </w:r>
            <w:r w:rsidR="00C11FDB">
              <w:rPr>
                <w:rFonts w:cstheme="minorHAnsi"/>
                <w:sz w:val="16"/>
                <w:szCs w:val="16"/>
              </w:rPr>
              <w:t>,</w:t>
            </w:r>
            <w:r w:rsidRPr="00622F40">
              <w:rPr>
                <w:rFonts w:cstheme="minorHAnsi"/>
                <w:sz w:val="16"/>
                <w:szCs w:val="16"/>
              </w:rPr>
              <w:t>448</w:t>
            </w:r>
          </w:p>
        </w:tc>
        <w:tc>
          <w:tcPr>
            <w:tcW w:w="397" w:type="pct"/>
            <w:tcBorders>
              <w:top w:val="single" w:sz="4" w:space="0" w:color="auto"/>
              <w:left w:val="nil"/>
              <w:bottom w:val="single" w:sz="4" w:space="0" w:color="auto"/>
              <w:right w:val="single" w:sz="4" w:space="0" w:color="auto"/>
            </w:tcBorders>
            <w:shd w:val="clear" w:color="auto" w:fill="auto"/>
            <w:vAlign w:val="center"/>
          </w:tcPr>
          <w:p w14:paraId="2DF16AF4" w14:textId="466D3B6F"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478</w:t>
            </w:r>
            <w:r w:rsidR="00C11FDB">
              <w:rPr>
                <w:rFonts w:cstheme="minorHAnsi"/>
                <w:sz w:val="16"/>
                <w:szCs w:val="16"/>
              </w:rPr>
              <w:t>,</w:t>
            </w:r>
            <w:r w:rsidRPr="00622F40">
              <w:rPr>
                <w:rFonts w:cstheme="minorHAnsi"/>
                <w:sz w:val="16"/>
                <w:szCs w:val="16"/>
              </w:rPr>
              <w:t>676</w:t>
            </w:r>
          </w:p>
        </w:tc>
        <w:tc>
          <w:tcPr>
            <w:tcW w:w="397" w:type="pct"/>
            <w:tcBorders>
              <w:top w:val="single" w:sz="4" w:space="0" w:color="auto"/>
              <w:left w:val="nil"/>
              <w:bottom w:val="single" w:sz="4" w:space="0" w:color="auto"/>
              <w:right w:val="single" w:sz="4" w:space="0" w:color="auto"/>
            </w:tcBorders>
            <w:shd w:val="clear" w:color="auto" w:fill="auto"/>
            <w:vAlign w:val="center"/>
          </w:tcPr>
          <w:p w14:paraId="21A0DFE5" w14:textId="5FCA1FC0"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468</w:t>
            </w:r>
            <w:r w:rsidR="00C11FDB">
              <w:rPr>
                <w:rFonts w:cstheme="minorHAnsi"/>
                <w:sz w:val="16"/>
                <w:szCs w:val="16"/>
              </w:rPr>
              <w:t>,</w:t>
            </w:r>
            <w:r w:rsidRPr="00622F40">
              <w:rPr>
                <w:rFonts w:cstheme="minorHAnsi"/>
                <w:sz w:val="16"/>
                <w:szCs w:val="16"/>
              </w:rPr>
              <w:t>834</w:t>
            </w:r>
          </w:p>
        </w:tc>
        <w:tc>
          <w:tcPr>
            <w:tcW w:w="397" w:type="pct"/>
            <w:tcBorders>
              <w:top w:val="single" w:sz="4" w:space="0" w:color="auto"/>
              <w:left w:val="nil"/>
              <w:bottom w:val="single" w:sz="4" w:space="0" w:color="auto"/>
              <w:right w:val="single" w:sz="4" w:space="0" w:color="auto"/>
            </w:tcBorders>
            <w:shd w:val="clear" w:color="auto" w:fill="auto"/>
            <w:vAlign w:val="center"/>
          </w:tcPr>
          <w:p w14:paraId="33BA1215" w14:textId="18AE1FDF"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496</w:t>
            </w:r>
            <w:r w:rsidR="00C11FDB">
              <w:rPr>
                <w:rFonts w:cstheme="minorHAnsi"/>
                <w:sz w:val="16"/>
                <w:szCs w:val="16"/>
              </w:rPr>
              <w:t>,</w:t>
            </w:r>
            <w:r w:rsidRPr="00622F40">
              <w:rPr>
                <w:rFonts w:cstheme="minorHAnsi"/>
                <w:sz w:val="16"/>
                <w:szCs w:val="16"/>
              </w:rPr>
              <w:t>932</w:t>
            </w:r>
          </w:p>
        </w:tc>
        <w:tc>
          <w:tcPr>
            <w:tcW w:w="397" w:type="pct"/>
            <w:tcBorders>
              <w:top w:val="single" w:sz="4" w:space="0" w:color="auto"/>
              <w:left w:val="nil"/>
              <w:bottom w:val="single" w:sz="4" w:space="0" w:color="auto"/>
              <w:right w:val="single" w:sz="4" w:space="0" w:color="auto"/>
            </w:tcBorders>
            <w:shd w:val="clear" w:color="auto" w:fill="auto"/>
            <w:vAlign w:val="center"/>
          </w:tcPr>
          <w:p w14:paraId="04548AD2" w14:textId="06F0CAD5"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503</w:t>
            </w:r>
            <w:r w:rsidR="00C11FDB">
              <w:rPr>
                <w:rFonts w:cstheme="minorHAnsi"/>
                <w:sz w:val="16"/>
                <w:szCs w:val="16"/>
              </w:rPr>
              <w:t>,</w:t>
            </w:r>
            <w:r w:rsidRPr="00622F40">
              <w:rPr>
                <w:rFonts w:cstheme="minorHAnsi"/>
                <w:sz w:val="16"/>
                <w:szCs w:val="16"/>
              </w:rPr>
              <w:t>858</w:t>
            </w:r>
          </w:p>
        </w:tc>
      </w:tr>
      <w:tr w:rsidR="001C3915" w:rsidRPr="00155CA1" w14:paraId="7B1577D5"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D8620"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t>Fish Processing</w:t>
            </w:r>
          </w:p>
        </w:tc>
        <w:tc>
          <w:tcPr>
            <w:tcW w:w="397" w:type="pct"/>
            <w:tcBorders>
              <w:top w:val="single" w:sz="4" w:space="0" w:color="auto"/>
              <w:left w:val="nil"/>
              <w:bottom w:val="single" w:sz="4" w:space="0" w:color="auto"/>
              <w:right w:val="single" w:sz="4" w:space="0" w:color="auto"/>
            </w:tcBorders>
            <w:shd w:val="clear" w:color="auto" w:fill="auto"/>
            <w:vAlign w:val="center"/>
          </w:tcPr>
          <w:p w14:paraId="207F4E99" w14:textId="0030C31C"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367</w:t>
            </w:r>
          </w:p>
        </w:tc>
        <w:tc>
          <w:tcPr>
            <w:tcW w:w="397" w:type="pct"/>
            <w:tcBorders>
              <w:top w:val="single" w:sz="4" w:space="0" w:color="auto"/>
              <w:left w:val="nil"/>
              <w:bottom w:val="single" w:sz="4" w:space="0" w:color="auto"/>
              <w:right w:val="single" w:sz="4" w:space="0" w:color="auto"/>
            </w:tcBorders>
            <w:shd w:val="clear" w:color="auto" w:fill="auto"/>
            <w:vAlign w:val="center"/>
          </w:tcPr>
          <w:p w14:paraId="4EF6F64F" w14:textId="15BABBA7"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470</w:t>
            </w:r>
          </w:p>
        </w:tc>
        <w:tc>
          <w:tcPr>
            <w:tcW w:w="397" w:type="pct"/>
            <w:tcBorders>
              <w:top w:val="single" w:sz="4" w:space="0" w:color="auto"/>
              <w:left w:val="nil"/>
              <w:bottom w:val="single" w:sz="4" w:space="0" w:color="auto"/>
              <w:right w:val="single" w:sz="4" w:space="0" w:color="auto"/>
            </w:tcBorders>
            <w:shd w:val="clear" w:color="auto" w:fill="auto"/>
            <w:vAlign w:val="center"/>
          </w:tcPr>
          <w:p w14:paraId="73540D69" w14:textId="048725AA"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434</w:t>
            </w:r>
          </w:p>
        </w:tc>
        <w:tc>
          <w:tcPr>
            <w:tcW w:w="397" w:type="pct"/>
            <w:tcBorders>
              <w:top w:val="single" w:sz="4" w:space="0" w:color="auto"/>
              <w:left w:val="nil"/>
              <w:bottom w:val="single" w:sz="4" w:space="0" w:color="auto"/>
              <w:right w:val="single" w:sz="4" w:space="0" w:color="auto"/>
            </w:tcBorders>
            <w:shd w:val="clear" w:color="auto" w:fill="auto"/>
            <w:vAlign w:val="center"/>
          </w:tcPr>
          <w:p w14:paraId="7A9377BE" w14:textId="141A5DEF"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556</w:t>
            </w:r>
          </w:p>
        </w:tc>
        <w:tc>
          <w:tcPr>
            <w:tcW w:w="397" w:type="pct"/>
            <w:tcBorders>
              <w:top w:val="single" w:sz="4" w:space="0" w:color="auto"/>
              <w:left w:val="nil"/>
              <w:bottom w:val="single" w:sz="4" w:space="0" w:color="auto"/>
              <w:right w:val="single" w:sz="4" w:space="0" w:color="auto"/>
            </w:tcBorders>
            <w:shd w:val="clear" w:color="auto" w:fill="auto"/>
            <w:vAlign w:val="center"/>
          </w:tcPr>
          <w:p w14:paraId="0665A4F2" w14:textId="543037AD"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245</w:t>
            </w:r>
          </w:p>
        </w:tc>
        <w:tc>
          <w:tcPr>
            <w:tcW w:w="397" w:type="pct"/>
            <w:tcBorders>
              <w:top w:val="single" w:sz="4" w:space="0" w:color="auto"/>
              <w:left w:val="nil"/>
              <w:bottom w:val="single" w:sz="4" w:space="0" w:color="auto"/>
              <w:right w:val="single" w:sz="4" w:space="0" w:color="auto"/>
            </w:tcBorders>
            <w:shd w:val="clear" w:color="auto" w:fill="auto"/>
            <w:vAlign w:val="center"/>
          </w:tcPr>
          <w:p w14:paraId="04758134" w14:textId="74AA1385"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837</w:t>
            </w:r>
          </w:p>
        </w:tc>
        <w:tc>
          <w:tcPr>
            <w:tcW w:w="397" w:type="pct"/>
            <w:tcBorders>
              <w:top w:val="single" w:sz="4" w:space="0" w:color="auto"/>
              <w:left w:val="nil"/>
              <w:bottom w:val="single" w:sz="4" w:space="0" w:color="auto"/>
              <w:right w:val="single" w:sz="4" w:space="0" w:color="auto"/>
            </w:tcBorders>
            <w:shd w:val="clear" w:color="auto" w:fill="auto"/>
            <w:vAlign w:val="center"/>
          </w:tcPr>
          <w:p w14:paraId="2AEA5E97" w14:textId="30629C6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857</w:t>
            </w:r>
          </w:p>
        </w:tc>
        <w:tc>
          <w:tcPr>
            <w:tcW w:w="397" w:type="pct"/>
            <w:tcBorders>
              <w:top w:val="single" w:sz="4" w:space="0" w:color="auto"/>
              <w:left w:val="nil"/>
              <w:bottom w:val="single" w:sz="4" w:space="0" w:color="auto"/>
              <w:right w:val="single" w:sz="4" w:space="0" w:color="auto"/>
            </w:tcBorders>
            <w:shd w:val="clear" w:color="auto" w:fill="auto"/>
            <w:vAlign w:val="center"/>
          </w:tcPr>
          <w:p w14:paraId="7C3B9142" w14:textId="5D490063"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925</w:t>
            </w:r>
          </w:p>
        </w:tc>
        <w:tc>
          <w:tcPr>
            <w:tcW w:w="397" w:type="pct"/>
            <w:tcBorders>
              <w:top w:val="single" w:sz="4" w:space="0" w:color="auto"/>
              <w:left w:val="nil"/>
              <w:bottom w:val="single" w:sz="4" w:space="0" w:color="auto"/>
              <w:right w:val="single" w:sz="4" w:space="0" w:color="auto"/>
            </w:tcBorders>
            <w:shd w:val="clear" w:color="auto" w:fill="auto"/>
            <w:vAlign w:val="center"/>
          </w:tcPr>
          <w:p w14:paraId="144078FB" w14:textId="35768D23"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257</w:t>
            </w:r>
          </w:p>
        </w:tc>
        <w:tc>
          <w:tcPr>
            <w:tcW w:w="397" w:type="pct"/>
            <w:tcBorders>
              <w:top w:val="single" w:sz="4" w:space="0" w:color="auto"/>
              <w:left w:val="nil"/>
              <w:bottom w:val="single" w:sz="4" w:space="0" w:color="auto"/>
              <w:right w:val="single" w:sz="4" w:space="0" w:color="auto"/>
            </w:tcBorders>
            <w:shd w:val="clear" w:color="auto" w:fill="auto"/>
            <w:vAlign w:val="center"/>
          </w:tcPr>
          <w:p w14:paraId="086DED29" w14:textId="5005CDB4"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545</w:t>
            </w:r>
          </w:p>
        </w:tc>
        <w:tc>
          <w:tcPr>
            <w:tcW w:w="397" w:type="pct"/>
            <w:tcBorders>
              <w:top w:val="single" w:sz="4" w:space="0" w:color="auto"/>
              <w:left w:val="nil"/>
              <w:bottom w:val="single" w:sz="4" w:space="0" w:color="auto"/>
              <w:right w:val="single" w:sz="4" w:space="0" w:color="auto"/>
            </w:tcBorders>
            <w:shd w:val="clear" w:color="auto" w:fill="auto"/>
            <w:vAlign w:val="center"/>
          </w:tcPr>
          <w:p w14:paraId="7C2FE54E" w14:textId="70593587"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227</w:t>
            </w:r>
          </w:p>
        </w:tc>
      </w:tr>
      <w:tr w:rsidR="001C3915" w:rsidRPr="00155CA1" w14:paraId="078D3B4B"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449B24"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t>Meat &amp; Poultry</w:t>
            </w:r>
          </w:p>
        </w:tc>
        <w:tc>
          <w:tcPr>
            <w:tcW w:w="397" w:type="pct"/>
            <w:tcBorders>
              <w:top w:val="single" w:sz="4" w:space="0" w:color="auto"/>
              <w:left w:val="nil"/>
              <w:bottom w:val="single" w:sz="4" w:space="0" w:color="auto"/>
              <w:right w:val="single" w:sz="4" w:space="0" w:color="auto"/>
            </w:tcBorders>
            <w:shd w:val="clear" w:color="auto" w:fill="auto"/>
            <w:vAlign w:val="center"/>
          </w:tcPr>
          <w:p w14:paraId="0A0099AF" w14:textId="4A49B140"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455</w:t>
            </w:r>
            <w:r>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54148DBD" w14:textId="25C633E4"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481</w:t>
            </w:r>
            <w:r>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338E6A39" w14:textId="1CA8D505"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451</w:t>
            </w:r>
            <w:r>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798DC905" w14:textId="52D60532"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445</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4F65CD7C" w14:textId="1825FFB1"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460</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0F88F3E1" w14:textId="0AD9CAB4"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458</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1400AC73" w14:textId="572F126D"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498</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78E4639B" w14:textId="2B23ED38"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492</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6CCE3B79" w14:textId="20D30DFE"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481</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3ECC8F10" w14:textId="5B8C984D"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496</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48992743" w14:textId="53B0BE53"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502</w:t>
            </w:r>
            <w:r w:rsidR="00C11FDB">
              <w:rPr>
                <w:rFonts w:cstheme="minorHAnsi"/>
                <w:sz w:val="16"/>
                <w:szCs w:val="16"/>
              </w:rPr>
              <w:t>,</w:t>
            </w:r>
            <w:r w:rsidRPr="00622F40">
              <w:rPr>
                <w:rFonts w:cstheme="minorHAnsi"/>
                <w:sz w:val="16"/>
                <w:szCs w:val="16"/>
              </w:rPr>
              <w:t>000</w:t>
            </w:r>
          </w:p>
        </w:tc>
      </w:tr>
      <w:tr w:rsidR="001C3915" w:rsidRPr="00155CA1" w14:paraId="4CA6D3B7"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CBD9E"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t>Organic Chemicals</w:t>
            </w:r>
          </w:p>
        </w:tc>
        <w:tc>
          <w:tcPr>
            <w:tcW w:w="397" w:type="pct"/>
            <w:tcBorders>
              <w:top w:val="single" w:sz="4" w:space="0" w:color="auto"/>
              <w:left w:val="nil"/>
              <w:bottom w:val="single" w:sz="4" w:space="0" w:color="auto"/>
              <w:right w:val="single" w:sz="4" w:space="0" w:color="auto"/>
            </w:tcBorders>
            <w:shd w:val="clear" w:color="auto" w:fill="auto"/>
            <w:vAlign w:val="center"/>
          </w:tcPr>
          <w:p w14:paraId="0F13120B" w14:textId="5ECAD585"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493</w:t>
            </w:r>
            <w:r>
              <w:rPr>
                <w:rFonts w:cstheme="minorHAnsi"/>
                <w:sz w:val="16"/>
                <w:szCs w:val="16"/>
              </w:rPr>
              <w:t>,</w:t>
            </w:r>
            <w:r w:rsidRPr="00622F40">
              <w:rPr>
                <w:rFonts w:cstheme="minorHAnsi"/>
                <w:sz w:val="16"/>
                <w:szCs w:val="16"/>
              </w:rPr>
              <w:t>954</w:t>
            </w:r>
          </w:p>
        </w:tc>
        <w:tc>
          <w:tcPr>
            <w:tcW w:w="397" w:type="pct"/>
            <w:tcBorders>
              <w:top w:val="single" w:sz="4" w:space="0" w:color="auto"/>
              <w:left w:val="nil"/>
              <w:bottom w:val="single" w:sz="4" w:space="0" w:color="auto"/>
              <w:right w:val="single" w:sz="4" w:space="0" w:color="auto"/>
            </w:tcBorders>
            <w:shd w:val="clear" w:color="auto" w:fill="auto"/>
            <w:vAlign w:val="center"/>
          </w:tcPr>
          <w:p w14:paraId="69A7F9F3" w14:textId="6F27F224"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481</w:t>
            </w:r>
            <w:r>
              <w:rPr>
                <w:rFonts w:cstheme="minorHAnsi"/>
                <w:sz w:val="16"/>
                <w:szCs w:val="16"/>
              </w:rPr>
              <w:t>,</w:t>
            </w:r>
            <w:r w:rsidRPr="00622F40">
              <w:rPr>
                <w:rFonts w:cstheme="minorHAnsi"/>
                <w:sz w:val="16"/>
                <w:szCs w:val="16"/>
              </w:rPr>
              <w:t>870</w:t>
            </w:r>
          </w:p>
        </w:tc>
        <w:tc>
          <w:tcPr>
            <w:tcW w:w="397" w:type="pct"/>
            <w:tcBorders>
              <w:top w:val="single" w:sz="4" w:space="0" w:color="auto"/>
              <w:left w:val="nil"/>
              <w:bottom w:val="single" w:sz="4" w:space="0" w:color="auto"/>
              <w:right w:val="single" w:sz="4" w:space="0" w:color="auto"/>
            </w:tcBorders>
            <w:shd w:val="clear" w:color="auto" w:fill="auto"/>
            <w:vAlign w:val="center"/>
          </w:tcPr>
          <w:p w14:paraId="6C2CC3D4" w14:textId="2741EEA7"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584</w:t>
            </w:r>
            <w:r>
              <w:rPr>
                <w:rFonts w:cstheme="minorHAnsi"/>
                <w:sz w:val="16"/>
                <w:szCs w:val="16"/>
              </w:rPr>
              <w:t>,</w:t>
            </w:r>
            <w:r w:rsidRPr="00622F40">
              <w:rPr>
                <w:rFonts w:cstheme="minorHAnsi"/>
                <w:sz w:val="16"/>
                <w:szCs w:val="16"/>
              </w:rPr>
              <w:t>032</w:t>
            </w:r>
          </w:p>
        </w:tc>
        <w:tc>
          <w:tcPr>
            <w:tcW w:w="397" w:type="pct"/>
            <w:tcBorders>
              <w:top w:val="single" w:sz="4" w:space="0" w:color="auto"/>
              <w:left w:val="nil"/>
              <w:bottom w:val="single" w:sz="4" w:space="0" w:color="auto"/>
              <w:right w:val="single" w:sz="4" w:space="0" w:color="auto"/>
            </w:tcBorders>
            <w:shd w:val="clear" w:color="auto" w:fill="auto"/>
            <w:vAlign w:val="center"/>
          </w:tcPr>
          <w:p w14:paraId="0C619315" w14:textId="5B21C6D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590</w:t>
            </w:r>
            <w:r w:rsidR="00C11FDB">
              <w:rPr>
                <w:rFonts w:cstheme="minorHAnsi"/>
                <w:sz w:val="16"/>
                <w:szCs w:val="16"/>
              </w:rPr>
              <w:t>,</w:t>
            </w:r>
            <w:r w:rsidRPr="00622F40">
              <w:rPr>
                <w:rFonts w:cstheme="minorHAnsi"/>
                <w:sz w:val="16"/>
                <w:szCs w:val="16"/>
              </w:rPr>
              <w:t>327</w:t>
            </w:r>
          </w:p>
        </w:tc>
        <w:tc>
          <w:tcPr>
            <w:tcW w:w="397" w:type="pct"/>
            <w:tcBorders>
              <w:top w:val="single" w:sz="4" w:space="0" w:color="auto"/>
              <w:left w:val="nil"/>
              <w:bottom w:val="single" w:sz="4" w:space="0" w:color="auto"/>
              <w:right w:val="single" w:sz="4" w:space="0" w:color="auto"/>
            </w:tcBorders>
            <w:shd w:val="clear" w:color="auto" w:fill="auto"/>
            <w:vAlign w:val="center"/>
          </w:tcPr>
          <w:p w14:paraId="165431DF" w14:textId="39DC7BD4"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571</w:t>
            </w:r>
            <w:r w:rsidR="00C11FDB">
              <w:rPr>
                <w:rFonts w:cstheme="minorHAnsi"/>
                <w:sz w:val="16"/>
                <w:szCs w:val="16"/>
              </w:rPr>
              <w:t>,</w:t>
            </w:r>
            <w:r w:rsidRPr="00622F40">
              <w:rPr>
                <w:rFonts w:cstheme="minorHAnsi"/>
                <w:sz w:val="16"/>
                <w:szCs w:val="16"/>
              </w:rPr>
              <w:t>479</w:t>
            </w:r>
          </w:p>
        </w:tc>
        <w:tc>
          <w:tcPr>
            <w:tcW w:w="397" w:type="pct"/>
            <w:tcBorders>
              <w:top w:val="single" w:sz="4" w:space="0" w:color="auto"/>
              <w:left w:val="nil"/>
              <w:bottom w:val="single" w:sz="4" w:space="0" w:color="auto"/>
              <w:right w:val="single" w:sz="4" w:space="0" w:color="auto"/>
            </w:tcBorders>
            <w:shd w:val="clear" w:color="auto" w:fill="auto"/>
            <w:vAlign w:val="center"/>
          </w:tcPr>
          <w:p w14:paraId="3709F60E" w14:textId="07F9F177"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587</w:t>
            </w:r>
            <w:r w:rsidR="00C11FDB">
              <w:rPr>
                <w:rFonts w:cstheme="minorHAnsi"/>
                <w:sz w:val="16"/>
                <w:szCs w:val="16"/>
              </w:rPr>
              <w:t>,</w:t>
            </w:r>
            <w:r w:rsidRPr="00622F40">
              <w:rPr>
                <w:rFonts w:cstheme="minorHAnsi"/>
                <w:sz w:val="16"/>
                <w:szCs w:val="16"/>
              </w:rPr>
              <w:t>232</w:t>
            </w:r>
          </w:p>
        </w:tc>
        <w:tc>
          <w:tcPr>
            <w:tcW w:w="397" w:type="pct"/>
            <w:tcBorders>
              <w:top w:val="single" w:sz="4" w:space="0" w:color="auto"/>
              <w:left w:val="nil"/>
              <w:bottom w:val="single" w:sz="4" w:space="0" w:color="auto"/>
              <w:right w:val="single" w:sz="4" w:space="0" w:color="auto"/>
            </w:tcBorders>
            <w:shd w:val="clear" w:color="auto" w:fill="auto"/>
            <w:vAlign w:val="center"/>
          </w:tcPr>
          <w:p w14:paraId="143139DA" w14:textId="1A96ABDF"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688</w:t>
            </w:r>
            <w:r w:rsidR="00C11FDB">
              <w:rPr>
                <w:rFonts w:cstheme="minorHAnsi"/>
                <w:sz w:val="16"/>
                <w:szCs w:val="16"/>
              </w:rPr>
              <w:t>,</w:t>
            </w:r>
            <w:r w:rsidRPr="00622F40">
              <w:rPr>
                <w:rFonts w:cstheme="minorHAnsi"/>
                <w:sz w:val="16"/>
                <w:szCs w:val="16"/>
              </w:rPr>
              <w:t>068</w:t>
            </w:r>
          </w:p>
        </w:tc>
        <w:tc>
          <w:tcPr>
            <w:tcW w:w="397" w:type="pct"/>
            <w:tcBorders>
              <w:top w:val="single" w:sz="4" w:space="0" w:color="auto"/>
              <w:left w:val="nil"/>
              <w:bottom w:val="single" w:sz="4" w:space="0" w:color="auto"/>
              <w:right w:val="single" w:sz="4" w:space="0" w:color="auto"/>
            </w:tcBorders>
            <w:shd w:val="clear" w:color="auto" w:fill="auto"/>
            <w:vAlign w:val="center"/>
          </w:tcPr>
          <w:p w14:paraId="3F850D9A" w14:textId="0A747442"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665</w:t>
            </w:r>
            <w:r w:rsidR="00C11FDB">
              <w:rPr>
                <w:rFonts w:cstheme="minorHAnsi"/>
                <w:sz w:val="16"/>
                <w:szCs w:val="16"/>
              </w:rPr>
              <w:t>,</w:t>
            </w:r>
            <w:r w:rsidRPr="00622F40">
              <w:rPr>
                <w:rFonts w:cstheme="minorHAnsi"/>
                <w:sz w:val="16"/>
                <w:szCs w:val="16"/>
              </w:rPr>
              <w:t>934</w:t>
            </w:r>
          </w:p>
        </w:tc>
        <w:tc>
          <w:tcPr>
            <w:tcW w:w="397" w:type="pct"/>
            <w:tcBorders>
              <w:top w:val="single" w:sz="4" w:space="0" w:color="auto"/>
              <w:left w:val="nil"/>
              <w:bottom w:val="single" w:sz="4" w:space="0" w:color="auto"/>
              <w:right w:val="single" w:sz="4" w:space="0" w:color="auto"/>
            </w:tcBorders>
            <w:shd w:val="clear" w:color="auto" w:fill="auto"/>
            <w:vAlign w:val="center"/>
          </w:tcPr>
          <w:p w14:paraId="6E67A9A1" w14:textId="584E970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237</w:t>
            </w:r>
            <w:r w:rsidR="00C11FDB">
              <w:rPr>
                <w:rFonts w:cstheme="minorHAnsi"/>
                <w:sz w:val="16"/>
                <w:szCs w:val="16"/>
              </w:rPr>
              <w:t>,</w:t>
            </w:r>
            <w:r w:rsidRPr="00622F40">
              <w:rPr>
                <w:rFonts w:cstheme="minorHAnsi"/>
                <w:sz w:val="16"/>
                <w:szCs w:val="16"/>
              </w:rPr>
              <w:t>417</w:t>
            </w:r>
          </w:p>
        </w:tc>
        <w:tc>
          <w:tcPr>
            <w:tcW w:w="397" w:type="pct"/>
            <w:tcBorders>
              <w:top w:val="single" w:sz="4" w:space="0" w:color="auto"/>
              <w:left w:val="nil"/>
              <w:bottom w:val="single" w:sz="4" w:space="0" w:color="auto"/>
              <w:right w:val="single" w:sz="4" w:space="0" w:color="auto"/>
            </w:tcBorders>
            <w:shd w:val="clear" w:color="auto" w:fill="auto"/>
            <w:vAlign w:val="center"/>
          </w:tcPr>
          <w:p w14:paraId="19E379C8" w14:textId="1BC81117"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485</w:t>
            </w:r>
            <w:r w:rsidR="00C11FDB">
              <w:rPr>
                <w:rFonts w:cstheme="minorHAnsi"/>
                <w:sz w:val="16"/>
                <w:szCs w:val="16"/>
              </w:rPr>
              <w:t>,</w:t>
            </w:r>
            <w:r w:rsidRPr="00622F40">
              <w:rPr>
                <w:rFonts w:cstheme="minorHAnsi"/>
                <w:sz w:val="16"/>
                <w:szCs w:val="16"/>
              </w:rPr>
              <w:t>963</w:t>
            </w:r>
          </w:p>
        </w:tc>
        <w:tc>
          <w:tcPr>
            <w:tcW w:w="397" w:type="pct"/>
            <w:tcBorders>
              <w:top w:val="single" w:sz="4" w:space="0" w:color="auto"/>
              <w:left w:val="nil"/>
              <w:bottom w:val="single" w:sz="4" w:space="0" w:color="auto"/>
              <w:right w:val="single" w:sz="4" w:space="0" w:color="auto"/>
            </w:tcBorders>
            <w:shd w:val="clear" w:color="auto" w:fill="auto"/>
            <w:vAlign w:val="center"/>
          </w:tcPr>
          <w:p w14:paraId="46C39D89" w14:textId="241DEFC5"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337</w:t>
            </w:r>
            <w:r w:rsidR="00C11FDB">
              <w:rPr>
                <w:rFonts w:cstheme="minorHAnsi"/>
                <w:sz w:val="16"/>
                <w:szCs w:val="16"/>
              </w:rPr>
              <w:t>,</w:t>
            </w:r>
            <w:r w:rsidRPr="00622F40">
              <w:rPr>
                <w:rFonts w:cstheme="minorHAnsi"/>
                <w:sz w:val="16"/>
                <w:szCs w:val="16"/>
              </w:rPr>
              <w:t>799</w:t>
            </w:r>
          </w:p>
        </w:tc>
      </w:tr>
      <w:tr w:rsidR="001C3915" w:rsidRPr="00155CA1" w14:paraId="0C29FAD3"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E4FD2"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t>Petroleum Refineries</w:t>
            </w:r>
          </w:p>
        </w:tc>
        <w:tc>
          <w:tcPr>
            <w:tcW w:w="397" w:type="pct"/>
            <w:tcBorders>
              <w:top w:val="single" w:sz="4" w:space="0" w:color="auto"/>
              <w:left w:val="nil"/>
              <w:bottom w:val="single" w:sz="4" w:space="0" w:color="auto"/>
              <w:right w:val="single" w:sz="4" w:space="0" w:color="auto"/>
            </w:tcBorders>
            <w:shd w:val="clear" w:color="auto" w:fill="auto"/>
            <w:vAlign w:val="center"/>
          </w:tcPr>
          <w:p w14:paraId="5698E788" w14:textId="6B3882E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w:t>
            </w:r>
            <w:r>
              <w:rPr>
                <w:rFonts w:cstheme="minorHAnsi"/>
                <w:sz w:val="16"/>
                <w:szCs w:val="16"/>
              </w:rPr>
              <w:t>,</w:t>
            </w:r>
            <w:r w:rsidRPr="00622F40">
              <w:rPr>
                <w:rFonts w:cstheme="minorHAnsi"/>
                <w:sz w:val="16"/>
                <w:szCs w:val="16"/>
              </w:rPr>
              <w:t>060</w:t>
            </w:r>
            <w:r>
              <w:rPr>
                <w:rFonts w:cstheme="minorHAnsi"/>
                <w:sz w:val="16"/>
                <w:szCs w:val="16"/>
              </w:rPr>
              <w:t>,</w:t>
            </w:r>
            <w:r w:rsidRPr="00622F40">
              <w:rPr>
                <w:rFonts w:cstheme="minorHAnsi"/>
                <w:sz w:val="16"/>
                <w:szCs w:val="16"/>
              </w:rPr>
              <w:t>114</w:t>
            </w:r>
          </w:p>
        </w:tc>
        <w:tc>
          <w:tcPr>
            <w:tcW w:w="397" w:type="pct"/>
            <w:tcBorders>
              <w:top w:val="single" w:sz="4" w:space="0" w:color="auto"/>
              <w:left w:val="nil"/>
              <w:bottom w:val="single" w:sz="4" w:space="0" w:color="auto"/>
              <w:right w:val="single" w:sz="4" w:space="0" w:color="auto"/>
            </w:tcBorders>
            <w:shd w:val="clear" w:color="auto" w:fill="auto"/>
            <w:vAlign w:val="center"/>
          </w:tcPr>
          <w:p w14:paraId="42F727BE" w14:textId="5327905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w:t>
            </w:r>
            <w:r>
              <w:rPr>
                <w:rFonts w:cstheme="minorHAnsi"/>
                <w:sz w:val="16"/>
                <w:szCs w:val="16"/>
              </w:rPr>
              <w:t>,</w:t>
            </w:r>
            <w:r w:rsidRPr="00622F40">
              <w:rPr>
                <w:rFonts w:cstheme="minorHAnsi"/>
                <w:sz w:val="16"/>
                <w:szCs w:val="16"/>
              </w:rPr>
              <w:t>601</w:t>
            </w:r>
            <w:r>
              <w:rPr>
                <w:rFonts w:cstheme="minorHAnsi"/>
                <w:sz w:val="16"/>
                <w:szCs w:val="16"/>
              </w:rPr>
              <w:t>,</w:t>
            </w:r>
            <w:r w:rsidRPr="00622F40">
              <w:rPr>
                <w:rFonts w:cstheme="minorHAnsi"/>
                <w:sz w:val="16"/>
                <w:szCs w:val="16"/>
              </w:rPr>
              <w:t>276</w:t>
            </w:r>
          </w:p>
        </w:tc>
        <w:tc>
          <w:tcPr>
            <w:tcW w:w="397" w:type="pct"/>
            <w:tcBorders>
              <w:top w:val="single" w:sz="4" w:space="0" w:color="auto"/>
              <w:left w:val="nil"/>
              <w:bottom w:val="single" w:sz="4" w:space="0" w:color="auto"/>
              <w:right w:val="single" w:sz="4" w:space="0" w:color="auto"/>
            </w:tcBorders>
            <w:shd w:val="clear" w:color="auto" w:fill="auto"/>
            <w:vAlign w:val="center"/>
          </w:tcPr>
          <w:p w14:paraId="1EBC8DF9" w14:textId="75428D8C"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w:t>
            </w:r>
            <w:r>
              <w:rPr>
                <w:rFonts w:cstheme="minorHAnsi"/>
                <w:sz w:val="16"/>
                <w:szCs w:val="16"/>
              </w:rPr>
              <w:t>,</w:t>
            </w:r>
            <w:r w:rsidRPr="00622F40">
              <w:rPr>
                <w:rFonts w:cstheme="minorHAnsi"/>
                <w:sz w:val="16"/>
                <w:szCs w:val="16"/>
              </w:rPr>
              <w:t>564</w:t>
            </w:r>
            <w:r>
              <w:rPr>
                <w:rFonts w:cstheme="minorHAnsi"/>
                <w:sz w:val="16"/>
                <w:szCs w:val="16"/>
              </w:rPr>
              <w:t>,</w:t>
            </w:r>
            <w:r w:rsidRPr="00622F40">
              <w:rPr>
                <w:rFonts w:cstheme="minorHAnsi"/>
                <w:sz w:val="16"/>
                <w:szCs w:val="16"/>
              </w:rPr>
              <w:t>281</w:t>
            </w:r>
          </w:p>
        </w:tc>
        <w:tc>
          <w:tcPr>
            <w:tcW w:w="397" w:type="pct"/>
            <w:tcBorders>
              <w:top w:val="single" w:sz="4" w:space="0" w:color="auto"/>
              <w:left w:val="nil"/>
              <w:bottom w:val="single" w:sz="4" w:space="0" w:color="auto"/>
              <w:right w:val="single" w:sz="4" w:space="0" w:color="auto"/>
            </w:tcBorders>
            <w:shd w:val="clear" w:color="auto" w:fill="auto"/>
            <w:vAlign w:val="center"/>
          </w:tcPr>
          <w:p w14:paraId="429F5D27" w14:textId="5C28CDA1"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w:t>
            </w:r>
            <w:r w:rsidR="00C11FDB">
              <w:rPr>
                <w:rFonts w:cstheme="minorHAnsi"/>
                <w:sz w:val="16"/>
                <w:szCs w:val="16"/>
              </w:rPr>
              <w:t>,</w:t>
            </w:r>
            <w:r w:rsidRPr="00622F40">
              <w:rPr>
                <w:rFonts w:cstheme="minorHAnsi"/>
                <w:sz w:val="16"/>
                <w:szCs w:val="16"/>
              </w:rPr>
              <w:t>734</w:t>
            </w:r>
            <w:r w:rsidR="00C11FDB">
              <w:rPr>
                <w:rFonts w:cstheme="minorHAnsi"/>
                <w:sz w:val="16"/>
                <w:szCs w:val="16"/>
              </w:rPr>
              <w:t>,</w:t>
            </w:r>
            <w:r w:rsidRPr="00622F40">
              <w:rPr>
                <w:rFonts w:cstheme="minorHAnsi"/>
                <w:sz w:val="16"/>
                <w:szCs w:val="16"/>
              </w:rPr>
              <w:t>216</w:t>
            </w:r>
          </w:p>
        </w:tc>
        <w:tc>
          <w:tcPr>
            <w:tcW w:w="397" w:type="pct"/>
            <w:tcBorders>
              <w:top w:val="single" w:sz="4" w:space="0" w:color="auto"/>
              <w:left w:val="nil"/>
              <w:bottom w:val="single" w:sz="4" w:space="0" w:color="auto"/>
              <w:right w:val="single" w:sz="4" w:space="0" w:color="auto"/>
            </w:tcBorders>
            <w:shd w:val="clear" w:color="auto" w:fill="auto"/>
            <w:vAlign w:val="center"/>
          </w:tcPr>
          <w:p w14:paraId="76C576E2" w14:textId="7294833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w:t>
            </w:r>
            <w:r w:rsidR="00C11FDB">
              <w:rPr>
                <w:rFonts w:cstheme="minorHAnsi"/>
                <w:sz w:val="16"/>
                <w:szCs w:val="16"/>
              </w:rPr>
              <w:t>,</w:t>
            </w:r>
            <w:r w:rsidRPr="00622F40">
              <w:rPr>
                <w:rFonts w:cstheme="minorHAnsi"/>
                <w:sz w:val="16"/>
                <w:szCs w:val="16"/>
              </w:rPr>
              <w:t>599</w:t>
            </w:r>
            <w:r w:rsidR="00C11FDB">
              <w:rPr>
                <w:rFonts w:cstheme="minorHAnsi"/>
                <w:sz w:val="16"/>
                <w:szCs w:val="16"/>
              </w:rPr>
              <w:t>,</w:t>
            </w:r>
            <w:r w:rsidRPr="00622F40">
              <w:rPr>
                <w:rFonts w:cstheme="minorHAnsi"/>
                <w:sz w:val="16"/>
                <w:szCs w:val="16"/>
              </w:rPr>
              <w:t>138</w:t>
            </w:r>
          </w:p>
        </w:tc>
        <w:tc>
          <w:tcPr>
            <w:tcW w:w="397" w:type="pct"/>
            <w:tcBorders>
              <w:top w:val="single" w:sz="4" w:space="0" w:color="auto"/>
              <w:left w:val="nil"/>
              <w:bottom w:val="single" w:sz="4" w:space="0" w:color="auto"/>
              <w:right w:val="single" w:sz="4" w:space="0" w:color="auto"/>
            </w:tcBorders>
            <w:shd w:val="clear" w:color="auto" w:fill="auto"/>
            <w:vAlign w:val="center"/>
          </w:tcPr>
          <w:p w14:paraId="106EB484" w14:textId="08B0D495"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w:t>
            </w:r>
            <w:r w:rsidR="00C11FDB">
              <w:rPr>
                <w:rFonts w:cstheme="minorHAnsi"/>
                <w:sz w:val="16"/>
                <w:szCs w:val="16"/>
              </w:rPr>
              <w:t>,</w:t>
            </w:r>
            <w:r w:rsidRPr="00622F40">
              <w:rPr>
                <w:rFonts w:cstheme="minorHAnsi"/>
                <w:sz w:val="16"/>
                <w:szCs w:val="16"/>
              </w:rPr>
              <w:t>486</w:t>
            </w:r>
            <w:r w:rsidR="00C11FDB">
              <w:rPr>
                <w:rFonts w:cstheme="minorHAnsi"/>
                <w:sz w:val="16"/>
                <w:szCs w:val="16"/>
              </w:rPr>
              <w:t>,</w:t>
            </w:r>
            <w:r w:rsidRPr="00622F40">
              <w:rPr>
                <w:rFonts w:cstheme="minorHAnsi"/>
                <w:sz w:val="16"/>
                <w:szCs w:val="16"/>
              </w:rPr>
              <w:t>890</w:t>
            </w:r>
          </w:p>
        </w:tc>
        <w:tc>
          <w:tcPr>
            <w:tcW w:w="397" w:type="pct"/>
            <w:tcBorders>
              <w:top w:val="single" w:sz="4" w:space="0" w:color="auto"/>
              <w:left w:val="nil"/>
              <w:bottom w:val="single" w:sz="4" w:space="0" w:color="auto"/>
              <w:right w:val="single" w:sz="4" w:space="0" w:color="auto"/>
            </w:tcBorders>
            <w:shd w:val="clear" w:color="auto" w:fill="auto"/>
            <w:vAlign w:val="center"/>
          </w:tcPr>
          <w:p w14:paraId="020FDB89" w14:textId="20C7A5C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w:t>
            </w:r>
            <w:r w:rsidR="00C11FDB">
              <w:rPr>
                <w:rFonts w:cstheme="minorHAnsi"/>
                <w:sz w:val="16"/>
                <w:szCs w:val="16"/>
              </w:rPr>
              <w:t>,</w:t>
            </w:r>
            <w:r w:rsidRPr="00622F40">
              <w:rPr>
                <w:rFonts w:cstheme="minorHAnsi"/>
                <w:sz w:val="16"/>
                <w:szCs w:val="16"/>
              </w:rPr>
              <w:t>443</w:t>
            </w:r>
            <w:r w:rsidR="00C11FDB">
              <w:rPr>
                <w:rFonts w:cstheme="minorHAnsi"/>
                <w:sz w:val="16"/>
                <w:szCs w:val="16"/>
              </w:rPr>
              <w:t>,</w:t>
            </w:r>
            <w:r w:rsidRPr="00622F40">
              <w:rPr>
                <w:rFonts w:cstheme="minorHAnsi"/>
                <w:sz w:val="16"/>
                <w:szCs w:val="16"/>
              </w:rPr>
              <w:t>181</w:t>
            </w:r>
          </w:p>
        </w:tc>
        <w:tc>
          <w:tcPr>
            <w:tcW w:w="397" w:type="pct"/>
            <w:tcBorders>
              <w:top w:val="single" w:sz="4" w:space="0" w:color="auto"/>
              <w:left w:val="nil"/>
              <w:bottom w:val="single" w:sz="4" w:space="0" w:color="auto"/>
              <w:right w:val="single" w:sz="4" w:space="0" w:color="auto"/>
            </w:tcBorders>
            <w:shd w:val="clear" w:color="auto" w:fill="auto"/>
            <w:vAlign w:val="center"/>
          </w:tcPr>
          <w:p w14:paraId="3565D75C" w14:textId="55EDA573"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w:t>
            </w:r>
            <w:r w:rsidR="00C11FDB">
              <w:rPr>
                <w:rFonts w:cstheme="minorHAnsi"/>
                <w:sz w:val="16"/>
                <w:szCs w:val="16"/>
              </w:rPr>
              <w:t>,</w:t>
            </w:r>
            <w:r w:rsidRPr="00622F40">
              <w:rPr>
                <w:rFonts w:cstheme="minorHAnsi"/>
                <w:sz w:val="16"/>
                <w:szCs w:val="16"/>
              </w:rPr>
              <w:t>412</w:t>
            </w:r>
            <w:r w:rsidR="00C11FDB">
              <w:rPr>
                <w:rFonts w:cstheme="minorHAnsi"/>
                <w:sz w:val="16"/>
                <w:szCs w:val="16"/>
              </w:rPr>
              <w:t>,</w:t>
            </w:r>
            <w:r w:rsidRPr="00622F40">
              <w:rPr>
                <w:rFonts w:cstheme="minorHAnsi"/>
                <w:sz w:val="16"/>
                <w:szCs w:val="16"/>
              </w:rPr>
              <w:t>889</w:t>
            </w:r>
          </w:p>
        </w:tc>
        <w:tc>
          <w:tcPr>
            <w:tcW w:w="397" w:type="pct"/>
            <w:tcBorders>
              <w:top w:val="single" w:sz="4" w:space="0" w:color="auto"/>
              <w:left w:val="nil"/>
              <w:bottom w:val="single" w:sz="4" w:space="0" w:color="auto"/>
              <w:right w:val="single" w:sz="4" w:space="0" w:color="auto"/>
            </w:tcBorders>
            <w:shd w:val="clear" w:color="auto" w:fill="auto"/>
            <w:vAlign w:val="center"/>
          </w:tcPr>
          <w:p w14:paraId="1F03ADEE" w14:textId="7A626E06"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w:t>
            </w:r>
            <w:r w:rsidR="00C11FDB">
              <w:rPr>
                <w:rFonts w:cstheme="minorHAnsi"/>
                <w:sz w:val="16"/>
                <w:szCs w:val="16"/>
              </w:rPr>
              <w:t>,</w:t>
            </w:r>
            <w:r w:rsidRPr="00622F40">
              <w:rPr>
                <w:rFonts w:cstheme="minorHAnsi"/>
                <w:sz w:val="16"/>
                <w:szCs w:val="16"/>
              </w:rPr>
              <w:t>258</w:t>
            </w:r>
            <w:r w:rsidR="00C11FDB">
              <w:rPr>
                <w:rFonts w:cstheme="minorHAnsi"/>
                <w:sz w:val="16"/>
                <w:szCs w:val="16"/>
              </w:rPr>
              <w:t>,</w:t>
            </w:r>
            <w:r w:rsidRPr="00622F40">
              <w:rPr>
                <w:rFonts w:cstheme="minorHAnsi"/>
                <w:sz w:val="16"/>
                <w:szCs w:val="16"/>
              </w:rPr>
              <w:t>953</w:t>
            </w:r>
          </w:p>
        </w:tc>
        <w:tc>
          <w:tcPr>
            <w:tcW w:w="397" w:type="pct"/>
            <w:tcBorders>
              <w:top w:val="single" w:sz="4" w:space="0" w:color="auto"/>
              <w:left w:val="nil"/>
              <w:bottom w:val="single" w:sz="4" w:space="0" w:color="auto"/>
              <w:right w:val="single" w:sz="4" w:space="0" w:color="auto"/>
            </w:tcBorders>
            <w:shd w:val="clear" w:color="auto" w:fill="auto"/>
            <w:vAlign w:val="center"/>
          </w:tcPr>
          <w:p w14:paraId="6B345535" w14:textId="4052A0EA"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w:t>
            </w:r>
            <w:r w:rsidR="00C11FDB">
              <w:rPr>
                <w:rFonts w:cstheme="minorHAnsi"/>
                <w:sz w:val="16"/>
                <w:szCs w:val="16"/>
              </w:rPr>
              <w:t>,</w:t>
            </w:r>
            <w:r w:rsidRPr="00622F40">
              <w:rPr>
                <w:rFonts w:cstheme="minorHAnsi"/>
                <w:sz w:val="16"/>
                <w:szCs w:val="16"/>
              </w:rPr>
              <w:t>009</w:t>
            </w:r>
            <w:r w:rsidR="00C11FDB">
              <w:rPr>
                <w:rFonts w:cstheme="minorHAnsi"/>
                <w:sz w:val="16"/>
                <w:szCs w:val="16"/>
              </w:rPr>
              <w:t>,</w:t>
            </w:r>
            <w:r w:rsidRPr="00622F40">
              <w:rPr>
                <w:rFonts w:cstheme="minorHAnsi"/>
                <w:sz w:val="16"/>
                <w:szCs w:val="16"/>
              </w:rPr>
              <w:t>319</w:t>
            </w:r>
          </w:p>
        </w:tc>
        <w:tc>
          <w:tcPr>
            <w:tcW w:w="397" w:type="pct"/>
            <w:tcBorders>
              <w:top w:val="single" w:sz="4" w:space="0" w:color="auto"/>
              <w:left w:val="nil"/>
              <w:bottom w:val="single" w:sz="4" w:space="0" w:color="auto"/>
              <w:right w:val="single" w:sz="4" w:space="0" w:color="auto"/>
            </w:tcBorders>
            <w:shd w:val="clear" w:color="auto" w:fill="auto"/>
            <w:vAlign w:val="center"/>
          </w:tcPr>
          <w:p w14:paraId="51B5B29C" w14:textId="594A3081"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w:t>
            </w:r>
            <w:r w:rsidR="00C11FDB">
              <w:rPr>
                <w:rFonts w:cstheme="minorHAnsi"/>
                <w:sz w:val="16"/>
                <w:szCs w:val="16"/>
              </w:rPr>
              <w:t>,</w:t>
            </w:r>
            <w:r w:rsidRPr="00622F40">
              <w:rPr>
                <w:rFonts w:cstheme="minorHAnsi"/>
                <w:sz w:val="16"/>
                <w:szCs w:val="16"/>
              </w:rPr>
              <w:t>775</w:t>
            </w:r>
            <w:r w:rsidR="00C11FDB">
              <w:rPr>
                <w:rFonts w:cstheme="minorHAnsi"/>
                <w:sz w:val="16"/>
                <w:szCs w:val="16"/>
              </w:rPr>
              <w:t>,</w:t>
            </w:r>
            <w:r w:rsidRPr="00622F40">
              <w:rPr>
                <w:rFonts w:cstheme="minorHAnsi"/>
                <w:sz w:val="16"/>
                <w:szCs w:val="16"/>
              </w:rPr>
              <w:t>260</w:t>
            </w:r>
          </w:p>
        </w:tc>
      </w:tr>
      <w:tr w:rsidR="001C3915" w:rsidRPr="00155CA1" w14:paraId="22FA364E"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21FF2"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t>Plastics &amp; Resins</w:t>
            </w:r>
          </w:p>
        </w:tc>
        <w:tc>
          <w:tcPr>
            <w:tcW w:w="397" w:type="pct"/>
            <w:tcBorders>
              <w:top w:val="single" w:sz="4" w:space="0" w:color="auto"/>
              <w:left w:val="nil"/>
              <w:bottom w:val="single" w:sz="4" w:space="0" w:color="auto"/>
              <w:right w:val="single" w:sz="4" w:space="0" w:color="auto"/>
            </w:tcBorders>
            <w:shd w:val="clear" w:color="auto" w:fill="auto"/>
            <w:vAlign w:val="center"/>
          </w:tcPr>
          <w:p w14:paraId="50706D7D" w14:textId="3B0DF97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154</w:t>
            </w:r>
            <w:r>
              <w:rPr>
                <w:rFonts w:cstheme="minorHAnsi"/>
                <w:sz w:val="16"/>
                <w:szCs w:val="16"/>
              </w:rPr>
              <w:t>,</w:t>
            </w:r>
            <w:r w:rsidRPr="00622F40">
              <w:rPr>
                <w:rFonts w:cstheme="minorHAnsi"/>
                <w:sz w:val="16"/>
                <w:szCs w:val="16"/>
              </w:rPr>
              <w:t>771</w:t>
            </w:r>
          </w:p>
        </w:tc>
        <w:tc>
          <w:tcPr>
            <w:tcW w:w="397" w:type="pct"/>
            <w:tcBorders>
              <w:top w:val="single" w:sz="4" w:space="0" w:color="auto"/>
              <w:left w:val="nil"/>
              <w:bottom w:val="single" w:sz="4" w:space="0" w:color="auto"/>
              <w:right w:val="single" w:sz="4" w:space="0" w:color="auto"/>
            </w:tcBorders>
            <w:shd w:val="clear" w:color="auto" w:fill="auto"/>
            <w:vAlign w:val="center"/>
          </w:tcPr>
          <w:p w14:paraId="042547E1" w14:textId="0533E952"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161</w:t>
            </w:r>
            <w:r>
              <w:rPr>
                <w:rFonts w:cstheme="minorHAnsi"/>
                <w:sz w:val="16"/>
                <w:szCs w:val="16"/>
              </w:rPr>
              <w:t>,</w:t>
            </w:r>
            <w:r w:rsidRPr="00622F40">
              <w:rPr>
                <w:rFonts w:cstheme="minorHAnsi"/>
                <w:sz w:val="16"/>
                <w:szCs w:val="16"/>
              </w:rPr>
              <w:t>036</w:t>
            </w:r>
          </w:p>
        </w:tc>
        <w:tc>
          <w:tcPr>
            <w:tcW w:w="397" w:type="pct"/>
            <w:tcBorders>
              <w:top w:val="single" w:sz="4" w:space="0" w:color="auto"/>
              <w:left w:val="nil"/>
              <w:bottom w:val="single" w:sz="4" w:space="0" w:color="auto"/>
              <w:right w:val="single" w:sz="4" w:space="0" w:color="auto"/>
            </w:tcBorders>
            <w:shd w:val="clear" w:color="auto" w:fill="auto"/>
            <w:vAlign w:val="center"/>
          </w:tcPr>
          <w:p w14:paraId="254332B2" w14:textId="15BD7BF0"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140</w:t>
            </w:r>
            <w:r>
              <w:rPr>
                <w:rFonts w:cstheme="minorHAnsi"/>
                <w:sz w:val="16"/>
                <w:szCs w:val="16"/>
              </w:rPr>
              <w:t>,</w:t>
            </w:r>
            <w:r w:rsidRPr="00622F40">
              <w:rPr>
                <w:rFonts w:cstheme="minorHAnsi"/>
                <w:sz w:val="16"/>
                <w:szCs w:val="16"/>
              </w:rPr>
              <w:t>088</w:t>
            </w:r>
          </w:p>
        </w:tc>
        <w:tc>
          <w:tcPr>
            <w:tcW w:w="397" w:type="pct"/>
            <w:tcBorders>
              <w:top w:val="single" w:sz="4" w:space="0" w:color="auto"/>
              <w:left w:val="nil"/>
              <w:bottom w:val="single" w:sz="4" w:space="0" w:color="auto"/>
              <w:right w:val="single" w:sz="4" w:space="0" w:color="auto"/>
            </w:tcBorders>
            <w:shd w:val="clear" w:color="auto" w:fill="auto"/>
            <w:vAlign w:val="center"/>
          </w:tcPr>
          <w:p w14:paraId="1DFC93BC" w14:textId="121FDD7A"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94</w:t>
            </w:r>
            <w:r w:rsidR="00C11FDB">
              <w:rPr>
                <w:rFonts w:cstheme="minorHAnsi"/>
                <w:sz w:val="16"/>
                <w:szCs w:val="16"/>
              </w:rPr>
              <w:t>,</w:t>
            </w:r>
            <w:r w:rsidRPr="00622F40">
              <w:rPr>
                <w:rFonts w:cstheme="minorHAnsi"/>
                <w:sz w:val="16"/>
                <w:szCs w:val="16"/>
              </w:rPr>
              <w:t>926</w:t>
            </w:r>
          </w:p>
        </w:tc>
        <w:tc>
          <w:tcPr>
            <w:tcW w:w="397" w:type="pct"/>
            <w:tcBorders>
              <w:top w:val="single" w:sz="4" w:space="0" w:color="auto"/>
              <w:left w:val="nil"/>
              <w:bottom w:val="single" w:sz="4" w:space="0" w:color="auto"/>
              <w:right w:val="single" w:sz="4" w:space="0" w:color="auto"/>
            </w:tcBorders>
            <w:shd w:val="clear" w:color="auto" w:fill="auto"/>
            <w:vAlign w:val="center"/>
          </w:tcPr>
          <w:p w14:paraId="7DBC4831" w14:textId="430F60C8"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114</w:t>
            </w:r>
            <w:r w:rsidR="00C11FDB">
              <w:rPr>
                <w:rFonts w:cstheme="minorHAnsi"/>
                <w:sz w:val="16"/>
                <w:szCs w:val="16"/>
              </w:rPr>
              <w:t>,</w:t>
            </w:r>
            <w:r w:rsidRPr="00622F40">
              <w:rPr>
                <w:rFonts w:cstheme="minorHAnsi"/>
                <w:sz w:val="16"/>
                <w:szCs w:val="16"/>
              </w:rPr>
              <w:t>028</w:t>
            </w:r>
          </w:p>
        </w:tc>
        <w:tc>
          <w:tcPr>
            <w:tcW w:w="397" w:type="pct"/>
            <w:tcBorders>
              <w:top w:val="single" w:sz="4" w:space="0" w:color="auto"/>
              <w:left w:val="nil"/>
              <w:bottom w:val="single" w:sz="4" w:space="0" w:color="auto"/>
              <w:right w:val="single" w:sz="4" w:space="0" w:color="auto"/>
            </w:tcBorders>
            <w:shd w:val="clear" w:color="auto" w:fill="auto"/>
            <w:vAlign w:val="center"/>
          </w:tcPr>
          <w:p w14:paraId="3B2A8925" w14:textId="14090821"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102</w:t>
            </w:r>
            <w:r w:rsidR="00C11FDB">
              <w:rPr>
                <w:rFonts w:cstheme="minorHAnsi"/>
                <w:sz w:val="16"/>
                <w:szCs w:val="16"/>
              </w:rPr>
              <w:t>,</w:t>
            </w:r>
            <w:r w:rsidRPr="00622F40">
              <w:rPr>
                <w:rFonts w:cstheme="minorHAnsi"/>
                <w:sz w:val="16"/>
                <w:szCs w:val="16"/>
              </w:rPr>
              <w:t>410</w:t>
            </w:r>
          </w:p>
        </w:tc>
        <w:tc>
          <w:tcPr>
            <w:tcW w:w="397" w:type="pct"/>
            <w:tcBorders>
              <w:top w:val="single" w:sz="4" w:space="0" w:color="auto"/>
              <w:left w:val="nil"/>
              <w:bottom w:val="single" w:sz="4" w:space="0" w:color="auto"/>
              <w:right w:val="single" w:sz="4" w:space="0" w:color="auto"/>
            </w:tcBorders>
            <w:shd w:val="clear" w:color="auto" w:fill="auto"/>
            <w:vAlign w:val="center"/>
          </w:tcPr>
          <w:p w14:paraId="69DC2854" w14:textId="4C1BCDC4"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113</w:t>
            </w:r>
            <w:r w:rsidR="00C11FDB">
              <w:rPr>
                <w:rFonts w:cstheme="minorHAnsi"/>
                <w:sz w:val="16"/>
                <w:szCs w:val="16"/>
              </w:rPr>
              <w:t>,</w:t>
            </w:r>
            <w:r w:rsidRPr="00622F40">
              <w:rPr>
                <w:rFonts w:cstheme="minorHAnsi"/>
                <w:sz w:val="16"/>
                <w:szCs w:val="16"/>
              </w:rPr>
              <w:t>655</w:t>
            </w:r>
          </w:p>
        </w:tc>
        <w:tc>
          <w:tcPr>
            <w:tcW w:w="397" w:type="pct"/>
            <w:tcBorders>
              <w:top w:val="single" w:sz="4" w:space="0" w:color="auto"/>
              <w:left w:val="nil"/>
              <w:bottom w:val="single" w:sz="4" w:space="0" w:color="auto"/>
              <w:right w:val="single" w:sz="4" w:space="0" w:color="auto"/>
            </w:tcBorders>
            <w:shd w:val="clear" w:color="auto" w:fill="auto"/>
            <w:vAlign w:val="center"/>
          </w:tcPr>
          <w:p w14:paraId="3E042131" w14:textId="5ABE4661"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128</w:t>
            </w:r>
            <w:r w:rsidR="00C11FDB">
              <w:rPr>
                <w:rFonts w:cstheme="minorHAnsi"/>
                <w:sz w:val="16"/>
                <w:szCs w:val="16"/>
              </w:rPr>
              <w:t>,</w:t>
            </w:r>
            <w:r w:rsidRPr="00622F40">
              <w:rPr>
                <w:rFonts w:cstheme="minorHAnsi"/>
                <w:sz w:val="16"/>
                <w:szCs w:val="16"/>
              </w:rPr>
              <w:t>409</w:t>
            </w:r>
          </w:p>
        </w:tc>
        <w:tc>
          <w:tcPr>
            <w:tcW w:w="397" w:type="pct"/>
            <w:tcBorders>
              <w:top w:val="single" w:sz="4" w:space="0" w:color="auto"/>
              <w:left w:val="nil"/>
              <w:bottom w:val="single" w:sz="4" w:space="0" w:color="auto"/>
              <w:right w:val="single" w:sz="4" w:space="0" w:color="auto"/>
            </w:tcBorders>
            <w:shd w:val="clear" w:color="auto" w:fill="auto"/>
            <w:vAlign w:val="center"/>
          </w:tcPr>
          <w:p w14:paraId="3F7A2640" w14:textId="181DB9D1"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107</w:t>
            </w:r>
            <w:r w:rsidR="00C11FDB">
              <w:rPr>
                <w:rFonts w:cstheme="minorHAnsi"/>
                <w:sz w:val="16"/>
                <w:szCs w:val="16"/>
              </w:rPr>
              <w:t>,</w:t>
            </w:r>
            <w:r w:rsidRPr="00622F40">
              <w:rPr>
                <w:rFonts w:cstheme="minorHAnsi"/>
                <w:sz w:val="16"/>
                <w:szCs w:val="16"/>
              </w:rPr>
              <w:t>353</w:t>
            </w:r>
          </w:p>
        </w:tc>
        <w:tc>
          <w:tcPr>
            <w:tcW w:w="397" w:type="pct"/>
            <w:tcBorders>
              <w:top w:val="single" w:sz="4" w:space="0" w:color="auto"/>
              <w:left w:val="nil"/>
              <w:bottom w:val="single" w:sz="4" w:space="0" w:color="auto"/>
              <w:right w:val="single" w:sz="4" w:space="0" w:color="auto"/>
            </w:tcBorders>
            <w:shd w:val="clear" w:color="auto" w:fill="auto"/>
            <w:vAlign w:val="center"/>
          </w:tcPr>
          <w:p w14:paraId="4C1A29BC" w14:textId="30144BD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99</w:t>
            </w:r>
            <w:r w:rsidR="00C11FDB">
              <w:rPr>
                <w:rFonts w:cstheme="minorHAnsi"/>
                <w:sz w:val="16"/>
                <w:szCs w:val="16"/>
              </w:rPr>
              <w:t>,</w:t>
            </w:r>
            <w:r w:rsidRPr="00622F40">
              <w:rPr>
                <w:rFonts w:cstheme="minorHAnsi"/>
                <w:sz w:val="16"/>
                <w:szCs w:val="16"/>
              </w:rPr>
              <w:t>692</w:t>
            </w:r>
          </w:p>
        </w:tc>
        <w:tc>
          <w:tcPr>
            <w:tcW w:w="397" w:type="pct"/>
            <w:tcBorders>
              <w:top w:val="single" w:sz="4" w:space="0" w:color="auto"/>
              <w:left w:val="nil"/>
              <w:bottom w:val="single" w:sz="4" w:space="0" w:color="auto"/>
              <w:right w:val="single" w:sz="4" w:space="0" w:color="auto"/>
            </w:tcBorders>
            <w:shd w:val="clear" w:color="auto" w:fill="auto"/>
            <w:vAlign w:val="center"/>
          </w:tcPr>
          <w:p w14:paraId="22BFEBE3" w14:textId="5AAB34C0"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110</w:t>
            </w:r>
            <w:r w:rsidR="00C11FDB">
              <w:rPr>
                <w:rFonts w:cstheme="minorHAnsi"/>
                <w:sz w:val="16"/>
                <w:szCs w:val="16"/>
              </w:rPr>
              <w:t>,</w:t>
            </w:r>
            <w:r w:rsidRPr="00622F40">
              <w:rPr>
                <w:rFonts w:cstheme="minorHAnsi"/>
                <w:sz w:val="16"/>
                <w:szCs w:val="16"/>
              </w:rPr>
              <w:t>842</w:t>
            </w:r>
          </w:p>
        </w:tc>
      </w:tr>
      <w:tr w:rsidR="00277ADB" w:rsidRPr="00155CA1" w14:paraId="5C48822E"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FA2543" w14:textId="77777777" w:rsidR="002970B6" w:rsidRPr="00B75289" w:rsidRDefault="002970B6" w:rsidP="00E13FD9">
            <w:pPr>
              <w:spacing w:before="40" w:afterLines="40" w:after="96" w:line="240" w:lineRule="auto"/>
              <w:jc w:val="center"/>
              <w:rPr>
                <w:rFonts w:cs="Arial"/>
                <w:sz w:val="16"/>
                <w:szCs w:val="16"/>
              </w:rPr>
            </w:pPr>
            <w:r w:rsidRPr="00B75289">
              <w:rPr>
                <w:rFonts w:cs="Arial"/>
                <w:sz w:val="16"/>
                <w:szCs w:val="16"/>
              </w:rPr>
              <w:t>Pulp &amp; Paper (combined)</w:t>
            </w:r>
          </w:p>
        </w:tc>
        <w:tc>
          <w:tcPr>
            <w:tcW w:w="397" w:type="pct"/>
            <w:tcBorders>
              <w:top w:val="single" w:sz="4" w:space="0" w:color="auto"/>
              <w:left w:val="nil"/>
              <w:bottom w:val="single" w:sz="4" w:space="0" w:color="auto"/>
              <w:right w:val="single" w:sz="4" w:space="0" w:color="auto"/>
            </w:tcBorders>
            <w:shd w:val="clear" w:color="auto" w:fill="auto"/>
            <w:vAlign w:val="center"/>
          </w:tcPr>
          <w:p w14:paraId="06744D51" w14:textId="05FE63B7" w:rsidR="002970B6" w:rsidRPr="00D66209" w:rsidRDefault="002970B6" w:rsidP="00E13FD9">
            <w:pPr>
              <w:spacing w:before="40" w:afterLines="40" w:after="96" w:line="240" w:lineRule="auto"/>
              <w:ind w:right="-74"/>
              <w:jc w:val="center"/>
              <w:rPr>
                <w:rFonts w:cstheme="minorHAnsi"/>
                <w:sz w:val="16"/>
                <w:szCs w:val="16"/>
              </w:rPr>
            </w:pPr>
            <w:r w:rsidRPr="00622F40">
              <w:rPr>
                <w:rFonts w:cstheme="minorHAnsi"/>
                <w:sz w:val="16"/>
                <w:szCs w:val="16"/>
              </w:rPr>
              <w:t>7</w:t>
            </w:r>
            <w:r>
              <w:rPr>
                <w:rFonts w:cstheme="minorHAnsi"/>
                <w:sz w:val="16"/>
                <w:szCs w:val="16"/>
              </w:rPr>
              <w:t>,</w:t>
            </w:r>
            <w:r w:rsidRPr="00622F40">
              <w:rPr>
                <w:rFonts w:cstheme="minorHAnsi"/>
                <w:sz w:val="16"/>
                <w:szCs w:val="16"/>
              </w:rPr>
              <w:t>271</w:t>
            </w:r>
          </w:p>
        </w:tc>
        <w:tc>
          <w:tcPr>
            <w:tcW w:w="397" w:type="pct"/>
            <w:tcBorders>
              <w:top w:val="single" w:sz="4" w:space="0" w:color="auto"/>
              <w:left w:val="nil"/>
              <w:bottom w:val="single" w:sz="4" w:space="0" w:color="auto"/>
              <w:right w:val="single" w:sz="4" w:space="0" w:color="auto"/>
            </w:tcBorders>
            <w:shd w:val="clear" w:color="auto" w:fill="auto"/>
            <w:vAlign w:val="center"/>
          </w:tcPr>
          <w:p w14:paraId="36C6C4F6" w14:textId="7CCA89E8" w:rsidR="002970B6" w:rsidRPr="00D66209" w:rsidRDefault="002970B6" w:rsidP="00E13FD9">
            <w:pPr>
              <w:spacing w:before="40" w:afterLines="40" w:after="96" w:line="240" w:lineRule="auto"/>
              <w:ind w:right="-74"/>
              <w:jc w:val="center"/>
              <w:rPr>
                <w:rFonts w:cstheme="minorHAnsi"/>
                <w:sz w:val="16"/>
                <w:szCs w:val="16"/>
              </w:rPr>
            </w:pPr>
            <w:r w:rsidRPr="00622F40">
              <w:rPr>
                <w:rFonts w:cstheme="minorHAnsi"/>
                <w:sz w:val="16"/>
                <w:szCs w:val="16"/>
              </w:rPr>
              <w:t>5</w:t>
            </w:r>
            <w:r>
              <w:rPr>
                <w:rFonts w:cstheme="minorHAnsi"/>
                <w:sz w:val="16"/>
                <w:szCs w:val="16"/>
              </w:rPr>
              <w:t>,</w:t>
            </w:r>
            <w:r w:rsidRPr="00622F40">
              <w:rPr>
                <w:rFonts w:cstheme="minorHAnsi"/>
                <w:sz w:val="16"/>
                <w:szCs w:val="16"/>
              </w:rPr>
              <w:t>672</w:t>
            </w:r>
          </w:p>
        </w:tc>
        <w:tc>
          <w:tcPr>
            <w:tcW w:w="397" w:type="pct"/>
            <w:tcBorders>
              <w:top w:val="single" w:sz="4" w:space="0" w:color="auto"/>
              <w:left w:val="nil"/>
              <w:bottom w:val="single" w:sz="4" w:space="0" w:color="auto"/>
              <w:right w:val="single" w:sz="4" w:space="0" w:color="auto"/>
            </w:tcBorders>
            <w:shd w:val="clear" w:color="auto" w:fill="auto"/>
            <w:vAlign w:val="center"/>
          </w:tcPr>
          <w:p w14:paraId="027EF57A" w14:textId="69DADF3D" w:rsidR="002970B6" w:rsidRPr="00D66209" w:rsidRDefault="002970B6" w:rsidP="00E13FD9">
            <w:pPr>
              <w:spacing w:before="40" w:afterLines="40" w:after="96" w:line="240" w:lineRule="auto"/>
              <w:ind w:right="-74"/>
              <w:jc w:val="center"/>
              <w:rPr>
                <w:rFonts w:cstheme="minorHAnsi"/>
                <w:sz w:val="16"/>
                <w:szCs w:val="16"/>
              </w:rPr>
            </w:pPr>
            <w:r w:rsidRPr="00622F40">
              <w:rPr>
                <w:rFonts w:cstheme="minorHAnsi"/>
                <w:sz w:val="16"/>
                <w:szCs w:val="16"/>
              </w:rPr>
              <w:t>3</w:t>
            </w:r>
            <w:r>
              <w:rPr>
                <w:rFonts w:cstheme="minorHAnsi"/>
                <w:sz w:val="16"/>
                <w:szCs w:val="16"/>
              </w:rPr>
              <w:t>,</w:t>
            </w:r>
            <w:r w:rsidRPr="00622F40">
              <w:rPr>
                <w:rFonts w:cstheme="minorHAnsi"/>
                <w:sz w:val="16"/>
                <w:szCs w:val="16"/>
              </w:rPr>
              <w:t>196</w:t>
            </w:r>
          </w:p>
        </w:tc>
        <w:tc>
          <w:tcPr>
            <w:tcW w:w="397" w:type="pct"/>
            <w:tcBorders>
              <w:top w:val="single" w:sz="4" w:space="0" w:color="auto"/>
              <w:left w:val="nil"/>
              <w:bottom w:val="single" w:sz="4" w:space="0" w:color="auto"/>
              <w:right w:val="single" w:sz="4" w:space="0" w:color="auto"/>
            </w:tcBorders>
            <w:shd w:val="clear" w:color="auto" w:fill="auto"/>
            <w:vAlign w:val="center"/>
          </w:tcPr>
          <w:p w14:paraId="5B9BF035" w14:textId="06E0D54C" w:rsidR="002970B6" w:rsidRPr="00D66209" w:rsidRDefault="002970B6" w:rsidP="00E13FD9">
            <w:pPr>
              <w:spacing w:before="40" w:afterLines="40" w:after="96" w:line="240" w:lineRule="auto"/>
              <w:ind w:right="-74"/>
              <w:jc w:val="center"/>
              <w:rPr>
                <w:rFonts w:cstheme="minorHAnsi"/>
                <w:sz w:val="16"/>
                <w:szCs w:val="16"/>
              </w:rPr>
            </w:pPr>
            <w:r>
              <w:rPr>
                <w:rFonts w:cstheme="minorHAnsi"/>
                <w:sz w:val="16"/>
                <w:szCs w:val="16"/>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085B0584" w14:textId="180C9BAA" w:rsidR="002970B6" w:rsidRPr="00D66209" w:rsidRDefault="002970B6" w:rsidP="00E13FD9">
            <w:pPr>
              <w:spacing w:before="40" w:afterLines="40" w:after="96" w:line="240" w:lineRule="auto"/>
              <w:ind w:right="-74"/>
              <w:jc w:val="center"/>
              <w:rPr>
                <w:rFonts w:cstheme="minorHAnsi"/>
                <w:sz w:val="16"/>
                <w:szCs w:val="16"/>
              </w:rPr>
            </w:pPr>
            <w:r w:rsidRPr="00253443">
              <w:rPr>
                <w:rFonts w:cstheme="minorHAnsi"/>
                <w:sz w:val="16"/>
                <w:szCs w:val="16"/>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26EF3E6B" w14:textId="7A7ABE7F" w:rsidR="002970B6" w:rsidRPr="00D66209" w:rsidRDefault="002970B6" w:rsidP="00E13FD9">
            <w:pPr>
              <w:spacing w:before="40" w:afterLines="40" w:after="96" w:line="240" w:lineRule="auto"/>
              <w:ind w:right="-74"/>
              <w:jc w:val="center"/>
              <w:rPr>
                <w:rFonts w:cstheme="minorHAnsi"/>
                <w:sz w:val="16"/>
                <w:szCs w:val="16"/>
              </w:rPr>
            </w:pPr>
            <w:r w:rsidRPr="00253443">
              <w:rPr>
                <w:rFonts w:cstheme="minorHAnsi"/>
                <w:sz w:val="16"/>
                <w:szCs w:val="16"/>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433A61D1" w14:textId="4124B644" w:rsidR="002970B6" w:rsidRPr="00D66209" w:rsidRDefault="002970B6" w:rsidP="00E13FD9">
            <w:pPr>
              <w:spacing w:before="40" w:afterLines="40" w:after="96" w:line="240" w:lineRule="auto"/>
              <w:ind w:right="-74"/>
              <w:jc w:val="center"/>
              <w:rPr>
                <w:rFonts w:cstheme="minorHAnsi"/>
                <w:sz w:val="16"/>
                <w:szCs w:val="16"/>
              </w:rPr>
            </w:pPr>
            <w:r w:rsidRPr="00253443">
              <w:rPr>
                <w:rFonts w:cstheme="minorHAnsi"/>
                <w:sz w:val="16"/>
                <w:szCs w:val="16"/>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31C76BB0" w14:textId="699FFD7C" w:rsidR="002970B6" w:rsidRPr="00D66209" w:rsidRDefault="002970B6" w:rsidP="00E13FD9">
            <w:pPr>
              <w:spacing w:before="40" w:afterLines="40" w:after="96" w:line="240" w:lineRule="auto"/>
              <w:ind w:right="-74"/>
              <w:jc w:val="center"/>
              <w:rPr>
                <w:rFonts w:cstheme="minorHAnsi"/>
                <w:sz w:val="16"/>
                <w:szCs w:val="16"/>
              </w:rPr>
            </w:pPr>
            <w:r w:rsidRPr="00253443">
              <w:rPr>
                <w:rFonts w:cstheme="minorHAnsi"/>
                <w:sz w:val="16"/>
                <w:szCs w:val="16"/>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4A7B13D5" w14:textId="70150878" w:rsidR="002970B6" w:rsidRPr="00D66209" w:rsidRDefault="002970B6" w:rsidP="00E13FD9">
            <w:pPr>
              <w:spacing w:before="40" w:afterLines="40" w:after="96" w:line="240" w:lineRule="auto"/>
              <w:ind w:right="-74"/>
              <w:jc w:val="center"/>
              <w:rPr>
                <w:rFonts w:cstheme="minorHAnsi"/>
                <w:sz w:val="16"/>
                <w:szCs w:val="16"/>
              </w:rPr>
            </w:pPr>
            <w:r w:rsidRPr="00253443">
              <w:rPr>
                <w:rFonts w:cstheme="minorHAnsi"/>
                <w:sz w:val="16"/>
                <w:szCs w:val="16"/>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6EB4A47F" w14:textId="0CE6489F" w:rsidR="002970B6" w:rsidRPr="00D66209" w:rsidRDefault="002970B6" w:rsidP="00E13FD9">
            <w:pPr>
              <w:spacing w:before="40" w:afterLines="40" w:after="96" w:line="240" w:lineRule="auto"/>
              <w:ind w:right="-74"/>
              <w:jc w:val="center"/>
              <w:rPr>
                <w:rFonts w:cstheme="minorHAnsi"/>
                <w:sz w:val="16"/>
                <w:szCs w:val="16"/>
              </w:rPr>
            </w:pPr>
            <w:r w:rsidRPr="00253443">
              <w:rPr>
                <w:rFonts w:cstheme="minorHAnsi"/>
                <w:sz w:val="16"/>
                <w:szCs w:val="16"/>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23179F57" w14:textId="422468C2" w:rsidR="002970B6" w:rsidRPr="00D66209" w:rsidRDefault="002970B6" w:rsidP="00E13FD9">
            <w:pPr>
              <w:spacing w:before="40" w:afterLines="40" w:after="96" w:line="240" w:lineRule="auto"/>
              <w:ind w:right="-74"/>
              <w:jc w:val="center"/>
              <w:rPr>
                <w:rFonts w:cstheme="minorHAnsi"/>
                <w:sz w:val="16"/>
                <w:szCs w:val="16"/>
              </w:rPr>
            </w:pPr>
            <w:r w:rsidRPr="00253443">
              <w:rPr>
                <w:rFonts w:cstheme="minorHAnsi"/>
                <w:sz w:val="16"/>
                <w:szCs w:val="16"/>
              </w:rPr>
              <w:t>NO</w:t>
            </w:r>
          </w:p>
        </w:tc>
      </w:tr>
      <w:tr w:rsidR="00277ADB" w:rsidRPr="00155CA1" w14:paraId="30123CF3"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6F3AD"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t>Soap &amp; Detergents</w:t>
            </w:r>
          </w:p>
        </w:tc>
        <w:tc>
          <w:tcPr>
            <w:tcW w:w="397" w:type="pct"/>
            <w:tcBorders>
              <w:top w:val="single" w:sz="4" w:space="0" w:color="auto"/>
              <w:left w:val="nil"/>
              <w:bottom w:val="single" w:sz="4" w:space="0" w:color="auto"/>
              <w:right w:val="single" w:sz="4" w:space="0" w:color="auto"/>
            </w:tcBorders>
            <w:shd w:val="clear" w:color="auto" w:fill="auto"/>
            <w:vAlign w:val="center"/>
          </w:tcPr>
          <w:p w14:paraId="59AF334D" w14:textId="3E720FE0"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57</w:t>
            </w:r>
            <w:r>
              <w:rPr>
                <w:rFonts w:cstheme="minorHAnsi"/>
                <w:sz w:val="16"/>
                <w:szCs w:val="16"/>
              </w:rPr>
              <w:t>,</w:t>
            </w:r>
            <w:r w:rsidRPr="00622F40">
              <w:rPr>
                <w:rFonts w:cstheme="minorHAnsi"/>
                <w:sz w:val="16"/>
                <w:szCs w:val="16"/>
              </w:rPr>
              <w:t>597</w:t>
            </w:r>
          </w:p>
        </w:tc>
        <w:tc>
          <w:tcPr>
            <w:tcW w:w="397" w:type="pct"/>
            <w:tcBorders>
              <w:top w:val="single" w:sz="4" w:space="0" w:color="auto"/>
              <w:left w:val="nil"/>
              <w:bottom w:val="single" w:sz="4" w:space="0" w:color="auto"/>
              <w:right w:val="single" w:sz="4" w:space="0" w:color="auto"/>
            </w:tcBorders>
            <w:shd w:val="clear" w:color="auto" w:fill="auto"/>
            <w:vAlign w:val="center"/>
          </w:tcPr>
          <w:p w14:paraId="314FE9B0" w14:textId="0D42BD7B"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45</w:t>
            </w:r>
            <w:r>
              <w:rPr>
                <w:rFonts w:cstheme="minorHAnsi"/>
                <w:sz w:val="16"/>
                <w:szCs w:val="16"/>
              </w:rPr>
              <w:t>,</w:t>
            </w:r>
            <w:r w:rsidRPr="00622F40">
              <w:rPr>
                <w:rFonts w:cstheme="minorHAnsi"/>
                <w:sz w:val="16"/>
                <w:szCs w:val="16"/>
              </w:rPr>
              <w:t>809</w:t>
            </w:r>
          </w:p>
        </w:tc>
        <w:tc>
          <w:tcPr>
            <w:tcW w:w="397" w:type="pct"/>
            <w:tcBorders>
              <w:top w:val="single" w:sz="4" w:space="0" w:color="auto"/>
              <w:left w:val="nil"/>
              <w:bottom w:val="single" w:sz="4" w:space="0" w:color="auto"/>
              <w:right w:val="single" w:sz="4" w:space="0" w:color="auto"/>
            </w:tcBorders>
            <w:shd w:val="clear" w:color="auto" w:fill="auto"/>
            <w:vAlign w:val="center"/>
          </w:tcPr>
          <w:p w14:paraId="61C4E12C" w14:textId="652ABB72"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68</w:t>
            </w:r>
            <w:r>
              <w:rPr>
                <w:rFonts w:cstheme="minorHAnsi"/>
                <w:sz w:val="16"/>
                <w:szCs w:val="16"/>
              </w:rPr>
              <w:t>,</w:t>
            </w:r>
            <w:r w:rsidRPr="00622F40">
              <w:rPr>
                <w:rFonts w:cstheme="minorHAnsi"/>
                <w:sz w:val="16"/>
                <w:szCs w:val="16"/>
              </w:rPr>
              <w:t>349</w:t>
            </w:r>
          </w:p>
        </w:tc>
        <w:tc>
          <w:tcPr>
            <w:tcW w:w="397" w:type="pct"/>
            <w:tcBorders>
              <w:top w:val="single" w:sz="4" w:space="0" w:color="auto"/>
              <w:left w:val="nil"/>
              <w:bottom w:val="single" w:sz="4" w:space="0" w:color="auto"/>
              <w:right w:val="single" w:sz="4" w:space="0" w:color="auto"/>
            </w:tcBorders>
            <w:shd w:val="clear" w:color="auto" w:fill="auto"/>
            <w:vAlign w:val="center"/>
          </w:tcPr>
          <w:p w14:paraId="58FF45D3" w14:textId="560D9150"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75</w:t>
            </w:r>
            <w:r w:rsidR="00C11FDB">
              <w:rPr>
                <w:rFonts w:cstheme="minorHAnsi"/>
                <w:sz w:val="16"/>
                <w:szCs w:val="16"/>
              </w:rPr>
              <w:t>,</w:t>
            </w:r>
            <w:r w:rsidRPr="00622F40">
              <w:rPr>
                <w:rFonts w:cstheme="minorHAnsi"/>
                <w:sz w:val="16"/>
                <w:szCs w:val="16"/>
              </w:rPr>
              <w:t>911</w:t>
            </w:r>
          </w:p>
        </w:tc>
        <w:tc>
          <w:tcPr>
            <w:tcW w:w="397" w:type="pct"/>
            <w:tcBorders>
              <w:top w:val="single" w:sz="4" w:space="0" w:color="auto"/>
              <w:left w:val="nil"/>
              <w:bottom w:val="single" w:sz="4" w:space="0" w:color="auto"/>
              <w:right w:val="single" w:sz="4" w:space="0" w:color="auto"/>
            </w:tcBorders>
            <w:shd w:val="clear" w:color="auto" w:fill="auto"/>
            <w:vAlign w:val="center"/>
          </w:tcPr>
          <w:p w14:paraId="54269E9F" w14:textId="2C9A81D4"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89</w:t>
            </w:r>
            <w:r w:rsidR="00C11FDB">
              <w:rPr>
                <w:rFonts w:cstheme="minorHAnsi"/>
                <w:sz w:val="16"/>
                <w:szCs w:val="16"/>
              </w:rPr>
              <w:t>,</w:t>
            </w:r>
            <w:r w:rsidRPr="00622F40">
              <w:rPr>
                <w:rFonts w:cstheme="minorHAnsi"/>
                <w:sz w:val="16"/>
                <w:szCs w:val="16"/>
              </w:rPr>
              <w:t>542</w:t>
            </w:r>
          </w:p>
        </w:tc>
        <w:tc>
          <w:tcPr>
            <w:tcW w:w="397" w:type="pct"/>
            <w:tcBorders>
              <w:top w:val="single" w:sz="4" w:space="0" w:color="auto"/>
              <w:left w:val="nil"/>
              <w:bottom w:val="single" w:sz="4" w:space="0" w:color="auto"/>
              <w:right w:val="single" w:sz="4" w:space="0" w:color="auto"/>
            </w:tcBorders>
            <w:shd w:val="clear" w:color="auto" w:fill="auto"/>
            <w:vAlign w:val="center"/>
          </w:tcPr>
          <w:p w14:paraId="68A013F9" w14:textId="2CB15CB3"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101</w:t>
            </w:r>
            <w:r w:rsidR="00C11FDB">
              <w:rPr>
                <w:rFonts w:cstheme="minorHAnsi"/>
                <w:sz w:val="16"/>
                <w:szCs w:val="16"/>
              </w:rPr>
              <w:t>,</w:t>
            </w:r>
            <w:r w:rsidRPr="00622F40">
              <w:rPr>
                <w:rFonts w:cstheme="minorHAnsi"/>
                <w:sz w:val="16"/>
                <w:szCs w:val="16"/>
              </w:rPr>
              <w:t>085</w:t>
            </w:r>
          </w:p>
        </w:tc>
        <w:tc>
          <w:tcPr>
            <w:tcW w:w="397" w:type="pct"/>
            <w:tcBorders>
              <w:top w:val="single" w:sz="4" w:space="0" w:color="auto"/>
              <w:left w:val="nil"/>
              <w:bottom w:val="single" w:sz="4" w:space="0" w:color="auto"/>
              <w:right w:val="single" w:sz="4" w:space="0" w:color="auto"/>
            </w:tcBorders>
            <w:shd w:val="clear" w:color="auto" w:fill="auto"/>
            <w:vAlign w:val="center"/>
          </w:tcPr>
          <w:p w14:paraId="602B2BF8" w14:textId="45AC98C5"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122</w:t>
            </w:r>
            <w:r w:rsidR="00C11FDB">
              <w:rPr>
                <w:rFonts w:cstheme="minorHAnsi"/>
                <w:sz w:val="16"/>
                <w:szCs w:val="16"/>
              </w:rPr>
              <w:t>,</w:t>
            </w:r>
            <w:r w:rsidRPr="00622F40">
              <w:rPr>
                <w:rFonts w:cstheme="minorHAnsi"/>
                <w:sz w:val="16"/>
                <w:szCs w:val="16"/>
              </w:rPr>
              <w:t>128</w:t>
            </w:r>
          </w:p>
        </w:tc>
        <w:tc>
          <w:tcPr>
            <w:tcW w:w="397" w:type="pct"/>
            <w:tcBorders>
              <w:top w:val="single" w:sz="4" w:space="0" w:color="auto"/>
              <w:left w:val="nil"/>
              <w:bottom w:val="single" w:sz="4" w:space="0" w:color="auto"/>
              <w:right w:val="single" w:sz="4" w:space="0" w:color="auto"/>
            </w:tcBorders>
            <w:shd w:val="clear" w:color="auto" w:fill="auto"/>
            <w:vAlign w:val="center"/>
          </w:tcPr>
          <w:p w14:paraId="7342B43D" w14:textId="4D2EA29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134</w:t>
            </w:r>
            <w:r w:rsidR="00C11FDB">
              <w:rPr>
                <w:rFonts w:cstheme="minorHAnsi"/>
                <w:sz w:val="16"/>
                <w:szCs w:val="16"/>
              </w:rPr>
              <w:t>,</w:t>
            </w:r>
            <w:r w:rsidRPr="00622F40">
              <w:rPr>
                <w:rFonts w:cstheme="minorHAnsi"/>
                <w:sz w:val="16"/>
                <w:szCs w:val="16"/>
              </w:rPr>
              <w:t>865</w:t>
            </w:r>
          </w:p>
        </w:tc>
        <w:tc>
          <w:tcPr>
            <w:tcW w:w="397" w:type="pct"/>
            <w:tcBorders>
              <w:top w:val="single" w:sz="4" w:space="0" w:color="auto"/>
              <w:left w:val="nil"/>
              <w:bottom w:val="single" w:sz="4" w:space="0" w:color="auto"/>
              <w:right w:val="single" w:sz="4" w:space="0" w:color="auto"/>
            </w:tcBorders>
            <w:shd w:val="clear" w:color="auto" w:fill="auto"/>
            <w:vAlign w:val="center"/>
          </w:tcPr>
          <w:p w14:paraId="61097E9F" w14:textId="353EEC03"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143</w:t>
            </w:r>
            <w:r w:rsidR="00C11FDB">
              <w:rPr>
                <w:rFonts w:cstheme="minorHAnsi"/>
                <w:sz w:val="16"/>
                <w:szCs w:val="16"/>
              </w:rPr>
              <w:t>,</w:t>
            </w:r>
            <w:r w:rsidRPr="00622F40">
              <w:rPr>
                <w:rFonts w:cstheme="minorHAnsi"/>
                <w:sz w:val="16"/>
                <w:szCs w:val="16"/>
              </w:rPr>
              <w:t>077</w:t>
            </w:r>
          </w:p>
        </w:tc>
        <w:tc>
          <w:tcPr>
            <w:tcW w:w="397" w:type="pct"/>
            <w:tcBorders>
              <w:top w:val="single" w:sz="4" w:space="0" w:color="auto"/>
              <w:left w:val="nil"/>
              <w:bottom w:val="single" w:sz="4" w:space="0" w:color="auto"/>
              <w:right w:val="single" w:sz="4" w:space="0" w:color="auto"/>
            </w:tcBorders>
            <w:shd w:val="clear" w:color="auto" w:fill="auto"/>
            <w:vAlign w:val="center"/>
          </w:tcPr>
          <w:p w14:paraId="444B7A58" w14:textId="092DE38E"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169</w:t>
            </w:r>
            <w:r w:rsidR="00C11FDB">
              <w:rPr>
                <w:rFonts w:cstheme="minorHAnsi"/>
                <w:sz w:val="16"/>
                <w:szCs w:val="16"/>
              </w:rPr>
              <w:t>,</w:t>
            </w:r>
            <w:r w:rsidRPr="00622F40">
              <w:rPr>
                <w:rFonts w:cstheme="minorHAnsi"/>
                <w:sz w:val="16"/>
                <w:szCs w:val="16"/>
              </w:rPr>
              <w:t>395</w:t>
            </w:r>
          </w:p>
        </w:tc>
        <w:tc>
          <w:tcPr>
            <w:tcW w:w="397" w:type="pct"/>
            <w:tcBorders>
              <w:top w:val="single" w:sz="4" w:space="0" w:color="auto"/>
              <w:left w:val="nil"/>
              <w:bottom w:val="single" w:sz="4" w:space="0" w:color="auto"/>
              <w:right w:val="single" w:sz="4" w:space="0" w:color="auto"/>
            </w:tcBorders>
            <w:shd w:val="clear" w:color="auto" w:fill="auto"/>
            <w:vAlign w:val="center"/>
          </w:tcPr>
          <w:p w14:paraId="1EA160FB" w14:textId="52752C0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156</w:t>
            </w:r>
            <w:r w:rsidR="00C11FDB">
              <w:rPr>
                <w:rFonts w:cstheme="minorHAnsi"/>
                <w:sz w:val="16"/>
                <w:szCs w:val="16"/>
              </w:rPr>
              <w:t>,</w:t>
            </w:r>
            <w:r w:rsidRPr="00622F40">
              <w:rPr>
                <w:rFonts w:cstheme="minorHAnsi"/>
                <w:sz w:val="16"/>
                <w:szCs w:val="16"/>
              </w:rPr>
              <w:t>765</w:t>
            </w:r>
          </w:p>
        </w:tc>
      </w:tr>
      <w:tr w:rsidR="00277ADB" w:rsidRPr="00155CA1" w14:paraId="6113D4C7"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8FFDB"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lastRenderedPageBreak/>
              <w:t>Starch Production</w:t>
            </w:r>
          </w:p>
        </w:tc>
        <w:tc>
          <w:tcPr>
            <w:tcW w:w="397" w:type="pct"/>
            <w:tcBorders>
              <w:top w:val="single" w:sz="4" w:space="0" w:color="auto"/>
              <w:left w:val="nil"/>
              <w:bottom w:val="single" w:sz="4" w:space="0" w:color="auto"/>
              <w:right w:val="single" w:sz="4" w:space="0" w:color="auto"/>
            </w:tcBorders>
            <w:shd w:val="clear" w:color="auto" w:fill="auto"/>
            <w:vAlign w:val="center"/>
          </w:tcPr>
          <w:p w14:paraId="423C5CA2" w14:textId="3E74368A"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46</w:t>
            </w:r>
            <w:r>
              <w:rPr>
                <w:rFonts w:cstheme="minorHAnsi"/>
                <w:sz w:val="16"/>
                <w:szCs w:val="16"/>
              </w:rPr>
              <w:t>,</w:t>
            </w:r>
            <w:r w:rsidRPr="00622F40">
              <w:rPr>
                <w:rFonts w:cstheme="minorHAnsi"/>
                <w:sz w:val="16"/>
                <w:szCs w:val="16"/>
              </w:rPr>
              <w:t>287</w:t>
            </w:r>
          </w:p>
        </w:tc>
        <w:tc>
          <w:tcPr>
            <w:tcW w:w="397" w:type="pct"/>
            <w:tcBorders>
              <w:top w:val="single" w:sz="4" w:space="0" w:color="auto"/>
              <w:left w:val="nil"/>
              <w:bottom w:val="single" w:sz="4" w:space="0" w:color="auto"/>
              <w:right w:val="single" w:sz="4" w:space="0" w:color="auto"/>
            </w:tcBorders>
            <w:shd w:val="clear" w:color="auto" w:fill="auto"/>
            <w:vAlign w:val="center"/>
          </w:tcPr>
          <w:p w14:paraId="20BA9828" w14:textId="0C00CA1F"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51</w:t>
            </w:r>
            <w:r>
              <w:rPr>
                <w:rFonts w:cstheme="minorHAnsi"/>
                <w:sz w:val="16"/>
                <w:szCs w:val="16"/>
              </w:rPr>
              <w:t>,</w:t>
            </w:r>
            <w:r w:rsidRPr="00622F40">
              <w:rPr>
                <w:rFonts w:cstheme="minorHAnsi"/>
                <w:sz w:val="16"/>
                <w:szCs w:val="16"/>
              </w:rPr>
              <w:t>355</w:t>
            </w:r>
          </w:p>
        </w:tc>
        <w:tc>
          <w:tcPr>
            <w:tcW w:w="397" w:type="pct"/>
            <w:tcBorders>
              <w:top w:val="single" w:sz="4" w:space="0" w:color="auto"/>
              <w:left w:val="nil"/>
              <w:bottom w:val="single" w:sz="4" w:space="0" w:color="auto"/>
              <w:right w:val="single" w:sz="4" w:space="0" w:color="auto"/>
            </w:tcBorders>
            <w:shd w:val="clear" w:color="auto" w:fill="auto"/>
            <w:vAlign w:val="center"/>
          </w:tcPr>
          <w:p w14:paraId="316C0030" w14:textId="531C88AE"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32</w:t>
            </w:r>
            <w:r>
              <w:rPr>
                <w:rFonts w:cstheme="minorHAnsi"/>
                <w:sz w:val="16"/>
                <w:szCs w:val="16"/>
              </w:rPr>
              <w:t>,</w:t>
            </w:r>
            <w:r w:rsidRPr="00622F40">
              <w:rPr>
                <w:rFonts w:cstheme="minorHAnsi"/>
                <w:sz w:val="16"/>
                <w:szCs w:val="16"/>
              </w:rPr>
              <w:t>560</w:t>
            </w:r>
          </w:p>
        </w:tc>
        <w:tc>
          <w:tcPr>
            <w:tcW w:w="397" w:type="pct"/>
            <w:tcBorders>
              <w:top w:val="single" w:sz="4" w:space="0" w:color="auto"/>
              <w:left w:val="nil"/>
              <w:bottom w:val="single" w:sz="4" w:space="0" w:color="auto"/>
              <w:right w:val="single" w:sz="4" w:space="0" w:color="auto"/>
            </w:tcBorders>
            <w:shd w:val="clear" w:color="auto" w:fill="auto"/>
            <w:vAlign w:val="center"/>
          </w:tcPr>
          <w:p w14:paraId="174FFA1F" w14:textId="6327FE72"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22</w:t>
            </w:r>
            <w:r w:rsidR="00C11FDB">
              <w:rPr>
                <w:rFonts w:cstheme="minorHAnsi"/>
                <w:sz w:val="16"/>
                <w:szCs w:val="16"/>
              </w:rPr>
              <w:t>,</w:t>
            </w:r>
            <w:r w:rsidRPr="00622F40">
              <w:rPr>
                <w:rFonts w:cstheme="minorHAnsi"/>
                <w:sz w:val="16"/>
                <w:szCs w:val="16"/>
              </w:rPr>
              <w:t>268</w:t>
            </w:r>
          </w:p>
        </w:tc>
        <w:tc>
          <w:tcPr>
            <w:tcW w:w="397" w:type="pct"/>
            <w:tcBorders>
              <w:top w:val="single" w:sz="4" w:space="0" w:color="auto"/>
              <w:left w:val="nil"/>
              <w:bottom w:val="single" w:sz="4" w:space="0" w:color="auto"/>
              <w:right w:val="single" w:sz="4" w:space="0" w:color="auto"/>
            </w:tcBorders>
            <w:shd w:val="clear" w:color="auto" w:fill="auto"/>
            <w:vAlign w:val="center"/>
          </w:tcPr>
          <w:p w14:paraId="723B3214" w14:textId="67EC9246"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20</w:t>
            </w:r>
            <w:r w:rsidR="00C11FDB">
              <w:rPr>
                <w:rFonts w:cstheme="minorHAnsi"/>
                <w:sz w:val="16"/>
                <w:szCs w:val="16"/>
              </w:rPr>
              <w:t>,</w:t>
            </w:r>
            <w:r w:rsidRPr="00622F40">
              <w:rPr>
                <w:rFonts w:cstheme="minorHAnsi"/>
                <w:sz w:val="16"/>
                <w:szCs w:val="16"/>
              </w:rPr>
              <w:t>663</w:t>
            </w:r>
          </w:p>
        </w:tc>
        <w:tc>
          <w:tcPr>
            <w:tcW w:w="397" w:type="pct"/>
            <w:tcBorders>
              <w:top w:val="single" w:sz="4" w:space="0" w:color="auto"/>
              <w:left w:val="nil"/>
              <w:bottom w:val="single" w:sz="4" w:space="0" w:color="auto"/>
              <w:right w:val="single" w:sz="4" w:space="0" w:color="auto"/>
            </w:tcBorders>
            <w:shd w:val="clear" w:color="auto" w:fill="auto"/>
            <w:vAlign w:val="center"/>
          </w:tcPr>
          <w:p w14:paraId="63FD19A8" w14:textId="20A0BAEC"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38</w:t>
            </w:r>
            <w:r w:rsidR="00C11FDB">
              <w:rPr>
                <w:rFonts w:cstheme="minorHAnsi"/>
                <w:sz w:val="16"/>
                <w:szCs w:val="16"/>
              </w:rPr>
              <w:t>,</w:t>
            </w:r>
            <w:r w:rsidRPr="00622F40">
              <w:rPr>
                <w:rFonts w:cstheme="minorHAnsi"/>
                <w:sz w:val="16"/>
                <w:szCs w:val="16"/>
              </w:rPr>
              <w:t>546</w:t>
            </w:r>
          </w:p>
        </w:tc>
        <w:tc>
          <w:tcPr>
            <w:tcW w:w="397" w:type="pct"/>
            <w:tcBorders>
              <w:top w:val="single" w:sz="4" w:space="0" w:color="auto"/>
              <w:left w:val="nil"/>
              <w:bottom w:val="single" w:sz="4" w:space="0" w:color="auto"/>
              <w:right w:val="single" w:sz="4" w:space="0" w:color="auto"/>
            </w:tcBorders>
            <w:shd w:val="clear" w:color="auto" w:fill="auto"/>
            <w:vAlign w:val="center"/>
          </w:tcPr>
          <w:p w14:paraId="7FCE2D8D" w14:textId="3D0E36DD"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39</w:t>
            </w:r>
            <w:r w:rsidR="00C11FDB">
              <w:rPr>
                <w:rFonts w:cstheme="minorHAnsi"/>
                <w:sz w:val="16"/>
                <w:szCs w:val="16"/>
              </w:rPr>
              <w:t>,</w:t>
            </w:r>
            <w:r w:rsidRPr="00622F40">
              <w:rPr>
                <w:rFonts w:cstheme="minorHAnsi"/>
                <w:sz w:val="16"/>
                <w:szCs w:val="16"/>
              </w:rPr>
              <w:t>955</w:t>
            </w:r>
          </w:p>
        </w:tc>
        <w:tc>
          <w:tcPr>
            <w:tcW w:w="397" w:type="pct"/>
            <w:tcBorders>
              <w:top w:val="single" w:sz="4" w:space="0" w:color="auto"/>
              <w:left w:val="nil"/>
              <w:bottom w:val="single" w:sz="4" w:space="0" w:color="auto"/>
              <w:right w:val="single" w:sz="4" w:space="0" w:color="auto"/>
            </w:tcBorders>
            <w:shd w:val="clear" w:color="auto" w:fill="auto"/>
            <w:vAlign w:val="center"/>
          </w:tcPr>
          <w:p w14:paraId="23B66D2A" w14:textId="73F30867"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51</w:t>
            </w:r>
            <w:r w:rsidR="00C11FDB">
              <w:rPr>
                <w:rFonts w:cstheme="minorHAnsi"/>
                <w:sz w:val="16"/>
                <w:szCs w:val="16"/>
              </w:rPr>
              <w:t>,</w:t>
            </w:r>
            <w:r w:rsidRPr="00622F40">
              <w:rPr>
                <w:rFonts w:cstheme="minorHAnsi"/>
                <w:sz w:val="16"/>
                <w:szCs w:val="16"/>
              </w:rPr>
              <w:t>417</w:t>
            </w:r>
          </w:p>
        </w:tc>
        <w:tc>
          <w:tcPr>
            <w:tcW w:w="397" w:type="pct"/>
            <w:tcBorders>
              <w:top w:val="single" w:sz="4" w:space="0" w:color="auto"/>
              <w:left w:val="nil"/>
              <w:bottom w:val="single" w:sz="4" w:space="0" w:color="auto"/>
              <w:right w:val="single" w:sz="4" w:space="0" w:color="auto"/>
            </w:tcBorders>
            <w:shd w:val="clear" w:color="auto" w:fill="auto"/>
            <w:vAlign w:val="center"/>
          </w:tcPr>
          <w:p w14:paraId="2886B050" w14:textId="59EAAA4E"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42</w:t>
            </w:r>
            <w:r w:rsidR="00C11FDB">
              <w:rPr>
                <w:rFonts w:cstheme="minorHAnsi"/>
                <w:sz w:val="16"/>
                <w:szCs w:val="16"/>
              </w:rPr>
              <w:t>,</w:t>
            </w:r>
            <w:r w:rsidRPr="00622F40">
              <w:rPr>
                <w:rFonts w:cstheme="minorHAnsi"/>
                <w:sz w:val="16"/>
                <w:szCs w:val="16"/>
              </w:rPr>
              <w:t>908</w:t>
            </w:r>
          </w:p>
        </w:tc>
        <w:tc>
          <w:tcPr>
            <w:tcW w:w="397" w:type="pct"/>
            <w:tcBorders>
              <w:top w:val="single" w:sz="4" w:space="0" w:color="auto"/>
              <w:left w:val="nil"/>
              <w:bottom w:val="single" w:sz="4" w:space="0" w:color="auto"/>
              <w:right w:val="single" w:sz="4" w:space="0" w:color="auto"/>
            </w:tcBorders>
            <w:shd w:val="clear" w:color="auto" w:fill="auto"/>
            <w:vAlign w:val="center"/>
          </w:tcPr>
          <w:p w14:paraId="5226AE8D" w14:textId="7F7744B4"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33</w:t>
            </w:r>
            <w:r w:rsidR="00C11FDB">
              <w:rPr>
                <w:rFonts w:cstheme="minorHAnsi"/>
                <w:sz w:val="16"/>
                <w:szCs w:val="16"/>
              </w:rPr>
              <w:t>,</w:t>
            </w:r>
            <w:r w:rsidRPr="00622F40">
              <w:rPr>
                <w:rFonts w:cstheme="minorHAnsi"/>
                <w:sz w:val="16"/>
                <w:szCs w:val="16"/>
              </w:rPr>
              <w:t>795</w:t>
            </w:r>
          </w:p>
        </w:tc>
        <w:tc>
          <w:tcPr>
            <w:tcW w:w="397" w:type="pct"/>
            <w:tcBorders>
              <w:top w:val="single" w:sz="4" w:space="0" w:color="auto"/>
              <w:left w:val="nil"/>
              <w:bottom w:val="single" w:sz="4" w:space="0" w:color="auto"/>
              <w:right w:val="single" w:sz="4" w:space="0" w:color="auto"/>
            </w:tcBorders>
            <w:shd w:val="clear" w:color="auto" w:fill="auto"/>
            <w:vAlign w:val="center"/>
          </w:tcPr>
          <w:p w14:paraId="3103279F" w14:textId="2E2A4089"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39</w:t>
            </w:r>
            <w:r w:rsidR="00C11FDB">
              <w:rPr>
                <w:rFonts w:cstheme="minorHAnsi"/>
                <w:sz w:val="16"/>
                <w:szCs w:val="16"/>
              </w:rPr>
              <w:t>,</w:t>
            </w:r>
            <w:r w:rsidRPr="00622F40">
              <w:rPr>
                <w:rFonts w:cstheme="minorHAnsi"/>
                <w:sz w:val="16"/>
                <w:szCs w:val="16"/>
              </w:rPr>
              <w:t>226</w:t>
            </w:r>
          </w:p>
        </w:tc>
      </w:tr>
      <w:tr w:rsidR="00277ADB" w:rsidRPr="00155CA1" w14:paraId="7820D5E9"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6C436"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t>Sugar Refining</w:t>
            </w:r>
          </w:p>
        </w:tc>
        <w:tc>
          <w:tcPr>
            <w:tcW w:w="397" w:type="pct"/>
            <w:tcBorders>
              <w:top w:val="single" w:sz="4" w:space="0" w:color="auto"/>
              <w:left w:val="nil"/>
              <w:bottom w:val="single" w:sz="4" w:space="0" w:color="auto"/>
              <w:right w:val="single" w:sz="4" w:space="0" w:color="auto"/>
            </w:tcBorders>
            <w:shd w:val="clear" w:color="auto" w:fill="auto"/>
            <w:vAlign w:val="center"/>
          </w:tcPr>
          <w:p w14:paraId="5A32375D" w14:textId="01DD1B9E"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209</w:t>
            </w:r>
            <w:r>
              <w:rPr>
                <w:rFonts w:cstheme="minorHAnsi"/>
                <w:sz w:val="16"/>
                <w:szCs w:val="16"/>
              </w:rPr>
              <w:t>,</w:t>
            </w:r>
            <w:r w:rsidRPr="00622F40">
              <w:rPr>
                <w:rFonts w:cstheme="minorHAnsi"/>
                <w:sz w:val="16"/>
                <w:szCs w:val="16"/>
              </w:rPr>
              <w:t>475</w:t>
            </w:r>
          </w:p>
        </w:tc>
        <w:tc>
          <w:tcPr>
            <w:tcW w:w="397" w:type="pct"/>
            <w:tcBorders>
              <w:top w:val="single" w:sz="4" w:space="0" w:color="auto"/>
              <w:left w:val="nil"/>
              <w:bottom w:val="single" w:sz="4" w:space="0" w:color="auto"/>
              <w:right w:val="single" w:sz="4" w:space="0" w:color="auto"/>
            </w:tcBorders>
            <w:shd w:val="clear" w:color="auto" w:fill="auto"/>
            <w:vAlign w:val="center"/>
          </w:tcPr>
          <w:p w14:paraId="5382CC44" w14:textId="66E25D46"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282</w:t>
            </w:r>
            <w:r>
              <w:rPr>
                <w:rFonts w:cstheme="minorHAnsi"/>
                <w:sz w:val="16"/>
                <w:szCs w:val="16"/>
              </w:rPr>
              <w:t>,</w:t>
            </w:r>
            <w:r w:rsidRPr="00622F40">
              <w:rPr>
                <w:rFonts w:cstheme="minorHAnsi"/>
                <w:sz w:val="16"/>
                <w:szCs w:val="16"/>
              </w:rPr>
              <w:t>442</w:t>
            </w:r>
          </w:p>
        </w:tc>
        <w:tc>
          <w:tcPr>
            <w:tcW w:w="397" w:type="pct"/>
            <w:tcBorders>
              <w:top w:val="single" w:sz="4" w:space="0" w:color="auto"/>
              <w:left w:val="nil"/>
              <w:bottom w:val="single" w:sz="4" w:space="0" w:color="auto"/>
              <w:right w:val="single" w:sz="4" w:space="0" w:color="auto"/>
            </w:tcBorders>
            <w:shd w:val="clear" w:color="auto" w:fill="auto"/>
            <w:vAlign w:val="center"/>
          </w:tcPr>
          <w:p w14:paraId="5BE3329B" w14:textId="6A1E86BA"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222</w:t>
            </w:r>
            <w:r>
              <w:rPr>
                <w:rFonts w:cstheme="minorHAnsi"/>
                <w:sz w:val="16"/>
                <w:szCs w:val="16"/>
              </w:rPr>
              <w:t>,</w:t>
            </w:r>
            <w:r w:rsidRPr="00622F40">
              <w:rPr>
                <w:rFonts w:cstheme="minorHAnsi"/>
                <w:sz w:val="16"/>
                <w:szCs w:val="16"/>
              </w:rPr>
              <w:t>576</w:t>
            </w:r>
          </w:p>
        </w:tc>
        <w:tc>
          <w:tcPr>
            <w:tcW w:w="397" w:type="pct"/>
            <w:tcBorders>
              <w:top w:val="single" w:sz="4" w:space="0" w:color="auto"/>
              <w:left w:val="nil"/>
              <w:bottom w:val="single" w:sz="4" w:space="0" w:color="auto"/>
              <w:right w:val="single" w:sz="4" w:space="0" w:color="auto"/>
            </w:tcBorders>
            <w:shd w:val="clear" w:color="auto" w:fill="auto"/>
            <w:vAlign w:val="center"/>
          </w:tcPr>
          <w:p w14:paraId="36193F59" w14:textId="61B6288C"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340</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01A00769" w14:textId="3375FD56"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387</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734904F5" w14:textId="3B5E8ADC"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430</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53502596" w14:textId="5B42BD11"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427</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44BED72A" w14:textId="2FE20B0D"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445</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685140C5" w14:textId="5A24DE9E"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433</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102EAF98" w14:textId="4E558C07"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469</w:t>
            </w:r>
            <w:r w:rsidR="00C11FDB">
              <w:rPr>
                <w:rFonts w:cstheme="minorHAnsi"/>
                <w:sz w:val="16"/>
                <w:szCs w:val="16"/>
              </w:rPr>
              <w:t>,</w:t>
            </w:r>
            <w:r w:rsidRPr="00622F40">
              <w:rPr>
                <w:rFonts w:cstheme="minorHAnsi"/>
                <w:sz w:val="16"/>
                <w:szCs w:val="16"/>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6A130E84" w14:textId="1408D8EC" w:rsidR="00D66209" w:rsidRPr="00D66209"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463</w:t>
            </w:r>
            <w:r w:rsidR="00C11FDB">
              <w:rPr>
                <w:rFonts w:cstheme="minorHAnsi"/>
                <w:sz w:val="16"/>
                <w:szCs w:val="16"/>
              </w:rPr>
              <w:t>,</w:t>
            </w:r>
            <w:r w:rsidRPr="00622F40">
              <w:rPr>
                <w:rFonts w:cstheme="minorHAnsi"/>
                <w:sz w:val="16"/>
                <w:szCs w:val="16"/>
              </w:rPr>
              <w:t>103</w:t>
            </w:r>
          </w:p>
        </w:tc>
      </w:tr>
      <w:tr w:rsidR="00277ADB" w:rsidRPr="00155CA1" w14:paraId="7948F54C"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BB446E"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t>Vegetable Oils</w:t>
            </w:r>
          </w:p>
        </w:tc>
        <w:tc>
          <w:tcPr>
            <w:tcW w:w="397" w:type="pct"/>
            <w:tcBorders>
              <w:top w:val="single" w:sz="4" w:space="0" w:color="auto"/>
              <w:left w:val="nil"/>
              <w:bottom w:val="single" w:sz="4" w:space="0" w:color="auto"/>
              <w:right w:val="single" w:sz="4" w:space="0" w:color="auto"/>
            </w:tcBorders>
            <w:shd w:val="clear" w:color="auto" w:fill="auto"/>
            <w:vAlign w:val="center"/>
          </w:tcPr>
          <w:p w14:paraId="113D024F" w14:textId="74679AA6"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203</w:t>
            </w:r>
            <w:r>
              <w:rPr>
                <w:rFonts w:cstheme="minorHAnsi"/>
                <w:sz w:val="16"/>
                <w:szCs w:val="16"/>
              </w:rPr>
              <w:t>,</w:t>
            </w:r>
            <w:r w:rsidRPr="00622F40">
              <w:rPr>
                <w:rFonts w:cstheme="minorHAnsi"/>
                <w:sz w:val="16"/>
                <w:szCs w:val="16"/>
              </w:rPr>
              <w:t>855</w:t>
            </w:r>
          </w:p>
        </w:tc>
        <w:tc>
          <w:tcPr>
            <w:tcW w:w="397" w:type="pct"/>
            <w:tcBorders>
              <w:top w:val="single" w:sz="4" w:space="0" w:color="auto"/>
              <w:left w:val="nil"/>
              <w:bottom w:val="single" w:sz="4" w:space="0" w:color="auto"/>
              <w:right w:val="single" w:sz="4" w:space="0" w:color="auto"/>
            </w:tcBorders>
            <w:shd w:val="clear" w:color="auto" w:fill="auto"/>
            <w:vAlign w:val="center"/>
          </w:tcPr>
          <w:p w14:paraId="6C8E5C13" w14:textId="0C6C8BC9"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298</w:t>
            </w:r>
            <w:r>
              <w:rPr>
                <w:rFonts w:cstheme="minorHAnsi"/>
                <w:sz w:val="16"/>
                <w:szCs w:val="16"/>
              </w:rPr>
              <w:t>,</w:t>
            </w:r>
            <w:r w:rsidRPr="00622F40">
              <w:rPr>
                <w:rFonts w:cstheme="minorHAnsi"/>
                <w:sz w:val="16"/>
                <w:szCs w:val="16"/>
              </w:rPr>
              <w:t>055</w:t>
            </w:r>
          </w:p>
        </w:tc>
        <w:tc>
          <w:tcPr>
            <w:tcW w:w="397" w:type="pct"/>
            <w:tcBorders>
              <w:top w:val="single" w:sz="4" w:space="0" w:color="auto"/>
              <w:left w:val="nil"/>
              <w:bottom w:val="single" w:sz="4" w:space="0" w:color="auto"/>
              <w:right w:val="single" w:sz="4" w:space="0" w:color="auto"/>
            </w:tcBorders>
            <w:shd w:val="clear" w:color="auto" w:fill="auto"/>
            <w:vAlign w:val="center"/>
          </w:tcPr>
          <w:p w14:paraId="2C6F3AC4" w14:textId="1565A742"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331</w:t>
            </w:r>
            <w:r>
              <w:rPr>
                <w:rFonts w:cstheme="minorHAnsi"/>
                <w:sz w:val="16"/>
                <w:szCs w:val="16"/>
              </w:rPr>
              <w:t>,</w:t>
            </w:r>
            <w:r w:rsidRPr="00622F40">
              <w:rPr>
                <w:rFonts w:cstheme="minorHAnsi"/>
                <w:sz w:val="16"/>
                <w:szCs w:val="16"/>
              </w:rPr>
              <w:t>489</w:t>
            </w:r>
          </w:p>
        </w:tc>
        <w:tc>
          <w:tcPr>
            <w:tcW w:w="397" w:type="pct"/>
            <w:tcBorders>
              <w:top w:val="single" w:sz="4" w:space="0" w:color="auto"/>
              <w:left w:val="nil"/>
              <w:bottom w:val="single" w:sz="4" w:space="0" w:color="auto"/>
              <w:right w:val="single" w:sz="4" w:space="0" w:color="auto"/>
            </w:tcBorders>
            <w:shd w:val="clear" w:color="auto" w:fill="auto"/>
            <w:vAlign w:val="center"/>
          </w:tcPr>
          <w:p w14:paraId="422E4067" w14:textId="19D08264"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302</w:t>
            </w:r>
            <w:r w:rsidR="00C11FDB">
              <w:rPr>
                <w:rFonts w:cstheme="minorHAnsi"/>
                <w:sz w:val="16"/>
                <w:szCs w:val="16"/>
              </w:rPr>
              <w:t>,</w:t>
            </w:r>
            <w:r w:rsidRPr="00622F40">
              <w:rPr>
                <w:rFonts w:cstheme="minorHAnsi"/>
                <w:sz w:val="16"/>
                <w:szCs w:val="16"/>
              </w:rPr>
              <w:t>671</w:t>
            </w:r>
          </w:p>
        </w:tc>
        <w:tc>
          <w:tcPr>
            <w:tcW w:w="397" w:type="pct"/>
            <w:tcBorders>
              <w:top w:val="single" w:sz="4" w:space="0" w:color="auto"/>
              <w:left w:val="nil"/>
              <w:bottom w:val="single" w:sz="4" w:space="0" w:color="auto"/>
              <w:right w:val="single" w:sz="4" w:space="0" w:color="auto"/>
            </w:tcBorders>
            <w:shd w:val="clear" w:color="auto" w:fill="auto"/>
            <w:vAlign w:val="center"/>
          </w:tcPr>
          <w:p w14:paraId="03698909" w14:textId="766C0B16"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323</w:t>
            </w:r>
            <w:r w:rsidR="00C11FDB">
              <w:rPr>
                <w:rFonts w:cstheme="minorHAnsi"/>
                <w:sz w:val="16"/>
                <w:szCs w:val="16"/>
              </w:rPr>
              <w:t>,</w:t>
            </w:r>
            <w:r w:rsidRPr="00622F40">
              <w:rPr>
                <w:rFonts w:cstheme="minorHAnsi"/>
                <w:sz w:val="16"/>
                <w:szCs w:val="16"/>
              </w:rPr>
              <w:t>647</w:t>
            </w:r>
          </w:p>
        </w:tc>
        <w:tc>
          <w:tcPr>
            <w:tcW w:w="397" w:type="pct"/>
            <w:tcBorders>
              <w:top w:val="single" w:sz="4" w:space="0" w:color="auto"/>
              <w:left w:val="nil"/>
              <w:bottom w:val="single" w:sz="4" w:space="0" w:color="auto"/>
              <w:right w:val="single" w:sz="4" w:space="0" w:color="auto"/>
            </w:tcBorders>
            <w:shd w:val="clear" w:color="auto" w:fill="auto"/>
            <w:vAlign w:val="center"/>
          </w:tcPr>
          <w:p w14:paraId="02BADB0A" w14:textId="5D7ED01F"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276</w:t>
            </w:r>
            <w:r w:rsidR="00C11FDB">
              <w:rPr>
                <w:rFonts w:cstheme="minorHAnsi"/>
                <w:sz w:val="16"/>
                <w:szCs w:val="16"/>
              </w:rPr>
              <w:t>,</w:t>
            </w:r>
            <w:r w:rsidRPr="00622F40">
              <w:rPr>
                <w:rFonts w:cstheme="minorHAnsi"/>
                <w:sz w:val="16"/>
                <w:szCs w:val="16"/>
              </w:rPr>
              <w:t>804</w:t>
            </w:r>
          </w:p>
        </w:tc>
        <w:tc>
          <w:tcPr>
            <w:tcW w:w="397" w:type="pct"/>
            <w:tcBorders>
              <w:top w:val="single" w:sz="4" w:space="0" w:color="auto"/>
              <w:left w:val="nil"/>
              <w:bottom w:val="single" w:sz="4" w:space="0" w:color="auto"/>
              <w:right w:val="single" w:sz="4" w:space="0" w:color="auto"/>
            </w:tcBorders>
            <w:shd w:val="clear" w:color="auto" w:fill="auto"/>
            <w:vAlign w:val="center"/>
          </w:tcPr>
          <w:p w14:paraId="5571CE05" w14:textId="4EFE4593"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229</w:t>
            </w:r>
            <w:r w:rsidR="00C11FDB">
              <w:rPr>
                <w:rFonts w:cstheme="minorHAnsi"/>
                <w:sz w:val="16"/>
                <w:szCs w:val="16"/>
              </w:rPr>
              <w:t>,</w:t>
            </w:r>
            <w:r w:rsidRPr="00622F40">
              <w:rPr>
                <w:rFonts w:cstheme="minorHAnsi"/>
                <w:sz w:val="16"/>
                <w:szCs w:val="16"/>
              </w:rPr>
              <w:t>948</w:t>
            </w:r>
          </w:p>
        </w:tc>
        <w:tc>
          <w:tcPr>
            <w:tcW w:w="397" w:type="pct"/>
            <w:tcBorders>
              <w:top w:val="single" w:sz="4" w:space="0" w:color="auto"/>
              <w:left w:val="nil"/>
              <w:bottom w:val="single" w:sz="4" w:space="0" w:color="auto"/>
              <w:right w:val="single" w:sz="4" w:space="0" w:color="auto"/>
            </w:tcBorders>
            <w:shd w:val="clear" w:color="auto" w:fill="auto"/>
            <w:vAlign w:val="center"/>
          </w:tcPr>
          <w:p w14:paraId="09F98949" w14:textId="551AE1CB"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307</w:t>
            </w:r>
            <w:r w:rsidR="00C11FDB">
              <w:rPr>
                <w:rFonts w:cstheme="minorHAnsi"/>
                <w:sz w:val="16"/>
                <w:szCs w:val="16"/>
              </w:rPr>
              <w:t>,</w:t>
            </w:r>
            <w:r w:rsidRPr="00622F40">
              <w:rPr>
                <w:rFonts w:cstheme="minorHAnsi"/>
                <w:sz w:val="16"/>
                <w:szCs w:val="16"/>
              </w:rPr>
              <w:t>228</w:t>
            </w:r>
          </w:p>
        </w:tc>
        <w:tc>
          <w:tcPr>
            <w:tcW w:w="397" w:type="pct"/>
            <w:tcBorders>
              <w:top w:val="single" w:sz="4" w:space="0" w:color="auto"/>
              <w:left w:val="nil"/>
              <w:bottom w:val="single" w:sz="4" w:space="0" w:color="auto"/>
              <w:right w:val="single" w:sz="4" w:space="0" w:color="auto"/>
            </w:tcBorders>
            <w:shd w:val="clear" w:color="auto" w:fill="auto"/>
            <w:vAlign w:val="center"/>
          </w:tcPr>
          <w:p w14:paraId="45147C7A" w14:textId="271748E0"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345</w:t>
            </w:r>
            <w:r w:rsidR="00C11FDB">
              <w:rPr>
                <w:rFonts w:cstheme="minorHAnsi"/>
                <w:sz w:val="16"/>
                <w:szCs w:val="16"/>
              </w:rPr>
              <w:t>,</w:t>
            </w:r>
            <w:r w:rsidRPr="00622F40">
              <w:rPr>
                <w:rFonts w:cstheme="minorHAnsi"/>
                <w:sz w:val="16"/>
                <w:szCs w:val="16"/>
              </w:rPr>
              <w:t>421</w:t>
            </w:r>
          </w:p>
        </w:tc>
        <w:tc>
          <w:tcPr>
            <w:tcW w:w="397" w:type="pct"/>
            <w:tcBorders>
              <w:top w:val="single" w:sz="4" w:space="0" w:color="auto"/>
              <w:left w:val="nil"/>
              <w:bottom w:val="single" w:sz="4" w:space="0" w:color="auto"/>
              <w:right w:val="single" w:sz="4" w:space="0" w:color="auto"/>
            </w:tcBorders>
            <w:shd w:val="clear" w:color="auto" w:fill="auto"/>
            <w:vAlign w:val="center"/>
          </w:tcPr>
          <w:p w14:paraId="3DF82EAF" w14:textId="3E6E1FB7"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257</w:t>
            </w:r>
            <w:r w:rsidR="00C11FDB">
              <w:rPr>
                <w:rFonts w:cstheme="minorHAnsi"/>
                <w:sz w:val="16"/>
                <w:szCs w:val="16"/>
              </w:rPr>
              <w:t>,</w:t>
            </w:r>
            <w:r w:rsidRPr="00622F40">
              <w:rPr>
                <w:rFonts w:cstheme="minorHAnsi"/>
                <w:sz w:val="16"/>
                <w:szCs w:val="16"/>
              </w:rPr>
              <w:t>666</w:t>
            </w:r>
          </w:p>
        </w:tc>
        <w:tc>
          <w:tcPr>
            <w:tcW w:w="397" w:type="pct"/>
            <w:tcBorders>
              <w:top w:val="single" w:sz="4" w:space="0" w:color="auto"/>
              <w:left w:val="nil"/>
              <w:bottom w:val="single" w:sz="4" w:space="0" w:color="auto"/>
              <w:right w:val="single" w:sz="4" w:space="0" w:color="auto"/>
            </w:tcBorders>
            <w:shd w:val="clear" w:color="auto" w:fill="auto"/>
            <w:vAlign w:val="center"/>
          </w:tcPr>
          <w:p w14:paraId="7523CBA8" w14:textId="24B19755"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229</w:t>
            </w:r>
            <w:r w:rsidR="00C11FDB">
              <w:rPr>
                <w:rFonts w:cstheme="minorHAnsi"/>
                <w:sz w:val="16"/>
                <w:szCs w:val="16"/>
              </w:rPr>
              <w:t>,</w:t>
            </w:r>
            <w:r w:rsidRPr="00622F40">
              <w:rPr>
                <w:rFonts w:cstheme="minorHAnsi"/>
                <w:sz w:val="16"/>
                <w:szCs w:val="16"/>
              </w:rPr>
              <w:t>012</w:t>
            </w:r>
          </w:p>
        </w:tc>
      </w:tr>
      <w:tr w:rsidR="00277ADB" w:rsidRPr="00155CA1" w14:paraId="39C1C0D0"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75BD1"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t>Vegetables, Fruits &amp; Juices</w:t>
            </w:r>
          </w:p>
        </w:tc>
        <w:tc>
          <w:tcPr>
            <w:tcW w:w="397" w:type="pct"/>
            <w:tcBorders>
              <w:top w:val="single" w:sz="4" w:space="0" w:color="auto"/>
              <w:left w:val="nil"/>
              <w:bottom w:val="single" w:sz="4" w:space="0" w:color="auto"/>
              <w:right w:val="single" w:sz="4" w:space="0" w:color="auto"/>
            </w:tcBorders>
            <w:shd w:val="clear" w:color="auto" w:fill="auto"/>
            <w:vAlign w:val="center"/>
          </w:tcPr>
          <w:p w14:paraId="728A60D3" w14:textId="1FBD8C1D"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162</w:t>
            </w:r>
            <w:r>
              <w:rPr>
                <w:rFonts w:cstheme="minorHAnsi"/>
                <w:sz w:val="16"/>
                <w:szCs w:val="16"/>
              </w:rPr>
              <w:t>,</w:t>
            </w:r>
            <w:r w:rsidRPr="00622F40">
              <w:rPr>
                <w:rFonts w:cstheme="minorHAnsi"/>
                <w:sz w:val="16"/>
                <w:szCs w:val="16"/>
              </w:rPr>
              <w:t>474</w:t>
            </w:r>
          </w:p>
        </w:tc>
        <w:tc>
          <w:tcPr>
            <w:tcW w:w="397" w:type="pct"/>
            <w:tcBorders>
              <w:top w:val="single" w:sz="4" w:space="0" w:color="auto"/>
              <w:left w:val="nil"/>
              <w:bottom w:val="single" w:sz="4" w:space="0" w:color="auto"/>
              <w:right w:val="single" w:sz="4" w:space="0" w:color="auto"/>
            </w:tcBorders>
            <w:shd w:val="clear" w:color="auto" w:fill="auto"/>
            <w:vAlign w:val="center"/>
          </w:tcPr>
          <w:p w14:paraId="41B18141" w14:textId="7519B873"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173</w:t>
            </w:r>
            <w:r>
              <w:rPr>
                <w:rFonts w:cstheme="minorHAnsi"/>
                <w:sz w:val="16"/>
                <w:szCs w:val="16"/>
              </w:rPr>
              <w:t>,</w:t>
            </w:r>
            <w:r w:rsidRPr="00622F40">
              <w:rPr>
                <w:rFonts w:cstheme="minorHAnsi"/>
                <w:sz w:val="16"/>
                <w:szCs w:val="16"/>
              </w:rPr>
              <w:t>182</w:t>
            </w:r>
          </w:p>
        </w:tc>
        <w:tc>
          <w:tcPr>
            <w:tcW w:w="397" w:type="pct"/>
            <w:tcBorders>
              <w:top w:val="single" w:sz="4" w:space="0" w:color="auto"/>
              <w:left w:val="nil"/>
              <w:bottom w:val="single" w:sz="4" w:space="0" w:color="auto"/>
              <w:right w:val="single" w:sz="4" w:space="0" w:color="auto"/>
            </w:tcBorders>
            <w:shd w:val="clear" w:color="auto" w:fill="auto"/>
            <w:vAlign w:val="center"/>
          </w:tcPr>
          <w:p w14:paraId="51B8652B" w14:textId="716C6338"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172</w:t>
            </w:r>
            <w:r>
              <w:rPr>
                <w:rFonts w:cstheme="minorHAnsi"/>
                <w:sz w:val="16"/>
                <w:szCs w:val="16"/>
              </w:rPr>
              <w:t>,</w:t>
            </w:r>
            <w:r w:rsidRPr="00622F40">
              <w:rPr>
                <w:rFonts w:cstheme="minorHAnsi"/>
                <w:sz w:val="16"/>
                <w:szCs w:val="16"/>
              </w:rPr>
              <w:t>267</w:t>
            </w:r>
          </w:p>
        </w:tc>
        <w:tc>
          <w:tcPr>
            <w:tcW w:w="397" w:type="pct"/>
            <w:tcBorders>
              <w:top w:val="single" w:sz="4" w:space="0" w:color="auto"/>
              <w:left w:val="nil"/>
              <w:bottom w:val="single" w:sz="4" w:space="0" w:color="auto"/>
              <w:right w:val="single" w:sz="4" w:space="0" w:color="auto"/>
            </w:tcBorders>
            <w:shd w:val="clear" w:color="auto" w:fill="auto"/>
            <w:vAlign w:val="center"/>
          </w:tcPr>
          <w:p w14:paraId="2A0DF232" w14:textId="27A3B29E"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223</w:t>
            </w:r>
            <w:r w:rsidR="00C11FDB">
              <w:rPr>
                <w:rFonts w:cstheme="minorHAnsi"/>
                <w:sz w:val="16"/>
                <w:szCs w:val="16"/>
              </w:rPr>
              <w:t>,</w:t>
            </w:r>
            <w:r w:rsidRPr="00622F40">
              <w:rPr>
                <w:rFonts w:cstheme="minorHAnsi"/>
                <w:sz w:val="16"/>
                <w:szCs w:val="16"/>
              </w:rPr>
              <w:t>501</w:t>
            </w:r>
          </w:p>
        </w:tc>
        <w:tc>
          <w:tcPr>
            <w:tcW w:w="397" w:type="pct"/>
            <w:tcBorders>
              <w:top w:val="single" w:sz="4" w:space="0" w:color="auto"/>
              <w:left w:val="nil"/>
              <w:bottom w:val="single" w:sz="4" w:space="0" w:color="auto"/>
              <w:right w:val="single" w:sz="4" w:space="0" w:color="auto"/>
            </w:tcBorders>
            <w:shd w:val="clear" w:color="auto" w:fill="auto"/>
            <w:vAlign w:val="center"/>
          </w:tcPr>
          <w:p w14:paraId="74113E41" w14:textId="1FA81164"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258</w:t>
            </w:r>
            <w:r w:rsidR="00C11FDB">
              <w:rPr>
                <w:rFonts w:cstheme="minorHAnsi"/>
                <w:sz w:val="16"/>
                <w:szCs w:val="16"/>
              </w:rPr>
              <w:t>,</w:t>
            </w:r>
            <w:r w:rsidRPr="00622F40">
              <w:rPr>
                <w:rFonts w:cstheme="minorHAnsi"/>
                <w:sz w:val="16"/>
                <w:szCs w:val="16"/>
              </w:rPr>
              <w:t>372</w:t>
            </w:r>
          </w:p>
        </w:tc>
        <w:tc>
          <w:tcPr>
            <w:tcW w:w="397" w:type="pct"/>
            <w:tcBorders>
              <w:top w:val="single" w:sz="4" w:space="0" w:color="auto"/>
              <w:left w:val="nil"/>
              <w:bottom w:val="single" w:sz="4" w:space="0" w:color="auto"/>
              <w:right w:val="single" w:sz="4" w:space="0" w:color="auto"/>
            </w:tcBorders>
            <w:shd w:val="clear" w:color="auto" w:fill="auto"/>
            <w:vAlign w:val="center"/>
          </w:tcPr>
          <w:p w14:paraId="548E3880" w14:textId="151212B3"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273</w:t>
            </w:r>
            <w:r w:rsidR="00C11FDB">
              <w:rPr>
                <w:rFonts w:cstheme="minorHAnsi"/>
                <w:sz w:val="16"/>
                <w:szCs w:val="16"/>
              </w:rPr>
              <w:t>,</w:t>
            </w:r>
            <w:r w:rsidRPr="00622F40">
              <w:rPr>
                <w:rFonts w:cstheme="minorHAnsi"/>
                <w:sz w:val="16"/>
                <w:szCs w:val="16"/>
              </w:rPr>
              <w:t>563</w:t>
            </w:r>
          </w:p>
        </w:tc>
        <w:tc>
          <w:tcPr>
            <w:tcW w:w="397" w:type="pct"/>
            <w:tcBorders>
              <w:top w:val="single" w:sz="4" w:space="0" w:color="auto"/>
              <w:left w:val="nil"/>
              <w:bottom w:val="single" w:sz="4" w:space="0" w:color="auto"/>
              <w:right w:val="single" w:sz="4" w:space="0" w:color="auto"/>
            </w:tcBorders>
            <w:shd w:val="clear" w:color="auto" w:fill="auto"/>
            <w:vAlign w:val="center"/>
          </w:tcPr>
          <w:p w14:paraId="6F1A6E20" w14:textId="391E3BDC"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327</w:t>
            </w:r>
            <w:r w:rsidR="00C11FDB">
              <w:rPr>
                <w:rFonts w:cstheme="minorHAnsi"/>
                <w:sz w:val="16"/>
                <w:szCs w:val="16"/>
              </w:rPr>
              <w:t>,</w:t>
            </w:r>
            <w:r w:rsidRPr="00622F40">
              <w:rPr>
                <w:rFonts w:cstheme="minorHAnsi"/>
                <w:sz w:val="16"/>
                <w:szCs w:val="16"/>
              </w:rPr>
              <w:t>672</w:t>
            </w:r>
          </w:p>
        </w:tc>
        <w:tc>
          <w:tcPr>
            <w:tcW w:w="397" w:type="pct"/>
            <w:tcBorders>
              <w:top w:val="single" w:sz="4" w:space="0" w:color="auto"/>
              <w:left w:val="nil"/>
              <w:bottom w:val="single" w:sz="4" w:space="0" w:color="auto"/>
              <w:right w:val="single" w:sz="4" w:space="0" w:color="auto"/>
            </w:tcBorders>
            <w:shd w:val="clear" w:color="auto" w:fill="auto"/>
            <w:vAlign w:val="center"/>
          </w:tcPr>
          <w:p w14:paraId="63FFA37B" w14:textId="2F96D892"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343</w:t>
            </w:r>
            <w:r w:rsidR="00C11FDB">
              <w:rPr>
                <w:rFonts w:cstheme="minorHAnsi"/>
                <w:sz w:val="16"/>
                <w:szCs w:val="16"/>
              </w:rPr>
              <w:t>,</w:t>
            </w:r>
            <w:r w:rsidRPr="00622F40">
              <w:rPr>
                <w:rFonts w:cstheme="minorHAnsi"/>
                <w:sz w:val="16"/>
                <w:szCs w:val="16"/>
              </w:rPr>
              <w:t>446</w:t>
            </w:r>
          </w:p>
        </w:tc>
        <w:tc>
          <w:tcPr>
            <w:tcW w:w="397" w:type="pct"/>
            <w:tcBorders>
              <w:top w:val="single" w:sz="4" w:space="0" w:color="auto"/>
              <w:left w:val="nil"/>
              <w:bottom w:val="single" w:sz="4" w:space="0" w:color="auto"/>
              <w:right w:val="single" w:sz="4" w:space="0" w:color="auto"/>
            </w:tcBorders>
            <w:shd w:val="clear" w:color="auto" w:fill="auto"/>
            <w:vAlign w:val="center"/>
          </w:tcPr>
          <w:p w14:paraId="612F8836" w14:textId="58CC88F2"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317</w:t>
            </w:r>
            <w:r w:rsidR="00C11FDB">
              <w:rPr>
                <w:rFonts w:cstheme="minorHAnsi"/>
                <w:sz w:val="16"/>
                <w:szCs w:val="16"/>
              </w:rPr>
              <w:t>,</w:t>
            </w:r>
            <w:r w:rsidRPr="00622F40">
              <w:rPr>
                <w:rFonts w:cstheme="minorHAnsi"/>
                <w:sz w:val="16"/>
                <w:szCs w:val="16"/>
              </w:rPr>
              <w:t>708</w:t>
            </w:r>
          </w:p>
        </w:tc>
        <w:tc>
          <w:tcPr>
            <w:tcW w:w="397" w:type="pct"/>
            <w:tcBorders>
              <w:top w:val="single" w:sz="4" w:space="0" w:color="auto"/>
              <w:left w:val="nil"/>
              <w:bottom w:val="single" w:sz="4" w:space="0" w:color="auto"/>
              <w:right w:val="single" w:sz="4" w:space="0" w:color="auto"/>
            </w:tcBorders>
            <w:shd w:val="clear" w:color="auto" w:fill="auto"/>
            <w:vAlign w:val="center"/>
          </w:tcPr>
          <w:p w14:paraId="77897A59" w14:textId="05A548DD"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289</w:t>
            </w:r>
            <w:r w:rsidR="00C11FDB">
              <w:rPr>
                <w:rFonts w:cstheme="minorHAnsi"/>
                <w:sz w:val="16"/>
                <w:szCs w:val="16"/>
              </w:rPr>
              <w:t>,</w:t>
            </w:r>
            <w:r w:rsidRPr="00622F40">
              <w:rPr>
                <w:rFonts w:cstheme="minorHAnsi"/>
                <w:sz w:val="16"/>
                <w:szCs w:val="16"/>
              </w:rPr>
              <w:t>672</w:t>
            </w:r>
          </w:p>
        </w:tc>
        <w:tc>
          <w:tcPr>
            <w:tcW w:w="397" w:type="pct"/>
            <w:tcBorders>
              <w:top w:val="single" w:sz="4" w:space="0" w:color="auto"/>
              <w:left w:val="nil"/>
              <w:bottom w:val="single" w:sz="4" w:space="0" w:color="auto"/>
              <w:right w:val="single" w:sz="4" w:space="0" w:color="auto"/>
            </w:tcBorders>
            <w:shd w:val="clear" w:color="auto" w:fill="auto"/>
            <w:vAlign w:val="center"/>
          </w:tcPr>
          <w:p w14:paraId="70279666" w14:textId="670FFEF6"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291</w:t>
            </w:r>
            <w:r w:rsidR="00C11FDB">
              <w:rPr>
                <w:rFonts w:cstheme="minorHAnsi"/>
                <w:sz w:val="16"/>
                <w:szCs w:val="16"/>
              </w:rPr>
              <w:t>,</w:t>
            </w:r>
            <w:r w:rsidRPr="00622F40">
              <w:rPr>
                <w:rFonts w:cstheme="minorHAnsi"/>
                <w:sz w:val="16"/>
                <w:szCs w:val="16"/>
              </w:rPr>
              <w:t>497</w:t>
            </w:r>
          </w:p>
        </w:tc>
      </w:tr>
      <w:tr w:rsidR="00277ADB" w:rsidRPr="00155CA1" w14:paraId="64DA7B50"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ECBD8" w14:textId="77777777" w:rsidR="00D66209" w:rsidRPr="00B75289" w:rsidRDefault="00D66209" w:rsidP="00E13FD9">
            <w:pPr>
              <w:spacing w:before="40" w:afterLines="40" w:after="96" w:line="240" w:lineRule="auto"/>
              <w:jc w:val="center"/>
              <w:rPr>
                <w:rFonts w:cs="Arial"/>
                <w:sz w:val="16"/>
                <w:szCs w:val="16"/>
              </w:rPr>
            </w:pPr>
            <w:r w:rsidRPr="00B75289">
              <w:rPr>
                <w:rFonts w:cs="Arial"/>
                <w:sz w:val="16"/>
                <w:szCs w:val="16"/>
              </w:rPr>
              <w:t>Wine &amp; Vinegar</w:t>
            </w:r>
          </w:p>
        </w:tc>
        <w:tc>
          <w:tcPr>
            <w:tcW w:w="397" w:type="pct"/>
            <w:tcBorders>
              <w:top w:val="single" w:sz="4" w:space="0" w:color="auto"/>
              <w:left w:val="nil"/>
              <w:bottom w:val="single" w:sz="4" w:space="0" w:color="auto"/>
              <w:right w:val="single" w:sz="4" w:space="0" w:color="auto"/>
            </w:tcBorders>
            <w:shd w:val="clear" w:color="auto" w:fill="auto"/>
            <w:vAlign w:val="center"/>
          </w:tcPr>
          <w:p w14:paraId="27AF06F8" w14:textId="17AB8270"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55</w:t>
            </w:r>
            <w:r>
              <w:rPr>
                <w:rFonts w:cstheme="minorHAnsi"/>
                <w:sz w:val="16"/>
                <w:szCs w:val="16"/>
              </w:rPr>
              <w:t>,</w:t>
            </w:r>
            <w:r w:rsidRPr="00622F40">
              <w:rPr>
                <w:rFonts w:cstheme="minorHAnsi"/>
                <w:sz w:val="16"/>
                <w:szCs w:val="16"/>
              </w:rPr>
              <w:t>311</w:t>
            </w:r>
          </w:p>
        </w:tc>
        <w:tc>
          <w:tcPr>
            <w:tcW w:w="397" w:type="pct"/>
            <w:tcBorders>
              <w:top w:val="single" w:sz="4" w:space="0" w:color="auto"/>
              <w:left w:val="nil"/>
              <w:bottom w:val="single" w:sz="4" w:space="0" w:color="auto"/>
              <w:right w:val="single" w:sz="4" w:space="0" w:color="auto"/>
            </w:tcBorders>
            <w:shd w:val="clear" w:color="auto" w:fill="auto"/>
            <w:vAlign w:val="center"/>
          </w:tcPr>
          <w:p w14:paraId="00AB2859" w14:textId="2917F6C0"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44</w:t>
            </w:r>
            <w:r>
              <w:rPr>
                <w:rFonts w:cstheme="minorHAnsi"/>
                <w:sz w:val="16"/>
                <w:szCs w:val="16"/>
              </w:rPr>
              <w:t>,</w:t>
            </w:r>
            <w:r w:rsidRPr="00622F40">
              <w:rPr>
                <w:rFonts w:cstheme="minorHAnsi"/>
                <w:sz w:val="16"/>
                <w:szCs w:val="16"/>
              </w:rPr>
              <w:t>768</w:t>
            </w:r>
          </w:p>
        </w:tc>
        <w:tc>
          <w:tcPr>
            <w:tcW w:w="397" w:type="pct"/>
            <w:tcBorders>
              <w:top w:val="single" w:sz="4" w:space="0" w:color="auto"/>
              <w:left w:val="nil"/>
              <w:bottom w:val="single" w:sz="4" w:space="0" w:color="auto"/>
              <w:right w:val="single" w:sz="4" w:space="0" w:color="auto"/>
            </w:tcBorders>
            <w:shd w:val="clear" w:color="auto" w:fill="auto"/>
            <w:vAlign w:val="center"/>
          </w:tcPr>
          <w:p w14:paraId="4137800D" w14:textId="24B13253"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62</w:t>
            </w:r>
            <w:r>
              <w:rPr>
                <w:rFonts w:cstheme="minorHAnsi"/>
                <w:sz w:val="16"/>
                <w:szCs w:val="16"/>
              </w:rPr>
              <w:t>,</w:t>
            </w:r>
            <w:r w:rsidRPr="00622F40">
              <w:rPr>
                <w:rFonts w:cstheme="minorHAnsi"/>
                <w:sz w:val="16"/>
                <w:szCs w:val="16"/>
              </w:rPr>
              <w:t>489</w:t>
            </w:r>
          </w:p>
        </w:tc>
        <w:tc>
          <w:tcPr>
            <w:tcW w:w="397" w:type="pct"/>
            <w:tcBorders>
              <w:top w:val="single" w:sz="4" w:space="0" w:color="auto"/>
              <w:left w:val="nil"/>
              <w:bottom w:val="single" w:sz="4" w:space="0" w:color="auto"/>
              <w:right w:val="single" w:sz="4" w:space="0" w:color="auto"/>
            </w:tcBorders>
            <w:shd w:val="clear" w:color="auto" w:fill="auto"/>
            <w:vAlign w:val="center"/>
          </w:tcPr>
          <w:p w14:paraId="09384287" w14:textId="488BBFF3"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75</w:t>
            </w:r>
            <w:r w:rsidR="00C11FDB">
              <w:rPr>
                <w:rFonts w:cstheme="minorHAnsi"/>
                <w:sz w:val="16"/>
                <w:szCs w:val="16"/>
              </w:rPr>
              <w:t>,</w:t>
            </w:r>
            <w:r w:rsidRPr="00622F40">
              <w:rPr>
                <w:rFonts w:cstheme="minorHAnsi"/>
                <w:sz w:val="16"/>
                <w:szCs w:val="16"/>
              </w:rPr>
              <w:t>626</w:t>
            </w:r>
          </w:p>
        </w:tc>
        <w:tc>
          <w:tcPr>
            <w:tcW w:w="397" w:type="pct"/>
            <w:tcBorders>
              <w:top w:val="single" w:sz="4" w:space="0" w:color="auto"/>
              <w:left w:val="nil"/>
              <w:bottom w:val="single" w:sz="4" w:space="0" w:color="auto"/>
              <w:right w:val="single" w:sz="4" w:space="0" w:color="auto"/>
            </w:tcBorders>
            <w:shd w:val="clear" w:color="auto" w:fill="auto"/>
            <w:vAlign w:val="center"/>
          </w:tcPr>
          <w:p w14:paraId="4E5CDEC7" w14:textId="3E9B4183"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35</w:t>
            </w:r>
            <w:r w:rsidR="00C11FDB">
              <w:rPr>
                <w:rFonts w:cstheme="minorHAnsi"/>
                <w:sz w:val="16"/>
                <w:szCs w:val="16"/>
              </w:rPr>
              <w:t>,</w:t>
            </w:r>
            <w:r w:rsidRPr="00622F40">
              <w:rPr>
                <w:rFonts w:cstheme="minorHAnsi"/>
                <w:sz w:val="16"/>
                <w:szCs w:val="16"/>
              </w:rPr>
              <w:t>937</w:t>
            </w:r>
          </w:p>
        </w:tc>
        <w:tc>
          <w:tcPr>
            <w:tcW w:w="397" w:type="pct"/>
            <w:tcBorders>
              <w:top w:val="single" w:sz="4" w:space="0" w:color="auto"/>
              <w:left w:val="nil"/>
              <w:bottom w:val="single" w:sz="4" w:space="0" w:color="auto"/>
              <w:right w:val="single" w:sz="4" w:space="0" w:color="auto"/>
            </w:tcBorders>
            <w:shd w:val="clear" w:color="auto" w:fill="auto"/>
            <w:vAlign w:val="center"/>
          </w:tcPr>
          <w:p w14:paraId="5BDB58CD" w14:textId="3DA67DB9"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43</w:t>
            </w:r>
            <w:r w:rsidR="00C11FDB">
              <w:rPr>
                <w:rFonts w:cstheme="minorHAnsi"/>
                <w:sz w:val="16"/>
                <w:szCs w:val="16"/>
              </w:rPr>
              <w:t>,</w:t>
            </w:r>
            <w:r w:rsidRPr="00622F40">
              <w:rPr>
                <w:rFonts w:cstheme="minorHAnsi"/>
                <w:sz w:val="16"/>
                <w:szCs w:val="16"/>
              </w:rPr>
              <w:t>253</w:t>
            </w:r>
          </w:p>
        </w:tc>
        <w:tc>
          <w:tcPr>
            <w:tcW w:w="397" w:type="pct"/>
            <w:tcBorders>
              <w:top w:val="single" w:sz="4" w:space="0" w:color="auto"/>
              <w:left w:val="nil"/>
              <w:bottom w:val="single" w:sz="4" w:space="0" w:color="auto"/>
              <w:right w:val="single" w:sz="4" w:space="0" w:color="auto"/>
            </w:tcBorders>
            <w:shd w:val="clear" w:color="auto" w:fill="auto"/>
            <w:vAlign w:val="center"/>
          </w:tcPr>
          <w:p w14:paraId="08EA8884" w14:textId="1CD3A957"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47</w:t>
            </w:r>
            <w:r w:rsidR="00C11FDB">
              <w:rPr>
                <w:rFonts w:cstheme="minorHAnsi"/>
                <w:sz w:val="16"/>
                <w:szCs w:val="16"/>
              </w:rPr>
              <w:t>,</w:t>
            </w:r>
            <w:r w:rsidRPr="00622F40">
              <w:rPr>
                <w:rFonts w:cstheme="minorHAnsi"/>
                <w:sz w:val="16"/>
                <w:szCs w:val="16"/>
              </w:rPr>
              <w:t>728</w:t>
            </w:r>
          </w:p>
        </w:tc>
        <w:tc>
          <w:tcPr>
            <w:tcW w:w="397" w:type="pct"/>
            <w:tcBorders>
              <w:top w:val="single" w:sz="4" w:space="0" w:color="auto"/>
              <w:left w:val="nil"/>
              <w:bottom w:val="single" w:sz="4" w:space="0" w:color="auto"/>
              <w:right w:val="single" w:sz="4" w:space="0" w:color="auto"/>
            </w:tcBorders>
            <w:shd w:val="clear" w:color="auto" w:fill="auto"/>
            <w:vAlign w:val="center"/>
          </w:tcPr>
          <w:p w14:paraId="2883F3D7" w14:textId="51484F4F"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44</w:t>
            </w:r>
            <w:r w:rsidR="00C11FDB">
              <w:rPr>
                <w:rFonts w:cstheme="minorHAnsi"/>
                <w:sz w:val="16"/>
                <w:szCs w:val="16"/>
              </w:rPr>
              <w:t>,</w:t>
            </w:r>
            <w:r w:rsidRPr="00622F40">
              <w:rPr>
                <w:rFonts w:cstheme="minorHAnsi"/>
                <w:sz w:val="16"/>
                <w:szCs w:val="16"/>
              </w:rPr>
              <w:t>263</w:t>
            </w:r>
          </w:p>
        </w:tc>
        <w:tc>
          <w:tcPr>
            <w:tcW w:w="397" w:type="pct"/>
            <w:tcBorders>
              <w:top w:val="single" w:sz="4" w:space="0" w:color="auto"/>
              <w:left w:val="nil"/>
              <w:bottom w:val="single" w:sz="4" w:space="0" w:color="auto"/>
              <w:right w:val="single" w:sz="4" w:space="0" w:color="auto"/>
            </w:tcBorders>
            <w:shd w:val="clear" w:color="auto" w:fill="auto"/>
            <w:vAlign w:val="center"/>
          </w:tcPr>
          <w:p w14:paraId="692E484F" w14:textId="7B70BFF1"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36</w:t>
            </w:r>
            <w:r w:rsidR="00C11FDB">
              <w:rPr>
                <w:rFonts w:cstheme="minorHAnsi"/>
                <w:sz w:val="16"/>
                <w:szCs w:val="16"/>
              </w:rPr>
              <w:t>,</w:t>
            </w:r>
            <w:r w:rsidRPr="00622F40">
              <w:rPr>
                <w:rFonts w:cstheme="minorHAnsi"/>
                <w:sz w:val="16"/>
                <w:szCs w:val="16"/>
              </w:rPr>
              <w:t>501</w:t>
            </w:r>
          </w:p>
        </w:tc>
        <w:tc>
          <w:tcPr>
            <w:tcW w:w="397" w:type="pct"/>
            <w:tcBorders>
              <w:top w:val="single" w:sz="4" w:space="0" w:color="auto"/>
              <w:left w:val="nil"/>
              <w:bottom w:val="single" w:sz="4" w:space="0" w:color="auto"/>
              <w:right w:val="single" w:sz="4" w:space="0" w:color="auto"/>
            </w:tcBorders>
            <w:shd w:val="clear" w:color="auto" w:fill="auto"/>
            <w:vAlign w:val="center"/>
          </w:tcPr>
          <w:p w14:paraId="2F98EA4C" w14:textId="02011D17"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23</w:t>
            </w:r>
            <w:r w:rsidR="00C11FDB">
              <w:rPr>
                <w:rFonts w:cstheme="minorHAnsi"/>
                <w:sz w:val="16"/>
                <w:szCs w:val="16"/>
              </w:rPr>
              <w:t>,</w:t>
            </w:r>
            <w:r w:rsidRPr="00622F40">
              <w:rPr>
                <w:rFonts w:cstheme="minorHAnsi"/>
                <w:sz w:val="16"/>
                <w:szCs w:val="16"/>
              </w:rPr>
              <w:t>582</w:t>
            </w:r>
          </w:p>
        </w:tc>
        <w:tc>
          <w:tcPr>
            <w:tcW w:w="397" w:type="pct"/>
            <w:tcBorders>
              <w:top w:val="single" w:sz="4" w:space="0" w:color="auto"/>
              <w:left w:val="nil"/>
              <w:bottom w:val="single" w:sz="4" w:space="0" w:color="auto"/>
              <w:right w:val="single" w:sz="4" w:space="0" w:color="auto"/>
            </w:tcBorders>
            <w:shd w:val="clear" w:color="auto" w:fill="auto"/>
            <w:vAlign w:val="center"/>
          </w:tcPr>
          <w:p w14:paraId="18613928" w14:textId="458B7A76" w:rsidR="00D66209" w:rsidRPr="00622F40" w:rsidRDefault="00D66209" w:rsidP="00E13FD9">
            <w:pPr>
              <w:spacing w:before="40" w:afterLines="40" w:after="96" w:line="240" w:lineRule="auto"/>
              <w:ind w:right="-74"/>
              <w:jc w:val="center"/>
              <w:rPr>
                <w:rFonts w:cstheme="minorHAnsi"/>
                <w:sz w:val="16"/>
                <w:szCs w:val="16"/>
              </w:rPr>
            </w:pPr>
            <w:r w:rsidRPr="00622F40">
              <w:rPr>
                <w:rFonts w:cstheme="minorHAnsi"/>
                <w:sz w:val="16"/>
                <w:szCs w:val="16"/>
              </w:rPr>
              <w:t>22</w:t>
            </w:r>
            <w:r w:rsidR="00C11FDB">
              <w:rPr>
                <w:rFonts w:cstheme="minorHAnsi"/>
                <w:sz w:val="16"/>
                <w:szCs w:val="16"/>
              </w:rPr>
              <w:t>,</w:t>
            </w:r>
            <w:r w:rsidRPr="00622F40">
              <w:rPr>
                <w:rFonts w:cstheme="minorHAnsi"/>
                <w:sz w:val="16"/>
                <w:szCs w:val="16"/>
              </w:rPr>
              <w:t>382</w:t>
            </w:r>
          </w:p>
        </w:tc>
      </w:tr>
    </w:tbl>
    <w:p w14:paraId="3CF293A4" w14:textId="77777777" w:rsidR="000632E6" w:rsidRDefault="000632E6" w:rsidP="007B2433">
      <w:pPr>
        <w:autoSpaceDE w:val="0"/>
        <w:autoSpaceDN w:val="0"/>
        <w:adjustRightInd w:val="0"/>
        <w:spacing w:after="0" w:line="240" w:lineRule="auto"/>
        <w:jc w:val="left"/>
        <w:rPr>
          <w:sz w:val="24"/>
          <w:szCs w:val="24"/>
          <w:lang w:eastAsia="fr-FR"/>
        </w:rPr>
      </w:pPr>
    </w:p>
    <w:tbl>
      <w:tblPr>
        <w:tblW w:w="5000" w:type="pct"/>
        <w:tblCellMar>
          <w:left w:w="70" w:type="dxa"/>
          <w:right w:w="70" w:type="dxa"/>
        </w:tblCellMar>
        <w:tblLook w:val="04A0" w:firstRow="1" w:lastRow="0" w:firstColumn="1" w:lastColumn="0" w:noHBand="0" w:noVBand="1"/>
      </w:tblPr>
      <w:tblGrid>
        <w:gridCol w:w="1579"/>
        <w:gridCol w:w="681"/>
        <w:gridCol w:w="681"/>
        <w:gridCol w:w="681"/>
        <w:gridCol w:w="680"/>
        <w:gridCol w:w="680"/>
        <w:gridCol w:w="680"/>
        <w:gridCol w:w="680"/>
        <w:gridCol w:w="680"/>
        <w:gridCol w:w="680"/>
        <w:gridCol w:w="680"/>
        <w:gridCol w:w="680"/>
      </w:tblGrid>
      <w:tr w:rsidR="000632E6" w:rsidRPr="00155CA1" w14:paraId="5D0FCB39" w14:textId="77777777" w:rsidTr="00E13FD9">
        <w:trPr>
          <w:trHeight w:val="255"/>
        </w:trPr>
        <w:tc>
          <w:tcPr>
            <w:tcW w:w="628" w:type="pct"/>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365F155C" w14:textId="77777777" w:rsidR="000632E6" w:rsidRPr="00B75289" w:rsidRDefault="000632E6" w:rsidP="00B75289">
            <w:pPr>
              <w:spacing w:after="0" w:line="240" w:lineRule="auto"/>
              <w:jc w:val="center"/>
              <w:rPr>
                <w:rFonts w:eastAsia="Times New Roman" w:cs="Times New Roman"/>
                <w:b/>
                <w:sz w:val="16"/>
                <w:szCs w:val="16"/>
                <w:lang w:eastAsia="fr-FR"/>
              </w:rPr>
            </w:pPr>
            <w:r w:rsidRPr="00B75289">
              <w:rPr>
                <w:rFonts w:eastAsia="Times New Roman" w:cs="Times New Roman"/>
                <w:b/>
                <w:sz w:val="16"/>
                <w:szCs w:val="16"/>
                <w:lang w:eastAsia="fr-FR"/>
              </w:rPr>
              <w:t>Pi (kt)</w:t>
            </w:r>
          </w:p>
        </w:tc>
        <w:tc>
          <w:tcPr>
            <w:tcW w:w="397"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8C3314D" w14:textId="6E8D4CFB" w:rsidR="000632E6" w:rsidRPr="00B75289" w:rsidRDefault="00F71BF8" w:rsidP="00E13FD9">
            <w:pPr>
              <w:spacing w:after="0" w:line="240" w:lineRule="auto"/>
              <w:ind w:right="-79"/>
              <w:jc w:val="center"/>
              <w:rPr>
                <w:rFonts w:eastAsia="Times New Roman" w:cs="Arial"/>
                <w:b/>
                <w:sz w:val="16"/>
                <w:szCs w:val="16"/>
                <w:lang w:eastAsia="fr-FR"/>
              </w:rPr>
            </w:pPr>
            <w:r>
              <w:rPr>
                <w:rFonts w:eastAsia="Times New Roman" w:cs="Arial"/>
                <w:b/>
                <w:sz w:val="16"/>
                <w:szCs w:val="16"/>
                <w:lang w:eastAsia="fr-FR"/>
              </w:rPr>
              <w:t>2012</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734750BA" w14:textId="1020CA12" w:rsidR="000632E6" w:rsidRPr="00B75289" w:rsidRDefault="00F71BF8" w:rsidP="00E13FD9">
            <w:pPr>
              <w:spacing w:after="0" w:line="240" w:lineRule="auto"/>
              <w:ind w:right="-79"/>
              <w:jc w:val="center"/>
              <w:rPr>
                <w:rFonts w:eastAsia="Times New Roman" w:cs="Arial"/>
                <w:b/>
                <w:sz w:val="16"/>
                <w:szCs w:val="16"/>
                <w:lang w:eastAsia="fr-FR"/>
              </w:rPr>
            </w:pPr>
            <w:r>
              <w:rPr>
                <w:rFonts w:eastAsia="Times New Roman" w:cs="Arial"/>
                <w:b/>
                <w:sz w:val="16"/>
                <w:szCs w:val="16"/>
                <w:lang w:eastAsia="fr-FR"/>
              </w:rPr>
              <w:t>2013</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11F0F638" w14:textId="7DF60BE5" w:rsidR="000632E6" w:rsidRPr="00B75289" w:rsidRDefault="00F71BF8" w:rsidP="00E13FD9">
            <w:pPr>
              <w:spacing w:after="0" w:line="240" w:lineRule="auto"/>
              <w:ind w:right="-79"/>
              <w:jc w:val="center"/>
              <w:rPr>
                <w:rFonts w:eastAsia="Times New Roman" w:cs="Arial"/>
                <w:b/>
                <w:sz w:val="16"/>
                <w:szCs w:val="16"/>
                <w:lang w:eastAsia="fr-FR"/>
              </w:rPr>
            </w:pPr>
            <w:r>
              <w:rPr>
                <w:rFonts w:eastAsia="Times New Roman" w:cs="Arial"/>
                <w:b/>
                <w:sz w:val="16"/>
                <w:szCs w:val="16"/>
                <w:lang w:eastAsia="fr-FR"/>
              </w:rPr>
              <w:t>2014</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6422858D" w14:textId="6CB40867" w:rsidR="000632E6" w:rsidRPr="00B75289" w:rsidRDefault="00F71BF8" w:rsidP="00E13FD9">
            <w:pPr>
              <w:spacing w:after="0" w:line="240" w:lineRule="auto"/>
              <w:ind w:right="-79"/>
              <w:jc w:val="center"/>
              <w:rPr>
                <w:rFonts w:eastAsia="Times New Roman" w:cs="Arial"/>
                <w:b/>
                <w:sz w:val="16"/>
                <w:szCs w:val="16"/>
                <w:lang w:eastAsia="fr-FR"/>
              </w:rPr>
            </w:pPr>
            <w:r>
              <w:rPr>
                <w:rFonts w:eastAsia="Times New Roman" w:cs="Arial"/>
                <w:b/>
                <w:sz w:val="16"/>
                <w:szCs w:val="16"/>
                <w:lang w:eastAsia="fr-FR"/>
              </w:rPr>
              <w:t>2015</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1B6A6FCE" w14:textId="05276662" w:rsidR="000632E6" w:rsidRPr="00B75289" w:rsidRDefault="00F71BF8" w:rsidP="00E13FD9">
            <w:pPr>
              <w:spacing w:after="0" w:line="240" w:lineRule="auto"/>
              <w:ind w:right="-79"/>
              <w:jc w:val="center"/>
              <w:rPr>
                <w:rFonts w:eastAsia="Times New Roman" w:cs="Arial"/>
                <w:b/>
                <w:sz w:val="16"/>
                <w:szCs w:val="16"/>
                <w:lang w:eastAsia="fr-FR"/>
              </w:rPr>
            </w:pPr>
            <w:r>
              <w:rPr>
                <w:rFonts w:eastAsia="Times New Roman" w:cs="Arial"/>
                <w:b/>
                <w:sz w:val="16"/>
                <w:szCs w:val="16"/>
                <w:lang w:eastAsia="fr-FR"/>
              </w:rPr>
              <w:t>2016</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5D4FF5CB" w14:textId="229362FF" w:rsidR="000632E6" w:rsidRPr="00B75289" w:rsidRDefault="00F71BF8" w:rsidP="00E13FD9">
            <w:pPr>
              <w:spacing w:after="0" w:line="240" w:lineRule="auto"/>
              <w:ind w:right="-79"/>
              <w:jc w:val="center"/>
              <w:rPr>
                <w:rFonts w:eastAsia="Times New Roman" w:cs="Arial"/>
                <w:b/>
                <w:sz w:val="16"/>
                <w:szCs w:val="16"/>
                <w:lang w:eastAsia="fr-FR"/>
              </w:rPr>
            </w:pPr>
            <w:r>
              <w:rPr>
                <w:rFonts w:eastAsia="Times New Roman" w:cs="Arial"/>
                <w:b/>
                <w:sz w:val="16"/>
                <w:szCs w:val="16"/>
                <w:lang w:eastAsia="fr-FR"/>
              </w:rPr>
              <w:t>2017</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5F956348" w14:textId="24CFBACF" w:rsidR="000632E6" w:rsidRPr="00B75289" w:rsidRDefault="00F71BF8" w:rsidP="00E13FD9">
            <w:pPr>
              <w:spacing w:after="0" w:line="240" w:lineRule="auto"/>
              <w:ind w:right="-79"/>
              <w:jc w:val="center"/>
              <w:rPr>
                <w:rFonts w:eastAsia="Times New Roman" w:cs="Arial"/>
                <w:b/>
                <w:sz w:val="16"/>
                <w:szCs w:val="16"/>
                <w:lang w:eastAsia="fr-FR"/>
              </w:rPr>
            </w:pPr>
            <w:r>
              <w:rPr>
                <w:rFonts w:eastAsia="Times New Roman" w:cs="Arial"/>
                <w:b/>
                <w:sz w:val="16"/>
                <w:szCs w:val="16"/>
                <w:lang w:eastAsia="fr-FR"/>
              </w:rPr>
              <w:t>2018</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010EA8A3" w14:textId="36149B43" w:rsidR="000632E6" w:rsidRPr="00B75289" w:rsidRDefault="00F71BF8" w:rsidP="00E13FD9">
            <w:pPr>
              <w:spacing w:after="0" w:line="240" w:lineRule="auto"/>
              <w:ind w:right="-79"/>
              <w:jc w:val="center"/>
              <w:rPr>
                <w:rFonts w:eastAsia="Times New Roman" w:cs="Arial"/>
                <w:b/>
                <w:sz w:val="16"/>
                <w:szCs w:val="16"/>
                <w:lang w:eastAsia="fr-FR"/>
              </w:rPr>
            </w:pPr>
            <w:r>
              <w:rPr>
                <w:rFonts w:eastAsia="Times New Roman" w:cs="Arial"/>
                <w:b/>
                <w:sz w:val="16"/>
                <w:szCs w:val="16"/>
                <w:lang w:eastAsia="fr-FR"/>
              </w:rPr>
              <w:t>2019</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2A6822C6" w14:textId="3ACF7ABB" w:rsidR="000632E6" w:rsidRPr="00B75289" w:rsidRDefault="00F71BF8" w:rsidP="00E13FD9">
            <w:pPr>
              <w:spacing w:after="0" w:line="240" w:lineRule="auto"/>
              <w:ind w:right="-79"/>
              <w:jc w:val="center"/>
              <w:rPr>
                <w:rFonts w:eastAsia="Times New Roman" w:cs="Arial"/>
                <w:b/>
                <w:sz w:val="16"/>
                <w:szCs w:val="16"/>
                <w:lang w:eastAsia="fr-FR"/>
              </w:rPr>
            </w:pPr>
            <w:r>
              <w:rPr>
                <w:rFonts w:eastAsia="Times New Roman" w:cs="Arial"/>
                <w:b/>
                <w:sz w:val="16"/>
                <w:szCs w:val="16"/>
                <w:lang w:eastAsia="fr-FR"/>
              </w:rPr>
              <w:t>2020</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780ACA30" w14:textId="222C05FD" w:rsidR="000632E6" w:rsidRPr="00B75289" w:rsidRDefault="00F71BF8" w:rsidP="00E13FD9">
            <w:pPr>
              <w:spacing w:after="0" w:line="240" w:lineRule="auto"/>
              <w:ind w:right="-79"/>
              <w:jc w:val="center"/>
              <w:rPr>
                <w:rFonts w:eastAsia="Times New Roman" w:cs="Arial"/>
                <w:b/>
                <w:sz w:val="16"/>
                <w:szCs w:val="16"/>
                <w:lang w:eastAsia="fr-FR"/>
              </w:rPr>
            </w:pPr>
            <w:r>
              <w:rPr>
                <w:rFonts w:eastAsia="Times New Roman" w:cs="Arial"/>
                <w:b/>
                <w:sz w:val="16"/>
                <w:szCs w:val="16"/>
                <w:lang w:eastAsia="fr-FR"/>
              </w:rPr>
              <w:t>2021</w:t>
            </w:r>
          </w:p>
        </w:tc>
        <w:tc>
          <w:tcPr>
            <w:tcW w:w="39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50FB8AFC" w14:textId="5D2BA079" w:rsidR="000632E6" w:rsidRPr="00B75289" w:rsidRDefault="00F71BF8" w:rsidP="00E13FD9">
            <w:pPr>
              <w:spacing w:after="0" w:line="240" w:lineRule="auto"/>
              <w:ind w:right="-79"/>
              <w:jc w:val="center"/>
              <w:rPr>
                <w:rFonts w:eastAsia="Times New Roman" w:cs="Arial"/>
                <w:b/>
                <w:sz w:val="16"/>
                <w:szCs w:val="16"/>
                <w:lang w:eastAsia="fr-FR"/>
              </w:rPr>
            </w:pPr>
            <w:r>
              <w:rPr>
                <w:rFonts w:eastAsia="Times New Roman" w:cs="Arial"/>
                <w:b/>
                <w:sz w:val="16"/>
                <w:szCs w:val="16"/>
                <w:lang w:eastAsia="fr-FR"/>
              </w:rPr>
              <w:t>2022</w:t>
            </w:r>
          </w:p>
        </w:tc>
      </w:tr>
      <w:tr w:rsidR="002970B6" w:rsidRPr="00155CA1" w14:paraId="6863F438" w14:textId="77777777" w:rsidTr="00E13FD9">
        <w:trPr>
          <w:trHeight w:val="246"/>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43634" w14:textId="77777777" w:rsidR="002970B6" w:rsidRPr="00B75289" w:rsidRDefault="002970B6" w:rsidP="00E13FD9">
            <w:pPr>
              <w:spacing w:before="40" w:after="40"/>
              <w:jc w:val="center"/>
              <w:rPr>
                <w:rFonts w:cs="Arial"/>
                <w:sz w:val="16"/>
                <w:szCs w:val="16"/>
              </w:rPr>
            </w:pPr>
            <w:r w:rsidRPr="00B75289">
              <w:rPr>
                <w:rFonts w:cs="Arial"/>
                <w:sz w:val="16"/>
                <w:szCs w:val="16"/>
              </w:rPr>
              <w:t>Alcohol Refining</w:t>
            </w:r>
          </w:p>
        </w:tc>
        <w:tc>
          <w:tcPr>
            <w:tcW w:w="397" w:type="pct"/>
            <w:tcBorders>
              <w:top w:val="single" w:sz="4" w:space="0" w:color="auto"/>
              <w:left w:val="nil"/>
              <w:bottom w:val="single" w:sz="4" w:space="0" w:color="auto"/>
              <w:right w:val="single" w:sz="4" w:space="0" w:color="auto"/>
            </w:tcBorders>
            <w:shd w:val="clear" w:color="auto" w:fill="auto"/>
            <w:vAlign w:val="center"/>
          </w:tcPr>
          <w:p w14:paraId="50D04354" w14:textId="45337221" w:rsidR="002970B6" w:rsidRPr="001C3915" w:rsidRDefault="002970B6" w:rsidP="00E13FD9">
            <w:pPr>
              <w:spacing w:before="40" w:after="40"/>
              <w:ind w:right="-79"/>
              <w:jc w:val="center"/>
              <w:rPr>
                <w:rFonts w:cs="Arial"/>
                <w:sz w:val="16"/>
                <w:szCs w:val="18"/>
              </w:rPr>
            </w:pPr>
            <w:r w:rsidRPr="00622F40">
              <w:rPr>
                <w:sz w:val="16"/>
                <w:szCs w:val="18"/>
              </w:rPr>
              <w:t>7,593</w:t>
            </w:r>
          </w:p>
        </w:tc>
        <w:tc>
          <w:tcPr>
            <w:tcW w:w="397" w:type="pct"/>
            <w:tcBorders>
              <w:top w:val="single" w:sz="4" w:space="0" w:color="auto"/>
              <w:left w:val="nil"/>
              <w:bottom w:val="single" w:sz="4" w:space="0" w:color="auto"/>
              <w:right w:val="single" w:sz="4" w:space="0" w:color="auto"/>
            </w:tcBorders>
            <w:shd w:val="clear" w:color="auto" w:fill="auto"/>
            <w:vAlign w:val="center"/>
          </w:tcPr>
          <w:p w14:paraId="60B3D092" w14:textId="7564BFE3" w:rsidR="002970B6" w:rsidRPr="001C3915" w:rsidRDefault="002970B6" w:rsidP="00E13FD9">
            <w:pPr>
              <w:spacing w:before="40" w:after="40"/>
              <w:ind w:right="-79"/>
              <w:jc w:val="center"/>
              <w:rPr>
                <w:rFonts w:cs="Arial"/>
                <w:sz w:val="16"/>
                <w:szCs w:val="18"/>
              </w:rPr>
            </w:pPr>
            <w:r w:rsidRPr="00622F40">
              <w:rPr>
                <w:sz w:val="16"/>
                <w:szCs w:val="18"/>
              </w:rPr>
              <w:t>7,588</w:t>
            </w:r>
          </w:p>
        </w:tc>
        <w:tc>
          <w:tcPr>
            <w:tcW w:w="397" w:type="pct"/>
            <w:tcBorders>
              <w:top w:val="single" w:sz="4" w:space="0" w:color="auto"/>
              <w:left w:val="nil"/>
              <w:bottom w:val="single" w:sz="4" w:space="0" w:color="auto"/>
              <w:right w:val="single" w:sz="4" w:space="0" w:color="auto"/>
            </w:tcBorders>
            <w:shd w:val="clear" w:color="auto" w:fill="auto"/>
            <w:vAlign w:val="center"/>
          </w:tcPr>
          <w:p w14:paraId="6D554FD2" w14:textId="05378E21" w:rsidR="002970B6" w:rsidRPr="001C3915" w:rsidRDefault="002970B6" w:rsidP="00E13FD9">
            <w:pPr>
              <w:spacing w:before="40" w:after="40"/>
              <w:ind w:right="-79"/>
              <w:jc w:val="center"/>
              <w:rPr>
                <w:sz w:val="16"/>
                <w:szCs w:val="18"/>
              </w:rPr>
            </w:pPr>
            <w:r w:rsidRPr="00622F40">
              <w:rPr>
                <w:sz w:val="16"/>
                <w:szCs w:val="18"/>
              </w:rPr>
              <w:t>5,775</w:t>
            </w:r>
          </w:p>
        </w:tc>
        <w:tc>
          <w:tcPr>
            <w:tcW w:w="397" w:type="pct"/>
            <w:tcBorders>
              <w:top w:val="single" w:sz="4" w:space="0" w:color="auto"/>
              <w:left w:val="nil"/>
              <w:bottom w:val="single" w:sz="4" w:space="0" w:color="auto"/>
              <w:right w:val="single" w:sz="4" w:space="0" w:color="auto"/>
            </w:tcBorders>
            <w:shd w:val="clear" w:color="auto" w:fill="auto"/>
            <w:vAlign w:val="center"/>
          </w:tcPr>
          <w:p w14:paraId="7CE422DF" w14:textId="1D09FAF3" w:rsidR="002970B6" w:rsidRPr="001C3915" w:rsidRDefault="002970B6" w:rsidP="00E13FD9">
            <w:pPr>
              <w:spacing w:before="40" w:after="40"/>
              <w:ind w:right="-79"/>
              <w:jc w:val="center"/>
              <w:rPr>
                <w:sz w:val="16"/>
                <w:szCs w:val="18"/>
              </w:rPr>
            </w:pPr>
            <w:r w:rsidRPr="00622F40">
              <w:rPr>
                <w:sz w:val="16"/>
                <w:szCs w:val="18"/>
              </w:rPr>
              <w:t>6,006</w:t>
            </w:r>
          </w:p>
        </w:tc>
        <w:tc>
          <w:tcPr>
            <w:tcW w:w="397" w:type="pct"/>
            <w:tcBorders>
              <w:top w:val="single" w:sz="4" w:space="0" w:color="auto"/>
              <w:left w:val="nil"/>
              <w:bottom w:val="single" w:sz="4" w:space="0" w:color="auto"/>
              <w:right w:val="single" w:sz="4" w:space="0" w:color="auto"/>
            </w:tcBorders>
            <w:shd w:val="clear" w:color="auto" w:fill="auto"/>
            <w:vAlign w:val="center"/>
          </w:tcPr>
          <w:p w14:paraId="571AC151" w14:textId="77BC2503" w:rsidR="002970B6" w:rsidRPr="001C3915" w:rsidRDefault="002970B6" w:rsidP="00E13FD9">
            <w:pPr>
              <w:spacing w:before="40" w:after="40"/>
              <w:ind w:right="-79"/>
              <w:jc w:val="center"/>
              <w:rPr>
                <w:sz w:val="16"/>
                <w:szCs w:val="18"/>
              </w:rPr>
            </w:pPr>
            <w:r w:rsidRPr="00622F40">
              <w:rPr>
                <w:sz w:val="16"/>
                <w:szCs w:val="18"/>
              </w:rPr>
              <w:t>6,460</w:t>
            </w:r>
          </w:p>
        </w:tc>
        <w:tc>
          <w:tcPr>
            <w:tcW w:w="397" w:type="pct"/>
            <w:tcBorders>
              <w:top w:val="single" w:sz="4" w:space="0" w:color="auto"/>
              <w:left w:val="nil"/>
              <w:bottom w:val="single" w:sz="4" w:space="0" w:color="auto"/>
              <w:right w:val="single" w:sz="4" w:space="0" w:color="auto"/>
            </w:tcBorders>
            <w:shd w:val="clear" w:color="auto" w:fill="auto"/>
            <w:vAlign w:val="center"/>
          </w:tcPr>
          <w:p w14:paraId="38772774" w14:textId="745034D2" w:rsidR="002970B6" w:rsidRPr="001C3915" w:rsidRDefault="002970B6" w:rsidP="00E13FD9">
            <w:pPr>
              <w:spacing w:before="40" w:after="40"/>
              <w:ind w:right="-79"/>
              <w:jc w:val="center"/>
              <w:rPr>
                <w:sz w:val="16"/>
                <w:szCs w:val="18"/>
              </w:rPr>
            </w:pPr>
            <w:r w:rsidRPr="00622F40">
              <w:rPr>
                <w:sz w:val="16"/>
                <w:szCs w:val="18"/>
              </w:rPr>
              <w:t>7,389</w:t>
            </w:r>
          </w:p>
        </w:tc>
        <w:tc>
          <w:tcPr>
            <w:tcW w:w="397" w:type="pct"/>
            <w:tcBorders>
              <w:top w:val="single" w:sz="4" w:space="0" w:color="auto"/>
              <w:left w:val="nil"/>
              <w:bottom w:val="single" w:sz="4" w:space="0" w:color="auto"/>
              <w:right w:val="single" w:sz="4" w:space="0" w:color="auto"/>
            </w:tcBorders>
            <w:shd w:val="clear" w:color="auto" w:fill="auto"/>
            <w:vAlign w:val="center"/>
          </w:tcPr>
          <w:p w14:paraId="4E315D9D" w14:textId="654F6F50" w:rsidR="002970B6" w:rsidRPr="001C3915" w:rsidRDefault="002970B6" w:rsidP="00E13FD9">
            <w:pPr>
              <w:spacing w:before="40" w:after="40"/>
              <w:ind w:right="-79"/>
              <w:jc w:val="center"/>
              <w:rPr>
                <w:sz w:val="16"/>
                <w:szCs w:val="18"/>
              </w:rPr>
            </w:pPr>
            <w:r w:rsidRPr="00622F40">
              <w:rPr>
                <w:sz w:val="16"/>
                <w:szCs w:val="18"/>
              </w:rPr>
              <w:t>7,226</w:t>
            </w:r>
          </w:p>
        </w:tc>
        <w:tc>
          <w:tcPr>
            <w:tcW w:w="397" w:type="pct"/>
            <w:tcBorders>
              <w:top w:val="single" w:sz="4" w:space="0" w:color="auto"/>
              <w:left w:val="nil"/>
              <w:bottom w:val="single" w:sz="4" w:space="0" w:color="auto"/>
              <w:right w:val="single" w:sz="4" w:space="0" w:color="auto"/>
            </w:tcBorders>
            <w:shd w:val="clear" w:color="auto" w:fill="auto"/>
            <w:vAlign w:val="center"/>
          </w:tcPr>
          <w:p w14:paraId="56E12D05" w14:textId="29FBB306" w:rsidR="002970B6" w:rsidRPr="001C3915" w:rsidRDefault="002970B6" w:rsidP="00E13FD9">
            <w:pPr>
              <w:spacing w:before="40" w:after="40"/>
              <w:ind w:right="-79"/>
              <w:jc w:val="center"/>
              <w:rPr>
                <w:sz w:val="16"/>
                <w:szCs w:val="18"/>
              </w:rPr>
            </w:pPr>
            <w:r w:rsidRPr="00622F40">
              <w:rPr>
                <w:sz w:val="16"/>
                <w:szCs w:val="18"/>
              </w:rPr>
              <w:t>7,143</w:t>
            </w:r>
          </w:p>
        </w:tc>
        <w:tc>
          <w:tcPr>
            <w:tcW w:w="397" w:type="pct"/>
            <w:tcBorders>
              <w:top w:val="single" w:sz="4" w:space="0" w:color="auto"/>
              <w:left w:val="nil"/>
              <w:bottom w:val="single" w:sz="4" w:space="0" w:color="auto"/>
              <w:right w:val="single" w:sz="4" w:space="0" w:color="auto"/>
            </w:tcBorders>
            <w:shd w:val="clear" w:color="auto" w:fill="auto"/>
            <w:vAlign w:val="center"/>
          </w:tcPr>
          <w:p w14:paraId="1789029E" w14:textId="4D985BEA" w:rsidR="002970B6" w:rsidRPr="001C3915" w:rsidRDefault="002970B6" w:rsidP="00E13FD9">
            <w:pPr>
              <w:spacing w:before="40" w:after="40"/>
              <w:ind w:right="-79"/>
              <w:jc w:val="center"/>
              <w:rPr>
                <w:sz w:val="16"/>
                <w:szCs w:val="18"/>
              </w:rPr>
            </w:pPr>
            <w:r w:rsidRPr="00622F40">
              <w:rPr>
                <w:sz w:val="16"/>
                <w:szCs w:val="18"/>
              </w:rPr>
              <w:t>6,757</w:t>
            </w:r>
          </w:p>
        </w:tc>
        <w:tc>
          <w:tcPr>
            <w:tcW w:w="397" w:type="pct"/>
            <w:tcBorders>
              <w:top w:val="single" w:sz="4" w:space="0" w:color="auto"/>
              <w:left w:val="nil"/>
              <w:bottom w:val="single" w:sz="4" w:space="0" w:color="auto"/>
              <w:right w:val="single" w:sz="4" w:space="0" w:color="auto"/>
            </w:tcBorders>
            <w:shd w:val="clear" w:color="auto" w:fill="auto"/>
            <w:vAlign w:val="center"/>
          </w:tcPr>
          <w:p w14:paraId="7E362D27" w14:textId="65A6E56C" w:rsidR="002970B6" w:rsidRPr="001C3915" w:rsidRDefault="002970B6" w:rsidP="00E13FD9">
            <w:pPr>
              <w:spacing w:before="40" w:after="40"/>
              <w:ind w:right="-79"/>
              <w:jc w:val="center"/>
              <w:rPr>
                <w:sz w:val="16"/>
                <w:szCs w:val="18"/>
              </w:rPr>
            </w:pPr>
            <w:r w:rsidRPr="00622F40">
              <w:rPr>
                <w:sz w:val="16"/>
                <w:szCs w:val="18"/>
              </w:rPr>
              <w:t>7,407</w:t>
            </w:r>
          </w:p>
        </w:tc>
        <w:tc>
          <w:tcPr>
            <w:tcW w:w="397" w:type="pct"/>
            <w:tcBorders>
              <w:top w:val="single" w:sz="4" w:space="0" w:color="auto"/>
              <w:left w:val="nil"/>
              <w:bottom w:val="single" w:sz="4" w:space="0" w:color="auto"/>
              <w:right w:val="single" w:sz="4" w:space="0" w:color="auto"/>
            </w:tcBorders>
            <w:shd w:val="clear" w:color="auto" w:fill="auto"/>
            <w:vAlign w:val="center"/>
          </w:tcPr>
          <w:p w14:paraId="7F6F357D" w14:textId="2B735E5F" w:rsidR="002970B6" w:rsidRPr="001C3915" w:rsidRDefault="002970B6" w:rsidP="00E13FD9">
            <w:pPr>
              <w:spacing w:before="40" w:after="40"/>
              <w:ind w:right="-79"/>
              <w:jc w:val="center"/>
              <w:rPr>
                <w:sz w:val="16"/>
                <w:szCs w:val="18"/>
              </w:rPr>
            </w:pPr>
            <w:r w:rsidRPr="00622F40">
              <w:rPr>
                <w:sz w:val="16"/>
                <w:szCs w:val="18"/>
              </w:rPr>
              <w:t>8,023</w:t>
            </w:r>
          </w:p>
        </w:tc>
      </w:tr>
      <w:tr w:rsidR="002970B6" w:rsidRPr="00155CA1" w14:paraId="2CC7B51F"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CF344" w14:textId="77777777" w:rsidR="002970B6" w:rsidRPr="00B75289" w:rsidRDefault="002970B6" w:rsidP="00E13FD9">
            <w:pPr>
              <w:spacing w:before="40" w:after="40"/>
              <w:jc w:val="center"/>
              <w:rPr>
                <w:rFonts w:cs="Arial"/>
                <w:sz w:val="16"/>
                <w:szCs w:val="16"/>
              </w:rPr>
            </w:pPr>
            <w:r w:rsidRPr="00B75289">
              <w:rPr>
                <w:rFonts w:cs="Arial"/>
                <w:sz w:val="16"/>
                <w:szCs w:val="16"/>
              </w:rPr>
              <w:t>Beer &amp; Malt</w:t>
            </w:r>
          </w:p>
        </w:tc>
        <w:tc>
          <w:tcPr>
            <w:tcW w:w="397" w:type="pct"/>
            <w:tcBorders>
              <w:top w:val="single" w:sz="4" w:space="0" w:color="auto"/>
              <w:left w:val="nil"/>
              <w:bottom w:val="single" w:sz="4" w:space="0" w:color="auto"/>
              <w:right w:val="single" w:sz="4" w:space="0" w:color="auto"/>
            </w:tcBorders>
            <w:shd w:val="clear" w:color="auto" w:fill="auto"/>
            <w:vAlign w:val="center"/>
          </w:tcPr>
          <w:p w14:paraId="692D5942" w14:textId="6144E780" w:rsidR="002970B6" w:rsidRPr="001C3915" w:rsidRDefault="002970B6" w:rsidP="00E13FD9">
            <w:pPr>
              <w:spacing w:before="40" w:after="40"/>
              <w:ind w:right="-79"/>
              <w:jc w:val="center"/>
              <w:rPr>
                <w:rFonts w:cs="Arial"/>
                <w:sz w:val="16"/>
                <w:szCs w:val="18"/>
              </w:rPr>
            </w:pPr>
            <w:r w:rsidRPr="00622F40">
              <w:rPr>
                <w:sz w:val="16"/>
                <w:szCs w:val="18"/>
              </w:rPr>
              <w:t>638,064</w:t>
            </w:r>
          </w:p>
        </w:tc>
        <w:tc>
          <w:tcPr>
            <w:tcW w:w="397" w:type="pct"/>
            <w:tcBorders>
              <w:top w:val="single" w:sz="4" w:space="0" w:color="auto"/>
              <w:left w:val="nil"/>
              <w:bottom w:val="single" w:sz="4" w:space="0" w:color="auto"/>
              <w:right w:val="single" w:sz="4" w:space="0" w:color="auto"/>
            </w:tcBorders>
            <w:shd w:val="clear" w:color="auto" w:fill="auto"/>
            <w:vAlign w:val="center"/>
          </w:tcPr>
          <w:p w14:paraId="0BC625DA" w14:textId="50516298" w:rsidR="002970B6" w:rsidRPr="001C3915" w:rsidRDefault="002970B6" w:rsidP="00E13FD9">
            <w:pPr>
              <w:spacing w:before="40" w:after="40"/>
              <w:ind w:right="-79"/>
              <w:jc w:val="center"/>
              <w:rPr>
                <w:rFonts w:cs="Arial"/>
                <w:sz w:val="16"/>
                <w:szCs w:val="18"/>
              </w:rPr>
            </w:pPr>
            <w:r w:rsidRPr="00622F40">
              <w:rPr>
                <w:sz w:val="16"/>
                <w:szCs w:val="18"/>
              </w:rPr>
              <w:t>598,498</w:t>
            </w:r>
          </w:p>
        </w:tc>
        <w:tc>
          <w:tcPr>
            <w:tcW w:w="397" w:type="pct"/>
            <w:tcBorders>
              <w:top w:val="single" w:sz="4" w:space="0" w:color="auto"/>
              <w:left w:val="nil"/>
              <w:bottom w:val="single" w:sz="4" w:space="0" w:color="auto"/>
              <w:right w:val="single" w:sz="4" w:space="0" w:color="auto"/>
            </w:tcBorders>
            <w:shd w:val="clear" w:color="auto" w:fill="auto"/>
            <w:vAlign w:val="center"/>
          </w:tcPr>
          <w:p w14:paraId="4BA6CCC0" w14:textId="0240B5FB" w:rsidR="002970B6" w:rsidRPr="001C3915" w:rsidRDefault="002970B6" w:rsidP="00E13FD9">
            <w:pPr>
              <w:spacing w:before="40" w:after="40"/>
              <w:ind w:right="-79"/>
              <w:jc w:val="center"/>
              <w:rPr>
                <w:sz w:val="16"/>
                <w:szCs w:val="18"/>
              </w:rPr>
            </w:pPr>
            <w:r w:rsidRPr="00622F40">
              <w:rPr>
                <w:sz w:val="16"/>
                <w:szCs w:val="18"/>
              </w:rPr>
              <w:t>592,531</w:t>
            </w:r>
          </w:p>
        </w:tc>
        <w:tc>
          <w:tcPr>
            <w:tcW w:w="397" w:type="pct"/>
            <w:tcBorders>
              <w:top w:val="single" w:sz="4" w:space="0" w:color="auto"/>
              <w:left w:val="nil"/>
              <w:bottom w:val="single" w:sz="4" w:space="0" w:color="auto"/>
              <w:right w:val="single" w:sz="4" w:space="0" w:color="auto"/>
            </w:tcBorders>
            <w:shd w:val="clear" w:color="auto" w:fill="auto"/>
            <w:vAlign w:val="center"/>
          </w:tcPr>
          <w:p w14:paraId="5909B033" w14:textId="0A8E28A2" w:rsidR="002970B6" w:rsidRPr="001C3915" w:rsidRDefault="002970B6" w:rsidP="00E13FD9">
            <w:pPr>
              <w:spacing w:before="40" w:after="40"/>
              <w:ind w:right="-79"/>
              <w:jc w:val="center"/>
              <w:rPr>
                <w:sz w:val="16"/>
                <w:szCs w:val="18"/>
              </w:rPr>
            </w:pPr>
            <w:r w:rsidRPr="00622F40">
              <w:rPr>
                <w:sz w:val="16"/>
                <w:szCs w:val="18"/>
              </w:rPr>
              <w:t>608,753</w:t>
            </w:r>
          </w:p>
        </w:tc>
        <w:tc>
          <w:tcPr>
            <w:tcW w:w="397" w:type="pct"/>
            <w:tcBorders>
              <w:top w:val="single" w:sz="4" w:space="0" w:color="auto"/>
              <w:left w:val="nil"/>
              <w:bottom w:val="single" w:sz="4" w:space="0" w:color="auto"/>
              <w:right w:val="single" w:sz="4" w:space="0" w:color="auto"/>
            </w:tcBorders>
            <w:shd w:val="clear" w:color="auto" w:fill="auto"/>
            <w:vAlign w:val="center"/>
          </w:tcPr>
          <w:p w14:paraId="63B9752F" w14:textId="08539705" w:rsidR="002970B6" w:rsidRPr="001C3915" w:rsidRDefault="002970B6" w:rsidP="00E13FD9">
            <w:pPr>
              <w:spacing w:before="40" w:after="40"/>
              <w:ind w:right="-79"/>
              <w:jc w:val="center"/>
              <w:rPr>
                <w:sz w:val="16"/>
                <w:szCs w:val="18"/>
              </w:rPr>
            </w:pPr>
            <w:r w:rsidRPr="00622F40">
              <w:rPr>
                <w:sz w:val="16"/>
                <w:szCs w:val="18"/>
              </w:rPr>
              <w:t>601,991</w:t>
            </w:r>
          </w:p>
        </w:tc>
        <w:tc>
          <w:tcPr>
            <w:tcW w:w="397" w:type="pct"/>
            <w:tcBorders>
              <w:top w:val="single" w:sz="4" w:space="0" w:color="auto"/>
              <w:left w:val="nil"/>
              <w:bottom w:val="single" w:sz="4" w:space="0" w:color="auto"/>
              <w:right w:val="single" w:sz="4" w:space="0" w:color="auto"/>
            </w:tcBorders>
            <w:shd w:val="clear" w:color="auto" w:fill="auto"/>
            <w:vAlign w:val="center"/>
          </w:tcPr>
          <w:p w14:paraId="5CD1720D" w14:textId="57B022DB" w:rsidR="002970B6" w:rsidRPr="001C3915" w:rsidRDefault="002970B6" w:rsidP="00E13FD9">
            <w:pPr>
              <w:spacing w:before="40" w:after="40"/>
              <w:ind w:right="-79"/>
              <w:jc w:val="center"/>
              <w:rPr>
                <w:sz w:val="16"/>
                <w:szCs w:val="18"/>
              </w:rPr>
            </w:pPr>
            <w:r w:rsidRPr="00622F40">
              <w:rPr>
                <w:sz w:val="16"/>
                <w:szCs w:val="18"/>
              </w:rPr>
              <w:t>614,067</w:t>
            </w:r>
          </w:p>
        </w:tc>
        <w:tc>
          <w:tcPr>
            <w:tcW w:w="397" w:type="pct"/>
            <w:tcBorders>
              <w:top w:val="single" w:sz="4" w:space="0" w:color="auto"/>
              <w:left w:val="nil"/>
              <w:bottom w:val="single" w:sz="4" w:space="0" w:color="auto"/>
              <w:right w:val="single" w:sz="4" w:space="0" w:color="auto"/>
            </w:tcBorders>
            <w:shd w:val="clear" w:color="auto" w:fill="auto"/>
            <w:vAlign w:val="center"/>
          </w:tcPr>
          <w:p w14:paraId="6A113EBA" w14:textId="02EC8A8C" w:rsidR="002970B6" w:rsidRPr="001C3915" w:rsidRDefault="002970B6" w:rsidP="00E13FD9">
            <w:pPr>
              <w:spacing w:before="40" w:after="40"/>
              <w:ind w:right="-79"/>
              <w:jc w:val="center"/>
              <w:rPr>
                <w:sz w:val="16"/>
                <w:szCs w:val="18"/>
              </w:rPr>
            </w:pPr>
            <w:r w:rsidRPr="00622F40">
              <w:rPr>
                <w:sz w:val="16"/>
                <w:szCs w:val="18"/>
              </w:rPr>
              <w:t>638,032</w:t>
            </w:r>
          </w:p>
        </w:tc>
        <w:tc>
          <w:tcPr>
            <w:tcW w:w="397" w:type="pct"/>
            <w:tcBorders>
              <w:top w:val="single" w:sz="4" w:space="0" w:color="auto"/>
              <w:left w:val="nil"/>
              <w:bottom w:val="single" w:sz="4" w:space="0" w:color="auto"/>
              <w:right w:val="single" w:sz="4" w:space="0" w:color="auto"/>
            </w:tcBorders>
            <w:shd w:val="clear" w:color="auto" w:fill="auto"/>
            <w:vAlign w:val="center"/>
          </w:tcPr>
          <w:p w14:paraId="32A055E4" w14:textId="57AD9CF8" w:rsidR="002970B6" w:rsidRPr="001C3915" w:rsidRDefault="002970B6" w:rsidP="00E13FD9">
            <w:pPr>
              <w:spacing w:before="40" w:after="40"/>
              <w:ind w:right="-79"/>
              <w:jc w:val="center"/>
              <w:rPr>
                <w:sz w:val="16"/>
                <w:szCs w:val="18"/>
              </w:rPr>
            </w:pPr>
            <w:r w:rsidRPr="00622F40">
              <w:rPr>
                <w:sz w:val="16"/>
                <w:szCs w:val="18"/>
              </w:rPr>
              <w:t>644,923</w:t>
            </w:r>
          </w:p>
        </w:tc>
        <w:tc>
          <w:tcPr>
            <w:tcW w:w="397" w:type="pct"/>
            <w:tcBorders>
              <w:top w:val="single" w:sz="4" w:space="0" w:color="auto"/>
              <w:left w:val="nil"/>
              <w:bottom w:val="single" w:sz="4" w:space="0" w:color="auto"/>
              <w:right w:val="single" w:sz="4" w:space="0" w:color="auto"/>
            </w:tcBorders>
            <w:shd w:val="clear" w:color="auto" w:fill="auto"/>
            <w:vAlign w:val="center"/>
          </w:tcPr>
          <w:p w14:paraId="4C0BCA05" w14:textId="538DAFDD" w:rsidR="002970B6" w:rsidRPr="001C3915" w:rsidRDefault="002970B6" w:rsidP="00E13FD9">
            <w:pPr>
              <w:spacing w:before="40" w:after="40"/>
              <w:ind w:right="-79"/>
              <w:jc w:val="center"/>
              <w:rPr>
                <w:sz w:val="16"/>
                <w:szCs w:val="18"/>
              </w:rPr>
            </w:pPr>
            <w:r w:rsidRPr="00622F40">
              <w:rPr>
                <w:sz w:val="16"/>
                <w:szCs w:val="18"/>
              </w:rPr>
              <w:t>604,721</w:t>
            </w:r>
          </w:p>
        </w:tc>
        <w:tc>
          <w:tcPr>
            <w:tcW w:w="397" w:type="pct"/>
            <w:tcBorders>
              <w:top w:val="single" w:sz="4" w:space="0" w:color="auto"/>
              <w:left w:val="nil"/>
              <w:bottom w:val="single" w:sz="4" w:space="0" w:color="auto"/>
              <w:right w:val="single" w:sz="4" w:space="0" w:color="auto"/>
            </w:tcBorders>
            <w:shd w:val="clear" w:color="auto" w:fill="auto"/>
            <w:vAlign w:val="center"/>
          </w:tcPr>
          <w:p w14:paraId="7B51F283" w14:textId="11768E47" w:rsidR="002970B6" w:rsidRPr="001C3915" w:rsidRDefault="002970B6" w:rsidP="00E13FD9">
            <w:pPr>
              <w:spacing w:before="40" w:after="40"/>
              <w:ind w:right="-79"/>
              <w:jc w:val="center"/>
              <w:rPr>
                <w:sz w:val="16"/>
                <w:szCs w:val="18"/>
              </w:rPr>
            </w:pPr>
            <w:r w:rsidRPr="00622F40">
              <w:rPr>
                <w:sz w:val="16"/>
                <w:szCs w:val="18"/>
              </w:rPr>
              <w:t>625,788</w:t>
            </w:r>
          </w:p>
        </w:tc>
        <w:tc>
          <w:tcPr>
            <w:tcW w:w="397" w:type="pct"/>
            <w:tcBorders>
              <w:top w:val="single" w:sz="4" w:space="0" w:color="auto"/>
              <w:left w:val="nil"/>
              <w:bottom w:val="single" w:sz="4" w:space="0" w:color="auto"/>
              <w:right w:val="single" w:sz="4" w:space="0" w:color="auto"/>
            </w:tcBorders>
            <w:shd w:val="clear" w:color="auto" w:fill="auto"/>
            <w:vAlign w:val="center"/>
          </w:tcPr>
          <w:p w14:paraId="11D17D7C" w14:textId="17F446EA" w:rsidR="002970B6" w:rsidRPr="001C3915" w:rsidRDefault="002970B6" w:rsidP="00E13FD9">
            <w:pPr>
              <w:spacing w:before="40" w:after="40"/>
              <w:ind w:right="-79"/>
              <w:jc w:val="center"/>
              <w:rPr>
                <w:sz w:val="16"/>
                <w:szCs w:val="18"/>
              </w:rPr>
            </w:pPr>
            <w:r w:rsidRPr="00622F40">
              <w:rPr>
                <w:sz w:val="16"/>
                <w:szCs w:val="18"/>
              </w:rPr>
              <w:t>641,116</w:t>
            </w:r>
          </w:p>
        </w:tc>
      </w:tr>
      <w:tr w:rsidR="002970B6" w:rsidRPr="00155CA1" w14:paraId="0828140E"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C2D26" w14:textId="77777777" w:rsidR="002970B6" w:rsidRPr="00B75289" w:rsidRDefault="002970B6" w:rsidP="00E13FD9">
            <w:pPr>
              <w:spacing w:before="40" w:after="40"/>
              <w:jc w:val="center"/>
              <w:rPr>
                <w:rFonts w:cs="Arial"/>
                <w:sz w:val="16"/>
                <w:szCs w:val="16"/>
              </w:rPr>
            </w:pPr>
            <w:r w:rsidRPr="00B75289">
              <w:rPr>
                <w:rFonts w:cs="Arial"/>
                <w:sz w:val="16"/>
                <w:szCs w:val="16"/>
              </w:rPr>
              <w:t>Dairy Products</w:t>
            </w:r>
          </w:p>
        </w:tc>
        <w:tc>
          <w:tcPr>
            <w:tcW w:w="397" w:type="pct"/>
            <w:tcBorders>
              <w:top w:val="single" w:sz="4" w:space="0" w:color="auto"/>
              <w:left w:val="nil"/>
              <w:bottom w:val="single" w:sz="4" w:space="0" w:color="auto"/>
              <w:right w:val="single" w:sz="4" w:space="0" w:color="auto"/>
            </w:tcBorders>
            <w:shd w:val="clear" w:color="auto" w:fill="auto"/>
            <w:vAlign w:val="center"/>
          </w:tcPr>
          <w:p w14:paraId="2ADCB7D7" w14:textId="74AE3DD6" w:rsidR="002970B6" w:rsidRPr="001C3915" w:rsidRDefault="002970B6" w:rsidP="00E13FD9">
            <w:pPr>
              <w:spacing w:before="40" w:after="40"/>
              <w:ind w:right="-79"/>
              <w:jc w:val="center"/>
              <w:rPr>
                <w:rFonts w:cs="Arial"/>
                <w:sz w:val="16"/>
                <w:szCs w:val="18"/>
              </w:rPr>
            </w:pPr>
            <w:r w:rsidRPr="00622F40">
              <w:rPr>
                <w:sz w:val="16"/>
                <w:szCs w:val="18"/>
              </w:rPr>
              <w:t>483,587</w:t>
            </w:r>
          </w:p>
        </w:tc>
        <w:tc>
          <w:tcPr>
            <w:tcW w:w="397" w:type="pct"/>
            <w:tcBorders>
              <w:top w:val="single" w:sz="4" w:space="0" w:color="auto"/>
              <w:left w:val="nil"/>
              <w:bottom w:val="single" w:sz="4" w:space="0" w:color="auto"/>
              <w:right w:val="single" w:sz="4" w:space="0" w:color="auto"/>
            </w:tcBorders>
            <w:shd w:val="clear" w:color="auto" w:fill="auto"/>
            <w:vAlign w:val="center"/>
          </w:tcPr>
          <w:p w14:paraId="70856CF3" w14:textId="69EDD5B3" w:rsidR="002970B6" w:rsidRPr="001C3915" w:rsidRDefault="002970B6" w:rsidP="00E13FD9">
            <w:pPr>
              <w:spacing w:before="40" w:after="40"/>
              <w:ind w:right="-79"/>
              <w:jc w:val="center"/>
              <w:rPr>
                <w:rFonts w:cs="Arial"/>
                <w:sz w:val="16"/>
                <w:szCs w:val="18"/>
              </w:rPr>
            </w:pPr>
            <w:r w:rsidRPr="00622F40">
              <w:rPr>
                <w:sz w:val="16"/>
                <w:szCs w:val="18"/>
              </w:rPr>
              <w:t>455,513</w:t>
            </w:r>
          </w:p>
        </w:tc>
        <w:tc>
          <w:tcPr>
            <w:tcW w:w="397" w:type="pct"/>
            <w:tcBorders>
              <w:top w:val="single" w:sz="4" w:space="0" w:color="auto"/>
              <w:left w:val="nil"/>
              <w:bottom w:val="single" w:sz="4" w:space="0" w:color="auto"/>
              <w:right w:val="single" w:sz="4" w:space="0" w:color="auto"/>
            </w:tcBorders>
            <w:shd w:val="clear" w:color="auto" w:fill="auto"/>
            <w:vAlign w:val="center"/>
          </w:tcPr>
          <w:p w14:paraId="49B188CF" w14:textId="0B7B5409" w:rsidR="002970B6" w:rsidRPr="001C3915" w:rsidRDefault="002970B6" w:rsidP="00E13FD9">
            <w:pPr>
              <w:spacing w:before="40" w:after="40"/>
              <w:ind w:right="-79"/>
              <w:jc w:val="center"/>
              <w:rPr>
                <w:sz w:val="16"/>
                <w:szCs w:val="18"/>
              </w:rPr>
            </w:pPr>
            <w:r w:rsidRPr="00622F40">
              <w:rPr>
                <w:sz w:val="16"/>
                <w:szCs w:val="18"/>
              </w:rPr>
              <w:t>452,803</w:t>
            </w:r>
          </w:p>
        </w:tc>
        <w:tc>
          <w:tcPr>
            <w:tcW w:w="397" w:type="pct"/>
            <w:tcBorders>
              <w:top w:val="single" w:sz="4" w:space="0" w:color="auto"/>
              <w:left w:val="nil"/>
              <w:bottom w:val="single" w:sz="4" w:space="0" w:color="auto"/>
              <w:right w:val="single" w:sz="4" w:space="0" w:color="auto"/>
            </w:tcBorders>
            <w:shd w:val="clear" w:color="auto" w:fill="auto"/>
            <w:vAlign w:val="center"/>
          </w:tcPr>
          <w:p w14:paraId="3ADA41A5" w14:textId="43BF0BB8" w:rsidR="002970B6" w:rsidRPr="001C3915" w:rsidRDefault="002970B6" w:rsidP="00E13FD9">
            <w:pPr>
              <w:spacing w:before="40" w:after="40"/>
              <w:ind w:right="-79"/>
              <w:jc w:val="center"/>
              <w:rPr>
                <w:sz w:val="16"/>
                <w:szCs w:val="18"/>
              </w:rPr>
            </w:pPr>
            <w:r w:rsidRPr="00622F40">
              <w:rPr>
                <w:sz w:val="16"/>
                <w:szCs w:val="18"/>
              </w:rPr>
              <w:t>431,845</w:t>
            </w:r>
          </w:p>
        </w:tc>
        <w:tc>
          <w:tcPr>
            <w:tcW w:w="397" w:type="pct"/>
            <w:tcBorders>
              <w:top w:val="single" w:sz="4" w:space="0" w:color="auto"/>
              <w:left w:val="nil"/>
              <w:bottom w:val="single" w:sz="4" w:space="0" w:color="auto"/>
              <w:right w:val="single" w:sz="4" w:space="0" w:color="auto"/>
            </w:tcBorders>
            <w:shd w:val="clear" w:color="auto" w:fill="auto"/>
            <w:vAlign w:val="center"/>
          </w:tcPr>
          <w:p w14:paraId="6215259D" w14:textId="6B80F8C9" w:rsidR="002970B6" w:rsidRPr="001C3915" w:rsidRDefault="002970B6" w:rsidP="00E13FD9">
            <w:pPr>
              <w:spacing w:before="40" w:after="40"/>
              <w:ind w:right="-79"/>
              <w:jc w:val="center"/>
              <w:rPr>
                <w:sz w:val="16"/>
                <w:szCs w:val="18"/>
              </w:rPr>
            </w:pPr>
            <w:r w:rsidRPr="00622F40">
              <w:rPr>
                <w:sz w:val="16"/>
                <w:szCs w:val="18"/>
              </w:rPr>
              <w:t>449,121</w:t>
            </w:r>
          </w:p>
        </w:tc>
        <w:tc>
          <w:tcPr>
            <w:tcW w:w="397" w:type="pct"/>
            <w:tcBorders>
              <w:top w:val="single" w:sz="4" w:space="0" w:color="auto"/>
              <w:left w:val="nil"/>
              <w:bottom w:val="single" w:sz="4" w:space="0" w:color="auto"/>
              <w:right w:val="single" w:sz="4" w:space="0" w:color="auto"/>
            </w:tcBorders>
            <w:shd w:val="clear" w:color="auto" w:fill="auto"/>
            <w:vAlign w:val="center"/>
          </w:tcPr>
          <w:p w14:paraId="6050ED99" w14:textId="04C05965" w:rsidR="002970B6" w:rsidRPr="001C3915" w:rsidRDefault="002970B6" w:rsidP="00E13FD9">
            <w:pPr>
              <w:spacing w:before="40" w:after="40"/>
              <w:ind w:right="-79"/>
              <w:jc w:val="center"/>
              <w:rPr>
                <w:sz w:val="16"/>
                <w:szCs w:val="18"/>
              </w:rPr>
            </w:pPr>
            <w:r w:rsidRPr="00622F40">
              <w:rPr>
                <w:sz w:val="16"/>
                <w:szCs w:val="18"/>
              </w:rPr>
              <w:t>455,275</w:t>
            </w:r>
          </w:p>
        </w:tc>
        <w:tc>
          <w:tcPr>
            <w:tcW w:w="397" w:type="pct"/>
            <w:tcBorders>
              <w:top w:val="single" w:sz="4" w:space="0" w:color="auto"/>
              <w:left w:val="nil"/>
              <w:bottom w:val="single" w:sz="4" w:space="0" w:color="auto"/>
              <w:right w:val="single" w:sz="4" w:space="0" w:color="auto"/>
            </w:tcBorders>
            <w:shd w:val="clear" w:color="auto" w:fill="auto"/>
            <w:vAlign w:val="center"/>
          </w:tcPr>
          <w:p w14:paraId="1BB7E033" w14:textId="3B107263" w:rsidR="002970B6" w:rsidRPr="001C3915" w:rsidRDefault="002970B6" w:rsidP="00E13FD9">
            <w:pPr>
              <w:spacing w:before="40" w:after="40"/>
              <w:ind w:right="-79"/>
              <w:jc w:val="center"/>
              <w:rPr>
                <w:sz w:val="16"/>
                <w:szCs w:val="18"/>
              </w:rPr>
            </w:pPr>
            <w:r w:rsidRPr="00622F40">
              <w:rPr>
                <w:sz w:val="16"/>
                <w:szCs w:val="18"/>
              </w:rPr>
              <w:t>405,956</w:t>
            </w:r>
          </w:p>
        </w:tc>
        <w:tc>
          <w:tcPr>
            <w:tcW w:w="397" w:type="pct"/>
            <w:tcBorders>
              <w:top w:val="single" w:sz="4" w:space="0" w:color="auto"/>
              <w:left w:val="nil"/>
              <w:bottom w:val="single" w:sz="4" w:space="0" w:color="auto"/>
              <w:right w:val="single" w:sz="4" w:space="0" w:color="auto"/>
            </w:tcBorders>
            <w:shd w:val="clear" w:color="auto" w:fill="auto"/>
            <w:vAlign w:val="center"/>
          </w:tcPr>
          <w:p w14:paraId="7820C14B" w14:textId="20FD3462" w:rsidR="002970B6" w:rsidRPr="001C3915" w:rsidRDefault="002970B6" w:rsidP="00E13FD9">
            <w:pPr>
              <w:spacing w:before="40" w:after="40"/>
              <w:ind w:right="-79"/>
              <w:jc w:val="center"/>
              <w:rPr>
                <w:sz w:val="16"/>
                <w:szCs w:val="18"/>
              </w:rPr>
            </w:pPr>
            <w:r w:rsidRPr="00622F40">
              <w:rPr>
                <w:sz w:val="16"/>
                <w:szCs w:val="18"/>
              </w:rPr>
              <w:t>316,568</w:t>
            </w:r>
          </w:p>
        </w:tc>
        <w:tc>
          <w:tcPr>
            <w:tcW w:w="397" w:type="pct"/>
            <w:tcBorders>
              <w:top w:val="single" w:sz="4" w:space="0" w:color="auto"/>
              <w:left w:val="nil"/>
              <w:bottom w:val="single" w:sz="4" w:space="0" w:color="auto"/>
              <w:right w:val="single" w:sz="4" w:space="0" w:color="auto"/>
            </w:tcBorders>
            <w:shd w:val="clear" w:color="auto" w:fill="auto"/>
            <w:vAlign w:val="center"/>
          </w:tcPr>
          <w:p w14:paraId="1BA44000" w14:textId="28DDB0CF" w:rsidR="002970B6" w:rsidRPr="001C3915" w:rsidRDefault="002970B6" w:rsidP="00E13FD9">
            <w:pPr>
              <w:spacing w:before="40" w:after="40"/>
              <w:ind w:right="-79"/>
              <w:jc w:val="center"/>
              <w:rPr>
                <w:sz w:val="16"/>
                <w:szCs w:val="18"/>
              </w:rPr>
            </w:pPr>
            <w:r w:rsidRPr="00622F40">
              <w:rPr>
                <w:sz w:val="16"/>
                <w:szCs w:val="18"/>
              </w:rPr>
              <w:t>447,211</w:t>
            </w:r>
          </w:p>
        </w:tc>
        <w:tc>
          <w:tcPr>
            <w:tcW w:w="397" w:type="pct"/>
            <w:tcBorders>
              <w:top w:val="single" w:sz="4" w:space="0" w:color="auto"/>
              <w:left w:val="nil"/>
              <w:bottom w:val="single" w:sz="4" w:space="0" w:color="auto"/>
              <w:right w:val="single" w:sz="4" w:space="0" w:color="auto"/>
            </w:tcBorders>
            <w:shd w:val="clear" w:color="auto" w:fill="auto"/>
            <w:vAlign w:val="center"/>
          </w:tcPr>
          <w:p w14:paraId="07380D41" w14:textId="0BA090B2" w:rsidR="002970B6" w:rsidRPr="001C3915" w:rsidRDefault="002970B6" w:rsidP="00E13FD9">
            <w:pPr>
              <w:spacing w:before="40" w:after="40"/>
              <w:ind w:right="-79"/>
              <w:jc w:val="center"/>
              <w:rPr>
                <w:sz w:val="16"/>
                <w:szCs w:val="18"/>
              </w:rPr>
            </w:pPr>
            <w:r w:rsidRPr="00622F40">
              <w:rPr>
                <w:sz w:val="16"/>
                <w:szCs w:val="18"/>
              </w:rPr>
              <w:t>406,679</w:t>
            </w:r>
          </w:p>
        </w:tc>
        <w:tc>
          <w:tcPr>
            <w:tcW w:w="397" w:type="pct"/>
            <w:tcBorders>
              <w:top w:val="single" w:sz="4" w:space="0" w:color="auto"/>
              <w:left w:val="nil"/>
              <w:bottom w:val="single" w:sz="4" w:space="0" w:color="auto"/>
              <w:right w:val="single" w:sz="4" w:space="0" w:color="auto"/>
            </w:tcBorders>
            <w:shd w:val="clear" w:color="auto" w:fill="auto"/>
            <w:vAlign w:val="center"/>
          </w:tcPr>
          <w:p w14:paraId="0C613482" w14:textId="6C65C239" w:rsidR="002970B6" w:rsidRPr="001C3915" w:rsidRDefault="002970B6" w:rsidP="00E13FD9">
            <w:pPr>
              <w:spacing w:before="40" w:after="40"/>
              <w:ind w:right="-79"/>
              <w:jc w:val="center"/>
              <w:rPr>
                <w:sz w:val="16"/>
                <w:szCs w:val="18"/>
              </w:rPr>
            </w:pPr>
            <w:r w:rsidRPr="00622F40">
              <w:rPr>
                <w:sz w:val="16"/>
                <w:szCs w:val="18"/>
              </w:rPr>
              <w:t>521,805</w:t>
            </w:r>
          </w:p>
        </w:tc>
      </w:tr>
      <w:tr w:rsidR="002970B6" w:rsidRPr="00155CA1" w14:paraId="27AEF64B"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9612BD" w14:textId="77777777" w:rsidR="002970B6" w:rsidRPr="00B75289" w:rsidRDefault="002970B6" w:rsidP="00E13FD9">
            <w:pPr>
              <w:spacing w:before="40" w:after="40"/>
              <w:jc w:val="center"/>
              <w:rPr>
                <w:rFonts w:cs="Arial"/>
                <w:sz w:val="16"/>
                <w:szCs w:val="16"/>
              </w:rPr>
            </w:pPr>
            <w:r w:rsidRPr="00B75289">
              <w:rPr>
                <w:rFonts w:cs="Arial"/>
                <w:sz w:val="16"/>
                <w:szCs w:val="16"/>
              </w:rPr>
              <w:t>Fish Processing</w:t>
            </w:r>
          </w:p>
        </w:tc>
        <w:tc>
          <w:tcPr>
            <w:tcW w:w="397" w:type="pct"/>
            <w:tcBorders>
              <w:top w:val="single" w:sz="4" w:space="0" w:color="auto"/>
              <w:left w:val="nil"/>
              <w:bottom w:val="single" w:sz="4" w:space="0" w:color="auto"/>
              <w:right w:val="single" w:sz="4" w:space="0" w:color="auto"/>
            </w:tcBorders>
            <w:shd w:val="clear" w:color="auto" w:fill="auto"/>
            <w:vAlign w:val="center"/>
          </w:tcPr>
          <w:p w14:paraId="0C59923D" w14:textId="5B1CDF86" w:rsidR="002970B6" w:rsidRPr="001C3915" w:rsidRDefault="002970B6" w:rsidP="00E13FD9">
            <w:pPr>
              <w:spacing w:before="40" w:after="40"/>
              <w:ind w:right="-79"/>
              <w:jc w:val="center"/>
              <w:rPr>
                <w:rFonts w:cs="Arial"/>
                <w:sz w:val="16"/>
                <w:szCs w:val="18"/>
              </w:rPr>
            </w:pPr>
            <w:r w:rsidRPr="00622F40">
              <w:rPr>
                <w:sz w:val="16"/>
                <w:szCs w:val="18"/>
              </w:rPr>
              <w:t>239</w:t>
            </w:r>
          </w:p>
        </w:tc>
        <w:tc>
          <w:tcPr>
            <w:tcW w:w="397" w:type="pct"/>
            <w:tcBorders>
              <w:top w:val="single" w:sz="4" w:space="0" w:color="auto"/>
              <w:left w:val="nil"/>
              <w:bottom w:val="single" w:sz="4" w:space="0" w:color="auto"/>
              <w:right w:val="single" w:sz="4" w:space="0" w:color="auto"/>
            </w:tcBorders>
            <w:shd w:val="clear" w:color="auto" w:fill="auto"/>
            <w:vAlign w:val="center"/>
          </w:tcPr>
          <w:p w14:paraId="634BDCC4" w14:textId="1493EEAC" w:rsidR="002970B6" w:rsidRPr="001C3915" w:rsidRDefault="002970B6" w:rsidP="00E13FD9">
            <w:pPr>
              <w:spacing w:before="40" w:after="40"/>
              <w:ind w:right="-79"/>
              <w:jc w:val="center"/>
              <w:rPr>
                <w:rFonts w:cs="Arial"/>
                <w:sz w:val="16"/>
                <w:szCs w:val="18"/>
              </w:rPr>
            </w:pPr>
            <w:r w:rsidRPr="00622F40">
              <w:rPr>
                <w:sz w:val="16"/>
                <w:szCs w:val="18"/>
              </w:rPr>
              <w:t>200</w:t>
            </w:r>
          </w:p>
        </w:tc>
        <w:tc>
          <w:tcPr>
            <w:tcW w:w="397" w:type="pct"/>
            <w:tcBorders>
              <w:top w:val="single" w:sz="4" w:space="0" w:color="auto"/>
              <w:left w:val="nil"/>
              <w:bottom w:val="single" w:sz="4" w:space="0" w:color="auto"/>
              <w:right w:val="single" w:sz="4" w:space="0" w:color="auto"/>
            </w:tcBorders>
            <w:shd w:val="clear" w:color="auto" w:fill="auto"/>
            <w:vAlign w:val="center"/>
          </w:tcPr>
          <w:p w14:paraId="7061244A" w14:textId="2136A86F" w:rsidR="002970B6" w:rsidRPr="001C3915" w:rsidRDefault="002970B6" w:rsidP="00E13FD9">
            <w:pPr>
              <w:spacing w:before="40" w:after="40"/>
              <w:ind w:right="-79"/>
              <w:jc w:val="center"/>
              <w:rPr>
                <w:sz w:val="16"/>
                <w:szCs w:val="18"/>
              </w:rPr>
            </w:pPr>
            <w:r w:rsidRPr="00622F40">
              <w:rPr>
                <w:sz w:val="16"/>
                <w:szCs w:val="18"/>
              </w:rPr>
              <w:t>192</w:t>
            </w:r>
          </w:p>
        </w:tc>
        <w:tc>
          <w:tcPr>
            <w:tcW w:w="397" w:type="pct"/>
            <w:tcBorders>
              <w:top w:val="single" w:sz="4" w:space="0" w:color="auto"/>
              <w:left w:val="nil"/>
              <w:bottom w:val="single" w:sz="4" w:space="0" w:color="auto"/>
              <w:right w:val="single" w:sz="4" w:space="0" w:color="auto"/>
            </w:tcBorders>
            <w:shd w:val="clear" w:color="auto" w:fill="auto"/>
            <w:vAlign w:val="center"/>
          </w:tcPr>
          <w:p w14:paraId="59BA29F6" w14:textId="1985238E" w:rsidR="002970B6" w:rsidRPr="001C3915" w:rsidRDefault="002970B6" w:rsidP="00E13FD9">
            <w:pPr>
              <w:spacing w:before="40" w:after="40"/>
              <w:ind w:right="-79"/>
              <w:jc w:val="center"/>
              <w:rPr>
                <w:sz w:val="16"/>
                <w:szCs w:val="18"/>
              </w:rPr>
            </w:pPr>
            <w:r w:rsidRPr="00622F40">
              <w:rPr>
                <w:sz w:val="16"/>
                <w:szCs w:val="18"/>
              </w:rPr>
              <w:t>194</w:t>
            </w:r>
          </w:p>
        </w:tc>
        <w:tc>
          <w:tcPr>
            <w:tcW w:w="397" w:type="pct"/>
            <w:tcBorders>
              <w:top w:val="single" w:sz="4" w:space="0" w:color="auto"/>
              <w:left w:val="nil"/>
              <w:bottom w:val="single" w:sz="4" w:space="0" w:color="auto"/>
              <w:right w:val="single" w:sz="4" w:space="0" w:color="auto"/>
            </w:tcBorders>
            <w:shd w:val="clear" w:color="auto" w:fill="auto"/>
            <w:vAlign w:val="center"/>
          </w:tcPr>
          <w:p w14:paraId="55E89E9A" w14:textId="75A98338" w:rsidR="002970B6" w:rsidRPr="001C3915" w:rsidRDefault="002970B6" w:rsidP="00E13FD9">
            <w:pPr>
              <w:spacing w:before="40" w:after="40"/>
              <w:ind w:right="-79"/>
              <w:jc w:val="center"/>
              <w:rPr>
                <w:sz w:val="16"/>
                <w:szCs w:val="18"/>
              </w:rPr>
            </w:pPr>
            <w:r w:rsidRPr="00622F40">
              <w:rPr>
                <w:sz w:val="16"/>
                <w:szCs w:val="18"/>
              </w:rPr>
              <w:t>50</w:t>
            </w:r>
          </w:p>
        </w:tc>
        <w:tc>
          <w:tcPr>
            <w:tcW w:w="397" w:type="pct"/>
            <w:tcBorders>
              <w:top w:val="single" w:sz="4" w:space="0" w:color="auto"/>
              <w:left w:val="nil"/>
              <w:bottom w:val="single" w:sz="4" w:space="0" w:color="auto"/>
              <w:right w:val="single" w:sz="4" w:space="0" w:color="auto"/>
            </w:tcBorders>
            <w:shd w:val="clear" w:color="auto" w:fill="auto"/>
            <w:vAlign w:val="center"/>
          </w:tcPr>
          <w:p w14:paraId="58196AC9" w14:textId="62B3856F" w:rsidR="002970B6" w:rsidRPr="001C3915" w:rsidRDefault="002970B6" w:rsidP="00E13FD9">
            <w:pPr>
              <w:spacing w:before="40" w:after="40"/>
              <w:ind w:right="-79"/>
              <w:jc w:val="center"/>
              <w:rPr>
                <w:sz w:val="16"/>
                <w:szCs w:val="18"/>
              </w:rPr>
            </w:pPr>
            <w:r w:rsidRPr="00622F40">
              <w:rPr>
                <w:sz w:val="16"/>
                <w:szCs w:val="18"/>
              </w:rPr>
              <w:t>101</w:t>
            </w:r>
          </w:p>
        </w:tc>
        <w:tc>
          <w:tcPr>
            <w:tcW w:w="397" w:type="pct"/>
            <w:tcBorders>
              <w:top w:val="single" w:sz="4" w:space="0" w:color="auto"/>
              <w:left w:val="nil"/>
              <w:bottom w:val="single" w:sz="4" w:space="0" w:color="auto"/>
              <w:right w:val="single" w:sz="4" w:space="0" w:color="auto"/>
            </w:tcBorders>
            <w:shd w:val="clear" w:color="auto" w:fill="auto"/>
            <w:vAlign w:val="center"/>
          </w:tcPr>
          <w:p w14:paraId="62228FFD" w14:textId="1A4136D2" w:rsidR="002970B6" w:rsidRPr="001C3915" w:rsidRDefault="002970B6" w:rsidP="00E13FD9">
            <w:pPr>
              <w:spacing w:before="40" w:after="40"/>
              <w:ind w:right="-79"/>
              <w:jc w:val="center"/>
              <w:rPr>
                <w:sz w:val="16"/>
                <w:szCs w:val="18"/>
              </w:rPr>
            </w:pPr>
            <w:r w:rsidRPr="00622F40">
              <w:rPr>
                <w:sz w:val="16"/>
                <w:szCs w:val="18"/>
              </w:rPr>
              <w:t>1</w:t>
            </w:r>
          </w:p>
        </w:tc>
        <w:tc>
          <w:tcPr>
            <w:tcW w:w="397" w:type="pct"/>
            <w:tcBorders>
              <w:top w:val="single" w:sz="4" w:space="0" w:color="auto"/>
              <w:left w:val="nil"/>
              <w:bottom w:val="single" w:sz="4" w:space="0" w:color="auto"/>
              <w:right w:val="single" w:sz="4" w:space="0" w:color="auto"/>
            </w:tcBorders>
            <w:shd w:val="clear" w:color="auto" w:fill="auto"/>
            <w:vAlign w:val="center"/>
          </w:tcPr>
          <w:p w14:paraId="62FAB71F" w14:textId="16DC9C88" w:rsidR="002970B6" w:rsidRPr="001C3915" w:rsidRDefault="002970B6" w:rsidP="00E13FD9">
            <w:pPr>
              <w:spacing w:before="40" w:after="40"/>
              <w:ind w:right="-79"/>
              <w:jc w:val="center"/>
              <w:rPr>
                <w:sz w:val="16"/>
                <w:szCs w:val="18"/>
              </w:rPr>
            </w:pPr>
            <w:r w:rsidRPr="00622F40">
              <w:rPr>
                <w:sz w:val="16"/>
                <w:szCs w:val="18"/>
              </w:rPr>
              <w:t>2</w:t>
            </w:r>
          </w:p>
        </w:tc>
        <w:tc>
          <w:tcPr>
            <w:tcW w:w="397" w:type="pct"/>
            <w:tcBorders>
              <w:top w:val="single" w:sz="4" w:space="0" w:color="auto"/>
              <w:left w:val="nil"/>
              <w:bottom w:val="single" w:sz="4" w:space="0" w:color="auto"/>
              <w:right w:val="single" w:sz="4" w:space="0" w:color="auto"/>
            </w:tcBorders>
            <w:shd w:val="clear" w:color="auto" w:fill="auto"/>
            <w:vAlign w:val="center"/>
          </w:tcPr>
          <w:p w14:paraId="475014C6" w14:textId="152BB42C" w:rsidR="002970B6" w:rsidRPr="001C3915" w:rsidRDefault="002970B6" w:rsidP="00E13FD9">
            <w:pPr>
              <w:spacing w:before="40" w:after="40"/>
              <w:ind w:right="-79"/>
              <w:jc w:val="center"/>
              <w:rPr>
                <w:sz w:val="16"/>
                <w:szCs w:val="18"/>
              </w:rPr>
            </w:pPr>
            <w:r w:rsidRPr="00622F40">
              <w:rPr>
                <w:sz w:val="16"/>
                <w:szCs w:val="18"/>
              </w:rPr>
              <w:t>6</w:t>
            </w:r>
          </w:p>
        </w:tc>
        <w:tc>
          <w:tcPr>
            <w:tcW w:w="397" w:type="pct"/>
            <w:tcBorders>
              <w:top w:val="single" w:sz="4" w:space="0" w:color="auto"/>
              <w:left w:val="nil"/>
              <w:bottom w:val="single" w:sz="4" w:space="0" w:color="auto"/>
              <w:right w:val="single" w:sz="4" w:space="0" w:color="auto"/>
            </w:tcBorders>
            <w:shd w:val="clear" w:color="auto" w:fill="auto"/>
            <w:vAlign w:val="center"/>
          </w:tcPr>
          <w:p w14:paraId="6639DB13" w14:textId="0125E920" w:rsidR="002970B6" w:rsidRPr="001C3915" w:rsidRDefault="002970B6" w:rsidP="00E13FD9">
            <w:pPr>
              <w:spacing w:before="40" w:after="40"/>
              <w:ind w:right="-79"/>
              <w:jc w:val="center"/>
              <w:rPr>
                <w:sz w:val="16"/>
                <w:szCs w:val="18"/>
              </w:rPr>
            </w:pPr>
            <w:r w:rsidRPr="00622F40">
              <w:rPr>
                <w:sz w:val="16"/>
                <w:szCs w:val="18"/>
              </w:rPr>
              <w:t>194</w:t>
            </w:r>
          </w:p>
        </w:tc>
        <w:tc>
          <w:tcPr>
            <w:tcW w:w="397" w:type="pct"/>
            <w:tcBorders>
              <w:top w:val="single" w:sz="4" w:space="0" w:color="auto"/>
              <w:left w:val="nil"/>
              <w:bottom w:val="single" w:sz="4" w:space="0" w:color="auto"/>
              <w:right w:val="single" w:sz="4" w:space="0" w:color="auto"/>
            </w:tcBorders>
            <w:shd w:val="clear" w:color="auto" w:fill="auto"/>
            <w:vAlign w:val="center"/>
          </w:tcPr>
          <w:p w14:paraId="54965E5D" w14:textId="42A49B6A" w:rsidR="002970B6" w:rsidRPr="001C3915" w:rsidRDefault="002970B6" w:rsidP="00E13FD9">
            <w:pPr>
              <w:spacing w:before="40" w:after="40"/>
              <w:ind w:right="-79"/>
              <w:jc w:val="center"/>
              <w:rPr>
                <w:sz w:val="16"/>
                <w:szCs w:val="18"/>
              </w:rPr>
            </w:pPr>
            <w:r w:rsidRPr="00622F40">
              <w:rPr>
                <w:sz w:val="16"/>
                <w:szCs w:val="18"/>
              </w:rPr>
              <w:t>6</w:t>
            </w:r>
          </w:p>
        </w:tc>
      </w:tr>
      <w:tr w:rsidR="002970B6" w:rsidRPr="00155CA1" w14:paraId="4FBE017A"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2B7349" w14:textId="77777777" w:rsidR="002970B6" w:rsidRPr="00B75289" w:rsidRDefault="002970B6" w:rsidP="00E13FD9">
            <w:pPr>
              <w:spacing w:before="40" w:after="40"/>
              <w:jc w:val="center"/>
              <w:rPr>
                <w:rFonts w:cs="Arial"/>
                <w:sz w:val="16"/>
                <w:szCs w:val="16"/>
              </w:rPr>
            </w:pPr>
            <w:r w:rsidRPr="00B75289">
              <w:rPr>
                <w:rFonts w:cs="Arial"/>
                <w:sz w:val="16"/>
                <w:szCs w:val="16"/>
              </w:rPr>
              <w:t>Meat &amp; Poultry</w:t>
            </w:r>
          </w:p>
        </w:tc>
        <w:tc>
          <w:tcPr>
            <w:tcW w:w="397" w:type="pct"/>
            <w:tcBorders>
              <w:top w:val="single" w:sz="4" w:space="0" w:color="auto"/>
              <w:left w:val="nil"/>
              <w:bottom w:val="single" w:sz="4" w:space="0" w:color="auto"/>
              <w:right w:val="single" w:sz="4" w:space="0" w:color="auto"/>
            </w:tcBorders>
            <w:shd w:val="clear" w:color="auto" w:fill="auto"/>
            <w:vAlign w:val="center"/>
          </w:tcPr>
          <w:p w14:paraId="63F2A1C4" w14:textId="1A2EC367" w:rsidR="002970B6" w:rsidRPr="001C3915" w:rsidRDefault="002970B6" w:rsidP="00E13FD9">
            <w:pPr>
              <w:spacing w:before="40" w:after="40"/>
              <w:ind w:right="-79"/>
              <w:jc w:val="center"/>
              <w:rPr>
                <w:rFonts w:cs="Arial"/>
                <w:sz w:val="16"/>
                <w:szCs w:val="18"/>
              </w:rPr>
            </w:pPr>
            <w:r w:rsidRPr="00622F40">
              <w:rPr>
                <w:sz w:val="16"/>
                <w:szCs w:val="18"/>
              </w:rPr>
              <w:t>472,000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6E34CBEB" w14:textId="358B9C0F" w:rsidR="002970B6" w:rsidRPr="001C3915" w:rsidRDefault="002970B6" w:rsidP="00E13FD9">
            <w:pPr>
              <w:spacing w:before="40" w:after="40"/>
              <w:ind w:right="-79"/>
              <w:jc w:val="center"/>
              <w:rPr>
                <w:rFonts w:cs="Arial"/>
                <w:sz w:val="16"/>
                <w:szCs w:val="18"/>
              </w:rPr>
            </w:pPr>
            <w:r w:rsidRPr="00622F40">
              <w:rPr>
                <w:sz w:val="16"/>
                <w:szCs w:val="18"/>
              </w:rPr>
              <w:t>463,000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7A7FEFE7" w14:textId="2D7560AB" w:rsidR="002970B6" w:rsidRPr="001C3915" w:rsidRDefault="002970B6" w:rsidP="00E13FD9">
            <w:pPr>
              <w:spacing w:before="40" w:after="40"/>
              <w:ind w:right="-79"/>
              <w:jc w:val="center"/>
              <w:rPr>
                <w:sz w:val="16"/>
                <w:szCs w:val="18"/>
              </w:rPr>
            </w:pPr>
            <w:r w:rsidRPr="00622F40">
              <w:rPr>
                <w:sz w:val="16"/>
                <w:szCs w:val="18"/>
              </w:rPr>
              <w:t>473,000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192362BD" w14:textId="2691AAE5" w:rsidR="002970B6" w:rsidRPr="001C3915" w:rsidRDefault="002970B6" w:rsidP="00E13FD9">
            <w:pPr>
              <w:spacing w:before="40" w:after="40"/>
              <w:ind w:right="-79"/>
              <w:jc w:val="center"/>
              <w:rPr>
                <w:sz w:val="16"/>
                <w:szCs w:val="18"/>
              </w:rPr>
            </w:pPr>
            <w:r w:rsidRPr="00622F40">
              <w:rPr>
                <w:sz w:val="16"/>
                <w:szCs w:val="18"/>
              </w:rPr>
              <w:t>493,000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7D8F9CD6" w14:textId="229E92A9" w:rsidR="002970B6" w:rsidRPr="001C3915" w:rsidRDefault="002970B6" w:rsidP="00E13FD9">
            <w:pPr>
              <w:spacing w:before="40" w:after="40"/>
              <w:ind w:right="-79"/>
              <w:jc w:val="center"/>
              <w:rPr>
                <w:sz w:val="16"/>
                <w:szCs w:val="18"/>
              </w:rPr>
            </w:pPr>
            <w:r w:rsidRPr="00622F40">
              <w:rPr>
                <w:sz w:val="16"/>
                <w:szCs w:val="18"/>
              </w:rPr>
              <w:t>523,000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0980B615" w14:textId="4E0A0BB4" w:rsidR="002970B6" w:rsidRPr="001C3915" w:rsidRDefault="002970B6" w:rsidP="00E13FD9">
            <w:pPr>
              <w:spacing w:before="40" w:after="40"/>
              <w:ind w:right="-79"/>
              <w:jc w:val="center"/>
              <w:rPr>
                <w:sz w:val="16"/>
                <w:szCs w:val="18"/>
              </w:rPr>
            </w:pPr>
            <w:r w:rsidRPr="00622F40">
              <w:rPr>
                <w:sz w:val="16"/>
                <w:szCs w:val="18"/>
              </w:rPr>
              <w:t>524,000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29D5EC51" w14:textId="4A4DABA9" w:rsidR="002970B6" w:rsidRPr="001C3915" w:rsidRDefault="002970B6" w:rsidP="00E13FD9">
            <w:pPr>
              <w:spacing w:before="40" w:after="40"/>
              <w:ind w:right="-79"/>
              <w:jc w:val="center"/>
              <w:rPr>
                <w:sz w:val="16"/>
                <w:szCs w:val="18"/>
              </w:rPr>
            </w:pPr>
            <w:r w:rsidRPr="00622F40">
              <w:rPr>
                <w:sz w:val="16"/>
                <w:szCs w:val="18"/>
              </w:rPr>
              <w:t>539,000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0ED7AB1B" w14:textId="6729DC77" w:rsidR="002970B6" w:rsidRPr="001C3915" w:rsidRDefault="002970B6" w:rsidP="00E13FD9">
            <w:pPr>
              <w:spacing w:before="40" w:after="40"/>
              <w:ind w:right="-79"/>
              <w:jc w:val="center"/>
              <w:rPr>
                <w:sz w:val="16"/>
                <w:szCs w:val="18"/>
              </w:rPr>
            </w:pPr>
            <w:r w:rsidRPr="00622F40">
              <w:rPr>
                <w:sz w:val="16"/>
                <w:szCs w:val="18"/>
              </w:rPr>
              <w:t>538,000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02CBEFD2" w14:textId="1180F04C" w:rsidR="002970B6" w:rsidRPr="001C3915" w:rsidRDefault="002970B6" w:rsidP="00E13FD9">
            <w:pPr>
              <w:spacing w:before="40" w:after="40"/>
              <w:ind w:right="-79"/>
              <w:jc w:val="center"/>
              <w:rPr>
                <w:sz w:val="16"/>
                <w:szCs w:val="18"/>
              </w:rPr>
            </w:pPr>
            <w:r w:rsidRPr="00622F40">
              <w:rPr>
                <w:sz w:val="16"/>
                <w:szCs w:val="18"/>
              </w:rPr>
              <w:t>541,000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64BC09ED" w14:textId="058FE9B4" w:rsidR="002970B6" w:rsidRPr="001C3915" w:rsidRDefault="002970B6" w:rsidP="00E13FD9">
            <w:pPr>
              <w:spacing w:before="40" w:after="40"/>
              <w:ind w:right="-79"/>
              <w:jc w:val="center"/>
              <w:rPr>
                <w:sz w:val="16"/>
                <w:szCs w:val="18"/>
              </w:rPr>
            </w:pPr>
            <w:r w:rsidRPr="00622F40">
              <w:rPr>
                <w:sz w:val="16"/>
                <w:szCs w:val="18"/>
              </w:rPr>
              <w:t>548,000</w:t>
            </w:r>
          </w:p>
        </w:tc>
        <w:tc>
          <w:tcPr>
            <w:tcW w:w="397" w:type="pct"/>
            <w:tcBorders>
              <w:top w:val="single" w:sz="4" w:space="0" w:color="auto"/>
              <w:left w:val="nil"/>
              <w:bottom w:val="single" w:sz="4" w:space="0" w:color="auto"/>
              <w:right w:val="single" w:sz="4" w:space="0" w:color="auto"/>
            </w:tcBorders>
            <w:shd w:val="clear" w:color="auto" w:fill="auto"/>
            <w:vAlign w:val="center"/>
          </w:tcPr>
          <w:p w14:paraId="1CD5C39C" w14:textId="4F424D68" w:rsidR="002970B6" w:rsidRPr="001C3915" w:rsidRDefault="002970B6" w:rsidP="00E13FD9">
            <w:pPr>
              <w:spacing w:before="40" w:after="40"/>
              <w:ind w:right="-79"/>
              <w:jc w:val="center"/>
              <w:rPr>
                <w:sz w:val="16"/>
                <w:szCs w:val="18"/>
              </w:rPr>
            </w:pPr>
            <w:r w:rsidRPr="00622F40">
              <w:rPr>
                <w:sz w:val="16"/>
                <w:szCs w:val="18"/>
              </w:rPr>
              <w:t>546,000</w:t>
            </w:r>
          </w:p>
        </w:tc>
      </w:tr>
      <w:tr w:rsidR="002970B6" w:rsidRPr="00155CA1" w14:paraId="696B1F5E"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B7BF0" w14:textId="77777777" w:rsidR="002970B6" w:rsidRPr="00B75289" w:rsidRDefault="002970B6" w:rsidP="00E13FD9">
            <w:pPr>
              <w:spacing w:before="40" w:after="40"/>
              <w:jc w:val="center"/>
              <w:rPr>
                <w:rFonts w:cs="Arial"/>
                <w:sz w:val="16"/>
                <w:szCs w:val="16"/>
              </w:rPr>
            </w:pPr>
            <w:r w:rsidRPr="00B75289">
              <w:rPr>
                <w:rFonts w:cs="Arial"/>
                <w:sz w:val="16"/>
                <w:szCs w:val="16"/>
              </w:rPr>
              <w:t>Organic Chemicals</w:t>
            </w:r>
          </w:p>
        </w:tc>
        <w:tc>
          <w:tcPr>
            <w:tcW w:w="397" w:type="pct"/>
            <w:tcBorders>
              <w:top w:val="single" w:sz="4" w:space="0" w:color="auto"/>
              <w:left w:val="nil"/>
              <w:bottom w:val="single" w:sz="4" w:space="0" w:color="auto"/>
              <w:right w:val="single" w:sz="4" w:space="0" w:color="auto"/>
            </w:tcBorders>
            <w:shd w:val="clear" w:color="auto" w:fill="auto"/>
            <w:vAlign w:val="center"/>
          </w:tcPr>
          <w:p w14:paraId="35DE7F21" w14:textId="4FF6D51F" w:rsidR="002970B6" w:rsidRPr="001C3915" w:rsidRDefault="002970B6" w:rsidP="00E13FD9">
            <w:pPr>
              <w:spacing w:before="40" w:after="40"/>
              <w:ind w:right="-79"/>
              <w:jc w:val="center"/>
              <w:rPr>
                <w:rFonts w:cs="Arial"/>
                <w:sz w:val="16"/>
                <w:szCs w:val="18"/>
              </w:rPr>
            </w:pPr>
            <w:r w:rsidRPr="00622F40">
              <w:rPr>
                <w:sz w:val="16"/>
                <w:szCs w:val="18"/>
              </w:rPr>
              <w:t>108,687</w:t>
            </w:r>
          </w:p>
        </w:tc>
        <w:tc>
          <w:tcPr>
            <w:tcW w:w="397" w:type="pct"/>
            <w:tcBorders>
              <w:top w:val="single" w:sz="4" w:space="0" w:color="auto"/>
              <w:left w:val="nil"/>
              <w:bottom w:val="single" w:sz="4" w:space="0" w:color="auto"/>
              <w:right w:val="single" w:sz="4" w:space="0" w:color="auto"/>
            </w:tcBorders>
            <w:shd w:val="clear" w:color="auto" w:fill="auto"/>
            <w:vAlign w:val="center"/>
          </w:tcPr>
          <w:p w14:paraId="33BFDFC5" w14:textId="772364D3" w:rsidR="002970B6" w:rsidRPr="001C3915" w:rsidRDefault="002970B6" w:rsidP="00E13FD9">
            <w:pPr>
              <w:spacing w:before="40" w:after="40"/>
              <w:ind w:right="-79"/>
              <w:jc w:val="center"/>
              <w:rPr>
                <w:rFonts w:cs="Arial"/>
                <w:sz w:val="16"/>
                <w:szCs w:val="18"/>
              </w:rPr>
            </w:pPr>
            <w:r w:rsidRPr="00622F40">
              <w:rPr>
                <w:sz w:val="16"/>
                <w:szCs w:val="18"/>
              </w:rPr>
              <w:t>377,336</w:t>
            </w:r>
          </w:p>
        </w:tc>
        <w:tc>
          <w:tcPr>
            <w:tcW w:w="397" w:type="pct"/>
            <w:tcBorders>
              <w:top w:val="single" w:sz="4" w:space="0" w:color="auto"/>
              <w:left w:val="nil"/>
              <w:bottom w:val="single" w:sz="4" w:space="0" w:color="auto"/>
              <w:right w:val="single" w:sz="4" w:space="0" w:color="auto"/>
            </w:tcBorders>
            <w:shd w:val="clear" w:color="auto" w:fill="auto"/>
            <w:vAlign w:val="center"/>
          </w:tcPr>
          <w:p w14:paraId="62F846AE" w14:textId="5DDCB6B0" w:rsidR="002970B6" w:rsidRPr="001C3915" w:rsidRDefault="002970B6" w:rsidP="00E13FD9">
            <w:pPr>
              <w:spacing w:before="40" w:after="40"/>
              <w:ind w:right="-79"/>
              <w:jc w:val="center"/>
              <w:rPr>
                <w:sz w:val="16"/>
                <w:szCs w:val="18"/>
              </w:rPr>
            </w:pPr>
            <w:r w:rsidRPr="00622F40">
              <w:rPr>
                <w:sz w:val="16"/>
                <w:szCs w:val="18"/>
              </w:rPr>
              <w:t>270,453</w:t>
            </w:r>
          </w:p>
        </w:tc>
        <w:tc>
          <w:tcPr>
            <w:tcW w:w="397" w:type="pct"/>
            <w:tcBorders>
              <w:top w:val="single" w:sz="4" w:space="0" w:color="auto"/>
              <w:left w:val="nil"/>
              <w:bottom w:val="single" w:sz="4" w:space="0" w:color="auto"/>
              <w:right w:val="single" w:sz="4" w:space="0" w:color="auto"/>
            </w:tcBorders>
            <w:shd w:val="clear" w:color="auto" w:fill="auto"/>
            <w:vAlign w:val="center"/>
          </w:tcPr>
          <w:p w14:paraId="69BC714D" w14:textId="3CAB3AE2" w:rsidR="002970B6" w:rsidRPr="001C3915" w:rsidRDefault="002970B6" w:rsidP="00E13FD9">
            <w:pPr>
              <w:spacing w:before="40" w:after="40"/>
              <w:ind w:right="-79"/>
              <w:jc w:val="center"/>
              <w:rPr>
                <w:sz w:val="16"/>
                <w:szCs w:val="18"/>
              </w:rPr>
            </w:pPr>
            <w:r w:rsidRPr="00622F40">
              <w:rPr>
                <w:sz w:val="16"/>
                <w:szCs w:val="18"/>
              </w:rPr>
              <w:t>341,226</w:t>
            </w:r>
          </w:p>
        </w:tc>
        <w:tc>
          <w:tcPr>
            <w:tcW w:w="397" w:type="pct"/>
            <w:tcBorders>
              <w:top w:val="single" w:sz="4" w:space="0" w:color="auto"/>
              <w:left w:val="nil"/>
              <w:bottom w:val="single" w:sz="4" w:space="0" w:color="auto"/>
              <w:right w:val="single" w:sz="4" w:space="0" w:color="auto"/>
            </w:tcBorders>
            <w:shd w:val="clear" w:color="auto" w:fill="auto"/>
            <w:vAlign w:val="center"/>
          </w:tcPr>
          <w:p w14:paraId="7D538CFB" w14:textId="3CB2B2EE" w:rsidR="002970B6" w:rsidRPr="001C3915" w:rsidRDefault="002970B6" w:rsidP="00E13FD9">
            <w:pPr>
              <w:spacing w:before="40" w:after="40"/>
              <w:ind w:right="-79"/>
              <w:jc w:val="center"/>
              <w:rPr>
                <w:sz w:val="16"/>
                <w:szCs w:val="18"/>
              </w:rPr>
            </w:pPr>
            <w:r w:rsidRPr="00622F40">
              <w:rPr>
                <w:sz w:val="16"/>
                <w:szCs w:val="18"/>
              </w:rPr>
              <w:t>573,064</w:t>
            </w:r>
          </w:p>
        </w:tc>
        <w:tc>
          <w:tcPr>
            <w:tcW w:w="397" w:type="pct"/>
            <w:tcBorders>
              <w:top w:val="single" w:sz="4" w:space="0" w:color="auto"/>
              <w:left w:val="nil"/>
              <w:bottom w:val="single" w:sz="4" w:space="0" w:color="auto"/>
              <w:right w:val="single" w:sz="4" w:space="0" w:color="auto"/>
            </w:tcBorders>
            <w:shd w:val="clear" w:color="auto" w:fill="auto"/>
            <w:vAlign w:val="center"/>
          </w:tcPr>
          <w:p w14:paraId="09547C9D" w14:textId="2D90EBCA" w:rsidR="002970B6" w:rsidRPr="001C3915" w:rsidRDefault="00277ADB" w:rsidP="00E13FD9">
            <w:pPr>
              <w:spacing w:before="40" w:after="40"/>
              <w:ind w:right="-79"/>
              <w:jc w:val="center"/>
              <w:rPr>
                <w:sz w:val="16"/>
                <w:szCs w:val="18"/>
              </w:rPr>
            </w:pPr>
            <w:r w:rsidRPr="001C3915">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093D373B" w14:textId="77343E4F" w:rsidR="002970B6" w:rsidRPr="001C3915" w:rsidRDefault="00277ADB" w:rsidP="00E13FD9">
            <w:pPr>
              <w:spacing w:before="40" w:after="40"/>
              <w:ind w:right="-79"/>
              <w:jc w:val="center"/>
              <w:rPr>
                <w:sz w:val="16"/>
                <w:szCs w:val="18"/>
              </w:rPr>
            </w:pPr>
            <w:r w:rsidRPr="001C3915">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0C7C7BA6" w14:textId="0FDD8EFE" w:rsidR="002970B6" w:rsidRPr="001C3915" w:rsidRDefault="00277ADB" w:rsidP="00E13FD9">
            <w:pPr>
              <w:spacing w:before="40" w:after="40"/>
              <w:ind w:right="-79"/>
              <w:jc w:val="center"/>
              <w:rPr>
                <w:sz w:val="16"/>
                <w:szCs w:val="18"/>
              </w:rPr>
            </w:pPr>
            <w:r w:rsidRPr="001C3915">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1EA03F09" w14:textId="2036DAA7" w:rsidR="002970B6" w:rsidRPr="001C3915" w:rsidRDefault="00277ADB" w:rsidP="00E13FD9">
            <w:pPr>
              <w:spacing w:before="40" w:after="40"/>
              <w:ind w:right="-79"/>
              <w:jc w:val="center"/>
              <w:rPr>
                <w:sz w:val="16"/>
                <w:szCs w:val="18"/>
              </w:rPr>
            </w:pPr>
            <w:r w:rsidRPr="001C3915">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049F0ACC" w14:textId="5DB19B1D" w:rsidR="002970B6" w:rsidRPr="001C3915" w:rsidRDefault="00277ADB" w:rsidP="00E13FD9">
            <w:pPr>
              <w:spacing w:before="40" w:after="40"/>
              <w:ind w:right="-79"/>
              <w:jc w:val="center"/>
              <w:rPr>
                <w:sz w:val="16"/>
                <w:szCs w:val="18"/>
              </w:rPr>
            </w:pPr>
            <w:r w:rsidRPr="001C3915">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646DF55F" w14:textId="56F22025" w:rsidR="002970B6" w:rsidRPr="001C3915" w:rsidRDefault="00277ADB" w:rsidP="00E13FD9">
            <w:pPr>
              <w:spacing w:before="40" w:after="40"/>
              <w:ind w:right="-79"/>
              <w:jc w:val="center"/>
              <w:rPr>
                <w:sz w:val="16"/>
                <w:szCs w:val="18"/>
              </w:rPr>
            </w:pPr>
            <w:r w:rsidRPr="001C3915">
              <w:rPr>
                <w:sz w:val="16"/>
                <w:szCs w:val="18"/>
              </w:rPr>
              <w:t>NO</w:t>
            </w:r>
          </w:p>
        </w:tc>
      </w:tr>
      <w:tr w:rsidR="002970B6" w:rsidRPr="00155CA1" w14:paraId="2718F2C3"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9F3B87" w14:textId="77777777" w:rsidR="002970B6" w:rsidRPr="00B75289" w:rsidRDefault="002970B6" w:rsidP="00E13FD9">
            <w:pPr>
              <w:spacing w:before="40" w:after="40"/>
              <w:jc w:val="center"/>
              <w:rPr>
                <w:rFonts w:cs="Arial"/>
                <w:sz w:val="16"/>
                <w:szCs w:val="16"/>
              </w:rPr>
            </w:pPr>
            <w:r w:rsidRPr="00B75289">
              <w:rPr>
                <w:rFonts w:cs="Arial"/>
                <w:sz w:val="16"/>
                <w:szCs w:val="16"/>
              </w:rPr>
              <w:t>Petroleum Refineries</w:t>
            </w:r>
          </w:p>
        </w:tc>
        <w:tc>
          <w:tcPr>
            <w:tcW w:w="397" w:type="pct"/>
            <w:tcBorders>
              <w:top w:val="single" w:sz="4" w:space="0" w:color="auto"/>
              <w:left w:val="nil"/>
              <w:bottom w:val="single" w:sz="4" w:space="0" w:color="auto"/>
              <w:right w:val="single" w:sz="4" w:space="0" w:color="auto"/>
            </w:tcBorders>
            <w:shd w:val="clear" w:color="auto" w:fill="auto"/>
            <w:vAlign w:val="center"/>
          </w:tcPr>
          <w:p w14:paraId="70BB96D6" w14:textId="0F568230" w:rsidR="002970B6" w:rsidRPr="001C3915" w:rsidRDefault="002970B6" w:rsidP="00E13FD9">
            <w:pPr>
              <w:spacing w:before="40" w:after="40"/>
              <w:ind w:right="-79"/>
              <w:jc w:val="center"/>
              <w:rPr>
                <w:rFonts w:cs="Arial"/>
                <w:sz w:val="16"/>
                <w:szCs w:val="18"/>
              </w:rPr>
            </w:pPr>
            <w:r w:rsidRPr="00622F40">
              <w:rPr>
                <w:sz w:val="16"/>
                <w:szCs w:val="18"/>
              </w:rPr>
              <w:t>1,526,159</w:t>
            </w:r>
          </w:p>
        </w:tc>
        <w:tc>
          <w:tcPr>
            <w:tcW w:w="397" w:type="pct"/>
            <w:tcBorders>
              <w:top w:val="single" w:sz="4" w:space="0" w:color="auto"/>
              <w:left w:val="nil"/>
              <w:bottom w:val="single" w:sz="4" w:space="0" w:color="auto"/>
              <w:right w:val="single" w:sz="4" w:space="0" w:color="auto"/>
            </w:tcBorders>
            <w:shd w:val="clear" w:color="auto" w:fill="auto"/>
            <w:vAlign w:val="center"/>
          </w:tcPr>
          <w:p w14:paraId="6796860D" w14:textId="771F041A" w:rsidR="002970B6" w:rsidRPr="001C3915" w:rsidRDefault="002970B6" w:rsidP="00E13FD9">
            <w:pPr>
              <w:spacing w:before="40" w:after="40"/>
              <w:ind w:right="-79"/>
              <w:jc w:val="center"/>
              <w:rPr>
                <w:rFonts w:cs="Arial"/>
                <w:sz w:val="16"/>
                <w:szCs w:val="18"/>
              </w:rPr>
            </w:pPr>
            <w:r w:rsidRPr="00622F40">
              <w:rPr>
                <w:sz w:val="16"/>
                <w:szCs w:val="18"/>
              </w:rPr>
              <w:t>1,937,787</w:t>
            </w:r>
          </w:p>
        </w:tc>
        <w:tc>
          <w:tcPr>
            <w:tcW w:w="397" w:type="pct"/>
            <w:tcBorders>
              <w:top w:val="single" w:sz="4" w:space="0" w:color="auto"/>
              <w:left w:val="nil"/>
              <w:bottom w:val="single" w:sz="4" w:space="0" w:color="auto"/>
              <w:right w:val="single" w:sz="4" w:space="0" w:color="auto"/>
            </w:tcBorders>
            <w:shd w:val="clear" w:color="auto" w:fill="auto"/>
            <w:vAlign w:val="center"/>
          </w:tcPr>
          <w:p w14:paraId="14A199BC" w14:textId="264DBB48" w:rsidR="002970B6" w:rsidRPr="001C3915" w:rsidRDefault="002970B6" w:rsidP="00E13FD9">
            <w:pPr>
              <w:spacing w:before="40" w:after="40"/>
              <w:ind w:right="-79"/>
              <w:jc w:val="center"/>
              <w:rPr>
                <w:sz w:val="16"/>
                <w:szCs w:val="18"/>
              </w:rPr>
            </w:pPr>
            <w:r w:rsidRPr="00622F40">
              <w:rPr>
                <w:sz w:val="16"/>
                <w:szCs w:val="18"/>
              </w:rPr>
              <w:t>2,105,846</w:t>
            </w:r>
          </w:p>
        </w:tc>
        <w:tc>
          <w:tcPr>
            <w:tcW w:w="397" w:type="pct"/>
            <w:tcBorders>
              <w:top w:val="single" w:sz="4" w:space="0" w:color="auto"/>
              <w:left w:val="nil"/>
              <w:bottom w:val="single" w:sz="4" w:space="0" w:color="auto"/>
              <w:right w:val="single" w:sz="4" w:space="0" w:color="auto"/>
            </w:tcBorders>
            <w:shd w:val="clear" w:color="auto" w:fill="auto"/>
            <w:vAlign w:val="center"/>
          </w:tcPr>
          <w:p w14:paraId="16938230" w14:textId="2544AF02" w:rsidR="002970B6" w:rsidRPr="001C3915" w:rsidRDefault="002970B6" w:rsidP="00E13FD9">
            <w:pPr>
              <w:spacing w:before="40" w:after="40"/>
              <w:ind w:right="-79"/>
              <w:jc w:val="center"/>
              <w:rPr>
                <w:sz w:val="16"/>
                <w:szCs w:val="18"/>
              </w:rPr>
            </w:pPr>
            <w:r w:rsidRPr="00622F40">
              <w:rPr>
                <w:sz w:val="16"/>
                <w:szCs w:val="18"/>
              </w:rPr>
              <w:t>2,393,902</w:t>
            </w:r>
          </w:p>
        </w:tc>
        <w:tc>
          <w:tcPr>
            <w:tcW w:w="397" w:type="pct"/>
            <w:tcBorders>
              <w:top w:val="single" w:sz="4" w:space="0" w:color="auto"/>
              <w:left w:val="nil"/>
              <w:bottom w:val="single" w:sz="4" w:space="0" w:color="auto"/>
              <w:right w:val="single" w:sz="4" w:space="0" w:color="auto"/>
            </w:tcBorders>
            <w:shd w:val="clear" w:color="auto" w:fill="auto"/>
            <w:vAlign w:val="center"/>
          </w:tcPr>
          <w:p w14:paraId="33F62A74" w14:textId="242D9C14" w:rsidR="002970B6" w:rsidRPr="001C3915" w:rsidRDefault="002970B6" w:rsidP="00E13FD9">
            <w:pPr>
              <w:spacing w:before="40" w:after="40"/>
              <w:ind w:right="-79"/>
              <w:jc w:val="center"/>
              <w:rPr>
                <w:sz w:val="16"/>
                <w:szCs w:val="18"/>
              </w:rPr>
            </w:pPr>
            <w:r w:rsidRPr="00622F40">
              <w:rPr>
                <w:sz w:val="16"/>
                <w:szCs w:val="18"/>
              </w:rPr>
              <w:t>2,482,231</w:t>
            </w:r>
          </w:p>
        </w:tc>
        <w:tc>
          <w:tcPr>
            <w:tcW w:w="397" w:type="pct"/>
            <w:tcBorders>
              <w:top w:val="single" w:sz="4" w:space="0" w:color="auto"/>
              <w:left w:val="nil"/>
              <w:bottom w:val="single" w:sz="4" w:space="0" w:color="auto"/>
              <w:right w:val="single" w:sz="4" w:space="0" w:color="auto"/>
            </w:tcBorders>
            <w:shd w:val="clear" w:color="auto" w:fill="auto"/>
            <w:vAlign w:val="center"/>
          </w:tcPr>
          <w:p w14:paraId="05C774C4" w14:textId="54DA0D7F" w:rsidR="002970B6" w:rsidRPr="001C3915" w:rsidRDefault="002970B6" w:rsidP="00E13FD9">
            <w:pPr>
              <w:spacing w:before="40" w:after="40"/>
              <w:ind w:right="-79"/>
              <w:jc w:val="center"/>
              <w:rPr>
                <w:sz w:val="16"/>
                <w:szCs w:val="18"/>
              </w:rPr>
            </w:pPr>
            <w:r w:rsidRPr="00622F40">
              <w:rPr>
                <w:sz w:val="16"/>
                <w:szCs w:val="18"/>
              </w:rPr>
              <w:t>2,658,813</w:t>
            </w:r>
          </w:p>
        </w:tc>
        <w:tc>
          <w:tcPr>
            <w:tcW w:w="397" w:type="pct"/>
            <w:tcBorders>
              <w:top w:val="single" w:sz="4" w:space="0" w:color="auto"/>
              <w:left w:val="nil"/>
              <w:bottom w:val="single" w:sz="4" w:space="0" w:color="auto"/>
              <w:right w:val="single" w:sz="4" w:space="0" w:color="auto"/>
            </w:tcBorders>
            <w:shd w:val="clear" w:color="auto" w:fill="auto"/>
            <w:vAlign w:val="center"/>
          </w:tcPr>
          <w:p w14:paraId="4FD747C3" w14:textId="4FEF0A0D" w:rsidR="002970B6" w:rsidRPr="001C3915" w:rsidRDefault="002970B6" w:rsidP="00E13FD9">
            <w:pPr>
              <w:spacing w:before="40" w:after="40"/>
              <w:ind w:right="-79"/>
              <w:jc w:val="center"/>
              <w:rPr>
                <w:sz w:val="16"/>
                <w:szCs w:val="18"/>
              </w:rPr>
            </w:pPr>
            <w:r w:rsidRPr="00622F40">
              <w:rPr>
                <w:sz w:val="16"/>
                <w:szCs w:val="18"/>
              </w:rPr>
              <w:t>2,874,262</w:t>
            </w:r>
          </w:p>
        </w:tc>
        <w:tc>
          <w:tcPr>
            <w:tcW w:w="397" w:type="pct"/>
            <w:tcBorders>
              <w:top w:val="single" w:sz="4" w:space="0" w:color="auto"/>
              <w:left w:val="nil"/>
              <w:bottom w:val="single" w:sz="4" w:space="0" w:color="auto"/>
              <w:right w:val="single" w:sz="4" w:space="0" w:color="auto"/>
            </w:tcBorders>
            <w:shd w:val="clear" w:color="auto" w:fill="auto"/>
            <w:vAlign w:val="center"/>
          </w:tcPr>
          <w:p w14:paraId="10E8E566" w14:textId="5ECE432D" w:rsidR="002970B6" w:rsidRPr="001C3915" w:rsidRDefault="002970B6" w:rsidP="00E13FD9">
            <w:pPr>
              <w:spacing w:before="40" w:after="40"/>
              <w:ind w:right="-79"/>
              <w:jc w:val="center"/>
              <w:rPr>
                <w:sz w:val="16"/>
                <w:szCs w:val="18"/>
              </w:rPr>
            </w:pPr>
            <w:r w:rsidRPr="00622F40">
              <w:rPr>
                <w:sz w:val="16"/>
                <w:szCs w:val="18"/>
              </w:rPr>
              <w:t>2,678,192</w:t>
            </w:r>
          </w:p>
        </w:tc>
        <w:tc>
          <w:tcPr>
            <w:tcW w:w="397" w:type="pct"/>
            <w:tcBorders>
              <w:top w:val="single" w:sz="4" w:space="0" w:color="auto"/>
              <w:left w:val="nil"/>
              <w:bottom w:val="single" w:sz="4" w:space="0" w:color="auto"/>
              <w:right w:val="single" w:sz="4" w:space="0" w:color="auto"/>
            </w:tcBorders>
            <w:shd w:val="clear" w:color="auto" w:fill="auto"/>
            <w:vAlign w:val="center"/>
          </w:tcPr>
          <w:p w14:paraId="51B54090" w14:textId="7ED844C0" w:rsidR="002970B6" w:rsidRPr="001C3915" w:rsidRDefault="002970B6" w:rsidP="00E13FD9">
            <w:pPr>
              <w:spacing w:before="40" w:after="40"/>
              <w:ind w:right="-79"/>
              <w:jc w:val="center"/>
              <w:rPr>
                <w:sz w:val="16"/>
                <w:szCs w:val="18"/>
              </w:rPr>
            </w:pPr>
            <w:r w:rsidRPr="00622F40">
              <w:rPr>
                <w:sz w:val="16"/>
                <w:szCs w:val="18"/>
              </w:rPr>
              <w:t>2,705,027</w:t>
            </w:r>
          </w:p>
        </w:tc>
        <w:tc>
          <w:tcPr>
            <w:tcW w:w="397" w:type="pct"/>
            <w:tcBorders>
              <w:top w:val="single" w:sz="4" w:space="0" w:color="auto"/>
              <w:left w:val="nil"/>
              <w:bottom w:val="single" w:sz="4" w:space="0" w:color="auto"/>
              <w:right w:val="single" w:sz="4" w:space="0" w:color="auto"/>
            </w:tcBorders>
            <w:shd w:val="clear" w:color="auto" w:fill="auto"/>
            <w:vAlign w:val="center"/>
          </w:tcPr>
          <w:p w14:paraId="317AAB3B" w14:textId="18F711FB" w:rsidR="002970B6" w:rsidRPr="001C3915" w:rsidRDefault="002970B6" w:rsidP="00E13FD9">
            <w:pPr>
              <w:spacing w:before="40" w:after="40"/>
              <w:ind w:right="-79"/>
              <w:jc w:val="center"/>
              <w:rPr>
                <w:sz w:val="16"/>
                <w:szCs w:val="18"/>
              </w:rPr>
            </w:pPr>
            <w:r w:rsidRPr="00622F40">
              <w:rPr>
                <w:sz w:val="16"/>
                <w:szCs w:val="18"/>
              </w:rPr>
              <w:t>2,959,652</w:t>
            </w:r>
          </w:p>
        </w:tc>
        <w:tc>
          <w:tcPr>
            <w:tcW w:w="397" w:type="pct"/>
            <w:tcBorders>
              <w:top w:val="single" w:sz="4" w:space="0" w:color="auto"/>
              <w:left w:val="nil"/>
              <w:bottom w:val="single" w:sz="4" w:space="0" w:color="auto"/>
              <w:right w:val="single" w:sz="4" w:space="0" w:color="auto"/>
            </w:tcBorders>
            <w:shd w:val="clear" w:color="auto" w:fill="auto"/>
            <w:vAlign w:val="center"/>
          </w:tcPr>
          <w:p w14:paraId="4A07C4E2" w14:textId="36150B59" w:rsidR="002970B6" w:rsidRPr="001C3915" w:rsidRDefault="002970B6" w:rsidP="00E13FD9">
            <w:pPr>
              <w:spacing w:before="40" w:after="40"/>
              <w:ind w:right="-79"/>
              <w:jc w:val="center"/>
              <w:rPr>
                <w:sz w:val="16"/>
                <w:szCs w:val="18"/>
              </w:rPr>
            </w:pPr>
            <w:r w:rsidRPr="00622F40">
              <w:rPr>
                <w:sz w:val="16"/>
                <w:szCs w:val="18"/>
              </w:rPr>
              <w:t>3,428,015</w:t>
            </w:r>
          </w:p>
        </w:tc>
      </w:tr>
      <w:tr w:rsidR="002970B6" w:rsidRPr="00155CA1" w14:paraId="3D3D0AB8"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25E275" w14:textId="77777777" w:rsidR="002970B6" w:rsidRPr="00B75289" w:rsidRDefault="002970B6" w:rsidP="00E13FD9">
            <w:pPr>
              <w:spacing w:before="40" w:after="40"/>
              <w:jc w:val="center"/>
              <w:rPr>
                <w:rFonts w:cs="Arial"/>
                <w:sz w:val="16"/>
                <w:szCs w:val="16"/>
              </w:rPr>
            </w:pPr>
            <w:r w:rsidRPr="00B75289">
              <w:rPr>
                <w:rFonts w:cs="Arial"/>
                <w:sz w:val="16"/>
                <w:szCs w:val="16"/>
              </w:rPr>
              <w:t>Plastics &amp; Resins</w:t>
            </w:r>
          </w:p>
        </w:tc>
        <w:tc>
          <w:tcPr>
            <w:tcW w:w="397" w:type="pct"/>
            <w:tcBorders>
              <w:top w:val="single" w:sz="4" w:space="0" w:color="auto"/>
              <w:left w:val="nil"/>
              <w:bottom w:val="single" w:sz="4" w:space="0" w:color="auto"/>
              <w:right w:val="single" w:sz="4" w:space="0" w:color="auto"/>
            </w:tcBorders>
            <w:shd w:val="clear" w:color="auto" w:fill="auto"/>
            <w:vAlign w:val="center"/>
          </w:tcPr>
          <w:p w14:paraId="5F6D5E25" w14:textId="0BC5D7E0" w:rsidR="002970B6" w:rsidRPr="001C3915" w:rsidRDefault="002970B6" w:rsidP="00E13FD9">
            <w:pPr>
              <w:spacing w:before="40" w:after="40"/>
              <w:ind w:right="-79"/>
              <w:jc w:val="center"/>
              <w:rPr>
                <w:rFonts w:cs="Arial"/>
                <w:sz w:val="16"/>
                <w:szCs w:val="18"/>
              </w:rPr>
            </w:pPr>
            <w:r w:rsidRPr="00622F40">
              <w:rPr>
                <w:sz w:val="16"/>
                <w:szCs w:val="18"/>
              </w:rPr>
              <w:t>232,714</w:t>
            </w:r>
          </w:p>
        </w:tc>
        <w:tc>
          <w:tcPr>
            <w:tcW w:w="397" w:type="pct"/>
            <w:tcBorders>
              <w:top w:val="single" w:sz="4" w:space="0" w:color="auto"/>
              <w:left w:val="nil"/>
              <w:bottom w:val="single" w:sz="4" w:space="0" w:color="auto"/>
              <w:right w:val="single" w:sz="4" w:space="0" w:color="auto"/>
            </w:tcBorders>
            <w:shd w:val="clear" w:color="auto" w:fill="auto"/>
            <w:vAlign w:val="center"/>
          </w:tcPr>
          <w:p w14:paraId="01C1A1C4" w14:textId="10391EF7" w:rsidR="002970B6" w:rsidRPr="001C3915" w:rsidRDefault="002970B6" w:rsidP="00E13FD9">
            <w:pPr>
              <w:spacing w:before="40" w:after="40"/>
              <w:ind w:right="-79"/>
              <w:jc w:val="center"/>
              <w:rPr>
                <w:rFonts w:cs="Arial"/>
                <w:sz w:val="16"/>
                <w:szCs w:val="18"/>
              </w:rPr>
            </w:pPr>
            <w:r w:rsidRPr="00622F40">
              <w:rPr>
                <w:sz w:val="16"/>
                <w:szCs w:val="18"/>
              </w:rPr>
              <w:t>194,404</w:t>
            </w:r>
          </w:p>
        </w:tc>
        <w:tc>
          <w:tcPr>
            <w:tcW w:w="397" w:type="pct"/>
            <w:tcBorders>
              <w:top w:val="single" w:sz="4" w:space="0" w:color="auto"/>
              <w:left w:val="nil"/>
              <w:bottom w:val="single" w:sz="4" w:space="0" w:color="auto"/>
              <w:right w:val="single" w:sz="4" w:space="0" w:color="auto"/>
            </w:tcBorders>
            <w:shd w:val="clear" w:color="auto" w:fill="auto"/>
            <w:vAlign w:val="center"/>
          </w:tcPr>
          <w:p w14:paraId="7C678B08" w14:textId="28A89C47" w:rsidR="002970B6" w:rsidRPr="001C3915" w:rsidRDefault="002970B6" w:rsidP="00E13FD9">
            <w:pPr>
              <w:spacing w:before="40" w:after="40"/>
              <w:ind w:right="-79"/>
              <w:jc w:val="center"/>
              <w:rPr>
                <w:sz w:val="16"/>
                <w:szCs w:val="18"/>
              </w:rPr>
            </w:pPr>
            <w:r w:rsidRPr="00622F40">
              <w:rPr>
                <w:sz w:val="16"/>
                <w:szCs w:val="18"/>
              </w:rPr>
              <w:t>174,918</w:t>
            </w:r>
          </w:p>
        </w:tc>
        <w:tc>
          <w:tcPr>
            <w:tcW w:w="397" w:type="pct"/>
            <w:tcBorders>
              <w:top w:val="single" w:sz="4" w:space="0" w:color="auto"/>
              <w:left w:val="nil"/>
              <w:bottom w:val="single" w:sz="4" w:space="0" w:color="auto"/>
              <w:right w:val="single" w:sz="4" w:space="0" w:color="auto"/>
            </w:tcBorders>
            <w:shd w:val="clear" w:color="auto" w:fill="auto"/>
            <w:vAlign w:val="center"/>
          </w:tcPr>
          <w:p w14:paraId="2B4D9FE8" w14:textId="3ABE7E0B" w:rsidR="002970B6" w:rsidRPr="001C3915" w:rsidRDefault="002970B6" w:rsidP="00E13FD9">
            <w:pPr>
              <w:spacing w:before="40" w:after="40"/>
              <w:ind w:right="-79"/>
              <w:jc w:val="center"/>
              <w:rPr>
                <w:sz w:val="16"/>
                <w:szCs w:val="18"/>
              </w:rPr>
            </w:pPr>
            <w:r w:rsidRPr="00622F40">
              <w:rPr>
                <w:sz w:val="16"/>
                <w:szCs w:val="18"/>
              </w:rPr>
              <w:t>202,198</w:t>
            </w:r>
          </w:p>
        </w:tc>
        <w:tc>
          <w:tcPr>
            <w:tcW w:w="397" w:type="pct"/>
            <w:tcBorders>
              <w:top w:val="single" w:sz="4" w:space="0" w:color="auto"/>
              <w:left w:val="nil"/>
              <w:bottom w:val="single" w:sz="4" w:space="0" w:color="auto"/>
              <w:right w:val="single" w:sz="4" w:space="0" w:color="auto"/>
            </w:tcBorders>
            <w:shd w:val="clear" w:color="auto" w:fill="auto"/>
            <w:vAlign w:val="center"/>
          </w:tcPr>
          <w:p w14:paraId="5BFC4459" w14:textId="57895AF4" w:rsidR="002970B6" w:rsidRPr="001C3915" w:rsidRDefault="002970B6" w:rsidP="00E13FD9">
            <w:pPr>
              <w:spacing w:before="40" w:after="40"/>
              <w:ind w:right="-79"/>
              <w:jc w:val="center"/>
              <w:rPr>
                <w:sz w:val="16"/>
                <w:szCs w:val="18"/>
              </w:rPr>
            </w:pPr>
            <w:r w:rsidRPr="00622F40">
              <w:rPr>
                <w:sz w:val="16"/>
                <w:szCs w:val="18"/>
              </w:rPr>
              <w:t>238,367</w:t>
            </w:r>
          </w:p>
        </w:tc>
        <w:tc>
          <w:tcPr>
            <w:tcW w:w="397" w:type="pct"/>
            <w:tcBorders>
              <w:top w:val="single" w:sz="4" w:space="0" w:color="auto"/>
              <w:left w:val="nil"/>
              <w:bottom w:val="single" w:sz="4" w:space="0" w:color="auto"/>
              <w:right w:val="single" w:sz="4" w:space="0" w:color="auto"/>
            </w:tcBorders>
            <w:shd w:val="clear" w:color="auto" w:fill="auto"/>
            <w:vAlign w:val="center"/>
          </w:tcPr>
          <w:p w14:paraId="77D6E597" w14:textId="1A186C5C" w:rsidR="002970B6" w:rsidRPr="001C3915" w:rsidRDefault="002970B6" w:rsidP="00E13FD9">
            <w:pPr>
              <w:spacing w:before="40" w:after="40"/>
              <w:ind w:right="-79"/>
              <w:jc w:val="center"/>
              <w:rPr>
                <w:sz w:val="16"/>
                <w:szCs w:val="18"/>
              </w:rPr>
            </w:pPr>
            <w:r w:rsidRPr="00622F40">
              <w:rPr>
                <w:sz w:val="16"/>
                <w:szCs w:val="18"/>
              </w:rPr>
              <w:t>160,530</w:t>
            </w:r>
          </w:p>
        </w:tc>
        <w:tc>
          <w:tcPr>
            <w:tcW w:w="397" w:type="pct"/>
            <w:tcBorders>
              <w:top w:val="single" w:sz="4" w:space="0" w:color="auto"/>
              <w:left w:val="nil"/>
              <w:bottom w:val="single" w:sz="4" w:space="0" w:color="auto"/>
              <w:right w:val="single" w:sz="4" w:space="0" w:color="auto"/>
            </w:tcBorders>
            <w:shd w:val="clear" w:color="auto" w:fill="auto"/>
            <w:vAlign w:val="center"/>
          </w:tcPr>
          <w:p w14:paraId="0A32DB34" w14:textId="7B0DE200" w:rsidR="002970B6" w:rsidRPr="001C3915" w:rsidRDefault="002970B6" w:rsidP="00E13FD9">
            <w:pPr>
              <w:spacing w:before="40" w:after="40"/>
              <w:ind w:right="-79"/>
              <w:jc w:val="center"/>
              <w:rPr>
                <w:sz w:val="16"/>
                <w:szCs w:val="18"/>
              </w:rPr>
            </w:pPr>
            <w:r w:rsidRPr="00622F40">
              <w:rPr>
                <w:sz w:val="16"/>
                <w:szCs w:val="18"/>
              </w:rPr>
              <w:t>160,185</w:t>
            </w:r>
          </w:p>
        </w:tc>
        <w:tc>
          <w:tcPr>
            <w:tcW w:w="397" w:type="pct"/>
            <w:tcBorders>
              <w:top w:val="single" w:sz="4" w:space="0" w:color="auto"/>
              <w:left w:val="nil"/>
              <w:bottom w:val="single" w:sz="4" w:space="0" w:color="auto"/>
              <w:right w:val="single" w:sz="4" w:space="0" w:color="auto"/>
            </w:tcBorders>
            <w:shd w:val="clear" w:color="auto" w:fill="auto"/>
            <w:vAlign w:val="center"/>
          </w:tcPr>
          <w:p w14:paraId="5C100B6B" w14:textId="5671A6F3" w:rsidR="002970B6" w:rsidRPr="001C3915" w:rsidRDefault="002970B6" w:rsidP="00E13FD9">
            <w:pPr>
              <w:spacing w:before="40" w:after="40"/>
              <w:ind w:right="-79"/>
              <w:jc w:val="center"/>
              <w:rPr>
                <w:sz w:val="16"/>
                <w:szCs w:val="18"/>
              </w:rPr>
            </w:pPr>
            <w:r w:rsidRPr="00622F40">
              <w:rPr>
                <w:sz w:val="16"/>
                <w:szCs w:val="18"/>
              </w:rPr>
              <w:t>164,448</w:t>
            </w:r>
          </w:p>
        </w:tc>
        <w:tc>
          <w:tcPr>
            <w:tcW w:w="397" w:type="pct"/>
            <w:tcBorders>
              <w:top w:val="single" w:sz="4" w:space="0" w:color="auto"/>
              <w:left w:val="nil"/>
              <w:bottom w:val="single" w:sz="4" w:space="0" w:color="auto"/>
              <w:right w:val="single" w:sz="4" w:space="0" w:color="auto"/>
            </w:tcBorders>
            <w:shd w:val="clear" w:color="auto" w:fill="auto"/>
            <w:vAlign w:val="center"/>
          </w:tcPr>
          <w:p w14:paraId="6E92E42E" w14:textId="6EF1E262" w:rsidR="002970B6" w:rsidRPr="001C3915" w:rsidRDefault="002970B6" w:rsidP="00E13FD9">
            <w:pPr>
              <w:spacing w:before="40" w:after="40"/>
              <w:ind w:right="-79"/>
              <w:jc w:val="center"/>
              <w:rPr>
                <w:sz w:val="16"/>
                <w:szCs w:val="18"/>
              </w:rPr>
            </w:pPr>
            <w:r w:rsidRPr="00622F40">
              <w:rPr>
                <w:sz w:val="16"/>
                <w:szCs w:val="18"/>
              </w:rPr>
              <w:t>158,056</w:t>
            </w:r>
          </w:p>
        </w:tc>
        <w:tc>
          <w:tcPr>
            <w:tcW w:w="397" w:type="pct"/>
            <w:tcBorders>
              <w:top w:val="single" w:sz="4" w:space="0" w:color="auto"/>
              <w:left w:val="nil"/>
              <w:bottom w:val="single" w:sz="4" w:space="0" w:color="auto"/>
              <w:right w:val="single" w:sz="4" w:space="0" w:color="auto"/>
            </w:tcBorders>
            <w:shd w:val="clear" w:color="auto" w:fill="auto"/>
            <w:vAlign w:val="center"/>
          </w:tcPr>
          <w:p w14:paraId="1448B086" w14:textId="5D661C1A" w:rsidR="002970B6" w:rsidRPr="001C3915" w:rsidRDefault="002970B6" w:rsidP="00E13FD9">
            <w:pPr>
              <w:spacing w:before="40" w:after="40"/>
              <w:ind w:right="-79"/>
              <w:jc w:val="center"/>
              <w:rPr>
                <w:sz w:val="16"/>
                <w:szCs w:val="18"/>
              </w:rPr>
            </w:pPr>
            <w:r w:rsidRPr="00622F40">
              <w:rPr>
                <w:sz w:val="16"/>
                <w:szCs w:val="18"/>
              </w:rPr>
              <w:t>167,950</w:t>
            </w:r>
          </w:p>
        </w:tc>
        <w:tc>
          <w:tcPr>
            <w:tcW w:w="397" w:type="pct"/>
            <w:tcBorders>
              <w:top w:val="single" w:sz="4" w:space="0" w:color="auto"/>
              <w:left w:val="nil"/>
              <w:bottom w:val="single" w:sz="4" w:space="0" w:color="auto"/>
              <w:right w:val="single" w:sz="4" w:space="0" w:color="auto"/>
            </w:tcBorders>
            <w:shd w:val="clear" w:color="auto" w:fill="auto"/>
            <w:vAlign w:val="center"/>
          </w:tcPr>
          <w:p w14:paraId="43A8C93D" w14:textId="0B0E2249" w:rsidR="002970B6" w:rsidRPr="001C3915" w:rsidRDefault="002970B6" w:rsidP="00E13FD9">
            <w:pPr>
              <w:spacing w:before="40" w:after="40"/>
              <w:ind w:right="-79"/>
              <w:jc w:val="center"/>
              <w:rPr>
                <w:sz w:val="16"/>
                <w:szCs w:val="18"/>
              </w:rPr>
            </w:pPr>
            <w:r w:rsidRPr="00622F40">
              <w:rPr>
                <w:sz w:val="16"/>
                <w:szCs w:val="18"/>
              </w:rPr>
              <w:t>162,246</w:t>
            </w:r>
          </w:p>
        </w:tc>
      </w:tr>
      <w:tr w:rsidR="00277ADB" w:rsidRPr="00155CA1" w14:paraId="4F9C7A73"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0FB59" w14:textId="77777777" w:rsidR="00277ADB" w:rsidRPr="00B75289" w:rsidRDefault="00277ADB" w:rsidP="00E13FD9">
            <w:pPr>
              <w:spacing w:before="40" w:after="40"/>
              <w:jc w:val="center"/>
              <w:rPr>
                <w:rFonts w:cs="Arial"/>
                <w:sz w:val="16"/>
                <w:szCs w:val="16"/>
              </w:rPr>
            </w:pPr>
            <w:r w:rsidRPr="00B75289">
              <w:rPr>
                <w:rFonts w:cs="Arial"/>
                <w:sz w:val="16"/>
                <w:szCs w:val="16"/>
              </w:rPr>
              <w:t>Pulp &amp; Paper (combined)</w:t>
            </w:r>
          </w:p>
        </w:tc>
        <w:tc>
          <w:tcPr>
            <w:tcW w:w="397" w:type="pct"/>
            <w:tcBorders>
              <w:top w:val="single" w:sz="4" w:space="0" w:color="auto"/>
              <w:left w:val="nil"/>
              <w:bottom w:val="single" w:sz="4" w:space="0" w:color="auto"/>
              <w:right w:val="single" w:sz="4" w:space="0" w:color="auto"/>
            </w:tcBorders>
            <w:shd w:val="clear" w:color="auto" w:fill="auto"/>
            <w:vAlign w:val="center"/>
          </w:tcPr>
          <w:p w14:paraId="1147829E" w14:textId="14F1752F" w:rsidR="00277ADB" w:rsidRPr="001C3915" w:rsidRDefault="00277ADB" w:rsidP="00E13FD9">
            <w:pPr>
              <w:spacing w:before="40" w:after="40"/>
              <w:ind w:right="-79"/>
              <w:jc w:val="center"/>
              <w:rPr>
                <w:rFonts w:cs="Arial"/>
                <w:sz w:val="16"/>
                <w:szCs w:val="18"/>
              </w:rPr>
            </w:pPr>
            <w:r w:rsidRPr="00622F40">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7F6A8F7B" w14:textId="24062D1C" w:rsidR="00277ADB" w:rsidRPr="001C3915" w:rsidRDefault="00277ADB" w:rsidP="00E13FD9">
            <w:pPr>
              <w:spacing w:before="40" w:after="40"/>
              <w:ind w:right="-79"/>
              <w:jc w:val="center"/>
              <w:rPr>
                <w:rFonts w:cs="Arial"/>
                <w:sz w:val="16"/>
                <w:szCs w:val="18"/>
              </w:rPr>
            </w:pPr>
            <w:r w:rsidRPr="00622F40">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360F68B5" w14:textId="60C030CA" w:rsidR="00277ADB" w:rsidRPr="001C3915" w:rsidRDefault="00277ADB" w:rsidP="00E13FD9">
            <w:pPr>
              <w:spacing w:before="40" w:after="40"/>
              <w:ind w:right="-79"/>
              <w:jc w:val="center"/>
              <w:rPr>
                <w:sz w:val="16"/>
                <w:szCs w:val="18"/>
              </w:rPr>
            </w:pPr>
            <w:r w:rsidRPr="00622F40">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0830A786" w14:textId="0D361249" w:rsidR="00277ADB" w:rsidRPr="001C3915" w:rsidRDefault="00277ADB" w:rsidP="00E13FD9">
            <w:pPr>
              <w:spacing w:before="40" w:after="40"/>
              <w:ind w:right="-79"/>
              <w:jc w:val="center"/>
              <w:rPr>
                <w:sz w:val="16"/>
                <w:szCs w:val="18"/>
              </w:rPr>
            </w:pPr>
            <w:r w:rsidRPr="00622F40">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4D9762E5" w14:textId="2CAE0D56" w:rsidR="00277ADB" w:rsidRPr="001C3915" w:rsidRDefault="00277ADB" w:rsidP="00E13FD9">
            <w:pPr>
              <w:spacing w:before="40" w:after="40"/>
              <w:ind w:right="-79"/>
              <w:jc w:val="center"/>
              <w:rPr>
                <w:sz w:val="16"/>
                <w:szCs w:val="18"/>
              </w:rPr>
            </w:pPr>
            <w:r w:rsidRPr="00622F40">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43B9D344" w14:textId="0C9C1699" w:rsidR="00277ADB" w:rsidRPr="001C3915" w:rsidRDefault="00277ADB" w:rsidP="00E13FD9">
            <w:pPr>
              <w:spacing w:before="40" w:after="40"/>
              <w:ind w:right="-79"/>
              <w:jc w:val="center"/>
              <w:rPr>
                <w:sz w:val="16"/>
                <w:szCs w:val="18"/>
              </w:rPr>
            </w:pPr>
            <w:r w:rsidRPr="00622F40">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4AEABD01" w14:textId="4E0DCFFB" w:rsidR="00277ADB" w:rsidRPr="001C3915" w:rsidRDefault="00277ADB" w:rsidP="00E13FD9">
            <w:pPr>
              <w:spacing w:before="40" w:after="40"/>
              <w:ind w:right="-79"/>
              <w:jc w:val="center"/>
              <w:rPr>
                <w:sz w:val="16"/>
                <w:szCs w:val="18"/>
              </w:rPr>
            </w:pPr>
            <w:r w:rsidRPr="00622F40">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2A61BF62" w14:textId="68E21561" w:rsidR="00277ADB" w:rsidRPr="001C3915" w:rsidRDefault="00277ADB" w:rsidP="00E13FD9">
            <w:pPr>
              <w:spacing w:before="40" w:after="40"/>
              <w:ind w:right="-79"/>
              <w:jc w:val="center"/>
              <w:rPr>
                <w:sz w:val="16"/>
                <w:szCs w:val="18"/>
              </w:rPr>
            </w:pPr>
            <w:r w:rsidRPr="00622F40">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02F7DB49" w14:textId="76B7ADE6" w:rsidR="00277ADB" w:rsidRPr="001C3915" w:rsidRDefault="00277ADB" w:rsidP="00E13FD9">
            <w:pPr>
              <w:spacing w:before="40" w:after="40"/>
              <w:ind w:right="-79"/>
              <w:jc w:val="center"/>
              <w:rPr>
                <w:sz w:val="16"/>
                <w:szCs w:val="18"/>
              </w:rPr>
            </w:pPr>
            <w:r w:rsidRPr="00622F40">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79A43A56" w14:textId="6830749B" w:rsidR="00277ADB" w:rsidRPr="001C3915" w:rsidRDefault="00277ADB" w:rsidP="00E13FD9">
            <w:pPr>
              <w:spacing w:before="40" w:after="40"/>
              <w:ind w:right="-79"/>
              <w:jc w:val="center"/>
              <w:rPr>
                <w:sz w:val="16"/>
                <w:szCs w:val="18"/>
              </w:rPr>
            </w:pPr>
            <w:r w:rsidRPr="00622F40">
              <w:rPr>
                <w:sz w:val="16"/>
                <w:szCs w:val="18"/>
              </w:rPr>
              <w:t>NO</w:t>
            </w:r>
          </w:p>
        </w:tc>
        <w:tc>
          <w:tcPr>
            <w:tcW w:w="397" w:type="pct"/>
            <w:tcBorders>
              <w:top w:val="single" w:sz="4" w:space="0" w:color="auto"/>
              <w:left w:val="nil"/>
              <w:bottom w:val="single" w:sz="4" w:space="0" w:color="auto"/>
              <w:right w:val="single" w:sz="4" w:space="0" w:color="auto"/>
            </w:tcBorders>
            <w:shd w:val="clear" w:color="auto" w:fill="auto"/>
            <w:vAlign w:val="center"/>
          </w:tcPr>
          <w:p w14:paraId="2C5EE5A3" w14:textId="25F65CB7" w:rsidR="00277ADB" w:rsidRPr="001C3915" w:rsidRDefault="00277ADB" w:rsidP="00E13FD9">
            <w:pPr>
              <w:spacing w:before="40" w:after="40"/>
              <w:ind w:right="-79"/>
              <w:jc w:val="center"/>
              <w:rPr>
                <w:sz w:val="16"/>
                <w:szCs w:val="18"/>
              </w:rPr>
            </w:pPr>
            <w:r w:rsidRPr="00622F40">
              <w:rPr>
                <w:sz w:val="16"/>
                <w:szCs w:val="18"/>
              </w:rPr>
              <w:t>NO</w:t>
            </w:r>
          </w:p>
        </w:tc>
      </w:tr>
      <w:tr w:rsidR="002970B6" w:rsidRPr="00155CA1" w14:paraId="2B52681E"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27E9F" w14:textId="77777777" w:rsidR="002970B6" w:rsidRPr="00B75289" w:rsidRDefault="002970B6" w:rsidP="00E13FD9">
            <w:pPr>
              <w:spacing w:before="40" w:after="40"/>
              <w:jc w:val="center"/>
              <w:rPr>
                <w:rFonts w:cs="Arial"/>
                <w:sz w:val="16"/>
                <w:szCs w:val="16"/>
              </w:rPr>
            </w:pPr>
            <w:r w:rsidRPr="00B75289">
              <w:rPr>
                <w:rFonts w:cs="Arial"/>
                <w:sz w:val="16"/>
                <w:szCs w:val="16"/>
              </w:rPr>
              <w:t>Soap &amp; Detergents</w:t>
            </w:r>
          </w:p>
        </w:tc>
        <w:tc>
          <w:tcPr>
            <w:tcW w:w="397" w:type="pct"/>
            <w:tcBorders>
              <w:top w:val="single" w:sz="4" w:space="0" w:color="auto"/>
              <w:left w:val="nil"/>
              <w:bottom w:val="single" w:sz="4" w:space="0" w:color="auto"/>
              <w:right w:val="single" w:sz="4" w:space="0" w:color="auto"/>
            </w:tcBorders>
            <w:shd w:val="clear" w:color="auto" w:fill="auto"/>
            <w:vAlign w:val="center"/>
          </w:tcPr>
          <w:p w14:paraId="7D90625D" w14:textId="71FCBC7C" w:rsidR="002970B6" w:rsidRPr="001C3915" w:rsidRDefault="002970B6" w:rsidP="00E13FD9">
            <w:pPr>
              <w:spacing w:before="40" w:after="40"/>
              <w:ind w:right="-79"/>
              <w:jc w:val="center"/>
              <w:rPr>
                <w:rFonts w:cs="Arial"/>
                <w:sz w:val="16"/>
                <w:szCs w:val="18"/>
              </w:rPr>
            </w:pPr>
            <w:r w:rsidRPr="00622F40">
              <w:rPr>
                <w:sz w:val="16"/>
                <w:szCs w:val="18"/>
              </w:rPr>
              <w:t>167,224</w:t>
            </w:r>
          </w:p>
        </w:tc>
        <w:tc>
          <w:tcPr>
            <w:tcW w:w="397" w:type="pct"/>
            <w:tcBorders>
              <w:top w:val="single" w:sz="4" w:space="0" w:color="auto"/>
              <w:left w:val="nil"/>
              <w:bottom w:val="single" w:sz="4" w:space="0" w:color="auto"/>
              <w:right w:val="single" w:sz="4" w:space="0" w:color="auto"/>
            </w:tcBorders>
            <w:shd w:val="clear" w:color="auto" w:fill="auto"/>
            <w:vAlign w:val="center"/>
          </w:tcPr>
          <w:p w14:paraId="271A8A5D" w14:textId="7E25DA5F" w:rsidR="002970B6" w:rsidRPr="001C3915" w:rsidRDefault="002970B6" w:rsidP="00E13FD9">
            <w:pPr>
              <w:spacing w:before="40" w:after="40"/>
              <w:ind w:right="-79"/>
              <w:jc w:val="center"/>
              <w:rPr>
                <w:rFonts w:cs="Arial"/>
                <w:sz w:val="16"/>
                <w:szCs w:val="18"/>
              </w:rPr>
            </w:pPr>
            <w:r w:rsidRPr="00622F40">
              <w:rPr>
                <w:sz w:val="16"/>
                <w:szCs w:val="18"/>
              </w:rPr>
              <w:t>157,590</w:t>
            </w:r>
          </w:p>
        </w:tc>
        <w:tc>
          <w:tcPr>
            <w:tcW w:w="397" w:type="pct"/>
            <w:tcBorders>
              <w:top w:val="single" w:sz="4" w:space="0" w:color="auto"/>
              <w:left w:val="nil"/>
              <w:bottom w:val="single" w:sz="4" w:space="0" w:color="auto"/>
              <w:right w:val="single" w:sz="4" w:space="0" w:color="auto"/>
            </w:tcBorders>
            <w:shd w:val="clear" w:color="auto" w:fill="auto"/>
            <w:vAlign w:val="center"/>
          </w:tcPr>
          <w:p w14:paraId="403ADFF0" w14:textId="23DE45F3" w:rsidR="002970B6" w:rsidRPr="001C3915" w:rsidRDefault="002970B6" w:rsidP="00E13FD9">
            <w:pPr>
              <w:spacing w:before="40" w:after="40"/>
              <w:ind w:right="-79"/>
              <w:jc w:val="center"/>
              <w:rPr>
                <w:sz w:val="16"/>
                <w:szCs w:val="18"/>
              </w:rPr>
            </w:pPr>
            <w:r w:rsidRPr="00622F40">
              <w:rPr>
                <w:sz w:val="16"/>
                <w:szCs w:val="18"/>
              </w:rPr>
              <w:t>152,730</w:t>
            </w:r>
          </w:p>
        </w:tc>
        <w:tc>
          <w:tcPr>
            <w:tcW w:w="397" w:type="pct"/>
            <w:tcBorders>
              <w:top w:val="single" w:sz="4" w:space="0" w:color="auto"/>
              <w:left w:val="nil"/>
              <w:bottom w:val="single" w:sz="4" w:space="0" w:color="auto"/>
              <w:right w:val="single" w:sz="4" w:space="0" w:color="auto"/>
            </w:tcBorders>
            <w:shd w:val="clear" w:color="auto" w:fill="auto"/>
            <w:vAlign w:val="center"/>
          </w:tcPr>
          <w:p w14:paraId="2DADBEF9" w14:textId="0639F777" w:rsidR="002970B6" w:rsidRPr="001C3915" w:rsidRDefault="002970B6" w:rsidP="00E13FD9">
            <w:pPr>
              <w:spacing w:before="40" w:after="40"/>
              <w:ind w:right="-79"/>
              <w:jc w:val="center"/>
              <w:rPr>
                <w:sz w:val="16"/>
                <w:szCs w:val="18"/>
              </w:rPr>
            </w:pPr>
            <w:r w:rsidRPr="00622F40">
              <w:rPr>
                <w:sz w:val="16"/>
                <w:szCs w:val="18"/>
              </w:rPr>
              <w:t>157,619</w:t>
            </w:r>
          </w:p>
        </w:tc>
        <w:tc>
          <w:tcPr>
            <w:tcW w:w="397" w:type="pct"/>
            <w:tcBorders>
              <w:top w:val="single" w:sz="4" w:space="0" w:color="auto"/>
              <w:left w:val="nil"/>
              <w:bottom w:val="single" w:sz="4" w:space="0" w:color="auto"/>
              <w:right w:val="single" w:sz="4" w:space="0" w:color="auto"/>
            </w:tcBorders>
            <w:shd w:val="clear" w:color="auto" w:fill="auto"/>
            <w:vAlign w:val="center"/>
          </w:tcPr>
          <w:p w14:paraId="7D84268D" w14:textId="77F689C6" w:rsidR="002970B6" w:rsidRPr="001C3915" w:rsidRDefault="002970B6" w:rsidP="00E13FD9">
            <w:pPr>
              <w:spacing w:before="40" w:after="40"/>
              <w:ind w:right="-79"/>
              <w:jc w:val="center"/>
              <w:rPr>
                <w:sz w:val="16"/>
                <w:szCs w:val="18"/>
              </w:rPr>
            </w:pPr>
            <w:r w:rsidRPr="00622F40">
              <w:rPr>
                <w:sz w:val="16"/>
                <w:szCs w:val="18"/>
              </w:rPr>
              <w:t>152,988</w:t>
            </w:r>
          </w:p>
        </w:tc>
        <w:tc>
          <w:tcPr>
            <w:tcW w:w="397" w:type="pct"/>
            <w:tcBorders>
              <w:top w:val="single" w:sz="4" w:space="0" w:color="auto"/>
              <w:left w:val="nil"/>
              <w:bottom w:val="single" w:sz="4" w:space="0" w:color="auto"/>
              <w:right w:val="single" w:sz="4" w:space="0" w:color="auto"/>
            </w:tcBorders>
            <w:shd w:val="clear" w:color="auto" w:fill="auto"/>
            <w:vAlign w:val="center"/>
          </w:tcPr>
          <w:p w14:paraId="51C7F618" w14:textId="371F1623" w:rsidR="002970B6" w:rsidRPr="001C3915" w:rsidRDefault="002970B6" w:rsidP="00E13FD9">
            <w:pPr>
              <w:spacing w:before="40" w:after="40"/>
              <w:ind w:right="-79"/>
              <w:jc w:val="center"/>
              <w:rPr>
                <w:sz w:val="16"/>
                <w:szCs w:val="18"/>
              </w:rPr>
            </w:pPr>
            <w:r w:rsidRPr="00622F40">
              <w:rPr>
                <w:sz w:val="16"/>
                <w:szCs w:val="18"/>
              </w:rPr>
              <w:t>162,256</w:t>
            </w:r>
          </w:p>
        </w:tc>
        <w:tc>
          <w:tcPr>
            <w:tcW w:w="397" w:type="pct"/>
            <w:tcBorders>
              <w:top w:val="single" w:sz="4" w:space="0" w:color="auto"/>
              <w:left w:val="nil"/>
              <w:bottom w:val="single" w:sz="4" w:space="0" w:color="auto"/>
              <w:right w:val="single" w:sz="4" w:space="0" w:color="auto"/>
            </w:tcBorders>
            <w:shd w:val="clear" w:color="auto" w:fill="auto"/>
            <w:vAlign w:val="center"/>
          </w:tcPr>
          <w:p w14:paraId="7F38CEC2" w14:textId="44A33A7E" w:rsidR="002970B6" w:rsidRPr="001C3915" w:rsidRDefault="002970B6" w:rsidP="00E13FD9">
            <w:pPr>
              <w:spacing w:before="40" w:after="40"/>
              <w:ind w:right="-79"/>
              <w:jc w:val="center"/>
              <w:rPr>
                <w:sz w:val="16"/>
                <w:szCs w:val="18"/>
              </w:rPr>
            </w:pPr>
            <w:r w:rsidRPr="00622F40">
              <w:rPr>
                <w:sz w:val="16"/>
                <w:szCs w:val="18"/>
              </w:rPr>
              <w:t>171,056</w:t>
            </w:r>
          </w:p>
        </w:tc>
        <w:tc>
          <w:tcPr>
            <w:tcW w:w="397" w:type="pct"/>
            <w:tcBorders>
              <w:top w:val="single" w:sz="4" w:space="0" w:color="auto"/>
              <w:left w:val="nil"/>
              <w:bottom w:val="single" w:sz="4" w:space="0" w:color="auto"/>
              <w:right w:val="single" w:sz="4" w:space="0" w:color="auto"/>
            </w:tcBorders>
            <w:shd w:val="clear" w:color="auto" w:fill="auto"/>
            <w:vAlign w:val="center"/>
          </w:tcPr>
          <w:p w14:paraId="4160D2BA" w14:textId="5587C74E" w:rsidR="002970B6" w:rsidRPr="001C3915" w:rsidRDefault="002970B6" w:rsidP="00E13FD9">
            <w:pPr>
              <w:spacing w:before="40" w:after="40"/>
              <w:ind w:right="-79"/>
              <w:jc w:val="center"/>
              <w:rPr>
                <w:sz w:val="16"/>
                <w:szCs w:val="18"/>
              </w:rPr>
            </w:pPr>
            <w:r w:rsidRPr="00622F40">
              <w:rPr>
                <w:sz w:val="16"/>
                <w:szCs w:val="18"/>
              </w:rPr>
              <w:t>157,710</w:t>
            </w:r>
          </w:p>
        </w:tc>
        <w:tc>
          <w:tcPr>
            <w:tcW w:w="397" w:type="pct"/>
            <w:tcBorders>
              <w:top w:val="single" w:sz="4" w:space="0" w:color="auto"/>
              <w:left w:val="nil"/>
              <w:bottom w:val="single" w:sz="4" w:space="0" w:color="auto"/>
              <w:right w:val="single" w:sz="4" w:space="0" w:color="auto"/>
            </w:tcBorders>
            <w:shd w:val="clear" w:color="auto" w:fill="auto"/>
            <w:vAlign w:val="center"/>
          </w:tcPr>
          <w:p w14:paraId="3A80F2ED" w14:textId="759595CD" w:rsidR="002970B6" w:rsidRPr="001C3915" w:rsidRDefault="002970B6" w:rsidP="00E13FD9">
            <w:pPr>
              <w:spacing w:before="40" w:after="40"/>
              <w:ind w:right="-79"/>
              <w:jc w:val="center"/>
              <w:rPr>
                <w:sz w:val="16"/>
                <w:szCs w:val="18"/>
              </w:rPr>
            </w:pPr>
            <w:r w:rsidRPr="00622F40">
              <w:rPr>
                <w:sz w:val="16"/>
                <w:szCs w:val="18"/>
              </w:rPr>
              <w:t>190,791</w:t>
            </w:r>
          </w:p>
        </w:tc>
        <w:tc>
          <w:tcPr>
            <w:tcW w:w="397" w:type="pct"/>
            <w:tcBorders>
              <w:top w:val="single" w:sz="4" w:space="0" w:color="auto"/>
              <w:left w:val="nil"/>
              <w:bottom w:val="single" w:sz="4" w:space="0" w:color="auto"/>
              <w:right w:val="single" w:sz="4" w:space="0" w:color="auto"/>
            </w:tcBorders>
            <w:shd w:val="clear" w:color="auto" w:fill="auto"/>
            <w:vAlign w:val="center"/>
          </w:tcPr>
          <w:p w14:paraId="7FF44144" w14:textId="6394F5FA" w:rsidR="002970B6" w:rsidRPr="001C3915" w:rsidRDefault="002970B6" w:rsidP="00E13FD9">
            <w:pPr>
              <w:spacing w:before="40" w:after="40"/>
              <w:ind w:right="-79"/>
              <w:jc w:val="center"/>
              <w:rPr>
                <w:sz w:val="16"/>
                <w:szCs w:val="18"/>
              </w:rPr>
            </w:pPr>
            <w:r w:rsidRPr="00622F40">
              <w:rPr>
                <w:sz w:val="16"/>
                <w:szCs w:val="18"/>
              </w:rPr>
              <w:t>223,789</w:t>
            </w:r>
          </w:p>
        </w:tc>
        <w:tc>
          <w:tcPr>
            <w:tcW w:w="397" w:type="pct"/>
            <w:tcBorders>
              <w:top w:val="single" w:sz="4" w:space="0" w:color="auto"/>
              <w:left w:val="nil"/>
              <w:bottom w:val="single" w:sz="4" w:space="0" w:color="auto"/>
              <w:right w:val="single" w:sz="4" w:space="0" w:color="auto"/>
            </w:tcBorders>
            <w:shd w:val="clear" w:color="auto" w:fill="auto"/>
            <w:vAlign w:val="center"/>
          </w:tcPr>
          <w:p w14:paraId="5878BF5E" w14:textId="684DB020" w:rsidR="002970B6" w:rsidRPr="001C3915" w:rsidRDefault="002970B6" w:rsidP="00E13FD9">
            <w:pPr>
              <w:spacing w:before="40" w:after="40"/>
              <w:ind w:right="-79"/>
              <w:jc w:val="center"/>
              <w:rPr>
                <w:sz w:val="16"/>
                <w:szCs w:val="18"/>
              </w:rPr>
            </w:pPr>
            <w:r w:rsidRPr="00622F40">
              <w:rPr>
                <w:sz w:val="16"/>
                <w:szCs w:val="18"/>
              </w:rPr>
              <w:t>234,013</w:t>
            </w:r>
          </w:p>
        </w:tc>
      </w:tr>
      <w:tr w:rsidR="002970B6" w:rsidRPr="00155CA1" w14:paraId="79A5B1F6"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71211D" w14:textId="77777777" w:rsidR="002970B6" w:rsidRPr="00B75289" w:rsidRDefault="002970B6" w:rsidP="00E13FD9">
            <w:pPr>
              <w:spacing w:before="40" w:after="40"/>
              <w:jc w:val="center"/>
              <w:rPr>
                <w:rFonts w:cs="Arial"/>
                <w:sz w:val="16"/>
                <w:szCs w:val="16"/>
              </w:rPr>
            </w:pPr>
            <w:r w:rsidRPr="00B75289">
              <w:rPr>
                <w:rFonts w:cs="Arial"/>
                <w:sz w:val="16"/>
                <w:szCs w:val="16"/>
              </w:rPr>
              <w:t>Starch Production</w:t>
            </w:r>
          </w:p>
        </w:tc>
        <w:tc>
          <w:tcPr>
            <w:tcW w:w="397" w:type="pct"/>
            <w:tcBorders>
              <w:top w:val="single" w:sz="4" w:space="0" w:color="auto"/>
              <w:left w:val="nil"/>
              <w:bottom w:val="single" w:sz="4" w:space="0" w:color="auto"/>
              <w:right w:val="single" w:sz="4" w:space="0" w:color="auto"/>
            </w:tcBorders>
            <w:shd w:val="clear" w:color="auto" w:fill="auto"/>
            <w:vAlign w:val="center"/>
          </w:tcPr>
          <w:p w14:paraId="761023AF" w14:textId="211F8EF2" w:rsidR="002970B6" w:rsidRPr="001C3915" w:rsidRDefault="002970B6" w:rsidP="00E13FD9">
            <w:pPr>
              <w:spacing w:before="40" w:after="40"/>
              <w:ind w:right="-79"/>
              <w:jc w:val="center"/>
              <w:rPr>
                <w:rFonts w:cs="Arial"/>
                <w:sz w:val="16"/>
                <w:szCs w:val="18"/>
              </w:rPr>
            </w:pPr>
            <w:r w:rsidRPr="00622F40">
              <w:rPr>
                <w:sz w:val="16"/>
                <w:szCs w:val="18"/>
              </w:rPr>
              <w:t>32,919</w:t>
            </w:r>
          </w:p>
        </w:tc>
        <w:tc>
          <w:tcPr>
            <w:tcW w:w="397" w:type="pct"/>
            <w:tcBorders>
              <w:top w:val="single" w:sz="4" w:space="0" w:color="auto"/>
              <w:left w:val="nil"/>
              <w:bottom w:val="single" w:sz="4" w:space="0" w:color="auto"/>
              <w:right w:val="single" w:sz="4" w:space="0" w:color="auto"/>
            </w:tcBorders>
            <w:shd w:val="clear" w:color="auto" w:fill="auto"/>
            <w:vAlign w:val="center"/>
          </w:tcPr>
          <w:p w14:paraId="6435DBB8" w14:textId="01A49610" w:rsidR="002970B6" w:rsidRPr="001C3915" w:rsidRDefault="002970B6" w:rsidP="00E13FD9">
            <w:pPr>
              <w:spacing w:before="40" w:after="40"/>
              <w:ind w:right="-79"/>
              <w:jc w:val="center"/>
              <w:rPr>
                <w:rFonts w:cs="Arial"/>
                <w:sz w:val="16"/>
                <w:szCs w:val="18"/>
              </w:rPr>
            </w:pPr>
            <w:r w:rsidRPr="00622F40">
              <w:rPr>
                <w:sz w:val="16"/>
                <w:szCs w:val="18"/>
              </w:rPr>
              <w:t>32,836</w:t>
            </w:r>
          </w:p>
        </w:tc>
        <w:tc>
          <w:tcPr>
            <w:tcW w:w="397" w:type="pct"/>
            <w:tcBorders>
              <w:top w:val="single" w:sz="4" w:space="0" w:color="auto"/>
              <w:left w:val="nil"/>
              <w:bottom w:val="single" w:sz="4" w:space="0" w:color="auto"/>
              <w:right w:val="single" w:sz="4" w:space="0" w:color="auto"/>
            </w:tcBorders>
            <w:shd w:val="clear" w:color="auto" w:fill="auto"/>
            <w:vAlign w:val="center"/>
          </w:tcPr>
          <w:p w14:paraId="013B1876" w14:textId="63C6291D" w:rsidR="002970B6" w:rsidRPr="001C3915" w:rsidRDefault="002970B6" w:rsidP="00E13FD9">
            <w:pPr>
              <w:spacing w:before="40" w:after="40"/>
              <w:ind w:right="-79"/>
              <w:jc w:val="center"/>
              <w:rPr>
                <w:sz w:val="16"/>
                <w:szCs w:val="18"/>
              </w:rPr>
            </w:pPr>
            <w:r w:rsidRPr="00622F40">
              <w:rPr>
                <w:sz w:val="16"/>
                <w:szCs w:val="18"/>
              </w:rPr>
              <w:t>75,188</w:t>
            </w:r>
          </w:p>
        </w:tc>
        <w:tc>
          <w:tcPr>
            <w:tcW w:w="397" w:type="pct"/>
            <w:tcBorders>
              <w:top w:val="single" w:sz="4" w:space="0" w:color="auto"/>
              <w:left w:val="nil"/>
              <w:bottom w:val="single" w:sz="4" w:space="0" w:color="auto"/>
              <w:right w:val="single" w:sz="4" w:space="0" w:color="auto"/>
            </w:tcBorders>
            <w:shd w:val="clear" w:color="auto" w:fill="auto"/>
            <w:vAlign w:val="center"/>
          </w:tcPr>
          <w:p w14:paraId="53260896" w14:textId="3CD8C370" w:rsidR="002970B6" w:rsidRPr="001C3915" w:rsidRDefault="002970B6" w:rsidP="00E13FD9">
            <w:pPr>
              <w:spacing w:before="40" w:after="40"/>
              <w:ind w:right="-79"/>
              <w:jc w:val="center"/>
              <w:rPr>
                <w:sz w:val="16"/>
                <w:szCs w:val="18"/>
              </w:rPr>
            </w:pPr>
            <w:r w:rsidRPr="00622F40">
              <w:rPr>
                <w:sz w:val="16"/>
                <w:szCs w:val="18"/>
              </w:rPr>
              <w:t>97,779</w:t>
            </w:r>
          </w:p>
        </w:tc>
        <w:tc>
          <w:tcPr>
            <w:tcW w:w="397" w:type="pct"/>
            <w:tcBorders>
              <w:top w:val="single" w:sz="4" w:space="0" w:color="auto"/>
              <w:left w:val="nil"/>
              <w:bottom w:val="single" w:sz="4" w:space="0" w:color="auto"/>
              <w:right w:val="single" w:sz="4" w:space="0" w:color="auto"/>
            </w:tcBorders>
            <w:shd w:val="clear" w:color="auto" w:fill="auto"/>
            <w:vAlign w:val="center"/>
          </w:tcPr>
          <w:p w14:paraId="7524324A" w14:textId="261901B7" w:rsidR="002970B6" w:rsidRPr="001C3915" w:rsidRDefault="002970B6" w:rsidP="00E13FD9">
            <w:pPr>
              <w:spacing w:before="40" w:after="40"/>
              <w:ind w:right="-79"/>
              <w:jc w:val="center"/>
              <w:rPr>
                <w:sz w:val="16"/>
                <w:szCs w:val="18"/>
              </w:rPr>
            </w:pPr>
            <w:r w:rsidRPr="00622F40">
              <w:rPr>
                <w:sz w:val="16"/>
                <w:szCs w:val="18"/>
              </w:rPr>
              <w:t>102,665</w:t>
            </w:r>
          </w:p>
        </w:tc>
        <w:tc>
          <w:tcPr>
            <w:tcW w:w="397" w:type="pct"/>
            <w:tcBorders>
              <w:top w:val="single" w:sz="4" w:space="0" w:color="auto"/>
              <w:left w:val="nil"/>
              <w:bottom w:val="single" w:sz="4" w:space="0" w:color="auto"/>
              <w:right w:val="single" w:sz="4" w:space="0" w:color="auto"/>
            </w:tcBorders>
            <w:shd w:val="clear" w:color="auto" w:fill="auto"/>
            <w:vAlign w:val="center"/>
          </w:tcPr>
          <w:p w14:paraId="08AA3759" w14:textId="116C133D" w:rsidR="002970B6" w:rsidRPr="001C3915" w:rsidRDefault="002970B6" w:rsidP="00E13FD9">
            <w:pPr>
              <w:spacing w:before="40" w:after="40"/>
              <w:ind w:right="-79"/>
              <w:jc w:val="center"/>
              <w:rPr>
                <w:sz w:val="16"/>
                <w:szCs w:val="18"/>
              </w:rPr>
            </w:pPr>
            <w:r w:rsidRPr="00622F40">
              <w:rPr>
                <w:sz w:val="16"/>
                <w:szCs w:val="18"/>
              </w:rPr>
              <w:t>19,451</w:t>
            </w:r>
          </w:p>
        </w:tc>
        <w:tc>
          <w:tcPr>
            <w:tcW w:w="397" w:type="pct"/>
            <w:tcBorders>
              <w:top w:val="single" w:sz="4" w:space="0" w:color="auto"/>
              <w:left w:val="nil"/>
              <w:bottom w:val="single" w:sz="4" w:space="0" w:color="auto"/>
              <w:right w:val="single" w:sz="4" w:space="0" w:color="auto"/>
            </w:tcBorders>
            <w:shd w:val="clear" w:color="auto" w:fill="auto"/>
            <w:vAlign w:val="center"/>
          </w:tcPr>
          <w:p w14:paraId="051A0B8E" w14:textId="58839AFC" w:rsidR="002970B6" w:rsidRPr="001C3915" w:rsidRDefault="002970B6" w:rsidP="00E13FD9">
            <w:pPr>
              <w:spacing w:before="40" w:after="40"/>
              <w:ind w:right="-79"/>
              <w:jc w:val="center"/>
              <w:rPr>
                <w:sz w:val="16"/>
                <w:szCs w:val="18"/>
              </w:rPr>
            </w:pPr>
            <w:r w:rsidRPr="00622F40">
              <w:rPr>
                <w:sz w:val="16"/>
                <w:szCs w:val="18"/>
              </w:rPr>
              <w:t>24,942</w:t>
            </w:r>
          </w:p>
        </w:tc>
        <w:tc>
          <w:tcPr>
            <w:tcW w:w="397" w:type="pct"/>
            <w:tcBorders>
              <w:top w:val="single" w:sz="4" w:space="0" w:color="auto"/>
              <w:left w:val="nil"/>
              <w:bottom w:val="single" w:sz="4" w:space="0" w:color="auto"/>
              <w:right w:val="single" w:sz="4" w:space="0" w:color="auto"/>
            </w:tcBorders>
            <w:shd w:val="clear" w:color="auto" w:fill="auto"/>
            <w:vAlign w:val="center"/>
          </w:tcPr>
          <w:p w14:paraId="5339FF3B" w14:textId="0EE68E3A" w:rsidR="002970B6" w:rsidRPr="001C3915" w:rsidRDefault="002970B6" w:rsidP="00E13FD9">
            <w:pPr>
              <w:spacing w:before="40" w:after="40"/>
              <w:ind w:right="-79"/>
              <w:jc w:val="center"/>
              <w:rPr>
                <w:sz w:val="16"/>
                <w:szCs w:val="18"/>
              </w:rPr>
            </w:pPr>
            <w:r w:rsidRPr="00622F40">
              <w:rPr>
                <w:sz w:val="16"/>
                <w:szCs w:val="18"/>
              </w:rPr>
              <w:t>25,529</w:t>
            </w:r>
          </w:p>
        </w:tc>
        <w:tc>
          <w:tcPr>
            <w:tcW w:w="397" w:type="pct"/>
            <w:tcBorders>
              <w:top w:val="single" w:sz="4" w:space="0" w:color="auto"/>
              <w:left w:val="nil"/>
              <w:bottom w:val="single" w:sz="4" w:space="0" w:color="auto"/>
              <w:right w:val="single" w:sz="4" w:space="0" w:color="auto"/>
            </w:tcBorders>
            <w:shd w:val="clear" w:color="auto" w:fill="auto"/>
            <w:vAlign w:val="center"/>
          </w:tcPr>
          <w:p w14:paraId="7301608F" w14:textId="78BD73FF" w:rsidR="002970B6" w:rsidRPr="001C3915" w:rsidRDefault="002970B6" w:rsidP="00E13FD9">
            <w:pPr>
              <w:spacing w:before="40" w:after="40"/>
              <w:ind w:right="-79"/>
              <w:jc w:val="center"/>
              <w:rPr>
                <w:sz w:val="16"/>
                <w:szCs w:val="18"/>
              </w:rPr>
            </w:pPr>
            <w:r w:rsidRPr="00622F40">
              <w:rPr>
                <w:sz w:val="16"/>
                <w:szCs w:val="18"/>
              </w:rPr>
              <w:t>27,359</w:t>
            </w:r>
          </w:p>
        </w:tc>
        <w:tc>
          <w:tcPr>
            <w:tcW w:w="397" w:type="pct"/>
            <w:tcBorders>
              <w:top w:val="single" w:sz="4" w:space="0" w:color="auto"/>
              <w:left w:val="nil"/>
              <w:bottom w:val="single" w:sz="4" w:space="0" w:color="auto"/>
              <w:right w:val="single" w:sz="4" w:space="0" w:color="auto"/>
            </w:tcBorders>
            <w:shd w:val="clear" w:color="auto" w:fill="auto"/>
            <w:vAlign w:val="center"/>
          </w:tcPr>
          <w:p w14:paraId="16E23DE5" w14:textId="0D697EC1" w:rsidR="002970B6" w:rsidRPr="001C3915" w:rsidRDefault="002970B6" w:rsidP="00E13FD9">
            <w:pPr>
              <w:spacing w:before="40" w:after="40"/>
              <w:ind w:right="-79"/>
              <w:jc w:val="center"/>
              <w:rPr>
                <w:sz w:val="16"/>
                <w:szCs w:val="18"/>
              </w:rPr>
            </w:pPr>
            <w:r w:rsidRPr="00622F40">
              <w:rPr>
                <w:sz w:val="16"/>
                <w:szCs w:val="18"/>
              </w:rPr>
              <w:t>70,848</w:t>
            </w:r>
          </w:p>
        </w:tc>
        <w:tc>
          <w:tcPr>
            <w:tcW w:w="397" w:type="pct"/>
            <w:tcBorders>
              <w:top w:val="single" w:sz="4" w:space="0" w:color="auto"/>
              <w:left w:val="nil"/>
              <w:bottom w:val="single" w:sz="4" w:space="0" w:color="auto"/>
              <w:right w:val="single" w:sz="4" w:space="0" w:color="auto"/>
            </w:tcBorders>
            <w:shd w:val="clear" w:color="auto" w:fill="auto"/>
            <w:vAlign w:val="center"/>
          </w:tcPr>
          <w:p w14:paraId="006D3C0F" w14:textId="1303C00A" w:rsidR="002970B6" w:rsidRPr="001C3915" w:rsidRDefault="002970B6" w:rsidP="00E13FD9">
            <w:pPr>
              <w:spacing w:before="40" w:after="40"/>
              <w:ind w:right="-79"/>
              <w:jc w:val="center"/>
              <w:rPr>
                <w:sz w:val="16"/>
                <w:szCs w:val="18"/>
              </w:rPr>
            </w:pPr>
            <w:r w:rsidRPr="00622F40">
              <w:rPr>
                <w:sz w:val="16"/>
                <w:szCs w:val="18"/>
              </w:rPr>
              <w:t>86,715</w:t>
            </w:r>
          </w:p>
        </w:tc>
      </w:tr>
      <w:tr w:rsidR="002970B6" w:rsidRPr="00155CA1" w14:paraId="3F14366A"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91224" w14:textId="77777777" w:rsidR="002970B6" w:rsidRPr="00B75289" w:rsidRDefault="002970B6" w:rsidP="00E13FD9">
            <w:pPr>
              <w:spacing w:before="40" w:after="40"/>
              <w:jc w:val="center"/>
              <w:rPr>
                <w:rFonts w:cs="Arial"/>
                <w:sz w:val="16"/>
                <w:szCs w:val="16"/>
              </w:rPr>
            </w:pPr>
            <w:r w:rsidRPr="00B75289">
              <w:rPr>
                <w:rFonts w:cs="Arial"/>
                <w:sz w:val="16"/>
                <w:szCs w:val="16"/>
              </w:rPr>
              <w:t>Sugar Refining</w:t>
            </w:r>
          </w:p>
        </w:tc>
        <w:tc>
          <w:tcPr>
            <w:tcW w:w="397" w:type="pct"/>
            <w:tcBorders>
              <w:top w:val="single" w:sz="4" w:space="0" w:color="auto"/>
              <w:left w:val="nil"/>
              <w:bottom w:val="single" w:sz="4" w:space="0" w:color="auto"/>
              <w:right w:val="single" w:sz="4" w:space="0" w:color="auto"/>
            </w:tcBorders>
            <w:shd w:val="clear" w:color="auto" w:fill="auto"/>
            <w:vAlign w:val="center"/>
          </w:tcPr>
          <w:p w14:paraId="4529EA7C" w14:textId="7DFEA505" w:rsidR="002970B6" w:rsidRPr="001C3915" w:rsidRDefault="002970B6" w:rsidP="00E13FD9">
            <w:pPr>
              <w:spacing w:before="40" w:after="40"/>
              <w:ind w:right="-79"/>
              <w:jc w:val="center"/>
              <w:rPr>
                <w:rFonts w:cs="Arial"/>
                <w:sz w:val="16"/>
                <w:szCs w:val="18"/>
              </w:rPr>
            </w:pPr>
            <w:r w:rsidRPr="00622F40">
              <w:rPr>
                <w:sz w:val="16"/>
                <w:szCs w:val="18"/>
              </w:rPr>
              <w:t>402,593</w:t>
            </w:r>
          </w:p>
        </w:tc>
        <w:tc>
          <w:tcPr>
            <w:tcW w:w="397" w:type="pct"/>
            <w:tcBorders>
              <w:top w:val="single" w:sz="4" w:space="0" w:color="auto"/>
              <w:left w:val="nil"/>
              <w:bottom w:val="single" w:sz="4" w:space="0" w:color="auto"/>
              <w:right w:val="single" w:sz="4" w:space="0" w:color="auto"/>
            </w:tcBorders>
            <w:shd w:val="clear" w:color="auto" w:fill="auto"/>
            <w:vAlign w:val="center"/>
          </w:tcPr>
          <w:p w14:paraId="7415771A" w14:textId="022FF46D" w:rsidR="002970B6" w:rsidRPr="001C3915" w:rsidRDefault="002970B6" w:rsidP="00E13FD9">
            <w:pPr>
              <w:spacing w:before="40" w:after="40"/>
              <w:ind w:right="-79"/>
              <w:jc w:val="center"/>
              <w:rPr>
                <w:rFonts w:cs="Arial"/>
                <w:sz w:val="16"/>
                <w:szCs w:val="18"/>
              </w:rPr>
            </w:pPr>
            <w:r w:rsidRPr="00622F40">
              <w:rPr>
                <w:sz w:val="16"/>
                <w:szCs w:val="18"/>
              </w:rPr>
              <w:t>508,452</w:t>
            </w:r>
          </w:p>
        </w:tc>
        <w:tc>
          <w:tcPr>
            <w:tcW w:w="397" w:type="pct"/>
            <w:tcBorders>
              <w:top w:val="single" w:sz="4" w:space="0" w:color="auto"/>
              <w:left w:val="nil"/>
              <w:bottom w:val="single" w:sz="4" w:space="0" w:color="auto"/>
              <w:right w:val="single" w:sz="4" w:space="0" w:color="auto"/>
            </w:tcBorders>
            <w:shd w:val="clear" w:color="auto" w:fill="auto"/>
            <w:vAlign w:val="center"/>
          </w:tcPr>
          <w:p w14:paraId="76871B66" w14:textId="6DF62C7F" w:rsidR="002970B6" w:rsidRPr="001C3915" w:rsidRDefault="002970B6" w:rsidP="00E13FD9">
            <w:pPr>
              <w:spacing w:before="40" w:after="40"/>
              <w:ind w:right="-79"/>
              <w:jc w:val="center"/>
              <w:rPr>
                <w:sz w:val="16"/>
                <w:szCs w:val="18"/>
              </w:rPr>
            </w:pPr>
            <w:r w:rsidRPr="00622F40">
              <w:rPr>
                <w:sz w:val="16"/>
                <w:szCs w:val="18"/>
              </w:rPr>
              <w:t>545,957</w:t>
            </w:r>
          </w:p>
        </w:tc>
        <w:tc>
          <w:tcPr>
            <w:tcW w:w="397" w:type="pct"/>
            <w:tcBorders>
              <w:top w:val="single" w:sz="4" w:space="0" w:color="auto"/>
              <w:left w:val="nil"/>
              <w:bottom w:val="single" w:sz="4" w:space="0" w:color="auto"/>
              <w:right w:val="single" w:sz="4" w:space="0" w:color="auto"/>
            </w:tcBorders>
            <w:shd w:val="clear" w:color="auto" w:fill="auto"/>
            <w:vAlign w:val="center"/>
          </w:tcPr>
          <w:p w14:paraId="38331B1B" w14:textId="1FB0F358" w:rsidR="002970B6" w:rsidRPr="001C3915" w:rsidRDefault="002970B6" w:rsidP="00E13FD9">
            <w:pPr>
              <w:spacing w:before="40" w:after="40"/>
              <w:ind w:right="-79"/>
              <w:jc w:val="center"/>
              <w:rPr>
                <w:sz w:val="16"/>
                <w:szCs w:val="18"/>
              </w:rPr>
            </w:pPr>
            <w:r w:rsidRPr="00622F40">
              <w:rPr>
                <w:sz w:val="16"/>
                <w:szCs w:val="18"/>
              </w:rPr>
              <w:t>329,440</w:t>
            </w:r>
          </w:p>
        </w:tc>
        <w:tc>
          <w:tcPr>
            <w:tcW w:w="397" w:type="pct"/>
            <w:tcBorders>
              <w:top w:val="single" w:sz="4" w:space="0" w:color="auto"/>
              <w:left w:val="nil"/>
              <w:bottom w:val="single" w:sz="4" w:space="0" w:color="auto"/>
              <w:right w:val="single" w:sz="4" w:space="0" w:color="auto"/>
            </w:tcBorders>
            <w:shd w:val="clear" w:color="auto" w:fill="auto"/>
            <w:vAlign w:val="center"/>
          </w:tcPr>
          <w:p w14:paraId="1BA3A8D0" w14:textId="1E36C175" w:rsidR="002970B6" w:rsidRPr="001C3915" w:rsidRDefault="002970B6" w:rsidP="00E13FD9">
            <w:pPr>
              <w:spacing w:before="40" w:after="40"/>
              <w:ind w:right="-79"/>
              <w:jc w:val="center"/>
              <w:rPr>
                <w:sz w:val="16"/>
                <w:szCs w:val="18"/>
              </w:rPr>
            </w:pPr>
            <w:r w:rsidRPr="00622F40">
              <w:rPr>
                <w:sz w:val="16"/>
                <w:szCs w:val="18"/>
              </w:rPr>
              <w:t>536,121</w:t>
            </w:r>
          </w:p>
        </w:tc>
        <w:tc>
          <w:tcPr>
            <w:tcW w:w="397" w:type="pct"/>
            <w:tcBorders>
              <w:top w:val="single" w:sz="4" w:space="0" w:color="auto"/>
              <w:left w:val="nil"/>
              <w:bottom w:val="single" w:sz="4" w:space="0" w:color="auto"/>
              <w:right w:val="single" w:sz="4" w:space="0" w:color="auto"/>
            </w:tcBorders>
            <w:shd w:val="clear" w:color="auto" w:fill="auto"/>
            <w:vAlign w:val="center"/>
          </w:tcPr>
          <w:p w14:paraId="708FEA68" w14:textId="1A279BCB" w:rsidR="002970B6" w:rsidRPr="001C3915" w:rsidRDefault="002970B6" w:rsidP="00E13FD9">
            <w:pPr>
              <w:spacing w:before="40" w:after="40"/>
              <w:ind w:right="-79"/>
              <w:jc w:val="center"/>
              <w:rPr>
                <w:sz w:val="16"/>
                <w:szCs w:val="18"/>
              </w:rPr>
            </w:pPr>
            <w:r w:rsidRPr="00622F40">
              <w:rPr>
                <w:sz w:val="16"/>
                <w:szCs w:val="18"/>
              </w:rPr>
              <w:t>528,417</w:t>
            </w:r>
          </w:p>
        </w:tc>
        <w:tc>
          <w:tcPr>
            <w:tcW w:w="397" w:type="pct"/>
            <w:tcBorders>
              <w:top w:val="single" w:sz="4" w:space="0" w:color="auto"/>
              <w:left w:val="nil"/>
              <w:bottom w:val="single" w:sz="4" w:space="0" w:color="auto"/>
              <w:right w:val="single" w:sz="4" w:space="0" w:color="auto"/>
            </w:tcBorders>
            <w:shd w:val="clear" w:color="auto" w:fill="auto"/>
            <w:vAlign w:val="center"/>
          </w:tcPr>
          <w:p w14:paraId="5C20967C" w14:textId="4D206406" w:rsidR="002970B6" w:rsidRPr="001C3915" w:rsidRDefault="002970B6" w:rsidP="00E13FD9">
            <w:pPr>
              <w:spacing w:before="40" w:after="40"/>
              <w:ind w:right="-79"/>
              <w:jc w:val="center"/>
              <w:rPr>
                <w:sz w:val="16"/>
                <w:szCs w:val="18"/>
              </w:rPr>
            </w:pPr>
            <w:r w:rsidRPr="00622F40">
              <w:rPr>
                <w:sz w:val="16"/>
                <w:szCs w:val="18"/>
              </w:rPr>
              <w:t>361,746</w:t>
            </w:r>
          </w:p>
        </w:tc>
        <w:tc>
          <w:tcPr>
            <w:tcW w:w="397" w:type="pct"/>
            <w:tcBorders>
              <w:top w:val="single" w:sz="4" w:space="0" w:color="auto"/>
              <w:left w:val="nil"/>
              <w:bottom w:val="single" w:sz="4" w:space="0" w:color="auto"/>
              <w:right w:val="single" w:sz="4" w:space="0" w:color="auto"/>
            </w:tcBorders>
            <w:shd w:val="clear" w:color="auto" w:fill="auto"/>
            <w:vAlign w:val="center"/>
          </w:tcPr>
          <w:p w14:paraId="6939F2E1" w14:textId="0E309118" w:rsidR="002970B6" w:rsidRPr="001C3915" w:rsidRDefault="002970B6" w:rsidP="00E13FD9">
            <w:pPr>
              <w:spacing w:before="40" w:after="40"/>
              <w:ind w:right="-79"/>
              <w:jc w:val="center"/>
              <w:rPr>
                <w:sz w:val="16"/>
                <w:szCs w:val="18"/>
              </w:rPr>
            </w:pPr>
            <w:r w:rsidRPr="00622F40">
              <w:rPr>
                <w:sz w:val="16"/>
                <w:szCs w:val="18"/>
              </w:rPr>
              <w:t>247,194</w:t>
            </w:r>
          </w:p>
        </w:tc>
        <w:tc>
          <w:tcPr>
            <w:tcW w:w="397" w:type="pct"/>
            <w:tcBorders>
              <w:top w:val="single" w:sz="4" w:space="0" w:color="auto"/>
              <w:left w:val="nil"/>
              <w:bottom w:val="single" w:sz="4" w:space="0" w:color="auto"/>
              <w:right w:val="single" w:sz="4" w:space="0" w:color="auto"/>
            </w:tcBorders>
            <w:shd w:val="clear" w:color="auto" w:fill="auto"/>
            <w:vAlign w:val="center"/>
          </w:tcPr>
          <w:p w14:paraId="6F2787CA" w14:textId="0B652E98" w:rsidR="002970B6" w:rsidRPr="001C3915" w:rsidRDefault="002970B6" w:rsidP="00E13FD9">
            <w:pPr>
              <w:spacing w:before="40" w:after="40"/>
              <w:ind w:right="-79"/>
              <w:jc w:val="center"/>
              <w:rPr>
                <w:sz w:val="16"/>
                <w:szCs w:val="18"/>
              </w:rPr>
            </w:pPr>
            <w:r w:rsidRPr="00622F40">
              <w:rPr>
                <w:sz w:val="16"/>
                <w:szCs w:val="18"/>
              </w:rPr>
              <w:t>330,046</w:t>
            </w:r>
          </w:p>
        </w:tc>
        <w:tc>
          <w:tcPr>
            <w:tcW w:w="397" w:type="pct"/>
            <w:tcBorders>
              <w:top w:val="single" w:sz="4" w:space="0" w:color="auto"/>
              <w:left w:val="nil"/>
              <w:bottom w:val="single" w:sz="4" w:space="0" w:color="auto"/>
              <w:right w:val="single" w:sz="4" w:space="0" w:color="auto"/>
            </w:tcBorders>
            <w:shd w:val="clear" w:color="auto" w:fill="auto"/>
            <w:vAlign w:val="center"/>
          </w:tcPr>
          <w:p w14:paraId="5A91395B" w14:textId="3584CC32" w:rsidR="002970B6" w:rsidRPr="001C3915" w:rsidRDefault="002970B6" w:rsidP="00E13FD9">
            <w:pPr>
              <w:spacing w:before="40" w:after="40"/>
              <w:ind w:right="-79"/>
              <w:jc w:val="center"/>
              <w:rPr>
                <w:sz w:val="16"/>
                <w:szCs w:val="18"/>
              </w:rPr>
            </w:pPr>
            <w:r w:rsidRPr="00622F40">
              <w:rPr>
                <w:sz w:val="16"/>
                <w:szCs w:val="18"/>
              </w:rPr>
              <w:t>328,879</w:t>
            </w:r>
          </w:p>
        </w:tc>
        <w:tc>
          <w:tcPr>
            <w:tcW w:w="397" w:type="pct"/>
            <w:tcBorders>
              <w:top w:val="single" w:sz="4" w:space="0" w:color="auto"/>
              <w:left w:val="nil"/>
              <w:bottom w:val="single" w:sz="4" w:space="0" w:color="auto"/>
              <w:right w:val="single" w:sz="4" w:space="0" w:color="auto"/>
            </w:tcBorders>
            <w:shd w:val="clear" w:color="auto" w:fill="auto"/>
            <w:vAlign w:val="center"/>
          </w:tcPr>
          <w:p w14:paraId="10524455" w14:textId="383EF49C" w:rsidR="002970B6" w:rsidRPr="001C3915" w:rsidRDefault="002970B6" w:rsidP="00E13FD9">
            <w:pPr>
              <w:spacing w:before="40" w:after="40"/>
              <w:ind w:right="-79"/>
              <w:jc w:val="center"/>
              <w:rPr>
                <w:sz w:val="16"/>
                <w:szCs w:val="18"/>
              </w:rPr>
            </w:pPr>
            <w:r w:rsidRPr="00622F40">
              <w:rPr>
                <w:sz w:val="16"/>
                <w:szCs w:val="18"/>
              </w:rPr>
              <w:t>235,300</w:t>
            </w:r>
          </w:p>
        </w:tc>
      </w:tr>
      <w:tr w:rsidR="002970B6" w:rsidRPr="00155CA1" w14:paraId="52272CA5"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84991" w14:textId="77777777" w:rsidR="002970B6" w:rsidRPr="00B75289" w:rsidRDefault="002970B6" w:rsidP="00E13FD9">
            <w:pPr>
              <w:spacing w:before="40" w:after="40"/>
              <w:jc w:val="center"/>
              <w:rPr>
                <w:rFonts w:cs="Arial"/>
                <w:sz w:val="16"/>
                <w:szCs w:val="16"/>
              </w:rPr>
            </w:pPr>
            <w:r w:rsidRPr="00B75289">
              <w:rPr>
                <w:rFonts w:cs="Arial"/>
                <w:sz w:val="16"/>
                <w:szCs w:val="16"/>
              </w:rPr>
              <w:t>Vegetable Oils</w:t>
            </w:r>
          </w:p>
        </w:tc>
        <w:tc>
          <w:tcPr>
            <w:tcW w:w="397" w:type="pct"/>
            <w:tcBorders>
              <w:top w:val="single" w:sz="4" w:space="0" w:color="auto"/>
              <w:left w:val="nil"/>
              <w:bottom w:val="single" w:sz="4" w:space="0" w:color="auto"/>
              <w:right w:val="single" w:sz="4" w:space="0" w:color="auto"/>
            </w:tcBorders>
            <w:shd w:val="clear" w:color="auto" w:fill="auto"/>
            <w:vAlign w:val="center"/>
          </w:tcPr>
          <w:p w14:paraId="72AAF6F8" w14:textId="0401C119" w:rsidR="002970B6" w:rsidRPr="00622F40" w:rsidRDefault="002970B6" w:rsidP="00E13FD9">
            <w:pPr>
              <w:spacing w:before="40" w:after="40"/>
              <w:ind w:right="-79"/>
              <w:jc w:val="center"/>
              <w:rPr>
                <w:rFonts w:cs="Arial"/>
                <w:sz w:val="16"/>
                <w:szCs w:val="18"/>
              </w:rPr>
            </w:pPr>
            <w:r w:rsidRPr="00622F40">
              <w:rPr>
                <w:sz w:val="16"/>
                <w:szCs w:val="18"/>
              </w:rPr>
              <w:t>247,709</w:t>
            </w:r>
          </w:p>
        </w:tc>
        <w:tc>
          <w:tcPr>
            <w:tcW w:w="397" w:type="pct"/>
            <w:tcBorders>
              <w:top w:val="single" w:sz="4" w:space="0" w:color="auto"/>
              <w:left w:val="nil"/>
              <w:bottom w:val="single" w:sz="4" w:space="0" w:color="auto"/>
              <w:right w:val="single" w:sz="4" w:space="0" w:color="auto"/>
            </w:tcBorders>
            <w:shd w:val="clear" w:color="auto" w:fill="auto"/>
            <w:vAlign w:val="center"/>
          </w:tcPr>
          <w:p w14:paraId="23D18A3F" w14:textId="51526DB5" w:rsidR="002970B6" w:rsidRPr="00622F40" w:rsidRDefault="002970B6" w:rsidP="00E13FD9">
            <w:pPr>
              <w:spacing w:before="40" w:after="40"/>
              <w:ind w:right="-79"/>
              <w:jc w:val="center"/>
              <w:rPr>
                <w:rFonts w:cs="Arial"/>
                <w:sz w:val="16"/>
                <w:szCs w:val="18"/>
              </w:rPr>
            </w:pPr>
            <w:r w:rsidRPr="00622F40">
              <w:rPr>
                <w:sz w:val="16"/>
                <w:szCs w:val="18"/>
              </w:rPr>
              <w:t>236,567</w:t>
            </w:r>
          </w:p>
        </w:tc>
        <w:tc>
          <w:tcPr>
            <w:tcW w:w="397" w:type="pct"/>
            <w:tcBorders>
              <w:top w:val="single" w:sz="4" w:space="0" w:color="auto"/>
              <w:left w:val="nil"/>
              <w:bottom w:val="single" w:sz="4" w:space="0" w:color="auto"/>
              <w:right w:val="single" w:sz="4" w:space="0" w:color="auto"/>
            </w:tcBorders>
            <w:shd w:val="clear" w:color="auto" w:fill="auto"/>
            <w:vAlign w:val="center"/>
          </w:tcPr>
          <w:p w14:paraId="38B159FF" w14:textId="6E45A919" w:rsidR="002970B6" w:rsidRPr="00622F40" w:rsidRDefault="002970B6" w:rsidP="00E13FD9">
            <w:pPr>
              <w:spacing w:before="40" w:after="40"/>
              <w:ind w:right="-79"/>
              <w:jc w:val="center"/>
              <w:rPr>
                <w:sz w:val="16"/>
                <w:szCs w:val="18"/>
              </w:rPr>
            </w:pPr>
            <w:r w:rsidRPr="00622F40">
              <w:rPr>
                <w:sz w:val="16"/>
                <w:szCs w:val="18"/>
              </w:rPr>
              <w:t>262,232</w:t>
            </w:r>
          </w:p>
        </w:tc>
        <w:tc>
          <w:tcPr>
            <w:tcW w:w="397" w:type="pct"/>
            <w:tcBorders>
              <w:top w:val="single" w:sz="4" w:space="0" w:color="auto"/>
              <w:left w:val="nil"/>
              <w:bottom w:val="single" w:sz="4" w:space="0" w:color="auto"/>
              <w:right w:val="single" w:sz="4" w:space="0" w:color="auto"/>
            </w:tcBorders>
            <w:shd w:val="clear" w:color="auto" w:fill="auto"/>
            <w:vAlign w:val="center"/>
          </w:tcPr>
          <w:p w14:paraId="06D64D94" w14:textId="0112CEEA" w:rsidR="002970B6" w:rsidRPr="00622F40" w:rsidRDefault="002970B6" w:rsidP="00E13FD9">
            <w:pPr>
              <w:spacing w:before="40" w:after="40"/>
              <w:ind w:right="-79"/>
              <w:jc w:val="center"/>
              <w:rPr>
                <w:sz w:val="16"/>
                <w:szCs w:val="18"/>
              </w:rPr>
            </w:pPr>
            <w:r w:rsidRPr="00622F40">
              <w:rPr>
                <w:sz w:val="16"/>
                <w:szCs w:val="18"/>
              </w:rPr>
              <w:t>274,342</w:t>
            </w:r>
          </w:p>
        </w:tc>
        <w:tc>
          <w:tcPr>
            <w:tcW w:w="397" w:type="pct"/>
            <w:tcBorders>
              <w:top w:val="single" w:sz="4" w:space="0" w:color="auto"/>
              <w:left w:val="nil"/>
              <w:bottom w:val="single" w:sz="4" w:space="0" w:color="auto"/>
              <w:right w:val="single" w:sz="4" w:space="0" w:color="auto"/>
            </w:tcBorders>
            <w:shd w:val="clear" w:color="auto" w:fill="auto"/>
            <w:vAlign w:val="center"/>
          </w:tcPr>
          <w:p w14:paraId="666AD43F" w14:textId="7FB0359A" w:rsidR="002970B6" w:rsidRPr="00622F40" w:rsidRDefault="002970B6" w:rsidP="00E13FD9">
            <w:pPr>
              <w:spacing w:before="40" w:after="40"/>
              <w:ind w:right="-79"/>
              <w:jc w:val="center"/>
              <w:rPr>
                <w:sz w:val="16"/>
                <w:szCs w:val="18"/>
              </w:rPr>
            </w:pPr>
            <w:r w:rsidRPr="00622F40">
              <w:rPr>
                <w:sz w:val="16"/>
                <w:szCs w:val="18"/>
              </w:rPr>
              <w:t>535,374</w:t>
            </w:r>
          </w:p>
        </w:tc>
        <w:tc>
          <w:tcPr>
            <w:tcW w:w="397" w:type="pct"/>
            <w:tcBorders>
              <w:top w:val="single" w:sz="4" w:space="0" w:color="auto"/>
              <w:left w:val="nil"/>
              <w:bottom w:val="single" w:sz="4" w:space="0" w:color="auto"/>
              <w:right w:val="single" w:sz="4" w:space="0" w:color="auto"/>
            </w:tcBorders>
            <w:shd w:val="clear" w:color="auto" w:fill="auto"/>
            <w:vAlign w:val="center"/>
          </w:tcPr>
          <w:p w14:paraId="2B5D588B" w14:textId="3383FCDE" w:rsidR="002970B6" w:rsidRPr="00622F40" w:rsidRDefault="002970B6" w:rsidP="00E13FD9">
            <w:pPr>
              <w:spacing w:before="40" w:after="40"/>
              <w:ind w:right="-79"/>
              <w:jc w:val="center"/>
              <w:rPr>
                <w:sz w:val="16"/>
                <w:szCs w:val="18"/>
              </w:rPr>
            </w:pPr>
            <w:r w:rsidRPr="00622F40">
              <w:rPr>
                <w:sz w:val="16"/>
                <w:szCs w:val="18"/>
              </w:rPr>
              <w:t>558,161</w:t>
            </w:r>
          </w:p>
        </w:tc>
        <w:tc>
          <w:tcPr>
            <w:tcW w:w="397" w:type="pct"/>
            <w:tcBorders>
              <w:top w:val="single" w:sz="4" w:space="0" w:color="auto"/>
              <w:left w:val="nil"/>
              <w:bottom w:val="single" w:sz="4" w:space="0" w:color="auto"/>
              <w:right w:val="single" w:sz="4" w:space="0" w:color="auto"/>
            </w:tcBorders>
            <w:shd w:val="clear" w:color="auto" w:fill="auto"/>
            <w:vAlign w:val="center"/>
          </w:tcPr>
          <w:p w14:paraId="371A964D" w14:textId="375B191D" w:rsidR="002970B6" w:rsidRPr="00622F40" w:rsidRDefault="002970B6" w:rsidP="00E13FD9">
            <w:pPr>
              <w:spacing w:before="40" w:after="40"/>
              <w:ind w:right="-79"/>
              <w:jc w:val="center"/>
              <w:rPr>
                <w:sz w:val="16"/>
                <w:szCs w:val="18"/>
              </w:rPr>
            </w:pPr>
            <w:r w:rsidRPr="00622F40">
              <w:rPr>
                <w:sz w:val="16"/>
                <w:szCs w:val="18"/>
              </w:rPr>
              <w:t>563,288</w:t>
            </w:r>
          </w:p>
        </w:tc>
        <w:tc>
          <w:tcPr>
            <w:tcW w:w="397" w:type="pct"/>
            <w:tcBorders>
              <w:top w:val="single" w:sz="4" w:space="0" w:color="auto"/>
              <w:left w:val="nil"/>
              <w:bottom w:val="single" w:sz="4" w:space="0" w:color="auto"/>
              <w:right w:val="single" w:sz="4" w:space="0" w:color="auto"/>
            </w:tcBorders>
            <w:shd w:val="clear" w:color="auto" w:fill="auto"/>
            <w:vAlign w:val="center"/>
          </w:tcPr>
          <w:p w14:paraId="1204DE98" w14:textId="5C2F6624" w:rsidR="002970B6" w:rsidRPr="00622F40" w:rsidRDefault="002970B6" w:rsidP="00E13FD9">
            <w:pPr>
              <w:spacing w:before="40" w:after="40"/>
              <w:ind w:right="-79"/>
              <w:jc w:val="center"/>
              <w:rPr>
                <w:sz w:val="16"/>
                <w:szCs w:val="18"/>
              </w:rPr>
            </w:pPr>
            <w:r w:rsidRPr="00622F40">
              <w:rPr>
                <w:sz w:val="16"/>
                <w:szCs w:val="18"/>
              </w:rPr>
              <w:t>629,254</w:t>
            </w:r>
          </w:p>
        </w:tc>
        <w:tc>
          <w:tcPr>
            <w:tcW w:w="397" w:type="pct"/>
            <w:tcBorders>
              <w:top w:val="single" w:sz="4" w:space="0" w:color="auto"/>
              <w:left w:val="nil"/>
              <w:bottom w:val="single" w:sz="4" w:space="0" w:color="auto"/>
              <w:right w:val="single" w:sz="4" w:space="0" w:color="auto"/>
            </w:tcBorders>
            <w:shd w:val="clear" w:color="auto" w:fill="auto"/>
            <w:vAlign w:val="center"/>
          </w:tcPr>
          <w:p w14:paraId="5FDC1FCB" w14:textId="2238A623" w:rsidR="002970B6" w:rsidRPr="00622F40" w:rsidRDefault="002970B6" w:rsidP="00E13FD9">
            <w:pPr>
              <w:spacing w:before="40" w:after="40"/>
              <w:ind w:right="-79"/>
              <w:jc w:val="center"/>
              <w:rPr>
                <w:sz w:val="16"/>
                <w:szCs w:val="18"/>
              </w:rPr>
            </w:pPr>
            <w:r w:rsidRPr="00622F40">
              <w:rPr>
                <w:sz w:val="16"/>
                <w:szCs w:val="18"/>
              </w:rPr>
              <w:t>562,635</w:t>
            </w:r>
          </w:p>
        </w:tc>
        <w:tc>
          <w:tcPr>
            <w:tcW w:w="397" w:type="pct"/>
            <w:tcBorders>
              <w:top w:val="single" w:sz="4" w:space="0" w:color="auto"/>
              <w:left w:val="nil"/>
              <w:bottom w:val="single" w:sz="4" w:space="0" w:color="auto"/>
              <w:right w:val="single" w:sz="4" w:space="0" w:color="auto"/>
            </w:tcBorders>
            <w:shd w:val="clear" w:color="auto" w:fill="auto"/>
            <w:vAlign w:val="center"/>
          </w:tcPr>
          <w:p w14:paraId="1ABC9FE4" w14:textId="275C34A7" w:rsidR="002970B6" w:rsidRPr="00622F40" w:rsidRDefault="002970B6" w:rsidP="00E13FD9">
            <w:pPr>
              <w:spacing w:before="40" w:after="40"/>
              <w:ind w:right="-79"/>
              <w:jc w:val="center"/>
              <w:rPr>
                <w:sz w:val="16"/>
                <w:szCs w:val="18"/>
              </w:rPr>
            </w:pPr>
            <w:r w:rsidRPr="00622F40">
              <w:rPr>
                <w:sz w:val="16"/>
                <w:szCs w:val="18"/>
              </w:rPr>
              <w:t>500,245</w:t>
            </w:r>
          </w:p>
        </w:tc>
        <w:tc>
          <w:tcPr>
            <w:tcW w:w="397" w:type="pct"/>
            <w:tcBorders>
              <w:top w:val="single" w:sz="4" w:space="0" w:color="auto"/>
              <w:left w:val="nil"/>
              <w:bottom w:val="single" w:sz="4" w:space="0" w:color="auto"/>
              <w:right w:val="single" w:sz="4" w:space="0" w:color="auto"/>
            </w:tcBorders>
            <w:shd w:val="clear" w:color="auto" w:fill="auto"/>
            <w:vAlign w:val="center"/>
          </w:tcPr>
          <w:p w14:paraId="514EABF1" w14:textId="5B2B1512" w:rsidR="002970B6" w:rsidRPr="00622F40" w:rsidRDefault="002970B6" w:rsidP="00E13FD9">
            <w:pPr>
              <w:spacing w:before="40" w:after="40"/>
              <w:ind w:right="-79"/>
              <w:jc w:val="center"/>
              <w:rPr>
                <w:sz w:val="16"/>
                <w:szCs w:val="18"/>
              </w:rPr>
            </w:pPr>
            <w:r w:rsidRPr="00622F40">
              <w:rPr>
                <w:sz w:val="16"/>
                <w:szCs w:val="18"/>
              </w:rPr>
              <w:t>544,772</w:t>
            </w:r>
          </w:p>
        </w:tc>
      </w:tr>
      <w:tr w:rsidR="002970B6" w:rsidRPr="00155CA1" w14:paraId="448726E2"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88597" w14:textId="77777777" w:rsidR="002970B6" w:rsidRPr="00B75289" w:rsidRDefault="002970B6" w:rsidP="00E13FD9">
            <w:pPr>
              <w:spacing w:before="40" w:after="40"/>
              <w:jc w:val="center"/>
              <w:rPr>
                <w:rFonts w:cs="Arial"/>
                <w:sz w:val="16"/>
                <w:szCs w:val="16"/>
              </w:rPr>
            </w:pPr>
            <w:r w:rsidRPr="00B75289">
              <w:rPr>
                <w:rFonts w:cs="Arial"/>
                <w:sz w:val="16"/>
                <w:szCs w:val="16"/>
              </w:rPr>
              <w:t>Vegetables, Fruits &amp; Juices</w:t>
            </w:r>
          </w:p>
        </w:tc>
        <w:tc>
          <w:tcPr>
            <w:tcW w:w="397" w:type="pct"/>
            <w:tcBorders>
              <w:top w:val="single" w:sz="4" w:space="0" w:color="auto"/>
              <w:left w:val="nil"/>
              <w:bottom w:val="single" w:sz="4" w:space="0" w:color="auto"/>
              <w:right w:val="single" w:sz="4" w:space="0" w:color="auto"/>
            </w:tcBorders>
            <w:shd w:val="clear" w:color="auto" w:fill="auto"/>
            <w:vAlign w:val="center"/>
          </w:tcPr>
          <w:p w14:paraId="4A59CEEB" w14:textId="5127C282" w:rsidR="002970B6" w:rsidRPr="00622F40" w:rsidRDefault="002970B6" w:rsidP="00E13FD9">
            <w:pPr>
              <w:spacing w:before="40" w:after="40"/>
              <w:ind w:right="-79"/>
              <w:jc w:val="center"/>
              <w:rPr>
                <w:rFonts w:cs="Arial"/>
                <w:sz w:val="16"/>
                <w:szCs w:val="18"/>
              </w:rPr>
            </w:pPr>
            <w:r w:rsidRPr="00622F40">
              <w:rPr>
                <w:sz w:val="16"/>
                <w:szCs w:val="18"/>
              </w:rPr>
              <w:t>316,186</w:t>
            </w:r>
          </w:p>
        </w:tc>
        <w:tc>
          <w:tcPr>
            <w:tcW w:w="397" w:type="pct"/>
            <w:tcBorders>
              <w:top w:val="single" w:sz="4" w:space="0" w:color="auto"/>
              <w:left w:val="nil"/>
              <w:bottom w:val="single" w:sz="4" w:space="0" w:color="auto"/>
              <w:right w:val="single" w:sz="4" w:space="0" w:color="auto"/>
            </w:tcBorders>
            <w:shd w:val="clear" w:color="auto" w:fill="auto"/>
            <w:vAlign w:val="center"/>
          </w:tcPr>
          <w:p w14:paraId="7263D7C6" w14:textId="129893F4" w:rsidR="002970B6" w:rsidRPr="00622F40" w:rsidRDefault="002970B6" w:rsidP="00E13FD9">
            <w:pPr>
              <w:spacing w:before="40" w:after="40"/>
              <w:ind w:right="-79"/>
              <w:jc w:val="center"/>
              <w:rPr>
                <w:rFonts w:cs="Arial"/>
                <w:sz w:val="16"/>
                <w:szCs w:val="18"/>
              </w:rPr>
            </w:pPr>
            <w:r w:rsidRPr="00622F40">
              <w:rPr>
                <w:sz w:val="16"/>
                <w:szCs w:val="18"/>
              </w:rPr>
              <w:t>331,236</w:t>
            </w:r>
          </w:p>
        </w:tc>
        <w:tc>
          <w:tcPr>
            <w:tcW w:w="397" w:type="pct"/>
            <w:tcBorders>
              <w:top w:val="single" w:sz="4" w:space="0" w:color="auto"/>
              <w:left w:val="nil"/>
              <w:bottom w:val="single" w:sz="4" w:space="0" w:color="auto"/>
              <w:right w:val="single" w:sz="4" w:space="0" w:color="auto"/>
            </w:tcBorders>
            <w:shd w:val="clear" w:color="auto" w:fill="auto"/>
            <w:vAlign w:val="center"/>
          </w:tcPr>
          <w:p w14:paraId="7B59AEED" w14:textId="3AA8C9CF" w:rsidR="002970B6" w:rsidRPr="00622F40" w:rsidRDefault="002970B6" w:rsidP="00E13FD9">
            <w:pPr>
              <w:spacing w:before="40" w:after="40"/>
              <w:ind w:right="-79"/>
              <w:jc w:val="center"/>
              <w:rPr>
                <w:sz w:val="16"/>
                <w:szCs w:val="18"/>
              </w:rPr>
            </w:pPr>
            <w:r w:rsidRPr="00622F40">
              <w:rPr>
                <w:sz w:val="16"/>
                <w:szCs w:val="18"/>
              </w:rPr>
              <w:t>333,847</w:t>
            </w:r>
          </w:p>
        </w:tc>
        <w:tc>
          <w:tcPr>
            <w:tcW w:w="397" w:type="pct"/>
            <w:tcBorders>
              <w:top w:val="single" w:sz="4" w:space="0" w:color="auto"/>
              <w:left w:val="nil"/>
              <w:bottom w:val="single" w:sz="4" w:space="0" w:color="auto"/>
              <w:right w:val="single" w:sz="4" w:space="0" w:color="auto"/>
            </w:tcBorders>
            <w:shd w:val="clear" w:color="auto" w:fill="auto"/>
            <w:vAlign w:val="center"/>
          </w:tcPr>
          <w:p w14:paraId="3A98BECC" w14:textId="1CD59566" w:rsidR="002970B6" w:rsidRPr="00622F40" w:rsidRDefault="002970B6" w:rsidP="00E13FD9">
            <w:pPr>
              <w:spacing w:before="40" w:after="40"/>
              <w:ind w:right="-79"/>
              <w:jc w:val="center"/>
              <w:rPr>
                <w:sz w:val="16"/>
                <w:szCs w:val="18"/>
              </w:rPr>
            </w:pPr>
            <w:r w:rsidRPr="00622F40">
              <w:rPr>
                <w:sz w:val="16"/>
                <w:szCs w:val="18"/>
              </w:rPr>
              <w:t>388,661</w:t>
            </w:r>
          </w:p>
        </w:tc>
        <w:tc>
          <w:tcPr>
            <w:tcW w:w="397" w:type="pct"/>
            <w:tcBorders>
              <w:top w:val="single" w:sz="4" w:space="0" w:color="auto"/>
              <w:left w:val="nil"/>
              <w:bottom w:val="single" w:sz="4" w:space="0" w:color="auto"/>
              <w:right w:val="single" w:sz="4" w:space="0" w:color="auto"/>
            </w:tcBorders>
            <w:shd w:val="clear" w:color="auto" w:fill="auto"/>
            <w:vAlign w:val="center"/>
          </w:tcPr>
          <w:p w14:paraId="10DC65F7" w14:textId="1CD094C4" w:rsidR="002970B6" w:rsidRPr="00622F40" w:rsidRDefault="002970B6" w:rsidP="00E13FD9">
            <w:pPr>
              <w:spacing w:before="40" w:after="40"/>
              <w:ind w:right="-79"/>
              <w:jc w:val="center"/>
              <w:rPr>
                <w:sz w:val="16"/>
                <w:szCs w:val="18"/>
              </w:rPr>
            </w:pPr>
            <w:r w:rsidRPr="00622F40">
              <w:rPr>
                <w:sz w:val="16"/>
                <w:szCs w:val="18"/>
              </w:rPr>
              <w:t>366,771</w:t>
            </w:r>
          </w:p>
        </w:tc>
        <w:tc>
          <w:tcPr>
            <w:tcW w:w="397" w:type="pct"/>
            <w:tcBorders>
              <w:top w:val="single" w:sz="4" w:space="0" w:color="auto"/>
              <w:left w:val="nil"/>
              <w:bottom w:val="single" w:sz="4" w:space="0" w:color="auto"/>
              <w:right w:val="single" w:sz="4" w:space="0" w:color="auto"/>
            </w:tcBorders>
            <w:shd w:val="clear" w:color="auto" w:fill="auto"/>
            <w:vAlign w:val="center"/>
          </w:tcPr>
          <w:p w14:paraId="72405DA3" w14:textId="430C4CE6" w:rsidR="002970B6" w:rsidRPr="00622F40" w:rsidRDefault="002970B6" w:rsidP="00E13FD9">
            <w:pPr>
              <w:spacing w:before="40" w:after="40"/>
              <w:ind w:right="-79"/>
              <w:jc w:val="center"/>
              <w:rPr>
                <w:sz w:val="16"/>
                <w:szCs w:val="18"/>
              </w:rPr>
            </w:pPr>
            <w:r w:rsidRPr="00622F40">
              <w:rPr>
                <w:sz w:val="16"/>
                <w:szCs w:val="18"/>
              </w:rPr>
              <w:t>414,404</w:t>
            </w:r>
          </w:p>
        </w:tc>
        <w:tc>
          <w:tcPr>
            <w:tcW w:w="397" w:type="pct"/>
            <w:tcBorders>
              <w:top w:val="single" w:sz="4" w:space="0" w:color="auto"/>
              <w:left w:val="nil"/>
              <w:bottom w:val="single" w:sz="4" w:space="0" w:color="auto"/>
              <w:right w:val="single" w:sz="4" w:space="0" w:color="auto"/>
            </w:tcBorders>
            <w:shd w:val="clear" w:color="auto" w:fill="auto"/>
            <w:vAlign w:val="center"/>
          </w:tcPr>
          <w:p w14:paraId="2A553D2A" w14:textId="6C839F77" w:rsidR="002970B6" w:rsidRPr="00622F40" w:rsidRDefault="002970B6" w:rsidP="00E13FD9">
            <w:pPr>
              <w:spacing w:before="40" w:after="40"/>
              <w:ind w:right="-79"/>
              <w:jc w:val="center"/>
              <w:rPr>
                <w:sz w:val="16"/>
                <w:szCs w:val="18"/>
              </w:rPr>
            </w:pPr>
            <w:r w:rsidRPr="00622F40">
              <w:rPr>
                <w:sz w:val="16"/>
                <w:szCs w:val="18"/>
              </w:rPr>
              <w:t>480,440</w:t>
            </w:r>
          </w:p>
        </w:tc>
        <w:tc>
          <w:tcPr>
            <w:tcW w:w="397" w:type="pct"/>
            <w:tcBorders>
              <w:top w:val="single" w:sz="4" w:space="0" w:color="auto"/>
              <w:left w:val="nil"/>
              <w:bottom w:val="single" w:sz="4" w:space="0" w:color="auto"/>
              <w:right w:val="single" w:sz="4" w:space="0" w:color="auto"/>
            </w:tcBorders>
            <w:shd w:val="clear" w:color="auto" w:fill="auto"/>
            <w:vAlign w:val="center"/>
          </w:tcPr>
          <w:p w14:paraId="23182CFB" w14:textId="09D1EA44" w:rsidR="002970B6" w:rsidRPr="00622F40" w:rsidRDefault="002970B6" w:rsidP="00E13FD9">
            <w:pPr>
              <w:spacing w:before="40" w:after="40"/>
              <w:ind w:right="-79"/>
              <w:jc w:val="center"/>
              <w:rPr>
                <w:sz w:val="16"/>
                <w:szCs w:val="18"/>
              </w:rPr>
            </w:pPr>
            <w:r w:rsidRPr="00622F40">
              <w:rPr>
                <w:sz w:val="16"/>
                <w:szCs w:val="18"/>
              </w:rPr>
              <w:t>449,707</w:t>
            </w:r>
          </w:p>
        </w:tc>
        <w:tc>
          <w:tcPr>
            <w:tcW w:w="397" w:type="pct"/>
            <w:tcBorders>
              <w:top w:val="single" w:sz="4" w:space="0" w:color="auto"/>
              <w:left w:val="nil"/>
              <w:bottom w:val="single" w:sz="4" w:space="0" w:color="auto"/>
              <w:right w:val="single" w:sz="4" w:space="0" w:color="auto"/>
            </w:tcBorders>
            <w:shd w:val="clear" w:color="auto" w:fill="auto"/>
            <w:vAlign w:val="center"/>
          </w:tcPr>
          <w:p w14:paraId="71825FEA" w14:textId="1BE3BA80" w:rsidR="002970B6" w:rsidRPr="00622F40" w:rsidRDefault="002970B6" w:rsidP="00E13FD9">
            <w:pPr>
              <w:spacing w:before="40" w:after="40"/>
              <w:ind w:right="-79"/>
              <w:jc w:val="center"/>
              <w:rPr>
                <w:sz w:val="16"/>
                <w:szCs w:val="18"/>
              </w:rPr>
            </w:pPr>
            <w:r w:rsidRPr="00622F40">
              <w:rPr>
                <w:sz w:val="16"/>
                <w:szCs w:val="18"/>
              </w:rPr>
              <w:t>412,911</w:t>
            </w:r>
          </w:p>
        </w:tc>
        <w:tc>
          <w:tcPr>
            <w:tcW w:w="397" w:type="pct"/>
            <w:tcBorders>
              <w:top w:val="single" w:sz="4" w:space="0" w:color="auto"/>
              <w:left w:val="nil"/>
              <w:bottom w:val="single" w:sz="4" w:space="0" w:color="auto"/>
              <w:right w:val="single" w:sz="4" w:space="0" w:color="auto"/>
            </w:tcBorders>
            <w:shd w:val="clear" w:color="auto" w:fill="auto"/>
            <w:vAlign w:val="center"/>
          </w:tcPr>
          <w:p w14:paraId="31A67FD5" w14:textId="7F5A17D2" w:rsidR="002970B6" w:rsidRPr="00622F40" w:rsidRDefault="002970B6" w:rsidP="00E13FD9">
            <w:pPr>
              <w:spacing w:before="40" w:after="40"/>
              <w:ind w:right="-79"/>
              <w:jc w:val="center"/>
              <w:rPr>
                <w:sz w:val="16"/>
                <w:szCs w:val="18"/>
              </w:rPr>
            </w:pPr>
            <w:r w:rsidRPr="00622F40">
              <w:rPr>
                <w:sz w:val="16"/>
                <w:szCs w:val="18"/>
              </w:rPr>
              <w:t>423,274</w:t>
            </w:r>
          </w:p>
        </w:tc>
        <w:tc>
          <w:tcPr>
            <w:tcW w:w="397" w:type="pct"/>
            <w:tcBorders>
              <w:top w:val="single" w:sz="4" w:space="0" w:color="auto"/>
              <w:left w:val="nil"/>
              <w:bottom w:val="single" w:sz="4" w:space="0" w:color="auto"/>
              <w:right w:val="single" w:sz="4" w:space="0" w:color="auto"/>
            </w:tcBorders>
            <w:shd w:val="clear" w:color="auto" w:fill="auto"/>
            <w:vAlign w:val="center"/>
          </w:tcPr>
          <w:p w14:paraId="5B82D08A" w14:textId="3FB42497" w:rsidR="002970B6" w:rsidRPr="00622F40" w:rsidRDefault="002970B6" w:rsidP="00E13FD9">
            <w:pPr>
              <w:spacing w:before="40" w:after="40"/>
              <w:ind w:right="-79"/>
              <w:jc w:val="center"/>
              <w:rPr>
                <w:sz w:val="16"/>
                <w:szCs w:val="18"/>
              </w:rPr>
            </w:pPr>
            <w:r w:rsidRPr="00622F40">
              <w:rPr>
                <w:sz w:val="16"/>
                <w:szCs w:val="18"/>
              </w:rPr>
              <w:t>423,274</w:t>
            </w:r>
          </w:p>
        </w:tc>
      </w:tr>
      <w:tr w:rsidR="002970B6" w:rsidRPr="00155CA1" w14:paraId="4DF71813" w14:textId="77777777" w:rsidTr="00E13FD9">
        <w:trPr>
          <w:trHeight w:val="255"/>
        </w:trPr>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EB8365" w14:textId="77777777" w:rsidR="002970B6" w:rsidRPr="00B75289" w:rsidRDefault="002970B6" w:rsidP="00E13FD9">
            <w:pPr>
              <w:spacing w:before="40" w:after="40"/>
              <w:jc w:val="center"/>
              <w:rPr>
                <w:rFonts w:cs="Arial"/>
                <w:sz w:val="16"/>
                <w:szCs w:val="16"/>
              </w:rPr>
            </w:pPr>
            <w:r w:rsidRPr="00B75289">
              <w:rPr>
                <w:rFonts w:cs="Arial"/>
                <w:sz w:val="16"/>
                <w:szCs w:val="16"/>
              </w:rPr>
              <w:t>Wine &amp; Vinegar</w:t>
            </w:r>
          </w:p>
        </w:tc>
        <w:tc>
          <w:tcPr>
            <w:tcW w:w="397" w:type="pct"/>
            <w:tcBorders>
              <w:top w:val="single" w:sz="4" w:space="0" w:color="auto"/>
              <w:left w:val="nil"/>
              <w:bottom w:val="single" w:sz="4" w:space="0" w:color="auto"/>
              <w:right w:val="single" w:sz="4" w:space="0" w:color="auto"/>
            </w:tcBorders>
            <w:shd w:val="clear" w:color="auto" w:fill="auto"/>
            <w:vAlign w:val="center"/>
          </w:tcPr>
          <w:p w14:paraId="591C849E" w14:textId="1936BF55" w:rsidR="002970B6" w:rsidRPr="00622F40" w:rsidRDefault="002970B6" w:rsidP="00E13FD9">
            <w:pPr>
              <w:spacing w:before="40" w:after="40"/>
              <w:ind w:right="-79"/>
              <w:jc w:val="center"/>
              <w:rPr>
                <w:rFonts w:cs="Arial"/>
                <w:sz w:val="16"/>
                <w:szCs w:val="18"/>
              </w:rPr>
            </w:pPr>
            <w:r w:rsidRPr="00622F40">
              <w:rPr>
                <w:sz w:val="16"/>
                <w:szCs w:val="18"/>
              </w:rPr>
              <w:t>21,740</w:t>
            </w:r>
          </w:p>
        </w:tc>
        <w:tc>
          <w:tcPr>
            <w:tcW w:w="397" w:type="pct"/>
            <w:tcBorders>
              <w:top w:val="single" w:sz="4" w:space="0" w:color="auto"/>
              <w:left w:val="nil"/>
              <w:bottom w:val="single" w:sz="4" w:space="0" w:color="auto"/>
              <w:right w:val="single" w:sz="4" w:space="0" w:color="auto"/>
            </w:tcBorders>
            <w:shd w:val="clear" w:color="auto" w:fill="auto"/>
            <w:vAlign w:val="center"/>
          </w:tcPr>
          <w:p w14:paraId="361893D1" w14:textId="72A953B6" w:rsidR="002970B6" w:rsidRPr="00622F40" w:rsidRDefault="002970B6" w:rsidP="00E13FD9">
            <w:pPr>
              <w:spacing w:before="40" w:after="40"/>
              <w:ind w:right="-79"/>
              <w:jc w:val="center"/>
              <w:rPr>
                <w:rFonts w:cs="Arial"/>
                <w:sz w:val="16"/>
                <w:szCs w:val="18"/>
              </w:rPr>
            </w:pPr>
            <w:r w:rsidRPr="00622F40">
              <w:rPr>
                <w:sz w:val="16"/>
                <w:szCs w:val="18"/>
              </w:rPr>
              <w:t>22,827</w:t>
            </w:r>
          </w:p>
        </w:tc>
        <w:tc>
          <w:tcPr>
            <w:tcW w:w="397" w:type="pct"/>
            <w:tcBorders>
              <w:top w:val="single" w:sz="4" w:space="0" w:color="auto"/>
              <w:left w:val="nil"/>
              <w:bottom w:val="single" w:sz="4" w:space="0" w:color="auto"/>
              <w:right w:val="single" w:sz="4" w:space="0" w:color="auto"/>
            </w:tcBorders>
            <w:shd w:val="clear" w:color="auto" w:fill="auto"/>
            <w:vAlign w:val="center"/>
          </w:tcPr>
          <w:p w14:paraId="67EB7A69" w14:textId="657AE106" w:rsidR="002970B6" w:rsidRPr="00622F40" w:rsidRDefault="002970B6" w:rsidP="00E13FD9">
            <w:pPr>
              <w:spacing w:before="40" w:after="40"/>
              <w:ind w:right="-79"/>
              <w:jc w:val="center"/>
              <w:rPr>
                <w:sz w:val="16"/>
                <w:szCs w:val="18"/>
              </w:rPr>
            </w:pPr>
            <w:r w:rsidRPr="00622F40">
              <w:rPr>
                <w:sz w:val="16"/>
                <w:szCs w:val="18"/>
              </w:rPr>
              <w:t>19,623</w:t>
            </w:r>
          </w:p>
        </w:tc>
        <w:tc>
          <w:tcPr>
            <w:tcW w:w="397" w:type="pct"/>
            <w:tcBorders>
              <w:top w:val="single" w:sz="4" w:space="0" w:color="auto"/>
              <w:left w:val="nil"/>
              <w:bottom w:val="single" w:sz="4" w:space="0" w:color="auto"/>
              <w:right w:val="single" w:sz="4" w:space="0" w:color="auto"/>
            </w:tcBorders>
            <w:shd w:val="clear" w:color="auto" w:fill="auto"/>
            <w:vAlign w:val="center"/>
          </w:tcPr>
          <w:p w14:paraId="4FC404E8" w14:textId="3ED91257" w:rsidR="002970B6" w:rsidRPr="00622F40" w:rsidRDefault="002970B6" w:rsidP="00E13FD9">
            <w:pPr>
              <w:spacing w:before="40" w:after="40"/>
              <w:ind w:right="-79"/>
              <w:jc w:val="center"/>
              <w:rPr>
                <w:sz w:val="16"/>
                <w:szCs w:val="18"/>
              </w:rPr>
            </w:pPr>
            <w:r w:rsidRPr="00622F40">
              <w:rPr>
                <w:sz w:val="16"/>
                <w:szCs w:val="18"/>
              </w:rPr>
              <w:t>23,863</w:t>
            </w:r>
          </w:p>
        </w:tc>
        <w:tc>
          <w:tcPr>
            <w:tcW w:w="397" w:type="pct"/>
            <w:tcBorders>
              <w:top w:val="single" w:sz="4" w:space="0" w:color="auto"/>
              <w:left w:val="nil"/>
              <w:bottom w:val="single" w:sz="4" w:space="0" w:color="auto"/>
              <w:right w:val="single" w:sz="4" w:space="0" w:color="auto"/>
            </w:tcBorders>
            <w:shd w:val="clear" w:color="auto" w:fill="auto"/>
            <w:vAlign w:val="center"/>
          </w:tcPr>
          <w:p w14:paraId="2DFD0E4D" w14:textId="55355179" w:rsidR="002970B6" w:rsidRPr="00622F40" w:rsidRDefault="002970B6" w:rsidP="00E13FD9">
            <w:pPr>
              <w:spacing w:before="40" w:after="40"/>
              <w:ind w:right="-79"/>
              <w:jc w:val="center"/>
              <w:rPr>
                <w:sz w:val="16"/>
                <w:szCs w:val="18"/>
              </w:rPr>
            </w:pPr>
            <w:r w:rsidRPr="00622F40">
              <w:rPr>
                <w:sz w:val="16"/>
                <w:szCs w:val="18"/>
              </w:rPr>
              <w:t>35,665</w:t>
            </w:r>
          </w:p>
        </w:tc>
        <w:tc>
          <w:tcPr>
            <w:tcW w:w="397" w:type="pct"/>
            <w:tcBorders>
              <w:top w:val="single" w:sz="4" w:space="0" w:color="auto"/>
              <w:left w:val="nil"/>
              <w:bottom w:val="single" w:sz="4" w:space="0" w:color="auto"/>
              <w:right w:val="single" w:sz="4" w:space="0" w:color="auto"/>
            </w:tcBorders>
            <w:shd w:val="clear" w:color="auto" w:fill="auto"/>
            <w:vAlign w:val="center"/>
          </w:tcPr>
          <w:p w14:paraId="601A6787" w14:textId="407AD5BD" w:rsidR="002970B6" w:rsidRPr="00622F40" w:rsidRDefault="002970B6" w:rsidP="00E13FD9">
            <w:pPr>
              <w:spacing w:before="40" w:after="40"/>
              <w:ind w:right="-79"/>
              <w:jc w:val="center"/>
              <w:rPr>
                <w:sz w:val="16"/>
                <w:szCs w:val="18"/>
              </w:rPr>
            </w:pPr>
            <w:r w:rsidRPr="00622F40">
              <w:rPr>
                <w:sz w:val="16"/>
                <w:szCs w:val="18"/>
              </w:rPr>
              <w:t>32,950</w:t>
            </w:r>
          </w:p>
        </w:tc>
        <w:tc>
          <w:tcPr>
            <w:tcW w:w="397" w:type="pct"/>
            <w:tcBorders>
              <w:top w:val="single" w:sz="4" w:space="0" w:color="auto"/>
              <w:left w:val="nil"/>
              <w:bottom w:val="single" w:sz="4" w:space="0" w:color="auto"/>
              <w:right w:val="single" w:sz="4" w:space="0" w:color="auto"/>
            </w:tcBorders>
            <w:shd w:val="clear" w:color="auto" w:fill="auto"/>
            <w:vAlign w:val="center"/>
          </w:tcPr>
          <w:p w14:paraId="700291CA" w14:textId="51D067D7" w:rsidR="002970B6" w:rsidRPr="00622F40" w:rsidRDefault="002970B6" w:rsidP="00E13FD9">
            <w:pPr>
              <w:spacing w:before="40" w:after="40"/>
              <w:ind w:right="-79"/>
              <w:jc w:val="center"/>
              <w:rPr>
                <w:sz w:val="16"/>
                <w:szCs w:val="18"/>
              </w:rPr>
            </w:pPr>
            <w:r w:rsidRPr="00622F40">
              <w:rPr>
                <w:sz w:val="16"/>
                <w:szCs w:val="18"/>
              </w:rPr>
              <w:t>29,225</w:t>
            </w:r>
          </w:p>
        </w:tc>
        <w:tc>
          <w:tcPr>
            <w:tcW w:w="397" w:type="pct"/>
            <w:tcBorders>
              <w:top w:val="single" w:sz="4" w:space="0" w:color="auto"/>
              <w:left w:val="nil"/>
              <w:bottom w:val="single" w:sz="4" w:space="0" w:color="auto"/>
              <w:right w:val="single" w:sz="4" w:space="0" w:color="auto"/>
            </w:tcBorders>
            <w:shd w:val="clear" w:color="auto" w:fill="auto"/>
            <w:vAlign w:val="center"/>
          </w:tcPr>
          <w:p w14:paraId="2D9FD3DE" w14:textId="202BFA46" w:rsidR="002970B6" w:rsidRPr="00622F40" w:rsidRDefault="002970B6" w:rsidP="00E13FD9">
            <w:pPr>
              <w:spacing w:before="40" w:after="40"/>
              <w:ind w:right="-79"/>
              <w:jc w:val="center"/>
              <w:rPr>
                <w:sz w:val="16"/>
                <w:szCs w:val="18"/>
              </w:rPr>
            </w:pPr>
            <w:r w:rsidRPr="00622F40">
              <w:rPr>
                <w:sz w:val="16"/>
                <w:szCs w:val="18"/>
              </w:rPr>
              <w:t>27,543</w:t>
            </w:r>
          </w:p>
        </w:tc>
        <w:tc>
          <w:tcPr>
            <w:tcW w:w="397" w:type="pct"/>
            <w:tcBorders>
              <w:top w:val="single" w:sz="4" w:space="0" w:color="auto"/>
              <w:left w:val="nil"/>
              <w:bottom w:val="single" w:sz="4" w:space="0" w:color="auto"/>
              <w:right w:val="single" w:sz="4" w:space="0" w:color="auto"/>
            </w:tcBorders>
            <w:shd w:val="clear" w:color="auto" w:fill="auto"/>
            <w:vAlign w:val="center"/>
          </w:tcPr>
          <w:p w14:paraId="678FAB43" w14:textId="25BDF9F8" w:rsidR="002970B6" w:rsidRPr="00622F40" w:rsidRDefault="002970B6" w:rsidP="00E13FD9">
            <w:pPr>
              <w:spacing w:before="40" w:after="40"/>
              <w:ind w:right="-79"/>
              <w:jc w:val="center"/>
              <w:rPr>
                <w:sz w:val="16"/>
                <w:szCs w:val="18"/>
              </w:rPr>
            </w:pPr>
            <w:r w:rsidRPr="00622F40">
              <w:rPr>
                <w:sz w:val="16"/>
                <w:szCs w:val="18"/>
              </w:rPr>
              <w:t>21,190</w:t>
            </w:r>
          </w:p>
        </w:tc>
        <w:tc>
          <w:tcPr>
            <w:tcW w:w="397" w:type="pct"/>
            <w:tcBorders>
              <w:top w:val="single" w:sz="4" w:space="0" w:color="auto"/>
              <w:left w:val="nil"/>
              <w:bottom w:val="single" w:sz="4" w:space="0" w:color="auto"/>
              <w:right w:val="single" w:sz="4" w:space="0" w:color="auto"/>
            </w:tcBorders>
            <w:shd w:val="clear" w:color="auto" w:fill="auto"/>
            <w:vAlign w:val="center"/>
          </w:tcPr>
          <w:p w14:paraId="0DAA0B59" w14:textId="1138CC9B" w:rsidR="002970B6" w:rsidRPr="00622F40" w:rsidRDefault="002970B6" w:rsidP="00E13FD9">
            <w:pPr>
              <w:spacing w:before="40" w:after="40"/>
              <w:ind w:right="-79"/>
              <w:jc w:val="center"/>
              <w:rPr>
                <w:sz w:val="16"/>
                <w:szCs w:val="18"/>
              </w:rPr>
            </w:pPr>
            <w:r w:rsidRPr="00622F40">
              <w:rPr>
                <w:sz w:val="16"/>
                <w:szCs w:val="18"/>
              </w:rPr>
              <w:t>20,662</w:t>
            </w:r>
          </w:p>
        </w:tc>
        <w:tc>
          <w:tcPr>
            <w:tcW w:w="397" w:type="pct"/>
            <w:tcBorders>
              <w:top w:val="single" w:sz="4" w:space="0" w:color="auto"/>
              <w:left w:val="nil"/>
              <w:bottom w:val="single" w:sz="4" w:space="0" w:color="auto"/>
              <w:right w:val="single" w:sz="4" w:space="0" w:color="auto"/>
            </w:tcBorders>
            <w:shd w:val="clear" w:color="auto" w:fill="auto"/>
            <w:vAlign w:val="center"/>
          </w:tcPr>
          <w:p w14:paraId="4F821F49" w14:textId="74C273E1" w:rsidR="002970B6" w:rsidRPr="00622F40" w:rsidRDefault="002970B6" w:rsidP="00E13FD9">
            <w:pPr>
              <w:spacing w:before="40" w:after="40"/>
              <w:ind w:right="-79"/>
              <w:jc w:val="center"/>
              <w:rPr>
                <w:sz w:val="16"/>
                <w:szCs w:val="18"/>
              </w:rPr>
            </w:pPr>
            <w:r w:rsidRPr="00622F40">
              <w:rPr>
                <w:sz w:val="16"/>
                <w:szCs w:val="18"/>
              </w:rPr>
              <w:t>17,796</w:t>
            </w:r>
          </w:p>
        </w:tc>
      </w:tr>
    </w:tbl>
    <w:p w14:paraId="1F165246" w14:textId="77777777" w:rsidR="000632E6" w:rsidRPr="002462F0" w:rsidRDefault="000632E6" w:rsidP="007B2433">
      <w:pPr>
        <w:autoSpaceDE w:val="0"/>
        <w:autoSpaceDN w:val="0"/>
        <w:adjustRightInd w:val="0"/>
        <w:spacing w:after="0" w:line="240" w:lineRule="auto"/>
        <w:jc w:val="left"/>
        <w:rPr>
          <w:sz w:val="24"/>
          <w:szCs w:val="24"/>
          <w:lang w:eastAsia="fr-FR"/>
        </w:rPr>
      </w:pPr>
    </w:p>
    <w:p w14:paraId="666DDBAF" w14:textId="77777777" w:rsidR="007B2433" w:rsidRPr="00D916DB" w:rsidRDefault="007B2433" w:rsidP="00AB11C1">
      <w:pPr>
        <w:pStyle w:val="BodyText"/>
        <w:numPr>
          <w:ilvl w:val="0"/>
          <w:numId w:val="45"/>
        </w:numPr>
        <w:rPr>
          <w:lang w:eastAsia="fr-FR"/>
        </w:rPr>
      </w:pPr>
      <w:r w:rsidRPr="00D916DB">
        <w:rPr>
          <w:lang w:eastAsia="fr-FR"/>
        </w:rPr>
        <w:t>Chemical Oxygen Demand (</w:t>
      </w:r>
      <w:proofErr w:type="spellStart"/>
      <w:r w:rsidRPr="00D916DB">
        <w:rPr>
          <w:lang w:eastAsia="fr-FR"/>
        </w:rPr>
        <w:t>COD</w:t>
      </w:r>
      <w:r w:rsidRPr="00622F40">
        <w:rPr>
          <w:vertAlign w:val="subscript"/>
          <w:lang w:eastAsia="fr-FR"/>
        </w:rPr>
        <w:t>i</w:t>
      </w:r>
      <w:proofErr w:type="spellEnd"/>
      <w:r w:rsidRPr="00D916DB">
        <w:rPr>
          <w:lang w:eastAsia="fr-FR"/>
        </w:rPr>
        <w:t>), wastewater generated (W</w:t>
      </w:r>
      <w:r w:rsidRPr="00622F40">
        <w:rPr>
          <w:vertAlign w:val="subscript"/>
          <w:lang w:eastAsia="fr-FR"/>
        </w:rPr>
        <w:t>i</w:t>
      </w:r>
      <w:r w:rsidRPr="00D916DB">
        <w:rPr>
          <w:lang w:eastAsia="fr-FR"/>
        </w:rPr>
        <w:t>)</w:t>
      </w:r>
    </w:p>
    <w:p w14:paraId="1F91B453" w14:textId="77777777" w:rsidR="007B2433" w:rsidRDefault="007B2433" w:rsidP="00D916DB">
      <w:pPr>
        <w:pStyle w:val="BodyText"/>
        <w:rPr>
          <w:lang w:eastAsia="fr-FR"/>
        </w:rPr>
      </w:pPr>
      <w:r w:rsidRPr="002462F0">
        <w:rPr>
          <w:lang w:eastAsia="fr-FR"/>
        </w:rPr>
        <w:t>Default values recommended in the 2006 IPCC Guidelines are applied in the Serbian inventory.</w:t>
      </w:r>
    </w:p>
    <w:p w14:paraId="2E801A99" w14:textId="4C3C97C5" w:rsidR="005360ED" w:rsidRPr="002462F0" w:rsidRDefault="008F1D60" w:rsidP="00E13FD9">
      <w:pPr>
        <w:pStyle w:val="Caption"/>
        <w:jc w:val="both"/>
      </w:pPr>
      <w:bookmarkStart w:id="1193" w:name="_Toc184808608"/>
      <w:r>
        <w:t xml:space="preserve">Table </w:t>
      </w:r>
      <w:r>
        <w:fldChar w:fldCharType="begin"/>
      </w:r>
      <w:r>
        <w:instrText xml:space="preserve"> SEQ Table \* ARABIC </w:instrText>
      </w:r>
      <w:r>
        <w:fldChar w:fldCharType="separate"/>
      </w:r>
      <w:r w:rsidR="00F14C78">
        <w:rPr>
          <w:noProof/>
        </w:rPr>
        <w:t>64</w:t>
      </w:r>
      <w:r>
        <w:fldChar w:fldCharType="end"/>
      </w:r>
      <w:r>
        <w:t>: Chemical Oxygen Demand (</w:t>
      </w:r>
      <w:proofErr w:type="spellStart"/>
      <w:r>
        <w:t>COD</w:t>
      </w:r>
      <w:r w:rsidRPr="00622F40">
        <w:rPr>
          <w:vertAlign w:val="subscript"/>
        </w:rPr>
        <w:t>i</w:t>
      </w:r>
      <w:proofErr w:type="spellEnd"/>
      <w:r>
        <w:t xml:space="preserve">) and </w:t>
      </w:r>
      <w:r w:rsidR="00AE2AED">
        <w:t>Wastewater generated (W</w:t>
      </w:r>
      <w:r w:rsidR="00AE2AED" w:rsidRPr="00622F40">
        <w:rPr>
          <w:vertAlign w:val="subscript"/>
        </w:rPr>
        <w:t>i</w:t>
      </w:r>
      <w:r w:rsidR="00AE2AED">
        <w:t>), per product type</w:t>
      </w:r>
      <w:bookmarkEnd w:id="1193"/>
    </w:p>
    <w:tbl>
      <w:tblPr>
        <w:tblW w:w="8997" w:type="dxa"/>
        <w:tblInd w:w="70" w:type="dxa"/>
        <w:tblLayout w:type="fixed"/>
        <w:tblCellMar>
          <w:left w:w="70" w:type="dxa"/>
          <w:right w:w="70" w:type="dxa"/>
        </w:tblCellMar>
        <w:tblLook w:val="04A0" w:firstRow="1" w:lastRow="0" w:firstColumn="1" w:lastColumn="0" w:noHBand="0" w:noVBand="1"/>
      </w:tblPr>
      <w:tblGrid>
        <w:gridCol w:w="5028"/>
        <w:gridCol w:w="2127"/>
        <w:gridCol w:w="1842"/>
      </w:tblGrid>
      <w:tr w:rsidR="007B2433" w:rsidRPr="002462F0" w14:paraId="56736983" w14:textId="77777777" w:rsidTr="00E13FD9">
        <w:trPr>
          <w:trHeight w:val="255"/>
          <w:tblHeader/>
        </w:trPr>
        <w:tc>
          <w:tcPr>
            <w:tcW w:w="5028"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33BF8F46" w14:textId="77777777" w:rsidR="007B2433" w:rsidRPr="002462F0" w:rsidRDefault="007B2433" w:rsidP="00F540CA">
            <w:pPr>
              <w:spacing w:after="0" w:line="240" w:lineRule="auto"/>
              <w:jc w:val="center"/>
              <w:rPr>
                <w:rFonts w:eastAsia="Times New Roman" w:cs="Times New Roman"/>
                <w:b/>
                <w:sz w:val="16"/>
                <w:szCs w:val="16"/>
                <w:lang w:eastAsia="fr-FR"/>
              </w:rPr>
            </w:pPr>
            <w:r w:rsidRPr="002462F0">
              <w:rPr>
                <w:rFonts w:eastAsia="Times New Roman" w:cs="Times New Roman"/>
                <w:b/>
                <w:sz w:val="16"/>
                <w:szCs w:val="16"/>
                <w:lang w:eastAsia="fr-FR"/>
              </w:rPr>
              <w:t>Industrial sector (i)</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6E82FF8" w14:textId="77777777" w:rsidR="007B2433" w:rsidRPr="002462F0" w:rsidRDefault="007B2433" w:rsidP="00F540CA">
            <w:pPr>
              <w:spacing w:after="0" w:line="240" w:lineRule="auto"/>
              <w:jc w:val="center"/>
              <w:rPr>
                <w:rFonts w:eastAsia="Times New Roman" w:cs="Arial"/>
                <w:b/>
                <w:sz w:val="16"/>
                <w:szCs w:val="16"/>
                <w:lang w:eastAsia="fr-FR"/>
              </w:rPr>
            </w:pPr>
            <w:proofErr w:type="spellStart"/>
            <w:r w:rsidRPr="002462F0">
              <w:rPr>
                <w:rFonts w:eastAsia="Times New Roman" w:cs="Arial"/>
                <w:b/>
                <w:sz w:val="16"/>
                <w:szCs w:val="16"/>
                <w:lang w:eastAsia="fr-FR"/>
              </w:rPr>
              <w:t>CODi</w:t>
            </w:r>
            <w:proofErr w:type="spellEnd"/>
            <w:r w:rsidRPr="002462F0">
              <w:rPr>
                <w:rFonts w:eastAsia="Times New Roman" w:cs="Arial"/>
                <w:b/>
                <w:sz w:val="16"/>
                <w:szCs w:val="16"/>
                <w:lang w:eastAsia="fr-FR"/>
              </w:rPr>
              <w:t xml:space="preserve"> </w:t>
            </w:r>
          </w:p>
          <w:p w14:paraId="24851822" w14:textId="77777777" w:rsidR="007B2433" w:rsidRPr="002462F0" w:rsidRDefault="007B2433" w:rsidP="00F540CA">
            <w:pPr>
              <w:spacing w:after="0" w:line="240" w:lineRule="auto"/>
              <w:jc w:val="center"/>
              <w:rPr>
                <w:rFonts w:eastAsia="Times New Roman" w:cs="Arial"/>
                <w:sz w:val="16"/>
                <w:szCs w:val="16"/>
                <w:lang w:eastAsia="fr-FR"/>
              </w:rPr>
            </w:pPr>
            <w:r w:rsidRPr="002462F0">
              <w:rPr>
                <w:rFonts w:eastAsia="Times New Roman" w:cs="Arial"/>
                <w:b/>
                <w:sz w:val="16"/>
                <w:szCs w:val="16"/>
                <w:lang w:eastAsia="fr-FR"/>
              </w:rPr>
              <w:t>(kg COC/m</w:t>
            </w:r>
            <w:r w:rsidRPr="002462F0">
              <w:rPr>
                <w:rFonts w:eastAsia="Times New Roman" w:cs="Arial"/>
                <w:b/>
                <w:sz w:val="16"/>
                <w:szCs w:val="16"/>
                <w:vertAlign w:val="superscript"/>
                <w:lang w:eastAsia="fr-FR"/>
              </w:rPr>
              <w:t>3</w:t>
            </w:r>
            <w:r w:rsidRPr="002462F0">
              <w:rPr>
                <w:rFonts w:eastAsia="Times New Roman" w:cs="Arial"/>
                <w:b/>
                <w:sz w:val="16"/>
                <w:szCs w:val="16"/>
                <w:lang w:eastAsia="fr-FR"/>
              </w:rPr>
              <w:t>)</w:t>
            </w:r>
          </w:p>
        </w:tc>
        <w:tc>
          <w:tcPr>
            <w:tcW w:w="184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0FB9E6E" w14:textId="77777777" w:rsidR="007B2433" w:rsidRPr="002462F0" w:rsidRDefault="007B2433" w:rsidP="00F540CA">
            <w:pPr>
              <w:spacing w:after="0" w:line="240" w:lineRule="auto"/>
              <w:jc w:val="center"/>
              <w:rPr>
                <w:rFonts w:eastAsia="Times New Roman" w:cs="Arial"/>
                <w:b/>
                <w:sz w:val="16"/>
                <w:szCs w:val="16"/>
                <w:lang w:eastAsia="fr-FR"/>
              </w:rPr>
            </w:pPr>
            <w:r w:rsidRPr="002462F0">
              <w:rPr>
                <w:rFonts w:eastAsia="Times New Roman" w:cs="Arial"/>
                <w:b/>
                <w:sz w:val="16"/>
                <w:szCs w:val="16"/>
                <w:lang w:eastAsia="fr-FR"/>
              </w:rPr>
              <w:t xml:space="preserve">Wi </w:t>
            </w:r>
          </w:p>
          <w:p w14:paraId="6FF99FC6" w14:textId="77777777" w:rsidR="007B2433" w:rsidRPr="002462F0" w:rsidRDefault="007B2433" w:rsidP="00F540CA">
            <w:pPr>
              <w:spacing w:after="0" w:line="240" w:lineRule="auto"/>
              <w:jc w:val="center"/>
              <w:rPr>
                <w:rFonts w:eastAsia="Times New Roman" w:cs="Arial"/>
                <w:b/>
                <w:sz w:val="16"/>
                <w:szCs w:val="16"/>
                <w:lang w:eastAsia="fr-FR"/>
              </w:rPr>
            </w:pPr>
            <w:r w:rsidRPr="002462F0">
              <w:rPr>
                <w:rFonts w:eastAsia="Times New Roman" w:cs="Arial"/>
                <w:b/>
                <w:sz w:val="16"/>
                <w:szCs w:val="16"/>
                <w:lang w:eastAsia="fr-FR"/>
              </w:rPr>
              <w:t>(m</w:t>
            </w:r>
            <w:r w:rsidRPr="00622F40">
              <w:rPr>
                <w:rFonts w:eastAsia="Times New Roman" w:cs="Arial"/>
                <w:b/>
                <w:sz w:val="16"/>
                <w:szCs w:val="16"/>
                <w:vertAlign w:val="superscript"/>
                <w:lang w:eastAsia="fr-FR"/>
              </w:rPr>
              <w:t>3</w:t>
            </w:r>
            <w:r w:rsidRPr="002462F0">
              <w:rPr>
                <w:rFonts w:eastAsia="Times New Roman" w:cs="Arial"/>
                <w:b/>
                <w:sz w:val="16"/>
                <w:szCs w:val="16"/>
                <w:lang w:eastAsia="fr-FR"/>
              </w:rPr>
              <w:t>/t of product)</w:t>
            </w:r>
          </w:p>
        </w:tc>
      </w:tr>
      <w:tr w:rsidR="007B2433" w:rsidRPr="002462F0" w14:paraId="5A699EC8" w14:textId="77777777" w:rsidTr="00622F40">
        <w:trPr>
          <w:trHeight w:val="246"/>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3A6BA"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Alcohol Refining</w:t>
            </w:r>
          </w:p>
        </w:tc>
        <w:tc>
          <w:tcPr>
            <w:tcW w:w="2127" w:type="dxa"/>
            <w:tcBorders>
              <w:top w:val="single" w:sz="4" w:space="0" w:color="auto"/>
              <w:left w:val="nil"/>
              <w:bottom w:val="single" w:sz="4" w:space="0" w:color="auto"/>
              <w:right w:val="single" w:sz="4" w:space="0" w:color="auto"/>
            </w:tcBorders>
            <w:shd w:val="clear" w:color="auto" w:fill="auto"/>
            <w:vAlign w:val="center"/>
          </w:tcPr>
          <w:p w14:paraId="353FE2C5" w14:textId="62FE3110" w:rsidR="007B2433" w:rsidRPr="002462F0" w:rsidRDefault="007B2433" w:rsidP="00E13FD9">
            <w:pPr>
              <w:spacing w:before="40" w:after="40" w:line="240" w:lineRule="auto"/>
              <w:jc w:val="center"/>
              <w:rPr>
                <w:rFonts w:cs="Arial"/>
                <w:sz w:val="16"/>
                <w:szCs w:val="16"/>
              </w:rPr>
            </w:pPr>
            <w:r w:rsidRPr="002462F0">
              <w:rPr>
                <w:rFonts w:cs="Arial"/>
                <w:sz w:val="16"/>
                <w:szCs w:val="16"/>
              </w:rPr>
              <w:t>11</w:t>
            </w:r>
            <w:r w:rsidR="00F02210">
              <w:rPr>
                <w:rFonts w:cs="Arial"/>
                <w:sz w:val="16"/>
                <w:szCs w:val="16"/>
              </w:rPr>
              <w:t>.</w:t>
            </w:r>
            <w:r w:rsidRPr="002462F0">
              <w:rPr>
                <w:rFonts w:cs="Arial"/>
                <w:sz w:val="16"/>
                <w:szCs w:val="16"/>
              </w:rPr>
              <w:t>00</w:t>
            </w:r>
          </w:p>
        </w:tc>
        <w:tc>
          <w:tcPr>
            <w:tcW w:w="1842" w:type="dxa"/>
            <w:tcBorders>
              <w:top w:val="single" w:sz="4" w:space="0" w:color="auto"/>
              <w:left w:val="nil"/>
              <w:bottom w:val="single" w:sz="4" w:space="0" w:color="auto"/>
              <w:right w:val="single" w:sz="4" w:space="0" w:color="auto"/>
            </w:tcBorders>
            <w:vAlign w:val="center"/>
          </w:tcPr>
          <w:p w14:paraId="6EEB780E" w14:textId="4CAD2813" w:rsidR="007B2433" w:rsidRPr="002462F0" w:rsidRDefault="007B2433" w:rsidP="00E13FD9">
            <w:pPr>
              <w:spacing w:before="40" w:after="40" w:line="240" w:lineRule="auto"/>
              <w:jc w:val="center"/>
              <w:rPr>
                <w:rFonts w:cs="Arial"/>
                <w:sz w:val="16"/>
                <w:szCs w:val="16"/>
              </w:rPr>
            </w:pPr>
            <w:r w:rsidRPr="002462F0">
              <w:rPr>
                <w:rFonts w:cs="Arial"/>
                <w:sz w:val="16"/>
                <w:szCs w:val="16"/>
              </w:rPr>
              <w:t>24</w:t>
            </w:r>
            <w:r w:rsidR="00F02210">
              <w:rPr>
                <w:rFonts w:cs="Arial"/>
                <w:sz w:val="16"/>
                <w:szCs w:val="16"/>
              </w:rPr>
              <w:t>.</w:t>
            </w:r>
            <w:r w:rsidRPr="002462F0">
              <w:rPr>
                <w:rFonts w:cs="Arial"/>
                <w:sz w:val="16"/>
                <w:szCs w:val="16"/>
              </w:rPr>
              <w:t>00</w:t>
            </w:r>
          </w:p>
        </w:tc>
      </w:tr>
      <w:tr w:rsidR="007B2433" w:rsidRPr="002462F0" w14:paraId="500305F8"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D3580"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Beer &amp; Malt</w:t>
            </w:r>
          </w:p>
        </w:tc>
        <w:tc>
          <w:tcPr>
            <w:tcW w:w="2127" w:type="dxa"/>
            <w:tcBorders>
              <w:top w:val="single" w:sz="4" w:space="0" w:color="auto"/>
              <w:left w:val="nil"/>
              <w:bottom w:val="single" w:sz="4" w:space="0" w:color="auto"/>
              <w:right w:val="single" w:sz="4" w:space="0" w:color="auto"/>
            </w:tcBorders>
            <w:shd w:val="clear" w:color="auto" w:fill="auto"/>
            <w:vAlign w:val="center"/>
          </w:tcPr>
          <w:p w14:paraId="2CFA36FC" w14:textId="29E74502" w:rsidR="007B2433" w:rsidRPr="002462F0" w:rsidRDefault="007B2433" w:rsidP="00E13FD9">
            <w:pPr>
              <w:spacing w:before="40" w:after="40" w:line="240" w:lineRule="auto"/>
              <w:jc w:val="center"/>
              <w:rPr>
                <w:rFonts w:cs="Arial"/>
                <w:sz w:val="16"/>
                <w:szCs w:val="16"/>
              </w:rPr>
            </w:pPr>
            <w:r w:rsidRPr="002462F0">
              <w:rPr>
                <w:rFonts w:cs="Arial"/>
                <w:sz w:val="16"/>
                <w:szCs w:val="16"/>
              </w:rPr>
              <w:t>2</w:t>
            </w:r>
            <w:r w:rsidR="00F02210">
              <w:rPr>
                <w:rFonts w:cs="Arial"/>
                <w:sz w:val="16"/>
                <w:szCs w:val="16"/>
              </w:rPr>
              <w:t>.</w:t>
            </w:r>
            <w:r w:rsidRPr="002462F0">
              <w:rPr>
                <w:rFonts w:cs="Arial"/>
                <w:sz w:val="16"/>
                <w:szCs w:val="16"/>
              </w:rPr>
              <w:t>90</w:t>
            </w:r>
          </w:p>
        </w:tc>
        <w:tc>
          <w:tcPr>
            <w:tcW w:w="1842" w:type="dxa"/>
            <w:tcBorders>
              <w:top w:val="single" w:sz="4" w:space="0" w:color="auto"/>
              <w:left w:val="nil"/>
              <w:bottom w:val="single" w:sz="4" w:space="0" w:color="auto"/>
              <w:right w:val="single" w:sz="4" w:space="0" w:color="auto"/>
            </w:tcBorders>
            <w:vAlign w:val="center"/>
          </w:tcPr>
          <w:p w14:paraId="161C1FF7" w14:textId="284F2AFB" w:rsidR="007B2433" w:rsidRPr="002462F0" w:rsidRDefault="007B2433" w:rsidP="00E13FD9">
            <w:pPr>
              <w:spacing w:before="40" w:after="40" w:line="240" w:lineRule="auto"/>
              <w:jc w:val="center"/>
              <w:rPr>
                <w:rFonts w:cs="Arial"/>
                <w:sz w:val="16"/>
                <w:szCs w:val="16"/>
              </w:rPr>
            </w:pPr>
            <w:r w:rsidRPr="002462F0">
              <w:rPr>
                <w:rFonts w:cs="Arial"/>
                <w:sz w:val="16"/>
                <w:szCs w:val="16"/>
              </w:rPr>
              <w:t>6</w:t>
            </w:r>
            <w:r w:rsidR="00F02210">
              <w:rPr>
                <w:rFonts w:cs="Arial"/>
                <w:sz w:val="16"/>
                <w:szCs w:val="16"/>
              </w:rPr>
              <w:t>.</w:t>
            </w:r>
            <w:r w:rsidRPr="002462F0">
              <w:rPr>
                <w:rFonts w:cs="Arial"/>
                <w:sz w:val="16"/>
                <w:szCs w:val="16"/>
              </w:rPr>
              <w:t>30</w:t>
            </w:r>
          </w:p>
        </w:tc>
      </w:tr>
      <w:tr w:rsidR="007B2433" w:rsidRPr="002462F0" w14:paraId="0F31FBE7"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8E0A0"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Dairy Products</w:t>
            </w:r>
          </w:p>
        </w:tc>
        <w:tc>
          <w:tcPr>
            <w:tcW w:w="2127" w:type="dxa"/>
            <w:tcBorders>
              <w:top w:val="single" w:sz="4" w:space="0" w:color="auto"/>
              <w:left w:val="nil"/>
              <w:bottom w:val="single" w:sz="4" w:space="0" w:color="auto"/>
              <w:right w:val="single" w:sz="4" w:space="0" w:color="auto"/>
            </w:tcBorders>
            <w:shd w:val="clear" w:color="auto" w:fill="auto"/>
            <w:vAlign w:val="center"/>
          </w:tcPr>
          <w:p w14:paraId="329E1253" w14:textId="00309D14" w:rsidR="007B2433" w:rsidRPr="002462F0" w:rsidRDefault="007B2433" w:rsidP="00E13FD9">
            <w:pPr>
              <w:spacing w:before="40" w:after="40" w:line="240" w:lineRule="auto"/>
              <w:jc w:val="center"/>
              <w:rPr>
                <w:rFonts w:cs="Arial"/>
                <w:sz w:val="16"/>
                <w:szCs w:val="16"/>
              </w:rPr>
            </w:pPr>
            <w:r w:rsidRPr="002462F0">
              <w:rPr>
                <w:rFonts w:cs="Arial"/>
                <w:sz w:val="16"/>
                <w:szCs w:val="16"/>
              </w:rPr>
              <w:t>2</w:t>
            </w:r>
            <w:r w:rsidR="00F02210">
              <w:rPr>
                <w:rFonts w:cs="Arial"/>
                <w:sz w:val="16"/>
                <w:szCs w:val="16"/>
              </w:rPr>
              <w:t>.</w:t>
            </w:r>
            <w:r w:rsidRPr="002462F0">
              <w:rPr>
                <w:rFonts w:cs="Arial"/>
                <w:sz w:val="16"/>
                <w:szCs w:val="16"/>
              </w:rPr>
              <w:t>70</w:t>
            </w:r>
          </w:p>
        </w:tc>
        <w:tc>
          <w:tcPr>
            <w:tcW w:w="1842" w:type="dxa"/>
            <w:tcBorders>
              <w:top w:val="single" w:sz="4" w:space="0" w:color="auto"/>
              <w:left w:val="nil"/>
              <w:bottom w:val="single" w:sz="4" w:space="0" w:color="auto"/>
              <w:right w:val="single" w:sz="4" w:space="0" w:color="auto"/>
            </w:tcBorders>
            <w:vAlign w:val="center"/>
          </w:tcPr>
          <w:p w14:paraId="7531B677" w14:textId="6406BD17" w:rsidR="007B2433" w:rsidRPr="002462F0" w:rsidRDefault="007B2433" w:rsidP="00E13FD9">
            <w:pPr>
              <w:spacing w:before="40" w:after="40" w:line="240" w:lineRule="auto"/>
              <w:jc w:val="center"/>
              <w:rPr>
                <w:rFonts w:cs="Arial"/>
                <w:sz w:val="16"/>
                <w:szCs w:val="16"/>
              </w:rPr>
            </w:pPr>
            <w:r w:rsidRPr="002462F0">
              <w:rPr>
                <w:rFonts w:cs="Arial"/>
                <w:sz w:val="16"/>
                <w:szCs w:val="16"/>
              </w:rPr>
              <w:t>7</w:t>
            </w:r>
            <w:r w:rsidR="00F02210">
              <w:rPr>
                <w:rFonts w:cs="Arial"/>
                <w:sz w:val="16"/>
                <w:szCs w:val="16"/>
              </w:rPr>
              <w:t>.</w:t>
            </w:r>
            <w:r w:rsidRPr="002462F0">
              <w:rPr>
                <w:rFonts w:cs="Arial"/>
                <w:sz w:val="16"/>
                <w:szCs w:val="16"/>
              </w:rPr>
              <w:t>00</w:t>
            </w:r>
          </w:p>
        </w:tc>
      </w:tr>
      <w:tr w:rsidR="007B2433" w:rsidRPr="002462F0" w14:paraId="1B6CC605"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98C63"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Fish Processing</w:t>
            </w:r>
          </w:p>
        </w:tc>
        <w:tc>
          <w:tcPr>
            <w:tcW w:w="2127" w:type="dxa"/>
            <w:tcBorders>
              <w:top w:val="single" w:sz="4" w:space="0" w:color="auto"/>
              <w:left w:val="nil"/>
              <w:bottom w:val="single" w:sz="4" w:space="0" w:color="auto"/>
              <w:right w:val="single" w:sz="4" w:space="0" w:color="auto"/>
            </w:tcBorders>
            <w:shd w:val="clear" w:color="auto" w:fill="auto"/>
            <w:vAlign w:val="center"/>
          </w:tcPr>
          <w:p w14:paraId="1CAB5FAC" w14:textId="7190F75E" w:rsidR="007B2433" w:rsidRPr="002462F0" w:rsidRDefault="007B2433" w:rsidP="00E13FD9">
            <w:pPr>
              <w:spacing w:before="40" w:after="40" w:line="240" w:lineRule="auto"/>
              <w:jc w:val="center"/>
              <w:rPr>
                <w:rFonts w:cs="Arial"/>
                <w:sz w:val="16"/>
                <w:szCs w:val="16"/>
              </w:rPr>
            </w:pPr>
            <w:r w:rsidRPr="002462F0">
              <w:rPr>
                <w:rFonts w:cs="Arial"/>
                <w:sz w:val="16"/>
                <w:szCs w:val="16"/>
              </w:rPr>
              <w:t>2</w:t>
            </w:r>
            <w:r w:rsidR="00F02210">
              <w:rPr>
                <w:rFonts w:cs="Arial"/>
                <w:sz w:val="16"/>
                <w:szCs w:val="16"/>
              </w:rPr>
              <w:t>.</w:t>
            </w:r>
            <w:r w:rsidRPr="002462F0">
              <w:rPr>
                <w:rFonts w:cs="Arial"/>
                <w:sz w:val="16"/>
                <w:szCs w:val="16"/>
              </w:rPr>
              <w:t>50</w:t>
            </w:r>
          </w:p>
        </w:tc>
        <w:tc>
          <w:tcPr>
            <w:tcW w:w="1842" w:type="dxa"/>
            <w:tcBorders>
              <w:top w:val="single" w:sz="4" w:space="0" w:color="auto"/>
              <w:left w:val="nil"/>
              <w:bottom w:val="single" w:sz="4" w:space="0" w:color="auto"/>
              <w:right w:val="single" w:sz="4" w:space="0" w:color="auto"/>
            </w:tcBorders>
            <w:vAlign w:val="center"/>
          </w:tcPr>
          <w:p w14:paraId="75821BAE" w14:textId="616EBB78" w:rsidR="007B2433" w:rsidRPr="002462F0" w:rsidRDefault="007B2433" w:rsidP="00E13FD9">
            <w:pPr>
              <w:spacing w:before="40" w:after="40" w:line="240" w:lineRule="auto"/>
              <w:jc w:val="center"/>
              <w:rPr>
                <w:rFonts w:cs="Arial"/>
                <w:sz w:val="16"/>
                <w:szCs w:val="16"/>
              </w:rPr>
            </w:pPr>
            <w:r w:rsidRPr="002462F0">
              <w:rPr>
                <w:rFonts w:cs="Arial"/>
                <w:sz w:val="16"/>
                <w:szCs w:val="16"/>
              </w:rPr>
              <w:t>13</w:t>
            </w:r>
            <w:r w:rsidR="00F02210">
              <w:rPr>
                <w:rFonts w:cs="Arial"/>
                <w:sz w:val="16"/>
                <w:szCs w:val="16"/>
              </w:rPr>
              <w:t>.</w:t>
            </w:r>
            <w:r w:rsidRPr="002462F0">
              <w:rPr>
                <w:rFonts w:cs="Arial"/>
                <w:sz w:val="16"/>
                <w:szCs w:val="16"/>
              </w:rPr>
              <w:t>00</w:t>
            </w:r>
          </w:p>
        </w:tc>
      </w:tr>
      <w:tr w:rsidR="007B2433" w:rsidRPr="002462F0" w14:paraId="7572F476"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55F32"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Meat &amp; Poultry</w:t>
            </w:r>
          </w:p>
        </w:tc>
        <w:tc>
          <w:tcPr>
            <w:tcW w:w="2127" w:type="dxa"/>
            <w:tcBorders>
              <w:top w:val="single" w:sz="4" w:space="0" w:color="auto"/>
              <w:left w:val="nil"/>
              <w:bottom w:val="single" w:sz="4" w:space="0" w:color="auto"/>
              <w:right w:val="single" w:sz="4" w:space="0" w:color="auto"/>
            </w:tcBorders>
            <w:shd w:val="clear" w:color="auto" w:fill="auto"/>
            <w:vAlign w:val="center"/>
          </w:tcPr>
          <w:p w14:paraId="7E51CF89" w14:textId="701AE134" w:rsidR="007B2433" w:rsidRPr="002462F0" w:rsidRDefault="007B2433" w:rsidP="00E13FD9">
            <w:pPr>
              <w:spacing w:before="40" w:after="40" w:line="240" w:lineRule="auto"/>
              <w:jc w:val="center"/>
              <w:rPr>
                <w:rFonts w:cs="Arial"/>
                <w:sz w:val="16"/>
                <w:szCs w:val="16"/>
              </w:rPr>
            </w:pPr>
            <w:r w:rsidRPr="002462F0">
              <w:rPr>
                <w:rFonts w:cs="Arial"/>
                <w:sz w:val="16"/>
                <w:szCs w:val="16"/>
              </w:rPr>
              <w:t>4</w:t>
            </w:r>
            <w:r w:rsidR="00F02210">
              <w:rPr>
                <w:rFonts w:cs="Arial"/>
                <w:sz w:val="16"/>
                <w:szCs w:val="16"/>
              </w:rPr>
              <w:t>.</w:t>
            </w:r>
            <w:r w:rsidRPr="002462F0">
              <w:rPr>
                <w:rFonts w:cs="Arial"/>
                <w:sz w:val="16"/>
                <w:szCs w:val="16"/>
              </w:rPr>
              <w:t>10</w:t>
            </w:r>
          </w:p>
        </w:tc>
        <w:tc>
          <w:tcPr>
            <w:tcW w:w="1842" w:type="dxa"/>
            <w:tcBorders>
              <w:top w:val="single" w:sz="4" w:space="0" w:color="auto"/>
              <w:left w:val="nil"/>
              <w:bottom w:val="single" w:sz="4" w:space="0" w:color="auto"/>
              <w:right w:val="single" w:sz="4" w:space="0" w:color="auto"/>
            </w:tcBorders>
            <w:vAlign w:val="center"/>
          </w:tcPr>
          <w:p w14:paraId="2393BAD3" w14:textId="523E7656" w:rsidR="007B2433" w:rsidRPr="002462F0" w:rsidRDefault="007B2433" w:rsidP="00E13FD9">
            <w:pPr>
              <w:spacing w:before="40" w:after="40" w:line="240" w:lineRule="auto"/>
              <w:jc w:val="center"/>
              <w:rPr>
                <w:rFonts w:cs="Arial"/>
                <w:sz w:val="16"/>
                <w:szCs w:val="16"/>
              </w:rPr>
            </w:pPr>
            <w:r w:rsidRPr="002462F0">
              <w:rPr>
                <w:rFonts w:cs="Arial"/>
                <w:sz w:val="16"/>
                <w:szCs w:val="16"/>
              </w:rPr>
              <w:t>13</w:t>
            </w:r>
            <w:r w:rsidR="00F02210">
              <w:rPr>
                <w:rFonts w:cs="Arial"/>
                <w:sz w:val="16"/>
                <w:szCs w:val="16"/>
              </w:rPr>
              <w:t>.</w:t>
            </w:r>
            <w:r w:rsidRPr="002462F0">
              <w:rPr>
                <w:rFonts w:cs="Arial"/>
                <w:sz w:val="16"/>
                <w:szCs w:val="16"/>
              </w:rPr>
              <w:t>00</w:t>
            </w:r>
          </w:p>
        </w:tc>
      </w:tr>
      <w:tr w:rsidR="007B2433" w:rsidRPr="002462F0" w14:paraId="0E813B15"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93B77"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Organic Chemicals</w:t>
            </w:r>
          </w:p>
        </w:tc>
        <w:tc>
          <w:tcPr>
            <w:tcW w:w="2127" w:type="dxa"/>
            <w:tcBorders>
              <w:top w:val="single" w:sz="4" w:space="0" w:color="auto"/>
              <w:left w:val="nil"/>
              <w:bottom w:val="single" w:sz="4" w:space="0" w:color="auto"/>
              <w:right w:val="single" w:sz="4" w:space="0" w:color="auto"/>
            </w:tcBorders>
            <w:shd w:val="clear" w:color="auto" w:fill="auto"/>
            <w:vAlign w:val="center"/>
          </w:tcPr>
          <w:p w14:paraId="210B33F3" w14:textId="414E9131" w:rsidR="007B2433" w:rsidRPr="002462F0" w:rsidRDefault="007B2433" w:rsidP="00E13FD9">
            <w:pPr>
              <w:spacing w:before="40" w:after="40" w:line="240" w:lineRule="auto"/>
              <w:jc w:val="center"/>
              <w:rPr>
                <w:rFonts w:cs="Arial"/>
                <w:sz w:val="16"/>
                <w:szCs w:val="16"/>
              </w:rPr>
            </w:pPr>
            <w:r w:rsidRPr="002462F0">
              <w:rPr>
                <w:rFonts w:cs="Arial"/>
                <w:sz w:val="16"/>
                <w:szCs w:val="16"/>
              </w:rPr>
              <w:t>3</w:t>
            </w:r>
            <w:r w:rsidR="00F02210">
              <w:rPr>
                <w:rFonts w:cs="Arial"/>
                <w:sz w:val="16"/>
                <w:szCs w:val="16"/>
              </w:rPr>
              <w:t>.</w:t>
            </w:r>
            <w:r w:rsidRPr="002462F0">
              <w:rPr>
                <w:rFonts w:cs="Arial"/>
                <w:sz w:val="16"/>
                <w:szCs w:val="16"/>
              </w:rPr>
              <w:t>00</w:t>
            </w:r>
          </w:p>
        </w:tc>
        <w:tc>
          <w:tcPr>
            <w:tcW w:w="1842" w:type="dxa"/>
            <w:tcBorders>
              <w:top w:val="single" w:sz="4" w:space="0" w:color="auto"/>
              <w:left w:val="nil"/>
              <w:bottom w:val="single" w:sz="4" w:space="0" w:color="auto"/>
              <w:right w:val="single" w:sz="4" w:space="0" w:color="auto"/>
            </w:tcBorders>
            <w:vAlign w:val="center"/>
          </w:tcPr>
          <w:p w14:paraId="45D4C473" w14:textId="7E24D75E" w:rsidR="007B2433" w:rsidRPr="002462F0" w:rsidRDefault="007B2433" w:rsidP="00E13FD9">
            <w:pPr>
              <w:spacing w:before="40" w:after="40" w:line="240" w:lineRule="auto"/>
              <w:jc w:val="center"/>
              <w:rPr>
                <w:rFonts w:cs="Arial"/>
                <w:sz w:val="16"/>
                <w:szCs w:val="16"/>
              </w:rPr>
            </w:pPr>
            <w:r w:rsidRPr="002462F0">
              <w:rPr>
                <w:rFonts w:cs="Arial"/>
                <w:sz w:val="16"/>
                <w:szCs w:val="16"/>
              </w:rPr>
              <w:t>67</w:t>
            </w:r>
            <w:r w:rsidR="00F02210">
              <w:rPr>
                <w:rFonts w:cs="Arial"/>
                <w:sz w:val="16"/>
                <w:szCs w:val="16"/>
              </w:rPr>
              <w:t>.</w:t>
            </w:r>
            <w:r w:rsidRPr="002462F0">
              <w:rPr>
                <w:rFonts w:cs="Arial"/>
                <w:sz w:val="16"/>
                <w:szCs w:val="16"/>
              </w:rPr>
              <w:t>00</w:t>
            </w:r>
          </w:p>
        </w:tc>
      </w:tr>
      <w:tr w:rsidR="007B2433" w:rsidRPr="002462F0" w14:paraId="495CC51B"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45D2A"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Petroleum Refineries</w:t>
            </w:r>
          </w:p>
        </w:tc>
        <w:tc>
          <w:tcPr>
            <w:tcW w:w="2127" w:type="dxa"/>
            <w:tcBorders>
              <w:top w:val="single" w:sz="4" w:space="0" w:color="auto"/>
              <w:left w:val="nil"/>
              <w:bottom w:val="single" w:sz="4" w:space="0" w:color="auto"/>
              <w:right w:val="single" w:sz="4" w:space="0" w:color="auto"/>
            </w:tcBorders>
            <w:shd w:val="clear" w:color="auto" w:fill="auto"/>
            <w:vAlign w:val="center"/>
          </w:tcPr>
          <w:p w14:paraId="1E36C124" w14:textId="666737CB" w:rsidR="007B2433" w:rsidRPr="002462F0" w:rsidRDefault="007B2433" w:rsidP="00E13FD9">
            <w:pPr>
              <w:spacing w:before="40" w:after="40" w:line="240" w:lineRule="auto"/>
              <w:jc w:val="center"/>
              <w:rPr>
                <w:rFonts w:cs="Arial"/>
                <w:sz w:val="16"/>
                <w:szCs w:val="16"/>
              </w:rPr>
            </w:pPr>
            <w:r w:rsidRPr="002462F0">
              <w:rPr>
                <w:rFonts w:cs="Arial"/>
                <w:sz w:val="16"/>
                <w:szCs w:val="16"/>
              </w:rPr>
              <w:t>1</w:t>
            </w:r>
            <w:r w:rsidR="00F02210">
              <w:rPr>
                <w:rFonts w:cs="Arial"/>
                <w:sz w:val="16"/>
                <w:szCs w:val="16"/>
              </w:rPr>
              <w:t>.</w:t>
            </w:r>
            <w:r w:rsidRPr="002462F0">
              <w:rPr>
                <w:rFonts w:cs="Arial"/>
                <w:sz w:val="16"/>
                <w:szCs w:val="16"/>
              </w:rPr>
              <w:t>00</w:t>
            </w:r>
          </w:p>
        </w:tc>
        <w:tc>
          <w:tcPr>
            <w:tcW w:w="1842" w:type="dxa"/>
            <w:tcBorders>
              <w:top w:val="single" w:sz="4" w:space="0" w:color="auto"/>
              <w:left w:val="nil"/>
              <w:bottom w:val="single" w:sz="4" w:space="0" w:color="auto"/>
              <w:right w:val="single" w:sz="4" w:space="0" w:color="auto"/>
            </w:tcBorders>
            <w:vAlign w:val="center"/>
          </w:tcPr>
          <w:p w14:paraId="359C545A" w14:textId="20D45053" w:rsidR="007B2433" w:rsidRPr="002462F0" w:rsidRDefault="007B2433" w:rsidP="00E13FD9">
            <w:pPr>
              <w:spacing w:before="40" w:after="40" w:line="240" w:lineRule="auto"/>
              <w:jc w:val="center"/>
              <w:rPr>
                <w:rFonts w:cs="Arial"/>
                <w:sz w:val="16"/>
                <w:szCs w:val="16"/>
              </w:rPr>
            </w:pPr>
            <w:r w:rsidRPr="002462F0">
              <w:rPr>
                <w:rFonts w:cs="Arial"/>
                <w:sz w:val="16"/>
                <w:szCs w:val="16"/>
              </w:rPr>
              <w:t>0</w:t>
            </w:r>
            <w:r w:rsidR="00F02210">
              <w:rPr>
                <w:rFonts w:cs="Arial"/>
                <w:sz w:val="16"/>
                <w:szCs w:val="16"/>
              </w:rPr>
              <w:t>.</w:t>
            </w:r>
            <w:r w:rsidRPr="002462F0">
              <w:rPr>
                <w:rFonts w:cs="Arial"/>
                <w:sz w:val="16"/>
                <w:szCs w:val="16"/>
              </w:rPr>
              <w:t>60</w:t>
            </w:r>
          </w:p>
        </w:tc>
      </w:tr>
      <w:tr w:rsidR="007B2433" w:rsidRPr="002462F0" w14:paraId="66FF3C03"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2706F"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Plastics &amp; Resins</w:t>
            </w:r>
          </w:p>
        </w:tc>
        <w:tc>
          <w:tcPr>
            <w:tcW w:w="2127" w:type="dxa"/>
            <w:tcBorders>
              <w:top w:val="single" w:sz="4" w:space="0" w:color="auto"/>
              <w:left w:val="nil"/>
              <w:bottom w:val="single" w:sz="4" w:space="0" w:color="auto"/>
              <w:right w:val="single" w:sz="4" w:space="0" w:color="auto"/>
            </w:tcBorders>
            <w:shd w:val="clear" w:color="auto" w:fill="auto"/>
            <w:vAlign w:val="center"/>
          </w:tcPr>
          <w:p w14:paraId="039FFAB7" w14:textId="0C1A3102" w:rsidR="007B2433" w:rsidRPr="002462F0" w:rsidRDefault="007B2433" w:rsidP="00E13FD9">
            <w:pPr>
              <w:spacing w:before="40" w:after="40" w:line="240" w:lineRule="auto"/>
              <w:jc w:val="center"/>
              <w:rPr>
                <w:rFonts w:cs="Arial"/>
                <w:sz w:val="16"/>
                <w:szCs w:val="16"/>
              </w:rPr>
            </w:pPr>
            <w:r w:rsidRPr="002462F0">
              <w:rPr>
                <w:rFonts w:cs="Arial"/>
                <w:sz w:val="16"/>
                <w:szCs w:val="16"/>
              </w:rPr>
              <w:t>3</w:t>
            </w:r>
            <w:r w:rsidR="00F02210">
              <w:rPr>
                <w:rFonts w:cs="Arial"/>
                <w:sz w:val="16"/>
                <w:szCs w:val="16"/>
              </w:rPr>
              <w:t>.</w:t>
            </w:r>
            <w:r w:rsidRPr="002462F0">
              <w:rPr>
                <w:rFonts w:cs="Arial"/>
                <w:sz w:val="16"/>
                <w:szCs w:val="16"/>
              </w:rPr>
              <w:t>70</w:t>
            </w:r>
          </w:p>
        </w:tc>
        <w:tc>
          <w:tcPr>
            <w:tcW w:w="1842" w:type="dxa"/>
            <w:tcBorders>
              <w:top w:val="single" w:sz="4" w:space="0" w:color="auto"/>
              <w:left w:val="nil"/>
              <w:bottom w:val="single" w:sz="4" w:space="0" w:color="auto"/>
              <w:right w:val="single" w:sz="4" w:space="0" w:color="auto"/>
            </w:tcBorders>
            <w:vAlign w:val="center"/>
          </w:tcPr>
          <w:p w14:paraId="2B61EE49" w14:textId="63D6DDAF" w:rsidR="007B2433" w:rsidRPr="002462F0" w:rsidRDefault="007B2433" w:rsidP="00E13FD9">
            <w:pPr>
              <w:spacing w:before="40" w:after="40" w:line="240" w:lineRule="auto"/>
              <w:jc w:val="center"/>
              <w:rPr>
                <w:rFonts w:cs="Arial"/>
                <w:sz w:val="16"/>
                <w:szCs w:val="16"/>
              </w:rPr>
            </w:pPr>
            <w:r w:rsidRPr="002462F0">
              <w:rPr>
                <w:rFonts w:cs="Arial"/>
                <w:sz w:val="16"/>
                <w:szCs w:val="16"/>
              </w:rPr>
              <w:t>0</w:t>
            </w:r>
            <w:r w:rsidR="00F02210">
              <w:rPr>
                <w:rFonts w:cs="Arial"/>
                <w:sz w:val="16"/>
                <w:szCs w:val="16"/>
              </w:rPr>
              <w:t>.</w:t>
            </w:r>
            <w:r w:rsidRPr="002462F0">
              <w:rPr>
                <w:rFonts w:cs="Arial"/>
                <w:sz w:val="16"/>
                <w:szCs w:val="16"/>
              </w:rPr>
              <w:t>60</w:t>
            </w:r>
          </w:p>
        </w:tc>
      </w:tr>
      <w:tr w:rsidR="007B2433" w:rsidRPr="002462F0" w14:paraId="42AC128E"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E2298"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Pulp &amp; Paper (combined)</w:t>
            </w:r>
          </w:p>
        </w:tc>
        <w:tc>
          <w:tcPr>
            <w:tcW w:w="2127" w:type="dxa"/>
            <w:tcBorders>
              <w:top w:val="single" w:sz="4" w:space="0" w:color="auto"/>
              <w:left w:val="nil"/>
              <w:bottom w:val="single" w:sz="4" w:space="0" w:color="auto"/>
              <w:right w:val="single" w:sz="4" w:space="0" w:color="auto"/>
            </w:tcBorders>
            <w:shd w:val="clear" w:color="auto" w:fill="auto"/>
            <w:vAlign w:val="center"/>
          </w:tcPr>
          <w:p w14:paraId="7B720372" w14:textId="4503791C" w:rsidR="007B2433" w:rsidRPr="002462F0" w:rsidRDefault="007B2433" w:rsidP="00E13FD9">
            <w:pPr>
              <w:spacing w:before="40" w:after="40" w:line="240" w:lineRule="auto"/>
              <w:jc w:val="center"/>
              <w:rPr>
                <w:rFonts w:cs="Arial"/>
                <w:sz w:val="16"/>
                <w:szCs w:val="16"/>
              </w:rPr>
            </w:pPr>
            <w:r w:rsidRPr="002462F0">
              <w:rPr>
                <w:rFonts w:cs="Arial"/>
                <w:sz w:val="16"/>
                <w:szCs w:val="16"/>
              </w:rPr>
              <w:t>9</w:t>
            </w:r>
            <w:r w:rsidR="00F02210">
              <w:rPr>
                <w:rFonts w:cs="Arial"/>
                <w:sz w:val="16"/>
                <w:szCs w:val="16"/>
              </w:rPr>
              <w:t>.</w:t>
            </w:r>
            <w:r w:rsidRPr="002462F0">
              <w:rPr>
                <w:rFonts w:cs="Arial"/>
                <w:sz w:val="16"/>
                <w:szCs w:val="16"/>
              </w:rPr>
              <w:t>00</w:t>
            </w:r>
          </w:p>
        </w:tc>
        <w:tc>
          <w:tcPr>
            <w:tcW w:w="1842" w:type="dxa"/>
            <w:tcBorders>
              <w:top w:val="single" w:sz="4" w:space="0" w:color="auto"/>
              <w:left w:val="nil"/>
              <w:bottom w:val="single" w:sz="4" w:space="0" w:color="auto"/>
              <w:right w:val="single" w:sz="4" w:space="0" w:color="auto"/>
            </w:tcBorders>
            <w:vAlign w:val="center"/>
          </w:tcPr>
          <w:p w14:paraId="5FFB31A3" w14:textId="314A0EA6" w:rsidR="007B2433" w:rsidRPr="002462F0" w:rsidRDefault="007B2433" w:rsidP="00E13FD9">
            <w:pPr>
              <w:spacing w:before="40" w:after="40" w:line="240" w:lineRule="auto"/>
              <w:jc w:val="center"/>
              <w:rPr>
                <w:rFonts w:cs="Arial"/>
                <w:sz w:val="16"/>
                <w:szCs w:val="16"/>
              </w:rPr>
            </w:pPr>
            <w:r w:rsidRPr="002462F0">
              <w:rPr>
                <w:rFonts w:cs="Arial"/>
                <w:sz w:val="16"/>
                <w:szCs w:val="16"/>
              </w:rPr>
              <w:t>162</w:t>
            </w:r>
            <w:r w:rsidR="00F02210">
              <w:rPr>
                <w:rFonts w:cs="Arial"/>
                <w:sz w:val="16"/>
                <w:szCs w:val="16"/>
              </w:rPr>
              <w:t>.</w:t>
            </w:r>
            <w:r w:rsidRPr="002462F0">
              <w:rPr>
                <w:rFonts w:cs="Arial"/>
                <w:sz w:val="16"/>
                <w:szCs w:val="16"/>
              </w:rPr>
              <w:t>00</w:t>
            </w:r>
          </w:p>
        </w:tc>
      </w:tr>
      <w:tr w:rsidR="007B2433" w:rsidRPr="002462F0" w14:paraId="1F117CC0"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0B158"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Soap &amp; Detergents</w:t>
            </w:r>
          </w:p>
        </w:tc>
        <w:tc>
          <w:tcPr>
            <w:tcW w:w="2127" w:type="dxa"/>
            <w:tcBorders>
              <w:top w:val="single" w:sz="4" w:space="0" w:color="auto"/>
              <w:left w:val="nil"/>
              <w:bottom w:val="single" w:sz="4" w:space="0" w:color="auto"/>
              <w:right w:val="single" w:sz="4" w:space="0" w:color="auto"/>
            </w:tcBorders>
            <w:shd w:val="clear" w:color="auto" w:fill="auto"/>
            <w:vAlign w:val="center"/>
          </w:tcPr>
          <w:p w14:paraId="58B05C0D" w14:textId="0120CA3B" w:rsidR="007B2433" w:rsidRPr="002462F0" w:rsidRDefault="007B2433" w:rsidP="00E13FD9">
            <w:pPr>
              <w:spacing w:before="40" w:after="40" w:line="240" w:lineRule="auto"/>
              <w:jc w:val="center"/>
              <w:rPr>
                <w:rFonts w:cs="Arial"/>
                <w:sz w:val="16"/>
                <w:szCs w:val="16"/>
              </w:rPr>
            </w:pPr>
            <w:r w:rsidRPr="002462F0">
              <w:rPr>
                <w:rFonts w:cs="Arial"/>
                <w:sz w:val="16"/>
                <w:szCs w:val="16"/>
              </w:rPr>
              <w:t>0</w:t>
            </w:r>
            <w:r w:rsidR="00F02210">
              <w:rPr>
                <w:rFonts w:cs="Arial"/>
                <w:sz w:val="16"/>
                <w:szCs w:val="16"/>
              </w:rPr>
              <w:t>.</w:t>
            </w:r>
            <w:r w:rsidRPr="002462F0">
              <w:rPr>
                <w:rFonts w:cs="Arial"/>
                <w:sz w:val="16"/>
                <w:szCs w:val="16"/>
              </w:rPr>
              <w:t>85</w:t>
            </w:r>
          </w:p>
        </w:tc>
        <w:tc>
          <w:tcPr>
            <w:tcW w:w="1842" w:type="dxa"/>
            <w:tcBorders>
              <w:top w:val="single" w:sz="4" w:space="0" w:color="auto"/>
              <w:left w:val="nil"/>
              <w:bottom w:val="single" w:sz="4" w:space="0" w:color="auto"/>
              <w:right w:val="single" w:sz="4" w:space="0" w:color="auto"/>
            </w:tcBorders>
            <w:vAlign w:val="center"/>
          </w:tcPr>
          <w:p w14:paraId="00C84BD3" w14:textId="61FAD754" w:rsidR="007B2433" w:rsidRPr="002462F0" w:rsidRDefault="007B2433" w:rsidP="00E13FD9">
            <w:pPr>
              <w:spacing w:before="40" w:after="40" w:line="240" w:lineRule="auto"/>
              <w:jc w:val="center"/>
              <w:rPr>
                <w:rFonts w:cs="Arial"/>
                <w:sz w:val="16"/>
                <w:szCs w:val="16"/>
              </w:rPr>
            </w:pPr>
            <w:r w:rsidRPr="002462F0">
              <w:rPr>
                <w:rFonts w:cs="Arial"/>
                <w:sz w:val="16"/>
                <w:szCs w:val="16"/>
              </w:rPr>
              <w:t>3</w:t>
            </w:r>
            <w:r w:rsidR="00F02210">
              <w:rPr>
                <w:rFonts w:cs="Arial"/>
                <w:sz w:val="16"/>
                <w:szCs w:val="16"/>
              </w:rPr>
              <w:t>.</w:t>
            </w:r>
            <w:r w:rsidRPr="002462F0">
              <w:rPr>
                <w:rFonts w:cs="Arial"/>
                <w:sz w:val="16"/>
                <w:szCs w:val="16"/>
              </w:rPr>
              <w:t>00</w:t>
            </w:r>
          </w:p>
        </w:tc>
      </w:tr>
      <w:tr w:rsidR="007B2433" w:rsidRPr="002462F0" w14:paraId="70080B5E"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B93D6"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Starch Production</w:t>
            </w:r>
          </w:p>
        </w:tc>
        <w:tc>
          <w:tcPr>
            <w:tcW w:w="2127" w:type="dxa"/>
            <w:tcBorders>
              <w:top w:val="single" w:sz="4" w:space="0" w:color="auto"/>
              <w:left w:val="nil"/>
              <w:bottom w:val="single" w:sz="4" w:space="0" w:color="auto"/>
              <w:right w:val="single" w:sz="4" w:space="0" w:color="auto"/>
            </w:tcBorders>
            <w:shd w:val="clear" w:color="auto" w:fill="auto"/>
            <w:vAlign w:val="center"/>
          </w:tcPr>
          <w:p w14:paraId="74936606" w14:textId="6F239D90" w:rsidR="007B2433" w:rsidRPr="002462F0" w:rsidRDefault="007B2433" w:rsidP="00E13FD9">
            <w:pPr>
              <w:spacing w:before="40" w:after="40" w:line="240" w:lineRule="auto"/>
              <w:jc w:val="center"/>
              <w:rPr>
                <w:rFonts w:cs="Arial"/>
                <w:sz w:val="16"/>
                <w:szCs w:val="16"/>
              </w:rPr>
            </w:pPr>
            <w:r w:rsidRPr="002462F0">
              <w:rPr>
                <w:rFonts w:cs="Arial"/>
                <w:sz w:val="16"/>
                <w:szCs w:val="16"/>
              </w:rPr>
              <w:t>10</w:t>
            </w:r>
            <w:r w:rsidR="00F02210">
              <w:rPr>
                <w:rFonts w:cs="Arial"/>
                <w:sz w:val="16"/>
                <w:szCs w:val="16"/>
              </w:rPr>
              <w:t>.</w:t>
            </w:r>
            <w:r w:rsidRPr="002462F0">
              <w:rPr>
                <w:rFonts w:cs="Arial"/>
                <w:sz w:val="16"/>
                <w:szCs w:val="16"/>
              </w:rPr>
              <w:t>00</w:t>
            </w:r>
          </w:p>
        </w:tc>
        <w:tc>
          <w:tcPr>
            <w:tcW w:w="1842" w:type="dxa"/>
            <w:tcBorders>
              <w:top w:val="single" w:sz="4" w:space="0" w:color="auto"/>
              <w:left w:val="nil"/>
              <w:bottom w:val="single" w:sz="4" w:space="0" w:color="auto"/>
              <w:right w:val="single" w:sz="4" w:space="0" w:color="auto"/>
            </w:tcBorders>
            <w:vAlign w:val="center"/>
          </w:tcPr>
          <w:p w14:paraId="55BDDE5A" w14:textId="44607FC5" w:rsidR="007B2433" w:rsidRPr="002462F0" w:rsidRDefault="007B2433" w:rsidP="00E13FD9">
            <w:pPr>
              <w:spacing w:before="40" w:after="40" w:line="240" w:lineRule="auto"/>
              <w:jc w:val="center"/>
              <w:rPr>
                <w:rFonts w:cs="Arial"/>
                <w:sz w:val="16"/>
                <w:szCs w:val="16"/>
              </w:rPr>
            </w:pPr>
            <w:r w:rsidRPr="002462F0">
              <w:rPr>
                <w:rFonts w:cs="Arial"/>
                <w:sz w:val="16"/>
                <w:szCs w:val="16"/>
              </w:rPr>
              <w:t>9</w:t>
            </w:r>
            <w:r w:rsidR="00F02210">
              <w:rPr>
                <w:rFonts w:cs="Arial"/>
                <w:sz w:val="16"/>
                <w:szCs w:val="16"/>
              </w:rPr>
              <w:t>.</w:t>
            </w:r>
            <w:r w:rsidRPr="002462F0">
              <w:rPr>
                <w:rFonts w:cs="Arial"/>
                <w:sz w:val="16"/>
                <w:szCs w:val="16"/>
              </w:rPr>
              <w:t>00</w:t>
            </w:r>
          </w:p>
        </w:tc>
      </w:tr>
      <w:tr w:rsidR="007B2433" w:rsidRPr="002462F0" w14:paraId="1B7E0C7B"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90BD5"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Sugar Refining</w:t>
            </w:r>
          </w:p>
        </w:tc>
        <w:tc>
          <w:tcPr>
            <w:tcW w:w="2127" w:type="dxa"/>
            <w:tcBorders>
              <w:top w:val="single" w:sz="4" w:space="0" w:color="auto"/>
              <w:left w:val="nil"/>
              <w:bottom w:val="single" w:sz="4" w:space="0" w:color="auto"/>
              <w:right w:val="single" w:sz="4" w:space="0" w:color="auto"/>
            </w:tcBorders>
            <w:shd w:val="clear" w:color="auto" w:fill="auto"/>
            <w:vAlign w:val="center"/>
          </w:tcPr>
          <w:p w14:paraId="1337DFCB" w14:textId="4512761E" w:rsidR="007B2433" w:rsidRPr="002462F0" w:rsidRDefault="007B2433" w:rsidP="00E13FD9">
            <w:pPr>
              <w:spacing w:before="40" w:after="40" w:line="240" w:lineRule="auto"/>
              <w:jc w:val="center"/>
              <w:rPr>
                <w:rFonts w:cs="Arial"/>
                <w:sz w:val="16"/>
                <w:szCs w:val="16"/>
              </w:rPr>
            </w:pPr>
            <w:r w:rsidRPr="002462F0">
              <w:rPr>
                <w:rFonts w:cs="Arial"/>
                <w:sz w:val="16"/>
                <w:szCs w:val="16"/>
              </w:rPr>
              <w:t>3</w:t>
            </w:r>
            <w:r w:rsidR="00F02210">
              <w:rPr>
                <w:rFonts w:cs="Arial"/>
                <w:sz w:val="16"/>
                <w:szCs w:val="16"/>
              </w:rPr>
              <w:t>.</w:t>
            </w:r>
            <w:r w:rsidRPr="002462F0">
              <w:rPr>
                <w:rFonts w:cs="Arial"/>
                <w:sz w:val="16"/>
                <w:szCs w:val="16"/>
              </w:rPr>
              <w:t>20</w:t>
            </w:r>
          </w:p>
        </w:tc>
        <w:tc>
          <w:tcPr>
            <w:tcW w:w="1842" w:type="dxa"/>
            <w:tcBorders>
              <w:top w:val="single" w:sz="4" w:space="0" w:color="auto"/>
              <w:left w:val="nil"/>
              <w:bottom w:val="single" w:sz="4" w:space="0" w:color="auto"/>
              <w:right w:val="single" w:sz="4" w:space="0" w:color="auto"/>
            </w:tcBorders>
            <w:vAlign w:val="center"/>
          </w:tcPr>
          <w:p w14:paraId="61913A7F" w14:textId="704A36A9" w:rsidR="007B2433" w:rsidRPr="002462F0" w:rsidRDefault="007B2433" w:rsidP="00E13FD9">
            <w:pPr>
              <w:spacing w:before="40" w:after="40" w:line="240" w:lineRule="auto"/>
              <w:jc w:val="center"/>
              <w:rPr>
                <w:rFonts w:cs="Arial"/>
                <w:sz w:val="16"/>
                <w:szCs w:val="16"/>
              </w:rPr>
            </w:pPr>
            <w:r w:rsidRPr="002462F0">
              <w:rPr>
                <w:rFonts w:cs="Arial"/>
                <w:sz w:val="16"/>
                <w:szCs w:val="16"/>
              </w:rPr>
              <w:t>11</w:t>
            </w:r>
            <w:r w:rsidR="00F02210">
              <w:rPr>
                <w:rFonts w:cs="Arial"/>
                <w:sz w:val="16"/>
                <w:szCs w:val="16"/>
              </w:rPr>
              <w:t>.</w:t>
            </w:r>
            <w:r w:rsidRPr="002462F0">
              <w:rPr>
                <w:rFonts w:cs="Arial"/>
                <w:sz w:val="16"/>
                <w:szCs w:val="16"/>
              </w:rPr>
              <w:t>00</w:t>
            </w:r>
          </w:p>
        </w:tc>
      </w:tr>
      <w:tr w:rsidR="007B2433" w:rsidRPr="002462F0" w14:paraId="23052D77"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18534"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Vegetable Oils</w:t>
            </w:r>
          </w:p>
        </w:tc>
        <w:tc>
          <w:tcPr>
            <w:tcW w:w="2127" w:type="dxa"/>
            <w:tcBorders>
              <w:top w:val="single" w:sz="4" w:space="0" w:color="auto"/>
              <w:left w:val="nil"/>
              <w:bottom w:val="single" w:sz="4" w:space="0" w:color="auto"/>
              <w:right w:val="single" w:sz="4" w:space="0" w:color="auto"/>
            </w:tcBorders>
            <w:shd w:val="clear" w:color="auto" w:fill="auto"/>
            <w:vAlign w:val="center"/>
          </w:tcPr>
          <w:p w14:paraId="2E4FF069" w14:textId="6A1FE276" w:rsidR="007B2433" w:rsidRPr="002462F0" w:rsidRDefault="007B2433" w:rsidP="00E13FD9">
            <w:pPr>
              <w:spacing w:before="40" w:after="40" w:line="240" w:lineRule="auto"/>
              <w:jc w:val="center"/>
              <w:rPr>
                <w:rFonts w:cs="Arial"/>
                <w:sz w:val="16"/>
                <w:szCs w:val="16"/>
              </w:rPr>
            </w:pPr>
            <w:r w:rsidRPr="002462F0">
              <w:rPr>
                <w:rFonts w:cs="Arial"/>
                <w:sz w:val="16"/>
                <w:szCs w:val="16"/>
              </w:rPr>
              <w:t>0</w:t>
            </w:r>
            <w:r w:rsidR="00F02210">
              <w:rPr>
                <w:rFonts w:cs="Arial"/>
                <w:sz w:val="16"/>
                <w:szCs w:val="16"/>
              </w:rPr>
              <w:t>.</w:t>
            </w:r>
            <w:r w:rsidRPr="002462F0">
              <w:rPr>
                <w:rFonts w:cs="Arial"/>
                <w:sz w:val="16"/>
                <w:szCs w:val="16"/>
              </w:rPr>
              <w:t>85</w:t>
            </w:r>
          </w:p>
        </w:tc>
        <w:tc>
          <w:tcPr>
            <w:tcW w:w="1842" w:type="dxa"/>
            <w:tcBorders>
              <w:top w:val="single" w:sz="4" w:space="0" w:color="auto"/>
              <w:left w:val="nil"/>
              <w:bottom w:val="single" w:sz="4" w:space="0" w:color="auto"/>
              <w:right w:val="single" w:sz="4" w:space="0" w:color="auto"/>
            </w:tcBorders>
            <w:vAlign w:val="center"/>
          </w:tcPr>
          <w:p w14:paraId="4BC6C1CA" w14:textId="643FA673" w:rsidR="007B2433" w:rsidRPr="002462F0" w:rsidRDefault="007B2433" w:rsidP="00E13FD9">
            <w:pPr>
              <w:spacing w:before="40" w:after="40" w:line="240" w:lineRule="auto"/>
              <w:jc w:val="center"/>
              <w:rPr>
                <w:rFonts w:cs="Arial"/>
                <w:sz w:val="16"/>
                <w:szCs w:val="16"/>
              </w:rPr>
            </w:pPr>
            <w:r w:rsidRPr="002462F0">
              <w:rPr>
                <w:rFonts w:cs="Arial"/>
                <w:sz w:val="16"/>
                <w:szCs w:val="16"/>
              </w:rPr>
              <w:t>3</w:t>
            </w:r>
            <w:r w:rsidR="00F02210">
              <w:rPr>
                <w:rFonts w:cs="Arial"/>
                <w:sz w:val="16"/>
                <w:szCs w:val="16"/>
              </w:rPr>
              <w:t>.</w:t>
            </w:r>
            <w:r w:rsidRPr="002462F0">
              <w:rPr>
                <w:rFonts w:cs="Arial"/>
                <w:sz w:val="16"/>
                <w:szCs w:val="16"/>
              </w:rPr>
              <w:t>10</w:t>
            </w:r>
          </w:p>
        </w:tc>
      </w:tr>
      <w:tr w:rsidR="007B2433" w:rsidRPr="002462F0" w14:paraId="34AFAC8B"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DE1DC"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lastRenderedPageBreak/>
              <w:t>Vegetables, Fruits y&amp; Juices</w:t>
            </w:r>
          </w:p>
        </w:tc>
        <w:tc>
          <w:tcPr>
            <w:tcW w:w="2127" w:type="dxa"/>
            <w:tcBorders>
              <w:top w:val="single" w:sz="4" w:space="0" w:color="auto"/>
              <w:left w:val="nil"/>
              <w:bottom w:val="single" w:sz="4" w:space="0" w:color="auto"/>
              <w:right w:val="single" w:sz="4" w:space="0" w:color="auto"/>
            </w:tcBorders>
            <w:shd w:val="clear" w:color="auto" w:fill="auto"/>
            <w:vAlign w:val="center"/>
          </w:tcPr>
          <w:p w14:paraId="61BE6E2A" w14:textId="78E184F5" w:rsidR="007B2433" w:rsidRPr="002462F0" w:rsidRDefault="007B2433" w:rsidP="00E13FD9">
            <w:pPr>
              <w:spacing w:before="40" w:after="40" w:line="240" w:lineRule="auto"/>
              <w:jc w:val="center"/>
              <w:rPr>
                <w:rFonts w:cs="Arial"/>
                <w:sz w:val="16"/>
                <w:szCs w:val="16"/>
              </w:rPr>
            </w:pPr>
            <w:r w:rsidRPr="002462F0">
              <w:rPr>
                <w:rFonts w:cs="Arial"/>
                <w:sz w:val="16"/>
                <w:szCs w:val="16"/>
              </w:rPr>
              <w:t>5</w:t>
            </w:r>
            <w:r w:rsidR="00F02210">
              <w:rPr>
                <w:rFonts w:cs="Arial"/>
                <w:sz w:val="16"/>
                <w:szCs w:val="16"/>
              </w:rPr>
              <w:t>.</w:t>
            </w:r>
            <w:r w:rsidRPr="002462F0">
              <w:rPr>
                <w:rFonts w:cs="Arial"/>
                <w:sz w:val="16"/>
                <w:szCs w:val="16"/>
              </w:rPr>
              <w:t>00</w:t>
            </w:r>
          </w:p>
        </w:tc>
        <w:tc>
          <w:tcPr>
            <w:tcW w:w="1842" w:type="dxa"/>
            <w:tcBorders>
              <w:top w:val="single" w:sz="4" w:space="0" w:color="auto"/>
              <w:left w:val="nil"/>
              <w:bottom w:val="single" w:sz="4" w:space="0" w:color="auto"/>
              <w:right w:val="single" w:sz="4" w:space="0" w:color="auto"/>
            </w:tcBorders>
            <w:vAlign w:val="center"/>
          </w:tcPr>
          <w:p w14:paraId="619538C4" w14:textId="7EB69C84" w:rsidR="007B2433" w:rsidRPr="002462F0" w:rsidRDefault="007B2433" w:rsidP="00E13FD9">
            <w:pPr>
              <w:spacing w:before="40" w:after="40" w:line="240" w:lineRule="auto"/>
              <w:jc w:val="center"/>
              <w:rPr>
                <w:rFonts w:cs="Arial"/>
                <w:sz w:val="16"/>
                <w:szCs w:val="16"/>
              </w:rPr>
            </w:pPr>
            <w:r w:rsidRPr="002462F0">
              <w:rPr>
                <w:rFonts w:cs="Arial"/>
                <w:sz w:val="16"/>
                <w:szCs w:val="16"/>
              </w:rPr>
              <w:t>20</w:t>
            </w:r>
            <w:r w:rsidR="00F02210">
              <w:rPr>
                <w:rFonts w:cs="Arial"/>
                <w:sz w:val="16"/>
                <w:szCs w:val="16"/>
              </w:rPr>
              <w:t>.</w:t>
            </w:r>
            <w:r w:rsidRPr="002462F0">
              <w:rPr>
                <w:rFonts w:cs="Arial"/>
                <w:sz w:val="16"/>
                <w:szCs w:val="16"/>
              </w:rPr>
              <w:t>00</w:t>
            </w:r>
          </w:p>
        </w:tc>
      </w:tr>
      <w:tr w:rsidR="007B2433" w:rsidRPr="002462F0" w14:paraId="7679E619" w14:textId="77777777" w:rsidTr="00622F40">
        <w:trPr>
          <w:trHeight w:val="255"/>
        </w:trPr>
        <w:tc>
          <w:tcPr>
            <w:tcW w:w="5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B1534" w14:textId="77777777" w:rsidR="007B2433" w:rsidRPr="002462F0" w:rsidRDefault="007B2433" w:rsidP="00E13FD9">
            <w:pPr>
              <w:spacing w:before="40" w:after="40" w:line="240" w:lineRule="auto"/>
              <w:jc w:val="left"/>
              <w:rPr>
                <w:rFonts w:cs="Arial"/>
                <w:sz w:val="16"/>
                <w:szCs w:val="16"/>
              </w:rPr>
            </w:pPr>
            <w:r w:rsidRPr="002462F0">
              <w:rPr>
                <w:rFonts w:cs="Arial"/>
                <w:sz w:val="16"/>
                <w:szCs w:val="16"/>
              </w:rPr>
              <w:t>Wine &amp; Vinegar</w:t>
            </w:r>
          </w:p>
        </w:tc>
        <w:tc>
          <w:tcPr>
            <w:tcW w:w="2127" w:type="dxa"/>
            <w:tcBorders>
              <w:top w:val="single" w:sz="4" w:space="0" w:color="auto"/>
              <w:left w:val="nil"/>
              <w:bottom w:val="single" w:sz="4" w:space="0" w:color="auto"/>
              <w:right w:val="single" w:sz="4" w:space="0" w:color="auto"/>
            </w:tcBorders>
            <w:shd w:val="clear" w:color="auto" w:fill="auto"/>
            <w:vAlign w:val="center"/>
          </w:tcPr>
          <w:p w14:paraId="56E95B62" w14:textId="3E9F7B59" w:rsidR="007B2433" w:rsidRPr="002462F0" w:rsidRDefault="007B2433" w:rsidP="00E13FD9">
            <w:pPr>
              <w:spacing w:before="40" w:after="40" w:line="240" w:lineRule="auto"/>
              <w:jc w:val="center"/>
              <w:rPr>
                <w:rFonts w:cs="Arial"/>
                <w:sz w:val="16"/>
                <w:szCs w:val="16"/>
              </w:rPr>
            </w:pPr>
            <w:r w:rsidRPr="002462F0">
              <w:rPr>
                <w:rFonts w:cs="Arial"/>
                <w:sz w:val="16"/>
                <w:szCs w:val="16"/>
              </w:rPr>
              <w:t>1</w:t>
            </w:r>
            <w:r w:rsidR="00F02210">
              <w:rPr>
                <w:rFonts w:cs="Arial"/>
                <w:sz w:val="16"/>
                <w:szCs w:val="16"/>
              </w:rPr>
              <w:t>.</w:t>
            </w:r>
            <w:r w:rsidRPr="002462F0">
              <w:rPr>
                <w:rFonts w:cs="Arial"/>
                <w:sz w:val="16"/>
                <w:szCs w:val="16"/>
              </w:rPr>
              <w:t>50</w:t>
            </w:r>
          </w:p>
        </w:tc>
        <w:tc>
          <w:tcPr>
            <w:tcW w:w="1842" w:type="dxa"/>
            <w:tcBorders>
              <w:top w:val="single" w:sz="4" w:space="0" w:color="auto"/>
              <w:left w:val="nil"/>
              <w:bottom w:val="single" w:sz="4" w:space="0" w:color="auto"/>
              <w:right w:val="single" w:sz="4" w:space="0" w:color="auto"/>
            </w:tcBorders>
            <w:vAlign w:val="center"/>
          </w:tcPr>
          <w:p w14:paraId="5163A33B" w14:textId="074BE7DE" w:rsidR="007B2433" w:rsidRPr="002462F0" w:rsidRDefault="007B2433" w:rsidP="00E13FD9">
            <w:pPr>
              <w:spacing w:before="40" w:after="40" w:line="240" w:lineRule="auto"/>
              <w:jc w:val="center"/>
              <w:rPr>
                <w:rFonts w:cs="Arial"/>
                <w:sz w:val="16"/>
                <w:szCs w:val="16"/>
              </w:rPr>
            </w:pPr>
            <w:r w:rsidRPr="002462F0">
              <w:rPr>
                <w:rFonts w:cs="Arial"/>
                <w:sz w:val="16"/>
                <w:szCs w:val="16"/>
              </w:rPr>
              <w:t>23</w:t>
            </w:r>
            <w:r w:rsidR="00F02210">
              <w:rPr>
                <w:rFonts w:cs="Arial"/>
                <w:sz w:val="16"/>
                <w:szCs w:val="16"/>
              </w:rPr>
              <w:t>.</w:t>
            </w:r>
            <w:r w:rsidRPr="002462F0">
              <w:rPr>
                <w:rFonts w:cs="Arial"/>
                <w:sz w:val="16"/>
                <w:szCs w:val="16"/>
              </w:rPr>
              <w:t>00</w:t>
            </w:r>
          </w:p>
        </w:tc>
      </w:tr>
    </w:tbl>
    <w:p w14:paraId="08479B16" w14:textId="77777777" w:rsidR="007B2433" w:rsidRPr="002462F0" w:rsidRDefault="007B2433" w:rsidP="007B2433">
      <w:pPr>
        <w:autoSpaceDE w:val="0"/>
        <w:autoSpaceDN w:val="0"/>
        <w:adjustRightInd w:val="0"/>
        <w:spacing w:after="0" w:line="240" w:lineRule="auto"/>
        <w:jc w:val="left"/>
        <w:rPr>
          <w:sz w:val="24"/>
          <w:szCs w:val="24"/>
          <w:lang w:eastAsia="fr-FR"/>
        </w:rPr>
      </w:pPr>
    </w:p>
    <w:p w14:paraId="3E153EF5" w14:textId="77777777" w:rsidR="007B2433" w:rsidRPr="00D916DB" w:rsidRDefault="007B2433" w:rsidP="00AB11C1">
      <w:pPr>
        <w:pStyle w:val="BodyText"/>
        <w:numPr>
          <w:ilvl w:val="0"/>
          <w:numId w:val="45"/>
        </w:numPr>
        <w:rPr>
          <w:lang w:eastAsia="fr-FR"/>
        </w:rPr>
      </w:pPr>
      <w:r w:rsidRPr="00D916DB">
        <w:rPr>
          <w:lang w:eastAsia="fr-FR"/>
        </w:rPr>
        <w:t>Degree of utilisation of treatment/discharge pathway or system (</w:t>
      </w:r>
      <w:proofErr w:type="spellStart"/>
      <w:r w:rsidRPr="00D916DB">
        <w:rPr>
          <w:lang w:eastAsia="fr-FR"/>
        </w:rPr>
        <w:t>T</w:t>
      </w:r>
      <w:r w:rsidRPr="00622F40">
        <w:rPr>
          <w:vertAlign w:val="subscript"/>
          <w:lang w:eastAsia="fr-FR"/>
        </w:rPr>
        <w:t>j</w:t>
      </w:r>
      <w:proofErr w:type="spellEnd"/>
      <w:r w:rsidRPr="00D916DB">
        <w:rPr>
          <w:lang w:eastAsia="fr-FR"/>
        </w:rPr>
        <w:t>)</w:t>
      </w:r>
    </w:p>
    <w:p w14:paraId="081621BB" w14:textId="77777777" w:rsidR="007B2433" w:rsidRPr="002462F0" w:rsidRDefault="007B2433" w:rsidP="00D916DB">
      <w:pPr>
        <w:pStyle w:val="BodyText"/>
        <w:rPr>
          <w:lang w:eastAsia="fr-FR"/>
        </w:rPr>
      </w:pPr>
      <w:r w:rsidRPr="002462F0">
        <w:rPr>
          <w:lang w:eastAsia="fr-FR"/>
        </w:rPr>
        <w:t>All industrial wastewater, whatever is the industrial sector, is considered as discharged in water bodies without treatment.</w:t>
      </w:r>
    </w:p>
    <w:p w14:paraId="179C92CA" w14:textId="7950AD3D" w:rsidR="00AE2AED" w:rsidRPr="002462F0" w:rsidRDefault="00AE2AED" w:rsidP="0034196D">
      <w:pPr>
        <w:pStyle w:val="Caption"/>
        <w:jc w:val="left"/>
      </w:pPr>
      <w:bookmarkStart w:id="1194" w:name="_Toc184808609"/>
      <w:r>
        <w:t xml:space="preserve">Table </w:t>
      </w:r>
      <w:r>
        <w:fldChar w:fldCharType="begin"/>
      </w:r>
      <w:r>
        <w:instrText xml:space="preserve"> SEQ Table \* ARABIC </w:instrText>
      </w:r>
      <w:r>
        <w:fldChar w:fldCharType="separate"/>
      </w:r>
      <w:r w:rsidR="00F14C78">
        <w:rPr>
          <w:noProof/>
        </w:rPr>
        <w:t>65</w:t>
      </w:r>
      <w:r>
        <w:fldChar w:fldCharType="end"/>
      </w:r>
      <w:r>
        <w:t xml:space="preserve">: </w:t>
      </w:r>
      <w:r w:rsidRPr="00AE2AED">
        <w:t>Correction factor</w:t>
      </w:r>
      <w:r w:rsidR="00C52745">
        <w:t xml:space="preserve"> used</w:t>
      </w:r>
      <w:r w:rsidRPr="00AE2AED">
        <w:t xml:space="preserve"> for additional industrial BOD</w:t>
      </w:r>
      <w:r w:rsidR="0066527C">
        <w:t>, per treatment/discharge system</w:t>
      </w:r>
      <w:bookmarkEnd w:id="1194"/>
    </w:p>
    <w:tbl>
      <w:tblPr>
        <w:tblW w:w="7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0"/>
        <w:gridCol w:w="1620"/>
      </w:tblGrid>
      <w:tr w:rsidR="00957F2B" w:rsidRPr="00BD5199" w14:paraId="3C6C0F3B" w14:textId="51A800A2" w:rsidTr="0034196D">
        <w:trPr>
          <w:trHeight w:val="255"/>
        </w:trPr>
        <w:tc>
          <w:tcPr>
            <w:tcW w:w="5680" w:type="dxa"/>
            <w:shd w:val="clear" w:color="auto" w:fill="C6D9F1" w:themeFill="text2" w:themeFillTint="33"/>
            <w:noWrap/>
            <w:vAlign w:val="center"/>
          </w:tcPr>
          <w:p w14:paraId="1CFD4C7D" w14:textId="1FEAE291" w:rsidR="00957F2B" w:rsidRPr="00622F40" w:rsidRDefault="00957F2B" w:rsidP="00957F2B">
            <w:pPr>
              <w:spacing w:after="0" w:line="240" w:lineRule="auto"/>
              <w:jc w:val="left"/>
              <w:rPr>
                <w:rFonts w:eastAsia="Times New Roman" w:cstheme="minorHAnsi"/>
                <w:sz w:val="18"/>
                <w:szCs w:val="18"/>
                <w:lang w:val="en-US" w:eastAsia="fr-FR"/>
              </w:rPr>
            </w:pPr>
          </w:p>
        </w:tc>
        <w:tc>
          <w:tcPr>
            <w:tcW w:w="1620" w:type="dxa"/>
            <w:shd w:val="clear" w:color="auto" w:fill="C6D9F1" w:themeFill="text2" w:themeFillTint="33"/>
            <w:vAlign w:val="bottom"/>
          </w:tcPr>
          <w:p w14:paraId="352D390B" w14:textId="66E655D5" w:rsidR="00957F2B" w:rsidRPr="00622F40" w:rsidRDefault="0034196D" w:rsidP="00957F2B">
            <w:pPr>
              <w:spacing w:after="0"/>
              <w:jc w:val="center"/>
              <w:rPr>
                <w:rFonts w:eastAsia="Times New Roman" w:cstheme="minorHAnsi"/>
                <w:sz w:val="18"/>
                <w:szCs w:val="18"/>
                <w:lang w:val="en-US" w:eastAsia="fr-FR"/>
              </w:rPr>
            </w:pPr>
            <w:r>
              <w:rPr>
                <w:rFonts w:eastAsia="Times New Roman" w:cstheme="minorHAnsi"/>
                <w:sz w:val="18"/>
                <w:szCs w:val="18"/>
                <w:lang w:val="en-US" w:eastAsia="fr-FR"/>
              </w:rPr>
              <w:t>MCF</w:t>
            </w:r>
          </w:p>
        </w:tc>
      </w:tr>
      <w:tr w:rsidR="0034196D" w:rsidRPr="00BD5199" w14:paraId="624E0982" w14:textId="77777777" w:rsidTr="0034196D">
        <w:trPr>
          <w:trHeight w:val="255"/>
        </w:trPr>
        <w:tc>
          <w:tcPr>
            <w:tcW w:w="5680" w:type="dxa"/>
            <w:shd w:val="clear" w:color="auto" w:fill="auto"/>
            <w:noWrap/>
            <w:vAlign w:val="center"/>
          </w:tcPr>
          <w:p w14:paraId="7761EF61" w14:textId="463AFED4" w:rsidR="0034196D" w:rsidRPr="00622F40" w:rsidRDefault="0034196D" w:rsidP="0034196D">
            <w:pPr>
              <w:spacing w:after="0" w:line="240" w:lineRule="auto"/>
              <w:jc w:val="left"/>
              <w:rPr>
                <w:rFonts w:eastAsia="Times New Roman" w:cstheme="minorHAnsi"/>
                <w:sz w:val="18"/>
                <w:szCs w:val="18"/>
                <w:lang w:val="en-US" w:eastAsia="fr-FR"/>
              </w:rPr>
            </w:pPr>
            <w:r w:rsidRPr="00622F40">
              <w:rPr>
                <w:rFonts w:eastAsia="Times New Roman" w:cstheme="minorHAnsi"/>
                <w:sz w:val="18"/>
                <w:szCs w:val="18"/>
                <w:lang w:val="en-US" w:eastAsia="fr-FR"/>
              </w:rPr>
              <w:t>Wastewater treatment plants well managed</w:t>
            </w:r>
          </w:p>
        </w:tc>
        <w:tc>
          <w:tcPr>
            <w:tcW w:w="1620" w:type="dxa"/>
            <w:vAlign w:val="bottom"/>
          </w:tcPr>
          <w:p w14:paraId="03294BD0" w14:textId="604ED545" w:rsidR="0034196D" w:rsidRPr="00622F40" w:rsidRDefault="0034196D" w:rsidP="0034196D">
            <w:pPr>
              <w:spacing w:after="0"/>
              <w:jc w:val="center"/>
              <w:rPr>
                <w:rFonts w:cstheme="minorHAnsi"/>
                <w:sz w:val="18"/>
                <w:szCs w:val="18"/>
              </w:rPr>
            </w:pPr>
            <w:r w:rsidRPr="00622F40">
              <w:rPr>
                <w:rFonts w:cstheme="minorHAnsi"/>
                <w:sz w:val="18"/>
                <w:szCs w:val="18"/>
              </w:rPr>
              <w:t>1</w:t>
            </w:r>
            <w:r>
              <w:rPr>
                <w:rFonts w:cstheme="minorHAnsi"/>
                <w:sz w:val="18"/>
                <w:szCs w:val="18"/>
              </w:rPr>
              <w:t>.</w:t>
            </w:r>
            <w:r w:rsidRPr="00622F40">
              <w:rPr>
                <w:rFonts w:cstheme="minorHAnsi"/>
                <w:sz w:val="18"/>
                <w:szCs w:val="18"/>
              </w:rPr>
              <w:t>25</w:t>
            </w:r>
          </w:p>
        </w:tc>
      </w:tr>
      <w:tr w:rsidR="0034196D" w:rsidRPr="00BD5199" w14:paraId="1503ADC4" w14:textId="3FD95350" w:rsidTr="0034196D">
        <w:trPr>
          <w:trHeight w:val="255"/>
        </w:trPr>
        <w:tc>
          <w:tcPr>
            <w:tcW w:w="5680" w:type="dxa"/>
            <w:shd w:val="clear" w:color="auto" w:fill="auto"/>
            <w:noWrap/>
            <w:vAlign w:val="center"/>
            <w:hideMark/>
          </w:tcPr>
          <w:p w14:paraId="189130A3" w14:textId="77777777" w:rsidR="0034196D" w:rsidRPr="00622F40" w:rsidRDefault="0034196D" w:rsidP="0034196D">
            <w:pPr>
              <w:spacing w:after="0" w:line="240" w:lineRule="auto"/>
              <w:jc w:val="left"/>
              <w:rPr>
                <w:rFonts w:eastAsia="Times New Roman" w:cstheme="minorHAnsi"/>
                <w:sz w:val="18"/>
                <w:szCs w:val="18"/>
                <w:lang w:val="en-US" w:eastAsia="fr-FR"/>
              </w:rPr>
            </w:pPr>
            <w:r w:rsidRPr="00622F40">
              <w:rPr>
                <w:rFonts w:eastAsia="Times New Roman" w:cstheme="minorHAnsi"/>
                <w:sz w:val="18"/>
                <w:szCs w:val="18"/>
                <w:lang w:val="en-US" w:eastAsia="fr-FR"/>
              </w:rPr>
              <w:t>Wastewater treatment plants not well managed</w:t>
            </w:r>
          </w:p>
        </w:tc>
        <w:tc>
          <w:tcPr>
            <w:tcW w:w="0" w:type="auto"/>
            <w:vAlign w:val="bottom"/>
          </w:tcPr>
          <w:p w14:paraId="0F5DF8F6" w14:textId="4FE0E086" w:rsidR="0034196D" w:rsidRPr="00622F40" w:rsidRDefault="0034196D" w:rsidP="0034196D">
            <w:pPr>
              <w:spacing w:after="0"/>
              <w:jc w:val="center"/>
              <w:rPr>
                <w:rFonts w:eastAsia="Times New Roman" w:cstheme="minorHAnsi"/>
                <w:sz w:val="18"/>
                <w:szCs w:val="18"/>
                <w:lang w:val="en-US" w:eastAsia="fr-FR"/>
              </w:rPr>
            </w:pPr>
            <w:r w:rsidRPr="00622F40">
              <w:rPr>
                <w:rFonts w:cstheme="minorHAnsi"/>
                <w:sz w:val="18"/>
                <w:szCs w:val="18"/>
              </w:rPr>
              <w:t>1</w:t>
            </w:r>
            <w:r>
              <w:rPr>
                <w:rFonts w:cstheme="minorHAnsi"/>
                <w:sz w:val="18"/>
                <w:szCs w:val="18"/>
              </w:rPr>
              <w:t>.</w:t>
            </w:r>
            <w:r w:rsidRPr="00622F40">
              <w:rPr>
                <w:rFonts w:cstheme="minorHAnsi"/>
                <w:sz w:val="18"/>
                <w:szCs w:val="18"/>
              </w:rPr>
              <w:t>25</w:t>
            </w:r>
          </w:p>
        </w:tc>
      </w:tr>
      <w:tr w:rsidR="0034196D" w:rsidRPr="00BD5199" w14:paraId="033B526E" w14:textId="4F462576" w:rsidTr="0034196D">
        <w:trPr>
          <w:trHeight w:val="255"/>
        </w:trPr>
        <w:tc>
          <w:tcPr>
            <w:tcW w:w="5680" w:type="dxa"/>
            <w:shd w:val="clear" w:color="auto" w:fill="auto"/>
            <w:noWrap/>
            <w:vAlign w:val="center"/>
            <w:hideMark/>
          </w:tcPr>
          <w:p w14:paraId="492DF5CB" w14:textId="77777777" w:rsidR="0034196D" w:rsidRPr="00622F40" w:rsidRDefault="0034196D" w:rsidP="0034196D">
            <w:pPr>
              <w:spacing w:after="0" w:line="240" w:lineRule="auto"/>
              <w:jc w:val="left"/>
              <w:rPr>
                <w:rFonts w:eastAsia="Times New Roman" w:cstheme="minorHAnsi"/>
                <w:sz w:val="18"/>
                <w:szCs w:val="18"/>
                <w:lang w:val="fr-FR" w:eastAsia="fr-FR"/>
              </w:rPr>
            </w:pPr>
            <w:proofErr w:type="spellStart"/>
            <w:r w:rsidRPr="00622F40">
              <w:rPr>
                <w:rFonts w:eastAsia="Times New Roman" w:cstheme="minorHAnsi"/>
                <w:sz w:val="18"/>
                <w:szCs w:val="18"/>
                <w:lang w:val="fr-FR" w:eastAsia="fr-FR"/>
              </w:rPr>
              <w:t>Anaerobic</w:t>
            </w:r>
            <w:proofErr w:type="spellEnd"/>
            <w:r w:rsidRPr="00622F40">
              <w:rPr>
                <w:rFonts w:eastAsia="Times New Roman" w:cstheme="minorHAnsi"/>
                <w:sz w:val="18"/>
                <w:szCs w:val="18"/>
                <w:lang w:val="fr-FR" w:eastAsia="fr-FR"/>
              </w:rPr>
              <w:t xml:space="preserve"> </w:t>
            </w:r>
            <w:proofErr w:type="spellStart"/>
            <w:r w:rsidRPr="00622F40">
              <w:rPr>
                <w:rFonts w:eastAsia="Times New Roman" w:cstheme="minorHAnsi"/>
                <w:sz w:val="18"/>
                <w:szCs w:val="18"/>
                <w:lang w:val="fr-FR" w:eastAsia="fr-FR"/>
              </w:rPr>
              <w:t>shallow</w:t>
            </w:r>
            <w:proofErr w:type="spellEnd"/>
            <w:r w:rsidRPr="00622F40">
              <w:rPr>
                <w:rFonts w:eastAsia="Times New Roman" w:cstheme="minorHAnsi"/>
                <w:sz w:val="18"/>
                <w:szCs w:val="18"/>
                <w:lang w:val="fr-FR" w:eastAsia="fr-FR"/>
              </w:rPr>
              <w:t xml:space="preserve"> </w:t>
            </w:r>
            <w:proofErr w:type="spellStart"/>
            <w:r w:rsidRPr="00622F40">
              <w:rPr>
                <w:rFonts w:eastAsia="Times New Roman" w:cstheme="minorHAnsi"/>
                <w:sz w:val="18"/>
                <w:szCs w:val="18"/>
                <w:lang w:val="fr-FR" w:eastAsia="fr-FR"/>
              </w:rPr>
              <w:t>lagoons</w:t>
            </w:r>
            <w:proofErr w:type="spellEnd"/>
          </w:p>
        </w:tc>
        <w:tc>
          <w:tcPr>
            <w:tcW w:w="0" w:type="auto"/>
            <w:vAlign w:val="bottom"/>
          </w:tcPr>
          <w:p w14:paraId="5117FBBB" w14:textId="7A08B27C" w:rsidR="0034196D" w:rsidRPr="00622F40" w:rsidRDefault="0034196D" w:rsidP="0034196D">
            <w:pPr>
              <w:spacing w:after="0"/>
              <w:jc w:val="center"/>
              <w:rPr>
                <w:rFonts w:eastAsia="Times New Roman" w:cstheme="minorHAnsi"/>
                <w:sz w:val="18"/>
                <w:szCs w:val="18"/>
                <w:lang w:val="fr-FR" w:eastAsia="fr-FR"/>
              </w:rPr>
            </w:pPr>
            <w:r w:rsidRPr="00622F40">
              <w:rPr>
                <w:rFonts w:cstheme="minorHAnsi"/>
                <w:sz w:val="18"/>
                <w:szCs w:val="18"/>
              </w:rPr>
              <w:t>1</w:t>
            </w:r>
          </w:p>
        </w:tc>
      </w:tr>
      <w:tr w:rsidR="0034196D" w:rsidRPr="00BD5199" w14:paraId="49DB1160" w14:textId="2D7A6809" w:rsidTr="0034196D">
        <w:trPr>
          <w:trHeight w:val="255"/>
        </w:trPr>
        <w:tc>
          <w:tcPr>
            <w:tcW w:w="5680" w:type="dxa"/>
            <w:shd w:val="clear" w:color="auto" w:fill="auto"/>
            <w:noWrap/>
            <w:vAlign w:val="center"/>
            <w:hideMark/>
          </w:tcPr>
          <w:p w14:paraId="15D5E5BC" w14:textId="77777777" w:rsidR="0034196D" w:rsidRPr="00622F40" w:rsidRDefault="0034196D" w:rsidP="0034196D">
            <w:pPr>
              <w:spacing w:after="0" w:line="240" w:lineRule="auto"/>
              <w:jc w:val="left"/>
              <w:rPr>
                <w:rFonts w:eastAsia="Times New Roman" w:cstheme="minorHAnsi"/>
                <w:sz w:val="18"/>
                <w:szCs w:val="18"/>
                <w:lang w:val="fr-FR" w:eastAsia="fr-FR"/>
              </w:rPr>
            </w:pPr>
            <w:proofErr w:type="spellStart"/>
            <w:r w:rsidRPr="00622F40">
              <w:rPr>
                <w:rFonts w:eastAsia="Times New Roman" w:cstheme="minorHAnsi"/>
                <w:sz w:val="18"/>
                <w:szCs w:val="18"/>
                <w:lang w:val="fr-FR" w:eastAsia="fr-FR"/>
              </w:rPr>
              <w:t>Anaerobic</w:t>
            </w:r>
            <w:proofErr w:type="spellEnd"/>
            <w:r w:rsidRPr="00622F40">
              <w:rPr>
                <w:rFonts w:eastAsia="Times New Roman" w:cstheme="minorHAnsi"/>
                <w:sz w:val="18"/>
                <w:szCs w:val="18"/>
                <w:lang w:val="fr-FR" w:eastAsia="fr-FR"/>
              </w:rPr>
              <w:t xml:space="preserve"> </w:t>
            </w:r>
            <w:proofErr w:type="spellStart"/>
            <w:r w:rsidRPr="00622F40">
              <w:rPr>
                <w:rFonts w:eastAsia="Times New Roman" w:cstheme="minorHAnsi"/>
                <w:sz w:val="18"/>
                <w:szCs w:val="18"/>
                <w:lang w:val="fr-FR" w:eastAsia="fr-FR"/>
              </w:rPr>
              <w:t>deep</w:t>
            </w:r>
            <w:proofErr w:type="spellEnd"/>
            <w:r w:rsidRPr="00622F40">
              <w:rPr>
                <w:rFonts w:eastAsia="Times New Roman" w:cstheme="minorHAnsi"/>
                <w:sz w:val="18"/>
                <w:szCs w:val="18"/>
                <w:lang w:val="fr-FR" w:eastAsia="fr-FR"/>
              </w:rPr>
              <w:t xml:space="preserve"> </w:t>
            </w:r>
            <w:proofErr w:type="spellStart"/>
            <w:r w:rsidRPr="00622F40">
              <w:rPr>
                <w:rFonts w:eastAsia="Times New Roman" w:cstheme="minorHAnsi"/>
                <w:sz w:val="18"/>
                <w:szCs w:val="18"/>
                <w:lang w:val="fr-FR" w:eastAsia="fr-FR"/>
              </w:rPr>
              <w:t>lagoons</w:t>
            </w:r>
            <w:proofErr w:type="spellEnd"/>
          </w:p>
        </w:tc>
        <w:tc>
          <w:tcPr>
            <w:tcW w:w="0" w:type="auto"/>
            <w:vAlign w:val="bottom"/>
          </w:tcPr>
          <w:p w14:paraId="4BF5F99C" w14:textId="2E6FDD12" w:rsidR="0034196D" w:rsidRPr="00622F40" w:rsidRDefault="0034196D" w:rsidP="0034196D">
            <w:pPr>
              <w:spacing w:after="0"/>
              <w:jc w:val="center"/>
              <w:rPr>
                <w:rFonts w:eastAsia="Times New Roman" w:cstheme="minorHAnsi"/>
                <w:sz w:val="18"/>
                <w:szCs w:val="18"/>
                <w:lang w:val="fr-FR" w:eastAsia="fr-FR"/>
              </w:rPr>
            </w:pPr>
            <w:r w:rsidRPr="00622F40">
              <w:rPr>
                <w:rFonts w:cstheme="minorHAnsi"/>
                <w:sz w:val="18"/>
                <w:szCs w:val="18"/>
              </w:rPr>
              <w:t>1</w:t>
            </w:r>
          </w:p>
        </w:tc>
      </w:tr>
      <w:tr w:rsidR="0034196D" w:rsidRPr="00BD5199" w14:paraId="6596ADC1" w14:textId="5CBE1C0B" w:rsidTr="0034196D">
        <w:trPr>
          <w:trHeight w:val="255"/>
        </w:trPr>
        <w:tc>
          <w:tcPr>
            <w:tcW w:w="5680" w:type="dxa"/>
            <w:shd w:val="clear" w:color="auto" w:fill="auto"/>
            <w:noWrap/>
            <w:vAlign w:val="center"/>
            <w:hideMark/>
          </w:tcPr>
          <w:p w14:paraId="74366391" w14:textId="77777777" w:rsidR="0034196D" w:rsidRPr="00622F40" w:rsidRDefault="0034196D" w:rsidP="0034196D">
            <w:pPr>
              <w:spacing w:after="0" w:line="240" w:lineRule="auto"/>
              <w:jc w:val="left"/>
              <w:rPr>
                <w:rFonts w:eastAsia="Times New Roman" w:cstheme="minorHAnsi"/>
                <w:sz w:val="18"/>
                <w:szCs w:val="18"/>
                <w:lang w:val="fr-FR" w:eastAsia="fr-FR"/>
              </w:rPr>
            </w:pPr>
            <w:proofErr w:type="spellStart"/>
            <w:r w:rsidRPr="00622F40">
              <w:rPr>
                <w:rFonts w:eastAsia="Times New Roman" w:cstheme="minorHAnsi"/>
                <w:sz w:val="18"/>
                <w:szCs w:val="18"/>
                <w:lang w:val="fr-FR" w:eastAsia="fr-FR"/>
              </w:rPr>
              <w:t>Discharge</w:t>
            </w:r>
            <w:proofErr w:type="spellEnd"/>
            <w:r w:rsidRPr="00622F40">
              <w:rPr>
                <w:rFonts w:eastAsia="Times New Roman" w:cstheme="minorHAnsi"/>
                <w:sz w:val="18"/>
                <w:szCs w:val="18"/>
                <w:lang w:val="fr-FR" w:eastAsia="fr-FR"/>
              </w:rPr>
              <w:t xml:space="preserve"> of </w:t>
            </w:r>
            <w:proofErr w:type="spellStart"/>
            <w:r w:rsidRPr="00622F40">
              <w:rPr>
                <w:rFonts w:eastAsia="Times New Roman" w:cstheme="minorHAnsi"/>
                <w:sz w:val="18"/>
                <w:szCs w:val="18"/>
                <w:lang w:val="fr-FR" w:eastAsia="fr-FR"/>
              </w:rPr>
              <w:t>treated</w:t>
            </w:r>
            <w:proofErr w:type="spellEnd"/>
            <w:r w:rsidRPr="00622F40">
              <w:rPr>
                <w:rFonts w:eastAsia="Times New Roman" w:cstheme="minorHAnsi"/>
                <w:sz w:val="18"/>
                <w:szCs w:val="18"/>
                <w:lang w:val="fr-FR" w:eastAsia="fr-FR"/>
              </w:rPr>
              <w:t xml:space="preserve"> </w:t>
            </w:r>
            <w:proofErr w:type="spellStart"/>
            <w:r w:rsidRPr="00622F40">
              <w:rPr>
                <w:rFonts w:eastAsia="Times New Roman" w:cstheme="minorHAnsi"/>
                <w:sz w:val="18"/>
                <w:szCs w:val="18"/>
                <w:lang w:val="fr-FR" w:eastAsia="fr-FR"/>
              </w:rPr>
              <w:t>wastewater</w:t>
            </w:r>
            <w:proofErr w:type="spellEnd"/>
            <w:r w:rsidRPr="00622F40">
              <w:rPr>
                <w:rFonts w:eastAsia="Times New Roman" w:cstheme="minorHAnsi"/>
                <w:sz w:val="18"/>
                <w:szCs w:val="18"/>
                <w:lang w:val="fr-FR" w:eastAsia="fr-FR"/>
              </w:rPr>
              <w:t xml:space="preserve"> </w:t>
            </w:r>
          </w:p>
        </w:tc>
        <w:tc>
          <w:tcPr>
            <w:tcW w:w="0" w:type="auto"/>
            <w:vAlign w:val="bottom"/>
          </w:tcPr>
          <w:p w14:paraId="0446BF18" w14:textId="01124CE0" w:rsidR="0034196D" w:rsidRPr="00622F40" w:rsidRDefault="0034196D" w:rsidP="0034196D">
            <w:pPr>
              <w:spacing w:after="0"/>
              <w:jc w:val="center"/>
              <w:rPr>
                <w:rFonts w:eastAsia="Times New Roman" w:cstheme="minorHAnsi"/>
                <w:sz w:val="18"/>
                <w:szCs w:val="18"/>
                <w:lang w:val="fr-FR" w:eastAsia="fr-FR"/>
              </w:rPr>
            </w:pPr>
            <w:r w:rsidRPr="00622F40">
              <w:rPr>
                <w:rFonts w:cstheme="minorHAnsi"/>
                <w:sz w:val="18"/>
                <w:szCs w:val="18"/>
              </w:rPr>
              <w:t>1</w:t>
            </w:r>
            <w:r>
              <w:rPr>
                <w:rFonts w:cstheme="minorHAnsi"/>
                <w:sz w:val="18"/>
                <w:szCs w:val="18"/>
              </w:rPr>
              <w:t>.</w:t>
            </w:r>
            <w:r w:rsidRPr="00622F40">
              <w:rPr>
                <w:rFonts w:cstheme="minorHAnsi"/>
                <w:sz w:val="18"/>
                <w:szCs w:val="18"/>
              </w:rPr>
              <w:t>25</w:t>
            </w:r>
          </w:p>
        </w:tc>
      </w:tr>
      <w:tr w:rsidR="0034196D" w:rsidRPr="00BD5199" w14:paraId="4537938C" w14:textId="7588C3CB" w:rsidTr="0034196D">
        <w:trPr>
          <w:trHeight w:val="255"/>
        </w:trPr>
        <w:tc>
          <w:tcPr>
            <w:tcW w:w="5680" w:type="dxa"/>
            <w:shd w:val="clear" w:color="auto" w:fill="auto"/>
            <w:noWrap/>
            <w:vAlign w:val="center"/>
            <w:hideMark/>
          </w:tcPr>
          <w:p w14:paraId="6094BD85" w14:textId="77777777" w:rsidR="0034196D" w:rsidRPr="00622F40" w:rsidRDefault="0034196D" w:rsidP="0034196D">
            <w:pPr>
              <w:spacing w:after="0" w:line="240" w:lineRule="auto"/>
              <w:jc w:val="left"/>
              <w:rPr>
                <w:rFonts w:eastAsia="Times New Roman" w:cstheme="minorHAnsi"/>
                <w:sz w:val="18"/>
                <w:szCs w:val="18"/>
                <w:lang w:val="fr-FR" w:eastAsia="fr-FR"/>
              </w:rPr>
            </w:pPr>
            <w:r w:rsidRPr="00622F40">
              <w:rPr>
                <w:rFonts w:eastAsia="Times New Roman" w:cstheme="minorHAnsi"/>
                <w:sz w:val="18"/>
                <w:szCs w:val="18"/>
                <w:lang w:val="fr-FR" w:eastAsia="fr-FR"/>
              </w:rPr>
              <w:t xml:space="preserve">Direct </w:t>
            </w:r>
            <w:proofErr w:type="spellStart"/>
            <w:r w:rsidRPr="00622F40">
              <w:rPr>
                <w:rFonts w:eastAsia="Times New Roman" w:cstheme="minorHAnsi"/>
                <w:sz w:val="18"/>
                <w:szCs w:val="18"/>
                <w:lang w:val="fr-FR" w:eastAsia="fr-FR"/>
              </w:rPr>
              <w:t>discharge</w:t>
            </w:r>
            <w:proofErr w:type="spellEnd"/>
            <w:r w:rsidRPr="00622F40">
              <w:rPr>
                <w:rFonts w:eastAsia="Times New Roman" w:cstheme="minorHAnsi"/>
                <w:sz w:val="18"/>
                <w:szCs w:val="18"/>
                <w:lang w:val="fr-FR" w:eastAsia="fr-FR"/>
              </w:rPr>
              <w:t xml:space="preserve"> (</w:t>
            </w:r>
            <w:proofErr w:type="spellStart"/>
            <w:r w:rsidRPr="00622F40">
              <w:rPr>
                <w:rFonts w:eastAsia="Times New Roman" w:cstheme="minorHAnsi"/>
                <w:sz w:val="18"/>
                <w:szCs w:val="18"/>
                <w:lang w:val="fr-FR" w:eastAsia="fr-FR"/>
              </w:rPr>
              <w:t>Untreated</w:t>
            </w:r>
            <w:proofErr w:type="spellEnd"/>
            <w:r w:rsidRPr="00622F40">
              <w:rPr>
                <w:rFonts w:eastAsia="Times New Roman" w:cstheme="minorHAnsi"/>
                <w:sz w:val="18"/>
                <w:szCs w:val="18"/>
                <w:lang w:val="fr-FR" w:eastAsia="fr-FR"/>
              </w:rPr>
              <w:t>)</w:t>
            </w:r>
          </w:p>
        </w:tc>
        <w:tc>
          <w:tcPr>
            <w:tcW w:w="0" w:type="auto"/>
            <w:vAlign w:val="bottom"/>
          </w:tcPr>
          <w:p w14:paraId="1ACC4AE5" w14:textId="0413DAFA" w:rsidR="0034196D" w:rsidRPr="00622F40" w:rsidRDefault="0034196D" w:rsidP="0034196D">
            <w:pPr>
              <w:spacing w:after="0"/>
              <w:jc w:val="center"/>
              <w:rPr>
                <w:rFonts w:eastAsia="Times New Roman" w:cstheme="minorHAnsi"/>
                <w:sz w:val="18"/>
                <w:szCs w:val="18"/>
                <w:lang w:val="fr-FR" w:eastAsia="fr-FR"/>
              </w:rPr>
            </w:pPr>
            <w:r w:rsidRPr="00622F40">
              <w:rPr>
                <w:rFonts w:cstheme="minorHAnsi"/>
                <w:sz w:val="18"/>
                <w:szCs w:val="18"/>
              </w:rPr>
              <w:t>1</w:t>
            </w:r>
          </w:p>
        </w:tc>
      </w:tr>
      <w:tr w:rsidR="0034196D" w:rsidRPr="00BD5199" w14:paraId="09FEC919" w14:textId="091A3CF4" w:rsidTr="0034196D">
        <w:trPr>
          <w:trHeight w:val="255"/>
        </w:trPr>
        <w:tc>
          <w:tcPr>
            <w:tcW w:w="5680" w:type="dxa"/>
            <w:shd w:val="clear" w:color="auto" w:fill="auto"/>
            <w:noWrap/>
            <w:vAlign w:val="center"/>
            <w:hideMark/>
          </w:tcPr>
          <w:p w14:paraId="002441D9" w14:textId="77777777" w:rsidR="0034196D" w:rsidRPr="00622F40" w:rsidRDefault="0034196D" w:rsidP="0034196D">
            <w:pPr>
              <w:spacing w:after="0" w:line="240" w:lineRule="auto"/>
              <w:jc w:val="left"/>
              <w:rPr>
                <w:rFonts w:eastAsia="Times New Roman" w:cstheme="minorHAnsi"/>
                <w:sz w:val="18"/>
                <w:szCs w:val="18"/>
                <w:lang w:val="fr-FR" w:eastAsia="fr-FR"/>
              </w:rPr>
            </w:pPr>
            <w:proofErr w:type="spellStart"/>
            <w:r w:rsidRPr="00622F40">
              <w:rPr>
                <w:rFonts w:eastAsia="Times New Roman" w:cstheme="minorHAnsi"/>
                <w:sz w:val="18"/>
                <w:szCs w:val="18"/>
                <w:lang w:val="fr-FR" w:eastAsia="fr-FR"/>
              </w:rPr>
              <w:t>Septic</w:t>
            </w:r>
            <w:proofErr w:type="spellEnd"/>
            <w:r w:rsidRPr="00622F40">
              <w:rPr>
                <w:rFonts w:eastAsia="Times New Roman" w:cstheme="minorHAnsi"/>
                <w:sz w:val="18"/>
                <w:szCs w:val="18"/>
                <w:lang w:val="fr-FR" w:eastAsia="fr-FR"/>
              </w:rPr>
              <w:t xml:space="preserve"> tanks</w:t>
            </w:r>
          </w:p>
        </w:tc>
        <w:tc>
          <w:tcPr>
            <w:tcW w:w="0" w:type="auto"/>
            <w:vAlign w:val="bottom"/>
          </w:tcPr>
          <w:p w14:paraId="4EA101BB" w14:textId="713DB3F5" w:rsidR="0034196D" w:rsidRPr="00622F40" w:rsidRDefault="0034196D" w:rsidP="0034196D">
            <w:pPr>
              <w:spacing w:after="0"/>
              <w:jc w:val="center"/>
              <w:rPr>
                <w:rFonts w:eastAsia="Times New Roman" w:cstheme="minorHAnsi"/>
                <w:sz w:val="18"/>
                <w:szCs w:val="18"/>
                <w:lang w:val="fr-FR" w:eastAsia="fr-FR"/>
              </w:rPr>
            </w:pPr>
            <w:r w:rsidRPr="00622F40">
              <w:rPr>
                <w:rFonts w:cstheme="minorHAnsi"/>
                <w:sz w:val="18"/>
                <w:szCs w:val="18"/>
              </w:rPr>
              <w:t>1</w:t>
            </w:r>
          </w:p>
        </w:tc>
      </w:tr>
      <w:tr w:rsidR="0034196D" w:rsidRPr="00BD5199" w14:paraId="4C80FD19" w14:textId="62C2EF6B" w:rsidTr="0034196D">
        <w:trPr>
          <w:trHeight w:val="255"/>
        </w:trPr>
        <w:tc>
          <w:tcPr>
            <w:tcW w:w="5680" w:type="dxa"/>
            <w:shd w:val="clear" w:color="auto" w:fill="auto"/>
            <w:noWrap/>
            <w:vAlign w:val="center"/>
            <w:hideMark/>
          </w:tcPr>
          <w:p w14:paraId="0E757E75" w14:textId="77777777" w:rsidR="0034196D" w:rsidRPr="00622F40" w:rsidRDefault="0034196D" w:rsidP="0034196D">
            <w:pPr>
              <w:spacing w:after="0" w:line="240" w:lineRule="auto"/>
              <w:jc w:val="left"/>
              <w:rPr>
                <w:rFonts w:eastAsia="Times New Roman" w:cstheme="minorHAnsi"/>
                <w:sz w:val="18"/>
                <w:szCs w:val="18"/>
                <w:lang w:val="fr-FR" w:eastAsia="fr-FR"/>
              </w:rPr>
            </w:pPr>
            <w:r w:rsidRPr="00622F40">
              <w:rPr>
                <w:rFonts w:eastAsia="Times New Roman" w:cstheme="minorHAnsi"/>
                <w:sz w:val="18"/>
                <w:szCs w:val="18"/>
                <w:lang w:val="fr-FR" w:eastAsia="fr-FR"/>
              </w:rPr>
              <w:t>Latrine</w:t>
            </w:r>
          </w:p>
        </w:tc>
        <w:tc>
          <w:tcPr>
            <w:tcW w:w="0" w:type="auto"/>
            <w:vAlign w:val="bottom"/>
          </w:tcPr>
          <w:p w14:paraId="6B67D541" w14:textId="6076ADF8" w:rsidR="0034196D" w:rsidRPr="00622F40" w:rsidRDefault="0034196D" w:rsidP="0034196D">
            <w:pPr>
              <w:spacing w:after="0"/>
              <w:jc w:val="center"/>
              <w:rPr>
                <w:rFonts w:eastAsia="Times New Roman" w:cstheme="minorHAnsi"/>
                <w:sz w:val="18"/>
                <w:szCs w:val="18"/>
                <w:lang w:val="fr-FR" w:eastAsia="fr-FR"/>
              </w:rPr>
            </w:pPr>
            <w:r w:rsidRPr="00622F40">
              <w:rPr>
                <w:rFonts w:cstheme="minorHAnsi"/>
                <w:sz w:val="18"/>
                <w:szCs w:val="18"/>
              </w:rPr>
              <w:t>1</w:t>
            </w:r>
          </w:p>
        </w:tc>
      </w:tr>
      <w:tr w:rsidR="0034196D" w:rsidRPr="00BD5199" w14:paraId="793115C3" w14:textId="35FFBAD1" w:rsidTr="0034196D">
        <w:trPr>
          <w:trHeight w:val="255"/>
        </w:trPr>
        <w:tc>
          <w:tcPr>
            <w:tcW w:w="5680" w:type="dxa"/>
            <w:shd w:val="clear" w:color="auto" w:fill="auto"/>
            <w:noWrap/>
            <w:vAlign w:val="center"/>
            <w:hideMark/>
          </w:tcPr>
          <w:p w14:paraId="0B7A984A" w14:textId="77777777" w:rsidR="0034196D" w:rsidRPr="00622F40" w:rsidRDefault="0034196D" w:rsidP="0034196D">
            <w:pPr>
              <w:spacing w:after="0" w:line="240" w:lineRule="auto"/>
              <w:jc w:val="left"/>
              <w:rPr>
                <w:rFonts w:eastAsia="Times New Roman" w:cstheme="minorHAnsi"/>
                <w:sz w:val="18"/>
                <w:szCs w:val="18"/>
                <w:lang w:val="en-US" w:eastAsia="fr-FR"/>
              </w:rPr>
            </w:pPr>
            <w:r w:rsidRPr="00622F40">
              <w:rPr>
                <w:rFonts w:eastAsia="Times New Roman" w:cstheme="minorHAnsi"/>
                <w:sz w:val="18"/>
                <w:szCs w:val="18"/>
                <w:lang w:val="en-US" w:eastAsia="fr-FR"/>
              </w:rPr>
              <w:t>Flowing sewer (open or closed)</w:t>
            </w:r>
          </w:p>
        </w:tc>
        <w:tc>
          <w:tcPr>
            <w:tcW w:w="0" w:type="auto"/>
            <w:vAlign w:val="bottom"/>
          </w:tcPr>
          <w:p w14:paraId="2EAEBD64" w14:textId="361BD8D6" w:rsidR="0034196D" w:rsidRPr="00622F40" w:rsidRDefault="0034196D" w:rsidP="0034196D">
            <w:pPr>
              <w:spacing w:after="0"/>
              <w:jc w:val="center"/>
              <w:rPr>
                <w:rFonts w:eastAsia="Times New Roman" w:cstheme="minorHAnsi"/>
                <w:sz w:val="18"/>
                <w:szCs w:val="18"/>
                <w:lang w:val="en-US" w:eastAsia="fr-FR"/>
              </w:rPr>
            </w:pPr>
            <w:r w:rsidRPr="00622F40">
              <w:rPr>
                <w:rFonts w:cstheme="minorHAnsi"/>
                <w:sz w:val="18"/>
                <w:szCs w:val="18"/>
              </w:rPr>
              <w:t>1</w:t>
            </w:r>
            <w:r>
              <w:rPr>
                <w:rFonts w:cstheme="minorHAnsi"/>
                <w:sz w:val="18"/>
                <w:szCs w:val="18"/>
              </w:rPr>
              <w:t>.</w:t>
            </w:r>
            <w:r w:rsidRPr="00622F40">
              <w:rPr>
                <w:rFonts w:cstheme="minorHAnsi"/>
                <w:sz w:val="18"/>
                <w:szCs w:val="18"/>
              </w:rPr>
              <w:t>25</w:t>
            </w:r>
          </w:p>
        </w:tc>
      </w:tr>
      <w:tr w:rsidR="0034196D" w:rsidRPr="00BD5199" w14:paraId="4BEE74DD" w14:textId="40FD2E50" w:rsidTr="0034196D">
        <w:trPr>
          <w:trHeight w:val="255"/>
        </w:trPr>
        <w:tc>
          <w:tcPr>
            <w:tcW w:w="5680" w:type="dxa"/>
            <w:shd w:val="clear" w:color="auto" w:fill="auto"/>
            <w:noWrap/>
            <w:vAlign w:val="center"/>
            <w:hideMark/>
          </w:tcPr>
          <w:p w14:paraId="6B1CD399" w14:textId="77777777" w:rsidR="0034196D" w:rsidRPr="00622F40" w:rsidRDefault="0034196D" w:rsidP="0034196D">
            <w:pPr>
              <w:spacing w:after="0" w:line="240" w:lineRule="auto"/>
              <w:jc w:val="left"/>
              <w:rPr>
                <w:rFonts w:eastAsia="Times New Roman" w:cstheme="minorHAnsi"/>
                <w:sz w:val="18"/>
                <w:szCs w:val="18"/>
                <w:lang w:val="fr-FR" w:eastAsia="fr-FR"/>
              </w:rPr>
            </w:pPr>
            <w:r w:rsidRPr="00622F40">
              <w:rPr>
                <w:rFonts w:eastAsia="Times New Roman" w:cstheme="minorHAnsi"/>
                <w:sz w:val="18"/>
                <w:szCs w:val="18"/>
                <w:lang w:val="fr-FR" w:eastAsia="fr-FR"/>
              </w:rPr>
              <w:t xml:space="preserve">Stagnant </w:t>
            </w:r>
            <w:proofErr w:type="spellStart"/>
            <w:r w:rsidRPr="00622F40">
              <w:rPr>
                <w:rFonts w:eastAsia="Times New Roman" w:cstheme="minorHAnsi"/>
                <w:sz w:val="18"/>
                <w:szCs w:val="18"/>
                <w:lang w:val="fr-FR" w:eastAsia="fr-FR"/>
              </w:rPr>
              <w:t>sewer</w:t>
            </w:r>
            <w:proofErr w:type="spellEnd"/>
          </w:p>
        </w:tc>
        <w:tc>
          <w:tcPr>
            <w:tcW w:w="0" w:type="auto"/>
            <w:vAlign w:val="bottom"/>
          </w:tcPr>
          <w:p w14:paraId="4BE67F6A" w14:textId="655A4AB4" w:rsidR="0034196D" w:rsidRPr="00622F40" w:rsidRDefault="0034196D" w:rsidP="0034196D">
            <w:pPr>
              <w:spacing w:after="0"/>
              <w:jc w:val="center"/>
              <w:rPr>
                <w:rFonts w:eastAsia="Times New Roman" w:cstheme="minorHAnsi"/>
                <w:sz w:val="18"/>
                <w:szCs w:val="18"/>
                <w:lang w:val="fr-FR" w:eastAsia="fr-FR"/>
              </w:rPr>
            </w:pPr>
            <w:r w:rsidRPr="00622F40">
              <w:rPr>
                <w:rFonts w:cstheme="minorHAnsi"/>
                <w:sz w:val="18"/>
                <w:szCs w:val="18"/>
              </w:rPr>
              <w:t>1</w:t>
            </w:r>
            <w:r>
              <w:rPr>
                <w:rFonts w:cstheme="minorHAnsi"/>
                <w:sz w:val="18"/>
                <w:szCs w:val="18"/>
              </w:rPr>
              <w:t>.</w:t>
            </w:r>
            <w:r w:rsidRPr="00622F40">
              <w:rPr>
                <w:rFonts w:cstheme="minorHAnsi"/>
                <w:sz w:val="18"/>
                <w:szCs w:val="18"/>
              </w:rPr>
              <w:t>25</w:t>
            </w:r>
          </w:p>
        </w:tc>
      </w:tr>
    </w:tbl>
    <w:p w14:paraId="513D8149" w14:textId="77777777" w:rsidR="007B2433" w:rsidRPr="002462F0" w:rsidRDefault="007B2433" w:rsidP="007B2433">
      <w:pPr>
        <w:pStyle w:val="Heading5"/>
        <w:rPr>
          <w:lang w:eastAsia="fr-FR"/>
        </w:rPr>
      </w:pPr>
      <w:bookmarkStart w:id="1195" w:name="_Toc182328126"/>
      <w:r w:rsidRPr="002462F0">
        <w:rPr>
          <w:lang w:eastAsia="fr-FR"/>
        </w:rPr>
        <w:t>Organic component removed as sludge (S</w:t>
      </w:r>
      <w:r w:rsidRPr="00622F40">
        <w:rPr>
          <w:vertAlign w:val="subscript"/>
          <w:lang w:eastAsia="fr-FR"/>
        </w:rPr>
        <w:t>i</w:t>
      </w:r>
      <w:r w:rsidRPr="002462F0">
        <w:rPr>
          <w:lang w:eastAsia="fr-FR"/>
        </w:rPr>
        <w:t>)</w:t>
      </w:r>
      <w:bookmarkEnd w:id="1195"/>
    </w:p>
    <w:p w14:paraId="3F95A077" w14:textId="77777777" w:rsidR="007B2433" w:rsidRPr="002462F0" w:rsidRDefault="007B2433" w:rsidP="00D916DB">
      <w:pPr>
        <w:pStyle w:val="BodyText"/>
        <w:rPr>
          <w:lang w:eastAsia="fr-FR"/>
        </w:rPr>
      </w:pPr>
      <w:r w:rsidRPr="002462F0">
        <w:rPr>
          <w:lang w:eastAsia="fr-FR"/>
        </w:rPr>
        <w:t>In absence of data, the default value recommended in the 2006 IPCC Guidelines (0) is applied in the Serbian inventory.</w:t>
      </w:r>
    </w:p>
    <w:p w14:paraId="6A39D1FD" w14:textId="53F0D333" w:rsidR="007B2433" w:rsidRPr="002462F0" w:rsidRDefault="007B2433" w:rsidP="007B2433">
      <w:pPr>
        <w:pStyle w:val="Heading5"/>
        <w:rPr>
          <w:lang w:eastAsia="fr-FR"/>
        </w:rPr>
      </w:pPr>
      <w:bookmarkStart w:id="1196" w:name="_Toc182328127"/>
      <w:r w:rsidRPr="002462F0">
        <w:rPr>
          <w:lang w:eastAsia="fr-FR"/>
        </w:rPr>
        <w:t>Emission factor (EF)</w:t>
      </w:r>
      <w:bookmarkEnd w:id="1196"/>
    </w:p>
    <w:p w14:paraId="4739D22B" w14:textId="77777777" w:rsidR="007B2433" w:rsidRPr="002462F0" w:rsidRDefault="007B2433" w:rsidP="00D916DB">
      <w:pPr>
        <w:pStyle w:val="BodyText"/>
        <w:rPr>
          <w:lang w:eastAsia="fr-FR"/>
        </w:rPr>
      </w:pPr>
      <w:r w:rsidRPr="002462F0">
        <w:rPr>
          <w:lang w:eastAsia="fr-FR"/>
        </w:rPr>
        <w:t>Emission factor for domestic wastewater is estimated using the equation 6.2 of the 2006 IPCC Guidelines.</w:t>
      </w:r>
    </w:p>
    <w:p w14:paraId="10408DBF" w14:textId="77777777" w:rsidR="007B2433" w:rsidRPr="00D916DB" w:rsidRDefault="007B2433" w:rsidP="00AB11C1">
      <w:pPr>
        <w:pStyle w:val="BodyText"/>
        <w:numPr>
          <w:ilvl w:val="0"/>
          <w:numId w:val="45"/>
        </w:numPr>
        <w:rPr>
          <w:lang w:eastAsia="fr-FR"/>
        </w:rPr>
      </w:pPr>
      <w:r w:rsidRPr="00D916DB">
        <w:rPr>
          <w:lang w:eastAsia="fr-FR"/>
        </w:rPr>
        <w:t>Methane Correction factor (MCF)</w:t>
      </w:r>
    </w:p>
    <w:p w14:paraId="178A8EDD" w14:textId="52552EDC" w:rsidR="007B2433" w:rsidRPr="002462F0" w:rsidRDefault="007B2433" w:rsidP="00D916DB">
      <w:pPr>
        <w:pStyle w:val="BodyText"/>
        <w:rPr>
          <w:lang w:eastAsia="fr-FR"/>
        </w:rPr>
      </w:pPr>
      <w:r w:rsidRPr="002462F0">
        <w:rPr>
          <w:lang w:eastAsia="fr-FR"/>
        </w:rPr>
        <w:t xml:space="preserve">In the Serbian inventory, the default value </w:t>
      </w:r>
      <w:r w:rsidR="00825C28">
        <w:rPr>
          <w:lang w:eastAsia="fr-FR"/>
        </w:rPr>
        <w:t xml:space="preserve">of </w:t>
      </w:r>
      <w:r w:rsidR="00825BC6">
        <w:rPr>
          <w:lang w:eastAsia="fr-FR"/>
        </w:rPr>
        <w:t xml:space="preserve">0.1 </w:t>
      </w:r>
      <w:r w:rsidRPr="002462F0">
        <w:rPr>
          <w:lang w:eastAsia="fr-FR"/>
        </w:rPr>
        <w:t xml:space="preserve">recommended in the 2006 IPCC Guidelines </w:t>
      </w:r>
      <w:r w:rsidR="00061AD5">
        <w:rPr>
          <w:lang w:eastAsia="fr-FR"/>
        </w:rPr>
        <w:t>is</w:t>
      </w:r>
      <w:r w:rsidR="00061AD5" w:rsidRPr="002462F0">
        <w:rPr>
          <w:lang w:eastAsia="fr-FR"/>
        </w:rPr>
        <w:t xml:space="preserve"> </w:t>
      </w:r>
      <w:r w:rsidRPr="002462F0">
        <w:rPr>
          <w:lang w:eastAsia="fr-FR"/>
        </w:rPr>
        <w:t xml:space="preserve">applied to the direct discharge. </w:t>
      </w:r>
    </w:p>
    <w:p w14:paraId="399769C9" w14:textId="77777777" w:rsidR="007B2433" w:rsidRPr="00D916DB" w:rsidRDefault="007B2433" w:rsidP="00AB11C1">
      <w:pPr>
        <w:pStyle w:val="BodyText"/>
        <w:numPr>
          <w:ilvl w:val="0"/>
          <w:numId w:val="45"/>
        </w:numPr>
        <w:rPr>
          <w:lang w:eastAsia="fr-FR"/>
        </w:rPr>
      </w:pPr>
      <w:r w:rsidRPr="00D916DB">
        <w:rPr>
          <w:lang w:eastAsia="fr-FR"/>
        </w:rPr>
        <w:t>Maximum CH</w:t>
      </w:r>
      <w:r w:rsidRPr="00622F40">
        <w:rPr>
          <w:vertAlign w:val="subscript"/>
          <w:lang w:eastAsia="fr-FR"/>
        </w:rPr>
        <w:t>4</w:t>
      </w:r>
      <w:r w:rsidRPr="00D916DB">
        <w:rPr>
          <w:lang w:eastAsia="fr-FR"/>
        </w:rPr>
        <w:t xml:space="preserve"> producing capacity (B</w:t>
      </w:r>
      <w:r w:rsidRPr="00622F40">
        <w:rPr>
          <w:vertAlign w:val="subscript"/>
          <w:lang w:eastAsia="fr-FR"/>
        </w:rPr>
        <w:t>0</w:t>
      </w:r>
      <w:r w:rsidRPr="00D916DB">
        <w:rPr>
          <w:lang w:eastAsia="fr-FR"/>
        </w:rPr>
        <w:t>)</w:t>
      </w:r>
    </w:p>
    <w:p w14:paraId="00C21206" w14:textId="28F38477" w:rsidR="007B2433" w:rsidRPr="002462F0" w:rsidRDefault="007B2433" w:rsidP="00D916DB">
      <w:pPr>
        <w:pStyle w:val="BodyText"/>
        <w:rPr>
          <w:lang w:eastAsia="fr-FR"/>
        </w:rPr>
      </w:pPr>
      <w:r w:rsidRPr="002462F0">
        <w:rPr>
          <w:lang w:eastAsia="fr-FR"/>
        </w:rPr>
        <w:t xml:space="preserve">In the Serbian inventory, the default value </w:t>
      </w:r>
      <w:r w:rsidRPr="00622F40">
        <w:rPr>
          <w:b/>
          <w:bCs/>
          <w:lang w:eastAsia="fr-FR"/>
        </w:rPr>
        <w:t>recommended</w:t>
      </w:r>
      <w:r w:rsidRPr="002462F0">
        <w:rPr>
          <w:lang w:eastAsia="fr-FR"/>
        </w:rPr>
        <w:t xml:space="preserve"> in the 2006 IPCC Guidelines (0</w:t>
      </w:r>
      <w:r w:rsidR="007B0547">
        <w:rPr>
          <w:lang w:eastAsia="fr-FR"/>
        </w:rPr>
        <w:t>.</w:t>
      </w:r>
      <w:r w:rsidRPr="002462F0">
        <w:rPr>
          <w:lang w:eastAsia="fr-FR"/>
        </w:rPr>
        <w:t>25 kg CH</w:t>
      </w:r>
      <w:r w:rsidRPr="002462F0">
        <w:rPr>
          <w:vertAlign w:val="subscript"/>
          <w:lang w:eastAsia="fr-FR"/>
        </w:rPr>
        <w:t>4</w:t>
      </w:r>
      <w:r w:rsidRPr="002462F0">
        <w:rPr>
          <w:lang w:eastAsia="fr-FR"/>
        </w:rPr>
        <w:t>/kg COD) is applied.</w:t>
      </w:r>
    </w:p>
    <w:p w14:paraId="303A2707" w14:textId="212D9B34" w:rsidR="007B2433" w:rsidRPr="002462F0" w:rsidRDefault="007B2433" w:rsidP="007B2433">
      <w:pPr>
        <w:pStyle w:val="Heading5"/>
        <w:rPr>
          <w:lang w:eastAsia="fr-FR"/>
        </w:rPr>
      </w:pPr>
      <w:bookmarkStart w:id="1197" w:name="_Toc182328128"/>
      <w:r w:rsidRPr="002462F0">
        <w:rPr>
          <w:lang w:eastAsia="fr-FR"/>
        </w:rPr>
        <w:t>Amount of CH</w:t>
      </w:r>
      <w:r w:rsidRPr="00622F40">
        <w:rPr>
          <w:vertAlign w:val="subscript"/>
          <w:lang w:eastAsia="fr-FR"/>
        </w:rPr>
        <w:t>4</w:t>
      </w:r>
      <w:r w:rsidRPr="002462F0">
        <w:rPr>
          <w:lang w:eastAsia="fr-FR"/>
        </w:rPr>
        <w:t xml:space="preserve"> recovered (R</w:t>
      </w:r>
      <w:r w:rsidRPr="00622F40">
        <w:rPr>
          <w:vertAlign w:val="subscript"/>
          <w:lang w:eastAsia="fr-FR"/>
        </w:rPr>
        <w:t>i</w:t>
      </w:r>
      <w:r w:rsidRPr="002462F0">
        <w:rPr>
          <w:lang w:eastAsia="fr-FR"/>
        </w:rPr>
        <w:t>)</w:t>
      </w:r>
      <w:bookmarkEnd w:id="1197"/>
    </w:p>
    <w:p w14:paraId="41F80FE3" w14:textId="774EB0B6" w:rsidR="007B2433" w:rsidRDefault="007B2433" w:rsidP="00D916DB">
      <w:pPr>
        <w:pStyle w:val="BodyText"/>
        <w:rPr>
          <w:lang w:eastAsia="fr-FR"/>
        </w:rPr>
      </w:pPr>
      <w:r w:rsidRPr="002462F0">
        <w:rPr>
          <w:lang w:eastAsia="fr-FR"/>
        </w:rPr>
        <w:t>In absence of national data, the default value recommended in the 2006 IPCC Guidelines (0) is applied in the Serbian inventory.</w:t>
      </w:r>
    </w:p>
    <w:p w14:paraId="20DE2430" w14:textId="77777777" w:rsidR="00AC476C" w:rsidRDefault="00AC476C" w:rsidP="00D916DB">
      <w:pPr>
        <w:pStyle w:val="BodyText"/>
        <w:rPr>
          <w:lang w:eastAsia="fr-FR"/>
        </w:rPr>
      </w:pPr>
    </w:p>
    <w:p w14:paraId="1CD11E81" w14:textId="77777777" w:rsidR="00C52745" w:rsidRDefault="00C52745" w:rsidP="00D916DB">
      <w:pPr>
        <w:pStyle w:val="BodyText"/>
        <w:rPr>
          <w:lang w:eastAsia="fr-FR"/>
        </w:rPr>
      </w:pPr>
    </w:p>
    <w:p w14:paraId="1FEF46FD" w14:textId="77777777" w:rsidR="00C52745" w:rsidRPr="002462F0" w:rsidRDefault="00C52745" w:rsidP="00D916DB">
      <w:pPr>
        <w:pStyle w:val="BodyText"/>
        <w:rPr>
          <w:lang w:eastAsia="fr-FR"/>
        </w:rPr>
      </w:pPr>
    </w:p>
    <w:p w14:paraId="64863C5C" w14:textId="6DA7E8CA" w:rsidR="007B2433" w:rsidRPr="002462F0" w:rsidRDefault="007B2433" w:rsidP="00622F40">
      <w:pPr>
        <w:pStyle w:val="Heading3"/>
        <w:rPr>
          <w:lang w:eastAsia="fr-FR"/>
        </w:rPr>
      </w:pPr>
      <w:bookmarkStart w:id="1198" w:name="_Toc182328129"/>
      <w:bookmarkStart w:id="1199" w:name="_Toc184808365"/>
      <w:r w:rsidRPr="002462F0">
        <w:rPr>
          <w:lang w:eastAsia="fr-FR"/>
        </w:rPr>
        <w:lastRenderedPageBreak/>
        <w:t>Uncertainties and time-series consistency</w:t>
      </w:r>
      <w:bookmarkEnd w:id="1198"/>
      <w:bookmarkEnd w:id="1199"/>
    </w:p>
    <w:p w14:paraId="0CC6831F" w14:textId="77777777" w:rsidR="007B2433" w:rsidRPr="002462F0" w:rsidRDefault="007B2433" w:rsidP="007B2433">
      <w:pPr>
        <w:autoSpaceDE w:val="0"/>
        <w:autoSpaceDN w:val="0"/>
        <w:adjustRightInd w:val="0"/>
        <w:spacing w:after="0" w:line="240" w:lineRule="auto"/>
        <w:rPr>
          <w:sz w:val="22"/>
          <w:lang w:eastAsia="fr-FR"/>
        </w:rPr>
      </w:pPr>
    </w:p>
    <w:p w14:paraId="36A0ECBE" w14:textId="77777777" w:rsidR="007B2433" w:rsidRPr="002462F0" w:rsidRDefault="007B2433" w:rsidP="00D916DB">
      <w:pPr>
        <w:pStyle w:val="BodyText"/>
        <w:rPr>
          <w:lang w:eastAsia="fr-FR"/>
        </w:rPr>
      </w:pPr>
      <w:r w:rsidRPr="002462F0">
        <w:rPr>
          <w:lang w:eastAsia="fr-FR"/>
        </w:rPr>
        <w:t>Uncertainty estimate associated with activity data amounts to 50%, based on expert judgment.</w:t>
      </w:r>
    </w:p>
    <w:p w14:paraId="56A6FC81" w14:textId="5D9A717C" w:rsidR="007B2433" w:rsidRPr="002462F0" w:rsidRDefault="007B2433" w:rsidP="00D916DB">
      <w:pPr>
        <w:pStyle w:val="BodyText"/>
        <w:rPr>
          <w:lang w:eastAsia="fr-FR"/>
        </w:rPr>
      </w:pPr>
      <w:r w:rsidRPr="002462F0">
        <w:rPr>
          <w:lang w:eastAsia="fr-FR"/>
        </w:rPr>
        <w:t>Uncertainty estimate</w:t>
      </w:r>
      <w:r w:rsidR="002026E5">
        <w:rPr>
          <w:lang w:eastAsia="fr-FR"/>
        </w:rPr>
        <w:t>s</w:t>
      </w:r>
      <w:r w:rsidRPr="002462F0">
        <w:rPr>
          <w:lang w:eastAsia="fr-FR"/>
        </w:rPr>
        <w:t xml:space="preserve"> associated with emission factor amount to 50% for CH</w:t>
      </w:r>
      <w:r w:rsidRPr="002462F0">
        <w:rPr>
          <w:vertAlign w:val="subscript"/>
          <w:lang w:eastAsia="fr-FR"/>
        </w:rPr>
        <w:t>4</w:t>
      </w:r>
      <w:r w:rsidRPr="002462F0">
        <w:rPr>
          <w:lang w:eastAsia="fr-FR"/>
        </w:rPr>
        <w:t xml:space="preserve"> and 100% for N</w:t>
      </w:r>
      <w:r w:rsidRPr="002462F0">
        <w:rPr>
          <w:vertAlign w:val="subscript"/>
          <w:lang w:eastAsia="fr-FR"/>
        </w:rPr>
        <w:t>2</w:t>
      </w:r>
      <w:r w:rsidRPr="002462F0">
        <w:rPr>
          <w:lang w:eastAsia="fr-FR"/>
        </w:rPr>
        <w:t xml:space="preserve">O, based on 2006 IPCC Guidelines (Volume 5, Chapter 6, Table 6.11). </w:t>
      </w:r>
    </w:p>
    <w:p w14:paraId="13780A2F" w14:textId="1CC3ABDE" w:rsidR="007B2433" w:rsidRPr="002462F0" w:rsidRDefault="002026E5" w:rsidP="00622F40">
      <w:pPr>
        <w:pStyle w:val="BodyText"/>
        <w:rPr>
          <w:lang w:eastAsia="fr-FR"/>
        </w:rPr>
      </w:pPr>
      <w:r>
        <w:rPr>
          <w:lang w:eastAsia="fr-FR"/>
        </w:rPr>
        <w:t>Hence, c</w:t>
      </w:r>
      <w:r w:rsidR="007B2433" w:rsidRPr="002462F0">
        <w:rPr>
          <w:lang w:eastAsia="fr-FR"/>
        </w:rPr>
        <w:t>ombined uncertaint</w:t>
      </w:r>
      <w:r w:rsidR="007D211E">
        <w:rPr>
          <w:lang w:eastAsia="fr-FR"/>
        </w:rPr>
        <w:t>ies</w:t>
      </w:r>
      <w:r w:rsidR="007B2433" w:rsidRPr="002462F0">
        <w:rPr>
          <w:lang w:eastAsia="fr-FR"/>
        </w:rPr>
        <w:t xml:space="preserve"> for emissions </w:t>
      </w:r>
      <w:r w:rsidR="007D211E">
        <w:rPr>
          <w:lang w:eastAsia="fr-FR"/>
        </w:rPr>
        <w:t>are</w:t>
      </w:r>
      <w:r w:rsidR="007D211E" w:rsidRPr="002462F0">
        <w:rPr>
          <w:lang w:eastAsia="fr-FR"/>
        </w:rPr>
        <w:t xml:space="preserve"> </w:t>
      </w:r>
      <w:r w:rsidR="007B2433" w:rsidRPr="002462F0">
        <w:rPr>
          <w:lang w:eastAsia="fr-FR"/>
        </w:rPr>
        <w:t>71% for CH</w:t>
      </w:r>
      <w:r w:rsidR="007B2433" w:rsidRPr="002462F0">
        <w:rPr>
          <w:vertAlign w:val="subscript"/>
          <w:lang w:eastAsia="fr-FR"/>
        </w:rPr>
        <w:t>4</w:t>
      </w:r>
      <w:r w:rsidR="007B2433" w:rsidRPr="002462F0">
        <w:rPr>
          <w:lang w:eastAsia="fr-FR"/>
        </w:rPr>
        <w:t xml:space="preserve"> and 112% for N</w:t>
      </w:r>
      <w:r w:rsidR="007B2433" w:rsidRPr="002462F0">
        <w:rPr>
          <w:vertAlign w:val="subscript"/>
          <w:lang w:eastAsia="fr-FR"/>
        </w:rPr>
        <w:t>2</w:t>
      </w:r>
      <w:r w:rsidR="007B2433" w:rsidRPr="002462F0">
        <w:rPr>
          <w:lang w:eastAsia="fr-FR"/>
        </w:rPr>
        <w:t>O.</w:t>
      </w:r>
      <w:r w:rsidR="007D211E">
        <w:rPr>
          <w:lang w:eastAsia="fr-FR"/>
        </w:rPr>
        <w:t xml:space="preserve"> The uncertaint</w:t>
      </w:r>
      <w:r w:rsidR="009739D0">
        <w:rPr>
          <w:lang w:eastAsia="fr-FR"/>
        </w:rPr>
        <w:t>ies</w:t>
      </w:r>
      <w:r w:rsidR="007D211E">
        <w:rPr>
          <w:lang w:eastAsia="fr-FR"/>
        </w:rPr>
        <w:t xml:space="preserve"> combined </w:t>
      </w:r>
      <w:r w:rsidR="009739D0">
        <w:rPr>
          <w:lang w:eastAsia="fr-FR"/>
        </w:rPr>
        <w:t>in the total national emissions, excluding LULUCF contribution, in 2022, are of 0.8% and 0.15%, for CH</w:t>
      </w:r>
      <w:r w:rsidR="009739D0" w:rsidRPr="00622F40">
        <w:rPr>
          <w:vertAlign w:val="subscript"/>
          <w:lang w:eastAsia="fr-FR"/>
        </w:rPr>
        <w:t>4</w:t>
      </w:r>
      <w:r w:rsidR="009739D0">
        <w:rPr>
          <w:lang w:eastAsia="fr-FR"/>
        </w:rPr>
        <w:t xml:space="preserve"> and N</w:t>
      </w:r>
      <w:r w:rsidR="009739D0" w:rsidRPr="00622F40">
        <w:rPr>
          <w:vertAlign w:val="subscript"/>
          <w:lang w:eastAsia="fr-FR"/>
        </w:rPr>
        <w:t>2</w:t>
      </w:r>
      <w:r w:rsidR="009739D0">
        <w:rPr>
          <w:lang w:eastAsia="fr-FR"/>
        </w:rPr>
        <w:t>O, respectively, in the Republic of Serbia.</w:t>
      </w:r>
    </w:p>
    <w:p w14:paraId="7F2B6C3C" w14:textId="19A516C1" w:rsidR="007B2433" w:rsidRPr="002462F0" w:rsidRDefault="007B2433" w:rsidP="00622F40">
      <w:pPr>
        <w:pStyle w:val="Heading3"/>
        <w:rPr>
          <w:lang w:eastAsia="fr-FR"/>
        </w:rPr>
      </w:pPr>
      <w:bookmarkStart w:id="1200" w:name="_Toc182328130"/>
      <w:bookmarkStart w:id="1201" w:name="_Toc184808366"/>
      <w:r w:rsidRPr="002462F0">
        <w:rPr>
          <w:lang w:eastAsia="fr-FR"/>
        </w:rPr>
        <w:t>Category-specific QA/QC and verification</w:t>
      </w:r>
      <w:bookmarkEnd w:id="1200"/>
      <w:bookmarkEnd w:id="1201"/>
    </w:p>
    <w:p w14:paraId="3FE43EB8" w14:textId="55A2E7FD" w:rsidR="007B2433" w:rsidRPr="00622F40" w:rsidRDefault="009D360B" w:rsidP="00622F40">
      <w:pPr>
        <w:pStyle w:val="BodyText"/>
        <w:rPr>
          <w:lang w:val="en-US" w:eastAsia="fr-FR"/>
        </w:rPr>
      </w:pPr>
      <w:r w:rsidRPr="002462F0">
        <w:rPr>
          <w:lang w:eastAsia="fr-FR"/>
        </w:rPr>
        <w:t xml:space="preserve">During the preparation of the inventory submission, activities related to quality control were mainly focused on completeness and consistency of emission estimates, and on proper use of notation keys in the </w:t>
      </w:r>
      <w:r w:rsidR="000F6001">
        <w:rPr>
          <w:lang w:eastAsia="fr-FR"/>
        </w:rPr>
        <w:t>CRT</w:t>
      </w:r>
      <w:r w:rsidRPr="002462F0">
        <w:rPr>
          <w:lang w:eastAsia="fr-FR"/>
        </w:rPr>
        <w:t xml:space="preserve"> tables.</w:t>
      </w:r>
      <w:r w:rsidRPr="002462F0">
        <w:rPr>
          <w:lang w:val="en-US" w:eastAsia="fr-FR"/>
        </w:rPr>
        <w:t xml:space="preserve"> </w:t>
      </w:r>
    </w:p>
    <w:p w14:paraId="3246FBAD" w14:textId="6D6698F1" w:rsidR="007B2433" w:rsidRPr="002462F0" w:rsidRDefault="007B2433" w:rsidP="00622F40">
      <w:pPr>
        <w:pStyle w:val="Heading3"/>
        <w:rPr>
          <w:lang w:eastAsia="fr-FR"/>
        </w:rPr>
      </w:pPr>
      <w:bookmarkStart w:id="1202" w:name="_Toc182328131"/>
      <w:bookmarkStart w:id="1203" w:name="_Toc184808367"/>
      <w:r w:rsidRPr="002462F0">
        <w:rPr>
          <w:lang w:eastAsia="fr-FR"/>
        </w:rPr>
        <w:t>Category-specific recalculations</w:t>
      </w:r>
      <w:bookmarkEnd w:id="1202"/>
      <w:bookmarkEnd w:id="1203"/>
    </w:p>
    <w:p w14:paraId="5D46EE27" w14:textId="2A62DA66" w:rsidR="007B2433" w:rsidRPr="002462F0" w:rsidRDefault="007B2433" w:rsidP="00D916DB">
      <w:pPr>
        <w:pStyle w:val="BodyText"/>
        <w:rPr>
          <w:b/>
          <w:color w:val="233F85"/>
          <w:sz w:val="28"/>
          <w:szCs w:val="32"/>
          <w:lang w:eastAsia="fr-FR"/>
        </w:rPr>
      </w:pPr>
      <w:r w:rsidRPr="002462F0">
        <w:rPr>
          <w:lang w:eastAsia="fr-FR"/>
        </w:rPr>
        <w:t xml:space="preserve">The current report is the first </w:t>
      </w:r>
      <w:r w:rsidR="00CB4BC2">
        <w:rPr>
          <w:lang w:eastAsia="fr-FR"/>
        </w:rPr>
        <w:t>National Inventory Document</w:t>
      </w:r>
      <w:r w:rsidRPr="002462F0">
        <w:rPr>
          <w:lang w:eastAsia="fr-FR"/>
        </w:rPr>
        <w:t xml:space="preserve"> for Serbia. Consequently, there is no recalculation. Possible recalculation will be occurred and estimated in the next submission if necessary.</w:t>
      </w:r>
    </w:p>
    <w:p w14:paraId="68A9CCD9" w14:textId="4F45DAFA" w:rsidR="007B2433" w:rsidRPr="002462F0" w:rsidRDefault="007B2433" w:rsidP="00622F40">
      <w:pPr>
        <w:pStyle w:val="Heading3"/>
        <w:rPr>
          <w:lang w:eastAsia="fr-FR"/>
        </w:rPr>
      </w:pPr>
      <w:bookmarkStart w:id="1204" w:name="_Toc182328132"/>
      <w:bookmarkStart w:id="1205" w:name="_Toc184808368"/>
      <w:r w:rsidRPr="002462F0">
        <w:rPr>
          <w:lang w:eastAsia="fr-FR"/>
        </w:rPr>
        <w:t>Category-specific planned improvements</w:t>
      </w:r>
      <w:bookmarkEnd w:id="1204"/>
      <w:bookmarkEnd w:id="1205"/>
    </w:p>
    <w:p w14:paraId="552481CA" w14:textId="77777777" w:rsidR="007B2433" w:rsidRPr="00622F40" w:rsidRDefault="007B2433" w:rsidP="007B2433">
      <w:pPr>
        <w:autoSpaceDE w:val="0"/>
        <w:autoSpaceDN w:val="0"/>
        <w:adjustRightInd w:val="0"/>
        <w:spacing w:after="0" w:line="240" w:lineRule="auto"/>
        <w:jc w:val="left"/>
        <w:rPr>
          <w:b/>
          <w:color w:val="233F85"/>
          <w:sz w:val="24"/>
          <w:szCs w:val="28"/>
          <w:lang w:eastAsia="fr-FR"/>
        </w:rPr>
      </w:pPr>
    </w:p>
    <w:p w14:paraId="7493FDDE" w14:textId="77777777" w:rsidR="007B2433" w:rsidRPr="00622F40" w:rsidRDefault="007B2433" w:rsidP="007B2433">
      <w:pPr>
        <w:rPr>
          <w:szCs w:val="20"/>
          <w:lang w:eastAsia="fr-FR"/>
        </w:rPr>
      </w:pPr>
      <w:r w:rsidRPr="00622F40">
        <w:rPr>
          <w:szCs w:val="20"/>
          <w:lang w:eastAsia="fr-FR"/>
        </w:rPr>
        <w:t>Concerning wastewater treatment, the planned improvements deal mainly with the historical trends of the country-specific parameters, especially concerning the following aspects:</w:t>
      </w:r>
    </w:p>
    <w:p w14:paraId="6C7F2588" w14:textId="33EC8AD7" w:rsidR="007B2433" w:rsidRDefault="007B2433" w:rsidP="00AB11C1">
      <w:pPr>
        <w:pStyle w:val="BodyText"/>
        <w:numPr>
          <w:ilvl w:val="0"/>
          <w:numId w:val="45"/>
        </w:numPr>
        <w:rPr>
          <w:lang w:eastAsia="fr-FR"/>
        </w:rPr>
      </w:pPr>
      <w:r w:rsidRPr="002462F0">
        <w:rPr>
          <w:lang w:eastAsia="fr-FR"/>
        </w:rPr>
        <w:t>improve the historical trend of the parameters considered as constant over the timeseries (degree of utilisation of treatment/discharge pathway or system, degree of utilisation of modern centralized WWTP, fraction of urban/rural p</w:t>
      </w:r>
      <w:r w:rsidR="00E9475A">
        <w:rPr>
          <w:lang w:eastAsia="fr-FR"/>
        </w:rPr>
        <w:t>opulation, protein consumption).</w:t>
      </w:r>
    </w:p>
    <w:p w14:paraId="5EA7250E" w14:textId="706A924C" w:rsidR="00CA4FB7" w:rsidRPr="002462F0" w:rsidRDefault="00CA4FB7" w:rsidP="00AB11C1">
      <w:pPr>
        <w:pStyle w:val="BodyText"/>
        <w:numPr>
          <w:ilvl w:val="0"/>
          <w:numId w:val="45"/>
        </w:numPr>
        <w:rPr>
          <w:lang w:eastAsia="fr-FR"/>
        </w:rPr>
      </w:pPr>
      <w:r>
        <w:rPr>
          <w:lang w:eastAsia="fr-FR"/>
        </w:rPr>
        <w:t xml:space="preserve">Improve the estimations using </w:t>
      </w:r>
      <w:r w:rsidRPr="00CA4FB7">
        <w:rPr>
          <w:lang w:eastAsia="fr-FR"/>
        </w:rPr>
        <w:t>2019 Refinement to the 2006 IPCC Guidelines for National Greenhouse Gas Inventories</w:t>
      </w:r>
      <w:r>
        <w:rPr>
          <w:lang w:eastAsia="fr-FR"/>
        </w:rPr>
        <w:t>.</w:t>
      </w:r>
    </w:p>
    <w:p w14:paraId="11A79541" w14:textId="77777777" w:rsidR="00614555" w:rsidRPr="002462F0" w:rsidRDefault="00614555" w:rsidP="00614555">
      <w:pPr>
        <w:autoSpaceDE w:val="0"/>
        <w:autoSpaceDN w:val="0"/>
        <w:adjustRightInd w:val="0"/>
        <w:spacing w:after="0" w:line="240" w:lineRule="auto"/>
        <w:jc w:val="left"/>
        <w:rPr>
          <w:sz w:val="24"/>
          <w:szCs w:val="24"/>
          <w:lang w:eastAsia="fr-FR"/>
        </w:rPr>
      </w:pPr>
    </w:p>
    <w:p w14:paraId="57D5E3C9" w14:textId="77777777" w:rsidR="00D177FB" w:rsidRDefault="00D177FB">
      <w:pPr>
        <w:jc w:val="left"/>
        <w:rPr>
          <w:b/>
          <w:color w:val="698EC2"/>
          <w:sz w:val="40"/>
          <w:lang w:eastAsia="fr-FR"/>
        </w:rPr>
      </w:pPr>
      <w:bookmarkStart w:id="1206" w:name="_Toc496101090"/>
      <w:r>
        <w:rPr>
          <w:lang w:eastAsia="fr-FR"/>
        </w:rPr>
        <w:br w:type="page"/>
      </w:r>
    </w:p>
    <w:p w14:paraId="1F711347" w14:textId="6459B8DA" w:rsidR="00AC476C" w:rsidRPr="002462F0" w:rsidRDefault="00AC476C" w:rsidP="00AC476C">
      <w:pPr>
        <w:pStyle w:val="Title"/>
        <w:rPr>
          <w:lang w:eastAsia="fr-FR"/>
        </w:rPr>
      </w:pPr>
      <w:bookmarkStart w:id="1207" w:name="_Toc182328133"/>
      <w:bookmarkStart w:id="1208" w:name="_Toc184808369"/>
      <w:r w:rsidRPr="002462F0">
        <w:rPr>
          <w:lang w:eastAsia="fr-FR"/>
        </w:rPr>
        <w:lastRenderedPageBreak/>
        <w:t xml:space="preserve">Chapter </w:t>
      </w:r>
      <w:r>
        <w:rPr>
          <w:lang w:eastAsia="fr-FR"/>
        </w:rPr>
        <w:t>8</w:t>
      </w:r>
      <w:r w:rsidRPr="002462F0">
        <w:rPr>
          <w:lang w:eastAsia="fr-FR"/>
        </w:rPr>
        <w:t xml:space="preserve">: </w:t>
      </w:r>
      <w:r>
        <w:rPr>
          <w:lang w:eastAsia="fr-FR"/>
        </w:rPr>
        <w:t>Other</w:t>
      </w:r>
      <w:bookmarkEnd w:id="1207"/>
      <w:bookmarkEnd w:id="1208"/>
    </w:p>
    <w:p w14:paraId="6173F94F" w14:textId="0021044A" w:rsidR="00F14C78" w:rsidRDefault="00AC476C" w:rsidP="00AC476C">
      <w:pPr>
        <w:rPr>
          <w:lang w:eastAsia="fr-FR"/>
        </w:rPr>
      </w:pPr>
      <w:r>
        <w:rPr>
          <w:lang w:eastAsia="fr-FR"/>
        </w:rPr>
        <w:t>Serbia has no additional information on emissions to add in this chapter.</w:t>
      </w:r>
    </w:p>
    <w:p w14:paraId="0DAE4A80" w14:textId="77777777" w:rsidR="00F14C78" w:rsidRDefault="00F14C78">
      <w:pPr>
        <w:jc w:val="left"/>
        <w:rPr>
          <w:lang w:eastAsia="fr-FR"/>
        </w:rPr>
      </w:pPr>
      <w:r>
        <w:rPr>
          <w:lang w:eastAsia="fr-FR"/>
        </w:rPr>
        <w:br w:type="page"/>
      </w:r>
    </w:p>
    <w:p w14:paraId="65158A38" w14:textId="19ADDDF8" w:rsidR="00614555" w:rsidRPr="002462F0" w:rsidRDefault="00614555" w:rsidP="00614555">
      <w:pPr>
        <w:pStyle w:val="Title"/>
        <w:rPr>
          <w:lang w:eastAsia="fr-FR"/>
        </w:rPr>
      </w:pPr>
      <w:bookmarkStart w:id="1209" w:name="_Toc182328134"/>
      <w:bookmarkStart w:id="1210" w:name="_Toc184808370"/>
      <w:r w:rsidRPr="002462F0">
        <w:rPr>
          <w:lang w:eastAsia="fr-FR"/>
        </w:rPr>
        <w:lastRenderedPageBreak/>
        <w:t>Chapter 9: Indirect CO</w:t>
      </w:r>
      <w:r w:rsidRPr="00AC476C">
        <w:rPr>
          <w:vertAlign w:val="subscript"/>
          <w:lang w:eastAsia="fr-FR"/>
        </w:rPr>
        <w:t>2</w:t>
      </w:r>
      <w:r w:rsidRPr="002462F0">
        <w:rPr>
          <w:lang w:eastAsia="fr-FR"/>
        </w:rPr>
        <w:t xml:space="preserve"> and </w:t>
      </w:r>
      <w:r w:rsidR="00AC476C">
        <w:rPr>
          <w:lang w:eastAsia="fr-FR"/>
        </w:rPr>
        <w:t>N</w:t>
      </w:r>
      <w:r w:rsidR="00AC476C" w:rsidRPr="00AC476C">
        <w:rPr>
          <w:vertAlign w:val="subscript"/>
          <w:lang w:eastAsia="fr-FR"/>
        </w:rPr>
        <w:t>2</w:t>
      </w:r>
      <w:r w:rsidR="00AC476C">
        <w:rPr>
          <w:lang w:eastAsia="fr-FR"/>
        </w:rPr>
        <w:t>O</w:t>
      </w:r>
      <w:r w:rsidRPr="002462F0">
        <w:rPr>
          <w:lang w:eastAsia="fr-FR"/>
        </w:rPr>
        <w:t xml:space="preserve"> emissions</w:t>
      </w:r>
      <w:bookmarkEnd w:id="1206"/>
      <w:bookmarkEnd w:id="1209"/>
      <w:bookmarkEnd w:id="1210"/>
    </w:p>
    <w:p w14:paraId="57E6CD69" w14:textId="31045ED0" w:rsidR="00614555" w:rsidRDefault="00614555" w:rsidP="00614555">
      <w:pPr>
        <w:autoSpaceDE w:val="0"/>
        <w:autoSpaceDN w:val="0"/>
        <w:adjustRightInd w:val="0"/>
        <w:spacing w:after="0" w:line="240" w:lineRule="auto"/>
        <w:jc w:val="left"/>
        <w:rPr>
          <w:rStyle w:val="Heading2Char"/>
          <w:lang w:val="en-GB"/>
        </w:rPr>
      </w:pPr>
      <w:bookmarkStart w:id="1211" w:name="_Toc496101091"/>
      <w:bookmarkStart w:id="1212" w:name="_Toc182328135"/>
      <w:bookmarkStart w:id="1213" w:name="_Toc184808371"/>
      <w:r w:rsidRPr="002462F0">
        <w:rPr>
          <w:rStyle w:val="Heading2Char"/>
          <w:lang w:val="en-GB"/>
        </w:rPr>
        <w:t>9.1. Description of sources of indirect emissions in GHG inventory</w:t>
      </w:r>
      <w:bookmarkEnd w:id="1211"/>
      <w:bookmarkEnd w:id="1212"/>
      <w:bookmarkEnd w:id="1213"/>
    </w:p>
    <w:p w14:paraId="46EAA5F3" w14:textId="77777777" w:rsidR="00AC476C" w:rsidRDefault="00AC476C" w:rsidP="00AC4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inherit" w:eastAsia="Times New Roman" w:hAnsi="inherit" w:cs="Courier New"/>
          <w:color w:val="212121"/>
          <w:szCs w:val="20"/>
          <w:lang w:val="en" w:eastAsia="fr-FR"/>
        </w:rPr>
      </w:pPr>
    </w:p>
    <w:p w14:paraId="706F0A47" w14:textId="00C16471" w:rsidR="00AC476C" w:rsidRPr="00AC476C" w:rsidRDefault="00AC476C" w:rsidP="00AC476C">
      <w:pPr>
        <w:rPr>
          <w:lang w:eastAsia="fr-FR"/>
        </w:rPr>
      </w:pPr>
      <w:r w:rsidRPr="00AC476C">
        <w:rPr>
          <w:lang w:eastAsia="fr-FR"/>
        </w:rPr>
        <w:t>Following an EU WG1 recommendation, indirect emissions of C</w:t>
      </w:r>
      <w:r>
        <w:rPr>
          <w:lang w:eastAsia="fr-FR"/>
        </w:rPr>
        <w:t>O</w:t>
      </w:r>
      <w:r w:rsidRPr="00AC476C">
        <w:rPr>
          <w:vertAlign w:val="subscript"/>
          <w:lang w:eastAsia="fr-FR"/>
        </w:rPr>
        <w:t>2</w:t>
      </w:r>
      <w:r>
        <w:rPr>
          <w:lang w:eastAsia="fr-FR"/>
        </w:rPr>
        <w:t xml:space="preserve"> from </w:t>
      </w:r>
      <w:r w:rsidRPr="00AC476C">
        <w:rPr>
          <w:lang w:eastAsia="fr-FR"/>
        </w:rPr>
        <w:t xml:space="preserve">NMVOC </w:t>
      </w:r>
      <w:r>
        <w:rPr>
          <w:lang w:eastAsia="fr-FR"/>
        </w:rPr>
        <w:t xml:space="preserve">of </w:t>
      </w:r>
      <w:r w:rsidRPr="00AC476C">
        <w:rPr>
          <w:lang w:eastAsia="fr-FR"/>
        </w:rPr>
        <w:t xml:space="preserve">solvents are accounted for in </w:t>
      </w:r>
      <w:r w:rsidR="000F6001">
        <w:rPr>
          <w:lang w:eastAsia="fr-FR"/>
        </w:rPr>
        <w:t>CRT</w:t>
      </w:r>
      <w:r w:rsidRPr="00AC476C">
        <w:rPr>
          <w:lang w:eastAsia="fr-FR"/>
        </w:rPr>
        <w:t xml:space="preserve"> 2D3</w:t>
      </w:r>
      <w:r w:rsidR="00AE3B6C">
        <w:rPr>
          <w:lang w:eastAsia="fr-FR"/>
        </w:rPr>
        <w:t xml:space="preserve">, for which emission estimations and </w:t>
      </w:r>
      <w:r w:rsidR="00402742">
        <w:rPr>
          <w:lang w:eastAsia="fr-FR"/>
        </w:rPr>
        <w:t xml:space="preserve">methodologies are </w:t>
      </w:r>
      <w:r w:rsidR="00106366">
        <w:rPr>
          <w:lang w:eastAsia="fr-FR"/>
        </w:rPr>
        <w:t xml:space="preserve">presented in </w:t>
      </w:r>
      <w:r w:rsidR="00FC7886">
        <w:rPr>
          <w:lang w:eastAsia="fr-FR"/>
        </w:rPr>
        <w:t xml:space="preserve">chapter </w:t>
      </w:r>
      <w:r w:rsidR="00FC7886">
        <w:rPr>
          <w:lang w:eastAsia="fr-FR"/>
        </w:rPr>
        <w:fldChar w:fldCharType="begin"/>
      </w:r>
      <w:r w:rsidR="00FC7886">
        <w:rPr>
          <w:lang w:eastAsia="fr-FR"/>
        </w:rPr>
        <w:instrText xml:space="preserve"> REF _Ref179994911 \r \h </w:instrText>
      </w:r>
      <w:r w:rsidR="00FC7886">
        <w:rPr>
          <w:lang w:eastAsia="fr-FR"/>
        </w:rPr>
      </w:r>
      <w:r w:rsidR="00FC7886">
        <w:rPr>
          <w:lang w:eastAsia="fr-FR"/>
        </w:rPr>
        <w:fldChar w:fldCharType="separate"/>
      </w:r>
      <w:r w:rsidR="00F14C78">
        <w:rPr>
          <w:lang w:eastAsia="fr-FR"/>
        </w:rPr>
        <w:t>4.6.3</w:t>
      </w:r>
      <w:r w:rsidR="00FC7886">
        <w:rPr>
          <w:lang w:eastAsia="fr-FR"/>
        </w:rPr>
        <w:fldChar w:fldCharType="end"/>
      </w:r>
      <w:r w:rsidRPr="00AC476C">
        <w:rPr>
          <w:lang w:eastAsia="fr-FR"/>
        </w:rPr>
        <w:t>.</w:t>
      </w:r>
    </w:p>
    <w:p w14:paraId="28A6B493" w14:textId="55F586B5" w:rsidR="00AC476C" w:rsidRPr="00AC476C" w:rsidRDefault="00FC7886" w:rsidP="00AC476C">
      <w:pPr>
        <w:rPr>
          <w:lang w:eastAsia="fr-FR"/>
        </w:rPr>
      </w:pPr>
      <w:r>
        <w:rPr>
          <w:lang w:eastAsia="fr-FR"/>
        </w:rPr>
        <w:t>No i</w:t>
      </w:r>
      <w:r w:rsidR="00AC476C" w:rsidRPr="00AC476C">
        <w:rPr>
          <w:lang w:eastAsia="fr-FR"/>
        </w:rPr>
        <w:t>ndirect emissions of N</w:t>
      </w:r>
      <w:r w:rsidR="00AC476C" w:rsidRPr="00AC476C">
        <w:rPr>
          <w:vertAlign w:val="subscript"/>
          <w:lang w:eastAsia="fr-FR"/>
        </w:rPr>
        <w:t>2</w:t>
      </w:r>
      <w:r w:rsidR="00AC476C" w:rsidRPr="00AC476C">
        <w:rPr>
          <w:lang w:eastAsia="fr-FR"/>
        </w:rPr>
        <w:t xml:space="preserve">O are estimated </w:t>
      </w:r>
      <w:r>
        <w:rPr>
          <w:lang w:eastAsia="fr-FR"/>
        </w:rPr>
        <w:t xml:space="preserve">in the Serbian inventory, </w:t>
      </w:r>
      <w:r w:rsidR="00AC476C" w:rsidRPr="00AC476C">
        <w:rPr>
          <w:lang w:eastAsia="fr-FR"/>
        </w:rPr>
        <w:t>except those of agricultural soils</w:t>
      </w:r>
      <w:r w:rsidR="00154052">
        <w:rPr>
          <w:lang w:eastAsia="fr-FR"/>
        </w:rPr>
        <w:t>, which are directly estimated</w:t>
      </w:r>
      <w:r w:rsidR="00AC476C" w:rsidRPr="00AC476C">
        <w:rPr>
          <w:lang w:eastAsia="fr-FR"/>
        </w:rPr>
        <w:t xml:space="preserve"> </w:t>
      </w:r>
      <w:r>
        <w:rPr>
          <w:lang w:eastAsia="fr-FR"/>
        </w:rPr>
        <w:t xml:space="preserve">and presented </w:t>
      </w:r>
      <w:r w:rsidR="00AC476C" w:rsidRPr="00AC476C">
        <w:rPr>
          <w:lang w:eastAsia="fr-FR"/>
        </w:rPr>
        <w:t>in</w:t>
      </w:r>
      <w:r w:rsidR="00AC476C">
        <w:rPr>
          <w:lang w:eastAsia="fr-FR"/>
        </w:rPr>
        <w:t xml:space="preserve"> </w:t>
      </w:r>
      <w:r w:rsidR="00AC476C" w:rsidRPr="00AC476C">
        <w:rPr>
          <w:lang w:eastAsia="fr-FR"/>
        </w:rPr>
        <w:t>the agriculture sector (</w:t>
      </w:r>
      <w:r w:rsidR="000F6001">
        <w:rPr>
          <w:lang w:eastAsia="fr-FR"/>
        </w:rPr>
        <w:t>CRT</w:t>
      </w:r>
      <w:r w:rsidR="00AC476C" w:rsidRPr="00AC476C">
        <w:rPr>
          <w:lang w:eastAsia="fr-FR"/>
        </w:rPr>
        <w:t xml:space="preserve"> 3</w:t>
      </w:r>
      <w:r w:rsidR="007B2804">
        <w:rPr>
          <w:lang w:eastAsia="fr-FR"/>
        </w:rPr>
        <w:t xml:space="preserve">, see chapter </w:t>
      </w:r>
      <w:r w:rsidR="007B2804">
        <w:rPr>
          <w:lang w:eastAsia="fr-FR"/>
        </w:rPr>
        <w:fldChar w:fldCharType="begin"/>
      </w:r>
      <w:r w:rsidR="007B2804">
        <w:rPr>
          <w:lang w:eastAsia="fr-FR"/>
        </w:rPr>
        <w:instrText xml:space="preserve"> REF _Ref179994974 \r \h </w:instrText>
      </w:r>
      <w:r w:rsidR="007B2804">
        <w:rPr>
          <w:lang w:eastAsia="fr-FR"/>
        </w:rPr>
      </w:r>
      <w:r w:rsidR="007B2804">
        <w:rPr>
          <w:lang w:eastAsia="fr-FR"/>
        </w:rPr>
        <w:fldChar w:fldCharType="separate"/>
      </w:r>
      <w:r w:rsidR="00F14C78">
        <w:rPr>
          <w:lang w:eastAsia="fr-FR"/>
        </w:rPr>
        <w:t>5.4.2</w:t>
      </w:r>
      <w:r w:rsidR="007B2804">
        <w:rPr>
          <w:lang w:eastAsia="fr-FR"/>
        </w:rPr>
        <w:fldChar w:fldCharType="end"/>
      </w:r>
      <w:r w:rsidR="00AC476C" w:rsidRPr="00AC476C">
        <w:rPr>
          <w:lang w:eastAsia="fr-FR"/>
        </w:rPr>
        <w:t>).</w:t>
      </w:r>
    </w:p>
    <w:p w14:paraId="0FB6184C" w14:textId="77777777" w:rsidR="00AC476C" w:rsidRPr="00AC476C" w:rsidRDefault="00AC476C" w:rsidP="00AC476C">
      <w:pPr>
        <w:rPr>
          <w:lang w:eastAsia="fr-FR"/>
        </w:rPr>
      </w:pPr>
    </w:p>
    <w:p w14:paraId="4C6328C2" w14:textId="77777777" w:rsidR="00F540CA" w:rsidRPr="002462F0" w:rsidRDefault="00614555" w:rsidP="00F540CA">
      <w:pPr>
        <w:autoSpaceDE w:val="0"/>
        <w:autoSpaceDN w:val="0"/>
        <w:adjustRightInd w:val="0"/>
        <w:spacing w:after="0" w:line="240" w:lineRule="auto"/>
        <w:jc w:val="left"/>
        <w:rPr>
          <w:sz w:val="24"/>
          <w:szCs w:val="24"/>
          <w:lang w:eastAsia="fr-FR"/>
        </w:rPr>
      </w:pPr>
      <w:bookmarkStart w:id="1214" w:name="_Toc496101092"/>
      <w:bookmarkStart w:id="1215" w:name="_Toc182328136"/>
      <w:bookmarkStart w:id="1216" w:name="_Toc184808372"/>
      <w:r w:rsidRPr="002462F0">
        <w:rPr>
          <w:rStyle w:val="Heading2Char"/>
          <w:lang w:val="en-GB"/>
        </w:rPr>
        <w:t>9.2. Methodological issues</w:t>
      </w:r>
      <w:bookmarkEnd w:id="1214"/>
      <w:bookmarkEnd w:id="1215"/>
      <w:bookmarkEnd w:id="1216"/>
      <w:r w:rsidRPr="002462F0">
        <w:rPr>
          <w:sz w:val="24"/>
          <w:szCs w:val="24"/>
          <w:lang w:eastAsia="fr-FR"/>
        </w:rPr>
        <w:t xml:space="preserve"> </w:t>
      </w:r>
    </w:p>
    <w:p w14:paraId="5DF63ED0" w14:textId="77777777" w:rsidR="00AC476C" w:rsidRDefault="00AC476C" w:rsidP="00AC4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inherit" w:eastAsia="Times New Roman" w:hAnsi="inherit" w:cs="Courier New"/>
          <w:color w:val="212121"/>
          <w:szCs w:val="20"/>
          <w:lang w:val="en" w:eastAsia="fr-FR"/>
        </w:rPr>
      </w:pPr>
    </w:p>
    <w:p w14:paraId="0E926E2F" w14:textId="52D8DA75" w:rsidR="00AC476C" w:rsidRDefault="00AC476C" w:rsidP="00AC476C">
      <w:pPr>
        <w:autoSpaceDE w:val="0"/>
        <w:autoSpaceDN w:val="0"/>
        <w:adjustRightInd w:val="0"/>
        <w:spacing w:after="0" w:line="240" w:lineRule="auto"/>
        <w:jc w:val="left"/>
        <w:rPr>
          <w:lang w:eastAsia="fr-FR"/>
        </w:rPr>
      </w:pPr>
      <w:r>
        <w:rPr>
          <w:lang w:eastAsia="fr-FR"/>
        </w:rPr>
        <w:t>Not concerned.</w:t>
      </w:r>
    </w:p>
    <w:p w14:paraId="64419970" w14:textId="77777777" w:rsidR="00AC476C" w:rsidRPr="002462F0" w:rsidRDefault="00AC476C" w:rsidP="00AC476C">
      <w:pPr>
        <w:autoSpaceDE w:val="0"/>
        <w:autoSpaceDN w:val="0"/>
        <w:adjustRightInd w:val="0"/>
        <w:spacing w:after="0" w:line="240" w:lineRule="auto"/>
        <w:jc w:val="left"/>
        <w:rPr>
          <w:sz w:val="24"/>
          <w:szCs w:val="24"/>
          <w:lang w:eastAsia="fr-FR"/>
        </w:rPr>
      </w:pPr>
    </w:p>
    <w:p w14:paraId="3A4DA71F" w14:textId="526253F9" w:rsidR="00614555" w:rsidRDefault="00614555" w:rsidP="00614555">
      <w:pPr>
        <w:autoSpaceDE w:val="0"/>
        <w:autoSpaceDN w:val="0"/>
        <w:adjustRightInd w:val="0"/>
        <w:spacing w:after="0" w:line="240" w:lineRule="auto"/>
        <w:jc w:val="left"/>
        <w:rPr>
          <w:rStyle w:val="Heading2Char"/>
          <w:lang w:val="en-GB"/>
        </w:rPr>
      </w:pPr>
      <w:bookmarkStart w:id="1217" w:name="_Toc496101093"/>
      <w:bookmarkStart w:id="1218" w:name="_Toc182328137"/>
      <w:bookmarkStart w:id="1219" w:name="_Toc184808373"/>
      <w:r w:rsidRPr="002462F0">
        <w:rPr>
          <w:rStyle w:val="Heading2Char"/>
          <w:lang w:val="en-GB"/>
        </w:rPr>
        <w:t>9.3. Uncertainties and time-series consistency</w:t>
      </w:r>
      <w:bookmarkEnd w:id="1217"/>
      <w:bookmarkEnd w:id="1218"/>
      <w:bookmarkEnd w:id="1219"/>
    </w:p>
    <w:p w14:paraId="6361BCA3" w14:textId="77777777" w:rsidR="00AC476C" w:rsidRDefault="00AC476C" w:rsidP="00AC4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inherit" w:eastAsia="Times New Roman" w:hAnsi="inherit" w:cs="Courier New"/>
          <w:color w:val="212121"/>
          <w:szCs w:val="20"/>
          <w:lang w:val="en" w:eastAsia="fr-FR"/>
        </w:rPr>
      </w:pPr>
    </w:p>
    <w:p w14:paraId="378EAE7A" w14:textId="77777777" w:rsidR="00AC476C" w:rsidRDefault="00AC476C" w:rsidP="00AC476C">
      <w:pPr>
        <w:autoSpaceDE w:val="0"/>
        <w:autoSpaceDN w:val="0"/>
        <w:adjustRightInd w:val="0"/>
        <w:spacing w:after="0" w:line="240" w:lineRule="auto"/>
        <w:jc w:val="left"/>
        <w:rPr>
          <w:lang w:eastAsia="fr-FR"/>
        </w:rPr>
      </w:pPr>
      <w:r>
        <w:rPr>
          <w:lang w:eastAsia="fr-FR"/>
        </w:rPr>
        <w:t>Not concerned.</w:t>
      </w:r>
    </w:p>
    <w:p w14:paraId="77C8626C" w14:textId="77777777" w:rsidR="00AC476C" w:rsidRPr="002462F0" w:rsidRDefault="00AC476C" w:rsidP="00AC476C">
      <w:pPr>
        <w:autoSpaceDE w:val="0"/>
        <w:autoSpaceDN w:val="0"/>
        <w:adjustRightInd w:val="0"/>
        <w:spacing w:after="0" w:line="240" w:lineRule="auto"/>
        <w:jc w:val="left"/>
        <w:rPr>
          <w:sz w:val="24"/>
          <w:szCs w:val="24"/>
          <w:lang w:eastAsia="fr-FR"/>
        </w:rPr>
      </w:pPr>
    </w:p>
    <w:p w14:paraId="50112C46" w14:textId="6D471DE8" w:rsidR="00614555" w:rsidRDefault="00614555" w:rsidP="00614555">
      <w:pPr>
        <w:autoSpaceDE w:val="0"/>
        <w:autoSpaceDN w:val="0"/>
        <w:adjustRightInd w:val="0"/>
        <w:spacing w:after="0" w:line="240" w:lineRule="auto"/>
        <w:jc w:val="left"/>
        <w:rPr>
          <w:rStyle w:val="Heading2Char"/>
          <w:lang w:val="en-GB"/>
        </w:rPr>
      </w:pPr>
      <w:bookmarkStart w:id="1220" w:name="_Toc496101094"/>
      <w:bookmarkStart w:id="1221" w:name="_Toc182328138"/>
      <w:bookmarkStart w:id="1222" w:name="_Toc184808374"/>
      <w:r w:rsidRPr="002462F0">
        <w:rPr>
          <w:rStyle w:val="Heading2Char"/>
          <w:lang w:val="en-GB"/>
        </w:rPr>
        <w:t>9.4. Category-specific QA/QC and verification</w:t>
      </w:r>
      <w:bookmarkEnd w:id="1220"/>
      <w:bookmarkEnd w:id="1221"/>
      <w:bookmarkEnd w:id="1222"/>
    </w:p>
    <w:p w14:paraId="2167E2D9" w14:textId="77777777" w:rsidR="00AC476C" w:rsidRDefault="00AC476C" w:rsidP="00AC4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inherit" w:eastAsia="Times New Roman" w:hAnsi="inherit" w:cs="Courier New"/>
          <w:color w:val="212121"/>
          <w:szCs w:val="20"/>
          <w:lang w:val="en" w:eastAsia="fr-FR"/>
        </w:rPr>
      </w:pPr>
    </w:p>
    <w:p w14:paraId="29766F9B" w14:textId="77777777" w:rsidR="00AC476C" w:rsidRDefault="00AC476C" w:rsidP="00AC476C">
      <w:pPr>
        <w:autoSpaceDE w:val="0"/>
        <w:autoSpaceDN w:val="0"/>
        <w:adjustRightInd w:val="0"/>
        <w:spacing w:after="0" w:line="240" w:lineRule="auto"/>
        <w:jc w:val="left"/>
        <w:rPr>
          <w:lang w:eastAsia="fr-FR"/>
        </w:rPr>
      </w:pPr>
      <w:r>
        <w:rPr>
          <w:lang w:eastAsia="fr-FR"/>
        </w:rPr>
        <w:t>Not concerned.</w:t>
      </w:r>
    </w:p>
    <w:p w14:paraId="3FA45FCE" w14:textId="77777777" w:rsidR="00AC476C" w:rsidRPr="002462F0" w:rsidRDefault="00AC476C" w:rsidP="00AC476C">
      <w:pPr>
        <w:autoSpaceDE w:val="0"/>
        <w:autoSpaceDN w:val="0"/>
        <w:adjustRightInd w:val="0"/>
        <w:spacing w:after="0" w:line="240" w:lineRule="auto"/>
        <w:jc w:val="left"/>
        <w:rPr>
          <w:sz w:val="24"/>
          <w:szCs w:val="24"/>
          <w:lang w:eastAsia="fr-FR"/>
        </w:rPr>
      </w:pPr>
    </w:p>
    <w:p w14:paraId="3DDC555E" w14:textId="02154843" w:rsidR="00614555" w:rsidRDefault="00614555" w:rsidP="00F540CA">
      <w:pPr>
        <w:autoSpaceDE w:val="0"/>
        <w:autoSpaceDN w:val="0"/>
        <w:adjustRightInd w:val="0"/>
        <w:spacing w:after="0" w:line="240" w:lineRule="auto"/>
        <w:jc w:val="left"/>
        <w:rPr>
          <w:sz w:val="24"/>
          <w:szCs w:val="24"/>
          <w:lang w:eastAsia="fr-FR"/>
        </w:rPr>
      </w:pPr>
      <w:bookmarkStart w:id="1223" w:name="_Toc496101095"/>
      <w:bookmarkStart w:id="1224" w:name="_Toc182328139"/>
      <w:bookmarkStart w:id="1225" w:name="_Toc184808375"/>
      <w:r w:rsidRPr="002462F0">
        <w:rPr>
          <w:rStyle w:val="Heading2Char"/>
          <w:lang w:val="en-GB"/>
        </w:rPr>
        <w:t>9.5 Category-specific recalculations</w:t>
      </w:r>
      <w:bookmarkEnd w:id="1223"/>
      <w:bookmarkEnd w:id="1224"/>
      <w:bookmarkEnd w:id="1225"/>
    </w:p>
    <w:p w14:paraId="1184FB49" w14:textId="77777777" w:rsidR="00AC476C" w:rsidRDefault="00AC476C" w:rsidP="00AC4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inherit" w:eastAsia="Times New Roman" w:hAnsi="inherit" w:cs="Courier New"/>
          <w:color w:val="212121"/>
          <w:szCs w:val="20"/>
          <w:lang w:val="en" w:eastAsia="fr-FR"/>
        </w:rPr>
      </w:pPr>
    </w:p>
    <w:p w14:paraId="35A8EBF3" w14:textId="77777777" w:rsidR="00AC476C" w:rsidRDefault="00AC476C" w:rsidP="00AC476C">
      <w:pPr>
        <w:autoSpaceDE w:val="0"/>
        <w:autoSpaceDN w:val="0"/>
        <w:adjustRightInd w:val="0"/>
        <w:spacing w:after="0" w:line="240" w:lineRule="auto"/>
        <w:jc w:val="left"/>
        <w:rPr>
          <w:lang w:eastAsia="fr-FR"/>
        </w:rPr>
      </w:pPr>
      <w:r>
        <w:rPr>
          <w:lang w:eastAsia="fr-FR"/>
        </w:rPr>
        <w:t>Not concerned.</w:t>
      </w:r>
    </w:p>
    <w:p w14:paraId="2C70873F" w14:textId="77777777" w:rsidR="00AC476C" w:rsidRPr="002462F0" w:rsidRDefault="00AC476C" w:rsidP="00AC476C">
      <w:pPr>
        <w:autoSpaceDE w:val="0"/>
        <w:autoSpaceDN w:val="0"/>
        <w:adjustRightInd w:val="0"/>
        <w:spacing w:after="0" w:line="240" w:lineRule="auto"/>
        <w:jc w:val="left"/>
        <w:rPr>
          <w:sz w:val="24"/>
          <w:szCs w:val="24"/>
          <w:lang w:eastAsia="fr-FR"/>
        </w:rPr>
      </w:pPr>
    </w:p>
    <w:p w14:paraId="48C3CC1E" w14:textId="2EAF9BC5" w:rsidR="00614555" w:rsidRDefault="00614555" w:rsidP="00F540CA">
      <w:pPr>
        <w:autoSpaceDE w:val="0"/>
        <w:autoSpaceDN w:val="0"/>
        <w:adjustRightInd w:val="0"/>
        <w:spacing w:after="0" w:line="240" w:lineRule="auto"/>
        <w:jc w:val="left"/>
        <w:rPr>
          <w:sz w:val="24"/>
          <w:szCs w:val="24"/>
          <w:lang w:eastAsia="fr-FR"/>
        </w:rPr>
      </w:pPr>
      <w:bookmarkStart w:id="1226" w:name="_Toc496101096"/>
      <w:bookmarkStart w:id="1227" w:name="_Toc182328140"/>
      <w:bookmarkStart w:id="1228" w:name="_Toc184808376"/>
      <w:r w:rsidRPr="002462F0">
        <w:rPr>
          <w:rStyle w:val="Heading2Char"/>
          <w:lang w:val="en-GB"/>
        </w:rPr>
        <w:t>9.6. Category-specific planned improvements</w:t>
      </w:r>
      <w:bookmarkEnd w:id="1226"/>
      <w:bookmarkEnd w:id="1227"/>
      <w:bookmarkEnd w:id="1228"/>
    </w:p>
    <w:p w14:paraId="21F7B2FA" w14:textId="386891EC" w:rsidR="00AC476C" w:rsidRPr="00AC476C" w:rsidRDefault="00AC476C" w:rsidP="00F540CA">
      <w:pPr>
        <w:autoSpaceDE w:val="0"/>
        <w:autoSpaceDN w:val="0"/>
        <w:adjustRightInd w:val="0"/>
        <w:spacing w:after="0" w:line="240" w:lineRule="auto"/>
        <w:jc w:val="left"/>
        <w:rPr>
          <w:szCs w:val="24"/>
          <w:lang w:eastAsia="fr-FR"/>
        </w:rPr>
      </w:pPr>
    </w:p>
    <w:p w14:paraId="1EB2EE17" w14:textId="3275AEEC" w:rsidR="00AC476C" w:rsidRPr="00AC476C" w:rsidRDefault="00AC476C" w:rsidP="00F540CA">
      <w:pPr>
        <w:autoSpaceDE w:val="0"/>
        <w:autoSpaceDN w:val="0"/>
        <w:adjustRightInd w:val="0"/>
        <w:spacing w:after="0" w:line="240" w:lineRule="auto"/>
        <w:jc w:val="left"/>
        <w:rPr>
          <w:szCs w:val="24"/>
          <w:lang w:eastAsia="fr-FR"/>
        </w:rPr>
      </w:pPr>
      <w:r w:rsidRPr="00AC476C">
        <w:rPr>
          <w:szCs w:val="24"/>
          <w:lang w:eastAsia="fr-FR"/>
        </w:rPr>
        <w:t>None.</w:t>
      </w:r>
    </w:p>
    <w:p w14:paraId="1A7A73FE" w14:textId="77777777" w:rsidR="00F540CA" w:rsidRPr="002462F0" w:rsidRDefault="00F540CA" w:rsidP="00622F40">
      <w:pPr>
        <w:rPr>
          <w:lang w:eastAsia="fr-FR"/>
        </w:rPr>
      </w:pPr>
      <w:bookmarkStart w:id="1229" w:name="_Toc496101097"/>
    </w:p>
    <w:p w14:paraId="3F85D77F" w14:textId="77777777" w:rsidR="00AC476C" w:rsidRDefault="00AC476C">
      <w:pPr>
        <w:jc w:val="left"/>
        <w:rPr>
          <w:b/>
          <w:color w:val="698EC2"/>
          <w:sz w:val="40"/>
          <w:lang w:eastAsia="fr-FR"/>
        </w:rPr>
      </w:pPr>
      <w:r>
        <w:rPr>
          <w:lang w:eastAsia="fr-FR"/>
        </w:rPr>
        <w:br w:type="page"/>
      </w:r>
    </w:p>
    <w:p w14:paraId="66C089A0" w14:textId="777E3360" w:rsidR="00614555" w:rsidRPr="002462F0" w:rsidRDefault="00614555" w:rsidP="00614555">
      <w:pPr>
        <w:pStyle w:val="Title"/>
        <w:rPr>
          <w:lang w:eastAsia="fr-FR"/>
        </w:rPr>
      </w:pPr>
      <w:bookmarkStart w:id="1230" w:name="_Toc182328141"/>
      <w:bookmarkStart w:id="1231" w:name="_Toc184808377"/>
      <w:r w:rsidRPr="002462F0">
        <w:rPr>
          <w:lang w:eastAsia="fr-FR"/>
        </w:rPr>
        <w:lastRenderedPageBreak/>
        <w:t>Chapter 10: Recalculations and improvements</w:t>
      </w:r>
      <w:bookmarkEnd w:id="1229"/>
      <w:bookmarkEnd w:id="1230"/>
      <w:bookmarkEnd w:id="1231"/>
    </w:p>
    <w:p w14:paraId="335CA467" w14:textId="09DA68AD" w:rsidR="00D177FB" w:rsidRDefault="00D177FB" w:rsidP="00D177FB">
      <w:pPr>
        <w:autoSpaceDE w:val="0"/>
        <w:autoSpaceDN w:val="0"/>
        <w:adjustRightInd w:val="0"/>
        <w:spacing w:after="0" w:line="240" w:lineRule="auto"/>
      </w:pPr>
      <w:bookmarkStart w:id="1232" w:name="_Toc496101098"/>
      <w:r w:rsidRPr="002462F0">
        <w:t xml:space="preserve">The current report is the first </w:t>
      </w:r>
      <w:r w:rsidR="00CB4BC2">
        <w:t>National Inventory Document</w:t>
      </w:r>
      <w:r w:rsidRPr="002462F0">
        <w:t xml:space="preserve"> for Serbia. Consequently, there is no recalculation</w:t>
      </w:r>
      <w:r>
        <w:t>. Possible recalculation will occur</w:t>
      </w:r>
      <w:r w:rsidRPr="002462F0">
        <w:t xml:space="preserve"> and </w:t>
      </w:r>
      <w:r>
        <w:t xml:space="preserve">be </w:t>
      </w:r>
      <w:r w:rsidRPr="002462F0">
        <w:t>estimated in the next submission.</w:t>
      </w:r>
    </w:p>
    <w:p w14:paraId="71E48701" w14:textId="77777777" w:rsidR="00D177FB" w:rsidRDefault="00D177FB" w:rsidP="00D177FB">
      <w:pPr>
        <w:autoSpaceDE w:val="0"/>
        <w:autoSpaceDN w:val="0"/>
        <w:adjustRightInd w:val="0"/>
        <w:spacing w:after="0" w:line="240" w:lineRule="auto"/>
      </w:pPr>
    </w:p>
    <w:p w14:paraId="78910943" w14:textId="5A1A8ED3" w:rsidR="00614555" w:rsidRDefault="00614555" w:rsidP="00871ED0">
      <w:pPr>
        <w:autoSpaceDE w:val="0"/>
        <w:autoSpaceDN w:val="0"/>
        <w:adjustRightInd w:val="0"/>
        <w:spacing w:after="0" w:line="240" w:lineRule="auto"/>
        <w:jc w:val="left"/>
        <w:rPr>
          <w:rStyle w:val="Heading2Char"/>
          <w:lang w:val="en-GB"/>
        </w:rPr>
      </w:pPr>
      <w:bookmarkStart w:id="1233" w:name="_Toc182328142"/>
      <w:bookmarkStart w:id="1234" w:name="_Toc184808378"/>
      <w:r w:rsidRPr="002462F0">
        <w:rPr>
          <w:rStyle w:val="Heading2Char"/>
          <w:lang w:val="en-GB"/>
        </w:rPr>
        <w:t>10.1. Explanations and justifications for recalculations</w:t>
      </w:r>
      <w:bookmarkEnd w:id="1232"/>
      <w:r w:rsidR="00933F05">
        <w:rPr>
          <w:rStyle w:val="Heading2Char"/>
          <w:lang w:val="en-GB"/>
        </w:rPr>
        <w:t>, including in response to the review process</w:t>
      </w:r>
      <w:bookmarkEnd w:id="1233"/>
      <w:bookmarkEnd w:id="1234"/>
    </w:p>
    <w:p w14:paraId="5C1988C0" w14:textId="77777777" w:rsidR="00D177FB" w:rsidRDefault="00D177FB" w:rsidP="00614555">
      <w:pPr>
        <w:autoSpaceDE w:val="0"/>
        <w:autoSpaceDN w:val="0"/>
        <w:adjustRightInd w:val="0"/>
        <w:spacing w:after="0" w:line="240" w:lineRule="auto"/>
        <w:jc w:val="left"/>
      </w:pPr>
      <w:bookmarkStart w:id="1235" w:name="_Toc496101100"/>
    </w:p>
    <w:p w14:paraId="2E44A501" w14:textId="258DE9FF" w:rsidR="00D177FB" w:rsidRDefault="00D177FB" w:rsidP="00614555">
      <w:pPr>
        <w:autoSpaceDE w:val="0"/>
        <w:autoSpaceDN w:val="0"/>
        <w:adjustRightInd w:val="0"/>
        <w:spacing w:after="0" w:line="240" w:lineRule="auto"/>
        <w:jc w:val="left"/>
      </w:pPr>
      <w:r>
        <w:t>Not concerned for this submission.</w:t>
      </w:r>
    </w:p>
    <w:p w14:paraId="0A108594" w14:textId="77777777" w:rsidR="00D177FB" w:rsidRDefault="00D177FB" w:rsidP="00614555">
      <w:pPr>
        <w:autoSpaceDE w:val="0"/>
        <w:autoSpaceDN w:val="0"/>
        <w:adjustRightInd w:val="0"/>
        <w:spacing w:after="0" w:line="240" w:lineRule="auto"/>
        <w:jc w:val="left"/>
      </w:pPr>
    </w:p>
    <w:p w14:paraId="6F1D3E4E" w14:textId="7DA394E1" w:rsidR="00614555" w:rsidRDefault="00614555" w:rsidP="00614555">
      <w:pPr>
        <w:autoSpaceDE w:val="0"/>
        <w:autoSpaceDN w:val="0"/>
        <w:adjustRightInd w:val="0"/>
        <w:spacing w:after="0" w:line="240" w:lineRule="auto"/>
        <w:jc w:val="left"/>
        <w:rPr>
          <w:rStyle w:val="Heading2Char"/>
          <w:lang w:val="en-GB"/>
        </w:rPr>
      </w:pPr>
      <w:bookmarkStart w:id="1236" w:name="_Toc182328143"/>
      <w:bookmarkStart w:id="1237" w:name="_Toc184808379"/>
      <w:r w:rsidRPr="002462F0">
        <w:rPr>
          <w:rStyle w:val="Heading2Char"/>
          <w:lang w:val="en-GB"/>
        </w:rPr>
        <w:t xml:space="preserve">10.2. Implications for emission </w:t>
      </w:r>
      <w:r w:rsidR="00186D11">
        <w:rPr>
          <w:rStyle w:val="Heading2Char"/>
          <w:lang w:val="en-GB"/>
        </w:rPr>
        <w:t xml:space="preserve">and removal </w:t>
      </w:r>
      <w:r w:rsidRPr="002462F0">
        <w:rPr>
          <w:rStyle w:val="Heading2Char"/>
          <w:lang w:val="en-GB"/>
        </w:rPr>
        <w:t>levels</w:t>
      </w:r>
      <w:bookmarkEnd w:id="1235"/>
      <w:bookmarkEnd w:id="1236"/>
      <w:bookmarkEnd w:id="1237"/>
    </w:p>
    <w:p w14:paraId="73455535" w14:textId="77777777" w:rsidR="00D177FB" w:rsidRDefault="00D177FB" w:rsidP="00D177FB">
      <w:pPr>
        <w:autoSpaceDE w:val="0"/>
        <w:autoSpaceDN w:val="0"/>
        <w:adjustRightInd w:val="0"/>
        <w:spacing w:after="0" w:line="240" w:lineRule="auto"/>
        <w:jc w:val="left"/>
      </w:pPr>
      <w:bookmarkStart w:id="1238" w:name="_Toc496101101"/>
    </w:p>
    <w:p w14:paraId="45E2D454" w14:textId="77777777" w:rsidR="00D177FB" w:rsidRDefault="00D177FB" w:rsidP="00D177FB">
      <w:pPr>
        <w:autoSpaceDE w:val="0"/>
        <w:autoSpaceDN w:val="0"/>
        <w:adjustRightInd w:val="0"/>
        <w:spacing w:after="0" w:line="240" w:lineRule="auto"/>
        <w:jc w:val="left"/>
      </w:pPr>
      <w:r>
        <w:t>Not concerned for this submission.</w:t>
      </w:r>
    </w:p>
    <w:p w14:paraId="29F880F2" w14:textId="77777777" w:rsidR="00D177FB" w:rsidRDefault="00D177FB" w:rsidP="00D177FB">
      <w:pPr>
        <w:autoSpaceDE w:val="0"/>
        <w:autoSpaceDN w:val="0"/>
        <w:adjustRightInd w:val="0"/>
        <w:spacing w:after="0" w:line="240" w:lineRule="auto"/>
        <w:jc w:val="left"/>
      </w:pPr>
    </w:p>
    <w:p w14:paraId="4FEC36FD" w14:textId="74B923E9" w:rsidR="00614555" w:rsidRDefault="00614555" w:rsidP="00614555">
      <w:pPr>
        <w:autoSpaceDE w:val="0"/>
        <w:autoSpaceDN w:val="0"/>
        <w:adjustRightInd w:val="0"/>
        <w:spacing w:after="0" w:line="240" w:lineRule="auto"/>
        <w:jc w:val="left"/>
        <w:rPr>
          <w:rStyle w:val="Heading2Char"/>
          <w:lang w:val="en-GB"/>
        </w:rPr>
      </w:pPr>
      <w:bookmarkStart w:id="1239" w:name="_Toc182328144"/>
      <w:bookmarkStart w:id="1240" w:name="_Toc184808380"/>
      <w:r w:rsidRPr="002462F0">
        <w:rPr>
          <w:rStyle w:val="Heading2Char"/>
          <w:lang w:val="en-GB"/>
        </w:rPr>
        <w:t xml:space="preserve">10.3. Implications for emission </w:t>
      </w:r>
      <w:r w:rsidR="00186D11">
        <w:rPr>
          <w:rStyle w:val="Heading2Char"/>
          <w:lang w:val="en-GB"/>
        </w:rPr>
        <w:t xml:space="preserve">and removal </w:t>
      </w:r>
      <w:r w:rsidRPr="002462F0">
        <w:rPr>
          <w:rStyle w:val="Heading2Char"/>
          <w:lang w:val="en-GB"/>
        </w:rPr>
        <w:t>trends, including time-series consistency</w:t>
      </w:r>
      <w:bookmarkEnd w:id="1238"/>
      <w:bookmarkEnd w:id="1239"/>
      <w:bookmarkEnd w:id="1240"/>
    </w:p>
    <w:p w14:paraId="68CC2003" w14:textId="77777777" w:rsidR="00D177FB" w:rsidRDefault="00D177FB" w:rsidP="00D177FB">
      <w:pPr>
        <w:autoSpaceDE w:val="0"/>
        <w:autoSpaceDN w:val="0"/>
        <w:adjustRightInd w:val="0"/>
        <w:spacing w:after="0" w:line="240" w:lineRule="auto"/>
        <w:jc w:val="left"/>
      </w:pPr>
      <w:bookmarkStart w:id="1241" w:name="_Toc496101102"/>
    </w:p>
    <w:p w14:paraId="79F4FBD6" w14:textId="77777777" w:rsidR="00D177FB" w:rsidRDefault="00D177FB" w:rsidP="00D177FB">
      <w:pPr>
        <w:autoSpaceDE w:val="0"/>
        <w:autoSpaceDN w:val="0"/>
        <w:adjustRightInd w:val="0"/>
        <w:spacing w:after="0" w:line="240" w:lineRule="auto"/>
        <w:jc w:val="left"/>
      </w:pPr>
      <w:r>
        <w:t>Not concerned for this submission.</w:t>
      </w:r>
    </w:p>
    <w:p w14:paraId="466E3E66" w14:textId="77777777" w:rsidR="00D177FB" w:rsidRDefault="00D177FB" w:rsidP="00D177FB">
      <w:pPr>
        <w:autoSpaceDE w:val="0"/>
        <w:autoSpaceDN w:val="0"/>
        <w:adjustRightInd w:val="0"/>
        <w:spacing w:after="0" w:line="240" w:lineRule="auto"/>
        <w:jc w:val="left"/>
      </w:pPr>
    </w:p>
    <w:p w14:paraId="34065D1B" w14:textId="4920E4BE" w:rsidR="00614555" w:rsidRDefault="00614555" w:rsidP="00614555">
      <w:pPr>
        <w:autoSpaceDE w:val="0"/>
        <w:autoSpaceDN w:val="0"/>
        <w:adjustRightInd w:val="0"/>
        <w:spacing w:after="0" w:line="240" w:lineRule="auto"/>
        <w:jc w:val="left"/>
        <w:rPr>
          <w:rStyle w:val="Heading2Char"/>
          <w:lang w:val="en-GB"/>
        </w:rPr>
      </w:pPr>
      <w:bookmarkStart w:id="1242" w:name="_Toc182328145"/>
      <w:bookmarkStart w:id="1243" w:name="_Toc184808381"/>
      <w:r w:rsidRPr="002462F0">
        <w:rPr>
          <w:rStyle w:val="Heading2Char"/>
          <w:lang w:val="en-GB"/>
        </w:rPr>
        <w:t xml:space="preserve">10.4. </w:t>
      </w:r>
      <w:r w:rsidR="00152676">
        <w:rPr>
          <w:rStyle w:val="Heading2Char"/>
          <w:lang w:val="en-GB"/>
        </w:rPr>
        <w:t>Areas of</w:t>
      </w:r>
      <w:r w:rsidR="00152676" w:rsidRPr="002462F0">
        <w:rPr>
          <w:rStyle w:val="Heading2Char"/>
          <w:lang w:val="en-GB"/>
        </w:rPr>
        <w:t xml:space="preserve"> </w:t>
      </w:r>
      <w:r w:rsidRPr="002462F0">
        <w:rPr>
          <w:rStyle w:val="Heading2Char"/>
          <w:lang w:val="en-GB"/>
        </w:rPr>
        <w:t>improvement</w:t>
      </w:r>
      <w:r w:rsidR="00152676">
        <w:rPr>
          <w:rStyle w:val="Heading2Char"/>
          <w:lang w:val="en-GB"/>
        </w:rPr>
        <w:t xml:space="preserve"> and/or capacity building</w:t>
      </w:r>
      <w:r w:rsidRPr="002462F0">
        <w:rPr>
          <w:rStyle w:val="Heading2Char"/>
          <w:lang w:val="en-GB"/>
        </w:rPr>
        <w:t xml:space="preserve"> in response to the review process</w:t>
      </w:r>
      <w:bookmarkEnd w:id="1241"/>
      <w:bookmarkEnd w:id="1242"/>
      <w:bookmarkEnd w:id="1243"/>
    </w:p>
    <w:p w14:paraId="25B3139B" w14:textId="77777777" w:rsidR="00D177FB" w:rsidRDefault="00D177FB" w:rsidP="00D177FB">
      <w:pPr>
        <w:autoSpaceDE w:val="0"/>
        <w:autoSpaceDN w:val="0"/>
        <w:adjustRightInd w:val="0"/>
        <w:spacing w:after="0" w:line="240" w:lineRule="auto"/>
        <w:jc w:val="left"/>
      </w:pPr>
      <w:bookmarkStart w:id="1244" w:name="_Toc496101103"/>
    </w:p>
    <w:p w14:paraId="6203F7ED" w14:textId="0DF437F3" w:rsidR="00D177FB" w:rsidRDefault="00152676" w:rsidP="00D177FB">
      <w:pPr>
        <w:autoSpaceDE w:val="0"/>
        <w:autoSpaceDN w:val="0"/>
        <w:adjustRightInd w:val="0"/>
        <w:spacing w:after="0" w:line="240" w:lineRule="auto"/>
        <w:jc w:val="left"/>
      </w:pPr>
      <w:r>
        <w:t xml:space="preserve">As </w:t>
      </w:r>
      <w:r w:rsidR="00933F05">
        <w:t>the Serbian inventory and NID have not been reviewed officially yet, this chapter is not applicable to this submission.</w:t>
      </w:r>
    </w:p>
    <w:p w14:paraId="4D4B1809" w14:textId="77777777" w:rsidR="00D177FB" w:rsidRDefault="00D177FB" w:rsidP="00D177FB">
      <w:pPr>
        <w:autoSpaceDE w:val="0"/>
        <w:autoSpaceDN w:val="0"/>
        <w:adjustRightInd w:val="0"/>
        <w:spacing w:after="0" w:line="240" w:lineRule="auto"/>
        <w:jc w:val="left"/>
      </w:pPr>
    </w:p>
    <w:p w14:paraId="512C05B9" w14:textId="77777777" w:rsidR="00A20834" w:rsidRDefault="00A20834">
      <w:pPr>
        <w:jc w:val="left"/>
        <w:rPr>
          <w:b/>
          <w:color w:val="698EC2"/>
          <w:sz w:val="40"/>
          <w:lang w:eastAsia="fr-FR"/>
        </w:rPr>
      </w:pPr>
      <w:r>
        <w:rPr>
          <w:lang w:eastAsia="fr-FR"/>
        </w:rPr>
        <w:br w:type="page"/>
      </w:r>
    </w:p>
    <w:p w14:paraId="4D0FA972" w14:textId="6D132078" w:rsidR="00871ED0" w:rsidRPr="002462F0" w:rsidRDefault="00871ED0" w:rsidP="00871ED0">
      <w:pPr>
        <w:pStyle w:val="Title"/>
        <w:rPr>
          <w:lang w:eastAsia="fr-FR"/>
        </w:rPr>
      </w:pPr>
      <w:bookmarkStart w:id="1245" w:name="_Toc495655087"/>
      <w:bookmarkStart w:id="1246" w:name="_Toc182328146"/>
      <w:bookmarkStart w:id="1247" w:name="_Toc184808382"/>
      <w:bookmarkStart w:id="1248" w:name="_Toc496101106"/>
      <w:bookmarkEnd w:id="1244"/>
      <w:r w:rsidRPr="002462F0">
        <w:rPr>
          <w:lang w:eastAsia="fr-FR"/>
        </w:rPr>
        <w:lastRenderedPageBreak/>
        <w:t>Annex 1: Key categories</w:t>
      </w:r>
      <w:bookmarkEnd w:id="1245"/>
      <w:r w:rsidR="00C4498C">
        <w:rPr>
          <w:lang w:eastAsia="fr-FR"/>
        </w:rPr>
        <w:t xml:space="preserve"> from </w:t>
      </w:r>
      <w:r w:rsidR="000F6001">
        <w:rPr>
          <w:lang w:eastAsia="fr-FR"/>
        </w:rPr>
        <w:t>CRT</w:t>
      </w:r>
      <w:r w:rsidR="00C4498C">
        <w:rPr>
          <w:lang w:eastAsia="fr-FR"/>
        </w:rPr>
        <w:t xml:space="preserve"> Reporter</w:t>
      </w:r>
      <w:bookmarkEnd w:id="1246"/>
      <w:bookmarkEnd w:id="1247"/>
    </w:p>
    <w:p w14:paraId="2279FFA0" w14:textId="698C5043" w:rsidR="000A3777" w:rsidRPr="000A3777" w:rsidRDefault="000A3777" w:rsidP="000A3777">
      <w:pPr>
        <w:pStyle w:val="Caption"/>
        <w:keepNext/>
        <w:jc w:val="both"/>
      </w:pPr>
      <w:bookmarkStart w:id="1249" w:name="_Toc184808610"/>
      <w:r>
        <w:t xml:space="preserve">Table </w:t>
      </w:r>
      <w:r>
        <w:fldChar w:fldCharType="begin"/>
      </w:r>
      <w:r>
        <w:instrText xml:space="preserve"> SEQ Table \* ARABIC </w:instrText>
      </w:r>
      <w:r>
        <w:fldChar w:fldCharType="separate"/>
      </w:r>
      <w:r w:rsidR="00F14C78">
        <w:rPr>
          <w:noProof/>
        </w:rPr>
        <w:t>66</w:t>
      </w:r>
      <w:r>
        <w:fldChar w:fldCharType="end"/>
      </w:r>
      <w:r>
        <w:t>:</w:t>
      </w:r>
      <w:r w:rsidRPr="000A3777">
        <w:t xml:space="preserve"> Key Source Categories for the latest reported year (including and excluding LULUCF) – CRT Reporter</w:t>
      </w:r>
      <w:bookmarkEnd w:id="1249"/>
    </w:p>
    <w:p w14:paraId="25C000F9" w14:textId="77777777" w:rsidR="00C4498C" w:rsidRPr="002462F0" w:rsidRDefault="00C4498C" w:rsidP="00C4498C">
      <w:pPr>
        <w:autoSpaceDE w:val="0"/>
        <w:autoSpaceDN w:val="0"/>
        <w:adjustRightInd w:val="0"/>
        <w:spacing w:after="0" w:line="240" w:lineRule="auto"/>
        <w:rPr>
          <w:rFonts w:cs="Arial"/>
          <w:color w:val="000000"/>
          <w:sz w:val="22"/>
        </w:rPr>
      </w:pPr>
      <w:r w:rsidRPr="002462F0">
        <w:rPr>
          <w:noProof/>
          <w:lang w:val="en-US"/>
        </w:rPr>
        <w:drawing>
          <wp:inline distT="0" distB="0" distL="0" distR="0" wp14:anchorId="0B613BB9" wp14:editId="2C3CEA25">
            <wp:extent cx="5760720" cy="318600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60720" cy="3186008"/>
                    </a:xfrm>
                    <a:prstGeom prst="rect">
                      <a:avLst/>
                    </a:prstGeom>
                    <a:noFill/>
                    <a:ln>
                      <a:noFill/>
                    </a:ln>
                  </pic:spPr>
                </pic:pic>
              </a:graphicData>
            </a:graphic>
          </wp:inline>
        </w:drawing>
      </w:r>
    </w:p>
    <w:p w14:paraId="017603F4" w14:textId="115B6EF5" w:rsidR="000A3777" w:rsidRDefault="000A3777" w:rsidP="000A3777">
      <w:pPr>
        <w:pStyle w:val="Caption"/>
        <w:keepNext/>
        <w:jc w:val="both"/>
      </w:pPr>
      <w:bookmarkStart w:id="1250" w:name="_Toc184808611"/>
      <w:r>
        <w:t xml:space="preserve">Table </w:t>
      </w:r>
      <w:r>
        <w:fldChar w:fldCharType="begin"/>
      </w:r>
      <w:r>
        <w:instrText xml:space="preserve"> SEQ Table \* ARABIC </w:instrText>
      </w:r>
      <w:r>
        <w:fldChar w:fldCharType="separate"/>
      </w:r>
      <w:r w:rsidR="00F14C78">
        <w:rPr>
          <w:noProof/>
        </w:rPr>
        <w:t>67</w:t>
      </w:r>
      <w:r>
        <w:fldChar w:fldCharType="end"/>
      </w:r>
      <w:r>
        <w:t>:</w:t>
      </w:r>
      <w:r w:rsidRPr="000A3777">
        <w:t xml:space="preserve"> Key Source Categories for the base year (including and excluding LULUCF) – CRT Reporter</w:t>
      </w:r>
      <w:bookmarkEnd w:id="1250"/>
    </w:p>
    <w:p w14:paraId="4E7C2340" w14:textId="77777777" w:rsidR="00C4498C" w:rsidRPr="002462F0" w:rsidRDefault="00C4498C" w:rsidP="00C4498C">
      <w:pPr>
        <w:autoSpaceDE w:val="0"/>
        <w:autoSpaceDN w:val="0"/>
        <w:adjustRightInd w:val="0"/>
        <w:spacing w:after="0" w:line="240" w:lineRule="auto"/>
        <w:rPr>
          <w:rFonts w:cs="Arial"/>
          <w:color w:val="000000"/>
          <w:sz w:val="22"/>
        </w:rPr>
      </w:pPr>
      <w:r w:rsidRPr="002462F0">
        <w:rPr>
          <w:noProof/>
          <w:lang w:val="en-US"/>
        </w:rPr>
        <w:drawing>
          <wp:inline distT="0" distB="0" distL="0" distR="0" wp14:anchorId="37EF6149" wp14:editId="7574112C">
            <wp:extent cx="5759381" cy="2456597"/>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63576" cy="2458386"/>
                    </a:xfrm>
                    <a:prstGeom prst="rect">
                      <a:avLst/>
                    </a:prstGeom>
                    <a:noFill/>
                    <a:ln>
                      <a:noFill/>
                    </a:ln>
                  </pic:spPr>
                </pic:pic>
              </a:graphicData>
            </a:graphic>
          </wp:inline>
        </w:drawing>
      </w:r>
    </w:p>
    <w:p w14:paraId="533C56CD" w14:textId="77777777" w:rsidR="00871ED0" w:rsidRPr="002462F0" w:rsidRDefault="00871ED0" w:rsidP="00871ED0">
      <w:pPr>
        <w:jc w:val="left"/>
      </w:pPr>
      <w:r w:rsidRPr="002462F0">
        <w:br w:type="page"/>
      </w:r>
    </w:p>
    <w:p w14:paraId="4CDAD81B" w14:textId="1B461960" w:rsidR="00871ED0" w:rsidRDefault="00871ED0" w:rsidP="00871ED0">
      <w:pPr>
        <w:pStyle w:val="Title"/>
        <w:rPr>
          <w:lang w:eastAsia="fr-FR"/>
        </w:rPr>
      </w:pPr>
      <w:bookmarkStart w:id="1251" w:name="_Toc182328147"/>
      <w:bookmarkStart w:id="1252" w:name="_Toc184808383"/>
      <w:r w:rsidRPr="002462F0">
        <w:rPr>
          <w:lang w:eastAsia="fr-FR"/>
        </w:rPr>
        <w:lastRenderedPageBreak/>
        <w:t>Annex 2: Assessment of uncertainty</w:t>
      </w:r>
      <w:bookmarkEnd w:id="1251"/>
      <w:bookmarkEnd w:id="1252"/>
    </w:p>
    <w:p w14:paraId="3F81B309" w14:textId="73ABB1B0" w:rsidR="000A3777" w:rsidRDefault="000A3777" w:rsidP="000A3777">
      <w:pPr>
        <w:pStyle w:val="Caption"/>
        <w:keepNext/>
        <w:jc w:val="left"/>
      </w:pPr>
      <w:bookmarkStart w:id="1253" w:name="_Toc184808612"/>
      <w:r>
        <w:t xml:space="preserve">Table </w:t>
      </w:r>
      <w:r>
        <w:fldChar w:fldCharType="begin"/>
      </w:r>
      <w:r>
        <w:instrText xml:space="preserve"> SEQ Table \* ARABIC </w:instrText>
      </w:r>
      <w:r>
        <w:fldChar w:fldCharType="separate"/>
      </w:r>
      <w:r w:rsidR="00F14C78">
        <w:rPr>
          <w:noProof/>
        </w:rPr>
        <w:t>68</w:t>
      </w:r>
      <w:r>
        <w:fldChar w:fldCharType="end"/>
      </w:r>
      <w:r>
        <w:t xml:space="preserve">: </w:t>
      </w:r>
      <w:r w:rsidRPr="002462F0">
        <w:t>Uncertainty estimates excluding LULUCF, base year to the latest reported year</w:t>
      </w:r>
      <w:bookmarkEnd w:id="1253"/>
    </w:p>
    <w:p w14:paraId="38041CD7" w14:textId="1B7AB684" w:rsidR="003353AC" w:rsidRDefault="000B1904" w:rsidP="00C52745">
      <w:pPr>
        <w:pStyle w:val="Caption"/>
        <w:spacing w:before="0"/>
        <w:jc w:val="left"/>
      </w:pPr>
      <w:r w:rsidRPr="000B1904">
        <w:rPr>
          <w:noProof/>
          <w:lang w:val="en-US"/>
        </w:rPr>
        <w:drawing>
          <wp:inline distT="0" distB="0" distL="0" distR="0" wp14:anchorId="2AA70F3C" wp14:editId="61568DE1">
            <wp:extent cx="6139675" cy="7705725"/>
            <wp:effectExtent l="0" t="0" r="0" b="0"/>
            <wp:docPr id="1520867689"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144676" cy="7712002"/>
                    </a:xfrm>
                    <a:prstGeom prst="rect">
                      <a:avLst/>
                    </a:prstGeom>
                    <a:noFill/>
                    <a:ln>
                      <a:noFill/>
                    </a:ln>
                  </pic:spPr>
                </pic:pic>
              </a:graphicData>
            </a:graphic>
          </wp:inline>
        </w:drawing>
      </w:r>
    </w:p>
    <w:p w14:paraId="6EB7B25C" w14:textId="69F7FE15" w:rsidR="000B1904" w:rsidRPr="00317F0B" w:rsidRDefault="000B1904" w:rsidP="00622F40">
      <w:r w:rsidRPr="000B1904">
        <w:rPr>
          <w:noProof/>
          <w:lang w:val="en-US"/>
        </w:rPr>
        <w:lastRenderedPageBreak/>
        <w:drawing>
          <wp:inline distT="0" distB="0" distL="0" distR="0" wp14:anchorId="353B23C2" wp14:editId="24F151DF">
            <wp:extent cx="5954468" cy="5191125"/>
            <wp:effectExtent l="0" t="0" r="8255" b="0"/>
            <wp:docPr id="907436988"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56966" cy="5193303"/>
                    </a:xfrm>
                    <a:prstGeom prst="rect">
                      <a:avLst/>
                    </a:prstGeom>
                    <a:noFill/>
                    <a:ln>
                      <a:noFill/>
                    </a:ln>
                  </pic:spPr>
                </pic:pic>
              </a:graphicData>
            </a:graphic>
          </wp:inline>
        </w:drawing>
      </w:r>
    </w:p>
    <w:p w14:paraId="62CD8181" w14:textId="348379BD" w:rsidR="000A3777" w:rsidRDefault="000A3777" w:rsidP="000A3777">
      <w:pPr>
        <w:pStyle w:val="Caption"/>
        <w:keepNext/>
        <w:jc w:val="both"/>
      </w:pPr>
      <w:bookmarkStart w:id="1254" w:name="_Toc184808613"/>
      <w:r>
        <w:lastRenderedPageBreak/>
        <w:t xml:space="preserve">Table </w:t>
      </w:r>
      <w:r>
        <w:fldChar w:fldCharType="begin"/>
      </w:r>
      <w:r>
        <w:instrText xml:space="preserve"> SEQ Table \* ARABIC </w:instrText>
      </w:r>
      <w:r>
        <w:fldChar w:fldCharType="separate"/>
      </w:r>
      <w:r w:rsidR="00F14C78">
        <w:rPr>
          <w:noProof/>
        </w:rPr>
        <w:t>69</w:t>
      </w:r>
      <w:r>
        <w:fldChar w:fldCharType="end"/>
      </w:r>
      <w:r>
        <w:t>:</w:t>
      </w:r>
      <w:r w:rsidR="007D44CC" w:rsidRPr="007D44CC">
        <w:t xml:space="preserve"> Uncertainty estimates including LULUCF, base year to the latest reported year</w:t>
      </w:r>
      <w:bookmarkEnd w:id="1254"/>
    </w:p>
    <w:p w14:paraId="3761B2FA" w14:textId="6E647365" w:rsidR="00A501EA" w:rsidRDefault="00F214F9" w:rsidP="00871ED0">
      <w:r w:rsidRPr="00F214F9">
        <w:rPr>
          <w:noProof/>
          <w:lang w:val="en-US"/>
        </w:rPr>
        <w:drawing>
          <wp:inline distT="0" distB="0" distL="0" distR="0" wp14:anchorId="7FF006BB" wp14:editId="7295D458">
            <wp:extent cx="5760720" cy="7199630"/>
            <wp:effectExtent l="0" t="0" r="0" b="1270"/>
            <wp:docPr id="1513303796"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60720" cy="7199630"/>
                    </a:xfrm>
                    <a:prstGeom prst="rect">
                      <a:avLst/>
                    </a:prstGeom>
                    <a:noFill/>
                    <a:ln>
                      <a:noFill/>
                    </a:ln>
                  </pic:spPr>
                </pic:pic>
              </a:graphicData>
            </a:graphic>
          </wp:inline>
        </w:drawing>
      </w:r>
    </w:p>
    <w:p w14:paraId="148E53CF" w14:textId="300DEE09" w:rsidR="00F214F9" w:rsidRPr="002462F0" w:rsidRDefault="00F214F9" w:rsidP="00871ED0">
      <w:r w:rsidRPr="00F214F9">
        <w:rPr>
          <w:noProof/>
          <w:lang w:val="en-US"/>
        </w:rPr>
        <w:lastRenderedPageBreak/>
        <w:drawing>
          <wp:inline distT="0" distB="0" distL="0" distR="0" wp14:anchorId="7821E0CD" wp14:editId="386A7D44">
            <wp:extent cx="5979416" cy="5191125"/>
            <wp:effectExtent l="0" t="0" r="2540" b="0"/>
            <wp:docPr id="1128464674"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88281" cy="5198822"/>
                    </a:xfrm>
                    <a:prstGeom prst="rect">
                      <a:avLst/>
                    </a:prstGeom>
                    <a:noFill/>
                    <a:ln>
                      <a:noFill/>
                    </a:ln>
                  </pic:spPr>
                </pic:pic>
              </a:graphicData>
            </a:graphic>
          </wp:inline>
        </w:drawing>
      </w:r>
    </w:p>
    <w:p w14:paraId="302D8535" w14:textId="2FD934E4" w:rsidR="007D44CC" w:rsidRDefault="007D44CC" w:rsidP="007D44CC">
      <w:pPr>
        <w:pStyle w:val="Caption"/>
        <w:keepNext/>
        <w:jc w:val="both"/>
      </w:pPr>
      <w:bookmarkStart w:id="1255" w:name="_Toc184808614"/>
      <w:r>
        <w:lastRenderedPageBreak/>
        <w:t xml:space="preserve">Table </w:t>
      </w:r>
      <w:r>
        <w:fldChar w:fldCharType="begin"/>
      </w:r>
      <w:r>
        <w:instrText xml:space="preserve"> SEQ Table \* ARABIC </w:instrText>
      </w:r>
      <w:r>
        <w:fldChar w:fldCharType="separate"/>
      </w:r>
      <w:r w:rsidR="00F14C78">
        <w:rPr>
          <w:noProof/>
        </w:rPr>
        <w:t>70</w:t>
      </w:r>
      <w:r>
        <w:fldChar w:fldCharType="end"/>
      </w:r>
      <w:r>
        <w:t xml:space="preserve">: </w:t>
      </w:r>
      <w:r w:rsidRPr="007D44CC">
        <w:t>Uncertainty estimates for the base year (including and excluding LULUCF</w:t>
      </w:r>
      <w:r>
        <w:t>)</w:t>
      </w:r>
      <w:bookmarkEnd w:id="1255"/>
    </w:p>
    <w:p w14:paraId="27FD33E9" w14:textId="7A97D0DF" w:rsidR="00871ED0" w:rsidRDefault="00C57864" w:rsidP="00871ED0">
      <w:r w:rsidRPr="00C57864">
        <w:rPr>
          <w:noProof/>
          <w:lang w:val="en-US"/>
        </w:rPr>
        <w:drawing>
          <wp:inline distT="0" distB="0" distL="0" distR="0" wp14:anchorId="0E1E72EC" wp14:editId="78656618">
            <wp:extent cx="6000750" cy="8231188"/>
            <wp:effectExtent l="0" t="0" r="0" b="0"/>
            <wp:docPr id="1429243320"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02378" cy="8233421"/>
                    </a:xfrm>
                    <a:prstGeom prst="rect">
                      <a:avLst/>
                    </a:prstGeom>
                    <a:noFill/>
                    <a:ln>
                      <a:noFill/>
                    </a:ln>
                  </pic:spPr>
                </pic:pic>
              </a:graphicData>
            </a:graphic>
          </wp:inline>
        </w:drawing>
      </w:r>
    </w:p>
    <w:p w14:paraId="7DC4EB54" w14:textId="55CB76E4" w:rsidR="00C57864" w:rsidRDefault="000D2D23" w:rsidP="00871ED0">
      <w:r w:rsidRPr="000D2D23">
        <w:rPr>
          <w:noProof/>
          <w:lang w:val="en-US"/>
        </w:rPr>
        <w:lastRenderedPageBreak/>
        <w:drawing>
          <wp:inline distT="0" distB="0" distL="0" distR="0" wp14:anchorId="49C1959D" wp14:editId="66B80FDB">
            <wp:extent cx="5997691" cy="5705475"/>
            <wp:effectExtent l="0" t="0" r="3175" b="0"/>
            <wp:docPr id="2052580057"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000975" cy="5708599"/>
                    </a:xfrm>
                    <a:prstGeom prst="rect">
                      <a:avLst/>
                    </a:prstGeom>
                    <a:noFill/>
                    <a:ln>
                      <a:noFill/>
                    </a:ln>
                  </pic:spPr>
                </pic:pic>
              </a:graphicData>
            </a:graphic>
          </wp:inline>
        </w:drawing>
      </w:r>
    </w:p>
    <w:p w14:paraId="4C7B9E9B" w14:textId="77777777" w:rsidR="002160E2" w:rsidRDefault="002160E2">
      <w:pPr>
        <w:jc w:val="left"/>
        <w:rPr>
          <w:b/>
          <w:color w:val="698EC2"/>
          <w:sz w:val="40"/>
          <w:lang w:eastAsia="fr-FR"/>
        </w:rPr>
      </w:pPr>
      <w:r>
        <w:rPr>
          <w:lang w:eastAsia="fr-FR"/>
        </w:rPr>
        <w:br w:type="page"/>
      </w:r>
    </w:p>
    <w:p w14:paraId="37BD4BDC" w14:textId="0801584B" w:rsidR="00614555" w:rsidRDefault="00614555" w:rsidP="00614555">
      <w:pPr>
        <w:pStyle w:val="Title"/>
        <w:rPr>
          <w:lang w:eastAsia="fr-FR"/>
        </w:rPr>
      </w:pPr>
      <w:bookmarkStart w:id="1256" w:name="_Toc182328148"/>
      <w:bookmarkStart w:id="1257" w:name="_Toc184808384"/>
      <w:r w:rsidRPr="002462F0">
        <w:rPr>
          <w:lang w:eastAsia="fr-FR"/>
        </w:rPr>
        <w:lastRenderedPageBreak/>
        <w:t xml:space="preserve">Annex 3: </w:t>
      </w:r>
      <w:r w:rsidR="00317F0B" w:rsidRPr="00317F0B">
        <w:rPr>
          <w:lang w:eastAsia="fr-FR"/>
        </w:rPr>
        <w:t>Detailed description of the reference approach (including inputs to the reference approach such as the national energy balance) and the results of the comparison of national estimates of emissions with those obtained using the reference approach</w:t>
      </w:r>
      <w:bookmarkEnd w:id="1248"/>
      <w:bookmarkEnd w:id="1256"/>
      <w:bookmarkEnd w:id="1257"/>
    </w:p>
    <w:p w14:paraId="352B15B8" w14:textId="5EB3C75D" w:rsidR="00317F0B" w:rsidRPr="00317F0B" w:rsidRDefault="002160E2" w:rsidP="00622F40">
      <w:pPr>
        <w:rPr>
          <w:lang w:eastAsia="fr-FR"/>
        </w:rPr>
      </w:pPr>
      <w:r>
        <w:rPr>
          <w:lang w:eastAsia="fr-FR"/>
        </w:rPr>
        <w:t xml:space="preserve">The comparison of the reference approach with the sectoral approach is presented in chapter </w:t>
      </w:r>
      <w:r>
        <w:rPr>
          <w:lang w:eastAsia="fr-FR"/>
        </w:rPr>
        <w:fldChar w:fldCharType="begin"/>
      </w:r>
      <w:r>
        <w:rPr>
          <w:lang w:eastAsia="fr-FR"/>
        </w:rPr>
        <w:instrText xml:space="preserve"> REF _Ref180076381 \r \h </w:instrText>
      </w:r>
      <w:r>
        <w:rPr>
          <w:lang w:eastAsia="fr-FR"/>
        </w:rPr>
      </w:r>
      <w:r>
        <w:rPr>
          <w:lang w:eastAsia="fr-FR"/>
        </w:rPr>
        <w:fldChar w:fldCharType="separate"/>
      </w:r>
      <w:r w:rsidR="00F14C78">
        <w:rPr>
          <w:lang w:eastAsia="fr-FR"/>
        </w:rPr>
        <w:t>3.2.1</w:t>
      </w:r>
      <w:r>
        <w:rPr>
          <w:lang w:eastAsia="fr-FR"/>
        </w:rPr>
        <w:fldChar w:fldCharType="end"/>
      </w:r>
      <w:r>
        <w:rPr>
          <w:lang w:eastAsia="fr-FR"/>
        </w:rPr>
        <w:t xml:space="preserve">. The </w:t>
      </w:r>
      <w:r w:rsidR="00844706">
        <w:rPr>
          <w:lang w:eastAsia="fr-FR"/>
        </w:rPr>
        <w:t>carbon contents</w:t>
      </w:r>
      <w:r w:rsidR="004179E1">
        <w:rPr>
          <w:lang w:eastAsia="fr-FR"/>
        </w:rPr>
        <w:t xml:space="preserve"> (or CO</w:t>
      </w:r>
      <w:r w:rsidR="004179E1" w:rsidRPr="00622F40">
        <w:rPr>
          <w:vertAlign w:val="subscript"/>
          <w:lang w:eastAsia="fr-FR"/>
        </w:rPr>
        <w:t>2</w:t>
      </w:r>
      <w:r w:rsidR="004179E1">
        <w:rPr>
          <w:lang w:eastAsia="fr-FR"/>
        </w:rPr>
        <w:t xml:space="preserve"> EF)</w:t>
      </w:r>
      <w:r w:rsidR="00844706">
        <w:rPr>
          <w:lang w:eastAsia="fr-FR"/>
        </w:rPr>
        <w:t xml:space="preserve"> </w:t>
      </w:r>
      <w:r>
        <w:rPr>
          <w:lang w:eastAsia="fr-FR"/>
        </w:rPr>
        <w:t>and NCV</w:t>
      </w:r>
      <w:r w:rsidR="00844706">
        <w:rPr>
          <w:lang w:eastAsia="fr-FR"/>
        </w:rPr>
        <w:t xml:space="preserve"> used are </w:t>
      </w:r>
      <w:r w:rsidR="004179E1">
        <w:rPr>
          <w:lang w:eastAsia="fr-FR"/>
        </w:rPr>
        <w:t xml:space="preserve">given in chapter </w:t>
      </w:r>
      <w:r w:rsidR="00D1788B">
        <w:rPr>
          <w:lang w:eastAsia="fr-FR"/>
        </w:rPr>
        <w:fldChar w:fldCharType="begin"/>
      </w:r>
      <w:r w:rsidR="00D1788B">
        <w:rPr>
          <w:lang w:eastAsia="fr-FR"/>
        </w:rPr>
        <w:instrText xml:space="preserve"> REF _Ref175130250 \r \h </w:instrText>
      </w:r>
      <w:r w:rsidR="00D1788B">
        <w:rPr>
          <w:lang w:eastAsia="fr-FR"/>
        </w:rPr>
      </w:r>
      <w:r w:rsidR="00D1788B">
        <w:rPr>
          <w:lang w:eastAsia="fr-FR"/>
        </w:rPr>
        <w:fldChar w:fldCharType="separate"/>
      </w:r>
      <w:r w:rsidR="00F14C78">
        <w:rPr>
          <w:lang w:eastAsia="fr-FR"/>
        </w:rPr>
        <w:t>3.2.4</w:t>
      </w:r>
      <w:r w:rsidR="00D1788B">
        <w:rPr>
          <w:lang w:eastAsia="fr-FR"/>
        </w:rPr>
        <w:fldChar w:fldCharType="end"/>
      </w:r>
      <w:r w:rsidR="0007485F">
        <w:rPr>
          <w:lang w:eastAsia="fr-FR"/>
        </w:rPr>
        <w:t xml:space="preserve">. </w:t>
      </w:r>
    </w:p>
    <w:p w14:paraId="5EAEA06B" w14:textId="77777777" w:rsidR="00AC5A54" w:rsidRDefault="00AC5A54">
      <w:pPr>
        <w:jc w:val="left"/>
        <w:rPr>
          <w:b/>
          <w:color w:val="698EC2"/>
          <w:sz w:val="40"/>
          <w:lang w:eastAsia="fr-FR"/>
        </w:rPr>
      </w:pPr>
      <w:bookmarkStart w:id="1258" w:name="_Toc496101109"/>
      <w:r>
        <w:rPr>
          <w:lang w:eastAsia="fr-FR"/>
        </w:rPr>
        <w:br w:type="page"/>
      </w:r>
    </w:p>
    <w:p w14:paraId="678A262F" w14:textId="4F3D8D2C" w:rsidR="00614555" w:rsidRDefault="00614555" w:rsidP="00614555">
      <w:pPr>
        <w:pStyle w:val="Title"/>
        <w:rPr>
          <w:lang w:eastAsia="fr-FR"/>
        </w:rPr>
      </w:pPr>
      <w:bookmarkStart w:id="1259" w:name="_Toc182328149"/>
      <w:bookmarkStart w:id="1260" w:name="_Toc184808385"/>
      <w:r w:rsidRPr="002462F0">
        <w:rPr>
          <w:lang w:eastAsia="fr-FR"/>
        </w:rPr>
        <w:lastRenderedPageBreak/>
        <w:t xml:space="preserve">Annex </w:t>
      </w:r>
      <w:r w:rsidR="002160E2">
        <w:rPr>
          <w:lang w:eastAsia="fr-FR"/>
        </w:rPr>
        <w:t>4</w:t>
      </w:r>
      <w:r w:rsidRPr="002462F0">
        <w:rPr>
          <w:lang w:eastAsia="fr-FR"/>
        </w:rPr>
        <w:t xml:space="preserve">: </w:t>
      </w:r>
      <w:r w:rsidR="00AC5A54">
        <w:rPr>
          <w:lang w:eastAsia="fr-FR"/>
        </w:rPr>
        <w:t>QA/QC procedures</w:t>
      </w:r>
      <w:r w:rsidRPr="002462F0">
        <w:rPr>
          <w:lang w:eastAsia="fr-FR"/>
        </w:rPr>
        <w:t>.</w:t>
      </w:r>
      <w:bookmarkEnd w:id="1258"/>
      <w:bookmarkEnd w:id="1259"/>
      <w:bookmarkEnd w:id="1260"/>
    </w:p>
    <w:p w14:paraId="10A45D09" w14:textId="65F55EA1" w:rsidR="0013295D" w:rsidRDefault="0013295D" w:rsidP="0013295D">
      <w:pPr>
        <w:pStyle w:val="BodyText"/>
        <w:rPr>
          <w:lang w:eastAsia="fr-FR"/>
        </w:rPr>
      </w:pPr>
      <w:r>
        <w:rPr>
          <w:lang w:eastAsia="fr-FR"/>
        </w:rPr>
        <w:t xml:space="preserve">The following table </w:t>
      </w:r>
      <w:r w:rsidR="00B2698C">
        <w:rPr>
          <w:lang w:eastAsia="fr-FR"/>
        </w:rPr>
        <w:t xml:space="preserve">and figure </w:t>
      </w:r>
      <w:r>
        <w:rPr>
          <w:lang w:eastAsia="fr-FR"/>
        </w:rPr>
        <w:t xml:space="preserve">present a list of QA/QC tasks for each actor of the inventory system and for each step of the inventory where </w:t>
      </w:r>
      <w:r w:rsidR="007F7835">
        <w:rPr>
          <w:lang w:eastAsia="fr-FR"/>
        </w:rPr>
        <w:t xml:space="preserve">each </w:t>
      </w:r>
      <w:r>
        <w:rPr>
          <w:lang w:eastAsia="fr-FR"/>
        </w:rPr>
        <w:t>actor need</w:t>
      </w:r>
      <w:r w:rsidR="007F7835">
        <w:rPr>
          <w:lang w:eastAsia="fr-FR"/>
        </w:rPr>
        <w:t>s</w:t>
      </w:r>
      <w:r>
        <w:rPr>
          <w:lang w:eastAsia="fr-FR"/>
        </w:rPr>
        <w:t xml:space="preserve"> to intervene. They are not all applied yet but Serbia will improve its system yearly and tend</w:t>
      </w:r>
      <w:r w:rsidR="00B2698C">
        <w:rPr>
          <w:lang w:eastAsia="fr-FR"/>
        </w:rPr>
        <w:t>s</w:t>
      </w:r>
      <w:r>
        <w:rPr>
          <w:lang w:eastAsia="fr-FR"/>
        </w:rPr>
        <w:t xml:space="preserve"> to </w:t>
      </w:r>
      <w:r w:rsidR="00B2698C">
        <w:rPr>
          <w:lang w:eastAsia="fr-FR"/>
        </w:rPr>
        <w:t>fulfil</w:t>
      </w:r>
      <w:r>
        <w:rPr>
          <w:lang w:eastAsia="fr-FR"/>
        </w:rPr>
        <w:t xml:space="preserve"> all these tasks.</w:t>
      </w:r>
    </w:p>
    <w:tbl>
      <w:tblPr>
        <w:tblW w:w="5000" w:type="pct"/>
        <w:jc w:val="center"/>
        <w:tblCellMar>
          <w:left w:w="70" w:type="dxa"/>
          <w:right w:w="70" w:type="dxa"/>
        </w:tblCellMar>
        <w:tblLook w:val="04A0" w:firstRow="1" w:lastRow="0" w:firstColumn="1" w:lastColumn="0" w:noHBand="0" w:noVBand="1"/>
      </w:tblPr>
      <w:tblGrid>
        <w:gridCol w:w="1327"/>
        <w:gridCol w:w="7735"/>
      </w:tblGrid>
      <w:tr w:rsidR="0013295D" w:rsidRPr="00E46554" w14:paraId="16FC8F8F" w14:textId="77777777" w:rsidTr="0013295D">
        <w:trPr>
          <w:trHeight w:val="765"/>
          <w:tblHeader/>
          <w:jc w:val="center"/>
        </w:trPr>
        <w:tc>
          <w:tcPr>
            <w:tcW w:w="732"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1392AAAA" w14:textId="77777777" w:rsidR="0013295D" w:rsidRPr="003C4E38" w:rsidRDefault="0013295D" w:rsidP="009E479D">
            <w:pPr>
              <w:jc w:val="center"/>
              <w:rPr>
                <w:rFonts w:ascii="Arial" w:eastAsia="Times New Roman" w:hAnsi="Arial" w:cs="Arial"/>
                <w:b/>
                <w:bCs/>
                <w:szCs w:val="20"/>
                <w:lang w:val="fr-FR" w:eastAsia="fr-FR"/>
              </w:rPr>
            </w:pPr>
            <w:bookmarkStart w:id="1261" w:name="_Toc496101110"/>
            <w:proofErr w:type="spellStart"/>
            <w:r w:rsidRPr="003C4E38">
              <w:rPr>
                <w:rFonts w:ascii="Arial" w:eastAsia="Times New Roman" w:hAnsi="Arial" w:cs="Arial"/>
                <w:b/>
                <w:bCs/>
                <w:szCs w:val="20"/>
                <w:lang w:val="fr-FR" w:eastAsia="fr-FR"/>
              </w:rPr>
              <w:t>Function</w:t>
            </w:r>
            <w:proofErr w:type="spellEnd"/>
          </w:p>
        </w:tc>
        <w:tc>
          <w:tcPr>
            <w:tcW w:w="4268" w:type="pct"/>
            <w:tcBorders>
              <w:top w:val="single" w:sz="4" w:space="0" w:color="auto"/>
              <w:left w:val="nil"/>
              <w:bottom w:val="single" w:sz="4" w:space="0" w:color="auto"/>
              <w:right w:val="single" w:sz="4" w:space="0" w:color="auto"/>
            </w:tcBorders>
            <w:shd w:val="clear" w:color="000000" w:fill="DBE5F1"/>
            <w:vAlign w:val="center"/>
            <w:hideMark/>
          </w:tcPr>
          <w:p w14:paraId="2225961D" w14:textId="77777777" w:rsidR="0013295D" w:rsidRPr="003C4E38" w:rsidRDefault="0013295D" w:rsidP="00AC5A54">
            <w:pPr>
              <w:jc w:val="center"/>
              <w:rPr>
                <w:rFonts w:ascii="Arial" w:eastAsia="Times New Roman" w:hAnsi="Arial" w:cs="Arial"/>
                <w:b/>
                <w:bCs/>
                <w:szCs w:val="20"/>
                <w:lang w:val="fr-FR" w:eastAsia="fr-FR"/>
              </w:rPr>
            </w:pPr>
            <w:proofErr w:type="spellStart"/>
            <w:r w:rsidRPr="003C4E38">
              <w:rPr>
                <w:rFonts w:ascii="Arial" w:eastAsia="Times New Roman" w:hAnsi="Arial" w:cs="Arial"/>
                <w:b/>
                <w:bCs/>
                <w:szCs w:val="20"/>
                <w:lang w:val="fr-FR" w:eastAsia="fr-FR"/>
              </w:rPr>
              <w:t>Tasks</w:t>
            </w:r>
            <w:proofErr w:type="spellEnd"/>
          </w:p>
        </w:tc>
      </w:tr>
      <w:tr w:rsidR="00771F1B" w:rsidRPr="00E46554" w14:paraId="0761AEE7" w14:textId="77777777" w:rsidTr="0013295D">
        <w:trPr>
          <w:trHeight w:val="1020"/>
          <w:jc w:val="center"/>
        </w:trPr>
        <w:tc>
          <w:tcPr>
            <w:tcW w:w="732" w:type="pct"/>
            <w:vMerge w:val="restart"/>
            <w:tcBorders>
              <w:top w:val="nil"/>
              <w:left w:val="single" w:sz="4" w:space="0" w:color="auto"/>
              <w:right w:val="single" w:sz="4" w:space="0" w:color="auto"/>
            </w:tcBorders>
            <w:shd w:val="clear" w:color="auto" w:fill="auto"/>
            <w:vAlign w:val="center"/>
            <w:hideMark/>
          </w:tcPr>
          <w:p w14:paraId="3B98BC24" w14:textId="1A9B4FE1" w:rsidR="00771F1B" w:rsidRPr="003C4E38" w:rsidRDefault="009E479D" w:rsidP="009E479D">
            <w:pPr>
              <w:jc w:val="center"/>
              <w:rPr>
                <w:rFonts w:ascii="Arial" w:eastAsia="Times New Roman" w:hAnsi="Arial" w:cs="Arial"/>
                <w:szCs w:val="20"/>
                <w:lang w:val="fr-FR" w:eastAsia="fr-FR"/>
              </w:rPr>
            </w:pPr>
            <w:r>
              <w:rPr>
                <w:rFonts w:ascii="Arial" w:eastAsia="Times New Roman" w:hAnsi="Arial" w:cs="Arial"/>
                <w:szCs w:val="20"/>
                <w:lang w:val="fr-FR" w:eastAsia="fr-FR"/>
              </w:rPr>
              <w:t xml:space="preserve">(1) </w:t>
            </w:r>
            <w:proofErr w:type="spellStart"/>
            <w:r w:rsidR="00771F1B" w:rsidRPr="003C4E38">
              <w:rPr>
                <w:rFonts w:ascii="Arial" w:eastAsia="Times New Roman" w:hAnsi="Arial" w:cs="Arial"/>
                <w:szCs w:val="20"/>
                <w:lang w:val="fr-FR" w:eastAsia="fr-FR"/>
              </w:rPr>
              <w:t>Sectoral</w:t>
            </w:r>
            <w:proofErr w:type="spellEnd"/>
            <w:r w:rsidR="00771F1B" w:rsidRPr="003C4E38">
              <w:rPr>
                <w:rFonts w:ascii="Arial" w:eastAsia="Times New Roman" w:hAnsi="Arial" w:cs="Arial"/>
                <w:szCs w:val="20"/>
                <w:lang w:val="fr-FR" w:eastAsia="fr-FR"/>
              </w:rPr>
              <w:t xml:space="preserve"> expert</w:t>
            </w:r>
          </w:p>
        </w:tc>
        <w:tc>
          <w:tcPr>
            <w:tcW w:w="4268" w:type="pct"/>
            <w:tcBorders>
              <w:top w:val="nil"/>
              <w:left w:val="nil"/>
              <w:bottom w:val="nil"/>
              <w:right w:val="single" w:sz="4" w:space="0" w:color="auto"/>
            </w:tcBorders>
            <w:shd w:val="clear" w:color="auto" w:fill="auto"/>
            <w:hideMark/>
          </w:tcPr>
          <w:p w14:paraId="74695152" w14:textId="0901E0EE" w:rsidR="00771F1B" w:rsidRPr="003C4E38" w:rsidRDefault="009E479D" w:rsidP="00AC5A54">
            <w:pPr>
              <w:jc w:val="left"/>
              <w:rPr>
                <w:rFonts w:ascii="Arial" w:eastAsia="Times New Roman" w:hAnsi="Arial" w:cs="Arial"/>
                <w:szCs w:val="20"/>
                <w:lang w:val="en-US" w:eastAsia="fr-FR"/>
              </w:rPr>
            </w:pPr>
            <w:r>
              <w:rPr>
                <w:rFonts w:ascii="Arial" w:eastAsia="Times New Roman" w:hAnsi="Arial" w:cs="Arial"/>
                <w:b/>
                <w:bCs/>
                <w:szCs w:val="20"/>
                <w:lang w:val="en-US" w:eastAsia="fr-FR"/>
              </w:rPr>
              <w:t xml:space="preserve">Q1 </w:t>
            </w:r>
            <w:r w:rsidR="00771F1B" w:rsidRPr="003C4E38">
              <w:rPr>
                <w:rFonts w:ascii="Arial" w:eastAsia="Times New Roman" w:hAnsi="Arial" w:cs="Arial"/>
                <w:b/>
                <w:bCs/>
                <w:szCs w:val="20"/>
                <w:lang w:val="en-US" w:eastAsia="fr-FR"/>
              </w:rPr>
              <w:t>Coordination and planning:</w:t>
            </w:r>
            <w:r w:rsidR="00771F1B" w:rsidRPr="003C4E38">
              <w:rPr>
                <w:rFonts w:ascii="Arial" w:eastAsia="Times New Roman" w:hAnsi="Arial" w:cs="Arial"/>
                <w:szCs w:val="20"/>
                <w:lang w:val="en-US" w:eastAsia="fr-FR"/>
              </w:rPr>
              <w:br/>
              <w:t>- Records the identified errors on the emission calculations;</w:t>
            </w:r>
            <w:r w:rsidR="00771F1B" w:rsidRPr="003C4E38">
              <w:rPr>
                <w:rFonts w:ascii="Arial" w:eastAsia="Times New Roman" w:hAnsi="Arial" w:cs="Arial"/>
                <w:szCs w:val="20"/>
                <w:lang w:val="en-US" w:eastAsia="fr-FR"/>
              </w:rPr>
              <w:br/>
              <w:t>- Documents, analyzes and processes the comments and recommendations of the UNFCCC reviews.</w:t>
            </w:r>
          </w:p>
        </w:tc>
      </w:tr>
      <w:tr w:rsidR="00771F1B" w:rsidRPr="00E46554" w14:paraId="4F5583A0" w14:textId="77777777" w:rsidTr="00771F1B">
        <w:trPr>
          <w:trHeight w:val="2415"/>
          <w:jc w:val="center"/>
        </w:trPr>
        <w:tc>
          <w:tcPr>
            <w:tcW w:w="732" w:type="pct"/>
            <w:vMerge/>
            <w:tcBorders>
              <w:left w:val="single" w:sz="4" w:space="0" w:color="auto"/>
              <w:right w:val="single" w:sz="4" w:space="0" w:color="auto"/>
            </w:tcBorders>
            <w:shd w:val="clear" w:color="auto" w:fill="auto"/>
            <w:vAlign w:val="center"/>
            <w:hideMark/>
          </w:tcPr>
          <w:p w14:paraId="3D76F3FC" w14:textId="6DC96395" w:rsidR="00771F1B" w:rsidRPr="003C4E38" w:rsidRDefault="00771F1B" w:rsidP="009E479D">
            <w:pPr>
              <w:jc w:val="center"/>
              <w:rPr>
                <w:rFonts w:ascii="Arial" w:eastAsia="Times New Roman" w:hAnsi="Arial" w:cs="Arial"/>
                <w:szCs w:val="20"/>
                <w:lang w:val="en-US" w:eastAsia="fr-FR"/>
              </w:rPr>
            </w:pPr>
          </w:p>
        </w:tc>
        <w:tc>
          <w:tcPr>
            <w:tcW w:w="4268" w:type="pct"/>
            <w:tcBorders>
              <w:top w:val="single" w:sz="4" w:space="0" w:color="auto"/>
              <w:left w:val="nil"/>
              <w:bottom w:val="single" w:sz="4" w:space="0" w:color="auto"/>
              <w:right w:val="single" w:sz="4" w:space="0" w:color="auto"/>
            </w:tcBorders>
            <w:shd w:val="clear" w:color="auto" w:fill="auto"/>
            <w:hideMark/>
          </w:tcPr>
          <w:p w14:paraId="5DEC5A6A" w14:textId="5DC26C4B" w:rsidR="00771F1B" w:rsidRPr="003C4E38" w:rsidRDefault="009E479D" w:rsidP="00AC5A54">
            <w:pPr>
              <w:jc w:val="left"/>
              <w:rPr>
                <w:rFonts w:ascii="Arial" w:eastAsia="Times New Roman" w:hAnsi="Arial" w:cs="Arial"/>
                <w:szCs w:val="20"/>
                <w:lang w:val="en-US" w:eastAsia="fr-FR"/>
              </w:rPr>
            </w:pPr>
            <w:r>
              <w:rPr>
                <w:rFonts w:ascii="Arial" w:eastAsia="Times New Roman" w:hAnsi="Arial" w:cs="Arial"/>
                <w:b/>
                <w:bCs/>
                <w:szCs w:val="20"/>
                <w:lang w:val="en-US" w:eastAsia="fr-FR"/>
              </w:rPr>
              <w:t xml:space="preserve">Q2 </w:t>
            </w:r>
            <w:r w:rsidR="00CB49FF">
              <w:rPr>
                <w:rFonts w:ascii="Arial" w:eastAsia="Times New Roman" w:hAnsi="Arial" w:cs="Arial"/>
                <w:b/>
                <w:bCs/>
                <w:szCs w:val="20"/>
                <w:lang w:val="en-US" w:eastAsia="fr-FR"/>
              </w:rPr>
              <w:t>D</w:t>
            </w:r>
            <w:r w:rsidR="00771F1B" w:rsidRPr="003C4E38">
              <w:rPr>
                <w:rFonts w:ascii="Arial" w:eastAsia="Times New Roman" w:hAnsi="Arial" w:cs="Arial"/>
                <w:b/>
                <w:bCs/>
                <w:szCs w:val="20"/>
                <w:lang w:val="en-US" w:eastAsia="fr-FR"/>
              </w:rPr>
              <w:t>ata sources</w:t>
            </w:r>
            <w:r w:rsidR="00771F1B" w:rsidRPr="003C4E38">
              <w:rPr>
                <w:rFonts w:ascii="Arial" w:eastAsia="Times New Roman" w:hAnsi="Arial" w:cs="Arial"/>
                <w:szCs w:val="20"/>
                <w:lang w:val="en-US" w:eastAsia="fr-FR"/>
              </w:rPr>
              <w:br/>
              <w:t>- Is responsible for checking the documentation on assumptions and criteria for the selection of activity data, emission factors, and other estimation parameters;</w:t>
            </w:r>
            <w:r w:rsidR="00771F1B" w:rsidRPr="003C4E38">
              <w:rPr>
                <w:rFonts w:ascii="Arial" w:eastAsia="Times New Roman" w:hAnsi="Arial" w:cs="Arial"/>
                <w:szCs w:val="20"/>
                <w:lang w:val="en-US" w:eastAsia="fr-FR"/>
              </w:rPr>
              <w:br/>
              <w:t>- Is in charge of the verification of data transcription;</w:t>
            </w:r>
            <w:r w:rsidR="00771F1B" w:rsidRPr="003C4E38">
              <w:rPr>
                <w:rFonts w:ascii="Arial" w:eastAsia="Times New Roman" w:hAnsi="Arial" w:cs="Arial"/>
                <w:szCs w:val="20"/>
                <w:lang w:val="en-US" w:eastAsia="fr-FR"/>
              </w:rPr>
              <w:br/>
              <w:t>- Is responsible for the time series consistency;</w:t>
            </w:r>
            <w:r w:rsidR="00771F1B" w:rsidRPr="003C4E38">
              <w:rPr>
                <w:rFonts w:ascii="Arial" w:eastAsia="Times New Roman" w:hAnsi="Arial" w:cs="Arial"/>
                <w:szCs w:val="20"/>
                <w:lang w:val="en-US" w:eastAsia="fr-FR"/>
              </w:rPr>
              <w:br/>
              <w:t>- Is in charge of checking the availability of input data;</w:t>
            </w:r>
            <w:r w:rsidR="00771F1B" w:rsidRPr="003C4E38">
              <w:rPr>
                <w:rFonts w:ascii="Arial" w:eastAsia="Times New Roman" w:hAnsi="Arial" w:cs="Arial"/>
                <w:szCs w:val="20"/>
                <w:lang w:val="en-US" w:eastAsia="fr-FR"/>
              </w:rPr>
              <w:br/>
              <w:t>- Checks the quality of external data;</w:t>
            </w:r>
            <w:r w:rsidR="00771F1B" w:rsidRPr="003C4E38">
              <w:rPr>
                <w:rFonts w:ascii="Arial" w:eastAsia="Times New Roman" w:hAnsi="Arial" w:cs="Arial"/>
                <w:szCs w:val="20"/>
                <w:lang w:val="en-US" w:eastAsia="fr-FR"/>
              </w:rPr>
              <w:br/>
              <w:t>- Records and archives the data sources;</w:t>
            </w:r>
            <w:r w:rsidR="00771F1B" w:rsidRPr="003C4E38">
              <w:rPr>
                <w:rFonts w:ascii="Arial" w:eastAsia="Times New Roman" w:hAnsi="Arial" w:cs="Arial"/>
                <w:szCs w:val="20"/>
                <w:lang w:val="en-US" w:eastAsia="fr-FR"/>
              </w:rPr>
              <w:br/>
              <w:t>- Verifies if external data providers have a QA/QC system.</w:t>
            </w:r>
          </w:p>
        </w:tc>
      </w:tr>
      <w:tr w:rsidR="00771F1B" w:rsidRPr="003414BC" w14:paraId="6D630B4A" w14:textId="77777777" w:rsidTr="0013295D">
        <w:trPr>
          <w:trHeight w:val="569"/>
          <w:jc w:val="center"/>
        </w:trPr>
        <w:tc>
          <w:tcPr>
            <w:tcW w:w="732" w:type="pct"/>
            <w:vMerge/>
            <w:tcBorders>
              <w:left w:val="single" w:sz="4" w:space="0" w:color="auto"/>
              <w:right w:val="single" w:sz="4" w:space="0" w:color="auto"/>
            </w:tcBorders>
            <w:shd w:val="clear" w:color="auto" w:fill="auto"/>
            <w:vAlign w:val="center"/>
            <w:hideMark/>
          </w:tcPr>
          <w:p w14:paraId="107CDBD1" w14:textId="5EEF8671" w:rsidR="00771F1B" w:rsidRPr="00CB49FF" w:rsidRDefault="00771F1B" w:rsidP="009E479D">
            <w:pPr>
              <w:jc w:val="center"/>
              <w:rPr>
                <w:rFonts w:ascii="Arial" w:eastAsia="Times New Roman" w:hAnsi="Arial" w:cs="Arial"/>
                <w:szCs w:val="20"/>
                <w:lang w:val="en-US" w:eastAsia="fr-FR"/>
              </w:rPr>
            </w:pPr>
          </w:p>
        </w:tc>
        <w:tc>
          <w:tcPr>
            <w:tcW w:w="4268" w:type="pct"/>
            <w:tcBorders>
              <w:top w:val="single" w:sz="4" w:space="0" w:color="auto"/>
              <w:left w:val="nil"/>
              <w:bottom w:val="single" w:sz="4" w:space="0" w:color="auto"/>
              <w:right w:val="single" w:sz="4" w:space="0" w:color="auto"/>
            </w:tcBorders>
            <w:shd w:val="clear" w:color="auto" w:fill="auto"/>
            <w:hideMark/>
          </w:tcPr>
          <w:p w14:paraId="0780A5BD" w14:textId="391F9CE0" w:rsidR="00771F1B" w:rsidRPr="00AC5A54" w:rsidRDefault="009E479D" w:rsidP="00AC5A54">
            <w:pPr>
              <w:jc w:val="left"/>
              <w:rPr>
                <w:rFonts w:ascii="Arial" w:eastAsia="Times New Roman" w:hAnsi="Arial" w:cs="Arial"/>
                <w:szCs w:val="20"/>
                <w:lang w:val="en-US" w:eastAsia="fr-FR"/>
              </w:rPr>
            </w:pPr>
            <w:r>
              <w:rPr>
                <w:rFonts w:ascii="Arial" w:eastAsia="Times New Roman" w:hAnsi="Arial" w:cs="Arial"/>
                <w:b/>
                <w:szCs w:val="20"/>
                <w:lang w:val="en-US" w:eastAsia="fr-FR"/>
              </w:rPr>
              <w:t xml:space="preserve">Q3 </w:t>
            </w:r>
            <w:r w:rsidR="00CB49FF">
              <w:rPr>
                <w:rFonts w:ascii="Arial" w:eastAsia="Times New Roman" w:hAnsi="Arial" w:cs="Arial"/>
                <w:b/>
                <w:szCs w:val="20"/>
                <w:lang w:val="en-US" w:eastAsia="fr-FR"/>
              </w:rPr>
              <w:t>E</w:t>
            </w:r>
            <w:r w:rsidR="00771F1B" w:rsidRPr="0013295D">
              <w:rPr>
                <w:rFonts w:ascii="Arial" w:eastAsia="Times New Roman" w:hAnsi="Arial" w:cs="Arial"/>
                <w:b/>
                <w:szCs w:val="20"/>
                <w:lang w:val="en-US" w:eastAsia="fr-FR"/>
              </w:rPr>
              <w:t>missions calculations</w:t>
            </w:r>
            <w:r w:rsidR="00771F1B" w:rsidRPr="00AC5A54">
              <w:rPr>
                <w:rFonts w:ascii="Arial" w:eastAsia="Times New Roman" w:hAnsi="Arial" w:cs="Arial"/>
                <w:szCs w:val="20"/>
                <w:lang w:val="en-US" w:eastAsia="fr-FR"/>
              </w:rPr>
              <w:br/>
            </w:r>
            <w:r w:rsidR="00771F1B" w:rsidRPr="001B2B61">
              <w:rPr>
                <w:rFonts w:ascii="Arial" w:eastAsia="Times New Roman" w:hAnsi="Arial" w:cs="Arial"/>
                <w:szCs w:val="20"/>
                <w:u w:val="single"/>
                <w:lang w:val="en-US" w:eastAsia="fr-FR"/>
              </w:rPr>
              <w:t>Tasks for the expert in charge of emission calculation (Calculation files author):</w:t>
            </w:r>
            <w:r w:rsidR="00771F1B" w:rsidRPr="00AC5A54">
              <w:rPr>
                <w:rFonts w:ascii="Arial" w:eastAsia="Times New Roman" w:hAnsi="Arial" w:cs="Arial"/>
                <w:szCs w:val="20"/>
                <w:lang w:val="en-US" w:eastAsia="fr-FR"/>
              </w:rPr>
              <w:br/>
              <w:t>- Ensures the consistency between the tool used for calculation and the reporting format required by UNFCCC and EC ;</w:t>
            </w:r>
            <w:r w:rsidR="00771F1B" w:rsidRPr="00AC5A54">
              <w:rPr>
                <w:rFonts w:ascii="Arial" w:eastAsia="Times New Roman" w:hAnsi="Arial" w:cs="Arial"/>
                <w:szCs w:val="20"/>
                <w:lang w:val="en-US" w:eastAsia="fr-FR"/>
              </w:rPr>
              <w:br/>
              <w:t>- Compares results with the estimates of the previous inventory;</w:t>
            </w:r>
            <w:r w:rsidR="00771F1B" w:rsidRPr="00AC5A54">
              <w:rPr>
                <w:rFonts w:ascii="Arial" w:eastAsia="Times New Roman" w:hAnsi="Arial" w:cs="Arial"/>
                <w:szCs w:val="20"/>
                <w:lang w:val="en-US" w:eastAsia="fr-FR"/>
              </w:rPr>
              <w:br/>
              <w:t>- Compares results of Tier 1 method with Tier 2 method when appropriate;</w:t>
            </w:r>
            <w:r w:rsidR="00771F1B" w:rsidRPr="00AC5A54">
              <w:rPr>
                <w:rFonts w:ascii="Arial" w:eastAsia="Times New Roman" w:hAnsi="Arial" w:cs="Arial"/>
                <w:szCs w:val="20"/>
                <w:lang w:val="en-US" w:eastAsia="fr-FR"/>
              </w:rPr>
              <w:br/>
              <w:t>- Clearly displays the unit and the reference of the data used;</w:t>
            </w:r>
            <w:r w:rsidR="00771F1B" w:rsidRPr="00AC5A54">
              <w:rPr>
                <w:rFonts w:ascii="Arial" w:eastAsia="Times New Roman" w:hAnsi="Arial" w:cs="Arial"/>
                <w:szCs w:val="20"/>
                <w:lang w:val="en-US" w:eastAsia="fr-FR"/>
              </w:rPr>
              <w:br/>
              <w:t>- Avoids methodological  inconsistencies or break in time-series;</w:t>
            </w:r>
            <w:r w:rsidR="00771F1B" w:rsidRPr="00AC5A54">
              <w:rPr>
                <w:rFonts w:ascii="Arial" w:eastAsia="Times New Roman" w:hAnsi="Arial" w:cs="Arial"/>
                <w:szCs w:val="20"/>
                <w:lang w:val="en-US" w:eastAsia="fr-FR"/>
              </w:rPr>
              <w:br/>
              <w:t>- Draws graphs showing emissions evolutions and explain significant variations;</w:t>
            </w:r>
            <w:r w:rsidR="00771F1B" w:rsidRPr="00AC5A54">
              <w:rPr>
                <w:rFonts w:ascii="Arial" w:eastAsia="Times New Roman" w:hAnsi="Arial" w:cs="Arial"/>
                <w:szCs w:val="20"/>
                <w:lang w:val="en-US" w:eastAsia="fr-FR"/>
              </w:rPr>
              <w:br/>
              <w:t>- Does specific checks when using model or database to estimate the emissions;</w:t>
            </w:r>
            <w:r w:rsidR="00771F1B" w:rsidRPr="00AC5A54">
              <w:rPr>
                <w:rFonts w:ascii="Arial" w:eastAsia="Times New Roman" w:hAnsi="Arial" w:cs="Arial"/>
                <w:szCs w:val="20"/>
                <w:lang w:val="en-US" w:eastAsia="fr-FR"/>
              </w:rPr>
              <w:br/>
              <w:t>- Indicates which data are confidential so they are not publicly published;</w:t>
            </w:r>
            <w:r w:rsidR="00771F1B" w:rsidRPr="00AC5A54">
              <w:rPr>
                <w:rFonts w:ascii="Arial" w:eastAsia="Times New Roman" w:hAnsi="Arial" w:cs="Arial"/>
                <w:szCs w:val="20"/>
                <w:lang w:val="en-US" w:eastAsia="fr-FR"/>
              </w:rPr>
              <w:br/>
              <w:t>- Records all data which are used to calculate the emissions;</w:t>
            </w:r>
            <w:r w:rsidR="00771F1B" w:rsidRPr="00AC5A54">
              <w:rPr>
                <w:rFonts w:ascii="Arial" w:eastAsia="Times New Roman" w:hAnsi="Arial" w:cs="Arial"/>
                <w:szCs w:val="20"/>
                <w:lang w:val="en-US" w:eastAsia="fr-FR"/>
              </w:rPr>
              <w:br/>
              <w:t>- Fills in the follow-up sheet with the name of the author, the description of the actions made for the emission calculations, and the date;</w:t>
            </w:r>
            <w:r w:rsidR="00771F1B" w:rsidRPr="00AC5A54">
              <w:rPr>
                <w:rFonts w:ascii="Arial" w:eastAsia="Times New Roman" w:hAnsi="Arial" w:cs="Arial"/>
                <w:szCs w:val="20"/>
                <w:lang w:val="en-US" w:eastAsia="fr-FR"/>
              </w:rPr>
              <w:br/>
              <w:t xml:space="preserve">- Compares methodologies used by other countries or other </w:t>
            </w:r>
            <w:proofErr w:type="spellStart"/>
            <w:r w:rsidR="00771F1B" w:rsidRPr="00AC5A54">
              <w:rPr>
                <w:rFonts w:ascii="Arial" w:eastAsia="Times New Roman" w:hAnsi="Arial" w:cs="Arial"/>
                <w:szCs w:val="20"/>
                <w:lang w:val="en-US" w:eastAsia="fr-FR"/>
              </w:rPr>
              <w:t>organisations</w:t>
            </w:r>
            <w:proofErr w:type="spellEnd"/>
            <w:r w:rsidR="00771F1B" w:rsidRPr="00AC5A54">
              <w:rPr>
                <w:rFonts w:ascii="Arial" w:eastAsia="Times New Roman" w:hAnsi="Arial" w:cs="Arial"/>
                <w:szCs w:val="20"/>
                <w:lang w:val="en-US" w:eastAsia="fr-FR"/>
              </w:rPr>
              <w:t xml:space="preserve"> with the national ones;</w:t>
            </w:r>
            <w:r w:rsidR="00771F1B" w:rsidRPr="00AC5A54">
              <w:rPr>
                <w:rFonts w:ascii="Arial" w:eastAsia="Times New Roman" w:hAnsi="Arial" w:cs="Arial"/>
                <w:szCs w:val="20"/>
                <w:lang w:val="en-US" w:eastAsia="fr-FR"/>
              </w:rPr>
              <w:br/>
              <w:t>- Records the results of the expert peer review and implements actions if needed.</w:t>
            </w:r>
            <w:r w:rsidR="00771F1B" w:rsidRPr="00AC5A54">
              <w:rPr>
                <w:rFonts w:ascii="Arial" w:eastAsia="Times New Roman" w:hAnsi="Arial" w:cs="Arial"/>
                <w:szCs w:val="20"/>
                <w:lang w:val="en-US" w:eastAsia="fr-FR"/>
              </w:rPr>
              <w:br/>
            </w:r>
            <w:r w:rsidR="00771F1B" w:rsidRPr="00AC5A54">
              <w:rPr>
                <w:rFonts w:ascii="Arial" w:eastAsia="Times New Roman" w:hAnsi="Arial" w:cs="Arial"/>
                <w:szCs w:val="20"/>
                <w:lang w:val="en-US" w:eastAsia="fr-FR"/>
              </w:rPr>
              <w:br/>
            </w:r>
            <w:r w:rsidR="00771F1B" w:rsidRPr="001B2B61">
              <w:rPr>
                <w:rFonts w:ascii="Arial" w:eastAsia="Times New Roman" w:hAnsi="Arial" w:cs="Arial"/>
                <w:szCs w:val="20"/>
                <w:u w:val="single"/>
                <w:lang w:val="en-US" w:eastAsia="fr-FR"/>
              </w:rPr>
              <w:t>Tasks for the expert in charge of calculation verification (Calculation files verifier):</w:t>
            </w:r>
            <w:r w:rsidR="00771F1B" w:rsidRPr="00AC5A54">
              <w:rPr>
                <w:rFonts w:ascii="Arial" w:eastAsia="Times New Roman" w:hAnsi="Arial" w:cs="Arial"/>
                <w:szCs w:val="20"/>
                <w:lang w:val="en-US" w:eastAsia="fr-FR"/>
              </w:rPr>
              <w:br/>
              <w:t>- Checks the calculation formulas;</w:t>
            </w:r>
            <w:r w:rsidR="00771F1B" w:rsidRPr="00AC5A54">
              <w:rPr>
                <w:rFonts w:ascii="Arial" w:eastAsia="Times New Roman" w:hAnsi="Arial" w:cs="Arial"/>
                <w:szCs w:val="20"/>
                <w:lang w:val="en-US" w:eastAsia="fr-FR"/>
              </w:rPr>
              <w:br/>
              <w:t>- Checks the comparison of the results of Tier 1 and Tier 2 methods (if relevant);</w:t>
            </w:r>
            <w:r w:rsidR="00771F1B" w:rsidRPr="00AC5A54">
              <w:rPr>
                <w:rFonts w:ascii="Arial" w:eastAsia="Times New Roman" w:hAnsi="Arial" w:cs="Arial"/>
                <w:szCs w:val="20"/>
                <w:lang w:val="en-US" w:eastAsia="fr-FR"/>
              </w:rPr>
              <w:br/>
              <w:t>- Checks the units used;</w:t>
            </w:r>
            <w:r w:rsidR="00771F1B" w:rsidRPr="00AC5A54">
              <w:rPr>
                <w:rFonts w:ascii="Arial" w:eastAsia="Times New Roman" w:hAnsi="Arial" w:cs="Arial"/>
                <w:szCs w:val="20"/>
                <w:lang w:val="en-US" w:eastAsia="fr-FR"/>
              </w:rPr>
              <w:br/>
              <w:t>- Checks if the color code is correctly used (see explanations in the detailed text below);</w:t>
            </w:r>
            <w:r w:rsidR="00771F1B" w:rsidRPr="00AC5A54">
              <w:rPr>
                <w:rFonts w:ascii="Arial" w:eastAsia="Times New Roman" w:hAnsi="Arial" w:cs="Arial"/>
                <w:szCs w:val="20"/>
                <w:lang w:val="en-US" w:eastAsia="fr-FR"/>
              </w:rPr>
              <w:br/>
              <w:t>- Checks time series consistency;</w:t>
            </w:r>
            <w:r w:rsidR="00771F1B" w:rsidRPr="00AC5A54">
              <w:rPr>
                <w:rFonts w:ascii="Arial" w:eastAsia="Times New Roman" w:hAnsi="Arial" w:cs="Arial"/>
                <w:szCs w:val="20"/>
                <w:lang w:val="en-US" w:eastAsia="fr-FR"/>
              </w:rPr>
              <w:br/>
              <w:t>- Checks the “follow-up” sheet and fills in it with the name of the verifier and the date;</w:t>
            </w:r>
            <w:r w:rsidR="00771F1B" w:rsidRPr="00AC5A54">
              <w:rPr>
                <w:rFonts w:ascii="Arial" w:eastAsia="Times New Roman" w:hAnsi="Arial" w:cs="Arial"/>
                <w:szCs w:val="20"/>
                <w:lang w:val="en-US" w:eastAsia="fr-FR"/>
              </w:rPr>
              <w:br/>
              <w:t>- Checks if the transversal data used are well updated in compliance with the latest common file done by the generalist expert;</w:t>
            </w:r>
            <w:r w:rsidR="00771F1B" w:rsidRPr="00AC5A54">
              <w:rPr>
                <w:rFonts w:ascii="Arial" w:eastAsia="Times New Roman" w:hAnsi="Arial" w:cs="Arial"/>
                <w:szCs w:val="20"/>
                <w:lang w:val="en-US" w:eastAsia="fr-FR"/>
              </w:rPr>
              <w:br/>
              <w:t>- Checks the correct use of confidential notation keys;</w:t>
            </w:r>
            <w:r w:rsidR="00771F1B" w:rsidRPr="00AC5A54">
              <w:rPr>
                <w:rFonts w:ascii="Arial" w:eastAsia="Times New Roman" w:hAnsi="Arial" w:cs="Arial"/>
                <w:szCs w:val="20"/>
                <w:lang w:val="en-US" w:eastAsia="fr-FR"/>
              </w:rPr>
              <w:br/>
            </w:r>
            <w:r w:rsidR="00771F1B" w:rsidRPr="00AC5A54">
              <w:rPr>
                <w:rFonts w:ascii="Arial" w:eastAsia="Times New Roman" w:hAnsi="Arial" w:cs="Arial"/>
                <w:szCs w:val="20"/>
                <w:lang w:val="en-US" w:eastAsia="fr-FR"/>
              </w:rPr>
              <w:lastRenderedPageBreak/>
              <w:t>- Checks that all data which are used to calculate the emissions are recorded and archived;</w:t>
            </w:r>
            <w:r w:rsidR="00771F1B" w:rsidRPr="00AC5A54">
              <w:rPr>
                <w:rFonts w:ascii="Arial" w:eastAsia="Times New Roman" w:hAnsi="Arial" w:cs="Arial"/>
                <w:szCs w:val="20"/>
                <w:lang w:val="en-US" w:eastAsia="fr-FR"/>
              </w:rPr>
              <w:br/>
              <w:t>- Checks the implementation of actions coming from the peer reviews;</w:t>
            </w:r>
            <w:r w:rsidR="00771F1B" w:rsidRPr="00AC5A54">
              <w:rPr>
                <w:rFonts w:ascii="Arial" w:eastAsia="Times New Roman" w:hAnsi="Arial" w:cs="Arial"/>
                <w:szCs w:val="20"/>
                <w:lang w:val="en-US" w:eastAsia="fr-FR"/>
              </w:rPr>
              <w:br/>
              <w:t>- Fills in the “checklist” sheet.</w:t>
            </w:r>
          </w:p>
        </w:tc>
      </w:tr>
      <w:tr w:rsidR="00771F1B" w:rsidRPr="00E46554" w14:paraId="43031271" w14:textId="77777777" w:rsidTr="00771F1B">
        <w:trPr>
          <w:trHeight w:val="2415"/>
          <w:jc w:val="center"/>
        </w:trPr>
        <w:tc>
          <w:tcPr>
            <w:tcW w:w="732" w:type="pct"/>
            <w:vMerge w:val="restart"/>
            <w:tcBorders>
              <w:left w:val="single" w:sz="4" w:space="0" w:color="auto"/>
              <w:right w:val="single" w:sz="4" w:space="0" w:color="auto"/>
            </w:tcBorders>
            <w:shd w:val="clear" w:color="auto" w:fill="auto"/>
            <w:vAlign w:val="center"/>
            <w:hideMark/>
          </w:tcPr>
          <w:p w14:paraId="3B17B305" w14:textId="71EDD6F8" w:rsidR="00771F1B" w:rsidRPr="003C4E38" w:rsidRDefault="009E479D" w:rsidP="009E479D">
            <w:pPr>
              <w:jc w:val="center"/>
              <w:rPr>
                <w:rFonts w:ascii="Arial" w:eastAsia="Times New Roman" w:hAnsi="Arial" w:cs="Arial"/>
                <w:szCs w:val="20"/>
                <w:lang w:val="en-US" w:eastAsia="fr-FR"/>
              </w:rPr>
            </w:pPr>
            <w:r>
              <w:rPr>
                <w:rFonts w:ascii="Arial" w:eastAsia="Times New Roman" w:hAnsi="Arial" w:cs="Arial"/>
                <w:szCs w:val="20"/>
                <w:lang w:val="en-US" w:eastAsia="fr-FR"/>
              </w:rPr>
              <w:lastRenderedPageBreak/>
              <w:t xml:space="preserve">(1) </w:t>
            </w:r>
            <w:r w:rsidR="00771F1B">
              <w:rPr>
                <w:rFonts w:ascii="Arial" w:eastAsia="Times New Roman" w:hAnsi="Arial" w:cs="Arial"/>
                <w:szCs w:val="20"/>
                <w:lang w:val="en-US" w:eastAsia="fr-FR"/>
              </w:rPr>
              <w:t>Sectoral expert</w:t>
            </w:r>
          </w:p>
        </w:tc>
        <w:tc>
          <w:tcPr>
            <w:tcW w:w="4268" w:type="pct"/>
            <w:tcBorders>
              <w:top w:val="single" w:sz="4" w:space="0" w:color="auto"/>
              <w:left w:val="nil"/>
              <w:bottom w:val="single" w:sz="4" w:space="0" w:color="auto"/>
              <w:right w:val="single" w:sz="4" w:space="0" w:color="auto"/>
            </w:tcBorders>
            <w:shd w:val="clear" w:color="auto" w:fill="auto"/>
            <w:hideMark/>
          </w:tcPr>
          <w:p w14:paraId="62B7DF6C" w14:textId="23064CA3" w:rsidR="00771F1B" w:rsidRPr="00AC5A54" w:rsidRDefault="009E479D" w:rsidP="00AC5A54">
            <w:pPr>
              <w:jc w:val="left"/>
              <w:rPr>
                <w:rFonts w:ascii="Arial" w:eastAsia="Times New Roman" w:hAnsi="Arial" w:cs="Arial"/>
                <w:szCs w:val="20"/>
                <w:lang w:val="en-US" w:eastAsia="fr-FR"/>
              </w:rPr>
            </w:pPr>
            <w:r>
              <w:rPr>
                <w:rFonts w:ascii="Arial" w:eastAsia="Times New Roman" w:hAnsi="Arial" w:cs="Arial"/>
                <w:b/>
                <w:szCs w:val="20"/>
                <w:lang w:val="en-US" w:eastAsia="fr-FR"/>
              </w:rPr>
              <w:t xml:space="preserve">Q4 </w:t>
            </w:r>
            <w:r w:rsidR="00CB49FF">
              <w:rPr>
                <w:rFonts w:ascii="Arial" w:eastAsia="Times New Roman" w:hAnsi="Arial" w:cs="Arial"/>
                <w:b/>
                <w:szCs w:val="20"/>
                <w:lang w:val="en-US" w:eastAsia="fr-FR"/>
              </w:rPr>
              <w:t>D</w:t>
            </w:r>
            <w:r w:rsidR="00771F1B" w:rsidRPr="001B2B61">
              <w:rPr>
                <w:rFonts w:ascii="Arial" w:eastAsia="Times New Roman" w:hAnsi="Arial" w:cs="Arial"/>
                <w:b/>
                <w:szCs w:val="20"/>
                <w:lang w:val="en-US" w:eastAsia="fr-FR"/>
              </w:rPr>
              <w:t>ata reporting</w:t>
            </w:r>
            <w:r w:rsidR="00771F1B" w:rsidRPr="00AC5A54">
              <w:rPr>
                <w:rFonts w:ascii="Arial" w:eastAsia="Times New Roman" w:hAnsi="Arial" w:cs="Arial"/>
                <w:szCs w:val="20"/>
                <w:lang w:val="en-US" w:eastAsia="fr-FR"/>
              </w:rPr>
              <w:br/>
            </w:r>
            <w:r w:rsidR="00771F1B" w:rsidRPr="001B2B61">
              <w:rPr>
                <w:rFonts w:ascii="Arial" w:eastAsia="Times New Roman" w:hAnsi="Arial" w:cs="Arial"/>
                <w:szCs w:val="20"/>
                <w:u w:val="single"/>
                <w:lang w:val="en-US" w:eastAsia="fr-FR"/>
              </w:rPr>
              <w:t>Tasks for the calculation files author:</w:t>
            </w:r>
            <w:r w:rsidR="00771F1B" w:rsidRPr="00AC5A54">
              <w:rPr>
                <w:rFonts w:ascii="Arial" w:eastAsia="Times New Roman" w:hAnsi="Arial" w:cs="Arial"/>
                <w:szCs w:val="20"/>
                <w:lang w:val="en-US" w:eastAsia="fr-FR"/>
              </w:rPr>
              <w:br/>
              <w:t>- Ensures the completeness of the data exported;</w:t>
            </w:r>
            <w:r w:rsidR="00771F1B" w:rsidRPr="00AC5A54">
              <w:rPr>
                <w:rFonts w:ascii="Arial" w:eastAsia="Times New Roman" w:hAnsi="Arial" w:cs="Arial"/>
                <w:szCs w:val="20"/>
                <w:lang w:val="en-US" w:eastAsia="fr-FR"/>
              </w:rPr>
              <w:br/>
              <w:t>- Explains the potential outliers in the database;</w:t>
            </w:r>
            <w:r w:rsidR="00771F1B" w:rsidRPr="00AC5A54">
              <w:rPr>
                <w:rFonts w:ascii="Arial" w:eastAsia="Times New Roman" w:hAnsi="Arial" w:cs="Arial"/>
                <w:szCs w:val="20"/>
                <w:lang w:val="en-US" w:eastAsia="fr-FR"/>
              </w:rPr>
              <w:br/>
              <w:t>- Explains the recalculations in the "follow-up" sheet of the calculation file.</w:t>
            </w:r>
            <w:r w:rsidR="00771F1B" w:rsidRPr="00AC5A54">
              <w:rPr>
                <w:rFonts w:ascii="Arial" w:eastAsia="Times New Roman" w:hAnsi="Arial" w:cs="Arial"/>
                <w:szCs w:val="20"/>
                <w:lang w:val="en-US" w:eastAsia="fr-FR"/>
              </w:rPr>
              <w:br/>
            </w:r>
            <w:r w:rsidR="00771F1B" w:rsidRPr="00AC5A54">
              <w:rPr>
                <w:rFonts w:ascii="Arial" w:eastAsia="Times New Roman" w:hAnsi="Arial" w:cs="Arial"/>
                <w:szCs w:val="20"/>
                <w:lang w:val="en-US" w:eastAsia="fr-FR"/>
              </w:rPr>
              <w:br/>
            </w:r>
            <w:r w:rsidR="00771F1B" w:rsidRPr="001B2B61">
              <w:rPr>
                <w:rFonts w:ascii="Arial" w:eastAsia="Times New Roman" w:hAnsi="Arial" w:cs="Arial"/>
                <w:szCs w:val="20"/>
                <w:u w:val="single"/>
                <w:lang w:val="en-US" w:eastAsia="fr-FR"/>
              </w:rPr>
              <w:t>Tasks for the calculation files verifier:</w:t>
            </w:r>
            <w:r w:rsidR="00771F1B" w:rsidRPr="00AC5A54">
              <w:rPr>
                <w:rFonts w:ascii="Arial" w:eastAsia="Times New Roman" w:hAnsi="Arial" w:cs="Arial"/>
                <w:szCs w:val="20"/>
                <w:lang w:val="en-US" w:eastAsia="fr-FR"/>
              </w:rPr>
              <w:br/>
              <w:t>- Checks that the explanations of any changes or recalculations are well recorded as stated in the QA/QC plan.</w:t>
            </w:r>
          </w:p>
        </w:tc>
      </w:tr>
      <w:tr w:rsidR="00771F1B" w:rsidRPr="00E46554" w14:paraId="35EA4DA5" w14:textId="77777777" w:rsidTr="00771F1B">
        <w:trPr>
          <w:trHeight w:val="732"/>
          <w:jc w:val="center"/>
        </w:trPr>
        <w:tc>
          <w:tcPr>
            <w:tcW w:w="732" w:type="pct"/>
            <w:vMerge/>
            <w:tcBorders>
              <w:left w:val="single" w:sz="4" w:space="0" w:color="auto"/>
              <w:bottom w:val="single" w:sz="4" w:space="0" w:color="auto"/>
              <w:right w:val="single" w:sz="4" w:space="0" w:color="auto"/>
            </w:tcBorders>
            <w:shd w:val="clear" w:color="auto" w:fill="auto"/>
            <w:vAlign w:val="center"/>
            <w:hideMark/>
          </w:tcPr>
          <w:p w14:paraId="31B13780" w14:textId="77777777" w:rsidR="00771F1B" w:rsidRPr="003C4E38" w:rsidRDefault="00771F1B" w:rsidP="009E479D">
            <w:pPr>
              <w:jc w:val="center"/>
              <w:rPr>
                <w:rFonts w:ascii="Arial" w:eastAsia="Times New Roman" w:hAnsi="Arial" w:cs="Arial"/>
                <w:szCs w:val="20"/>
                <w:lang w:val="en-US" w:eastAsia="fr-FR"/>
              </w:rPr>
            </w:pPr>
          </w:p>
        </w:tc>
        <w:tc>
          <w:tcPr>
            <w:tcW w:w="4268" w:type="pct"/>
            <w:tcBorders>
              <w:top w:val="single" w:sz="4" w:space="0" w:color="auto"/>
              <w:left w:val="nil"/>
              <w:bottom w:val="single" w:sz="4" w:space="0" w:color="auto"/>
              <w:right w:val="single" w:sz="4" w:space="0" w:color="auto"/>
            </w:tcBorders>
            <w:shd w:val="clear" w:color="auto" w:fill="auto"/>
            <w:hideMark/>
          </w:tcPr>
          <w:p w14:paraId="16F45194" w14:textId="4442A5A3" w:rsidR="00771F1B" w:rsidRPr="00AC5A54" w:rsidRDefault="009E479D" w:rsidP="00AC5A54">
            <w:pPr>
              <w:jc w:val="left"/>
              <w:rPr>
                <w:rFonts w:ascii="Arial" w:eastAsia="Times New Roman" w:hAnsi="Arial" w:cs="Arial"/>
                <w:szCs w:val="20"/>
                <w:lang w:val="en-US" w:eastAsia="fr-FR"/>
              </w:rPr>
            </w:pPr>
            <w:r>
              <w:rPr>
                <w:rFonts w:ascii="Arial" w:eastAsia="Times New Roman" w:hAnsi="Arial" w:cs="Arial"/>
                <w:b/>
                <w:szCs w:val="20"/>
                <w:lang w:val="en-US" w:eastAsia="fr-FR"/>
              </w:rPr>
              <w:t xml:space="preserve">Q8/Q9/Q10 </w:t>
            </w:r>
            <w:r w:rsidR="00771F1B" w:rsidRPr="001B2B61">
              <w:rPr>
                <w:rFonts w:ascii="Arial" w:eastAsia="Times New Roman" w:hAnsi="Arial" w:cs="Arial"/>
                <w:b/>
                <w:szCs w:val="20"/>
                <w:lang w:val="en-US" w:eastAsia="fr-FR"/>
              </w:rPr>
              <w:t>Proxy GHG inventories (X-1)</w:t>
            </w:r>
            <w:r w:rsidR="00771F1B" w:rsidRPr="00AC5A54">
              <w:rPr>
                <w:rFonts w:ascii="Arial" w:eastAsia="Times New Roman" w:hAnsi="Arial" w:cs="Arial"/>
                <w:szCs w:val="20"/>
                <w:lang w:val="en-US" w:eastAsia="fr-FR"/>
              </w:rPr>
              <w:br/>
              <w:t>- Complies with the current QA/QC procedures for the GHG inventory.</w:t>
            </w:r>
          </w:p>
        </w:tc>
      </w:tr>
      <w:tr w:rsidR="00771F1B" w:rsidRPr="00E46554" w14:paraId="721C890C" w14:textId="77777777" w:rsidTr="00D84951">
        <w:trPr>
          <w:trHeight w:val="732"/>
          <w:jc w:val="center"/>
        </w:trPr>
        <w:tc>
          <w:tcPr>
            <w:tcW w:w="732" w:type="pct"/>
            <w:vMerge w:val="restart"/>
            <w:tcBorders>
              <w:top w:val="single" w:sz="4" w:space="0" w:color="auto"/>
              <w:left w:val="single" w:sz="4" w:space="0" w:color="auto"/>
              <w:right w:val="single" w:sz="4" w:space="0" w:color="auto"/>
            </w:tcBorders>
            <w:vAlign w:val="center"/>
          </w:tcPr>
          <w:p w14:paraId="591F8A27" w14:textId="6CFFD895" w:rsidR="00771F1B" w:rsidRPr="003C4E38" w:rsidRDefault="009E479D" w:rsidP="009E479D">
            <w:pPr>
              <w:jc w:val="center"/>
              <w:rPr>
                <w:rFonts w:ascii="Arial" w:eastAsia="Times New Roman" w:hAnsi="Arial" w:cs="Arial"/>
                <w:szCs w:val="20"/>
                <w:lang w:val="en-US" w:eastAsia="fr-FR"/>
              </w:rPr>
            </w:pPr>
            <w:r>
              <w:rPr>
                <w:rFonts w:ascii="Arial" w:eastAsia="Times New Roman" w:hAnsi="Arial" w:cs="Arial"/>
                <w:szCs w:val="20"/>
                <w:lang w:val="en-US" w:eastAsia="fr-FR"/>
              </w:rPr>
              <w:t xml:space="preserve">(2) </w:t>
            </w:r>
            <w:r w:rsidR="00771F1B">
              <w:rPr>
                <w:rFonts w:ascii="Arial" w:eastAsia="Times New Roman" w:hAnsi="Arial" w:cs="Arial"/>
                <w:szCs w:val="20"/>
                <w:lang w:val="en-US" w:eastAsia="fr-FR"/>
              </w:rPr>
              <w:t>Inventory manager</w:t>
            </w:r>
          </w:p>
        </w:tc>
        <w:tc>
          <w:tcPr>
            <w:tcW w:w="4268" w:type="pct"/>
            <w:tcBorders>
              <w:top w:val="single" w:sz="4" w:space="0" w:color="auto"/>
              <w:left w:val="nil"/>
              <w:bottom w:val="single" w:sz="4" w:space="0" w:color="auto"/>
              <w:right w:val="single" w:sz="4" w:space="0" w:color="auto"/>
            </w:tcBorders>
            <w:shd w:val="clear" w:color="auto" w:fill="auto"/>
          </w:tcPr>
          <w:p w14:paraId="2A03E2B2" w14:textId="4C6CA7A3" w:rsidR="00771F1B" w:rsidRPr="001B2B61" w:rsidRDefault="009E479D" w:rsidP="00771F1B">
            <w:pPr>
              <w:jc w:val="left"/>
              <w:rPr>
                <w:rFonts w:ascii="Arial" w:eastAsia="Times New Roman" w:hAnsi="Arial" w:cs="Arial"/>
                <w:b/>
                <w:szCs w:val="20"/>
                <w:lang w:val="en-US" w:eastAsia="fr-FR"/>
              </w:rPr>
            </w:pPr>
            <w:r>
              <w:rPr>
                <w:rFonts w:ascii="Arial" w:eastAsia="Times New Roman" w:hAnsi="Arial" w:cs="Arial"/>
                <w:b/>
                <w:bCs/>
                <w:szCs w:val="20"/>
                <w:lang w:val="en-US" w:eastAsia="fr-FR"/>
              </w:rPr>
              <w:t xml:space="preserve">Q1 </w:t>
            </w:r>
            <w:r w:rsidR="00771F1B" w:rsidRPr="003C4E38">
              <w:rPr>
                <w:rFonts w:ascii="Arial" w:eastAsia="Times New Roman" w:hAnsi="Arial" w:cs="Arial"/>
                <w:b/>
                <w:bCs/>
                <w:szCs w:val="20"/>
                <w:lang w:val="en-US" w:eastAsia="fr-FR"/>
              </w:rPr>
              <w:t>Coordination and planning</w:t>
            </w:r>
            <w:r w:rsidR="00771F1B" w:rsidRPr="003C4E38">
              <w:rPr>
                <w:rFonts w:ascii="Arial" w:eastAsia="Times New Roman" w:hAnsi="Arial" w:cs="Arial"/>
                <w:szCs w:val="20"/>
                <w:lang w:val="en-US" w:eastAsia="fr-FR"/>
              </w:rPr>
              <w:br/>
              <w:t xml:space="preserve">- </w:t>
            </w:r>
            <w:r w:rsidR="00771F1B">
              <w:rPr>
                <w:rFonts w:ascii="Arial" w:eastAsia="Times New Roman" w:hAnsi="Arial" w:cs="Arial"/>
                <w:szCs w:val="20"/>
                <w:lang w:val="en-US" w:eastAsia="fr-FR"/>
              </w:rPr>
              <w:t>Prepares</w:t>
            </w:r>
            <w:r w:rsidR="00771F1B" w:rsidRPr="003C4E38">
              <w:rPr>
                <w:rFonts w:ascii="Arial" w:eastAsia="Times New Roman" w:hAnsi="Arial" w:cs="Arial"/>
                <w:szCs w:val="20"/>
                <w:lang w:val="en-US" w:eastAsia="fr-FR"/>
              </w:rPr>
              <w:t xml:space="preserve"> the QA/QC plan</w:t>
            </w:r>
            <w:r w:rsidR="00771F1B">
              <w:rPr>
                <w:rFonts w:ascii="Arial" w:eastAsia="Times New Roman" w:hAnsi="Arial" w:cs="Arial"/>
                <w:szCs w:val="20"/>
                <w:lang w:val="en-US" w:eastAsia="fr-FR"/>
              </w:rPr>
              <w:t xml:space="preserve"> and updates on annual basis</w:t>
            </w:r>
            <w:r w:rsidR="00771F1B" w:rsidRPr="003C4E38">
              <w:rPr>
                <w:rFonts w:ascii="Arial" w:eastAsia="Times New Roman" w:hAnsi="Arial" w:cs="Arial"/>
                <w:szCs w:val="20"/>
                <w:lang w:val="en-US" w:eastAsia="fr-FR"/>
              </w:rPr>
              <w:t>;</w:t>
            </w:r>
            <w:r w:rsidR="00771F1B" w:rsidRPr="003C4E38">
              <w:rPr>
                <w:rFonts w:ascii="Arial" w:eastAsia="Times New Roman" w:hAnsi="Arial" w:cs="Arial"/>
                <w:szCs w:val="20"/>
                <w:lang w:val="en-US" w:eastAsia="fr-FR"/>
              </w:rPr>
              <w:br/>
              <w:t>- Ensures the good application of the QA/QC system;</w:t>
            </w:r>
            <w:r w:rsidR="00771F1B" w:rsidRPr="003C4E38">
              <w:rPr>
                <w:rFonts w:ascii="Arial" w:eastAsia="Times New Roman" w:hAnsi="Arial" w:cs="Arial"/>
                <w:szCs w:val="20"/>
                <w:lang w:val="en-US" w:eastAsia="fr-FR"/>
              </w:rPr>
              <w:br/>
              <w:t>- Is responsible for planning and monitoring the QC activities;</w:t>
            </w:r>
            <w:r w:rsidR="00771F1B" w:rsidRPr="003C4E38">
              <w:rPr>
                <w:rFonts w:ascii="Arial" w:eastAsia="Times New Roman" w:hAnsi="Arial" w:cs="Arial"/>
                <w:szCs w:val="20"/>
                <w:lang w:val="en-US" w:eastAsia="fr-FR"/>
              </w:rPr>
              <w:br/>
              <w:t xml:space="preserve">- Checks </w:t>
            </w:r>
            <w:r w:rsidR="00771F1B">
              <w:rPr>
                <w:rFonts w:ascii="Arial" w:eastAsia="Times New Roman" w:hAnsi="Arial" w:cs="Arial"/>
                <w:szCs w:val="20"/>
                <w:lang w:val="en-US" w:eastAsia="fr-FR"/>
              </w:rPr>
              <w:t xml:space="preserve">and validates </w:t>
            </w:r>
            <w:r w:rsidR="00771F1B" w:rsidRPr="003C4E38">
              <w:rPr>
                <w:rFonts w:ascii="Arial" w:eastAsia="Times New Roman" w:hAnsi="Arial" w:cs="Arial"/>
                <w:szCs w:val="20"/>
                <w:lang w:val="en-US" w:eastAsia="fr-FR"/>
              </w:rPr>
              <w:t>the sectoral experts’ answers to the comments and recommendations of the UNFCCC reviews.</w:t>
            </w:r>
          </w:p>
        </w:tc>
      </w:tr>
      <w:tr w:rsidR="00771F1B" w:rsidRPr="00E46554" w14:paraId="36678456" w14:textId="77777777" w:rsidTr="00D84951">
        <w:trPr>
          <w:trHeight w:val="732"/>
          <w:jc w:val="center"/>
        </w:trPr>
        <w:tc>
          <w:tcPr>
            <w:tcW w:w="732" w:type="pct"/>
            <w:vMerge/>
            <w:tcBorders>
              <w:left w:val="single" w:sz="4" w:space="0" w:color="auto"/>
              <w:right w:val="single" w:sz="4" w:space="0" w:color="auto"/>
            </w:tcBorders>
            <w:vAlign w:val="center"/>
          </w:tcPr>
          <w:p w14:paraId="5769ACF0" w14:textId="77777777" w:rsidR="00771F1B" w:rsidRDefault="00771F1B" w:rsidP="009E479D">
            <w:pPr>
              <w:jc w:val="center"/>
              <w:rPr>
                <w:rFonts w:ascii="Arial" w:eastAsia="Times New Roman" w:hAnsi="Arial" w:cs="Arial"/>
                <w:szCs w:val="20"/>
                <w:lang w:val="en-US" w:eastAsia="fr-FR"/>
              </w:rPr>
            </w:pPr>
          </w:p>
        </w:tc>
        <w:tc>
          <w:tcPr>
            <w:tcW w:w="4268" w:type="pct"/>
            <w:tcBorders>
              <w:top w:val="single" w:sz="4" w:space="0" w:color="auto"/>
              <w:left w:val="nil"/>
              <w:bottom w:val="single" w:sz="4" w:space="0" w:color="auto"/>
              <w:right w:val="single" w:sz="4" w:space="0" w:color="auto"/>
            </w:tcBorders>
            <w:shd w:val="clear" w:color="auto" w:fill="auto"/>
          </w:tcPr>
          <w:p w14:paraId="0C1C57F8" w14:textId="29F5E4D8" w:rsidR="00771F1B" w:rsidRPr="003C4E38" w:rsidRDefault="009E479D" w:rsidP="00771F1B">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Q2 </w:t>
            </w:r>
            <w:r w:rsidR="00CB49FF">
              <w:rPr>
                <w:rFonts w:ascii="Arial" w:eastAsia="Times New Roman" w:hAnsi="Arial" w:cs="Arial"/>
                <w:b/>
                <w:bCs/>
                <w:szCs w:val="20"/>
                <w:lang w:val="en-US" w:eastAsia="fr-FR"/>
              </w:rPr>
              <w:t>D</w:t>
            </w:r>
            <w:r w:rsidR="00771F1B" w:rsidRPr="003C4E38">
              <w:rPr>
                <w:rFonts w:ascii="Arial" w:eastAsia="Times New Roman" w:hAnsi="Arial" w:cs="Arial"/>
                <w:b/>
                <w:bCs/>
                <w:szCs w:val="20"/>
                <w:lang w:val="en-US" w:eastAsia="fr-FR"/>
              </w:rPr>
              <w:t>ata sources</w:t>
            </w:r>
            <w:r w:rsidR="00771F1B" w:rsidRPr="003C4E38">
              <w:rPr>
                <w:rFonts w:ascii="Arial" w:eastAsia="Times New Roman" w:hAnsi="Arial" w:cs="Arial"/>
                <w:szCs w:val="20"/>
                <w:lang w:val="en-US" w:eastAsia="fr-FR"/>
              </w:rPr>
              <w:br/>
              <w:t>- Checks the record of a sample of data sources</w:t>
            </w:r>
            <w:r w:rsidR="00771F1B">
              <w:rPr>
                <w:rFonts w:ascii="Arial" w:eastAsia="Times New Roman" w:hAnsi="Arial" w:cs="Arial"/>
                <w:szCs w:val="20"/>
                <w:lang w:val="en-US" w:eastAsia="fr-FR"/>
              </w:rPr>
              <w:t xml:space="preserve"> to verify that they are all archived</w:t>
            </w:r>
            <w:r w:rsidR="00771F1B" w:rsidRPr="003C4E38">
              <w:rPr>
                <w:rFonts w:ascii="Arial" w:eastAsia="Times New Roman" w:hAnsi="Arial" w:cs="Arial"/>
                <w:szCs w:val="20"/>
                <w:lang w:val="en-US" w:eastAsia="fr-FR"/>
              </w:rPr>
              <w:t>;</w:t>
            </w:r>
          </w:p>
        </w:tc>
      </w:tr>
      <w:tr w:rsidR="00771F1B" w:rsidRPr="00E46554" w14:paraId="057846C2" w14:textId="77777777" w:rsidTr="00D84951">
        <w:trPr>
          <w:trHeight w:val="732"/>
          <w:jc w:val="center"/>
        </w:trPr>
        <w:tc>
          <w:tcPr>
            <w:tcW w:w="732" w:type="pct"/>
            <w:vMerge/>
            <w:tcBorders>
              <w:left w:val="single" w:sz="4" w:space="0" w:color="auto"/>
              <w:right w:val="single" w:sz="4" w:space="0" w:color="auto"/>
            </w:tcBorders>
            <w:vAlign w:val="center"/>
          </w:tcPr>
          <w:p w14:paraId="483490D3" w14:textId="77777777" w:rsidR="00771F1B" w:rsidRDefault="00771F1B" w:rsidP="009E479D">
            <w:pPr>
              <w:jc w:val="center"/>
              <w:rPr>
                <w:rFonts w:ascii="Arial" w:eastAsia="Times New Roman" w:hAnsi="Arial" w:cs="Arial"/>
                <w:szCs w:val="20"/>
                <w:lang w:val="en-US" w:eastAsia="fr-FR"/>
              </w:rPr>
            </w:pPr>
          </w:p>
        </w:tc>
        <w:tc>
          <w:tcPr>
            <w:tcW w:w="4268" w:type="pct"/>
            <w:tcBorders>
              <w:top w:val="single" w:sz="4" w:space="0" w:color="auto"/>
              <w:left w:val="nil"/>
              <w:bottom w:val="single" w:sz="4" w:space="0" w:color="auto"/>
              <w:right w:val="single" w:sz="4" w:space="0" w:color="auto"/>
            </w:tcBorders>
            <w:shd w:val="clear" w:color="auto" w:fill="auto"/>
          </w:tcPr>
          <w:p w14:paraId="23A4D47B" w14:textId="628AFFBE" w:rsidR="00771F1B" w:rsidRPr="003C4E38" w:rsidRDefault="009E479D" w:rsidP="00771F1B">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Q3 </w:t>
            </w:r>
            <w:r w:rsidR="00CB49FF">
              <w:rPr>
                <w:rFonts w:ascii="Arial" w:eastAsia="Times New Roman" w:hAnsi="Arial" w:cs="Arial"/>
                <w:b/>
                <w:bCs/>
                <w:szCs w:val="20"/>
                <w:lang w:val="en-US" w:eastAsia="fr-FR"/>
              </w:rPr>
              <w:t>E</w:t>
            </w:r>
            <w:r w:rsidR="00771F1B" w:rsidRPr="003C4E38">
              <w:rPr>
                <w:rFonts w:ascii="Arial" w:eastAsia="Times New Roman" w:hAnsi="Arial" w:cs="Arial"/>
                <w:b/>
                <w:bCs/>
                <w:szCs w:val="20"/>
                <w:lang w:val="en-US" w:eastAsia="fr-FR"/>
              </w:rPr>
              <w:t>missions calculations</w:t>
            </w:r>
            <w:r w:rsidR="00771F1B" w:rsidRPr="003C4E38">
              <w:rPr>
                <w:rFonts w:ascii="Arial" w:eastAsia="Times New Roman" w:hAnsi="Arial" w:cs="Arial"/>
                <w:szCs w:val="20"/>
                <w:lang w:val="en-US" w:eastAsia="fr-FR"/>
              </w:rPr>
              <w:br/>
              <w:t>- Implements an automatic calculation procedure which checks that AD x EF = E;</w:t>
            </w:r>
            <w:r w:rsidR="00771F1B" w:rsidRPr="003C4E38">
              <w:rPr>
                <w:rFonts w:ascii="Arial" w:eastAsia="Times New Roman" w:hAnsi="Arial" w:cs="Arial"/>
                <w:szCs w:val="20"/>
                <w:lang w:val="en-US" w:eastAsia="fr-FR"/>
              </w:rPr>
              <w:br/>
              <w:t>- Ensures the consistency between the units used for activity data, emission factors and emissions;</w:t>
            </w:r>
            <w:r w:rsidR="00771F1B" w:rsidRPr="003C4E38">
              <w:rPr>
                <w:rFonts w:ascii="Arial" w:eastAsia="Times New Roman" w:hAnsi="Arial" w:cs="Arial"/>
                <w:szCs w:val="20"/>
                <w:lang w:val="en-US" w:eastAsia="fr-FR"/>
              </w:rPr>
              <w:br/>
              <w:t>- Checks the common file with the common data (e.g. NCVs, number of inhabitants);</w:t>
            </w:r>
            <w:r w:rsidR="00771F1B" w:rsidRPr="003C4E38">
              <w:rPr>
                <w:rFonts w:ascii="Arial" w:eastAsia="Times New Roman" w:hAnsi="Arial" w:cs="Arial"/>
                <w:szCs w:val="20"/>
                <w:lang w:val="en-US" w:eastAsia="fr-FR"/>
              </w:rPr>
              <w:br/>
              <w:t>- Checks the uncertainties estimates;</w:t>
            </w:r>
            <w:r w:rsidR="00771F1B" w:rsidRPr="003C4E38">
              <w:rPr>
                <w:rFonts w:ascii="Arial" w:eastAsia="Times New Roman" w:hAnsi="Arial" w:cs="Arial"/>
                <w:szCs w:val="20"/>
                <w:lang w:val="en-US" w:eastAsia="fr-FR"/>
              </w:rPr>
              <w:br/>
              <w:t>- Archives the calculation files.</w:t>
            </w:r>
          </w:p>
        </w:tc>
      </w:tr>
      <w:tr w:rsidR="00771F1B" w:rsidRPr="00E46554" w14:paraId="34DCFD16" w14:textId="77777777" w:rsidTr="00D84951">
        <w:trPr>
          <w:trHeight w:val="732"/>
          <w:jc w:val="center"/>
        </w:trPr>
        <w:tc>
          <w:tcPr>
            <w:tcW w:w="732" w:type="pct"/>
            <w:vMerge/>
            <w:tcBorders>
              <w:left w:val="single" w:sz="4" w:space="0" w:color="auto"/>
              <w:bottom w:val="single" w:sz="4" w:space="0" w:color="000000"/>
              <w:right w:val="single" w:sz="4" w:space="0" w:color="auto"/>
            </w:tcBorders>
            <w:vAlign w:val="center"/>
          </w:tcPr>
          <w:p w14:paraId="4D79903C" w14:textId="77777777" w:rsidR="00771F1B" w:rsidRDefault="00771F1B" w:rsidP="009E479D">
            <w:pPr>
              <w:jc w:val="center"/>
              <w:rPr>
                <w:rFonts w:ascii="Arial" w:eastAsia="Times New Roman" w:hAnsi="Arial" w:cs="Arial"/>
                <w:szCs w:val="20"/>
                <w:lang w:val="en-US" w:eastAsia="fr-FR"/>
              </w:rPr>
            </w:pPr>
          </w:p>
        </w:tc>
        <w:tc>
          <w:tcPr>
            <w:tcW w:w="4268" w:type="pct"/>
            <w:tcBorders>
              <w:top w:val="single" w:sz="4" w:space="0" w:color="auto"/>
              <w:left w:val="nil"/>
              <w:bottom w:val="single" w:sz="4" w:space="0" w:color="auto"/>
              <w:right w:val="single" w:sz="4" w:space="0" w:color="auto"/>
            </w:tcBorders>
            <w:shd w:val="clear" w:color="auto" w:fill="auto"/>
          </w:tcPr>
          <w:p w14:paraId="4B9F2F0E" w14:textId="113C2DBE" w:rsidR="00771F1B" w:rsidRPr="003C4E38" w:rsidRDefault="009E479D" w:rsidP="00771F1B">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Q4/Q5 </w:t>
            </w:r>
            <w:r w:rsidR="00CB49FF">
              <w:rPr>
                <w:rFonts w:ascii="Arial" w:eastAsia="Times New Roman" w:hAnsi="Arial" w:cs="Arial"/>
                <w:b/>
                <w:bCs/>
                <w:szCs w:val="20"/>
                <w:lang w:val="en-US" w:eastAsia="fr-FR"/>
              </w:rPr>
              <w:t>D</w:t>
            </w:r>
            <w:r w:rsidR="00771F1B" w:rsidRPr="003C4E38">
              <w:rPr>
                <w:rFonts w:ascii="Arial" w:eastAsia="Times New Roman" w:hAnsi="Arial" w:cs="Arial"/>
                <w:b/>
                <w:bCs/>
                <w:szCs w:val="20"/>
                <w:lang w:val="en-US" w:eastAsia="fr-FR"/>
              </w:rPr>
              <w:t>ata reporting</w:t>
            </w:r>
            <w:r w:rsidR="00771F1B" w:rsidRPr="003C4E38">
              <w:rPr>
                <w:rFonts w:ascii="Arial" w:eastAsia="Times New Roman" w:hAnsi="Arial" w:cs="Arial"/>
                <w:b/>
                <w:bCs/>
                <w:szCs w:val="20"/>
                <w:lang w:val="en-US" w:eastAsia="fr-FR"/>
              </w:rPr>
              <w:br/>
            </w:r>
            <w:r w:rsidR="00771F1B" w:rsidRPr="003C4E38">
              <w:rPr>
                <w:rFonts w:ascii="Arial" w:eastAsia="Times New Roman" w:hAnsi="Arial" w:cs="Arial"/>
                <w:szCs w:val="20"/>
                <w:lang w:val="en-US" w:eastAsia="fr-FR"/>
              </w:rPr>
              <w:t xml:space="preserve">- Checks consistency between calculation </w:t>
            </w:r>
            <w:r w:rsidR="00771F1B">
              <w:rPr>
                <w:rFonts w:ascii="Arial" w:eastAsia="Times New Roman" w:hAnsi="Arial" w:cs="Arial"/>
                <w:szCs w:val="20"/>
                <w:lang w:val="en-US" w:eastAsia="fr-FR"/>
              </w:rPr>
              <w:t>tool</w:t>
            </w:r>
            <w:r w:rsidR="00771F1B" w:rsidRPr="003C4E38">
              <w:rPr>
                <w:rFonts w:ascii="Arial" w:eastAsia="Times New Roman" w:hAnsi="Arial" w:cs="Arial"/>
                <w:szCs w:val="20"/>
                <w:lang w:val="en-US" w:eastAsia="fr-FR"/>
              </w:rPr>
              <w:t xml:space="preserve"> and the final reporting products</w:t>
            </w:r>
            <w:r w:rsidR="00771F1B">
              <w:rPr>
                <w:rFonts w:ascii="Arial" w:eastAsia="Times New Roman" w:hAnsi="Arial" w:cs="Arial"/>
                <w:szCs w:val="20"/>
                <w:lang w:val="en-US" w:eastAsia="fr-FR"/>
              </w:rPr>
              <w:t xml:space="preserve"> (</w:t>
            </w:r>
            <w:r w:rsidR="000F6001">
              <w:rPr>
                <w:rFonts w:ascii="Arial" w:eastAsia="Times New Roman" w:hAnsi="Arial" w:cs="Arial"/>
                <w:szCs w:val="20"/>
                <w:lang w:val="en-US" w:eastAsia="fr-FR"/>
              </w:rPr>
              <w:t>CRT</w:t>
            </w:r>
            <w:r w:rsidR="00771F1B">
              <w:rPr>
                <w:rFonts w:ascii="Arial" w:eastAsia="Times New Roman" w:hAnsi="Arial" w:cs="Arial"/>
                <w:szCs w:val="20"/>
                <w:lang w:val="en-US" w:eastAsia="fr-FR"/>
              </w:rPr>
              <w:t xml:space="preserve"> tables)</w:t>
            </w:r>
            <w:r w:rsidR="00771F1B" w:rsidRPr="003C4E38">
              <w:rPr>
                <w:rFonts w:ascii="Arial" w:eastAsia="Times New Roman" w:hAnsi="Arial" w:cs="Arial"/>
                <w:szCs w:val="20"/>
                <w:lang w:val="en-US" w:eastAsia="fr-FR"/>
              </w:rPr>
              <w:t>;</w:t>
            </w:r>
            <w:r w:rsidR="00771F1B" w:rsidRPr="003C4E38">
              <w:rPr>
                <w:rFonts w:ascii="Arial" w:eastAsia="Times New Roman" w:hAnsi="Arial" w:cs="Arial"/>
                <w:szCs w:val="20"/>
                <w:lang w:val="en-US" w:eastAsia="fr-FR"/>
              </w:rPr>
              <w:br/>
              <w:t>- Archives all reporting products;</w:t>
            </w:r>
            <w:r w:rsidR="00771F1B" w:rsidRPr="003C4E38">
              <w:rPr>
                <w:rFonts w:ascii="Arial" w:eastAsia="Times New Roman" w:hAnsi="Arial" w:cs="Arial"/>
                <w:szCs w:val="20"/>
                <w:lang w:val="en-US" w:eastAsia="fr-FR"/>
              </w:rPr>
              <w:br/>
              <w:t xml:space="preserve">- Checks the good import of </w:t>
            </w:r>
            <w:r w:rsidR="00771F1B">
              <w:rPr>
                <w:rFonts w:ascii="Arial" w:eastAsia="Times New Roman" w:hAnsi="Arial" w:cs="Arial"/>
                <w:szCs w:val="20"/>
                <w:lang w:val="en-US" w:eastAsia="fr-FR"/>
              </w:rPr>
              <w:t>all data</w:t>
            </w:r>
            <w:r w:rsidR="00771F1B" w:rsidRPr="003C4E38">
              <w:rPr>
                <w:rFonts w:ascii="Arial" w:eastAsia="Times New Roman" w:hAnsi="Arial" w:cs="Arial"/>
                <w:szCs w:val="20"/>
                <w:lang w:val="en-US" w:eastAsia="fr-FR"/>
              </w:rPr>
              <w:t xml:space="preserve"> into the database (completeness and date of the import);</w:t>
            </w:r>
            <w:r w:rsidR="00771F1B" w:rsidRPr="003C4E38">
              <w:rPr>
                <w:rFonts w:ascii="Arial" w:eastAsia="Times New Roman" w:hAnsi="Arial" w:cs="Arial"/>
                <w:szCs w:val="20"/>
                <w:lang w:val="en-US" w:eastAsia="fr-FR"/>
              </w:rPr>
              <w:br/>
              <w:t>- Plans trend checks on the database;</w:t>
            </w:r>
            <w:r w:rsidR="00771F1B" w:rsidRPr="003C4E38">
              <w:rPr>
                <w:rFonts w:ascii="Arial" w:eastAsia="Times New Roman" w:hAnsi="Arial" w:cs="Arial"/>
                <w:szCs w:val="20"/>
                <w:lang w:val="en-US" w:eastAsia="fr-FR"/>
              </w:rPr>
              <w:br/>
              <w:t xml:space="preserve">- </w:t>
            </w:r>
            <w:r w:rsidR="00771F1B">
              <w:rPr>
                <w:rFonts w:ascii="Arial" w:eastAsia="Times New Roman" w:hAnsi="Arial" w:cs="Arial"/>
                <w:szCs w:val="20"/>
                <w:lang w:val="en-US" w:eastAsia="fr-FR"/>
              </w:rPr>
              <w:t>Compares</w:t>
            </w:r>
            <w:r w:rsidR="00771F1B" w:rsidRPr="003C4E38">
              <w:rPr>
                <w:rFonts w:ascii="Arial" w:eastAsia="Times New Roman" w:hAnsi="Arial" w:cs="Arial"/>
                <w:szCs w:val="20"/>
                <w:lang w:val="en-US" w:eastAsia="fr-FR"/>
              </w:rPr>
              <w:t xml:space="preserve"> the current inventory results </w:t>
            </w:r>
            <w:r w:rsidR="00771F1B">
              <w:rPr>
                <w:rFonts w:ascii="Arial" w:eastAsia="Times New Roman" w:hAnsi="Arial" w:cs="Arial"/>
                <w:szCs w:val="20"/>
                <w:lang w:val="en-US" w:eastAsia="fr-FR"/>
              </w:rPr>
              <w:t>vs.</w:t>
            </w:r>
            <w:r w:rsidR="00771F1B" w:rsidRPr="003C4E38">
              <w:rPr>
                <w:rFonts w:ascii="Arial" w:eastAsia="Times New Roman" w:hAnsi="Arial" w:cs="Arial"/>
                <w:szCs w:val="20"/>
                <w:lang w:val="en-US" w:eastAsia="fr-FR"/>
              </w:rPr>
              <w:t xml:space="preserve"> the previous one and asks sectoral experts for explaining the potential changes, recalculations </w:t>
            </w:r>
            <w:r w:rsidR="00771F1B">
              <w:rPr>
                <w:rFonts w:ascii="Arial" w:eastAsia="Times New Roman" w:hAnsi="Arial" w:cs="Arial"/>
                <w:szCs w:val="20"/>
                <w:lang w:val="en-US" w:eastAsia="fr-FR"/>
              </w:rPr>
              <w:t>to detect potential</w:t>
            </w:r>
            <w:r w:rsidR="00771F1B" w:rsidRPr="003C4E38">
              <w:rPr>
                <w:rFonts w:ascii="Arial" w:eastAsia="Times New Roman" w:hAnsi="Arial" w:cs="Arial"/>
                <w:szCs w:val="20"/>
                <w:lang w:val="en-US" w:eastAsia="fr-FR"/>
              </w:rPr>
              <w:t xml:space="preserve"> errors;</w:t>
            </w:r>
            <w:r w:rsidR="00771F1B" w:rsidRPr="003C4E38">
              <w:rPr>
                <w:rFonts w:ascii="Arial" w:eastAsia="Times New Roman" w:hAnsi="Arial" w:cs="Arial"/>
                <w:szCs w:val="20"/>
                <w:lang w:val="en-US" w:eastAsia="fr-FR"/>
              </w:rPr>
              <w:br/>
              <w:t>- Ensures that all recommendations from international reviews have been taken into consideration by the involved sectoral expert;</w:t>
            </w:r>
            <w:r w:rsidR="00771F1B" w:rsidRPr="003C4E38">
              <w:rPr>
                <w:rFonts w:ascii="Arial" w:eastAsia="Times New Roman" w:hAnsi="Arial" w:cs="Arial"/>
                <w:szCs w:val="20"/>
                <w:lang w:val="en-US" w:eastAsia="fr-FR"/>
              </w:rPr>
              <w:br/>
              <w:t>- Verifies if the complementary information on national emission inventory under the MMR is well fulfilled and updated for the next submission.</w:t>
            </w:r>
          </w:p>
        </w:tc>
      </w:tr>
      <w:tr w:rsidR="00771F1B" w:rsidRPr="00E46554" w14:paraId="4AA3A4C6" w14:textId="77777777" w:rsidTr="00D84951">
        <w:trPr>
          <w:trHeight w:val="732"/>
          <w:jc w:val="center"/>
        </w:trPr>
        <w:tc>
          <w:tcPr>
            <w:tcW w:w="732" w:type="pct"/>
            <w:vMerge w:val="restart"/>
            <w:tcBorders>
              <w:top w:val="single" w:sz="4" w:space="0" w:color="auto"/>
              <w:left w:val="single" w:sz="4" w:space="0" w:color="auto"/>
              <w:right w:val="single" w:sz="4" w:space="0" w:color="auto"/>
            </w:tcBorders>
            <w:vAlign w:val="center"/>
          </w:tcPr>
          <w:p w14:paraId="4B29DA54" w14:textId="7438B457" w:rsidR="00771F1B" w:rsidRDefault="009E479D" w:rsidP="009E479D">
            <w:pPr>
              <w:jc w:val="center"/>
              <w:rPr>
                <w:rFonts w:ascii="Arial" w:eastAsia="Times New Roman" w:hAnsi="Arial" w:cs="Arial"/>
                <w:szCs w:val="20"/>
                <w:lang w:val="en-US" w:eastAsia="fr-FR"/>
              </w:rPr>
            </w:pPr>
            <w:r>
              <w:rPr>
                <w:rFonts w:ascii="Arial" w:eastAsia="Times New Roman" w:hAnsi="Arial" w:cs="Arial"/>
                <w:szCs w:val="20"/>
                <w:lang w:val="en-US" w:eastAsia="fr-FR"/>
              </w:rPr>
              <w:lastRenderedPageBreak/>
              <w:t xml:space="preserve">(2) </w:t>
            </w:r>
            <w:r w:rsidR="00771F1B">
              <w:rPr>
                <w:rFonts w:ascii="Arial" w:eastAsia="Times New Roman" w:hAnsi="Arial" w:cs="Arial"/>
                <w:szCs w:val="20"/>
                <w:lang w:val="en-US" w:eastAsia="fr-FR"/>
              </w:rPr>
              <w:t>Inventory manager</w:t>
            </w:r>
          </w:p>
        </w:tc>
        <w:tc>
          <w:tcPr>
            <w:tcW w:w="4268" w:type="pct"/>
            <w:tcBorders>
              <w:top w:val="single" w:sz="4" w:space="0" w:color="auto"/>
              <w:left w:val="nil"/>
              <w:bottom w:val="single" w:sz="4" w:space="0" w:color="auto"/>
              <w:right w:val="single" w:sz="4" w:space="0" w:color="auto"/>
            </w:tcBorders>
            <w:shd w:val="clear" w:color="auto" w:fill="auto"/>
          </w:tcPr>
          <w:p w14:paraId="1FA9A820" w14:textId="49F9693C" w:rsidR="00771F1B" w:rsidRPr="003C4E38" w:rsidRDefault="009E479D" w:rsidP="00771F1B">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Q6/Q7 </w:t>
            </w:r>
            <w:r w:rsidR="00CB4BC2">
              <w:rPr>
                <w:rFonts w:ascii="Arial" w:eastAsia="Times New Roman" w:hAnsi="Arial" w:cs="Arial"/>
                <w:b/>
                <w:bCs/>
                <w:szCs w:val="20"/>
                <w:lang w:val="en-US" w:eastAsia="fr-FR"/>
              </w:rPr>
              <w:t>National Inventory Document</w:t>
            </w:r>
            <w:r w:rsidR="00771F1B" w:rsidRPr="003C4E38">
              <w:rPr>
                <w:rFonts w:ascii="Arial" w:eastAsia="Times New Roman" w:hAnsi="Arial" w:cs="Arial"/>
                <w:b/>
                <w:bCs/>
                <w:szCs w:val="20"/>
                <w:lang w:val="en-US" w:eastAsia="fr-FR"/>
              </w:rPr>
              <w:br/>
            </w:r>
            <w:r w:rsidR="00771F1B" w:rsidRPr="003C4E38">
              <w:rPr>
                <w:rFonts w:ascii="Arial" w:eastAsia="Times New Roman" w:hAnsi="Arial" w:cs="Arial"/>
                <w:szCs w:val="20"/>
                <w:lang w:val="en-US" w:eastAsia="fr-FR"/>
              </w:rPr>
              <w:t>- Support</w:t>
            </w:r>
            <w:r w:rsidR="00771F1B">
              <w:rPr>
                <w:rFonts w:ascii="Arial" w:eastAsia="Times New Roman" w:hAnsi="Arial" w:cs="Arial"/>
                <w:szCs w:val="20"/>
                <w:lang w:val="en-US" w:eastAsia="fr-FR"/>
              </w:rPr>
              <w:t>s</w:t>
            </w:r>
            <w:r w:rsidR="00771F1B" w:rsidRPr="003C4E38">
              <w:rPr>
                <w:rFonts w:ascii="Arial" w:eastAsia="Times New Roman" w:hAnsi="Arial" w:cs="Arial"/>
                <w:szCs w:val="20"/>
                <w:lang w:val="en-US" w:eastAsia="fr-FR"/>
              </w:rPr>
              <w:t xml:space="preserve"> the </w:t>
            </w:r>
            <w:r w:rsidR="000F6001">
              <w:rPr>
                <w:rFonts w:ascii="Arial" w:eastAsia="Times New Roman" w:hAnsi="Arial" w:cs="Arial"/>
                <w:szCs w:val="20"/>
                <w:lang w:val="en-US" w:eastAsia="fr-FR"/>
              </w:rPr>
              <w:t>NID</w:t>
            </w:r>
            <w:r w:rsidR="00771F1B" w:rsidRPr="003C4E38">
              <w:rPr>
                <w:rFonts w:ascii="Arial" w:eastAsia="Times New Roman" w:hAnsi="Arial" w:cs="Arial"/>
                <w:szCs w:val="20"/>
                <w:lang w:val="en-US" w:eastAsia="fr-FR"/>
              </w:rPr>
              <w:t xml:space="preserve"> expert in checking and validating the chapters written by other </w:t>
            </w:r>
            <w:proofErr w:type="spellStart"/>
            <w:r w:rsidR="00771F1B" w:rsidRPr="003C4E38">
              <w:rPr>
                <w:rFonts w:ascii="Arial" w:eastAsia="Times New Roman" w:hAnsi="Arial" w:cs="Arial"/>
                <w:szCs w:val="20"/>
                <w:lang w:val="en-US" w:eastAsia="fr-FR"/>
              </w:rPr>
              <w:t>organisations</w:t>
            </w:r>
            <w:proofErr w:type="spellEnd"/>
            <w:r w:rsidR="00771F1B" w:rsidRPr="003C4E38">
              <w:rPr>
                <w:rFonts w:ascii="Arial" w:eastAsia="Times New Roman" w:hAnsi="Arial" w:cs="Arial"/>
                <w:szCs w:val="20"/>
                <w:lang w:val="en-US" w:eastAsia="fr-FR"/>
              </w:rPr>
              <w:t>;</w:t>
            </w:r>
            <w:r w:rsidR="00771F1B" w:rsidRPr="003C4E38">
              <w:rPr>
                <w:rFonts w:ascii="Arial" w:eastAsia="Times New Roman" w:hAnsi="Arial" w:cs="Arial"/>
                <w:szCs w:val="20"/>
                <w:lang w:val="en-US" w:eastAsia="fr-FR"/>
              </w:rPr>
              <w:br/>
              <w:t>- Validate</w:t>
            </w:r>
            <w:r w:rsidR="00771F1B">
              <w:rPr>
                <w:rFonts w:ascii="Arial" w:eastAsia="Times New Roman" w:hAnsi="Arial" w:cs="Arial"/>
                <w:szCs w:val="20"/>
                <w:lang w:val="en-US" w:eastAsia="fr-FR"/>
              </w:rPr>
              <w:t>s</w:t>
            </w:r>
            <w:r w:rsidR="00771F1B" w:rsidRPr="003C4E38">
              <w:rPr>
                <w:rFonts w:ascii="Arial" w:eastAsia="Times New Roman" w:hAnsi="Arial" w:cs="Arial"/>
                <w:szCs w:val="20"/>
                <w:lang w:val="en-US" w:eastAsia="fr-FR"/>
              </w:rPr>
              <w:t xml:space="preserve"> the </w:t>
            </w:r>
            <w:r w:rsidR="000F6001">
              <w:rPr>
                <w:rFonts w:ascii="Arial" w:eastAsia="Times New Roman" w:hAnsi="Arial" w:cs="Arial"/>
                <w:szCs w:val="20"/>
                <w:lang w:val="en-US" w:eastAsia="fr-FR"/>
              </w:rPr>
              <w:t>NID</w:t>
            </w:r>
            <w:r w:rsidR="00771F1B" w:rsidRPr="003C4E38">
              <w:rPr>
                <w:rFonts w:ascii="Arial" w:eastAsia="Times New Roman" w:hAnsi="Arial" w:cs="Arial"/>
                <w:szCs w:val="20"/>
                <w:lang w:val="en-US" w:eastAsia="fr-FR"/>
              </w:rPr>
              <w:t>;</w:t>
            </w:r>
            <w:r w:rsidR="00771F1B" w:rsidRPr="003C4E38">
              <w:rPr>
                <w:rFonts w:ascii="Arial" w:eastAsia="Times New Roman" w:hAnsi="Arial" w:cs="Arial"/>
                <w:szCs w:val="20"/>
                <w:lang w:val="en-US" w:eastAsia="fr-FR"/>
              </w:rPr>
              <w:br/>
              <w:t>- Archive</w:t>
            </w:r>
            <w:r w:rsidR="00771F1B">
              <w:rPr>
                <w:rFonts w:ascii="Arial" w:eastAsia="Times New Roman" w:hAnsi="Arial" w:cs="Arial"/>
                <w:szCs w:val="20"/>
                <w:lang w:val="en-US" w:eastAsia="fr-FR"/>
              </w:rPr>
              <w:t>s</w:t>
            </w:r>
            <w:r w:rsidR="00771F1B" w:rsidRPr="003C4E38">
              <w:rPr>
                <w:rFonts w:ascii="Arial" w:eastAsia="Times New Roman" w:hAnsi="Arial" w:cs="Arial"/>
                <w:szCs w:val="20"/>
                <w:lang w:val="en-US" w:eastAsia="fr-FR"/>
              </w:rPr>
              <w:t xml:space="preserve"> all information relating to the planning, preparation and management of the </w:t>
            </w:r>
            <w:r w:rsidR="000F6001">
              <w:rPr>
                <w:rFonts w:ascii="Arial" w:eastAsia="Times New Roman" w:hAnsi="Arial" w:cs="Arial"/>
                <w:szCs w:val="20"/>
                <w:lang w:val="en-US" w:eastAsia="fr-FR"/>
              </w:rPr>
              <w:t>NID</w:t>
            </w:r>
            <w:r w:rsidR="00771F1B" w:rsidRPr="003C4E38">
              <w:rPr>
                <w:rFonts w:ascii="Arial" w:eastAsia="Times New Roman" w:hAnsi="Arial" w:cs="Arial"/>
                <w:szCs w:val="20"/>
                <w:lang w:val="en-US" w:eastAsia="fr-FR"/>
              </w:rPr>
              <w:t>;</w:t>
            </w:r>
            <w:r w:rsidR="00771F1B" w:rsidRPr="003C4E38">
              <w:rPr>
                <w:rFonts w:ascii="Arial" w:eastAsia="Times New Roman" w:hAnsi="Arial" w:cs="Arial"/>
                <w:szCs w:val="20"/>
                <w:lang w:val="en-US" w:eastAsia="fr-FR"/>
              </w:rPr>
              <w:br/>
              <w:t>- Check</w:t>
            </w:r>
            <w:r w:rsidR="00771F1B">
              <w:rPr>
                <w:rFonts w:ascii="Arial" w:eastAsia="Times New Roman" w:hAnsi="Arial" w:cs="Arial"/>
                <w:szCs w:val="20"/>
                <w:lang w:val="en-US" w:eastAsia="fr-FR"/>
              </w:rPr>
              <w:t>s</w:t>
            </w:r>
            <w:r w:rsidR="00771F1B" w:rsidRPr="003C4E38">
              <w:rPr>
                <w:rFonts w:ascii="Arial" w:eastAsia="Times New Roman" w:hAnsi="Arial" w:cs="Arial"/>
                <w:szCs w:val="20"/>
                <w:lang w:val="en-US" w:eastAsia="fr-FR"/>
              </w:rPr>
              <w:t xml:space="preserve"> that the tasks of the </w:t>
            </w:r>
            <w:r w:rsidR="000F6001">
              <w:rPr>
                <w:rFonts w:ascii="Arial" w:eastAsia="Times New Roman" w:hAnsi="Arial" w:cs="Arial"/>
                <w:szCs w:val="20"/>
                <w:lang w:val="en-US" w:eastAsia="fr-FR"/>
              </w:rPr>
              <w:t>NID</w:t>
            </w:r>
            <w:r w:rsidR="00771F1B" w:rsidRPr="003C4E38">
              <w:rPr>
                <w:rFonts w:ascii="Arial" w:eastAsia="Times New Roman" w:hAnsi="Arial" w:cs="Arial"/>
                <w:szCs w:val="20"/>
                <w:lang w:val="en-US" w:eastAsia="fr-FR"/>
              </w:rPr>
              <w:t xml:space="preserve"> expert are correctly done.</w:t>
            </w:r>
          </w:p>
        </w:tc>
      </w:tr>
      <w:tr w:rsidR="00771F1B" w:rsidRPr="00E46554" w14:paraId="5E9C9375" w14:textId="77777777" w:rsidTr="00CB49FF">
        <w:trPr>
          <w:trHeight w:val="732"/>
          <w:jc w:val="center"/>
        </w:trPr>
        <w:tc>
          <w:tcPr>
            <w:tcW w:w="732" w:type="pct"/>
            <w:vMerge/>
            <w:tcBorders>
              <w:left w:val="single" w:sz="4" w:space="0" w:color="auto"/>
              <w:bottom w:val="single" w:sz="4" w:space="0" w:color="auto"/>
              <w:right w:val="single" w:sz="4" w:space="0" w:color="auto"/>
            </w:tcBorders>
            <w:vAlign w:val="center"/>
          </w:tcPr>
          <w:p w14:paraId="7C3E4E0C" w14:textId="77777777" w:rsidR="00771F1B" w:rsidRDefault="00771F1B" w:rsidP="009E479D">
            <w:pPr>
              <w:jc w:val="center"/>
              <w:rPr>
                <w:rFonts w:ascii="Arial" w:eastAsia="Times New Roman" w:hAnsi="Arial" w:cs="Arial"/>
                <w:szCs w:val="20"/>
                <w:lang w:val="en-US" w:eastAsia="fr-FR"/>
              </w:rPr>
            </w:pPr>
          </w:p>
        </w:tc>
        <w:tc>
          <w:tcPr>
            <w:tcW w:w="4268" w:type="pct"/>
            <w:tcBorders>
              <w:top w:val="single" w:sz="4" w:space="0" w:color="auto"/>
              <w:left w:val="nil"/>
              <w:bottom w:val="single" w:sz="4" w:space="0" w:color="auto"/>
              <w:right w:val="single" w:sz="4" w:space="0" w:color="auto"/>
            </w:tcBorders>
            <w:shd w:val="clear" w:color="auto" w:fill="auto"/>
          </w:tcPr>
          <w:p w14:paraId="7D451752" w14:textId="5C7CF40B" w:rsidR="00771F1B" w:rsidRPr="003C4E38" w:rsidRDefault="009E479D" w:rsidP="00771F1B">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Q8/Q9/Q10 </w:t>
            </w:r>
            <w:r w:rsidR="00771F1B" w:rsidRPr="003C4E38">
              <w:rPr>
                <w:rFonts w:ascii="Arial" w:eastAsia="Times New Roman" w:hAnsi="Arial" w:cs="Arial"/>
                <w:b/>
                <w:bCs/>
                <w:szCs w:val="20"/>
                <w:lang w:val="en-US" w:eastAsia="fr-FR"/>
              </w:rPr>
              <w:t>Proxy GHG inventories (X-1)</w:t>
            </w:r>
            <w:r w:rsidR="00771F1B" w:rsidRPr="003C4E38">
              <w:rPr>
                <w:rFonts w:ascii="Arial" w:eastAsia="Times New Roman" w:hAnsi="Arial" w:cs="Arial"/>
                <w:b/>
                <w:bCs/>
                <w:szCs w:val="20"/>
                <w:lang w:val="en-US" w:eastAsia="fr-FR"/>
              </w:rPr>
              <w:br/>
            </w:r>
            <w:r w:rsidR="00771F1B" w:rsidRPr="003C4E38">
              <w:rPr>
                <w:rFonts w:ascii="Arial" w:eastAsia="Times New Roman" w:hAnsi="Arial" w:cs="Arial"/>
                <w:szCs w:val="20"/>
                <w:lang w:val="en-US" w:eastAsia="fr-FR"/>
              </w:rPr>
              <w:t>- Checks that QA/QC procedures are well implemented.</w:t>
            </w:r>
          </w:p>
        </w:tc>
      </w:tr>
      <w:tr w:rsidR="00CB49FF" w:rsidRPr="00E46554" w14:paraId="7F34394C" w14:textId="77777777" w:rsidTr="00CB49FF">
        <w:trPr>
          <w:trHeight w:val="732"/>
          <w:jc w:val="center"/>
        </w:trPr>
        <w:tc>
          <w:tcPr>
            <w:tcW w:w="732" w:type="pct"/>
            <w:vMerge w:val="restart"/>
            <w:tcBorders>
              <w:top w:val="single" w:sz="4" w:space="0" w:color="auto"/>
              <w:left w:val="single" w:sz="4" w:space="0" w:color="auto"/>
              <w:bottom w:val="single" w:sz="4" w:space="0" w:color="000000"/>
              <w:right w:val="single" w:sz="4" w:space="0" w:color="auto"/>
            </w:tcBorders>
            <w:vAlign w:val="center"/>
          </w:tcPr>
          <w:p w14:paraId="373E8E07" w14:textId="3BF6498B" w:rsidR="00CB49FF" w:rsidRDefault="009E479D" w:rsidP="009E479D">
            <w:pPr>
              <w:jc w:val="center"/>
              <w:rPr>
                <w:rFonts w:ascii="Arial" w:eastAsia="Times New Roman" w:hAnsi="Arial" w:cs="Arial"/>
                <w:szCs w:val="20"/>
                <w:lang w:val="en-US" w:eastAsia="fr-FR"/>
              </w:rPr>
            </w:pPr>
            <w:r>
              <w:rPr>
                <w:rFonts w:ascii="Arial" w:eastAsia="Times New Roman" w:hAnsi="Arial" w:cs="Arial"/>
                <w:szCs w:val="20"/>
                <w:lang w:val="en-US" w:eastAsia="fr-FR"/>
              </w:rPr>
              <w:t xml:space="preserve">(3) </w:t>
            </w:r>
            <w:r w:rsidR="00CB49FF" w:rsidRPr="003C4E38">
              <w:rPr>
                <w:rFonts w:ascii="Arial" w:eastAsia="Times New Roman" w:hAnsi="Arial" w:cs="Arial"/>
                <w:szCs w:val="20"/>
                <w:lang w:val="en-US" w:eastAsia="fr-FR"/>
              </w:rPr>
              <w:t>Coordination Group of National Inventories</w:t>
            </w:r>
          </w:p>
        </w:tc>
        <w:tc>
          <w:tcPr>
            <w:tcW w:w="4268" w:type="pct"/>
            <w:tcBorders>
              <w:top w:val="single" w:sz="4" w:space="0" w:color="auto"/>
              <w:left w:val="nil"/>
              <w:bottom w:val="single" w:sz="4" w:space="0" w:color="auto"/>
              <w:right w:val="single" w:sz="4" w:space="0" w:color="auto"/>
            </w:tcBorders>
            <w:shd w:val="clear" w:color="auto" w:fill="auto"/>
            <w:vAlign w:val="bottom"/>
          </w:tcPr>
          <w:p w14:paraId="75DB7569" w14:textId="4AAD1C54" w:rsidR="00CB49FF" w:rsidRPr="003C4E38" w:rsidRDefault="009E479D" w:rsidP="00CB49FF">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Q1 </w:t>
            </w:r>
            <w:r w:rsidR="00CB49FF" w:rsidRPr="003C4E38">
              <w:rPr>
                <w:rFonts w:ascii="Arial" w:eastAsia="Times New Roman" w:hAnsi="Arial" w:cs="Arial"/>
                <w:b/>
                <w:bCs/>
                <w:szCs w:val="20"/>
                <w:lang w:val="en-US" w:eastAsia="fr-FR"/>
              </w:rPr>
              <w:t>Coordination and planning</w:t>
            </w:r>
            <w:r w:rsidR="00CB49FF" w:rsidRPr="003C4E38">
              <w:rPr>
                <w:rFonts w:ascii="Arial" w:eastAsia="Times New Roman" w:hAnsi="Arial" w:cs="Arial"/>
                <w:szCs w:val="20"/>
                <w:lang w:val="en-US" w:eastAsia="fr-FR"/>
              </w:rPr>
              <w:br/>
              <w:t>- Validates the improvement plan, gives its opinion and approves the methodological changes.</w:t>
            </w:r>
          </w:p>
        </w:tc>
      </w:tr>
      <w:tr w:rsidR="00CB49FF" w:rsidRPr="00E46554" w14:paraId="6C4A2FC7" w14:textId="77777777" w:rsidTr="00CB49FF">
        <w:trPr>
          <w:trHeight w:val="732"/>
          <w:jc w:val="center"/>
        </w:trPr>
        <w:tc>
          <w:tcPr>
            <w:tcW w:w="732" w:type="pct"/>
            <w:vMerge/>
            <w:tcBorders>
              <w:left w:val="single" w:sz="4" w:space="0" w:color="auto"/>
              <w:bottom w:val="single" w:sz="4" w:space="0" w:color="auto"/>
              <w:right w:val="single" w:sz="4" w:space="0" w:color="auto"/>
            </w:tcBorders>
            <w:vAlign w:val="center"/>
          </w:tcPr>
          <w:p w14:paraId="663BC614" w14:textId="77777777" w:rsidR="00CB49FF" w:rsidRPr="003C4E38" w:rsidRDefault="00CB49FF" w:rsidP="009E479D">
            <w:pPr>
              <w:jc w:val="center"/>
              <w:rPr>
                <w:rFonts w:ascii="Arial" w:eastAsia="Times New Roman" w:hAnsi="Arial" w:cs="Arial"/>
                <w:szCs w:val="20"/>
                <w:lang w:val="en-US" w:eastAsia="fr-FR"/>
              </w:rPr>
            </w:pPr>
          </w:p>
        </w:tc>
        <w:tc>
          <w:tcPr>
            <w:tcW w:w="4268" w:type="pct"/>
            <w:tcBorders>
              <w:top w:val="single" w:sz="4" w:space="0" w:color="auto"/>
              <w:left w:val="nil"/>
              <w:bottom w:val="single" w:sz="4" w:space="0" w:color="auto"/>
              <w:right w:val="single" w:sz="4" w:space="0" w:color="auto"/>
            </w:tcBorders>
            <w:shd w:val="clear" w:color="auto" w:fill="auto"/>
          </w:tcPr>
          <w:p w14:paraId="1E2AD56B" w14:textId="56DE2670" w:rsidR="00CB49FF" w:rsidRPr="003C4E38" w:rsidRDefault="009E479D" w:rsidP="00CB49FF">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Q3 </w:t>
            </w:r>
            <w:r w:rsidR="00CB49FF">
              <w:rPr>
                <w:rFonts w:ascii="Arial" w:eastAsia="Times New Roman" w:hAnsi="Arial" w:cs="Arial"/>
                <w:b/>
                <w:bCs/>
                <w:szCs w:val="20"/>
                <w:lang w:val="en-US" w:eastAsia="fr-FR"/>
              </w:rPr>
              <w:t>E</w:t>
            </w:r>
            <w:r w:rsidR="00CB49FF" w:rsidRPr="003C4E38">
              <w:rPr>
                <w:rFonts w:ascii="Arial" w:eastAsia="Times New Roman" w:hAnsi="Arial" w:cs="Arial"/>
                <w:b/>
                <w:bCs/>
                <w:szCs w:val="20"/>
                <w:lang w:val="en-US" w:eastAsia="fr-FR"/>
              </w:rPr>
              <w:t>missions calculations</w:t>
            </w:r>
            <w:r w:rsidR="00CB49FF" w:rsidRPr="003C4E38">
              <w:rPr>
                <w:rFonts w:ascii="Arial" w:eastAsia="Times New Roman" w:hAnsi="Arial" w:cs="Arial"/>
                <w:szCs w:val="20"/>
                <w:lang w:val="en-US" w:eastAsia="fr-FR"/>
              </w:rPr>
              <w:br/>
              <w:t>- Gives opinion on the results of estimations produced in the inventories.</w:t>
            </w:r>
          </w:p>
        </w:tc>
      </w:tr>
      <w:tr w:rsidR="00CB49FF" w:rsidRPr="00E46554" w14:paraId="01DFA8A2" w14:textId="77777777" w:rsidTr="00CB49FF">
        <w:trPr>
          <w:trHeight w:val="732"/>
          <w:jc w:val="center"/>
        </w:trPr>
        <w:tc>
          <w:tcPr>
            <w:tcW w:w="732" w:type="pct"/>
            <w:tcBorders>
              <w:top w:val="single" w:sz="4" w:space="0" w:color="auto"/>
              <w:left w:val="single" w:sz="4" w:space="0" w:color="auto"/>
              <w:bottom w:val="single" w:sz="4" w:space="0" w:color="auto"/>
              <w:right w:val="single" w:sz="4" w:space="0" w:color="auto"/>
            </w:tcBorders>
            <w:vAlign w:val="center"/>
          </w:tcPr>
          <w:p w14:paraId="4FB6E78E" w14:textId="2AFA8B81" w:rsidR="00CB49FF" w:rsidRPr="003C4E38" w:rsidRDefault="009E479D" w:rsidP="009E479D">
            <w:pPr>
              <w:jc w:val="center"/>
              <w:rPr>
                <w:rFonts w:ascii="Arial" w:eastAsia="Times New Roman" w:hAnsi="Arial" w:cs="Arial"/>
                <w:szCs w:val="20"/>
                <w:lang w:val="en-US" w:eastAsia="fr-FR"/>
              </w:rPr>
            </w:pPr>
            <w:r>
              <w:rPr>
                <w:rFonts w:ascii="Arial" w:eastAsia="Times New Roman" w:hAnsi="Arial" w:cs="Arial"/>
                <w:szCs w:val="20"/>
                <w:lang w:val="fr-FR" w:eastAsia="fr-FR"/>
              </w:rPr>
              <w:t xml:space="preserve">(4) </w:t>
            </w:r>
            <w:r w:rsidR="00CB49FF" w:rsidRPr="003C4E38">
              <w:rPr>
                <w:rFonts w:ascii="Arial" w:eastAsia="Times New Roman" w:hAnsi="Arial" w:cs="Arial"/>
                <w:szCs w:val="20"/>
                <w:lang w:val="fr-FR" w:eastAsia="fr-FR"/>
              </w:rPr>
              <w:t>ETS expert</w:t>
            </w:r>
          </w:p>
        </w:tc>
        <w:tc>
          <w:tcPr>
            <w:tcW w:w="4268" w:type="pct"/>
            <w:tcBorders>
              <w:top w:val="single" w:sz="4" w:space="0" w:color="auto"/>
              <w:left w:val="nil"/>
              <w:bottom w:val="single" w:sz="4" w:space="0" w:color="auto"/>
              <w:right w:val="single" w:sz="4" w:space="0" w:color="auto"/>
            </w:tcBorders>
            <w:shd w:val="clear" w:color="auto" w:fill="auto"/>
          </w:tcPr>
          <w:p w14:paraId="36DE1BDC" w14:textId="0AE33060" w:rsidR="00CB49FF" w:rsidRDefault="009E479D" w:rsidP="00CB49FF">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Q5 </w:t>
            </w:r>
            <w:r w:rsidR="00CB49FF">
              <w:rPr>
                <w:rFonts w:ascii="Arial" w:eastAsia="Times New Roman" w:hAnsi="Arial" w:cs="Arial"/>
                <w:b/>
                <w:bCs/>
                <w:szCs w:val="20"/>
                <w:lang w:val="en-US" w:eastAsia="fr-FR"/>
              </w:rPr>
              <w:t>D</w:t>
            </w:r>
            <w:r w:rsidR="00CB49FF" w:rsidRPr="003C4E38">
              <w:rPr>
                <w:rFonts w:ascii="Arial" w:eastAsia="Times New Roman" w:hAnsi="Arial" w:cs="Arial"/>
                <w:b/>
                <w:bCs/>
                <w:szCs w:val="20"/>
                <w:lang w:val="en-US" w:eastAsia="fr-FR"/>
              </w:rPr>
              <w:t>ata reporting</w:t>
            </w:r>
            <w:r w:rsidR="00CB49FF" w:rsidRPr="003C4E38">
              <w:rPr>
                <w:rFonts w:ascii="Arial" w:eastAsia="Times New Roman" w:hAnsi="Arial" w:cs="Arial"/>
                <w:szCs w:val="20"/>
                <w:lang w:val="en-US" w:eastAsia="fr-FR"/>
              </w:rPr>
              <w:br/>
              <w:t>- ESD template: compares the total CO</w:t>
            </w:r>
            <w:r w:rsidR="00CB49FF" w:rsidRPr="00DE145B">
              <w:rPr>
                <w:rFonts w:ascii="Arial" w:eastAsia="Times New Roman" w:hAnsi="Arial" w:cs="Arial"/>
                <w:szCs w:val="20"/>
                <w:vertAlign w:val="subscript"/>
                <w:lang w:val="en-US" w:eastAsia="fr-FR"/>
              </w:rPr>
              <w:t>2</w:t>
            </w:r>
            <w:r w:rsidR="00CB49FF" w:rsidRPr="003C4E38">
              <w:rPr>
                <w:rFonts w:ascii="Arial" w:eastAsia="Times New Roman" w:hAnsi="Arial" w:cs="Arial"/>
                <w:szCs w:val="20"/>
                <w:lang w:val="en-US" w:eastAsia="fr-FR"/>
              </w:rPr>
              <w:t>eq emissions filled in the ESD template and the emissions reported under UNFCCC inventory; compares the ETS emissions filled in the ESD template and the official final total of annual ETS emissions transmitted by the Member state to the European Union Register;</w:t>
            </w:r>
            <w:r w:rsidR="00CB49FF" w:rsidRPr="003C4E38">
              <w:rPr>
                <w:rFonts w:ascii="Arial" w:eastAsia="Times New Roman" w:hAnsi="Arial" w:cs="Arial"/>
                <w:szCs w:val="20"/>
                <w:lang w:val="en-US" w:eastAsia="fr-FR"/>
              </w:rPr>
              <w:br/>
              <w:t>- Consistency with ETS data: does cross-checks between the data sources and the reported data.</w:t>
            </w:r>
          </w:p>
        </w:tc>
      </w:tr>
      <w:tr w:rsidR="00CB49FF" w:rsidRPr="00E46554" w14:paraId="4A97ABD9" w14:textId="77777777" w:rsidTr="00D84951">
        <w:trPr>
          <w:trHeight w:val="732"/>
          <w:jc w:val="center"/>
        </w:trPr>
        <w:tc>
          <w:tcPr>
            <w:tcW w:w="732" w:type="pct"/>
            <w:vMerge w:val="restart"/>
            <w:tcBorders>
              <w:top w:val="single" w:sz="4" w:space="0" w:color="auto"/>
              <w:left w:val="single" w:sz="4" w:space="0" w:color="auto"/>
              <w:right w:val="single" w:sz="4" w:space="0" w:color="auto"/>
            </w:tcBorders>
            <w:vAlign w:val="center"/>
          </w:tcPr>
          <w:p w14:paraId="1DD70224" w14:textId="5074CA28" w:rsidR="00CB49FF" w:rsidRPr="00CB49FF" w:rsidRDefault="009E479D" w:rsidP="009E479D">
            <w:pPr>
              <w:jc w:val="center"/>
              <w:rPr>
                <w:rFonts w:ascii="Arial" w:eastAsia="Times New Roman" w:hAnsi="Arial" w:cs="Arial"/>
                <w:szCs w:val="20"/>
                <w:lang w:val="en-US" w:eastAsia="fr-FR"/>
              </w:rPr>
            </w:pPr>
            <w:r>
              <w:rPr>
                <w:rFonts w:ascii="Arial" w:eastAsia="Times New Roman" w:hAnsi="Arial" w:cs="Arial"/>
                <w:szCs w:val="20"/>
                <w:lang w:val="en-US" w:eastAsia="fr-FR"/>
              </w:rPr>
              <w:t xml:space="preserve">(5) </w:t>
            </w:r>
            <w:r w:rsidR="00CB49FF" w:rsidRPr="00A24A60">
              <w:rPr>
                <w:rFonts w:ascii="Arial" w:eastAsia="Times New Roman" w:hAnsi="Arial" w:cs="Arial"/>
                <w:szCs w:val="20"/>
                <w:lang w:val="en-US" w:eastAsia="fr-FR"/>
              </w:rPr>
              <w:t>Inventory manager or sectoral expert</w:t>
            </w:r>
            <w:r w:rsidR="00CB49FF">
              <w:rPr>
                <w:rFonts w:ascii="Arial" w:eastAsia="Times New Roman" w:hAnsi="Arial" w:cs="Arial"/>
                <w:szCs w:val="20"/>
                <w:lang w:val="en-US" w:eastAsia="fr-FR"/>
              </w:rPr>
              <w:t>s</w:t>
            </w:r>
          </w:p>
        </w:tc>
        <w:tc>
          <w:tcPr>
            <w:tcW w:w="4268" w:type="pct"/>
            <w:tcBorders>
              <w:top w:val="single" w:sz="4" w:space="0" w:color="auto"/>
              <w:left w:val="nil"/>
              <w:bottom w:val="single" w:sz="4" w:space="0" w:color="auto"/>
              <w:right w:val="single" w:sz="4" w:space="0" w:color="auto"/>
            </w:tcBorders>
            <w:shd w:val="clear" w:color="auto" w:fill="auto"/>
          </w:tcPr>
          <w:p w14:paraId="5C79E01D" w14:textId="3CE3FE70" w:rsidR="00CB49FF" w:rsidRDefault="009E479D" w:rsidP="00CB49FF">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Q2 </w:t>
            </w:r>
            <w:r w:rsidR="00CB49FF">
              <w:rPr>
                <w:rFonts w:ascii="Arial" w:eastAsia="Times New Roman" w:hAnsi="Arial" w:cs="Arial"/>
                <w:b/>
                <w:bCs/>
                <w:szCs w:val="20"/>
                <w:lang w:val="en-US" w:eastAsia="fr-FR"/>
              </w:rPr>
              <w:t>D</w:t>
            </w:r>
            <w:r w:rsidR="00CB49FF" w:rsidRPr="003C4E38">
              <w:rPr>
                <w:rFonts w:ascii="Arial" w:eastAsia="Times New Roman" w:hAnsi="Arial" w:cs="Arial"/>
                <w:b/>
                <w:bCs/>
                <w:szCs w:val="20"/>
                <w:lang w:val="en-US" w:eastAsia="fr-FR"/>
              </w:rPr>
              <w:t>ata sources</w:t>
            </w:r>
            <w:r w:rsidR="00CB49FF" w:rsidRPr="003C4E38">
              <w:rPr>
                <w:rFonts w:ascii="Arial" w:eastAsia="Times New Roman" w:hAnsi="Arial" w:cs="Arial"/>
                <w:szCs w:val="20"/>
                <w:lang w:val="en-US" w:eastAsia="fr-FR"/>
              </w:rPr>
              <w:br/>
              <w:t>- In charge of the verification of data transcription;</w:t>
            </w:r>
            <w:r w:rsidR="00CB49FF" w:rsidRPr="003C4E38">
              <w:rPr>
                <w:rFonts w:ascii="Arial" w:eastAsia="Times New Roman" w:hAnsi="Arial" w:cs="Arial"/>
                <w:szCs w:val="20"/>
                <w:lang w:val="en-US" w:eastAsia="fr-FR"/>
              </w:rPr>
              <w:br/>
              <w:t>- Responsible for the temporal consistency.</w:t>
            </w:r>
          </w:p>
        </w:tc>
      </w:tr>
      <w:tr w:rsidR="00CB49FF" w:rsidRPr="00E46554" w14:paraId="291060F0" w14:textId="77777777" w:rsidTr="00CB49FF">
        <w:trPr>
          <w:trHeight w:val="732"/>
          <w:jc w:val="center"/>
        </w:trPr>
        <w:tc>
          <w:tcPr>
            <w:tcW w:w="732" w:type="pct"/>
            <w:vMerge/>
            <w:tcBorders>
              <w:left w:val="single" w:sz="4" w:space="0" w:color="auto"/>
              <w:bottom w:val="single" w:sz="4" w:space="0" w:color="auto"/>
              <w:right w:val="single" w:sz="4" w:space="0" w:color="auto"/>
            </w:tcBorders>
            <w:vAlign w:val="center"/>
          </w:tcPr>
          <w:p w14:paraId="5465C4D1" w14:textId="77777777" w:rsidR="00CB49FF" w:rsidRPr="00A24A60" w:rsidRDefault="00CB49FF" w:rsidP="009E479D">
            <w:pPr>
              <w:jc w:val="center"/>
              <w:rPr>
                <w:rFonts w:ascii="Arial" w:eastAsia="Times New Roman" w:hAnsi="Arial" w:cs="Arial"/>
                <w:szCs w:val="20"/>
                <w:lang w:val="en-US" w:eastAsia="fr-FR"/>
              </w:rPr>
            </w:pPr>
          </w:p>
        </w:tc>
        <w:tc>
          <w:tcPr>
            <w:tcW w:w="4268" w:type="pct"/>
            <w:tcBorders>
              <w:top w:val="single" w:sz="4" w:space="0" w:color="auto"/>
              <w:left w:val="nil"/>
              <w:bottom w:val="single" w:sz="4" w:space="0" w:color="auto"/>
              <w:right w:val="single" w:sz="4" w:space="0" w:color="auto"/>
            </w:tcBorders>
            <w:shd w:val="clear" w:color="auto" w:fill="auto"/>
          </w:tcPr>
          <w:p w14:paraId="5F3C5832" w14:textId="4B1C86B8" w:rsidR="00CB49FF" w:rsidRPr="003C4E38" w:rsidRDefault="009E479D" w:rsidP="00CB49FF">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Q3 </w:t>
            </w:r>
            <w:r w:rsidR="00CB49FF">
              <w:rPr>
                <w:rFonts w:ascii="Arial" w:eastAsia="Times New Roman" w:hAnsi="Arial" w:cs="Arial"/>
                <w:b/>
                <w:bCs/>
                <w:szCs w:val="20"/>
                <w:lang w:val="en-US" w:eastAsia="fr-FR"/>
              </w:rPr>
              <w:t>E</w:t>
            </w:r>
            <w:r w:rsidR="00CB49FF" w:rsidRPr="003C4E38">
              <w:rPr>
                <w:rFonts w:ascii="Arial" w:eastAsia="Times New Roman" w:hAnsi="Arial" w:cs="Arial"/>
                <w:b/>
                <w:bCs/>
                <w:szCs w:val="20"/>
                <w:lang w:val="en-US" w:eastAsia="fr-FR"/>
              </w:rPr>
              <w:t>missions calculations</w:t>
            </w:r>
            <w:r w:rsidR="00CB49FF" w:rsidRPr="003C4E38">
              <w:rPr>
                <w:rFonts w:ascii="Arial" w:eastAsia="Times New Roman" w:hAnsi="Arial" w:cs="Arial"/>
                <w:szCs w:val="20"/>
                <w:lang w:val="en-US" w:eastAsia="fr-FR"/>
              </w:rPr>
              <w:br/>
              <w:t>- Fills in the follow-up sheet with the name of the verifier and the date for the calculations files checked;</w:t>
            </w:r>
            <w:r w:rsidR="00CB49FF" w:rsidRPr="003C4E38">
              <w:rPr>
                <w:rFonts w:ascii="Arial" w:eastAsia="Times New Roman" w:hAnsi="Arial" w:cs="Arial"/>
                <w:szCs w:val="20"/>
                <w:lang w:val="en-US" w:eastAsia="fr-FR"/>
              </w:rPr>
              <w:br/>
              <w:t>- Fills in the checklist sheet for the calculation files checked;</w:t>
            </w:r>
            <w:r w:rsidR="00CB49FF" w:rsidRPr="003C4E38">
              <w:rPr>
                <w:rFonts w:ascii="Arial" w:eastAsia="Times New Roman" w:hAnsi="Arial" w:cs="Arial"/>
                <w:szCs w:val="20"/>
                <w:lang w:val="en-US" w:eastAsia="fr-FR"/>
              </w:rPr>
              <w:br/>
              <w:t>- Updates a common file with the common data (e.g. NCVs, number of inhabitants).</w:t>
            </w:r>
          </w:p>
        </w:tc>
      </w:tr>
      <w:tr w:rsidR="00CB49FF" w:rsidRPr="00CB49FF" w14:paraId="2B7DA73A" w14:textId="77777777" w:rsidTr="00CB49FF">
        <w:trPr>
          <w:trHeight w:val="732"/>
          <w:jc w:val="center"/>
        </w:trPr>
        <w:tc>
          <w:tcPr>
            <w:tcW w:w="732" w:type="pct"/>
            <w:tcBorders>
              <w:top w:val="single" w:sz="4" w:space="0" w:color="auto"/>
              <w:left w:val="single" w:sz="4" w:space="0" w:color="auto"/>
              <w:bottom w:val="single" w:sz="4" w:space="0" w:color="auto"/>
              <w:right w:val="single" w:sz="4" w:space="0" w:color="auto"/>
            </w:tcBorders>
            <w:vAlign w:val="center"/>
          </w:tcPr>
          <w:p w14:paraId="1631ED37" w14:textId="665C5B05" w:rsidR="00CB49FF" w:rsidRPr="00A24A60" w:rsidRDefault="009E479D" w:rsidP="009E479D">
            <w:pPr>
              <w:jc w:val="center"/>
              <w:rPr>
                <w:rFonts w:ascii="Arial" w:eastAsia="Times New Roman" w:hAnsi="Arial" w:cs="Arial"/>
                <w:szCs w:val="20"/>
                <w:lang w:val="en-US" w:eastAsia="fr-FR"/>
              </w:rPr>
            </w:pPr>
            <w:r>
              <w:rPr>
                <w:rFonts w:ascii="Arial" w:eastAsia="Times New Roman" w:hAnsi="Arial" w:cs="Arial"/>
                <w:szCs w:val="20"/>
                <w:lang w:val="fr-FR" w:eastAsia="fr-FR"/>
              </w:rPr>
              <w:t xml:space="preserve">(6) </w:t>
            </w:r>
            <w:r w:rsidR="000F6001">
              <w:rPr>
                <w:rFonts w:ascii="Arial" w:eastAsia="Times New Roman" w:hAnsi="Arial" w:cs="Arial"/>
                <w:szCs w:val="20"/>
                <w:lang w:val="fr-FR" w:eastAsia="fr-FR"/>
              </w:rPr>
              <w:t>CRT</w:t>
            </w:r>
            <w:r w:rsidR="00CB49FF" w:rsidRPr="003C4E38">
              <w:rPr>
                <w:rFonts w:ascii="Arial" w:eastAsia="Times New Roman" w:hAnsi="Arial" w:cs="Arial"/>
                <w:szCs w:val="20"/>
                <w:lang w:val="fr-FR" w:eastAsia="fr-FR"/>
              </w:rPr>
              <w:t xml:space="preserve"> reporter expert</w:t>
            </w:r>
          </w:p>
        </w:tc>
        <w:tc>
          <w:tcPr>
            <w:tcW w:w="4268" w:type="pct"/>
            <w:tcBorders>
              <w:top w:val="single" w:sz="4" w:space="0" w:color="auto"/>
              <w:left w:val="nil"/>
              <w:bottom w:val="single" w:sz="4" w:space="0" w:color="auto"/>
              <w:right w:val="single" w:sz="4" w:space="0" w:color="auto"/>
            </w:tcBorders>
            <w:shd w:val="clear" w:color="auto" w:fill="auto"/>
          </w:tcPr>
          <w:p w14:paraId="14661699" w14:textId="47C99A88" w:rsidR="00CB49FF" w:rsidRDefault="009E479D" w:rsidP="00CB49FF">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Q4/Q5 </w:t>
            </w:r>
            <w:r w:rsidR="00CB49FF">
              <w:rPr>
                <w:rFonts w:ascii="Arial" w:eastAsia="Times New Roman" w:hAnsi="Arial" w:cs="Arial"/>
                <w:b/>
                <w:bCs/>
                <w:szCs w:val="20"/>
                <w:lang w:val="en-US" w:eastAsia="fr-FR"/>
              </w:rPr>
              <w:t>D</w:t>
            </w:r>
            <w:r w:rsidR="00CB49FF" w:rsidRPr="003C4E38">
              <w:rPr>
                <w:rFonts w:ascii="Arial" w:eastAsia="Times New Roman" w:hAnsi="Arial" w:cs="Arial"/>
                <w:b/>
                <w:bCs/>
                <w:szCs w:val="20"/>
                <w:lang w:val="en-US" w:eastAsia="fr-FR"/>
              </w:rPr>
              <w:t>ata reporting</w:t>
            </w:r>
            <w:r w:rsidR="00CB49FF" w:rsidRPr="003C4E38">
              <w:rPr>
                <w:rFonts w:ascii="Arial" w:eastAsia="Times New Roman" w:hAnsi="Arial" w:cs="Arial"/>
                <w:szCs w:val="20"/>
                <w:lang w:val="en-US" w:eastAsia="fr-FR"/>
              </w:rPr>
              <w:br/>
              <w:t xml:space="preserve">- Checks the consistency between export sheets and the XML files in terms of units and sector aggregation (input of the </w:t>
            </w:r>
            <w:r w:rsidR="000F6001">
              <w:rPr>
                <w:rFonts w:ascii="Arial" w:eastAsia="Times New Roman" w:hAnsi="Arial" w:cs="Arial"/>
                <w:szCs w:val="20"/>
                <w:lang w:val="en-US" w:eastAsia="fr-FR"/>
              </w:rPr>
              <w:t>CRT</w:t>
            </w:r>
            <w:r w:rsidR="00CB49FF" w:rsidRPr="003C4E38">
              <w:rPr>
                <w:rFonts w:ascii="Arial" w:eastAsia="Times New Roman" w:hAnsi="Arial" w:cs="Arial"/>
                <w:szCs w:val="20"/>
                <w:lang w:val="en-US" w:eastAsia="fr-FR"/>
              </w:rPr>
              <w:t xml:space="preserve"> Reporter);</w:t>
            </w:r>
            <w:r w:rsidR="00CB49FF" w:rsidRPr="003C4E38">
              <w:rPr>
                <w:rFonts w:ascii="Arial" w:eastAsia="Times New Roman" w:hAnsi="Arial" w:cs="Arial"/>
                <w:szCs w:val="20"/>
                <w:lang w:val="en-US" w:eastAsia="fr-FR"/>
              </w:rPr>
              <w:br/>
              <w:t>- Checks total CO</w:t>
            </w:r>
            <w:r w:rsidR="00CB49FF" w:rsidRPr="00DE145B">
              <w:rPr>
                <w:rFonts w:ascii="Arial" w:eastAsia="Times New Roman" w:hAnsi="Arial" w:cs="Arial"/>
                <w:szCs w:val="20"/>
                <w:vertAlign w:val="subscript"/>
                <w:lang w:val="en-US" w:eastAsia="fr-FR"/>
              </w:rPr>
              <w:t>2</w:t>
            </w:r>
            <w:r w:rsidR="00CB49FF" w:rsidRPr="003C4E38">
              <w:rPr>
                <w:rFonts w:ascii="Arial" w:eastAsia="Times New Roman" w:hAnsi="Arial" w:cs="Arial"/>
                <w:szCs w:val="20"/>
                <w:lang w:val="en-US" w:eastAsia="fr-FR"/>
              </w:rPr>
              <w:t xml:space="preserve">eq in the database </w:t>
            </w:r>
            <w:r w:rsidR="00CB49FF">
              <w:rPr>
                <w:rFonts w:ascii="Arial" w:eastAsia="Times New Roman" w:hAnsi="Arial" w:cs="Arial"/>
                <w:szCs w:val="20"/>
                <w:lang w:val="en-US" w:eastAsia="fr-FR"/>
              </w:rPr>
              <w:t>vs.</w:t>
            </w:r>
            <w:r w:rsidR="00CB49FF" w:rsidRPr="003C4E38">
              <w:rPr>
                <w:rFonts w:ascii="Arial" w:eastAsia="Times New Roman" w:hAnsi="Arial" w:cs="Arial"/>
                <w:szCs w:val="20"/>
                <w:lang w:val="en-US" w:eastAsia="fr-FR"/>
              </w:rPr>
              <w:t xml:space="preserve"> total CO</w:t>
            </w:r>
            <w:r w:rsidR="00CB49FF" w:rsidRPr="00DE145B">
              <w:rPr>
                <w:rFonts w:ascii="Arial" w:eastAsia="Times New Roman" w:hAnsi="Arial" w:cs="Arial"/>
                <w:szCs w:val="20"/>
                <w:vertAlign w:val="subscript"/>
                <w:lang w:val="en-US" w:eastAsia="fr-FR"/>
              </w:rPr>
              <w:t>2</w:t>
            </w:r>
            <w:r w:rsidR="00CB49FF" w:rsidRPr="00DE145B">
              <w:rPr>
                <w:rFonts w:ascii="Arial" w:eastAsia="Times New Roman" w:hAnsi="Arial" w:cs="Arial"/>
                <w:szCs w:val="20"/>
                <w:lang w:val="en-US" w:eastAsia="fr-FR"/>
              </w:rPr>
              <w:t>eq</w:t>
            </w:r>
            <w:r w:rsidR="00CB49FF" w:rsidRPr="003C4E38">
              <w:rPr>
                <w:rFonts w:ascii="Arial" w:eastAsia="Times New Roman" w:hAnsi="Arial" w:cs="Arial"/>
                <w:szCs w:val="20"/>
                <w:lang w:val="en-US" w:eastAsia="fr-FR"/>
              </w:rPr>
              <w:t xml:space="preserve"> in the XML files;</w:t>
            </w:r>
            <w:r w:rsidR="00CB49FF" w:rsidRPr="003C4E38">
              <w:rPr>
                <w:rFonts w:ascii="Arial" w:eastAsia="Times New Roman" w:hAnsi="Arial" w:cs="Arial"/>
                <w:szCs w:val="20"/>
                <w:lang w:val="en-US" w:eastAsia="fr-FR"/>
              </w:rPr>
              <w:br/>
              <w:t xml:space="preserve">- Checks the consistency between the database and the </w:t>
            </w:r>
            <w:r w:rsidR="000F6001">
              <w:rPr>
                <w:rFonts w:ascii="Arial" w:eastAsia="Times New Roman" w:hAnsi="Arial" w:cs="Arial"/>
                <w:szCs w:val="20"/>
                <w:lang w:val="en-US" w:eastAsia="fr-FR"/>
              </w:rPr>
              <w:t>CRT</w:t>
            </w:r>
            <w:r w:rsidR="00CB49FF" w:rsidRPr="003C4E38">
              <w:rPr>
                <w:rFonts w:ascii="Arial" w:eastAsia="Times New Roman" w:hAnsi="Arial" w:cs="Arial"/>
                <w:szCs w:val="20"/>
                <w:lang w:val="en-US" w:eastAsia="fr-FR"/>
              </w:rPr>
              <w:t xml:space="preserve"> tables produced by the online </w:t>
            </w:r>
            <w:r w:rsidR="000F6001">
              <w:rPr>
                <w:rFonts w:ascii="Arial" w:eastAsia="Times New Roman" w:hAnsi="Arial" w:cs="Arial"/>
                <w:szCs w:val="20"/>
                <w:lang w:val="en-US" w:eastAsia="fr-FR"/>
              </w:rPr>
              <w:t>CRT</w:t>
            </w:r>
            <w:r w:rsidR="00CB49FF" w:rsidRPr="003C4E38">
              <w:rPr>
                <w:rFonts w:ascii="Arial" w:eastAsia="Times New Roman" w:hAnsi="Arial" w:cs="Arial"/>
                <w:szCs w:val="20"/>
                <w:lang w:val="en-US" w:eastAsia="fr-FR"/>
              </w:rPr>
              <w:t xml:space="preserve"> reporter =&gt; plausibility of the implied emission factor in the </w:t>
            </w:r>
            <w:r w:rsidR="000F6001">
              <w:rPr>
                <w:rFonts w:ascii="Arial" w:eastAsia="Times New Roman" w:hAnsi="Arial" w:cs="Arial"/>
                <w:szCs w:val="20"/>
                <w:lang w:val="en-US" w:eastAsia="fr-FR"/>
              </w:rPr>
              <w:t>CRT</w:t>
            </w:r>
            <w:r w:rsidR="00CB49FF" w:rsidRPr="003C4E38">
              <w:rPr>
                <w:rFonts w:ascii="Arial" w:eastAsia="Times New Roman" w:hAnsi="Arial" w:cs="Arial"/>
                <w:szCs w:val="20"/>
                <w:lang w:val="en-US" w:eastAsia="fr-FR"/>
              </w:rPr>
              <w:t xml:space="preserve"> tables; comparison of total CO</w:t>
            </w:r>
            <w:r w:rsidR="00CB49FF" w:rsidRPr="00DE145B">
              <w:rPr>
                <w:rFonts w:ascii="Arial" w:eastAsia="Times New Roman" w:hAnsi="Arial" w:cs="Arial"/>
                <w:szCs w:val="20"/>
                <w:vertAlign w:val="subscript"/>
                <w:lang w:val="en-US" w:eastAsia="fr-FR"/>
              </w:rPr>
              <w:t>2</w:t>
            </w:r>
            <w:r w:rsidR="00CB49FF" w:rsidRPr="003C4E38">
              <w:rPr>
                <w:rFonts w:ascii="Arial" w:eastAsia="Times New Roman" w:hAnsi="Arial" w:cs="Arial"/>
                <w:szCs w:val="20"/>
                <w:lang w:val="en-US" w:eastAsia="fr-FR"/>
              </w:rPr>
              <w:t xml:space="preserve">eq in the </w:t>
            </w:r>
            <w:r w:rsidR="000F6001">
              <w:rPr>
                <w:rFonts w:ascii="Arial" w:eastAsia="Times New Roman" w:hAnsi="Arial" w:cs="Arial"/>
                <w:szCs w:val="20"/>
                <w:lang w:val="en-US" w:eastAsia="fr-FR"/>
              </w:rPr>
              <w:t>CRT</w:t>
            </w:r>
            <w:r w:rsidR="00CB49FF" w:rsidRPr="003C4E38">
              <w:rPr>
                <w:rFonts w:ascii="Arial" w:eastAsia="Times New Roman" w:hAnsi="Arial" w:cs="Arial"/>
                <w:szCs w:val="20"/>
                <w:lang w:val="en-US" w:eastAsia="fr-FR"/>
              </w:rPr>
              <w:t xml:space="preserve"> tables and the database; checks on a sample of data in one </w:t>
            </w:r>
            <w:r w:rsidR="000F6001">
              <w:rPr>
                <w:rFonts w:ascii="Arial" w:eastAsia="Times New Roman" w:hAnsi="Arial" w:cs="Arial"/>
                <w:szCs w:val="20"/>
                <w:lang w:val="en-US" w:eastAsia="fr-FR"/>
              </w:rPr>
              <w:t>CRT</w:t>
            </w:r>
            <w:r w:rsidR="00CB49FF" w:rsidRPr="003C4E38">
              <w:rPr>
                <w:rFonts w:ascii="Arial" w:eastAsia="Times New Roman" w:hAnsi="Arial" w:cs="Arial"/>
                <w:szCs w:val="20"/>
                <w:lang w:val="en-US" w:eastAsia="fr-FR"/>
              </w:rPr>
              <w:t xml:space="preserve"> sector; checks the completeness of the notation keys in the </w:t>
            </w:r>
            <w:r w:rsidR="000F6001">
              <w:rPr>
                <w:rFonts w:ascii="Arial" w:eastAsia="Times New Roman" w:hAnsi="Arial" w:cs="Arial"/>
                <w:szCs w:val="20"/>
                <w:lang w:val="en-US" w:eastAsia="fr-FR"/>
              </w:rPr>
              <w:t>CRT</w:t>
            </w:r>
            <w:r w:rsidR="00CB49FF" w:rsidRPr="003C4E38">
              <w:rPr>
                <w:rFonts w:ascii="Arial" w:eastAsia="Times New Roman" w:hAnsi="Arial" w:cs="Arial"/>
                <w:szCs w:val="20"/>
                <w:lang w:val="en-US" w:eastAsia="fr-FR"/>
              </w:rPr>
              <w:t xml:space="preserve"> tables.</w:t>
            </w:r>
          </w:p>
        </w:tc>
      </w:tr>
      <w:tr w:rsidR="00CB49FF" w:rsidRPr="00CB49FF" w14:paraId="612F93CA" w14:textId="77777777" w:rsidTr="00CB49FF">
        <w:trPr>
          <w:trHeight w:val="732"/>
          <w:jc w:val="center"/>
        </w:trPr>
        <w:tc>
          <w:tcPr>
            <w:tcW w:w="732" w:type="pct"/>
            <w:tcBorders>
              <w:top w:val="single" w:sz="4" w:space="0" w:color="auto"/>
              <w:left w:val="single" w:sz="4" w:space="0" w:color="auto"/>
              <w:bottom w:val="single" w:sz="4" w:space="0" w:color="000000"/>
              <w:right w:val="single" w:sz="4" w:space="0" w:color="auto"/>
            </w:tcBorders>
            <w:vAlign w:val="center"/>
          </w:tcPr>
          <w:p w14:paraId="5E7035B2" w14:textId="374F4E71" w:rsidR="00CB49FF" w:rsidRPr="00CB49FF" w:rsidRDefault="009E479D" w:rsidP="009E479D">
            <w:pPr>
              <w:jc w:val="center"/>
              <w:rPr>
                <w:rFonts w:ascii="Arial" w:eastAsia="Times New Roman" w:hAnsi="Arial" w:cs="Arial"/>
                <w:szCs w:val="20"/>
                <w:lang w:val="en-US" w:eastAsia="fr-FR"/>
              </w:rPr>
            </w:pPr>
            <w:r>
              <w:rPr>
                <w:rFonts w:ascii="Arial" w:eastAsia="Times New Roman" w:hAnsi="Arial" w:cs="Arial"/>
                <w:szCs w:val="20"/>
                <w:lang w:val="en-US" w:eastAsia="fr-FR"/>
              </w:rPr>
              <w:t xml:space="preserve">(7) </w:t>
            </w:r>
            <w:r w:rsidR="00CB49FF" w:rsidRPr="003C4E38">
              <w:rPr>
                <w:rFonts w:ascii="Arial" w:eastAsia="Times New Roman" w:hAnsi="Arial" w:cs="Arial"/>
                <w:szCs w:val="20"/>
                <w:lang w:val="en-US" w:eastAsia="fr-FR"/>
              </w:rPr>
              <w:t>Ministry in charge of Environment</w:t>
            </w:r>
          </w:p>
        </w:tc>
        <w:tc>
          <w:tcPr>
            <w:tcW w:w="4268" w:type="pct"/>
            <w:tcBorders>
              <w:top w:val="single" w:sz="4" w:space="0" w:color="auto"/>
              <w:left w:val="nil"/>
              <w:bottom w:val="single" w:sz="4" w:space="0" w:color="auto"/>
              <w:right w:val="single" w:sz="4" w:space="0" w:color="auto"/>
            </w:tcBorders>
            <w:shd w:val="clear" w:color="auto" w:fill="auto"/>
          </w:tcPr>
          <w:p w14:paraId="11C8D8BD" w14:textId="3DDE1052" w:rsidR="00CB49FF" w:rsidRDefault="009E479D" w:rsidP="00CB49FF">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Q1 </w:t>
            </w:r>
            <w:r w:rsidR="00CB49FF" w:rsidRPr="003C4E38">
              <w:rPr>
                <w:rFonts w:ascii="Arial" w:eastAsia="Times New Roman" w:hAnsi="Arial" w:cs="Arial"/>
                <w:b/>
                <w:bCs/>
                <w:szCs w:val="20"/>
                <w:lang w:val="en-US" w:eastAsia="fr-FR"/>
              </w:rPr>
              <w:t>Coordination and planning:</w:t>
            </w:r>
            <w:r w:rsidR="00CB49FF" w:rsidRPr="003C4E38">
              <w:rPr>
                <w:rFonts w:ascii="Arial" w:eastAsia="Times New Roman" w:hAnsi="Arial" w:cs="Arial"/>
                <w:szCs w:val="20"/>
                <w:lang w:val="en-US" w:eastAsia="fr-FR"/>
              </w:rPr>
              <w:br/>
              <w:t xml:space="preserve">- Validates the final </w:t>
            </w:r>
            <w:r w:rsidR="00CB4BC2">
              <w:rPr>
                <w:rFonts w:ascii="Arial" w:eastAsia="Times New Roman" w:hAnsi="Arial" w:cs="Arial"/>
                <w:szCs w:val="20"/>
                <w:lang w:val="en-US" w:eastAsia="fr-FR"/>
              </w:rPr>
              <w:t>National Inventory Document</w:t>
            </w:r>
            <w:r w:rsidR="00CB49FF" w:rsidRPr="003C4E38">
              <w:rPr>
                <w:rFonts w:ascii="Arial" w:eastAsia="Times New Roman" w:hAnsi="Arial" w:cs="Arial"/>
                <w:szCs w:val="20"/>
                <w:lang w:val="en-US" w:eastAsia="fr-FR"/>
              </w:rPr>
              <w:t>;</w:t>
            </w:r>
            <w:r w:rsidR="00CB49FF" w:rsidRPr="003C4E38">
              <w:rPr>
                <w:rFonts w:ascii="Arial" w:eastAsia="Times New Roman" w:hAnsi="Arial" w:cs="Arial"/>
                <w:szCs w:val="20"/>
                <w:lang w:val="en-US" w:eastAsia="fr-FR"/>
              </w:rPr>
              <w:br/>
              <w:t>- Checks if mitigation activities/measures have been appropriately reflected in time series calculations.</w:t>
            </w:r>
          </w:p>
        </w:tc>
      </w:tr>
      <w:tr w:rsidR="00CB49FF" w:rsidRPr="00CB49FF" w14:paraId="016932AD" w14:textId="77777777" w:rsidTr="00D84951">
        <w:trPr>
          <w:trHeight w:val="732"/>
          <w:jc w:val="center"/>
        </w:trPr>
        <w:tc>
          <w:tcPr>
            <w:tcW w:w="732" w:type="pct"/>
            <w:vMerge w:val="restart"/>
            <w:tcBorders>
              <w:top w:val="single" w:sz="4" w:space="0" w:color="auto"/>
              <w:left w:val="single" w:sz="4" w:space="0" w:color="auto"/>
              <w:right w:val="single" w:sz="4" w:space="0" w:color="auto"/>
            </w:tcBorders>
            <w:vAlign w:val="center"/>
          </w:tcPr>
          <w:p w14:paraId="63C39A2D" w14:textId="56CA3360" w:rsidR="00CB49FF" w:rsidRPr="003C4E38" w:rsidRDefault="009E479D" w:rsidP="009E479D">
            <w:pPr>
              <w:jc w:val="center"/>
              <w:rPr>
                <w:rFonts w:ascii="Arial" w:eastAsia="Times New Roman" w:hAnsi="Arial" w:cs="Arial"/>
                <w:szCs w:val="20"/>
                <w:lang w:val="en-US" w:eastAsia="fr-FR"/>
              </w:rPr>
            </w:pPr>
            <w:r>
              <w:rPr>
                <w:rFonts w:ascii="Arial" w:eastAsia="Times New Roman" w:hAnsi="Arial" w:cs="Arial"/>
                <w:szCs w:val="20"/>
                <w:lang w:val="en-US" w:eastAsia="fr-FR"/>
              </w:rPr>
              <w:lastRenderedPageBreak/>
              <w:t xml:space="preserve">(7) </w:t>
            </w:r>
            <w:r w:rsidR="00CB49FF" w:rsidRPr="003C4E38">
              <w:rPr>
                <w:rFonts w:ascii="Arial" w:eastAsia="Times New Roman" w:hAnsi="Arial" w:cs="Arial"/>
                <w:szCs w:val="20"/>
                <w:lang w:val="en-US" w:eastAsia="fr-FR"/>
              </w:rPr>
              <w:t>Ministry in charge of Environment</w:t>
            </w:r>
          </w:p>
        </w:tc>
        <w:tc>
          <w:tcPr>
            <w:tcW w:w="4268" w:type="pct"/>
            <w:tcBorders>
              <w:top w:val="single" w:sz="4" w:space="0" w:color="auto"/>
              <w:left w:val="nil"/>
              <w:bottom w:val="single" w:sz="4" w:space="0" w:color="auto"/>
              <w:right w:val="single" w:sz="4" w:space="0" w:color="auto"/>
            </w:tcBorders>
            <w:shd w:val="clear" w:color="auto" w:fill="auto"/>
          </w:tcPr>
          <w:p w14:paraId="49BFB016" w14:textId="1F995187" w:rsidR="00CB49FF" w:rsidRDefault="009E479D" w:rsidP="00CB49FF">
            <w:pPr>
              <w:spacing w:after="0"/>
              <w:jc w:val="left"/>
              <w:rPr>
                <w:rFonts w:ascii="Arial" w:eastAsia="Times New Roman" w:hAnsi="Arial" w:cs="Arial"/>
                <w:szCs w:val="20"/>
                <w:lang w:val="en-US" w:eastAsia="fr-FR"/>
              </w:rPr>
            </w:pPr>
            <w:r>
              <w:rPr>
                <w:rFonts w:ascii="Arial" w:eastAsia="Times New Roman" w:hAnsi="Arial" w:cs="Arial"/>
                <w:b/>
                <w:bCs/>
                <w:szCs w:val="20"/>
                <w:lang w:val="en-US" w:eastAsia="fr-FR"/>
              </w:rPr>
              <w:t xml:space="preserve">Q3 </w:t>
            </w:r>
            <w:r w:rsidR="00CB49FF">
              <w:rPr>
                <w:rFonts w:ascii="Arial" w:eastAsia="Times New Roman" w:hAnsi="Arial" w:cs="Arial"/>
                <w:b/>
                <w:bCs/>
                <w:szCs w:val="20"/>
                <w:lang w:val="en-US" w:eastAsia="fr-FR"/>
              </w:rPr>
              <w:t>E</w:t>
            </w:r>
            <w:r w:rsidR="00CB49FF" w:rsidRPr="003C4E38">
              <w:rPr>
                <w:rFonts w:ascii="Arial" w:eastAsia="Times New Roman" w:hAnsi="Arial" w:cs="Arial"/>
                <w:b/>
                <w:bCs/>
                <w:szCs w:val="20"/>
                <w:lang w:val="en-US" w:eastAsia="fr-FR"/>
              </w:rPr>
              <w:t>missions calculations</w:t>
            </w:r>
            <w:r w:rsidR="00CB49FF" w:rsidRPr="003C4E38">
              <w:rPr>
                <w:rFonts w:ascii="Arial" w:eastAsia="Times New Roman" w:hAnsi="Arial" w:cs="Arial"/>
                <w:szCs w:val="20"/>
                <w:lang w:val="en-US" w:eastAsia="fr-FR"/>
              </w:rPr>
              <w:br/>
              <w:t>- Checks if mitigation activities/measures have been appropriately reflected in time series calculations.</w:t>
            </w:r>
          </w:p>
          <w:p w14:paraId="61FEA768" w14:textId="1FD50223" w:rsidR="00CB49FF" w:rsidRDefault="00CB49FF" w:rsidP="00CB49FF">
            <w:pPr>
              <w:jc w:val="left"/>
              <w:rPr>
                <w:rFonts w:ascii="Arial" w:eastAsia="Times New Roman" w:hAnsi="Arial" w:cs="Arial"/>
                <w:b/>
                <w:bCs/>
                <w:szCs w:val="20"/>
                <w:lang w:val="en-US" w:eastAsia="fr-FR"/>
              </w:rPr>
            </w:pPr>
            <w:r w:rsidRPr="003C4E38">
              <w:rPr>
                <w:rFonts w:ascii="Arial" w:eastAsia="Times New Roman" w:hAnsi="Arial" w:cs="Arial"/>
                <w:szCs w:val="20"/>
                <w:lang w:val="en-US" w:eastAsia="fr-FR"/>
              </w:rPr>
              <w:t>- Validates and approves the results of the emissions calculated and transmitted by the national inventory agency.</w:t>
            </w:r>
          </w:p>
        </w:tc>
      </w:tr>
      <w:tr w:rsidR="00CB49FF" w:rsidRPr="00CB49FF" w14:paraId="0AF3C975" w14:textId="77777777" w:rsidTr="00D84951">
        <w:trPr>
          <w:trHeight w:val="732"/>
          <w:jc w:val="center"/>
        </w:trPr>
        <w:tc>
          <w:tcPr>
            <w:tcW w:w="732" w:type="pct"/>
            <w:vMerge/>
            <w:tcBorders>
              <w:left w:val="single" w:sz="4" w:space="0" w:color="auto"/>
              <w:right w:val="single" w:sz="4" w:space="0" w:color="auto"/>
            </w:tcBorders>
            <w:vAlign w:val="center"/>
          </w:tcPr>
          <w:p w14:paraId="6D9EDD2A" w14:textId="77777777" w:rsidR="00CB49FF" w:rsidRPr="003C4E38" w:rsidRDefault="00CB49FF" w:rsidP="009E479D">
            <w:pPr>
              <w:jc w:val="center"/>
              <w:rPr>
                <w:rFonts w:ascii="Arial" w:eastAsia="Times New Roman" w:hAnsi="Arial" w:cs="Arial"/>
                <w:szCs w:val="20"/>
                <w:lang w:val="en-US" w:eastAsia="fr-FR"/>
              </w:rPr>
            </w:pPr>
          </w:p>
        </w:tc>
        <w:tc>
          <w:tcPr>
            <w:tcW w:w="4268" w:type="pct"/>
            <w:tcBorders>
              <w:top w:val="single" w:sz="4" w:space="0" w:color="auto"/>
              <w:left w:val="nil"/>
              <w:bottom w:val="single" w:sz="4" w:space="0" w:color="auto"/>
              <w:right w:val="single" w:sz="4" w:space="0" w:color="auto"/>
            </w:tcBorders>
            <w:shd w:val="clear" w:color="auto" w:fill="auto"/>
          </w:tcPr>
          <w:p w14:paraId="02978C73" w14:textId="251E77AC" w:rsidR="00CB49FF" w:rsidRPr="003C4E38" w:rsidRDefault="009E479D" w:rsidP="00CB49FF">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Q5 </w:t>
            </w:r>
            <w:r w:rsidR="00CB49FF">
              <w:rPr>
                <w:rFonts w:ascii="Arial" w:eastAsia="Times New Roman" w:hAnsi="Arial" w:cs="Arial"/>
                <w:b/>
                <w:bCs/>
                <w:szCs w:val="20"/>
                <w:lang w:val="en-US" w:eastAsia="fr-FR"/>
              </w:rPr>
              <w:t>D</w:t>
            </w:r>
            <w:r w:rsidR="00CB49FF" w:rsidRPr="003C4E38">
              <w:rPr>
                <w:rFonts w:ascii="Arial" w:eastAsia="Times New Roman" w:hAnsi="Arial" w:cs="Arial"/>
                <w:b/>
                <w:bCs/>
                <w:szCs w:val="20"/>
                <w:lang w:val="en-US" w:eastAsia="fr-FR"/>
              </w:rPr>
              <w:t>ata reporting</w:t>
            </w:r>
            <w:r w:rsidR="00CB49FF" w:rsidRPr="003C4E38">
              <w:rPr>
                <w:rFonts w:ascii="Arial" w:eastAsia="Times New Roman" w:hAnsi="Arial" w:cs="Arial"/>
                <w:szCs w:val="20"/>
                <w:lang w:val="en-US" w:eastAsia="fr-FR"/>
              </w:rPr>
              <w:br/>
              <w:t>- Archives all the products sent to UNFCCC and EC.</w:t>
            </w:r>
          </w:p>
        </w:tc>
      </w:tr>
      <w:tr w:rsidR="00CB49FF" w:rsidRPr="00CB49FF" w14:paraId="50932257" w14:textId="77777777" w:rsidTr="00D84951">
        <w:trPr>
          <w:trHeight w:val="732"/>
          <w:jc w:val="center"/>
        </w:trPr>
        <w:tc>
          <w:tcPr>
            <w:tcW w:w="732" w:type="pct"/>
            <w:vMerge/>
            <w:tcBorders>
              <w:left w:val="single" w:sz="4" w:space="0" w:color="auto"/>
              <w:bottom w:val="single" w:sz="4" w:space="0" w:color="000000"/>
              <w:right w:val="single" w:sz="4" w:space="0" w:color="auto"/>
            </w:tcBorders>
            <w:vAlign w:val="center"/>
          </w:tcPr>
          <w:p w14:paraId="5A575027" w14:textId="77777777" w:rsidR="00CB49FF" w:rsidRPr="003C4E38" w:rsidRDefault="00CB49FF" w:rsidP="009E479D">
            <w:pPr>
              <w:jc w:val="center"/>
              <w:rPr>
                <w:rFonts w:ascii="Arial" w:eastAsia="Times New Roman" w:hAnsi="Arial" w:cs="Arial"/>
                <w:szCs w:val="20"/>
                <w:lang w:val="en-US" w:eastAsia="fr-FR"/>
              </w:rPr>
            </w:pPr>
          </w:p>
        </w:tc>
        <w:tc>
          <w:tcPr>
            <w:tcW w:w="4268" w:type="pct"/>
            <w:tcBorders>
              <w:top w:val="single" w:sz="4" w:space="0" w:color="auto"/>
              <w:left w:val="nil"/>
              <w:bottom w:val="single" w:sz="4" w:space="0" w:color="auto"/>
              <w:right w:val="single" w:sz="4" w:space="0" w:color="auto"/>
            </w:tcBorders>
            <w:shd w:val="clear" w:color="auto" w:fill="auto"/>
          </w:tcPr>
          <w:p w14:paraId="62AAE153" w14:textId="20C368A8" w:rsidR="00CB49FF" w:rsidRPr="003C4E38" w:rsidRDefault="009E479D" w:rsidP="00CB49FF">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Q6/Q7 </w:t>
            </w:r>
            <w:r w:rsidR="00CB4BC2">
              <w:rPr>
                <w:rFonts w:ascii="Arial" w:eastAsia="Times New Roman" w:hAnsi="Arial" w:cs="Arial"/>
                <w:b/>
                <w:bCs/>
                <w:szCs w:val="20"/>
                <w:lang w:val="en-US" w:eastAsia="fr-FR"/>
              </w:rPr>
              <w:t>National Inventory Document</w:t>
            </w:r>
            <w:r w:rsidR="00CB49FF" w:rsidRPr="003C4E38">
              <w:rPr>
                <w:rFonts w:ascii="Arial" w:eastAsia="Times New Roman" w:hAnsi="Arial" w:cs="Arial"/>
                <w:szCs w:val="20"/>
                <w:lang w:val="en-US" w:eastAsia="fr-FR"/>
              </w:rPr>
              <w:br/>
              <w:t xml:space="preserve">- Approves the </w:t>
            </w:r>
            <w:r w:rsidR="000F6001">
              <w:rPr>
                <w:rFonts w:ascii="Arial" w:eastAsia="Times New Roman" w:hAnsi="Arial" w:cs="Arial"/>
                <w:szCs w:val="20"/>
                <w:lang w:val="en-US" w:eastAsia="fr-FR"/>
              </w:rPr>
              <w:t>NID</w:t>
            </w:r>
            <w:r w:rsidR="00CB49FF" w:rsidRPr="003C4E38">
              <w:rPr>
                <w:rFonts w:ascii="Arial" w:eastAsia="Times New Roman" w:hAnsi="Arial" w:cs="Arial"/>
                <w:szCs w:val="20"/>
                <w:lang w:val="en-US" w:eastAsia="fr-FR"/>
              </w:rPr>
              <w:t xml:space="preserve"> before the national submission;</w:t>
            </w:r>
            <w:r w:rsidR="00CB49FF" w:rsidRPr="003C4E38">
              <w:rPr>
                <w:rFonts w:ascii="Arial" w:eastAsia="Times New Roman" w:hAnsi="Arial" w:cs="Arial"/>
                <w:szCs w:val="20"/>
                <w:lang w:val="en-US" w:eastAsia="fr-FR"/>
              </w:rPr>
              <w:br/>
              <w:t xml:space="preserve">- Leads audits about the consistency between the document FCCC/CP/2013/10/Add3 and the </w:t>
            </w:r>
            <w:r w:rsidR="000F6001">
              <w:rPr>
                <w:rFonts w:ascii="Arial" w:eastAsia="Times New Roman" w:hAnsi="Arial" w:cs="Arial"/>
                <w:szCs w:val="20"/>
                <w:lang w:val="en-US" w:eastAsia="fr-FR"/>
              </w:rPr>
              <w:t>NID</w:t>
            </w:r>
            <w:r w:rsidR="00CB49FF" w:rsidRPr="003C4E38">
              <w:rPr>
                <w:rFonts w:ascii="Arial" w:eastAsia="Times New Roman" w:hAnsi="Arial" w:cs="Arial"/>
                <w:szCs w:val="20"/>
                <w:lang w:val="en-US" w:eastAsia="fr-FR"/>
              </w:rPr>
              <w:t xml:space="preserve"> produced.</w:t>
            </w:r>
          </w:p>
        </w:tc>
      </w:tr>
      <w:tr w:rsidR="00CB49FF" w:rsidRPr="00CB49FF" w14:paraId="06690F6E" w14:textId="77777777" w:rsidTr="00CB49FF">
        <w:trPr>
          <w:trHeight w:val="732"/>
          <w:jc w:val="center"/>
        </w:trPr>
        <w:tc>
          <w:tcPr>
            <w:tcW w:w="732" w:type="pct"/>
            <w:tcBorders>
              <w:top w:val="single" w:sz="4" w:space="0" w:color="auto"/>
              <w:left w:val="single" w:sz="4" w:space="0" w:color="auto"/>
              <w:bottom w:val="single" w:sz="4" w:space="0" w:color="auto"/>
              <w:right w:val="single" w:sz="4" w:space="0" w:color="auto"/>
            </w:tcBorders>
            <w:vAlign w:val="center"/>
          </w:tcPr>
          <w:p w14:paraId="324047C0" w14:textId="3E8B9C24" w:rsidR="00CB49FF" w:rsidRPr="003C4E38" w:rsidRDefault="009E479D" w:rsidP="009E479D">
            <w:pPr>
              <w:jc w:val="center"/>
              <w:rPr>
                <w:rFonts w:ascii="Arial" w:eastAsia="Times New Roman" w:hAnsi="Arial" w:cs="Arial"/>
                <w:szCs w:val="20"/>
                <w:lang w:val="en-US" w:eastAsia="fr-FR"/>
              </w:rPr>
            </w:pPr>
            <w:r>
              <w:rPr>
                <w:rFonts w:ascii="Arial" w:eastAsia="Times New Roman" w:hAnsi="Arial" w:cs="Arial"/>
                <w:szCs w:val="20"/>
                <w:lang w:val="en-US" w:eastAsia="fr-FR"/>
              </w:rPr>
              <w:t xml:space="preserve">(8) </w:t>
            </w:r>
            <w:r w:rsidR="000F6001">
              <w:rPr>
                <w:rFonts w:ascii="Arial" w:eastAsia="Times New Roman" w:hAnsi="Arial" w:cs="Arial"/>
                <w:szCs w:val="20"/>
                <w:lang w:val="en-US" w:eastAsia="fr-FR"/>
              </w:rPr>
              <w:t>NID</w:t>
            </w:r>
            <w:r w:rsidR="00CB49FF">
              <w:rPr>
                <w:rFonts w:ascii="Arial" w:eastAsia="Times New Roman" w:hAnsi="Arial" w:cs="Arial"/>
                <w:szCs w:val="20"/>
                <w:lang w:val="en-US" w:eastAsia="fr-FR"/>
              </w:rPr>
              <w:t xml:space="preserve"> expert</w:t>
            </w:r>
          </w:p>
        </w:tc>
        <w:tc>
          <w:tcPr>
            <w:tcW w:w="4268" w:type="pct"/>
            <w:tcBorders>
              <w:top w:val="single" w:sz="4" w:space="0" w:color="auto"/>
              <w:left w:val="nil"/>
              <w:bottom w:val="single" w:sz="4" w:space="0" w:color="auto"/>
              <w:right w:val="single" w:sz="4" w:space="0" w:color="auto"/>
            </w:tcBorders>
            <w:shd w:val="clear" w:color="auto" w:fill="auto"/>
          </w:tcPr>
          <w:p w14:paraId="670D5B00" w14:textId="2E6DFCD8" w:rsidR="00CB49FF" w:rsidRPr="003C4E38" w:rsidRDefault="009E479D" w:rsidP="00CB49FF">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Q6/Q7 </w:t>
            </w:r>
            <w:r w:rsidR="00CB4BC2">
              <w:rPr>
                <w:rFonts w:ascii="Arial" w:eastAsia="Times New Roman" w:hAnsi="Arial" w:cs="Arial"/>
                <w:b/>
                <w:bCs/>
                <w:szCs w:val="20"/>
                <w:lang w:val="en-US" w:eastAsia="fr-FR"/>
              </w:rPr>
              <w:t>National Inventory Document</w:t>
            </w:r>
            <w:r w:rsidR="00CB49FF" w:rsidRPr="003C4E38">
              <w:rPr>
                <w:rFonts w:ascii="Arial" w:eastAsia="Times New Roman" w:hAnsi="Arial" w:cs="Arial"/>
                <w:b/>
                <w:bCs/>
                <w:szCs w:val="20"/>
                <w:lang w:val="en-US" w:eastAsia="fr-FR"/>
              </w:rPr>
              <w:br/>
            </w:r>
            <w:r w:rsidR="00CB49FF" w:rsidRPr="003C4E38">
              <w:rPr>
                <w:rFonts w:ascii="Arial" w:eastAsia="Times New Roman" w:hAnsi="Arial" w:cs="Arial"/>
                <w:szCs w:val="20"/>
                <w:lang w:val="en-US" w:eastAsia="fr-FR"/>
              </w:rPr>
              <w:t>- Checks that there is detailed documentation to support the estimations and to enable reproduction of the emissions, removal and uncertainty estimates;</w:t>
            </w:r>
            <w:r w:rsidR="00CB49FF" w:rsidRPr="003C4E38">
              <w:rPr>
                <w:rFonts w:ascii="Arial" w:eastAsia="Times New Roman" w:hAnsi="Arial" w:cs="Arial"/>
                <w:szCs w:val="20"/>
                <w:lang w:val="en-US" w:eastAsia="fr-FR"/>
              </w:rPr>
              <w:br/>
              <w:t xml:space="preserve">- Checks that the timetable is respected and recorded in the </w:t>
            </w:r>
            <w:r w:rsidR="000F6001">
              <w:rPr>
                <w:rFonts w:ascii="Arial" w:eastAsia="Times New Roman" w:hAnsi="Arial" w:cs="Arial"/>
                <w:szCs w:val="20"/>
                <w:lang w:val="en-US" w:eastAsia="fr-FR"/>
              </w:rPr>
              <w:t>NID</w:t>
            </w:r>
            <w:r w:rsidR="00CB49FF" w:rsidRPr="003C4E38">
              <w:rPr>
                <w:rFonts w:ascii="Arial" w:eastAsia="Times New Roman" w:hAnsi="Arial" w:cs="Arial"/>
                <w:szCs w:val="20"/>
                <w:lang w:val="en-US" w:eastAsia="fr-FR"/>
              </w:rPr>
              <w:t xml:space="preserve"> action plan when a task is realized;</w:t>
            </w:r>
            <w:r w:rsidR="00CB49FF" w:rsidRPr="003C4E38">
              <w:rPr>
                <w:rFonts w:ascii="Arial" w:eastAsia="Times New Roman" w:hAnsi="Arial" w:cs="Arial"/>
                <w:szCs w:val="20"/>
                <w:lang w:val="en-US" w:eastAsia="fr-FR"/>
              </w:rPr>
              <w:br/>
              <w:t xml:space="preserve">- Checks and validates the chapters written by the sectoral experts or other </w:t>
            </w:r>
            <w:proofErr w:type="spellStart"/>
            <w:r w:rsidR="00CB49FF" w:rsidRPr="003C4E38">
              <w:rPr>
                <w:rFonts w:ascii="Arial" w:eastAsia="Times New Roman" w:hAnsi="Arial" w:cs="Arial"/>
                <w:szCs w:val="20"/>
                <w:lang w:val="en-US" w:eastAsia="fr-FR"/>
              </w:rPr>
              <w:t>organisations</w:t>
            </w:r>
            <w:proofErr w:type="spellEnd"/>
            <w:r w:rsidR="00CB49FF" w:rsidRPr="003C4E38">
              <w:rPr>
                <w:rFonts w:ascii="Arial" w:eastAsia="Times New Roman" w:hAnsi="Arial" w:cs="Arial"/>
                <w:szCs w:val="20"/>
                <w:lang w:val="en-US" w:eastAsia="fr-FR"/>
              </w:rPr>
              <w:t>;</w:t>
            </w:r>
            <w:r w:rsidR="00CB49FF" w:rsidRPr="003C4E38">
              <w:rPr>
                <w:rFonts w:ascii="Arial" w:eastAsia="Times New Roman" w:hAnsi="Arial" w:cs="Arial"/>
                <w:szCs w:val="20"/>
                <w:lang w:val="en-US" w:eastAsia="fr-FR"/>
              </w:rPr>
              <w:br/>
              <w:t xml:space="preserve">- Checks if the general structure of the </w:t>
            </w:r>
            <w:r w:rsidR="000F6001">
              <w:rPr>
                <w:rFonts w:ascii="Arial" w:eastAsia="Times New Roman" w:hAnsi="Arial" w:cs="Arial"/>
                <w:szCs w:val="20"/>
                <w:lang w:val="en-US" w:eastAsia="fr-FR"/>
              </w:rPr>
              <w:t>NID</w:t>
            </w:r>
            <w:r w:rsidR="00CB49FF" w:rsidRPr="003C4E38">
              <w:rPr>
                <w:rFonts w:ascii="Arial" w:eastAsia="Times New Roman" w:hAnsi="Arial" w:cs="Arial"/>
                <w:szCs w:val="20"/>
                <w:lang w:val="en-US" w:eastAsia="fr-FR"/>
              </w:rPr>
              <w:t xml:space="preserve"> is updated regarding the document FCCC/CP/2013/10/Add3;</w:t>
            </w:r>
            <w:r w:rsidR="00CB49FF" w:rsidRPr="003C4E38">
              <w:rPr>
                <w:rFonts w:ascii="Arial" w:eastAsia="Times New Roman" w:hAnsi="Arial" w:cs="Arial"/>
                <w:szCs w:val="20"/>
                <w:lang w:val="en-US" w:eastAsia="fr-FR"/>
              </w:rPr>
              <w:br/>
              <w:t xml:space="preserve">- Archives all the data concerning the </w:t>
            </w:r>
            <w:r w:rsidR="000F6001">
              <w:rPr>
                <w:rFonts w:ascii="Arial" w:eastAsia="Times New Roman" w:hAnsi="Arial" w:cs="Arial"/>
                <w:szCs w:val="20"/>
                <w:lang w:val="en-US" w:eastAsia="fr-FR"/>
              </w:rPr>
              <w:t>NID</w:t>
            </w:r>
            <w:r w:rsidR="00CB49FF" w:rsidRPr="003C4E38">
              <w:rPr>
                <w:rFonts w:ascii="Arial" w:eastAsia="Times New Roman" w:hAnsi="Arial" w:cs="Arial"/>
                <w:szCs w:val="20"/>
                <w:lang w:val="en-US" w:eastAsia="fr-FR"/>
              </w:rPr>
              <w:t xml:space="preserve"> (inventory data, discussions with the UNFCCC </w:t>
            </w:r>
            <w:r w:rsidR="000F6001">
              <w:rPr>
                <w:rFonts w:ascii="Arial" w:eastAsia="Times New Roman" w:hAnsi="Arial" w:cs="Arial"/>
                <w:szCs w:val="20"/>
                <w:lang w:val="en-US" w:eastAsia="fr-FR"/>
              </w:rPr>
              <w:t>NID</w:t>
            </w:r>
            <w:r w:rsidR="00CB49FF" w:rsidRPr="003C4E38">
              <w:rPr>
                <w:rFonts w:ascii="Arial" w:eastAsia="Times New Roman" w:hAnsi="Arial" w:cs="Arial"/>
                <w:szCs w:val="20"/>
                <w:lang w:val="en-US" w:eastAsia="fr-FR"/>
              </w:rPr>
              <w:t xml:space="preserve">/BR/NC expert of MAEP, final version of the </w:t>
            </w:r>
            <w:r w:rsidR="000F6001">
              <w:rPr>
                <w:rFonts w:ascii="Arial" w:eastAsia="Times New Roman" w:hAnsi="Arial" w:cs="Arial"/>
                <w:szCs w:val="20"/>
                <w:lang w:val="en-US" w:eastAsia="fr-FR"/>
              </w:rPr>
              <w:t>NID</w:t>
            </w:r>
            <w:r w:rsidR="00CB49FF" w:rsidRPr="003C4E38">
              <w:rPr>
                <w:rFonts w:ascii="Arial" w:eastAsia="Times New Roman" w:hAnsi="Arial" w:cs="Arial"/>
                <w:szCs w:val="20"/>
                <w:lang w:val="en-US" w:eastAsia="fr-FR"/>
              </w:rPr>
              <w:t>, exchanges with other countries</w:t>
            </w:r>
            <w:r w:rsidR="00CB49FF">
              <w:rPr>
                <w:rFonts w:ascii="Arial" w:eastAsia="Times New Roman" w:hAnsi="Arial" w:cs="Arial"/>
                <w:szCs w:val="20"/>
                <w:lang w:val="en-US" w:eastAsia="fr-FR"/>
              </w:rPr>
              <w:t>,</w:t>
            </w:r>
            <w:r w:rsidR="00CB49FF" w:rsidRPr="003C4E38">
              <w:rPr>
                <w:rFonts w:ascii="Arial" w:eastAsia="Times New Roman" w:hAnsi="Arial" w:cs="Arial"/>
                <w:szCs w:val="20"/>
                <w:lang w:val="en-US" w:eastAsia="fr-FR"/>
              </w:rPr>
              <w:t xml:space="preserve"> etc.).</w:t>
            </w:r>
          </w:p>
        </w:tc>
      </w:tr>
      <w:tr w:rsidR="00CB49FF" w:rsidRPr="00CB49FF" w14:paraId="7869774A" w14:textId="77777777" w:rsidTr="00CB49FF">
        <w:trPr>
          <w:trHeight w:val="732"/>
          <w:jc w:val="center"/>
        </w:trPr>
        <w:tc>
          <w:tcPr>
            <w:tcW w:w="732" w:type="pct"/>
            <w:tcBorders>
              <w:top w:val="single" w:sz="4" w:space="0" w:color="auto"/>
              <w:left w:val="single" w:sz="4" w:space="0" w:color="auto"/>
              <w:bottom w:val="single" w:sz="4" w:space="0" w:color="000000"/>
              <w:right w:val="single" w:sz="4" w:space="0" w:color="auto"/>
            </w:tcBorders>
            <w:vAlign w:val="center"/>
          </w:tcPr>
          <w:p w14:paraId="35E938EE" w14:textId="554C8A9F" w:rsidR="00CB49FF" w:rsidRDefault="009E479D" w:rsidP="009E479D">
            <w:pPr>
              <w:jc w:val="center"/>
              <w:rPr>
                <w:rFonts w:ascii="Arial" w:eastAsia="Times New Roman" w:hAnsi="Arial" w:cs="Arial"/>
                <w:szCs w:val="20"/>
                <w:lang w:val="en-US" w:eastAsia="fr-FR"/>
              </w:rPr>
            </w:pPr>
            <w:r>
              <w:rPr>
                <w:rFonts w:ascii="Arial" w:eastAsia="Times New Roman" w:hAnsi="Arial" w:cs="Arial"/>
                <w:szCs w:val="20"/>
                <w:lang w:val="en-US" w:eastAsia="fr-FR"/>
              </w:rPr>
              <w:t xml:space="preserve">(9) </w:t>
            </w:r>
            <w:r w:rsidR="00CB49FF">
              <w:rPr>
                <w:rFonts w:ascii="Arial" w:eastAsia="Times New Roman" w:hAnsi="Arial" w:cs="Arial"/>
                <w:szCs w:val="20"/>
                <w:lang w:val="en-US" w:eastAsia="fr-FR"/>
              </w:rPr>
              <w:t>Proxy expert</w:t>
            </w:r>
          </w:p>
        </w:tc>
        <w:tc>
          <w:tcPr>
            <w:tcW w:w="4268" w:type="pct"/>
            <w:tcBorders>
              <w:top w:val="single" w:sz="4" w:space="0" w:color="auto"/>
              <w:left w:val="nil"/>
              <w:bottom w:val="single" w:sz="4" w:space="0" w:color="auto"/>
              <w:right w:val="single" w:sz="4" w:space="0" w:color="auto"/>
            </w:tcBorders>
            <w:shd w:val="clear" w:color="auto" w:fill="auto"/>
          </w:tcPr>
          <w:p w14:paraId="4F39D33C" w14:textId="346ABE2B" w:rsidR="00CB49FF" w:rsidRPr="003C4E38" w:rsidRDefault="009E479D" w:rsidP="00CB49FF">
            <w:pPr>
              <w:jc w:val="left"/>
              <w:rPr>
                <w:rFonts w:ascii="Arial" w:eastAsia="Times New Roman" w:hAnsi="Arial" w:cs="Arial"/>
                <w:b/>
                <w:bCs/>
                <w:szCs w:val="20"/>
                <w:lang w:val="en-US" w:eastAsia="fr-FR"/>
              </w:rPr>
            </w:pPr>
            <w:r>
              <w:rPr>
                <w:rFonts w:ascii="Arial" w:eastAsia="Times New Roman" w:hAnsi="Arial" w:cs="Arial"/>
                <w:b/>
                <w:bCs/>
                <w:szCs w:val="20"/>
                <w:lang w:val="en-US" w:eastAsia="fr-FR"/>
              </w:rPr>
              <w:t xml:space="preserve">Q8/Q9/Q10 </w:t>
            </w:r>
            <w:r w:rsidR="00CB49FF" w:rsidRPr="003C4E38">
              <w:rPr>
                <w:rFonts w:ascii="Arial" w:eastAsia="Times New Roman" w:hAnsi="Arial" w:cs="Arial"/>
                <w:b/>
                <w:bCs/>
                <w:szCs w:val="20"/>
                <w:lang w:val="en-US" w:eastAsia="fr-FR"/>
              </w:rPr>
              <w:t>Proxy GHG inventories (X-1)</w:t>
            </w:r>
            <w:r w:rsidR="00CB49FF" w:rsidRPr="003C4E38">
              <w:rPr>
                <w:rFonts w:ascii="Arial" w:eastAsia="Times New Roman" w:hAnsi="Arial" w:cs="Arial"/>
                <w:b/>
                <w:bCs/>
                <w:szCs w:val="20"/>
                <w:lang w:val="en-US" w:eastAsia="fr-FR"/>
              </w:rPr>
              <w:br/>
            </w:r>
            <w:r w:rsidR="00CB49FF" w:rsidRPr="003C4E38">
              <w:rPr>
                <w:rFonts w:ascii="Arial" w:eastAsia="Times New Roman" w:hAnsi="Arial" w:cs="Arial"/>
                <w:szCs w:val="20"/>
                <w:lang w:val="en-US" w:eastAsia="fr-FR"/>
              </w:rPr>
              <w:t>- Complies with the current QA/QC procedures for the GHG inventory;</w:t>
            </w:r>
            <w:r w:rsidR="00CB49FF" w:rsidRPr="003C4E38">
              <w:rPr>
                <w:rFonts w:ascii="Arial" w:eastAsia="Times New Roman" w:hAnsi="Arial" w:cs="Arial"/>
                <w:szCs w:val="20"/>
                <w:lang w:val="en-US" w:eastAsia="fr-FR"/>
              </w:rPr>
              <w:br/>
              <w:t>- Compares the previous proxy (year X-2) and the current estimates done in the inventory for the year X-2 =&gt; identifies discrepancies and then identifies proxy methodologies more appropriate (other surrogate parameters).</w:t>
            </w:r>
          </w:p>
        </w:tc>
      </w:tr>
    </w:tbl>
    <w:p w14:paraId="6EECAFF5" w14:textId="3D9976CF" w:rsidR="004F0752" w:rsidRDefault="004F0752">
      <w:pPr>
        <w:jc w:val="left"/>
        <w:rPr>
          <w:lang w:eastAsia="fr-FR"/>
        </w:rPr>
      </w:pPr>
    </w:p>
    <w:p w14:paraId="7C5AAC85" w14:textId="77777777" w:rsidR="00AC5A54" w:rsidRDefault="004F0752">
      <w:pPr>
        <w:jc w:val="left"/>
        <w:rPr>
          <w:lang w:eastAsia="fr-FR"/>
        </w:rPr>
      </w:pPr>
      <w:r>
        <w:rPr>
          <w:lang w:eastAsia="fr-FR"/>
        </w:rPr>
        <w:br w:type="column"/>
      </w:r>
    </w:p>
    <w:p w14:paraId="40CD023B" w14:textId="02D1FC83" w:rsidR="00AC5A54" w:rsidRDefault="004F0752">
      <w:pPr>
        <w:jc w:val="left"/>
        <w:rPr>
          <w:lang w:eastAsia="fr-FR"/>
        </w:rPr>
      </w:pPr>
      <w:r w:rsidRPr="00860B8B">
        <w:rPr>
          <w:i/>
          <w:noProof/>
          <w:lang w:val="en-US"/>
        </w:rPr>
        <mc:AlternateContent>
          <mc:Choice Requires="wpg">
            <w:drawing>
              <wp:anchor distT="0" distB="0" distL="114300" distR="114300" simplePos="0" relativeHeight="251660343" behindDoc="0" locked="0" layoutInCell="1" allowOverlap="1" wp14:anchorId="4CD0E200" wp14:editId="047AF23E">
                <wp:simplePos x="0" y="0"/>
                <wp:positionH relativeFrom="column">
                  <wp:posOffset>0</wp:posOffset>
                </wp:positionH>
                <wp:positionV relativeFrom="paragraph">
                  <wp:posOffset>0</wp:posOffset>
                </wp:positionV>
                <wp:extent cx="5760720" cy="6914678"/>
                <wp:effectExtent l="0" t="0" r="0" b="635"/>
                <wp:wrapNone/>
                <wp:docPr id="611714646" name="Groupe 611714646"/>
                <wp:cNvGraphicFramePr/>
                <a:graphic xmlns:a="http://schemas.openxmlformats.org/drawingml/2006/main">
                  <a:graphicData uri="http://schemas.microsoft.com/office/word/2010/wordprocessingGroup">
                    <wpg:wgp>
                      <wpg:cNvGrpSpPr/>
                      <wpg:grpSpPr>
                        <a:xfrm>
                          <a:off x="0" y="0"/>
                          <a:ext cx="5760720" cy="6914678"/>
                          <a:chOff x="0" y="0"/>
                          <a:chExt cx="5760720" cy="6914678"/>
                        </a:xfrm>
                      </wpg:grpSpPr>
                      <pic:pic xmlns:pic="http://schemas.openxmlformats.org/drawingml/2006/picture">
                        <pic:nvPicPr>
                          <pic:cNvPr id="1601199805" name="Image 1601199805"/>
                          <pic:cNvPicPr>
                            <a:picLocks noChangeAspect="1"/>
                          </pic:cNvPicPr>
                        </pic:nvPicPr>
                        <pic:blipFill rotWithShape="1">
                          <a:blip r:embed="rId223">
                            <a:extLst>
                              <a:ext uri="{28A0092B-C50C-407E-A947-70E740481C1C}">
                                <a14:useLocalDpi xmlns:a14="http://schemas.microsoft.com/office/drawing/2010/main" val="0"/>
                              </a:ext>
                            </a:extLst>
                          </a:blip>
                          <a:srcRect l="1178"/>
                          <a:stretch/>
                        </pic:blipFill>
                        <pic:spPr bwMode="auto">
                          <a:xfrm>
                            <a:off x="9053" y="0"/>
                            <a:ext cx="5692775" cy="32188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2534297" name="Image 1282534297"/>
                          <pic:cNvPicPr>
                            <a:picLocks noChangeAspect="1"/>
                          </pic:cNvPicPr>
                        </pic:nvPicPr>
                        <pic:blipFill>
                          <a:blip r:embed="rId224">
                            <a:extLst>
                              <a:ext uri="{28A0092B-C50C-407E-A947-70E740481C1C}">
                                <a14:useLocalDpi xmlns:a14="http://schemas.microsoft.com/office/drawing/2010/main" val="0"/>
                              </a:ext>
                            </a:extLst>
                          </a:blip>
                          <a:stretch>
                            <a:fillRect/>
                          </a:stretch>
                        </pic:blipFill>
                        <pic:spPr>
                          <a:xfrm>
                            <a:off x="0" y="3209453"/>
                            <a:ext cx="5760720" cy="3705225"/>
                          </a:xfrm>
                          <a:prstGeom prst="rect">
                            <a:avLst/>
                          </a:prstGeom>
                        </pic:spPr>
                      </pic:pic>
                    </wpg:wgp>
                  </a:graphicData>
                </a:graphic>
              </wp:anchor>
            </w:drawing>
          </mc:Choice>
          <mc:Fallback>
            <w:pict>
              <v:group w14:anchorId="301A4A69" id="Groupe 611714646" o:spid="_x0000_s1026" style="position:absolute;margin-left:0;margin-top:0;width:453.6pt;height:544.45pt;z-index:251660343" coordsize="57607,6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01199805" o:spid="_x0000_s1027" type="#_x0000_t75" style="position:absolute;left:90;width:56928;height:3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">
                  <v:imagedata r:id="rId351" o:title="" cropleft="772f"/>
                </v:shape>
                <v:shape id="Image 1282534297" o:spid="_x0000_s1028" type="#_x0000_t75" style="position:absolute;top:32094;width:57607;height:37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">
                  <v:imagedata r:id="rId352" o:title=""/>
                </v:shape>
              </v:group>
            </w:pict>
          </mc:Fallback>
        </mc:AlternateContent>
      </w:r>
      <w:r w:rsidR="00AC5A54">
        <w:rPr>
          <w:lang w:eastAsia="fr-FR"/>
        </w:rPr>
        <w:br w:type="page"/>
      </w:r>
    </w:p>
    <w:p w14:paraId="7ADB148A" w14:textId="5DC7BD97" w:rsidR="004C0FB6" w:rsidRDefault="004C0FB6" w:rsidP="004C0FB6">
      <w:pPr>
        <w:pStyle w:val="Title"/>
        <w:rPr>
          <w:lang w:eastAsia="fr-FR"/>
        </w:rPr>
      </w:pPr>
      <w:bookmarkStart w:id="1262" w:name="_Toc182328150"/>
      <w:bookmarkStart w:id="1263" w:name="_Toc184808386"/>
      <w:r w:rsidRPr="002462F0">
        <w:rPr>
          <w:lang w:eastAsia="fr-FR"/>
        </w:rPr>
        <w:lastRenderedPageBreak/>
        <w:t xml:space="preserve">Annex </w:t>
      </w:r>
      <w:r>
        <w:rPr>
          <w:lang w:eastAsia="fr-FR"/>
        </w:rPr>
        <w:t>5</w:t>
      </w:r>
      <w:r w:rsidRPr="002462F0">
        <w:rPr>
          <w:lang w:eastAsia="fr-FR"/>
        </w:rPr>
        <w:t xml:space="preserve">: </w:t>
      </w:r>
      <w:r w:rsidR="008C0E62" w:rsidRPr="008C0E62">
        <w:rPr>
          <w:lang w:eastAsia="fr-FR"/>
        </w:rPr>
        <w:t>Any additional information, as applicable, including detailed methodological descriptions of source or sink categories and the national emission balance</w:t>
      </w:r>
      <w:bookmarkEnd w:id="1262"/>
      <w:bookmarkEnd w:id="1263"/>
    </w:p>
    <w:p w14:paraId="39E7C785" w14:textId="51F4000A" w:rsidR="00A73484" w:rsidRPr="002462F0" w:rsidRDefault="008C0E62">
      <w:pPr>
        <w:jc w:val="left"/>
        <w:rPr>
          <w:b/>
          <w:color w:val="698EC2"/>
          <w:sz w:val="40"/>
          <w:lang w:eastAsia="fr-FR"/>
        </w:rPr>
      </w:pPr>
      <w:r>
        <w:rPr>
          <w:lang w:eastAsia="fr-FR"/>
        </w:rPr>
        <w:t xml:space="preserve">All the required information about emission estimation methodologies </w:t>
      </w:r>
      <w:r w:rsidR="009B063F">
        <w:rPr>
          <w:lang w:eastAsia="fr-FR"/>
        </w:rPr>
        <w:t>is</w:t>
      </w:r>
      <w:r>
        <w:rPr>
          <w:lang w:eastAsia="fr-FR"/>
        </w:rPr>
        <w:t xml:space="preserve"> presented in the sectoral chapters. Hence, this Annex is kept empty thus far. </w:t>
      </w:r>
      <w:r w:rsidR="00A73484" w:rsidRPr="002462F0">
        <w:rPr>
          <w:lang w:eastAsia="fr-FR"/>
        </w:rPr>
        <w:br w:type="page"/>
      </w:r>
    </w:p>
    <w:p w14:paraId="0BDE091E" w14:textId="77777777" w:rsidR="00614555" w:rsidRPr="002462F0" w:rsidRDefault="00614555" w:rsidP="00614555">
      <w:pPr>
        <w:pStyle w:val="Title"/>
        <w:rPr>
          <w:lang w:eastAsia="fr-FR"/>
        </w:rPr>
      </w:pPr>
      <w:bookmarkStart w:id="1264" w:name="_Toc182328151"/>
      <w:bookmarkStart w:id="1265" w:name="_Toc184808387"/>
      <w:r w:rsidRPr="002462F0">
        <w:rPr>
          <w:lang w:eastAsia="fr-FR"/>
        </w:rPr>
        <w:lastRenderedPageBreak/>
        <w:t>References</w:t>
      </w:r>
      <w:bookmarkEnd w:id="1261"/>
      <w:bookmarkEnd w:id="1264"/>
      <w:bookmarkEnd w:id="1265"/>
    </w:p>
    <w:p w14:paraId="60108888" w14:textId="43ECB3F5" w:rsidR="00A73484" w:rsidRPr="002462F0" w:rsidRDefault="00A73484" w:rsidP="00A73484">
      <w:pPr>
        <w:pStyle w:val="BodyText"/>
        <w:rPr>
          <w:b/>
          <w:lang w:eastAsia="fr-FR"/>
        </w:rPr>
      </w:pPr>
      <w:r w:rsidRPr="002462F0">
        <w:rPr>
          <w:b/>
          <w:lang w:eastAsia="fr-FR"/>
        </w:rPr>
        <w:t>Energy (</w:t>
      </w:r>
      <w:r w:rsidR="000F6001">
        <w:rPr>
          <w:b/>
          <w:lang w:eastAsia="fr-FR"/>
        </w:rPr>
        <w:t>CRT</w:t>
      </w:r>
      <w:r w:rsidRPr="002462F0">
        <w:rPr>
          <w:b/>
          <w:lang w:eastAsia="fr-FR"/>
        </w:rPr>
        <w:t xml:space="preserve"> 1)</w:t>
      </w:r>
    </w:p>
    <w:p w14:paraId="0390DEAB" w14:textId="77777777" w:rsidR="002D5FD6" w:rsidRDefault="00A73484" w:rsidP="00A73484">
      <w:pPr>
        <w:pStyle w:val="BodyText"/>
        <w:numPr>
          <w:ilvl w:val="0"/>
          <w:numId w:val="55"/>
        </w:numPr>
        <w:ind w:left="709" w:hanging="709"/>
        <w:rPr>
          <w:lang w:eastAsia="fr-FR"/>
        </w:rPr>
      </w:pPr>
      <w:bookmarkStart w:id="1266" w:name="_Ref496787649"/>
      <w:r w:rsidRPr="002462F0">
        <w:rPr>
          <w:lang w:eastAsia="fr-FR"/>
        </w:rPr>
        <w:t>2006 IPCC Guidelines, Volume 2, Chapter 2</w:t>
      </w:r>
      <w:bookmarkEnd w:id="1266"/>
    </w:p>
    <w:p w14:paraId="0E98CE13" w14:textId="77777777" w:rsidR="002D5FD6" w:rsidRDefault="00A73484" w:rsidP="00101503">
      <w:pPr>
        <w:pStyle w:val="BodyText"/>
        <w:numPr>
          <w:ilvl w:val="0"/>
          <w:numId w:val="55"/>
        </w:numPr>
        <w:ind w:left="709" w:hanging="709"/>
        <w:rPr>
          <w:lang w:eastAsia="fr-FR"/>
        </w:rPr>
      </w:pPr>
      <w:bookmarkStart w:id="1267" w:name="_Ref496787656"/>
      <w:r w:rsidRPr="002462F0">
        <w:rPr>
          <w:lang w:eastAsia="fr-FR"/>
        </w:rPr>
        <w:t>Serbian energy balance, yearly (</w:t>
      </w:r>
      <w:r w:rsidR="00353821" w:rsidRPr="002462F0">
        <w:rPr>
          <w:lang w:eastAsia="fr-FR"/>
        </w:rPr>
        <w:t xml:space="preserve">International Energy Agency - </w:t>
      </w:r>
      <w:r w:rsidRPr="002462F0">
        <w:rPr>
          <w:lang w:eastAsia="fr-FR"/>
        </w:rPr>
        <w:t>IEA questionnaires)</w:t>
      </w:r>
      <w:bookmarkEnd w:id="1267"/>
    </w:p>
    <w:p w14:paraId="1EB13A5E" w14:textId="77777777" w:rsidR="002D5FD6" w:rsidRDefault="00A73484" w:rsidP="00101503">
      <w:pPr>
        <w:pStyle w:val="BodyText"/>
        <w:numPr>
          <w:ilvl w:val="0"/>
          <w:numId w:val="55"/>
        </w:numPr>
        <w:ind w:left="709" w:hanging="709"/>
        <w:rPr>
          <w:lang w:eastAsia="fr-FR"/>
        </w:rPr>
      </w:pPr>
      <w:bookmarkStart w:id="1268" w:name="_Ref496787669"/>
      <w:r w:rsidRPr="002462F0">
        <w:rPr>
          <w:lang w:eastAsia="fr-FR"/>
        </w:rPr>
        <w:t>2006 IPCC Guidelines, Volume 2, Chapter 2, Table 2.2</w:t>
      </w:r>
      <w:bookmarkEnd w:id="1268"/>
    </w:p>
    <w:p w14:paraId="0F2470A3" w14:textId="77777777" w:rsidR="002D5FD6" w:rsidRDefault="00A73484" w:rsidP="00101503">
      <w:pPr>
        <w:pStyle w:val="BodyText"/>
        <w:numPr>
          <w:ilvl w:val="0"/>
          <w:numId w:val="55"/>
        </w:numPr>
        <w:ind w:left="709" w:hanging="709"/>
        <w:rPr>
          <w:lang w:eastAsia="fr-FR"/>
        </w:rPr>
      </w:pPr>
      <w:bookmarkStart w:id="1269" w:name="_Ref496787697"/>
      <w:r w:rsidRPr="002462F0">
        <w:rPr>
          <w:lang w:eastAsia="fr-FR"/>
        </w:rPr>
        <w:t>Indivi</w:t>
      </w:r>
      <w:r w:rsidR="00F85D32" w:rsidRPr="002462F0">
        <w:rPr>
          <w:lang w:eastAsia="fr-FR"/>
        </w:rPr>
        <w:t>d</w:t>
      </w:r>
      <w:r w:rsidRPr="002462F0">
        <w:rPr>
          <w:lang w:eastAsia="fr-FR"/>
        </w:rPr>
        <w:t>ual data from refineries, SEPA, yearly (2000 to 2016)</w:t>
      </w:r>
      <w:bookmarkEnd w:id="1269"/>
    </w:p>
    <w:p w14:paraId="61D9AC95" w14:textId="77777777" w:rsidR="002D5FD6" w:rsidRDefault="00F85D32" w:rsidP="00101503">
      <w:pPr>
        <w:pStyle w:val="BodyText"/>
        <w:numPr>
          <w:ilvl w:val="0"/>
          <w:numId w:val="55"/>
        </w:numPr>
        <w:ind w:left="709" w:hanging="709"/>
        <w:rPr>
          <w:lang w:eastAsia="fr-FR"/>
        </w:rPr>
      </w:pPr>
      <w:bookmarkStart w:id="1270" w:name="_Ref496787731"/>
      <w:r w:rsidRPr="002462F0">
        <w:rPr>
          <w:lang w:eastAsia="fr-FR"/>
        </w:rPr>
        <w:t>2006 IPCC Guidelines, Volume 2, Chapter 2, Table 2.15</w:t>
      </w:r>
      <w:bookmarkEnd w:id="1270"/>
    </w:p>
    <w:p w14:paraId="03D1BBAC" w14:textId="77777777" w:rsidR="002D5FD6" w:rsidRDefault="00F85D32" w:rsidP="00101503">
      <w:pPr>
        <w:pStyle w:val="BodyText"/>
        <w:numPr>
          <w:ilvl w:val="0"/>
          <w:numId w:val="55"/>
        </w:numPr>
        <w:ind w:left="709" w:hanging="709"/>
        <w:rPr>
          <w:lang w:eastAsia="fr-FR"/>
        </w:rPr>
      </w:pPr>
      <w:bookmarkStart w:id="1271" w:name="_Ref496787736"/>
      <w:r w:rsidRPr="002462F0">
        <w:rPr>
          <w:lang w:eastAsia="fr-FR"/>
        </w:rPr>
        <w:t>1996 IPCC Guidelines, Volume 1, Table A1-1</w:t>
      </w:r>
      <w:bookmarkEnd w:id="1271"/>
    </w:p>
    <w:p w14:paraId="5C821B5E" w14:textId="77777777" w:rsidR="002D5FD6" w:rsidRDefault="00F85D32" w:rsidP="00101503">
      <w:pPr>
        <w:pStyle w:val="BodyText"/>
        <w:numPr>
          <w:ilvl w:val="0"/>
          <w:numId w:val="55"/>
        </w:numPr>
        <w:ind w:left="709" w:hanging="709"/>
        <w:rPr>
          <w:lang w:eastAsia="fr-FR"/>
        </w:rPr>
      </w:pPr>
      <w:bookmarkStart w:id="1272" w:name="_Ref496787749"/>
      <w:r w:rsidRPr="002462F0">
        <w:rPr>
          <w:lang w:eastAsia="fr-FR"/>
        </w:rPr>
        <w:t xml:space="preserve">2006 IPCC Guidelines, </w:t>
      </w:r>
      <w:r w:rsidR="002D5FD6">
        <w:rPr>
          <w:lang w:eastAsia="fr-FR"/>
        </w:rPr>
        <w:t>Volume 2, Chapter 2, Table 2.12</w:t>
      </w:r>
      <w:bookmarkEnd w:id="1272"/>
    </w:p>
    <w:p w14:paraId="6C16FE54" w14:textId="77777777" w:rsidR="002D5FD6" w:rsidRDefault="003404DC" w:rsidP="00101503">
      <w:pPr>
        <w:pStyle w:val="BodyText"/>
        <w:numPr>
          <w:ilvl w:val="0"/>
          <w:numId w:val="55"/>
        </w:numPr>
        <w:ind w:left="709" w:hanging="709"/>
        <w:rPr>
          <w:lang w:eastAsia="fr-FR"/>
        </w:rPr>
      </w:pPr>
      <w:bookmarkStart w:id="1273" w:name="_Ref496787875"/>
      <w:r w:rsidRPr="003C1489">
        <w:rPr>
          <w:lang w:eastAsia="fr-FR"/>
        </w:rPr>
        <w:t>2006 IPCC Guidelines, Volume 2 Chapter 3, Table 3.2.1</w:t>
      </w:r>
      <w:bookmarkEnd w:id="1273"/>
    </w:p>
    <w:p w14:paraId="137B0289" w14:textId="77777777" w:rsidR="002D5FD6" w:rsidRDefault="003404DC" w:rsidP="00101503">
      <w:pPr>
        <w:pStyle w:val="BodyText"/>
        <w:numPr>
          <w:ilvl w:val="0"/>
          <w:numId w:val="55"/>
        </w:numPr>
        <w:ind w:left="709" w:hanging="709"/>
        <w:rPr>
          <w:lang w:eastAsia="fr-FR"/>
        </w:rPr>
      </w:pPr>
      <w:bookmarkStart w:id="1274" w:name="_Ref496787882"/>
      <w:r w:rsidRPr="003C1489">
        <w:rPr>
          <w:lang w:eastAsia="fr-FR"/>
        </w:rPr>
        <w:t>2006 IPCC Guidelines, Volume 2 Chapter 3, Table 3.2.2</w:t>
      </w:r>
      <w:bookmarkEnd w:id="1274"/>
    </w:p>
    <w:p w14:paraId="20F4BB9A" w14:textId="77777777" w:rsidR="002D5FD6" w:rsidRDefault="003404DC" w:rsidP="00101503">
      <w:pPr>
        <w:pStyle w:val="BodyText"/>
        <w:numPr>
          <w:ilvl w:val="0"/>
          <w:numId w:val="55"/>
        </w:numPr>
        <w:ind w:left="709" w:hanging="709"/>
        <w:rPr>
          <w:lang w:eastAsia="fr-FR"/>
        </w:rPr>
      </w:pPr>
      <w:bookmarkStart w:id="1275" w:name="_Ref496787868"/>
      <w:r w:rsidRPr="003C1489">
        <w:rPr>
          <w:lang w:eastAsia="fr-FR"/>
        </w:rPr>
        <w:t>2006 IPCC Guidelines, Volume 2 Chapter 3</w:t>
      </w:r>
      <w:bookmarkEnd w:id="1275"/>
    </w:p>
    <w:p w14:paraId="7AE1E150" w14:textId="77777777" w:rsidR="002D5FD6" w:rsidRDefault="00F015FA" w:rsidP="00101503">
      <w:pPr>
        <w:pStyle w:val="BodyText"/>
        <w:numPr>
          <w:ilvl w:val="0"/>
          <w:numId w:val="55"/>
        </w:numPr>
        <w:ind w:left="709" w:hanging="709"/>
        <w:rPr>
          <w:lang w:eastAsia="fr-FR"/>
        </w:rPr>
      </w:pPr>
      <w:bookmarkStart w:id="1276" w:name="_Ref496787926"/>
      <w:r w:rsidRPr="003C1489">
        <w:rPr>
          <w:lang w:eastAsia="fr-FR"/>
        </w:rPr>
        <w:t>2006 IPCC Guidelines, Volume 2 Chapter 3 Table 3.5.2</w:t>
      </w:r>
      <w:bookmarkEnd w:id="1276"/>
    </w:p>
    <w:p w14:paraId="10F2C97E" w14:textId="12FC7A06" w:rsidR="003C1489" w:rsidRPr="003C1489" w:rsidRDefault="003C1489" w:rsidP="00101503">
      <w:pPr>
        <w:pStyle w:val="BodyText"/>
        <w:numPr>
          <w:ilvl w:val="0"/>
          <w:numId w:val="55"/>
        </w:numPr>
        <w:ind w:left="709" w:hanging="709"/>
        <w:rPr>
          <w:lang w:eastAsia="fr-FR"/>
        </w:rPr>
      </w:pPr>
      <w:bookmarkStart w:id="1277" w:name="_Ref496788065"/>
      <w:r w:rsidRPr="003C1489">
        <w:rPr>
          <w:lang w:eastAsia="fr-FR"/>
        </w:rPr>
        <w:t>2006 IPCC</w:t>
      </w:r>
      <w:r>
        <w:rPr>
          <w:lang w:eastAsia="fr-FR"/>
        </w:rPr>
        <w:t xml:space="preserve"> Guidelines, Volume 2 Chapter 4</w:t>
      </w:r>
      <w:bookmarkEnd w:id="1277"/>
    </w:p>
    <w:p w14:paraId="4D28B346" w14:textId="77777777" w:rsidR="00FA48AA" w:rsidRPr="002462F0" w:rsidRDefault="00FA48AA" w:rsidP="003404DC">
      <w:pPr>
        <w:autoSpaceDE w:val="0"/>
        <w:autoSpaceDN w:val="0"/>
        <w:adjustRightInd w:val="0"/>
        <w:spacing w:after="0" w:line="240" w:lineRule="auto"/>
        <w:jc w:val="left"/>
        <w:rPr>
          <w:sz w:val="24"/>
          <w:szCs w:val="24"/>
          <w:lang w:val="en-US" w:eastAsia="fr-FR"/>
        </w:rPr>
      </w:pPr>
    </w:p>
    <w:p w14:paraId="2D726FBA" w14:textId="6AC09BF6" w:rsidR="00FA48AA" w:rsidRPr="002462F0" w:rsidRDefault="00FA48AA" w:rsidP="003404DC">
      <w:pPr>
        <w:autoSpaceDE w:val="0"/>
        <w:autoSpaceDN w:val="0"/>
        <w:adjustRightInd w:val="0"/>
        <w:spacing w:after="0" w:line="240" w:lineRule="auto"/>
        <w:jc w:val="left"/>
        <w:rPr>
          <w:b/>
          <w:sz w:val="24"/>
          <w:szCs w:val="24"/>
          <w:lang w:val="en-US" w:eastAsia="fr-FR"/>
        </w:rPr>
      </w:pPr>
      <w:r w:rsidRPr="002462F0">
        <w:rPr>
          <w:b/>
          <w:sz w:val="24"/>
          <w:szCs w:val="24"/>
          <w:lang w:val="en-US" w:eastAsia="fr-FR"/>
        </w:rPr>
        <w:t>Industrial processes (</w:t>
      </w:r>
      <w:r w:rsidR="000F6001">
        <w:rPr>
          <w:b/>
          <w:sz w:val="24"/>
          <w:szCs w:val="24"/>
          <w:lang w:val="en-US" w:eastAsia="fr-FR"/>
        </w:rPr>
        <w:t>CRT</w:t>
      </w:r>
      <w:r w:rsidRPr="002462F0">
        <w:rPr>
          <w:b/>
          <w:sz w:val="24"/>
          <w:szCs w:val="24"/>
          <w:lang w:val="en-US" w:eastAsia="fr-FR"/>
        </w:rPr>
        <w:t xml:space="preserve"> 2)</w:t>
      </w:r>
    </w:p>
    <w:p w14:paraId="1A35109C" w14:textId="77777777" w:rsidR="00FA48AA" w:rsidRPr="002462F0" w:rsidRDefault="00FA48AA" w:rsidP="003404DC">
      <w:pPr>
        <w:autoSpaceDE w:val="0"/>
        <w:autoSpaceDN w:val="0"/>
        <w:adjustRightInd w:val="0"/>
        <w:spacing w:after="0" w:line="240" w:lineRule="auto"/>
        <w:jc w:val="left"/>
        <w:rPr>
          <w:sz w:val="24"/>
          <w:szCs w:val="24"/>
          <w:lang w:val="en-US" w:eastAsia="fr-FR"/>
        </w:rPr>
      </w:pPr>
    </w:p>
    <w:p w14:paraId="43E9CD3A" w14:textId="77777777" w:rsidR="002D5FD6" w:rsidRDefault="00FA48AA" w:rsidP="00101503">
      <w:pPr>
        <w:pStyle w:val="BodyText"/>
        <w:numPr>
          <w:ilvl w:val="0"/>
          <w:numId w:val="56"/>
        </w:numPr>
        <w:ind w:hanging="720"/>
        <w:rPr>
          <w:lang w:eastAsia="fr-FR"/>
        </w:rPr>
      </w:pPr>
      <w:bookmarkStart w:id="1278" w:name="_Ref496788169"/>
      <w:r w:rsidRPr="002462F0">
        <w:rPr>
          <w:lang w:eastAsia="fr-FR"/>
        </w:rPr>
        <w:t>2006 IPCC Guidelines, Volume 3, Chapter 2, equation 2.1</w:t>
      </w:r>
      <w:bookmarkEnd w:id="1278"/>
    </w:p>
    <w:p w14:paraId="20F62743" w14:textId="77777777" w:rsidR="002D5FD6" w:rsidRDefault="00FA48AA" w:rsidP="00101503">
      <w:pPr>
        <w:pStyle w:val="BodyText"/>
        <w:numPr>
          <w:ilvl w:val="0"/>
          <w:numId w:val="56"/>
        </w:numPr>
        <w:ind w:hanging="720"/>
        <w:rPr>
          <w:lang w:eastAsia="fr-FR"/>
        </w:rPr>
      </w:pPr>
      <w:bookmarkStart w:id="1279" w:name="_Ref496788199"/>
      <w:r w:rsidRPr="002462F0">
        <w:rPr>
          <w:lang w:eastAsia="fr-FR"/>
        </w:rPr>
        <w:t>Statistical annual reports, Statistical Office of the Re</w:t>
      </w:r>
      <w:r w:rsidR="002D5FD6">
        <w:rPr>
          <w:lang w:eastAsia="fr-FR"/>
        </w:rPr>
        <w:t>public of Serbia (SORS), yearly</w:t>
      </w:r>
      <w:bookmarkEnd w:id="1279"/>
    </w:p>
    <w:p w14:paraId="1812D4BB" w14:textId="77777777" w:rsidR="002D5FD6" w:rsidRDefault="00FA48AA" w:rsidP="00101503">
      <w:pPr>
        <w:pStyle w:val="BodyText"/>
        <w:numPr>
          <w:ilvl w:val="0"/>
          <w:numId w:val="56"/>
        </w:numPr>
        <w:ind w:hanging="720"/>
        <w:rPr>
          <w:lang w:eastAsia="fr-FR"/>
        </w:rPr>
      </w:pPr>
      <w:bookmarkStart w:id="1280" w:name="_Ref496788208"/>
      <w:r w:rsidRPr="002462F0">
        <w:rPr>
          <w:lang w:eastAsia="fr-FR"/>
        </w:rPr>
        <w:t>2006 IPCC Guidelines, Volume 3, Chapter 2, equation 2.4</w:t>
      </w:r>
      <w:bookmarkEnd w:id="1280"/>
    </w:p>
    <w:p w14:paraId="592D06C4" w14:textId="77777777" w:rsidR="002D5FD6" w:rsidRDefault="00A0396B" w:rsidP="00101503">
      <w:pPr>
        <w:pStyle w:val="BodyText"/>
        <w:numPr>
          <w:ilvl w:val="0"/>
          <w:numId w:val="56"/>
        </w:numPr>
        <w:ind w:hanging="720"/>
        <w:jc w:val="left"/>
        <w:rPr>
          <w:lang w:eastAsia="fr-FR"/>
        </w:rPr>
      </w:pPr>
      <w:bookmarkStart w:id="1281" w:name="_Ref496788218"/>
      <w:r w:rsidRPr="002462F0">
        <w:rPr>
          <w:lang w:eastAsia="fr-FR"/>
        </w:rPr>
        <w:t>2006 IPCC Guidelines, Volume 3, Chapter 2, section 2.3</w:t>
      </w:r>
      <w:bookmarkEnd w:id="1281"/>
    </w:p>
    <w:p w14:paraId="430BC0FC" w14:textId="77777777" w:rsidR="002D5FD6" w:rsidRDefault="00A0396B" w:rsidP="00101503">
      <w:pPr>
        <w:pStyle w:val="BodyText"/>
        <w:numPr>
          <w:ilvl w:val="0"/>
          <w:numId w:val="56"/>
        </w:numPr>
        <w:ind w:hanging="720"/>
        <w:jc w:val="left"/>
        <w:rPr>
          <w:lang w:eastAsia="fr-FR"/>
        </w:rPr>
      </w:pPr>
      <w:bookmarkStart w:id="1282" w:name="_Ref496788232"/>
      <w:r w:rsidRPr="002462F0">
        <w:rPr>
          <w:lang w:eastAsia="fr-FR"/>
        </w:rPr>
        <w:t>2006 IPCC Guidelines, Volume 3, Chapter 2, Table 2.4</w:t>
      </w:r>
      <w:bookmarkEnd w:id="1282"/>
    </w:p>
    <w:p w14:paraId="2B0F51BD" w14:textId="77777777" w:rsidR="002D5FD6" w:rsidRDefault="0094365D" w:rsidP="00101503">
      <w:pPr>
        <w:pStyle w:val="BodyText"/>
        <w:numPr>
          <w:ilvl w:val="0"/>
          <w:numId w:val="56"/>
        </w:numPr>
        <w:ind w:hanging="720"/>
        <w:jc w:val="left"/>
        <w:rPr>
          <w:lang w:eastAsia="fr-FR"/>
        </w:rPr>
      </w:pPr>
      <w:bookmarkStart w:id="1283" w:name="_Ref496788244"/>
      <w:r w:rsidRPr="002462F0">
        <w:rPr>
          <w:lang w:eastAsia="fr-FR"/>
        </w:rPr>
        <w:t>2006 IPCC Guidelines, Volume 3, Chapter 2, equation 2.10</w:t>
      </w:r>
      <w:bookmarkEnd w:id="1283"/>
    </w:p>
    <w:p w14:paraId="30A51F9C" w14:textId="77777777" w:rsidR="002D5FD6" w:rsidRDefault="001F382A" w:rsidP="00101503">
      <w:pPr>
        <w:pStyle w:val="BodyText"/>
        <w:numPr>
          <w:ilvl w:val="0"/>
          <w:numId w:val="56"/>
        </w:numPr>
        <w:ind w:hanging="720"/>
        <w:jc w:val="left"/>
        <w:rPr>
          <w:lang w:eastAsia="fr-FR"/>
        </w:rPr>
      </w:pPr>
      <w:bookmarkStart w:id="1284" w:name="_Ref496788283"/>
      <w:r w:rsidRPr="002462F0">
        <w:rPr>
          <w:lang w:eastAsia="fr-FR"/>
        </w:rPr>
        <w:t>2006 IPCC Guidelines, Volume 3, Chapter 2, equation 2.15</w:t>
      </w:r>
      <w:bookmarkEnd w:id="1284"/>
    </w:p>
    <w:p w14:paraId="32C6DDE4" w14:textId="77777777" w:rsidR="002D5FD6" w:rsidRDefault="001F382A" w:rsidP="00101503">
      <w:pPr>
        <w:pStyle w:val="BodyText"/>
        <w:numPr>
          <w:ilvl w:val="0"/>
          <w:numId w:val="56"/>
        </w:numPr>
        <w:ind w:hanging="720"/>
        <w:jc w:val="left"/>
        <w:rPr>
          <w:lang w:eastAsia="fr-FR"/>
        </w:rPr>
      </w:pPr>
      <w:bookmarkStart w:id="1285" w:name="_Ref496788295"/>
      <w:r w:rsidRPr="002462F0">
        <w:rPr>
          <w:lang w:eastAsia="fr-FR"/>
        </w:rPr>
        <w:t>2006 IPCC Guidelines, Volume 3, Chapter 2, Table 2.1</w:t>
      </w:r>
      <w:bookmarkEnd w:id="1285"/>
    </w:p>
    <w:p w14:paraId="038E7C26" w14:textId="77777777" w:rsidR="002D5FD6" w:rsidRPr="002D5FD6" w:rsidRDefault="00DE6BE9" w:rsidP="00101503">
      <w:pPr>
        <w:pStyle w:val="BodyText"/>
        <w:numPr>
          <w:ilvl w:val="0"/>
          <w:numId w:val="56"/>
        </w:numPr>
        <w:ind w:hanging="720"/>
        <w:jc w:val="left"/>
        <w:rPr>
          <w:lang w:eastAsia="fr-FR"/>
        </w:rPr>
      </w:pPr>
      <w:bookmarkStart w:id="1286" w:name="_Ref496788340"/>
      <w:r w:rsidRPr="002D5FD6">
        <w:rPr>
          <w:lang w:eastAsia="fr-FR"/>
        </w:rPr>
        <w:t>2006 IPCC Guidelines, Volume 3, Chapter 3, section 3.2</w:t>
      </w:r>
      <w:bookmarkEnd w:id="1286"/>
    </w:p>
    <w:p w14:paraId="6A070D21" w14:textId="77777777" w:rsidR="002D5FD6" w:rsidRDefault="00125D6E" w:rsidP="00101503">
      <w:pPr>
        <w:pStyle w:val="BodyText"/>
        <w:numPr>
          <w:ilvl w:val="0"/>
          <w:numId w:val="56"/>
        </w:numPr>
        <w:ind w:hanging="720"/>
        <w:jc w:val="left"/>
        <w:rPr>
          <w:lang w:eastAsia="fr-FR"/>
        </w:rPr>
      </w:pPr>
      <w:bookmarkStart w:id="1287" w:name="_Ref496788359"/>
      <w:r w:rsidRPr="002D5FD6">
        <w:rPr>
          <w:lang w:eastAsia="fr-FR"/>
        </w:rPr>
        <w:t xml:space="preserve">2006 IPCC Guidelines, Volume </w:t>
      </w:r>
      <w:r w:rsidR="00D76276" w:rsidRPr="002D5FD6">
        <w:rPr>
          <w:lang w:eastAsia="fr-FR"/>
        </w:rPr>
        <w:t>3</w:t>
      </w:r>
      <w:r w:rsidRPr="002D5FD6">
        <w:rPr>
          <w:lang w:eastAsia="fr-FR"/>
        </w:rPr>
        <w:t xml:space="preserve">, Chapter </w:t>
      </w:r>
      <w:r w:rsidR="00D76276" w:rsidRPr="002D5FD6">
        <w:rPr>
          <w:lang w:eastAsia="fr-FR"/>
        </w:rPr>
        <w:t>3</w:t>
      </w:r>
      <w:r w:rsidRPr="002D5FD6">
        <w:rPr>
          <w:lang w:eastAsia="fr-FR"/>
        </w:rPr>
        <w:t xml:space="preserve">, Table </w:t>
      </w:r>
      <w:r w:rsidR="00D76276" w:rsidRPr="002D5FD6">
        <w:rPr>
          <w:lang w:eastAsia="fr-FR"/>
        </w:rPr>
        <w:t>3.1</w:t>
      </w:r>
      <w:bookmarkEnd w:id="1287"/>
    </w:p>
    <w:p w14:paraId="6CEC4C34" w14:textId="77777777" w:rsidR="002D5FD6" w:rsidRDefault="00D76276" w:rsidP="00101503">
      <w:pPr>
        <w:pStyle w:val="BodyText"/>
        <w:numPr>
          <w:ilvl w:val="0"/>
          <w:numId w:val="56"/>
        </w:numPr>
        <w:ind w:hanging="720"/>
        <w:jc w:val="left"/>
        <w:rPr>
          <w:lang w:eastAsia="fr-FR"/>
        </w:rPr>
      </w:pPr>
      <w:bookmarkStart w:id="1288" w:name="_Ref496788380"/>
      <w:r w:rsidRPr="00860B8B">
        <w:rPr>
          <w:lang w:eastAsia="fr-FR"/>
        </w:rPr>
        <w:t>2006 IPCC Guidelines, Volume 3, Chapter 3, section 3.3</w:t>
      </w:r>
      <w:bookmarkEnd w:id="1288"/>
    </w:p>
    <w:p w14:paraId="0A4E14B9" w14:textId="77777777" w:rsidR="002D5FD6" w:rsidRDefault="00D76276" w:rsidP="00101503">
      <w:pPr>
        <w:pStyle w:val="BodyText"/>
        <w:numPr>
          <w:ilvl w:val="0"/>
          <w:numId w:val="56"/>
        </w:numPr>
        <w:ind w:hanging="720"/>
        <w:jc w:val="left"/>
        <w:rPr>
          <w:lang w:eastAsia="fr-FR"/>
        </w:rPr>
      </w:pPr>
      <w:bookmarkStart w:id="1289" w:name="_Ref496788392"/>
      <w:r w:rsidRPr="00860B8B">
        <w:rPr>
          <w:lang w:eastAsia="fr-FR"/>
        </w:rPr>
        <w:t>2006 IPCC Guidelines, Volume 3, Chapter 3 – Section 3.3, table 3.3</w:t>
      </w:r>
      <w:bookmarkEnd w:id="1289"/>
    </w:p>
    <w:p w14:paraId="5D961E4B" w14:textId="77777777" w:rsidR="002D5FD6" w:rsidRDefault="00325A44" w:rsidP="00101503">
      <w:pPr>
        <w:pStyle w:val="BodyText"/>
        <w:numPr>
          <w:ilvl w:val="0"/>
          <w:numId w:val="56"/>
        </w:numPr>
        <w:ind w:hanging="720"/>
        <w:jc w:val="left"/>
        <w:rPr>
          <w:lang w:eastAsia="fr-FR"/>
        </w:rPr>
      </w:pPr>
      <w:bookmarkStart w:id="1290" w:name="_Ref496788404"/>
      <w:r w:rsidRPr="00860B8B">
        <w:rPr>
          <w:lang w:eastAsia="fr-FR"/>
        </w:rPr>
        <w:t>2006 IPCC Guidelines, Volume 3, Chapter 3 – Section 3.9</w:t>
      </w:r>
      <w:bookmarkEnd w:id="1290"/>
    </w:p>
    <w:p w14:paraId="0FBC8ED2" w14:textId="77777777" w:rsidR="002D5FD6" w:rsidRDefault="00325A44" w:rsidP="00101503">
      <w:pPr>
        <w:pStyle w:val="BodyText"/>
        <w:numPr>
          <w:ilvl w:val="0"/>
          <w:numId w:val="56"/>
        </w:numPr>
        <w:ind w:hanging="720"/>
        <w:jc w:val="left"/>
        <w:rPr>
          <w:lang w:eastAsia="fr-FR"/>
        </w:rPr>
      </w:pPr>
      <w:bookmarkStart w:id="1291" w:name="_Ref496788419"/>
      <w:r w:rsidRPr="00860B8B">
        <w:rPr>
          <w:lang w:eastAsia="fr-FR"/>
        </w:rPr>
        <w:t>2003 Industrial Commodity Statistics Yearbook p388</w:t>
      </w:r>
      <w:bookmarkEnd w:id="1291"/>
    </w:p>
    <w:p w14:paraId="0130B357" w14:textId="77777777" w:rsidR="002D5FD6" w:rsidRDefault="00325A44" w:rsidP="00101503">
      <w:pPr>
        <w:pStyle w:val="BodyText"/>
        <w:numPr>
          <w:ilvl w:val="0"/>
          <w:numId w:val="56"/>
        </w:numPr>
        <w:ind w:hanging="720"/>
        <w:jc w:val="left"/>
        <w:rPr>
          <w:lang w:eastAsia="fr-FR"/>
        </w:rPr>
      </w:pPr>
      <w:bookmarkStart w:id="1292" w:name="_Ref496788424"/>
      <w:r w:rsidRPr="00860B8B">
        <w:rPr>
          <w:lang w:eastAsia="fr-FR"/>
        </w:rPr>
        <w:t>2006 IPCC Guidelines, Volume 3, Chapter 3 – Section 3.9, table 3.12</w:t>
      </w:r>
      <w:bookmarkEnd w:id="1292"/>
    </w:p>
    <w:p w14:paraId="297956B9" w14:textId="77777777" w:rsidR="002D5FD6" w:rsidRDefault="00325A44" w:rsidP="00101503">
      <w:pPr>
        <w:pStyle w:val="BodyText"/>
        <w:numPr>
          <w:ilvl w:val="0"/>
          <w:numId w:val="56"/>
        </w:numPr>
        <w:ind w:hanging="720"/>
        <w:jc w:val="left"/>
        <w:rPr>
          <w:lang w:eastAsia="fr-FR"/>
        </w:rPr>
      </w:pPr>
      <w:bookmarkStart w:id="1293" w:name="_Ref496788430"/>
      <w:r w:rsidRPr="00860B8B">
        <w:rPr>
          <w:lang w:eastAsia="fr-FR"/>
        </w:rPr>
        <w:t>2006 IPCC Guidelines, Volume 3, Chapter 3 – Section 3.9, p 3.74</w:t>
      </w:r>
      <w:bookmarkEnd w:id="1293"/>
    </w:p>
    <w:p w14:paraId="73569615" w14:textId="77777777" w:rsidR="002D5FD6" w:rsidRDefault="00325A44" w:rsidP="00101503">
      <w:pPr>
        <w:pStyle w:val="BodyText"/>
        <w:numPr>
          <w:ilvl w:val="0"/>
          <w:numId w:val="56"/>
        </w:numPr>
        <w:ind w:hanging="720"/>
        <w:jc w:val="left"/>
        <w:rPr>
          <w:lang w:eastAsia="fr-FR"/>
        </w:rPr>
      </w:pPr>
      <w:bookmarkStart w:id="1294" w:name="_Ref496788459"/>
      <w:r w:rsidRPr="00860B8B">
        <w:rPr>
          <w:lang w:eastAsia="fr-FR"/>
        </w:rPr>
        <w:t>2006 IPCC Guidelines, Volume 3, Chapter 3 – Section 3.9, table 3.14</w:t>
      </w:r>
      <w:bookmarkEnd w:id="1294"/>
    </w:p>
    <w:p w14:paraId="4E2C9DF9" w14:textId="77777777" w:rsidR="002D5FD6" w:rsidRDefault="00325A44" w:rsidP="00101503">
      <w:pPr>
        <w:pStyle w:val="BodyText"/>
        <w:numPr>
          <w:ilvl w:val="0"/>
          <w:numId w:val="56"/>
        </w:numPr>
        <w:ind w:hanging="720"/>
        <w:jc w:val="left"/>
        <w:rPr>
          <w:lang w:eastAsia="fr-FR"/>
        </w:rPr>
      </w:pPr>
      <w:bookmarkStart w:id="1295" w:name="_Ref496788464"/>
      <w:r w:rsidRPr="00860B8B">
        <w:rPr>
          <w:lang w:eastAsia="fr-FR"/>
        </w:rPr>
        <w:t>2006 IPCC Guidelines, Volume 3, Chapter 3 – Section 3.9, table 3.16</w:t>
      </w:r>
      <w:bookmarkEnd w:id="1295"/>
    </w:p>
    <w:p w14:paraId="1A92F591" w14:textId="77777777" w:rsidR="002D5FD6" w:rsidRDefault="00325A44" w:rsidP="00101503">
      <w:pPr>
        <w:pStyle w:val="BodyText"/>
        <w:numPr>
          <w:ilvl w:val="0"/>
          <w:numId w:val="56"/>
        </w:numPr>
        <w:ind w:hanging="720"/>
        <w:jc w:val="left"/>
        <w:rPr>
          <w:lang w:eastAsia="fr-FR"/>
        </w:rPr>
      </w:pPr>
      <w:bookmarkStart w:id="1296" w:name="_Ref496788471"/>
      <w:r w:rsidRPr="00860B8B">
        <w:rPr>
          <w:lang w:eastAsia="fr-FR"/>
        </w:rPr>
        <w:lastRenderedPageBreak/>
        <w:t>2006 IPCC Guidelines, Volume 3, Chapter 3 – Section 3.9, table 3.15</w:t>
      </w:r>
      <w:bookmarkEnd w:id="1296"/>
    </w:p>
    <w:p w14:paraId="2F470C04" w14:textId="77777777" w:rsidR="002D5FD6" w:rsidRDefault="0087212A" w:rsidP="00101503">
      <w:pPr>
        <w:pStyle w:val="BodyText"/>
        <w:numPr>
          <w:ilvl w:val="0"/>
          <w:numId w:val="56"/>
        </w:numPr>
        <w:ind w:hanging="720"/>
        <w:jc w:val="left"/>
        <w:rPr>
          <w:lang w:eastAsia="fr-FR"/>
        </w:rPr>
      </w:pPr>
      <w:bookmarkStart w:id="1297" w:name="_Ref496788497"/>
      <w:r w:rsidRPr="00860B8B">
        <w:rPr>
          <w:lang w:eastAsia="fr-FR"/>
        </w:rPr>
        <w:t>2006 IPCC Guidelines, Volume 3, Chapter 3 – Section 3.9, table 3.17</w:t>
      </w:r>
      <w:bookmarkEnd w:id="1297"/>
    </w:p>
    <w:p w14:paraId="7D39E6E4" w14:textId="77777777" w:rsidR="002D5FD6" w:rsidRDefault="0087212A" w:rsidP="00101503">
      <w:pPr>
        <w:pStyle w:val="BodyText"/>
        <w:numPr>
          <w:ilvl w:val="0"/>
          <w:numId w:val="56"/>
        </w:numPr>
        <w:ind w:hanging="720"/>
        <w:jc w:val="left"/>
        <w:rPr>
          <w:lang w:eastAsia="fr-FR"/>
        </w:rPr>
      </w:pPr>
      <w:bookmarkStart w:id="1298" w:name="_Ref496788502"/>
      <w:r w:rsidRPr="00860B8B">
        <w:rPr>
          <w:lang w:eastAsia="fr-FR"/>
        </w:rPr>
        <w:t>2006 IPCC Guidelines, Volume 3, Chapter 3 – Section 3.9, table 3.19</w:t>
      </w:r>
      <w:bookmarkEnd w:id="1298"/>
    </w:p>
    <w:p w14:paraId="29421ECF" w14:textId="77777777" w:rsidR="002D5FD6" w:rsidRDefault="005F76AF" w:rsidP="00101503">
      <w:pPr>
        <w:pStyle w:val="BodyText"/>
        <w:numPr>
          <w:ilvl w:val="0"/>
          <w:numId w:val="56"/>
        </w:numPr>
        <w:ind w:hanging="720"/>
        <w:jc w:val="left"/>
        <w:rPr>
          <w:lang w:eastAsia="fr-FR"/>
        </w:rPr>
      </w:pPr>
      <w:bookmarkStart w:id="1299" w:name="_Ref496788560"/>
      <w:r w:rsidRPr="002462F0">
        <w:rPr>
          <w:lang w:eastAsia="fr-FR"/>
        </w:rPr>
        <w:t>2006 IPCC Guidelines, Volume 3, Chapter 4</w:t>
      </w:r>
      <w:bookmarkEnd w:id="1299"/>
    </w:p>
    <w:p w14:paraId="0C102E94" w14:textId="77777777" w:rsidR="002D5FD6" w:rsidRDefault="005F76AF" w:rsidP="00101503">
      <w:pPr>
        <w:pStyle w:val="BodyText"/>
        <w:numPr>
          <w:ilvl w:val="0"/>
          <w:numId w:val="56"/>
        </w:numPr>
        <w:ind w:hanging="720"/>
        <w:jc w:val="left"/>
        <w:rPr>
          <w:lang w:eastAsia="fr-FR"/>
        </w:rPr>
      </w:pPr>
      <w:bookmarkStart w:id="1300" w:name="_Ref496788572"/>
      <w:proofErr w:type="spellStart"/>
      <w:r w:rsidRPr="002462F0">
        <w:rPr>
          <w:lang w:eastAsia="fr-FR"/>
        </w:rPr>
        <w:t>Worldsteel</w:t>
      </w:r>
      <w:proofErr w:type="spellEnd"/>
      <w:r w:rsidRPr="002462F0">
        <w:rPr>
          <w:lang w:eastAsia="fr-FR"/>
        </w:rPr>
        <w:t xml:space="preserve"> Association, Steel statistical yearbook, yearly</w:t>
      </w:r>
      <w:bookmarkEnd w:id="1300"/>
    </w:p>
    <w:p w14:paraId="5014686C" w14:textId="77777777" w:rsidR="002D5FD6" w:rsidRDefault="005F76AF" w:rsidP="00101503">
      <w:pPr>
        <w:pStyle w:val="BodyText"/>
        <w:numPr>
          <w:ilvl w:val="0"/>
          <w:numId w:val="56"/>
        </w:numPr>
        <w:ind w:hanging="720"/>
        <w:jc w:val="left"/>
        <w:rPr>
          <w:lang w:eastAsia="fr-FR"/>
        </w:rPr>
      </w:pPr>
      <w:bookmarkStart w:id="1301" w:name="_Ref496788579"/>
      <w:r w:rsidRPr="002462F0">
        <w:rPr>
          <w:lang w:eastAsia="fr-FR"/>
        </w:rPr>
        <w:t>Operators’ questionnaires, SEPA, yearly</w:t>
      </w:r>
      <w:bookmarkEnd w:id="1301"/>
    </w:p>
    <w:p w14:paraId="072DBD4A" w14:textId="77777777" w:rsidR="002D5FD6" w:rsidRDefault="00652A0B" w:rsidP="00101503">
      <w:pPr>
        <w:pStyle w:val="BodyText"/>
        <w:numPr>
          <w:ilvl w:val="0"/>
          <w:numId w:val="56"/>
        </w:numPr>
        <w:ind w:hanging="720"/>
        <w:jc w:val="left"/>
        <w:rPr>
          <w:lang w:eastAsia="fr-FR"/>
        </w:rPr>
      </w:pPr>
      <w:bookmarkStart w:id="1302" w:name="_Ref496788607"/>
      <w:r w:rsidRPr="00860B8B">
        <w:rPr>
          <w:lang w:eastAsia="fr-FR"/>
        </w:rPr>
        <w:t>2006 IPCC Guidelines, Volume 3, Chapter 4, Section 4.5</w:t>
      </w:r>
      <w:bookmarkEnd w:id="1302"/>
    </w:p>
    <w:p w14:paraId="350EC9E5" w14:textId="77777777" w:rsidR="002D5FD6" w:rsidRDefault="00652A0B" w:rsidP="00101503">
      <w:pPr>
        <w:pStyle w:val="BodyText"/>
        <w:numPr>
          <w:ilvl w:val="0"/>
          <w:numId w:val="56"/>
        </w:numPr>
        <w:ind w:hanging="720"/>
        <w:jc w:val="left"/>
        <w:rPr>
          <w:lang w:eastAsia="fr-FR"/>
        </w:rPr>
      </w:pPr>
      <w:r w:rsidRPr="00860B8B">
        <w:rPr>
          <w:lang w:eastAsia="fr-FR"/>
        </w:rPr>
        <w:t>2006 IPCC Guidelines, Volume 3, Chapter 4, Table 4.19</w:t>
      </w:r>
    </w:p>
    <w:p w14:paraId="1928FB79" w14:textId="77777777" w:rsidR="002D5FD6" w:rsidRDefault="00652A0B" w:rsidP="00101503">
      <w:pPr>
        <w:pStyle w:val="BodyText"/>
        <w:numPr>
          <w:ilvl w:val="0"/>
          <w:numId w:val="56"/>
        </w:numPr>
        <w:ind w:hanging="720"/>
        <w:jc w:val="left"/>
        <w:rPr>
          <w:lang w:eastAsia="fr-FR"/>
        </w:rPr>
      </w:pPr>
      <w:bookmarkStart w:id="1303" w:name="_Ref496788624"/>
      <w:r w:rsidRPr="00860B8B">
        <w:rPr>
          <w:lang w:eastAsia="fr-FR"/>
        </w:rPr>
        <w:t>2006 IPCC Guidelines, Volume 3, Chapter 4, Table 4.20</w:t>
      </w:r>
      <w:bookmarkEnd w:id="1303"/>
    </w:p>
    <w:p w14:paraId="5DA7BBEB" w14:textId="77777777" w:rsidR="002D5FD6" w:rsidRDefault="00652A0B" w:rsidP="00101503">
      <w:pPr>
        <w:pStyle w:val="BodyText"/>
        <w:numPr>
          <w:ilvl w:val="0"/>
          <w:numId w:val="56"/>
        </w:numPr>
        <w:ind w:hanging="720"/>
        <w:jc w:val="left"/>
        <w:rPr>
          <w:lang w:eastAsia="fr-FR"/>
        </w:rPr>
      </w:pPr>
      <w:bookmarkStart w:id="1304" w:name="_Ref496788640"/>
      <w:r w:rsidRPr="00860B8B">
        <w:rPr>
          <w:lang w:eastAsia="fr-FR"/>
        </w:rPr>
        <w:t>2006 IPCC Guidelines, Volume 3, Chapter 4, Section 4.6</w:t>
      </w:r>
      <w:bookmarkEnd w:id="1304"/>
    </w:p>
    <w:p w14:paraId="2D853097" w14:textId="77777777" w:rsidR="002D5FD6" w:rsidRDefault="00652A0B" w:rsidP="00101503">
      <w:pPr>
        <w:pStyle w:val="BodyText"/>
        <w:numPr>
          <w:ilvl w:val="0"/>
          <w:numId w:val="56"/>
        </w:numPr>
        <w:ind w:hanging="720"/>
        <w:jc w:val="left"/>
        <w:rPr>
          <w:lang w:eastAsia="fr-FR"/>
        </w:rPr>
      </w:pPr>
      <w:bookmarkStart w:id="1305" w:name="_Ref496788646"/>
      <w:r w:rsidRPr="00860B8B">
        <w:rPr>
          <w:lang w:eastAsia="fr-FR"/>
        </w:rPr>
        <w:t>Activity data provided by operator for lead production</w:t>
      </w:r>
      <w:bookmarkEnd w:id="1305"/>
    </w:p>
    <w:p w14:paraId="4BAED43B" w14:textId="77777777" w:rsidR="002D5FD6" w:rsidRDefault="00652A0B" w:rsidP="00101503">
      <w:pPr>
        <w:pStyle w:val="BodyText"/>
        <w:numPr>
          <w:ilvl w:val="0"/>
          <w:numId w:val="56"/>
        </w:numPr>
        <w:ind w:hanging="720"/>
        <w:jc w:val="left"/>
        <w:rPr>
          <w:lang w:eastAsia="fr-FR"/>
        </w:rPr>
      </w:pPr>
      <w:bookmarkStart w:id="1306" w:name="_Ref496788659"/>
      <w:r w:rsidRPr="00860B8B">
        <w:rPr>
          <w:lang w:eastAsia="fr-FR"/>
        </w:rPr>
        <w:t>2006 IPCC Guidelines, Volume 3, Chapter 4, Table 4.21</w:t>
      </w:r>
      <w:bookmarkEnd w:id="1306"/>
    </w:p>
    <w:p w14:paraId="7E574267" w14:textId="77777777" w:rsidR="002D5FD6" w:rsidRDefault="00652A0B" w:rsidP="00101503">
      <w:pPr>
        <w:pStyle w:val="BodyText"/>
        <w:numPr>
          <w:ilvl w:val="0"/>
          <w:numId w:val="56"/>
        </w:numPr>
        <w:ind w:hanging="720"/>
        <w:jc w:val="left"/>
        <w:rPr>
          <w:lang w:eastAsia="fr-FR"/>
        </w:rPr>
      </w:pPr>
      <w:bookmarkStart w:id="1307" w:name="_Ref496788679"/>
      <w:r w:rsidRPr="00860B8B">
        <w:rPr>
          <w:lang w:eastAsia="fr-FR"/>
        </w:rPr>
        <w:t>2006 IPCC Guidelines, Volume 3, Chapter 4, Section 4.7</w:t>
      </w:r>
      <w:bookmarkEnd w:id="1307"/>
    </w:p>
    <w:p w14:paraId="32724693" w14:textId="0C727015" w:rsidR="0015306A" w:rsidRPr="00622F40" w:rsidRDefault="001D08D9" w:rsidP="00101503">
      <w:pPr>
        <w:pStyle w:val="BodyText"/>
        <w:numPr>
          <w:ilvl w:val="0"/>
          <w:numId w:val="56"/>
        </w:numPr>
        <w:ind w:hanging="720"/>
        <w:jc w:val="left"/>
        <w:rPr>
          <w:lang w:val="fr-FR" w:eastAsia="fr-FR"/>
        </w:rPr>
      </w:pPr>
      <w:bookmarkStart w:id="1308" w:name="_Ref177125638"/>
      <w:r w:rsidRPr="00622F40">
        <w:rPr>
          <w:lang w:val="fr-FR" w:eastAsia="fr-FR"/>
        </w:rPr>
        <w:t xml:space="preserve">2006 IPCC Guidelines, Volume 3, </w:t>
      </w:r>
      <w:proofErr w:type="spellStart"/>
      <w:r w:rsidRPr="00622F40">
        <w:rPr>
          <w:lang w:val="fr-FR" w:eastAsia="fr-FR"/>
        </w:rPr>
        <w:t>Chapter</w:t>
      </w:r>
      <w:proofErr w:type="spellEnd"/>
      <w:r w:rsidRPr="00622F40">
        <w:rPr>
          <w:lang w:val="fr-FR" w:eastAsia="fr-FR"/>
        </w:rPr>
        <w:t xml:space="preserve"> </w:t>
      </w:r>
      <w:r w:rsidR="000F5438">
        <w:rPr>
          <w:lang w:val="fr-FR" w:eastAsia="fr-FR"/>
        </w:rPr>
        <w:t>8</w:t>
      </w:r>
      <w:r w:rsidRPr="00622F40">
        <w:rPr>
          <w:lang w:val="fr-FR" w:eastAsia="fr-FR"/>
        </w:rPr>
        <w:t>, Se</w:t>
      </w:r>
      <w:r>
        <w:rPr>
          <w:lang w:val="fr-FR" w:eastAsia="fr-FR"/>
        </w:rPr>
        <w:t xml:space="preserve">ction </w:t>
      </w:r>
      <w:r w:rsidR="000F5438">
        <w:rPr>
          <w:lang w:val="fr-FR" w:eastAsia="fr-FR"/>
        </w:rPr>
        <w:t xml:space="preserve">8.2, </w:t>
      </w:r>
      <w:r w:rsidR="007A6E66">
        <w:rPr>
          <w:lang w:val="fr-FR" w:eastAsia="fr-FR"/>
        </w:rPr>
        <w:t>Tables 8.2 and 8.3</w:t>
      </w:r>
      <w:bookmarkEnd w:id="1308"/>
    </w:p>
    <w:p w14:paraId="3180F051" w14:textId="77777777" w:rsidR="002D5FD6" w:rsidRDefault="00652A0B" w:rsidP="00101503">
      <w:pPr>
        <w:pStyle w:val="BodyText"/>
        <w:numPr>
          <w:ilvl w:val="0"/>
          <w:numId w:val="56"/>
        </w:numPr>
        <w:ind w:hanging="720"/>
        <w:jc w:val="left"/>
        <w:rPr>
          <w:lang w:eastAsia="fr-FR"/>
        </w:rPr>
      </w:pPr>
      <w:bookmarkStart w:id="1309" w:name="_Ref496788694"/>
      <w:r w:rsidRPr="00860B8B">
        <w:rPr>
          <w:lang w:eastAsia="fr-FR"/>
        </w:rPr>
        <w:t>2006 IPCC Guidelines, Volume 3, Chapter 4, Table 4.24</w:t>
      </w:r>
      <w:bookmarkEnd w:id="1309"/>
    </w:p>
    <w:p w14:paraId="1200F301" w14:textId="7D1F75A4" w:rsidR="00D82F86" w:rsidRDefault="00D82F86" w:rsidP="00101503">
      <w:pPr>
        <w:pStyle w:val="BodyText"/>
        <w:numPr>
          <w:ilvl w:val="0"/>
          <w:numId w:val="56"/>
        </w:numPr>
        <w:ind w:hanging="720"/>
        <w:jc w:val="left"/>
        <w:rPr>
          <w:lang w:eastAsia="fr-FR"/>
        </w:rPr>
      </w:pPr>
      <w:bookmarkStart w:id="1310" w:name="_Ref177133827"/>
      <w:r>
        <w:rPr>
          <w:lang w:eastAsia="fr-FR"/>
        </w:rPr>
        <w:t>2006 IPCC Guidelines, Volume 3, Chapter 5, Section 5.2</w:t>
      </w:r>
      <w:bookmarkEnd w:id="1310"/>
      <w:r w:rsidR="00375AC1">
        <w:rPr>
          <w:lang w:eastAsia="fr-FR"/>
        </w:rPr>
        <w:t>, Table 5.2</w:t>
      </w:r>
    </w:p>
    <w:p w14:paraId="79E1540A" w14:textId="6E918B17" w:rsidR="00713F11" w:rsidRDefault="00713F11" w:rsidP="00101503">
      <w:pPr>
        <w:pStyle w:val="BodyText"/>
        <w:numPr>
          <w:ilvl w:val="0"/>
          <w:numId w:val="56"/>
        </w:numPr>
        <w:ind w:hanging="720"/>
        <w:jc w:val="left"/>
        <w:rPr>
          <w:lang w:eastAsia="fr-FR"/>
        </w:rPr>
      </w:pPr>
      <w:bookmarkStart w:id="1311" w:name="_Ref177134798"/>
      <w:r>
        <w:rPr>
          <w:lang w:eastAsia="fr-FR"/>
        </w:rPr>
        <w:t xml:space="preserve">2006 IPCC Guidelines, Volume </w:t>
      </w:r>
      <w:r w:rsidR="00375AC1">
        <w:rPr>
          <w:lang w:eastAsia="fr-FR"/>
        </w:rPr>
        <w:t>2</w:t>
      </w:r>
      <w:r>
        <w:rPr>
          <w:lang w:eastAsia="fr-FR"/>
        </w:rPr>
        <w:t xml:space="preserve">, Chapter </w:t>
      </w:r>
      <w:r w:rsidR="00375AC1">
        <w:rPr>
          <w:lang w:eastAsia="fr-FR"/>
        </w:rPr>
        <w:t>1</w:t>
      </w:r>
      <w:r>
        <w:rPr>
          <w:lang w:eastAsia="fr-FR"/>
        </w:rPr>
        <w:t xml:space="preserve">, </w:t>
      </w:r>
      <w:r w:rsidR="00375AC1">
        <w:rPr>
          <w:lang w:eastAsia="fr-FR"/>
        </w:rPr>
        <w:t>Table 1.3</w:t>
      </w:r>
      <w:bookmarkEnd w:id="1311"/>
    </w:p>
    <w:p w14:paraId="018F01F5" w14:textId="02E2D6A0" w:rsidR="00C363A4" w:rsidRDefault="00C363A4" w:rsidP="00C363A4">
      <w:pPr>
        <w:pStyle w:val="BodyText"/>
        <w:numPr>
          <w:ilvl w:val="0"/>
          <w:numId w:val="56"/>
        </w:numPr>
        <w:ind w:hanging="720"/>
        <w:jc w:val="left"/>
        <w:rPr>
          <w:lang w:eastAsia="fr-FR"/>
        </w:rPr>
      </w:pPr>
      <w:bookmarkStart w:id="1312" w:name="_Ref177135956"/>
      <w:r>
        <w:rPr>
          <w:lang w:eastAsia="fr-FR"/>
        </w:rPr>
        <w:t>2006 IPCC Guidelines, Volume 3, Chapter 5, Section 5.3</w:t>
      </w:r>
      <w:bookmarkEnd w:id="1312"/>
    </w:p>
    <w:p w14:paraId="06E57DF2" w14:textId="1B1B928E" w:rsidR="009F30F2" w:rsidRDefault="009F30F2" w:rsidP="009F30F2">
      <w:pPr>
        <w:pStyle w:val="BodyText"/>
        <w:numPr>
          <w:ilvl w:val="0"/>
          <w:numId w:val="56"/>
        </w:numPr>
        <w:ind w:hanging="720"/>
        <w:jc w:val="left"/>
        <w:rPr>
          <w:lang w:eastAsia="fr-FR"/>
        </w:rPr>
      </w:pPr>
      <w:bookmarkStart w:id="1313" w:name="_Ref177138009"/>
      <w:r>
        <w:rPr>
          <w:lang w:eastAsia="fr-FR"/>
        </w:rPr>
        <w:t>2006 IPCC Guidelines, Volume 3, Chapter 5, Section 5.5</w:t>
      </w:r>
      <w:bookmarkEnd w:id="1313"/>
    </w:p>
    <w:p w14:paraId="0945DF57" w14:textId="77777777" w:rsidR="002D5FD6" w:rsidRDefault="00F62B16" w:rsidP="00101503">
      <w:pPr>
        <w:pStyle w:val="BodyText"/>
        <w:numPr>
          <w:ilvl w:val="0"/>
          <w:numId w:val="56"/>
        </w:numPr>
        <w:ind w:hanging="720"/>
        <w:jc w:val="left"/>
        <w:rPr>
          <w:lang w:eastAsia="fr-FR"/>
        </w:rPr>
      </w:pPr>
      <w:bookmarkStart w:id="1314" w:name="_Ref496789002"/>
      <w:r w:rsidRPr="00860B8B">
        <w:rPr>
          <w:lang w:eastAsia="fr-FR"/>
        </w:rPr>
        <w:t>UNEP - REPORT OF THE REFRIGERATION, AIR CONDITIONING AND HEAT PUMPS TECHNICAL OPTIONS COMMITTEE - 2010 - Table 3-1</w:t>
      </w:r>
      <w:bookmarkEnd w:id="1314"/>
    </w:p>
    <w:p w14:paraId="49ADDB1B" w14:textId="77777777" w:rsidR="002D5FD6" w:rsidRDefault="00F62B16" w:rsidP="00101503">
      <w:pPr>
        <w:pStyle w:val="BodyText"/>
        <w:numPr>
          <w:ilvl w:val="0"/>
          <w:numId w:val="56"/>
        </w:numPr>
        <w:ind w:hanging="720"/>
        <w:jc w:val="left"/>
        <w:rPr>
          <w:lang w:eastAsia="fr-FR"/>
        </w:rPr>
      </w:pPr>
      <w:bookmarkStart w:id="1315" w:name="_Ref496789010"/>
      <w:r w:rsidRPr="00860B8B">
        <w:rPr>
          <w:lang w:eastAsia="fr-FR"/>
        </w:rPr>
        <w:t>2006 IPCC Guidelines - Volume 3, Chapter 7, Table 7.9</w:t>
      </w:r>
      <w:bookmarkEnd w:id="1315"/>
    </w:p>
    <w:p w14:paraId="2F61C7E4" w14:textId="77777777" w:rsidR="002D5FD6" w:rsidRDefault="00F62B16" w:rsidP="00101503">
      <w:pPr>
        <w:pStyle w:val="BodyText"/>
        <w:numPr>
          <w:ilvl w:val="0"/>
          <w:numId w:val="56"/>
        </w:numPr>
        <w:ind w:hanging="720"/>
        <w:jc w:val="left"/>
        <w:rPr>
          <w:lang w:eastAsia="fr-FR"/>
        </w:rPr>
      </w:pPr>
      <w:bookmarkStart w:id="1316" w:name="_Ref496789078"/>
      <w:r w:rsidRPr="00860B8B">
        <w:rPr>
          <w:lang w:eastAsia="fr-FR"/>
        </w:rPr>
        <w:t>Health statistical yearbook of Republic of Serbia - General practice services, Diseases of the respiratory system - Every year</w:t>
      </w:r>
      <w:bookmarkEnd w:id="1316"/>
    </w:p>
    <w:p w14:paraId="6D25B891" w14:textId="77777777" w:rsidR="002D5FD6" w:rsidRDefault="00F62B16" w:rsidP="00101503">
      <w:pPr>
        <w:pStyle w:val="BodyText"/>
        <w:numPr>
          <w:ilvl w:val="0"/>
          <w:numId w:val="56"/>
        </w:numPr>
        <w:ind w:hanging="720"/>
        <w:jc w:val="left"/>
        <w:rPr>
          <w:lang w:eastAsia="fr-FR"/>
        </w:rPr>
      </w:pPr>
      <w:bookmarkStart w:id="1317" w:name="_Ref496789084"/>
      <w:r w:rsidRPr="00860B8B">
        <w:rPr>
          <w:lang w:eastAsia="fr-FR"/>
        </w:rPr>
        <w:t>French National Inventory Report 2017 - p300</w:t>
      </w:r>
      <w:bookmarkEnd w:id="1317"/>
    </w:p>
    <w:p w14:paraId="779AEEC2" w14:textId="307F3067" w:rsidR="002D5FD6" w:rsidRDefault="00F62B16" w:rsidP="00101503">
      <w:pPr>
        <w:pStyle w:val="BodyText"/>
        <w:numPr>
          <w:ilvl w:val="0"/>
          <w:numId w:val="56"/>
        </w:numPr>
        <w:ind w:hanging="720"/>
        <w:jc w:val="left"/>
        <w:rPr>
          <w:lang w:eastAsia="fr-FR"/>
        </w:rPr>
      </w:pPr>
      <w:bookmarkStart w:id="1318" w:name="_Ref496789093"/>
      <w:r w:rsidRPr="00860B8B">
        <w:rPr>
          <w:lang w:eastAsia="fr-FR"/>
        </w:rPr>
        <w:t xml:space="preserve">UNEP - MEDICAL TECHNICAL OPTIONS COMMITTEE </w:t>
      </w:r>
      <w:r w:rsidR="002D5FD6">
        <w:rPr>
          <w:lang w:eastAsia="fr-FR"/>
        </w:rPr>
        <w:t>–</w:t>
      </w:r>
      <w:r w:rsidRPr="00860B8B">
        <w:rPr>
          <w:lang w:eastAsia="fr-FR"/>
        </w:rPr>
        <w:t xml:space="preserve"> 2014</w:t>
      </w:r>
      <w:bookmarkEnd w:id="1318"/>
    </w:p>
    <w:p w14:paraId="04C717F4" w14:textId="654E2931" w:rsidR="002D5FD6" w:rsidRDefault="00F62B16" w:rsidP="00101503">
      <w:pPr>
        <w:pStyle w:val="BodyText"/>
        <w:numPr>
          <w:ilvl w:val="0"/>
          <w:numId w:val="56"/>
        </w:numPr>
        <w:ind w:hanging="720"/>
        <w:jc w:val="left"/>
        <w:rPr>
          <w:lang w:eastAsia="fr-FR"/>
        </w:rPr>
      </w:pPr>
      <w:bookmarkStart w:id="1319" w:name="_Ref496789099"/>
      <w:r w:rsidRPr="00860B8B">
        <w:rPr>
          <w:lang w:eastAsia="fr-FR"/>
        </w:rPr>
        <w:t xml:space="preserve">Excel file on the trend of the share of CFC and HFC in the sales of MDI - French data </w:t>
      </w:r>
      <w:r w:rsidR="002D5FD6">
        <w:rPr>
          <w:lang w:eastAsia="fr-FR"/>
        </w:rPr>
        <w:t>–</w:t>
      </w:r>
      <w:r w:rsidRPr="00860B8B">
        <w:rPr>
          <w:lang w:eastAsia="fr-FR"/>
        </w:rPr>
        <w:t xml:space="preserve"> 2017</w:t>
      </w:r>
      <w:bookmarkEnd w:id="1319"/>
    </w:p>
    <w:p w14:paraId="4F39BC81" w14:textId="77777777" w:rsidR="002D5FD6" w:rsidRDefault="00F62B16" w:rsidP="00101503">
      <w:pPr>
        <w:pStyle w:val="BodyText"/>
        <w:numPr>
          <w:ilvl w:val="0"/>
          <w:numId w:val="56"/>
        </w:numPr>
        <w:ind w:hanging="720"/>
        <w:jc w:val="left"/>
        <w:rPr>
          <w:lang w:eastAsia="fr-FR"/>
        </w:rPr>
      </w:pPr>
      <w:bookmarkStart w:id="1320" w:name="_Ref496789017"/>
      <w:r w:rsidRPr="00860B8B">
        <w:rPr>
          <w:lang w:eastAsia="fr-FR"/>
        </w:rPr>
        <w:t>2006 IPCC Guidelines - Volume 3, Chapter 7, Equation 7.10</w:t>
      </w:r>
      <w:bookmarkEnd w:id="1320"/>
    </w:p>
    <w:p w14:paraId="5D457826" w14:textId="77777777" w:rsidR="002D5FD6" w:rsidRDefault="00F62B16" w:rsidP="00101503">
      <w:pPr>
        <w:pStyle w:val="BodyText"/>
        <w:numPr>
          <w:ilvl w:val="0"/>
          <w:numId w:val="56"/>
        </w:numPr>
        <w:ind w:hanging="720"/>
        <w:jc w:val="left"/>
        <w:rPr>
          <w:lang w:eastAsia="fr-FR"/>
        </w:rPr>
      </w:pPr>
      <w:bookmarkStart w:id="1321" w:name="_Ref496789035"/>
      <w:r w:rsidRPr="00860B8B">
        <w:rPr>
          <w:lang w:eastAsia="fr-FR"/>
        </w:rPr>
        <w:t>IPCC tool for 2F1 HFC emission calculation - V3_An1_Calculation_example_for_2F1.xls</w:t>
      </w:r>
      <w:bookmarkEnd w:id="1321"/>
    </w:p>
    <w:p w14:paraId="7C146F3F" w14:textId="0102A375" w:rsidR="00F62B16" w:rsidRDefault="00F62B16" w:rsidP="00101503">
      <w:pPr>
        <w:pStyle w:val="BodyText"/>
        <w:numPr>
          <w:ilvl w:val="0"/>
          <w:numId w:val="56"/>
        </w:numPr>
        <w:ind w:hanging="720"/>
        <w:jc w:val="left"/>
        <w:rPr>
          <w:lang w:eastAsia="fr-FR"/>
        </w:rPr>
      </w:pPr>
      <w:bookmarkStart w:id="1322" w:name="_Ref496789112"/>
      <w:r w:rsidRPr="00860B8B">
        <w:rPr>
          <w:lang w:eastAsia="fr-FR"/>
        </w:rPr>
        <w:t>2006 IPCC Guidelines - Volume 3, Chapter 7, Equation 7.6</w:t>
      </w:r>
      <w:bookmarkEnd w:id="1322"/>
    </w:p>
    <w:p w14:paraId="22F9021C" w14:textId="77777777" w:rsidR="009C425F" w:rsidRPr="00860B8B" w:rsidRDefault="009C425F" w:rsidP="00860B8B">
      <w:pPr>
        <w:pStyle w:val="BodyText"/>
        <w:rPr>
          <w:lang w:eastAsia="fr-FR"/>
        </w:rPr>
      </w:pPr>
    </w:p>
    <w:p w14:paraId="02188E18" w14:textId="77777777" w:rsidR="00F14C78" w:rsidRDefault="00F14C78">
      <w:pPr>
        <w:jc w:val="left"/>
        <w:rPr>
          <w:b/>
          <w:sz w:val="24"/>
          <w:szCs w:val="24"/>
          <w:lang w:val="en-US" w:eastAsia="fr-FR"/>
        </w:rPr>
      </w:pPr>
      <w:r>
        <w:rPr>
          <w:b/>
          <w:sz w:val="24"/>
          <w:szCs w:val="24"/>
          <w:lang w:val="en-US" w:eastAsia="fr-FR"/>
        </w:rPr>
        <w:br w:type="page"/>
      </w:r>
    </w:p>
    <w:p w14:paraId="6B45A43C" w14:textId="6AC0D0D6" w:rsidR="009C425F" w:rsidRDefault="009C425F" w:rsidP="009C425F">
      <w:pPr>
        <w:autoSpaceDE w:val="0"/>
        <w:autoSpaceDN w:val="0"/>
        <w:adjustRightInd w:val="0"/>
        <w:spacing w:after="0" w:line="240" w:lineRule="auto"/>
        <w:jc w:val="left"/>
        <w:rPr>
          <w:b/>
          <w:sz w:val="24"/>
          <w:szCs w:val="24"/>
          <w:lang w:val="en-US" w:eastAsia="fr-FR"/>
        </w:rPr>
      </w:pPr>
      <w:r>
        <w:rPr>
          <w:b/>
          <w:sz w:val="24"/>
          <w:szCs w:val="24"/>
          <w:lang w:val="en-US" w:eastAsia="fr-FR"/>
        </w:rPr>
        <w:lastRenderedPageBreak/>
        <w:t>Agriculture (</w:t>
      </w:r>
      <w:r w:rsidR="000F6001">
        <w:rPr>
          <w:b/>
          <w:sz w:val="24"/>
          <w:szCs w:val="24"/>
          <w:lang w:val="en-US" w:eastAsia="fr-FR"/>
        </w:rPr>
        <w:t>CRT</w:t>
      </w:r>
      <w:r>
        <w:rPr>
          <w:b/>
          <w:sz w:val="24"/>
          <w:szCs w:val="24"/>
          <w:lang w:val="en-US" w:eastAsia="fr-FR"/>
        </w:rPr>
        <w:t xml:space="preserve"> 3)</w:t>
      </w:r>
    </w:p>
    <w:p w14:paraId="45A47A25" w14:textId="77777777" w:rsidR="009C425F" w:rsidRPr="002462F0" w:rsidRDefault="009C425F" w:rsidP="009C425F">
      <w:pPr>
        <w:autoSpaceDE w:val="0"/>
        <w:autoSpaceDN w:val="0"/>
        <w:adjustRightInd w:val="0"/>
        <w:spacing w:after="0" w:line="240" w:lineRule="auto"/>
        <w:jc w:val="left"/>
        <w:rPr>
          <w:b/>
          <w:sz w:val="24"/>
          <w:szCs w:val="24"/>
          <w:lang w:val="en-US" w:eastAsia="fr-FR"/>
        </w:rPr>
      </w:pPr>
    </w:p>
    <w:p w14:paraId="313E6CB0" w14:textId="3B483C1E" w:rsidR="009C425F" w:rsidRDefault="009C425F" w:rsidP="00AB11C1">
      <w:pPr>
        <w:pStyle w:val="BodyText"/>
        <w:numPr>
          <w:ilvl w:val="0"/>
          <w:numId w:val="48"/>
        </w:numPr>
        <w:ind w:left="284" w:hanging="284"/>
        <w:rPr>
          <w:lang w:eastAsia="fr-FR"/>
        </w:rPr>
      </w:pPr>
      <w:bookmarkStart w:id="1323" w:name="_Ref496712799"/>
      <w:r>
        <w:rPr>
          <w:lang w:eastAsia="fr-FR"/>
        </w:rPr>
        <w:t>2006 IPCC Guidelines, Volume 4, Chapter 10</w:t>
      </w:r>
      <w:r w:rsidRPr="002462F0">
        <w:rPr>
          <w:lang w:eastAsia="fr-FR"/>
        </w:rPr>
        <w:t xml:space="preserve">, </w:t>
      </w:r>
      <w:bookmarkEnd w:id="9"/>
      <w:r>
        <w:rPr>
          <w:lang w:eastAsia="fr-FR"/>
        </w:rPr>
        <w:t>paragraph 10.3.1</w:t>
      </w:r>
      <w:bookmarkEnd w:id="1323"/>
      <w:r w:rsidR="009623CE">
        <w:rPr>
          <w:lang w:eastAsia="fr-FR"/>
        </w:rPr>
        <w:t xml:space="preserve"> Choice of method</w:t>
      </w:r>
    </w:p>
    <w:p w14:paraId="55B1D9B7" w14:textId="03A0005C" w:rsidR="009623CE" w:rsidRDefault="009623CE" w:rsidP="00AB11C1">
      <w:pPr>
        <w:pStyle w:val="BodyText"/>
        <w:numPr>
          <w:ilvl w:val="0"/>
          <w:numId w:val="48"/>
        </w:numPr>
        <w:ind w:left="284" w:hanging="284"/>
        <w:rPr>
          <w:lang w:eastAsia="fr-FR"/>
        </w:rPr>
      </w:pPr>
      <w:bookmarkStart w:id="1324" w:name="_Ref496713080"/>
      <w:bookmarkStart w:id="1325" w:name="_Ref496776342"/>
      <w:bookmarkStart w:id="1326" w:name="_Ref179215394"/>
      <w:r>
        <w:rPr>
          <w:lang w:eastAsia="fr-FR"/>
        </w:rPr>
        <w:t xml:space="preserve">Statistical Yearbooks published every year : annual </w:t>
      </w:r>
      <w:proofErr w:type="spellStart"/>
      <w:r>
        <w:rPr>
          <w:lang w:eastAsia="fr-FR"/>
        </w:rPr>
        <w:t>livestocks</w:t>
      </w:r>
      <w:bookmarkEnd w:id="1324"/>
      <w:proofErr w:type="spellEnd"/>
      <w:r w:rsidR="000E44C1">
        <w:rPr>
          <w:lang w:eastAsia="fr-FR"/>
        </w:rPr>
        <w:t xml:space="preserve"> / N from </w:t>
      </w:r>
      <w:proofErr w:type="spellStart"/>
      <w:r w:rsidR="000E44C1">
        <w:rPr>
          <w:lang w:eastAsia="fr-FR"/>
        </w:rPr>
        <w:t>synthethic</w:t>
      </w:r>
      <w:proofErr w:type="spellEnd"/>
      <w:r w:rsidR="000E44C1">
        <w:rPr>
          <w:lang w:eastAsia="fr-FR"/>
        </w:rPr>
        <w:t xml:space="preserve"> fertilizer</w:t>
      </w:r>
      <w:bookmarkEnd w:id="1325"/>
      <w:r w:rsidR="0095757A">
        <w:rPr>
          <w:lang w:eastAsia="fr-FR"/>
        </w:rPr>
        <w:t xml:space="preserve"> /</w:t>
      </w:r>
      <w:bookmarkEnd w:id="1326"/>
      <w:r w:rsidR="0095757A">
        <w:rPr>
          <w:lang w:eastAsia="fr-FR"/>
        </w:rPr>
        <w:t xml:space="preserve"> harvested crop areas / production from crops</w:t>
      </w:r>
    </w:p>
    <w:p w14:paraId="20D76566" w14:textId="0E6FBBC7" w:rsidR="009623CE" w:rsidRDefault="009623CE" w:rsidP="00AB11C1">
      <w:pPr>
        <w:pStyle w:val="BodyText"/>
        <w:numPr>
          <w:ilvl w:val="0"/>
          <w:numId w:val="48"/>
        </w:numPr>
        <w:ind w:left="284" w:hanging="284"/>
        <w:rPr>
          <w:lang w:eastAsia="fr-FR"/>
        </w:rPr>
      </w:pPr>
      <w:bookmarkStart w:id="1327" w:name="_Ref496713086"/>
      <w:r>
        <w:rPr>
          <w:lang w:eastAsia="fr-FR"/>
        </w:rPr>
        <w:t>2006 IPCC Guidelines, Volume 4, Chapter 10</w:t>
      </w:r>
      <w:r w:rsidRPr="002462F0">
        <w:rPr>
          <w:lang w:eastAsia="fr-FR"/>
        </w:rPr>
        <w:t xml:space="preserve">, </w:t>
      </w:r>
      <w:r>
        <w:rPr>
          <w:lang w:eastAsia="fr-FR"/>
        </w:rPr>
        <w:t>paragraph 10.3.2 Choice of emission factors</w:t>
      </w:r>
      <w:bookmarkEnd w:id="1327"/>
    </w:p>
    <w:p w14:paraId="29C1070E" w14:textId="786A7284" w:rsidR="00AE790B" w:rsidRDefault="00AE790B" w:rsidP="00AB11C1">
      <w:pPr>
        <w:pStyle w:val="BodyText"/>
        <w:numPr>
          <w:ilvl w:val="0"/>
          <w:numId w:val="48"/>
        </w:numPr>
        <w:ind w:left="284" w:hanging="284"/>
        <w:rPr>
          <w:lang w:eastAsia="fr-FR"/>
        </w:rPr>
      </w:pPr>
      <w:bookmarkStart w:id="1328" w:name="_Ref496716390"/>
      <w:r>
        <w:rPr>
          <w:lang w:eastAsia="fr-FR"/>
        </w:rPr>
        <w:t>2006 IPCC Guidelines, Volume 4, Chapter 10</w:t>
      </w:r>
      <w:r w:rsidRPr="002462F0">
        <w:rPr>
          <w:lang w:eastAsia="fr-FR"/>
        </w:rPr>
        <w:t xml:space="preserve">, </w:t>
      </w:r>
      <w:r>
        <w:rPr>
          <w:lang w:eastAsia="fr-FR"/>
        </w:rPr>
        <w:t>paragraph 10.4.1 Choice of method</w:t>
      </w:r>
      <w:bookmarkEnd w:id="1328"/>
    </w:p>
    <w:p w14:paraId="5C86935D" w14:textId="4FAC18FF" w:rsidR="00AE790B" w:rsidRDefault="00AE790B" w:rsidP="00AB11C1">
      <w:pPr>
        <w:pStyle w:val="BodyText"/>
        <w:numPr>
          <w:ilvl w:val="0"/>
          <w:numId w:val="48"/>
        </w:numPr>
        <w:ind w:left="284" w:hanging="284"/>
        <w:rPr>
          <w:lang w:eastAsia="fr-FR"/>
        </w:rPr>
      </w:pPr>
      <w:bookmarkStart w:id="1329" w:name="_Ref496716501"/>
      <w:r>
        <w:rPr>
          <w:lang w:eastAsia="fr-FR"/>
        </w:rPr>
        <w:t>2006 IPCC Guidelines, Volume 4, Chapter 10</w:t>
      </w:r>
      <w:r w:rsidRPr="002462F0">
        <w:rPr>
          <w:lang w:eastAsia="fr-FR"/>
        </w:rPr>
        <w:t xml:space="preserve">, </w:t>
      </w:r>
      <w:r>
        <w:rPr>
          <w:lang w:eastAsia="fr-FR"/>
        </w:rPr>
        <w:t>Annex 10A.2, Tables 10A-4 through 10A-9: Manure management system</w:t>
      </w:r>
      <w:r w:rsidR="00C92D97">
        <w:rPr>
          <w:lang w:eastAsia="fr-FR"/>
        </w:rPr>
        <w:t xml:space="preserve"> in climate region</w:t>
      </w:r>
      <w:bookmarkEnd w:id="1329"/>
      <w:r w:rsidR="0003002C">
        <w:rPr>
          <w:lang w:eastAsia="fr-FR"/>
        </w:rPr>
        <w:t xml:space="preserve"> (MS) and typical animal mass for livestock category (TAM)</w:t>
      </w:r>
    </w:p>
    <w:p w14:paraId="6F83888C" w14:textId="6CBAEEF5" w:rsidR="00AE790B" w:rsidRDefault="00C92D97" w:rsidP="00AB11C1">
      <w:pPr>
        <w:pStyle w:val="BodyText"/>
        <w:numPr>
          <w:ilvl w:val="0"/>
          <w:numId w:val="48"/>
        </w:numPr>
        <w:ind w:left="284" w:hanging="284"/>
        <w:rPr>
          <w:lang w:eastAsia="fr-FR"/>
        </w:rPr>
      </w:pPr>
      <w:bookmarkStart w:id="1330" w:name="_Ref496716516"/>
      <w:r>
        <w:rPr>
          <w:lang w:eastAsia="fr-FR"/>
        </w:rPr>
        <w:t>2006 IPCC Guidelines, Volume 4, Chapter 10</w:t>
      </w:r>
      <w:r w:rsidRPr="002462F0">
        <w:rPr>
          <w:lang w:eastAsia="fr-FR"/>
        </w:rPr>
        <w:t xml:space="preserve">, </w:t>
      </w:r>
      <w:r>
        <w:rPr>
          <w:lang w:eastAsia="fr-FR"/>
        </w:rPr>
        <w:t>paragraph 10.4.2 Choice of emission factors</w:t>
      </w:r>
      <w:bookmarkEnd w:id="1330"/>
    </w:p>
    <w:p w14:paraId="5E2EA952" w14:textId="36D8EB7C" w:rsidR="0003002C" w:rsidRDefault="0003002C" w:rsidP="00AB11C1">
      <w:pPr>
        <w:pStyle w:val="BodyText"/>
        <w:numPr>
          <w:ilvl w:val="0"/>
          <w:numId w:val="48"/>
        </w:numPr>
        <w:ind w:left="284" w:hanging="284"/>
        <w:rPr>
          <w:lang w:eastAsia="fr-FR"/>
        </w:rPr>
      </w:pPr>
      <w:bookmarkStart w:id="1331" w:name="_Ref496774874"/>
      <w:r>
        <w:rPr>
          <w:lang w:eastAsia="fr-FR"/>
        </w:rPr>
        <w:t>2006 IPCC Guidelines, Volume 4, Chapter 10</w:t>
      </w:r>
      <w:r w:rsidRPr="002462F0">
        <w:rPr>
          <w:lang w:eastAsia="fr-FR"/>
        </w:rPr>
        <w:t xml:space="preserve">, </w:t>
      </w:r>
      <w:r>
        <w:rPr>
          <w:lang w:eastAsia="fr-FR"/>
        </w:rPr>
        <w:t>paragraph 10.5.1 Choice of method</w:t>
      </w:r>
      <w:bookmarkEnd w:id="1331"/>
    </w:p>
    <w:p w14:paraId="2ADA8B1A" w14:textId="79AD5C5D" w:rsidR="0003002C" w:rsidRDefault="0003002C" w:rsidP="00AB11C1">
      <w:pPr>
        <w:pStyle w:val="BodyText"/>
        <w:numPr>
          <w:ilvl w:val="0"/>
          <w:numId w:val="48"/>
        </w:numPr>
        <w:ind w:left="284" w:hanging="284"/>
        <w:rPr>
          <w:lang w:eastAsia="fr-FR"/>
        </w:rPr>
      </w:pPr>
      <w:bookmarkStart w:id="1332" w:name="_Ref496774976"/>
      <w:r>
        <w:rPr>
          <w:lang w:eastAsia="fr-FR"/>
        </w:rPr>
        <w:t>2006 IPCC Guidelines, Volume 4, Chapter 10</w:t>
      </w:r>
      <w:r w:rsidRPr="002462F0">
        <w:rPr>
          <w:lang w:eastAsia="fr-FR"/>
        </w:rPr>
        <w:t xml:space="preserve">, </w:t>
      </w:r>
      <w:r>
        <w:rPr>
          <w:lang w:eastAsia="fr-FR"/>
        </w:rPr>
        <w:t>paragraph 10.5.2 Choice of emission factors</w:t>
      </w:r>
      <w:bookmarkEnd w:id="1332"/>
    </w:p>
    <w:p w14:paraId="5A6E124E" w14:textId="12A90D60" w:rsidR="0003002C" w:rsidRDefault="0003002C" w:rsidP="00AB11C1">
      <w:pPr>
        <w:pStyle w:val="BodyText"/>
        <w:numPr>
          <w:ilvl w:val="0"/>
          <w:numId w:val="48"/>
        </w:numPr>
        <w:ind w:left="284" w:hanging="284"/>
        <w:rPr>
          <w:lang w:eastAsia="fr-FR"/>
        </w:rPr>
      </w:pPr>
      <w:bookmarkStart w:id="1333" w:name="_Ref496775084"/>
      <w:r>
        <w:rPr>
          <w:lang w:eastAsia="fr-FR"/>
        </w:rPr>
        <w:t>2006 IPCC Guidelines, Volume 4, Chapter 11</w:t>
      </w:r>
      <w:r w:rsidRPr="002462F0">
        <w:rPr>
          <w:lang w:eastAsia="fr-FR"/>
        </w:rPr>
        <w:t xml:space="preserve">, </w:t>
      </w:r>
      <w:r>
        <w:rPr>
          <w:lang w:eastAsia="fr-FR"/>
        </w:rPr>
        <w:t>paragraph 11.2.2.3, Table 11.3</w:t>
      </w:r>
      <w:bookmarkEnd w:id="1333"/>
    </w:p>
    <w:p w14:paraId="7A72DC76" w14:textId="34EE8DE9" w:rsidR="000E44C1" w:rsidRDefault="000E44C1" w:rsidP="00AB11C1">
      <w:pPr>
        <w:pStyle w:val="BodyText"/>
        <w:numPr>
          <w:ilvl w:val="0"/>
          <w:numId w:val="48"/>
        </w:numPr>
        <w:ind w:left="284" w:hanging="284"/>
        <w:rPr>
          <w:lang w:eastAsia="fr-FR"/>
        </w:rPr>
      </w:pPr>
      <w:bookmarkStart w:id="1334" w:name="_Ref496776262"/>
      <w:r>
        <w:rPr>
          <w:lang w:eastAsia="fr-FR"/>
        </w:rPr>
        <w:t>2006 IPCC Guidelines, Volume 4, Chapter 11</w:t>
      </w:r>
      <w:r w:rsidRPr="002462F0">
        <w:rPr>
          <w:lang w:eastAsia="fr-FR"/>
        </w:rPr>
        <w:t xml:space="preserve">, </w:t>
      </w:r>
      <w:r>
        <w:rPr>
          <w:lang w:eastAsia="fr-FR"/>
        </w:rPr>
        <w:t>paragraph 11.2.1.1 Choice of method</w:t>
      </w:r>
      <w:bookmarkEnd w:id="1334"/>
    </w:p>
    <w:p w14:paraId="3EC6E296" w14:textId="18648CF9" w:rsidR="000E44C1" w:rsidRDefault="000E44C1" w:rsidP="00AB11C1">
      <w:pPr>
        <w:pStyle w:val="BodyText"/>
        <w:numPr>
          <w:ilvl w:val="0"/>
          <w:numId w:val="48"/>
        </w:numPr>
        <w:ind w:left="284" w:hanging="284"/>
        <w:rPr>
          <w:lang w:eastAsia="fr-FR"/>
        </w:rPr>
      </w:pPr>
      <w:bookmarkStart w:id="1335" w:name="_Ref496776312"/>
      <w:r w:rsidRPr="000E44C1">
        <w:rPr>
          <w:lang w:eastAsia="fr-FR"/>
        </w:rPr>
        <w:t>KNOEMA database for cultivation of organic soils from 1990-2050.</w:t>
      </w:r>
      <w:bookmarkEnd w:id="1335"/>
    </w:p>
    <w:p w14:paraId="55A21128" w14:textId="54A62D91" w:rsidR="00861DAB" w:rsidRDefault="00861DAB" w:rsidP="00AB11C1">
      <w:pPr>
        <w:pStyle w:val="BodyText"/>
        <w:numPr>
          <w:ilvl w:val="0"/>
          <w:numId w:val="48"/>
        </w:numPr>
        <w:ind w:left="284" w:hanging="284"/>
        <w:rPr>
          <w:lang w:eastAsia="fr-FR"/>
        </w:rPr>
      </w:pPr>
      <w:bookmarkStart w:id="1336" w:name="_Ref179215625"/>
      <w:r>
        <w:rPr>
          <w:lang w:eastAsia="fr-FR"/>
        </w:rPr>
        <w:t>FAO Statistics</w:t>
      </w:r>
      <w:r w:rsidR="008567FB">
        <w:rPr>
          <w:lang w:eastAsia="fr-FR"/>
        </w:rPr>
        <w:t>-</w:t>
      </w:r>
      <w:r>
        <w:rPr>
          <w:lang w:eastAsia="fr-FR"/>
        </w:rPr>
        <w:t>database on burning crop residues</w:t>
      </w:r>
      <w:r w:rsidR="008567FB">
        <w:rPr>
          <w:lang w:eastAsia="fr-FR"/>
        </w:rPr>
        <w:t xml:space="preserve"> </w:t>
      </w:r>
      <w:r w:rsidR="008567FB" w:rsidRPr="008567FB">
        <w:rPr>
          <w:lang w:eastAsia="fr-FR"/>
        </w:rPr>
        <w:t>http://www.fao.org/faostat/en/#data/GB</w:t>
      </w:r>
      <w:bookmarkEnd w:id="1336"/>
    </w:p>
    <w:p w14:paraId="6480DCA2" w14:textId="16EF5C41" w:rsidR="000E44C1" w:rsidRDefault="000E44C1" w:rsidP="00AB11C1">
      <w:pPr>
        <w:pStyle w:val="BodyText"/>
        <w:numPr>
          <w:ilvl w:val="0"/>
          <w:numId w:val="48"/>
        </w:numPr>
        <w:ind w:left="284" w:hanging="284"/>
        <w:rPr>
          <w:lang w:eastAsia="fr-FR"/>
        </w:rPr>
      </w:pPr>
      <w:bookmarkStart w:id="1337" w:name="_Ref496776443"/>
      <w:r>
        <w:rPr>
          <w:lang w:eastAsia="fr-FR"/>
        </w:rPr>
        <w:t>2006 IPCC Guidelines, Volume 4, Chapter 11</w:t>
      </w:r>
      <w:r w:rsidRPr="002462F0">
        <w:rPr>
          <w:lang w:eastAsia="fr-FR"/>
        </w:rPr>
        <w:t xml:space="preserve">, </w:t>
      </w:r>
      <w:r>
        <w:rPr>
          <w:lang w:eastAsia="fr-FR"/>
        </w:rPr>
        <w:t>paragraph 11.2.1.2, Table 11.1</w:t>
      </w:r>
      <w:bookmarkEnd w:id="1337"/>
    </w:p>
    <w:p w14:paraId="77B2D54B" w14:textId="07E0C96F" w:rsidR="001F6725" w:rsidRDefault="001F6725" w:rsidP="00AB11C1">
      <w:pPr>
        <w:pStyle w:val="BodyText"/>
        <w:numPr>
          <w:ilvl w:val="0"/>
          <w:numId w:val="48"/>
        </w:numPr>
        <w:ind w:left="284" w:hanging="284"/>
        <w:rPr>
          <w:lang w:eastAsia="fr-FR"/>
        </w:rPr>
      </w:pPr>
      <w:bookmarkStart w:id="1338" w:name="_Ref496776864"/>
      <w:r>
        <w:rPr>
          <w:lang w:eastAsia="fr-FR"/>
        </w:rPr>
        <w:t>2006 IPCC Guidelines, Volume 4, Chapter 11</w:t>
      </w:r>
      <w:r w:rsidRPr="002462F0">
        <w:rPr>
          <w:lang w:eastAsia="fr-FR"/>
        </w:rPr>
        <w:t xml:space="preserve">, </w:t>
      </w:r>
      <w:r>
        <w:rPr>
          <w:lang w:eastAsia="fr-FR"/>
        </w:rPr>
        <w:t>paragraph 11.2.2.1 Choice of method</w:t>
      </w:r>
      <w:bookmarkEnd w:id="1338"/>
    </w:p>
    <w:p w14:paraId="559C5A0D" w14:textId="00FF4FE0" w:rsidR="001F6725" w:rsidRDefault="001F6725" w:rsidP="00AB11C1">
      <w:pPr>
        <w:pStyle w:val="BodyText"/>
        <w:numPr>
          <w:ilvl w:val="0"/>
          <w:numId w:val="48"/>
        </w:numPr>
        <w:ind w:left="284" w:hanging="284"/>
        <w:rPr>
          <w:lang w:eastAsia="fr-FR"/>
        </w:rPr>
      </w:pPr>
      <w:bookmarkStart w:id="1339" w:name="_Ref496776874"/>
      <w:r>
        <w:rPr>
          <w:lang w:eastAsia="fr-FR"/>
        </w:rPr>
        <w:t>2006 IPCC Guidelines, Volume 4, Chapter 11</w:t>
      </w:r>
      <w:r w:rsidRPr="002462F0">
        <w:rPr>
          <w:lang w:eastAsia="fr-FR"/>
        </w:rPr>
        <w:t xml:space="preserve">, </w:t>
      </w:r>
      <w:r>
        <w:rPr>
          <w:lang w:eastAsia="fr-FR"/>
        </w:rPr>
        <w:t>paragraph 11.2.2.3, Table 11.3</w:t>
      </w:r>
      <w:bookmarkEnd w:id="1339"/>
    </w:p>
    <w:p w14:paraId="2AD81B1D" w14:textId="1B7B8591" w:rsidR="00AE4F17" w:rsidRDefault="00AE4F17" w:rsidP="00AB11C1">
      <w:pPr>
        <w:pStyle w:val="BodyText"/>
        <w:numPr>
          <w:ilvl w:val="0"/>
          <w:numId w:val="48"/>
        </w:numPr>
        <w:ind w:left="284" w:hanging="284"/>
        <w:rPr>
          <w:lang w:eastAsia="fr-FR"/>
        </w:rPr>
      </w:pPr>
      <w:bookmarkStart w:id="1340" w:name="_Ref496778053"/>
      <w:r>
        <w:rPr>
          <w:lang w:eastAsia="fr-FR"/>
        </w:rPr>
        <w:t>2006 IPCC Guidelines, Volume 4, Chapter 2</w:t>
      </w:r>
      <w:r w:rsidRPr="002462F0">
        <w:rPr>
          <w:lang w:eastAsia="fr-FR"/>
        </w:rPr>
        <w:t xml:space="preserve">, </w:t>
      </w:r>
      <w:r>
        <w:rPr>
          <w:lang w:eastAsia="fr-FR"/>
        </w:rPr>
        <w:t>paragraph 2.1.4 and Table 2.6</w:t>
      </w:r>
      <w:bookmarkEnd w:id="1340"/>
    </w:p>
    <w:p w14:paraId="5DA7EBA3" w14:textId="08DC715B" w:rsidR="00AE4F17" w:rsidRDefault="007A29B1" w:rsidP="00AB11C1">
      <w:pPr>
        <w:pStyle w:val="BodyText"/>
        <w:numPr>
          <w:ilvl w:val="0"/>
          <w:numId w:val="48"/>
        </w:numPr>
        <w:ind w:left="284" w:hanging="284"/>
        <w:rPr>
          <w:lang w:eastAsia="fr-FR"/>
        </w:rPr>
      </w:pPr>
      <w:bookmarkStart w:id="1341" w:name="_Ref496778643"/>
      <w:r>
        <w:rPr>
          <w:lang w:eastAsia="fr-FR"/>
        </w:rPr>
        <w:t>2006 IPCC Guidelines, Volume 4, Chapter 11</w:t>
      </w:r>
      <w:r w:rsidRPr="002462F0">
        <w:rPr>
          <w:lang w:eastAsia="fr-FR"/>
        </w:rPr>
        <w:t xml:space="preserve">, </w:t>
      </w:r>
      <w:r>
        <w:rPr>
          <w:lang w:eastAsia="fr-FR"/>
        </w:rPr>
        <w:t>paragraph 11.4.1 Choice of method</w:t>
      </w:r>
      <w:bookmarkEnd w:id="1341"/>
    </w:p>
    <w:p w14:paraId="336C393D" w14:textId="04F8748B" w:rsidR="00A96E96" w:rsidRDefault="005D2B0B" w:rsidP="00AB11C1">
      <w:pPr>
        <w:pStyle w:val="BodyText"/>
        <w:numPr>
          <w:ilvl w:val="0"/>
          <w:numId w:val="48"/>
        </w:numPr>
        <w:ind w:left="284" w:hanging="284"/>
        <w:rPr>
          <w:lang w:eastAsia="fr-FR"/>
        </w:rPr>
      </w:pPr>
      <w:bookmarkStart w:id="1342" w:name="_Ref179300146"/>
      <w:r>
        <w:rPr>
          <w:lang w:eastAsia="fr-FR"/>
        </w:rPr>
        <w:t>Direct communication with Statistical Office of the Republic of Serbia (SORS)</w:t>
      </w:r>
      <w:bookmarkEnd w:id="1342"/>
    </w:p>
    <w:p w14:paraId="4CA13641" w14:textId="531568C8" w:rsidR="00B66548" w:rsidRDefault="00B66548" w:rsidP="00AB11C1">
      <w:pPr>
        <w:pStyle w:val="BodyText"/>
        <w:numPr>
          <w:ilvl w:val="0"/>
          <w:numId w:val="48"/>
        </w:numPr>
        <w:ind w:left="284" w:hanging="284"/>
        <w:rPr>
          <w:lang w:eastAsia="fr-FR"/>
        </w:rPr>
      </w:pPr>
      <w:bookmarkStart w:id="1343" w:name="_Ref496778648"/>
      <w:r>
        <w:rPr>
          <w:lang w:eastAsia="fr-FR"/>
        </w:rPr>
        <w:t>2006 IPCC Guidelines, Volume 4, Chapter 11</w:t>
      </w:r>
      <w:r w:rsidRPr="002462F0">
        <w:rPr>
          <w:lang w:eastAsia="fr-FR"/>
        </w:rPr>
        <w:t xml:space="preserve">, </w:t>
      </w:r>
      <w:r>
        <w:rPr>
          <w:lang w:eastAsia="fr-FR"/>
        </w:rPr>
        <w:t>paragraph 11.4.2 Choice of emission factors</w:t>
      </w:r>
      <w:bookmarkEnd w:id="1343"/>
    </w:p>
    <w:p w14:paraId="2134EA20" w14:textId="5426BF51" w:rsidR="002A2D6B" w:rsidRDefault="005F6F39" w:rsidP="00AB11C1">
      <w:pPr>
        <w:pStyle w:val="BodyText"/>
        <w:numPr>
          <w:ilvl w:val="0"/>
          <w:numId w:val="48"/>
        </w:numPr>
        <w:ind w:left="284" w:hanging="284"/>
        <w:rPr>
          <w:lang w:eastAsia="fr-FR"/>
        </w:rPr>
      </w:pPr>
      <w:bookmarkStart w:id="1344" w:name="_Ref181803003"/>
      <w:r w:rsidRPr="005F6F39">
        <w:rPr>
          <w:lang w:eastAsia="fr-FR"/>
        </w:rPr>
        <w:t>2019 Refinement to the 2006 IPCC Guidelines</w:t>
      </w:r>
      <w:r>
        <w:rPr>
          <w:lang w:eastAsia="fr-FR"/>
        </w:rPr>
        <w:t>, Volume 4, Chapter</w:t>
      </w:r>
      <w:r w:rsidR="006D6080">
        <w:rPr>
          <w:lang w:eastAsia="fr-FR"/>
        </w:rPr>
        <w:t xml:space="preserve"> </w:t>
      </w:r>
      <w:r>
        <w:rPr>
          <w:lang w:eastAsia="fr-FR"/>
        </w:rPr>
        <w:t>10</w:t>
      </w:r>
      <w:bookmarkEnd w:id="1344"/>
    </w:p>
    <w:p w14:paraId="216830A4" w14:textId="204DFC8A" w:rsidR="00680066" w:rsidRDefault="00680066" w:rsidP="0035493D">
      <w:pPr>
        <w:pStyle w:val="BodyText"/>
        <w:numPr>
          <w:ilvl w:val="0"/>
          <w:numId w:val="48"/>
        </w:numPr>
        <w:ind w:left="284" w:hanging="284"/>
        <w:rPr>
          <w:lang w:eastAsia="fr-FR"/>
        </w:rPr>
      </w:pPr>
      <w:bookmarkStart w:id="1345" w:name="_Ref181802803"/>
      <w:r w:rsidRPr="005F6F39">
        <w:rPr>
          <w:lang w:eastAsia="fr-FR"/>
        </w:rPr>
        <w:t>2019 Refinement to the 2006 IPCC Guidelines</w:t>
      </w:r>
      <w:r>
        <w:rPr>
          <w:lang w:eastAsia="fr-FR"/>
        </w:rPr>
        <w:t>, Volume 4, Chapter</w:t>
      </w:r>
      <w:r w:rsidR="006D6080">
        <w:rPr>
          <w:lang w:eastAsia="fr-FR"/>
        </w:rPr>
        <w:t xml:space="preserve"> </w:t>
      </w:r>
      <w:r>
        <w:rPr>
          <w:lang w:eastAsia="fr-FR"/>
        </w:rPr>
        <w:t>11</w:t>
      </w:r>
      <w:bookmarkEnd w:id="1345"/>
    </w:p>
    <w:p w14:paraId="0F9D9FEE" w14:textId="00F0082A" w:rsidR="002A2D6B" w:rsidRDefault="0035493D" w:rsidP="0035493D">
      <w:pPr>
        <w:pStyle w:val="BodyText"/>
        <w:numPr>
          <w:ilvl w:val="0"/>
          <w:numId w:val="48"/>
        </w:numPr>
        <w:ind w:left="284" w:hanging="284"/>
        <w:rPr>
          <w:lang w:eastAsia="fr-FR"/>
        </w:rPr>
      </w:pPr>
      <w:bookmarkStart w:id="1346" w:name="_Ref181802851"/>
      <w:r>
        <w:rPr>
          <w:lang w:eastAsia="fr-FR"/>
        </w:rPr>
        <w:t xml:space="preserve">2013 </w:t>
      </w:r>
      <w:r w:rsidR="0086012C">
        <w:rPr>
          <w:lang w:eastAsia="fr-FR"/>
        </w:rPr>
        <w:t xml:space="preserve">Supplement </w:t>
      </w:r>
      <w:r w:rsidR="0072464A">
        <w:rPr>
          <w:lang w:eastAsia="fr-FR"/>
        </w:rPr>
        <w:t>to the 2006 IPCC Guidelines</w:t>
      </w:r>
      <w:r w:rsidR="006D6080">
        <w:rPr>
          <w:lang w:eastAsia="fr-FR"/>
        </w:rPr>
        <w:t>: W</w:t>
      </w:r>
      <w:r>
        <w:rPr>
          <w:lang w:eastAsia="fr-FR"/>
        </w:rPr>
        <w:t>etland</w:t>
      </w:r>
      <w:r w:rsidR="006D6080">
        <w:rPr>
          <w:lang w:eastAsia="fr-FR"/>
        </w:rPr>
        <w:t>s, Chapter 2</w:t>
      </w:r>
      <w:bookmarkEnd w:id="1346"/>
    </w:p>
    <w:p w14:paraId="316C9A76" w14:textId="77777777" w:rsidR="00EB1C6E" w:rsidRDefault="00EB1C6E" w:rsidP="00EB1C6E">
      <w:pPr>
        <w:pStyle w:val="BodyText"/>
        <w:rPr>
          <w:lang w:eastAsia="fr-FR"/>
        </w:rPr>
      </w:pPr>
    </w:p>
    <w:p w14:paraId="14B0517F" w14:textId="6056FD15" w:rsidR="00EB1C6E" w:rsidRDefault="00EB1C6E" w:rsidP="00EB1C6E">
      <w:pPr>
        <w:autoSpaceDE w:val="0"/>
        <w:autoSpaceDN w:val="0"/>
        <w:adjustRightInd w:val="0"/>
        <w:spacing w:after="0" w:line="240" w:lineRule="auto"/>
        <w:jc w:val="left"/>
        <w:rPr>
          <w:b/>
          <w:sz w:val="24"/>
          <w:szCs w:val="24"/>
          <w:lang w:val="en-US" w:eastAsia="fr-FR"/>
        </w:rPr>
      </w:pPr>
      <w:r>
        <w:rPr>
          <w:b/>
          <w:sz w:val="24"/>
          <w:szCs w:val="24"/>
          <w:lang w:val="en-US" w:eastAsia="fr-FR"/>
        </w:rPr>
        <w:t>LULUCF (</w:t>
      </w:r>
      <w:r w:rsidR="000F6001">
        <w:rPr>
          <w:b/>
          <w:sz w:val="24"/>
          <w:szCs w:val="24"/>
          <w:lang w:val="en-US" w:eastAsia="fr-FR"/>
        </w:rPr>
        <w:t>CRT</w:t>
      </w:r>
      <w:r>
        <w:rPr>
          <w:b/>
          <w:sz w:val="24"/>
          <w:szCs w:val="24"/>
          <w:lang w:val="en-US" w:eastAsia="fr-FR"/>
        </w:rPr>
        <w:t xml:space="preserve"> 4)</w:t>
      </w:r>
    </w:p>
    <w:p w14:paraId="4B3322C5" w14:textId="77777777" w:rsidR="00EB1C6E" w:rsidRPr="002462F0" w:rsidRDefault="00EB1C6E" w:rsidP="00EB1C6E">
      <w:pPr>
        <w:autoSpaceDE w:val="0"/>
        <w:autoSpaceDN w:val="0"/>
        <w:adjustRightInd w:val="0"/>
        <w:spacing w:after="0" w:line="240" w:lineRule="auto"/>
        <w:jc w:val="left"/>
        <w:rPr>
          <w:b/>
          <w:sz w:val="24"/>
          <w:szCs w:val="24"/>
          <w:lang w:val="en-US" w:eastAsia="fr-FR"/>
        </w:rPr>
      </w:pPr>
    </w:p>
    <w:p w14:paraId="11839CFC" w14:textId="0BB92D38" w:rsidR="00EB1C6E" w:rsidRPr="002462F0" w:rsidRDefault="00E37865" w:rsidP="00622F40">
      <w:pPr>
        <w:pStyle w:val="BodyText"/>
        <w:numPr>
          <w:ilvl w:val="0"/>
          <w:numId w:val="76"/>
        </w:numPr>
        <w:ind w:left="284" w:hanging="284"/>
        <w:rPr>
          <w:lang w:eastAsia="fr-FR"/>
        </w:rPr>
      </w:pPr>
      <w:bookmarkStart w:id="1347" w:name="_Ref179466192"/>
      <w:r>
        <w:rPr>
          <w:lang w:eastAsia="fr-FR"/>
        </w:rPr>
        <w:t xml:space="preserve">Food and Agriculture Organization Statistics (FAOSTAT) </w:t>
      </w:r>
      <w:r w:rsidR="00354FB0">
        <w:rPr>
          <w:lang w:eastAsia="fr-FR"/>
        </w:rPr>
        <w:t>for harvested wood products</w:t>
      </w:r>
      <w:bookmarkEnd w:id="1347"/>
    </w:p>
    <w:sectPr w:rsidR="00EB1C6E" w:rsidRPr="002462F0" w:rsidSect="000C1643">
      <w:headerReference w:type="even" r:id="rId353"/>
      <w:footerReference w:type="even" r:id="rId354"/>
      <w:type w:val="continuous"/>
      <w:pgSz w:w="11906" w:h="16838"/>
      <w:pgMar w:top="1417" w:right="1417" w:bottom="1135" w:left="1417" w:header="708" w:footer="6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62E5F" w14:textId="77777777" w:rsidR="00961FE9" w:rsidRDefault="00961FE9" w:rsidP="001164B3">
      <w:pPr>
        <w:spacing w:after="0" w:line="240" w:lineRule="auto"/>
      </w:pPr>
      <w:r>
        <w:separator/>
      </w:r>
    </w:p>
  </w:endnote>
  <w:endnote w:type="continuationSeparator" w:id="0">
    <w:p w14:paraId="3163B318" w14:textId="77777777" w:rsidR="00961FE9" w:rsidRDefault="00961FE9" w:rsidP="001164B3">
      <w:pPr>
        <w:spacing w:after="0" w:line="240" w:lineRule="auto"/>
      </w:pPr>
      <w:r>
        <w:continuationSeparator/>
      </w:r>
    </w:p>
  </w:endnote>
  <w:endnote w:type="continuationNotice" w:id="1">
    <w:p w14:paraId="4BD30A08" w14:textId="77777777" w:rsidR="00961FE9" w:rsidRDefault="00961F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axCondensed">
    <w:altName w:val="Times New Roman"/>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riadPro-Regular">
    <w:altName w:val="MS Gothic"/>
    <w:panose1 w:val="00000000000000000000"/>
    <w:charset w:val="80"/>
    <w:family w:val="swiss"/>
    <w:notTrueType/>
    <w:pitch w:val="default"/>
    <w:sig w:usb0="00000201" w:usb1="08070000" w:usb2="00000010" w:usb3="00000000" w:csb0="00020004"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MT">
    <w:panose1 w:val="00000000000000000000"/>
    <w:charset w:val="80"/>
    <w:family w:val="auto"/>
    <w:notTrueType/>
    <w:pitch w:val="default"/>
    <w:sig w:usb0="00000000"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B448D" w14:textId="77777777" w:rsidR="0071559E" w:rsidRPr="00BD58A6" w:rsidRDefault="0071559E" w:rsidP="00DF14C1">
    <w:pPr>
      <w:rPr>
        <w:rFonts w:asciiTheme="majorHAnsi" w:hAnsiTheme="majorHAnsi"/>
        <w:sz w:val="16"/>
        <w:szCs w:val="16"/>
      </w:rPr>
    </w:pPr>
    <w:r w:rsidRPr="00BD58A6">
      <w:rPr>
        <w:sz w:val="16"/>
        <w:szCs w:val="16"/>
      </w:rPr>
      <w:tab/>
    </w:r>
    <w:r w:rsidRPr="00BD58A6">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A7AC4" w14:textId="5BD5B7BA" w:rsidR="0071559E" w:rsidRDefault="0071559E" w:rsidP="001164B3">
    <w:pPr>
      <w:spacing w:after="0"/>
    </w:pPr>
    <w:r>
      <w:tab/>
    </w:r>
    <w:r>
      <w:tab/>
    </w:r>
    <w:r>
      <w:tab/>
    </w:r>
    <w:r>
      <w:tab/>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9C1BD" w14:textId="77777777" w:rsidR="0071559E" w:rsidRPr="00DF14C1" w:rsidRDefault="0071559E" w:rsidP="00DF14C1">
    <w:pPr>
      <w:rPr>
        <w:sz w:val="36"/>
        <w:szCs w:val="3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1374C" w14:textId="643F8851" w:rsidR="0071559E" w:rsidRDefault="00C25859" w:rsidP="00C25859">
    <w:pPr>
      <w:pBdr>
        <w:top w:val="single" w:sz="4" w:space="1" w:color="auto"/>
      </w:pBdr>
      <w:spacing w:after="0"/>
      <w:jc w:val="right"/>
    </w:pPr>
    <w:r>
      <w:t>202</w:t>
    </w:r>
    <w:r w:rsidR="00DE2B8E">
      <w:t>4</w:t>
    </w:r>
    <w:r>
      <w:t xml:space="preserve"> National Greenhouse Gas Inventory of Serbia</w:t>
    </w:r>
    <w:r w:rsidR="0071559E">
      <w:tab/>
    </w:r>
    <w:r>
      <w:tab/>
    </w:r>
    <w:r>
      <w:tab/>
    </w:r>
    <w:r>
      <w:tab/>
    </w:r>
    <w:r>
      <w:tab/>
    </w:r>
    <w:r>
      <w:tab/>
    </w:r>
    <w:r w:rsidR="0071559E">
      <w:tab/>
      <w:t xml:space="preserve"> </w:t>
    </w:r>
    <w:r w:rsidR="0071559E" w:rsidRPr="0064776B">
      <w:t>|</w:t>
    </w:r>
    <w:sdt>
      <w:sdtPr>
        <w:id w:val="1851753845"/>
        <w:docPartObj>
          <w:docPartGallery w:val="Page Numbers (Margins)"/>
          <w:docPartUnique/>
        </w:docPartObj>
      </w:sdtPr>
      <w:sdtContent>
        <w:sdt>
          <w:sdtPr>
            <w:id w:val="726420260"/>
            <w:docPartObj>
              <w:docPartGallery w:val="Page Numbers (Margins)"/>
              <w:docPartUnique/>
            </w:docPartObj>
          </w:sdtPr>
          <w:sdtContent>
            <w:r w:rsidR="0071559E" w:rsidRPr="0064776B">
              <w:fldChar w:fldCharType="begin"/>
            </w:r>
            <w:r w:rsidR="0071559E" w:rsidRPr="0064776B">
              <w:instrText xml:space="preserve"> PAGE   \* MERGEFORMAT </w:instrText>
            </w:r>
            <w:r w:rsidR="0071559E" w:rsidRPr="0064776B">
              <w:fldChar w:fldCharType="separate"/>
            </w:r>
            <w:r w:rsidR="00660ECF" w:rsidRPr="0064776B">
              <w:t>143</w:t>
            </w:r>
            <w:r w:rsidR="0071559E" w:rsidRPr="0064776B">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7A69C" w14:textId="43151408" w:rsidR="0071559E" w:rsidRPr="0064776B" w:rsidRDefault="00000000" w:rsidP="0064776B">
    <w:pPr>
      <w:pBdr>
        <w:top w:val="single" w:sz="4" w:space="1" w:color="auto"/>
      </w:pBdr>
      <w:spacing w:after="0"/>
      <w:jc w:val="right"/>
    </w:pPr>
    <w:sdt>
      <w:sdtPr>
        <w:id w:val="-1334988802"/>
        <w:docPartObj>
          <w:docPartGallery w:val="Page Numbers (Margins)"/>
          <w:docPartUnique/>
        </w:docPartObj>
      </w:sdtPr>
      <w:sdtContent>
        <w:r w:rsidR="00C25859">
          <w:t>2024 National Greenhouse Gas Inventory of Serbia</w:t>
        </w:r>
        <w:r w:rsidR="00C25859">
          <w:tab/>
        </w:r>
        <w:r w:rsidR="00C25859">
          <w:tab/>
        </w:r>
        <w:r w:rsidR="00C25859">
          <w:tab/>
        </w:r>
        <w:r w:rsidR="00C25859">
          <w:tab/>
        </w:r>
        <w:r w:rsidR="00C25859">
          <w:tab/>
        </w:r>
        <w:r w:rsidR="00C25859">
          <w:tab/>
        </w:r>
        <w:r w:rsidR="00C25859">
          <w:tab/>
          <w:t xml:space="preserve"> </w:t>
        </w:r>
        <w:r w:rsidR="00C25859" w:rsidRPr="0064776B">
          <w:t>|</w:t>
        </w:r>
        <w:sdt>
          <w:sdtPr>
            <w:id w:val="-1695841257"/>
            <w:docPartObj>
              <w:docPartGallery w:val="Page Numbers (Margins)"/>
              <w:docPartUnique/>
            </w:docPartObj>
          </w:sdtPr>
          <w:sdtContent>
            <w:sdt>
              <w:sdtPr>
                <w:id w:val="-1283257077"/>
                <w:docPartObj>
                  <w:docPartGallery w:val="Page Numbers (Margins)"/>
                  <w:docPartUnique/>
                </w:docPartObj>
              </w:sdtPr>
              <w:sdtContent>
                <w:r w:rsidR="00C25859" w:rsidRPr="0064776B">
                  <w:fldChar w:fldCharType="begin"/>
                </w:r>
                <w:r w:rsidR="00C25859" w:rsidRPr="0064776B">
                  <w:instrText xml:space="preserve"> PAGE   \* MERGEFORMAT </w:instrText>
                </w:r>
                <w:r w:rsidR="00C25859" w:rsidRPr="0064776B">
                  <w:fldChar w:fldCharType="separate"/>
                </w:r>
                <w:r w:rsidR="00C25859" w:rsidRPr="0064776B">
                  <w:t>3</w:t>
                </w:r>
                <w:r w:rsidR="00C25859" w:rsidRPr="0064776B">
                  <w:fldChar w:fldCharType="end"/>
                </w:r>
              </w:sdtContent>
            </w:sdt>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29810" w14:textId="77777777" w:rsidR="00961FE9" w:rsidRDefault="00961FE9" w:rsidP="001164B3">
      <w:pPr>
        <w:spacing w:after="0" w:line="240" w:lineRule="auto"/>
      </w:pPr>
      <w:r>
        <w:separator/>
      </w:r>
    </w:p>
  </w:footnote>
  <w:footnote w:type="continuationSeparator" w:id="0">
    <w:p w14:paraId="1E38272B" w14:textId="77777777" w:rsidR="00961FE9" w:rsidRDefault="00961FE9" w:rsidP="001164B3">
      <w:pPr>
        <w:spacing w:after="0" w:line="240" w:lineRule="auto"/>
      </w:pPr>
      <w:r>
        <w:continuationSeparator/>
      </w:r>
    </w:p>
  </w:footnote>
  <w:footnote w:type="continuationNotice" w:id="1">
    <w:p w14:paraId="1483914B" w14:textId="77777777" w:rsidR="00961FE9" w:rsidRDefault="00961FE9">
      <w:pPr>
        <w:spacing w:after="0" w:line="240" w:lineRule="auto"/>
      </w:pPr>
    </w:p>
  </w:footnote>
  <w:footnote w:id="2">
    <w:p w14:paraId="37764C03" w14:textId="0C6DB9F5" w:rsidR="00AC327D" w:rsidRPr="00AC327D" w:rsidRDefault="00AC327D">
      <w:pPr>
        <w:pStyle w:val="FootnoteText"/>
        <w:rPr>
          <w:lang w:val="sl-SI"/>
        </w:rPr>
      </w:pPr>
      <w:r>
        <w:rPr>
          <w:rStyle w:val="FootnoteReference"/>
        </w:rPr>
        <w:footnoteRef/>
      </w:r>
      <w:r>
        <w:t xml:space="preserve"> Capacity values</w:t>
      </w:r>
      <w:r>
        <w:rPr>
          <w:lang w:val="sl-SI"/>
        </w:rPr>
        <w:t xml:space="preserve"> vary over the period 1990-2022 due retirements of some units and improvements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7DAC8" w14:textId="1A56F10F" w:rsidR="0071559E" w:rsidRPr="00C25859" w:rsidRDefault="0071559E" w:rsidP="00C25859">
    <w:pPr>
      <w:pStyle w:val="Heade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1BA57" w14:textId="682298B8" w:rsidR="0071559E" w:rsidRPr="00C25859" w:rsidRDefault="0071559E" w:rsidP="00C25859">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D98BE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0EE0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8E66C4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8ECA2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D1CDD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449A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FA45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E6D4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9A82EC6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3"/>
    <w:multiLevelType w:val="singleLevel"/>
    <w:tmpl w:val="70CCB93C"/>
    <w:name w:val="WW8Num10"/>
    <w:lvl w:ilvl="0">
      <w:start w:val="1"/>
      <w:numFmt w:val="bullet"/>
      <w:lvlText w:val=""/>
      <w:lvlJc w:val="left"/>
      <w:pPr>
        <w:ind w:left="720" w:hanging="360"/>
      </w:pPr>
      <w:rPr>
        <w:rFonts w:ascii="Symbol" w:hAnsi="Symbol" w:cs="Wingdings" w:hint="default"/>
        <w:color w:val="auto"/>
        <w:position w:val="0"/>
        <w:sz w:val="18"/>
        <w:vertAlign w:val="baseline"/>
        <w:lang w:val="fr-FR"/>
      </w:rPr>
    </w:lvl>
  </w:abstractNum>
  <w:abstractNum w:abstractNumId="11" w15:restartNumberingAfterBreak="0">
    <w:nsid w:val="00072A24"/>
    <w:multiLevelType w:val="hybridMultilevel"/>
    <w:tmpl w:val="464E7644"/>
    <w:name w:val="WW8Num24"/>
    <w:lvl w:ilvl="0" w:tplc="D07837AC">
      <w:start w:val="1"/>
      <w:numFmt w:val="bullet"/>
      <w:lvlText w:val=""/>
      <w:lvlJc w:val="left"/>
      <w:pPr>
        <w:ind w:left="720" w:hanging="360"/>
      </w:pPr>
      <w:rPr>
        <w:rFonts w:ascii="Wingdings" w:hAnsi="Wingdings" w:hint="default"/>
      </w:rPr>
    </w:lvl>
    <w:lvl w:ilvl="1" w:tplc="1A4651D0" w:tentative="1">
      <w:start w:val="1"/>
      <w:numFmt w:val="bullet"/>
      <w:lvlText w:val="o"/>
      <w:lvlJc w:val="left"/>
      <w:pPr>
        <w:ind w:left="1440" w:hanging="360"/>
      </w:pPr>
      <w:rPr>
        <w:rFonts w:ascii="Courier New" w:hAnsi="Courier New" w:cs="Courier New" w:hint="default"/>
      </w:rPr>
    </w:lvl>
    <w:lvl w:ilvl="2" w:tplc="0DC24E72" w:tentative="1">
      <w:start w:val="1"/>
      <w:numFmt w:val="bullet"/>
      <w:lvlText w:val=""/>
      <w:lvlJc w:val="left"/>
      <w:pPr>
        <w:ind w:left="2160" w:hanging="360"/>
      </w:pPr>
      <w:rPr>
        <w:rFonts w:ascii="Wingdings" w:hAnsi="Wingdings" w:hint="default"/>
      </w:rPr>
    </w:lvl>
    <w:lvl w:ilvl="3" w:tplc="F77841F4" w:tentative="1">
      <w:start w:val="1"/>
      <w:numFmt w:val="bullet"/>
      <w:lvlText w:val=""/>
      <w:lvlJc w:val="left"/>
      <w:pPr>
        <w:ind w:left="2880" w:hanging="360"/>
      </w:pPr>
      <w:rPr>
        <w:rFonts w:ascii="Symbol" w:hAnsi="Symbol" w:hint="default"/>
      </w:rPr>
    </w:lvl>
    <w:lvl w:ilvl="4" w:tplc="83EA45DE" w:tentative="1">
      <w:start w:val="1"/>
      <w:numFmt w:val="bullet"/>
      <w:lvlText w:val="o"/>
      <w:lvlJc w:val="left"/>
      <w:pPr>
        <w:ind w:left="3600" w:hanging="360"/>
      </w:pPr>
      <w:rPr>
        <w:rFonts w:ascii="Courier New" w:hAnsi="Courier New" w:cs="Courier New" w:hint="default"/>
      </w:rPr>
    </w:lvl>
    <w:lvl w:ilvl="5" w:tplc="A8E62028" w:tentative="1">
      <w:start w:val="1"/>
      <w:numFmt w:val="bullet"/>
      <w:lvlText w:val=""/>
      <w:lvlJc w:val="left"/>
      <w:pPr>
        <w:ind w:left="4320" w:hanging="360"/>
      </w:pPr>
      <w:rPr>
        <w:rFonts w:ascii="Wingdings" w:hAnsi="Wingdings" w:hint="default"/>
      </w:rPr>
    </w:lvl>
    <w:lvl w:ilvl="6" w:tplc="238AAA2A" w:tentative="1">
      <w:start w:val="1"/>
      <w:numFmt w:val="bullet"/>
      <w:lvlText w:val=""/>
      <w:lvlJc w:val="left"/>
      <w:pPr>
        <w:ind w:left="5040" w:hanging="360"/>
      </w:pPr>
      <w:rPr>
        <w:rFonts w:ascii="Symbol" w:hAnsi="Symbol" w:hint="default"/>
      </w:rPr>
    </w:lvl>
    <w:lvl w:ilvl="7" w:tplc="8E18D27C" w:tentative="1">
      <w:start w:val="1"/>
      <w:numFmt w:val="bullet"/>
      <w:lvlText w:val="o"/>
      <w:lvlJc w:val="left"/>
      <w:pPr>
        <w:ind w:left="5760" w:hanging="360"/>
      </w:pPr>
      <w:rPr>
        <w:rFonts w:ascii="Courier New" w:hAnsi="Courier New" w:cs="Courier New" w:hint="default"/>
      </w:rPr>
    </w:lvl>
    <w:lvl w:ilvl="8" w:tplc="76EE1DD6" w:tentative="1">
      <w:start w:val="1"/>
      <w:numFmt w:val="bullet"/>
      <w:lvlText w:val=""/>
      <w:lvlJc w:val="left"/>
      <w:pPr>
        <w:ind w:left="6480" w:hanging="360"/>
      </w:pPr>
      <w:rPr>
        <w:rFonts w:ascii="Wingdings" w:hAnsi="Wingdings" w:hint="default"/>
      </w:rPr>
    </w:lvl>
  </w:abstractNum>
  <w:abstractNum w:abstractNumId="12" w15:restartNumberingAfterBreak="0">
    <w:nsid w:val="0288561A"/>
    <w:multiLevelType w:val="hybridMultilevel"/>
    <w:tmpl w:val="37E4AA7E"/>
    <w:lvl w:ilvl="0" w:tplc="040C000B">
      <w:start w:val="1"/>
      <w:numFmt w:val="bullet"/>
      <w:pStyle w:val="OMINEA1b"/>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35B6423"/>
    <w:multiLevelType w:val="hybridMultilevel"/>
    <w:tmpl w:val="A7CA7C48"/>
    <w:lvl w:ilvl="0" w:tplc="08B2E02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1674A3"/>
    <w:multiLevelType w:val="hybridMultilevel"/>
    <w:tmpl w:val="B4E66E6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15" w15:restartNumberingAfterBreak="0">
    <w:nsid w:val="101F33B5"/>
    <w:multiLevelType w:val="hybridMultilevel"/>
    <w:tmpl w:val="C2C49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192319D"/>
    <w:multiLevelType w:val="hybridMultilevel"/>
    <w:tmpl w:val="29700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DC3C45"/>
    <w:multiLevelType w:val="hybridMultilevel"/>
    <w:tmpl w:val="BFBE9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1A6F17"/>
    <w:multiLevelType w:val="hybridMultilevel"/>
    <w:tmpl w:val="4490A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4B51999"/>
    <w:multiLevelType w:val="hybridMultilevel"/>
    <w:tmpl w:val="7C622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5882DFD"/>
    <w:multiLevelType w:val="hybridMultilevel"/>
    <w:tmpl w:val="F59AC04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19050CEB"/>
    <w:multiLevelType w:val="hybridMultilevel"/>
    <w:tmpl w:val="7AF23250"/>
    <w:lvl w:ilvl="0" w:tplc="08B2E02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CB0F1D"/>
    <w:multiLevelType w:val="hybridMultilevel"/>
    <w:tmpl w:val="08FC09CE"/>
    <w:lvl w:ilvl="0" w:tplc="040C0001">
      <w:start w:val="1"/>
      <w:numFmt w:val="bullet"/>
      <w:lvlText w:val=""/>
      <w:lvlJc w:val="left"/>
      <w:pPr>
        <w:ind w:left="790" w:hanging="360"/>
      </w:pPr>
      <w:rPr>
        <w:rFonts w:ascii="Symbol" w:hAnsi="Symbol"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23" w15:restartNumberingAfterBreak="0">
    <w:nsid w:val="1EE91AF5"/>
    <w:multiLevelType w:val="hybridMultilevel"/>
    <w:tmpl w:val="D960B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F4841A4"/>
    <w:multiLevelType w:val="multilevel"/>
    <w:tmpl w:val="D6FA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BE3CE2"/>
    <w:multiLevelType w:val="hybridMultilevel"/>
    <w:tmpl w:val="F0F0B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61F3673"/>
    <w:multiLevelType w:val="hybridMultilevel"/>
    <w:tmpl w:val="32C63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74E194D"/>
    <w:multiLevelType w:val="hybridMultilevel"/>
    <w:tmpl w:val="9D544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83B22F2"/>
    <w:multiLevelType w:val="hybridMultilevel"/>
    <w:tmpl w:val="B4E4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0B4DC9"/>
    <w:multiLevelType w:val="hybridMultilevel"/>
    <w:tmpl w:val="09989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CEB60D6"/>
    <w:multiLevelType w:val="hybridMultilevel"/>
    <w:tmpl w:val="887C81DE"/>
    <w:lvl w:ilvl="0" w:tplc="A7FA95BC">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2582538"/>
    <w:multiLevelType w:val="hybridMultilevel"/>
    <w:tmpl w:val="268E976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2" w15:restartNumberingAfterBreak="0">
    <w:nsid w:val="36C02E89"/>
    <w:multiLevelType w:val="multilevel"/>
    <w:tmpl w:val="05A8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FE4968"/>
    <w:multiLevelType w:val="hybridMultilevel"/>
    <w:tmpl w:val="AECC3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C640F2B"/>
    <w:multiLevelType w:val="hybridMultilevel"/>
    <w:tmpl w:val="4388485E"/>
    <w:lvl w:ilvl="0" w:tplc="040C0003">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D720B9A"/>
    <w:multiLevelType w:val="hybridMultilevel"/>
    <w:tmpl w:val="AD32C7A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6" w15:restartNumberingAfterBreak="0">
    <w:nsid w:val="3FA13C12"/>
    <w:multiLevelType w:val="hybridMultilevel"/>
    <w:tmpl w:val="9CA25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0A81F73"/>
    <w:multiLevelType w:val="hybridMultilevel"/>
    <w:tmpl w:val="78721642"/>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DF7BA0"/>
    <w:multiLevelType w:val="hybridMultilevel"/>
    <w:tmpl w:val="705E504A"/>
    <w:lvl w:ilvl="0" w:tplc="8C4A5B48">
      <w:start w:val="1"/>
      <w:numFmt w:val="decimal"/>
      <w:lvlText w:val="[A%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3060436"/>
    <w:multiLevelType w:val="hybridMultilevel"/>
    <w:tmpl w:val="74E28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53A0F07"/>
    <w:multiLevelType w:val="hybridMultilevel"/>
    <w:tmpl w:val="5188228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706037A"/>
    <w:multiLevelType w:val="hybridMultilevel"/>
    <w:tmpl w:val="0D1A0956"/>
    <w:lvl w:ilvl="0" w:tplc="040C0001">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47380324"/>
    <w:multiLevelType w:val="hybridMultilevel"/>
    <w:tmpl w:val="3E001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A8C223A"/>
    <w:multiLevelType w:val="hybridMultilevel"/>
    <w:tmpl w:val="AA54F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BA13378"/>
    <w:multiLevelType w:val="hybridMultilevel"/>
    <w:tmpl w:val="937A1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C1F112B"/>
    <w:multiLevelType w:val="hybridMultilevel"/>
    <w:tmpl w:val="F18C3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D3825C2"/>
    <w:multiLevelType w:val="multilevel"/>
    <w:tmpl w:val="0C40617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35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lang w:val="en-US"/>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4EAC6E33"/>
    <w:multiLevelType w:val="hybridMultilevel"/>
    <w:tmpl w:val="B3E00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E0606A"/>
    <w:multiLevelType w:val="hybridMultilevel"/>
    <w:tmpl w:val="0FB4B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4546855"/>
    <w:multiLevelType w:val="hybridMultilevel"/>
    <w:tmpl w:val="C19E6C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567122A"/>
    <w:multiLevelType w:val="hybridMultilevel"/>
    <w:tmpl w:val="32985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84348D1"/>
    <w:multiLevelType w:val="hybridMultilevel"/>
    <w:tmpl w:val="A0E4D1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8601F84"/>
    <w:multiLevelType w:val="hybridMultilevel"/>
    <w:tmpl w:val="D83AAD4A"/>
    <w:lvl w:ilvl="0" w:tplc="504AA03E">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BB33451"/>
    <w:multiLevelType w:val="hybridMultilevel"/>
    <w:tmpl w:val="944A5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BB909C7"/>
    <w:multiLevelType w:val="hybridMultilevel"/>
    <w:tmpl w:val="B2366040"/>
    <w:lvl w:ilvl="0" w:tplc="040C000B">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1111Titre4"/>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C305CBD"/>
    <w:multiLevelType w:val="hybridMultilevel"/>
    <w:tmpl w:val="FD14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760799"/>
    <w:multiLevelType w:val="hybridMultilevel"/>
    <w:tmpl w:val="BF40B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30B6F85"/>
    <w:multiLevelType w:val="hybridMultilevel"/>
    <w:tmpl w:val="24AEAF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3271B45"/>
    <w:multiLevelType w:val="hybridMultilevel"/>
    <w:tmpl w:val="620CDAFE"/>
    <w:lvl w:ilvl="0" w:tplc="040C0003">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9DF6FF1"/>
    <w:multiLevelType w:val="hybridMultilevel"/>
    <w:tmpl w:val="7DC69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A047062"/>
    <w:multiLevelType w:val="hybridMultilevel"/>
    <w:tmpl w:val="7CBE0758"/>
    <w:lvl w:ilvl="0" w:tplc="ECFAE8C0">
      <w:start w:val="1"/>
      <w:numFmt w:val="decimal"/>
      <w:lvlText w:val="[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A7B4074"/>
    <w:multiLevelType w:val="hybridMultilevel"/>
    <w:tmpl w:val="DB54B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BCF40D3"/>
    <w:multiLevelType w:val="hybridMultilevel"/>
    <w:tmpl w:val="3CBC7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E4815E5"/>
    <w:multiLevelType w:val="hybridMultilevel"/>
    <w:tmpl w:val="351E0BEA"/>
    <w:lvl w:ilvl="0" w:tplc="040C0003">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0BA5338"/>
    <w:multiLevelType w:val="hybridMultilevel"/>
    <w:tmpl w:val="C008A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2015625"/>
    <w:multiLevelType w:val="multilevel"/>
    <w:tmpl w:val="BFBC033C"/>
    <w:lvl w:ilvl="0">
      <w:start w:val="1"/>
      <w:numFmt w:val="decimal"/>
      <w:lvlText w:val="[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2"/>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3333086"/>
    <w:multiLevelType w:val="hybridMultilevel"/>
    <w:tmpl w:val="A192E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59529BC"/>
    <w:multiLevelType w:val="hybridMultilevel"/>
    <w:tmpl w:val="BDE8DE8C"/>
    <w:lvl w:ilvl="0" w:tplc="99722E9E">
      <w:start w:val="1"/>
      <w:numFmt w:val="decimal"/>
      <w:lvlText w:val="[E%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75BE5D54"/>
    <w:multiLevelType w:val="hybridMultilevel"/>
    <w:tmpl w:val="52B45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5C26823"/>
    <w:multiLevelType w:val="hybridMultilevel"/>
    <w:tmpl w:val="AA7CC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60F7211"/>
    <w:multiLevelType w:val="hybridMultilevel"/>
    <w:tmpl w:val="A1E087E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1" w15:restartNumberingAfterBreak="0">
    <w:nsid w:val="76AB3D71"/>
    <w:multiLevelType w:val="hybridMultilevel"/>
    <w:tmpl w:val="A7F01CC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72" w15:restartNumberingAfterBreak="0">
    <w:nsid w:val="77E9726F"/>
    <w:multiLevelType w:val="hybridMultilevel"/>
    <w:tmpl w:val="DDF6A2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8E4220A"/>
    <w:multiLevelType w:val="hybridMultilevel"/>
    <w:tmpl w:val="1242F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9C721BC"/>
    <w:multiLevelType w:val="hybridMultilevel"/>
    <w:tmpl w:val="E7483A8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5" w15:restartNumberingAfterBreak="0">
    <w:nsid w:val="79F16CE3"/>
    <w:multiLevelType w:val="hybridMultilevel"/>
    <w:tmpl w:val="3BD852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C0F2F42"/>
    <w:multiLevelType w:val="hybridMultilevel"/>
    <w:tmpl w:val="72D24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D5D2F04"/>
    <w:multiLevelType w:val="hybridMultilevel"/>
    <w:tmpl w:val="D0CE1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EAF41E3"/>
    <w:multiLevelType w:val="hybridMultilevel"/>
    <w:tmpl w:val="A30ECB82"/>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79" w15:restartNumberingAfterBreak="0">
    <w:nsid w:val="7F3B4532"/>
    <w:multiLevelType w:val="hybridMultilevel"/>
    <w:tmpl w:val="B1082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F4E1C71"/>
    <w:multiLevelType w:val="hybridMultilevel"/>
    <w:tmpl w:val="BD027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15509622">
    <w:abstractNumId w:val="46"/>
  </w:num>
  <w:num w:numId="2" w16cid:durableId="450247765">
    <w:abstractNumId w:val="54"/>
  </w:num>
  <w:num w:numId="3" w16cid:durableId="133569806">
    <w:abstractNumId w:val="3"/>
  </w:num>
  <w:num w:numId="4" w16cid:durableId="181435885">
    <w:abstractNumId w:val="2"/>
  </w:num>
  <w:num w:numId="5" w16cid:durableId="1516723112">
    <w:abstractNumId w:val="1"/>
  </w:num>
  <w:num w:numId="6" w16cid:durableId="1105422296">
    <w:abstractNumId w:val="0"/>
  </w:num>
  <w:num w:numId="7" w16cid:durableId="26682401">
    <w:abstractNumId w:val="8"/>
  </w:num>
  <w:num w:numId="8" w16cid:durableId="1747531292">
    <w:abstractNumId w:val="7"/>
  </w:num>
  <w:num w:numId="9" w16cid:durableId="929897973">
    <w:abstractNumId w:val="6"/>
  </w:num>
  <w:num w:numId="10" w16cid:durableId="1873690265">
    <w:abstractNumId w:val="5"/>
  </w:num>
  <w:num w:numId="11" w16cid:durableId="1399204111">
    <w:abstractNumId w:val="4"/>
  </w:num>
  <w:num w:numId="12" w16cid:durableId="2083793856">
    <w:abstractNumId w:val="12"/>
  </w:num>
  <w:num w:numId="13" w16cid:durableId="873078602">
    <w:abstractNumId w:val="53"/>
  </w:num>
  <w:num w:numId="14" w16cid:durableId="1990742880">
    <w:abstractNumId w:val="36"/>
  </w:num>
  <w:num w:numId="15" w16cid:durableId="975792838">
    <w:abstractNumId w:val="61"/>
  </w:num>
  <w:num w:numId="16" w16cid:durableId="866020061">
    <w:abstractNumId w:val="42"/>
  </w:num>
  <w:num w:numId="17" w16cid:durableId="701438626">
    <w:abstractNumId w:val="74"/>
  </w:num>
  <w:num w:numId="18" w16cid:durableId="1866138659">
    <w:abstractNumId w:val="22"/>
  </w:num>
  <w:num w:numId="19" w16cid:durableId="1849637950">
    <w:abstractNumId w:val="27"/>
  </w:num>
  <w:num w:numId="20" w16cid:durableId="973409327">
    <w:abstractNumId w:val="35"/>
  </w:num>
  <w:num w:numId="21" w16cid:durableId="371346901">
    <w:abstractNumId w:val="20"/>
  </w:num>
  <w:num w:numId="22" w16cid:durableId="976908979">
    <w:abstractNumId w:val="39"/>
  </w:num>
  <w:num w:numId="23" w16cid:durableId="1577398989">
    <w:abstractNumId w:val="43"/>
  </w:num>
  <w:num w:numId="24" w16cid:durableId="764115684">
    <w:abstractNumId w:val="66"/>
  </w:num>
  <w:num w:numId="25" w16cid:durableId="1711802513">
    <w:abstractNumId w:val="40"/>
  </w:num>
  <w:num w:numId="26" w16cid:durableId="1909612101">
    <w:abstractNumId w:val="49"/>
  </w:num>
  <w:num w:numId="27" w16cid:durableId="1858617927">
    <w:abstractNumId w:val="52"/>
  </w:num>
  <w:num w:numId="28" w16cid:durableId="754478338">
    <w:abstractNumId w:val="30"/>
  </w:num>
  <w:num w:numId="29" w16cid:durableId="1744374165">
    <w:abstractNumId w:val="14"/>
  </w:num>
  <w:num w:numId="30" w16cid:durableId="563756999">
    <w:abstractNumId w:val="69"/>
  </w:num>
  <w:num w:numId="31" w16cid:durableId="358429433">
    <w:abstractNumId w:val="15"/>
  </w:num>
  <w:num w:numId="32" w16cid:durableId="1897817200">
    <w:abstractNumId w:val="26"/>
  </w:num>
  <w:num w:numId="33" w16cid:durableId="1708333933">
    <w:abstractNumId w:val="62"/>
  </w:num>
  <w:num w:numId="34" w16cid:durableId="2127505776">
    <w:abstractNumId w:val="77"/>
  </w:num>
  <w:num w:numId="35" w16cid:durableId="2097895040">
    <w:abstractNumId w:val="16"/>
  </w:num>
  <w:num w:numId="36" w16cid:durableId="98457625">
    <w:abstractNumId w:val="25"/>
  </w:num>
  <w:num w:numId="37" w16cid:durableId="769663970">
    <w:abstractNumId w:val="44"/>
  </w:num>
  <w:num w:numId="38" w16cid:durableId="742532848">
    <w:abstractNumId w:val="45"/>
  </w:num>
  <w:num w:numId="39" w16cid:durableId="2006738002">
    <w:abstractNumId w:val="68"/>
  </w:num>
  <w:num w:numId="40" w16cid:durableId="723214905">
    <w:abstractNumId w:val="72"/>
  </w:num>
  <w:num w:numId="41" w16cid:durableId="1487672454">
    <w:abstractNumId w:val="48"/>
  </w:num>
  <w:num w:numId="42" w16cid:durableId="93743909">
    <w:abstractNumId w:val="33"/>
  </w:num>
  <w:num w:numId="43" w16cid:durableId="494685403">
    <w:abstractNumId w:val="29"/>
  </w:num>
  <w:num w:numId="44" w16cid:durableId="1907492515">
    <w:abstractNumId w:val="80"/>
  </w:num>
  <w:num w:numId="45" w16cid:durableId="114562512">
    <w:abstractNumId w:val="56"/>
  </w:num>
  <w:num w:numId="46" w16cid:durableId="1253127945">
    <w:abstractNumId w:val="58"/>
  </w:num>
  <w:num w:numId="47" w16cid:durableId="371539963">
    <w:abstractNumId w:val="71"/>
  </w:num>
  <w:num w:numId="48" w16cid:durableId="1349722946">
    <w:abstractNumId w:val="38"/>
  </w:num>
  <w:num w:numId="49" w16cid:durableId="1905142231">
    <w:abstractNumId w:val="55"/>
  </w:num>
  <w:num w:numId="50" w16cid:durableId="81491073">
    <w:abstractNumId w:val="47"/>
  </w:num>
  <w:num w:numId="51" w16cid:durableId="1794058380">
    <w:abstractNumId w:val="28"/>
  </w:num>
  <w:num w:numId="52" w16cid:durableId="213932077">
    <w:abstractNumId w:val="13"/>
  </w:num>
  <w:num w:numId="53" w16cid:durableId="109252413">
    <w:abstractNumId w:val="21"/>
  </w:num>
  <w:num w:numId="54" w16cid:durableId="396248015">
    <w:abstractNumId w:val="46"/>
  </w:num>
  <w:num w:numId="55" w16cid:durableId="660277202">
    <w:abstractNumId w:val="67"/>
  </w:num>
  <w:num w:numId="56" w16cid:durableId="1355574416">
    <w:abstractNumId w:val="60"/>
  </w:num>
  <w:num w:numId="57" w16cid:durableId="1082989092">
    <w:abstractNumId w:val="37"/>
  </w:num>
  <w:num w:numId="58" w16cid:durableId="1944266124">
    <w:abstractNumId w:val="57"/>
  </w:num>
  <w:num w:numId="59" w16cid:durableId="2070182010">
    <w:abstractNumId w:val="64"/>
  </w:num>
  <w:num w:numId="60" w16cid:durableId="735056009">
    <w:abstractNumId w:val="51"/>
  </w:num>
  <w:num w:numId="61" w16cid:durableId="293870635">
    <w:abstractNumId w:val="31"/>
  </w:num>
  <w:num w:numId="62" w16cid:durableId="303659174">
    <w:abstractNumId w:val="18"/>
  </w:num>
  <w:num w:numId="63" w16cid:durableId="1656571963">
    <w:abstractNumId w:val="17"/>
  </w:num>
  <w:num w:numId="64" w16cid:durableId="788548737">
    <w:abstractNumId w:val="76"/>
  </w:num>
  <w:num w:numId="65" w16cid:durableId="1870878470">
    <w:abstractNumId w:val="75"/>
  </w:num>
  <w:num w:numId="66" w16cid:durableId="591863390">
    <w:abstractNumId w:val="59"/>
  </w:num>
  <w:num w:numId="67" w16cid:durableId="1934124292">
    <w:abstractNumId w:val="23"/>
  </w:num>
  <w:num w:numId="68" w16cid:durableId="1781410070">
    <w:abstractNumId w:val="34"/>
  </w:num>
  <w:num w:numId="69" w16cid:durableId="1127814284">
    <w:abstractNumId w:val="70"/>
  </w:num>
  <w:num w:numId="70" w16cid:durableId="1662152256">
    <w:abstractNumId w:val="41"/>
  </w:num>
  <w:num w:numId="71" w16cid:durableId="2138985690">
    <w:abstractNumId w:val="63"/>
  </w:num>
  <w:num w:numId="72" w16cid:durableId="1973244749">
    <w:abstractNumId w:val="79"/>
  </w:num>
  <w:num w:numId="73" w16cid:durableId="1789274795">
    <w:abstractNumId w:val="50"/>
  </w:num>
  <w:num w:numId="74" w16cid:durableId="1994334011">
    <w:abstractNumId w:val="78"/>
  </w:num>
  <w:num w:numId="75" w16cid:durableId="1338927422">
    <w:abstractNumId w:val="19"/>
  </w:num>
  <w:num w:numId="76" w16cid:durableId="748120912">
    <w:abstractNumId w:val="65"/>
  </w:num>
  <w:num w:numId="77" w16cid:durableId="711809630">
    <w:abstractNumId w:val="73"/>
  </w:num>
  <w:num w:numId="78" w16cid:durableId="302010414">
    <w:abstractNumId w:val="24"/>
  </w:num>
  <w:num w:numId="79" w16cid:durableId="152113184">
    <w:abstractNumId w:val="3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trackRevisions/>
  <w:defaultTabStop w:val="708"/>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11D"/>
    <w:rsid w:val="00000368"/>
    <w:rsid w:val="000003BF"/>
    <w:rsid w:val="00000439"/>
    <w:rsid w:val="00000612"/>
    <w:rsid w:val="00000D25"/>
    <w:rsid w:val="00000DD2"/>
    <w:rsid w:val="00001527"/>
    <w:rsid w:val="0000168E"/>
    <w:rsid w:val="00001A81"/>
    <w:rsid w:val="00001B1A"/>
    <w:rsid w:val="00002372"/>
    <w:rsid w:val="00002453"/>
    <w:rsid w:val="000028D3"/>
    <w:rsid w:val="00002C59"/>
    <w:rsid w:val="00002CF6"/>
    <w:rsid w:val="00003383"/>
    <w:rsid w:val="00003527"/>
    <w:rsid w:val="0000367B"/>
    <w:rsid w:val="000037B6"/>
    <w:rsid w:val="00003A3E"/>
    <w:rsid w:val="00003B8E"/>
    <w:rsid w:val="00003BF5"/>
    <w:rsid w:val="00004A9B"/>
    <w:rsid w:val="00004D30"/>
    <w:rsid w:val="00004D3D"/>
    <w:rsid w:val="000050A4"/>
    <w:rsid w:val="000057AC"/>
    <w:rsid w:val="000066F0"/>
    <w:rsid w:val="00006A60"/>
    <w:rsid w:val="0000795F"/>
    <w:rsid w:val="00007A2A"/>
    <w:rsid w:val="00007C1E"/>
    <w:rsid w:val="0001055B"/>
    <w:rsid w:val="000108CC"/>
    <w:rsid w:val="00010C6D"/>
    <w:rsid w:val="0001131E"/>
    <w:rsid w:val="000115B7"/>
    <w:rsid w:val="00011A42"/>
    <w:rsid w:val="0001215C"/>
    <w:rsid w:val="000124EF"/>
    <w:rsid w:val="000126CC"/>
    <w:rsid w:val="00012BD6"/>
    <w:rsid w:val="000137BF"/>
    <w:rsid w:val="00013D4D"/>
    <w:rsid w:val="00013EC8"/>
    <w:rsid w:val="000144F2"/>
    <w:rsid w:val="00014C85"/>
    <w:rsid w:val="00015971"/>
    <w:rsid w:val="00015BB5"/>
    <w:rsid w:val="000165FB"/>
    <w:rsid w:val="0001796D"/>
    <w:rsid w:val="000179D6"/>
    <w:rsid w:val="00017A04"/>
    <w:rsid w:val="00017D2D"/>
    <w:rsid w:val="000208B6"/>
    <w:rsid w:val="00020A1E"/>
    <w:rsid w:val="00020C0D"/>
    <w:rsid w:val="00021554"/>
    <w:rsid w:val="0002177B"/>
    <w:rsid w:val="0002255C"/>
    <w:rsid w:val="00022724"/>
    <w:rsid w:val="00022F54"/>
    <w:rsid w:val="00023792"/>
    <w:rsid w:val="00023A37"/>
    <w:rsid w:val="00023B4F"/>
    <w:rsid w:val="00023F20"/>
    <w:rsid w:val="000241BC"/>
    <w:rsid w:val="00024291"/>
    <w:rsid w:val="000248EF"/>
    <w:rsid w:val="00024E75"/>
    <w:rsid w:val="00025040"/>
    <w:rsid w:val="000250CB"/>
    <w:rsid w:val="00025124"/>
    <w:rsid w:val="00025A60"/>
    <w:rsid w:val="00026090"/>
    <w:rsid w:val="000265B9"/>
    <w:rsid w:val="000269DA"/>
    <w:rsid w:val="000270E2"/>
    <w:rsid w:val="00027409"/>
    <w:rsid w:val="0002774A"/>
    <w:rsid w:val="00027BBB"/>
    <w:rsid w:val="00027BBE"/>
    <w:rsid w:val="00027D13"/>
    <w:rsid w:val="00027E32"/>
    <w:rsid w:val="00030011"/>
    <w:rsid w:val="0003002C"/>
    <w:rsid w:val="000306B1"/>
    <w:rsid w:val="00030A7A"/>
    <w:rsid w:val="00030ECD"/>
    <w:rsid w:val="000311CE"/>
    <w:rsid w:val="000312FD"/>
    <w:rsid w:val="00031374"/>
    <w:rsid w:val="000321F4"/>
    <w:rsid w:val="00032BED"/>
    <w:rsid w:val="00032E34"/>
    <w:rsid w:val="000331F1"/>
    <w:rsid w:val="0003323B"/>
    <w:rsid w:val="00033475"/>
    <w:rsid w:val="00033C88"/>
    <w:rsid w:val="00033D2F"/>
    <w:rsid w:val="00033E0A"/>
    <w:rsid w:val="00033E58"/>
    <w:rsid w:val="00033E68"/>
    <w:rsid w:val="00036450"/>
    <w:rsid w:val="000366B0"/>
    <w:rsid w:val="00036F78"/>
    <w:rsid w:val="00037962"/>
    <w:rsid w:val="00040009"/>
    <w:rsid w:val="0004021F"/>
    <w:rsid w:val="00040F1F"/>
    <w:rsid w:val="0004152F"/>
    <w:rsid w:val="00041A2B"/>
    <w:rsid w:val="00041EED"/>
    <w:rsid w:val="00042151"/>
    <w:rsid w:val="00042385"/>
    <w:rsid w:val="000424B0"/>
    <w:rsid w:val="0004293F"/>
    <w:rsid w:val="00042F22"/>
    <w:rsid w:val="00043ABD"/>
    <w:rsid w:val="00044A5D"/>
    <w:rsid w:val="00045269"/>
    <w:rsid w:val="00045D06"/>
    <w:rsid w:val="00046123"/>
    <w:rsid w:val="00046672"/>
    <w:rsid w:val="00046850"/>
    <w:rsid w:val="00046B81"/>
    <w:rsid w:val="00046DFE"/>
    <w:rsid w:val="00047027"/>
    <w:rsid w:val="00047346"/>
    <w:rsid w:val="00047816"/>
    <w:rsid w:val="00047C76"/>
    <w:rsid w:val="000502F7"/>
    <w:rsid w:val="00050C5C"/>
    <w:rsid w:val="00050F27"/>
    <w:rsid w:val="00051181"/>
    <w:rsid w:val="0005121C"/>
    <w:rsid w:val="000513C0"/>
    <w:rsid w:val="00051999"/>
    <w:rsid w:val="000519F7"/>
    <w:rsid w:val="00052DC6"/>
    <w:rsid w:val="000535E3"/>
    <w:rsid w:val="00053920"/>
    <w:rsid w:val="0005393F"/>
    <w:rsid w:val="00053B09"/>
    <w:rsid w:val="00053EF6"/>
    <w:rsid w:val="000546F1"/>
    <w:rsid w:val="00054744"/>
    <w:rsid w:val="00054958"/>
    <w:rsid w:val="0005545C"/>
    <w:rsid w:val="00055540"/>
    <w:rsid w:val="0005580D"/>
    <w:rsid w:val="00055845"/>
    <w:rsid w:val="00055D66"/>
    <w:rsid w:val="0005610F"/>
    <w:rsid w:val="000565CA"/>
    <w:rsid w:val="00056769"/>
    <w:rsid w:val="00057036"/>
    <w:rsid w:val="00057A5C"/>
    <w:rsid w:val="0006019A"/>
    <w:rsid w:val="000603DA"/>
    <w:rsid w:val="00060AFA"/>
    <w:rsid w:val="0006125F"/>
    <w:rsid w:val="00061AD5"/>
    <w:rsid w:val="00062282"/>
    <w:rsid w:val="0006269E"/>
    <w:rsid w:val="000627D5"/>
    <w:rsid w:val="00062D1D"/>
    <w:rsid w:val="00062D3A"/>
    <w:rsid w:val="00062DDC"/>
    <w:rsid w:val="000632E6"/>
    <w:rsid w:val="00063392"/>
    <w:rsid w:val="0006343D"/>
    <w:rsid w:val="00063647"/>
    <w:rsid w:val="00063947"/>
    <w:rsid w:val="00063FDE"/>
    <w:rsid w:val="000641AC"/>
    <w:rsid w:val="0006461E"/>
    <w:rsid w:val="00064A8F"/>
    <w:rsid w:val="00065ABF"/>
    <w:rsid w:val="00065C19"/>
    <w:rsid w:val="00065D20"/>
    <w:rsid w:val="00065D40"/>
    <w:rsid w:val="00065E86"/>
    <w:rsid w:val="00066116"/>
    <w:rsid w:val="00066458"/>
    <w:rsid w:val="00066582"/>
    <w:rsid w:val="00066E85"/>
    <w:rsid w:val="00066FC0"/>
    <w:rsid w:val="000676DF"/>
    <w:rsid w:val="000701BC"/>
    <w:rsid w:val="00070353"/>
    <w:rsid w:val="00070A70"/>
    <w:rsid w:val="000714EA"/>
    <w:rsid w:val="00071592"/>
    <w:rsid w:val="00071633"/>
    <w:rsid w:val="000719E7"/>
    <w:rsid w:val="00071BA3"/>
    <w:rsid w:val="00071FDB"/>
    <w:rsid w:val="00071FF0"/>
    <w:rsid w:val="000722BF"/>
    <w:rsid w:val="0007242F"/>
    <w:rsid w:val="0007266D"/>
    <w:rsid w:val="000729D2"/>
    <w:rsid w:val="00072F06"/>
    <w:rsid w:val="00072F6B"/>
    <w:rsid w:val="000737BF"/>
    <w:rsid w:val="00073FA2"/>
    <w:rsid w:val="0007485F"/>
    <w:rsid w:val="00074A2E"/>
    <w:rsid w:val="00074B1D"/>
    <w:rsid w:val="00074EC1"/>
    <w:rsid w:val="000758CC"/>
    <w:rsid w:val="000759B4"/>
    <w:rsid w:val="00075BC0"/>
    <w:rsid w:val="000762FF"/>
    <w:rsid w:val="00077020"/>
    <w:rsid w:val="00077180"/>
    <w:rsid w:val="000771E6"/>
    <w:rsid w:val="000775A4"/>
    <w:rsid w:val="00077833"/>
    <w:rsid w:val="00077854"/>
    <w:rsid w:val="00077DCC"/>
    <w:rsid w:val="00080279"/>
    <w:rsid w:val="00080346"/>
    <w:rsid w:val="00080AC7"/>
    <w:rsid w:val="00080CDE"/>
    <w:rsid w:val="00081119"/>
    <w:rsid w:val="000811CB"/>
    <w:rsid w:val="0008172E"/>
    <w:rsid w:val="000817CA"/>
    <w:rsid w:val="00081FCF"/>
    <w:rsid w:val="000820CB"/>
    <w:rsid w:val="00082274"/>
    <w:rsid w:val="00082582"/>
    <w:rsid w:val="0008306E"/>
    <w:rsid w:val="00083131"/>
    <w:rsid w:val="000832D0"/>
    <w:rsid w:val="00083302"/>
    <w:rsid w:val="000833D6"/>
    <w:rsid w:val="000835AB"/>
    <w:rsid w:val="00083A53"/>
    <w:rsid w:val="00083F79"/>
    <w:rsid w:val="000842D1"/>
    <w:rsid w:val="00084667"/>
    <w:rsid w:val="00084C52"/>
    <w:rsid w:val="00085273"/>
    <w:rsid w:val="00085780"/>
    <w:rsid w:val="000858F7"/>
    <w:rsid w:val="00086387"/>
    <w:rsid w:val="00086463"/>
    <w:rsid w:val="00086A65"/>
    <w:rsid w:val="00086CC2"/>
    <w:rsid w:val="00086FEF"/>
    <w:rsid w:val="00087B9D"/>
    <w:rsid w:val="00087C9C"/>
    <w:rsid w:val="00090B78"/>
    <w:rsid w:val="00090D25"/>
    <w:rsid w:val="00090E2F"/>
    <w:rsid w:val="0009110F"/>
    <w:rsid w:val="00091A68"/>
    <w:rsid w:val="00091AE3"/>
    <w:rsid w:val="00091C88"/>
    <w:rsid w:val="00091DAE"/>
    <w:rsid w:val="00093CB5"/>
    <w:rsid w:val="000948DE"/>
    <w:rsid w:val="00095036"/>
    <w:rsid w:val="000952C7"/>
    <w:rsid w:val="00095507"/>
    <w:rsid w:val="00095AF9"/>
    <w:rsid w:val="00095CD2"/>
    <w:rsid w:val="00095F81"/>
    <w:rsid w:val="00096CC6"/>
    <w:rsid w:val="00096F91"/>
    <w:rsid w:val="00096FBD"/>
    <w:rsid w:val="00097666"/>
    <w:rsid w:val="00097D4F"/>
    <w:rsid w:val="00097EFC"/>
    <w:rsid w:val="000A00B6"/>
    <w:rsid w:val="000A0806"/>
    <w:rsid w:val="000A0DD5"/>
    <w:rsid w:val="000A0EF0"/>
    <w:rsid w:val="000A154A"/>
    <w:rsid w:val="000A1999"/>
    <w:rsid w:val="000A1B5D"/>
    <w:rsid w:val="000A2908"/>
    <w:rsid w:val="000A35F2"/>
    <w:rsid w:val="000A3777"/>
    <w:rsid w:val="000A3ECB"/>
    <w:rsid w:val="000A49D0"/>
    <w:rsid w:val="000A55D7"/>
    <w:rsid w:val="000A566C"/>
    <w:rsid w:val="000A5AE0"/>
    <w:rsid w:val="000A5C79"/>
    <w:rsid w:val="000A5D2A"/>
    <w:rsid w:val="000A680C"/>
    <w:rsid w:val="000A70A6"/>
    <w:rsid w:val="000A7467"/>
    <w:rsid w:val="000A776B"/>
    <w:rsid w:val="000A7A77"/>
    <w:rsid w:val="000A7B4D"/>
    <w:rsid w:val="000A7C84"/>
    <w:rsid w:val="000B023B"/>
    <w:rsid w:val="000B02B6"/>
    <w:rsid w:val="000B02CE"/>
    <w:rsid w:val="000B0B18"/>
    <w:rsid w:val="000B0D00"/>
    <w:rsid w:val="000B1473"/>
    <w:rsid w:val="000B14C2"/>
    <w:rsid w:val="000B1904"/>
    <w:rsid w:val="000B197F"/>
    <w:rsid w:val="000B2435"/>
    <w:rsid w:val="000B37CA"/>
    <w:rsid w:val="000B3BB0"/>
    <w:rsid w:val="000B3E09"/>
    <w:rsid w:val="000B3F82"/>
    <w:rsid w:val="000B3FF2"/>
    <w:rsid w:val="000B41DD"/>
    <w:rsid w:val="000B4956"/>
    <w:rsid w:val="000B4E2C"/>
    <w:rsid w:val="000B4F2A"/>
    <w:rsid w:val="000B5495"/>
    <w:rsid w:val="000B580A"/>
    <w:rsid w:val="000B5E3F"/>
    <w:rsid w:val="000B5FBD"/>
    <w:rsid w:val="000B60E5"/>
    <w:rsid w:val="000B6463"/>
    <w:rsid w:val="000B6475"/>
    <w:rsid w:val="000B64BC"/>
    <w:rsid w:val="000B68D8"/>
    <w:rsid w:val="000B6F12"/>
    <w:rsid w:val="000B6F5E"/>
    <w:rsid w:val="000B75F1"/>
    <w:rsid w:val="000B7659"/>
    <w:rsid w:val="000B773A"/>
    <w:rsid w:val="000B7863"/>
    <w:rsid w:val="000B7BB9"/>
    <w:rsid w:val="000C028F"/>
    <w:rsid w:val="000C05CC"/>
    <w:rsid w:val="000C070A"/>
    <w:rsid w:val="000C0B2D"/>
    <w:rsid w:val="000C0E5A"/>
    <w:rsid w:val="000C138C"/>
    <w:rsid w:val="000C1643"/>
    <w:rsid w:val="000C1A4B"/>
    <w:rsid w:val="000C1CCB"/>
    <w:rsid w:val="000C1F0B"/>
    <w:rsid w:val="000C2410"/>
    <w:rsid w:val="000C30F3"/>
    <w:rsid w:val="000C3203"/>
    <w:rsid w:val="000C3837"/>
    <w:rsid w:val="000C3AC5"/>
    <w:rsid w:val="000C3D45"/>
    <w:rsid w:val="000C4FB9"/>
    <w:rsid w:val="000C5257"/>
    <w:rsid w:val="000C53DF"/>
    <w:rsid w:val="000C543E"/>
    <w:rsid w:val="000C5742"/>
    <w:rsid w:val="000C57BF"/>
    <w:rsid w:val="000C592A"/>
    <w:rsid w:val="000C5C5F"/>
    <w:rsid w:val="000C5DCF"/>
    <w:rsid w:val="000C66F4"/>
    <w:rsid w:val="000C6822"/>
    <w:rsid w:val="000C68C7"/>
    <w:rsid w:val="000C69F5"/>
    <w:rsid w:val="000C6DF1"/>
    <w:rsid w:val="000C70AD"/>
    <w:rsid w:val="000C73D7"/>
    <w:rsid w:val="000C7CBB"/>
    <w:rsid w:val="000D015D"/>
    <w:rsid w:val="000D017A"/>
    <w:rsid w:val="000D0309"/>
    <w:rsid w:val="000D0752"/>
    <w:rsid w:val="000D09E5"/>
    <w:rsid w:val="000D1160"/>
    <w:rsid w:val="000D1F0F"/>
    <w:rsid w:val="000D253A"/>
    <w:rsid w:val="000D264D"/>
    <w:rsid w:val="000D27B0"/>
    <w:rsid w:val="000D295A"/>
    <w:rsid w:val="000D2C10"/>
    <w:rsid w:val="000D2D23"/>
    <w:rsid w:val="000D2D60"/>
    <w:rsid w:val="000D2D8D"/>
    <w:rsid w:val="000D3A7D"/>
    <w:rsid w:val="000D4A90"/>
    <w:rsid w:val="000D5967"/>
    <w:rsid w:val="000D5D10"/>
    <w:rsid w:val="000D5D62"/>
    <w:rsid w:val="000D66DB"/>
    <w:rsid w:val="000D69D7"/>
    <w:rsid w:val="000D6BEA"/>
    <w:rsid w:val="000D6CCD"/>
    <w:rsid w:val="000D6DAE"/>
    <w:rsid w:val="000D7267"/>
    <w:rsid w:val="000D791F"/>
    <w:rsid w:val="000E05A8"/>
    <w:rsid w:val="000E1C70"/>
    <w:rsid w:val="000E1E8F"/>
    <w:rsid w:val="000E21AD"/>
    <w:rsid w:val="000E26AA"/>
    <w:rsid w:val="000E2BD7"/>
    <w:rsid w:val="000E30A8"/>
    <w:rsid w:val="000E3124"/>
    <w:rsid w:val="000E315D"/>
    <w:rsid w:val="000E341B"/>
    <w:rsid w:val="000E3937"/>
    <w:rsid w:val="000E3E92"/>
    <w:rsid w:val="000E432C"/>
    <w:rsid w:val="000E4338"/>
    <w:rsid w:val="000E44C1"/>
    <w:rsid w:val="000E456D"/>
    <w:rsid w:val="000E4D53"/>
    <w:rsid w:val="000E4E34"/>
    <w:rsid w:val="000E4E8A"/>
    <w:rsid w:val="000E54DE"/>
    <w:rsid w:val="000E5860"/>
    <w:rsid w:val="000E5972"/>
    <w:rsid w:val="000E5BC4"/>
    <w:rsid w:val="000E6227"/>
    <w:rsid w:val="000E6938"/>
    <w:rsid w:val="000E6A86"/>
    <w:rsid w:val="000E6FCE"/>
    <w:rsid w:val="000E707F"/>
    <w:rsid w:val="000E7BD3"/>
    <w:rsid w:val="000E7BFC"/>
    <w:rsid w:val="000F028E"/>
    <w:rsid w:val="000F0645"/>
    <w:rsid w:val="000F0817"/>
    <w:rsid w:val="000F0973"/>
    <w:rsid w:val="000F0B4D"/>
    <w:rsid w:val="000F11F7"/>
    <w:rsid w:val="000F1335"/>
    <w:rsid w:val="000F14BC"/>
    <w:rsid w:val="000F15A1"/>
    <w:rsid w:val="000F19BA"/>
    <w:rsid w:val="000F202E"/>
    <w:rsid w:val="000F2E30"/>
    <w:rsid w:val="000F41DE"/>
    <w:rsid w:val="000F45A3"/>
    <w:rsid w:val="000F474F"/>
    <w:rsid w:val="000F484F"/>
    <w:rsid w:val="000F4928"/>
    <w:rsid w:val="000F4E4C"/>
    <w:rsid w:val="000F5438"/>
    <w:rsid w:val="000F5C07"/>
    <w:rsid w:val="000F5CE6"/>
    <w:rsid w:val="000F5CFD"/>
    <w:rsid w:val="000F5D22"/>
    <w:rsid w:val="000F5F05"/>
    <w:rsid w:val="000F5F19"/>
    <w:rsid w:val="000F6001"/>
    <w:rsid w:val="000F671E"/>
    <w:rsid w:val="000F69D9"/>
    <w:rsid w:val="000F7495"/>
    <w:rsid w:val="00100259"/>
    <w:rsid w:val="00100E46"/>
    <w:rsid w:val="00101503"/>
    <w:rsid w:val="001015AD"/>
    <w:rsid w:val="00101C24"/>
    <w:rsid w:val="00101D75"/>
    <w:rsid w:val="0010264C"/>
    <w:rsid w:val="00102D3D"/>
    <w:rsid w:val="00102F6E"/>
    <w:rsid w:val="00103A9E"/>
    <w:rsid w:val="00103B39"/>
    <w:rsid w:val="00103EA8"/>
    <w:rsid w:val="001042D5"/>
    <w:rsid w:val="00104530"/>
    <w:rsid w:val="00104E9B"/>
    <w:rsid w:val="00105261"/>
    <w:rsid w:val="0010527C"/>
    <w:rsid w:val="00105885"/>
    <w:rsid w:val="0010616B"/>
    <w:rsid w:val="00106366"/>
    <w:rsid w:val="00106931"/>
    <w:rsid w:val="00106DA4"/>
    <w:rsid w:val="00107498"/>
    <w:rsid w:val="00107805"/>
    <w:rsid w:val="00107836"/>
    <w:rsid w:val="00107A00"/>
    <w:rsid w:val="0011009C"/>
    <w:rsid w:val="00110883"/>
    <w:rsid w:val="00110E46"/>
    <w:rsid w:val="001111BB"/>
    <w:rsid w:val="00111C31"/>
    <w:rsid w:val="001127A6"/>
    <w:rsid w:val="00112A6D"/>
    <w:rsid w:val="00112B18"/>
    <w:rsid w:val="0011310E"/>
    <w:rsid w:val="001133C1"/>
    <w:rsid w:val="0011380C"/>
    <w:rsid w:val="001138D8"/>
    <w:rsid w:val="00113B43"/>
    <w:rsid w:val="00113C1A"/>
    <w:rsid w:val="00113F47"/>
    <w:rsid w:val="00113FCF"/>
    <w:rsid w:val="0011444B"/>
    <w:rsid w:val="00114FCA"/>
    <w:rsid w:val="00115086"/>
    <w:rsid w:val="0011544D"/>
    <w:rsid w:val="001164B3"/>
    <w:rsid w:val="00116D82"/>
    <w:rsid w:val="00116FE9"/>
    <w:rsid w:val="00117120"/>
    <w:rsid w:val="00117A9B"/>
    <w:rsid w:val="00117AC7"/>
    <w:rsid w:val="00117B7E"/>
    <w:rsid w:val="0012034E"/>
    <w:rsid w:val="001206FC"/>
    <w:rsid w:val="0012090B"/>
    <w:rsid w:val="00120958"/>
    <w:rsid w:val="0012097D"/>
    <w:rsid w:val="00120A34"/>
    <w:rsid w:val="00120A8A"/>
    <w:rsid w:val="001213FF"/>
    <w:rsid w:val="0012178D"/>
    <w:rsid w:val="00121898"/>
    <w:rsid w:val="00121D6E"/>
    <w:rsid w:val="00121FCD"/>
    <w:rsid w:val="001229D5"/>
    <w:rsid w:val="00123441"/>
    <w:rsid w:val="001235DF"/>
    <w:rsid w:val="00123B93"/>
    <w:rsid w:val="00124723"/>
    <w:rsid w:val="00124889"/>
    <w:rsid w:val="00124C82"/>
    <w:rsid w:val="00124F16"/>
    <w:rsid w:val="0012579B"/>
    <w:rsid w:val="00125D6E"/>
    <w:rsid w:val="001260A7"/>
    <w:rsid w:val="00126962"/>
    <w:rsid w:val="001269D4"/>
    <w:rsid w:val="00126A81"/>
    <w:rsid w:val="00127CBA"/>
    <w:rsid w:val="00127CEE"/>
    <w:rsid w:val="00127D96"/>
    <w:rsid w:val="001301E1"/>
    <w:rsid w:val="001302DA"/>
    <w:rsid w:val="00130586"/>
    <w:rsid w:val="00130698"/>
    <w:rsid w:val="001306FA"/>
    <w:rsid w:val="00130959"/>
    <w:rsid w:val="00130E34"/>
    <w:rsid w:val="001311A4"/>
    <w:rsid w:val="001314F3"/>
    <w:rsid w:val="00131B96"/>
    <w:rsid w:val="00131E77"/>
    <w:rsid w:val="0013245A"/>
    <w:rsid w:val="00132800"/>
    <w:rsid w:val="0013287A"/>
    <w:rsid w:val="0013295D"/>
    <w:rsid w:val="00132E02"/>
    <w:rsid w:val="00133CCE"/>
    <w:rsid w:val="00133DCD"/>
    <w:rsid w:val="001344DF"/>
    <w:rsid w:val="00134834"/>
    <w:rsid w:val="00134943"/>
    <w:rsid w:val="00134D73"/>
    <w:rsid w:val="0013535A"/>
    <w:rsid w:val="00135390"/>
    <w:rsid w:val="001358C1"/>
    <w:rsid w:val="00135D2C"/>
    <w:rsid w:val="00135F99"/>
    <w:rsid w:val="001369EA"/>
    <w:rsid w:val="001371C8"/>
    <w:rsid w:val="00137423"/>
    <w:rsid w:val="00137437"/>
    <w:rsid w:val="00137A34"/>
    <w:rsid w:val="00137BDE"/>
    <w:rsid w:val="001402ED"/>
    <w:rsid w:val="001405B4"/>
    <w:rsid w:val="00141883"/>
    <w:rsid w:val="001422B4"/>
    <w:rsid w:val="00142513"/>
    <w:rsid w:val="0014273A"/>
    <w:rsid w:val="00142C90"/>
    <w:rsid w:val="0014367A"/>
    <w:rsid w:val="0014382E"/>
    <w:rsid w:val="00143966"/>
    <w:rsid w:val="00143D4B"/>
    <w:rsid w:val="00143E78"/>
    <w:rsid w:val="00143F49"/>
    <w:rsid w:val="0014412D"/>
    <w:rsid w:val="00144434"/>
    <w:rsid w:val="00144554"/>
    <w:rsid w:val="001445B8"/>
    <w:rsid w:val="00144B84"/>
    <w:rsid w:val="00144BC6"/>
    <w:rsid w:val="00145738"/>
    <w:rsid w:val="0014646B"/>
    <w:rsid w:val="00146859"/>
    <w:rsid w:val="001470D9"/>
    <w:rsid w:val="0014749B"/>
    <w:rsid w:val="00150507"/>
    <w:rsid w:val="001515A7"/>
    <w:rsid w:val="00151706"/>
    <w:rsid w:val="00151CCA"/>
    <w:rsid w:val="00152676"/>
    <w:rsid w:val="0015269C"/>
    <w:rsid w:val="00152976"/>
    <w:rsid w:val="0015306A"/>
    <w:rsid w:val="001533CA"/>
    <w:rsid w:val="0015341B"/>
    <w:rsid w:val="0015353A"/>
    <w:rsid w:val="001537D3"/>
    <w:rsid w:val="00153AB5"/>
    <w:rsid w:val="00154052"/>
    <w:rsid w:val="001543E5"/>
    <w:rsid w:val="00154954"/>
    <w:rsid w:val="00154C02"/>
    <w:rsid w:val="00154D04"/>
    <w:rsid w:val="00155666"/>
    <w:rsid w:val="00155804"/>
    <w:rsid w:val="00155CA1"/>
    <w:rsid w:val="00156FF7"/>
    <w:rsid w:val="001575BD"/>
    <w:rsid w:val="00157F93"/>
    <w:rsid w:val="00160CB7"/>
    <w:rsid w:val="00160F93"/>
    <w:rsid w:val="001612A6"/>
    <w:rsid w:val="001615DC"/>
    <w:rsid w:val="001620C5"/>
    <w:rsid w:val="00162212"/>
    <w:rsid w:val="00162B43"/>
    <w:rsid w:val="00162D54"/>
    <w:rsid w:val="0016369D"/>
    <w:rsid w:val="00163B59"/>
    <w:rsid w:val="00164644"/>
    <w:rsid w:val="001655CF"/>
    <w:rsid w:val="0016576E"/>
    <w:rsid w:val="001658F0"/>
    <w:rsid w:val="001659AD"/>
    <w:rsid w:val="00166877"/>
    <w:rsid w:val="001669E3"/>
    <w:rsid w:val="00166BC6"/>
    <w:rsid w:val="001674D3"/>
    <w:rsid w:val="001676D4"/>
    <w:rsid w:val="0016792A"/>
    <w:rsid w:val="00167D80"/>
    <w:rsid w:val="00170331"/>
    <w:rsid w:val="00170908"/>
    <w:rsid w:val="00170BAC"/>
    <w:rsid w:val="00170CF5"/>
    <w:rsid w:val="00170E69"/>
    <w:rsid w:val="00171472"/>
    <w:rsid w:val="00171DB7"/>
    <w:rsid w:val="00172544"/>
    <w:rsid w:val="0017328C"/>
    <w:rsid w:val="00173BD6"/>
    <w:rsid w:val="00173CFC"/>
    <w:rsid w:val="00173D3F"/>
    <w:rsid w:val="00174315"/>
    <w:rsid w:val="00174356"/>
    <w:rsid w:val="001747DA"/>
    <w:rsid w:val="00174A23"/>
    <w:rsid w:val="00174D9A"/>
    <w:rsid w:val="001754F5"/>
    <w:rsid w:val="0017562A"/>
    <w:rsid w:val="00175CFD"/>
    <w:rsid w:val="001760D0"/>
    <w:rsid w:val="0017649F"/>
    <w:rsid w:val="00176A86"/>
    <w:rsid w:val="00176CAB"/>
    <w:rsid w:val="001772B6"/>
    <w:rsid w:val="001776F6"/>
    <w:rsid w:val="001777DE"/>
    <w:rsid w:val="00177F03"/>
    <w:rsid w:val="001801BF"/>
    <w:rsid w:val="00180987"/>
    <w:rsid w:val="00180995"/>
    <w:rsid w:val="00180ABC"/>
    <w:rsid w:val="00180C0D"/>
    <w:rsid w:val="00180C53"/>
    <w:rsid w:val="00180D15"/>
    <w:rsid w:val="001811D9"/>
    <w:rsid w:val="00181532"/>
    <w:rsid w:val="00181888"/>
    <w:rsid w:val="001819BA"/>
    <w:rsid w:val="00181A8A"/>
    <w:rsid w:val="001821AD"/>
    <w:rsid w:val="00182BD7"/>
    <w:rsid w:val="00182F2C"/>
    <w:rsid w:val="001830ED"/>
    <w:rsid w:val="00183699"/>
    <w:rsid w:val="00183DBA"/>
    <w:rsid w:val="00184679"/>
    <w:rsid w:val="00184853"/>
    <w:rsid w:val="00184BF0"/>
    <w:rsid w:val="00184D4B"/>
    <w:rsid w:val="00185596"/>
    <w:rsid w:val="001859E3"/>
    <w:rsid w:val="00186208"/>
    <w:rsid w:val="00186556"/>
    <w:rsid w:val="001868C7"/>
    <w:rsid w:val="001868FB"/>
    <w:rsid w:val="00186A87"/>
    <w:rsid w:val="00186C74"/>
    <w:rsid w:val="00186D11"/>
    <w:rsid w:val="00186D49"/>
    <w:rsid w:val="001874B6"/>
    <w:rsid w:val="0019063E"/>
    <w:rsid w:val="0019070F"/>
    <w:rsid w:val="00190B7A"/>
    <w:rsid w:val="00190EF0"/>
    <w:rsid w:val="00190F13"/>
    <w:rsid w:val="00191C78"/>
    <w:rsid w:val="00191E34"/>
    <w:rsid w:val="0019257B"/>
    <w:rsid w:val="001928CD"/>
    <w:rsid w:val="00192BD3"/>
    <w:rsid w:val="00192E2F"/>
    <w:rsid w:val="00192F23"/>
    <w:rsid w:val="00192F7D"/>
    <w:rsid w:val="0019309D"/>
    <w:rsid w:val="00193417"/>
    <w:rsid w:val="00194310"/>
    <w:rsid w:val="0019513A"/>
    <w:rsid w:val="00195269"/>
    <w:rsid w:val="0019531B"/>
    <w:rsid w:val="00195515"/>
    <w:rsid w:val="00195B39"/>
    <w:rsid w:val="00196626"/>
    <w:rsid w:val="0019687C"/>
    <w:rsid w:val="00196ECE"/>
    <w:rsid w:val="00197015"/>
    <w:rsid w:val="001971CB"/>
    <w:rsid w:val="00197DE8"/>
    <w:rsid w:val="001A0278"/>
    <w:rsid w:val="001A0728"/>
    <w:rsid w:val="001A0D3A"/>
    <w:rsid w:val="001A12FD"/>
    <w:rsid w:val="001A1898"/>
    <w:rsid w:val="001A1910"/>
    <w:rsid w:val="001A256F"/>
    <w:rsid w:val="001A2ADF"/>
    <w:rsid w:val="001A3A64"/>
    <w:rsid w:val="001A3A6A"/>
    <w:rsid w:val="001A3C3D"/>
    <w:rsid w:val="001A4C42"/>
    <w:rsid w:val="001A5201"/>
    <w:rsid w:val="001A533A"/>
    <w:rsid w:val="001A544F"/>
    <w:rsid w:val="001A5C06"/>
    <w:rsid w:val="001A5C11"/>
    <w:rsid w:val="001A5D9D"/>
    <w:rsid w:val="001A5F20"/>
    <w:rsid w:val="001A60CA"/>
    <w:rsid w:val="001A6833"/>
    <w:rsid w:val="001A6DA5"/>
    <w:rsid w:val="001A7901"/>
    <w:rsid w:val="001A7A17"/>
    <w:rsid w:val="001A7B5F"/>
    <w:rsid w:val="001B0307"/>
    <w:rsid w:val="001B0EB6"/>
    <w:rsid w:val="001B14FC"/>
    <w:rsid w:val="001B15BD"/>
    <w:rsid w:val="001B18B5"/>
    <w:rsid w:val="001B1937"/>
    <w:rsid w:val="001B1973"/>
    <w:rsid w:val="001B20A6"/>
    <w:rsid w:val="001B2276"/>
    <w:rsid w:val="001B2998"/>
    <w:rsid w:val="001B2B61"/>
    <w:rsid w:val="001B3757"/>
    <w:rsid w:val="001B3C18"/>
    <w:rsid w:val="001B44B6"/>
    <w:rsid w:val="001B5A23"/>
    <w:rsid w:val="001B5A7C"/>
    <w:rsid w:val="001B686F"/>
    <w:rsid w:val="001B6F85"/>
    <w:rsid w:val="001B7B4C"/>
    <w:rsid w:val="001B7C8D"/>
    <w:rsid w:val="001B7F65"/>
    <w:rsid w:val="001C017C"/>
    <w:rsid w:val="001C0359"/>
    <w:rsid w:val="001C04CE"/>
    <w:rsid w:val="001C0596"/>
    <w:rsid w:val="001C0890"/>
    <w:rsid w:val="001C0B7E"/>
    <w:rsid w:val="001C17D2"/>
    <w:rsid w:val="001C1AB6"/>
    <w:rsid w:val="001C1F14"/>
    <w:rsid w:val="001C22C9"/>
    <w:rsid w:val="001C2BB8"/>
    <w:rsid w:val="001C2BE7"/>
    <w:rsid w:val="001C3231"/>
    <w:rsid w:val="001C3915"/>
    <w:rsid w:val="001C3CAF"/>
    <w:rsid w:val="001C42AF"/>
    <w:rsid w:val="001C4800"/>
    <w:rsid w:val="001C4F15"/>
    <w:rsid w:val="001C54FC"/>
    <w:rsid w:val="001C57CF"/>
    <w:rsid w:val="001C5994"/>
    <w:rsid w:val="001C5F85"/>
    <w:rsid w:val="001C60C7"/>
    <w:rsid w:val="001C611A"/>
    <w:rsid w:val="001C6145"/>
    <w:rsid w:val="001C618E"/>
    <w:rsid w:val="001C628E"/>
    <w:rsid w:val="001C65CF"/>
    <w:rsid w:val="001C6823"/>
    <w:rsid w:val="001C6B00"/>
    <w:rsid w:val="001C6DEB"/>
    <w:rsid w:val="001C70DF"/>
    <w:rsid w:val="001C72EB"/>
    <w:rsid w:val="001C736E"/>
    <w:rsid w:val="001C7A81"/>
    <w:rsid w:val="001D0157"/>
    <w:rsid w:val="001D02C4"/>
    <w:rsid w:val="001D039E"/>
    <w:rsid w:val="001D0534"/>
    <w:rsid w:val="001D08D9"/>
    <w:rsid w:val="001D0979"/>
    <w:rsid w:val="001D183D"/>
    <w:rsid w:val="001D1D26"/>
    <w:rsid w:val="001D2D64"/>
    <w:rsid w:val="001D2F2A"/>
    <w:rsid w:val="001D4587"/>
    <w:rsid w:val="001D4624"/>
    <w:rsid w:val="001D4BA3"/>
    <w:rsid w:val="001D4C16"/>
    <w:rsid w:val="001D4DF1"/>
    <w:rsid w:val="001D4E97"/>
    <w:rsid w:val="001D4FCF"/>
    <w:rsid w:val="001D53F0"/>
    <w:rsid w:val="001D54A2"/>
    <w:rsid w:val="001D62F5"/>
    <w:rsid w:val="001D6372"/>
    <w:rsid w:val="001D6448"/>
    <w:rsid w:val="001D6661"/>
    <w:rsid w:val="001D6ADF"/>
    <w:rsid w:val="001D738F"/>
    <w:rsid w:val="001D7458"/>
    <w:rsid w:val="001D772D"/>
    <w:rsid w:val="001D798E"/>
    <w:rsid w:val="001D7B50"/>
    <w:rsid w:val="001D7B68"/>
    <w:rsid w:val="001D7D16"/>
    <w:rsid w:val="001E016C"/>
    <w:rsid w:val="001E044C"/>
    <w:rsid w:val="001E08F3"/>
    <w:rsid w:val="001E0C55"/>
    <w:rsid w:val="001E0C92"/>
    <w:rsid w:val="001E0D9B"/>
    <w:rsid w:val="001E14FA"/>
    <w:rsid w:val="001E2C0C"/>
    <w:rsid w:val="001E2EC8"/>
    <w:rsid w:val="001E3171"/>
    <w:rsid w:val="001E3186"/>
    <w:rsid w:val="001E31C8"/>
    <w:rsid w:val="001E36BA"/>
    <w:rsid w:val="001E3A1D"/>
    <w:rsid w:val="001E3E8E"/>
    <w:rsid w:val="001E4164"/>
    <w:rsid w:val="001E4C12"/>
    <w:rsid w:val="001E575B"/>
    <w:rsid w:val="001E57B7"/>
    <w:rsid w:val="001E5EFC"/>
    <w:rsid w:val="001E5F80"/>
    <w:rsid w:val="001E71F5"/>
    <w:rsid w:val="001E73DE"/>
    <w:rsid w:val="001E78D2"/>
    <w:rsid w:val="001F07B2"/>
    <w:rsid w:val="001F09F3"/>
    <w:rsid w:val="001F0C53"/>
    <w:rsid w:val="001F0D17"/>
    <w:rsid w:val="001F13A0"/>
    <w:rsid w:val="001F182B"/>
    <w:rsid w:val="001F1FBD"/>
    <w:rsid w:val="001F24EA"/>
    <w:rsid w:val="001F250E"/>
    <w:rsid w:val="001F2772"/>
    <w:rsid w:val="001F2BBA"/>
    <w:rsid w:val="001F2EAA"/>
    <w:rsid w:val="001F2FB7"/>
    <w:rsid w:val="001F3058"/>
    <w:rsid w:val="001F382A"/>
    <w:rsid w:val="001F4367"/>
    <w:rsid w:val="001F44B3"/>
    <w:rsid w:val="001F49B6"/>
    <w:rsid w:val="001F4C46"/>
    <w:rsid w:val="001F500A"/>
    <w:rsid w:val="001F6272"/>
    <w:rsid w:val="001F63F9"/>
    <w:rsid w:val="001F6664"/>
    <w:rsid w:val="001F6725"/>
    <w:rsid w:val="001F6C85"/>
    <w:rsid w:val="001F6CFB"/>
    <w:rsid w:val="001F6D8D"/>
    <w:rsid w:val="001F704A"/>
    <w:rsid w:val="001F7171"/>
    <w:rsid w:val="001F7218"/>
    <w:rsid w:val="001F7507"/>
    <w:rsid w:val="001F7A80"/>
    <w:rsid w:val="001F7AAD"/>
    <w:rsid w:val="001F7F51"/>
    <w:rsid w:val="0020027B"/>
    <w:rsid w:val="00200EE4"/>
    <w:rsid w:val="002011B9"/>
    <w:rsid w:val="00201D04"/>
    <w:rsid w:val="00202161"/>
    <w:rsid w:val="00202362"/>
    <w:rsid w:val="002026E5"/>
    <w:rsid w:val="00202932"/>
    <w:rsid w:val="00202A6D"/>
    <w:rsid w:val="00202E48"/>
    <w:rsid w:val="0020375F"/>
    <w:rsid w:val="00203785"/>
    <w:rsid w:val="002037E4"/>
    <w:rsid w:val="00203F03"/>
    <w:rsid w:val="00204021"/>
    <w:rsid w:val="00204451"/>
    <w:rsid w:val="00204B6A"/>
    <w:rsid w:val="00204E8C"/>
    <w:rsid w:val="0020528F"/>
    <w:rsid w:val="00205781"/>
    <w:rsid w:val="00205787"/>
    <w:rsid w:val="00205A4C"/>
    <w:rsid w:val="002062A4"/>
    <w:rsid w:val="00206EC6"/>
    <w:rsid w:val="00206FDA"/>
    <w:rsid w:val="00207B6B"/>
    <w:rsid w:val="00207FED"/>
    <w:rsid w:val="00210238"/>
    <w:rsid w:val="00210A81"/>
    <w:rsid w:val="00210B5A"/>
    <w:rsid w:val="00210E4D"/>
    <w:rsid w:val="0021117B"/>
    <w:rsid w:val="00211828"/>
    <w:rsid w:val="002128FB"/>
    <w:rsid w:val="002129C3"/>
    <w:rsid w:val="00212A75"/>
    <w:rsid w:val="00212B74"/>
    <w:rsid w:val="00212FEB"/>
    <w:rsid w:val="002131DD"/>
    <w:rsid w:val="00213733"/>
    <w:rsid w:val="00213806"/>
    <w:rsid w:val="00213826"/>
    <w:rsid w:val="002138D9"/>
    <w:rsid w:val="00213CAF"/>
    <w:rsid w:val="00213DE2"/>
    <w:rsid w:val="002141B4"/>
    <w:rsid w:val="00214521"/>
    <w:rsid w:val="00214CCB"/>
    <w:rsid w:val="002152A0"/>
    <w:rsid w:val="00215851"/>
    <w:rsid w:val="00215BBE"/>
    <w:rsid w:val="00215D96"/>
    <w:rsid w:val="00215ED0"/>
    <w:rsid w:val="00215FF4"/>
    <w:rsid w:val="002160E2"/>
    <w:rsid w:val="002165A7"/>
    <w:rsid w:val="00216929"/>
    <w:rsid w:val="00216984"/>
    <w:rsid w:val="00216CEF"/>
    <w:rsid w:val="00217760"/>
    <w:rsid w:val="002178DF"/>
    <w:rsid w:val="00220971"/>
    <w:rsid w:val="00220AD3"/>
    <w:rsid w:val="00220B6E"/>
    <w:rsid w:val="00220E7D"/>
    <w:rsid w:val="00221DC3"/>
    <w:rsid w:val="00221DEF"/>
    <w:rsid w:val="002229B1"/>
    <w:rsid w:val="00223443"/>
    <w:rsid w:val="00223825"/>
    <w:rsid w:val="00223D48"/>
    <w:rsid w:val="002245D3"/>
    <w:rsid w:val="002246EB"/>
    <w:rsid w:val="002248A7"/>
    <w:rsid w:val="00224960"/>
    <w:rsid w:val="00224D0A"/>
    <w:rsid w:val="0022546B"/>
    <w:rsid w:val="0022591E"/>
    <w:rsid w:val="00226355"/>
    <w:rsid w:val="00226427"/>
    <w:rsid w:val="002268BE"/>
    <w:rsid w:val="00226FAD"/>
    <w:rsid w:val="00227261"/>
    <w:rsid w:val="002279A0"/>
    <w:rsid w:val="00230665"/>
    <w:rsid w:val="00231112"/>
    <w:rsid w:val="002323EC"/>
    <w:rsid w:val="002325B4"/>
    <w:rsid w:val="00232E92"/>
    <w:rsid w:val="002332E2"/>
    <w:rsid w:val="002338EB"/>
    <w:rsid w:val="00233D56"/>
    <w:rsid w:val="00234402"/>
    <w:rsid w:val="0023482C"/>
    <w:rsid w:val="00235683"/>
    <w:rsid w:val="002367CB"/>
    <w:rsid w:val="00236896"/>
    <w:rsid w:val="002369C5"/>
    <w:rsid w:val="00236DF4"/>
    <w:rsid w:val="00237CB1"/>
    <w:rsid w:val="00241141"/>
    <w:rsid w:val="0024188C"/>
    <w:rsid w:val="00241A63"/>
    <w:rsid w:val="00242260"/>
    <w:rsid w:val="002423E9"/>
    <w:rsid w:val="0024243A"/>
    <w:rsid w:val="002426DF"/>
    <w:rsid w:val="002429DD"/>
    <w:rsid w:val="00242A3E"/>
    <w:rsid w:val="00242B03"/>
    <w:rsid w:val="00242F30"/>
    <w:rsid w:val="00243F20"/>
    <w:rsid w:val="00243F65"/>
    <w:rsid w:val="00244AC8"/>
    <w:rsid w:val="00244CE4"/>
    <w:rsid w:val="00245322"/>
    <w:rsid w:val="002457BD"/>
    <w:rsid w:val="00245F35"/>
    <w:rsid w:val="002462F0"/>
    <w:rsid w:val="00246C57"/>
    <w:rsid w:val="00246C9B"/>
    <w:rsid w:val="00246CF9"/>
    <w:rsid w:val="0024710D"/>
    <w:rsid w:val="0024723C"/>
    <w:rsid w:val="0024750B"/>
    <w:rsid w:val="002476CD"/>
    <w:rsid w:val="00247C55"/>
    <w:rsid w:val="00250966"/>
    <w:rsid w:val="00250A0C"/>
    <w:rsid w:val="00250B89"/>
    <w:rsid w:val="00250F5F"/>
    <w:rsid w:val="00251740"/>
    <w:rsid w:val="00251814"/>
    <w:rsid w:val="00251EE3"/>
    <w:rsid w:val="00251FC0"/>
    <w:rsid w:val="002522DD"/>
    <w:rsid w:val="002539B9"/>
    <w:rsid w:val="00253A8A"/>
    <w:rsid w:val="00253D7A"/>
    <w:rsid w:val="00253F2C"/>
    <w:rsid w:val="002542AE"/>
    <w:rsid w:val="002549A8"/>
    <w:rsid w:val="00254AB7"/>
    <w:rsid w:val="00254DEC"/>
    <w:rsid w:val="00254F1A"/>
    <w:rsid w:val="00255083"/>
    <w:rsid w:val="0025515B"/>
    <w:rsid w:val="002554AF"/>
    <w:rsid w:val="00255B26"/>
    <w:rsid w:val="00255C80"/>
    <w:rsid w:val="00255DE6"/>
    <w:rsid w:val="00256C62"/>
    <w:rsid w:val="00256E45"/>
    <w:rsid w:val="002573BF"/>
    <w:rsid w:val="002574E8"/>
    <w:rsid w:val="002579FD"/>
    <w:rsid w:val="00257A96"/>
    <w:rsid w:val="00257DD1"/>
    <w:rsid w:val="00257E68"/>
    <w:rsid w:val="002601D7"/>
    <w:rsid w:val="00260C46"/>
    <w:rsid w:val="002618D0"/>
    <w:rsid w:val="002618F0"/>
    <w:rsid w:val="00261A5A"/>
    <w:rsid w:val="00261A90"/>
    <w:rsid w:val="0026205E"/>
    <w:rsid w:val="002624C8"/>
    <w:rsid w:val="00262651"/>
    <w:rsid w:val="00262732"/>
    <w:rsid w:val="00262A5E"/>
    <w:rsid w:val="00262B03"/>
    <w:rsid w:val="00262B21"/>
    <w:rsid w:val="00263312"/>
    <w:rsid w:val="00263C25"/>
    <w:rsid w:val="002640E8"/>
    <w:rsid w:val="002641A7"/>
    <w:rsid w:val="00264362"/>
    <w:rsid w:val="00265089"/>
    <w:rsid w:val="002657C1"/>
    <w:rsid w:val="002664AF"/>
    <w:rsid w:val="0026682D"/>
    <w:rsid w:val="00266878"/>
    <w:rsid w:val="002668AD"/>
    <w:rsid w:val="00266BF8"/>
    <w:rsid w:val="00266EDB"/>
    <w:rsid w:val="00267868"/>
    <w:rsid w:val="00267B40"/>
    <w:rsid w:val="00267E34"/>
    <w:rsid w:val="00270517"/>
    <w:rsid w:val="002709AA"/>
    <w:rsid w:val="00270AC9"/>
    <w:rsid w:val="00270AD8"/>
    <w:rsid w:val="00270AE3"/>
    <w:rsid w:val="00271063"/>
    <w:rsid w:val="002710C1"/>
    <w:rsid w:val="0027143C"/>
    <w:rsid w:val="002714B7"/>
    <w:rsid w:val="0027170C"/>
    <w:rsid w:val="00271959"/>
    <w:rsid w:val="00271972"/>
    <w:rsid w:val="00271BBA"/>
    <w:rsid w:val="00271C1A"/>
    <w:rsid w:val="002724D2"/>
    <w:rsid w:val="002725C3"/>
    <w:rsid w:val="00272A61"/>
    <w:rsid w:val="00272AF9"/>
    <w:rsid w:val="00272BA6"/>
    <w:rsid w:val="00272BD2"/>
    <w:rsid w:val="002734BC"/>
    <w:rsid w:val="002734E5"/>
    <w:rsid w:val="002735B1"/>
    <w:rsid w:val="00273805"/>
    <w:rsid w:val="00273849"/>
    <w:rsid w:val="00273BB1"/>
    <w:rsid w:val="00273F84"/>
    <w:rsid w:val="00274283"/>
    <w:rsid w:val="00274501"/>
    <w:rsid w:val="002745EE"/>
    <w:rsid w:val="00275120"/>
    <w:rsid w:val="00275A36"/>
    <w:rsid w:val="00275FEA"/>
    <w:rsid w:val="00276186"/>
    <w:rsid w:val="00276876"/>
    <w:rsid w:val="002768B6"/>
    <w:rsid w:val="00276972"/>
    <w:rsid w:val="00276979"/>
    <w:rsid w:val="00276CCE"/>
    <w:rsid w:val="00276DCC"/>
    <w:rsid w:val="00276E89"/>
    <w:rsid w:val="002770D3"/>
    <w:rsid w:val="0027726B"/>
    <w:rsid w:val="002773A0"/>
    <w:rsid w:val="00277676"/>
    <w:rsid w:val="00277830"/>
    <w:rsid w:val="00277ADB"/>
    <w:rsid w:val="00277C12"/>
    <w:rsid w:val="0028024A"/>
    <w:rsid w:val="0028066E"/>
    <w:rsid w:val="002806DB"/>
    <w:rsid w:val="00281010"/>
    <w:rsid w:val="00281120"/>
    <w:rsid w:val="002814DE"/>
    <w:rsid w:val="00281783"/>
    <w:rsid w:val="00281A0A"/>
    <w:rsid w:val="00281C63"/>
    <w:rsid w:val="0028201A"/>
    <w:rsid w:val="002825A6"/>
    <w:rsid w:val="0028295B"/>
    <w:rsid w:val="00282B6E"/>
    <w:rsid w:val="00283BEF"/>
    <w:rsid w:val="00283C75"/>
    <w:rsid w:val="00283FDD"/>
    <w:rsid w:val="00284066"/>
    <w:rsid w:val="0028478C"/>
    <w:rsid w:val="00284804"/>
    <w:rsid w:val="00284A45"/>
    <w:rsid w:val="00285D18"/>
    <w:rsid w:val="00286410"/>
    <w:rsid w:val="00286DC0"/>
    <w:rsid w:val="0028725B"/>
    <w:rsid w:val="00287279"/>
    <w:rsid w:val="0028781D"/>
    <w:rsid w:val="00287B8F"/>
    <w:rsid w:val="00287BDC"/>
    <w:rsid w:val="00287F5F"/>
    <w:rsid w:val="00290611"/>
    <w:rsid w:val="00290CDC"/>
    <w:rsid w:val="00291293"/>
    <w:rsid w:val="002913DC"/>
    <w:rsid w:val="002915AF"/>
    <w:rsid w:val="00291BE5"/>
    <w:rsid w:val="0029245F"/>
    <w:rsid w:val="00292646"/>
    <w:rsid w:val="00292668"/>
    <w:rsid w:val="00292778"/>
    <w:rsid w:val="00292904"/>
    <w:rsid w:val="00292BB0"/>
    <w:rsid w:val="0029367B"/>
    <w:rsid w:val="00293DEA"/>
    <w:rsid w:val="00293E9E"/>
    <w:rsid w:val="00294115"/>
    <w:rsid w:val="00294387"/>
    <w:rsid w:val="00295568"/>
    <w:rsid w:val="00296145"/>
    <w:rsid w:val="0029699C"/>
    <w:rsid w:val="00296BBF"/>
    <w:rsid w:val="00296FCF"/>
    <w:rsid w:val="002970B6"/>
    <w:rsid w:val="002978DF"/>
    <w:rsid w:val="00297BAE"/>
    <w:rsid w:val="00297DAC"/>
    <w:rsid w:val="002A012D"/>
    <w:rsid w:val="002A05CB"/>
    <w:rsid w:val="002A0731"/>
    <w:rsid w:val="002A0FE6"/>
    <w:rsid w:val="002A103E"/>
    <w:rsid w:val="002A2154"/>
    <w:rsid w:val="002A295C"/>
    <w:rsid w:val="002A2BBE"/>
    <w:rsid w:val="002A2D1B"/>
    <w:rsid w:val="002A2D6B"/>
    <w:rsid w:val="002A3339"/>
    <w:rsid w:val="002A35A5"/>
    <w:rsid w:val="002A3722"/>
    <w:rsid w:val="002A3886"/>
    <w:rsid w:val="002A3E0D"/>
    <w:rsid w:val="002A4066"/>
    <w:rsid w:val="002A457D"/>
    <w:rsid w:val="002A4CD8"/>
    <w:rsid w:val="002A4D15"/>
    <w:rsid w:val="002A4F42"/>
    <w:rsid w:val="002A5160"/>
    <w:rsid w:val="002A56C0"/>
    <w:rsid w:val="002A58E1"/>
    <w:rsid w:val="002A5C7B"/>
    <w:rsid w:val="002A65B9"/>
    <w:rsid w:val="002A670E"/>
    <w:rsid w:val="002A67F1"/>
    <w:rsid w:val="002A69C6"/>
    <w:rsid w:val="002A69F9"/>
    <w:rsid w:val="002A6E0E"/>
    <w:rsid w:val="002A7100"/>
    <w:rsid w:val="002A719F"/>
    <w:rsid w:val="002A7C54"/>
    <w:rsid w:val="002A7CE2"/>
    <w:rsid w:val="002B007B"/>
    <w:rsid w:val="002B0460"/>
    <w:rsid w:val="002B0AE3"/>
    <w:rsid w:val="002B0B46"/>
    <w:rsid w:val="002B0BB0"/>
    <w:rsid w:val="002B111E"/>
    <w:rsid w:val="002B1797"/>
    <w:rsid w:val="002B187A"/>
    <w:rsid w:val="002B18F5"/>
    <w:rsid w:val="002B1ADC"/>
    <w:rsid w:val="002B1BCD"/>
    <w:rsid w:val="002B1DDA"/>
    <w:rsid w:val="002B213C"/>
    <w:rsid w:val="002B2AA7"/>
    <w:rsid w:val="002B2AE3"/>
    <w:rsid w:val="002B31B9"/>
    <w:rsid w:val="002B3D64"/>
    <w:rsid w:val="002B4128"/>
    <w:rsid w:val="002B4888"/>
    <w:rsid w:val="002B50EA"/>
    <w:rsid w:val="002B520C"/>
    <w:rsid w:val="002B60FB"/>
    <w:rsid w:val="002B6440"/>
    <w:rsid w:val="002B655A"/>
    <w:rsid w:val="002B6AF4"/>
    <w:rsid w:val="002B6B91"/>
    <w:rsid w:val="002B6DBB"/>
    <w:rsid w:val="002B7284"/>
    <w:rsid w:val="002B74E9"/>
    <w:rsid w:val="002B7593"/>
    <w:rsid w:val="002C0952"/>
    <w:rsid w:val="002C0ECE"/>
    <w:rsid w:val="002C0EF5"/>
    <w:rsid w:val="002C1301"/>
    <w:rsid w:val="002C1A82"/>
    <w:rsid w:val="002C1AFA"/>
    <w:rsid w:val="002C1D59"/>
    <w:rsid w:val="002C1F0B"/>
    <w:rsid w:val="002C1F8E"/>
    <w:rsid w:val="002C210D"/>
    <w:rsid w:val="002C2163"/>
    <w:rsid w:val="002C21CC"/>
    <w:rsid w:val="002C28C3"/>
    <w:rsid w:val="002C2F32"/>
    <w:rsid w:val="002C3105"/>
    <w:rsid w:val="002C36BD"/>
    <w:rsid w:val="002C3754"/>
    <w:rsid w:val="002C3EED"/>
    <w:rsid w:val="002C424B"/>
    <w:rsid w:val="002C4299"/>
    <w:rsid w:val="002C46B3"/>
    <w:rsid w:val="002C46ED"/>
    <w:rsid w:val="002C48FE"/>
    <w:rsid w:val="002C4AF4"/>
    <w:rsid w:val="002C4CC8"/>
    <w:rsid w:val="002C4ED0"/>
    <w:rsid w:val="002C5013"/>
    <w:rsid w:val="002C5D88"/>
    <w:rsid w:val="002C633C"/>
    <w:rsid w:val="002C6358"/>
    <w:rsid w:val="002C683A"/>
    <w:rsid w:val="002C6A1E"/>
    <w:rsid w:val="002C72C0"/>
    <w:rsid w:val="002C7322"/>
    <w:rsid w:val="002C7535"/>
    <w:rsid w:val="002C7662"/>
    <w:rsid w:val="002C7851"/>
    <w:rsid w:val="002C79D4"/>
    <w:rsid w:val="002C79FF"/>
    <w:rsid w:val="002C7B6F"/>
    <w:rsid w:val="002C7BE3"/>
    <w:rsid w:val="002C7F3F"/>
    <w:rsid w:val="002D0566"/>
    <w:rsid w:val="002D067D"/>
    <w:rsid w:val="002D0915"/>
    <w:rsid w:val="002D1045"/>
    <w:rsid w:val="002D12F8"/>
    <w:rsid w:val="002D143A"/>
    <w:rsid w:val="002D176A"/>
    <w:rsid w:val="002D18EC"/>
    <w:rsid w:val="002D1902"/>
    <w:rsid w:val="002D21F8"/>
    <w:rsid w:val="002D2247"/>
    <w:rsid w:val="002D2767"/>
    <w:rsid w:val="002D2B7E"/>
    <w:rsid w:val="002D2C21"/>
    <w:rsid w:val="002D2FF1"/>
    <w:rsid w:val="002D3783"/>
    <w:rsid w:val="002D3BA1"/>
    <w:rsid w:val="002D439E"/>
    <w:rsid w:val="002D4640"/>
    <w:rsid w:val="002D4845"/>
    <w:rsid w:val="002D4860"/>
    <w:rsid w:val="002D4E12"/>
    <w:rsid w:val="002D4FBC"/>
    <w:rsid w:val="002D55B2"/>
    <w:rsid w:val="002D5D92"/>
    <w:rsid w:val="002D5EE9"/>
    <w:rsid w:val="002D5FD6"/>
    <w:rsid w:val="002D6830"/>
    <w:rsid w:val="002D6902"/>
    <w:rsid w:val="002D6C0B"/>
    <w:rsid w:val="002D6FEF"/>
    <w:rsid w:val="002D72E9"/>
    <w:rsid w:val="002D73D6"/>
    <w:rsid w:val="002D7839"/>
    <w:rsid w:val="002D7862"/>
    <w:rsid w:val="002D7CEC"/>
    <w:rsid w:val="002E0AD1"/>
    <w:rsid w:val="002E1182"/>
    <w:rsid w:val="002E144E"/>
    <w:rsid w:val="002E18AE"/>
    <w:rsid w:val="002E1A78"/>
    <w:rsid w:val="002E1DAC"/>
    <w:rsid w:val="002E1F7C"/>
    <w:rsid w:val="002E2C21"/>
    <w:rsid w:val="002E2C46"/>
    <w:rsid w:val="002E3225"/>
    <w:rsid w:val="002E33E1"/>
    <w:rsid w:val="002E34A3"/>
    <w:rsid w:val="002E35EC"/>
    <w:rsid w:val="002E4269"/>
    <w:rsid w:val="002E47AE"/>
    <w:rsid w:val="002E4868"/>
    <w:rsid w:val="002E4A31"/>
    <w:rsid w:val="002E4C9B"/>
    <w:rsid w:val="002E5224"/>
    <w:rsid w:val="002E5246"/>
    <w:rsid w:val="002E5397"/>
    <w:rsid w:val="002E57EC"/>
    <w:rsid w:val="002E5A1A"/>
    <w:rsid w:val="002E666A"/>
    <w:rsid w:val="002E6BCC"/>
    <w:rsid w:val="002E6F0E"/>
    <w:rsid w:val="002E7027"/>
    <w:rsid w:val="002E720A"/>
    <w:rsid w:val="002E739E"/>
    <w:rsid w:val="002E79C5"/>
    <w:rsid w:val="002F07DA"/>
    <w:rsid w:val="002F0801"/>
    <w:rsid w:val="002F0C92"/>
    <w:rsid w:val="002F13CC"/>
    <w:rsid w:val="002F1468"/>
    <w:rsid w:val="002F1625"/>
    <w:rsid w:val="002F1839"/>
    <w:rsid w:val="002F1C1B"/>
    <w:rsid w:val="002F20C1"/>
    <w:rsid w:val="002F28C0"/>
    <w:rsid w:val="002F2A22"/>
    <w:rsid w:val="002F2AE6"/>
    <w:rsid w:val="002F2B5F"/>
    <w:rsid w:val="002F2BD3"/>
    <w:rsid w:val="002F3057"/>
    <w:rsid w:val="002F3AF7"/>
    <w:rsid w:val="002F3BAB"/>
    <w:rsid w:val="002F3FF9"/>
    <w:rsid w:val="002F4034"/>
    <w:rsid w:val="002F4089"/>
    <w:rsid w:val="002F4819"/>
    <w:rsid w:val="002F57EC"/>
    <w:rsid w:val="002F5A1F"/>
    <w:rsid w:val="002F5AC2"/>
    <w:rsid w:val="002F5C2A"/>
    <w:rsid w:val="002F62ED"/>
    <w:rsid w:val="002F66FB"/>
    <w:rsid w:val="002F6BAD"/>
    <w:rsid w:val="002F6D66"/>
    <w:rsid w:val="002F7186"/>
    <w:rsid w:val="002F731A"/>
    <w:rsid w:val="002F7511"/>
    <w:rsid w:val="002F7C3D"/>
    <w:rsid w:val="002F7E01"/>
    <w:rsid w:val="00300AEA"/>
    <w:rsid w:val="003010FC"/>
    <w:rsid w:val="003019C7"/>
    <w:rsid w:val="00302031"/>
    <w:rsid w:val="003021B1"/>
    <w:rsid w:val="00302877"/>
    <w:rsid w:val="00303260"/>
    <w:rsid w:val="003032D7"/>
    <w:rsid w:val="00303391"/>
    <w:rsid w:val="003043B3"/>
    <w:rsid w:val="003049E0"/>
    <w:rsid w:val="003052E4"/>
    <w:rsid w:val="00306940"/>
    <w:rsid w:val="003069EE"/>
    <w:rsid w:val="00306A9F"/>
    <w:rsid w:val="00306AE7"/>
    <w:rsid w:val="00307191"/>
    <w:rsid w:val="00307407"/>
    <w:rsid w:val="00307F42"/>
    <w:rsid w:val="003101DE"/>
    <w:rsid w:val="0031052F"/>
    <w:rsid w:val="00310851"/>
    <w:rsid w:val="0031113A"/>
    <w:rsid w:val="00311225"/>
    <w:rsid w:val="00311249"/>
    <w:rsid w:val="00311470"/>
    <w:rsid w:val="00311741"/>
    <w:rsid w:val="003118EE"/>
    <w:rsid w:val="00311A39"/>
    <w:rsid w:val="00311CF4"/>
    <w:rsid w:val="00312797"/>
    <w:rsid w:val="00312B3A"/>
    <w:rsid w:val="00312CF3"/>
    <w:rsid w:val="00312E31"/>
    <w:rsid w:val="0031339C"/>
    <w:rsid w:val="003133A2"/>
    <w:rsid w:val="00313835"/>
    <w:rsid w:val="00313850"/>
    <w:rsid w:val="00313D0B"/>
    <w:rsid w:val="00314B02"/>
    <w:rsid w:val="00314B4C"/>
    <w:rsid w:val="00314D23"/>
    <w:rsid w:val="00314D9B"/>
    <w:rsid w:val="003150A4"/>
    <w:rsid w:val="00315121"/>
    <w:rsid w:val="0031526B"/>
    <w:rsid w:val="00315DD1"/>
    <w:rsid w:val="00315FF0"/>
    <w:rsid w:val="0031637F"/>
    <w:rsid w:val="003163F0"/>
    <w:rsid w:val="0031650F"/>
    <w:rsid w:val="00316A09"/>
    <w:rsid w:val="00317490"/>
    <w:rsid w:val="003176FE"/>
    <w:rsid w:val="00317807"/>
    <w:rsid w:val="003178F4"/>
    <w:rsid w:val="00317B5C"/>
    <w:rsid w:val="00317DD1"/>
    <w:rsid w:val="00317F0B"/>
    <w:rsid w:val="00320105"/>
    <w:rsid w:val="0032040B"/>
    <w:rsid w:val="00320596"/>
    <w:rsid w:val="00320626"/>
    <w:rsid w:val="0032069E"/>
    <w:rsid w:val="0032073F"/>
    <w:rsid w:val="00320817"/>
    <w:rsid w:val="00320B68"/>
    <w:rsid w:val="00320D47"/>
    <w:rsid w:val="00320E22"/>
    <w:rsid w:val="00320FF9"/>
    <w:rsid w:val="0032136B"/>
    <w:rsid w:val="003213D3"/>
    <w:rsid w:val="0032168A"/>
    <w:rsid w:val="0032168E"/>
    <w:rsid w:val="0032173F"/>
    <w:rsid w:val="00321875"/>
    <w:rsid w:val="00321D86"/>
    <w:rsid w:val="0032239A"/>
    <w:rsid w:val="0032243C"/>
    <w:rsid w:val="00322445"/>
    <w:rsid w:val="0032251D"/>
    <w:rsid w:val="0032287A"/>
    <w:rsid w:val="00322892"/>
    <w:rsid w:val="003229C9"/>
    <w:rsid w:val="00322C09"/>
    <w:rsid w:val="00323429"/>
    <w:rsid w:val="00323C97"/>
    <w:rsid w:val="00323DF3"/>
    <w:rsid w:val="00323FA0"/>
    <w:rsid w:val="00323FBA"/>
    <w:rsid w:val="003242B8"/>
    <w:rsid w:val="00324806"/>
    <w:rsid w:val="0032487B"/>
    <w:rsid w:val="00324DD9"/>
    <w:rsid w:val="0032503F"/>
    <w:rsid w:val="00325779"/>
    <w:rsid w:val="00325A44"/>
    <w:rsid w:val="00325C38"/>
    <w:rsid w:val="0032622B"/>
    <w:rsid w:val="00326E57"/>
    <w:rsid w:val="00326F20"/>
    <w:rsid w:val="00327EBF"/>
    <w:rsid w:val="00330A07"/>
    <w:rsid w:val="00331064"/>
    <w:rsid w:val="0033117A"/>
    <w:rsid w:val="003311A0"/>
    <w:rsid w:val="003311D1"/>
    <w:rsid w:val="003311FC"/>
    <w:rsid w:val="00331A7C"/>
    <w:rsid w:val="003334D3"/>
    <w:rsid w:val="00333753"/>
    <w:rsid w:val="00333A39"/>
    <w:rsid w:val="00333F08"/>
    <w:rsid w:val="00333FD6"/>
    <w:rsid w:val="003340D9"/>
    <w:rsid w:val="00334180"/>
    <w:rsid w:val="00334A03"/>
    <w:rsid w:val="00334DFC"/>
    <w:rsid w:val="003353AC"/>
    <w:rsid w:val="0033551B"/>
    <w:rsid w:val="00335845"/>
    <w:rsid w:val="00335C74"/>
    <w:rsid w:val="00335D96"/>
    <w:rsid w:val="00335DC3"/>
    <w:rsid w:val="003360C2"/>
    <w:rsid w:val="003363CD"/>
    <w:rsid w:val="00337103"/>
    <w:rsid w:val="00337754"/>
    <w:rsid w:val="0033788F"/>
    <w:rsid w:val="00337F43"/>
    <w:rsid w:val="003404DC"/>
    <w:rsid w:val="00340602"/>
    <w:rsid w:val="003406F6"/>
    <w:rsid w:val="0034071D"/>
    <w:rsid w:val="00340B9C"/>
    <w:rsid w:val="0034100C"/>
    <w:rsid w:val="003411A7"/>
    <w:rsid w:val="0034166A"/>
    <w:rsid w:val="003418A8"/>
    <w:rsid w:val="0034196D"/>
    <w:rsid w:val="00341A50"/>
    <w:rsid w:val="00341CDF"/>
    <w:rsid w:val="00342026"/>
    <w:rsid w:val="003423E4"/>
    <w:rsid w:val="00342C7E"/>
    <w:rsid w:val="00342DF2"/>
    <w:rsid w:val="003433E7"/>
    <w:rsid w:val="00343920"/>
    <w:rsid w:val="00343E31"/>
    <w:rsid w:val="0034423D"/>
    <w:rsid w:val="003447CD"/>
    <w:rsid w:val="00344856"/>
    <w:rsid w:val="003452F7"/>
    <w:rsid w:val="00345CCC"/>
    <w:rsid w:val="00346155"/>
    <w:rsid w:val="0034642F"/>
    <w:rsid w:val="0034685D"/>
    <w:rsid w:val="00347045"/>
    <w:rsid w:val="00350143"/>
    <w:rsid w:val="00350599"/>
    <w:rsid w:val="0035068A"/>
    <w:rsid w:val="003507CC"/>
    <w:rsid w:val="00350873"/>
    <w:rsid w:val="00351734"/>
    <w:rsid w:val="00351DBB"/>
    <w:rsid w:val="0035245C"/>
    <w:rsid w:val="00352823"/>
    <w:rsid w:val="00352DDC"/>
    <w:rsid w:val="003533DA"/>
    <w:rsid w:val="00353821"/>
    <w:rsid w:val="00353B83"/>
    <w:rsid w:val="00353D52"/>
    <w:rsid w:val="0035408B"/>
    <w:rsid w:val="00354489"/>
    <w:rsid w:val="003548C0"/>
    <w:rsid w:val="0035493D"/>
    <w:rsid w:val="00354B14"/>
    <w:rsid w:val="00354FB0"/>
    <w:rsid w:val="0035562F"/>
    <w:rsid w:val="0035631E"/>
    <w:rsid w:val="00356464"/>
    <w:rsid w:val="00356E14"/>
    <w:rsid w:val="00356E4C"/>
    <w:rsid w:val="00357B15"/>
    <w:rsid w:val="00357BF0"/>
    <w:rsid w:val="0036031F"/>
    <w:rsid w:val="00360428"/>
    <w:rsid w:val="00360430"/>
    <w:rsid w:val="003617F0"/>
    <w:rsid w:val="00361B33"/>
    <w:rsid w:val="00361BC0"/>
    <w:rsid w:val="00361EFF"/>
    <w:rsid w:val="00362124"/>
    <w:rsid w:val="00362314"/>
    <w:rsid w:val="00362558"/>
    <w:rsid w:val="0036293F"/>
    <w:rsid w:val="00362941"/>
    <w:rsid w:val="003631EA"/>
    <w:rsid w:val="0036344A"/>
    <w:rsid w:val="00364036"/>
    <w:rsid w:val="00364558"/>
    <w:rsid w:val="003648A8"/>
    <w:rsid w:val="0036499A"/>
    <w:rsid w:val="00364EBD"/>
    <w:rsid w:val="00364F94"/>
    <w:rsid w:val="0036516F"/>
    <w:rsid w:val="00365457"/>
    <w:rsid w:val="00365D0F"/>
    <w:rsid w:val="003662A1"/>
    <w:rsid w:val="00366459"/>
    <w:rsid w:val="00367289"/>
    <w:rsid w:val="00367B99"/>
    <w:rsid w:val="00367BA4"/>
    <w:rsid w:val="00367DB3"/>
    <w:rsid w:val="00370696"/>
    <w:rsid w:val="00370DE0"/>
    <w:rsid w:val="0037106A"/>
    <w:rsid w:val="00371108"/>
    <w:rsid w:val="00371419"/>
    <w:rsid w:val="003716B8"/>
    <w:rsid w:val="00371DA7"/>
    <w:rsid w:val="00371E16"/>
    <w:rsid w:val="00371F7C"/>
    <w:rsid w:val="003724E8"/>
    <w:rsid w:val="003725DC"/>
    <w:rsid w:val="003728F7"/>
    <w:rsid w:val="003729D2"/>
    <w:rsid w:val="00372DD2"/>
    <w:rsid w:val="00372F17"/>
    <w:rsid w:val="00372F79"/>
    <w:rsid w:val="0037320F"/>
    <w:rsid w:val="003733C5"/>
    <w:rsid w:val="00373ADF"/>
    <w:rsid w:val="00374246"/>
    <w:rsid w:val="003746F8"/>
    <w:rsid w:val="00374FE0"/>
    <w:rsid w:val="00375465"/>
    <w:rsid w:val="0037552E"/>
    <w:rsid w:val="003755C3"/>
    <w:rsid w:val="00375AC1"/>
    <w:rsid w:val="00375E33"/>
    <w:rsid w:val="00376004"/>
    <w:rsid w:val="003760CA"/>
    <w:rsid w:val="003763AF"/>
    <w:rsid w:val="00377067"/>
    <w:rsid w:val="0037743A"/>
    <w:rsid w:val="003779A3"/>
    <w:rsid w:val="003808F4"/>
    <w:rsid w:val="00380CC7"/>
    <w:rsid w:val="00381200"/>
    <w:rsid w:val="00381289"/>
    <w:rsid w:val="00381AF8"/>
    <w:rsid w:val="00381BC0"/>
    <w:rsid w:val="00381C7E"/>
    <w:rsid w:val="00381FFA"/>
    <w:rsid w:val="00382093"/>
    <w:rsid w:val="0038250D"/>
    <w:rsid w:val="00383A55"/>
    <w:rsid w:val="00383A7A"/>
    <w:rsid w:val="003841A4"/>
    <w:rsid w:val="003842D6"/>
    <w:rsid w:val="00384824"/>
    <w:rsid w:val="00385115"/>
    <w:rsid w:val="00385172"/>
    <w:rsid w:val="0038555C"/>
    <w:rsid w:val="0038592E"/>
    <w:rsid w:val="003859F1"/>
    <w:rsid w:val="0038626E"/>
    <w:rsid w:val="00386281"/>
    <w:rsid w:val="00386CA4"/>
    <w:rsid w:val="00387950"/>
    <w:rsid w:val="00387D44"/>
    <w:rsid w:val="00387F71"/>
    <w:rsid w:val="00390440"/>
    <w:rsid w:val="00390873"/>
    <w:rsid w:val="00390C56"/>
    <w:rsid w:val="00391850"/>
    <w:rsid w:val="0039186C"/>
    <w:rsid w:val="00392128"/>
    <w:rsid w:val="003923F5"/>
    <w:rsid w:val="00392677"/>
    <w:rsid w:val="00392960"/>
    <w:rsid w:val="00392B7D"/>
    <w:rsid w:val="00392D92"/>
    <w:rsid w:val="00393499"/>
    <w:rsid w:val="00393B76"/>
    <w:rsid w:val="00393F04"/>
    <w:rsid w:val="0039481C"/>
    <w:rsid w:val="0039523B"/>
    <w:rsid w:val="003953A9"/>
    <w:rsid w:val="0039542E"/>
    <w:rsid w:val="00395DCD"/>
    <w:rsid w:val="00395EDC"/>
    <w:rsid w:val="0039653F"/>
    <w:rsid w:val="00396764"/>
    <w:rsid w:val="00396A7F"/>
    <w:rsid w:val="00396B13"/>
    <w:rsid w:val="00396FA0"/>
    <w:rsid w:val="0039756B"/>
    <w:rsid w:val="003977A9"/>
    <w:rsid w:val="00397B3E"/>
    <w:rsid w:val="00397B96"/>
    <w:rsid w:val="00397F18"/>
    <w:rsid w:val="00397F93"/>
    <w:rsid w:val="003A0395"/>
    <w:rsid w:val="003A0C56"/>
    <w:rsid w:val="003A11C3"/>
    <w:rsid w:val="003A1419"/>
    <w:rsid w:val="003A1588"/>
    <w:rsid w:val="003A1BBC"/>
    <w:rsid w:val="003A1FCB"/>
    <w:rsid w:val="003A21F4"/>
    <w:rsid w:val="003A22E0"/>
    <w:rsid w:val="003A2525"/>
    <w:rsid w:val="003A2870"/>
    <w:rsid w:val="003A293E"/>
    <w:rsid w:val="003A2FFC"/>
    <w:rsid w:val="003A3CA7"/>
    <w:rsid w:val="003A411E"/>
    <w:rsid w:val="003A4134"/>
    <w:rsid w:val="003A4338"/>
    <w:rsid w:val="003A475A"/>
    <w:rsid w:val="003A4F7F"/>
    <w:rsid w:val="003A51F6"/>
    <w:rsid w:val="003A5474"/>
    <w:rsid w:val="003A5A9B"/>
    <w:rsid w:val="003A5AD5"/>
    <w:rsid w:val="003A5B33"/>
    <w:rsid w:val="003A6729"/>
    <w:rsid w:val="003A6A6F"/>
    <w:rsid w:val="003A7253"/>
    <w:rsid w:val="003A72BE"/>
    <w:rsid w:val="003A72CF"/>
    <w:rsid w:val="003A7941"/>
    <w:rsid w:val="003A7D8A"/>
    <w:rsid w:val="003A7F19"/>
    <w:rsid w:val="003A7F44"/>
    <w:rsid w:val="003A7F47"/>
    <w:rsid w:val="003B0233"/>
    <w:rsid w:val="003B0453"/>
    <w:rsid w:val="003B0705"/>
    <w:rsid w:val="003B079B"/>
    <w:rsid w:val="003B0DB5"/>
    <w:rsid w:val="003B0E6B"/>
    <w:rsid w:val="003B116B"/>
    <w:rsid w:val="003B11A8"/>
    <w:rsid w:val="003B14A2"/>
    <w:rsid w:val="003B1508"/>
    <w:rsid w:val="003B1622"/>
    <w:rsid w:val="003B192B"/>
    <w:rsid w:val="003B238D"/>
    <w:rsid w:val="003B23D0"/>
    <w:rsid w:val="003B25BB"/>
    <w:rsid w:val="003B30F4"/>
    <w:rsid w:val="003B3101"/>
    <w:rsid w:val="003B329C"/>
    <w:rsid w:val="003B36AD"/>
    <w:rsid w:val="003B37B6"/>
    <w:rsid w:val="003B4029"/>
    <w:rsid w:val="003B4390"/>
    <w:rsid w:val="003B4837"/>
    <w:rsid w:val="003B4BBD"/>
    <w:rsid w:val="003B5035"/>
    <w:rsid w:val="003B5583"/>
    <w:rsid w:val="003B5742"/>
    <w:rsid w:val="003B59BF"/>
    <w:rsid w:val="003B5E29"/>
    <w:rsid w:val="003B5F25"/>
    <w:rsid w:val="003B6022"/>
    <w:rsid w:val="003B606F"/>
    <w:rsid w:val="003B6C2E"/>
    <w:rsid w:val="003B7501"/>
    <w:rsid w:val="003B77D4"/>
    <w:rsid w:val="003C00E2"/>
    <w:rsid w:val="003C0778"/>
    <w:rsid w:val="003C094B"/>
    <w:rsid w:val="003C13E0"/>
    <w:rsid w:val="003C1489"/>
    <w:rsid w:val="003C246F"/>
    <w:rsid w:val="003C31E9"/>
    <w:rsid w:val="003C3A61"/>
    <w:rsid w:val="003C3B20"/>
    <w:rsid w:val="003C3B96"/>
    <w:rsid w:val="003C3E63"/>
    <w:rsid w:val="003C4C56"/>
    <w:rsid w:val="003C551C"/>
    <w:rsid w:val="003C595E"/>
    <w:rsid w:val="003C59E5"/>
    <w:rsid w:val="003C59E9"/>
    <w:rsid w:val="003C5B76"/>
    <w:rsid w:val="003C6073"/>
    <w:rsid w:val="003C65E8"/>
    <w:rsid w:val="003C6A39"/>
    <w:rsid w:val="003C73F2"/>
    <w:rsid w:val="003C76B4"/>
    <w:rsid w:val="003C7F7E"/>
    <w:rsid w:val="003D0A90"/>
    <w:rsid w:val="003D0BA7"/>
    <w:rsid w:val="003D29E1"/>
    <w:rsid w:val="003D2CBF"/>
    <w:rsid w:val="003D30D7"/>
    <w:rsid w:val="003D31C0"/>
    <w:rsid w:val="003D3541"/>
    <w:rsid w:val="003D3C1A"/>
    <w:rsid w:val="003D40DA"/>
    <w:rsid w:val="003D4A6F"/>
    <w:rsid w:val="003D4EA3"/>
    <w:rsid w:val="003D52B3"/>
    <w:rsid w:val="003D57C3"/>
    <w:rsid w:val="003D5B49"/>
    <w:rsid w:val="003D5CD8"/>
    <w:rsid w:val="003D60C2"/>
    <w:rsid w:val="003D610C"/>
    <w:rsid w:val="003D6225"/>
    <w:rsid w:val="003D624F"/>
    <w:rsid w:val="003D6429"/>
    <w:rsid w:val="003D7553"/>
    <w:rsid w:val="003D7648"/>
    <w:rsid w:val="003E0845"/>
    <w:rsid w:val="003E1165"/>
    <w:rsid w:val="003E12A2"/>
    <w:rsid w:val="003E171A"/>
    <w:rsid w:val="003E2151"/>
    <w:rsid w:val="003E296A"/>
    <w:rsid w:val="003E2E32"/>
    <w:rsid w:val="003E34D3"/>
    <w:rsid w:val="003E3EF8"/>
    <w:rsid w:val="003E3F80"/>
    <w:rsid w:val="003E402F"/>
    <w:rsid w:val="003E42D5"/>
    <w:rsid w:val="003E4F4A"/>
    <w:rsid w:val="003E5A12"/>
    <w:rsid w:val="003E6E57"/>
    <w:rsid w:val="003E7061"/>
    <w:rsid w:val="003E7BA2"/>
    <w:rsid w:val="003F0529"/>
    <w:rsid w:val="003F0707"/>
    <w:rsid w:val="003F0EFB"/>
    <w:rsid w:val="003F0FDA"/>
    <w:rsid w:val="003F1488"/>
    <w:rsid w:val="003F1752"/>
    <w:rsid w:val="003F1BE8"/>
    <w:rsid w:val="003F2106"/>
    <w:rsid w:val="003F228D"/>
    <w:rsid w:val="003F2BEF"/>
    <w:rsid w:val="003F2C2D"/>
    <w:rsid w:val="003F35B8"/>
    <w:rsid w:val="003F3BAF"/>
    <w:rsid w:val="003F4053"/>
    <w:rsid w:val="003F4F28"/>
    <w:rsid w:val="003F5038"/>
    <w:rsid w:val="003F5224"/>
    <w:rsid w:val="003F5478"/>
    <w:rsid w:val="003F59FE"/>
    <w:rsid w:val="003F5AB3"/>
    <w:rsid w:val="003F5D7D"/>
    <w:rsid w:val="003F5DE0"/>
    <w:rsid w:val="003F5DFB"/>
    <w:rsid w:val="003F6315"/>
    <w:rsid w:val="003F6C10"/>
    <w:rsid w:val="003F6EC4"/>
    <w:rsid w:val="00400434"/>
    <w:rsid w:val="004004DF"/>
    <w:rsid w:val="00401041"/>
    <w:rsid w:val="00401504"/>
    <w:rsid w:val="004016C8"/>
    <w:rsid w:val="004016FB"/>
    <w:rsid w:val="00401B14"/>
    <w:rsid w:val="00401F7F"/>
    <w:rsid w:val="00402026"/>
    <w:rsid w:val="0040204B"/>
    <w:rsid w:val="00402248"/>
    <w:rsid w:val="0040262A"/>
    <w:rsid w:val="00402742"/>
    <w:rsid w:val="00402C1C"/>
    <w:rsid w:val="0040358E"/>
    <w:rsid w:val="004035AC"/>
    <w:rsid w:val="00404658"/>
    <w:rsid w:val="00404745"/>
    <w:rsid w:val="00404906"/>
    <w:rsid w:val="00404E27"/>
    <w:rsid w:val="00406AE4"/>
    <w:rsid w:val="00406AF1"/>
    <w:rsid w:val="00406DB1"/>
    <w:rsid w:val="00407164"/>
    <w:rsid w:val="00407330"/>
    <w:rsid w:val="00410D7B"/>
    <w:rsid w:val="00410F66"/>
    <w:rsid w:val="0041121D"/>
    <w:rsid w:val="0041139E"/>
    <w:rsid w:val="0041170E"/>
    <w:rsid w:val="00411864"/>
    <w:rsid w:val="00411B70"/>
    <w:rsid w:val="00411F33"/>
    <w:rsid w:val="004121EC"/>
    <w:rsid w:val="0041262F"/>
    <w:rsid w:val="00412BED"/>
    <w:rsid w:val="004133EF"/>
    <w:rsid w:val="004136E6"/>
    <w:rsid w:val="00413B07"/>
    <w:rsid w:val="00413B31"/>
    <w:rsid w:val="00413B8E"/>
    <w:rsid w:val="00413C75"/>
    <w:rsid w:val="00413EDD"/>
    <w:rsid w:val="00413F0A"/>
    <w:rsid w:val="00413F72"/>
    <w:rsid w:val="0041492E"/>
    <w:rsid w:val="00414A72"/>
    <w:rsid w:val="00414CDA"/>
    <w:rsid w:val="004150CB"/>
    <w:rsid w:val="004150E9"/>
    <w:rsid w:val="00415561"/>
    <w:rsid w:val="00415B15"/>
    <w:rsid w:val="00415B76"/>
    <w:rsid w:val="00415CC0"/>
    <w:rsid w:val="00416006"/>
    <w:rsid w:val="0041606E"/>
    <w:rsid w:val="004168C0"/>
    <w:rsid w:val="00417537"/>
    <w:rsid w:val="00417668"/>
    <w:rsid w:val="004179E1"/>
    <w:rsid w:val="00417B38"/>
    <w:rsid w:val="00417B83"/>
    <w:rsid w:val="00417C8F"/>
    <w:rsid w:val="00417F3F"/>
    <w:rsid w:val="004203B8"/>
    <w:rsid w:val="004207D3"/>
    <w:rsid w:val="00421626"/>
    <w:rsid w:val="00421839"/>
    <w:rsid w:val="00421BB3"/>
    <w:rsid w:val="004225BD"/>
    <w:rsid w:val="00422FAC"/>
    <w:rsid w:val="00423024"/>
    <w:rsid w:val="0042358F"/>
    <w:rsid w:val="004239DD"/>
    <w:rsid w:val="00423C6F"/>
    <w:rsid w:val="004241D5"/>
    <w:rsid w:val="00424618"/>
    <w:rsid w:val="00424689"/>
    <w:rsid w:val="00425DB7"/>
    <w:rsid w:val="00425F00"/>
    <w:rsid w:val="004261A8"/>
    <w:rsid w:val="00426484"/>
    <w:rsid w:val="0042652F"/>
    <w:rsid w:val="00426879"/>
    <w:rsid w:val="00427291"/>
    <w:rsid w:val="004279AD"/>
    <w:rsid w:val="00427A14"/>
    <w:rsid w:val="00427A8D"/>
    <w:rsid w:val="00427DCC"/>
    <w:rsid w:val="00427DD7"/>
    <w:rsid w:val="004307C3"/>
    <w:rsid w:val="00430BD3"/>
    <w:rsid w:val="00430BE6"/>
    <w:rsid w:val="00431123"/>
    <w:rsid w:val="0043133E"/>
    <w:rsid w:val="0043155C"/>
    <w:rsid w:val="0043159F"/>
    <w:rsid w:val="004316A3"/>
    <w:rsid w:val="004316D4"/>
    <w:rsid w:val="0043170D"/>
    <w:rsid w:val="00431BDF"/>
    <w:rsid w:val="00431FC2"/>
    <w:rsid w:val="0043244E"/>
    <w:rsid w:val="004326CF"/>
    <w:rsid w:val="00432B29"/>
    <w:rsid w:val="00432C89"/>
    <w:rsid w:val="004333C5"/>
    <w:rsid w:val="004336D2"/>
    <w:rsid w:val="00433C49"/>
    <w:rsid w:val="004341EC"/>
    <w:rsid w:val="00434430"/>
    <w:rsid w:val="004344A5"/>
    <w:rsid w:val="00434755"/>
    <w:rsid w:val="0043484E"/>
    <w:rsid w:val="00434AC8"/>
    <w:rsid w:val="00434D64"/>
    <w:rsid w:val="00435180"/>
    <w:rsid w:val="0043534E"/>
    <w:rsid w:val="004363E8"/>
    <w:rsid w:val="0043675E"/>
    <w:rsid w:val="00436D9E"/>
    <w:rsid w:val="004405A1"/>
    <w:rsid w:val="00440869"/>
    <w:rsid w:val="00440D02"/>
    <w:rsid w:val="00440D6B"/>
    <w:rsid w:val="00440E68"/>
    <w:rsid w:val="004411AC"/>
    <w:rsid w:val="00441DCF"/>
    <w:rsid w:val="0044227B"/>
    <w:rsid w:val="00442306"/>
    <w:rsid w:val="004426A0"/>
    <w:rsid w:val="00442728"/>
    <w:rsid w:val="00442E72"/>
    <w:rsid w:val="00443283"/>
    <w:rsid w:val="00443736"/>
    <w:rsid w:val="00443D27"/>
    <w:rsid w:val="0044497D"/>
    <w:rsid w:val="00444B6A"/>
    <w:rsid w:val="004455F0"/>
    <w:rsid w:val="00445771"/>
    <w:rsid w:val="00445C66"/>
    <w:rsid w:val="00445D76"/>
    <w:rsid w:val="00445F6B"/>
    <w:rsid w:val="004466C8"/>
    <w:rsid w:val="004471AA"/>
    <w:rsid w:val="00447456"/>
    <w:rsid w:val="0044782B"/>
    <w:rsid w:val="00447D95"/>
    <w:rsid w:val="00447E56"/>
    <w:rsid w:val="0045007F"/>
    <w:rsid w:val="00450528"/>
    <w:rsid w:val="004508B2"/>
    <w:rsid w:val="00450D16"/>
    <w:rsid w:val="00451034"/>
    <w:rsid w:val="0045122A"/>
    <w:rsid w:val="004517A5"/>
    <w:rsid w:val="004517EE"/>
    <w:rsid w:val="00451B9D"/>
    <w:rsid w:val="00451F50"/>
    <w:rsid w:val="004523B9"/>
    <w:rsid w:val="004526F1"/>
    <w:rsid w:val="004534F3"/>
    <w:rsid w:val="00454126"/>
    <w:rsid w:val="004549F2"/>
    <w:rsid w:val="00455140"/>
    <w:rsid w:val="004551A5"/>
    <w:rsid w:val="00455420"/>
    <w:rsid w:val="00455897"/>
    <w:rsid w:val="00456BD8"/>
    <w:rsid w:val="00456CAB"/>
    <w:rsid w:val="0045721E"/>
    <w:rsid w:val="00457789"/>
    <w:rsid w:val="00457C6B"/>
    <w:rsid w:val="00457E6C"/>
    <w:rsid w:val="00460222"/>
    <w:rsid w:val="00460772"/>
    <w:rsid w:val="00460E79"/>
    <w:rsid w:val="00460ECB"/>
    <w:rsid w:val="00461491"/>
    <w:rsid w:val="004618CB"/>
    <w:rsid w:val="004618DB"/>
    <w:rsid w:val="004624DA"/>
    <w:rsid w:val="0046283E"/>
    <w:rsid w:val="0046288D"/>
    <w:rsid w:val="00463C06"/>
    <w:rsid w:val="00464160"/>
    <w:rsid w:val="004648D4"/>
    <w:rsid w:val="00464B1A"/>
    <w:rsid w:val="00466200"/>
    <w:rsid w:val="0046670E"/>
    <w:rsid w:val="00466B8F"/>
    <w:rsid w:val="00466CD2"/>
    <w:rsid w:val="00466D43"/>
    <w:rsid w:val="00466F69"/>
    <w:rsid w:val="004672BA"/>
    <w:rsid w:val="0046789F"/>
    <w:rsid w:val="004679BA"/>
    <w:rsid w:val="00467C98"/>
    <w:rsid w:val="00467CCA"/>
    <w:rsid w:val="00467E97"/>
    <w:rsid w:val="00467EC1"/>
    <w:rsid w:val="00470514"/>
    <w:rsid w:val="004705CB"/>
    <w:rsid w:val="00470695"/>
    <w:rsid w:val="00470767"/>
    <w:rsid w:val="004708C0"/>
    <w:rsid w:val="00470922"/>
    <w:rsid w:val="00470B53"/>
    <w:rsid w:val="00471370"/>
    <w:rsid w:val="00471410"/>
    <w:rsid w:val="004714E2"/>
    <w:rsid w:val="00471A28"/>
    <w:rsid w:val="00471C5D"/>
    <w:rsid w:val="00472388"/>
    <w:rsid w:val="00472BCB"/>
    <w:rsid w:val="00472C41"/>
    <w:rsid w:val="00472FC6"/>
    <w:rsid w:val="004730F9"/>
    <w:rsid w:val="00473168"/>
    <w:rsid w:val="00473E02"/>
    <w:rsid w:val="00474A58"/>
    <w:rsid w:val="00474A8D"/>
    <w:rsid w:val="0047556B"/>
    <w:rsid w:val="00475E17"/>
    <w:rsid w:val="00476BDE"/>
    <w:rsid w:val="00477AD3"/>
    <w:rsid w:val="00477B36"/>
    <w:rsid w:val="00480081"/>
    <w:rsid w:val="00480280"/>
    <w:rsid w:val="004803DC"/>
    <w:rsid w:val="004806D6"/>
    <w:rsid w:val="00480CE7"/>
    <w:rsid w:val="00480D84"/>
    <w:rsid w:val="00480FC6"/>
    <w:rsid w:val="004814F1"/>
    <w:rsid w:val="00481645"/>
    <w:rsid w:val="00481DB7"/>
    <w:rsid w:val="00482533"/>
    <w:rsid w:val="0048320E"/>
    <w:rsid w:val="00483426"/>
    <w:rsid w:val="00483484"/>
    <w:rsid w:val="0048375D"/>
    <w:rsid w:val="00483C51"/>
    <w:rsid w:val="00483CBC"/>
    <w:rsid w:val="004841BA"/>
    <w:rsid w:val="00484F00"/>
    <w:rsid w:val="0048513B"/>
    <w:rsid w:val="004855D4"/>
    <w:rsid w:val="004858F9"/>
    <w:rsid w:val="004859BA"/>
    <w:rsid w:val="00486AF0"/>
    <w:rsid w:val="00486BC7"/>
    <w:rsid w:val="00486D4D"/>
    <w:rsid w:val="0048701F"/>
    <w:rsid w:val="00487077"/>
    <w:rsid w:val="00487087"/>
    <w:rsid w:val="0048710F"/>
    <w:rsid w:val="004872B1"/>
    <w:rsid w:val="004874AA"/>
    <w:rsid w:val="00487B58"/>
    <w:rsid w:val="00490078"/>
    <w:rsid w:val="004901B4"/>
    <w:rsid w:val="00490714"/>
    <w:rsid w:val="00491213"/>
    <w:rsid w:val="00492620"/>
    <w:rsid w:val="00492664"/>
    <w:rsid w:val="00493A9A"/>
    <w:rsid w:val="00493BDC"/>
    <w:rsid w:val="00493C86"/>
    <w:rsid w:val="004955A1"/>
    <w:rsid w:val="0049584F"/>
    <w:rsid w:val="004961EB"/>
    <w:rsid w:val="00496680"/>
    <w:rsid w:val="004967FB"/>
    <w:rsid w:val="00496829"/>
    <w:rsid w:val="00496E35"/>
    <w:rsid w:val="00497018"/>
    <w:rsid w:val="004970E3"/>
    <w:rsid w:val="00497864"/>
    <w:rsid w:val="0049787E"/>
    <w:rsid w:val="00497D4F"/>
    <w:rsid w:val="004A007B"/>
    <w:rsid w:val="004A00F9"/>
    <w:rsid w:val="004A0283"/>
    <w:rsid w:val="004A06E6"/>
    <w:rsid w:val="004A077B"/>
    <w:rsid w:val="004A161E"/>
    <w:rsid w:val="004A2193"/>
    <w:rsid w:val="004A23AF"/>
    <w:rsid w:val="004A3699"/>
    <w:rsid w:val="004A39FB"/>
    <w:rsid w:val="004A3BE6"/>
    <w:rsid w:val="004A4B44"/>
    <w:rsid w:val="004A4E88"/>
    <w:rsid w:val="004A5D2E"/>
    <w:rsid w:val="004A63C2"/>
    <w:rsid w:val="004A6587"/>
    <w:rsid w:val="004A6A18"/>
    <w:rsid w:val="004A6C2D"/>
    <w:rsid w:val="004A78D7"/>
    <w:rsid w:val="004A79CC"/>
    <w:rsid w:val="004A7B74"/>
    <w:rsid w:val="004B001E"/>
    <w:rsid w:val="004B0417"/>
    <w:rsid w:val="004B07B3"/>
    <w:rsid w:val="004B08C5"/>
    <w:rsid w:val="004B0998"/>
    <w:rsid w:val="004B09EA"/>
    <w:rsid w:val="004B0A2B"/>
    <w:rsid w:val="004B0E16"/>
    <w:rsid w:val="004B14BD"/>
    <w:rsid w:val="004B1EA3"/>
    <w:rsid w:val="004B22DD"/>
    <w:rsid w:val="004B23CD"/>
    <w:rsid w:val="004B2CA6"/>
    <w:rsid w:val="004B3429"/>
    <w:rsid w:val="004B3484"/>
    <w:rsid w:val="004B3592"/>
    <w:rsid w:val="004B3B8B"/>
    <w:rsid w:val="004B3C94"/>
    <w:rsid w:val="004B440B"/>
    <w:rsid w:val="004B4AC8"/>
    <w:rsid w:val="004B4F1B"/>
    <w:rsid w:val="004B53A6"/>
    <w:rsid w:val="004B5431"/>
    <w:rsid w:val="004B57C6"/>
    <w:rsid w:val="004B57DC"/>
    <w:rsid w:val="004B5835"/>
    <w:rsid w:val="004B5E89"/>
    <w:rsid w:val="004B5EA4"/>
    <w:rsid w:val="004B623B"/>
    <w:rsid w:val="004B6685"/>
    <w:rsid w:val="004B6966"/>
    <w:rsid w:val="004B6CF9"/>
    <w:rsid w:val="004B717C"/>
    <w:rsid w:val="004B7941"/>
    <w:rsid w:val="004B7BD8"/>
    <w:rsid w:val="004C0085"/>
    <w:rsid w:val="004C00A3"/>
    <w:rsid w:val="004C09C6"/>
    <w:rsid w:val="004C0D27"/>
    <w:rsid w:val="004C0DE2"/>
    <w:rsid w:val="004C0FB6"/>
    <w:rsid w:val="004C1229"/>
    <w:rsid w:val="004C182E"/>
    <w:rsid w:val="004C1AEA"/>
    <w:rsid w:val="004C2AE8"/>
    <w:rsid w:val="004C2DA8"/>
    <w:rsid w:val="004C3AFA"/>
    <w:rsid w:val="004C3D6F"/>
    <w:rsid w:val="004C4079"/>
    <w:rsid w:val="004C408D"/>
    <w:rsid w:val="004C46EF"/>
    <w:rsid w:val="004C48DA"/>
    <w:rsid w:val="004C4ECA"/>
    <w:rsid w:val="004C5142"/>
    <w:rsid w:val="004C60D1"/>
    <w:rsid w:val="004C69FE"/>
    <w:rsid w:val="004C6DA4"/>
    <w:rsid w:val="004C6F7C"/>
    <w:rsid w:val="004C76AC"/>
    <w:rsid w:val="004C76ED"/>
    <w:rsid w:val="004C7BDB"/>
    <w:rsid w:val="004C7C41"/>
    <w:rsid w:val="004C7D0F"/>
    <w:rsid w:val="004D048E"/>
    <w:rsid w:val="004D04E7"/>
    <w:rsid w:val="004D06E0"/>
    <w:rsid w:val="004D0A4C"/>
    <w:rsid w:val="004D0B6C"/>
    <w:rsid w:val="004D0E21"/>
    <w:rsid w:val="004D143B"/>
    <w:rsid w:val="004D16C0"/>
    <w:rsid w:val="004D17E0"/>
    <w:rsid w:val="004D1B4E"/>
    <w:rsid w:val="004D2873"/>
    <w:rsid w:val="004D2C35"/>
    <w:rsid w:val="004D2F3F"/>
    <w:rsid w:val="004D3098"/>
    <w:rsid w:val="004D338F"/>
    <w:rsid w:val="004D3729"/>
    <w:rsid w:val="004D37C9"/>
    <w:rsid w:val="004D3B31"/>
    <w:rsid w:val="004D43FB"/>
    <w:rsid w:val="004D48E6"/>
    <w:rsid w:val="004D4AB4"/>
    <w:rsid w:val="004D4D09"/>
    <w:rsid w:val="004D4EEB"/>
    <w:rsid w:val="004D50C5"/>
    <w:rsid w:val="004D6177"/>
    <w:rsid w:val="004D627A"/>
    <w:rsid w:val="004D66E9"/>
    <w:rsid w:val="004D6836"/>
    <w:rsid w:val="004D6AAB"/>
    <w:rsid w:val="004D6B91"/>
    <w:rsid w:val="004D6CA0"/>
    <w:rsid w:val="004D72E0"/>
    <w:rsid w:val="004D736F"/>
    <w:rsid w:val="004D7398"/>
    <w:rsid w:val="004E075C"/>
    <w:rsid w:val="004E0B95"/>
    <w:rsid w:val="004E0CD4"/>
    <w:rsid w:val="004E0FA1"/>
    <w:rsid w:val="004E1909"/>
    <w:rsid w:val="004E192C"/>
    <w:rsid w:val="004E1EA4"/>
    <w:rsid w:val="004E24C6"/>
    <w:rsid w:val="004E29C5"/>
    <w:rsid w:val="004E29F6"/>
    <w:rsid w:val="004E2C89"/>
    <w:rsid w:val="004E30FD"/>
    <w:rsid w:val="004E32AD"/>
    <w:rsid w:val="004E3576"/>
    <w:rsid w:val="004E3879"/>
    <w:rsid w:val="004E3882"/>
    <w:rsid w:val="004E3B6E"/>
    <w:rsid w:val="004E3FCF"/>
    <w:rsid w:val="004E4071"/>
    <w:rsid w:val="004E418A"/>
    <w:rsid w:val="004E4E16"/>
    <w:rsid w:val="004E54FB"/>
    <w:rsid w:val="004E5997"/>
    <w:rsid w:val="004E59C4"/>
    <w:rsid w:val="004E5BC7"/>
    <w:rsid w:val="004E5E05"/>
    <w:rsid w:val="004E5E32"/>
    <w:rsid w:val="004E70F6"/>
    <w:rsid w:val="004E7C89"/>
    <w:rsid w:val="004E7EB2"/>
    <w:rsid w:val="004E7F17"/>
    <w:rsid w:val="004F0752"/>
    <w:rsid w:val="004F0912"/>
    <w:rsid w:val="004F0AA5"/>
    <w:rsid w:val="004F0BB0"/>
    <w:rsid w:val="004F0D47"/>
    <w:rsid w:val="004F0F38"/>
    <w:rsid w:val="004F1386"/>
    <w:rsid w:val="004F15D0"/>
    <w:rsid w:val="004F16B4"/>
    <w:rsid w:val="004F1C65"/>
    <w:rsid w:val="004F2522"/>
    <w:rsid w:val="004F256E"/>
    <w:rsid w:val="004F26EF"/>
    <w:rsid w:val="004F28F2"/>
    <w:rsid w:val="004F2C55"/>
    <w:rsid w:val="004F36AC"/>
    <w:rsid w:val="004F38DA"/>
    <w:rsid w:val="004F3B5B"/>
    <w:rsid w:val="004F49EB"/>
    <w:rsid w:val="004F5C1C"/>
    <w:rsid w:val="004F6154"/>
    <w:rsid w:val="004F69E7"/>
    <w:rsid w:val="004F6C21"/>
    <w:rsid w:val="004F6D62"/>
    <w:rsid w:val="004F70B9"/>
    <w:rsid w:val="004F74A6"/>
    <w:rsid w:val="004F78D5"/>
    <w:rsid w:val="004F795E"/>
    <w:rsid w:val="00500A37"/>
    <w:rsid w:val="005011C0"/>
    <w:rsid w:val="0050145D"/>
    <w:rsid w:val="00501578"/>
    <w:rsid w:val="0050178E"/>
    <w:rsid w:val="00502330"/>
    <w:rsid w:val="005025CF"/>
    <w:rsid w:val="00502772"/>
    <w:rsid w:val="00503145"/>
    <w:rsid w:val="0050328D"/>
    <w:rsid w:val="005033B5"/>
    <w:rsid w:val="00503412"/>
    <w:rsid w:val="00503439"/>
    <w:rsid w:val="005034CE"/>
    <w:rsid w:val="0050367B"/>
    <w:rsid w:val="005037AD"/>
    <w:rsid w:val="005039A4"/>
    <w:rsid w:val="00503EB2"/>
    <w:rsid w:val="005046FD"/>
    <w:rsid w:val="00504FF9"/>
    <w:rsid w:val="005053ED"/>
    <w:rsid w:val="00505500"/>
    <w:rsid w:val="00505A8D"/>
    <w:rsid w:val="00505B9F"/>
    <w:rsid w:val="00505CBB"/>
    <w:rsid w:val="00505DC6"/>
    <w:rsid w:val="00505DD8"/>
    <w:rsid w:val="005061FC"/>
    <w:rsid w:val="00506342"/>
    <w:rsid w:val="00506442"/>
    <w:rsid w:val="0050676D"/>
    <w:rsid w:val="005067F9"/>
    <w:rsid w:val="00506DB7"/>
    <w:rsid w:val="00507541"/>
    <w:rsid w:val="00507868"/>
    <w:rsid w:val="005079C4"/>
    <w:rsid w:val="005115FE"/>
    <w:rsid w:val="00511A79"/>
    <w:rsid w:val="0051250C"/>
    <w:rsid w:val="00513945"/>
    <w:rsid w:val="0051401C"/>
    <w:rsid w:val="0051421A"/>
    <w:rsid w:val="0051438C"/>
    <w:rsid w:val="00514D90"/>
    <w:rsid w:val="00514DE5"/>
    <w:rsid w:val="0051509C"/>
    <w:rsid w:val="00515162"/>
    <w:rsid w:val="00515ADC"/>
    <w:rsid w:val="00516BB3"/>
    <w:rsid w:val="00517234"/>
    <w:rsid w:val="005178C0"/>
    <w:rsid w:val="00517E50"/>
    <w:rsid w:val="005207E7"/>
    <w:rsid w:val="00520A9A"/>
    <w:rsid w:val="00520AD3"/>
    <w:rsid w:val="00520D77"/>
    <w:rsid w:val="00521318"/>
    <w:rsid w:val="00521B6F"/>
    <w:rsid w:val="00521EA9"/>
    <w:rsid w:val="0052238B"/>
    <w:rsid w:val="0052286E"/>
    <w:rsid w:val="00522A60"/>
    <w:rsid w:val="00522BE1"/>
    <w:rsid w:val="00522C72"/>
    <w:rsid w:val="00522E34"/>
    <w:rsid w:val="00523742"/>
    <w:rsid w:val="00523796"/>
    <w:rsid w:val="00523930"/>
    <w:rsid w:val="005239FF"/>
    <w:rsid w:val="00523EB8"/>
    <w:rsid w:val="00523EB9"/>
    <w:rsid w:val="00523F99"/>
    <w:rsid w:val="005245B0"/>
    <w:rsid w:val="005249CA"/>
    <w:rsid w:val="00524AB7"/>
    <w:rsid w:val="00524B82"/>
    <w:rsid w:val="00524D24"/>
    <w:rsid w:val="005252D1"/>
    <w:rsid w:val="005253E6"/>
    <w:rsid w:val="005253FA"/>
    <w:rsid w:val="005256CE"/>
    <w:rsid w:val="0052586A"/>
    <w:rsid w:val="00526396"/>
    <w:rsid w:val="00526599"/>
    <w:rsid w:val="005265BE"/>
    <w:rsid w:val="005269C0"/>
    <w:rsid w:val="00526AFA"/>
    <w:rsid w:val="00526CDB"/>
    <w:rsid w:val="00526E19"/>
    <w:rsid w:val="005274F9"/>
    <w:rsid w:val="00527825"/>
    <w:rsid w:val="005278D3"/>
    <w:rsid w:val="00527978"/>
    <w:rsid w:val="00527A33"/>
    <w:rsid w:val="00527BFE"/>
    <w:rsid w:val="00527D07"/>
    <w:rsid w:val="00527D25"/>
    <w:rsid w:val="005300EF"/>
    <w:rsid w:val="0053028B"/>
    <w:rsid w:val="005306D0"/>
    <w:rsid w:val="005308C8"/>
    <w:rsid w:val="00530C7F"/>
    <w:rsid w:val="005311AF"/>
    <w:rsid w:val="0053144A"/>
    <w:rsid w:val="005321D8"/>
    <w:rsid w:val="0053261D"/>
    <w:rsid w:val="005329AC"/>
    <w:rsid w:val="00532AF6"/>
    <w:rsid w:val="00532DB6"/>
    <w:rsid w:val="005330A2"/>
    <w:rsid w:val="0053332A"/>
    <w:rsid w:val="00533E23"/>
    <w:rsid w:val="005348ED"/>
    <w:rsid w:val="00534985"/>
    <w:rsid w:val="00534E35"/>
    <w:rsid w:val="00534EF0"/>
    <w:rsid w:val="00535773"/>
    <w:rsid w:val="00535F1D"/>
    <w:rsid w:val="005360ED"/>
    <w:rsid w:val="005363A4"/>
    <w:rsid w:val="00536E54"/>
    <w:rsid w:val="00537BD1"/>
    <w:rsid w:val="00537FB6"/>
    <w:rsid w:val="00540369"/>
    <w:rsid w:val="00540454"/>
    <w:rsid w:val="005405F6"/>
    <w:rsid w:val="005408A7"/>
    <w:rsid w:val="00540F05"/>
    <w:rsid w:val="00541498"/>
    <w:rsid w:val="00541BF1"/>
    <w:rsid w:val="00541C43"/>
    <w:rsid w:val="00541CB9"/>
    <w:rsid w:val="00541E9A"/>
    <w:rsid w:val="00542005"/>
    <w:rsid w:val="00542402"/>
    <w:rsid w:val="0054296B"/>
    <w:rsid w:val="00542E68"/>
    <w:rsid w:val="00542ED6"/>
    <w:rsid w:val="005433BF"/>
    <w:rsid w:val="0054355F"/>
    <w:rsid w:val="00543787"/>
    <w:rsid w:val="005437A0"/>
    <w:rsid w:val="005439A4"/>
    <w:rsid w:val="00543BD3"/>
    <w:rsid w:val="00543E4C"/>
    <w:rsid w:val="00543ED1"/>
    <w:rsid w:val="00544646"/>
    <w:rsid w:val="005446E3"/>
    <w:rsid w:val="00544CD5"/>
    <w:rsid w:val="00544FDB"/>
    <w:rsid w:val="005451A8"/>
    <w:rsid w:val="00545A76"/>
    <w:rsid w:val="00545CA0"/>
    <w:rsid w:val="00546C64"/>
    <w:rsid w:val="005472E3"/>
    <w:rsid w:val="00547634"/>
    <w:rsid w:val="005478A9"/>
    <w:rsid w:val="005478E7"/>
    <w:rsid w:val="00547BB4"/>
    <w:rsid w:val="005503F9"/>
    <w:rsid w:val="0055047C"/>
    <w:rsid w:val="00550BAD"/>
    <w:rsid w:val="00551406"/>
    <w:rsid w:val="0055156D"/>
    <w:rsid w:val="00551635"/>
    <w:rsid w:val="00551DEE"/>
    <w:rsid w:val="00551F47"/>
    <w:rsid w:val="005521D6"/>
    <w:rsid w:val="005527F3"/>
    <w:rsid w:val="00552CF8"/>
    <w:rsid w:val="00552D8E"/>
    <w:rsid w:val="005530A3"/>
    <w:rsid w:val="0055323C"/>
    <w:rsid w:val="00553950"/>
    <w:rsid w:val="00553AC9"/>
    <w:rsid w:val="00553AEC"/>
    <w:rsid w:val="00553C8E"/>
    <w:rsid w:val="00553E40"/>
    <w:rsid w:val="00553E8B"/>
    <w:rsid w:val="00553FAF"/>
    <w:rsid w:val="005543B9"/>
    <w:rsid w:val="00554549"/>
    <w:rsid w:val="00554557"/>
    <w:rsid w:val="005545BE"/>
    <w:rsid w:val="00554E68"/>
    <w:rsid w:val="005550B6"/>
    <w:rsid w:val="00555262"/>
    <w:rsid w:val="005558AA"/>
    <w:rsid w:val="00555B95"/>
    <w:rsid w:val="00555FE5"/>
    <w:rsid w:val="00556958"/>
    <w:rsid w:val="00556962"/>
    <w:rsid w:val="005572D2"/>
    <w:rsid w:val="005575F5"/>
    <w:rsid w:val="00557781"/>
    <w:rsid w:val="00557B2D"/>
    <w:rsid w:val="00557DE0"/>
    <w:rsid w:val="00557E74"/>
    <w:rsid w:val="00560392"/>
    <w:rsid w:val="00560978"/>
    <w:rsid w:val="005609FE"/>
    <w:rsid w:val="00560D04"/>
    <w:rsid w:val="00560E1D"/>
    <w:rsid w:val="00561385"/>
    <w:rsid w:val="005617A2"/>
    <w:rsid w:val="005622B0"/>
    <w:rsid w:val="00562494"/>
    <w:rsid w:val="00562730"/>
    <w:rsid w:val="005627B2"/>
    <w:rsid w:val="00562913"/>
    <w:rsid w:val="00562CB0"/>
    <w:rsid w:val="00562F58"/>
    <w:rsid w:val="0056308A"/>
    <w:rsid w:val="005630C9"/>
    <w:rsid w:val="005637E7"/>
    <w:rsid w:val="00563C2A"/>
    <w:rsid w:val="00563C8E"/>
    <w:rsid w:val="00564020"/>
    <w:rsid w:val="0056428F"/>
    <w:rsid w:val="00564FBF"/>
    <w:rsid w:val="00565D09"/>
    <w:rsid w:val="00565D51"/>
    <w:rsid w:val="005669A3"/>
    <w:rsid w:val="00566A45"/>
    <w:rsid w:val="00566AA9"/>
    <w:rsid w:val="00566CB9"/>
    <w:rsid w:val="00566E28"/>
    <w:rsid w:val="005703FF"/>
    <w:rsid w:val="005704FC"/>
    <w:rsid w:val="00570820"/>
    <w:rsid w:val="00570B13"/>
    <w:rsid w:val="00570EF4"/>
    <w:rsid w:val="00570FE3"/>
    <w:rsid w:val="005714EA"/>
    <w:rsid w:val="00571BAE"/>
    <w:rsid w:val="00571C1A"/>
    <w:rsid w:val="00572352"/>
    <w:rsid w:val="0057259C"/>
    <w:rsid w:val="00572CC8"/>
    <w:rsid w:val="00573170"/>
    <w:rsid w:val="005732D0"/>
    <w:rsid w:val="005733EB"/>
    <w:rsid w:val="00573571"/>
    <w:rsid w:val="00573CF9"/>
    <w:rsid w:val="00573D6A"/>
    <w:rsid w:val="00574290"/>
    <w:rsid w:val="0057487F"/>
    <w:rsid w:val="00574CB3"/>
    <w:rsid w:val="00574E65"/>
    <w:rsid w:val="005750E6"/>
    <w:rsid w:val="005753EA"/>
    <w:rsid w:val="00575525"/>
    <w:rsid w:val="00575848"/>
    <w:rsid w:val="00575BE5"/>
    <w:rsid w:val="00575CCF"/>
    <w:rsid w:val="0057710A"/>
    <w:rsid w:val="0057727A"/>
    <w:rsid w:val="00577653"/>
    <w:rsid w:val="005777B2"/>
    <w:rsid w:val="005777FF"/>
    <w:rsid w:val="005779E1"/>
    <w:rsid w:val="00577E61"/>
    <w:rsid w:val="00577E77"/>
    <w:rsid w:val="0058008E"/>
    <w:rsid w:val="005804A6"/>
    <w:rsid w:val="00580D92"/>
    <w:rsid w:val="005810B7"/>
    <w:rsid w:val="00581421"/>
    <w:rsid w:val="00581734"/>
    <w:rsid w:val="00581825"/>
    <w:rsid w:val="00581D06"/>
    <w:rsid w:val="0058201F"/>
    <w:rsid w:val="00582254"/>
    <w:rsid w:val="00582268"/>
    <w:rsid w:val="00582429"/>
    <w:rsid w:val="00582623"/>
    <w:rsid w:val="00582B1D"/>
    <w:rsid w:val="00582C27"/>
    <w:rsid w:val="00582C90"/>
    <w:rsid w:val="00582D2B"/>
    <w:rsid w:val="00582D94"/>
    <w:rsid w:val="0058351B"/>
    <w:rsid w:val="00583560"/>
    <w:rsid w:val="005836BF"/>
    <w:rsid w:val="00583740"/>
    <w:rsid w:val="0058391D"/>
    <w:rsid w:val="00583B57"/>
    <w:rsid w:val="00583D24"/>
    <w:rsid w:val="00583F0A"/>
    <w:rsid w:val="005845C5"/>
    <w:rsid w:val="005845F2"/>
    <w:rsid w:val="0058495F"/>
    <w:rsid w:val="005851C7"/>
    <w:rsid w:val="005856EC"/>
    <w:rsid w:val="00585BDF"/>
    <w:rsid w:val="00585C43"/>
    <w:rsid w:val="00586600"/>
    <w:rsid w:val="00586AAD"/>
    <w:rsid w:val="0058748A"/>
    <w:rsid w:val="00587830"/>
    <w:rsid w:val="00587914"/>
    <w:rsid w:val="00587BEC"/>
    <w:rsid w:val="00590573"/>
    <w:rsid w:val="00590D0F"/>
    <w:rsid w:val="00590FF7"/>
    <w:rsid w:val="0059101B"/>
    <w:rsid w:val="005911D4"/>
    <w:rsid w:val="00591A04"/>
    <w:rsid w:val="00591E87"/>
    <w:rsid w:val="00592BD0"/>
    <w:rsid w:val="005931F6"/>
    <w:rsid w:val="005932D7"/>
    <w:rsid w:val="00593CBC"/>
    <w:rsid w:val="00593FBE"/>
    <w:rsid w:val="0059466F"/>
    <w:rsid w:val="00594F2A"/>
    <w:rsid w:val="00595263"/>
    <w:rsid w:val="00595519"/>
    <w:rsid w:val="00595F87"/>
    <w:rsid w:val="00596866"/>
    <w:rsid w:val="00596EC9"/>
    <w:rsid w:val="00596EFE"/>
    <w:rsid w:val="005971FD"/>
    <w:rsid w:val="00597219"/>
    <w:rsid w:val="005974A4"/>
    <w:rsid w:val="00597533"/>
    <w:rsid w:val="00597922"/>
    <w:rsid w:val="00597D81"/>
    <w:rsid w:val="005A00BC"/>
    <w:rsid w:val="005A0142"/>
    <w:rsid w:val="005A01C2"/>
    <w:rsid w:val="005A02B2"/>
    <w:rsid w:val="005A058C"/>
    <w:rsid w:val="005A0D68"/>
    <w:rsid w:val="005A10FB"/>
    <w:rsid w:val="005A1A35"/>
    <w:rsid w:val="005A1D4E"/>
    <w:rsid w:val="005A221A"/>
    <w:rsid w:val="005A23AE"/>
    <w:rsid w:val="005A23EE"/>
    <w:rsid w:val="005A3221"/>
    <w:rsid w:val="005A32DB"/>
    <w:rsid w:val="005A35DE"/>
    <w:rsid w:val="005A369D"/>
    <w:rsid w:val="005A3844"/>
    <w:rsid w:val="005A39BB"/>
    <w:rsid w:val="005A3B73"/>
    <w:rsid w:val="005A3EB9"/>
    <w:rsid w:val="005A3FA0"/>
    <w:rsid w:val="005A4126"/>
    <w:rsid w:val="005A4815"/>
    <w:rsid w:val="005A48E5"/>
    <w:rsid w:val="005A5454"/>
    <w:rsid w:val="005A557A"/>
    <w:rsid w:val="005A5E8F"/>
    <w:rsid w:val="005A6103"/>
    <w:rsid w:val="005A648F"/>
    <w:rsid w:val="005A65F1"/>
    <w:rsid w:val="005A6864"/>
    <w:rsid w:val="005A706C"/>
    <w:rsid w:val="005A71BF"/>
    <w:rsid w:val="005A730C"/>
    <w:rsid w:val="005A75B0"/>
    <w:rsid w:val="005A7B17"/>
    <w:rsid w:val="005A7B65"/>
    <w:rsid w:val="005A7B71"/>
    <w:rsid w:val="005A7E8B"/>
    <w:rsid w:val="005A7EF6"/>
    <w:rsid w:val="005B0502"/>
    <w:rsid w:val="005B0851"/>
    <w:rsid w:val="005B0CDA"/>
    <w:rsid w:val="005B108A"/>
    <w:rsid w:val="005B16E6"/>
    <w:rsid w:val="005B1B26"/>
    <w:rsid w:val="005B1BC8"/>
    <w:rsid w:val="005B1EAD"/>
    <w:rsid w:val="005B23C8"/>
    <w:rsid w:val="005B2509"/>
    <w:rsid w:val="005B28E8"/>
    <w:rsid w:val="005B2E32"/>
    <w:rsid w:val="005B2EBF"/>
    <w:rsid w:val="005B408C"/>
    <w:rsid w:val="005B456B"/>
    <w:rsid w:val="005B4928"/>
    <w:rsid w:val="005B4D34"/>
    <w:rsid w:val="005B500A"/>
    <w:rsid w:val="005B5146"/>
    <w:rsid w:val="005B5514"/>
    <w:rsid w:val="005B59FE"/>
    <w:rsid w:val="005B60EA"/>
    <w:rsid w:val="005B6138"/>
    <w:rsid w:val="005B641A"/>
    <w:rsid w:val="005B6DEC"/>
    <w:rsid w:val="005B73C5"/>
    <w:rsid w:val="005B7634"/>
    <w:rsid w:val="005B7A46"/>
    <w:rsid w:val="005B7A81"/>
    <w:rsid w:val="005B7C71"/>
    <w:rsid w:val="005C035A"/>
    <w:rsid w:val="005C092E"/>
    <w:rsid w:val="005C0C97"/>
    <w:rsid w:val="005C0D76"/>
    <w:rsid w:val="005C11DD"/>
    <w:rsid w:val="005C136B"/>
    <w:rsid w:val="005C1398"/>
    <w:rsid w:val="005C19EF"/>
    <w:rsid w:val="005C1A78"/>
    <w:rsid w:val="005C1E0B"/>
    <w:rsid w:val="005C26C4"/>
    <w:rsid w:val="005C2841"/>
    <w:rsid w:val="005C2A50"/>
    <w:rsid w:val="005C2C13"/>
    <w:rsid w:val="005C3196"/>
    <w:rsid w:val="005C3822"/>
    <w:rsid w:val="005C3C72"/>
    <w:rsid w:val="005C3E31"/>
    <w:rsid w:val="005C496E"/>
    <w:rsid w:val="005C4BF1"/>
    <w:rsid w:val="005C4F76"/>
    <w:rsid w:val="005C5345"/>
    <w:rsid w:val="005C5A6D"/>
    <w:rsid w:val="005C6186"/>
    <w:rsid w:val="005C61F8"/>
    <w:rsid w:val="005C6B68"/>
    <w:rsid w:val="005C6BD0"/>
    <w:rsid w:val="005C6D45"/>
    <w:rsid w:val="005C7378"/>
    <w:rsid w:val="005C75C8"/>
    <w:rsid w:val="005C77DA"/>
    <w:rsid w:val="005D064D"/>
    <w:rsid w:val="005D10AF"/>
    <w:rsid w:val="005D10B7"/>
    <w:rsid w:val="005D12D1"/>
    <w:rsid w:val="005D12D5"/>
    <w:rsid w:val="005D1AFC"/>
    <w:rsid w:val="005D1C3E"/>
    <w:rsid w:val="005D1E26"/>
    <w:rsid w:val="005D1F98"/>
    <w:rsid w:val="005D230A"/>
    <w:rsid w:val="005D26FB"/>
    <w:rsid w:val="005D2B0B"/>
    <w:rsid w:val="005D3753"/>
    <w:rsid w:val="005D375E"/>
    <w:rsid w:val="005D3BAC"/>
    <w:rsid w:val="005D3C44"/>
    <w:rsid w:val="005D4128"/>
    <w:rsid w:val="005D4211"/>
    <w:rsid w:val="005D4778"/>
    <w:rsid w:val="005D4CB5"/>
    <w:rsid w:val="005D4D9E"/>
    <w:rsid w:val="005D542A"/>
    <w:rsid w:val="005D6464"/>
    <w:rsid w:val="005D66B2"/>
    <w:rsid w:val="005D697D"/>
    <w:rsid w:val="005D6A79"/>
    <w:rsid w:val="005D6C42"/>
    <w:rsid w:val="005D6F43"/>
    <w:rsid w:val="005D797D"/>
    <w:rsid w:val="005D7FB9"/>
    <w:rsid w:val="005E180E"/>
    <w:rsid w:val="005E1EE9"/>
    <w:rsid w:val="005E33C4"/>
    <w:rsid w:val="005E3B94"/>
    <w:rsid w:val="005E4AD7"/>
    <w:rsid w:val="005E511F"/>
    <w:rsid w:val="005E51FF"/>
    <w:rsid w:val="005E549A"/>
    <w:rsid w:val="005E55DC"/>
    <w:rsid w:val="005E5B73"/>
    <w:rsid w:val="005E5C85"/>
    <w:rsid w:val="005E5E83"/>
    <w:rsid w:val="005E623A"/>
    <w:rsid w:val="005E62F2"/>
    <w:rsid w:val="005E6629"/>
    <w:rsid w:val="005E670D"/>
    <w:rsid w:val="005E70C8"/>
    <w:rsid w:val="005E716E"/>
    <w:rsid w:val="005E76DD"/>
    <w:rsid w:val="005E78F3"/>
    <w:rsid w:val="005E791E"/>
    <w:rsid w:val="005F0020"/>
    <w:rsid w:val="005F025D"/>
    <w:rsid w:val="005F0643"/>
    <w:rsid w:val="005F06B5"/>
    <w:rsid w:val="005F11AB"/>
    <w:rsid w:val="005F12F6"/>
    <w:rsid w:val="005F1459"/>
    <w:rsid w:val="005F1820"/>
    <w:rsid w:val="005F1840"/>
    <w:rsid w:val="005F1CFA"/>
    <w:rsid w:val="005F1D43"/>
    <w:rsid w:val="005F2517"/>
    <w:rsid w:val="005F288E"/>
    <w:rsid w:val="005F297B"/>
    <w:rsid w:val="005F2AFE"/>
    <w:rsid w:val="005F2D72"/>
    <w:rsid w:val="005F3226"/>
    <w:rsid w:val="005F399F"/>
    <w:rsid w:val="005F3C59"/>
    <w:rsid w:val="005F3D43"/>
    <w:rsid w:val="005F48B9"/>
    <w:rsid w:val="005F4D13"/>
    <w:rsid w:val="005F4E48"/>
    <w:rsid w:val="005F4EA5"/>
    <w:rsid w:val="005F503A"/>
    <w:rsid w:val="005F5439"/>
    <w:rsid w:val="005F56C6"/>
    <w:rsid w:val="005F5B1B"/>
    <w:rsid w:val="005F5D07"/>
    <w:rsid w:val="005F5E5A"/>
    <w:rsid w:val="005F646C"/>
    <w:rsid w:val="005F6BCB"/>
    <w:rsid w:val="005F6E05"/>
    <w:rsid w:val="005F6F39"/>
    <w:rsid w:val="005F76AF"/>
    <w:rsid w:val="0060026E"/>
    <w:rsid w:val="00600463"/>
    <w:rsid w:val="00600A99"/>
    <w:rsid w:val="00601264"/>
    <w:rsid w:val="006026B7"/>
    <w:rsid w:val="006027FB"/>
    <w:rsid w:val="00602AF8"/>
    <w:rsid w:val="00603443"/>
    <w:rsid w:val="00603CC1"/>
    <w:rsid w:val="00603E21"/>
    <w:rsid w:val="00603EF7"/>
    <w:rsid w:val="0060427F"/>
    <w:rsid w:val="006043EE"/>
    <w:rsid w:val="00604560"/>
    <w:rsid w:val="00604D56"/>
    <w:rsid w:val="00604F39"/>
    <w:rsid w:val="0060510C"/>
    <w:rsid w:val="00605414"/>
    <w:rsid w:val="006058C6"/>
    <w:rsid w:val="0060595A"/>
    <w:rsid w:val="006059AE"/>
    <w:rsid w:val="00605CC5"/>
    <w:rsid w:val="00605FFE"/>
    <w:rsid w:val="0060618E"/>
    <w:rsid w:val="006071FE"/>
    <w:rsid w:val="00607492"/>
    <w:rsid w:val="00607C44"/>
    <w:rsid w:val="00607DEB"/>
    <w:rsid w:val="00610072"/>
    <w:rsid w:val="0061095A"/>
    <w:rsid w:val="00610994"/>
    <w:rsid w:val="00610D35"/>
    <w:rsid w:val="00610E46"/>
    <w:rsid w:val="00611DE4"/>
    <w:rsid w:val="00611E8D"/>
    <w:rsid w:val="00611E9A"/>
    <w:rsid w:val="00611F15"/>
    <w:rsid w:val="006120FA"/>
    <w:rsid w:val="00612252"/>
    <w:rsid w:val="00612A54"/>
    <w:rsid w:val="00612E68"/>
    <w:rsid w:val="0061345D"/>
    <w:rsid w:val="006134AC"/>
    <w:rsid w:val="00613A14"/>
    <w:rsid w:val="00613A27"/>
    <w:rsid w:val="00614555"/>
    <w:rsid w:val="0061489D"/>
    <w:rsid w:val="00614D0C"/>
    <w:rsid w:val="00614DD8"/>
    <w:rsid w:val="006157E0"/>
    <w:rsid w:val="00615D47"/>
    <w:rsid w:val="006162AC"/>
    <w:rsid w:val="0061664C"/>
    <w:rsid w:val="00616765"/>
    <w:rsid w:val="006168D2"/>
    <w:rsid w:val="00617041"/>
    <w:rsid w:val="006170E0"/>
    <w:rsid w:val="0061785C"/>
    <w:rsid w:val="00617B09"/>
    <w:rsid w:val="00620065"/>
    <w:rsid w:val="00620DA6"/>
    <w:rsid w:val="00621C68"/>
    <w:rsid w:val="006225BE"/>
    <w:rsid w:val="00622BAC"/>
    <w:rsid w:val="00622F40"/>
    <w:rsid w:val="00622F4E"/>
    <w:rsid w:val="00623244"/>
    <w:rsid w:val="006233FD"/>
    <w:rsid w:val="00623A0B"/>
    <w:rsid w:val="00623C19"/>
    <w:rsid w:val="00624234"/>
    <w:rsid w:val="00624252"/>
    <w:rsid w:val="006242B1"/>
    <w:rsid w:val="006247D9"/>
    <w:rsid w:val="0062482A"/>
    <w:rsid w:val="00625272"/>
    <w:rsid w:val="006254BE"/>
    <w:rsid w:val="00625B53"/>
    <w:rsid w:val="00626325"/>
    <w:rsid w:val="0062632D"/>
    <w:rsid w:val="006265B9"/>
    <w:rsid w:val="0062684D"/>
    <w:rsid w:val="00626C76"/>
    <w:rsid w:val="00626F13"/>
    <w:rsid w:val="00627937"/>
    <w:rsid w:val="00627D03"/>
    <w:rsid w:val="00627E96"/>
    <w:rsid w:val="006304AC"/>
    <w:rsid w:val="00630698"/>
    <w:rsid w:val="00630D20"/>
    <w:rsid w:val="006315D7"/>
    <w:rsid w:val="006319F6"/>
    <w:rsid w:val="00631BA8"/>
    <w:rsid w:val="0063212A"/>
    <w:rsid w:val="0063231D"/>
    <w:rsid w:val="00632C85"/>
    <w:rsid w:val="00632E20"/>
    <w:rsid w:val="00633816"/>
    <w:rsid w:val="00633CDB"/>
    <w:rsid w:val="006343B1"/>
    <w:rsid w:val="006345A6"/>
    <w:rsid w:val="00634BED"/>
    <w:rsid w:val="00635D4D"/>
    <w:rsid w:val="00635F68"/>
    <w:rsid w:val="00636110"/>
    <w:rsid w:val="00636854"/>
    <w:rsid w:val="00636858"/>
    <w:rsid w:val="006368E6"/>
    <w:rsid w:val="00637907"/>
    <w:rsid w:val="00637EFF"/>
    <w:rsid w:val="00640110"/>
    <w:rsid w:val="00640195"/>
    <w:rsid w:val="00640710"/>
    <w:rsid w:val="00640744"/>
    <w:rsid w:val="00640ADC"/>
    <w:rsid w:val="00640D43"/>
    <w:rsid w:val="0064114F"/>
    <w:rsid w:val="00641274"/>
    <w:rsid w:val="006412BD"/>
    <w:rsid w:val="006418DF"/>
    <w:rsid w:val="0064284F"/>
    <w:rsid w:val="00643115"/>
    <w:rsid w:val="00643C18"/>
    <w:rsid w:val="00643E20"/>
    <w:rsid w:val="00644195"/>
    <w:rsid w:val="006442BD"/>
    <w:rsid w:val="00644590"/>
    <w:rsid w:val="00644AC9"/>
    <w:rsid w:val="00644E05"/>
    <w:rsid w:val="00645544"/>
    <w:rsid w:val="00646459"/>
    <w:rsid w:val="00646B91"/>
    <w:rsid w:val="00646CB7"/>
    <w:rsid w:val="00646CF7"/>
    <w:rsid w:val="0064704D"/>
    <w:rsid w:val="00647145"/>
    <w:rsid w:val="0064733B"/>
    <w:rsid w:val="00647402"/>
    <w:rsid w:val="0064776B"/>
    <w:rsid w:val="006478CA"/>
    <w:rsid w:val="00647BCD"/>
    <w:rsid w:val="00647E3E"/>
    <w:rsid w:val="006508DC"/>
    <w:rsid w:val="006508F2"/>
    <w:rsid w:val="00650A66"/>
    <w:rsid w:val="00652A0B"/>
    <w:rsid w:val="0065345E"/>
    <w:rsid w:val="006534B8"/>
    <w:rsid w:val="00653FBB"/>
    <w:rsid w:val="006542CE"/>
    <w:rsid w:val="00654ABD"/>
    <w:rsid w:val="00654E6D"/>
    <w:rsid w:val="00655887"/>
    <w:rsid w:val="006559B5"/>
    <w:rsid w:val="00655ACA"/>
    <w:rsid w:val="00655B68"/>
    <w:rsid w:val="006565D2"/>
    <w:rsid w:val="0065724A"/>
    <w:rsid w:val="006572B4"/>
    <w:rsid w:val="006573CB"/>
    <w:rsid w:val="00657D22"/>
    <w:rsid w:val="0066044E"/>
    <w:rsid w:val="006607B5"/>
    <w:rsid w:val="0066080B"/>
    <w:rsid w:val="00660943"/>
    <w:rsid w:val="00660A93"/>
    <w:rsid w:val="00660ECF"/>
    <w:rsid w:val="00661002"/>
    <w:rsid w:val="00661162"/>
    <w:rsid w:val="0066189F"/>
    <w:rsid w:val="00661AA4"/>
    <w:rsid w:val="00661F43"/>
    <w:rsid w:val="00662442"/>
    <w:rsid w:val="006627A0"/>
    <w:rsid w:val="00662C7B"/>
    <w:rsid w:val="00662C82"/>
    <w:rsid w:val="00662D15"/>
    <w:rsid w:val="00662EAA"/>
    <w:rsid w:val="00663314"/>
    <w:rsid w:val="00663446"/>
    <w:rsid w:val="0066381C"/>
    <w:rsid w:val="0066383A"/>
    <w:rsid w:val="006638D3"/>
    <w:rsid w:val="00663C24"/>
    <w:rsid w:val="00665064"/>
    <w:rsid w:val="0066527C"/>
    <w:rsid w:val="006653F9"/>
    <w:rsid w:val="006654FF"/>
    <w:rsid w:val="0066572C"/>
    <w:rsid w:val="00665AEE"/>
    <w:rsid w:val="00665E0C"/>
    <w:rsid w:val="00665FA0"/>
    <w:rsid w:val="00666229"/>
    <w:rsid w:val="00666696"/>
    <w:rsid w:val="006668A0"/>
    <w:rsid w:val="00666B81"/>
    <w:rsid w:val="00666D5C"/>
    <w:rsid w:val="00666F26"/>
    <w:rsid w:val="00667862"/>
    <w:rsid w:val="0066799A"/>
    <w:rsid w:val="00667AAA"/>
    <w:rsid w:val="006705E8"/>
    <w:rsid w:val="00670F40"/>
    <w:rsid w:val="00671995"/>
    <w:rsid w:val="00671AD8"/>
    <w:rsid w:val="00671C26"/>
    <w:rsid w:val="00671C69"/>
    <w:rsid w:val="006723D3"/>
    <w:rsid w:val="006728D0"/>
    <w:rsid w:val="006732E4"/>
    <w:rsid w:val="0067347D"/>
    <w:rsid w:val="006739EF"/>
    <w:rsid w:val="00673B6F"/>
    <w:rsid w:val="006744A6"/>
    <w:rsid w:val="0067469B"/>
    <w:rsid w:val="006746ED"/>
    <w:rsid w:val="00674811"/>
    <w:rsid w:val="00674D09"/>
    <w:rsid w:val="00674DAF"/>
    <w:rsid w:val="00674EF0"/>
    <w:rsid w:val="00675625"/>
    <w:rsid w:val="006757E6"/>
    <w:rsid w:val="00675FF7"/>
    <w:rsid w:val="006765E4"/>
    <w:rsid w:val="006766CF"/>
    <w:rsid w:val="00676CFA"/>
    <w:rsid w:val="00676D5F"/>
    <w:rsid w:val="00676E54"/>
    <w:rsid w:val="00676E59"/>
    <w:rsid w:val="006770FE"/>
    <w:rsid w:val="0067714B"/>
    <w:rsid w:val="006776E0"/>
    <w:rsid w:val="00680066"/>
    <w:rsid w:val="00680309"/>
    <w:rsid w:val="006813CB"/>
    <w:rsid w:val="0068142D"/>
    <w:rsid w:val="006814E9"/>
    <w:rsid w:val="0068165A"/>
    <w:rsid w:val="00681D76"/>
    <w:rsid w:val="00681F7A"/>
    <w:rsid w:val="0068213F"/>
    <w:rsid w:val="00682CC7"/>
    <w:rsid w:val="00682CEF"/>
    <w:rsid w:val="00683251"/>
    <w:rsid w:val="00683807"/>
    <w:rsid w:val="00683919"/>
    <w:rsid w:val="00683E06"/>
    <w:rsid w:val="00684578"/>
    <w:rsid w:val="00684782"/>
    <w:rsid w:val="00684B44"/>
    <w:rsid w:val="00684D91"/>
    <w:rsid w:val="00684EC7"/>
    <w:rsid w:val="0068527B"/>
    <w:rsid w:val="0068530E"/>
    <w:rsid w:val="006859B9"/>
    <w:rsid w:val="00685B72"/>
    <w:rsid w:val="00685C8A"/>
    <w:rsid w:val="006862BA"/>
    <w:rsid w:val="00686F36"/>
    <w:rsid w:val="0068707D"/>
    <w:rsid w:val="006870BA"/>
    <w:rsid w:val="00687462"/>
    <w:rsid w:val="00687618"/>
    <w:rsid w:val="00687B32"/>
    <w:rsid w:val="00690CF0"/>
    <w:rsid w:val="00691126"/>
    <w:rsid w:val="00691466"/>
    <w:rsid w:val="00691571"/>
    <w:rsid w:val="00691701"/>
    <w:rsid w:val="00691A1C"/>
    <w:rsid w:val="00692560"/>
    <w:rsid w:val="006925AD"/>
    <w:rsid w:val="00692FEE"/>
    <w:rsid w:val="006930F1"/>
    <w:rsid w:val="00693627"/>
    <w:rsid w:val="00694927"/>
    <w:rsid w:val="00694A80"/>
    <w:rsid w:val="00694D1E"/>
    <w:rsid w:val="0069508E"/>
    <w:rsid w:val="00695204"/>
    <w:rsid w:val="006958E8"/>
    <w:rsid w:val="006964DC"/>
    <w:rsid w:val="00696989"/>
    <w:rsid w:val="00696BBD"/>
    <w:rsid w:val="00697581"/>
    <w:rsid w:val="00697906"/>
    <w:rsid w:val="0069791F"/>
    <w:rsid w:val="00697E66"/>
    <w:rsid w:val="00697F56"/>
    <w:rsid w:val="006A0635"/>
    <w:rsid w:val="006A15DD"/>
    <w:rsid w:val="006A1852"/>
    <w:rsid w:val="006A1ADE"/>
    <w:rsid w:val="006A1F2C"/>
    <w:rsid w:val="006A34FA"/>
    <w:rsid w:val="006A35EE"/>
    <w:rsid w:val="006A3772"/>
    <w:rsid w:val="006A39ED"/>
    <w:rsid w:val="006A3B3D"/>
    <w:rsid w:val="006A3C0E"/>
    <w:rsid w:val="006A4154"/>
    <w:rsid w:val="006A4C80"/>
    <w:rsid w:val="006A5E95"/>
    <w:rsid w:val="006A6408"/>
    <w:rsid w:val="006A659B"/>
    <w:rsid w:val="006A666D"/>
    <w:rsid w:val="006A6C7B"/>
    <w:rsid w:val="006A76E7"/>
    <w:rsid w:val="006B002E"/>
    <w:rsid w:val="006B010F"/>
    <w:rsid w:val="006B027E"/>
    <w:rsid w:val="006B0404"/>
    <w:rsid w:val="006B0F0C"/>
    <w:rsid w:val="006B11A5"/>
    <w:rsid w:val="006B1CFD"/>
    <w:rsid w:val="006B2193"/>
    <w:rsid w:val="006B2221"/>
    <w:rsid w:val="006B2487"/>
    <w:rsid w:val="006B28D7"/>
    <w:rsid w:val="006B28EA"/>
    <w:rsid w:val="006B31F7"/>
    <w:rsid w:val="006B34D0"/>
    <w:rsid w:val="006B4156"/>
    <w:rsid w:val="006B4246"/>
    <w:rsid w:val="006B4302"/>
    <w:rsid w:val="006B44EA"/>
    <w:rsid w:val="006B4861"/>
    <w:rsid w:val="006B5064"/>
    <w:rsid w:val="006B5542"/>
    <w:rsid w:val="006B5DC8"/>
    <w:rsid w:val="006B636D"/>
    <w:rsid w:val="006B69CB"/>
    <w:rsid w:val="006B72E2"/>
    <w:rsid w:val="006B748A"/>
    <w:rsid w:val="006B783D"/>
    <w:rsid w:val="006C0A7E"/>
    <w:rsid w:val="006C0AD3"/>
    <w:rsid w:val="006C10DE"/>
    <w:rsid w:val="006C114C"/>
    <w:rsid w:val="006C1609"/>
    <w:rsid w:val="006C16AF"/>
    <w:rsid w:val="006C1CA0"/>
    <w:rsid w:val="006C1CD6"/>
    <w:rsid w:val="006C2385"/>
    <w:rsid w:val="006C2942"/>
    <w:rsid w:val="006C2D40"/>
    <w:rsid w:val="006C2FC0"/>
    <w:rsid w:val="006C2FFB"/>
    <w:rsid w:val="006C308D"/>
    <w:rsid w:val="006C3100"/>
    <w:rsid w:val="006C3572"/>
    <w:rsid w:val="006C3B41"/>
    <w:rsid w:val="006C3FD6"/>
    <w:rsid w:val="006C4E77"/>
    <w:rsid w:val="006C501D"/>
    <w:rsid w:val="006C506C"/>
    <w:rsid w:val="006C51B9"/>
    <w:rsid w:val="006C526A"/>
    <w:rsid w:val="006C53E3"/>
    <w:rsid w:val="006C56FE"/>
    <w:rsid w:val="006C5E45"/>
    <w:rsid w:val="006C6313"/>
    <w:rsid w:val="006C6625"/>
    <w:rsid w:val="006C67E3"/>
    <w:rsid w:val="006C6A22"/>
    <w:rsid w:val="006C70CE"/>
    <w:rsid w:val="006C78C2"/>
    <w:rsid w:val="006C7B15"/>
    <w:rsid w:val="006C7E31"/>
    <w:rsid w:val="006D03AC"/>
    <w:rsid w:val="006D0AC9"/>
    <w:rsid w:val="006D0B7B"/>
    <w:rsid w:val="006D1104"/>
    <w:rsid w:val="006D16E3"/>
    <w:rsid w:val="006D22FD"/>
    <w:rsid w:val="006D2731"/>
    <w:rsid w:val="006D3650"/>
    <w:rsid w:val="006D3A15"/>
    <w:rsid w:val="006D3A8C"/>
    <w:rsid w:val="006D3CC5"/>
    <w:rsid w:val="006D3D64"/>
    <w:rsid w:val="006D4203"/>
    <w:rsid w:val="006D46DE"/>
    <w:rsid w:val="006D4F70"/>
    <w:rsid w:val="006D50EC"/>
    <w:rsid w:val="006D513C"/>
    <w:rsid w:val="006D52E1"/>
    <w:rsid w:val="006D6080"/>
    <w:rsid w:val="006D669A"/>
    <w:rsid w:val="006D698E"/>
    <w:rsid w:val="006D69A1"/>
    <w:rsid w:val="006D6E64"/>
    <w:rsid w:val="006D6E98"/>
    <w:rsid w:val="006D74FF"/>
    <w:rsid w:val="006E0873"/>
    <w:rsid w:val="006E0910"/>
    <w:rsid w:val="006E0E28"/>
    <w:rsid w:val="006E12B4"/>
    <w:rsid w:val="006E171E"/>
    <w:rsid w:val="006E1E07"/>
    <w:rsid w:val="006E1E34"/>
    <w:rsid w:val="006E1EF6"/>
    <w:rsid w:val="006E1FD7"/>
    <w:rsid w:val="006E25A0"/>
    <w:rsid w:val="006E29B5"/>
    <w:rsid w:val="006E2C40"/>
    <w:rsid w:val="006E2D8B"/>
    <w:rsid w:val="006E2F4C"/>
    <w:rsid w:val="006E35FA"/>
    <w:rsid w:val="006E37C1"/>
    <w:rsid w:val="006E380F"/>
    <w:rsid w:val="006E3F04"/>
    <w:rsid w:val="006E42EE"/>
    <w:rsid w:val="006E472C"/>
    <w:rsid w:val="006E48D3"/>
    <w:rsid w:val="006E4A8B"/>
    <w:rsid w:val="006E4F3D"/>
    <w:rsid w:val="006E536C"/>
    <w:rsid w:val="006E5453"/>
    <w:rsid w:val="006E54E7"/>
    <w:rsid w:val="006E561E"/>
    <w:rsid w:val="006E5D2D"/>
    <w:rsid w:val="006E6652"/>
    <w:rsid w:val="006E66FE"/>
    <w:rsid w:val="006E6753"/>
    <w:rsid w:val="006E69A8"/>
    <w:rsid w:val="006E6C45"/>
    <w:rsid w:val="006E6DBA"/>
    <w:rsid w:val="006E719E"/>
    <w:rsid w:val="006E7273"/>
    <w:rsid w:val="006E7301"/>
    <w:rsid w:val="006E7311"/>
    <w:rsid w:val="006E76BA"/>
    <w:rsid w:val="006F0021"/>
    <w:rsid w:val="006F03B0"/>
    <w:rsid w:val="006F0982"/>
    <w:rsid w:val="006F0ACA"/>
    <w:rsid w:val="006F185B"/>
    <w:rsid w:val="006F1C8C"/>
    <w:rsid w:val="006F1CE4"/>
    <w:rsid w:val="006F1E2A"/>
    <w:rsid w:val="006F242A"/>
    <w:rsid w:val="006F2B3E"/>
    <w:rsid w:val="006F2E41"/>
    <w:rsid w:val="006F3478"/>
    <w:rsid w:val="006F3DE0"/>
    <w:rsid w:val="006F47AC"/>
    <w:rsid w:val="006F51F3"/>
    <w:rsid w:val="006F51FE"/>
    <w:rsid w:val="006F56DF"/>
    <w:rsid w:val="006F59A2"/>
    <w:rsid w:val="006F5D34"/>
    <w:rsid w:val="006F6A2E"/>
    <w:rsid w:val="006F6DB2"/>
    <w:rsid w:val="006F7866"/>
    <w:rsid w:val="006F793A"/>
    <w:rsid w:val="006F7B94"/>
    <w:rsid w:val="006F7CEE"/>
    <w:rsid w:val="006F7CFB"/>
    <w:rsid w:val="006F7D90"/>
    <w:rsid w:val="006F7F75"/>
    <w:rsid w:val="00700251"/>
    <w:rsid w:val="00700632"/>
    <w:rsid w:val="00700992"/>
    <w:rsid w:val="007009AC"/>
    <w:rsid w:val="00700E5A"/>
    <w:rsid w:val="00700F06"/>
    <w:rsid w:val="007011AD"/>
    <w:rsid w:val="007011F2"/>
    <w:rsid w:val="00701827"/>
    <w:rsid w:val="00701AF1"/>
    <w:rsid w:val="00702077"/>
    <w:rsid w:val="0070298D"/>
    <w:rsid w:val="00702E12"/>
    <w:rsid w:val="00702F9A"/>
    <w:rsid w:val="00703BE9"/>
    <w:rsid w:val="00703D9A"/>
    <w:rsid w:val="007042E8"/>
    <w:rsid w:val="007045E4"/>
    <w:rsid w:val="0070468A"/>
    <w:rsid w:val="007048E0"/>
    <w:rsid w:val="00704A8E"/>
    <w:rsid w:val="00704D4A"/>
    <w:rsid w:val="007050D7"/>
    <w:rsid w:val="007057B4"/>
    <w:rsid w:val="00705C91"/>
    <w:rsid w:val="00705C9A"/>
    <w:rsid w:val="00705CA7"/>
    <w:rsid w:val="00705EA7"/>
    <w:rsid w:val="007063C2"/>
    <w:rsid w:val="007072CA"/>
    <w:rsid w:val="007073F2"/>
    <w:rsid w:val="007074A1"/>
    <w:rsid w:val="007100BE"/>
    <w:rsid w:val="00710544"/>
    <w:rsid w:val="00710546"/>
    <w:rsid w:val="007109AC"/>
    <w:rsid w:val="0071100C"/>
    <w:rsid w:val="0071145A"/>
    <w:rsid w:val="007115EB"/>
    <w:rsid w:val="007119E1"/>
    <w:rsid w:val="00711B3C"/>
    <w:rsid w:val="00711F54"/>
    <w:rsid w:val="00711FD2"/>
    <w:rsid w:val="0071244A"/>
    <w:rsid w:val="0071250D"/>
    <w:rsid w:val="007128E9"/>
    <w:rsid w:val="00713181"/>
    <w:rsid w:val="007132BE"/>
    <w:rsid w:val="0071346F"/>
    <w:rsid w:val="00713B1B"/>
    <w:rsid w:val="00713CCE"/>
    <w:rsid w:val="00713F11"/>
    <w:rsid w:val="00715181"/>
    <w:rsid w:val="00715396"/>
    <w:rsid w:val="0071559E"/>
    <w:rsid w:val="00716773"/>
    <w:rsid w:val="00716953"/>
    <w:rsid w:val="007169BD"/>
    <w:rsid w:val="00716CA9"/>
    <w:rsid w:val="007175CC"/>
    <w:rsid w:val="00717C2A"/>
    <w:rsid w:val="007204C5"/>
    <w:rsid w:val="00720542"/>
    <w:rsid w:val="007206E3"/>
    <w:rsid w:val="00720B85"/>
    <w:rsid w:val="00720FCB"/>
    <w:rsid w:val="007212E2"/>
    <w:rsid w:val="00721B9D"/>
    <w:rsid w:val="00721F2F"/>
    <w:rsid w:val="00721FED"/>
    <w:rsid w:val="0072206E"/>
    <w:rsid w:val="0072227D"/>
    <w:rsid w:val="0072277B"/>
    <w:rsid w:val="007227D8"/>
    <w:rsid w:val="0072293C"/>
    <w:rsid w:val="00723075"/>
    <w:rsid w:val="00723827"/>
    <w:rsid w:val="00723B63"/>
    <w:rsid w:val="007242C6"/>
    <w:rsid w:val="00724438"/>
    <w:rsid w:val="0072464A"/>
    <w:rsid w:val="0072504A"/>
    <w:rsid w:val="00725148"/>
    <w:rsid w:val="007251BF"/>
    <w:rsid w:val="007257BE"/>
    <w:rsid w:val="00725801"/>
    <w:rsid w:val="00725A21"/>
    <w:rsid w:val="00725C2D"/>
    <w:rsid w:val="00725E6B"/>
    <w:rsid w:val="00726B73"/>
    <w:rsid w:val="00726EE2"/>
    <w:rsid w:val="00727837"/>
    <w:rsid w:val="00730724"/>
    <w:rsid w:val="00730828"/>
    <w:rsid w:val="00730A7B"/>
    <w:rsid w:val="00730AB7"/>
    <w:rsid w:val="00730B52"/>
    <w:rsid w:val="00731B4E"/>
    <w:rsid w:val="00731CAB"/>
    <w:rsid w:val="00732F50"/>
    <w:rsid w:val="007333AC"/>
    <w:rsid w:val="007334F5"/>
    <w:rsid w:val="0073433B"/>
    <w:rsid w:val="00734A0C"/>
    <w:rsid w:val="00734AAE"/>
    <w:rsid w:val="00734FA6"/>
    <w:rsid w:val="0073520F"/>
    <w:rsid w:val="00735BFC"/>
    <w:rsid w:val="007369AF"/>
    <w:rsid w:val="00736F64"/>
    <w:rsid w:val="0073718C"/>
    <w:rsid w:val="00737299"/>
    <w:rsid w:val="007379DC"/>
    <w:rsid w:val="007401D2"/>
    <w:rsid w:val="0074061D"/>
    <w:rsid w:val="0074080C"/>
    <w:rsid w:val="0074089E"/>
    <w:rsid w:val="007408EC"/>
    <w:rsid w:val="00740A14"/>
    <w:rsid w:val="00741469"/>
    <w:rsid w:val="00741916"/>
    <w:rsid w:val="00741A5A"/>
    <w:rsid w:val="007425B7"/>
    <w:rsid w:val="00742614"/>
    <w:rsid w:val="00742B53"/>
    <w:rsid w:val="00742DE9"/>
    <w:rsid w:val="00743003"/>
    <w:rsid w:val="0074353C"/>
    <w:rsid w:val="007437E2"/>
    <w:rsid w:val="007437EA"/>
    <w:rsid w:val="00743AC7"/>
    <w:rsid w:val="0074405E"/>
    <w:rsid w:val="00744270"/>
    <w:rsid w:val="00745701"/>
    <w:rsid w:val="00745C29"/>
    <w:rsid w:val="007460A9"/>
    <w:rsid w:val="007461C4"/>
    <w:rsid w:val="0074649D"/>
    <w:rsid w:val="00746503"/>
    <w:rsid w:val="00746E50"/>
    <w:rsid w:val="00746F03"/>
    <w:rsid w:val="00747056"/>
    <w:rsid w:val="00747357"/>
    <w:rsid w:val="00747552"/>
    <w:rsid w:val="00747590"/>
    <w:rsid w:val="00747806"/>
    <w:rsid w:val="0074785F"/>
    <w:rsid w:val="0075064B"/>
    <w:rsid w:val="007508E4"/>
    <w:rsid w:val="007509C2"/>
    <w:rsid w:val="00750FDC"/>
    <w:rsid w:val="00751224"/>
    <w:rsid w:val="00751293"/>
    <w:rsid w:val="0075133E"/>
    <w:rsid w:val="00751370"/>
    <w:rsid w:val="00751D2F"/>
    <w:rsid w:val="007524C3"/>
    <w:rsid w:val="0075297B"/>
    <w:rsid w:val="00752A38"/>
    <w:rsid w:val="0075468D"/>
    <w:rsid w:val="00754916"/>
    <w:rsid w:val="00754C1F"/>
    <w:rsid w:val="00754CA2"/>
    <w:rsid w:val="00754CD6"/>
    <w:rsid w:val="007550CC"/>
    <w:rsid w:val="007554B0"/>
    <w:rsid w:val="00755CBE"/>
    <w:rsid w:val="007561ED"/>
    <w:rsid w:val="00756FA7"/>
    <w:rsid w:val="007576DD"/>
    <w:rsid w:val="00757ACD"/>
    <w:rsid w:val="00757AE4"/>
    <w:rsid w:val="007600D3"/>
    <w:rsid w:val="00760152"/>
    <w:rsid w:val="0076036C"/>
    <w:rsid w:val="00760441"/>
    <w:rsid w:val="00760840"/>
    <w:rsid w:val="00760CD8"/>
    <w:rsid w:val="00760CF7"/>
    <w:rsid w:val="00760FD5"/>
    <w:rsid w:val="00761CD8"/>
    <w:rsid w:val="00761CE8"/>
    <w:rsid w:val="0076209C"/>
    <w:rsid w:val="0076209E"/>
    <w:rsid w:val="007623E4"/>
    <w:rsid w:val="007625B0"/>
    <w:rsid w:val="00762996"/>
    <w:rsid w:val="00762FE7"/>
    <w:rsid w:val="00763E68"/>
    <w:rsid w:val="0076406F"/>
    <w:rsid w:val="0076445F"/>
    <w:rsid w:val="007648F3"/>
    <w:rsid w:val="007649ED"/>
    <w:rsid w:val="00764A2A"/>
    <w:rsid w:val="00764E35"/>
    <w:rsid w:val="007652BF"/>
    <w:rsid w:val="007654D7"/>
    <w:rsid w:val="00765BB4"/>
    <w:rsid w:val="00765BC2"/>
    <w:rsid w:val="00766705"/>
    <w:rsid w:val="00766749"/>
    <w:rsid w:val="007667FD"/>
    <w:rsid w:val="007670FA"/>
    <w:rsid w:val="0076777A"/>
    <w:rsid w:val="007679D6"/>
    <w:rsid w:val="00767AF9"/>
    <w:rsid w:val="00767E7F"/>
    <w:rsid w:val="00770D1F"/>
    <w:rsid w:val="00770F5A"/>
    <w:rsid w:val="00771111"/>
    <w:rsid w:val="00771B5A"/>
    <w:rsid w:val="00771BD7"/>
    <w:rsid w:val="00771C20"/>
    <w:rsid w:val="00771E55"/>
    <w:rsid w:val="00771F1B"/>
    <w:rsid w:val="00771F74"/>
    <w:rsid w:val="0077224F"/>
    <w:rsid w:val="00772803"/>
    <w:rsid w:val="00773665"/>
    <w:rsid w:val="00773C75"/>
    <w:rsid w:val="00775553"/>
    <w:rsid w:val="00775881"/>
    <w:rsid w:val="007759DA"/>
    <w:rsid w:val="00776417"/>
    <w:rsid w:val="00776527"/>
    <w:rsid w:val="0077664F"/>
    <w:rsid w:val="007766D1"/>
    <w:rsid w:val="0077672B"/>
    <w:rsid w:val="007768CC"/>
    <w:rsid w:val="00776F19"/>
    <w:rsid w:val="00777C8E"/>
    <w:rsid w:val="00777FE4"/>
    <w:rsid w:val="00780021"/>
    <w:rsid w:val="00780207"/>
    <w:rsid w:val="007816F3"/>
    <w:rsid w:val="00781DC4"/>
    <w:rsid w:val="00781E9C"/>
    <w:rsid w:val="00781EC8"/>
    <w:rsid w:val="00782122"/>
    <w:rsid w:val="00782B61"/>
    <w:rsid w:val="00782D3F"/>
    <w:rsid w:val="00783B30"/>
    <w:rsid w:val="00784519"/>
    <w:rsid w:val="007846AA"/>
    <w:rsid w:val="0078480A"/>
    <w:rsid w:val="00785058"/>
    <w:rsid w:val="00785BE3"/>
    <w:rsid w:val="00785C25"/>
    <w:rsid w:val="00785F30"/>
    <w:rsid w:val="00785FE1"/>
    <w:rsid w:val="00786768"/>
    <w:rsid w:val="00787CE2"/>
    <w:rsid w:val="00790442"/>
    <w:rsid w:val="00790EE9"/>
    <w:rsid w:val="0079160D"/>
    <w:rsid w:val="0079177C"/>
    <w:rsid w:val="00791CF2"/>
    <w:rsid w:val="00791D90"/>
    <w:rsid w:val="0079229F"/>
    <w:rsid w:val="007922D7"/>
    <w:rsid w:val="007924E3"/>
    <w:rsid w:val="007927F7"/>
    <w:rsid w:val="007931FE"/>
    <w:rsid w:val="00793D16"/>
    <w:rsid w:val="007940C7"/>
    <w:rsid w:val="00794360"/>
    <w:rsid w:val="00794507"/>
    <w:rsid w:val="007951C3"/>
    <w:rsid w:val="007958BF"/>
    <w:rsid w:val="007958D5"/>
    <w:rsid w:val="00795A72"/>
    <w:rsid w:val="007963F2"/>
    <w:rsid w:val="007965FE"/>
    <w:rsid w:val="00796BF3"/>
    <w:rsid w:val="00797064"/>
    <w:rsid w:val="00797341"/>
    <w:rsid w:val="00797863"/>
    <w:rsid w:val="00797D41"/>
    <w:rsid w:val="007A00FE"/>
    <w:rsid w:val="007A07B2"/>
    <w:rsid w:val="007A07B6"/>
    <w:rsid w:val="007A08F2"/>
    <w:rsid w:val="007A0D16"/>
    <w:rsid w:val="007A1397"/>
    <w:rsid w:val="007A1DE6"/>
    <w:rsid w:val="007A29B1"/>
    <w:rsid w:val="007A2BEF"/>
    <w:rsid w:val="007A393D"/>
    <w:rsid w:val="007A3B13"/>
    <w:rsid w:val="007A3FB8"/>
    <w:rsid w:val="007A418F"/>
    <w:rsid w:val="007A44DB"/>
    <w:rsid w:val="007A4893"/>
    <w:rsid w:val="007A499F"/>
    <w:rsid w:val="007A4C53"/>
    <w:rsid w:val="007A4C94"/>
    <w:rsid w:val="007A4D40"/>
    <w:rsid w:val="007A4F01"/>
    <w:rsid w:val="007A4FA8"/>
    <w:rsid w:val="007A540E"/>
    <w:rsid w:val="007A56E9"/>
    <w:rsid w:val="007A5A79"/>
    <w:rsid w:val="007A5CFF"/>
    <w:rsid w:val="007A62E8"/>
    <w:rsid w:val="007A6574"/>
    <w:rsid w:val="007A6951"/>
    <w:rsid w:val="007A6CE5"/>
    <w:rsid w:val="007A6E66"/>
    <w:rsid w:val="007A7000"/>
    <w:rsid w:val="007A700C"/>
    <w:rsid w:val="007A7151"/>
    <w:rsid w:val="007A7293"/>
    <w:rsid w:val="007A74DB"/>
    <w:rsid w:val="007A798C"/>
    <w:rsid w:val="007B0547"/>
    <w:rsid w:val="007B07C4"/>
    <w:rsid w:val="007B1011"/>
    <w:rsid w:val="007B1147"/>
    <w:rsid w:val="007B1183"/>
    <w:rsid w:val="007B1487"/>
    <w:rsid w:val="007B1B48"/>
    <w:rsid w:val="007B1E81"/>
    <w:rsid w:val="007B23D4"/>
    <w:rsid w:val="007B2433"/>
    <w:rsid w:val="007B27F8"/>
    <w:rsid w:val="007B2804"/>
    <w:rsid w:val="007B29DB"/>
    <w:rsid w:val="007B2B2D"/>
    <w:rsid w:val="007B2C02"/>
    <w:rsid w:val="007B2D53"/>
    <w:rsid w:val="007B37EA"/>
    <w:rsid w:val="007B468D"/>
    <w:rsid w:val="007B4B86"/>
    <w:rsid w:val="007B50AC"/>
    <w:rsid w:val="007B5189"/>
    <w:rsid w:val="007B5DB3"/>
    <w:rsid w:val="007B683D"/>
    <w:rsid w:val="007B68CC"/>
    <w:rsid w:val="007B71DF"/>
    <w:rsid w:val="007B76D4"/>
    <w:rsid w:val="007B78FF"/>
    <w:rsid w:val="007B7B64"/>
    <w:rsid w:val="007C033F"/>
    <w:rsid w:val="007C03C5"/>
    <w:rsid w:val="007C04D7"/>
    <w:rsid w:val="007C09C4"/>
    <w:rsid w:val="007C0D19"/>
    <w:rsid w:val="007C108D"/>
    <w:rsid w:val="007C10E7"/>
    <w:rsid w:val="007C1404"/>
    <w:rsid w:val="007C1495"/>
    <w:rsid w:val="007C188B"/>
    <w:rsid w:val="007C1B90"/>
    <w:rsid w:val="007C1CA0"/>
    <w:rsid w:val="007C1E63"/>
    <w:rsid w:val="007C20D3"/>
    <w:rsid w:val="007C21D3"/>
    <w:rsid w:val="007C2413"/>
    <w:rsid w:val="007C33E0"/>
    <w:rsid w:val="007C39DD"/>
    <w:rsid w:val="007C3B0A"/>
    <w:rsid w:val="007C3CAC"/>
    <w:rsid w:val="007C3D7D"/>
    <w:rsid w:val="007C4382"/>
    <w:rsid w:val="007C4812"/>
    <w:rsid w:val="007C4D94"/>
    <w:rsid w:val="007C4ED7"/>
    <w:rsid w:val="007C5204"/>
    <w:rsid w:val="007C549A"/>
    <w:rsid w:val="007C549F"/>
    <w:rsid w:val="007C59F4"/>
    <w:rsid w:val="007C5FC1"/>
    <w:rsid w:val="007C60FE"/>
    <w:rsid w:val="007C638D"/>
    <w:rsid w:val="007C6CE6"/>
    <w:rsid w:val="007C7D0C"/>
    <w:rsid w:val="007D099B"/>
    <w:rsid w:val="007D0A66"/>
    <w:rsid w:val="007D0ACB"/>
    <w:rsid w:val="007D0B3E"/>
    <w:rsid w:val="007D0C32"/>
    <w:rsid w:val="007D1259"/>
    <w:rsid w:val="007D1267"/>
    <w:rsid w:val="007D1401"/>
    <w:rsid w:val="007D1740"/>
    <w:rsid w:val="007D1832"/>
    <w:rsid w:val="007D20E3"/>
    <w:rsid w:val="007D211E"/>
    <w:rsid w:val="007D2343"/>
    <w:rsid w:val="007D2347"/>
    <w:rsid w:val="007D311B"/>
    <w:rsid w:val="007D32E9"/>
    <w:rsid w:val="007D3496"/>
    <w:rsid w:val="007D3894"/>
    <w:rsid w:val="007D3978"/>
    <w:rsid w:val="007D3B37"/>
    <w:rsid w:val="007D44CC"/>
    <w:rsid w:val="007D45BE"/>
    <w:rsid w:val="007D468E"/>
    <w:rsid w:val="007D4BE4"/>
    <w:rsid w:val="007D4DE7"/>
    <w:rsid w:val="007D5141"/>
    <w:rsid w:val="007D5457"/>
    <w:rsid w:val="007D56A2"/>
    <w:rsid w:val="007D6B0E"/>
    <w:rsid w:val="007D70CA"/>
    <w:rsid w:val="007D713C"/>
    <w:rsid w:val="007D729E"/>
    <w:rsid w:val="007D74F1"/>
    <w:rsid w:val="007D7815"/>
    <w:rsid w:val="007D7F73"/>
    <w:rsid w:val="007E0077"/>
    <w:rsid w:val="007E0955"/>
    <w:rsid w:val="007E0C2B"/>
    <w:rsid w:val="007E0C3F"/>
    <w:rsid w:val="007E0EE8"/>
    <w:rsid w:val="007E1550"/>
    <w:rsid w:val="007E15F0"/>
    <w:rsid w:val="007E182D"/>
    <w:rsid w:val="007E1BC9"/>
    <w:rsid w:val="007E1EB7"/>
    <w:rsid w:val="007E2517"/>
    <w:rsid w:val="007E26F6"/>
    <w:rsid w:val="007E3C02"/>
    <w:rsid w:val="007E3E9F"/>
    <w:rsid w:val="007E4550"/>
    <w:rsid w:val="007E49CD"/>
    <w:rsid w:val="007E4B3F"/>
    <w:rsid w:val="007E534E"/>
    <w:rsid w:val="007E541A"/>
    <w:rsid w:val="007E54F1"/>
    <w:rsid w:val="007E55D3"/>
    <w:rsid w:val="007E569A"/>
    <w:rsid w:val="007E60EF"/>
    <w:rsid w:val="007E6631"/>
    <w:rsid w:val="007E66BB"/>
    <w:rsid w:val="007E6929"/>
    <w:rsid w:val="007E73B7"/>
    <w:rsid w:val="007E7967"/>
    <w:rsid w:val="007E7C4D"/>
    <w:rsid w:val="007E7E7A"/>
    <w:rsid w:val="007E7F32"/>
    <w:rsid w:val="007F01B4"/>
    <w:rsid w:val="007F0289"/>
    <w:rsid w:val="007F04B3"/>
    <w:rsid w:val="007F0A21"/>
    <w:rsid w:val="007F11AB"/>
    <w:rsid w:val="007F17FB"/>
    <w:rsid w:val="007F191E"/>
    <w:rsid w:val="007F1B1B"/>
    <w:rsid w:val="007F1C7F"/>
    <w:rsid w:val="007F287F"/>
    <w:rsid w:val="007F3647"/>
    <w:rsid w:val="007F4599"/>
    <w:rsid w:val="007F50A2"/>
    <w:rsid w:val="007F519D"/>
    <w:rsid w:val="007F51C5"/>
    <w:rsid w:val="007F543E"/>
    <w:rsid w:val="007F5950"/>
    <w:rsid w:val="007F5ECE"/>
    <w:rsid w:val="007F6018"/>
    <w:rsid w:val="007F62C9"/>
    <w:rsid w:val="007F65C6"/>
    <w:rsid w:val="007F7445"/>
    <w:rsid w:val="007F7835"/>
    <w:rsid w:val="007F7A71"/>
    <w:rsid w:val="008005D0"/>
    <w:rsid w:val="00800679"/>
    <w:rsid w:val="008006C5"/>
    <w:rsid w:val="00800D50"/>
    <w:rsid w:val="00801006"/>
    <w:rsid w:val="00801B25"/>
    <w:rsid w:val="00801FD4"/>
    <w:rsid w:val="00802019"/>
    <w:rsid w:val="008024ED"/>
    <w:rsid w:val="00802FAD"/>
    <w:rsid w:val="008038E4"/>
    <w:rsid w:val="00803F0E"/>
    <w:rsid w:val="008042CF"/>
    <w:rsid w:val="00804B6F"/>
    <w:rsid w:val="00804DC9"/>
    <w:rsid w:val="00804EA7"/>
    <w:rsid w:val="00804EDE"/>
    <w:rsid w:val="00804FA6"/>
    <w:rsid w:val="0080514F"/>
    <w:rsid w:val="00805756"/>
    <w:rsid w:val="00805E66"/>
    <w:rsid w:val="00805EB0"/>
    <w:rsid w:val="00806779"/>
    <w:rsid w:val="00806CD3"/>
    <w:rsid w:val="0080715E"/>
    <w:rsid w:val="008073DF"/>
    <w:rsid w:val="008075F4"/>
    <w:rsid w:val="00807F3A"/>
    <w:rsid w:val="00811345"/>
    <w:rsid w:val="008121FA"/>
    <w:rsid w:val="00812333"/>
    <w:rsid w:val="0081233E"/>
    <w:rsid w:val="008124C3"/>
    <w:rsid w:val="00812877"/>
    <w:rsid w:val="00812BB2"/>
    <w:rsid w:val="00812D4F"/>
    <w:rsid w:val="008134BC"/>
    <w:rsid w:val="00813715"/>
    <w:rsid w:val="00813A37"/>
    <w:rsid w:val="00813DBC"/>
    <w:rsid w:val="00814E47"/>
    <w:rsid w:val="00814F41"/>
    <w:rsid w:val="00815329"/>
    <w:rsid w:val="0081541F"/>
    <w:rsid w:val="00815795"/>
    <w:rsid w:val="008157FB"/>
    <w:rsid w:val="00815A70"/>
    <w:rsid w:val="0081605E"/>
    <w:rsid w:val="00816278"/>
    <w:rsid w:val="00816339"/>
    <w:rsid w:val="00816D3B"/>
    <w:rsid w:val="00817487"/>
    <w:rsid w:val="0081761C"/>
    <w:rsid w:val="008176E0"/>
    <w:rsid w:val="008179DA"/>
    <w:rsid w:val="00817B73"/>
    <w:rsid w:val="00817E15"/>
    <w:rsid w:val="00820611"/>
    <w:rsid w:val="00820C95"/>
    <w:rsid w:val="00820EBD"/>
    <w:rsid w:val="00820EEE"/>
    <w:rsid w:val="00821392"/>
    <w:rsid w:val="0082145F"/>
    <w:rsid w:val="008215CF"/>
    <w:rsid w:val="008227B8"/>
    <w:rsid w:val="00822938"/>
    <w:rsid w:val="00822F55"/>
    <w:rsid w:val="008233E1"/>
    <w:rsid w:val="008234C5"/>
    <w:rsid w:val="008234CB"/>
    <w:rsid w:val="00823BB5"/>
    <w:rsid w:val="008240EB"/>
    <w:rsid w:val="00824459"/>
    <w:rsid w:val="00824477"/>
    <w:rsid w:val="00824658"/>
    <w:rsid w:val="00824845"/>
    <w:rsid w:val="00824DD2"/>
    <w:rsid w:val="00824E4E"/>
    <w:rsid w:val="008251C8"/>
    <w:rsid w:val="0082563E"/>
    <w:rsid w:val="00825BC6"/>
    <w:rsid w:val="00825C28"/>
    <w:rsid w:val="00825EF5"/>
    <w:rsid w:val="0082665C"/>
    <w:rsid w:val="00826E82"/>
    <w:rsid w:val="00827545"/>
    <w:rsid w:val="0082789C"/>
    <w:rsid w:val="00830554"/>
    <w:rsid w:val="0083074A"/>
    <w:rsid w:val="008308DF"/>
    <w:rsid w:val="00830DEA"/>
    <w:rsid w:val="0083140D"/>
    <w:rsid w:val="008316B3"/>
    <w:rsid w:val="008317A7"/>
    <w:rsid w:val="00831956"/>
    <w:rsid w:val="008319BF"/>
    <w:rsid w:val="00831D31"/>
    <w:rsid w:val="0083216A"/>
    <w:rsid w:val="008328CF"/>
    <w:rsid w:val="00832A14"/>
    <w:rsid w:val="00832ACE"/>
    <w:rsid w:val="00832F01"/>
    <w:rsid w:val="0083325E"/>
    <w:rsid w:val="0083334E"/>
    <w:rsid w:val="00833DD4"/>
    <w:rsid w:val="008343C3"/>
    <w:rsid w:val="0083453D"/>
    <w:rsid w:val="008345E0"/>
    <w:rsid w:val="00834DE6"/>
    <w:rsid w:val="00834E53"/>
    <w:rsid w:val="008350DD"/>
    <w:rsid w:val="00835783"/>
    <w:rsid w:val="008358A5"/>
    <w:rsid w:val="00835C83"/>
    <w:rsid w:val="00836858"/>
    <w:rsid w:val="00836AA3"/>
    <w:rsid w:val="00837202"/>
    <w:rsid w:val="00837EB2"/>
    <w:rsid w:val="00840012"/>
    <w:rsid w:val="008406EF"/>
    <w:rsid w:val="008407CD"/>
    <w:rsid w:val="00841949"/>
    <w:rsid w:val="008422E1"/>
    <w:rsid w:val="0084250D"/>
    <w:rsid w:val="0084256A"/>
    <w:rsid w:val="00842F22"/>
    <w:rsid w:val="008432B5"/>
    <w:rsid w:val="0084366D"/>
    <w:rsid w:val="00843B46"/>
    <w:rsid w:val="008443AD"/>
    <w:rsid w:val="00844494"/>
    <w:rsid w:val="00844706"/>
    <w:rsid w:val="0084558C"/>
    <w:rsid w:val="008455AE"/>
    <w:rsid w:val="00845B0A"/>
    <w:rsid w:val="00845E2D"/>
    <w:rsid w:val="00845E32"/>
    <w:rsid w:val="00845F87"/>
    <w:rsid w:val="008461A2"/>
    <w:rsid w:val="0084622E"/>
    <w:rsid w:val="008462C5"/>
    <w:rsid w:val="008464FC"/>
    <w:rsid w:val="008475A8"/>
    <w:rsid w:val="008476FB"/>
    <w:rsid w:val="00847B4A"/>
    <w:rsid w:val="008502D5"/>
    <w:rsid w:val="00850C59"/>
    <w:rsid w:val="00850D79"/>
    <w:rsid w:val="00850FA8"/>
    <w:rsid w:val="008511CE"/>
    <w:rsid w:val="008513EE"/>
    <w:rsid w:val="00851593"/>
    <w:rsid w:val="00851C72"/>
    <w:rsid w:val="00852737"/>
    <w:rsid w:val="00852B76"/>
    <w:rsid w:val="008533A1"/>
    <w:rsid w:val="00853A26"/>
    <w:rsid w:val="00853C5F"/>
    <w:rsid w:val="008540B0"/>
    <w:rsid w:val="0085453B"/>
    <w:rsid w:val="008559E7"/>
    <w:rsid w:val="00856124"/>
    <w:rsid w:val="008562A0"/>
    <w:rsid w:val="008567E8"/>
    <w:rsid w:val="008567FB"/>
    <w:rsid w:val="00856928"/>
    <w:rsid w:val="0085770E"/>
    <w:rsid w:val="00857C79"/>
    <w:rsid w:val="00857CCA"/>
    <w:rsid w:val="00857CD5"/>
    <w:rsid w:val="0086012C"/>
    <w:rsid w:val="00860B68"/>
    <w:rsid w:val="00860B8B"/>
    <w:rsid w:val="00860CF7"/>
    <w:rsid w:val="00860E53"/>
    <w:rsid w:val="00861C8B"/>
    <w:rsid w:val="00861DAB"/>
    <w:rsid w:val="00861DD8"/>
    <w:rsid w:val="00862856"/>
    <w:rsid w:val="008633FB"/>
    <w:rsid w:val="00863C06"/>
    <w:rsid w:val="00863ED5"/>
    <w:rsid w:val="00863F9B"/>
    <w:rsid w:val="00863FBA"/>
    <w:rsid w:val="00864A26"/>
    <w:rsid w:val="00864CEE"/>
    <w:rsid w:val="00864F8D"/>
    <w:rsid w:val="00865495"/>
    <w:rsid w:val="008658A1"/>
    <w:rsid w:val="00865990"/>
    <w:rsid w:val="00865DB0"/>
    <w:rsid w:val="00866251"/>
    <w:rsid w:val="0086642E"/>
    <w:rsid w:val="00866727"/>
    <w:rsid w:val="0086676D"/>
    <w:rsid w:val="008669DD"/>
    <w:rsid w:val="00866A45"/>
    <w:rsid w:val="00866D12"/>
    <w:rsid w:val="00866E1D"/>
    <w:rsid w:val="008670F0"/>
    <w:rsid w:val="00867399"/>
    <w:rsid w:val="008675AF"/>
    <w:rsid w:val="00867845"/>
    <w:rsid w:val="00867A2D"/>
    <w:rsid w:val="00867CCD"/>
    <w:rsid w:val="00870A0A"/>
    <w:rsid w:val="00870B2A"/>
    <w:rsid w:val="00871615"/>
    <w:rsid w:val="00871640"/>
    <w:rsid w:val="008716C7"/>
    <w:rsid w:val="00871E30"/>
    <w:rsid w:val="00871ED0"/>
    <w:rsid w:val="00871F5E"/>
    <w:rsid w:val="0087212A"/>
    <w:rsid w:val="008725EB"/>
    <w:rsid w:val="00872D68"/>
    <w:rsid w:val="00872DCC"/>
    <w:rsid w:val="00872F9B"/>
    <w:rsid w:val="00872FCB"/>
    <w:rsid w:val="00873F4C"/>
    <w:rsid w:val="00874277"/>
    <w:rsid w:val="00874561"/>
    <w:rsid w:val="00874853"/>
    <w:rsid w:val="00874A9B"/>
    <w:rsid w:val="00874B16"/>
    <w:rsid w:val="00874EC2"/>
    <w:rsid w:val="008751F6"/>
    <w:rsid w:val="008757AD"/>
    <w:rsid w:val="0087626E"/>
    <w:rsid w:val="008762D9"/>
    <w:rsid w:val="0087675D"/>
    <w:rsid w:val="008769D3"/>
    <w:rsid w:val="00876D38"/>
    <w:rsid w:val="00876F97"/>
    <w:rsid w:val="00877142"/>
    <w:rsid w:val="008773EF"/>
    <w:rsid w:val="00877509"/>
    <w:rsid w:val="00877B4D"/>
    <w:rsid w:val="00877C80"/>
    <w:rsid w:val="00877D94"/>
    <w:rsid w:val="00877EFC"/>
    <w:rsid w:val="0088011D"/>
    <w:rsid w:val="008803B8"/>
    <w:rsid w:val="00880A03"/>
    <w:rsid w:val="00880C8F"/>
    <w:rsid w:val="00880D3E"/>
    <w:rsid w:val="00881436"/>
    <w:rsid w:val="00881F80"/>
    <w:rsid w:val="00882184"/>
    <w:rsid w:val="00882404"/>
    <w:rsid w:val="008827C4"/>
    <w:rsid w:val="0088280A"/>
    <w:rsid w:val="00882851"/>
    <w:rsid w:val="00883C3C"/>
    <w:rsid w:val="00884807"/>
    <w:rsid w:val="00884A96"/>
    <w:rsid w:val="0088550D"/>
    <w:rsid w:val="00885EA2"/>
    <w:rsid w:val="00887805"/>
    <w:rsid w:val="008879AE"/>
    <w:rsid w:val="00887ABF"/>
    <w:rsid w:val="00890F46"/>
    <w:rsid w:val="0089118E"/>
    <w:rsid w:val="008917D9"/>
    <w:rsid w:val="00891F6E"/>
    <w:rsid w:val="00891FF2"/>
    <w:rsid w:val="00892A60"/>
    <w:rsid w:val="00892EC2"/>
    <w:rsid w:val="008931E5"/>
    <w:rsid w:val="008932EE"/>
    <w:rsid w:val="008943B3"/>
    <w:rsid w:val="00894440"/>
    <w:rsid w:val="008952F0"/>
    <w:rsid w:val="008952FB"/>
    <w:rsid w:val="008953C5"/>
    <w:rsid w:val="008953E3"/>
    <w:rsid w:val="00895FC4"/>
    <w:rsid w:val="008967FC"/>
    <w:rsid w:val="00896822"/>
    <w:rsid w:val="00896A49"/>
    <w:rsid w:val="00896DA0"/>
    <w:rsid w:val="008978BD"/>
    <w:rsid w:val="00897AB0"/>
    <w:rsid w:val="008A02BD"/>
    <w:rsid w:val="008A0594"/>
    <w:rsid w:val="008A0FDD"/>
    <w:rsid w:val="008A130F"/>
    <w:rsid w:val="008A140D"/>
    <w:rsid w:val="008A1B91"/>
    <w:rsid w:val="008A1E23"/>
    <w:rsid w:val="008A1EB3"/>
    <w:rsid w:val="008A22DF"/>
    <w:rsid w:val="008A2846"/>
    <w:rsid w:val="008A2EF0"/>
    <w:rsid w:val="008A35DF"/>
    <w:rsid w:val="008A36ED"/>
    <w:rsid w:val="008A37A3"/>
    <w:rsid w:val="008A38B9"/>
    <w:rsid w:val="008A3E51"/>
    <w:rsid w:val="008A4B9F"/>
    <w:rsid w:val="008A52C8"/>
    <w:rsid w:val="008A5539"/>
    <w:rsid w:val="008A567D"/>
    <w:rsid w:val="008A6160"/>
    <w:rsid w:val="008A6548"/>
    <w:rsid w:val="008A6E45"/>
    <w:rsid w:val="008A7183"/>
    <w:rsid w:val="008A7650"/>
    <w:rsid w:val="008A7A30"/>
    <w:rsid w:val="008A7CDD"/>
    <w:rsid w:val="008B00A0"/>
    <w:rsid w:val="008B01BC"/>
    <w:rsid w:val="008B01FF"/>
    <w:rsid w:val="008B0463"/>
    <w:rsid w:val="008B0C76"/>
    <w:rsid w:val="008B0C96"/>
    <w:rsid w:val="008B15F8"/>
    <w:rsid w:val="008B194F"/>
    <w:rsid w:val="008B20A9"/>
    <w:rsid w:val="008B3392"/>
    <w:rsid w:val="008B3683"/>
    <w:rsid w:val="008B3797"/>
    <w:rsid w:val="008B421A"/>
    <w:rsid w:val="008B43B0"/>
    <w:rsid w:val="008B5440"/>
    <w:rsid w:val="008B564E"/>
    <w:rsid w:val="008B5F55"/>
    <w:rsid w:val="008B5FF7"/>
    <w:rsid w:val="008B6220"/>
    <w:rsid w:val="008B635E"/>
    <w:rsid w:val="008B6528"/>
    <w:rsid w:val="008B6577"/>
    <w:rsid w:val="008B6593"/>
    <w:rsid w:val="008B6695"/>
    <w:rsid w:val="008B6E2A"/>
    <w:rsid w:val="008B70DB"/>
    <w:rsid w:val="008B7A12"/>
    <w:rsid w:val="008B7C92"/>
    <w:rsid w:val="008C0448"/>
    <w:rsid w:val="008C06A4"/>
    <w:rsid w:val="008C0E62"/>
    <w:rsid w:val="008C1260"/>
    <w:rsid w:val="008C126A"/>
    <w:rsid w:val="008C1622"/>
    <w:rsid w:val="008C197F"/>
    <w:rsid w:val="008C1C92"/>
    <w:rsid w:val="008C1C94"/>
    <w:rsid w:val="008C2294"/>
    <w:rsid w:val="008C23EB"/>
    <w:rsid w:val="008C2446"/>
    <w:rsid w:val="008C26FF"/>
    <w:rsid w:val="008C2A9A"/>
    <w:rsid w:val="008C3417"/>
    <w:rsid w:val="008C344F"/>
    <w:rsid w:val="008C45FD"/>
    <w:rsid w:val="008C540D"/>
    <w:rsid w:val="008C5AB0"/>
    <w:rsid w:val="008C5ABF"/>
    <w:rsid w:val="008C62D7"/>
    <w:rsid w:val="008C6420"/>
    <w:rsid w:val="008C67E0"/>
    <w:rsid w:val="008C6C03"/>
    <w:rsid w:val="008C6CA7"/>
    <w:rsid w:val="008C7426"/>
    <w:rsid w:val="008C7B91"/>
    <w:rsid w:val="008C7D93"/>
    <w:rsid w:val="008C7DBC"/>
    <w:rsid w:val="008C7E6A"/>
    <w:rsid w:val="008D0469"/>
    <w:rsid w:val="008D06F3"/>
    <w:rsid w:val="008D0816"/>
    <w:rsid w:val="008D08CB"/>
    <w:rsid w:val="008D093E"/>
    <w:rsid w:val="008D0ECE"/>
    <w:rsid w:val="008D1065"/>
    <w:rsid w:val="008D12E6"/>
    <w:rsid w:val="008D142E"/>
    <w:rsid w:val="008D18CC"/>
    <w:rsid w:val="008D2543"/>
    <w:rsid w:val="008D2CB6"/>
    <w:rsid w:val="008D2CD7"/>
    <w:rsid w:val="008D2F80"/>
    <w:rsid w:val="008D386B"/>
    <w:rsid w:val="008D3E36"/>
    <w:rsid w:val="008D40A0"/>
    <w:rsid w:val="008D4370"/>
    <w:rsid w:val="008D467F"/>
    <w:rsid w:val="008D4C7B"/>
    <w:rsid w:val="008D4D5A"/>
    <w:rsid w:val="008D5379"/>
    <w:rsid w:val="008D6727"/>
    <w:rsid w:val="008D6B92"/>
    <w:rsid w:val="008E02FE"/>
    <w:rsid w:val="008E04F2"/>
    <w:rsid w:val="008E0705"/>
    <w:rsid w:val="008E1352"/>
    <w:rsid w:val="008E19C8"/>
    <w:rsid w:val="008E1A26"/>
    <w:rsid w:val="008E1AD2"/>
    <w:rsid w:val="008E1B97"/>
    <w:rsid w:val="008E20BE"/>
    <w:rsid w:val="008E20C0"/>
    <w:rsid w:val="008E2136"/>
    <w:rsid w:val="008E277B"/>
    <w:rsid w:val="008E30DE"/>
    <w:rsid w:val="008E3140"/>
    <w:rsid w:val="008E31DD"/>
    <w:rsid w:val="008E349C"/>
    <w:rsid w:val="008E35CA"/>
    <w:rsid w:val="008E40CE"/>
    <w:rsid w:val="008E4248"/>
    <w:rsid w:val="008E4584"/>
    <w:rsid w:val="008E497E"/>
    <w:rsid w:val="008E4E83"/>
    <w:rsid w:val="008E546D"/>
    <w:rsid w:val="008E5713"/>
    <w:rsid w:val="008E64B0"/>
    <w:rsid w:val="008E651F"/>
    <w:rsid w:val="008E69FA"/>
    <w:rsid w:val="008E6ADF"/>
    <w:rsid w:val="008E6B4F"/>
    <w:rsid w:val="008E6E69"/>
    <w:rsid w:val="008E7C61"/>
    <w:rsid w:val="008F0002"/>
    <w:rsid w:val="008F02C1"/>
    <w:rsid w:val="008F0C53"/>
    <w:rsid w:val="008F0CA6"/>
    <w:rsid w:val="008F0CA8"/>
    <w:rsid w:val="008F0DAB"/>
    <w:rsid w:val="008F0E13"/>
    <w:rsid w:val="008F13D6"/>
    <w:rsid w:val="008F14FB"/>
    <w:rsid w:val="008F1A56"/>
    <w:rsid w:val="008F1A92"/>
    <w:rsid w:val="008F1C5C"/>
    <w:rsid w:val="008F1D60"/>
    <w:rsid w:val="008F2400"/>
    <w:rsid w:val="008F2412"/>
    <w:rsid w:val="008F25AF"/>
    <w:rsid w:val="008F27F5"/>
    <w:rsid w:val="008F2A7E"/>
    <w:rsid w:val="008F2AA9"/>
    <w:rsid w:val="008F2AB2"/>
    <w:rsid w:val="008F2AC7"/>
    <w:rsid w:val="008F30BB"/>
    <w:rsid w:val="008F33EF"/>
    <w:rsid w:val="008F3558"/>
    <w:rsid w:val="008F4376"/>
    <w:rsid w:val="008F4419"/>
    <w:rsid w:val="008F457D"/>
    <w:rsid w:val="008F475C"/>
    <w:rsid w:val="008F4A4F"/>
    <w:rsid w:val="008F4E7C"/>
    <w:rsid w:val="008F4EE5"/>
    <w:rsid w:val="008F4FC7"/>
    <w:rsid w:val="008F51D9"/>
    <w:rsid w:val="008F56F8"/>
    <w:rsid w:val="008F5853"/>
    <w:rsid w:val="008F7238"/>
    <w:rsid w:val="008F74F5"/>
    <w:rsid w:val="008F7AAF"/>
    <w:rsid w:val="00900151"/>
    <w:rsid w:val="009004CB"/>
    <w:rsid w:val="00900736"/>
    <w:rsid w:val="00900AD1"/>
    <w:rsid w:val="00901982"/>
    <w:rsid w:val="00901A5D"/>
    <w:rsid w:val="00901B44"/>
    <w:rsid w:val="00901DD4"/>
    <w:rsid w:val="00902464"/>
    <w:rsid w:val="009026CA"/>
    <w:rsid w:val="00902F41"/>
    <w:rsid w:val="00903220"/>
    <w:rsid w:val="009035CE"/>
    <w:rsid w:val="00903F05"/>
    <w:rsid w:val="0090424F"/>
    <w:rsid w:val="009048C4"/>
    <w:rsid w:val="00904CD0"/>
    <w:rsid w:val="00904DCB"/>
    <w:rsid w:val="00905583"/>
    <w:rsid w:val="009056BE"/>
    <w:rsid w:val="009059B7"/>
    <w:rsid w:val="00905B2C"/>
    <w:rsid w:val="00906996"/>
    <w:rsid w:val="00907810"/>
    <w:rsid w:val="0090797B"/>
    <w:rsid w:val="0091002A"/>
    <w:rsid w:val="0091048C"/>
    <w:rsid w:val="0091052B"/>
    <w:rsid w:val="00910651"/>
    <w:rsid w:val="009110BB"/>
    <w:rsid w:val="009111BC"/>
    <w:rsid w:val="009111E9"/>
    <w:rsid w:val="00911414"/>
    <w:rsid w:val="009114C3"/>
    <w:rsid w:val="00911FBE"/>
    <w:rsid w:val="00912207"/>
    <w:rsid w:val="0091232E"/>
    <w:rsid w:val="009124E7"/>
    <w:rsid w:val="00912631"/>
    <w:rsid w:val="009127F7"/>
    <w:rsid w:val="0091283A"/>
    <w:rsid w:val="00912D3C"/>
    <w:rsid w:val="00912F1B"/>
    <w:rsid w:val="009137D8"/>
    <w:rsid w:val="00913D34"/>
    <w:rsid w:val="00913D4E"/>
    <w:rsid w:val="0091414D"/>
    <w:rsid w:val="009141DE"/>
    <w:rsid w:val="009146EF"/>
    <w:rsid w:val="00914A61"/>
    <w:rsid w:val="00914D66"/>
    <w:rsid w:val="00914EA2"/>
    <w:rsid w:val="009155A7"/>
    <w:rsid w:val="00915831"/>
    <w:rsid w:val="00915960"/>
    <w:rsid w:val="00915C83"/>
    <w:rsid w:val="0091615C"/>
    <w:rsid w:val="009162F2"/>
    <w:rsid w:val="00916E55"/>
    <w:rsid w:val="009170E4"/>
    <w:rsid w:val="009171BF"/>
    <w:rsid w:val="009173B3"/>
    <w:rsid w:val="0091795D"/>
    <w:rsid w:val="00917D52"/>
    <w:rsid w:val="00917F40"/>
    <w:rsid w:val="00920117"/>
    <w:rsid w:val="009202D3"/>
    <w:rsid w:val="00920666"/>
    <w:rsid w:val="00920F63"/>
    <w:rsid w:val="0092135B"/>
    <w:rsid w:val="00922217"/>
    <w:rsid w:val="009222E3"/>
    <w:rsid w:val="00922363"/>
    <w:rsid w:val="00922994"/>
    <w:rsid w:val="00922A23"/>
    <w:rsid w:val="00922A84"/>
    <w:rsid w:val="00922AB0"/>
    <w:rsid w:val="00922B11"/>
    <w:rsid w:val="00922BEB"/>
    <w:rsid w:val="00922C34"/>
    <w:rsid w:val="00922D76"/>
    <w:rsid w:val="00923C6E"/>
    <w:rsid w:val="00923C73"/>
    <w:rsid w:val="009242C3"/>
    <w:rsid w:val="00924673"/>
    <w:rsid w:val="009249B5"/>
    <w:rsid w:val="00924DB8"/>
    <w:rsid w:val="00924EEA"/>
    <w:rsid w:val="00925125"/>
    <w:rsid w:val="00925139"/>
    <w:rsid w:val="009252A1"/>
    <w:rsid w:val="009253E2"/>
    <w:rsid w:val="00925626"/>
    <w:rsid w:val="0092622C"/>
    <w:rsid w:val="009263AB"/>
    <w:rsid w:val="00926966"/>
    <w:rsid w:val="00926FCA"/>
    <w:rsid w:val="009272FA"/>
    <w:rsid w:val="00927A0F"/>
    <w:rsid w:val="009300B2"/>
    <w:rsid w:val="00930368"/>
    <w:rsid w:val="009303F3"/>
    <w:rsid w:val="009306A6"/>
    <w:rsid w:val="009308C2"/>
    <w:rsid w:val="00930F8F"/>
    <w:rsid w:val="0093234C"/>
    <w:rsid w:val="009329F0"/>
    <w:rsid w:val="00932A0F"/>
    <w:rsid w:val="0093308C"/>
    <w:rsid w:val="00933172"/>
    <w:rsid w:val="0093331E"/>
    <w:rsid w:val="0093391B"/>
    <w:rsid w:val="00933F05"/>
    <w:rsid w:val="00934B24"/>
    <w:rsid w:val="009352B6"/>
    <w:rsid w:val="0093593E"/>
    <w:rsid w:val="00935BF6"/>
    <w:rsid w:val="00935C1E"/>
    <w:rsid w:val="00935C47"/>
    <w:rsid w:val="00936128"/>
    <w:rsid w:val="00936EC1"/>
    <w:rsid w:val="0093707D"/>
    <w:rsid w:val="00937535"/>
    <w:rsid w:val="00937631"/>
    <w:rsid w:val="00940331"/>
    <w:rsid w:val="00940663"/>
    <w:rsid w:val="00940692"/>
    <w:rsid w:val="00940E20"/>
    <w:rsid w:val="00940E6E"/>
    <w:rsid w:val="009414B6"/>
    <w:rsid w:val="009424A2"/>
    <w:rsid w:val="009434DE"/>
    <w:rsid w:val="009435BC"/>
    <w:rsid w:val="0094365D"/>
    <w:rsid w:val="00943696"/>
    <w:rsid w:val="009440C5"/>
    <w:rsid w:val="00944339"/>
    <w:rsid w:val="00945F49"/>
    <w:rsid w:val="00946262"/>
    <w:rsid w:val="009465E4"/>
    <w:rsid w:val="00946759"/>
    <w:rsid w:val="00946F2F"/>
    <w:rsid w:val="00946FB5"/>
    <w:rsid w:val="00947616"/>
    <w:rsid w:val="00947867"/>
    <w:rsid w:val="00947B4A"/>
    <w:rsid w:val="009500B7"/>
    <w:rsid w:val="009501B6"/>
    <w:rsid w:val="00950687"/>
    <w:rsid w:val="009506E0"/>
    <w:rsid w:val="00950870"/>
    <w:rsid w:val="00950D7E"/>
    <w:rsid w:val="00951138"/>
    <w:rsid w:val="00952092"/>
    <w:rsid w:val="0095223A"/>
    <w:rsid w:val="00952EFC"/>
    <w:rsid w:val="00953C50"/>
    <w:rsid w:val="00953FDD"/>
    <w:rsid w:val="00954071"/>
    <w:rsid w:val="009540C5"/>
    <w:rsid w:val="009549A0"/>
    <w:rsid w:val="009549E4"/>
    <w:rsid w:val="00954CCC"/>
    <w:rsid w:val="00955020"/>
    <w:rsid w:val="00955051"/>
    <w:rsid w:val="009555C2"/>
    <w:rsid w:val="00955976"/>
    <w:rsid w:val="00955A76"/>
    <w:rsid w:val="00955DF1"/>
    <w:rsid w:val="00955E0E"/>
    <w:rsid w:val="0095757A"/>
    <w:rsid w:val="009579BF"/>
    <w:rsid w:val="00957F2B"/>
    <w:rsid w:val="00960238"/>
    <w:rsid w:val="00960870"/>
    <w:rsid w:val="00960926"/>
    <w:rsid w:val="00960D29"/>
    <w:rsid w:val="00960DBE"/>
    <w:rsid w:val="00960EE1"/>
    <w:rsid w:val="00961FE9"/>
    <w:rsid w:val="009620B2"/>
    <w:rsid w:val="0096215F"/>
    <w:rsid w:val="009623CE"/>
    <w:rsid w:val="00962D79"/>
    <w:rsid w:val="0096304F"/>
    <w:rsid w:val="00963964"/>
    <w:rsid w:val="0096397A"/>
    <w:rsid w:val="00963B91"/>
    <w:rsid w:val="00963D60"/>
    <w:rsid w:val="009645FC"/>
    <w:rsid w:val="00964993"/>
    <w:rsid w:val="0096514F"/>
    <w:rsid w:val="00965225"/>
    <w:rsid w:val="00966C72"/>
    <w:rsid w:val="009679BB"/>
    <w:rsid w:val="00967A26"/>
    <w:rsid w:val="00967AF9"/>
    <w:rsid w:val="00967C71"/>
    <w:rsid w:val="00967FCE"/>
    <w:rsid w:val="009701FB"/>
    <w:rsid w:val="00970392"/>
    <w:rsid w:val="009703DC"/>
    <w:rsid w:val="00970EF6"/>
    <w:rsid w:val="00971372"/>
    <w:rsid w:val="00971C57"/>
    <w:rsid w:val="00972B5B"/>
    <w:rsid w:val="00972C34"/>
    <w:rsid w:val="00972FD0"/>
    <w:rsid w:val="00973175"/>
    <w:rsid w:val="009736B5"/>
    <w:rsid w:val="009739D0"/>
    <w:rsid w:val="00973E97"/>
    <w:rsid w:val="00974049"/>
    <w:rsid w:val="00974170"/>
    <w:rsid w:val="009741D3"/>
    <w:rsid w:val="009743CB"/>
    <w:rsid w:val="0097446B"/>
    <w:rsid w:val="009749AE"/>
    <w:rsid w:val="009755AA"/>
    <w:rsid w:val="00975BAB"/>
    <w:rsid w:val="00975E29"/>
    <w:rsid w:val="009766B5"/>
    <w:rsid w:val="00976E2C"/>
    <w:rsid w:val="00976F9A"/>
    <w:rsid w:val="009772BC"/>
    <w:rsid w:val="0097752B"/>
    <w:rsid w:val="00977928"/>
    <w:rsid w:val="00977D83"/>
    <w:rsid w:val="00977DCB"/>
    <w:rsid w:val="00977EFE"/>
    <w:rsid w:val="009804EB"/>
    <w:rsid w:val="00980B7B"/>
    <w:rsid w:val="00981895"/>
    <w:rsid w:val="00981F9A"/>
    <w:rsid w:val="0098203D"/>
    <w:rsid w:val="0098205F"/>
    <w:rsid w:val="009832AA"/>
    <w:rsid w:val="00983644"/>
    <w:rsid w:val="00983AEE"/>
    <w:rsid w:val="00983DBE"/>
    <w:rsid w:val="00983DDD"/>
    <w:rsid w:val="00984281"/>
    <w:rsid w:val="009846E7"/>
    <w:rsid w:val="00984797"/>
    <w:rsid w:val="00984930"/>
    <w:rsid w:val="00984C59"/>
    <w:rsid w:val="00985025"/>
    <w:rsid w:val="009856C6"/>
    <w:rsid w:val="009857C7"/>
    <w:rsid w:val="00985FE7"/>
    <w:rsid w:val="0098634C"/>
    <w:rsid w:val="009864D7"/>
    <w:rsid w:val="009865D0"/>
    <w:rsid w:val="00986666"/>
    <w:rsid w:val="00986CA0"/>
    <w:rsid w:val="00986F35"/>
    <w:rsid w:val="0098715C"/>
    <w:rsid w:val="009875CC"/>
    <w:rsid w:val="0098784A"/>
    <w:rsid w:val="00990181"/>
    <w:rsid w:val="0099114E"/>
    <w:rsid w:val="0099161B"/>
    <w:rsid w:val="009916C2"/>
    <w:rsid w:val="00991B7C"/>
    <w:rsid w:val="00991DB0"/>
    <w:rsid w:val="00992527"/>
    <w:rsid w:val="00992551"/>
    <w:rsid w:val="009928FC"/>
    <w:rsid w:val="00992A39"/>
    <w:rsid w:val="00992DC9"/>
    <w:rsid w:val="00992DF3"/>
    <w:rsid w:val="00992FA9"/>
    <w:rsid w:val="00994009"/>
    <w:rsid w:val="009947D1"/>
    <w:rsid w:val="009962D6"/>
    <w:rsid w:val="009969B4"/>
    <w:rsid w:val="00996DFD"/>
    <w:rsid w:val="0099762F"/>
    <w:rsid w:val="00997918"/>
    <w:rsid w:val="00997B0D"/>
    <w:rsid w:val="00997B94"/>
    <w:rsid w:val="00997BE4"/>
    <w:rsid w:val="009A010D"/>
    <w:rsid w:val="009A0DD9"/>
    <w:rsid w:val="009A1268"/>
    <w:rsid w:val="009A15B5"/>
    <w:rsid w:val="009A3072"/>
    <w:rsid w:val="009A35E0"/>
    <w:rsid w:val="009A4950"/>
    <w:rsid w:val="009A4B24"/>
    <w:rsid w:val="009A4ED0"/>
    <w:rsid w:val="009A501B"/>
    <w:rsid w:val="009A5035"/>
    <w:rsid w:val="009A512D"/>
    <w:rsid w:val="009A53F0"/>
    <w:rsid w:val="009A550F"/>
    <w:rsid w:val="009A57B1"/>
    <w:rsid w:val="009A60FD"/>
    <w:rsid w:val="009A69B7"/>
    <w:rsid w:val="009A6C5C"/>
    <w:rsid w:val="009A6C65"/>
    <w:rsid w:val="009A7BA3"/>
    <w:rsid w:val="009B05E7"/>
    <w:rsid w:val="009B063F"/>
    <w:rsid w:val="009B0936"/>
    <w:rsid w:val="009B0BCA"/>
    <w:rsid w:val="009B0E99"/>
    <w:rsid w:val="009B1603"/>
    <w:rsid w:val="009B19ED"/>
    <w:rsid w:val="009B20F1"/>
    <w:rsid w:val="009B244B"/>
    <w:rsid w:val="009B27F1"/>
    <w:rsid w:val="009B2B54"/>
    <w:rsid w:val="009B2BBF"/>
    <w:rsid w:val="009B2D34"/>
    <w:rsid w:val="009B2D40"/>
    <w:rsid w:val="009B2DBF"/>
    <w:rsid w:val="009B2E69"/>
    <w:rsid w:val="009B3103"/>
    <w:rsid w:val="009B31EC"/>
    <w:rsid w:val="009B40E7"/>
    <w:rsid w:val="009B47EB"/>
    <w:rsid w:val="009B4CE8"/>
    <w:rsid w:val="009B4E45"/>
    <w:rsid w:val="009B51FB"/>
    <w:rsid w:val="009B574F"/>
    <w:rsid w:val="009B578E"/>
    <w:rsid w:val="009B5951"/>
    <w:rsid w:val="009B59F6"/>
    <w:rsid w:val="009B5A25"/>
    <w:rsid w:val="009B5BB2"/>
    <w:rsid w:val="009B5F03"/>
    <w:rsid w:val="009B61DB"/>
    <w:rsid w:val="009B65F7"/>
    <w:rsid w:val="009B698D"/>
    <w:rsid w:val="009B6B03"/>
    <w:rsid w:val="009B6BFC"/>
    <w:rsid w:val="009B7C16"/>
    <w:rsid w:val="009B7E46"/>
    <w:rsid w:val="009C04F6"/>
    <w:rsid w:val="009C06D1"/>
    <w:rsid w:val="009C0889"/>
    <w:rsid w:val="009C1110"/>
    <w:rsid w:val="009C11BD"/>
    <w:rsid w:val="009C14D8"/>
    <w:rsid w:val="009C1BE9"/>
    <w:rsid w:val="009C1CF3"/>
    <w:rsid w:val="009C1ED0"/>
    <w:rsid w:val="009C21A8"/>
    <w:rsid w:val="009C24D5"/>
    <w:rsid w:val="009C273B"/>
    <w:rsid w:val="009C2A7F"/>
    <w:rsid w:val="009C2BDD"/>
    <w:rsid w:val="009C2E85"/>
    <w:rsid w:val="009C3926"/>
    <w:rsid w:val="009C39AE"/>
    <w:rsid w:val="009C3BC4"/>
    <w:rsid w:val="009C425F"/>
    <w:rsid w:val="009C4275"/>
    <w:rsid w:val="009C4709"/>
    <w:rsid w:val="009C538D"/>
    <w:rsid w:val="009C53AE"/>
    <w:rsid w:val="009C5907"/>
    <w:rsid w:val="009C5908"/>
    <w:rsid w:val="009C61BB"/>
    <w:rsid w:val="009C7D93"/>
    <w:rsid w:val="009D0093"/>
    <w:rsid w:val="009D03F0"/>
    <w:rsid w:val="009D0854"/>
    <w:rsid w:val="009D0955"/>
    <w:rsid w:val="009D0DA1"/>
    <w:rsid w:val="009D0EC6"/>
    <w:rsid w:val="009D0F29"/>
    <w:rsid w:val="009D1610"/>
    <w:rsid w:val="009D1A7B"/>
    <w:rsid w:val="009D1B8B"/>
    <w:rsid w:val="009D1DA0"/>
    <w:rsid w:val="009D2CBE"/>
    <w:rsid w:val="009D3062"/>
    <w:rsid w:val="009D3065"/>
    <w:rsid w:val="009D3285"/>
    <w:rsid w:val="009D34D6"/>
    <w:rsid w:val="009D360B"/>
    <w:rsid w:val="009D3B29"/>
    <w:rsid w:val="009D3DD7"/>
    <w:rsid w:val="009D46CE"/>
    <w:rsid w:val="009D47F6"/>
    <w:rsid w:val="009D4C23"/>
    <w:rsid w:val="009D5234"/>
    <w:rsid w:val="009D560C"/>
    <w:rsid w:val="009D6858"/>
    <w:rsid w:val="009D69D8"/>
    <w:rsid w:val="009D6E66"/>
    <w:rsid w:val="009D7284"/>
    <w:rsid w:val="009D7457"/>
    <w:rsid w:val="009E02A1"/>
    <w:rsid w:val="009E03C0"/>
    <w:rsid w:val="009E0457"/>
    <w:rsid w:val="009E04C5"/>
    <w:rsid w:val="009E05E1"/>
    <w:rsid w:val="009E0F15"/>
    <w:rsid w:val="009E114A"/>
    <w:rsid w:val="009E23D3"/>
    <w:rsid w:val="009E2465"/>
    <w:rsid w:val="009E249E"/>
    <w:rsid w:val="009E24E1"/>
    <w:rsid w:val="009E26A8"/>
    <w:rsid w:val="009E2B45"/>
    <w:rsid w:val="009E2E96"/>
    <w:rsid w:val="009E404B"/>
    <w:rsid w:val="009E479D"/>
    <w:rsid w:val="009E47E2"/>
    <w:rsid w:val="009E4BD8"/>
    <w:rsid w:val="009E5404"/>
    <w:rsid w:val="009E54EB"/>
    <w:rsid w:val="009E587E"/>
    <w:rsid w:val="009E6136"/>
    <w:rsid w:val="009E6BF9"/>
    <w:rsid w:val="009E7904"/>
    <w:rsid w:val="009E7910"/>
    <w:rsid w:val="009E7CC7"/>
    <w:rsid w:val="009F0027"/>
    <w:rsid w:val="009F0165"/>
    <w:rsid w:val="009F0E5D"/>
    <w:rsid w:val="009F0FB8"/>
    <w:rsid w:val="009F12C7"/>
    <w:rsid w:val="009F1530"/>
    <w:rsid w:val="009F1683"/>
    <w:rsid w:val="009F1A8D"/>
    <w:rsid w:val="009F1C6C"/>
    <w:rsid w:val="009F1D62"/>
    <w:rsid w:val="009F27EA"/>
    <w:rsid w:val="009F2EA8"/>
    <w:rsid w:val="009F2F8F"/>
    <w:rsid w:val="009F3013"/>
    <w:rsid w:val="009F30F2"/>
    <w:rsid w:val="009F3178"/>
    <w:rsid w:val="009F3474"/>
    <w:rsid w:val="009F39F4"/>
    <w:rsid w:val="009F3AC2"/>
    <w:rsid w:val="009F3CE7"/>
    <w:rsid w:val="009F425E"/>
    <w:rsid w:val="009F42B5"/>
    <w:rsid w:val="009F4A1E"/>
    <w:rsid w:val="009F52B0"/>
    <w:rsid w:val="009F5775"/>
    <w:rsid w:val="009F603B"/>
    <w:rsid w:val="009F609B"/>
    <w:rsid w:val="009F61C9"/>
    <w:rsid w:val="009F6243"/>
    <w:rsid w:val="009F63E8"/>
    <w:rsid w:val="009F63FC"/>
    <w:rsid w:val="009F7235"/>
    <w:rsid w:val="009F728A"/>
    <w:rsid w:val="009F734B"/>
    <w:rsid w:val="009F744F"/>
    <w:rsid w:val="009F7969"/>
    <w:rsid w:val="00A00452"/>
    <w:rsid w:val="00A00C46"/>
    <w:rsid w:val="00A00F16"/>
    <w:rsid w:val="00A01B4E"/>
    <w:rsid w:val="00A01CBA"/>
    <w:rsid w:val="00A023B0"/>
    <w:rsid w:val="00A0245A"/>
    <w:rsid w:val="00A0274C"/>
    <w:rsid w:val="00A02E2E"/>
    <w:rsid w:val="00A02E5B"/>
    <w:rsid w:val="00A02F83"/>
    <w:rsid w:val="00A03197"/>
    <w:rsid w:val="00A033BF"/>
    <w:rsid w:val="00A0367A"/>
    <w:rsid w:val="00A038E4"/>
    <w:rsid w:val="00A0396B"/>
    <w:rsid w:val="00A03F03"/>
    <w:rsid w:val="00A0401A"/>
    <w:rsid w:val="00A0422A"/>
    <w:rsid w:val="00A045A6"/>
    <w:rsid w:val="00A04CCA"/>
    <w:rsid w:val="00A055B2"/>
    <w:rsid w:val="00A059F9"/>
    <w:rsid w:val="00A06C1D"/>
    <w:rsid w:val="00A06E68"/>
    <w:rsid w:val="00A070EF"/>
    <w:rsid w:val="00A07453"/>
    <w:rsid w:val="00A075ED"/>
    <w:rsid w:val="00A07ABC"/>
    <w:rsid w:val="00A07C49"/>
    <w:rsid w:val="00A07C4E"/>
    <w:rsid w:val="00A10522"/>
    <w:rsid w:val="00A1142A"/>
    <w:rsid w:val="00A122AF"/>
    <w:rsid w:val="00A129A8"/>
    <w:rsid w:val="00A12D08"/>
    <w:rsid w:val="00A13358"/>
    <w:rsid w:val="00A13466"/>
    <w:rsid w:val="00A1382D"/>
    <w:rsid w:val="00A13FCA"/>
    <w:rsid w:val="00A1448D"/>
    <w:rsid w:val="00A15059"/>
    <w:rsid w:val="00A1515A"/>
    <w:rsid w:val="00A155EC"/>
    <w:rsid w:val="00A1588D"/>
    <w:rsid w:val="00A16134"/>
    <w:rsid w:val="00A16418"/>
    <w:rsid w:val="00A166EB"/>
    <w:rsid w:val="00A16925"/>
    <w:rsid w:val="00A16BBD"/>
    <w:rsid w:val="00A16C30"/>
    <w:rsid w:val="00A16D49"/>
    <w:rsid w:val="00A1703C"/>
    <w:rsid w:val="00A1708E"/>
    <w:rsid w:val="00A17117"/>
    <w:rsid w:val="00A172AA"/>
    <w:rsid w:val="00A17496"/>
    <w:rsid w:val="00A176A7"/>
    <w:rsid w:val="00A17750"/>
    <w:rsid w:val="00A178F3"/>
    <w:rsid w:val="00A202A1"/>
    <w:rsid w:val="00A202F5"/>
    <w:rsid w:val="00A20834"/>
    <w:rsid w:val="00A21410"/>
    <w:rsid w:val="00A21633"/>
    <w:rsid w:val="00A21677"/>
    <w:rsid w:val="00A21776"/>
    <w:rsid w:val="00A21A50"/>
    <w:rsid w:val="00A21B7D"/>
    <w:rsid w:val="00A22391"/>
    <w:rsid w:val="00A2241D"/>
    <w:rsid w:val="00A2258D"/>
    <w:rsid w:val="00A232A2"/>
    <w:rsid w:val="00A23342"/>
    <w:rsid w:val="00A234DA"/>
    <w:rsid w:val="00A23BF9"/>
    <w:rsid w:val="00A23D68"/>
    <w:rsid w:val="00A23E34"/>
    <w:rsid w:val="00A23F6E"/>
    <w:rsid w:val="00A23FDD"/>
    <w:rsid w:val="00A240A5"/>
    <w:rsid w:val="00A24663"/>
    <w:rsid w:val="00A24790"/>
    <w:rsid w:val="00A2485A"/>
    <w:rsid w:val="00A24F41"/>
    <w:rsid w:val="00A2543A"/>
    <w:rsid w:val="00A257A6"/>
    <w:rsid w:val="00A25A6E"/>
    <w:rsid w:val="00A2607E"/>
    <w:rsid w:val="00A26383"/>
    <w:rsid w:val="00A264B9"/>
    <w:rsid w:val="00A268F8"/>
    <w:rsid w:val="00A26EB5"/>
    <w:rsid w:val="00A26FA9"/>
    <w:rsid w:val="00A279F1"/>
    <w:rsid w:val="00A27D43"/>
    <w:rsid w:val="00A27F5E"/>
    <w:rsid w:val="00A30017"/>
    <w:rsid w:val="00A30058"/>
    <w:rsid w:val="00A30305"/>
    <w:rsid w:val="00A3156B"/>
    <w:rsid w:val="00A317CD"/>
    <w:rsid w:val="00A31E7F"/>
    <w:rsid w:val="00A32779"/>
    <w:rsid w:val="00A32868"/>
    <w:rsid w:val="00A3319F"/>
    <w:rsid w:val="00A332A6"/>
    <w:rsid w:val="00A334DF"/>
    <w:rsid w:val="00A3385E"/>
    <w:rsid w:val="00A34823"/>
    <w:rsid w:val="00A351D5"/>
    <w:rsid w:val="00A351FC"/>
    <w:rsid w:val="00A352B7"/>
    <w:rsid w:val="00A35420"/>
    <w:rsid w:val="00A356F4"/>
    <w:rsid w:val="00A357D7"/>
    <w:rsid w:val="00A3720D"/>
    <w:rsid w:val="00A3745D"/>
    <w:rsid w:val="00A376E4"/>
    <w:rsid w:val="00A37B74"/>
    <w:rsid w:val="00A37E7B"/>
    <w:rsid w:val="00A40167"/>
    <w:rsid w:val="00A40776"/>
    <w:rsid w:val="00A418A9"/>
    <w:rsid w:val="00A41978"/>
    <w:rsid w:val="00A41E0A"/>
    <w:rsid w:val="00A423FE"/>
    <w:rsid w:val="00A424A2"/>
    <w:rsid w:val="00A429B7"/>
    <w:rsid w:val="00A42DB1"/>
    <w:rsid w:val="00A43A29"/>
    <w:rsid w:val="00A43A33"/>
    <w:rsid w:val="00A43F27"/>
    <w:rsid w:val="00A440F6"/>
    <w:rsid w:val="00A44433"/>
    <w:rsid w:val="00A446DE"/>
    <w:rsid w:val="00A44A28"/>
    <w:rsid w:val="00A45692"/>
    <w:rsid w:val="00A45BD9"/>
    <w:rsid w:val="00A45D91"/>
    <w:rsid w:val="00A461CE"/>
    <w:rsid w:val="00A463DF"/>
    <w:rsid w:val="00A464B1"/>
    <w:rsid w:val="00A46F23"/>
    <w:rsid w:val="00A475CB"/>
    <w:rsid w:val="00A47BF0"/>
    <w:rsid w:val="00A47EF2"/>
    <w:rsid w:val="00A501EA"/>
    <w:rsid w:val="00A503A1"/>
    <w:rsid w:val="00A5040B"/>
    <w:rsid w:val="00A50616"/>
    <w:rsid w:val="00A5079C"/>
    <w:rsid w:val="00A50872"/>
    <w:rsid w:val="00A50FCC"/>
    <w:rsid w:val="00A5102E"/>
    <w:rsid w:val="00A51230"/>
    <w:rsid w:val="00A519FA"/>
    <w:rsid w:val="00A51E18"/>
    <w:rsid w:val="00A51EC5"/>
    <w:rsid w:val="00A528B8"/>
    <w:rsid w:val="00A529A7"/>
    <w:rsid w:val="00A52A1B"/>
    <w:rsid w:val="00A5301C"/>
    <w:rsid w:val="00A53093"/>
    <w:rsid w:val="00A537F0"/>
    <w:rsid w:val="00A5385C"/>
    <w:rsid w:val="00A53CE0"/>
    <w:rsid w:val="00A54631"/>
    <w:rsid w:val="00A548CF"/>
    <w:rsid w:val="00A54F25"/>
    <w:rsid w:val="00A553CC"/>
    <w:rsid w:val="00A55E88"/>
    <w:rsid w:val="00A56840"/>
    <w:rsid w:val="00A56B91"/>
    <w:rsid w:val="00A57C9C"/>
    <w:rsid w:val="00A57DD4"/>
    <w:rsid w:val="00A57E86"/>
    <w:rsid w:val="00A60182"/>
    <w:rsid w:val="00A60403"/>
    <w:rsid w:val="00A6057B"/>
    <w:rsid w:val="00A6061D"/>
    <w:rsid w:val="00A60892"/>
    <w:rsid w:val="00A608BA"/>
    <w:rsid w:val="00A60A0F"/>
    <w:rsid w:val="00A60C2D"/>
    <w:rsid w:val="00A60D3E"/>
    <w:rsid w:val="00A6109D"/>
    <w:rsid w:val="00A618DA"/>
    <w:rsid w:val="00A61AC7"/>
    <w:rsid w:val="00A62E4B"/>
    <w:rsid w:val="00A62E6A"/>
    <w:rsid w:val="00A6316A"/>
    <w:rsid w:val="00A632C5"/>
    <w:rsid w:val="00A636B7"/>
    <w:rsid w:val="00A636FA"/>
    <w:rsid w:val="00A63701"/>
    <w:rsid w:val="00A64068"/>
    <w:rsid w:val="00A64137"/>
    <w:rsid w:val="00A6423D"/>
    <w:rsid w:val="00A642AF"/>
    <w:rsid w:val="00A643D1"/>
    <w:rsid w:val="00A644E2"/>
    <w:rsid w:val="00A64C73"/>
    <w:rsid w:val="00A64DD7"/>
    <w:rsid w:val="00A64F20"/>
    <w:rsid w:val="00A653A9"/>
    <w:rsid w:val="00A656C0"/>
    <w:rsid w:val="00A65B1F"/>
    <w:rsid w:val="00A66E62"/>
    <w:rsid w:val="00A66F47"/>
    <w:rsid w:val="00A6720C"/>
    <w:rsid w:val="00A67544"/>
    <w:rsid w:val="00A67716"/>
    <w:rsid w:val="00A6789E"/>
    <w:rsid w:val="00A67A70"/>
    <w:rsid w:val="00A67EC9"/>
    <w:rsid w:val="00A67F4C"/>
    <w:rsid w:val="00A7018B"/>
    <w:rsid w:val="00A707C3"/>
    <w:rsid w:val="00A70BAF"/>
    <w:rsid w:val="00A714B0"/>
    <w:rsid w:val="00A72308"/>
    <w:rsid w:val="00A72531"/>
    <w:rsid w:val="00A733EE"/>
    <w:rsid w:val="00A73484"/>
    <w:rsid w:val="00A739E7"/>
    <w:rsid w:val="00A73D75"/>
    <w:rsid w:val="00A73E26"/>
    <w:rsid w:val="00A744B7"/>
    <w:rsid w:val="00A748ED"/>
    <w:rsid w:val="00A74B28"/>
    <w:rsid w:val="00A74EB9"/>
    <w:rsid w:val="00A751E1"/>
    <w:rsid w:val="00A752B6"/>
    <w:rsid w:val="00A75773"/>
    <w:rsid w:val="00A757D5"/>
    <w:rsid w:val="00A75CDD"/>
    <w:rsid w:val="00A75D44"/>
    <w:rsid w:val="00A75E58"/>
    <w:rsid w:val="00A763EF"/>
    <w:rsid w:val="00A7655A"/>
    <w:rsid w:val="00A76B7D"/>
    <w:rsid w:val="00A76D1D"/>
    <w:rsid w:val="00A76D71"/>
    <w:rsid w:val="00A7704D"/>
    <w:rsid w:val="00A7766A"/>
    <w:rsid w:val="00A77903"/>
    <w:rsid w:val="00A77AFC"/>
    <w:rsid w:val="00A77C1B"/>
    <w:rsid w:val="00A77E31"/>
    <w:rsid w:val="00A80263"/>
    <w:rsid w:val="00A80529"/>
    <w:rsid w:val="00A80FC5"/>
    <w:rsid w:val="00A812B6"/>
    <w:rsid w:val="00A817D3"/>
    <w:rsid w:val="00A81CA0"/>
    <w:rsid w:val="00A81D88"/>
    <w:rsid w:val="00A82446"/>
    <w:rsid w:val="00A827EF"/>
    <w:rsid w:val="00A82A18"/>
    <w:rsid w:val="00A833BA"/>
    <w:rsid w:val="00A837AE"/>
    <w:rsid w:val="00A83BDD"/>
    <w:rsid w:val="00A83C97"/>
    <w:rsid w:val="00A83D36"/>
    <w:rsid w:val="00A8493B"/>
    <w:rsid w:val="00A84A3E"/>
    <w:rsid w:val="00A84BFB"/>
    <w:rsid w:val="00A84C75"/>
    <w:rsid w:val="00A85118"/>
    <w:rsid w:val="00A852AE"/>
    <w:rsid w:val="00A853E9"/>
    <w:rsid w:val="00A8540B"/>
    <w:rsid w:val="00A85680"/>
    <w:rsid w:val="00A857B7"/>
    <w:rsid w:val="00A85C62"/>
    <w:rsid w:val="00A85DCF"/>
    <w:rsid w:val="00A85DF5"/>
    <w:rsid w:val="00A86410"/>
    <w:rsid w:val="00A864A9"/>
    <w:rsid w:val="00A86B32"/>
    <w:rsid w:val="00A86FE4"/>
    <w:rsid w:val="00A8715C"/>
    <w:rsid w:val="00A8735B"/>
    <w:rsid w:val="00A8759C"/>
    <w:rsid w:val="00A902C3"/>
    <w:rsid w:val="00A9058F"/>
    <w:rsid w:val="00A906DA"/>
    <w:rsid w:val="00A90E1C"/>
    <w:rsid w:val="00A90F82"/>
    <w:rsid w:val="00A9100F"/>
    <w:rsid w:val="00A91545"/>
    <w:rsid w:val="00A9168E"/>
    <w:rsid w:val="00A91BBA"/>
    <w:rsid w:val="00A921B4"/>
    <w:rsid w:val="00A9236D"/>
    <w:rsid w:val="00A9255E"/>
    <w:rsid w:val="00A92688"/>
    <w:rsid w:val="00A92873"/>
    <w:rsid w:val="00A92A38"/>
    <w:rsid w:val="00A92C1D"/>
    <w:rsid w:val="00A92ECE"/>
    <w:rsid w:val="00A932F8"/>
    <w:rsid w:val="00A9381D"/>
    <w:rsid w:val="00A93941"/>
    <w:rsid w:val="00A93BCA"/>
    <w:rsid w:val="00A93EA4"/>
    <w:rsid w:val="00A9411C"/>
    <w:rsid w:val="00A944C8"/>
    <w:rsid w:val="00A95159"/>
    <w:rsid w:val="00A95B82"/>
    <w:rsid w:val="00A95C31"/>
    <w:rsid w:val="00A95CE6"/>
    <w:rsid w:val="00A95D56"/>
    <w:rsid w:val="00A965DB"/>
    <w:rsid w:val="00A966C6"/>
    <w:rsid w:val="00A9671F"/>
    <w:rsid w:val="00A96E96"/>
    <w:rsid w:val="00A96EA1"/>
    <w:rsid w:val="00A97E03"/>
    <w:rsid w:val="00AA045C"/>
    <w:rsid w:val="00AA0940"/>
    <w:rsid w:val="00AA0E26"/>
    <w:rsid w:val="00AA0F51"/>
    <w:rsid w:val="00AA1157"/>
    <w:rsid w:val="00AA1318"/>
    <w:rsid w:val="00AA1539"/>
    <w:rsid w:val="00AA2059"/>
    <w:rsid w:val="00AA2B0E"/>
    <w:rsid w:val="00AA32A6"/>
    <w:rsid w:val="00AA38D7"/>
    <w:rsid w:val="00AA394D"/>
    <w:rsid w:val="00AA455F"/>
    <w:rsid w:val="00AA4AA2"/>
    <w:rsid w:val="00AA4BC6"/>
    <w:rsid w:val="00AA4EE0"/>
    <w:rsid w:val="00AA53A4"/>
    <w:rsid w:val="00AA54E5"/>
    <w:rsid w:val="00AA5CB3"/>
    <w:rsid w:val="00AA5D82"/>
    <w:rsid w:val="00AA63CC"/>
    <w:rsid w:val="00AA65B6"/>
    <w:rsid w:val="00AA70A0"/>
    <w:rsid w:val="00AA73D8"/>
    <w:rsid w:val="00AB01B5"/>
    <w:rsid w:val="00AB02D7"/>
    <w:rsid w:val="00AB080C"/>
    <w:rsid w:val="00AB0890"/>
    <w:rsid w:val="00AB08EE"/>
    <w:rsid w:val="00AB0CFC"/>
    <w:rsid w:val="00AB11C1"/>
    <w:rsid w:val="00AB1295"/>
    <w:rsid w:val="00AB1326"/>
    <w:rsid w:val="00AB1880"/>
    <w:rsid w:val="00AB1951"/>
    <w:rsid w:val="00AB202A"/>
    <w:rsid w:val="00AB22AC"/>
    <w:rsid w:val="00AB2CC9"/>
    <w:rsid w:val="00AB2F62"/>
    <w:rsid w:val="00AB3419"/>
    <w:rsid w:val="00AB351E"/>
    <w:rsid w:val="00AB354E"/>
    <w:rsid w:val="00AB35DE"/>
    <w:rsid w:val="00AB3C72"/>
    <w:rsid w:val="00AB3D9D"/>
    <w:rsid w:val="00AB48D5"/>
    <w:rsid w:val="00AB48FE"/>
    <w:rsid w:val="00AB4B06"/>
    <w:rsid w:val="00AB4EE2"/>
    <w:rsid w:val="00AB55A8"/>
    <w:rsid w:val="00AB5BD6"/>
    <w:rsid w:val="00AB5C9A"/>
    <w:rsid w:val="00AB5EAB"/>
    <w:rsid w:val="00AB64A7"/>
    <w:rsid w:val="00AB6A37"/>
    <w:rsid w:val="00AB6DFA"/>
    <w:rsid w:val="00AB79A9"/>
    <w:rsid w:val="00AC0866"/>
    <w:rsid w:val="00AC0D14"/>
    <w:rsid w:val="00AC0D39"/>
    <w:rsid w:val="00AC13D3"/>
    <w:rsid w:val="00AC1412"/>
    <w:rsid w:val="00AC1628"/>
    <w:rsid w:val="00AC1838"/>
    <w:rsid w:val="00AC1E5F"/>
    <w:rsid w:val="00AC215D"/>
    <w:rsid w:val="00AC2241"/>
    <w:rsid w:val="00AC26C0"/>
    <w:rsid w:val="00AC281C"/>
    <w:rsid w:val="00AC2B3D"/>
    <w:rsid w:val="00AC2DF3"/>
    <w:rsid w:val="00AC30F0"/>
    <w:rsid w:val="00AC3194"/>
    <w:rsid w:val="00AC325F"/>
    <w:rsid w:val="00AC327D"/>
    <w:rsid w:val="00AC3C3E"/>
    <w:rsid w:val="00AC3FAB"/>
    <w:rsid w:val="00AC4576"/>
    <w:rsid w:val="00AC476C"/>
    <w:rsid w:val="00AC4E55"/>
    <w:rsid w:val="00AC51EC"/>
    <w:rsid w:val="00AC5A54"/>
    <w:rsid w:val="00AC5B2E"/>
    <w:rsid w:val="00AC5EF6"/>
    <w:rsid w:val="00AC612D"/>
    <w:rsid w:val="00AC66D8"/>
    <w:rsid w:val="00AC6905"/>
    <w:rsid w:val="00AC6948"/>
    <w:rsid w:val="00AC6A81"/>
    <w:rsid w:val="00AC6B00"/>
    <w:rsid w:val="00AC6B5B"/>
    <w:rsid w:val="00AC6C00"/>
    <w:rsid w:val="00AC7192"/>
    <w:rsid w:val="00AC723F"/>
    <w:rsid w:val="00AC7324"/>
    <w:rsid w:val="00AC7332"/>
    <w:rsid w:val="00AC7770"/>
    <w:rsid w:val="00AC7ACF"/>
    <w:rsid w:val="00AC7BE7"/>
    <w:rsid w:val="00AD0060"/>
    <w:rsid w:val="00AD0336"/>
    <w:rsid w:val="00AD0830"/>
    <w:rsid w:val="00AD0B0A"/>
    <w:rsid w:val="00AD0BFB"/>
    <w:rsid w:val="00AD1284"/>
    <w:rsid w:val="00AD156E"/>
    <w:rsid w:val="00AD1645"/>
    <w:rsid w:val="00AD166B"/>
    <w:rsid w:val="00AD218C"/>
    <w:rsid w:val="00AD27F2"/>
    <w:rsid w:val="00AD322E"/>
    <w:rsid w:val="00AD3868"/>
    <w:rsid w:val="00AD3F38"/>
    <w:rsid w:val="00AD4046"/>
    <w:rsid w:val="00AD41C1"/>
    <w:rsid w:val="00AD42B8"/>
    <w:rsid w:val="00AD42D2"/>
    <w:rsid w:val="00AD4381"/>
    <w:rsid w:val="00AD43B2"/>
    <w:rsid w:val="00AD4532"/>
    <w:rsid w:val="00AD45F3"/>
    <w:rsid w:val="00AD4957"/>
    <w:rsid w:val="00AD4C50"/>
    <w:rsid w:val="00AD531E"/>
    <w:rsid w:val="00AD57AE"/>
    <w:rsid w:val="00AD59B0"/>
    <w:rsid w:val="00AD62CD"/>
    <w:rsid w:val="00AD6BA3"/>
    <w:rsid w:val="00AD7E1A"/>
    <w:rsid w:val="00AE00D4"/>
    <w:rsid w:val="00AE0417"/>
    <w:rsid w:val="00AE0E84"/>
    <w:rsid w:val="00AE1B23"/>
    <w:rsid w:val="00AE1C43"/>
    <w:rsid w:val="00AE22BD"/>
    <w:rsid w:val="00AE2463"/>
    <w:rsid w:val="00AE29DA"/>
    <w:rsid w:val="00AE2ADF"/>
    <w:rsid w:val="00AE2AED"/>
    <w:rsid w:val="00AE2CEF"/>
    <w:rsid w:val="00AE3453"/>
    <w:rsid w:val="00AE3490"/>
    <w:rsid w:val="00AE39B7"/>
    <w:rsid w:val="00AE3B6C"/>
    <w:rsid w:val="00AE3CB8"/>
    <w:rsid w:val="00AE414A"/>
    <w:rsid w:val="00AE4600"/>
    <w:rsid w:val="00AE4766"/>
    <w:rsid w:val="00AE4E95"/>
    <w:rsid w:val="00AE4F17"/>
    <w:rsid w:val="00AE4F7B"/>
    <w:rsid w:val="00AE508F"/>
    <w:rsid w:val="00AE52FB"/>
    <w:rsid w:val="00AE5313"/>
    <w:rsid w:val="00AE5AAA"/>
    <w:rsid w:val="00AE60FA"/>
    <w:rsid w:val="00AE6623"/>
    <w:rsid w:val="00AE68DB"/>
    <w:rsid w:val="00AE68EA"/>
    <w:rsid w:val="00AE6978"/>
    <w:rsid w:val="00AE6F3A"/>
    <w:rsid w:val="00AE7344"/>
    <w:rsid w:val="00AE790B"/>
    <w:rsid w:val="00AE7A82"/>
    <w:rsid w:val="00AF0018"/>
    <w:rsid w:val="00AF04E1"/>
    <w:rsid w:val="00AF09C3"/>
    <w:rsid w:val="00AF09EF"/>
    <w:rsid w:val="00AF0D84"/>
    <w:rsid w:val="00AF0E50"/>
    <w:rsid w:val="00AF1460"/>
    <w:rsid w:val="00AF192C"/>
    <w:rsid w:val="00AF1FD0"/>
    <w:rsid w:val="00AF235E"/>
    <w:rsid w:val="00AF269F"/>
    <w:rsid w:val="00AF2A30"/>
    <w:rsid w:val="00AF2B9C"/>
    <w:rsid w:val="00AF2D44"/>
    <w:rsid w:val="00AF3004"/>
    <w:rsid w:val="00AF3076"/>
    <w:rsid w:val="00AF3890"/>
    <w:rsid w:val="00AF3C4F"/>
    <w:rsid w:val="00AF3D3D"/>
    <w:rsid w:val="00AF44DC"/>
    <w:rsid w:val="00AF4622"/>
    <w:rsid w:val="00AF4B3C"/>
    <w:rsid w:val="00AF4DF3"/>
    <w:rsid w:val="00AF57BE"/>
    <w:rsid w:val="00AF617A"/>
    <w:rsid w:val="00AF6BD5"/>
    <w:rsid w:val="00AF7577"/>
    <w:rsid w:val="00AF77D0"/>
    <w:rsid w:val="00AF7915"/>
    <w:rsid w:val="00AF79DA"/>
    <w:rsid w:val="00AF7FE6"/>
    <w:rsid w:val="00B00396"/>
    <w:rsid w:val="00B00BCD"/>
    <w:rsid w:val="00B00CF3"/>
    <w:rsid w:val="00B00DF2"/>
    <w:rsid w:val="00B016D2"/>
    <w:rsid w:val="00B01974"/>
    <w:rsid w:val="00B02055"/>
    <w:rsid w:val="00B02AE1"/>
    <w:rsid w:val="00B02DFB"/>
    <w:rsid w:val="00B03497"/>
    <w:rsid w:val="00B036D2"/>
    <w:rsid w:val="00B03B7A"/>
    <w:rsid w:val="00B03F54"/>
    <w:rsid w:val="00B04123"/>
    <w:rsid w:val="00B04244"/>
    <w:rsid w:val="00B05570"/>
    <w:rsid w:val="00B05631"/>
    <w:rsid w:val="00B05EB9"/>
    <w:rsid w:val="00B060D5"/>
    <w:rsid w:val="00B06B0C"/>
    <w:rsid w:val="00B06C05"/>
    <w:rsid w:val="00B07822"/>
    <w:rsid w:val="00B07A4B"/>
    <w:rsid w:val="00B07CF7"/>
    <w:rsid w:val="00B10115"/>
    <w:rsid w:val="00B103ED"/>
    <w:rsid w:val="00B10FCF"/>
    <w:rsid w:val="00B11A28"/>
    <w:rsid w:val="00B11FD9"/>
    <w:rsid w:val="00B121B6"/>
    <w:rsid w:val="00B12378"/>
    <w:rsid w:val="00B12531"/>
    <w:rsid w:val="00B129AD"/>
    <w:rsid w:val="00B12FD1"/>
    <w:rsid w:val="00B131D7"/>
    <w:rsid w:val="00B13745"/>
    <w:rsid w:val="00B1419E"/>
    <w:rsid w:val="00B14845"/>
    <w:rsid w:val="00B15205"/>
    <w:rsid w:val="00B15FC8"/>
    <w:rsid w:val="00B16607"/>
    <w:rsid w:val="00B167D9"/>
    <w:rsid w:val="00B16AF4"/>
    <w:rsid w:val="00B16BE5"/>
    <w:rsid w:val="00B16D82"/>
    <w:rsid w:val="00B16DDE"/>
    <w:rsid w:val="00B1748F"/>
    <w:rsid w:val="00B17D0E"/>
    <w:rsid w:val="00B17D7C"/>
    <w:rsid w:val="00B2029A"/>
    <w:rsid w:val="00B204FE"/>
    <w:rsid w:val="00B209DA"/>
    <w:rsid w:val="00B20BEA"/>
    <w:rsid w:val="00B20CCB"/>
    <w:rsid w:val="00B20DD0"/>
    <w:rsid w:val="00B20FED"/>
    <w:rsid w:val="00B218EF"/>
    <w:rsid w:val="00B21F80"/>
    <w:rsid w:val="00B227A3"/>
    <w:rsid w:val="00B23939"/>
    <w:rsid w:val="00B249CB"/>
    <w:rsid w:val="00B24DA9"/>
    <w:rsid w:val="00B24FB6"/>
    <w:rsid w:val="00B25278"/>
    <w:rsid w:val="00B25446"/>
    <w:rsid w:val="00B259A1"/>
    <w:rsid w:val="00B25CA5"/>
    <w:rsid w:val="00B26005"/>
    <w:rsid w:val="00B26742"/>
    <w:rsid w:val="00B2686F"/>
    <w:rsid w:val="00B2698C"/>
    <w:rsid w:val="00B26D05"/>
    <w:rsid w:val="00B26D4C"/>
    <w:rsid w:val="00B277CC"/>
    <w:rsid w:val="00B30625"/>
    <w:rsid w:val="00B3065D"/>
    <w:rsid w:val="00B310F7"/>
    <w:rsid w:val="00B31309"/>
    <w:rsid w:val="00B3198B"/>
    <w:rsid w:val="00B31AD4"/>
    <w:rsid w:val="00B31B11"/>
    <w:rsid w:val="00B32CBA"/>
    <w:rsid w:val="00B32D43"/>
    <w:rsid w:val="00B32F01"/>
    <w:rsid w:val="00B333E6"/>
    <w:rsid w:val="00B33682"/>
    <w:rsid w:val="00B33CF3"/>
    <w:rsid w:val="00B340DE"/>
    <w:rsid w:val="00B343F6"/>
    <w:rsid w:val="00B34661"/>
    <w:rsid w:val="00B34756"/>
    <w:rsid w:val="00B34D10"/>
    <w:rsid w:val="00B3502F"/>
    <w:rsid w:val="00B35111"/>
    <w:rsid w:val="00B35130"/>
    <w:rsid w:val="00B35BCC"/>
    <w:rsid w:val="00B363C5"/>
    <w:rsid w:val="00B364BA"/>
    <w:rsid w:val="00B3664A"/>
    <w:rsid w:val="00B36B7F"/>
    <w:rsid w:val="00B36FD8"/>
    <w:rsid w:val="00B37EF4"/>
    <w:rsid w:val="00B40BDF"/>
    <w:rsid w:val="00B41214"/>
    <w:rsid w:val="00B4124B"/>
    <w:rsid w:val="00B413EB"/>
    <w:rsid w:val="00B41837"/>
    <w:rsid w:val="00B42721"/>
    <w:rsid w:val="00B428B2"/>
    <w:rsid w:val="00B42C0D"/>
    <w:rsid w:val="00B4382A"/>
    <w:rsid w:val="00B43E8A"/>
    <w:rsid w:val="00B44087"/>
    <w:rsid w:val="00B44B9F"/>
    <w:rsid w:val="00B45062"/>
    <w:rsid w:val="00B450CB"/>
    <w:rsid w:val="00B4553C"/>
    <w:rsid w:val="00B4565B"/>
    <w:rsid w:val="00B45DE6"/>
    <w:rsid w:val="00B45FAC"/>
    <w:rsid w:val="00B46460"/>
    <w:rsid w:val="00B464AA"/>
    <w:rsid w:val="00B46903"/>
    <w:rsid w:val="00B46F2E"/>
    <w:rsid w:val="00B47056"/>
    <w:rsid w:val="00B47134"/>
    <w:rsid w:val="00B47600"/>
    <w:rsid w:val="00B4790F"/>
    <w:rsid w:val="00B47B4F"/>
    <w:rsid w:val="00B47F01"/>
    <w:rsid w:val="00B47F91"/>
    <w:rsid w:val="00B50BEE"/>
    <w:rsid w:val="00B5119E"/>
    <w:rsid w:val="00B511C2"/>
    <w:rsid w:val="00B5154F"/>
    <w:rsid w:val="00B518F3"/>
    <w:rsid w:val="00B51E40"/>
    <w:rsid w:val="00B5250D"/>
    <w:rsid w:val="00B5258B"/>
    <w:rsid w:val="00B529BC"/>
    <w:rsid w:val="00B52D1F"/>
    <w:rsid w:val="00B52E67"/>
    <w:rsid w:val="00B533C0"/>
    <w:rsid w:val="00B53AF2"/>
    <w:rsid w:val="00B55D2F"/>
    <w:rsid w:val="00B5632D"/>
    <w:rsid w:val="00B56939"/>
    <w:rsid w:val="00B5724D"/>
    <w:rsid w:val="00B5750D"/>
    <w:rsid w:val="00B57587"/>
    <w:rsid w:val="00B5762B"/>
    <w:rsid w:val="00B57753"/>
    <w:rsid w:val="00B57815"/>
    <w:rsid w:val="00B57D9F"/>
    <w:rsid w:val="00B57E87"/>
    <w:rsid w:val="00B602FF"/>
    <w:rsid w:val="00B60892"/>
    <w:rsid w:val="00B60A29"/>
    <w:rsid w:val="00B60B92"/>
    <w:rsid w:val="00B60D7C"/>
    <w:rsid w:val="00B610D1"/>
    <w:rsid w:val="00B6112E"/>
    <w:rsid w:val="00B6165E"/>
    <w:rsid w:val="00B6190D"/>
    <w:rsid w:val="00B61996"/>
    <w:rsid w:val="00B6222D"/>
    <w:rsid w:val="00B624E0"/>
    <w:rsid w:val="00B62C26"/>
    <w:rsid w:val="00B6352C"/>
    <w:rsid w:val="00B63B64"/>
    <w:rsid w:val="00B64406"/>
    <w:rsid w:val="00B646C7"/>
    <w:rsid w:val="00B64A71"/>
    <w:rsid w:val="00B65268"/>
    <w:rsid w:val="00B65540"/>
    <w:rsid w:val="00B65A3F"/>
    <w:rsid w:val="00B65F15"/>
    <w:rsid w:val="00B6649A"/>
    <w:rsid w:val="00B66548"/>
    <w:rsid w:val="00B665B4"/>
    <w:rsid w:val="00B66C5D"/>
    <w:rsid w:val="00B66DBA"/>
    <w:rsid w:val="00B66F5D"/>
    <w:rsid w:val="00B670A3"/>
    <w:rsid w:val="00B67750"/>
    <w:rsid w:val="00B67934"/>
    <w:rsid w:val="00B679CD"/>
    <w:rsid w:val="00B67ADE"/>
    <w:rsid w:val="00B7051F"/>
    <w:rsid w:val="00B705B7"/>
    <w:rsid w:val="00B70FA1"/>
    <w:rsid w:val="00B7130F"/>
    <w:rsid w:val="00B7165C"/>
    <w:rsid w:val="00B719C3"/>
    <w:rsid w:val="00B71AE0"/>
    <w:rsid w:val="00B7261D"/>
    <w:rsid w:val="00B729F9"/>
    <w:rsid w:val="00B72A1A"/>
    <w:rsid w:val="00B72BA5"/>
    <w:rsid w:val="00B72C68"/>
    <w:rsid w:val="00B72D09"/>
    <w:rsid w:val="00B7391D"/>
    <w:rsid w:val="00B73B52"/>
    <w:rsid w:val="00B73C1C"/>
    <w:rsid w:val="00B73C3A"/>
    <w:rsid w:val="00B73D0F"/>
    <w:rsid w:val="00B73D15"/>
    <w:rsid w:val="00B74000"/>
    <w:rsid w:val="00B742A6"/>
    <w:rsid w:val="00B749A9"/>
    <w:rsid w:val="00B74B4E"/>
    <w:rsid w:val="00B74BB7"/>
    <w:rsid w:val="00B751FD"/>
    <w:rsid w:val="00B752D5"/>
    <w:rsid w:val="00B757F0"/>
    <w:rsid w:val="00B75CFC"/>
    <w:rsid w:val="00B7602F"/>
    <w:rsid w:val="00B762DC"/>
    <w:rsid w:val="00B76734"/>
    <w:rsid w:val="00B76770"/>
    <w:rsid w:val="00B76793"/>
    <w:rsid w:val="00B76AE3"/>
    <w:rsid w:val="00B773DF"/>
    <w:rsid w:val="00B77E08"/>
    <w:rsid w:val="00B81236"/>
    <w:rsid w:val="00B815A9"/>
    <w:rsid w:val="00B819C0"/>
    <w:rsid w:val="00B81D00"/>
    <w:rsid w:val="00B8202A"/>
    <w:rsid w:val="00B82725"/>
    <w:rsid w:val="00B82ABD"/>
    <w:rsid w:val="00B82ED2"/>
    <w:rsid w:val="00B8315D"/>
    <w:rsid w:val="00B83567"/>
    <w:rsid w:val="00B83602"/>
    <w:rsid w:val="00B83CB1"/>
    <w:rsid w:val="00B84229"/>
    <w:rsid w:val="00B8426B"/>
    <w:rsid w:val="00B84696"/>
    <w:rsid w:val="00B84DA8"/>
    <w:rsid w:val="00B85382"/>
    <w:rsid w:val="00B85B58"/>
    <w:rsid w:val="00B85E1E"/>
    <w:rsid w:val="00B866AB"/>
    <w:rsid w:val="00B86B9E"/>
    <w:rsid w:val="00B86C37"/>
    <w:rsid w:val="00B86F6E"/>
    <w:rsid w:val="00B877DC"/>
    <w:rsid w:val="00B90270"/>
    <w:rsid w:val="00B903EB"/>
    <w:rsid w:val="00B904E3"/>
    <w:rsid w:val="00B90660"/>
    <w:rsid w:val="00B906E1"/>
    <w:rsid w:val="00B90C87"/>
    <w:rsid w:val="00B91554"/>
    <w:rsid w:val="00B92AAA"/>
    <w:rsid w:val="00B92B0C"/>
    <w:rsid w:val="00B92B2C"/>
    <w:rsid w:val="00B93369"/>
    <w:rsid w:val="00B933AB"/>
    <w:rsid w:val="00B93802"/>
    <w:rsid w:val="00B93B7A"/>
    <w:rsid w:val="00B94606"/>
    <w:rsid w:val="00B95255"/>
    <w:rsid w:val="00B96A82"/>
    <w:rsid w:val="00B96BC8"/>
    <w:rsid w:val="00B9715F"/>
    <w:rsid w:val="00B9744B"/>
    <w:rsid w:val="00B97545"/>
    <w:rsid w:val="00B97A3A"/>
    <w:rsid w:val="00BA00B5"/>
    <w:rsid w:val="00BA0538"/>
    <w:rsid w:val="00BA05BC"/>
    <w:rsid w:val="00BA0A21"/>
    <w:rsid w:val="00BA0C49"/>
    <w:rsid w:val="00BA0C58"/>
    <w:rsid w:val="00BA0DAF"/>
    <w:rsid w:val="00BA10E8"/>
    <w:rsid w:val="00BA183A"/>
    <w:rsid w:val="00BA2142"/>
    <w:rsid w:val="00BA26FB"/>
    <w:rsid w:val="00BA2AE3"/>
    <w:rsid w:val="00BA2C12"/>
    <w:rsid w:val="00BA3092"/>
    <w:rsid w:val="00BA3F2D"/>
    <w:rsid w:val="00BA452B"/>
    <w:rsid w:val="00BA476A"/>
    <w:rsid w:val="00BA4ED8"/>
    <w:rsid w:val="00BA53ED"/>
    <w:rsid w:val="00BA5D70"/>
    <w:rsid w:val="00BA5EA1"/>
    <w:rsid w:val="00BA5EC2"/>
    <w:rsid w:val="00BA670C"/>
    <w:rsid w:val="00BA6ACB"/>
    <w:rsid w:val="00BA701A"/>
    <w:rsid w:val="00BA78AB"/>
    <w:rsid w:val="00BA7DED"/>
    <w:rsid w:val="00BB0007"/>
    <w:rsid w:val="00BB035C"/>
    <w:rsid w:val="00BB0F4F"/>
    <w:rsid w:val="00BB1771"/>
    <w:rsid w:val="00BB1924"/>
    <w:rsid w:val="00BB1B5E"/>
    <w:rsid w:val="00BB1FAC"/>
    <w:rsid w:val="00BB2183"/>
    <w:rsid w:val="00BB2428"/>
    <w:rsid w:val="00BB2436"/>
    <w:rsid w:val="00BB24CE"/>
    <w:rsid w:val="00BB2B1A"/>
    <w:rsid w:val="00BB2FB6"/>
    <w:rsid w:val="00BB32CA"/>
    <w:rsid w:val="00BB3490"/>
    <w:rsid w:val="00BB3A29"/>
    <w:rsid w:val="00BB3F13"/>
    <w:rsid w:val="00BB51CD"/>
    <w:rsid w:val="00BB536A"/>
    <w:rsid w:val="00BB5E8D"/>
    <w:rsid w:val="00BB5FEF"/>
    <w:rsid w:val="00BB618E"/>
    <w:rsid w:val="00BB6BB8"/>
    <w:rsid w:val="00BB7377"/>
    <w:rsid w:val="00BB7ACD"/>
    <w:rsid w:val="00BB7E7F"/>
    <w:rsid w:val="00BC04B4"/>
    <w:rsid w:val="00BC06FA"/>
    <w:rsid w:val="00BC08D0"/>
    <w:rsid w:val="00BC0FBA"/>
    <w:rsid w:val="00BC1A24"/>
    <w:rsid w:val="00BC1A4F"/>
    <w:rsid w:val="00BC2150"/>
    <w:rsid w:val="00BC2443"/>
    <w:rsid w:val="00BC2525"/>
    <w:rsid w:val="00BC2536"/>
    <w:rsid w:val="00BC2BA9"/>
    <w:rsid w:val="00BC2D35"/>
    <w:rsid w:val="00BC3244"/>
    <w:rsid w:val="00BC3CBB"/>
    <w:rsid w:val="00BC4147"/>
    <w:rsid w:val="00BC43CA"/>
    <w:rsid w:val="00BC4587"/>
    <w:rsid w:val="00BC45D2"/>
    <w:rsid w:val="00BC4D5A"/>
    <w:rsid w:val="00BC4E50"/>
    <w:rsid w:val="00BC4FD3"/>
    <w:rsid w:val="00BC50B5"/>
    <w:rsid w:val="00BC51BD"/>
    <w:rsid w:val="00BC5306"/>
    <w:rsid w:val="00BC553E"/>
    <w:rsid w:val="00BC5581"/>
    <w:rsid w:val="00BC56DA"/>
    <w:rsid w:val="00BC5BF5"/>
    <w:rsid w:val="00BC60DD"/>
    <w:rsid w:val="00BC680B"/>
    <w:rsid w:val="00BC6D12"/>
    <w:rsid w:val="00BC6E84"/>
    <w:rsid w:val="00BC6F95"/>
    <w:rsid w:val="00BC6FD8"/>
    <w:rsid w:val="00BC7A25"/>
    <w:rsid w:val="00BC7CC2"/>
    <w:rsid w:val="00BC7DB7"/>
    <w:rsid w:val="00BC7E12"/>
    <w:rsid w:val="00BD03D2"/>
    <w:rsid w:val="00BD05A9"/>
    <w:rsid w:val="00BD0B73"/>
    <w:rsid w:val="00BD0C78"/>
    <w:rsid w:val="00BD0CC1"/>
    <w:rsid w:val="00BD0D83"/>
    <w:rsid w:val="00BD1230"/>
    <w:rsid w:val="00BD13CA"/>
    <w:rsid w:val="00BD14B8"/>
    <w:rsid w:val="00BD19C2"/>
    <w:rsid w:val="00BD1FF7"/>
    <w:rsid w:val="00BD2401"/>
    <w:rsid w:val="00BD3424"/>
    <w:rsid w:val="00BD4D11"/>
    <w:rsid w:val="00BD5199"/>
    <w:rsid w:val="00BD54F7"/>
    <w:rsid w:val="00BD58A6"/>
    <w:rsid w:val="00BD5B0D"/>
    <w:rsid w:val="00BD5E4E"/>
    <w:rsid w:val="00BD62B2"/>
    <w:rsid w:val="00BD6851"/>
    <w:rsid w:val="00BD6A2E"/>
    <w:rsid w:val="00BD6C27"/>
    <w:rsid w:val="00BD7561"/>
    <w:rsid w:val="00BD7721"/>
    <w:rsid w:val="00BD7B16"/>
    <w:rsid w:val="00BE000A"/>
    <w:rsid w:val="00BE024D"/>
    <w:rsid w:val="00BE054E"/>
    <w:rsid w:val="00BE0A1B"/>
    <w:rsid w:val="00BE1786"/>
    <w:rsid w:val="00BE1A18"/>
    <w:rsid w:val="00BE1DC3"/>
    <w:rsid w:val="00BE1E83"/>
    <w:rsid w:val="00BE1EA7"/>
    <w:rsid w:val="00BE2884"/>
    <w:rsid w:val="00BE2F62"/>
    <w:rsid w:val="00BE3289"/>
    <w:rsid w:val="00BE359B"/>
    <w:rsid w:val="00BE365B"/>
    <w:rsid w:val="00BE3DDE"/>
    <w:rsid w:val="00BE495B"/>
    <w:rsid w:val="00BE4A3D"/>
    <w:rsid w:val="00BE4C39"/>
    <w:rsid w:val="00BE4CB3"/>
    <w:rsid w:val="00BE562E"/>
    <w:rsid w:val="00BE5BE3"/>
    <w:rsid w:val="00BE6451"/>
    <w:rsid w:val="00BE647D"/>
    <w:rsid w:val="00BE651B"/>
    <w:rsid w:val="00BE7090"/>
    <w:rsid w:val="00BE732E"/>
    <w:rsid w:val="00BE73E4"/>
    <w:rsid w:val="00BE7880"/>
    <w:rsid w:val="00BE7FC1"/>
    <w:rsid w:val="00BF0B5F"/>
    <w:rsid w:val="00BF0B86"/>
    <w:rsid w:val="00BF0F7F"/>
    <w:rsid w:val="00BF19E2"/>
    <w:rsid w:val="00BF1BA6"/>
    <w:rsid w:val="00BF1BDF"/>
    <w:rsid w:val="00BF1D4F"/>
    <w:rsid w:val="00BF25C5"/>
    <w:rsid w:val="00BF2AAD"/>
    <w:rsid w:val="00BF2CC8"/>
    <w:rsid w:val="00BF31F0"/>
    <w:rsid w:val="00BF33F9"/>
    <w:rsid w:val="00BF3629"/>
    <w:rsid w:val="00BF3657"/>
    <w:rsid w:val="00BF38AF"/>
    <w:rsid w:val="00BF4F3C"/>
    <w:rsid w:val="00BF5066"/>
    <w:rsid w:val="00BF5309"/>
    <w:rsid w:val="00BF5C0E"/>
    <w:rsid w:val="00BF5F14"/>
    <w:rsid w:val="00BF6092"/>
    <w:rsid w:val="00BF689F"/>
    <w:rsid w:val="00BF69D5"/>
    <w:rsid w:val="00BF6A65"/>
    <w:rsid w:val="00BF6E82"/>
    <w:rsid w:val="00BF71A6"/>
    <w:rsid w:val="00C00C4D"/>
    <w:rsid w:val="00C017EF"/>
    <w:rsid w:val="00C01851"/>
    <w:rsid w:val="00C018D2"/>
    <w:rsid w:val="00C01DA2"/>
    <w:rsid w:val="00C02141"/>
    <w:rsid w:val="00C0250E"/>
    <w:rsid w:val="00C02609"/>
    <w:rsid w:val="00C02D30"/>
    <w:rsid w:val="00C031F8"/>
    <w:rsid w:val="00C036AE"/>
    <w:rsid w:val="00C03A14"/>
    <w:rsid w:val="00C03E88"/>
    <w:rsid w:val="00C03EF7"/>
    <w:rsid w:val="00C040A2"/>
    <w:rsid w:val="00C048C4"/>
    <w:rsid w:val="00C052CD"/>
    <w:rsid w:val="00C05546"/>
    <w:rsid w:val="00C057AC"/>
    <w:rsid w:val="00C05FC5"/>
    <w:rsid w:val="00C06140"/>
    <w:rsid w:val="00C06665"/>
    <w:rsid w:val="00C0683F"/>
    <w:rsid w:val="00C0785E"/>
    <w:rsid w:val="00C07FAB"/>
    <w:rsid w:val="00C10200"/>
    <w:rsid w:val="00C10402"/>
    <w:rsid w:val="00C11262"/>
    <w:rsid w:val="00C11B6E"/>
    <w:rsid w:val="00C11FDB"/>
    <w:rsid w:val="00C1202F"/>
    <w:rsid w:val="00C1205A"/>
    <w:rsid w:val="00C1296F"/>
    <w:rsid w:val="00C1326D"/>
    <w:rsid w:val="00C13E21"/>
    <w:rsid w:val="00C13F6E"/>
    <w:rsid w:val="00C146CD"/>
    <w:rsid w:val="00C14C37"/>
    <w:rsid w:val="00C15021"/>
    <w:rsid w:val="00C159F2"/>
    <w:rsid w:val="00C15D0A"/>
    <w:rsid w:val="00C15D6D"/>
    <w:rsid w:val="00C15EB2"/>
    <w:rsid w:val="00C161B2"/>
    <w:rsid w:val="00C163EE"/>
    <w:rsid w:val="00C16821"/>
    <w:rsid w:val="00C168FF"/>
    <w:rsid w:val="00C16B80"/>
    <w:rsid w:val="00C16CF9"/>
    <w:rsid w:val="00C16DE5"/>
    <w:rsid w:val="00C170AA"/>
    <w:rsid w:val="00C175F7"/>
    <w:rsid w:val="00C177C4"/>
    <w:rsid w:val="00C17D9B"/>
    <w:rsid w:val="00C2008F"/>
    <w:rsid w:val="00C20217"/>
    <w:rsid w:val="00C206D2"/>
    <w:rsid w:val="00C20CC5"/>
    <w:rsid w:val="00C20CF8"/>
    <w:rsid w:val="00C20FC7"/>
    <w:rsid w:val="00C21690"/>
    <w:rsid w:val="00C21B4F"/>
    <w:rsid w:val="00C21CB3"/>
    <w:rsid w:val="00C21ECD"/>
    <w:rsid w:val="00C2211A"/>
    <w:rsid w:val="00C22823"/>
    <w:rsid w:val="00C22A7E"/>
    <w:rsid w:val="00C22DB3"/>
    <w:rsid w:val="00C23D64"/>
    <w:rsid w:val="00C23DE0"/>
    <w:rsid w:val="00C23FAF"/>
    <w:rsid w:val="00C24059"/>
    <w:rsid w:val="00C24401"/>
    <w:rsid w:val="00C245F4"/>
    <w:rsid w:val="00C25859"/>
    <w:rsid w:val="00C263BC"/>
    <w:rsid w:val="00C265B4"/>
    <w:rsid w:val="00C26656"/>
    <w:rsid w:val="00C26928"/>
    <w:rsid w:val="00C269DA"/>
    <w:rsid w:val="00C26B58"/>
    <w:rsid w:val="00C26B5E"/>
    <w:rsid w:val="00C26E02"/>
    <w:rsid w:val="00C26F92"/>
    <w:rsid w:val="00C2738F"/>
    <w:rsid w:val="00C276F0"/>
    <w:rsid w:val="00C27764"/>
    <w:rsid w:val="00C27FF1"/>
    <w:rsid w:val="00C30070"/>
    <w:rsid w:val="00C305B1"/>
    <w:rsid w:val="00C3064E"/>
    <w:rsid w:val="00C30BFF"/>
    <w:rsid w:val="00C30D6C"/>
    <w:rsid w:val="00C30D80"/>
    <w:rsid w:val="00C3129A"/>
    <w:rsid w:val="00C319E9"/>
    <w:rsid w:val="00C31A6A"/>
    <w:rsid w:val="00C31DA8"/>
    <w:rsid w:val="00C321A7"/>
    <w:rsid w:val="00C32298"/>
    <w:rsid w:val="00C32AD0"/>
    <w:rsid w:val="00C32C50"/>
    <w:rsid w:val="00C334B5"/>
    <w:rsid w:val="00C3356A"/>
    <w:rsid w:val="00C33816"/>
    <w:rsid w:val="00C33F7F"/>
    <w:rsid w:val="00C3464A"/>
    <w:rsid w:val="00C3494D"/>
    <w:rsid w:val="00C34A98"/>
    <w:rsid w:val="00C35182"/>
    <w:rsid w:val="00C35702"/>
    <w:rsid w:val="00C359B2"/>
    <w:rsid w:val="00C35C13"/>
    <w:rsid w:val="00C35EA8"/>
    <w:rsid w:val="00C36100"/>
    <w:rsid w:val="00C363A4"/>
    <w:rsid w:val="00C36F1C"/>
    <w:rsid w:val="00C36F60"/>
    <w:rsid w:val="00C372A0"/>
    <w:rsid w:val="00C37650"/>
    <w:rsid w:val="00C376BD"/>
    <w:rsid w:val="00C37EE7"/>
    <w:rsid w:val="00C37F27"/>
    <w:rsid w:val="00C40296"/>
    <w:rsid w:val="00C40BC1"/>
    <w:rsid w:val="00C40BFA"/>
    <w:rsid w:val="00C40C81"/>
    <w:rsid w:val="00C40E78"/>
    <w:rsid w:val="00C410C5"/>
    <w:rsid w:val="00C41F33"/>
    <w:rsid w:val="00C42047"/>
    <w:rsid w:val="00C42D10"/>
    <w:rsid w:val="00C4323A"/>
    <w:rsid w:val="00C4358B"/>
    <w:rsid w:val="00C43A84"/>
    <w:rsid w:val="00C43AF6"/>
    <w:rsid w:val="00C43DC0"/>
    <w:rsid w:val="00C44006"/>
    <w:rsid w:val="00C44967"/>
    <w:rsid w:val="00C4498C"/>
    <w:rsid w:val="00C449FF"/>
    <w:rsid w:val="00C44C0C"/>
    <w:rsid w:val="00C44DAB"/>
    <w:rsid w:val="00C44EA3"/>
    <w:rsid w:val="00C450F0"/>
    <w:rsid w:val="00C45A5A"/>
    <w:rsid w:val="00C45BE7"/>
    <w:rsid w:val="00C45E8D"/>
    <w:rsid w:val="00C4683E"/>
    <w:rsid w:val="00C46BF1"/>
    <w:rsid w:val="00C46C6A"/>
    <w:rsid w:val="00C46F06"/>
    <w:rsid w:val="00C46F92"/>
    <w:rsid w:val="00C46FAF"/>
    <w:rsid w:val="00C4725C"/>
    <w:rsid w:val="00C47726"/>
    <w:rsid w:val="00C47768"/>
    <w:rsid w:val="00C47898"/>
    <w:rsid w:val="00C47969"/>
    <w:rsid w:val="00C47D36"/>
    <w:rsid w:val="00C501A6"/>
    <w:rsid w:val="00C50376"/>
    <w:rsid w:val="00C5041E"/>
    <w:rsid w:val="00C50832"/>
    <w:rsid w:val="00C508A9"/>
    <w:rsid w:val="00C509F8"/>
    <w:rsid w:val="00C50AEB"/>
    <w:rsid w:val="00C50BFC"/>
    <w:rsid w:val="00C50EB8"/>
    <w:rsid w:val="00C5109F"/>
    <w:rsid w:val="00C51117"/>
    <w:rsid w:val="00C511CA"/>
    <w:rsid w:val="00C51685"/>
    <w:rsid w:val="00C51BEA"/>
    <w:rsid w:val="00C51D27"/>
    <w:rsid w:val="00C520E8"/>
    <w:rsid w:val="00C521F2"/>
    <w:rsid w:val="00C52474"/>
    <w:rsid w:val="00C525A4"/>
    <w:rsid w:val="00C52745"/>
    <w:rsid w:val="00C52874"/>
    <w:rsid w:val="00C529D0"/>
    <w:rsid w:val="00C53BBA"/>
    <w:rsid w:val="00C54044"/>
    <w:rsid w:val="00C545A5"/>
    <w:rsid w:val="00C558E2"/>
    <w:rsid w:val="00C55AB9"/>
    <w:rsid w:val="00C56418"/>
    <w:rsid w:val="00C5659B"/>
    <w:rsid w:val="00C566BB"/>
    <w:rsid w:val="00C56728"/>
    <w:rsid w:val="00C569DB"/>
    <w:rsid w:val="00C56B57"/>
    <w:rsid w:val="00C571DD"/>
    <w:rsid w:val="00C57489"/>
    <w:rsid w:val="00C57864"/>
    <w:rsid w:val="00C5790F"/>
    <w:rsid w:val="00C579F2"/>
    <w:rsid w:val="00C57E41"/>
    <w:rsid w:val="00C6055B"/>
    <w:rsid w:val="00C60BAF"/>
    <w:rsid w:val="00C60C3D"/>
    <w:rsid w:val="00C60D6F"/>
    <w:rsid w:val="00C60E7E"/>
    <w:rsid w:val="00C60EBA"/>
    <w:rsid w:val="00C618FE"/>
    <w:rsid w:val="00C61A38"/>
    <w:rsid w:val="00C61F33"/>
    <w:rsid w:val="00C63201"/>
    <w:rsid w:val="00C63374"/>
    <w:rsid w:val="00C635C9"/>
    <w:rsid w:val="00C63672"/>
    <w:rsid w:val="00C638C7"/>
    <w:rsid w:val="00C639FB"/>
    <w:rsid w:val="00C63FF3"/>
    <w:rsid w:val="00C64667"/>
    <w:rsid w:val="00C6478C"/>
    <w:rsid w:val="00C64FAA"/>
    <w:rsid w:val="00C6524B"/>
    <w:rsid w:val="00C6538A"/>
    <w:rsid w:val="00C65AD5"/>
    <w:rsid w:val="00C662E3"/>
    <w:rsid w:val="00C6639E"/>
    <w:rsid w:val="00C665C3"/>
    <w:rsid w:val="00C665F1"/>
    <w:rsid w:val="00C668DA"/>
    <w:rsid w:val="00C66DC5"/>
    <w:rsid w:val="00C66FBF"/>
    <w:rsid w:val="00C67790"/>
    <w:rsid w:val="00C67CB1"/>
    <w:rsid w:val="00C67D8B"/>
    <w:rsid w:val="00C7031B"/>
    <w:rsid w:val="00C70D9C"/>
    <w:rsid w:val="00C71361"/>
    <w:rsid w:val="00C718C7"/>
    <w:rsid w:val="00C71FB6"/>
    <w:rsid w:val="00C7262B"/>
    <w:rsid w:val="00C72633"/>
    <w:rsid w:val="00C72E1F"/>
    <w:rsid w:val="00C72EDD"/>
    <w:rsid w:val="00C7330B"/>
    <w:rsid w:val="00C73468"/>
    <w:rsid w:val="00C736FC"/>
    <w:rsid w:val="00C73861"/>
    <w:rsid w:val="00C73952"/>
    <w:rsid w:val="00C73AC9"/>
    <w:rsid w:val="00C74045"/>
    <w:rsid w:val="00C743D5"/>
    <w:rsid w:val="00C747BC"/>
    <w:rsid w:val="00C748CD"/>
    <w:rsid w:val="00C74A3D"/>
    <w:rsid w:val="00C75129"/>
    <w:rsid w:val="00C756D4"/>
    <w:rsid w:val="00C7602C"/>
    <w:rsid w:val="00C76056"/>
    <w:rsid w:val="00C764EF"/>
    <w:rsid w:val="00C76A0F"/>
    <w:rsid w:val="00C76A95"/>
    <w:rsid w:val="00C76FC9"/>
    <w:rsid w:val="00C77211"/>
    <w:rsid w:val="00C77579"/>
    <w:rsid w:val="00C77EF1"/>
    <w:rsid w:val="00C80040"/>
    <w:rsid w:val="00C800DE"/>
    <w:rsid w:val="00C8011B"/>
    <w:rsid w:val="00C802FD"/>
    <w:rsid w:val="00C8031E"/>
    <w:rsid w:val="00C80613"/>
    <w:rsid w:val="00C8098E"/>
    <w:rsid w:val="00C80F89"/>
    <w:rsid w:val="00C814BC"/>
    <w:rsid w:val="00C8262E"/>
    <w:rsid w:val="00C82976"/>
    <w:rsid w:val="00C82ABA"/>
    <w:rsid w:val="00C82AD1"/>
    <w:rsid w:val="00C8316C"/>
    <w:rsid w:val="00C836BB"/>
    <w:rsid w:val="00C83924"/>
    <w:rsid w:val="00C83B2E"/>
    <w:rsid w:val="00C83CB4"/>
    <w:rsid w:val="00C840FC"/>
    <w:rsid w:val="00C8465F"/>
    <w:rsid w:val="00C8467C"/>
    <w:rsid w:val="00C84FDF"/>
    <w:rsid w:val="00C85457"/>
    <w:rsid w:val="00C858B5"/>
    <w:rsid w:val="00C85A67"/>
    <w:rsid w:val="00C865D2"/>
    <w:rsid w:val="00C86C24"/>
    <w:rsid w:val="00C86EF4"/>
    <w:rsid w:val="00C8726D"/>
    <w:rsid w:val="00C8795C"/>
    <w:rsid w:val="00C87CA4"/>
    <w:rsid w:val="00C87E7C"/>
    <w:rsid w:val="00C87EEB"/>
    <w:rsid w:val="00C9023F"/>
    <w:rsid w:val="00C90380"/>
    <w:rsid w:val="00C9046D"/>
    <w:rsid w:val="00C90E54"/>
    <w:rsid w:val="00C91A45"/>
    <w:rsid w:val="00C91B2F"/>
    <w:rsid w:val="00C92A76"/>
    <w:rsid w:val="00C92D97"/>
    <w:rsid w:val="00C94064"/>
    <w:rsid w:val="00C95179"/>
    <w:rsid w:val="00C95328"/>
    <w:rsid w:val="00C96000"/>
    <w:rsid w:val="00C9643F"/>
    <w:rsid w:val="00C9676B"/>
    <w:rsid w:val="00C9678D"/>
    <w:rsid w:val="00C96C7C"/>
    <w:rsid w:val="00C96F46"/>
    <w:rsid w:val="00C97215"/>
    <w:rsid w:val="00CA0674"/>
    <w:rsid w:val="00CA07B4"/>
    <w:rsid w:val="00CA08D5"/>
    <w:rsid w:val="00CA0A9E"/>
    <w:rsid w:val="00CA0B34"/>
    <w:rsid w:val="00CA0C8A"/>
    <w:rsid w:val="00CA0EA4"/>
    <w:rsid w:val="00CA0F1B"/>
    <w:rsid w:val="00CA1A1A"/>
    <w:rsid w:val="00CA1CE3"/>
    <w:rsid w:val="00CA2209"/>
    <w:rsid w:val="00CA2461"/>
    <w:rsid w:val="00CA2E3C"/>
    <w:rsid w:val="00CA3215"/>
    <w:rsid w:val="00CA35B8"/>
    <w:rsid w:val="00CA3719"/>
    <w:rsid w:val="00CA4189"/>
    <w:rsid w:val="00CA457E"/>
    <w:rsid w:val="00CA4966"/>
    <w:rsid w:val="00CA4A93"/>
    <w:rsid w:val="00CA4F91"/>
    <w:rsid w:val="00CA4FB7"/>
    <w:rsid w:val="00CA53F9"/>
    <w:rsid w:val="00CA54AE"/>
    <w:rsid w:val="00CA5881"/>
    <w:rsid w:val="00CA58D4"/>
    <w:rsid w:val="00CA5BB8"/>
    <w:rsid w:val="00CA5C00"/>
    <w:rsid w:val="00CA683D"/>
    <w:rsid w:val="00CA6CDE"/>
    <w:rsid w:val="00CA77BC"/>
    <w:rsid w:val="00CA7932"/>
    <w:rsid w:val="00CA7DBE"/>
    <w:rsid w:val="00CA7F53"/>
    <w:rsid w:val="00CB0303"/>
    <w:rsid w:val="00CB05B1"/>
    <w:rsid w:val="00CB0A1D"/>
    <w:rsid w:val="00CB0AD5"/>
    <w:rsid w:val="00CB0C32"/>
    <w:rsid w:val="00CB0CE4"/>
    <w:rsid w:val="00CB108C"/>
    <w:rsid w:val="00CB15B3"/>
    <w:rsid w:val="00CB180B"/>
    <w:rsid w:val="00CB190C"/>
    <w:rsid w:val="00CB215F"/>
    <w:rsid w:val="00CB22B5"/>
    <w:rsid w:val="00CB280E"/>
    <w:rsid w:val="00CB2F50"/>
    <w:rsid w:val="00CB31BE"/>
    <w:rsid w:val="00CB32B3"/>
    <w:rsid w:val="00CB33A2"/>
    <w:rsid w:val="00CB40D7"/>
    <w:rsid w:val="00CB43AD"/>
    <w:rsid w:val="00CB46A5"/>
    <w:rsid w:val="00CB49FF"/>
    <w:rsid w:val="00CB4BC2"/>
    <w:rsid w:val="00CB4BC3"/>
    <w:rsid w:val="00CB4EEB"/>
    <w:rsid w:val="00CB4FB0"/>
    <w:rsid w:val="00CB59C5"/>
    <w:rsid w:val="00CB5C09"/>
    <w:rsid w:val="00CB5C8C"/>
    <w:rsid w:val="00CB6D05"/>
    <w:rsid w:val="00CB7276"/>
    <w:rsid w:val="00CB756D"/>
    <w:rsid w:val="00CC0446"/>
    <w:rsid w:val="00CC0718"/>
    <w:rsid w:val="00CC08F8"/>
    <w:rsid w:val="00CC09BF"/>
    <w:rsid w:val="00CC09EE"/>
    <w:rsid w:val="00CC0D2B"/>
    <w:rsid w:val="00CC110C"/>
    <w:rsid w:val="00CC1174"/>
    <w:rsid w:val="00CC13DC"/>
    <w:rsid w:val="00CC188E"/>
    <w:rsid w:val="00CC255D"/>
    <w:rsid w:val="00CC2806"/>
    <w:rsid w:val="00CC2D2F"/>
    <w:rsid w:val="00CC3578"/>
    <w:rsid w:val="00CC357A"/>
    <w:rsid w:val="00CC42C5"/>
    <w:rsid w:val="00CC464A"/>
    <w:rsid w:val="00CC4655"/>
    <w:rsid w:val="00CC4F0A"/>
    <w:rsid w:val="00CC55C1"/>
    <w:rsid w:val="00CC5C75"/>
    <w:rsid w:val="00CC5D0A"/>
    <w:rsid w:val="00CC609C"/>
    <w:rsid w:val="00CC6278"/>
    <w:rsid w:val="00CC63CC"/>
    <w:rsid w:val="00CC6AFE"/>
    <w:rsid w:val="00CC6D39"/>
    <w:rsid w:val="00CC7B76"/>
    <w:rsid w:val="00CC7C4D"/>
    <w:rsid w:val="00CC7D05"/>
    <w:rsid w:val="00CD0442"/>
    <w:rsid w:val="00CD056F"/>
    <w:rsid w:val="00CD0C1D"/>
    <w:rsid w:val="00CD0CBC"/>
    <w:rsid w:val="00CD10F7"/>
    <w:rsid w:val="00CD11B6"/>
    <w:rsid w:val="00CD1456"/>
    <w:rsid w:val="00CD16B7"/>
    <w:rsid w:val="00CD1F91"/>
    <w:rsid w:val="00CD20D6"/>
    <w:rsid w:val="00CD2669"/>
    <w:rsid w:val="00CD270A"/>
    <w:rsid w:val="00CD36C3"/>
    <w:rsid w:val="00CD3873"/>
    <w:rsid w:val="00CD38E3"/>
    <w:rsid w:val="00CD392C"/>
    <w:rsid w:val="00CD3BA4"/>
    <w:rsid w:val="00CD3CEA"/>
    <w:rsid w:val="00CD4691"/>
    <w:rsid w:val="00CD4920"/>
    <w:rsid w:val="00CD4EB1"/>
    <w:rsid w:val="00CD51C9"/>
    <w:rsid w:val="00CD5401"/>
    <w:rsid w:val="00CD609F"/>
    <w:rsid w:val="00CD62D2"/>
    <w:rsid w:val="00CD6530"/>
    <w:rsid w:val="00CD6DA9"/>
    <w:rsid w:val="00CD71FD"/>
    <w:rsid w:val="00CD7344"/>
    <w:rsid w:val="00CD7461"/>
    <w:rsid w:val="00CD756B"/>
    <w:rsid w:val="00CD76DF"/>
    <w:rsid w:val="00CD79B1"/>
    <w:rsid w:val="00CE0C54"/>
    <w:rsid w:val="00CE1A6A"/>
    <w:rsid w:val="00CE1AEC"/>
    <w:rsid w:val="00CE214F"/>
    <w:rsid w:val="00CE2A1C"/>
    <w:rsid w:val="00CE34AF"/>
    <w:rsid w:val="00CE350F"/>
    <w:rsid w:val="00CE3565"/>
    <w:rsid w:val="00CE3C66"/>
    <w:rsid w:val="00CE41B9"/>
    <w:rsid w:val="00CE495F"/>
    <w:rsid w:val="00CE5033"/>
    <w:rsid w:val="00CE507F"/>
    <w:rsid w:val="00CE6071"/>
    <w:rsid w:val="00CE65A9"/>
    <w:rsid w:val="00CE6A52"/>
    <w:rsid w:val="00CE6CE6"/>
    <w:rsid w:val="00CE6F10"/>
    <w:rsid w:val="00CE791B"/>
    <w:rsid w:val="00CF04B2"/>
    <w:rsid w:val="00CF0545"/>
    <w:rsid w:val="00CF0761"/>
    <w:rsid w:val="00CF0A6A"/>
    <w:rsid w:val="00CF0BAE"/>
    <w:rsid w:val="00CF0E26"/>
    <w:rsid w:val="00CF0EAD"/>
    <w:rsid w:val="00CF0EFF"/>
    <w:rsid w:val="00CF0FCD"/>
    <w:rsid w:val="00CF1A19"/>
    <w:rsid w:val="00CF2935"/>
    <w:rsid w:val="00CF2DAE"/>
    <w:rsid w:val="00CF2F39"/>
    <w:rsid w:val="00CF2F97"/>
    <w:rsid w:val="00CF3204"/>
    <w:rsid w:val="00CF33C0"/>
    <w:rsid w:val="00CF3842"/>
    <w:rsid w:val="00CF3C9A"/>
    <w:rsid w:val="00CF3D8A"/>
    <w:rsid w:val="00CF46A2"/>
    <w:rsid w:val="00CF49B8"/>
    <w:rsid w:val="00CF4D9D"/>
    <w:rsid w:val="00CF4F40"/>
    <w:rsid w:val="00CF4F84"/>
    <w:rsid w:val="00CF55FB"/>
    <w:rsid w:val="00CF578D"/>
    <w:rsid w:val="00CF5B56"/>
    <w:rsid w:val="00CF5D65"/>
    <w:rsid w:val="00CF60D0"/>
    <w:rsid w:val="00CF60EC"/>
    <w:rsid w:val="00CF62D7"/>
    <w:rsid w:val="00CF693E"/>
    <w:rsid w:val="00CF6A0D"/>
    <w:rsid w:val="00CF7333"/>
    <w:rsid w:val="00CF7554"/>
    <w:rsid w:val="00CF772B"/>
    <w:rsid w:val="00CF783C"/>
    <w:rsid w:val="00CF7E5C"/>
    <w:rsid w:val="00D00159"/>
    <w:rsid w:val="00D00465"/>
    <w:rsid w:val="00D006FF"/>
    <w:rsid w:val="00D00AD8"/>
    <w:rsid w:val="00D01140"/>
    <w:rsid w:val="00D0129D"/>
    <w:rsid w:val="00D012A8"/>
    <w:rsid w:val="00D01911"/>
    <w:rsid w:val="00D01E47"/>
    <w:rsid w:val="00D0218B"/>
    <w:rsid w:val="00D02303"/>
    <w:rsid w:val="00D0358B"/>
    <w:rsid w:val="00D03BEB"/>
    <w:rsid w:val="00D03C89"/>
    <w:rsid w:val="00D03DC5"/>
    <w:rsid w:val="00D04135"/>
    <w:rsid w:val="00D04A67"/>
    <w:rsid w:val="00D05544"/>
    <w:rsid w:val="00D05CAE"/>
    <w:rsid w:val="00D05EB5"/>
    <w:rsid w:val="00D061DD"/>
    <w:rsid w:val="00D06D5C"/>
    <w:rsid w:val="00D075BC"/>
    <w:rsid w:val="00D0769F"/>
    <w:rsid w:val="00D07ADA"/>
    <w:rsid w:val="00D07E99"/>
    <w:rsid w:val="00D1022C"/>
    <w:rsid w:val="00D10322"/>
    <w:rsid w:val="00D10433"/>
    <w:rsid w:val="00D1132D"/>
    <w:rsid w:val="00D1136D"/>
    <w:rsid w:val="00D12040"/>
    <w:rsid w:val="00D1229A"/>
    <w:rsid w:val="00D12AAB"/>
    <w:rsid w:val="00D12B1D"/>
    <w:rsid w:val="00D130F1"/>
    <w:rsid w:val="00D13635"/>
    <w:rsid w:val="00D1391B"/>
    <w:rsid w:val="00D13CAA"/>
    <w:rsid w:val="00D14447"/>
    <w:rsid w:val="00D14746"/>
    <w:rsid w:val="00D14ACE"/>
    <w:rsid w:val="00D15199"/>
    <w:rsid w:val="00D151E9"/>
    <w:rsid w:val="00D15255"/>
    <w:rsid w:val="00D156FE"/>
    <w:rsid w:val="00D158D2"/>
    <w:rsid w:val="00D15AF0"/>
    <w:rsid w:val="00D15CE4"/>
    <w:rsid w:val="00D15D11"/>
    <w:rsid w:val="00D15EF7"/>
    <w:rsid w:val="00D164D6"/>
    <w:rsid w:val="00D1683E"/>
    <w:rsid w:val="00D16A48"/>
    <w:rsid w:val="00D176A5"/>
    <w:rsid w:val="00D177FB"/>
    <w:rsid w:val="00D1788B"/>
    <w:rsid w:val="00D17A1C"/>
    <w:rsid w:val="00D17BDE"/>
    <w:rsid w:val="00D17E16"/>
    <w:rsid w:val="00D20734"/>
    <w:rsid w:val="00D20BD1"/>
    <w:rsid w:val="00D20E42"/>
    <w:rsid w:val="00D2134E"/>
    <w:rsid w:val="00D21540"/>
    <w:rsid w:val="00D21C26"/>
    <w:rsid w:val="00D21D3F"/>
    <w:rsid w:val="00D2204E"/>
    <w:rsid w:val="00D2249D"/>
    <w:rsid w:val="00D22B20"/>
    <w:rsid w:val="00D22F21"/>
    <w:rsid w:val="00D22F3E"/>
    <w:rsid w:val="00D232F9"/>
    <w:rsid w:val="00D2388C"/>
    <w:rsid w:val="00D23E37"/>
    <w:rsid w:val="00D242D3"/>
    <w:rsid w:val="00D24621"/>
    <w:rsid w:val="00D250CF"/>
    <w:rsid w:val="00D25400"/>
    <w:rsid w:val="00D2592B"/>
    <w:rsid w:val="00D265D0"/>
    <w:rsid w:val="00D26642"/>
    <w:rsid w:val="00D26A94"/>
    <w:rsid w:val="00D26C79"/>
    <w:rsid w:val="00D26F84"/>
    <w:rsid w:val="00D27657"/>
    <w:rsid w:val="00D27D3B"/>
    <w:rsid w:val="00D30235"/>
    <w:rsid w:val="00D30732"/>
    <w:rsid w:val="00D30866"/>
    <w:rsid w:val="00D315D6"/>
    <w:rsid w:val="00D315F4"/>
    <w:rsid w:val="00D318BB"/>
    <w:rsid w:val="00D31C66"/>
    <w:rsid w:val="00D325E3"/>
    <w:rsid w:val="00D32740"/>
    <w:rsid w:val="00D32CAB"/>
    <w:rsid w:val="00D3304E"/>
    <w:rsid w:val="00D335A6"/>
    <w:rsid w:val="00D336A1"/>
    <w:rsid w:val="00D33723"/>
    <w:rsid w:val="00D33C89"/>
    <w:rsid w:val="00D33C8D"/>
    <w:rsid w:val="00D33DD7"/>
    <w:rsid w:val="00D342E0"/>
    <w:rsid w:val="00D3442C"/>
    <w:rsid w:val="00D345B5"/>
    <w:rsid w:val="00D345EA"/>
    <w:rsid w:val="00D3490F"/>
    <w:rsid w:val="00D34AF0"/>
    <w:rsid w:val="00D34D06"/>
    <w:rsid w:val="00D34D33"/>
    <w:rsid w:val="00D3588F"/>
    <w:rsid w:val="00D3597B"/>
    <w:rsid w:val="00D35F59"/>
    <w:rsid w:val="00D35F6F"/>
    <w:rsid w:val="00D35F90"/>
    <w:rsid w:val="00D35FAC"/>
    <w:rsid w:val="00D369E9"/>
    <w:rsid w:val="00D36A36"/>
    <w:rsid w:val="00D36B7F"/>
    <w:rsid w:val="00D37626"/>
    <w:rsid w:val="00D37C68"/>
    <w:rsid w:val="00D40206"/>
    <w:rsid w:val="00D4039B"/>
    <w:rsid w:val="00D405B9"/>
    <w:rsid w:val="00D40DF5"/>
    <w:rsid w:val="00D4161A"/>
    <w:rsid w:val="00D41797"/>
    <w:rsid w:val="00D41BA8"/>
    <w:rsid w:val="00D4225A"/>
    <w:rsid w:val="00D42AD0"/>
    <w:rsid w:val="00D434D6"/>
    <w:rsid w:val="00D436B7"/>
    <w:rsid w:val="00D4387A"/>
    <w:rsid w:val="00D4391C"/>
    <w:rsid w:val="00D43CA1"/>
    <w:rsid w:val="00D43CCA"/>
    <w:rsid w:val="00D43FC0"/>
    <w:rsid w:val="00D44365"/>
    <w:rsid w:val="00D444FD"/>
    <w:rsid w:val="00D44A66"/>
    <w:rsid w:val="00D44B55"/>
    <w:rsid w:val="00D453A6"/>
    <w:rsid w:val="00D45901"/>
    <w:rsid w:val="00D45A6A"/>
    <w:rsid w:val="00D45EE9"/>
    <w:rsid w:val="00D45FD2"/>
    <w:rsid w:val="00D461C1"/>
    <w:rsid w:val="00D46693"/>
    <w:rsid w:val="00D466A4"/>
    <w:rsid w:val="00D4688A"/>
    <w:rsid w:val="00D46E80"/>
    <w:rsid w:val="00D46F58"/>
    <w:rsid w:val="00D478F7"/>
    <w:rsid w:val="00D479F5"/>
    <w:rsid w:val="00D500A3"/>
    <w:rsid w:val="00D50132"/>
    <w:rsid w:val="00D503DF"/>
    <w:rsid w:val="00D5040C"/>
    <w:rsid w:val="00D50813"/>
    <w:rsid w:val="00D50B3F"/>
    <w:rsid w:val="00D5119E"/>
    <w:rsid w:val="00D516BA"/>
    <w:rsid w:val="00D522CA"/>
    <w:rsid w:val="00D52DC4"/>
    <w:rsid w:val="00D52EB9"/>
    <w:rsid w:val="00D531B8"/>
    <w:rsid w:val="00D537BE"/>
    <w:rsid w:val="00D538FA"/>
    <w:rsid w:val="00D53F8F"/>
    <w:rsid w:val="00D5401F"/>
    <w:rsid w:val="00D5437B"/>
    <w:rsid w:val="00D548FE"/>
    <w:rsid w:val="00D54B10"/>
    <w:rsid w:val="00D54CC7"/>
    <w:rsid w:val="00D555B2"/>
    <w:rsid w:val="00D555DA"/>
    <w:rsid w:val="00D556CF"/>
    <w:rsid w:val="00D55D62"/>
    <w:rsid w:val="00D55DA8"/>
    <w:rsid w:val="00D55EF1"/>
    <w:rsid w:val="00D56010"/>
    <w:rsid w:val="00D560E7"/>
    <w:rsid w:val="00D56186"/>
    <w:rsid w:val="00D565B8"/>
    <w:rsid w:val="00D56748"/>
    <w:rsid w:val="00D56E5F"/>
    <w:rsid w:val="00D571C7"/>
    <w:rsid w:val="00D57585"/>
    <w:rsid w:val="00D57C03"/>
    <w:rsid w:val="00D60124"/>
    <w:rsid w:val="00D602C6"/>
    <w:rsid w:val="00D612DB"/>
    <w:rsid w:val="00D613D8"/>
    <w:rsid w:val="00D6158A"/>
    <w:rsid w:val="00D61721"/>
    <w:rsid w:val="00D61D4B"/>
    <w:rsid w:val="00D62CF0"/>
    <w:rsid w:val="00D63900"/>
    <w:rsid w:val="00D64CB1"/>
    <w:rsid w:val="00D64DA7"/>
    <w:rsid w:val="00D655AA"/>
    <w:rsid w:val="00D65629"/>
    <w:rsid w:val="00D66209"/>
    <w:rsid w:val="00D66682"/>
    <w:rsid w:val="00D66856"/>
    <w:rsid w:val="00D669A2"/>
    <w:rsid w:val="00D66E1F"/>
    <w:rsid w:val="00D673AB"/>
    <w:rsid w:val="00D674AD"/>
    <w:rsid w:val="00D67600"/>
    <w:rsid w:val="00D67B14"/>
    <w:rsid w:val="00D67EEB"/>
    <w:rsid w:val="00D70896"/>
    <w:rsid w:val="00D70A0C"/>
    <w:rsid w:val="00D70C3F"/>
    <w:rsid w:val="00D70F90"/>
    <w:rsid w:val="00D71036"/>
    <w:rsid w:val="00D72397"/>
    <w:rsid w:val="00D729B3"/>
    <w:rsid w:val="00D7397F"/>
    <w:rsid w:val="00D74044"/>
    <w:rsid w:val="00D749C1"/>
    <w:rsid w:val="00D7513A"/>
    <w:rsid w:val="00D756CD"/>
    <w:rsid w:val="00D75969"/>
    <w:rsid w:val="00D75AFB"/>
    <w:rsid w:val="00D75B6C"/>
    <w:rsid w:val="00D76276"/>
    <w:rsid w:val="00D7689F"/>
    <w:rsid w:val="00D76C14"/>
    <w:rsid w:val="00D76C2C"/>
    <w:rsid w:val="00D76FE9"/>
    <w:rsid w:val="00D77018"/>
    <w:rsid w:val="00D7715F"/>
    <w:rsid w:val="00D772ED"/>
    <w:rsid w:val="00D773A7"/>
    <w:rsid w:val="00D773AD"/>
    <w:rsid w:val="00D77509"/>
    <w:rsid w:val="00D80397"/>
    <w:rsid w:val="00D806C7"/>
    <w:rsid w:val="00D807AC"/>
    <w:rsid w:val="00D80ED2"/>
    <w:rsid w:val="00D81778"/>
    <w:rsid w:val="00D81858"/>
    <w:rsid w:val="00D81C90"/>
    <w:rsid w:val="00D82ED1"/>
    <w:rsid w:val="00D82F86"/>
    <w:rsid w:val="00D832BB"/>
    <w:rsid w:val="00D832BE"/>
    <w:rsid w:val="00D837B6"/>
    <w:rsid w:val="00D83CEA"/>
    <w:rsid w:val="00D845F7"/>
    <w:rsid w:val="00D84951"/>
    <w:rsid w:val="00D84953"/>
    <w:rsid w:val="00D8497A"/>
    <w:rsid w:val="00D84C41"/>
    <w:rsid w:val="00D84CB1"/>
    <w:rsid w:val="00D84F97"/>
    <w:rsid w:val="00D851F0"/>
    <w:rsid w:val="00D85A14"/>
    <w:rsid w:val="00D85A33"/>
    <w:rsid w:val="00D85B44"/>
    <w:rsid w:val="00D85B50"/>
    <w:rsid w:val="00D86A43"/>
    <w:rsid w:val="00D872BF"/>
    <w:rsid w:val="00D8749F"/>
    <w:rsid w:val="00D87AB5"/>
    <w:rsid w:val="00D87B5C"/>
    <w:rsid w:val="00D87F23"/>
    <w:rsid w:val="00D87F2C"/>
    <w:rsid w:val="00D904D5"/>
    <w:rsid w:val="00D90734"/>
    <w:rsid w:val="00D90A44"/>
    <w:rsid w:val="00D90A66"/>
    <w:rsid w:val="00D90AB6"/>
    <w:rsid w:val="00D90F97"/>
    <w:rsid w:val="00D91310"/>
    <w:rsid w:val="00D916DB"/>
    <w:rsid w:val="00D91912"/>
    <w:rsid w:val="00D92157"/>
    <w:rsid w:val="00D926E0"/>
    <w:rsid w:val="00D92AAC"/>
    <w:rsid w:val="00D92D4A"/>
    <w:rsid w:val="00D92FFA"/>
    <w:rsid w:val="00D93163"/>
    <w:rsid w:val="00D936AE"/>
    <w:rsid w:val="00D93B91"/>
    <w:rsid w:val="00D93D01"/>
    <w:rsid w:val="00D9471D"/>
    <w:rsid w:val="00D95125"/>
    <w:rsid w:val="00D95861"/>
    <w:rsid w:val="00D95B13"/>
    <w:rsid w:val="00D95D0D"/>
    <w:rsid w:val="00D95FB8"/>
    <w:rsid w:val="00D968D4"/>
    <w:rsid w:val="00D97B72"/>
    <w:rsid w:val="00D97C70"/>
    <w:rsid w:val="00D97E81"/>
    <w:rsid w:val="00DA019E"/>
    <w:rsid w:val="00DA046C"/>
    <w:rsid w:val="00DA0D75"/>
    <w:rsid w:val="00DA0FA7"/>
    <w:rsid w:val="00DA103F"/>
    <w:rsid w:val="00DA1048"/>
    <w:rsid w:val="00DA1112"/>
    <w:rsid w:val="00DA1BA7"/>
    <w:rsid w:val="00DA1D0B"/>
    <w:rsid w:val="00DA22CB"/>
    <w:rsid w:val="00DA2676"/>
    <w:rsid w:val="00DA3136"/>
    <w:rsid w:val="00DA3D5E"/>
    <w:rsid w:val="00DA3DBF"/>
    <w:rsid w:val="00DA406F"/>
    <w:rsid w:val="00DA41C4"/>
    <w:rsid w:val="00DA43F4"/>
    <w:rsid w:val="00DA44FF"/>
    <w:rsid w:val="00DA457F"/>
    <w:rsid w:val="00DA4B8C"/>
    <w:rsid w:val="00DA502C"/>
    <w:rsid w:val="00DA5064"/>
    <w:rsid w:val="00DA572D"/>
    <w:rsid w:val="00DA5795"/>
    <w:rsid w:val="00DA5DCE"/>
    <w:rsid w:val="00DA5DFB"/>
    <w:rsid w:val="00DA643B"/>
    <w:rsid w:val="00DA65C0"/>
    <w:rsid w:val="00DA6EF1"/>
    <w:rsid w:val="00DA76BB"/>
    <w:rsid w:val="00DA7B40"/>
    <w:rsid w:val="00DB049A"/>
    <w:rsid w:val="00DB096A"/>
    <w:rsid w:val="00DB0C87"/>
    <w:rsid w:val="00DB1115"/>
    <w:rsid w:val="00DB1201"/>
    <w:rsid w:val="00DB16B3"/>
    <w:rsid w:val="00DB1CDE"/>
    <w:rsid w:val="00DB1E7C"/>
    <w:rsid w:val="00DB201E"/>
    <w:rsid w:val="00DB2676"/>
    <w:rsid w:val="00DB29BD"/>
    <w:rsid w:val="00DB373C"/>
    <w:rsid w:val="00DB475E"/>
    <w:rsid w:val="00DB48E7"/>
    <w:rsid w:val="00DB6677"/>
    <w:rsid w:val="00DB6869"/>
    <w:rsid w:val="00DB69AD"/>
    <w:rsid w:val="00DB6A51"/>
    <w:rsid w:val="00DB6A60"/>
    <w:rsid w:val="00DB6D7E"/>
    <w:rsid w:val="00DB77A3"/>
    <w:rsid w:val="00DB7805"/>
    <w:rsid w:val="00DB7A4F"/>
    <w:rsid w:val="00DB7C1E"/>
    <w:rsid w:val="00DC0C34"/>
    <w:rsid w:val="00DC11CE"/>
    <w:rsid w:val="00DC13D1"/>
    <w:rsid w:val="00DC1655"/>
    <w:rsid w:val="00DC1E23"/>
    <w:rsid w:val="00DC21E3"/>
    <w:rsid w:val="00DC29F7"/>
    <w:rsid w:val="00DC2B3D"/>
    <w:rsid w:val="00DC2C5B"/>
    <w:rsid w:val="00DC2CEC"/>
    <w:rsid w:val="00DC3D04"/>
    <w:rsid w:val="00DC3E8F"/>
    <w:rsid w:val="00DC43DD"/>
    <w:rsid w:val="00DC4A77"/>
    <w:rsid w:val="00DC4B28"/>
    <w:rsid w:val="00DC5374"/>
    <w:rsid w:val="00DC5844"/>
    <w:rsid w:val="00DC6590"/>
    <w:rsid w:val="00DC68F7"/>
    <w:rsid w:val="00DC69CC"/>
    <w:rsid w:val="00DC6D8C"/>
    <w:rsid w:val="00DC7983"/>
    <w:rsid w:val="00DC7A6A"/>
    <w:rsid w:val="00DC7DCF"/>
    <w:rsid w:val="00DC7E6D"/>
    <w:rsid w:val="00DD0013"/>
    <w:rsid w:val="00DD04EE"/>
    <w:rsid w:val="00DD0865"/>
    <w:rsid w:val="00DD08B5"/>
    <w:rsid w:val="00DD15EF"/>
    <w:rsid w:val="00DD251E"/>
    <w:rsid w:val="00DD3343"/>
    <w:rsid w:val="00DD3592"/>
    <w:rsid w:val="00DD36EB"/>
    <w:rsid w:val="00DD3847"/>
    <w:rsid w:val="00DD3DCC"/>
    <w:rsid w:val="00DD42B2"/>
    <w:rsid w:val="00DD4473"/>
    <w:rsid w:val="00DD4B54"/>
    <w:rsid w:val="00DD502C"/>
    <w:rsid w:val="00DD61BD"/>
    <w:rsid w:val="00DD702F"/>
    <w:rsid w:val="00DD70A2"/>
    <w:rsid w:val="00DD72E1"/>
    <w:rsid w:val="00DD751E"/>
    <w:rsid w:val="00DD769D"/>
    <w:rsid w:val="00DD7EED"/>
    <w:rsid w:val="00DE0179"/>
    <w:rsid w:val="00DE0A53"/>
    <w:rsid w:val="00DE10E9"/>
    <w:rsid w:val="00DE1697"/>
    <w:rsid w:val="00DE169D"/>
    <w:rsid w:val="00DE1E56"/>
    <w:rsid w:val="00DE215B"/>
    <w:rsid w:val="00DE2304"/>
    <w:rsid w:val="00DE241C"/>
    <w:rsid w:val="00DE2A7F"/>
    <w:rsid w:val="00DE2B8E"/>
    <w:rsid w:val="00DE3B80"/>
    <w:rsid w:val="00DE3CD5"/>
    <w:rsid w:val="00DE3D1C"/>
    <w:rsid w:val="00DE3DFF"/>
    <w:rsid w:val="00DE443C"/>
    <w:rsid w:val="00DE44D3"/>
    <w:rsid w:val="00DE47BA"/>
    <w:rsid w:val="00DE49ED"/>
    <w:rsid w:val="00DE4AD7"/>
    <w:rsid w:val="00DE4DA6"/>
    <w:rsid w:val="00DE5414"/>
    <w:rsid w:val="00DE5960"/>
    <w:rsid w:val="00DE67DA"/>
    <w:rsid w:val="00DE6AC6"/>
    <w:rsid w:val="00DE6BE9"/>
    <w:rsid w:val="00DE6E3C"/>
    <w:rsid w:val="00DE7326"/>
    <w:rsid w:val="00DE737B"/>
    <w:rsid w:val="00DE73B5"/>
    <w:rsid w:val="00DE79C5"/>
    <w:rsid w:val="00DE7F96"/>
    <w:rsid w:val="00DF060D"/>
    <w:rsid w:val="00DF0B55"/>
    <w:rsid w:val="00DF0B62"/>
    <w:rsid w:val="00DF10ED"/>
    <w:rsid w:val="00DF14C1"/>
    <w:rsid w:val="00DF15D1"/>
    <w:rsid w:val="00DF16E5"/>
    <w:rsid w:val="00DF1913"/>
    <w:rsid w:val="00DF19D9"/>
    <w:rsid w:val="00DF24ED"/>
    <w:rsid w:val="00DF2986"/>
    <w:rsid w:val="00DF2B5E"/>
    <w:rsid w:val="00DF2B9A"/>
    <w:rsid w:val="00DF3C6B"/>
    <w:rsid w:val="00DF3E21"/>
    <w:rsid w:val="00DF3E81"/>
    <w:rsid w:val="00DF409F"/>
    <w:rsid w:val="00DF41A7"/>
    <w:rsid w:val="00DF445D"/>
    <w:rsid w:val="00DF44FE"/>
    <w:rsid w:val="00DF46B5"/>
    <w:rsid w:val="00DF4DD4"/>
    <w:rsid w:val="00DF523B"/>
    <w:rsid w:val="00DF5925"/>
    <w:rsid w:val="00DF6839"/>
    <w:rsid w:val="00DF72D8"/>
    <w:rsid w:val="00DF7D68"/>
    <w:rsid w:val="00DF7D82"/>
    <w:rsid w:val="00E00171"/>
    <w:rsid w:val="00E00207"/>
    <w:rsid w:val="00E003BC"/>
    <w:rsid w:val="00E006D2"/>
    <w:rsid w:val="00E009E8"/>
    <w:rsid w:val="00E00D1C"/>
    <w:rsid w:val="00E0114A"/>
    <w:rsid w:val="00E01315"/>
    <w:rsid w:val="00E014C6"/>
    <w:rsid w:val="00E01776"/>
    <w:rsid w:val="00E01EC7"/>
    <w:rsid w:val="00E01F21"/>
    <w:rsid w:val="00E025FE"/>
    <w:rsid w:val="00E026E0"/>
    <w:rsid w:val="00E02C1C"/>
    <w:rsid w:val="00E02CE7"/>
    <w:rsid w:val="00E02D19"/>
    <w:rsid w:val="00E03580"/>
    <w:rsid w:val="00E038FA"/>
    <w:rsid w:val="00E03FA2"/>
    <w:rsid w:val="00E04DF8"/>
    <w:rsid w:val="00E04F40"/>
    <w:rsid w:val="00E04FC5"/>
    <w:rsid w:val="00E04FE0"/>
    <w:rsid w:val="00E05636"/>
    <w:rsid w:val="00E058A9"/>
    <w:rsid w:val="00E05B55"/>
    <w:rsid w:val="00E05EBD"/>
    <w:rsid w:val="00E060FD"/>
    <w:rsid w:val="00E06201"/>
    <w:rsid w:val="00E06248"/>
    <w:rsid w:val="00E062AE"/>
    <w:rsid w:val="00E06726"/>
    <w:rsid w:val="00E06C9F"/>
    <w:rsid w:val="00E07721"/>
    <w:rsid w:val="00E07A5C"/>
    <w:rsid w:val="00E07A83"/>
    <w:rsid w:val="00E07B87"/>
    <w:rsid w:val="00E07E27"/>
    <w:rsid w:val="00E10214"/>
    <w:rsid w:val="00E10955"/>
    <w:rsid w:val="00E116F1"/>
    <w:rsid w:val="00E12164"/>
    <w:rsid w:val="00E124B1"/>
    <w:rsid w:val="00E12759"/>
    <w:rsid w:val="00E12A4C"/>
    <w:rsid w:val="00E12BF1"/>
    <w:rsid w:val="00E12CC1"/>
    <w:rsid w:val="00E12D51"/>
    <w:rsid w:val="00E13572"/>
    <w:rsid w:val="00E13997"/>
    <w:rsid w:val="00E13A35"/>
    <w:rsid w:val="00E13E8D"/>
    <w:rsid w:val="00E13FD9"/>
    <w:rsid w:val="00E148F8"/>
    <w:rsid w:val="00E1588A"/>
    <w:rsid w:val="00E160B7"/>
    <w:rsid w:val="00E17958"/>
    <w:rsid w:val="00E17E8D"/>
    <w:rsid w:val="00E17F7E"/>
    <w:rsid w:val="00E209A9"/>
    <w:rsid w:val="00E209ED"/>
    <w:rsid w:val="00E20DF3"/>
    <w:rsid w:val="00E211DB"/>
    <w:rsid w:val="00E21450"/>
    <w:rsid w:val="00E2151E"/>
    <w:rsid w:val="00E217AA"/>
    <w:rsid w:val="00E220FB"/>
    <w:rsid w:val="00E22127"/>
    <w:rsid w:val="00E224BC"/>
    <w:rsid w:val="00E225BF"/>
    <w:rsid w:val="00E2301F"/>
    <w:rsid w:val="00E2370F"/>
    <w:rsid w:val="00E23AD8"/>
    <w:rsid w:val="00E23C01"/>
    <w:rsid w:val="00E23FEA"/>
    <w:rsid w:val="00E2453F"/>
    <w:rsid w:val="00E24958"/>
    <w:rsid w:val="00E24E99"/>
    <w:rsid w:val="00E24F5F"/>
    <w:rsid w:val="00E24F8C"/>
    <w:rsid w:val="00E255DF"/>
    <w:rsid w:val="00E25E81"/>
    <w:rsid w:val="00E25FE5"/>
    <w:rsid w:val="00E2631E"/>
    <w:rsid w:val="00E26412"/>
    <w:rsid w:val="00E269D3"/>
    <w:rsid w:val="00E26E86"/>
    <w:rsid w:val="00E26EF3"/>
    <w:rsid w:val="00E26F23"/>
    <w:rsid w:val="00E27B07"/>
    <w:rsid w:val="00E27E27"/>
    <w:rsid w:val="00E3024C"/>
    <w:rsid w:val="00E30272"/>
    <w:rsid w:val="00E3098F"/>
    <w:rsid w:val="00E310F7"/>
    <w:rsid w:val="00E31151"/>
    <w:rsid w:val="00E311D3"/>
    <w:rsid w:val="00E31909"/>
    <w:rsid w:val="00E31ABD"/>
    <w:rsid w:val="00E31E92"/>
    <w:rsid w:val="00E325C0"/>
    <w:rsid w:val="00E3268F"/>
    <w:rsid w:val="00E33138"/>
    <w:rsid w:val="00E33C79"/>
    <w:rsid w:val="00E34270"/>
    <w:rsid w:val="00E3441D"/>
    <w:rsid w:val="00E34AE8"/>
    <w:rsid w:val="00E34B9F"/>
    <w:rsid w:val="00E354D5"/>
    <w:rsid w:val="00E35785"/>
    <w:rsid w:val="00E35DEA"/>
    <w:rsid w:val="00E36247"/>
    <w:rsid w:val="00E362B0"/>
    <w:rsid w:val="00E36324"/>
    <w:rsid w:val="00E3652D"/>
    <w:rsid w:val="00E367A6"/>
    <w:rsid w:val="00E373C7"/>
    <w:rsid w:val="00E3773C"/>
    <w:rsid w:val="00E37849"/>
    <w:rsid w:val="00E37865"/>
    <w:rsid w:val="00E4037B"/>
    <w:rsid w:val="00E40517"/>
    <w:rsid w:val="00E40BF4"/>
    <w:rsid w:val="00E41297"/>
    <w:rsid w:val="00E41A6D"/>
    <w:rsid w:val="00E41DCE"/>
    <w:rsid w:val="00E423A3"/>
    <w:rsid w:val="00E43106"/>
    <w:rsid w:val="00E43A82"/>
    <w:rsid w:val="00E43C10"/>
    <w:rsid w:val="00E4452F"/>
    <w:rsid w:val="00E44863"/>
    <w:rsid w:val="00E44B46"/>
    <w:rsid w:val="00E44C9E"/>
    <w:rsid w:val="00E44D96"/>
    <w:rsid w:val="00E44E35"/>
    <w:rsid w:val="00E45054"/>
    <w:rsid w:val="00E45354"/>
    <w:rsid w:val="00E4595B"/>
    <w:rsid w:val="00E465DA"/>
    <w:rsid w:val="00E46B2E"/>
    <w:rsid w:val="00E46E15"/>
    <w:rsid w:val="00E47099"/>
    <w:rsid w:val="00E4724D"/>
    <w:rsid w:val="00E47C3D"/>
    <w:rsid w:val="00E47F51"/>
    <w:rsid w:val="00E50993"/>
    <w:rsid w:val="00E50A93"/>
    <w:rsid w:val="00E513E4"/>
    <w:rsid w:val="00E51486"/>
    <w:rsid w:val="00E51F93"/>
    <w:rsid w:val="00E522D9"/>
    <w:rsid w:val="00E525FA"/>
    <w:rsid w:val="00E5298F"/>
    <w:rsid w:val="00E53412"/>
    <w:rsid w:val="00E5362C"/>
    <w:rsid w:val="00E536EC"/>
    <w:rsid w:val="00E53C8E"/>
    <w:rsid w:val="00E54466"/>
    <w:rsid w:val="00E54D7B"/>
    <w:rsid w:val="00E5570D"/>
    <w:rsid w:val="00E5593C"/>
    <w:rsid w:val="00E56675"/>
    <w:rsid w:val="00E56884"/>
    <w:rsid w:val="00E568E1"/>
    <w:rsid w:val="00E568E4"/>
    <w:rsid w:val="00E56C6B"/>
    <w:rsid w:val="00E56E24"/>
    <w:rsid w:val="00E56FEC"/>
    <w:rsid w:val="00E5756B"/>
    <w:rsid w:val="00E57946"/>
    <w:rsid w:val="00E6033F"/>
    <w:rsid w:val="00E6047F"/>
    <w:rsid w:val="00E607C4"/>
    <w:rsid w:val="00E60AFC"/>
    <w:rsid w:val="00E6144D"/>
    <w:rsid w:val="00E615A5"/>
    <w:rsid w:val="00E616BC"/>
    <w:rsid w:val="00E616BF"/>
    <w:rsid w:val="00E61B63"/>
    <w:rsid w:val="00E62962"/>
    <w:rsid w:val="00E62C52"/>
    <w:rsid w:val="00E62DF5"/>
    <w:rsid w:val="00E634E5"/>
    <w:rsid w:val="00E6351A"/>
    <w:rsid w:val="00E635BD"/>
    <w:rsid w:val="00E639FA"/>
    <w:rsid w:val="00E63EBA"/>
    <w:rsid w:val="00E64106"/>
    <w:rsid w:val="00E64119"/>
    <w:rsid w:val="00E64277"/>
    <w:rsid w:val="00E6492A"/>
    <w:rsid w:val="00E64D6C"/>
    <w:rsid w:val="00E64F0E"/>
    <w:rsid w:val="00E6560C"/>
    <w:rsid w:val="00E65E2E"/>
    <w:rsid w:val="00E661FD"/>
    <w:rsid w:val="00E663C2"/>
    <w:rsid w:val="00E66A2B"/>
    <w:rsid w:val="00E66F6A"/>
    <w:rsid w:val="00E67258"/>
    <w:rsid w:val="00E6733B"/>
    <w:rsid w:val="00E67B21"/>
    <w:rsid w:val="00E67E63"/>
    <w:rsid w:val="00E70159"/>
    <w:rsid w:val="00E70730"/>
    <w:rsid w:val="00E707FC"/>
    <w:rsid w:val="00E70B54"/>
    <w:rsid w:val="00E71AE6"/>
    <w:rsid w:val="00E72179"/>
    <w:rsid w:val="00E72371"/>
    <w:rsid w:val="00E72A9A"/>
    <w:rsid w:val="00E734A4"/>
    <w:rsid w:val="00E737E1"/>
    <w:rsid w:val="00E73B3B"/>
    <w:rsid w:val="00E73C41"/>
    <w:rsid w:val="00E74083"/>
    <w:rsid w:val="00E742D3"/>
    <w:rsid w:val="00E7461B"/>
    <w:rsid w:val="00E74F05"/>
    <w:rsid w:val="00E75488"/>
    <w:rsid w:val="00E7573D"/>
    <w:rsid w:val="00E76211"/>
    <w:rsid w:val="00E76772"/>
    <w:rsid w:val="00E76966"/>
    <w:rsid w:val="00E76A08"/>
    <w:rsid w:val="00E77ADF"/>
    <w:rsid w:val="00E77AF7"/>
    <w:rsid w:val="00E77DE0"/>
    <w:rsid w:val="00E8048A"/>
    <w:rsid w:val="00E80BF0"/>
    <w:rsid w:val="00E80C9B"/>
    <w:rsid w:val="00E81108"/>
    <w:rsid w:val="00E81307"/>
    <w:rsid w:val="00E818C9"/>
    <w:rsid w:val="00E81A99"/>
    <w:rsid w:val="00E81B49"/>
    <w:rsid w:val="00E81C99"/>
    <w:rsid w:val="00E81D45"/>
    <w:rsid w:val="00E8204E"/>
    <w:rsid w:val="00E823E7"/>
    <w:rsid w:val="00E82591"/>
    <w:rsid w:val="00E82B96"/>
    <w:rsid w:val="00E830C3"/>
    <w:rsid w:val="00E83460"/>
    <w:rsid w:val="00E84263"/>
    <w:rsid w:val="00E8479C"/>
    <w:rsid w:val="00E84BA1"/>
    <w:rsid w:val="00E852B8"/>
    <w:rsid w:val="00E85410"/>
    <w:rsid w:val="00E855C9"/>
    <w:rsid w:val="00E856AD"/>
    <w:rsid w:val="00E85D88"/>
    <w:rsid w:val="00E85E82"/>
    <w:rsid w:val="00E86153"/>
    <w:rsid w:val="00E868B7"/>
    <w:rsid w:val="00E86A10"/>
    <w:rsid w:val="00E86A9F"/>
    <w:rsid w:val="00E86B7C"/>
    <w:rsid w:val="00E86EE5"/>
    <w:rsid w:val="00E86FC9"/>
    <w:rsid w:val="00E874A9"/>
    <w:rsid w:val="00E874B2"/>
    <w:rsid w:val="00E8769C"/>
    <w:rsid w:val="00E87761"/>
    <w:rsid w:val="00E87BA7"/>
    <w:rsid w:val="00E87D3C"/>
    <w:rsid w:val="00E87DFC"/>
    <w:rsid w:val="00E87F2B"/>
    <w:rsid w:val="00E92105"/>
    <w:rsid w:val="00E921D5"/>
    <w:rsid w:val="00E932D1"/>
    <w:rsid w:val="00E93596"/>
    <w:rsid w:val="00E93AE4"/>
    <w:rsid w:val="00E93D6C"/>
    <w:rsid w:val="00E94478"/>
    <w:rsid w:val="00E9475A"/>
    <w:rsid w:val="00E94B6A"/>
    <w:rsid w:val="00E954F3"/>
    <w:rsid w:val="00E9566B"/>
    <w:rsid w:val="00E96061"/>
    <w:rsid w:val="00E964D1"/>
    <w:rsid w:val="00E966C7"/>
    <w:rsid w:val="00E96A2E"/>
    <w:rsid w:val="00E96B68"/>
    <w:rsid w:val="00E979D6"/>
    <w:rsid w:val="00E97B5A"/>
    <w:rsid w:val="00EA0612"/>
    <w:rsid w:val="00EA0959"/>
    <w:rsid w:val="00EA0C22"/>
    <w:rsid w:val="00EA0F63"/>
    <w:rsid w:val="00EA2596"/>
    <w:rsid w:val="00EA273D"/>
    <w:rsid w:val="00EA2E14"/>
    <w:rsid w:val="00EA311B"/>
    <w:rsid w:val="00EA37ED"/>
    <w:rsid w:val="00EA3A5B"/>
    <w:rsid w:val="00EA3D77"/>
    <w:rsid w:val="00EA45AC"/>
    <w:rsid w:val="00EA487B"/>
    <w:rsid w:val="00EA4C0D"/>
    <w:rsid w:val="00EA5EA6"/>
    <w:rsid w:val="00EA600E"/>
    <w:rsid w:val="00EA702F"/>
    <w:rsid w:val="00EA71A1"/>
    <w:rsid w:val="00EA7630"/>
    <w:rsid w:val="00EA78D5"/>
    <w:rsid w:val="00EB063A"/>
    <w:rsid w:val="00EB0A4F"/>
    <w:rsid w:val="00EB10B6"/>
    <w:rsid w:val="00EB14B5"/>
    <w:rsid w:val="00EB18BB"/>
    <w:rsid w:val="00EB1C6E"/>
    <w:rsid w:val="00EB1E9D"/>
    <w:rsid w:val="00EB29C2"/>
    <w:rsid w:val="00EB29EE"/>
    <w:rsid w:val="00EB2D19"/>
    <w:rsid w:val="00EB2DB6"/>
    <w:rsid w:val="00EB2E17"/>
    <w:rsid w:val="00EB3585"/>
    <w:rsid w:val="00EB3793"/>
    <w:rsid w:val="00EB3B69"/>
    <w:rsid w:val="00EB3D55"/>
    <w:rsid w:val="00EB4862"/>
    <w:rsid w:val="00EB4FA0"/>
    <w:rsid w:val="00EB5D37"/>
    <w:rsid w:val="00EB626D"/>
    <w:rsid w:val="00EB6C3B"/>
    <w:rsid w:val="00EB6EDA"/>
    <w:rsid w:val="00EB766C"/>
    <w:rsid w:val="00EB784A"/>
    <w:rsid w:val="00EB7A33"/>
    <w:rsid w:val="00EC0437"/>
    <w:rsid w:val="00EC048C"/>
    <w:rsid w:val="00EC1339"/>
    <w:rsid w:val="00EC1602"/>
    <w:rsid w:val="00EC1853"/>
    <w:rsid w:val="00EC1E95"/>
    <w:rsid w:val="00EC271C"/>
    <w:rsid w:val="00EC299E"/>
    <w:rsid w:val="00EC34E0"/>
    <w:rsid w:val="00EC3BDC"/>
    <w:rsid w:val="00EC3C21"/>
    <w:rsid w:val="00EC3FEF"/>
    <w:rsid w:val="00EC4240"/>
    <w:rsid w:val="00EC47D5"/>
    <w:rsid w:val="00EC4BD1"/>
    <w:rsid w:val="00EC54DD"/>
    <w:rsid w:val="00EC5568"/>
    <w:rsid w:val="00EC6170"/>
    <w:rsid w:val="00EC6779"/>
    <w:rsid w:val="00EC6A14"/>
    <w:rsid w:val="00EC75F7"/>
    <w:rsid w:val="00EC770B"/>
    <w:rsid w:val="00EC79E6"/>
    <w:rsid w:val="00EC7F44"/>
    <w:rsid w:val="00ED01DA"/>
    <w:rsid w:val="00ED044B"/>
    <w:rsid w:val="00ED0D3F"/>
    <w:rsid w:val="00ED0E95"/>
    <w:rsid w:val="00ED10CB"/>
    <w:rsid w:val="00ED1127"/>
    <w:rsid w:val="00ED1978"/>
    <w:rsid w:val="00ED19B4"/>
    <w:rsid w:val="00ED23FC"/>
    <w:rsid w:val="00ED2619"/>
    <w:rsid w:val="00ED2866"/>
    <w:rsid w:val="00ED2C6B"/>
    <w:rsid w:val="00ED33C3"/>
    <w:rsid w:val="00ED3DCD"/>
    <w:rsid w:val="00ED3E12"/>
    <w:rsid w:val="00ED418A"/>
    <w:rsid w:val="00ED4A77"/>
    <w:rsid w:val="00ED4E4A"/>
    <w:rsid w:val="00ED50B0"/>
    <w:rsid w:val="00ED50B5"/>
    <w:rsid w:val="00ED51C8"/>
    <w:rsid w:val="00ED55AC"/>
    <w:rsid w:val="00ED5BFF"/>
    <w:rsid w:val="00ED5F6E"/>
    <w:rsid w:val="00ED6261"/>
    <w:rsid w:val="00ED66D7"/>
    <w:rsid w:val="00ED687D"/>
    <w:rsid w:val="00ED6A83"/>
    <w:rsid w:val="00ED71B4"/>
    <w:rsid w:val="00ED7911"/>
    <w:rsid w:val="00ED7BAE"/>
    <w:rsid w:val="00ED7C9A"/>
    <w:rsid w:val="00EE0407"/>
    <w:rsid w:val="00EE0A2A"/>
    <w:rsid w:val="00EE0A5B"/>
    <w:rsid w:val="00EE0EE3"/>
    <w:rsid w:val="00EE1867"/>
    <w:rsid w:val="00EE197E"/>
    <w:rsid w:val="00EE1A50"/>
    <w:rsid w:val="00EE1BA1"/>
    <w:rsid w:val="00EE2005"/>
    <w:rsid w:val="00EE2101"/>
    <w:rsid w:val="00EE2243"/>
    <w:rsid w:val="00EE2A81"/>
    <w:rsid w:val="00EE2A94"/>
    <w:rsid w:val="00EE2B30"/>
    <w:rsid w:val="00EE2E99"/>
    <w:rsid w:val="00EE3868"/>
    <w:rsid w:val="00EE3A0C"/>
    <w:rsid w:val="00EE3EEA"/>
    <w:rsid w:val="00EE402C"/>
    <w:rsid w:val="00EE40AF"/>
    <w:rsid w:val="00EE440A"/>
    <w:rsid w:val="00EE4C2F"/>
    <w:rsid w:val="00EE5005"/>
    <w:rsid w:val="00EE503C"/>
    <w:rsid w:val="00EE5118"/>
    <w:rsid w:val="00EE52A5"/>
    <w:rsid w:val="00EE55CD"/>
    <w:rsid w:val="00EE59DA"/>
    <w:rsid w:val="00EE5ACB"/>
    <w:rsid w:val="00EE5F65"/>
    <w:rsid w:val="00EE619B"/>
    <w:rsid w:val="00EE662B"/>
    <w:rsid w:val="00EE67CC"/>
    <w:rsid w:val="00EE6CFB"/>
    <w:rsid w:val="00EE6E53"/>
    <w:rsid w:val="00EE700E"/>
    <w:rsid w:val="00EE7641"/>
    <w:rsid w:val="00EE792B"/>
    <w:rsid w:val="00EF0131"/>
    <w:rsid w:val="00EF14C5"/>
    <w:rsid w:val="00EF19F5"/>
    <w:rsid w:val="00EF23EF"/>
    <w:rsid w:val="00EF2449"/>
    <w:rsid w:val="00EF2966"/>
    <w:rsid w:val="00EF2971"/>
    <w:rsid w:val="00EF2F01"/>
    <w:rsid w:val="00EF33CB"/>
    <w:rsid w:val="00EF3711"/>
    <w:rsid w:val="00EF38D5"/>
    <w:rsid w:val="00EF39E7"/>
    <w:rsid w:val="00EF3AB6"/>
    <w:rsid w:val="00EF3C73"/>
    <w:rsid w:val="00EF3E27"/>
    <w:rsid w:val="00EF3E8A"/>
    <w:rsid w:val="00EF4188"/>
    <w:rsid w:val="00EF467C"/>
    <w:rsid w:val="00EF49A7"/>
    <w:rsid w:val="00EF4E95"/>
    <w:rsid w:val="00EF5584"/>
    <w:rsid w:val="00EF5C2A"/>
    <w:rsid w:val="00EF6272"/>
    <w:rsid w:val="00EF6532"/>
    <w:rsid w:val="00EF66E8"/>
    <w:rsid w:val="00EF67FD"/>
    <w:rsid w:val="00EF6A31"/>
    <w:rsid w:val="00EF6DEB"/>
    <w:rsid w:val="00EF6FAF"/>
    <w:rsid w:val="00EF70A3"/>
    <w:rsid w:val="00F002F9"/>
    <w:rsid w:val="00F00AF2"/>
    <w:rsid w:val="00F00B50"/>
    <w:rsid w:val="00F00BB6"/>
    <w:rsid w:val="00F00C44"/>
    <w:rsid w:val="00F015FA"/>
    <w:rsid w:val="00F016A6"/>
    <w:rsid w:val="00F0189D"/>
    <w:rsid w:val="00F02210"/>
    <w:rsid w:val="00F029FC"/>
    <w:rsid w:val="00F02B20"/>
    <w:rsid w:val="00F02D32"/>
    <w:rsid w:val="00F03454"/>
    <w:rsid w:val="00F03B93"/>
    <w:rsid w:val="00F03F2F"/>
    <w:rsid w:val="00F044AC"/>
    <w:rsid w:val="00F047BD"/>
    <w:rsid w:val="00F04AB6"/>
    <w:rsid w:val="00F05A5F"/>
    <w:rsid w:val="00F05FA1"/>
    <w:rsid w:val="00F061AC"/>
    <w:rsid w:val="00F066B5"/>
    <w:rsid w:val="00F06993"/>
    <w:rsid w:val="00F06A57"/>
    <w:rsid w:val="00F078E2"/>
    <w:rsid w:val="00F07E0D"/>
    <w:rsid w:val="00F07FF5"/>
    <w:rsid w:val="00F100D5"/>
    <w:rsid w:val="00F101C0"/>
    <w:rsid w:val="00F106A5"/>
    <w:rsid w:val="00F1084E"/>
    <w:rsid w:val="00F10970"/>
    <w:rsid w:val="00F10F88"/>
    <w:rsid w:val="00F10FFC"/>
    <w:rsid w:val="00F110D1"/>
    <w:rsid w:val="00F11122"/>
    <w:rsid w:val="00F1244F"/>
    <w:rsid w:val="00F1271E"/>
    <w:rsid w:val="00F13862"/>
    <w:rsid w:val="00F13C95"/>
    <w:rsid w:val="00F14880"/>
    <w:rsid w:val="00F14C78"/>
    <w:rsid w:val="00F14D3D"/>
    <w:rsid w:val="00F14F0C"/>
    <w:rsid w:val="00F14F33"/>
    <w:rsid w:val="00F14F6D"/>
    <w:rsid w:val="00F155D2"/>
    <w:rsid w:val="00F156C2"/>
    <w:rsid w:val="00F15D92"/>
    <w:rsid w:val="00F15DCD"/>
    <w:rsid w:val="00F15E59"/>
    <w:rsid w:val="00F15F9B"/>
    <w:rsid w:val="00F162CC"/>
    <w:rsid w:val="00F16A28"/>
    <w:rsid w:val="00F16CA6"/>
    <w:rsid w:val="00F16E9C"/>
    <w:rsid w:val="00F16F2C"/>
    <w:rsid w:val="00F1757E"/>
    <w:rsid w:val="00F17906"/>
    <w:rsid w:val="00F17DB5"/>
    <w:rsid w:val="00F17DE5"/>
    <w:rsid w:val="00F20ECF"/>
    <w:rsid w:val="00F21120"/>
    <w:rsid w:val="00F214F9"/>
    <w:rsid w:val="00F228C5"/>
    <w:rsid w:val="00F23049"/>
    <w:rsid w:val="00F230E9"/>
    <w:rsid w:val="00F23BA8"/>
    <w:rsid w:val="00F23E7F"/>
    <w:rsid w:val="00F2454C"/>
    <w:rsid w:val="00F24CCB"/>
    <w:rsid w:val="00F25258"/>
    <w:rsid w:val="00F25D59"/>
    <w:rsid w:val="00F25E47"/>
    <w:rsid w:val="00F25F25"/>
    <w:rsid w:val="00F268D6"/>
    <w:rsid w:val="00F26930"/>
    <w:rsid w:val="00F26F3F"/>
    <w:rsid w:val="00F27172"/>
    <w:rsid w:val="00F27B0F"/>
    <w:rsid w:val="00F27D20"/>
    <w:rsid w:val="00F27DB5"/>
    <w:rsid w:val="00F3010B"/>
    <w:rsid w:val="00F3013D"/>
    <w:rsid w:val="00F3029A"/>
    <w:rsid w:val="00F311D2"/>
    <w:rsid w:val="00F31B97"/>
    <w:rsid w:val="00F31D6B"/>
    <w:rsid w:val="00F31F60"/>
    <w:rsid w:val="00F320FD"/>
    <w:rsid w:val="00F3224B"/>
    <w:rsid w:val="00F32548"/>
    <w:rsid w:val="00F3267B"/>
    <w:rsid w:val="00F32805"/>
    <w:rsid w:val="00F32A58"/>
    <w:rsid w:val="00F32BD6"/>
    <w:rsid w:val="00F32C2F"/>
    <w:rsid w:val="00F33354"/>
    <w:rsid w:val="00F34170"/>
    <w:rsid w:val="00F34805"/>
    <w:rsid w:val="00F34A5F"/>
    <w:rsid w:val="00F34B31"/>
    <w:rsid w:val="00F34B6C"/>
    <w:rsid w:val="00F3553C"/>
    <w:rsid w:val="00F358BC"/>
    <w:rsid w:val="00F35AAC"/>
    <w:rsid w:val="00F35CA4"/>
    <w:rsid w:val="00F35D85"/>
    <w:rsid w:val="00F36669"/>
    <w:rsid w:val="00F36791"/>
    <w:rsid w:val="00F368C1"/>
    <w:rsid w:val="00F36961"/>
    <w:rsid w:val="00F369F4"/>
    <w:rsid w:val="00F37489"/>
    <w:rsid w:val="00F37849"/>
    <w:rsid w:val="00F37A5B"/>
    <w:rsid w:val="00F37A86"/>
    <w:rsid w:val="00F408F3"/>
    <w:rsid w:val="00F40BD6"/>
    <w:rsid w:val="00F40E2C"/>
    <w:rsid w:val="00F40FC5"/>
    <w:rsid w:val="00F41154"/>
    <w:rsid w:val="00F41228"/>
    <w:rsid w:val="00F4150E"/>
    <w:rsid w:val="00F4175B"/>
    <w:rsid w:val="00F41893"/>
    <w:rsid w:val="00F41C42"/>
    <w:rsid w:val="00F41E2D"/>
    <w:rsid w:val="00F42000"/>
    <w:rsid w:val="00F42546"/>
    <w:rsid w:val="00F42898"/>
    <w:rsid w:val="00F4320B"/>
    <w:rsid w:val="00F43DB8"/>
    <w:rsid w:val="00F4414C"/>
    <w:rsid w:val="00F4455D"/>
    <w:rsid w:val="00F44E35"/>
    <w:rsid w:val="00F450D8"/>
    <w:rsid w:val="00F45E49"/>
    <w:rsid w:val="00F4675C"/>
    <w:rsid w:val="00F46DF2"/>
    <w:rsid w:val="00F47685"/>
    <w:rsid w:val="00F47721"/>
    <w:rsid w:val="00F47932"/>
    <w:rsid w:val="00F47975"/>
    <w:rsid w:val="00F479A3"/>
    <w:rsid w:val="00F5035F"/>
    <w:rsid w:val="00F506D2"/>
    <w:rsid w:val="00F50843"/>
    <w:rsid w:val="00F5128D"/>
    <w:rsid w:val="00F51BAA"/>
    <w:rsid w:val="00F51F71"/>
    <w:rsid w:val="00F523F7"/>
    <w:rsid w:val="00F5274C"/>
    <w:rsid w:val="00F52C62"/>
    <w:rsid w:val="00F52D23"/>
    <w:rsid w:val="00F52E4F"/>
    <w:rsid w:val="00F53140"/>
    <w:rsid w:val="00F53516"/>
    <w:rsid w:val="00F5375F"/>
    <w:rsid w:val="00F539D6"/>
    <w:rsid w:val="00F53C04"/>
    <w:rsid w:val="00F54002"/>
    <w:rsid w:val="00F540CA"/>
    <w:rsid w:val="00F545ED"/>
    <w:rsid w:val="00F54B37"/>
    <w:rsid w:val="00F54D62"/>
    <w:rsid w:val="00F54FE5"/>
    <w:rsid w:val="00F5506B"/>
    <w:rsid w:val="00F55C1D"/>
    <w:rsid w:val="00F55D95"/>
    <w:rsid w:val="00F56269"/>
    <w:rsid w:val="00F56769"/>
    <w:rsid w:val="00F56C05"/>
    <w:rsid w:val="00F56DFC"/>
    <w:rsid w:val="00F57373"/>
    <w:rsid w:val="00F579C3"/>
    <w:rsid w:val="00F60153"/>
    <w:rsid w:val="00F6049E"/>
    <w:rsid w:val="00F60A23"/>
    <w:rsid w:val="00F60A9E"/>
    <w:rsid w:val="00F60D70"/>
    <w:rsid w:val="00F60F98"/>
    <w:rsid w:val="00F610FE"/>
    <w:rsid w:val="00F614EE"/>
    <w:rsid w:val="00F61836"/>
    <w:rsid w:val="00F61A6A"/>
    <w:rsid w:val="00F6267B"/>
    <w:rsid w:val="00F6277A"/>
    <w:rsid w:val="00F62B16"/>
    <w:rsid w:val="00F63525"/>
    <w:rsid w:val="00F63694"/>
    <w:rsid w:val="00F63832"/>
    <w:rsid w:val="00F638A2"/>
    <w:rsid w:val="00F6464B"/>
    <w:rsid w:val="00F64663"/>
    <w:rsid w:val="00F64982"/>
    <w:rsid w:val="00F649B5"/>
    <w:rsid w:val="00F64CFE"/>
    <w:rsid w:val="00F65CCB"/>
    <w:rsid w:val="00F66247"/>
    <w:rsid w:val="00F672AD"/>
    <w:rsid w:val="00F672C8"/>
    <w:rsid w:val="00F673BA"/>
    <w:rsid w:val="00F67827"/>
    <w:rsid w:val="00F67B9B"/>
    <w:rsid w:val="00F67D31"/>
    <w:rsid w:val="00F67E7F"/>
    <w:rsid w:val="00F70823"/>
    <w:rsid w:val="00F708B2"/>
    <w:rsid w:val="00F70CD2"/>
    <w:rsid w:val="00F70E64"/>
    <w:rsid w:val="00F71257"/>
    <w:rsid w:val="00F712AC"/>
    <w:rsid w:val="00F712DE"/>
    <w:rsid w:val="00F71556"/>
    <w:rsid w:val="00F71A59"/>
    <w:rsid w:val="00F71B55"/>
    <w:rsid w:val="00F71BF8"/>
    <w:rsid w:val="00F720B6"/>
    <w:rsid w:val="00F72BD5"/>
    <w:rsid w:val="00F73988"/>
    <w:rsid w:val="00F73ADA"/>
    <w:rsid w:val="00F73EA8"/>
    <w:rsid w:val="00F73EC9"/>
    <w:rsid w:val="00F73EF7"/>
    <w:rsid w:val="00F74681"/>
    <w:rsid w:val="00F746D1"/>
    <w:rsid w:val="00F74810"/>
    <w:rsid w:val="00F7502D"/>
    <w:rsid w:val="00F755EB"/>
    <w:rsid w:val="00F756A4"/>
    <w:rsid w:val="00F76108"/>
    <w:rsid w:val="00F76444"/>
    <w:rsid w:val="00F76542"/>
    <w:rsid w:val="00F76898"/>
    <w:rsid w:val="00F76C62"/>
    <w:rsid w:val="00F76E23"/>
    <w:rsid w:val="00F771E2"/>
    <w:rsid w:val="00F773EB"/>
    <w:rsid w:val="00F77A47"/>
    <w:rsid w:val="00F77A6E"/>
    <w:rsid w:val="00F80597"/>
    <w:rsid w:val="00F809B7"/>
    <w:rsid w:val="00F809F1"/>
    <w:rsid w:val="00F80A02"/>
    <w:rsid w:val="00F80A18"/>
    <w:rsid w:val="00F8103A"/>
    <w:rsid w:val="00F8150C"/>
    <w:rsid w:val="00F8195B"/>
    <w:rsid w:val="00F81D94"/>
    <w:rsid w:val="00F8237B"/>
    <w:rsid w:val="00F8254D"/>
    <w:rsid w:val="00F825FE"/>
    <w:rsid w:val="00F82CE7"/>
    <w:rsid w:val="00F82DC2"/>
    <w:rsid w:val="00F82E3D"/>
    <w:rsid w:val="00F82FA4"/>
    <w:rsid w:val="00F82FEB"/>
    <w:rsid w:val="00F834DD"/>
    <w:rsid w:val="00F835E9"/>
    <w:rsid w:val="00F835F0"/>
    <w:rsid w:val="00F83635"/>
    <w:rsid w:val="00F840B1"/>
    <w:rsid w:val="00F842E6"/>
    <w:rsid w:val="00F8455C"/>
    <w:rsid w:val="00F845A3"/>
    <w:rsid w:val="00F845AD"/>
    <w:rsid w:val="00F849B3"/>
    <w:rsid w:val="00F85048"/>
    <w:rsid w:val="00F85AFE"/>
    <w:rsid w:val="00F85D32"/>
    <w:rsid w:val="00F865EA"/>
    <w:rsid w:val="00F8692D"/>
    <w:rsid w:val="00F86AF4"/>
    <w:rsid w:val="00F86E10"/>
    <w:rsid w:val="00F86F76"/>
    <w:rsid w:val="00F87499"/>
    <w:rsid w:val="00F875C3"/>
    <w:rsid w:val="00F87AE4"/>
    <w:rsid w:val="00F90D26"/>
    <w:rsid w:val="00F90F8C"/>
    <w:rsid w:val="00F9118B"/>
    <w:rsid w:val="00F9118C"/>
    <w:rsid w:val="00F9135D"/>
    <w:rsid w:val="00F9138E"/>
    <w:rsid w:val="00F91C08"/>
    <w:rsid w:val="00F92010"/>
    <w:rsid w:val="00F92161"/>
    <w:rsid w:val="00F92982"/>
    <w:rsid w:val="00F935C8"/>
    <w:rsid w:val="00F93A71"/>
    <w:rsid w:val="00F93BFD"/>
    <w:rsid w:val="00F93F48"/>
    <w:rsid w:val="00F95337"/>
    <w:rsid w:val="00F95966"/>
    <w:rsid w:val="00F95BD7"/>
    <w:rsid w:val="00F95C9A"/>
    <w:rsid w:val="00F95F34"/>
    <w:rsid w:val="00F9608D"/>
    <w:rsid w:val="00F963D0"/>
    <w:rsid w:val="00F966ED"/>
    <w:rsid w:val="00F968FB"/>
    <w:rsid w:val="00F97B3D"/>
    <w:rsid w:val="00FA03A5"/>
    <w:rsid w:val="00FA09D2"/>
    <w:rsid w:val="00FA0E37"/>
    <w:rsid w:val="00FA122B"/>
    <w:rsid w:val="00FA1249"/>
    <w:rsid w:val="00FA1535"/>
    <w:rsid w:val="00FA167A"/>
    <w:rsid w:val="00FA2069"/>
    <w:rsid w:val="00FA2377"/>
    <w:rsid w:val="00FA24DB"/>
    <w:rsid w:val="00FA27B0"/>
    <w:rsid w:val="00FA2E91"/>
    <w:rsid w:val="00FA3025"/>
    <w:rsid w:val="00FA37BE"/>
    <w:rsid w:val="00FA3998"/>
    <w:rsid w:val="00FA40E3"/>
    <w:rsid w:val="00FA456D"/>
    <w:rsid w:val="00FA48AA"/>
    <w:rsid w:val="00FA4D82"/>
    <w:rsid w:val="00FA4EA0"/>
    <w:rsid w:val="00FA5BF6"/>
    <w:rsid w:val="00FA6027"/>
    <w:rsid w:val="00FA687B"/>
    <w:rsid w:val="00FA6949"/>
    <w:rsid w:val="00FA6F1B"/>
    <w:rsid w:val="00FA7B6B"/>
    <w:rsid w:val="00FA7C36"/>
    <w:rsid w:val="00FA7C8E"/>
    <w:rsid w:val="00FB075A"/>
    <w:rsid w:val="00FB0D7A"/>
    <w:rsid w:val="00FB1712"/>
    <w:rsid w:val="00FB1D68"/>
    <w:rsid w:val="00FB234A"/>
    <w:rsid w:val="00FB25BB"/>
    <w:rsid w:val="00FB300A"/>
    <w:rsid w:val="00FB3092"/>
    <w:rsid w:val="00FB33C3"/>
    <w:rsid w:val="00FB37D9"/>
    <w:rsid w:val="00FB3BAA"/>
    <w:rsid w:val="00FB44D4"/>
    <w:rsid w:val="00FB46E1"/>
    <w:rsid w:val="00FB4707"/>
    <w:rsid w:val="00FB49E3"/>
    <w:rsid w:val="00FB4ADA"/>
    <w:rsid w:val="00FB4DCF"/>
    <w:rsid w:val="00FB5014"/>
    <w:rsid w:val="00FB575E"/>
    <w:rsid w:val="00FB57F1"/>
    <w:rsid w:val="00FB5B73"/>
    <w:rsid w:val="00FB5D54"/>
    <w:rsid w:val="00FB5DE9"/>
    <w:rsid w:val="00FB6535"/>
    <w:rsid w:val="00FB6565"/>
    <w:rsid w:val="00FB6D11"/>
    <w:rsid w:val="00FC00A8"/>
    <w:rsid w:val="00FC0724"/>
    <w:rsid w:val="00FC1391"/>
    <w:rsid w:val="00FC16BC"/>
    <w:rsid w:val="00FC2341"/>
    <w:rsid w:val="00FC2834"/>
    <w:rsid w:val="00FC287A"/>
    <w:rsid w:val="00FC29DD"/>
    <w:rsid w:val="00FC357D"/>
    <w:rsid w:val="00FC3C5C"/>
    <w:rsid w:val="00FC4175"/>
    <w:rsid w:val="00FC4350"/>
    <w:rsid w:val="00FC4D31"/>
    <w:rsid w:val="00FC4E5B"/>
    <w:rsid w:val="00FC5066"/>
    <w:rsid w:val="00FC5281"/>
    <w:rsid w:val="00FC590A"/>
    <w:rsid w:val="00FC5AB2"/>
    <w:rsid w:val="00FC6393"/>
    <w:rsid w:val="00FC674A"/>
    <w:rsid w:val="00FC6812"/>
    <w:rsid w:val="00FC6D36"/>
    <w:rsid w:val="00FC70F5"/>
    <w:rsid w:val="00FC7886"/>
    <w:rsid w:val="00FC7E4D"/>
    <w:rsid w:val="00FD15F9"/>
    <w:rsid w:val="00FD1C46"/>
    <w:rsid w:val="00FD2E6C"/>
    <w:rsid w:val="00FD4021"/>
    <w:rsid w:val="00FD413A"/>
    <w:rsid w:val="00FD42E6"/>
    <w:rsid w:val="00FD4350"/>
    <w:rsid w:val="00FD4529"/>
    <w:rsid w:val="00FD47F2"/>
    <w:rsid w:val="00FD513C"/>
    <w:rsid w:val="00FD5CC2"/>
    <w:rsid w:val="00FD5CC9"/>
    <w:rsid w:val="00FD5E17"/>
    <w:rsid w:val="00FD5EE3"/>
    <w:rsid w:val="00FD61A0"/>
    <w:rsid w:val="00FD6783"/>
    <w:rsid w:val="00FD6D9A"/>
    <w:rsid w:val="00FD7146"/>
    <w:rsid w:val="00FD77FF"/>
    <w:rsid w:val="00FE06EC"/>
    <w:rsid w:val="00FE0944"/>
    <w:rsid w:val="00FE0A73"/>
    <w:rsid w:val="00FE0DA5"/>
    <w:rsid w:val="00FE1467"/>
    <w:rsid w:val="00FE1758"/>
    <w:rsid w:val="00FE1B2B"/>
    <w:rsid w:val="00FE1F12"/>
    <w:rsid w:val="00FE1FF0"/>
    <w:rsid w:val="00FE232B"/>
    <w:rsid w:val="00FE2650"/>
    <w:rsid w:val="00FE2A5E"/>
    <w:rsid w:val="00FE2F1B"/>
    <w:rsid w:val="00FE2FCE"/>
    <w:rsid w:val="00FE2FE6"/>
    <w:rsid w:val="00FE37B4"/>
    <w:rsid w:val="00FE3AD2"/>
    <w:rsid w:val="00FE3C88"/>
    <w:rsid w:val="00FE3FE4"/>
    <w:rsid w:val="00FE414D"/>
    <w:rsid w:val="00FE414E"/>
    <w:rsid w:val="00FE4593"/>
    <w:rsid w:val="00FE45E1"/>
    <w:rsid w:val="00FE4AA4"/>
    <w:rsid w:val="00FE4BA3"/>
    <w:rsid w:val="00FE505B"/>
    <w:rsid w:val="00FE505C"/>
    <w:rsid w:val="00FE5395"/>
    <w:rsid w:val="00FE627F"/>
    <w:rsid w:val="00FE69DE"/>
    <w:rsid w:val="00FE6CF3"/>
    <w:rsid w:val="00FE6FE9"/>
    <w:rsid w:val="00FE7235"/>
    <w:rsid w:val="00FE74AD"/>
    <w:rsid w:val="00FE77B3"/>
    <w:rsid w:val="00FE7D93"/>
    <w:rsid w:val="00FF01C4"/>
    <w:rsid w:val="00FF093F"/>
    <w:rsid w:val="00FF0A76"/>
    <w:rsid w:val="00FF0A9F"/>
    <w:rsid w:val="00FF0AA2"/>
    <w:rsid w:val="00FF1492"/>
    <w:rsid w:val="00FF16D7"/>
    <w:rsid w:val="00FF1F04"/>
    <w:rsid w:val="00FF2040"/>
    <w:rsid w:val="00FF2718"/>
    <w:rsid w:val="00FF28F7"/>
    <w:rsid w:val="00FF29FE"/>
    <w:rsid w:val="00FF3115"/>
    <w:rsid w:val="00FF318D"/>
    <w:rsid w:val="00FF3675"/>
    <w:rsid w:val="00FF38AB"/>
    <w:rsid w:val="00FF3C83"/>
    <w:rsid w:val="00FF4608"/>
    <w:rsid w:val="00FF4B48"/>
    <w:rsid w:val="00FF4E98"/>
    <w:rsid w:val="00FF5094"/>
    <w:rsid w:val="00FF5237"/>
    <w:rsid w:val="00FF5382"/>
    <w:rsid w:val="00FF58B9"/>
    <w:rsid w:val="00FF60DC"/>
    <w:rsid w:val="00FF6609"/>
    <w:rsid w:val="00FF6B00"/>
    <w:rsid w:val="00FF7093"/>
    <w:rsid w:val="00FF778E"/>
    <w:rsid w:val="00FF78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53897"/>
  <w15:docId w15:val="{6940CB34-C3B8-4BA7-BF47-DDD3B431E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62F0"/>
    <w:pPr>
      <w:jc w:val="both"/>
    </w:pPr>
    <w:rPr>
      <w:sz w:val="20"/>
      <w:lang w:val="en-GB"/>
    </w:rPr>
  </w:style>
  <w:style w:type="paragraph" w:styleId="Heading1">
    <w:name w:val="heading 1"/>
    <w:aliases w:val="Titre OMINEA"/>
    <w:basedOn w:val="BodyText"/>
    <w:next w:val="Normal"/>
    <w:link w:val="Heading1Char"/>
    <w:qFormat/>
    <w:rsid w:val="00972B5B"/>
    <w:pPr>
      <w:widowControl w:val="0"/>
      <w:numPr>
        <w:numId w:val="1"/>
      </w:numPr>
      <w:spacing w:before="400" w:after="400" w:line="240" w:lineRule="auto"/>
      <w:outlineLvl w:val="0"/>
    </w:pPr>
    <w:rPr>
      <w:b/>
      <w:color w:val="698EC2"/>
      <w:sz w:val="40"/>
    </w:rPr>
  </w:style>
  <w:style w:type="paragraph" w:styleId="Heading2">
    <w:name w:val="heading 2"/>
    <w:basedOn w:val="Normal"/>
    <w:next w:val="Normal"/>
    <w:link w:val="Heading2Char"/>
    <w:unhideWhenUsed/>
    <w:qFormat/>
    <w:rsid w:val="0011444B"/>
    <w:pPr>
      <w:numPr>
        <w:ilvl w:val="1"/>
        <w:numId w:val="1"/>
      </w:numPr>
      <w:spacing w:before="720" w:after="240" w:line="240" w:lineRule="auto"/>
      <w:outlineLvl w:val="1"/>
    </w:pPr>
    <w:rPr>
      <w:b/>
      <w:color w:val="233F85"/>
      <w:sz w:val="32"/>
      <w:szCs w:val="32"/>
      <w:lang w:val="en-US"/>
    </w:rPr>
  </w:style>
  <w:style w:type="paragraph" w:styleId="Heading3">
    <w:name w:val="heading 3"/>
    <w:basedOn w:val="Heading2"/>
    <w:next w:val="Normal"/>
    <w:link w:val="Heading3Char"/>
    <w:unhideWhenUsed/>
    <w:qFormat/>
    <w:rsid w:val="00B12FD1"/>
    <w:pPr>
      <w:numPr>
        <w:ilvl w:val="2"/>
      </w:numPr>
      <w:tabs>
        <w:tab w:val="left" w:pos="142"/>
        <w:tab w:val="left" w:pos="1134"/>
      </w:tabs>
      <w:spacing w:before="600"/>
      <w:ind w:left="720"/>
      <w:outlineLvl w:val="2"/>
    </w:pPr>
    <w:rPr>
      <w:sz w:val="28"/>
    </w:rPr>
  </w:style>
  <w:style w:type="paragraph" w:styleId="Heading4">
    <w:name w:val="heading 4"/>
    <w:aliases w:val="Titre 4 Gris"/>
    <w:basedOn w:val="Heading3"/>
    <w:next w:val="Normal"/>
    <w:link w:val="Heading4Char"/>
    <w:unhideWhenUsed/>
    <w:qFormat/>
    <w:rsid w:val="000811CB"/>
    <w:pPr>
      <w:numPr>
        <w:ilvl w:val="3"/>
      </w:numPr>
      <w:tabs>
        <w:tab w:val="clear" w:pos="142"/>
        <w:tab w:val="clear" w:pos="1134"/>
        <w:tab w:val="left" w:pos="993"/>
        <w:tab w:val="left" w:pos="2127"/>
      </w:tabs>
      <w:spacing w:before="480"/>
      <w:outlineLvl w:val="3"/>
    </w:pPr>
    <w:rPr>
      <w:color w:val="595959" w:themeColor="text1" w:themeTint="A6"/>
      <w:sz w:val="24"/>
    </w:rPr>
  </w:style>
  <w:style w:type="paragraph" w:styleId="Heading5">
    <w:name w:val="heading 5"/>
    <w:basedOn w:val="Normal"/>
    <w:next w:val="Normal"/>
    <w:link w:val="Heading5Char"/>
    <w:unhideWhenUsed/>
    <w:qFormat/>
    <w:rsid w:val="000811CB"/>
    <w:pPr>
      <w:keepNext/>
      <w:keepLines/>
      <w:numPr>
        <w:ilvl w:val="4"/>
        <w:numId w:val="1"/>
      </w:numPr>
      <w:spacing w:before="520" w:after="240" w:line="240" w:lineRule="auto"/>
      <w:outlineLvl w:val="4"/>
    </w:pPr>
    <w:rPr>
      <w:rFonts w:eastAsiaTheme="majorEastAsia" w:cstheme="majorBidi"/>
      <w:b/>
      <w:color w:val="808080" w:themeColor="background1" w:themeShade="80"/>
    </w:rPr>
  </w:style>
  <w:style w:type="paragraph" w:styleId="Heading6">
    <w:name w:val="heading 6"/>
    <w:basedOn w:val="Normal"/>
    <w:next w:val="Normal"/>
    <w:link w:val="Heading6Char"/>
    <w:unhideWhenUsed/>
    <w:qFormat/>
    <w:rsid w:val="00B24FB6"/>
    <w:pPr>
      <w:keepNext/>
      <w:keepLines/>
      <w:numPr>
        <w:ilvl w:val="5"/>
        <w:numId w:val="1"/>
      </w:numPr>
      <w:spacing w:before="120" w:after="240" w:line="240" w:lineRule="auto"/>
      <w:outlineLvl w:val="5"/>
    </w:pPr>
    <w:rPr>
      <w:rFonts w:eastAsiaTheme="majorEastAsia" w:cstheme="majorBidi"/>
      <w:b/>
      <w:iCs/>
      <w:color w:val="A6A6A6" w:themeColor="background1" w:themeShade="A6"/>
    </w:rPr>
  </w:style>
  <w:style w:type="paragraph" w:styleId="Heading7">
    <w:name w:val="heading 7"/>
    <w:basedOn w:val="Normal"/>
    <w:next w:val="Normal"/>
    <w:link w:val="Heading7Char"/>
    <w:unhideWhenUsed/>
    <w:qFormat/>
    <w:rsid w:val="0088011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A0538"/>
    <w:pPr>
      <w:keepNext/>
      <w:keepLines/>
      <w:spacing w:before="120" w:after="0"/>
      <w:outlineLvl w:val="7"/>
    </w:pPr>
    <w:rPr>
      <w:rFonts w:eastAsiaTheme="majorEastAsia" w:cstheme="majorBidi"/>
      <w:b/>
      <w:i/>
      <w:szCs w:val="20"/>
    </w:rPr>
  </w:style>
  <w:style w:type="paragraph" w:styleId="Heading9">
    <w:name w:val="heading 9"/>
    <w:basedOn w:val="Normal"/>
    <w:next w:val="Normal"/>
    <w:link w:val="Heading9Char"/>
    <w:unhideWhenUsed/>
    <w:qFormat/>
    <w:rsid w:val="0088011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2462F0"/>
    <w:pPr>
      <w:spacing w:after="120"/>
    </w:pPr>
  </w:style>
  <w:style w:type="character" w:customStyle="1" w:styleId="BodyTextChar">
    <w:name w:val="Body Text Char"/>
    <w:basedOn w:val="DefaultParagraphFont"/>
    <w:link w:val="BodyText"/>
    <w:rsid w:val="002462F0"/>
    <w:rPr>
      <w:sz w:val="20"/>
      <w:lang w:val="en-GB"/>
    </w:rPr>
  </w:style>
  <w:style w:type="character" w:customStyle="1" w:styleId="Heading1Char">
    <w:name w:val="Heading 1 Char"/>
    <w:aliases w:val="Titre OMINEA Char"/>
    <w:basedOn w:val="DefaultParagraphFont"/>
    <w:link w:val="Heading1"/>
    <w:rsid w:val="00972B5B"/>
    <w:rPr>
      <w:b/>
      <w:color w:val="698EC2"/>
      <w:sz w:val="40"/>
      <w:lang w:val="en-GB"/>
    </w:rPr>
  </w:style>
  <w:style w:type="character" w:customStyle="1" w:styleId="Heading2Char">
    <w:name w:val="Heading 2 Char"/>
    <w:basedOn w:val="DefaultParagraphFont"/>
    <w:link w:val="Heading2"/>
    <w:rsid w:val="0011444B"/>
    <w:rPr>
      <w:b/>
      <w:color w:val="233F85"/>
      <w:sz w:val="32"/>
      <w:szCs w:val="32"/>
      <w:lang w:val="en-US"/>
    </w:rPr>
  </w:style>
  <w:style w:type="character" w:customStyle="1" w:styleId="Heading3Char">
    <w:name w:val="Heading 3 Char"/>
    <w:basedOn w:val="DefaultParagraphFont"/>
    <w:link w:val="Heading3"/>
    <w:rsid w:val="00B12FD1"/>
    <w:rPr>
      <w:b/>
      <w:color w:val="233F85"/>
      <w:sz w:val="28"/>
      <w:szCs w:val="32"/>
      <w:lang w:val="en-US"/>
    </w:rPr>
  </w:style>
  <w:style w:type="character" w:customStyle="1" w:styleId="Heading4Char">
    <w:name w:val="Heading 4 Char"/>
    <w:aliases w:val="Titre 4 Gris Char"/>
    <w:basedOn w:val="DefaultParagraphFont"/>
    <w:link w:val="Heading4"/>
    <w:rsid w:val="000811CB"/>
    <w:rPr>
      <w:b/>
      <w:color w:val="595959" w:themeColor="text1" w:themeTint="A6"/>
      <w:sz w:val="24"/>
      <w:szCs w:val="32"/>
      <w:lang w:val="en-US"/>
    </w:rPr>
  </w:style>
  <w:style w:type="character" w:customStyle="1" w:styleId="Heading5Char">
    <w:name w:val="Heading 5 Char"/>
    <w:basedOn w:val="DefaultParagraphFont"/>
    <w:link w:val="Heading5"/>
    <w:rsid w:val="000811CB"/>
    <w:rPr>
      <w:rFonts w:eastAsiaTheme="majorEastAsia" w:cstheme="majorBidi"/>
      <w:b/>
      <w:color w:val="808080" w:themeColor="background1" w:themeShade="80"/>
      <w:sz w:val="20"/>
      <w:lang w:val="en-GB"/>
    </w:rPr>
  </w:style>
  <w:style w:type="character" w:customStyle="1" w:styleId="Heading6Char">
    <w:name w:val="Heading 6 Char"/>
    <w:basedOn w:val="DefaultParagraphFont"/>
    <w:link w:val="Heading6"/>
    <w:rsid w:val="00B24FB6"/>
    <w:rPr>
      <w:rFonts w:eastAsiaTheme="majorEastAsia" w:cstheme="majorBidi"/>
      <w:b/>
      <w:iCs/>
      <w:color w:val="A6A6A6" w:themeColor="background1" w:themeShade="A6"/>
      <w:sz w:val="20"/>
      <w:lang w:val="en-GB"/>
    </w:rPr>
  </w:style>
  <w:style w:type="character" w:customStyle="1" w:styleId="Heading7Char">
    <w:name w:val="Heading 7 Char"/>
    <w:basedOn w:val="DefaultParagraphFont"/>
    <w:link w:val="Heading7"/>
    <w:rsid w:val="0088011D"/>
    <w:rPr>
      <w:rFonts w:asciiTheme="majorHAnsi" w:eastAsiaTheme="majorEastAsia" w:hAnsiTheme="majorHAnsi" w:cstheme="majorBidi"/>
      <w:i/>
      <w:iCs/>
      <w:color w:val="404040" w:themeColor="text1" w:themeTint="BF"/>
      <w:sz w:val="20"/>
      <w:lang w:val="en-GB"/>
    </w:rPr>
  </w:style>
  <w:style w:type="character" w:customStyle="1" w:styleId="Heading8Char">
    <w:name w:val="Heading 8 Char"/>
    <w:basedOn w:val="DefaultParagraphFont"/>
    <w:link w:val="Heading8"/>
    <w:rsid w:val="00BA0538"/>
    <w:rPr>
      <w:rFonts w:ascii="Trebuchet MS" w:eastAsiaTheme="majorEastAsia" w:hAnsi="Trebuchet MS" w:cstheme="majorBidi"/>
      <w:b/>
      <w:i/>
      <w:sz w:val="20"/>
      <w:szCs w:val="20"/>
    </w:rPr>
  </w:style>
  <w:style w:type="character" w:customStyle="1" w:styleId="Heading9Char">
    <w:name w:val="Heading 9 Char"/>
    <w:basedOn w:val="DefaultParagraphFont"/>
    <w:link w:val="Heading9"/>
    <w:rsid w:val="0088011D"/>
    <w:rPr>
      <w:rFonts w:asciiTheme="majorHAnsi" w:eastAsiaTheme="majorEastAsia" w:hAnsiTheme="majorHAnsi" w:cstheme="majorBidi"/>
      <w:i/>
      <w:iCs/>
      <w:color w:val="404040" w:themeColor="text1" w:themeTint="BF"/>
      <w:sz w:val="20"/>
      <w:szCs w:val="20"/>
      <w:lang w:val="en-GB"/>
    </w:rPr>
  </w:style>
  <w:style w:type="paragraph" w:styleId="DocumentMap">
    <w:name w:val="Document Map"/>
    <w:basedOn w:val="Normal"/>
    <w:link w:val="DocumentMapChar"/>
    <w:semiHidden/>
    <w:unhideWhenUsed/>
    <w:rsid w:val="00B24F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B24FB6"/>
    <w:rPr>
      <w:rFonts w:ascii="Tahoma" w:hAnsi="Tahoma" w:cs="Tahoma"/>
      <w:sz w:val="16"/>
      <w:szCs w:val="16"/>
    </w:rPr>
  </w:style>
  <w:style w:type="paragraph" w:customStyle="1" w:styleId="Sous-titre1">
    <w:name w:val="Sous-titre 1"/>
    <w:basedOn w:val="Heading6"/>
    <w:link w:val="Sous-titre1Car"/>
    <w:qFormat/>
    <w:rsid w:val="00E64277"/>
    <w:pPr>
      <w:numPr>
        <w:ilvl w:val="0"/>
        <w:numId w:val="0"/>
      </w:numPr>
      <w:spacing w:before="400" w:after="120"/>
    </w:pPr>
    <w:rPr>
      <w:color w:val="auto"/>
    </w:rPr>
  </w:style>
  <w:style w:type="character" w:customStyle="1" w:styleId="Sous-titre1Car">
    <w:name w:val="Sous-titre 1 Car"/>
    <w:basedOn w:val="DefaultParagraphFont"/>
    <w:link w:val="Sous-titre1"/>
    <w:rsid w:val="00E64277"/>
    <w:rPr>
      <w:rFonts w:ascii="Trebuchet MS" w:eastAsiaTheme="majorEastAsia" w:hAnsi="Trebuchet MS" w:cstheme="majorBidi"/>
      <w:b/>
      <w:iCs/>
      <w:sz w:val="20"/>
    </w:rPr>
  </w:style>
  <w:style w:type="paragraph" w:customStyle="1" w:styleId="Sous-titre2">
    <w:name w:val="Sous-titre 2"/>
    <w:basedOn w:val="Heading7"/>
    <w:link w:val="Sous-titre2Car"/>
    <w:qFormat/>
    <w:rsid w:val="00E64277"/>
    <w:pPr>
      <w:numPr>
        <w:ilvl w:val="0"/>
        <w:numId w:val="0"/>
      </w:numPr>
      <w:spacing w:before="320"/>
    </w:pPr>
    <w:rPr>
      <w:rFonts w:ascii="Trebuchet MS" w:hAnsi="Trebuchet MS"/>
      <w:i w:val="0"/>
      <w:color w:val="auto"/>
      <w:u w:val="single"/>
    </w:rPr>
  </w:style>
  <w:style w:type="character" w:customStyle="1" w:styleId="Sous-titre2Car">
    <w:name w:val="Sous-titre 2 Car"/>
    <w:basedOn w:val="DefaultParagraphFont"/>
    <w:link w:val="Sous-titre2"/>
    <w:rsid w:val="00E64277"/>
    <w:rPr>
      <w:rFonts w:ascii="Trebuchet MS" w:eastAsiaTheme="majorEastAsia" w:hAnsi="Trebuchet MS" w:cstheme="majorBidi"/>
      <w:iCs/>
      <w:sz w:val="20"/>
      <w:u w:val="single"/>
    </w:rPr>
  </w:style>
  <w:style w:type="paragraph" w:customStyle="1" w:styleId="Sous-titre3">
    <w:name w:val="Sous-titre 3"/>
    <w:basedOn w:val="Heading8"/>
    <w:link w:val="Sous-titre3Car"/>
    <w:qFormat/>
    <w:rsid w:val="00E64277"/>
    <w:pPr>
      <w:spacing w:before="240"/>
    </w:pPr>
  </w:style>
  <w:style w:type="character" w:customStyle="1" w:styleId="Sous-titre3Car">
    <w:name w:val="Sous-titre 3 Car"/>
    <w:basedOn w:val="Heading8Char"/>
    <w:link w:val="Sous-titre3"/>
    <w:rsid w:val="00E64277"/>
    <w:rPr>
      <w:rFonts w:ascii="Trebuchet MS" w:eastAsiaTheme="majorEastAsia" w:hAnsi="Trebuchet MS" w:cstheme="majorBidi"/>
      <w:b/>
      <w:i/>
      <w:sz w:val="20"/>
      <w:szCs w:val="20"/>
    </w:rPr>
  </w:style>
  <w:style w:type="paragraph" w:styleId="Caption">
    <w:name w:val="caption"/>
    <w:aliases w:val="Legende,Car16,Car Car Car Car,Car Car Car Car Car Car Car,Car Car Car Car Car,Car Car Car Car Car Car Car Car Car Car Car Car,Car3,FigureCaptionMEPS,Légende figure"/>
    <w:basedOn w:val="Normal"/>
    <w:next w:val="Normal"/>
    <w:link w:val="CaptionChar"/>
    <w:unhideWhenUsed/>
    <w:qFormat/>
    <w:rsid w:val="00A02E5B"/>
    <w:pPr>
      <w:spacing w:before="360" w:after="120" w:line="240" w:lineRule="auto"/>
      <w:jc w:val="center"/>
    </w:pPr>
    <w:rPr>
      <w:b/>
      <w:bCs/>
      <w:color w:val="4F81BD" w:themeColor="accent1"/>
      <w:sz w:val="18"/>
      <w:szCs w:val="18"/>
    </w:rPr>
  </w:style>
  <w:style w:type="character" w:customStyle="1" w:styleId="CaptionChar">
    <w:name w:val="Caption Char"/>
    <w:aliases w:val="Legende Char,Car16 Char,Car Car Car Car Char,Car Car Car Car Car Car Car Char,Car Car Car Car Car Char,Car Car Car Car Car Car Car Car Car Car Car Car Char,Car3 Char,FigureCaptionMEPS Char,Légende figure Char"/>
    <w:basedOn w:val="DefaultParagraphFont"/>
    <w:link w:val="Caption"/>
    <w:locked/>
    <w:rsid w:val="00A02E5B"/>
    <w:rPr>
      <w:rFonts w:ascii="Trebuchet MS" w:hAnsi="Trebuchet MS"/>
      <w:b/>
      <w:bCs/>
      <w:color w:val="4F81BD" w:themeColor="accent1"/>
      <w:sz w:val="18"/>
      <w:szCs w:val="18"/>
    </w:rPr>
  </w:style>
  <w:style w:type="paragraph" w:customStyle="1" w:styleId="Sous-titre4">
    <w:name w:val="Sous-titre 4"/>
    <w:basedOn w:val="Heading9"/>
    <w:next w:val="Normal"/>
    <w:link w:val="Sous-titre4Car"/>
    <w:qFormat/>
    <w:rsid w:val="00BA0538"/>
    <w:pPr>
      <w:numPr>
        <w:ilvl w:val="0"/>
        <w:numId w:val="0"/>
      </w:numPr>
      <w:spacing w:before="120"/>
      <w:ind w:left="1582" w:hanging="1582"/>
    </w:pPr>
    <w:rPr>
      <w:rFonts w:ascii="Trebuchet MS" w:hAnsi="Trebuchet MS" w:cs="Arial"/>
      <w:color w:val="auto"/>
      <w:szCs w:val="22"/>
      <w:u w:val="single"/>
    </w:rPr>
  </w:style>
  <w:style w:type="character" w:customStyle="1" w:styleId="Sous-titre4Car">
    <w:name w:val="Sous-titre 4 Car"/>
    <w:basedOn w:val="CaptionChar"/>
    <w:link w:val="Sous-titre4"/>
    <w:rsid w:val="00BA0538"/>
    <w:rPr>
      <w:rFonts w:ascii="Trebuchet MS" w:eastAsiaTheme="majorEastAsia" w:hAnsi="Trebuchet MS" w:cs="Arial"/>
      <w:b/>
      <w:bCs/>
      <w:i/>
      <w:iCs/>
      <w:color w:val="4F81BD" w:themeColor="accent1"/>
      <w:sz w:val="20"/>
      <w:szCs w:val="18"/>
      <w:u w:val="single"/>
    </w:rPr>
  </w:style>
  <w:style w:type="character" w:styleId="Hyperlink">
    <w:name w:val="Hyperlink"/>
    <w:basedOn w:val="DefaultParagraphFont"/>
    <w:uiPriority w:val="99"/>
    <w:unhideWhenUsed/>
    <w:rsid w:val="004C5142"/>
    <w:rPr>
      <w:color w:val="0000FF" w:themeColor="hyperlink"/>
      <w:u w:val="single"/>
    </w:rPr>
  </w:style>
  <w:style w:type="table" w:styleId="TableGrid">
    <w:name w:val="Table Grid"/>
    <w:basedOn w:val="TableNormal"/>
    <w:uiPriority w:val="59"/>
    <w:rsid w:val="001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164B3"/>
    <w:pPr>
      <w:tabs>
        <w:tab w:val="center" w:pos="4536"/>
        <w:tab w:val="right" w:pos="9072"/>
      </w:tabs>
      <w:spacing w:after="0" w:line="240" w:lineRule="auto"/>
    </w:pPr>
  </w:style>
  <w:style w:type="character" w:customStyle="1" w:styleId="HeaderChar">
    <w:name w:val="Header Char"/>
    <w:basedOn w:val="DefaultParagraphFont"/>
    <w:link w:val="Header"/>
    <w:rsid w:val="001164B3"/>
    <w:rPr>
      <w:rFonts w:ascii="Trebuchet MS" w:hAnsi="Trebuchet MS"/>
      <w:sz w:val="20"/>
    </w:rPr>
  </w:style>
  <w:style w:type="paragraph" w:styleId="Footer">
    <w:name w:val="footer"/>
    <w:basedOn w:val="Normal"/>
    <w:link w:val="FooterChar"/>
    <w:unhideWhenUsed/>
    <w:rsid w:val="001164B3"/>
    <w:pPr>
      <w:tabs>
        <w:tab w:val="center" w:pos="4536"/>
        <w:tab w:val="right" w:pos="9072"/>
      </w:tabs>
      <w:spacing w:after="0" w:line="240" w:lineRule="auto"/>
    </w:pPr>
  </w:style>
  <w:style w:type="character" w:customStyle="1" w:styleId="FooterChar">
    <w:name w:val="Footer Char"/>
    <w:basedOn w:val="DefaultParagraphFont"/>
    <w:link w:val="Footer"/>
    <w:rsid w:val="001164B3"/>
    <w:rPr>
      <w:rFonts w:ascii="Trebuchet MS" w:hAnsi="Trebuchet MS"/>
      <w:sz w:val="20"/>
    </w:rPr>
  </w:style>
  <w:style w:type="character" w:customStyle="1" w:styleId="BalloonTextChar">
    <w:name w:val="Balloon Text Char"/>
    <w:basedOn w:val="DefaultParagraphFont"/>
    <w:link w:val="BalloonText"/>
    <w:semiHidden/>
    <w:rsid w:val="001164B3"/>
    <w:rPr>
      <w:rFonts w:ascii="Tahoma" w:hAnsi="Tahoma" w:cs="Tahoma"/>
      <w:sz w:val="16"/>
      <w:szCs w:val="16"/>
    </w:rPr>
  </w:style>
  <w:style w:type="paragraph" w:styleId="BalloonText">
    <w:name w:val="Balloon Text"/>
    <w:basedOn w:val="Normal"/>
    <w:link w:val="BalloonTextChar"/>
    <w:semiHidden/>
    <w:unhideWhenUsed/>
    <w:rsid w:val="001164B3"/>
    <w:pPr>
      <w:spacing w:after="0" w:line="240" w:lineRule="auto"/>
    </w:pPr>
    <w:rPr>
      <w:rFonts w:ascii="Tahoma" w:hAnsi="Tahoma" w:cs="Tahoma"/>
      <w:sz w:val="16"/>
      <w:szCs w:val="16"/>
    </w:rPr>
  </w:style>
  <w:style w:type="paragraph" w:styleId="TableofFigures">
    <w:name w:val="table of figures"/>
    <w:basedOn w:val="Normal"/>
    <w:next w:val="Normal"/>
    <w:uiPriority w:val="99"/>
    <w:unhideWhenUsed/>
    <w:rsid w:val="001164B3"/>
    <w:pPr>
      <w:spacing w:after="0"/>
    </w:pPr>
  </w:style>
  <w:style w:type="character" w:customStyle="1" w:styleId="EndnoteTextChar">
    <w:name w:val="Endnote Text Char"/>
    <w:basedOn w:val="DefaultParagraphFont"/>
    <w:link w:val="EndnoteText"/>
    <w:semiHidden/>
    <w:rsid w:val="001164B3"/>
    <w:rPr>
      <w:rFonts w:ascii="Times New Roman" w:eastAsia="Times New Roman" w:hAnsi="Times New Roman" w:cs="Times New Roman"/>
      <w:snapToGrid w:val="0"/>
      <w:sz w:val="20"/>
      <w:szCs w:val="20"/>
      <w:lang w:eastAsia="fr-FR"/>
    </w:rPr>
  </w:style>
  <w:style w:type="paragraph" w:styleId="EndnoteText">
    <w:name w:val="endnote text"/>
    <w:basedOn w:val="Normal"/>
    <w:link w:val="EndnoteTextChar"/>
    <w:semiHidden/>
    <w:rsid w:val="001164B3"/>
    <w:pPr>
      <w:widowControl w:val="0"/>
      <w:spacing w:after="0" w:line="240" w:lineRule="auto"/>
    </w:pPr>
    <w:rPr>
      <w:rFonts w:ascii="Times New Roman" w:eastAsia="Times New Roman" w:hAnsi="Times New Roman" w:cs="Times New Roman"/>
      <w:snapToGrid w:val="0"/>
      <w:szCs w:val="20"/>
      <w:lang w:eastAsia="fr-FR"/>
    </w:rPr>
  </w:style>
  <w:style w:type="character" w:customStyle="1" w:styleId="CommentTextChar">
    <w:name w:val="Comment Text Char"/>
    <w:basedOn w:val="DefaultParagraphFont"/>
    <w:link w:val="CommentText"/>
    <w:uiPriority w:val="99"/>
    <w:semiHidden/>
    <w:rsid w:val="001164B3"/>
    <w:rPr>
      <w:rFonts w:ascii="Times New Roman" w:eastAsia="Times New Roman" w:hAnsi="Times New Roman" w:cs="Times New Roman"/>
      <w:snapToGrid w:val="0"/>
      <w:sz w:val="20"/>
      <w:szCs w:val="20"/>
      <w:lang w:eastAsia="fr-FR"/>
    </w:rPr>
  </w:style>
  <w:style w:type="paragraph" w:styleId="CommentText">
    <w:name w:val="annotation text"/>
    <w:basedOn w:val="Normal"/>
    <w:link w:val="CommentTextChar"/>
    <w:uiPriority w:val="99"/>
    <w:semiHidden/>
    <w:rsid w:val="001164B3"/>
    <w:pPr>
      <w:widowControl w:val="0"/>
      <w:spacing w:after="0" w:line="240" w:lineRule="auto"/>
    </w:pPr>
    <w:rPr>
      <w:rFonts w:ascii="Times New Roman" w:eastAsia="Times New Roman" w:hAnsi="Times New Roman" w:cs="Times New Roman"/>
      <w:snapToGrid w:val="0"/>
      <w:szCs w:val="20"/>
      <w:lang w:eastAsia="fr-FR"/>
    </w:rPr>
  </w:style>
  <w:style w:type="character" w:customStyle="1" w:styleId="CommentSubjectChar">
    <w:name w:val="Comment Subject Char"/>
    <w:basedOn w:val="CommentTextChar"/>
    <w:link w:val="CommentSubject"/>
    <w:semiHidden/>
    <w:rsid w:val="001164B3"/>
    <w:rPr>
      <w:rFonts w:ascii="Times New Roman" w:eastAsia="Times New Roman" w:hAnsi="Times New Roman" w:cs="Times New Roman"/>
      <w:b/>
      <w:bCs/>
      <w:snapToGrid w:val="0"/>
      <w:sz w:val="20"/>
      <w:szCs w:val="20"/>
      <w:lang w:eastAsia="fr-FR"/>
    </w:rPr>
  </w:style>
  <w:style w:type="paragraph" w:styleId="CommentSubject">
    <w:name w:val="annotation subject"/>
    <w:basedOn w:val="CommentText"/>
    <w:next w:val="CommentText"/>
    <w:link w:val="CommentSubjectChar"/>
    <w:semiHidden/>
    <w:rsid w:val="001164B3"/>
    <w:rPr>
      <w:b/>
      <w:bCs/>
    </w:rPr>
  </w:style>
  <w:style w:type="character" w:customStyle="1" w:styleId="BodyTextIndentChar">
    <w:name w:val="Body Text Indent Char"/>
    <w:basedOn w:val="DefaultParagraphFont"/>
    <w:link w:val="BodyTextIndent"/>
    <w:rsid w:val="001164B3"/>
    <w:rPr>
      <w:rFonts w:ascii="Arial" w:eastAsia="Times New Roman" w:hAnsi="Arial" w:cs="Times New Roman"/>
      <w:szCs w:val="20"/>
      <w:lang w:eastAsia="fr-FR"/>
    </w:rPr>
  </w:style>
  <w:style w:type="paragraph" w:styleId="BodyTextIndent">
    <w:name w:val="Body Text Indent"/>
    <w:basedOn w:val="Normal"/>
    <w:link w:val="BodyTextIndentChar"/>
    <w:rsid w:val="001164B3"/>
    <w:pPr>
      <w:spacing w:before="120" w:after="120" w:line="240" w:lineRule="auto"/>
      <w:ind w:left="283"/>
    </w:pPr>
    <w:rPr>
      <w:rFonts w:ascii="Arial" w:eastAsia="Times New Roman" w:hAnsi="Arial" w:cs="Times New Roman"/>
      <w:sz w:val="22"/>
      <w:szCs w:val="20"/>
      <w:lang w:eastAsia="fr-FR"/>
    </w:rPr>
  </w:style>
  <w:style w:type="character" w:customStyle="1" w:styleId="BodyTextIndent2Char">
    <w:name w:val="Body Text Indent 2 Char"/>
    <w:basedOn w:val="DefaultParagraphFont"/>
    <w:link w:val="BodyTextIndent2"/>
    <w:rsid w:val="001164B3"/>
    <w:rPr>
      <w:rFonts w:ascii="Arial" w:eastAsia="Times New Roman" w:hAnsi="Arial" w:cs="Times New Roman"/>
      <w:szCs w:val="20"/>
      <w:lang w:eastAsia="fr-FR"/>
    </w:rPr>
  </w:style>
  <w:style w:type="paragraph" w:styleId="BodyTextIndent2">
    <w:name w:val="Body Text Indent 2"/>
    <w:basedOn w:val="Normal"/>
    <w:link w:val="BodyTextIndent2Char"/>
    <w:rsid w:val="001164B3"/>
    <w:pPr>
      <w:spacing w:before="120" w:after="120" w:line="480" w:lineRule="auto"/>
      <w:ind w:left="283"/>
    </w:pPr>
    <w:rPr>
      <w:rFonts w:ascii="Arial" w:eastAsia="Times New Roman" w:hAnsi="Arial" w:cs="Times New Roman"/>
      <w:sz w:val="22"/>
      <w:szCs w:val="20"/>
      <w:lang w:eastAsia="fr-FR"/>
    </w:rPr>
  </w:style>
  <w:style w:type="character" w:customStyle="1" w:styleId="BodyText2Char">
    <w:name w:val="Body Text 2 Char"/>
    <w:basedOn w:val="DefaultParagraphFont"/>
    <w:link w:val="BodyText2"/>
    <w:uiPriority w:val="99"/>
    <w:rsid w:val="001164B3"/>
    <w:rPr>
      <w:rFonts w:ascii="Times New Roman" w:eastAsia="Times New Roman" w:hAnsi="Times New Roman" w:cs="Times New Roman"/>
      <w:snapToGrid w:val="0"/>
      <w:sz w:val="20"/>
      <w:szCs w:val="20"/>
      <w:lang w:eastAsia="fr-FR"/>
    </w:rPr>
  </w:style>
  <w:style w:type="paragraph" w:styleId="BodyText2">
    <w:name w:val="Body Text 2"/>
    <w:basedOn w:val="Normal"/>
    <w:link w:val="BodyText2Char"/>
    <w:uiPriority w:val="99"/>
    <w:unhideWhenUsed/>
    <w:rsid w:val="001164B3"/>
    <w:pPr>
      <w:widowControl w:val="0"/>
      <w:spacing w:after="120" w:line="480" w:lineRule="auto"/>
    </w:pPr>
    <w:rPr>
      <w:rFonts w:ascii="Times New Roman" w:eastAsia="Times New Roman" w:hAnsi="Times New Roman" w:cs="Times New Roman"/>
      <w:snapToGrid w:val="0"/>
      <w:szCs w:val="20"/>
      <w:lang w:eastAsia="fr-FR"/>
    </w:rPr>
  </w:style>
  <w:style w:type="paragraph" w:styleId="Subtitle">
    <w:name w:val="Subtitle"/>
    <w:basedOn w:val="Normal"/>
    <w:link w:val="SubtitleChar"/>
    <w:qFormat/>
    <w:rsid w:val="001164B3"/>
    <w:pPr>
      <w:spacing w:after="0" w:line="240" w:lineRule="auto"/>
    </w:pPr>
    <w:rPr>
      <w:rFonts w:ascii="Arial" w:eastAsia="Times New Roman" w:hAnsi="Arial" w:cs="Times New Roman"/>
      <w:sz w:val="22"/>
      <w:szCs w:val="24"/>
      <w:u w:val="single"/>
      <w:lang w:eastAsia="fr-FR"/>
    </w:rPr>
  </w:style>
  <w:style w:type="character" w:customStyle="1" w:styleId="SubtitleChar">
    <w:name w:val="Subtitle Char"/>
    <w:basedOn w:val="DefaultParagraphFont"/>
    <w:link w:val="Subtitle"/>
    <w:rsid w:val="001164B3"/>
    <w:rPr>
      <w:rFonts w:ascii="Arial" w:eastAsia="Times New Roman" w:hAnsi="Arial" w:cs="Times New Roman"/>
      <w:szCs w:val="24"/>
      <w:u w:val="single"/>
      <w:lang w:eastAsia="fr-FR"/>
    </w:rPr>
  </w:style>
  <w:style w:type="character" w:customStyle="1" w:styleId="PlainTextChar">
    <w:name w:val="Plain Text Char"/>
    <w:basedOn w:val="DefaultParagraphFont"/>
    <w:link w:val="PlainText"/>
    <w:rsid w:val="001164B3"/>
    <w:rPr>
      <w:rFonts w:ascii="Courier New" w:eastAsia="Times New Roman" w:hAnsi="Courier New" w:cs="Courier New"/>
      <w:sz w:val="20"/>
      <w:szCs w:val="20"/>
      <w:lang w:val="en-GB" w:eastAsia="fr-FR"/>
    </w:rPr>
  </w:style>
  <w:style w:type="paragraph" w:styleId="PlainText">
    <w:name w:val="Plain Text"/>
    <w:basedOn w:val="Normal"/>
    <w:link w:val="PlainTextChar"/>
    <w:rsid w:val="001164B3"/>
    <w:pPr>
      <w:widowControl w:val="0"/>
      <w:spacing w:after="0" w:line="240" w:lineRule="auto"/>
    </w:pPr>
    <w:rPr>
      <w:rFonts w:ascii="Courier New" w:eastAsia="Times New Roman" w:hAnsi="Courier New" w:cs="Courier New"/>
      <w:szCs w:val="20"/>
      <w:lang w:eastAsia="fr-FR"/>
    </w:rPr>
  </w:style>
  <w:style w:type="paragraph" w:customStyle="1" w:styleId="Standard">
    <w:name w:val="Standard"/>
    <w:rsid w:val="001164B3"/>
    <w:pPr>
      <w:tabs>
        <w:tab w:val="left" w:pos="708"/>
      </w:tabs>
      <w:suppressAutoHyphens/>
    </w:pPr>
    <w:rPr>
      <w:rFonts w:ascii="Liberation Sans" w:eastAsia="SimSun" w:hAnsi="Liberation Sans" w:cs="Mangal"/>
      <w:color w:val="00000A"/>
      <w:sz w:val="24"/>
      <w:szCs w:val="24"/>
      <w:lang w:eastAsia="zh-CN" w:bidi="hi-IN"/>
    </w:rPr>
  </w:style>
  <w:style w:type="paragraph" w:customStyle="1" w:styleId="WW-Standard">
    <w:name w:val="WW-Standard"/>
    <w:rsid w:val="001164B3"/>
    <w:pPr>
      <w:tabs>
        <w:tab w:val="left" w:pos="708"/>
      </w:tabs>
      <w:suppressAutoHyphens/>
    </w:pPr>
    <w:rPr>
      <w:rFonts w:ascii="Liberation Sans" w:eastAsia="SimSun" w:hAnsi="Liberation Sans" w:cs="Times New Roman"/>
      <w:color w:val="00000A"/>
      <w:sz w:val="24"/>
      <w:szCs w:val="24"/>
      <w:lang w:eastAsia="hi-IN"/>
    </w:rPr>
  </w:style>
  <w:style w:type="character" w:customStyle="1" w:styleId="HTMLPreformattedChar">
    <w:name w:val="HTML Preformatted Char"/>
    <w:basedOn w:val="DefaultParagraphFont"/>
    <w:link w:val="HTMLPreformatted"/>
    <w:uiPriority w:val="99"/>
    <w:rsid w:val="001164B3"/>
    <w:rPr>
      <w:rFonts w:ascii="Courier New" w:eastAsia="Times New Roman" w:hAnsi="Courier New" w:cs="Courier New"/>
      <w:sz w:val="20"/>
      <w:szCs w:val="20"/>
      <w:lang w:eastAsia="fr-FR"/>
    </w:rPr>
  </w:style>
  <w:style w:type="paragraph" w:styleId="HTMLPreformatted">
    <w:name w:val="HTML Preformatted"/>
    <w:basedOn w:val="Normal"/>
    <w:link w:val="HTMLPreformattedChar"/>
    <w:uiPriority w:val="99"/>
    <w:unhideWhenUsed/>
    <w:rsid w:val="0011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fr-FR"/>
    </w:rPr>
  </w:style>
  <w:style w:type="paragraph" w:customStyle="1" w:styleId="Partie">
    <w:name w:val="Partie"/>
    <w:basedOn w:val="Normal"/>
    <w:link w:val="PartieCar"/>
    <w:rsid w:val="006573CB"/>
    <w:pPr>
      <w:jc w:val="right"/>
      <w:outlineLvl w:val="0"/>
    </w:pPr>
    <w:rPr>
      <w:b/>
      <w:color w:val="698EC2"/>
      <w:sz w:val="144"/>
      <w:szCs w:val="144"/>
    </w:rPr>
  </w:style>
  <w:style w:type="character" w:customStyle="1" w:styleId="PartieCar">
    <w:name w:val="Partie Car"/>
    <w:basedOn w:val="BodyTextChar"/>
    <w:link w:val="Partie"/>
    <w:rsid w:val="007C0D19"/>
    <w:rPr>
      <w:rFonts w:ascii="Trebuchet MS" w:hAnsi="Trebuchet MS"/>
      <w:b/>
      <w:color w:val="698EC2"/>
      <w:sz w:val="144"/>
      <w:szCs w:val="144"/>
      <w:lang w:val="en-GB"/>
    </w:rPr>
  </w:style>
  <w:style w:type="paragraph" w:customStyle="1" w:styleId="Titre4Bleu">
    <w:name w:val="Titre 4 Bleu"/>
    <w:basedOn w:val="Heading4"/>
    <w:link w:val="Titre4BleuCar"/>
    <w:qFormat/>
    <w:rsid w:val="00A1448D"/>
    <w:rPr>
      <w:color w:val="233F85"/>
    </w:rPr>
  </w:style>
  <w:style w:type="character" w:customStyle="1" w:styleId="Titre4BleuCar">
    <w:name w:val="Titre 4 Bleu Car"/>
    <w:basedOn w:val="Heading4Char"/>
    <w:link w:val="Titre4Bleu"/>
    <w:rsid w:val="00A1448D"/>
    <w:rPr>
      <w:b/>
      <w:color w:val="233F85"/>
      <w:sz w:val="24"/>
      <w:szCs w:val="32"/>
      <w:lang w:val="en-US"/>
    </w:rPr>
  </w:style>
  <w:style w:type="character" w:styleId="CommentReference">
    <w:name w:val="annotation reference"/>
    <w:basedOn w:val="DefaultParagraphFont"/>
    <w:uiPriority w:val="99"/>
    <w:unhideWhenUsed/>
    <w:rsid w:val="00137BDE"/>
    <w:rPr>
      <w:sz w:val="16"/>
      <w:szCs w:val="16"/>
    </w:rPr>
  </w:style>
  <w:style w:type="paragraph" w:styleId="TOC1">
    <w:name w:val="toc 1"/>
    <w:basedOn w:val="Normal"/>
    <w:next w:val="BodyText"/>
    <w:link w:val="TOC1Char"/>
    <w:uiPriority w:val="39"/>
    <w:unhideWhenUsed/>
    <w:qFormat/>
    <w:rsid w:val="00771B5A"/>
    <w:pPr>
      <w:spacing w:after="100"/>
    </w:pPr>
    <w:rPr>
      <w:sz w:val="22"/>
    </w:rPr>
  </w:style>
  <w:style w:type="character" w:customStyle="1" w:styleId="TOC1Char">
    <w:name w:val="TOC 1 Char"/>
    <w:basedOn w:val="DefaultParagraphFont"/>
    <w:link w:val="TOC1"/>
    <w:uiPriority w:val="39"/>
    <w:rsid w:val="00D9471D"/>
    <w:rPr>
      <w:rFonts w:ascii="Trebuchet MS" w:hAnsi="Trebuchet MS"/>
    </w:rPr>
  </w:style>
  <w:style w:type="paragraph" w:styleId="TOC2">
    <w:name w:val="toc 2"/>
    <w:basedOn w:val="Normal"/>
    <w:next w:val="Normal"/>
    <w:autoRedefine/>
    <w:uiPriority w:val="39"/>
    <w:unhideWhenUsed/>
    <w:qFormat/>
    <w:rsid w:val="00771B5A"/>
    <w:pPr>
      <w:spacing w:after="100"/>
      <w:ind w:left="200"/>
    </w:pPr>
  </w:style>
  <w:style w:type="paragraph" w:styleId="TOC3">
    <w:name w:val="toc 3"/>
    <w:aliases w:val="annexe"/>
    <w:basedOn w:val="Normal"/>
    <w:next w:val="Normal"/>
    <w:link w:val="TOC3Char"/>
    <w:autoRedefine/>
    <w:uiPriority w:val="39"/>
    <w:unhideWhenUsed/>
    <w:qFormat/>
    <w:rsid w:val="00771B5A"/>
    <w:pPr>
      <w:tabs>
        <w:tab w:val="left" w:pos="1320"/>
        <w:tab w:val="right" w:leader="dot" w:pos="9062"/>
      </w:tabs>
      <w:spacing w:after="100"/>
      <w:ind w:left="400"/>
      <w:jc w:val="right"/>
    </w:pPr>
  </w:style>
  <w:style w:type="character" w:customStyle="1" w:styleId="TOC3Char">
    <w:name w:val="TOC 3 Char"/>
    <w:aliases w:val="annexe Char"/>
    <w:basedOn w:val="DefaultParagraphFont"/>
    <w:link w:val="TOC3"/>
    <w:uiPriority w:val="39"/>
    <w:rsid w:val="00771B5A"/>
    <w:rPr>
      <w:sz w:val="20"/>
      <w:lang w:val="en-GB"/>
    </w:rPr>
  </w:style>
  <w:style w:type="paragraph" w:styleId="TOC4">
    <w:name w:val="toc 4"/>
    <w:basedOn w:val="Normal"/>
    <w:next w:val="Normal"/>
    <w:autoRedefine/>
    <w:uiPriority w:val="39"/>
    <w:unhideWhenUsed/>
    <w:rsid w:val="0080715E"/>
    <w:pPr>
      <w:spacing w:after="100"/>
      <w:ind w:left="600"/>
    </w:pPr>
  </w:style>
  <w:style w:type="paragraph" w:styleId="TOC5">
    <w:name w:val="toc 5"/>
    <w:basedOn w:val="Normal"/>
    <w:next w:val="Normal"/>
    <w:autoRedefine/>
    <w:uiPriority w:val="39"/>
    <w:unhideWhenUsed/>
    <w:rsid w:val="00E10955"/>
    <w:pPr>
      <w:tabs>
        <w:tab w:val="left" w:pos="1760"/>
        <w:tab w:val="right" w:leader="dot" w:pos="9062"/>
      </w:tabs>
      <w:spacing w:after="100"/>
      <w:ind w:left="800"/>
    </w:pPr>
  </w:style>
  <w:style w:type="paragraph" w:styleId="TOC6">
    <w:name w:val="toc 6"/>
    <w:basedOn w:val="Normal"/>
    <w:next w:val="Normal"/>
    <w:autoRedefine/>
    <w:uiPriority w:val="39"/>
    <w:unhideWhenUsed/>
    <w:rsid w:val="0080715E"/>
    <w:pPr>
      <w:spacing w:after="100"/>
      <w:ind w:left="1100"/>
    </w:pPr>
    <w:rPr>
      <w:rFonts w:eastAsiaTheme="minorEastAsia"/>
      <w:sz w:val="22"/>
      <w:lang w:eastAsia="fr-FR"/>
    </w:rPr>
  </w:style>
  <w:style w:type="paragraph" w:styleId="TOC7">
    <w:name w:val="toc 7"/>
    <w:basedOn w:val="Normal"/>
    <w:next w:val="Normal"/>
    <w:autoRedefine/>
    <w:uiPriority w:val="39"/>
    <w:unhideWhenUsed/>
    <w:rsid w:val="0080715E"/>
    <w:pPr>
      <w:spacing w:after="100"/>
      <w:ind w:left="1320"/>
    </w:pPr>
    <w:rPr>
      <w:rFonts w:eastAsiaTheme="minorEastAsia"/>
      <w:sz w:val="22"/>
      <w:lang w:eastAsia="fr-FR"/>
    </w:rPr>
  </w:style>
  <w:style w:type="paragraph" w:styleId="TOC8">
    <w:name w:val="toc 8"/>
    <w:basedOn w:val="Normal"/>
    <w:next w:val="Normal"/>
    <w:autoRedefine/>
    <w:uiPriority w:val="39"/>
    <w:unhideWhenUsed/>
    <w:rsid w:val="0080715E"/>
    <w:pPr>
      <w:spacing w:after="100"/>
      <w:ind w:left="1540"/>
    </w:pPr>
    <w:rPr>
      <w:rFonts w:eastAsiaTheme="minorEastAsia"/>
      <w:sz w:val="22"/>
      <w:lang w:eastAsia="fr-FR"/>
    </w:rPr>
  </w:style>
  <w:style w:type="paragraph" w:styleId="TOC9">
    <w:name w:val="toc 9"/>
    <w:basedOn w:val="Normal"/>
    <w:next w:val="Normal"/>
    <w:autoRedefine/>
    <w:uiPriority w:val="39"/>
    <w:unhideWhenUsed/>
    <w:rsid w:val="0080715E"/>
    <w:pPr>
      <w:spacing w:after="100"/>
      <w:ind w:left="1760"/>
    </w:pPr>
    <w:rPr>
      <w:rFonts w:eastAsiaTheme="minorEastAsia"/>
      <w:sz w:val="22"/>
      <w:lang w:eastAsia="fr-FR"/>
    </w:rPr>
  </w:style>
  <w:style w:type="paragraph" w:styleId="NoSpacing">
    <w:name w:val="No Spacing"/>
    <w:qFormat/>
    <w:rsid w:val="00DB475E"/>
    <w:pPr>
      <w:spacing w:after="0" w:line="240" w:lineRule="auto"/>
    </w:pPr>
    <w:rPr>
      <w:rFonts w:ascii="Trebuchet MS" w:hAnsi="Trebuchet MS"/>
      <w:noProof/>
      <w:sz w:val="20"/>
    </w:rPr>
  </w:style>
  <w:style w:type="character" w:styleId="FollowedHyperlink">
    <w:name w:val="FollowedHyperlink"/>
    <w:basedOn w:val="DefaultParagraphFont"/>
    <w:semiHidden/>
    <w:unhideWhenUsed/>
    <w:rsid w:val="00DB475E"/>
    <w:rPr>
      <w:color w:val="800080" w:themeColor="followedHyperlink"/>
      <w:u w:val="single"/>
    </w:rPr>
  </w:style>
  <w:style w:type="paragraph" w:styleId="Title">
    <w:name w:val="Title"/>
    <w:basedOn w:val="Normal"/>
    <w:next w:val="BodyText"/>
    <w:link w:val="TitleChar"/>
    <w:qFormat/>
    <w:rsid w:val="000676DF"/>
    <w:pPr>
      <w:spacing w:after="480" w:line="240" w:lineRule="auto"/>
      <w:outlineLvl w:val="0"/>
    </w:pPr>
    <w:rPr>
      <w:b/>
      <w:color w:val="698EC2"/>
      <w:sz w:val="40"/>
    </w:rPr>
  </w:style>
  <w:style w:type="character" w:customStyle="1" w:styleId="TitleChar">
    <w:name w:val="Title Char"/>
    <w:basedOn w:val="DefaultParagraphFont"/>
    <w:link w:val="Title"/>
    <w:rsid w:val="000676DF"/>
    <w:rPr>
      <w:rFonts w:ascii="Trebuchet MS" w:hAnsi="Trebuchet MS"/>
      <w:b/>
      <w:color w:val="698EC2"/>
      <w:sz w:val="40"/>
    </w:rPr>
  </w:style>
  <w:style w:type="paragraph" w:styleId="FootnoteText">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link w:val="FootnoteTextChar"/>
    <w:unhideWhenUsed/>
    <w:rsid w:val="004241D5"/>
    <w:pPr>
      <w:spacing w:after="0" w:line="240" w:lineRule="auto"/>
      <w:jc w:val="left"/>
    </w:pPr>
    <w:rPr>
      <w:szCs w:val="20"/>
    </w:rPr>
  </w:style>
  <w:style w:type="character" w:customStyle="1" w:styleId="FootnoteTextChar">
    <w:name w:val="Footnote Text Char"/>
    <w:aliases w:val="Fußnotentext Char Char1,Fußnotentext Char1 Char1 Char,Fußnotentext Char Char Char Char Char,Fußnotentext Char1 Char Char Char Char1,Fußnotentext Char Char Char,Fußnotentext Char1 Char Char Char Char Char,Fußnotentext Char1 Char"/>
    <w:basedOn w:val="DefaultParagraphFont"/>
    <w:link w:val="FootnoteText"/>
    <w:rsid w:val="004241D5"/>
    <w:rPr>
      <w:rFonts w:ascii="Trebuchet MS" w:hAnsi="Trebuchet MS"/>
      <w:sz w:val="20"/>
      <w:szCs w:val="20"/>
    </w:rPr>
  </w:style>
  <w:style w:type="character" w:styleId="FootnoteReference">
    <w:name w:val="footnote reference"/>
    <w:aliases w:val="SUPERS,Appel note de bas de page,Footnote symbol,Footnote s,Times 10 Point, Exposant 3 Point,Exposant 3 ,Exposant 3 Point,Expos,Exposant 3,Appel note de bas de p,Texte Appel note de bas de p.,Appel note,-E Fußnotenzeichen,number"/>
    <w:basedOn w:val="DefaultParagraphFont"/>
    <w:uiPriority w:val="99"/>
    <w:unhideWhenUsed/>
    <w:rsid w:val="004241D5"/>
    <w:rPr>
      <w:vertAlign w:val="superscript"/>
    </w:rPr>
  </w:style>
  <w:style w:type="paragraph" w:customStyle="1" w:styleId="1111Titre4">
    <w:name w:val="1.1.1.1. Titre 4"/>
    <w:basedOn w:val="Heading4"/>
    <w:autoRedefine/>
    <w:rsid w:val="003E7BA2"/>
    <w:pPr>
      <w:keepNext/>
      <w:widowControl w:val="0"/>
      <w:numPr>
        <w:numId w:val="2"/>
      </w:numPr>
      <w:tabs>
        <w:tab w:val="clear" w:pos="993"/>
        <w:tab w:val="clear" w:pos="2127"/>
        <w:tab w:val="left" w:pos="426"/>
        <w:tab w:val="right" w:pos="8789"/>
      </w:tabs>
      <w:spacing w:after="0"/>
    </w:pPr>
    <w:rPr>
      <w:rFonts w:ascii="Arial" w:eastAsia="Times New Roman" w:hAnsi="Arial" w:cs="Arial"/>
      <w:b w:val="0"/>
      <w:bCs/>
      <w:snapToGrid w:val="0"/>
      <w:color w:val="auto"/>
      <w:sz w:val="20"/>
      <w:szCs w:val="24"/>
      <w:lang w:eastAsia="fr-FR"/>
    </w:rPr>
  </w:style>
  <w:style w:type="paragraph" w:styleId="ListParagraph">
    <w:name w:val="List Paragraph"/>
    <w:aliases w:val="List Paragraph (numbered (a)),Use Case List Paragraph,List Paragraph Char Char Char,Main numbered paragraph,Bullet paras,List Paragraph (numbered (a)) Char,List Paragraph2,References,Bullets,List Bullet Mary,Body,Table/Figure Heading"/>
    <w:basedOn w:val="Normal"/>
    <w:link w:val="ListParagraphChar"/>
    <w:uiPriority w:val="34"/>
    <w:qFormat/>
    <w:rsid w:val="00FC4350"/>
    <w:pPr>
      <w:ind w:left="720"/>
      <w:contextualSpacing/>
    </w:pPr>
  </w:style>
  <w:style w:type="character" w:customStyle="1" w:styleId="ListParagraphChar">
    <w:name w:val="List Paragraph Char"/>
    <w:aliases w:val="List Paragraph (numbered (a)) Char1,Use Case List Paragraph Char,List Paragraph Char Char Char Char,Main numbered paragraph Char,Bullet paras Char,List Paragraph (numbered (a)) Char Char,List Paragraph2 Char,References Char,Body Char"/>
    <w:link w:val="ListParagraph"/>
    <w:uiPriority w:val="34"/>
    <w:qFormat/>
    <w:locked/>
    <w:rsid w:val="002C4CC8"/>
    <w:rPr>
      <w:rFonts w:ascii="Trebuchet MS" w:hAnsi="Trebuchet MS"/>
      <w:sz w:val="20"/>
    </w:rPr>
  </w:style>
  <w:style w:type="paragraph" w:customStyle="1" w:styleId="Contenuducadre">
    <w:name w:val="Contenu du cadre"/>
    <w:basedOn w:val="BodyText"/>
    <w:rsid w:val="00B333E6"/>
    <w:pPr>
      <w:widowControl w:val="0"/>
      <w:suppressAutoHyphens/>
      <w:spacing w:before="120" w:after="0" w:line="240" w:lineRule="auto"/>
    </w:pPr>
    <w:rPr>
      <w:rFonts w:ascii="Arial" w:eastAsia="Times New Roman" w:hAnsi="Arial" w:cs="Arial"/>
      <w:sz w:val="22"/>
      <w:lang w:eastAsia="zh-CN"/>
    </w:rPr>
  </w:style>
  <w:style w:type="paragraph" w:styleId="NormalWeb">
    <w:name w:val="Normal (Web)"/>
    <w:basedOn w:val="Normal"/>
    <w:uiPriority w:val="99"/>
    <w:rsid w:val="003411A7"/>
    <w:pPr>
      <w:widowControl w:val="0"/>
      <w:suppressAutoHyphens/>
      <w:spacing w:after="0" w:line="240" w:lineRule="auto"/>
      <w:jc w:val="left"/>
    </w:pPr>
    <w:rPr>
      <w:rFonts w:ascii="Times New Roman" w:eastAsia="Times New Roman" w:hAnsi="Times New Roman" w:cs="Times New Roman"/>
      <w:sz w:val="24"/>
      <w:szCs w:val="24"/>
      <w:lang w:eastAsia="zh-CN"/>
    </w:rPr>
  </w:style>
  <w:style w:type="character" w:customStyle="1" w:styleId="Caractresdenotedebasdepage">
    <w:name w:val="Caractères de note de bas de page"/>
    <w:rsid w:val="00DE6AC6"/>
    <w:rPr>
      <w:vertAlign w:val="superscript"/>
    </w:rPr>
  </w:style>
  <w:style w:type="character" w:customStyle="1" w:styleId="AppelBLEUROIdenotedebasdepage">
    <w:name w:val="Appel BLEU ROI de note de bas de page"/>
    <w:rsid w:val="00DE6AC6"/>
    <w:rPr>
      <w:rFonts w:eastAsia="Times New Roman"/>
      <w:color w:val="0070C0"/>
      <w:sz w:val="22"/>
      <w:vertAlign w:val="superscript"/>
    </w:rPr>
  </w:style>
  <w:style w:type="paragraph" w:customStyle="1" w:styleId="Textedenotedebasdepage">
    <w:name w:val="Texte de note de bas de page"/>
    <w:basedOn w:val="Normal"/>
    <w:rsid w:val="00DE6AC6"/>
    <w:pPr>
      <w:spacing w:after="0" w:line="200" w:lineRule="exact"/>
      <w:ind w:left="284" w:hanging="284"/>
      <w:jc w:val="left"/>
    </w:pPr>
    <w:rPr>
      <w:rFonts w:ascii="DaxCondensed" w:eastAsia="Times New Roman" w:hAnsi="DaxCondensed" w:cs="DaxCondensed"/>
      <w:i/>
      <w:iCs/>
      <w:sz w:val="18"/>
      <w:szCs w:val="18"/>
      <w:lang w:eastAsia="zh-CN"/>
    </w:rPr>
  </w:style>
  <w:style w:type="paragraph" w:customStyle="1" w:styleId="OMINEA">
    <w:name w:val="OMINEA"/>
    <w:basedOn w:val="ListParagraph"/>
    <w:link w:val="OMINEACar"/>
    <w:qFormat/>
    <w:rsid w:val="00A966C6"/>
    <w:pPr>
      <w:spacing w:after="120" w:line="240" w:lineRule="auto"/>
      <w:ind w:left="0"/>
      <w:contextualSpacing w:val="0"/>
    </w:pPr>
    <w:rPr>
      <w:szCs w:val="20"/>
    </w:rPr>
  </w:style>
  <w:style w:type="character" w:customStyle="1" w:styleId="OMINEACar">
    <w:name w:val="OMINEA Car"/>
    <w:basedOn w:val="DefaultParagraphFont"/>
    <w:link w:val="OMINEA"/>
    <w:qFormat/>
    <w:rsid w:val="00A966C6"/>
    <w:rPr>
      <w:rFonts w:ascii="Trebuchet MS" w:hAnsi="Trebuchet MS"/>
      <w:sz w:val="20"/>
      <w:szCs w:val="20"/>
    </w:rPr>
  </w:style>
  <w:style w:type="table" w:customStyle="1" w:styleId="Listeclaire-Accent11">
    <w:name w:val="Liste claire - Accent 11"/>
    <w:basedOn w:val="TableNormal"/>
    <w:uiPriority w:val="61"/>
    <w:rsid w:val="009679B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OMINEA1">
    <w:name w:val="OMINEA 1"/>
    <w:basedOn w:val="Normal"/>
    <w:link w:val="OMINEA1Car"/>
    <w:qFormat/>
    <w:rsid w:val="002C4CC8"/>
    <w:pPr>
      <w:spacing w:before="240" w:after="60"/>
      <w:jc w:val="left"/>
    </w:pPr>
    <w:rPr>
      <w:b/>
      <w:i/>
      <w:szCs w:val="20"/>
    </w:rPr>
  </w:style>
  <w:style w:type="character" w:customStyle="1" w:styleId="OMINEA1Car">
    <w:name w:val="OMINEA 1 Car"/>
    <w:basedOn w:val="DefaultParagraphFont"/>
    <w:link w:val="OMINEA1"/>
    <w:rsid w:val="002C4CC8"/>
    <w:rPr>
      <w:rFonts w:ascii="Trebuchet MS" w:hAnsi="Trebuchet MS"/>
      <w:b/>
      <w:i/>
      <w:sz w:val="20"/>
      <w:szCs w:val="20"/>
    </w:rPr>
  </w:style>
  <w:style w:type="paragraph" w:customStyle="1" w:styleId="base">
    <w:name w:val="base"/>
    <w:rsid w:val="002C4CC8"/>
    <w:pPr>
      <w:spacing w:before="120" w:after="120" w:line="240" w:lineRule="auto"/>
      <w:jc w:val="both"/>
    </w:pPr>
    <w:rPr>
      <w:rFonts w:ascii="Arial" w:eastAsia="Times New Roman" w:hAnsi="Arial" w:cs="Arial"/>
      <w:bCs/>
      <w:snapToGrid w:val="0"/>
      <w:color w:val="000000"/>
      <w:sz w:val="20"/>
      <w:szCs w:val="24"/>
      <w:lang w:eastAsia="fr-FR"/>
    </w:rPr>
  </w:style>
  <w:style w:type="table" w:customStyle="1" w:styleId="Trameclaire-Accent11">
    <w:name w:val="Trame claire - Accent 11"/>
    <w:basedOn w:val="TableNormal"/>
    <w:uiPriority w:val="60"/>
    <w:rsid w:val="002C4C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MINEA2Car">
    <w:name w:val="OMINEA 2 Car"/>
    <w:basedOn w:val="DefaultParagraphFont"/>
    <w:link w:val="OMINEA2"/>
    <w:locked/>
    <w:rsid w:val="00A21A50"/>
    <w:rPr>
      <w:rFonts w:ascii="Trebuchet MS" w:hAnsi="Trebuchet MS"/>
      <w:i/>
      <w:sz w:val="20"/>
      <w:szCs w:val="20"/>
      <w:u w:val="single"/>
    </w:rPr>
  </w:style>
  <w:style w:type="paragraph" w:customStyle="1" w:styleId="OMINEA2">
    <w:name w:val="OMINEA 2"/>
    <w:basedOn w:val="Normal"/>
    <w:link w:val="OMINEA2Car"/>
    <w:qFormat/>
    <w:rsid w:val="00A21A50"/>
    <w:pPr>
      <w:spacing w:before="360" w:after="60"/>
      <w:jc w:val="left"/>
    </w:pPr>
    <w:rPr>
      <w:i/>
      <w:szCs w:val="20"/>
      <w:u w:val="single"/>
    </w:rPr>
  </w:style>
  <w:style w:type="paragraph" w:customStyle="1" w:styleId="them3">
    <w:name w:val="them3"/>
    <w:basedOn w:val="Normal"/>
    <w:rsid w:val="0033584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335845"/>
    <w:rPr>
      <w:b/>
      <w:bCs/>
    </w:rPr>
  </w:style>
  <w:style w:type="paragraph" w:styleId="BodyTextIndent3">
    <w:name w:val="Body Text Indent 3"/>
    <w:basedOn w:val="Normal"/>
    <w:link w:val="BodyTextIndent3Char"/>
    <w:unhideWhenUsed/>
    <w:rsid w:val="005A32DB"/>
    <w:pPr>
      <w:spacing w:after="120"/>
      <w:ind w:left="283"/>
      <w:jc w:val="left"/>
    </w:pPr>
    <w:rPr>
      <w:sz w:val="16"/>
      <w:szCs w:val="16"/>
    </w:rPr>
  </w:style>
  <w:style w:type="character" w:customStyle="1" w:styleId="BodyTextIndent3Char">
    <w:name w:val="Body Text Indent 3 Char"/>
    <w:basedOn w:val="DefaultParagraphFont"/>
    <w:link w:val="BodyTextIndent3"/>
    <w:rsid w:val="005A32DB"/>
    <w:rPr>
      <w:rFonts w:ascii="Trebuchet MS" w:hAnsi="Trebuchet MS"/>
      <w:sz w:val="16"/>
      <w:szCs w:val="16"/>
    </w:rPr>
  </w:style>
  <w:style w:type="paragraph" w:styleId="TOCHeading">
    <w:name w:val="TOC Heading"/>
    <w:basedOn w:val="Heading1"/>
    <w:next w:val="Normal"/>
    <w:uiPriority w:val="39"/>
    <w:unhideWhenUsed/>
    <w:qFormat/>
    <w:rsid w:val="00D04A67"/>
    <w:pPr>
      <w:keepNext/>
      <w:keepLines/>
      <w:widowControl/>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ListNumber">
    <w:name w:val="List Number"/>
    <w:basedOn w:val="Normal"/>
    <w:rsid w:val="00477B36"/>
    <w:pPr>
      <w:widowControl w:val="0"/>
      <w:spacing w:after="0" w:line="240" w:lineRule="auto"/>
      <w:jc w:val="left"/>
    </w:pPr>
    <w:rPr>
      <w:rFonts w:ascii="Times New Roman" w:eastAsia="Times New Roman" w:hAnsi="Times New Roman" w:cs="Times New Roman"/>
      <w:snapToGrid w:val="0"/>
      <w:szCs w:val="20"/>
      <w:lang w:eastAsia="fr-FR"/>
    </w:rPr>
  </w:style>
  <w:style w:type="paragraph" w:customStyle="1" w:styleId="Default">
    <w:name w:val="Default"/>
    <w:rsid w:val="00477B3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eph-normal">
    <w:name w:val="steph-normal"/>
    <w:basedOn w:val="BodyText"/>
    <w:uiPriority w:val="99"/>
    <w:rsid w:val="000B7BB9"/>
    <w:pPr>
      <w:spacing w:after="0" w:line="240" w:lineRule="auto"/>
    </w:pPr>
    <w:rPr>
      <w:rFonts w:ascii="Arial" w:eastAsia="Times New Roman" w:hAnsi="Arial" w:cs="Arial"/>
      <w:sz w:val="22"/>
      <w:lang w:eastAsia="fr-FR"/>
    </w:rPr>
  </w:style>
  <w:style w:type="paragraph" w:styleId="Revision">
    <w:name w:val="Revision"/>
    <w:hidden/>
    <w:uiPriority w:val="99"/>
    <w:semiHidden/>
    <w:rsid w:val="00560392"/>
    <w:pPr>
      <w:spacing w:after="0" w:line="240" w:lineRule="auto"/>
    </w:pPr>
    <w:rPr>
      <w:rFonts w:ascii="Trebuchet MS" w:hAnsi="Trebuchet MS"/>
      <w:sz w:val="20"/>
    </w:rPr>
  </w:style>
  <w:style w:type="character" w:styleId="PageNumber">
    <w:name w:val="page number"/>
    <w:basedOn w:val="DefaultParagraphFont"/>
    <w:rsid w:val="009E0F15"/>
  </w:style>
  <w:style w:type="paragraph" w:styleId="EnvelopeAddress">
    <w:name w:val="envelope address"/>
    <w:basedOn w:val="Normal"/>
    <w:rsid w:val="009E0F15"/>
    <w:pPr>
      <w:framePr w:w="7938" w:h="1985" w:hRule="exact" w:hSpace="141" w:wrap="auto" w:hAnchor="page" w:xAlign="center" w:yAlign="bottom"/>
      <w:spacing w:after="0" w:line="240" w:lineRule="auto"/>
      <w:ind w:left="2835"/>
      <w:jc w:val="left"/>
    </w:pPr>
    <w:rPr>
      <w:rFonts w:ascii="Arial" w:eastAsia="Times New Roman" w:hAnsi="Arial" w:cs="Arial"/>
      <w:bCs/>
      <w:sz w:val="24"/>
      <w:szCs w:val="24"/>
      <w:lang w:eastAsia="fr-FR"/>
    </w:rPr>
  </w:style>
  <w:style w:type="paragraph" w:styleId="EnvelopeReturn">
    <w:name w:val="envelope return"/>
    <w:basedOn w:val="Normal"/>
    <w:rsid w:val="009E0F15"/>
    <w:pPr>
      <w:spacing w:after="0" w:line="240" w:lineRule="auto"/>
      <w:jc w:val="left"/>
    </w:pPr>
    <w:rPr>
      <w:rFonts w:ascii="Arial" w:eastAsia="Times New Roman" w:hAnsi="Arial" w:cs="Arial"/>
      <w:bCs/>
      <w:szCs w:val="20"/>
      <w:lang w:eastAsia="fr-FR"/>
    </w:rPr>
  </w:style>
  <w:style w:type="paragraph" w:styleId="HTMLAddress">
    <w:name w:val="HTML Address"/>
    <w:basedOn w:val="Normal"/>
    <w:link w:val="HTMLAddressChar"/>
    <w:rsid w:val="009E0F15"/>
    <w:pPr>
      <w:spacing w:after="0" w:line="240" w:lineRule="auto"/>
      <w:jc w:val="left"/>
    </w:pPr>
    <w:rPr>
      <w:rFonts w:ascii="Comic Sans MS" w:eastAsia="Times New Roman" w:hAnsi="Comic Sans MS" w:cs="Arial"/>
      <w:bCs/>
      <w:i/>
      <w:iCs/>
      <w:szCs w:val="32"/>
      <w:lang w:eastAsia="fr-FR"/>
    </w:rPr>
  </w:style>
  <w:style w:type="character" w:customStyle="1" w:styleId="HTMLAddressChar">
    <w:name w:val="HTML Address Char"/>
    <w:basedOn w:val="DefaultParagraphFont"/>
    <w:link w:val="HTMLAddress"/>
    <w:rsid w:val="009E0F15"/>
    <w:rPr>
      <w:rFonts w:ascii="Comic Sans MS" w:eastAsia="Times New Roman" w:hAnsi="Comic Sans MS" w:cs="Arial"/>
      <w:bCs/>
      <w:i/>
      <w:iCs/>
      <w:sz w:val="20"/>
      <w:szCs w:val="32"/>
      <w:lang w:eastAsia="fr-FR"/>
    </w:rPr>
  </w:style>
  <w:style w:type="paragraph" w:styleId="BodyText3">
    <w:name w:val="Body Text 3"/>
    <w:basedOn w:val="Normal"/>
    <w:link w:val="BodyText3Char"/>
    <w:rsid w:val="009E0F15"/>
    <w:pPr>
      <w:spacing w:after="120" w:line="240" w:lineRule="auto"/>
      <w:jc w:val="left"/>
    </w:pPr>
    <w:rPr>
      <w:rFonts w:ascii="Comic Sans MS" w:eastAsia="Times New Roman" w:hAnsi="Comic Sans MS" w:cs="Arial"/>
      <w:bCs/>
      <w:sz w:val="16"/>
      <w:szCs w:val="16"/>
      <w:lang w:eastAsia="fr-FR"/>
    </w:rPr>
  </w:style>
  <w:style w:type="character" w:customStyle="1" w:styleId="BodyText3Char">
    <w:name w:val="Body Text 3 Char"/>
    <w:basedOn w:val="DefaultParagraphFont"/>
    <w:link w:val="BodyText3"/>
    <w:rsid w:val="009E0F15"/>
    <w:rPr>
      <w:rFonts w:ascii="Comic Sans MS" w:eastAsia="Times New Roman" w:hAnsi="Comic Sans MS" w:cs="Arial"/>
      <w:bCs/>
      <w:sz w:val="16"/>
      <w:szCs w:val="16"/>
      <w:lang w:eastAsia="fr-FR"/>
    </w:rPr>
  </w:style>
  <w:style w:type="paragraph" w:styleId="Date">
    <w:name w:val="Date"/>
    <w:basedOn w:val="Normal"/>
    <w:next w:val="Normal"/>
    <w:link w:val="DateChar"/>
    <w:rsid w:val="009E0F15"/>
    <w:pPr>
      <w:spacing w:after="0" w:line="240" w:lineRule="auto"/>
      <w:jc w:val="left"/>
    </w:pPr>
    <w:rPr>
      <w:rFonts w:ascii="Comic Sans MS" w:eastAsia="Times New Roman" w:hAnsi="Comic Sans MS" w:cs="Arial"/>
      <w:bCs/>
      <w:szCs w:val="32"/>
      <w:lang w:eastAsia="fr-FR"/>
    </w:rPr>
  </w:style>
  <w:style w:type="character" w:customStyle="1" w:styleId="DateChar">
    <w:name w:val="Date Char"/>
    <w:basedOn w:val="DefaultParagraphFont"/>
    <w:link w:val="Date"/>
    <w:rsid w:val="009E0F15"/>
    <w:rPr>
      <w:rFonts w:ascii="Comic Sans MS" w:eastAsia="Times New Roman" w:hAnsi="Comic Sans MS" w:cs="Arial"/>
      <w:bCs/>
      <w:sz w:val="20"/>
      <w:szCs w:val="32"/>
      <w:lang w:eastAsia="fr-FR"/>
    </w:rPr>
  </w:style>
  <w:style w:type="paragraph" w:styleId="MessageHeader">
    <w:name w:val="Message Header"/>
    <w:basedOn w:val="Normal"/>
    <w:link w:val="MessageHeaderChar"/>
    <w:rsid w:val="009E0F1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Arial" w:eastAsia="Times New Roman" w:hAnsi="Arial" w:cs="Arial"/>
      <w:bCs/>
      <w:sz w:val="24"/>
      <w:szCs w:val="24"/>
      <w:lang w:eastAsia="fr-FR"/>
    </w:rPr>
  </w:style>
  <w:style w:type="character" w:customStyle="1" w:styleId="MessageHeaderChar">
    <w:name w:val="Message Header Char"/>
    <w:basedOn w:val="DefaultParagraphFont"/>
    <w:link w:val="MessageHeader"/>
    <w:rsid w:val="009E0F15"/>
    <w:rPr>
      <w:rFonts w:ascii="Arial" w:eastAsia="Times New Roman" w:hAnsi="Arial" w:cs="Arial"/>
      <w:bCs/>
      <w:sz w:val="24"/>
      <w:szCs w:val="24"/>
      <w:shd w:val="pct20" w:color="auto" w:fill="auto"/>
      <w:lang w:eastAsia="fr-FR"/>
    </w:rPr>
  </w:style>
  <w:style w:type="paragraph" w:styleId="Closing">
    <w:name w:val="Closing"/>
    <w:basedOn w:val="Normal"/>
    <w:link w:val="ClosingChar"/>
    <w:rsid w:val="009E0F15"/>
    <w:pPr>
      <w:spacing w:after="0" w:line="240" w:lineRule="auto"/>
      <w:ind w:left="4252"/>
      <w:jc w:val="left"/>
    </w:pPr>
    <w:rPr>
      <w:rFonts w:ascii="Comic Sans MS" w:eastAsia="Times New Roman" w:hAnsi="Comic Sans MS" w:cs="Arial"/>
      <w:bCs/>
      <w:szCs w:val="32"/>
      <w:lang w:eastAsia="fr-FR"/>
    </w:rPr>
  </w:style>
  <w:style w:type="character" w:customStyle="1" w:styleId="ClosingChar">
    <w:name w:val="Closing Char"/>
    <w:basedOn w:val="DefaultParagraphFont"/>
    <w:link w:val="Closing"/>
    <w:rsid w:val="009E0F15"/>
    <w:rPr>
      <w:rFonts w:ascii="Comic Sans MS" w:eastAsia="Times New Roman" w:hAnsi="Comic Sans MS" w:cs="Arial"/>
      <w:bCs/>
      <w:sz w:val="20"/>
      <w:szCs w:val="32"/>
      <w:lang w:eastAsia="fr-FR"/>
    </w:rPr>
  </w:style>
  <w:style w:type="paragraph" w:styleId="Index1">
    <w:name w:val="index 1"/>
    <w:basedOn w:val="Normal"/>
    <w:next w:val="Normal"/>
    <w:autoRedefine/>
    <w:semiHidden/>
    <w:rsid w:val="009E0F15"/>
    <w:pPr>
      <w:spacing w:after="0" w:line="240" w:lineRule="auto"/>
      <w:ind w:left="200" w:hanging="200"/>
      <w:jc w:val="left"/>
    </w:pPr>
    <w:rPr>
      <w:rFonts w:ascii="Comic Sans MS" w:eastAsia="Times New Roman" w:hAnsi="Comic Sans MS" w:cs="Arial"/>
      <w:bCs/>
      <w:szCs w:val="32"/>
      <w:lang w:eastAsia="fr-FR"/>
    </w:rPr>
  </w:style>
  <w:style w:type="paragraph" w:styleId="Index2">
    <w:name w:val="index 2"/>
    <w:basedOn w:val="Normal"/>
    <w:next w:val="Normal"/>
    <w:autoRedefine/>
    <w:semiHidden/>
    <w:rsid w:val="009E0F15"/>
    <w:pPr>
      <w:spacing w:after="0" w:line="240" w:lineRule="auto"/>
      <w:ind w:left="400" w:hanging="200"/>
      <w:jc w:val="left"/>
    </w:pPr>
    <w:rPr>
      <w:rFonts w:ascii="Comic Sans MS" w:eastAsia="Times New Roman" w:hAnsi="Comic Sans MS" w:cs="Arial"/>
      <w:bCs/>
      <w:szCs w:val="32"/>
      <w:lang w:eastAsia="fr-FR"/>
    </w:rPr>
  </w:style>
  <w:style w:type="paragraph" w:styleId="Index3">
    <w:name w:val="index 3"/>
    <w:basedOn w:val="Normal"/>
    <w:next w:val="Normal"/>
    <w:autoRedefine/>
    <w:semiHidden/>
    <w:rsid w:val="009E0F15"/>
    <w:pPr>
      <w:spacing w:after="0" w:line="240" w:lineRule="auto"/>
      <w:ind w:left="600" w:hanging="200"/>
      <w:jc w:val="left"/>
    </w:pPr>
    <w:rPr>
      <w:rFonts w:ascii="Comic Sans MS" w:eastAsia="Times New Roman" w:hAnsi="Comic Sans MS" w:cs="Arial"/>
      <w:bCs/>
      <w:szCs w:val="32"/>
      <w:lang w:eastAsia="fr-FR"/>
    </w:rPr>
  </w:style>
  <w:style w:type="paragraph" w:styleId="Index4">
    <w:name w:val="index 4"/>
    <w:basedOn w:val="Normal"/>
    <w:next w:val="Normal"/>
    <w:autoRedefine/>
    <w:semiHidden/>
    <w:rsid w:val="009E0F15"/>
    <w:pPr>
      <w:spacing w:after="0" w:line="240" w:lineRule="auto"/>
      <w:ind w:left="800" w:hanging="200"/>
      <w:jc w:val="left"/>
    </w:pPr>
    <w:rPr>
      <w:rFonts w:ascii="Comic Sans MS" w:eastAsia="Times New Roman" w:hAnsi="Comic Sans MS" w:cs="Arial"/>
      <w:bCs/>
      <w:szCs w:val="32"/>
      <w:lang w:eastAsia="fr-FR"/>
    </w:rPr>
  </w:style>
  <w:style w:type="paragraph" w:styleId="Index5">
    <w:name w:val="index 5"/>
    <w:basedOn w:val="Normal"/>
    <w:next w:val="Normal"/>
    <w:autoRedefine/>
    <w:semiHidden/>
    <w:rsid w:val="009E0F15"/>
    <w:pPr>
      <w:spacing w:after="0" w:line="240" w:lineRule="auto"/>
      <w:ind w:left="1000" w:hanging="200"/>
      <w:jc w:val="left"/>
    </w:pPr>
    <w:rPr>
      <w:rFonts w:ascii="Comic Sans MS" w:eastAsia="Times New Roman" w:hAnsi="Comic Sans MS" w:cs="Arial"/>
      <w:bCs/>
      <w:szCs w:val="32"/>
      <w:lang w:eastAsia="fr-FR"/>
    </w:rPr>
  </w:style>
  <w:style w:type="paragraph" w:styleId="Index6">
    <w:name w:val="index 6"/>
    <w:basedOn w:val="Normal"/>
    <w:next w:val="Normal"/>
    <w:autoRedefine/>
    <w:semiHidden/>
    <w:rsid w:val="009E0F15"/>
    <w:pPr>
      <w:spacing w:after="0" w:line="240" w:lineRule="auto"/>
      <w:ind w:left="1200" w:hanging="200"/>
      <w:jc w:val="left"/>
    </w:pPr>
    <w:rPr>
      <w:rFonts w:ascii="Comic Sans MS" w:eastAsia="Times New Roman" w:hAnsi="Comic Sans MS" w:cs="Arial"/>
      <w:bCs/>
      <w:szCs w:val="32"/>
      <w:lang w:eastAsia="fr-FR"/>
    </w:rPr>
  </w:style>
  <w:style w:type="paragraph" w:styleId="Index7">
    <w:name w:val="index 7"/>
    <w:basedOn w:val="Normal"/>
    <w:next w:val="Normal"/>
    <w:autoRedefine/>
    <w:semiHidden/>
    <w:rsid w:val="009E0F15"/>
    <w:pPr>
      <w:spacing w:after="0" w:line="240" w:lineRule="auto"/>
      <w:ind w:left="1400" w:hanging="200"/>
      <w:jc w:val="left"/>
    </w:pPr>
    <w:rPr>
      <w:rFonts w:ascii="Comic Sans MS" w:eastAsia="Times New Roman" w:hAnsi="Comic Sans MS" w:cs="Arial"/>
      <w:bCs/>
      <w:szCs w:val="32"/>
      <w:lang w:eastAsia="fr-FR"/>
    </w:rPr>
  </w:style>
  <w:style w:type="paragraph" w:styleId="Index8">
    <w:name w:val="index 8"/>
    <w:basedOn w:val="Normal"/>
    <w:next w:val="Normal"/>
    <w:autoRedefine/>
    <w:semiHidden/>
    <w:rsid w:val="009E0F15"/>
    <w:pPr>
      <w:spacing w:after="0" w:line="240" w:lineRule="auto"/>
      <w:ind w:left="1600" w:hanging="200"/>
      <w:jc w:val="left"/>
    </w:pPr>
    <w:rPr>
      <w:rFonts w:ascii="Comic Sans MS" w:eastAsia="Times New Roman" w:hAnsi="Comic Sans MS" w:cs="Arial"/>
      <w:bCs/>
      <w:szCs w:val="32"/>
      <w:lang w:eastAsia="fr-FR"/>
    </w:rPr>
  </w:style>
  <w:style w:type="paragraph" w:styleId="Index9">
    <w:name w:val="index 9"/>
    <w:basedOn w:val="Normal"/>
    <w:next w:val="Normal"/>
    <w:autoRedefine/>
    <w:semiHidden/>
    <w:rsid w:val="009E0F15"/>
    <w:pPr>
      <w:spacing w:after="0" w:line="240" w:lineRule="auto"/>
      <w:ind w:left="1800" w:hanging="200"/>
      <w:jc w:val="left"/>
    </w:pPr>
    <w:rPr>
      <w:rFonts w:ascii="Comic Sans MS" w:eastAsia="Times New Roman" w:hAnsi="Comic Sans MS" w:cs="Arial"/>
      <w:bCs/>
      <w:szCs w:val="32"/>
      <w:lang w:eastAsia="fr-FR"/>
    </w:rPr>
  </w:style>
  <w:style w:type="paragraph" w:styleId="List">
    <w:name w:val="List"/>
    <w:basedOn w:val="Normal"/>
    <w:rsid w:val="009E0F15"/>
    <w:pPr>
      <w:spacing w:after="0" w:line="240" w:lineRule="auto"/>
      <w:ind w:left="283" w:hanging="283"/>
      <w:jc w:val="left"/>
    </w:pPr>
    <w:rPr>
      <w:rFonts w:ascii="Comic Sans MS" w:eastAsia="Times New Roman" w:hAnsi="Comic Sans MS" w:cs="Arial"/>
      <w:bCs/>
      <w:szCs w:val="32"/>
      <w:lang w:eastAsia="fr-FR"/>
    </w:rPr>
  </w:style>
  <w:style w:type="paragraph" w:styleId="List2">
    <w:name w:val="List 2"/>
    <w:basedOn w:val="Normal"/>
    <w:rsid w:val="009E0F15"/>
    <w:pPr>
      <w:spacing w:after="0" w:line="240" w:lineRule="auto"/>
      <w:ind w:left="566" w:hanging="283"/>
      <w:jc w:val="left"/>
    </w:pPr>
    <w:rPr>
      <w:rFonts w:ascii="Comic Sans MS" w:eastAsia="Times New Roman" w:hAnsi="Comic Sans MS" w:cs="Arial"/>
      <w:bCs/>
      <w:szCs w:val="32"/>
      <w:lang w:eastAsia="fr-FR"/>
    </w:rPr>
  </w:style>
  <w:style w:type="paragraph" w:styleId="List3">
    <w:name w:val="List 3"/>
    <w:basedOn w:val="Normal"/>
    <w:rsid w:val="009E0F15"/>
    <w:pPr>
      <w:spacing w:after="0" w:line="240" w:lineRule="auto"/>
      <w:ind w:left="849" w:hanging="283"/>
      <w:jc w:val="left"/>
    </w:pPr>
    <w:rPr>
      <w:rFonts w:ascii="Comic Sans MS" w:eastAsia="Times New Roman" w:hAnsi="Comic Sans MS" w:cs="Arial"/>
      <w:bCs/>
      <w:szCs w:val="32"/>
      <w:lang w:eastAsia="fr-FR"/>
    </w:rPr>
  </w:style>
  <w:style w:type="paragraph" w:styleId="List4">
    <w:name w:val="List 4"/>
    <w:basedOn w:val="Normal"/>
    <w:rsid w:val="009E0F15"/>
    <w:pPr>
      <w:spacing w:after="0" w:line="240" w:lineRule="auto"/>
      <w:ind w:left="1132" w:hanging="283"/>
      <w:jc w:val="left"/>
    </w:pPr>
    <w:rPr>
      <w:rFonts w:ascii="Comic Sans MS" w:eastAsia="Times New Roman" w:hAnsi="Comic Sans MS" w:cs="Arial"/>
      <w:bCs/>
      <w:szCs w:val="32"/>
      <w:lang w:eastAsia="fr-FR"/>
    </w:rPr>
  </w:style>
  <w:style w:type="paragraph" w:styleId="List5">
    <w:name w:val="List 5"/>
    <w:basedOn w:val="Normal"/>
    <w:rsid w:val="009E0F15"/>
    <w:pPr>
      <w:spacing w:after="0" w:line="240" w:lineRule="auto"/>
      <w:ind w:left="1415" w:hanging="283"/>
      <w:jc w:val="left"/>
    </w:pPr>
    <w:rPr>
      <w:rFonts w:ascii="Comic Sans MS" w:eastAsia="Times New Roman" w:hAnsi="Comic Sans MS" w:cs="Arial"/>
      <w:bCs/>
      <w:szCs w:val="32"/>
      <w:lang w:eastAsia="fr-FR"/>
    </w:rPr>
  </w:style>
  <w:style w:type="paragraph" w:styleId="ListNumber2">
    <w:name w:val="List Number 2"/>
    <w:basedOn w:val="Normal"/>
    <w:rsid w:val="009E0F15"/>
    <w:pPr>
      <w:numPr>
        <w:numId w:val="3"/>
      </w:numPr>
      <w:spacing w:after="0" w:line="240" w:lineRule="auto"/>
      <w:jc w:val="left"/>
    </w:pPr>
    <w:rPr>
      <w:rFonts w:ascii="Comic Sans MS" w:eastAsia="Times New Roman" w:hAnsi="Comic Sans MS" w:cs="Arial"/>
      <w:bCs/>
      <w:szCs w:val="32"/>
      <w:lang w:eastAsia="fr-FR"/>
    </w:rPr>
  </w:style>
  <w:style w:type="paragraph" w:styleId="ListNumber3">
    <w:name w:val="List Number 3"/>
    <w:basedOn w:val="Normal"/>
    <w:rsid w:val="009E0F15"/>
    <w:pPr>
      <w:numPr>
        <w:numId w:val="4"/>
      </w:numPr>
      <w:spacing w:after="0" w:line="240" w:lineRule="auto"/>
      <w:jc w:val="left"/>
    </w:pPr>
    <w:rPr>
      <w:rFonts w:ascii="Comic Sans MS" w:eastAsia="Times New Roman" w:hAnsi="Comic Sans MS" w:cs="Arial"/>
      <w:bCs/>
      <w:szCs w:val="32"/>
      <w:lang w:eastAsia="fr-FR"/>
    </w:rPr>
  </w:style>
  <w:style w:type="paragraph" w:styleId="ListNumber4">
    <w:name w:val="List Number 4"/>
    <w:basedOn w:val="Normal"/>
    <w:rsid w:val="009E0F15"/>
    <w:pPr>
      <w:numPr>
        <w:numId w:val="5"/>
      </w:numPr>
      <w:spacing w:after="0" w:line="240" w:lineRule="auto"/>
      <w:jc w:val="left"/>
    </w:pPr>
    <w:rPr>
      <w:rFonts w:ascii="Comic Sans MS" w:eastAsia="Times New Roman" w:hAnsi="Comic Sans MS" w:cs="Arial"/>
      <w:bCs/>
      <w:szCs w:val="32"/>
      <w:lang w:eastAsia="fr-FR"/>
    </w:rPr>
  </w:style>
  <w:style w:type="paragraph" w:styleId="ListNumber5">
    <w:name w:val="List Number 5"/>
    <w:basedOn w:val="Normal"/>
    <w:rsid w:val="009E0F15"/>
    <w:pPr>
      <w:numPr>
        <w:numId w:val="6"/>
      </w:numPr>
      <w:spacing w:after="0" w:line="240" w:lineRule="auto"/>
      <w:jc w:val="left"/>
    </w:pPr>
    <w:rPr>
      <w:rFonts w:ascii="Comic Sans MS" w:eastAsia="Times New Roman" w:hAnsi="Comic Sans MS" w:cs="Arial"/>
      <w:bCs/>
      <w:szCs w:val="32"/>
      <w:lang w:eastAsia="fr-FR"/>
    </w:rPr>
  </w:style>
  <w:style w:type="paragraph" w:styleId="ListBullet">
    <w:name w:val="List Bullet"/>
    <w:basedOn w:val="Normal"/>
    <w:autoRedefine/>
    <w:rsid w:val="009E0F15"/>
    <w:pPr>
      <w:numPr>
        <w:numId w:val="7"/>
      </w:numPr>
      <w:spacing w:after="0" w:line="240" w:lineRule="auto"/>
      <w:jc w:val="left"/>
    </w:pPr>
    <w:rPr>
      <w:rFonts w:ascii="Comic Sans MS" w:eastAsia="Times New Roman" w:hAnsi="Comic Sans MS" w:cs="Arial"/>
      <w:bCs/>
      <w:szCs w:val="32"/>
      <w:lang w:eastAsia="fr-FR"/>
    </w:rPr>
  </w:style>
  <w:style w:type="paragraph" w:styleId="ListBullet2">
    <w:name w:val="List Bullet 2"/>
    <w:basedOn w:val="Normal"/>
    <w:autoRedefine/>
    <w:rsid w:val="009E0F15"/>
    <w:pPr>
      <w:numPr>
        <w:numId w:val="8"/>
      </w:numPr>
      <w:spacing w:after="0" w:line="240" w:lineRule="auto"/>
      <w:jc w:val="left"/>
    </w:pPr>
    <w:rPr>
      <w:rFonts w:ascii="Comic Sans MS" w:eastAsia="Times New Roman" w:hAnsi="Comic Sans MS" w:cs="Arial"/>
      <w:bCs/>
      <w:szCs w:val="32"/>
      <w:lang w:eastAsia="fr-FR"/>
    </w:rPr>
  </w:style>
  <w:style w:type="paragraph" w:styleId="ListBullet3">
    <w:name w:val="List Bullet 3"/>
    <w:basedOn w:val="Normal"/>
    <w:autoRedefine/>
    <w:rsid w:val="009E0F15"/>
    <w:pPr>
      <w:numPr>
        <w:numId w:val="9"/>
      </w:numPr>
      <w:spacing w:after="0" w:line="240" w:lineRule="auto"/>
      <w:jc w:val="left"/>
    </w:pPr>
    <w:rPr>
      <w:rFonts w:ascii="Comic Sans MS" w:eastAsia="Times New Roman" w:hAnsi="Comic Sans MS" w:cs="Arial"/>
      <w:bCs/>
      <w:szCs w:val="32"/>
      <w:lang w:eastAsia="fr-FR"/>
    </w:rPr>
  </w:style>
  <w:style w:type="paragraph" w:styleId="ListBullet4">
    <w:name w:val="List Bullet 4"/>
    <w:basedOn w:val="Normal"/>
    <w:autoRedefine/>
    <w:rsid w:val="009E0F15"/>
    <w:pPr>
      <w:numPr>
        <w:numId w:val="10"/>
      </w:numPr>
      <w:spacing w:after="0" w:line="240" w:lineRule="auto"/>
      <w:jc w:val="left"/>
    </w:pPr>
    <w:rPr>
      <w:rFonts w:ascii="Comic Sans MS" w:eastAsia="Times New Roman" w:hAnsi="Comic Sans MS" w:cs="Arial"/>
      <w:bCs/>
      <w:szCs w:val="32"/>
      <w:lang w:eastAsia="fr-FR"/>
    </w:rPr>
  </w:style>
  <w:style w:type="paragraph" w:styleId="ListBullet5">
    <w:name w:val="List Bullet 5"/>
    <w:basedOn w:val="Normal"/>
    <w:autoRedefine/>
    <w:rsid w:val="009E0F15"/>
    <w:pPr>
      <w:numPr>
        <w:numId w:val="11"/>
      </w:numPr>
      <w:spacing w:after="0" w:line="240" w:lineRule="auto"/>
      <w:jc w:val="left"/>
    </w:pPr>
    <w:rPr>
      <w:rFonts w:ascii="Comic Sans MS" w:eastAsia="Times New Roman" w:hAnsi="Comic Sans MS" w:cs="Arial"/>
      <w:bCs/>
      <w:szCs w:val="32"/>
      <w:lang w:eastAsia="fr-FR"/>
    </w:rPr>
  </w:style>
  <w:style w:type="paragraph" w:styleId="ListContinue">
    <w:name w:val="List Continue"/>
    <w:basedOn w:val="Normal"/>
    <w:rsid w:val="009E0F15"/>
    <w:pPr>
      <w:spacing w:after="120" w:line="240" w:lineRule="auto"/>
      <w:ind w:left="283"/>
      <w:jc w:val="left"/>
    </w:pPr>
    <w:rPr>
      <w:rFonts w:ascii="Comic Sans MS" w:eastAsia="Times New Roman" w:hAnsi="Comic Sans MS" w:cs="Arial"/>
      <w:bCs/>
      <w:szCs w:val="32"/>
      <w:lang w:eastAsia="fr-FR"/>
    </w:rPr>
  </w:style>
  <w:style w:type="paragraph" w:styleId="ListContinue2">
    <w:name w:val="List Continue 2"/>
    <w:basedOn w:val="Normal"/>
    <w:rsid w:val="009E0F15"/>
    <w:pPr>
      <w:spacing w:after="120" w:line="240" w:lineRule="auto"/>
      <w:ind w:left="566"/>
      <w:jc w:val="left"/>
    </w:pPr>
    <w:rPr>
      <w:rFonts w:ascii="Comic Sans MS" w:eastAsia="Times New Roman" w:hAnsi="Comic Sans MS" w:cs="Arial"/>
      <w:bCs/>
      <w:szCs w:val="32"/>
      <w:lang w:eastAsia="fr-FR"/>
    </w:rPr>
  </w:style>
  <w:style w:type="paragraph" w:styleId="ListContinue3">
    <w:name w:val="List Continue 3"/>
    <w:basedOn w:val="Normal"/>
    <w:rsid w:val="009E0F15"/>
    <w:pPr>
      <w:spacing w:after="120" w:line="240" w:lineRule="auto"/>
      <w:ind w:left="849"/>
      <w:jc w:val="left"/>
    </w:pPr>
    <w:rPr>
      <w:rFonts w:ascii="Comic Sans MS" w:eastAsia="Times New Roman" w:hAnsi="Comic Sans MS" w:cs="Arial"/>
      <w:bCs/>
      <w:szCs w:val="32"/>
      <w:lang w:eastAsia="fr-FR"/>
    </w:rPr>
  </w:style>
  <w:style w:type="paragraph" w:styleId="ListContinue4">
    <w:name w:val="List Continue 4"/>
    <w:basedOn w:val="Normal"/>
    <w:rsid w:val="009E0F15"/>
    <w:pPr>
      <w:spacing w:after="120" w:line="240" w:lineRule="auto"/>
      <w:ind w:left="1132"/>
      <w:jc w:val="left"/>
    </w:pPr>
    <w:rPr>
      <w:rFonts w:ascii="Comic Sans MS" w:eastAsia="Times New Roman" w:hAnsi="Comic Sans MS" w:cs="Arial"/>
      <w:bCs/>
      <w:szCs w:val="32"/>
      <w:lang w:eastAsia="fr-FR"/>
    </w:rPr>
  </w:style>
  <w:style w:type="paragraph" w:styleId="ListContinue5">
    <w:name w:val="List Continue 5"/>
    <w:basedOn w:val="Normal"/>
    <w:rsid w:val="009E0F15"/>
    <w:pPr>
      <w:spacing w:after="120" w:line="240" w:lineRule="auto"/>
      <w:ind w:left="1415"/>
      <w:jc w:val="left"/>
    </w:pPr>
    <w:rPr>
      <w:rFonts w:ascii="Comic Sans MS" w:eastAsia="Times New Roman" w:hAnsi="Comic Sans MS" w:cs="Arial"/>
      <w:bCs/>
      <w:szCs w:val="32"/>
      <w:lang w:eastAsia="fr-FR"/>
    </w:rPr>
  </w:style>
  <w:style w:type="paragraph" w:styleId="BlockText">
    <w:name w:val="Block Text"/>
    <w:basedOn w:val="Normal"/>
    <w:rsid w:val="009E0F15"/>
    <w:pPr>
      <w:spacing w:after="120" w:line="240" w:lineRule="auto"/>
      <w:ind w:left="1440" w:right="1440"/>
      <w:jc w:val="left"/>
    </w:pPr>
    <w:rPr>
      <w:rFonts w:ascii="Comic Sans MS" w:eastAsia="Times New Roman" w:hAnsi="Comic Sans MS" w:cs="Arial"/>
      <w:bCs/>
      <w:szCs w:val="32"/>
      <w:lang w:eastAsia="fr-FR"/>
    </w:rPr>
  </w:style>
  <w:style w:type="paragraph" w:styleId="BodyTextFirstIndent">
    <w:name w:val="Body Text First Indent"/>
    <w:basedOn w:val="BodyText"/>
    <w:link w:val="BodyTextFirstIndentChar"/>
    <w:rsid w:val="009E0F15"/>
    <w:pPr>
      <w:spacing w:line="240" w:lineRule="auto"/>
      <w:ind w:firstLine="210"/>
      <w:jc w:val="left"/>
    </w:pPr>
    <w:rPr>
      <w:rFonts w:ascii="Comic Sans MS" w:eastAsia="Times New Roman" w:hAnsi="Comic Sans MS" w:cs="Arial"/>
      <w:bCs/>
      <w:szCs w:val="32"/>
      <w:lang w:eastAsia="fr-FR"/>
    </w:rPr>
  </w:style>
  <w:style w:type="character" w:customStyle="1" w:styleId="BodyTextFirstIndentChar">
    <w:name w:val="Body Text First Indent Char"/>
    <w:basedOn w:val="BodyTextChar"/>
    <w:link w:val="BodyTextFirstIndent"/>
    <w:rsid w:val="009E0F15"/>
    <w:rPr>
      <w:rFonts w:ascii="Comic Sans MS" w:eastAsia="Times New Roman" w:hAnsi="Comic Sans MS" w:cs="Arial"/>
      <w:bCs/>
      <w:sz w:val="20"/>
      <w:szCs w:val="32"/>
      <w:lang w:val="en-GB" w:eastAsia="fr-FR"/>
    </w:rPr>
  </w:style>
  <w:style w:type="paragraph" w:styleId="BodyTextFirstIndent2">
    <w:name w:val="Body Text First Indent 2"/>
    <w:basedOn w:val="BodyTextIndent"/>
    <w:link w:val="BodyTextFirstIndent2Char"/>
    <w:rsid w:val="009E0F15"/>
    <w:pPr>
      <w:spacing w:before="0"/>
      <w:ind w:firstLine="210"/>
      <w:jc w:val="left"/>
    </w:pPr>
    <w:rPr>
      <w:rFonts w:ascii="Comic Sans MS" w:hAnsi="Comic Sans MS" w:cs="Arial"/>
      <w:bCs/>
      <w:sz w:val="20"/>
      <w:szCs w:val="32"/>
    </w:rPr>
  </w:style>
  <w:style w:type="character" w:customStyle="1" w:styleId="BodyTextFirstIndent2Char">
    <w:name w:val="Body Text First Indent 2 Char"/>
    <w:basedOn w:val="BodyTextIndentChar"/>
    <w:link w:val="BodyTextFirstIndent2"/>
    <w:rsid w:val="009E0F15"/>
    <w:rPr>
      <w:rFonts w:ascii="Comic Sans MS" w:eastAsia="Times New Roman" w:hAnsi="Comic Sans MS" w:cs="Arial"/>
      <w:bCs/>
      <w:sz w:val="20"/>
      <w:szCs w:val="32"/>
      <w:lang w:eastAsia="fr-FR"/>
    </w:rPr>
  </w:style>
  <w:style w:type="paragraph" w:styleId="NormalIndent">
    <w:name w:val="Normal Indent"/>
    <w:basedOn w:val="Normal"/>
    <w:rsid w:val="009E0F15"/>
    <w:pPr>
      <w:spacing w:after="0" w:line="240" w:lineRule="auto"/>
      <w:ind w:left="708"/>
      <w:jc w:val="left"/>
    </w:pPr>
    <w:rPr>
      <w:rFonts w:ascii="Comic Sans MS" w:eastAsia="Times New Roman" w:hAnsi="Comic Sans MS" w:cs="Arial"/>
      <w:bCs/>
      <w:szCs w:val="32"/>
      <w:lang w:eastAsia="fr-FR"/>
    </w:rPr>
  </w:style>
  <w:style w:type="paragraph" w:styleId="Salutation">
    <w:name w:val="Salutation"/>
    <w:basedOn w:val="Normal"/>
    <w:next w:val="Normal"/>
    <w:link w:val="SalutationChar"/>
    <w:rsid w:val="009E0F15"/>
    <w:pPr>
      <w:spacing w:after="0" w:line="240" w:lineRule="auto"/>
      <w:jc w:val="left"/>
    </w:pPr>
    <w:rPr>
      <w:rFonts w:ascii="Comic Sans MS" w:eastAsia="Times New Roman" w:hAnsi="Comic Sans MS" w:cs="Arial"/>
      <w:bCs/>
      <w:szCs w:val="32"/>
      <w:lang w:eastAsia="fr-FR"/>
    </w:rPr>
  </w:style>
  <w:style w:type="character" w:customStyle="1" w:styleId="SalutationChar">
    <w:name w:val="Salutation Char"/>
    <w:basedOn w:val="DefaultParagraphFont"/>
    <w:link w:val="Salutation"/>
    <w:rsid w:val="009E0F15"/>
    <w:rPr>
      <w:rFonts w:ascii="Comic Sans MS" w:eastAsia="Times New Roman" w:hAnsi="Comic Sans MS" w:cs="Arial"/>
      <w:bCs/>
      <w:sz w:val="20"/>
      <w:szCs w:val="32"/>
      <w:lang w:eastAsia="fr-FR"/>
    </w:rPr>
  </w:style>
  <w:style w:type="paragraph" w:styleId="Signature">
    <w:name w:val="Signature"/>
    <w:basedOn w:val="Normal"/>
    <w:link w:val="SignatureChar"/>
    <w:rsid w:val="009E0F15"/>
    <w:pPr>
      <w:spacing w:after="0" w:line="240" w:lineRule="auto"/>
      <w:ind w:left="4252"/>
      <w:jc w:val="left"/>
    </w:pPr>
    <w:rPr>
      <w:rFonts w:ascii="Comic Sans MS" w:eastAsia="Times New Roman" w:hAnsi="Comic Sans MS" w:cs="Arial"/>
      <w:bCs/>
      <w:szCs w:val="32"/>
      <w:lang w:eastAsia="fr-FR"/>
    </w:rPr>
  </w:style>
  <w:style w:type="character" w:customStyle="1" w:styleId="SignatureChar">
    <w:name w:val="Signature Char"/>
    <w:basedOn w:val="DefaultParagraphFont"/>
    <w:link w:val="Signature"/>
    <w:rsid w:val="009E0F15"/>
    <w:rPr>
      <w:rFonts w:ascii="Comic Sans MS" w:eastAsia="Times New Roman" w:hAnsi="Comic Sans MS" w:cs="Arial"/>
      <w:bCs/>
      <w:sz w:val="20"/>
      <w:szCs w:val="32"/>
      <w:lang w:eastAsia="fr-FR"/>
    </w:rPr>
  </w:style>
  <w:style w:type="paragraph" w:styleId="E-mailSignature">
    <w:name w:val="E-mail Signature"/>
    <w:basedOn w:val="Normal"/>
    <w:link w:val="E-mailSignatureChar"/>
    <w:rsid w:val="009E0F15"/>
    <w:pPr>
      <w:spacing w:after="0" w:line="240" w:lineRule="auto"/>
      <w:jc w:val="left"/>
    </w:pPr>
    <w:rPr>
      <w:rFonts w:ascii="Comic Sans MS" w:eastAsia="Times New Roman" w:hAnsi="Comic Sans MS" w:cs="Arial"/>
      <w:bCs/>
      <w:szCs w:val="32"/>
      <w:lang w:eastAsia="fr-FR"/>
    </w:rPr>
  </w:style>
  <w:style w:type="character" w:customStyle="1" w:styleId="E-mailSignatureChar">
    <w:name w:val="E-mail Signature Char"/>
    <w:basedOn w:val="DefaultParagraphFont"/>
    <w:link w:val="E-mailSignature"/>
    <w:rsid w:val="009E0F15"/>
    <w:rPr>
      <w:rFonts w:ascii="Comic Sans MS" w:eastAsia="Times New Roman" w:hAnsi="Comic Sans MS" w:cs="Arial"/>
      <w:bCs/>
      <w:sz w:val="20"/>
      <w:szCs w:val="32"/>
      <w:lang w:eastAsia="fr-FR"/>
    </w:rPr>
  </w:style>
  <w:style w:type="paragraph" w:styleId="TableofAuthorities">
    <w:name w:val="table of authorities"/>
    <w:basedOn w:val="Normal"/>
    <w:next w:val="Normal"/>
    <w:semiHidden/>
    <w:rsid w:val="009E0F15"/>
    <w:pPr>
      <w:spacing w:after="0" w:line="240" w:lineRule="auto"/>
      <w:ind w:left="200" w:hanging="200"/>
      <w:jc w:val="left"/>
    </w:pPr>
    <w:rPr>
      <w:rFonts w:ascii="Comic Sans MS" w:eastAsia="Times New Roman" w:hAnsi="Comic Sans MS" w:cs="Arial"/>
      <w:bCs/>
      <w:szCs w:val="32"/>
      <w:lang w:eastAsia="fr-FR"/>
    </w:rPr>
  </w:style>
  <w:style w:type="paragraph" w:styleId="MacroText">
    <w:name w:val="macro"/>
    <w:link w:val="MacroTextChar"/>
    <w:semiHidden/>
    <w:rsid w:val="009E0F1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bCs/>
      <w:sz w:val="20"/>
      <w:szCs w:val="20"/>
      <w:lang w:eastAsia="fr-FR"/>
    </w:rPr>
  </w:style>
  <w:style w:type="character" w:customStyle="1" w:styleId="MacroTextChar">
    <w:name w:val="Macro Text Char"/>
    <w:basedOn w:val="DefaultParagraphFont"/>
    <w:link w:val="MacroText"/>
    <w:semiHidden/>
    <w:rsid w:val="009E0F15"/>
    <w:rPr>
      <w:rFonts w:ascii="Courier New" w:eastAsia="Times New Roman" w:hAnsi="Courier New" w:cs="Courier New"/>
      <w:bCs/>
      <w:sz w:val="20"/>
      <w:szCs w:val="20"/>
      <w:lang w:eastAsia="fr-FR"/>
    </w:rPr>
  </w:style>
  <w:style w:type="paragraph" w:styleId="NoteHeading">
    <w:name w:val="Note Heading"/>
    <w:basedOn w:val="Normal"/>
    <w:next w:val="Normal"/>
    <w:link w:val="NoteHeadingChar"/>
    <w:rsid w:val="009E0F15"/>
    <w:pPr>
      <w:spacing w:after="0" w:line="240" w:lineRule="auto"/>
      <w:jc w:val="left"/>
    </w:pPr>
    <w:rPr>
      <w:rFonts w:ascii="Comic Sans MS" w:eastAsia="Times New Roman" w:hAnsi="Comic Sans MS" w:cs="Arial"/>
      <w:bCs/>
      <w:szCs w:val="32"/>
      <w:lang w:eastAsia="fr-FR"/>
    </w:rPr>
  </w:style>
  <w:style w:type="character" w:customStyle="1" w:styleId="NoteHeadingChar">
    <w:name w:val="Note Heading Char"/>
    <w:basedOn w:val="DefaultParagraphFont"/>
    <w:link w:val="NoteHeading"/>
    <w:rsid w:val="009E0F15"/>
    <w:rPr>
      <w:rFonts w:ascii="Comic Sans MS" w:eastAsia="Times New Roman" w:hAnsi="Comic Sans MS" w:cs="Arial"/>
      <w:bCs/>
      <w:sz w:val="20"/>
      <w:szCs w:val="32"/>
      <w:lang w:eastAsia="fr-FR"/>
    </w:rPr>
  </w:style>
  <w:style w:type="paragraph" w:styleId="IndexHeading">
    <w:name w:val="index heading"/>
    <w:basedOn w:val="Normal"/>
    <w:next w:val="Index1"/>
    <w:semiHidden/>
    <w:rsid w:val="009E0F15"/>
    <w:pPr>
      <w:spacing w:after="0" w:line="240" w:lineRule="auto"/>
      <w:jc w:val="left"/>
    </w:pPr>
    <w:rPr>
      <w:rFonts w:ascii="Arial" w:eastAsia="Times New Roman" w:hAnsi="Arial" w:cs="Arial"/>
      <w:b/>
      <w:bCs/>
      <w:szCs w:val="32"/>
      <w:lang w:eastAsia="fr-FR"/>
    </w:rPr>
  </w:style>
  <w:style w:type="paragraph" w:styleId="TOAHeading">
    <w:name w:val="toa heading"/>
    <w:basedOn w:val="Normal"/>
    <w:next w:val="Normal"/>
    <w:semiHidden/>
    <w:rsid w:val="009E0F15"/>
    <w:pPr>
      <w:spacing w:before="120" w:after="0" w:line="240" w:lineRule="auto"/>
      <w:jc w:val="left"/>
    </w:pPr>
    <w:rPr>
      <w:rFonts w:ascii="Arial" w:eastAsia="Times New Roman" w:hAnsi="Arial" w:cs="Arial"/>
      <w:b/>
      <w:bCs/>
      <w:sz w:val="24"/>
      <w:szCs w:val="24"/>
      <w:lang w:eastAsia="fr-FR"/>
    </w:rPr>
  </w:style>
  <w:style w:type="paragraph" w:customStyle="1" w:styleId="Rfrences">
    <w:name w:val="Références"/>
    <w:basedOn w:val="Normal"/>
    <w:autoRedefine/>
    <w:rsid w:val="009E0F15"/>
    <w:pPr>
      <w:spacing w:before="120" w:after="0" w:line="240" w:lineRule="auto"/>
    </w:pPr>
    <w:rPr>
      <w:rFonts w:ascii="Arial" w:eastAsia="Times New Roman" w:hAnsi="Arial" w:cs="Times New Roman"/>
      <w:bCs/>
      <w:iCs/>
      <w:sz w:val="22"/>
      <w:lang w:eastAsia="fr-FR"/>
    </w:rPr>
  </w:style>
  <w:style w:type="character" w:styleId="Emphasis">
    <w:name w:val="Emphasis"/>
    <w:basedOn w:val="DefaultParagraphFont"/>
    <w:uiPriority w:val="20"/>
    <w:qFormat/>
    <w:rsid w:val="009E0F15"/>
    <w:rPr>
      <w:b/>
      <w:bCs/>
      <w:i w:val="0"/>
      <w:iCs w:val="0"/>
    </w:rPr>
  </w:style>
  <w:style w:type="character" w:customStyle="1" w:styleId="spipsurligne">
    <w:name w:val="spip_surligne"/>
    <w:basedOn w:val="DefaultParagraphFont"/>
    <w:rsid w:val="009E0F15"/>
  </w:style>
  <w:style w:type="character" w:customStyle="1" w:styleId="apple-converted-space">
    <w:name w:val="apple-converted-space"/>
    <w:rsid w:val="008B6E2A"/>
  </w:style>
  <w:style w:type="paragraph" w:customStyle="1" w:styleId="OMINEA1b">
    <w:name w:val="OMINEA 1b"/>
    <w:basedOn w:val="OMINEA1"/>
    <w:link w:val="OMINEA1bCar"/>
    <w:rsid w:val="008B6E2A"/>
    <w:pPr>
      <w:numPr>
        <w:numId w:val="12"/>
      </w:numPr>
      <w:ind w:left="284" w:hanging="284"/>
    </w:pPr>
  </w:style>
  <w:style w:type="character" w:customStyle="1" w:styleId="OMINEA1bCar">
    <w:name w:val="OMINEA 1b Car"/>
    <w:basedOn w:val="OMINEA1Car"/>
    <w:link w:val="OMINEA1b"/>
    <w:rsid w:val="008B6E2A"/>
    <w:rPr>
      <w:rFonts w:ascii="Trebuchet MS" w:hAnsi="Trebuchet MS"/>
      <w:b/>
      <w:i/>
      <w:sz w:val="20"/>
      <w:szCs w:val="20"/>
      <w:lang w:val="en-GB"/>
    </w:rPr>
  </w:style>
  <w:style w:type="character" w:customStyle="1" w:styleId="TextedebullesCar1">
    <w:name w:val="Texte de bulles Car1"/>
    <w:basedOn w:val="DefaultParagraphFont"/>
    <w:uiPriority w:val="99"/>
    <w:semiHidden/>
    <w:rsid w:val="00F63694"/>
    <w:rPr>
      <w:rFonts w:ascii="Tahoma" w:hAnsi="Tahoma" w:cs="Tahoma"/>
      <w:sz w:val="16"/>
      <w:szCs w:val="16"/>
    </w:rPr>
  </w:style>
  <w:style w:type="character" w:customStyle="1" w:styleId="NotedefinCar1">
    <w:name w:val="Note de fin Car1"/>
    <w:basedOn w:val="DefaultParagraphFont"/>
    <w:uiPriority w:val="99"/>
    <w:semiHidden/>
    <w:rsid w:val="00F63694"/>
    <w:rPr>
      <w:rFonts w:ascii="Trebuchet MS" w:hAnsi="Trebuchet MS"/>
      <w:sz w:val="20"/>
      <w:szCs w:val="20"/>
    </w:rPr>
  </w:style>
  <w:style w:type="character" w:customStyle="1" w:styleId="CommentaireCar1">
    <w:name w:val="Commentaire Car1"/>
    <w:basedOn w:val="DefaultParagraphFont"/>
    <w:uiPriority w:val="99"/>
    <w:semiHidden/>
    <w:rsid w:val="00F63694"/>
    <w:rPr>
      <w:rFonts w:ascii="Trebuchet MS" w:hAnsi="Trebuchet MS"/>
      <w:sz w:val="20"/>
      <w:szCs w:val="20"/>
    </w:rPr>
  </w:style>
  <w:style w:type="character" w:customStyle="1" w:styleId="ObjetducommentaireCar1">
    <w:name w:val="Objet du commentaire Car1"/>
    <w:basedOn w:val="CommentaireCar1"/>
    <w:uiPriority w:val="99"/>
    <w:semiHidden/>
    <w:rsid w:val="00F63694"/>
    <w:rPr>
      <w:rFonts w:ascii="Trebuchet MS" w:hAnsi="Trebuchet MS"/>
      <w:b/>
      <w:bCs/>
      <w:sz w:val="20"/>
      <w:szCs w:val="20"/>
    </w:rPr>
  </w:style>
  <w:style w:type="character" w:customStyle="1" w:styleId="RetraitcorpsdetexteCar1">
    <w:name w:val="Retrait corps de texte Car1"/>
    <w:basedOn w:val="DefaultParagraphFont"/>
    <w:uiPriority w:val="99"/>
    <w:semiHidden/>
    <w:rsid w:val="00F63694"/>
    <w:rPr>
      <w:rFonts w:ascii="Trebuchet MS" w:hAnsi="Trebuchet MS"/>
      <w:sz w:val="20"/>
    </w:rPr>
  </w:style>
  <w:style w:type="character" w:customStyle="1" w:styleId="Retraitcorpsdetexte2Car1">
    <w:name w:val="Retrait corps de texte 2 Car1"/>
    <w:basedOn w:val="DefaultParagraphFont"/>
    <w:uiPriority w:val="99"/>
    <w:semiHidden/>
    <w:rsid w:val="00F63694"/>
    <w:rPr>
      <w:rFonts w:ascii="Trebuchet MS" w:hAnsi="Trebuchet MS"/>
      <w:sz w:val="20"/>
    </w:rPr>
  </w:style>
  <w:style w:type="character" w:customStyle="1" w:styleId="Corpsdetexte2Car1">
    <w:name w:val="Corps de texte 2 Car1"/>
    <w:basedOn w:val="DefaultParagraphFont"/>
    <w:uiPriority w:val="99"/>
    <w:semiHidden/>
    <w:rsid w:val="00F63694"/>
    <w:rPr>
      <w:rFonts w:ascii="Trebuchet MS" w:hAnsi="Trebuchet MS"/>
      <w:sz w:val="20"/>
    </w:rPr>
  </w:style>
  <w:style w:type="character" w:customStyle="1" w:styleId="TextebrutCar1">
    <w:name w:val="Texte brut Car1"/>
    <w:basedOn w:val="DefaultParagraphFont"/>
    <w:uiPriority w:val="99"/>
    <w:semiHidden/>
    <w:rsid w:val="00F63694"/>
    <w:rPr>
      <w:rFonts w:ascii="Consolas" w:hAnsi="Consolas" w:cs="Consolas"/>
      <w:sz w:val="21"/>
      <w:szCs w:val="21"/>
    </w:rPr>
  </w:style>
  <w:style w:type="character" w:customStyle="1" w:styleId="PrformatHTMLCar1">
    <w:name w:val="Préformaté HTML Car1"/>
    <w:basedOn w:val="DefaultParagraphFont"/>
    <w:uiPriority w:val="99"/>
    <w:semiHidden/>
    <w:rsid w:val="00F63694"/>
    <w:rPr>
      <w:rFonts w:ascii="Consolas" w:hAnsi="Consolas" w:cs="Consolas"/>
      <w:sz w:val="20"/>
      <w:szCs w:val="20"/>
    </w:rPr>
  </w:style>
  <w:style w:type="character" w:customStyle="1" w:styleId="st">
    <w:name w:val="st"/>
    <w:basedOn w:val="DefaultParagraphFont"/>
    <w:rsid w:val="00F63694"/>
  </w:style>
  <w:style w:type="character" w:customStyle="1" w:styleId="WW8Num22z1">
    <w:name w:val="WW8Num22z1"/>
    <w:rsid w:val="00797863"/>
    <w:rPr>
      <w:rFonts w:ascii="OpenSymbol" w:hAnsi="OpenSymbol" w:cs="OpenSymbol"/>
    </w:rPr>
  </w:style>
  <w:style w:type="character" w:customStyle="1" w:styleId="Appelnotedebasdep2">
    <w:name w:val="Appel note de bas de p.2"/>
    <w:rsid w:val="00797863"/>
    <w:rPr>
      <w:vertAlign w:val="superscript"/>
    </w:rPr>
  </w:style>
  <w:style w:type="paragraph" w:customStyle="1" w:styleId="FAR09Noir">
    <w:name w:val="FAR09Noir"/>
    <w:basedOn w:val="Normal"/>
    <w:rsid w:val="00797863"/>
    <w:pPr>
      <w:suppressAutoHyphens/>
      <w:spacing w:before="20" w:after="20" w:line="240" w:lineRule="atLeast"/>
    </w:pPr>
    <w:rPr>
      <w:rFonts w:ascii="Arial" w:eastAsia="Times New Roman" w:hAnsi="Arial" w:cs="Arial"/>
      <w:spacing w:val="4"/>
      <w:sz w:val="18"/>
      <w:szCs w:val="18"/>
      <w:lang w:eastAsia="zh-CN"/>
    </w:rPr>
  </w:style>
  <w:style w:type="paragraph" w:customStyle="1" w:styleId="western">
    <w:name w:val="western"/>
    <w:basedOn w:val="Normal"/>
    <w:rsid w:val="00FC1391"/>
    <w:pPr>
      <w:spacing w:before="119" w:after="0" w:line="240" w:lineRule="auto"/>
    </w:pPr>
    <w:rPr>
      <w:rFonts w:ascii="Arial" w:eastAsia="Times New Roman" w:hAnsi="Arial" w:cs="Arial"/>
      <w:color w:val="000000"/>
      <w:szCs w:val="20"/>
      <w:lang w:eastAsia="zh-CN"/>
    </w:rPr>
  </w:style>
  <w:style w:type="paragraph" w:customStyle="1" w:styleId="BodyText2006GL">
    <w:name w:val="Body Text 2006GL"/>
    <w:basedOn w:val="Normal"/>
    <w:link w:val="BodyText2006GLChar5"/>
    <w:rsid w:val="0082665C"/>
    <w:pPr>
      <w:spacing w:after="120" w:line="240" w:lineRule="auto"/>
    </w:pPr>
    <w:rPr>
      <w:rFonts w:ascii="Times New Roman" w:eastAsia="Times New Roman" w:hAnsi="Times New Roman" w:cs="Times New Roman"/>
      <w:szCs w:val="20"/>
      <w:lang w:eastAsia="zh-CN"/>
    </w:rPr>
  </w:style>
  <w:style w:type="character" w:customStyle="1" w:styleId="BodyText2006GLChar5">
    <w:name w:val="Body Text 2006GL Char5"/>
    <w:basedOn w:val="DefaultParagraphFont"/>
    <w:link w:val="BodyText2006GL"/>
    <w:rsid w:val="0082665C"/>
    <w:rPr>
      <w:rFonts w:ascii="Times New Roman" w:eastAsia="Times New Roman" w:hAnsi="Times New Roman" w:cs="Times New Roman"/>
      <w:sz w:val="20"/>
      <w:szCs w:val="20"/>
      <w:lang w:val="en-GB" w:eastAsia="zh-CN"/>
    </w:rPr>
  </w:style>
  <w:style w:type="paragraph" w:customStyle="1" w:styleId="DecisionTreeText">
    <w:name w:val="DecisionTree Text"/>
    <w:basedOn w:val="Normal"/>
    <w:rsid w:val="0082665C"/>
    <w:pPr>
      <w:tabs>
        <w:tab w:val="center" w:pos="1077"/>
      </w:tabs>
      <w:spacing w:after="120" w:line="240" w:lineRule="auto"/>
      <w:jc w:val="center"/>
    </w:pPr>
    <w:rPr>
      <w:rFonts w:ascii="Times New Roman" w:eastAsia="Times New Roman" w:hAnsi="Times New Roman" w:cs="Times New Roman"/>
      <w:kern w:val="28"/>
      <w:szCs w:val="20"/>
      <w:lang w:eastAsia="zh-CN"/>
    </w:rPr>
  </w:style>
  <w:style w:type="character" w:customStyle="1" w:styleId="Mentionnonrsolue1">
    <w:name w:val="Mention non résolue1"/>
    <w:basedOn w:val="DefaultParagraphFont"/>
    <w:uiPriority w:val="99"/>
    <w:semiHidden/>
    <w:unhideWhenUsed/>
    <w:rsid w:val="00CB22B5"/>
    <w:rPr>
      <w:color w:val="808080"/>
      <w:shd w:val="clear" w:color="auto" w:fill="E6E6E6"/>
    </w:rPr>
  </w:style>
  <w:style w:type="character" w:customStyle="1" w:styleId="highlight">
    <w:name w:val="highlight"/>
    <w:basedOn w:val="DefaultParagraphFont"/>
    <w:rsid w:val="007B2433"/>
  </w:style>
  <w:style w:type="character" w:customStyle="1" w:styleId="Mentionnonrsolue2">
    <w:name w:val="Mention non résolue2"/>
    <w:basedOn w:val="DefaultParagraphFont"/>
    <w:uiPriority w:val="99"/>
    <w:semiHidden/>
    <w:unhideWhenUsed/>
    <w:rsid w:val="00B45FAC"/>
    <w:rPr>
      <w:color w:val="808080"/>
      <w:shd w:val="clear" w:color="auto" w:fill="E6E6E6"/>
    </w:rPr>
  </w:style>
  <w:style w:type="character" w:customStyle="1" w:styleId="UnresolvedMention1">
    <w:name w:val="Unresolved Mention1"/>
    <w:basedOn w:val="DefaultParagraphFont"/>
    <w:uiPriority w:val="99"/>
    <w:semiHidden/>
    <w:unhideWhenUsed/>
    <w:rsid w:val="004D6177"/>
    <w:rPr>
      <w:color w:val="605E5C"/>
      <w:shd w:val="clear" w:color="auto" w:fill="E1DFDD"/>
    </w:rPr>
  </w:style>
  <w:style w:type="character" w:customStyle="1" w:styleId="cf01">
    <w:name w:val="cf01"/>
    <w:basedOn w:val="DefaultParagraphFont"/>
    <w:rsid w:val="00DE596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21126">
      <w:bodyDiv w:val="1"/>
      <w:marLeft w:val="0"/>
      <w:marRight w:val="0"/>
      <w:marTop w:val="0"/>
      <w:marBottom w:val="0"/>
      <w:divBdr>
        <w:top w:val="none" w:sz="0" w:space="0" w:color="auto"/>
        <w:left w:val="none" w:sz="0" w:space="0" w:color="auto"/>
        <w:bottom w:val="none" w:sz="0" w:space="0" w:color="auto"/>
        <w:right w:val="none" w:sz="0" w:space="0" w:color="auto"/>
      </w:divBdr>
    </w:div>
    <w:div w:id="53820005">
      <w:bodyDiv w:val="1"/>
      <w:marLeft w:val="0"/>
      <w:marRight w:val="0"/>
      <w:marTop w:val="0"/>
      <w:marBottom w:val="0"/>
      <w:divBdr>
        <w:top w:val="none" w:sz="0" w:space="0" w:color="auto"/>
        <w:left w:val="none" w:sz="0" w:space="0" w:color="auto"/>
        <w:bottom w:val="none" w:sz="0" w:space="0" w:color="auto"/>
        <w:right w:val="none" w:sz="0" w:space="0" w:color="auto"/>
      </w:divBdr>
    </w:div>
    <w:div w:id="75520131">
      <w:bodyDiv w:val="1"/>
      <w:marLeft w:val="0"/>
      <w:marRight w:val="0"/>
      <w:marTop w:val="0"/>
      <w:marBottom w:val="0"/>
      <w:divBdr>
        <w:top w:val="none" w:sz="0" w:space="0" w:color="auto"/>
        <w:left w:val="none" w:sz="0" w:space="0" w:color="auto"/>
        <w:bottom w:val="none" w:sz="0" w:space="0" w:color="auto"/>
        <w:right w:val="none" w:sz="0" w:space="0" w:color="auto"/>
      </w:divBdr>
    </w:div>
    <w:div w:id="165555904">
      <w:bodyDiv w:val="1"/>
      <w:marLeft w:val="0"/>
      <w:marRight w:val="0"/>
      <w:marTop w:val="0"/>
      <w:marBottom w:val="0"/>
      <w:divBdr>
        <w:top w:val="none" w:sz="0" w:space="0" w:color="auto"/>
        <w:left w:val="none" w:sz="0" w:space="0" w:color="auto"/>
        <w:bottom w:val="none" w:sz="0" w:space="0" w:color="auto"/>
        <w:right w:val="none" w:sz="0" w:space="0" w:color="auto"/>
      </w:divBdr>
    </w:div>
    <w:div w:id="236984307">
      <w:bodyDiv w:val="1"/>
      <w:marLeft w:val="0"/>
      <w:marRight w:val="0"/>
      <w:marTop w:val="0"/>
      <w:marBottom w:val="0"/>
      <w:divBdr>
        <w:top w:val="none" w:sz="0" w:space="0" w:color="auto"/>
        <w:left w:val="none" w:sz="0" w:space="0" w:color="auto"/>
        <w:bottom w:val="none" w:sz="0" w:space="0" w:color="auto"/>
        <w:right w:val="none" w:sz="0" w:space="0" w:color="auto"/>
      </w:divBdr>
    </w:div>
    <w:div w:id="318190418">
      <w:bodyDiv w:val="1"/>
      <w:marLeft w:val="0"/>
      <w:marRight w:val="0"/>
      <w:marTop w:val="0"/>
      <w:marBottom w:val="0"/>
      <w:divBdr>
        <w:top w:val="none" w:sz="0" w:space="0" w:color="auto"/>
        <w:left w:val="none" w:sz="0" w:space="0" w:color="auto"/>
        <w:bottom w:val="none" w:sz="0" w:space="0" w:color="auto"/>
        <w:right w:val="none" w:sz="0" w:space="0" w:color="auto"/>
      </w:divBdr>
    </w:div>
    <w:div w:id="382826447">
      <w:bodyDiv w:val="1"/>
      <w:marLeft w:val="0"/>
      <w:marRight w:val="0"/>
      <w:marTop w:val="0"/>
      <w:marBottom w:val="0"/>
      <w:divBdr>
        <w:top w:val="none" w:sz="0" w:space="0" w:color="auto"/>
        <w:left w:val="none" w:sz="0" w:space="0" w:color="auto"/>
        <w:bottom w:val="none" w:sz="0" w:space="0" w:color="auto"/>
        <w:right w:val="none" w:sz="0" w:space="0" w:color="auto"/>
      </w:divBdr>
    </w:div>
    <w:div w:id="385182646">
      <w:bodyDiv w:val="1"/>
      <w:marLeft w:val="0"/>
      <w:marRight w:val="0"/>
      <w:marTop w:val="0"/>
      <w:marBottom w:val="0"/>
      <w:divBdr>
        <w:top w:val="none" w:sz="0" w:space="0" w:color="auto"/>
        <w:left w:val="none" w:sz="0" w:space="0" w:color="auto"/>
        <w:bottom w:val="none" w:sz="0" w:space="0" w:color="auto"/>
        <w:right w:val="none" w:sz="0" w:space="0" w:color="auto"/>
      </w:divBdr>
    </w:div>
    <w:div w:id="397872453">
      <w:bodyDiv w:val="1"/>
      <w:marLeft w:val="0"/>
      <w:marRight w:val="0"/>
      <w:marTop w:val="0"/>
      <w:marBottom w:val="0"/>
      <w:divBdr>
        <w:top w:val="none" w:sz="0" w:space="0" w:color="auto"/>
        <w:left w:val="none" w:sz="0" w:space="0" w:color="auto"/>
        <w:bottom w:val="none" w:sz="0" w:space="0" w:color="auto"/>
        <w:right w:val="none" w:sz="0" w:space="0" w:color="auto"/>
      </w:divBdr>
    </w:div>
    <w:div w:id="399256970">
      <w:bodyDiv w:val="1"/>
      <w:marLeft w:val="0"/>
      <w:marRight w:val="0"/>
      <w:marTop w:val="0"/>
      <w:marBottom w:val="0"/>
      <w:divBdr>
        <w:top w:val="none" w:sz="0" w:space="0" w:color="auto"/>
        <w:left w:val="none" w:sz="0" w:space="0" w:color="auto"/>
        <w:bottom w:val="none" w:sz="0" w:space="0" w:color="auto"/>
        <w:right w:val="none" w:sz="0" w:space="0" w:color="auto"/>
      </w:divBdr>
    </w:div>
    <w:div w:id="424309304">
      <w:bodyDiv w:val="1"/>
      <w:marLeft w:val="0"/>
      <w:marRight w:val="0"/>
      <w:marTop w:val="0"/>
      <w:marBottom w:val="0"/>
      <w:divBdr>
        <w:top w:val="none" w:sz="0" w:space="0" w:color="auto"/>
        <w:left w:val="none" w:sz="0" w:space="0" w:color="auto"/>
        <w:bottom w:val="none" w:sz="0" w:space="0" w:color="auto"/>
        <w:right w:val="none" w:sz="0" w:space="0" w:color="auto"/>
      </w:divBdr>
    </w:div>
    <w:div w:id="450131612">
      <w:bodyDiv w:val="1"/>
      <w:marLeft w:val="0"/>
      <w:marRight w:val="0"/>
      <w:marTop w:val="0"/>
      <w:marBottom w:val="0"/>
      <w:divBdr>
        <w:top w:val="none" w:sz="0" w:space="0" w:color="auto"/>
        <w:left w:val="none" w:sz="0" w:space="0" w:color="auto"/>
        <w:bottom w:val="none" w:sz="0" w:space="0" w:color="auto"/>
        <w:right w:val="none" w:sz="0" w:space="0" w:color="auto"/>
      </w:divBdr>
    </w:div>
    <w:div w:id="517620708">
      <w:bodyDiv w:val="1"/>
      <w:marLeft w:val="0"/>
      <w:marRight w:val="0"/>
      <w:marTop w:val="0"/>
      <w:marBottom w:val="0"/>
      <w:divBdr>
        <w:top w:val="none" w:sz="0" w:space="0" w:color="auto"/>
        <w:left w:val="none" w:sz="0" w:space="0" w:color="auto"/>
        <w:bottom w:val="none" w:sz="0" w:space="0" w:color="auto"/>
        <w:right w:val="none" w:sz="0" w:space="0" w:color="auto"/>
      </w:divBdr>
    </w:div>
    <w:div w:id="522942072">
      <w:bodyDiv w:val="1"/>
      <w:marLeft w:val="0"/>
      <w:marRight w:val="0"/>
      <w:marTop w:val="0"/>
      <w:marBottom w:val="0"/>
      <w:divBdr>
        <w:top w:val="none" w:sz="0" w:space="0" w:color="auto"/>
        <w:left w:val="none" w:sz="0" w:space="0" w:color="auto"/>
        <w:bottom w:val="none" w:sz="0" w:space="0" w:color="auto"/>
        <w:right w:val="none" w:sz="0" w:space="0" w:color="auto"/>
      </w:divBdr>
    </w:div>
    <w:div w:id="573852586">
      <w:bodyDiv w:val="1"/>
      <w:marLeft w:val="0"/>
      <w:marRight w:val="0"/>
      <w:marTop w:val="0"/>
      <w:marBottom w:val="0"/>
      <w:divBdr>
        <w:top w:val="none" w:sz="0" w:space="0" w:color="auto"/>
        <w:left w:val="none" w:sz="0" w:space="0" w:color="auto"/>
        <w:bottom w:val="none" w:sz="0" w:space="0" w:color="auto"/>
        <w:right w:val="none" w:sz="0" w:space="0" w:color="auto"/>
      </w:divBdr>
    </w:div>
    <w:div w:id="608973075">
      <w:bodyDiv w:val="1"/>
      <w:marLeft w:val="0"/>
      <w:marRight w:val="0"/>
      <w:marTop w:val="0"/>
      <w:marBottom w:val="0"/>
      <w:divBdr>
        <w:top w:val="none" w:sz="0" w:space="0" w:color="auto"/>
        <w:left w:val="none" w:sz="0" w:space="0" w:color="auto"/>
        <w:bottom w:val="none" w:sz="0" w:space="0" w:color="auto"/>
        <w:right w:val="none" w:sz="0" w:space="0" w:color="auto"/>
      </w:divBdr>
    </w:div>
    <w:div w:id="637152840">
      <w:bodyDiv w:val="1"/>
      <w:marLeft w:val="0"/>
      <w:marRight w:val="0"/>
      <w:marTop w:val="0"/>
      <w:marBottom w:val="0"/>
      <w:divBdr>
        <w:top w:val="none" w:sz="0" w:space="0" w:color="auto"/>
        <w:left w:val="none" w:sz="0" w:space="0" w:color="auto"/>
        <w:bottom w:val="none" w:sz="0" w:space="0" w:color="auto"/>
        <w:right w:val="none" w:sz="0" w:space="0" w:color="auto"/>
      </w:divBdr>
    </w:div>
    <w:div w:id="659383122">
      <w:bodyDiv w:val="1"/>
      <w:marLeft w:val="0"/>
      <w:marRight w:val="0"/>
      <w:marTop w:val="0"/>
      <w:marBottom w:val="0"/>
      <w:divBdr>
        <w:top w:val="none" w:sz="0" w:space="0" w:color="auto"/>
        <w:left w:val="none" w:sz="0" w:space="0" w:color="auto"/>
        <w:bottom w:val="none" w:sz="0" w:space="0" w:color="auto"/>
        <w:right w:val="none" w:sz="0" w:space="0" w:color="auto"/>
      </w:divBdr>
      <w:divsChild>
        <w:div w:id="15234136">
          <w:marLeft w:val="0"/>
          <w:marRight w:val="0"/>
          <w:marTop w:val="0"/>
          <w:marBottom w:val="0"/>
          <w:divBdr>
            <w:top w:val="none" w:sz="0" w:space="0" w:color="auto"/>
            <w:left w:val="none" w:sz="0" w:space="0" w:color="auto"/>
            <w:bottom w:val="none" w:sz="0" w:space="0" w:color="auto"/>
            <w:right w:val="none" w:sz="0" w:space="0" w:color="auto"/>
          </w:divBdr>
        </w:div>
        <w:div w:id="357126018">
          <w:marLeft w:val="0"/>
          <w:marRight w:val="0"/>
          <w:marTop w:val="0"/>
          <w:marBottom w:val="0"/>
          <w:divBdr>
            <w:top w:val="none" w:sz="0" w:space="0" w:color="auto"/>
            <w:left w:val="none" w:sz="0" w:space="0" w:color="auto"/>
            <w:bottom w:val="none" w:sz="0" w:space="0" w:color="auto"/>
            <w:right w:val="none" w:sz="0" w:space="0" w:color="auto"/>
          </w:divBdr>
        </w:div>
        <w:div w:id="387724578">
          <w:marLeft w:val="0"/>
          <w:marRight w:val="0"/>
          <w:marTop w:val="0"/>
          <w:marBottom w:val="0"/>
          <w:divBdr>
            <w:top w:val="none" w:sz="0" w:space="0" w:color="auto"/>
            <w:left w:val="none" w:sz="0" w:space="0" w:color="auto"/>
            <w:bottom w:val="none" w:sz="0" w:space="0" w:color="auto"/>
            <w:right w:val="none" w:sz="0" w:space="0" w:color="auto"/>
          </w:divBdr>
        </w:div>
        <w:div w:id="579678772">
          <w:marLeft w:val="0"/>
          <w:marRight w:val="0"/>
          <w:marTop w:val="0"/>
          <w:marBottom w:val="0"/>
          <w:divBdr>
            <w:top w:val="none" w:sz="0" w:space="0" w:color="auto"/>
            <w:left w:val="none" w:sz="0" w:space="0" w:color="auto"/>
            <w:bottom w:val="none" w:sz="0" w:space="0" w:color="auto"/>
            <w:right w:val="none" w:sz="0" w:space="0" w:color="auto"/>
          </w:divBdr>
        </w:div>
        <w:div w:id="1142847282">
          <w:marLeft w:val="0"/>
          <w:marRight w:val="0"/>
          <w:marTop w:val="0"/>
          <w:marBottom w:val="0"/>
          <w:divBdr>
            <w:top w:val="none" w:sz="0" w:space="0" w:color="auto"/>
            <w:left w:val="none" w:sz="0" w:space="0" w:color="auto"/>
            <w:bottom w:val="none" w:sz="0" w:space="0" w:color="auto"/>
            <w:right w:val="none" w:sz="0" w:space="0" w:color="auto"/>
          </w:divBdr>
        </w:div>
        <w:div w:id="1144471132">
          <w:marLeft w:val="0"/>
          <w:marRight w:val="0"/>
          <w:marTop w:val="0"/>
          <w:marBottom w:val="0"/>
          <w:divBdr>
            <w:top w:val="none" w:sz="0" w:space="0" w:color="auto"/>
            <w:left w:val="none" w:sz="0" w:space="0" w:color="auto"/>
            <w:bottom w:val="none" w:sz="0" w:space="0" w:color="auto"/>
            <w:right w:val="none" w:sz="0" w:space="0" w:color="auto"/>
          </w:divBdr>
        </w:div>
        <w:div w:id="1327128326">
          <w:marLeft w:val="0"/>
          <w:marRight w:val="0"/>
          <w:marTop w:val="0"/>
          <w:marBottom w:val="0"/>
          <w:divBdr>
            <w:top w:val="none" w:sz="0" w:space="0" w:color="auto"/>
            <w:left w:val="none" w:sz="0" w:space="0" w:color="auto"/>
            <w:bottom w:val="none" w:sz="0" w:space="0" w:color="auto"/>
            <w:right w:val="none" w:sz="0" w:space="0" w:color="auto"/>
          </w:divBdr>
        </w:div>
        <w:div w:id="1329675144">
          <w:marLeft w:val="0"/>
          <w:marRight w:val="0"/>
          <w:marTop w:val="0"/>
          <w:marBottom w:val="0"/>
          <w:divBdr>
            <w:top w:val="none" w:sz="0" w:space="0" w:color="auto"/>
            <w:left w:val="none" w:sz="0" w:space="0" w:color="auto"/>
            <w:bottom w:val="none" w:sz="0" w:space="0" w:color="auto"/>
            <w:right w:val="none" w:sz="0" w:space="0" w:color="auto"/>
          </w:divBdr>
        </w:div>
        <w:div w:id="1397239639">
          <w:marLeft w:val="0"/>
          <w:marRight w:val="0"/>
          <w:marTop w:val="0"/>
          <w:marBottom w:val="0"/>
          <w:divBdr>
            <w:top w:val="none" w:sz="0" w:space="0" w:color="auto"/>
            <w:left w:val="none" w:sz="0" w:space="0" w:color="auto"/>
            <w:bottom w:val="none" w:sz="0" w:space="0" w:color="auto"/>
            <w:right w:val="none" w:sz="0" w:space="0" w:color="auto"/>
          </w:divBdr>
        </w:div>
        <w:div w:id="1503593738">
          <w:marLeft w:val="0"/>
          <w:marRight w:val="0"/>
          <w:marTop w:val="0"/>
          <w:marBottom w:val="0"/>
          <w:divBdr>
            <w:top w:val="none" w:sz="0" w:space="0" w:color="auto"/>
            <w:left w:val="none" w:sz="0" w:space="0" w:color="auto"/>
            <w:bottom w:val="none" w:sz="0" w:space="0" w:color="auto"/>
            <w:right w:val="none" w:sz="0" w:space="0" w:color="auto"/>
          </w:divBdr>
        </w:div>
        <w:div w:id="1614902584">
          <w:marLeft w:val="0"/>
          <w:marRight w:val="0"/>
          <w:marTop w:val="0"/>
          <w:marBottom w:val="0"/>
          <w:divBdr>
            <w:top w:val="none" w:sz="0" w:space="0" w:color="auto"/>
            <w:left w:val="none" w:sz="0" w:space="0" w:color="auto"/>
            <w:bottom w:val="none" w:sz="0" w:space="0" w:color="auto"/>
            <w:right w:val="none" w:sz="0" w:space="0" w:color="auto"/>
          </w:divBdr>
        </w:div>
        <w:div w:id="1708025972">
          <w:marLeft w:val="0"/>
          <w:marRight w:val="0"/>
          <w:marTop w:val="0"/>
          <w:marBottom w:val="0"/>
          <w:divBdr>
            <w:top w:val="none" w:sz="0" w:space="0" w:color="auto"/>
            <w:left w:val="none" w:sz="0" w:space="0" w:color="auto"/>
            <w:bottom w:val="none" w:sz="0" w:space="0" w:color="auto"/>
            <w:right w:val="none" w:sz="0" w:space="0" w:color="auto"/>
          </w:divBdr>
        </w:div>
        <w:div w:id="1787459884">
          <w:marLeft w:val="0"/>
          <w:marRight w:val="0"/>
          <w:marTop w:val="0"/>
          <w:marBottom w:val="0"/>
          <w:divBdr>
            <w:top w:val="none" w:sz="0" w:space="0" w:color="auto"/>
            <w:left w:val="none" w:sz="0" w:space="0" w:color="auto"/>
            <w:bottom w:val="none" w:sz="0" w:space="0" w:color="auto"/>
            <w:right w:val="none" w:sz="0" w:space="0" w:color="auto"/>
          </w:divBdr>
        </w:div>
        <w:div w:id="2038508879">
          <w:marLeft w:val="0"/>
          <w:marRight w:val="0"/>
          <w:marTop w:val="0"/>
          <w:marBottom w:val="0"/>
          <w:divBdr>
            <w:top w:val="none" w:sz="0" w:space="0" w:color="auto"/>
            <w:left w:val="none" w:sz="0" w:space="0" w:color="auto"/>
            <w:bottom w:val="none" w:sz="0" w:space="0" w:color="auto"/>
            <w:right w:val="none" w:sz="0" w:space="0" w:color="auto"/>
          </w:divBdr>
        </w:div>
        <w:div w:id="2073237032">
          <w:marLeft w:val="0"/>
          <w:marRight w:val="0"/>
          <w:marTop w:val="0"/>
          <w:marBottom w:val="0"/>
          <w:divBdr>
            <w:top w:val="none" w:sz="0" w:space="0" w:color="auto"/>
            <w:left w:val="none" w:sz="0" w:space="0" w:color="auto"/>
            <w:bottom w:val="none" w:sz="0" w:space="0" w:color="auto"/>
            <w:right w:val="none" w:sz="0" w:space="0" w:color="auto"/>
          </w:divBdr>
        </w:div>
        <w:div w:id="2078941664">
          <w:marLeft w:val="0"/>
          <w:marRight w:val="0"/>
          <w:marTop w:val="0"/>
          <w:marBottom w:val="0"/>
          <w:divBdr>
            <w:top w:val="none" w:sz="0" w:space="0" w:color="auto"/>
            <w:left w:val="none" w:sz="0" w:space="0" w:color="auto"/>
            <w:bottom w:val="none" w:sz="0" w:space="0" w:color="auto"/>
            <w:right w:val="none" w:sz="0" w:space="0" w:color="auto"/>
          </w:divBdr>
        </w:div>
      </w:divsChild>
    </w:div>
    <w:div w:id="669451775">
      <w:bodyDiv w:val="1"/>
      <w:marLeft w:val="0"/>
      <w:marRight w:val="0"/>
      <w:marTop w:val="0"/>
      <w:marBottom w:val="0"/>
      <w:divBdr>
        <w:top w:val="none" w:sz="0" w:space="0" w:color="auto"/>
        <w:left w:val="none" w:sz="0" w:space="0" w:color="auto"/>
        <w:bottom w:val="none" w:sz="0" w:space="0" w:color="auto"/>
        <w:right w:val="none" w:sz="0" w:space="0" w:color="auto"/>
      </w:divBdr>
    </w:div>
    <w:div w:id="685644337">
      <w:bodyDiv w:val="1"/>
      <w:marLeft w:val="0"/>
      <w:marRight w:val="0"/>
      <w:marTop w:val="0"/>
      <w:marBottom w:val="0"/>
      <w:divBdr>
        <w:top w:val="none" w:sz="0" w:space="0" w:color="auto"/>
        <w:left w:val="none" w:sz="0" w:space="0" w:color="auto"/>
        <w:bottom w:val="none" w:sz="0" w:space="0" w:color="auto"/>
        <w:right w:val="none" w:sz="0" w:space="0" w:color="auto"/>
      </w:divBdr>
    </w:div>
    <w:div w:id="697466517">
      <w:bodyDiv w:val="1"/>
      <w:marLeft w:val="0"/>
      <w:marRight w:val="0"/>
      <w:marTop w:val="0"/>
      <w:marBottom w:val="0"/>
      <w:divBdr>
        <w:top w:val="none" w:sz="0" w:space="0" w:color="auto"/>
        <w:left w:val="none" w:sz="0" w:space="0" w:color="auto"/>
        <w:bottom w:val="none" w:sz="0" w:space="0" w:color="auto"/>
        <w:right w:val="none" w:sz="0" w:space="0" w:color="auto"/>
      </w:divBdr>
    </w:div>
    <w:div w:id="714164053">
      <w:bodyDiv w:val="1"/>
      <w:marLeft w:val="0"/>
      <w:marRight w:val="0"/>
      <w:marTop w:val="0"/>
      <w:marBottom w:val="0"/>
      <w:divBdr>
        <w:top w:val="none" w:sz="0" w:space="0" w:color="auto"/>
        <w:left w:val="none" w:sz="0" w:space="0" w:color="auto"/>
        <w:bottom w:val="none" w:sz="0" w:space="0" w:color="auto"/>
        <w:right w:val="none" w:sz="0" w:space="0" w:color="auto"/>
      </w:divBdr>
    </w:div>
    <w:div w:id="749547415">
      <w:bodyDiv w:val="1"/>
      <w:marLeft w:val="0"/>
      <w:marRight w:val="0"/>
      <w:marTop w:val="0"/>
      <w:marBottom w:val="0"/>
      <w:divBdr>
        <w:top w:val="none" w:sz="0" w:space="0" w:color="auto"/>
        <w:left w:val="none" w:sz="0" w:space="0" w:color="auto"/>
        <w:bottom w:val="none" w:sz="0" w:space="0" w:color="auto"/>
        <w:right w:val="none" w:sz="0" w:space="0" w:color="auto"/>
      </w:divBdr>
    </w:div>
    <w:div w:id="825560000">
      <w:bodyDiv w:val="1"/>
      <w:marLeft w:val="0"/>
      <w:marRight w:val="0"/>
      <w:marTop w:val="0"/>
      <w:marBottom w:val="0"/>
      <w:divBdr>
        <w:top w:val="none" w:sz="0" w:space="0" w:color="auto"/>
        <w:left w:val="none" w:sz="0" w:space="0" w:color="auto"/>
        <w:bottom w:val="none" w:sz="0" w:space="0" w:color="auto"/>
        <w:right w:val="none" w:sz="0" w:space="0" w:color="auto"/>
      </w:divBdr>
    </w:div>
    <w:div w:id="935215987">
      <w:bodyDiv w:val="1"/>
      <w:marLeft w:val="0"/>
      <w:marRight w:val="0"/>
      <w:marTop w:val="0"/>
      <w:marBottom w:val="0"/>
      <w:divBdr>
        <w:top w:val="none" w:sz="0" w:space="0" w:color="auto"/>
        <w:left w:val="none" w:sz="0" w:space="0" w:color="auto"/>
        <w:bottom w:val="none" w:sz="0" w:space="0" w:color="auto"/>
        <w:right w:val="none" w:sz="0" w:space="0" w:color="auto"/>
      </w:divBdr>
    </w:div>
    <w:div w:id="965618909">
      <w:bodyDiv w:val="1"/>
      <w:marLeft w:val="0"/>
      <w:marRight w:val="0"/>
      <w:marTop w:val="0"/>
      <w:marBottom w:val="0"/>
      <w:divBdr>
        <w:top w:val="none" w:sz="0" w:space="0" w:color="auto"/>
        <w:left w:val="none" w:sz="0" w:space="0" w:color="auto"/>
        <w:bottom w:val="none" w:sz="0" w:space="0" w:color="auto"/>
        <w:right w:val="none" w:sz="0" w:space="0" w:color="auto"/>
      </w:divBdr>
    </w:div>
    <w:div w:id="999965309">
      <w:bodyDiv w:val="1"/>
      <w:marLeft w:val="0"/>
      <w:marRight w:val="0"/>
      <w:marTop w:val="0"/>
      <w:marBottom w:val="0"/>
      <w:divBdr>
        <w:top w:val="none" w:sz="0" w:space="0" w:color="auto"/>
        <w:left w:val="none" w:sz="0" w:space="0" w:color="auto"/>
        <w:bottom w:val="none" w:sz="0" w:space="0" w:color="auto"/>
        <w:right w:val="none" w:sz="0" w:space="0" w:color="auto"/>
      </w:divBdr>
      <w:divsChild>
        <w:div w:id="74062127">
          <w:marLeft w:val="0"/>
          <w:marRight w:val="0"/>
          <w:marTop w:val="0"/>
          <w:marBottom w:val="0"/>
          <w:divBdr>
            <w:top w:val="none" w:sz="0" w:space="0" w:color="auto"/>
            <w:left w:val="none" w:sz="0" w:space="0" w:color="auto"/>
            <w:bottom w:val="none" w:sz="0" w:space="0" w:color="auto"/>
            <w:right w:val="none" w:sz="0" w:space="0" w:color="auto"/>
          </w:divBdr>
          <w:divsChild>
            <w:div w:id="1145927408">
              <w:marLeft w:val="0"/>
              <w:marRight w:val="0"/>
              <w:marTop w:val="0"/>
              <w:marBottom w:val="0"/>
              <w:divBdr>
                <w:top w:val="none" w:sz="0" w:space="0" w:color="auto"/>
                <w:left w:val="none" w:sz="0" w:space="0" w:color="auto"/>
                <w:bottom w:val="none" w:sz="0" w:space="0" w:color="auto"/>
                <w:right w:val="none" w:sz="0" w:space="0" w:color="auto"/>
              </w:divBdr>
              <w:divsChild>
                <w:div w:id="1332757677">
                  <w:marLeft w:val="0"/>
                  <w:marRight w:val="0"/>
                  <w:marTop w:val="0"/>
                  <w:marBottom w:val="0"/>
                  <w:divBdr>
                    <w:top w:val="none" w:sz="0" w:space="0" w:color="auto"/>
                    <w:left w:val="none" w:sz="0" w:space="0" w:color="auto"/>
                    <w:bottom w:val="none" w:sz="0" w:space="0" w:color="auto"/>
                    <w:right w:val="none" w:sz="0" w:space="0" w:color="auto"/>
                  </w:divBdr>
                  <w:divsChild>
                    <w:div w:id="285308898">
                      <w:marLeft w:val="0"/>
                      <w:marRight w:val="0"/>
                      <w:marTop w:val="0"/>
                      <w:marBottom w:val="0"/>
                      <w:divBdr>
                        <w:top w:val="none" w:sz="0" w:space="0" w:color="auto"/>
                        <w:left w:val="none" w:sz="0" w:space="0" w:color="auto"/>
                        <w:bottom w:val="none" w:sz="0" w:space="0" w:color="auto"/>
                        <w:right w:val="none" w:sz="0" w:space="0" w:color="auto"/>
                      </w:divBdr>
                      <w:divsChild>
                        <w:div w:id="1376394089">
                          <w:marLeft w:val="0"/>
                          <w:marRight w:val="0"/>
                          <w:marTop w:val="0"/>
                          <w:marBottom w:val="0"/>
                          <w:divBdr>
                            <w:top w:val="none" w:sz="0" w:space="0" w:color="auto"/>
                            <w:left w:val="none" w:sz="0" w:space="0" w:color="auto"/>
                            <w:bottom w:val="none" w:sz="0" w:space="0" w:color="auto"/>
                            <w:right w:val="none" w:sz="0" w:space="0" w:color="auto"/>
                          </w:divBdr>
                          <w:divsChild>
                            <w:div w:id="1598827085">
                              <w:marLeft w:val="0"/>
                              <w:marRight w:val="300"/>
                              <w:marTop w:val="180"/>
                              <w:marBottom w:val="0"/>
                              <w:divBdr>
                                <w:top w:val="none" w:sz="0" w:space="0" w:color="auto"/>
                                <w:left w:val="none" w:sz="0" w:space="0" w:color="auto"/>
                                <w:bottom w:val="none" w:sz="0" w:space="0" w:color="auto"/>
                                <w:right w:val="none" w:sz="0" w:space="0" w:color="auto"/>
                              </w:divBdr>
                              <w:divsChild>
                                <w:div w:id="18603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331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12873829">
          <w:marLeft w:val="0"/>
          <w:marRight w:val="0"/>
          <w:marTop w:val="0"/>
          <w:marBottom w:val="0"/>
          <w:divBdr>
            <w:top w:val="none" w:sz="0" w:space="0" w:color="auto"/>
            <w:left w:val="none" w:sz="0" w:space="0" w:color="auto"/>
            <w:bottom w:val="none" w:sz="0" w:space="0" w:color="auto"/>
            <w:right w:val="none" w:sz="0" w:space="0" w:color="auto"/>
          </w:divBdr>
          <w:divsChild>
            <w:div w:id="1450664688">
              <w:marLeft w:val="0"/>
              <w:marRight w:val="0"/>
              <w:marTop w:val="0"/>
              <w:marBottom w:val="0"/>
              <w:divBdr>
                <w:top w:val="none" w:sz="0" w:space="0" w:color="auto"/>
                <w:left w:val="none" w:sz="0" w:space="0" w:color="auto"/>
                <w:bottom w:val="none" w:sz="0" w:space="0" w:color="auto"/>
                <w:right w:val="none" w:sz="0" w:space="0" w:color="auto"/>
              </w:divBdr>
              <w:divsChild>
                <w:div w:id="490483314">
                  <w:marLeft w:val="0"/>
                  <w:marRight w:val="0"/>
                  <w:marTop w:val="0"/>
                  <w:marBottom w:val="0"/>
                  <w:divBdr>
                    <w:top w:val="none" w:sz="0" w:space="0" w:color="auto"/>
                    <w:left w:val="none" w:sz="0" w:space="0" w:color="auto"/>
                    <w:bottom w:val="none" w:sz="0" w:space="0" w:color="auto"/>
                    <w:right w:val="none" w:sz="0" w:space="0" w:color="auto"/>
                  </w:divBdr>
                  <w:divsChild>
                    <w:div w:id="45761074">
                      <w:marLeft w:val="0"/>
                      <w:marRight w:val="0"/>
                      <w:marTop w:val="0"/>
                      <w:marBottom w:val="0"/>
                      <w:divBdr>
                        <w:top w:val="none" w:sz="0" w:space="0" w:color="auto"/>
                        <w:left w:val="none" w:sz="0" w:space="0" w:color="auto"/>
                        <w:bottom w:val="none" w:sz="0" w:space="0" w:color="auto"/>
                        <w:right w:val="none" w:sz="0" w:space="0" w:color="auto"/>
                      </w:divBdr>
                      <w:divsChild>
                        <w:div w:id="79233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397809">
      <w:bodyDiv w:val="1"/>
      <w:marLeft w:val="0"/>
      <w:marRight w:val="0"/>
      <w:marTop w:val="0"/>
      <w:marBottom w:val="0"/>
      <w:divBdr>
        <w:top w:val="none" w:sz="0" w:space="0" w:color="auto"/>
        <w:left w:val="none" w:sz="0" w:space="0" w:color="auto"/>
        <w:bottom w:val="none" w:sz="0" w:space="0" w:color="auto"/>
        <w:right w:val="none" w:sz="0" w:space="0" w:color="auto"/>
      </w:divBdr>
    </w:div>
    <w:div w:id="1131216964">
      <w:bodyDiv w:val="1"/>
      <w:marLeft w:val="0"/>
      <w:marRight w:val="0"/>
      <w:marTop w:val="0"/>
      <w:marBottom w:val="0"/>
      <w:divBdr>
        <w:top w:val="none" w:sz="0" w:space="0" w:color="auto"/>
        <w:left w:val="none" w:sz="0" w:space="0" w:color="auto"/>
        <w:bottom w:val="none" w:sz="0" w:space="0" w:color="auto"/>
        <w:right w:val="none" w:sz="0" w:space="0" w:color="auto"/>
      </w:divBdr>
    </w:div>
    <w:div w:id="1206603453">
      <w:bodyDiv w:val="1"/>
      <w:marLeft w:val="0"/>
      <w:marRight w:val="0"/>
      <w:marTop w:val="0"/>
      <w:marBottom w:val="0"/>
      <w:divBdr>
        <w:top w:val="none" w:sz="0" w:space="0" w:color="auto"/>
        <w:left w:val="none" w:sz="0" w:space="0" w:color="auto"/>
        <w:bottom w:val="none" w:sz="0" w:space="0" w:color="auto"/>
        <w:right w:val="none" w:sz="0" w:space="0" w:color="auto"/>
      </w:divBdr>
    </w:div>
    <w:div w:id="1209957836">
      <w:bodyDiv w:val="1"/>
      <w:marLeft w:val="0"/>
      <w:marRight w:val="0"/>
      <w:marTop w:val="0"/>
      <w:marBottom w:val="0"/>
      <w:divBdr>
        <w:top w:val="none" w:sz="0" w:space="0" w:color="auto"/>
        <w:left w:val="none" w:sz="0" w:space="0" w:color="auto"/>
        <w:bottom w:val="none" w:sz="0" w:space="0" w:color="auto"/>
        <w:right w:val="none" w:sz="0" w:space="0" w:color="auto"/>
      </w:divBdr>
    </w:div>
    <w:div w:id="1331711733">
      <w:bodyDiv w:val="1"/>
      <w:marLeft w:val="0"/>
      <w:marRight w:val="0"/>
      <w:marTop w:val="0"/>
      <w:marBottom w:val="0"/>
      <w:divBdr>
        <w:top w:val="none" w:sz="0" w:space="0" w:color="auto"/>
        <w:left w:val="none" w:sz="0" w:space="0" w:color="auto"/>
        <w:bottom w:val="none" w:sz="0" w:space="0" w:color="auto"/>
        <w:right w:val="none" w:sz="0" w:space="0" w:color="auto"/>
      </w:divBdr>
    </w:div>
    <w:div w:id="1332099096">
      <w:bodyDiv w:val="1"/>
      <w:marLeft w:val="0"/>
      <w:marRight w:val="0"/>
      <w:marTop w:val="0"/>
      <w:marBottom w:val="0"/>
      <w:divBdr>
        <w:top w:val="none" w:sz="0" w:space="0" w:color="auto"/>
        <w:left w:val="none" w:sz="0" w:space="0" w:color="auto"/>
        <w:bottom w:val="none" w:sz="0" w:space="0" w:color="auto"/>
        <w:right w:val="none" w:sz="0" w:space="0" w:color="auto"/>
      </w:divBdr>
    </w:div>
    <w:div w:id="1345941559">
      <w:bodyDiv w:val="1"/>
      <w:marLeft w:val="0"/>
      <w:marRight w:val="0"/>
      <w:marTop w:val="0"/>
      <w:marBottom w:val="0"/>
      <w:divBdr>
        <w:top w:val="none" w:sz="0" w:space="0" w:color="auto"/>
        <w:left w:val="none" w:sz="0" w:space="0" w:color="auto"/>
        <w:bottom w:val="none" w:sz="0" w:space="0" w:color="auto"/>
        <w:right w:val="none" w:sz="0" w:space="0" w:color="auto"/>
      </w:divBdr>
    </w:div>
    <w:div w:id="1352336354">
      <w:bodyDiv w:val="1"/>
      <w:marLeft w:val="0"/>
      <w:marRight w:val="0"/>
      <w:marTop w:val="0"/>
      <w:marBottom w:val="0"/>
      <w:divBdr>
        <w:top w:val="none" w:sz="0" w:space="0" w:color="auto"/>
        <w:left w:val="none" w:sz="0" w:space="0" w:color="auto"/>
        <w:bottom w:val="none" w:sz="0" w:space="0" w:color="auto"/>
        <w:right w:val="none" w:sz="0" w:space="0" w:color="auto"/>
      </w:divBdr>
    </w:div>
    <w:div w:id="1442526350">
      <w:bodyDiv w:val="1"/>
      <w:marLeft w:val="0"/>
      <w:marRight w:val="0"/>
      <w:marTop w:val="0"/>
      <w:marBottom w:val="0"/>
      <w:divBdr>
        <w:top w:val="none" w:sz="0" w:space="0" w:color="auto"/>
        <w:left w:val="none" w:sz="0" w:space="0" w:color="auto"/>
        <w:bottom w:val="none" w:sz="0" w:space="0" w:color="auto"/>
        <w:right w:val="none" w:sz="0" w:space="0" w:color="auto"/>
      </w:divBdr>
    </w:div>
    <w:div w:id="1464301953">
      <w:bodyDiv w:val="1"/>
      <w:marLeft w:val="0"/>
      <w:marRight w:val="0"/>
      <w:marTop w:val="0"/>
      <w:marBottom w:val="0"/>
      <w:divBdr>
        <w:top w:val="none" w:sz="0" w:space="0" w:color="auto"/>
        <w:left w:val="none" w:sz="0" w:space="0" w:color="auto"/>
        <w:bottom w:val="none" w:sz="0" w:space="0" w:color="auto"/>
        <w:right w:val="none" w:sz="0" w:space="0" w:color="auto"/>
      </w:divBdr>
    </w:div>
    <w:div w:id="1477409548">
      <w:bodyDiv w:val="1"/>
      <w:marLeft w:val="0"/>
      <w:marRight w:val="0"/>
      <w:marTop w:val="0"/>
      <w:marBottom w:val="0"/>
      <w:divBdr>
        <w:top w:val="none" w:sz="0" w:space="0" w:color="auto"/>
        <w:left w:val="none" w:sz="0" w:space="0" w:color="auto"/>
        <w:bottom w:val="none" w:sz="0" w:space="0" w:color="auto"/>
        <w:right w:val="none" w:sz="0" w:space="0" w:color="auto"/>
      </w:divBdr>
    </w:div>
    <w:div w:id="1492135156">
      <w:bodyDiv w:val="1"/>
      <w:marLeft w:val="0"/>
      <w:marRight w:val="0"/>
      <w:marTop w:val="0"/>
      <w:marBottom w:val="0"/>
      <w:divBdr>
        <w:top w:val="none" w:sz="0" w:space="0" w:color="auto"/>
        <w:left w:val="none" w:sz="0" w:space="0" w:color="auto"/>
        <w:bottom w:val="none" w:sz="0" w:space="0" w:color="auto"/>
        <w:right w:val="none" w:sz="0" w:space="0" w:color="auto"/>
      </w:divBdr>
    </w:div>
    <w:div w:id="1517382606">
      <w:bodyDiv w:val="1"/>
      <w:marLeft w:val="0"/>
      <w:marRight w:val="0"/>
      <w:marTop w:val="0"/>
      <w:marBottom w:val="0"/>
      <w:divBdr>
        <w:top w:val="none" w:sz="0" w:space="0" w:color="auto"/>
        <w:left w:val="none" w:sz="0" w:space="0" w:color="auto"/>
        <w:bottom w:val="none" w:sz="0" w:space="0" w:color="auto"/>
        <w:right w:val="none" w:sz="0" w:space="0" w:color="auto"/>
      </w:divBdr>
    </w:div>
    <w:div w:id="1528830707">
      <w:bodyDiv w:val="1"/>
      <w:marLeft w:val="0"/>
      <w:marRight w:val="0"/>
      <w:marTop w:val="0"/>
      <w:marBottom w:val="0"/>
      <w:divBdr>
        <w:top w:val="none" w:sz="0" w:space="0" w:color="auto"/>
        <w:left w:val="none" w:sz="0" w:space="0" w:color="auto"/>
        <w:bottom w:val="none" w:sz="0" w:space="0" w:color="auto"/>
        <w:right w:val="none" w:sz="0" w:space="0" w:color="auto"/>
      </w:divBdr>
    </w:div>
    <w:div w:id="1560630431">
      <w:bodyDiv w:val="1"/>
      <w:marLeft w:val="0"/>
      <w:marRight w:val="0"/>
      <w:marTop w:val="0"/>
      <w:marBottom w:val="0"/>
      <w:divBdr>
        <w:top w:val="none" w:sz="0" w:space="0" w:color="auto"/>
        <w:left w:val="none" w:sz="0" w:space="0" w:color="auto"/>
        <w:bottom w:val="none" w:sz="0" w:space="0" w:color="auto"/>
        <w:right w:val="none" w:sz="0" w:space="0" w:color="auto"/>
      </w:divBdr>
    </w:div>
    <w:div w:id="1674187875">
      <w:bodyDiv w:val="1"/>
      <w:marLeft w:val="0"/>
      <w:marRight w:val="0"/>
      <w:marTop w:val="0"/>
      <w:marBottom w:val="0"/>
      <w:divBdr>
        <w:top w:val="none" w:sz="0" w:space="0" w:color="auto"/>
        <w:left w:val="none" w:sz="0" w:space="0" w:color="auto"/>
        <w:bottom w:val="none" w:sz="0" w:space="0" w:color="auto"/>
        <w:right w:val="none" w:sz="0" w:space="0" w:color="auto"/>
      </w:divBdr>
    </w:div>
    <w:div w:id="1760984433">
      <w:bodyDiv w:val="1"/>
      <w:marLeft w:val="0"/>
      <w:marRight w:val="0"/>
      <w:marTop w:val="0"/>
      <w:marBottom w:val="0"/>
      <w:divBdr>
        <w:top w:val="none" w:sz="0" w:space="0" w:color="auto"/>
        <w:left w:val="none" w:sz="0" w:space="0" w:color="auto"/>
        <w:bottom w:val="none" w:sz="0" w:space="0" w:color="auto"/>
        <w:right w:val="none" w:sz="0" w:space="0" w:color="auto"/>
      </w:divBdr>
    </w:div>
    <w:div w:id="1803840595">
      <w:bodyDiv w:val="1"/>
      <w:marLeft w:val="0"/>
      <w:marRight w:val="0"/>
      <w:marTop w:val="0"/>
      <w:marBottom w:val="0"/>
      <w:divBdr>
        <w:top w:val="none" w:sz="0" w:space="0" w:color="auto"/>
        <w:left w:val="none" w:sz="0" w:space="0" w:color="auto"/>
        <w:bottom w:val="none" w:sz="0" w:space="0" w:color="auto"/>
        <w:right w:val="none" w:sz="0" w:space="0" w:color="auto"/>
      </w:divBdr>
    </w:div>
    <w:div w:id="1815441453">
      <w:bodyDiv w:val="1"/>
      <w:marLeft w:val="0"/>
      <w:marRight w:val="0"/>
      <w:marTop w:val="0"/>
      <w:marBottom w:val="0"/>
      <w:divBdr>
        <w:top w:val="none" w:sz="0" w:space="0" w:color="auto"/>
        <w:left w:val="none" w:sz="0" w:space="0" w:color="auto"/>
        <w:bottom w:val="none" w:sz="0" w:space="0" w:color="auto"/>
        <w:right w:val="none" w:sz="0" w:space="0" w:color="auto"/>
      </w:divBdr>
    </w:div>
    <w:div w:id="1880193797">
      <w:bodyDiv w:val="1"/>
      <w:marLeft w:val="0"/>
      <w:marRight w:val="0"/>
      <w:marTop w:val="0"/>
      <w:marBottom w:val="0"/>
      <w:divBdr>
        <w:top w:val="none" w:sz="0" w:space="0" w:color="auto"/>
        <w:left w:val="none" w:sz="0" w:space="0" w:color="auto"/>
        <w:bottom w:val="none" w:sz="0" w:space="0" w:color="auto"/>
        <w:right w:val="none" w:sz="0" w:space="0" w:color="auto"/>
      </w:divBdr>
    </w:div>
    <w:div w:id="1965190782">
      <w:bodyDiv w:val="1"/>
      <w:marLeft w:val="0"/>
      <w:marRight w:val="0"/>
      <w:marTop w:val="0"/>
      <w:marBottom w:val="0"/>
      <w:divBdr>
        <w:top w:val="none" w:sz="0" w:space="0" w:color="auto"/>
        <w:left w:val="none" w:sz="0" w:space="0" w:color="auto"/>
        <w:bottom w:val="none" w:sz="0" w:space="0" w:color="auto"/>
        <w:right w:val="none" w:sz="0" w:space="0" w:color="auto"/>
      </w:divBdr>
      <w:divsChild>
        <w:div w:id="281158041">
          <w:marLeft w:val="0"/>
          <w:marRight w:val="0"/>
          <w:marTop w:val="0"/>
          <w:marBottom w:val="0"/>
          <w:divBdr>
            <w:top w:val="none" w:sz="0" w:space="0" w:color="auto"/>
            <w:left w:val="none" w:sz="0" w:space="0" w:color="auto"/>
            <w:bottom w:val="none" w:sz="0" w:space="0" w:color="auto"/>
            <w:right w:val="none" w:sz="0" w:space="0" w:color="auto"/>
          </w:divBdr>
          <w:divsChild>
            <w:div w:id="1183277410">
              <w:marLeft w:val="0"/>
              <w:marRight w:val="0"/>
              <w:marTop w:val="0"/>
              <w:marBottom w:val="0"/>
              <w:divBdr>
                <w:top w:val="none" w:sz="0" w:space="0" w:color="auto"/>
                <w:left w:val="none" w:sz="0" w:space="0" w:color="auto"/>
                <w:bottom w:val="none" w:sz="0" w:space="0" w:color="auto"/>
                <w:right w:val="none" w:sz="0" w:space="0" w:color="auto"/>
              </w:divBdr>
              <w:divsChild>
                <w:div w:id="1726836072">
                  <w:marLeft w:val="0"/>
                  <w:marRight w:val="0"/>
                  <w:marTop w:val="0"/>
                  <w:marBottom w:val="0"/>
                  <w:divBdr>
                    <w:top w:val="none" w:sz="0" w:space="0" w:color="auto"/>
                    <w:left w:val="none" w:sz="0" w:space="0" w:color="auto"/>
                    <w:bottom w:val="none" w:sz="0" w:space="0" w:color="auto"/>
                    <w:right w:val="none" w:sz="0" w:space="0" w:color="auto"/>
                  </w:divBdr>
                  <w:divsChild>
                    <w:div w:id="1831868634">
                      <w:marLeft w:val="0"/>
                      <w:marRight w:val="0"/>
                      <w:marTop w:val="0"/>
                      <w:marBottom w:val="0"/>
                      <w:divBdr>
                        <w:top w:val="none" w:sz="0" w:space="0" w:color="auto"/>
                        <w:left w:val="none" w:sz="0" w:space="0" w:color="auto"/>
                        <w:bottom w:val="none" w:sz="0" w:space="0" w:color="auto"/>
                        <w:right w:val="none" w:sz="0" w:space="0" w:color="auto"/>
                      </w:divBdr>
                      <w:divsChild>
                        <w:div w:id="1831554426">
                          <w:marLeft w:val="0"/>
                          <w:marRight w:val="0"/>
                          <w:marTop w:val="0"/>
                          <w:marBottom w:val="0"/>
                          <w:divBdr>
                            <w:top w:val="none" w:sz="0" w:space="0" w:color="auto"/>
                            <w:left w:val="none" w:sz="0" w:space="0" w:color="auto"/>
                            <w:bottom w:val="none" w:sz="0" w:space="0" w:color="auto"/>
                            <w:right w:val="none" w:sz="0" w:space="0" w:color="auto"/>
                          </w:divBdr>
                          <w:divsChild>
                            <w:div w:id="15463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601470">
      <w:bodyDiv w:val="1"/>
      <w:marLeft w:val="0"/>
      <w:marRight w:val="0"/>
      <w:marTop w:val="0"/>
      <w:marBottom w:val="0"/>
      <w:divBdr>
        <w:top w:val="none" w:sz="0" w:space="0" w:color="auto"/>
        <w:left w:val="none" w:sz="0" w:space="0" w:color="auto"/>
        <w:bottom w:val="none" w:sz="0" w:space="0" w:color="auto"/>
        <w:right w:val="none" w:sz="0" w:space="0" w:color="auto"/>
      </w:divBdr>
    </w:div>
    <w:div w:id="206216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4.jpe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20.png"/><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image" Target="media/image173.png"/><Relationship Id="rId205" Type="http://schemas.openxmlformats.org/officeDocument/2006/relationships/image" Target="media/image187.png"/><Relationship Id="rId107" Type="http://schemas.openxmlformats.org/officeDocument/2006/relationships/image" Target="media/image89.png"/><Relationship Id="rId11" Type="http://schemas.openxmlformats.org/officeDocument/2006/relationships/image" Target="media/image1.png"/><Relationship Id="rId32" Type="http://schemas.openxmlformats.org/officeDocument/2006/relationships/image" Target="media/image14.emf"/><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31.png"/><Relationship Id="rId356"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image" Target="media/image77.png"/><Relationship Id="rId160" Type="http://schemas.openxmlformats.org/officeDocument/2006/relationships/image" Target="media/image142.png"/><Relationship Id="rId181" Type="http://schemas.openxmlformats.org/officeDocument/2006/relationships/image" Target="media/image163.png"/><Relationship Id="rId216" Type="http://schemas.openxmlformats.org/officeDocument/2006/relationships/image" Target="media/image198.emf"/><Relationship Id="rId22" Type="http://schemas.openxmlformats.org/officeDocument/2006/relationships/image" Target="media/image5.jpeg"/><Relationship Id="rId43" Type="http://schemas.openxmlformats.org/officeDocument/2006/relationships/image" Target="media/image25.emf"/><Relationship Id="rId64" Type="http://schemas.openxmlformats.org/officeDocument/2006/relationships/image" Target="media/image46.png"/><Relationship Id="rId118" Type="http://schemas.openxmlformats.org/officeDocument/2006/relationships/image" Target="media/image100.png"/><Relationship Id="rId139" Type="http://schemas.openxmlformats.org/officeDocument/2006/relationships/image" Target="media/image121.png"/><Relationship Id="rId85" Type="http://schemas.openxmlformats.org/officeDocument/2006/relationships/image" Target="media/image67.png"/><Relationship Id="rId150" Type="http://schemas.openxmlformats.org/officeDocument/2006/relationships/image" Target="media/image132.png"/><Relationship Id="rId171" Type="http://schemas.openxmlformats.org/officeDocument/2006/relationships/image" Target="media/image153.png"/><Relationship Id="rId192" Type="http://schemas.openxmlformats.org/officeDocument/2006/relationships/image" Target="media/image174.png"/><Relationship Id="rId206" Type="http://schemas.openxmlformats.org/officeDocument/2006/relationships/image" Target="media/image188.png"/><Relationship Id="rId12" Type="http://schemas.openxmlformats.org/officeDocument/2006/relationships/image" Target="media/image2.png"/><Relationship Id="rId33" Type="http://schemas.openxmlformats.org/officeDocument/2006/relationships/image" Target="media/image15.emf"/><Relationship Id="rId108" Type="http://schemas.openxmlformats.org/officeDocument/2006/relationships/image" Target="media/image90.png"/><Relationship Id="rId129" Type="http://schemas.openxmlformats.org/officeDocument/2006/relationships/image" Target="media/image111.png"/><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image" Target="media/image164.png"/><Relationship Id="rId217" Type="http://schemas.openxmlformats.org/officeDocument/2006/relationships/image" Target="media/image199.emf"/><Relationship Id="rId6" Type="http://schemas.openxmlformats.org/officeDocument/2006/relationships/styles" Target="styles.xml"/><Relationship Id="rId23" Type="http://schemas.openxmlformats.org/officeDocument/2006/relationships/hyperlink" Target="mailto:office@sepa.gov.rs" TargetMode="External"/><Relationship Id="rId119" Type="http://schemas.openxmlformats.org/officeDocument/2006/relationships/image" Target="media/image101.png"/><Relationship Id="rId44" Type="http://schemas.openxmlformats.org/officeDocument/2006/relationships/image" Target="media/image26.emf"/><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54.png"/><Relationship Id="rId193" Type="http://schemas.openxmlformats.org/officeDocument/2006/relationships/image" Target="media/image175.png"/><Relationship Id="rId207" Type="http://schemas.openxmlformats.org/officeDocument/2006/relationships/image" Target="media/image189.png"/><Relationship Id="rId13" Type="http://schemas.openxmlformats.org/officeDocument/2006/relationships/image" Target="media/image2.jpeg"/><Relationship Id="rId109" Type="http://schemas.openxmlformats.org/officeDocument/2006/relationships/image" Target="media/image91.png"/><Relationship Id="rId34" Type="http://schemas.openxmlformats.org/officeDocument/2006/relationships/image" Target="media/image16.emf"/><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settings" Target="settings.xml"/><Relationship Id="rId162" Type="http://schemas.openxmlformats.org/officeDocument/2006/relationships/image" Target="media/image144.png"/><Relationship Id="rId183" Type="http://schemas.openxmlformats.org/officeDocument/2006/relationships/image" Target="media/image165.png"/><Relationship Id="rId218" Type="http://schemas.openxmlformats.org/officeDocument/2006/relationships/image" Target="media/image200.emf"/><Relationship Id="rId24" Type="http://schemas.openxmlformats.org/officeDocument/2006/relationships/image" Target="media/image6.emf"/><Relationship Id="rId45" Type="http://schemas.openxmlformats.org/officeDocument/2006/relationships/image" Target="media/image27.emf"/><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image" Target="media/image113.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6.png"/><Relationship Id="rId208" Type="http://schemas.openxmlformats.org/officeDocument/2006/relationships/image" Target="media/image190.png"/><Relationship Id="rId14" Type="http://schemas.openxmlformats.org/officeDocument/2006/relationships/header" Target="header1.xm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8" Type="http://schemas.openxmlformats.org/officeDocument/2006/relationships/webSettings" Target="webSettings.xml"/><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219" Type="http://schemas.openxmlformats.org/officeDocument/2006/relationships/image" Target="media/image201.emf"/><Relationship Id="rId25" Type="http://schemas.openxmlformats.org/officeDocument/2006/relationships/image" Target="media/image7.png"/><Relationship Id="rId46" Type="http://schemas.openxmlformats.org/officeDocument/2006/relationships/image" Target="media/image28.emf"/><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image" Target="media/image3.jpe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image" Target="media/image177.png"/><Relationship Id="rId209" Type="http://schemas.openxmlformats.org/officeDocument/2006/relationships/image" Target="media/image191.png"/><Relationship Id="rId190" Type="http://schemas.openxmlformats.org/officeDocument/2006/relationships/image" Target="media/image172.png"/><Relationship Id="rId204" Type="http://schemas.openxmlformats.org/officeDocument/2006/relationships/image" Target="media/image186.png"/><Relationship Id="rId220" Type="http://schemas.openxmlformats.org/officeDocument/2006/relationships/image" Target="media/image202.emf"/><Relationship Id="rId15" Type="http://schemas.openxmlformats.org/officeDocument/2006/relationships/footer" Target="footer1.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13.emf"/><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png"/><Relationship Id="rId35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2.png"/><Relationship Id="rId210" Type="http://schemas.openxmlformats.org/officeDocument/2006/relationships/image" Target="media/image192.png"/><Relationship Id="rId215" Type="http://schemas.openxmlformats.org/officeDocument/2006/relationships/image" Target="media/image197.emf"/><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footer" Target="footer2.xml"/><Relationship Id="rId221" Type="http://schemas.openxmlformats.org/officeDocument/2006/relationships/image" Target="media/image203.emf"/><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image" Target="media/image168.png"/><Relationship Id="rId351" Type="http://schemas.openxmlformats.org/officeDocument/2006/relationships/image" Target="media/image329.png"/><Relationship Id="rId211" Type="http://schemas.openxmlformats.org/officeDocument/2006/relationships/image" Target="media/image193.png"/><Relationship Id="rId27" Type="http://schemas.openxmlformats.org/officeDocument/2006/relationships/image" Target="media/image9.emf"/><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2.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201" Type="http://schemas.openxmlformats.org/officeDocument/2006/relationships/image" Target="media/image183.png"/><Relationship Id="rId222" Type="http://schemas.openxmlformats.org/officeDocument/2006/relationships/image" Target="media/image204.emf"/><Relationship Id="rId17" Type="http://schemas.openxmlformats.org/officeDocument/2006/relationships/footer" Target="footer3.xml"/><Relationship Id="rId38" Type="http://schemas.openxmlformats.org/officeDocument/2006/relationships/image" Target="media/image20.emf"/><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352" Type="http://schemas.openxmlformats.org/officeDocument/2006/relationships/image" Target="media/image330.png"/><Relationship Id="rId1" Type="http://schemas.openxmlformats.org/officeDocument/2006/relationships/customXml" Target="../customXml/item1.xml"/><Relationship Id="rId212" Type="http://schemas.openxmlformats.org/officeDocument/2006/relationships/image" Target="media/image194.png"/><Relationship Id="rId28" Type="http://schemas.openxmlformats.org/officeDocument/2006/relationships/image" Target="media/image10.emf"/><Relationship Id="rId49" Type="http://schemas.openxmlformats.org/officeDocument/2006/relationships/image" Target="media/image31.png"/><Relationship Id="rId114" Type="http://schemas.openxmlformats.org/officeDocument/2006/relationships/image" Target="media/image96.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202" Type="http://schemas.openxmlformats.org/officeDocument/2006/relationships/image" Target="media/image184.png"/><Relationship Id="rId223" Type="http://schemas.openxmlformats.org/officeDocument/2006/relationships/image" Target="media/image205.png"/><Relationship Id="rId18" Type="http://schemas.openxmlformats.org/officeDocument/2006/relationships/footer" Target="footer4.xml"/><Relationship Id="rId39" Type="http://schemas.openxmlformats.org/officeDocument/2006/relationships/image" Target="media/image21.emf"/><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353" Type="http://schemas.openxmlformats.org/officeDocument/2006/relationships/header" Target="header2.xml"/><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95.png"/><Relationship Id="rId2" Type="http://schemas.openxmlformats.org/officeDocument/2006/relationships/customXml" Target="../customXml/item2.xml"/><Relationship Id="rId29" Type="http://schemas.openxmlformats.org/officeDocument/2006/relationships/image" Target="media/image11.emf"/><Relationship Id="rId40" Type="http://schemas.openxmlformats.org/officeDocument/2006/relationships/image" Target="media/image22.emf"/><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81.png"/><Relationship Id="rId203" Type="http://schemas.openxmlformats.org/officeDocument/2006/relationships/image" Target="media/image185.png"/><Relationship Id="rId19" Type="http://schemas.openxmlformats.org/officeDocument/2006/relationships/hyperlink" Target="mailto:ivana.dukic@sepa.gov.rs" TargetMode="External"/><Relationship Id="rId224" Type="http://schemas.openxmlformats.org/officeDocument/2006/relationships/image" Target="media/image206.png"/><Relationship Id="rId30" Type="http://schemas.openxmlformats.org/officeDocument/2006/relationships/image" Target="media/image12.emf"/><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emf"/><Relationship Id="rId354" Type="http://schemas.openxmlformats.org/officeDocument/2006/relationships/footer" Target="footer5.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71.png"/><Relationship Id="rId3" Type="http://schemas.openxmlformats.org/officeDocument/2006/relationships/customXml" Target="../customXml/item3.xml"/><Relationship Id="rId214" Type="http://schemas.openxmlformats.org/officeDocument/2006/relationships/image" Target="media/image19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442AFF67DDDF9446B9922A85DB901AA0" ma:contentTypeVersion="14" ma:contentTypeDescription="Crée un document." ma:contentTypeScope="" ma:versionID="2a37606612992e266b1ba996aacab19e">
  <xsd:schema xmlns:xsd="http://www.w3.org/2001/XMLSchema" xmlns:xs="http://www.w3.org/2001/XMLSchema" xmlns:p="http://schemas.microsoft.com/office/2006/metadata/properties" xmlns:ns2="aa63012a-dca0-4847-9039-1b3f0d0527af" xmlns:ns3="42e04725-2240-4739-841d-c0e13fcb9286" xmlns:ns4="3331daee-1646-4c3a-8c45-78356b5a9d77" targetNamespace="http://schemas.microsoft.com/office/2006/metadata/properties" ma:root="true" ma:fieldsID="19e5ec571cfe5fcd992950904c9641d5" ns2:_="" ns3:_="" ns4:_="">
    <xsd:import namespace="aa63012a-dca0-4847-9039-1b3f0d0527af"/>
    <xsd:import namespace="42e04725-2240-4739-841d-c0e13fcb9286"/>
    <xsd:import namespace="3331daee-1646-4c3a-8c45-78356b5a9d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63012a-dca0-4847-9039-1b3f0d0527af"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e04725-2240-4739-841d-c0e13fcb92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7ba0aaa-12d9-48be-b932-d2fd993dfb2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31daee-1646-4c3a-8c45-78356b5a9d77" elementFormDefault="qualified">
    <xsd:import namespace="http://schemas.microsoft.com/office/2006/documentManagement/types"/>
    <xsd:import namespace="http://schemas.microsoft.com/office/infopath/2007/PartnerControls"/>
    <xsd:element name="TaxCatchAll" ma:index="16" nillable="true" ma:displayName="Colonne Attraper tout de Taxonomie" ma:hidden="true" ma:list="{4fb7d4b7-bce7-4382-a1e1-d57b09bb3572}" ma:internalName="TaxCatchAll" ma:showField="CatchAllData" ma:web="3331daee-1646-4c3a-8c45-78356b5a9d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2e04725-2240-4739-841d-c0e13fcb9286">
      <Terms xmlns="http://schemas.microsoft.com/office/infopath/2007/PartnerControls"/>
    </lcf76f155ced4ddcb4097134ff3c332f>
    <TaxCatchAll xmlns="3331daee-1646-4c3a-8c45-78356b5a9d77" xsi:nil="true"/>
  </documentManagement>
</p:properties>
</file>

<file path=customXml/itemProps1.xml><?xml version="1.0" encoding="utf-8"?>
<ds:datastoreItem xmlns:ds="http://schemas.openxmlformats.org/officeDocument/2006/customXml" ds:itemID="{1B9D6E10-E6DA-42D3-9003-848673937A15}">
  <ds:schemaRefs>
    <ds:schemaRef ds:uri="http://schemas.microsoft.com/sharepoint/v3/contenttype/forms"/>
  </ds:schemaRefs>
</ds:datastoreItem>
</file>

<file path=customXml/itemProps2.xml><?xml version="1.0" encoding="utf-8"?>
<ds:datastoreItem xmlns:ds="http://schemas.openxmlformats.org/officeDocument/2006/customXml" ds:itemID="{9BBA0737-4614-4F09-90E6-D33BBCE9340D}">
  <ds:schemaRefs>
    <ds:schemaRef ds:uri="http://schemas.openxmlformats.org/officeDocument/2006/bibliography"/>
  </ds:schemaRefs>
</ds:datastoreItem>
</file>

<file path=customXml/itemProps3.xml><?xml version="1.0" encoding="utf-8"?>
<ds:datastoreItem xmlns:ds="http://schemas.openxmlformats.org/officeDocument/2006/customXml" ds:itemID="{671A56E0-AD33-4605-9E41-AB8621D02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63012a-dca0-4847-9039-1b3f0d0527af"/>
    <ds:schemaRef ds:uri="42e04725-2240-4739-841d-c0e13fcb9286"/>
    <ds:schemaRef ds:uri="3331daee-1646-4c3a-8c45-78356b5a9d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EE9CEF-32B0-41A9-8F0D-F917140B0E62}">
  <ds:schemaRefs>
    <ds:schemaRef ds:uri="http://schemas.microsoft.com/office/2006/metadata/properties"/>
    <ds:schemaRef ds:uri="http://schemas.microsoft.com/office/infopath/2007/PartnerControls"/>
    <ds:schemaRef ds:uri="42e04725-2240-4739-841d-c0e13fcb9286"/>
    <ds:schemaRef ds:uri="3331daee-1646-4c3a-8c45-78356b5a9d7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239</Pages>
  <Words>72372</Words>
  <Characters>412523</Characters>
  <Application>Microsoft Office Word</Application>
  <DocSecurity>0</DocSecurity>
  <Lines>3437</Lines>
  <Paragraphs>967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483928</CharactersWithSpaces>
  <SharedDoc>false</SharedDoc>
  <HLinks>
    <vt:vector size="3432" baseType="variant">
      <vt:variant>
        <vt:i4>1507383</vt:i4>
      </vt:variant>
      <vt:variant>
        <vt:i4>3410</vt:i4>
      </vt:variant>
      <vt:variant>
        <vt:i4>0</vt:i4>
      </vt:variant>
      <vt:variant>
        <vt:i4>5</vt:i4>
      </vt:variant>
      <vt:variant>
        <vt:lpwstr/>
      </vt:variant>
      <vt:variant>
        <vt:lpwstr>_Toc496869381</vt:lpwstr>
      </vt:variant>
      <vt:variant>
        <vt:i4>1507383</vt:i4>
      </vt:variant>
      <vt:variant>
        <vt:i4>3404</vt:i4>
      </vt:variant>
      <vt:variant>
        <vt:i4>0</vt:i4>
      </vt:variant>
      <vt:variant>
        <vt:i4>5</vt:i4>
      </vt:variant>
      <vt:variant>
        <vt:lpwstr/>
      </vt:variant>
      <vt:variant>
        <vt:lpwstr>_Toc496869380</vt:lpwstr>
      </vt:variant>
      <vt:variant>
        <vt:i4>1572919</vt:i4>
      </vt:variant>
      <vt:variant>
        <vt:i4>3398</vt:i4>
      </vt:variant>
      <vt:variant>
        <vt:i4>0</vt:i4>
      </vt:variant>
      <vt:variant>
        <vt:i4>5</vt:i4>
      </vt:variant>
      <vt:variant>
        <vt:lpwstr/>
      </vt:variant>
      <vt:variant>
        <vt:lpwstr>_Toc496869379</vt:lpwstr>
      </vt:variant>
      <vt:variant>
        <vt:i4>1572919</vt:i4>
      </vt:variant>
      <vt:variant>
        <vt:i4>3392</vt:i4>
      </vt:variant>
      <vt:variant>
        <vt:i4>0</vt:i4>
      </vt:variant>
      <vt:variant>
        <vt:i4>5</vt:i4>
      </vt:variant>
      <vt:variant>
        <vt:lpwstr/>
      </vt:variant>
      <vt:variant>
        <vt:lpwstr>_Toc496869378</vt:lpwstr>
      </vt:variant>
      <vt:variant>
        <vt:i4>1572919</vt:i4>
      </vt:variant>
      <vt:variant>
        <vt:i4>3386</vt:i4>
      </vt:variant>
      <vt:variant>
        <vt:i4>0</vt:i4>
      </vt:variant>
      <vt:variant>
        <vt:i4>5</vt:i4>
      </vt:variant>
      <vt:variant>
        <vt:lpwstr/>
      </vt:variant>
      <vt:variant>
        <vt:lpwstr>_Toc496869377</vt:lpwstr>
      </vt:variant>
      <vt:variant>
        <vt:i4>1572919</vt:i4>
      </vt:variant>
      <vt:variant>
        <vt:i4>3380</vt:i4>
      </vt:variant>
      <vt:variant>
        <vt:i4>0</vt:i4>
      </vt:variant>
      <vt:variant>
        <vt:i4>5</vt:i4>
      </vt:variant>
      <vt:variant>
        <vt:lpwstr/>
      </vt:variant>
      <vt:variant>
        <vt:lpwstr>_Toc496869376</vt:lpwstr>
      </vt:variant>
      <vt:variant>
        <vt:i4>1572919</vt:i4>
      </vt:variant>
      <vt:variant>
        <vt:i4>3374</vt:i4>
      </vt:variant>
      <vt:variant>
        <vt:i4>0</vt:i4>
      </vt:variant>
      <vt:variant>
        <vt:i4>5</vt:i4>
      </vt:variant>
      <vt:variant>
        <vt:lpwstr/>
      </vt:variant>
      <vt:variant>
        <vt:lpwstr>_Toc496869375</vt:lpwstr>
      </vt:variant>
      <vt:variant>
        <vt:i4>1572919</vt:i4>
      </vt:variant>
      <vt:variant>
        <vt:i4>3368</vt:i4>
      </vt:variant>
      <vt:variant>
        <vt:i4>0</vt:i4>
      </vt:variant>
      <vt:variant>
        <vt:i4>5</vt:i4>
      </vt:variant>
      <vt:variant>
        <vt:lpwstr/>
      </vt:variant>
      <vt:variant>
        <vt:lpwstr>_Toc496869374</vt:lpwstr>
      </vt:variant>
      <vt:variant>
        <vt:i4>1572919</vt:i4>
      </vt:variant>
      <vt:variant>
        <vt:i4>3362</vt:i4>
      </vt:variant>
      <vt:variant>
        <vt:i4>0</vt:i4>
      </vt:variant>
      <vt:variant>
        <vt:i4>5</vt:i4>
      </vt:variant>
      <vt:variant>
        <vt:lpwstr/>
      </vt:variant>
      <vt:variant>
        <vt:lpwstr>_Toc496869373</vt:lpwstr>
      </vt:variant>
      <vt:variant>
        <vt:i4>1572919</vt:i4>
      </vt:variant>
      <vt:variant>
        <vt:i4>3356</vt:i4>
      </vt:variant>
      <vt:variant>
        <vt:i4>0</vt:i4>
      </vt:variant>
      <vt:variant>
        <vt:i4>5</vt:i4>
      </vt:variant>
      <vt:variant>
        <vt:lpwstr/>
      </vt:variant>
      <vt:variant>
        <vt:lpwstr>_Toc496869372</vt:lpwstr>
      </vt:variant>
      <vt:variant>
        <vt:i4>1572919</vt:i4>
      </vt:variant>
      <vt:variant>
        <vt:i4>3350</vt:i4>
      </vt:variant>
      <vt:variant>
        <vt:i4>0</vt:i4>
      </vt:variant>
      <vt:variant>
        <vt:i4>5</vt:i4>
      </vt:variant>
      <vt:variant>
        <vt:lpwstr/>
      </vt:variant>
      <vt:variant>
        <vt:lpwstr>_Toc496869371</vt:lpwstr>
      </vt:variant>
      <vt:variant>
        <vt:i4>1572919</vt:i4>
      </vt:variant>
      <vt:variant>
        <vt:i4>3344</vt:i4>
      </vt:variant>
      <vt:variant>
        <vt:i4>0</vt:i4>
      </vt:variant>
      <vt:variant>
        <vt:i4>5</vt:i4>
      </vt:variant>
      <vt:variant>
        <vt:lpwstr/>
      </vt:variant>
      <vt:variant>
        <vt:lpwstr>_Toc496869370</vt:lpwstr>
      </vt:variant>
      <vt:variant>
        <vt:i4>1638455</vt:i4>
      </vt:variant>
      <vt:variant>
        <vt:i4>3338</vt:i4>
      </vt:variant>
      <vt:variant>
        <vt:i4>0</vt:i4>
      </vt:variant>
      <vt:variant>
        <vt:i4>5</vt:i4>
      </vt:variant>
      <vt:variant>
        <vt:lpwstr/>
      </vt:variant>
      <vt:variant>
        <vt:lpwstr>_Toc496869369</vt:lpwstr>
      </vt:variant>
      <vt:variant>
        <vt:i4>1638455</vt:i4>
      </vt:variant>
      <vt:variant>
        <vt:i4>3332</vt:i4>
      </vt:variant>
      <vt:variant>
        <vt:i4>0</vt:i4>
      </vt:variant>
      <vt:variant>
        <vt:i4>5</vt:i4>
      </vt:variant>
      <vt:variant>
        <vt:lpwstr/>
      </vt:variant>
      <vt:variant>
        <vt:lpwstr>_Toc496869368</vt:lpwstr>
      </vt:variant>
      <vt:variant>
        <vt:i4>1638455</vt:i4>
      </vt:variant>
      <vt:variant>
        <vt:i4>3326</vt:i4>
      </vt:variant>
      <vt:variant>
        <vt:i4>0</vt:i4>
      </vt:variant>
      <vt:variant>
        <vt:i4>5</vt:i4>
      </vt:variant>
      <vt:variant>
        <vt:lpwstr/>
      </vt:variant>
      <vt:variant>
        <vt:lpwstr>_Toc496869367</vt:lpwstr>
      </vt:variant>
      <vt:variant>
        <vt:i4>1638455</vt:i4>
      </vt:variant>
      <vt:variant>
        <vt:i4>3320</vt:i4>
      </vt:variant>
      <vt:variant>
        <vt:i4>0</vt:i4>
      </vt:variant>
      <vt:variant>
        <vt:i4>5</vt:i4>
      </vt:variant>
      <vt:variant>
        <vt:lpwstr/>
      </vt:variant>
      <vt:variant>
        <vt:lpwstr>_Toc496869366</vt:lpwstr>
      </vt:variant>
      <vt:variant>
        <vt:i4>1638455</vt:i4>
      </vt:variant>
      <vt:variant>
        <vt:i4>3314</vt:i4>
      </vt:variant>
      <vt:variant>
        <vt:i4>0</vt:i4>
      </vt:variant>
      <vt:variant>
        <vt:i4>5</vt:i4>
      </vt:variant>
      <vt:variant>
        <vt:lpwstr/>
      </vt:variant>
      <vt:variant>
        <vt:lpwstr>_Toc496869365</vt:lpwstr>
      </vt:variant>
      <vt:variant>
        <vt:i4>1638455</vt:i4>
      </vt:variant>
      <vt:variant>
        <vt:i4>3308</vt:i4>
      </vt:variant>
      <vt:variant>
        <vt:i4>0</vt:i4>
      </vt:variant>
      <vt:variant>
        <vt:i4>5</vt:i4>
      </vt:variant>
      <vt:variant>
        <vt:lpwstr/>
      </vt:variant>
      <vt:variant>
        <vt:lpwstr>_Toc496869364</vt:lpwstr>
      </vt:variant>
      <vt:variant>
        <vt:i4>1638455</vt:i4>
      </vt:variant>
      <vt:variant>
        <vt:i4>3302</vt:i4>
      </vt:variant>
      <vt:variant>
        <vt:i4>0</vt:i4>
      </vt:variant>
      <vt:variant>
        <vt:i4>5</vt:i4>
      </vt:variant>
      <vt:variant>
        <vt:lpwstr/>
      </vt:variant>
      <vt:variant>
        <vt:lpwstr>_Toc496869363</vt:lpwstr>
      </vt:variant>
      <vt:variant>
        <vt:i4>1638455</vt:i4>
      </vt:variant>
      <vt:variant>
        <vt:i4>3296</vt:i4>
      </vt:variant>
      <vt:variant>
        <vt:i4>0</vt:i4>
      </vt:variant>
      <vt:variant>
        <vt:i4>5</vt:i4>
      </vt:variant>
      <vt:variant>
        <vt:lpwstr/>
      </vt:variant>
      <vt:variant>
        <vt:lpwstr>_Toc496869362</vt:lpwstr>
      </vt:variant>
      <vt:variant>
        <vt:i4>1638455</vt:i4>
      </vt:variant>
      <vt:variant>
        <vt:i4>3290</vt:i4>
      </vt:variant>
      <vt:variant>
        <vt:i4>0</vt:i4>
      </vt:variant>
      <vt:variant>
        <vt:i4>5</vt:i4>
      </vt:variant>
      <vt:variant>
        <vt:lpwstr/>
      </vt:variant>
      <vt:variant>
        <vt:lpwstr>_Toc496869361</vt:lpwstr>
      </vt:variant>
      <vt:variant>
        <vt:i4>1638455</vt:i4>
      </vt:variant>
      <vt:variant>
        <vt:i4>3284</vt:i4>
      </vt:variant>
      <vt:variant>
        <vt:i4>0</vt:i4>
      </vt:variant>
      <vt:variant>
        <vt:i4>5</vt:i4>
      </vt:variant>
      <vt:variant>
        <vt:lpwstr/>
      </vt:variant>
      <vt:variant>
        <vt:lpwstr>_Toc496869360</vt:lpwstr>
      </vt:variant>
      <vt:variant>
        <vt:i4>1703991</vt:i4>
      </vt:variant>
      <vt:variant>
        <vt:i4>3278</vt:i4>
      </vt:variant>
      <vt:variant>
        <vt:i4>0</vt:i4>
      </vt:variant>
      <vt:variant>
        <vt:i4>5</vt:i4>
      </vt:variant>
      <vt:variant>
        <vt:lpwstr/>
      </vt:variant>
      <vt:variant>
        <vt:lpwstr>_Toc496869359</vt:lpwstr>
      </vt:variant>
      <vt:variant>
        <vt:i4>1703991</vt:i4>
      </vt:variant>
      <vt:variant>
        <vt:i4>3272</vt:i4>
      </vt:variant>
      <vt:variant>
        <vt:i4>0</vt:i4>
      </vt:variant>
      <vt:variant>
        <vt:i4>5</vt:i4>
      </vt:variant>
      <vt:variant>
        <vt:lpwstr/>
      </vt:variant>
      <vt:variant>
        <vt:lpwstr>_Toc496869358</vt:lpwstr>
      </vt:variant>
      <vt:variant>
        <vt:i4>1703991</vt:i4>
      </vt:variant>
      <vt:variant>
        <vt:i4>3266</vt:i4>
      </vt:variant>
      <vt:variant>
        <vt:i4>0</vt:i4>
      </vt:variant>
      <vt:variant>
        <vt:i4>5</vt:i4>
      </vt:variant>
      <vt:variant>
        <vt:lpwstr/>
      </vt:variant>
      <vt:variant>
        <vt:lpwstr>_Toc496869357</vt:lpwstr>
      </vt:variant>
      <vt:variant>
        <vt:i4>1703991</vt:i4>
      </vt:variant>
      <vt:variant>
        <vt:i4>3260</vt:i4>
      </vt:variant>
      <vt:variant>
        <vt:i4>0</vt:i4>
      </vt:variant>
      <vt:variant>
        <vt:i4>5</vt:i4>
      </vt:variant>
      <vt:variant>
        <vt:lpwstr/>
      </vt:variant>
      <vt:variant>
        <vt:lpwstr>_Toc496869356</vt:lpwstr>
      </vt:variant>
      <vt:variant>
        <vt:i4>1703991</vt:i4>
      </vt:variant>
      <vt:variant>
        <vt:i4>3254</vt:i4>
      </vt:variant>
      <vt:variant>
        <vt:i4>0</vt:i4>
      </vt:variant>
      <vt:variant>
        <vt:i4>5</vt:i4>
      </vt:variant>
      <vt:variant>
        <vt:lpwstr/>
      </vt:variant>
      <vt:variant>
        <vt:lpwstr>_Toc496869355</vt:lpwstr>
      </vt:variant>
      <vt:variant>
        <vt:i4>1703991</vt:i4>
      </vt:variant>
      <vt:variant>
        <vt:i4>3248</vt:i4>
      </vt:variant>
      <vt:variant>
        <vt:i4>0</vt:i4>
      </vt:variant>
      <vt:variant>
        <vt:i4>5</vt:i4>
      </vt:variant>
      <vt:variant>
        <vt:lpwstr/>
      </vt:variant>
      <vt:variant>
        <vt:lpwstr>_Toc496869354</vt:lpwstr>
      </vt:variant>
      <vt:variant>
        <vt:i4>1703991</vt:i4>
      </vt:variant>
      <vt:variant>
        <vt:i4>3242</vt:i4>
      </vt:variant>
      <vt:variant>
        <vt:i4>0</vt:i4>
      </vt:variant>
      <vt:variant>
        <vt:i4>5</vt:i4>
      </vt:variant>
      <vt:variant>
        <vt:lpwstr/>
      </vt:variant>
      <vt:variant>
        <vt:lpwstr>_Toc496869353</vt:lpwstr>
      </vt:variant>
      <vt:variant>
        <vt:i4>1703991</vt:i4>
      </vt:variant>
      <vt:variant>
        <vt:i4>3236</vt:i4>
      </vt:variant>
      <vt:variant>
        <vt:i4>0</vt:i4>
      </vt:variant>
      <vt:variant>
        <vt:i4>5</vt:i4>
      </vt:variant>
      <vt:variant>
        <vt:lpwstr/>
      </vt:variant>
      <vt:variant>
        <vt:lpwstr>_Toc496869352</vt:lpwstr>
      </vt:variant>
      <vt:variant>
        <vt:i4>1703991</vt:i4>
      </vt:variant>
      <vt:variant>
        <vt:i4>3230</vt:i4>
      </vt:variant>
      <vt:variant>
        <vt:i4>0</vt:i4>
      </vt:variant>
      <vt:variant>
        <vt:i4>5</vt:i4>
      </vt:variant>
      <vt:variant>
        <vt:lpwstr/>
      </vt:variant>
      <vt:variant>
        <vt:lpwstr>_Toc496869351</vt:lpwstr>
      </vt:variant>
      <vt:variant>
        <vt:i4>1703991</vt:i4>
      </vt:variant>
      <vt:variant>
        <vt:i4>3224</vt:i4>
      </vt:variant>
      <vt:variant>
        <vt:i4>0</vt:i4>
      </vt:variant>
      <vt:variant>
        <vt:i4>5</vt:i4>
      </vt:variant>
      <vt:variant>
        <vt:lpwstr/>
      </vt:variant>
      <vt:variant>
        <vt:lpwstr>_Toc496869350</vt:lpwstr>
      </vt:variant>
      <vt:variant>
        <vt:i4>1769527</vt:i4>
      </vt:variant>
      <vt:variant>
        <vt:i4>3218</vt:i4>
      </vt:variant>
      <vt:variant>
        <vt:i4>0</vt:i4>
      </vt:variant>
      <vt:variant>
        <vt:i4>5</vt:i4>
      </vt:variant>
      <vt:variant>
        <vt:lpwstr/>
      </vt:variant>
      <vt:variant>
        <vt:lpwstr>_Toc496869349</vt:lpwstr>
      </vt:variant>
      <vt:variant>
        <vt:i4>1769527</vt:i4>
      </vt:variant>
      <vt:variant>
        <vt:i4>3212</vt:i4>
      </vt:variant>
      <vt:variant>
        <vt:i4>0</vt:i4>
      </vt:variant>
      <vt:variant>
        <vt:i4>5</vt:i4>
      </vt:variant>
      <vt:variant>
        <vt:lpwstr/>
      </vt:variant>
      <vt:variant>
        <vt:lpwstr>_Toc496869348</vt:lpwstr>
      </vt:variant>
      <vt:variant>
        <vt:i4>1769527</vt:i4>
      </vt:variant>
      <vt:variant>
        <vt:i4>3206</vt:i4>
      </vt:variant>
      <vt:variant>
        <vt:i4>0</vt:i4>
      </vt:variant>
      <vt:variant>
        <vt:i4>5</vt:i4>
      </vt:variant>
      <vt:variant>
        <vt:lpwstr/>
      </vt:variant>
      <vt:variant>
        <vt:lpwstr>_Toc496869347</vt:lpwstr>
      </vt:variant>
      <vt:variant>
        <vt:i4>1769527</vt:i4>
      </vt:variant>
      <vt:variant>
        <vt:i4>3200</vt:i4>
      </vt:variant>
      <vt:variant>
        <vt:i4>0</vt:i4>
      </vt:variant>
      <vt:variant>
        <vt:i4>5</vt:i4>
      </vt:variant>
      <vt:variant>
        <vt:lpwstr/>
      </vt:variant>
      <vt:variant>
        <vt:lpwstr>_Toc496869346</vt:lpwstr>
      </vt:variant>
      <vt:variant>
        <vt:i4>1769527</vt:i4>
      </vt:variant>
      <vt:variant>
        <vt:i4>3194</vt:i4>
      </vt:variant>
      <vt:variant>
        <vt:i4>0</vt:i4>
      </vt:variant>
      <vt:variant>
        <vt:i4>5</vt:i4>
      </vt:variant>
      <vt:variant>
        <vt:lpwstr/>
      </vt:variant>
      <vt:variant>
        <vt:lpwstr>_Toc496869345</vt:lpwstr>
      </vt:variant>
      <vt:variant>
        <vt:i4>1769527</vt:i4>
      </vt:variant>
      <vt:variant>
        <vt:i4>3188</vt:i4>
      </vt:variant>
      <vt:variant>
        <vt:i4>0</vt:i4>
      </vt:variant>
      <vt:variant>
        <vt:i4>5</vt:i4>
      </vt:variant>
      <vt:variant>
        <vt:lpwstr/>
      </vt:variant>
      <vt:variant>
        <vt:lpwstr>_Toc496869344</vt:lpwstr>
      </vt:variant>
      <vt:variant>
        <vt:i4>1769527</vt:i4>
      </vt:variant>
      <vt:variant>
        <vt:i4>3182</vt:i4>
      </vt:variant>
      <vt:variant>
        <vt:i4>0</vt:i4>
      </vt:variant>
      <vt:variant>
        <vt:i4>5</vt:i4>
      </vt:variant>
      <vt:variant>
        <vt:lpwstr/>
      </vt:variant>
      <vt:variant>
        <vt:lpwstr>_Toc496869343</vt:lpwstr>
      </vt:variant>
      <vt:variant>
        <vt:i4>1769527</vt:i4>
      </vt:variant>
      <vt:variant>
        <vt:i4>3176</vt:i4>
      </vt:variant>
      <vt:variant>
        <vt:i4>0</vt:i4>
      </vt:variant>
      <vt:variant>
        <vt:i4>5</vt:i4>
      </vt:variant>
      <vt:variant>
        <vt:lpwstr/>
      </vt:variant>
      <vt:variant>
        <vt:lpwstr>_Toc496869342</vt:lpwstr>
      </vt:variant>
      <vt:variant>
        <vt:i4>1441846</vt:i4>
      </vt:variant>
      <vt:variant>
        <vt:i4>3167</vt:i4>
      </vt:variant>
      <vt:variant>
        <vt:i4>0</vt:i4>
      </vt:variant>
      <vt:variant>
        <vt:i4>5</vt:i4>
      </vt:variant>
      <vt:variant>
        <vt:lpwstr/>
      </vt:variant>
      <vt:variant>
        <vt:lpwstr>_Toc496869299</vt:lpwstr>
      </vt:variant>
      <vt:variant>
        <vt:i4>1441846</vt:i4>
      </vt:variant>
      <vt:variant>
        <vt:i4>3161</vt:i4>
      </vt:variant>
      <vt:variant>
        <vt:i4>0</vt:i4>
      </vt:variant>
      <vt:variant>
        <vt:i4>5</vt:i4>
      </vt:variant>
      <vt:variant>
        <vt:lpwstr/>
      </vt:variant>
      <vt:variant>
        <vt:lpwstr>_Toc496869298</vt:lpwstr>
      </vt:variant>
      <vt:variant>
        <vt:i4>1441846</vt:i4>
      </vt:variant>
      <vt:variant>
        <vt:i4>3155</vt:i4>
      </vt:variant>
      <vt:variant>
        <vt:i4>0</vt:i4>
      </vt:variant>
      <vt:variant>
        <vt:i4>5</vt:i4>
      </vt:variant>
      <vt:variant>
        <vt:lpwstr/>
      </vt:variant>
      <vt:variant>
        <vt:lpwstr>_Toc496869297</vt:lpwstr>
      </vt:variant>
      <vt:variant>
        <vt:i4>1441846</vt:i4>
      </vt:variant>
      <vt:variant>
        <vt:i4>3149</vt:i4>
      </vt:variant>
      <vt:variant>
        <vt:i4>0</vt:i4>
      </vt:variant>
      <vt:variant>
        <vt:i4>5</vt:i4>
      </vt:variant>
      <vt:variant>
        <vt:lpwstr/>
      </vt:variant>
      <vt:variant>
        <vt:lpwstr>_Toc496869296</vt:lpwstr>
      </vt:variant>
      <vt:variant>
        <vt:i4>1441846</vt:i4>
      </vt:variant>
      <vt:variant>
        <vt:i4>3143</vt:i4>
      </vt:variant>
      <vt:variant>
        <vt:i4>0</vt:i4>
      </vt:variant>
      <vt:variant>
        <vt:i4>5</vt:i4>
      </vt:variant>
      <vt:variant>
        <vt:lpwstr/>
      </vt:variant>
      <vt:variant>
        <vt:lpwstr>_Toc496869295</vt:lpwstr>
      </vt:variant>
      <vt:variant>
        <vt:i4>1441846</vt:i4>
      </vt:variant>
      <vt:variant>
        <vt:i4>3137</vt:i4>
      </vt:variant>
      <vt:variant>
        <vt:i4>0</vt:i4>
      </vt:variant>
      <vt:variant>
        <vt:i4>5</vt:i4>
      </vt:variant>
      <vt:variant>
        <vt:lpwstr/>
      </vt:variant>
      <vt:variant>
        <vt:lpwstr>_Toc496869294</vt:lpwstr>
      </vt:variant>
      <vt:variant>
        <vt:i4>1441846</vt:i4>
      </vt:variant>
      <vt:variant>
        <vt:i4>3131</vt:i4>
      </vt:variant>
      <vt:variant>
        <vt:i4>0</vt:i4>
      </vt:variant>
      <vt:variant>
        <vt:i4>5</vt:i4>
      </vt:variant>
      <vt:variant>
        <vt:lpwstr/>
      </vt:variant>
      <vt:variant>
        <vt:lpwstr>_Toc496869293</vt:lpwstr>
      </vt:variant>
      <vt:variant>
        <vt:i4>1441846</vt:i4>
      </vt:variant>
      <vt:variant>
        <vt:i4>3125</vt:i4>
      </vt:variant>
      <vt:variant>
        <vt:i4>0</vt:i4>
      </vt:variant>
      <vt:variant>
        <vt:i4>5</vt:i4>
      </vt:variant>
      <vt:variant>
        <vt:lpwstr/>
      </vt:variant>
      <vt:variant>
        <vt:lpwstr>_Toc496869292</vt:lpwstr>
      </vt:variant>
      <vt:variant>
        <vt:i4>1441846</vt:i4>
      </vt:variant>
      <vt:variant>
        <vt:i4>3119</vt:i4>
      </vt:variant>
      <vt:variant>
        <vt:i4>0</vt:i4>
      </vt:variant>
      <vt:variant>
        <vt:i4>5</vt:i4>
      </vt:variant>
      <vt:variant>
        <vt:lpwstr/>
      </vt:variant>
      <vt:variant>
        <vt:lpwstr>_Toc496869291</vt:lpwstr>
      </vt:variant>
      <vt:variant>
        <vt:i4>1441846</vt:i4>
      </vt:variant>
      <vt:variant>
        <vt:i4>3113</vt:i4>
      </vt:variant>
      <vt:variant>
        <vt:i4>0</vt:i4>
      </vt:variant>
      <vt:variant>
        <vt:i4>5</vt:i4>
      </vt:variant>
      <vt:variant>
        <vt:lpwstr/>
      </vt:variant>
      <vt:variant>
        <vt:lpwstr>_Toc496869290</vt:lpwstr>
      </vt:variant>
      <vt:variant>
        <vt:i4>1507382</vt:i4>
      </vt:variant>
      <vt:variant>
        <vt:i4>3107</vt:i4>
      </vt:variant>
      <vt:variant>
        <vt:i4>0</vt:i4>
      </vt:variant>
      <vt:variant>
        <vt:i4>5</vt:i4>
      </vt:variant>
      <vt:variant>
        <vt:lpwstr/>
      </vt:variant>
      <vt:variant>
        <vt:lpwstr>_Toc496869289</vt:lpwstr>
      </vt:variant>
      <vt:variant>
        <vt:i4>1507382</vt:i4>
      </vt:variant>
      <vt:variant>
        <vt:i4>3101</vt:i4>
      </vt:variant>
      <vt:variant>
        <vt:i4>0</vt:i4>
      </vt:variant>
      <vt:variant>
        <vt:i4>5</vt:i4>
      </vt:variant>
      <vt:variant>
        <vt:lpwstr/>
      </vt:variant>
      <vt:variant>
        <vt:lpwstr>_Toc496869288</vt:lpwstr>
      </vt:variant>
      <vt:variant>
        <vt:i4>1507382</vt:i4>
      </vt:variant>
      <vt:variant>
        <vt:i4>3095</vt:i4>
      </vt:variant>
      <vt:variant>
        <vt:i4>0</vt:i4>
      </vt:variant>
      <vt:variant>
        <vt:i4>5</vt:i4>
      </vt:variant>
      <vt:variant>
        <vt:lpwstr/>
      </vt:variant>
      <vt:variant>
        <vt:lpwstr>_Toc496869287</vt:lpwstr>
      </vt:variant>
      <vt:variant>
        <vt:i4>1507382</vt:i4>
      </vt:variant>
      <vt:variant>
        <vt:i4>3089</vt:i4>
      </vt:variant>
      <vt:variant>
        <vt:i4>0</vt:i4>
      </vt:variant>
      <vt:variant>
        <vt:i4>5</vt:i4>
      </vt:variant>
      <vt:variant>
        <vt:lpwstr/>
      </vt:variant>
      <vt:variant>
        <vt:lpwstr>_Toc496869286</vt:lpwstr>
      </vt:variant>
      <vt:variant>
        <vt:i4>1507382</vt:i4>
      </vt:variant>
      <vt:variant>
        <vt:i4>3083</vt:i4>
      </vt:variant>
      <vt:variant>
        <vt:i4>0</vt:i4>
      </vt:variant>
      <vt:variant>
        <vt:i4>5</vt:i4>
      </vt:variant>
      <vt:variant>
        <vt:lpwstr/>
      </vt:variant>
      <vt:variant>
        <vt:lpwstr>_Toc496869285</vt:lpwstr>
      </vt:variant>
      <vt:variant>
        <vt:i4>1507382</vt:i4>
      </vt:variant>
      <vt:variant>
        <vt:i4>3077</vt:i4>
      </vt:variant>
      <vt:variant>
        <vt:i4>0</vt:i4>
      </vt:variant>
      <vt:variant>
        <vt:i4>5</vt:i4>
      </vt:variant>
      <vt:variant>
        <vt:lpwstr/>
      </vt:variant>
      <vt:variant>
        <vt:lpwstr>_Toc496869284</vt:lpwstr>
      </vt:variant>
      <vt:variant>
        <vt:i4>1507382</vt:i4>
      </vt:variant>
      <vt:variant>
        <vt:i4>3071</vt:i4>
      </vt:variant>
      <vt:variant>
        <vt:i4>0</vt:i4>
      </vt:variant>
      <vt:variant>
        <vt:i4>5</vt:i4>
      </vt:variant>
      <vt:variant>
        <vt:lpwstr/>
      </vt:variant>
      <vt:variant>
        <vt:lpwstr>_Toc496869283</vt:lpwstr>
      </vt:variant>
      <vt:variant>
        <vt:i4>1507382</vt:i4>
      </vt:variant>
      <vt:variant>
        <vt:i4>3065</vt:i4>
      </vt:variant>
      <vt:variant>
        <vt:i4>0</vt:i4>
      </vt:variant>
      <vt:variant>
        <vt:i4>5</vt:i4>
      </vt:variant>
      <vt:variant>
        <vt:lpwstr/>
      </vt:variant>
      <vt:variant>
        <vt:lpwstr>_Toc496869282</vt:lpwstr>
      </vt:variant>
      <vt:variant>
        <vt:i4>1507382</vt:i4>
      </vt:variant>
      <vt:variant>
        <vt:i4>3059</vt:i4>
      </vt:variant>
      <vt:variant>
        <vt:i4>0</vt:i4>
      </vt:variant>
      <vt:variant>
        <vt:i4>5</vt:i4>
      </vt:variant>
      <vt:variant>
        <vt:lpwstr/>
      </vt:variant>
      <vt:variant>
        <vt:lpwstr>_Toc496869281</vt:lpwstr>
      </vt:variant>
      <vt:variant>
        <vt:i4>1507382</vt:i4>
      </vt:variant>
      <vt:variant>
        <vt:i4>3053</vt:i4>
      </vt:variant>
      <vt:variant>
        <vt:i4>0</vt:i4>
      </vt:variant>
      <vt:variant>
        <vt:i4>5</vt:i4>
      </vt:variant>
      <vt:variant>
        <vt:lpwstr/>
      </vt:variant>
      <vt:variant>
        <vt:lpwstr>_Toc496869280</vt:lpwstr>
      </vt:variant>
      <vt:variant>
        <vt:i4>1572918</vt:i4>
      </vt:variant>
      <vt:variant>
        <vt:i4>3047</vt:i4>
      </vt:variant>
      <vt:variant>
        <vt:i4>0</vt:i4>
      </vt:variant>
      <vt:variant>
        <vt:i4>5</vt:i4>
      </vt:variant>
      <vt:variant>
        <vt:lpwstr/>
      </vt:variant>
      <vt:variant>
        <vt:lpwstr>_Toc496869279</vt:lpwstr>
      </vt:variant>
      <vt:variant>
        <vt:i4>1572918</vt:i4>
      </vt:variant>
      <vt:variant>
        <vt:i4>3041</vt:i4>
      </vt:variant>
      <vt:variant>
        <vt:i4>0</vt:i4>
      </vt:variant>
      <vt:variant>
        <vt:i4>5</vt:i4>
      </vt:variant>
      <vt:variant>
        <vt:lpwstr/>
      </vt:variant>
      <vt:variant>
        <vt:lpwstr>_Toc496869278</vt:lpwstr>
      </vt:variant>
      <vt:variant>
        <vt:i4>1572918</vt:i4>
      </vt:variant>
      <vt:variant>
        <vt:i4>3035</vt:i4>
      </vt:variant>
      <vt:variant>
        <vt:i4>0</vt:i4>
      </vt:variant>
      <vt:variant>
        <vt:i4>5</vt:i4>
      </vt:variant>
      <vt:variant>
        <vt:lpwstr/>
      </vt:variant>
      <vt:variant>
        <vt:lpwstr>_Toc496869277</vt:lpwstr>
      </vt:variant>
      <vt:variant>
        <vt:i4>1572918</vt:i4>
      </vt:variant>
      <vt:variant>
        <vt:i4>3029</vt:i4>
      </vt:variant>
      <vt:variant>
        <vt:i4>0</vt:i4>
      </vt:variant>
      <vt:variant>
        <vt:i4>5</vt:i4>
      </vt:variant>
      <vt:variant>
        <vt:lpwstr/>
      </vt:variant>
      <vt:variant>
        <vt:lpwstr>_Toc496869276</vt:lpwstr>
      </vt:variant>
      <vt:variant>
        <vt:i4>1572918</vt:i4>
      </vt:variant>
      <vt:variant>
        <vt:i4>3023</vt:i4>
      </vt:variant>
      <vt:variant>
        <vt:i4>0</vt:i4>
      </vt:variant>
      <vt:variant>
        <vt:i4>5</vt:i4>
      </vt:variant>
      <vt:variant>
        <vt:lpwstr/>
      </vt:variant>
      <vt:variant>
        <vt:lpwstr>_Toc496869275</vt:lpwstr>
      </vt:variant>
      <vt:variant>
        <vt:i4>1572918</vt:i4>
      </vt:variant>
      <vt:variant>
        <vt:i4>3017</vt:i4>
      </vt:variant>
      <vt:variant>
        <vt:i4>0</vt:i4>
      </vt:variant>
      <vt:variant>
        <vt:i4>5</vt:i4>
      </vt:variant>
      <vt:variant>
        <vt:lpwstr/>
      </vt:variant>
      <vt:variant>
        <vt:lpwstr>_Toc496869274</vt:lpwstr>
      </vt:variant>
      <vt:variant>
        <vt:i4>1572918</vt:i4>
      </vt:variant>
      <vt:variant>
        <vt:i4>3011</vt:i4>
      </vt:variant>
      <vt:variant>
        <vt:i4>0</vt:i4>
      </vt:variant>
      <vt:variant>
        <vt:i4>5</vt:i4>
      </vt:variant>
      <vt:variant>
        <vt:lpwstr/>
      </vt:variant>
      <vt:variant>
        <vt:lpwstr>_Toc496869273</vt:lpwstr>
      </vt:variant>
      <vt:variant>
        <vt:i4>1572918</vt:i4>
      </vt:variant>
      <vt:variant>
        <vt:i4>3005</vt:i4>
      </vt:variant>
      <vt:variant>
        <vt:i4>0</vt:i4>
      </vt:variant>
      <vt:variant>
        <vt:i4>5</vt:i4>
      </vt:variant>
      <vt:variant>
        <vt:lpwstr/>
      </vt:variant>
      <vt:variant>
        <vt:lpwstr>_Toc496869272</vt:lpwstr>
      </vt:variant>
      <vt:variant>
        <vt:i4>1572918</vt:i4>
      </vt:variant>
      <vt:variant>
        <vt:i4>2999</vt:i4>
      </vt:variant>
      <vt:variant>
        <vt:i4>0</vt:i4>
      </vt:variant>
      <vt:variant>
        <vt:i4>5</vt:i4>
      </vt:variant>
      <vt:variant>
        <vt:lpwstr/>
      </vt:variant>
      <vt:variant>
        <vt:lpwstr>_Toc496869271</vt:lpwstr>
      </vt:variant>
      <vt:variant>
        <vt:i4>1572918</vt:i4>
      </vt:variant>
      <vt:variant>
        <vt:i4>2993</vt:i4>
      </vt:variant>
      <vt:variant>
        <vt:i4>0</vt:i4>
      </vt:variant>
      <vt:variant>
        <vt:i4>5</vt:i4>
      </vt:variant>
      <vt:variant>
        <vt:lpwstr/>
      </vt:variant>
      <vt:variant>
        <vt:lpwstr>_Toc496869270</vt:lpwstr>
      </vt:variant>
      <vt:variant>
        <vt:i4>1638454</vt:i4>
      </vt:variant>
      <vt:variant>
        <vt:i4>2987</vt:i4>
      </vt:variant>
      <vt:variant>
        <vt:i4>0</vt:i4>
      </vt:variant>
      <vt:variant>
        <vt:i4>5</vt:i4>
      </vt:variant>
      <vt:variant>
        <vt:lpwstr/>
      </vt:variant>
      <vt:variant>
        <vt:lpwstr>_Toc496869269</vt:lpwstr>
      </vt:variant>
      <vt:variant>
        <vt:i4>1638454</vt:i4>
      </vt:variant>
      <vt:variant>
        <vt:i4>2981</vt:i4>
      </vt:variant>
      <vt:variant>
        <vt:i4>0</vt:i4>
      </vt:variant>
      <vt:variant>
        <vt:i4>5</vt:i4>
      </vt:variant>
      <vt:variant>
        <vt:lpwstr/>
      </vt:variant>
      <vt:variant>
        <vt:lpwstr>_Toc496869268</vt:lpwstr>
      </vt:variant>
      <vt:variant>
        <vt:i4>1638454</vt:i4>
      </vt:variant>
      <vt:variant>
        <vt:i4>2975</vt:i4>
      </vt:variant>
      <vt:variant>
        <vt:i4>0</vt:i4>
      </vt:variant>
      <vt:variant>
        <vt:i4>5</vt:i4>
      </vt:variant>
      <vt:variant>
        <vt:lpwstr/>
      </vt:variant>
      <vt:variant>
        <vt:lpwstr>_Toc496869267</vt:lpwstr>
      </vt:variant>
      <vt:variant>
        <vt:i4>1638454</vt:i4>
      </vt:variant>
      <vt:variant>
        <vt:i4>2969</vt:i4>
      </vt:variant>
      <vt:variant>
        <vt:i4>0</vt:i4>
      </vt:variant>
      <vt:variant>
        <vt:i4>5</vt:i4>
      </vt:variant>
      <vt:variant>
        <vt:lpwstr/>
      </vt:variant>
      <vt:variant>
        <vt:lpwstr>_Toc496869266</vt:lpwstr>
      </vt:variant>
      <vt:variant>
        <vt:i4>1638454</vt:i4>
      </vt:variant>
      <vt:variant>
        <vt:i4>2963</vt:i4>
      </vt:variant>
      <vt:variant>
        <vt:i4>0</vt:i4>
      </vt:variant>
      <vt:variant>
        <vt:i4>5</vt:i4>
      </vt:variant>
      <vt:variant>
        <vt:lpwstr/>
      </vt:variant>
      <vt:variant>
        <vt:lpwstr>_Toc496869265</vt:lpwstr>
      </vt:variant>
      <vt:variant>
        <vt:i4>1638454</vt:i4>
      </vt:variant>
      <vt:variant>
        <vt:i4>2957</vt:i4>
      </vt:variant>
      <vt:variant>
        <vt:i4>0</vt:i4>
      </vt:variant>
      <vt:variant>
        <vt:i4>5</vt:i4>
      </vt:variant>
      <vt:variant>
        <vt:lpwstr/>
      </vt:variant>
      <vt:variant>
        <vt:lpwstr>_Toc496869264</vt:lpwstr>
      </vt:variant>
      <vt:variant>
        <vt:i4>1638454</vt:i4>
      </vt:variant>
      <vt:variant>
        <vt:i4>2951</vt:i4>
      </vt:variant>
      <vt:variant>
        <vt:i4>0</vt:i4>
      </vt:variant>
      <vt:variant>
        <vt:i4>5</vt:i4>
      </vt:variant>
      <vt:variant>
        <vt:lpwstr/>
      </vt:variant>
      <vt:variant>
        <vt:lpwstr>_Toc496869263</vt:lpwstr>
      </vt:variant>
      <vt:variant>
        <vt:i4>1638454</vt:i4>
      </vt:variant>
      <vt:variant>
        <vt:i4>2945</vt:i4>
      </vt:variant>
      <vt:variant>
        <vt:i4>0</vt:i4>
      </vt:variant>
      <vt:variant>
        <vt:i4>5</vt:i4>
      </vt:variant>
      <vt:variant>
        <vt:lpwstr/>
      </vt:variant>
      <vt:variant>
        <vt:lpwstr>_Toc496869262</vt:lpwstr>
      </vt:variant>
      <vt:variant>
        <vt:i4>1638454</vt:i4>
      </vt:variant>
      <vt:variant>
        <vt:i4>2939</vt:i4>
      </vt:variant>
      <vt:variant>
        <vt:i4>0</vt:i4>
      </vt:variant>
      <vt:variant>
        <vt:i4>5</vt:i4>
      </vt:variant>
      <vt:variant>
        <vt:lpwstr/>
      </vt:variant>
      <vt:variant>
        <vt:lpwstr>_Toc496869261</vt:lpwstr>
      </vt:variant>
      <vt:variant>
        <vt:i4>1638454</vt:i4>
      </vt:variant>
      <vt:variant>
        <vt:i4>2933</vt:i4>
      </vt:variant>
      <vt:variant>
        <vt:i4>0</vt:i4>
      </vt:variant>
      <vt:variant>
        <vt:i4>5</vt:i4>
      </vt:variant>
      <vt:variant>
        <vt:lpwstr/>
      </vt:variant>
      <vt:variant>
        <vt:lpwstr>_Toc496869260</vt:lpwstr>
      </vt:variant>
      <vt:variant>
        <vt:i4>1703990</vt:i4>
      </vt:variant>
      <vt:variant>
        <vt:i4>2927</vt:i4>
      </vt:variant>
      <vt:variant>
        <vt:i4>0</vt:i4>
      </vt:variant>
      <vt:variant>
        <vt:i4>5</vt:i4>
      </vt:variant>
      <vt:variant>
        <vt:lpwstr/>
      </vt:variant>
      <vt:variant>
        <vt:lpwstr>_Toc496869259</vt:lpwstr>
      </vt:variant>
      <vt:variant>
        <vt:i4>1703990</vt:i4>
      </vt:variant>
      <vt:variant>
        <vt:i4>2921</vt:i4>
      </vt:variant>
      <vt:variant>
        <vt:i4>0</vt:i4>
      </vt:variant>
      <vt:variant>
        <vt:i4>5</vt:i4>
      </vt:variant>
      <vt:variant>
        <vt:lpwstr/>
      </vt:variant>
      <vt:variant>
        <vt:lpwstr>_Toc496869258</vt:lpwstr>
      </vt:variant>
      <vt:variant>
        <vt:i4>1703990</vt:i4>
      </vt:variant>
      <vt:variant>
        <vt:i4>2915</vt:i4>
      </vt:variant>
      <vt:variant>
        <vt:i4>0</vt:i4>
      </vt:variant>
      <vt:variant>
        <vt:i4>5</vt:i4>
      </vt:variant>
      <vt:variant>
        <vt:lpwstr/>
      </vt:variant>
      <vt:variant>
        <vt:lpwstr>_Toc496869257</vt:lpwstr>
      </vt:variant>
      <vt:variant>
        <vt:i4>1703990</vt:i4>
      </vt:variant>
      <vt:variant>
        <vt:i4>2909</vt:i4>
      </vt:variant>
      <vt:variant>
        <vt:i4>0</vt:i4>
      </vt:variant>
      <vt:variant>
        <vt:i4>5</vt:i4>
      </vt:variant>
      <vt:variant>
        <vt:lpwstr/>
      </vt:variant>
      <vt:variant>
        <vt:lpwstr>_Toc496869256</vt:lpwstr>
      </vt:variant>
      <vt:variant>
        <vt:i4>1703990</vt:i4>
      </vt:variant>
      <vt:variant>
        <vt:i4>2903</vt:i4>
      </vt:variant>
      <vt:variant>
        <vt:i4>0</vt:i4>
      </vt:variant>
      <vt:variant>
        <vt:i4>5</vt:i4>
      </vt:variant>
      <vt:variant>
        <vt:lpwstr/>
      </vt:variant>
      <vt:variant>
        <vt:lpwstr>_Toc496869255</vt:lpwstr>
      </vt:variant>
      <vt:variant>
        <vt:i4>1703990</vt:i4>
      </vt:variant>
      <vt:variant>
        <vt:i4>2897</vt:i4>
      </vt:variant>
      <vt:variant>
        <vt:i4>0</vt:i4>
      </vt:variant>
      <vt:variant>
        <vt:i4>5</vt:i4>
      </vt:variant>
      <vt:variant>
        <vt:lpwstr/>
      </vt:variant>
      <vt:variant>
        <vt:lpwstr>_Toc496869254</vt:lpwstr>
      </vt:variant>
      <vt:variant>
        <vt:i4>1703990</vt:i4>
      </vt:variant>
      <vt:variant>
        <vt:i4>2891</vt:i4>
      </vt:variant>
      <vt:variant>
        <vt:i4>0</vt:i4>
      </vt:variant>
      <vt:variant>
        <vt:i4>5</vt:i4>
      </vt:variant>
      <vt:variant>
        <vt:lpwstr/>
      </vt:variant>
      <vt:variant>
        <vt:lpwstr>_Toc496869253</vt:lpwstr>
      </vt:variant>
      <vt:variant>
        <vt:i4>1703990</vt:i4>
      </vt:variant>
      <vt:variant>
        <vt:i4>2885</vt:i4>
      </vt:variant>
      <vt:variant>
        <vt:i4>0</vt:i4>
      </vt:variant>
      <vt:variant>
        <vt:i4>5</vt:i4>
      </vt:variant>
      <vt:variant>
        <vt:lpwstr/>
      </vt:variant>
      <vt:variant>
        <vt:lpwstr>_Toc496869252</vt:lpwstr>
      </vt:variant>
      <vt:variant>
        <vt:i4>1703990</vt:i4>
      </vt:variant>
      <vt:variant>
        <vt:i4>2879</vt:i4>
      </vt:variant>
      <vt:variant>
        <vt:i4>0</vt:i4>
      </vt:variant>
      <vt:variant>
        <vt:i4>5</vt:i4>
      </vt:variant>
      <vt:variant>
        <vt:lpwstr/>
      </vt:variant>
      <vt:variant>
        <vt:lpwstr>_Toc496869251</vt:lpwstr>
      </vt:variant>
      <vt:variant>
        <vt:i4>1703990</vt:i4>
      </vt:variant>
      <vt:variant>
        <vt:i4>2873</vt:i4>
      </vt:variant>
      <vt:variant>
        <vt:i4>0</vt:i4>
      </vt:variant>
      <vt:variant>
        <vt:i4>5</vt:i4>
      </vt:variant>
      <vt:variant>
        <vt:lpwstr/>
      </vt:variant>
      <vt:variant>
        <vt:lpwstr>_Toc496869250</vt:lpwstr>
      </vt:variant>
      <vt:variant>
        <vt:i4>1769526</vt:i4>
      </vt:variant>
      <vt:variant>
        <vt:i4>2867</vt:i4>
      </vt:variant>
      <vt:variant>
        <vt:i4>0</vt:i4>
      </vt:variant>
      <vt:variant>
        <vt:i4>5</vt:i4>
      </vt:variant>
      <vt:variant>
        <vt:lpwstr/>
      </vt:variant>
      <vt:variant>
        <vt:lpwstr>_Toc496869249</vt:lpwstr>
      </vt:variant>
      <vt:variant>
        <vt:i4>1769526</vt:i4>
      </vt:variant>
      <vt:variant>
        <vt:i4>2861</vt:i4>
      </vt:variant>
      <vt:variant>
        <vt:i4>0</vt:i4>
      </vt:variant>
      <vt:variant>
        <vt:i4>5</vt:i4>
      </vt:variant>
      <vt:variant>
        <vt:lpwstr/>
      </vt:variant>
      <vt:variant>
        <vt:lpwstr>_Toc496869248</vt:lpwstr>
      </vt:variant>
      <vt:variant>
        <vt:i4>1769526</vt:i4>
      </vt:variant>
      <vt:variant>
        <vt:i4>2855</vt:i4>
      </vt:variant>
      <vt:variant>
        <vt:i4>0</vt:i4>
      </vt:variant>
      <vt:variant>
        <vt:i4>5</vt:i4>
      </vt:variant>
      <vt:variant>
        <vt:lpwstr/>
      </vt:variant>
      <vt:variant>
        <vt:lpwstr>_Toc496869247</vt:lpwstr>
      </vt:variant>
      <vt:variant>
        <vt:i4>1769526</vt:i4>
      </vt:variant>
      <vt:variant>
        <vt:i4>2849</vt:i4>
      </vt:variant>
      <vt:variant>
        <vt:i4>0</vt:i4>
      </vt:variant>
      <vt:variant>
        <vt:i4>5</vt:i4>
      </vt:variant>
      <vt:variant>
        <vt:lpwstr/>
      </vt:variant>
      <vt:variant>
        <vt:lpwstr>_Toc496869246</vt:lpwstr>
      </vt:variant>
      <vt:variant>
        <vt:i4>1769526</vt:i4>
      </vt:variant>
      <vt:variant>
        <vt:i4>2843</vt:i4>
      </vt:variant>
      <vt:variant>
        <vt:i4>0</vt:i4>
      </vt:variant>
      <vt:variant>
        <vt:i4>5</vt:i4>
      </vt:variant>
      <vt:variant>
        <vt:lpwstr/>
      </vt:variant>
      <vt:variant>
        <vt:lpwstr>_Toc496869245</vt:lpwstr>
      </vt:variant>
      <vt:variant>
        <vt:i4>1769526</vt:i4>
      </vt:variant>
      <vt:variant>
        <vt:i4>2837</vt:i4>
      </vt:variant>
      <vt:variant>
        <vt:i4>0</vt:i4>
      </vt:variant>
      <vt:variant>
        <vt:i4>5</vt:i4>
      </vt:variant>
      <vt:variant>
        <vt:lpwstr/>
      </vt:variant>
      <vt:variant>
        <vt:lpwstr>_Toc496869244</vt:lpwstr>
      </vt:variant>
      <vt:variant>
        <vt:i4>1769526</vt:i4>
      </vt:variant>
      <vt:variant>
        <vt:i4>2831</vt:i4>
      </vt:variant>
      <vt:variant>
        <vt:i4>0</vt:i4>
      </vt:variant>
      <vt:variant>
        <vt:i4>5</vt:i4>
      </vt:variant>
      <vt:variant>
        <vt:lpwstr/>
      </vt:variant>
      <vt:variant>
        <vt:lpwstr>_Toc496869243</vt:lpwstr>
      </vt:variant>
      <vt:variant>
        <vt:i4>1769526</vt:i4>
      </vt:variant>
      <vt:variant>
        <vt:i4>2825</vt:i4>
      </vt:variant>
      <vt:variant>
        <vt:i4>0</vt:i4>
      </vt:variant>
      <vt:variant>
        <vt:i4>5</vt:i4>
      </vt:variant>
      <vt:variant>
        <vt:lpwstr/>
      </vt:variant>
      <vt:variant>
        <vt:lpwstr>_Toc496869242</vt:lpwstr>
      </vt:variant>
      <vt:variant>
        <vt:i4>1769526</vt:i4>
      </vt:variant>
      <vt:variant>
        <vt:i4>2819</vt:i4>
      </vt:variant>
      <vt:variant>
        <vt:i4>0</vt:i4>
      </vt:variant>
      <vt:variant>
        <vt:i4>5</vt:i4>
      </vt:variant>
      <vt:variant>
        <vt:lpwstr/>
      </vt:variant>
      <vt:variant>
        <vt:lpwstr>_Toc496869241</vt:lpwstr>
      </vt:variant>
      <vt:variant>
        <vt:i4>1769526</vt:i4>
      </vt:variant>
      <vt:variant>
        <vt:i4>2813</vt:i4>
      </vt:variant>
      <vt:variant>
        <vt:i4>0</vt:i4>
      </vt:variant>
      <vt:variant>
        <vt:i4>5</vt:i4>
      </vt:variant>
      <vt:variant>
        <vt:lpwstr/>
      </vt:variant>
      <vt:variant>
        <vt:lpwstr>_Toc496869240</vt:lpwstr>
      </vt:variant>
      <vt:variant>
        <vt:i4>1835062</vt:i4>
      </vt:variant>
      <vt:variant>
        <vt:i4>2807</vt:i4>
      </vt:variant>
      <vt:variant>
        <vt:i4>0</vt:i4>
      </vt:variant>
      <vt:variant>
        <vt:i4>5</vt:i4>
      </vt:variant>
      <vt:variant>
        <vt:lpwstr/>
      </vt:variant>
      <vt:variant>
        <vt:lpwstr>_Toc496869239</vt:lpwstr>
      </vt:variant>
      <vt:variant>
        <vt:i4>1835062</vt:i4>
      </vt:variant>
      <vt:variant>
        <vt:i4>2801</vt:i4>
      </vt:variant>
      <vt:variant>
        <vt:i4>0</vt:i4>
      </vt:variant>
      <vt:variant>
        <vt:i4>5</vt:i4>
      </vt:variant>
      <vt:variant>
        <vt:lpwstr/>
      </vt:variant>
      <vt:variant>
        <vt:lpwstr>_Toc496869238</vt:lpwstr>
      </vt:variant>
      <vt:variant>
        <vt:i4>1835062</vt:i4>
      </vt:variant>
      <vt:variant>
        <vt:i4>2795</vt:i4>
      </vt:variant>
      <vt:variant>
        <vt:i4>0</vt:i4>
      </vt:variant>
      <vt:variant>
        <vt:i4>5</vt:i4>
      </vt:variant>
      <vt:variant>
        <vt:lpwstr/>
      </vt:variant>
      <vt:variant>
        <vt:lpwstr>_Toc496869237</vt:lpwstr>
      </vt:variant>
      <vt:variant>
        <vt:i4>1835062</vt:i4>
      </vt:variant>
      <vt:variant>
        <vt:i4>2789</vt:i4>
      </vt:variant>
      <vt:variant>
        <vt:i4>0</vt:i4>
      </vt:variant>
      <vt:variant>
        <vt:i4>5</vt:i4>
      </vt:variant>
      <vt:variant>
        <vt:lpwstr/>
      </vt:variant>
      <vt:variant>
        <vt:lpwstr>_Toc496869236</vt:lpwstr>
      </vt:variant>
      <vt:variant>
        <vt:i4>1835062</vt:i4>
      </vt:variant>
      <vt:variant>
        <vt:i4>2783</vt:i4>
      </vt:variant>
      <vt:variant>
        <vt:i4>0</vt:i4>
      </vt:variant>
      <vt:variant>
        <vt:i4>5</vt:i4>
      </vt:variant>
      <vt:variant>
        <vt:lpwstr/>
      </vt:variant>
      <vt:variant>
        <vt:lpwstr>_Toc496869235</vt:lpwstr>
      </vt:variant>
      <vt:variant>
        <vt:i4>1835062</vt:i4>
      </vt:variant>
      <vt:variant>
        <vt:i4>2777</vt:i4>
      </vt:variant>
      <vt:variant>
        <vt:i4>0</vt:i4>
      </vt:variant>
      <vt:variant>
        <vt:i4>5</vt:i4>
      </vt:variant>
      <vt:variant>
        <vt:lpwstr/>
      </vt:variant>
      <vt:variant>
        <vt:lpwstr>_Toc496869234</vt:lpwstr>
      </vt:variant>
      <vt:variant>
        <vt:i4>1835062</vt:i4>
      </vt:variant>
      <vt:variant>
        <vt:i4>2771</vt:i4>
      </vt:variant>
      <vt:variant>
        <vt:i4>0</vt:i4>
      </vt:variant>
      <vt:variant>
        <vt:i4>5</vt:i4>
      </vt:variant>
      <vt:variant>
        <vt:lpwstr/>
      </vt:variant>
      <vt:variant>
        <vt:lpwstr>_Toc496869233</vt:lpwstr>
      </vt:variant>
      <vt:variant>
        <vt:i4>1835062</vt:i4>
      </vt:variant>
      <vt:variant>
        <vt:i4>2765</vt:i4>
      </vt:variant>
      <vt:variant>
        <vt:i4>0</vt:i4>
      </vt:variant>
      <vt:variant>
        <vt:i4>5</vt:i4>
      </vt:variant>
      <vt:variant>
        <vt:lpwstr/>
      </vt:variant>
      <vt:variant>
        <vt:lpwstr>_Toc496869232</vt:lpwstr>
      </vt:variant>
      <vt:variant>
        <vt:i4>1835062</vt:i4>
      </vt:variant>
      <vt:variant>
        <vt:i4>2759</vt:i4>
      </vt:variant>
      <vt:variant>
        <vt:i4>0</vt:i4>
      </vt:variant>
      <vt:variant>
        <vt:i4>5</vt:i4>
      </vt:variant>
      <vt:variant>
        <vt:lpwstr/>
      </vt:variant>
      <vt:variant>
        <vt:lpwstr>_Toc496869231</vt:lpwstr>
      </vt:variant>
      <vt:variant>
        <vt:i4>1835062</vt:i4>
      </vt:variant>
      <vt:variant>
        <vt:i4>2753</vt:i4>
      </vt:variant>
      <vt:variant>
        <vt:i4>0</vt:i4>
      </vt:variant>
      <vt:variant>
        <vt:i4>5</vt:i4>
      </vt:variant>
      <vt:variant>
        <vt:lpwstr/>
      </vt:variant>
      <vt:variant>
        <vt:lpwstr>_Toc496869230</vt:lpwstr>
      </vt:variant>
      <vt:variant>
        <vt:i4>1900598</vt:i4>
      </vt:variant>
      <vt:variant>
        <vt:i4>2747</vt:i4>
      </vt:variant>
      <vt:variant>
        <vt:i4>0</vt:i4>
      </vt:variant>
      <vt:variant>
        <vt:i4>5</vt:i4>
      </vt:variant>
      <vt:variant>
        <vt:lpwstr/>
      </vt:variant>
      <vt:variant>
        <vt:lpwstr>_Toc496869229</vt:lpwstr>
      </vt:variant>
      <vt:variant>
        <vt:i4>1900598</vt:i4>
      </vt:variant>
      <vt:variant>
        <vt:i4>2741</vt:i4>
      </vt:variant>
      <vt:variant>
        <vt:i4>0</vt:i4>
      </vt:variant>
      <vt:variant>
        <vt:i4>5</vt:i4>
      </vt:variant>
      <vt:variant>
        <vt:lpwstr/>
      </vt:variant>
      <vt:variant>
        <vt:lpwstr>_Toc496869228</vt:lpwstr>
      </vt:variant>
      <vt:variant>
        <vt:i4>1900598</vt:i4>
      </vt:variant>
      <vt:variant>
        <vt:i4>2735</vt:i4>
      </vt:variant>
      <vt:variant>
        <vt:i4>0</vt:i4>
      </vt:variant>
      <vt:variant>
        <vt:i4>5</vt:i4>
      </vt:variant>
      <vt:variant>
        <vt:lpwstr/>
      </vt:variant>
      <vt:variant>
        <vt:lpwstr>_Toc496869227</vt:lpwstr>
      </vt:variant>
      <vt:variant>
        <vt:i4>1900598</vt:i4>
      </vt:variant>
      <vt:variant>
        <vt:i4>2729</vt:i4>
      </vt:variant>
      <vt:variant>
        <vt:i4>0</vt:i4>
      </vt:variant>
      <vt:variant>
        <vt:i4>5</vt:i4>
      </vt:variant>
      <vt:variant>
        <vt:lpwstr/>
      </vt:variant>
      <vt:variant>
        <vt:lpwstr>_Toc496869226</vt:lpwstr>
      </vt:variant>
      <vt:variant>
        <vt:i4>1900598</vt:i4>
      </vt:variant>
      <vt:variant>
        <vt:i4>2723</vt:i4>
      </vt:variant>
      <vt:variant>
        <vt:i4>0</vt:i4>
      </vt:variant>
      <vt:variant>
        <vt:i4>5</vt:i4>
      </vt:variant>
      <vt:variant>
        <vt:lpwstr/>
      </vt:variant>
      <vt:variant>
        <vt:lpwstr>_Toc496869225</vt:lpwstr>
      </vt:variant>
      <vt:variant>
        <vt:i4>1900598</vt:i4>
      </vt:variant>
      <vt:variant>
        <vt:i4>2717</vt:i4>
      </vt:variant>
      <vt:variant>
        <vt:i4>0</vt:i4>
      </vt:variant>
      <vt:variant>
        <vt:i4>5</vt:i4>
      </vt:variant>
      <vt:variant>
        <vt:lpwstr/>
      </vt:variant>
      <vt:variant>
        <vt:lpwstr>_Toc496869224</vt:lpwstr>
      </vt:variant>
      <vt:variant>
        <vt:i4>1900598</vt:i4>
      </vt:variant>
      <vt:variant>
        <vt:i4>2711</vt:i4>
      </vt:variant>
      <vt:variant>
        <vt:i4>0</vt:i4>
      </vt:variant>
      <vt:variant>
        <vt:i4>5</vt:i4>
      </vt:variant>
      <vt:variant>
        <vt:lpwstr/>
      </vt:variant>
      <vt:variant>
        <vt:lpwstr>_Toc496869223</vt:lpwstr>
      </vt:variant>
      <vt:variant>
        <vt:i4>1900598</vt:i4>
      </vt:variant>
      <vt:variant>
        <vt:i4>2705</vt:i4>
      </vt:variant>
      <vt:variant>
        <vt:i4>0</vt:i4>
      </vt:variant>
      <vt:variant>
        <vt:i4>5</vt:i4>
      </vt:variant>
      <vt:variant>
        <vt:lpwstr/>
      </vt:variant>
      <vt:variant>
        <vt:lpwstr>_Toc496869222</vt:lpwstr>
      </vt:variant>
      <vt:variant>
        <vt:i4>1900598</vt:i4>
      </vt:variant>
      <vt:variant>
        <vt:i4>2699</vt:i4>
      </vt:variant>
      <vt:variant>
        <vt:i4>0</vt:i4>
      </vt:variant>
      <vt:variant>
        <vt:i4>5</vt:i4>
      </vt:variant>
      <vt:variant>
        <vt:lpwstr/>
      </vt:variant>
      <vt:variant>
        <vt:lpwstr>_Toc496869221</vt:lpwstr>
      </vt:variant>
      <vt:variant>
        <vt:i4>1900598</vt:i4>
      </vt:variant>
      <vt:variant>
        <vt:i4>2693</vt:i4>
      </vt:variant>
      <vt:variant>
        <vt:i4>0</vt:i4>
      </vt:variant>
      <vt:variant>
        <vt:i4>5</vt:i4>
      </vt:variant>
      <vt:variant>
        <vt:lpwstr/>
      </vt:variant>
      <vt:variant>
        <vt:lpwstr>_Toc496869220</vt:lpwstr>
      </vt:variant>
      <vt:variant>
        <vt:i4>1966134</vt:i4>
      </vt:variant>
      <vt:variant>
        <vt:i4>2687</vt:i4>
      </vt:variant>
      <vt:variant>
        <vt:i4>0</vt:i4>
      </vt:variant>
      <vt:variant>
        <vt:i4>5</vt:i4>
      </vt:variant>
      <vt:variant>
        <vt:lpwstr/>
      </vt:variant>
      <vt:variant>
        <vt:lpwstr>_Toc496869219</vt:lpwstr>
      </vt:variant>
      <vt:variant>
        <vt:i4>1966134</vt:i4>
      </vt:variant>
      <vt:variant>
        <vt:i4>2681</vt:i4>
      </vt:variant>
      <vt:variant>
        <vt:i4>0</vt:i4>
      </vt:variant>
      <vt:variant>
        <vt:i4>5</vt:i4>
      </vt:variant>
      <vt:variant>
        <vt:lpwstr/>
      </vt:variant>
      <vt:variant>
        <vt:lpwstr>_Toc496869218</vt:lpwstr>
      </vt:variant>
      <vt:variant>
        <vt:i4>1966134</vt:i4>
      </vt:variant>
      <vt:variant>
        <vt:i4>2675</vt:i4>
      </vt:variant>
      <vt:variant>
        <vt:i4>0</vt:i4>
      </vt:variant>
      <vt:variant>
        <vt:i4>5</vt:i4>
      </vt:variant>
      <vt:variant>
        <vt:lpwstr/>
      </vt:variant>
      <vt:variant>
        <vt:lpwstr>_Toc496869217</vt:lpwstr>
      </vt:variant>
      <vt:variant>
        <vt:i4>1966134</vt:i4>
      </vt:variant>
      <vt:variant>
        <vt:i4>2669</vt:i4>
      </vt:variant>
      <vt:variant>
        <vt:i4>0</vt:i4>
      </vt:variant>
      <vt:variant>
        <vt:i4>5</vt:i4>
      </vt:variant>
      <vt:variant>
        <vt:lpwstr/>
      </vt:variant>
      <vt:variant>
        <vt:lpwstr>_Toc496869216</vt:lpwstr>
      </vt:variant>
      <vt:variant>
        <vt:i4>1966134</vt:i4>
      </vt:variant>
      <vt:variant>
        <vt:i4>2663</vt:i4>
      </vt:variant>
      <vt:variant>
        <vt:i4>0</vt:i4>
      </vt:variant>
      <vt:variant>
        <vt:i4>5</vt:i4>
      </vt:variant>
      <vt:variant>
        <vt:lpwstr/>
      </vt:variant>
      <vt:variant>
        <vt:lpwstr>_Toc496869215</vt:lpwstr>
      </vt:variant>
      <vt:variant>
        <vt:i4>1966134</vt:i4>
      </vt:variant>
      <vt:variant>
        <vt:i4>2657</vt:i4>
      </vt:variant>
      <vt:variant>
        <vt:i4>0</vt:i4>
      </vt:variant>
      <vt:variant>
        <vt:i4>5</vt:i4>
      </vt:variant>
      <vt:variant>
        <vt:lpwstr/>
      </vt:variant>
      <vt:variant>
        <vt:lpwstr>_Toc496869214</vt:lpwstr>
      </vt:variant>
      <vt:variant>
        <vt:i4>1966134</vt:i4>
      </vt:variant>
      <vt:variant>
        <vt:i4>2651</vt:i4>
      </vt:variant>
      <vt:variant>
        <vt:i4>0</vt:i4>
      </vt:variant>
      <vt:variant>
        <vt:i4>5</vt:i4>
      </vt:variant>
      <vt:variant>
        <vt:lpwstr/>
      </vt:variant>
      <vt:variant>
        <vt:lpwstr>_Toc496869213</vt:lpwstr>
      </vt:variant>
      <vt:variant>
        <vt:i4>1966134</vt:i4>
      </vt:variant>
      <vt:variant>
        <vt:i4>2645</vt:i4>
      </vt:variant>
      <vt:variant>
        <vt:i4>0</vt:i4>
      </vt:variant>
      <vt:variant>
        <vt:i4>5</vt:i4>
      </vt:variant>
      <vt:variant>
        <vt:lpwstr/>
      </vt:variant>
      <vt:variant>
        <vt:lpwstr>_Toc496869212</vt:lpwstr>
      </vt:variant>
      <vt:variant>
        <vt:i4>1966134</vt:i4>
      </vt:variant>
      <vt:variant>
        <vt:i4>2639</vt:i4>
      </vt:variant>
      <vt:variant>
        <vt:i4>0</vt:i4>
      </vt:variant>
      <vt:variant>
        <vt:i4>5</vt:i4>
      </vt:variant>
      <vt:variant>
        <vt:lpwstr/>
      </vt:variant>
      <vt:variant>
        <vt:lpwstr>_Toc496869211</vt:lpwstr>
      </vt:variant>
      <vt:variant>
        <vt:i4>1966134</vt:i4>
      </vt:variant>
      <vt:variant>
        <vt:i4>2633</vt:i4>
      </vt:variant>
      <vt:variant>
        <vt:i4>0</vt:i4>
      </vt:variant>
      <vt:variant>
        <vt:i4>5</vt:i4>
      </vt:variant>
      <vt:variant>
        <vt:lpwstr/>
      </vt:variant>
      <vt:variant>
        <vt:lpwstr>_Toc496869210</vt:lpwstr>
      </vt:variant>
      <vt:variant>
        <vt:i4>2031670</vt:i4>
      </vt:variant>
      <vt:variant>
        <vt:i4>2627</vt:i4>
      </vt:variant>
      <vt:variant>
        <vt:i4>0</vt:i4>
      </vt:variant>
      <vt:variant>
        <vt:i4>5</vt:i4>
      </vt:variant>
      <vt:variant>
        <vt:lpwstr/>
      </vt:variant>
      <vt:variant>
        <vt:lpwstr>_Toc496869209</vt:lpwstr>
      </vt:variant>
      <vt:variant>
        <vt:i4>2031670</vt:i4>
      </vt:variant>
      <vt:variant>
        <vt:i4>2621</vt:i4>
      </vt:variant>
      <vt:variant>
        <vt:i4>0</vt:i4>
      </vt:variant>
      <vt:variant>
        <vt:i4>5</vt:i4>
      </vt:variant>
      <vt:variant>
        <vt:lpwstr/>
      </vt:variant>
      <vt:variant>
        <vt:lpwstr>_Toc496869208</vt:lpwstr>
      </vt:variant>
      <vt:variant>
        <vt:i4>2031670</vt:i4>
      </vt:variant>
      <vt:variant>
        <vt:i4>2615</vt:i4>
      </vt:variant>
      <vt:variant>
        <vt:i4>0</vt:i4>
      </vt:variant>
      <vt:variant>
        <vt:i4>5</vt:i4>
      </vt:variant>
      <vt:variant>
        <vt:lpwstr/>
      </vt:variant>
      <vt:variant>
        <vt:lpwstr>_Toc496869207</vt:lpwstr>
      </vt:variant>
      <vt:variant>
        <vt:i4>2031670</vt:i4>
      </vt:variant>
      <vt:variant>
        <vt:i4>2609</vt:i4>
      </vt:variant>
      <vt:variant>
        <vt:i4>0</vt:i4>
      </vt:variant>
      <vt:variant>
        <vt:i4>5</vt:i4>
      </vt:variant>
      <vt:variant>
        <vt:lpwstr/>
      </vt:variant>
      <vt:variant>
        <vt:lpwstr>_Toc496869206</vt:lpwstr>
      </vt:variant>
      <vt:variant>
        <vt:i4>2031670</vt:i4>
      </vt:variant>
      <vt:variant>
        <vt:i4>2603</vt:i4>
      </vt:variant>
      <vt:variant>
        <vt:i4>0</vt:i4>
      </vt:variant>
      <vt:variant>
        <vt:i4>5</vt:i4>
      </vt:variant>
      <vt:variant>
        <vt:lpwstr/>
      </vt:variant>
      <vt:variant>
        <vt:lpwstr>_Toc496869205</vt:lpwstr>
      </vt:variant>
      <vt:variant>
        <vt:i4>2031670</vt:i4>
      </vt:variant>
      <vt:variant>
        <vt:i4>2597</vt:i4>
      </vt:variant>
      <vt:variant>
        <vt:i4>0</vt:i4>
      </vt:variant>
      <vt:variant>
        <vt:i4>5</vt:i4>
      </vt:variant>
      <vt:variant>
        <vt:lpwstr/>
      </vt:variant>
      <vt:variant>
        <vt:lpwstr>_Toc496869204</vt:lpwstr>
      </vt:variant>
      <vt:variant>
        <vt:i4>2031670</vt:i4>
      </vt:variant>
      <vt:variant>
        <vt:i4>2591</vt:i4>
      </vt:variant>
      <vt:variant>
        <vt:i4>0</vt:i4>
      </vt:variant>
      <vt:variant>
        <vt:i4>5</vt:i4>
      </vt:variant>
      <vt:variant>
        <vt:lpwstr/>
      </vt:variant>
      <vt:variant>
        <vt:lpwstr>_Toc496869203</vt:lpwstr>
      </vt:variant>
      <vt:variant>
        <vt:i4>2031670</vt:i4>
      </vt:variant>
      <vt:variant>
        <vt:i4>2585</vt:i4>
      </vt:variant>
      <vt:variant>
        <vt:i4>0</vt:i4>
      </vt:variant>
      <vt:variant>
        <vt:i4>5</vt:i4>
      </vt:variant>
      <vt:variant>
        <vt:lpwstr/>
      </vt:variant>
      <vt:variant>
        <vt:lpwstr>_Toc496869202</vt:lpwstr>
      </vt:variant>
      <vt:variant>
        <vt:i4>2031670</vt:i4>
      </vt:variant>
      <vt:variant>
        <vt:i4>2579</vt:i4>
      </vt:variant>
      <vt:variant>
        <vt:i4>0</vt:i4>
      </vt:variant>
      <vt:variant>
        <vt:i4>5</vt:i4>
      </vt:variant>
      <vt:variant>
        <vt:lpwstr/>
      </vt:variant>
      <vt:variant>
        <vt:lpwstr>_Toc496869201</vt:lpwstr>
      </vt:variant>
      <vt:variant>
        <vt:i4>2031670</vt:i4>
      </vt:variant>
      <vt:variant>
        <vt:i4>2573</vt:i4>
      </vt:variant>
      <vt:variant>
        <vt:i4>0</vt:i4>
      </vt:variant>
      <vt:variant>
        <vt:i4>5</vt:i4>
      </vt:variant>
      <vt:variant>
        <vt:lpwstr/>
      </vt:variant>
      <vt:variant>
        <vt:lpwstr>_Toc496869200</vt:lpwstr>
      </vt:variant>
      <vt:variant>
        <vt:i4>1441845</vt:i4>
      </vt:variant>
      <vt:variant>
        <vt:i4>2567</vt:i4>
      </vt:variant>
      <vt:variant>
        <vt:i4>0</vt:i4>
      </vt:variant>
      <vt:variant>
        <vt:i4>5</vt:i4>
      </vt:variant>
      <vt:variant>
        <vt:lpwstr/>
      </vt:variant>
      <vt:variant>
        <vt:lpwstr>_Toc496869199</vt:lpwstr>
      </vt:variant>
      <vt:variant>
        <vt:i4>1441845</vt:i4>
      </vt:variant>
      <vt:variant>
        <vt:i4>2561</vt:i4>
      </vt:variant>
      <vt:variant>
        <vt:i4>0</vt:i4>
      </vt:variant>
      <vt:variant>
        <vt:i4>5</vt:i4>
      </vt:variant>
      <vt:variant>
        <vt:lpwstr/>
      </vt:variant>
      <vt:variant>
        <vt:lpwstr>_Toc496869198</vt:lpwstr>
      </vt:variant>
      <vt:variant>
        <vt:i4>1441845</vt:i4>
      </vt:variant>
      <vt:variant>
        <vt:i4>2555</vt:i4>
      </vt:variant>
      <vt:variant>
        <vt:i4>0</vt:i4>
      </vt:variant>
      <vt:variant>
        <vt:i4>5</vt:i4>
      </vt:variant>
      <vt:variant>
        <vt:lpwstr/>
      </vt:variant>
      <vt:variant>
        <vt:lpwstr>_Toc496869197</vt:lpwstr>
      </vt:variant>
      <vt:variant>
        <vt:i4>1441845</vt:i4>
      </vt:variant>
      <vt:variant>
        <vt:i4>2549</vt:i4>
      </vt:variant>
      <vt:variant>
        <vt:i4>0</vt:i4>
      </vt:variant>
      <vt:variant>
        <vt:i4>5</vt:i4>
      </vt:variant>
      <vt:variant>
        <vt:lpwstr/>
      </vt:variant>
      <vt:variant>
        <vt:lpwstr>_Toc496869196</vt:lpwstr>
      </vt:variant>
      <vt:variant>
        <vt:i4>1441845</vt:i4>
      </vt:variant>
      <vt:variant>
        <vt:i4>2543</vt:i4>
      </vt:variant>
      <vt:variant>
        <vt:i4>0</vt:i4>
      </vt:variant>
      <vt:variant>
        <vt:i4>5</vt:i4>
      </vt:variant>
      <vt:variant>
        <vt:lpwstr/>
      </vt:variant>
      <vt:variant>
        <vt:lpwstr>_Toc496869195</vt:lpwstr>
      </vt:variant>
      <vt:variant>
        <vt:i4>1441845</vt:i4>
      </vt:variant>
      <vt:variant>
        <vt:i4>2537</vt:i4>
      </vt:variant>
      <vt:variant>
        <vt:i4>0</vt:i4>
      </vt:variant>
      <vt:variant>
        <vt:i4>5</vt:i4>
      </vt:variant>
      <vt:variant>
        <vt:lpwstr/>
      </vt:variant>
      <vt:variant>
        <vt:lpwstr>_Toc496869194</vt:lpwstr>
      </vt:variant>
      <vt:variant>
        <vt:i4>1441845</vt:i4>
      </vt:variant>
      <vt:variant>
        <vt:i4>2531</vt:i4>
      </vt:variant>
      <vt:variant>
        <vt:i4>0</vt:i4>
      </vt:variant>
      <vt:variant>
        <vt:i4>5</vt:i4>
      </vt:variant>
      <vt:variant>
        <vt:lpwstr/>
      </vt:variant>
      <vt:variant>
        <vt:lpwstr>_Toc496869193</vt:lpwstr>
      </vt:variant>
      <vt:variant>
        <vt:i4>1441845</vt:i4>
      </vt:variant>
      <vt:variant>
        <vt:i4>2525</vt:i4>
      </vt:variant>
      <vt:variant>
        <vt:i4>0</vt:i4>
      </vt:variant>
      <vt:variant>
        <vt:i4>5</vt:i4>
      </vt:variant>
      <vt:variant>
        <vt:lpwstr/>
      </vt:variant>
      <vt:variant>
        <vt:lpwstr>_Toc496869192</vt:lpwstr>
      </vt:variant>
      <vt:variant>
        <vt:i4>1441845</vt:i4>
      </vt:variant>
      <vt:variant>
        <vt:i4>2519</vt:i4>
      </vt:variant>
      <vt:variant>
        <vt:i4>0</vt:i4>
      </vt:variant>
      <vt:variant>
        <vt:i4>5</vt:i4>
      </vt:variant>
      <vt:variant>
        <vt:lpwstr/>
      </vt:variant>
      <vt:variant>
        <vt:lpwstr>_Toc496869191</vt:lpwstr>
      </vt:variant>
      <vt:variant>
        <vt:i4>1441845</vt:i4>
      </vt:variant>
      <vt:variant>
        <vt:i4>2513</vt:i4>
      </vt:variant>
      <vt:variant>
        <vt:i4>0</vt:i4>
      </vt:variant>
      <vt:variant>
        <vt:i4>5</vt:i4>
      </vt:variant>
      <vt:variant>
        <vt:lpwstr/>
      </vt:variant>
      <vt:variant>
        <vt:lpwstr>_Toc496869190</vt:lpwstr>
      </vt:variant>
      <vt:variant>
        <vt:i4>1507381</vt:i4>
      </vt:variant>
      <vt:variant>
        <vt:i4>2507</vt:i4>
      </vt:variant>
      <vt:variant>
        <vt:i4>0</vt:i4>
      </vt:variant>
      <vt:variant>
        <vt:i4>5</vt:i4>
      </vt:variant>
      <vt:variant>
        <vt:lpwstr/>
      </vt:variant>
      <vt:variant>
        <vt:lpwstr>_Toc496869189</vt:lpwstr>
      </vt:variant>
      <vt:variant>
        <vt:i4>1507381</vt:i4>
      </vt:variant>
      <vt:variant>
        <vt:i4>2501</vt:i4>
      </vt:variant>
      <vt:variant>
        <vt:i4>0</vt:i4>
      </vt:variant>
      <vt:variant>
        <vt:i4>5</vt:i4>
      </vt:variant>
      <vt:variant>
        <vt:lpwstr/>
      </vt:variant>
      <vt:variant>
        <vt:lpwstr>_Toc496869188</vt:lpwstr>
      </vt:variant>
      <vt:variant>
        <vt:i4>1507381</vt:i4>
      </vt:variant>
      <vt:variant>
        <vt:i4>2492</vt:i4>
      </vt:variant>
      <vt:variant>
        <vt:i4>0</vt:i4>
      </vt:variant>
      <vt:variant>
        <vt:i4>5</vt:i4>
      </vt:variant>
      <vt:variant>
        <vt:lpwstr/>
      </vt:variant>
      <vt:variant>
        <vt:lpwstr>_Toc496869187</vt:lpwstr>
      </vt:variant>
      <vt:variant>
        <vt:i4>1507381</vt:i4>
      </vt:variant>
      <vt:variant>
        <vt:i4>2486</vt:i4>
      </vt:variant>
      <vt:variant>
        <vt:i4>0</vt:i4>
      </vt:variant>
      <vt:variant>
        <vt:i4>5</vt:i4>
      </vt:variant>
      <vt:variant>
        <vt:lpwstr/>
      </vt:variant>
      <vt:variant>
        <vt:lpwstr>_Toc496869186</vt:lpwstr>
      </vt:variant>
      <vt:variant>
        <vt:i4>1507381</vt:i4>
      </vt:variant>
      <vt:variant>
        <vt:i4>2480</vt:i4>
      </vt:variant>
      <vt:variant>
        <vt:i4>0</vt:i4>
      </vt:variant>
      <vt:variant>
        <vt:i4>5</vt:i4>
      </vt:variant>
      <vt:variant>
        <vt:lpwstr/>
      </vt:variant>
      <vt:variant>
        <vt:lpwstr>_Toc496869185</vt:lpwstr>
      </vt:variant>
      <vt:variant>
        <vt:i4>1507381</vt:i4>
      </vt:variant>
      <vt:variant>
        <vt:i4>2474</vt:i4>
      </vt:variant>
      <vt:variant>
        <vt:i4>0</vt:i4>
      </vt:variant>
      <vt:variant>
        <vt:i4>5</vt:i4>
      </vt:variant>
      <vt:variant>
        <vt:lpwstr/>
      </vt:variant>
      <vt:variant>
        <vt:lpwstr>_Toc496869184</vt:lpwstr>
      </vt:variant>
      <vt:variant>
        <vt:i4>1507381</vt:i4>
      </vt:variant>
      <vt:variant>
        <vt:i4>2468</vt:i4>
      </vt:variant>
      <vt:variant>
        <vt:i4>0</vt:i4>
      </vt:variant>
      <vt:variant>
        <vt:i4>5</vt:i4>
      </vt:variant>
      <vt:variant>
        <vt:lpwstr/>
      </vt:variant>
      <vt:variant>
        <vt:lpwstr>_Toc496869183</vt:lpwstr>
      </vt:variant>
      <vt:variant>
        <vt:i4>1507381</vt:i4>
      </vt:variant>
      <vt:variant>
        <vt:i4>2462</vt:i4>
      </vt:variant>
      <vt:variant>
        <vt:i4>0</vt:i4>
      </vt:variant>
      <vt:variant>
        <vt:i4>5</vt:i4>
      </vt:variant>
      <vt:variant>
        <vt:lpwstr/>
      </vt:variant>
      <vt:variant>
        <vt:lpwstr>_Toc496869182</vt:lpwstr>
      </vt:variant>
      <vt:variant>
        <vt:i4>1507381</vt:i4>
      </vt:variant>
      <vt:variant>
        <vt:i4>2456</vt:i4>
      </vt:variant>
      <vt:variant>
        <vt:i4>0</vt:i4>
      </vt:variant>
      <vt:variant>
        <vt:i4>5</vt:i4>
      </vt:variant>
      <vt:variant>
        <vt:lpwstr/>
      </vt:variant>
      <vt:variant>
        <vt:lpwstr>_Toc496869181</vt:lpwstr>
      </vt:variant>
      <vt:variant>
        <vt:i4>1507381</vt:i4>
      </vt:variant>
      <vt:variant>
        <vt:i4>2450</vt:i4>
      </vt:variant>
      <vt:variant>
        <vt:i4>0</vt:i4>
      </vt:variant>
      <vt:variant>
        <vt:i4>5</vt:i4>
      </vt:variant>
      <vt:variant>
        <vt:lpwstr/>
      </vt:variant>
      <vt:variant>
        <vt:lpwstr>_Toc496869180</vt:lpwstr>
      </vt:variant>
      <vt:variant>
        <vt:i4>1572917</vt:i4>
      </vt:variant>
      <vt:variant>
        <vt:i4>2444</vt:i4>
      </vt:variant>
      <vt:variant>
        <vt:i4>0</vt:i4>
      </vt:variant>
      <vt:variant>
        <vt:i4>5</vt:i4>
      </vt:variant>
      <vt:variant>
        <vt:lpwstr/>
      </vt:variant>
      <vt:variant>
        <vt:lpwstr>_Toc496869179</vt:lpwstr>
      </vt:variant>
      <vt:variant>
        <vt:i4>1572917</vt:i4>
      </vt:variant>
      <vt:variant>
        <vt:i4>2438</vt:i4>
      </vt:variant>
      <vt:variant>
        <vt:i4>0</vt:i4>
      </vt:variant>
      <vt:variant>
        <vt:i4>5</vt:i4>
      </vt:variant>
      <vt:variant>
        <vt:lpwstr/>
      </vt:variant>
      <vt:variant>
        <vt:lpwstr>_Toc496869178</vt:lpwstr>
      </vt:variant>
      <vt:variant>
        <vt:i4>1572917</vt:i4>
      </vt:variant>
      <vt:variant>
        <vt:i4>2432</vt:i4>
      </vt:variant>
      <vt:variant>
        <vt:i4>0</vt:i4>
      </vt:variant>
      <vt:variant>
        <vt:i4>5</vt:i4>
      </vt:variant>
      <vt:variant>
        <vt:lpwstr/>
      </vt:variant>
      <vt:variant>
        <vt:lpwstr>_Toc496869177</vt:lpwstr>
      </vt:variant>
      <vt:variant>
        <vt:i4>1572917</vt:i4>
      </vt:variant>
      <vt:variant>
        <vt:i4>2426</vt:i4>
      </vt:variant>
      <vt:variant>
        <vt:i4>0</vt:i4>
      </vt:variant>
      <vt:variant>
        <vt:i4>5</vt:i4>
      </vt:variant>
      <vt:variant>
        <vt:lpwstr/>
      </vt:variant>
      <vt:variant>
        <vt:lpwstr>_Toc496869176</vt:lpwstr>
      </vt:variant>
      <vt:variant>
        <vt:i4>1572917</vt:i4>
      </vt:variant>
      <vt:variant>
        <vt:i4>2420</vt:i4>
      </vt:variant>
      <vt:variant>
        <vt:i4>0</vt:i4>
      </vt:variant>
      <vt:variant>
        <vt:i4>5</vt:i4>
      </vt:variant>
      <vt:variant>
        <vt:lpwstr/>
      </vt:variant>
      <vt:variant>
        <vt:lpwstr>_Toc496869175</vt:lpwstr>
      </vt:variant>
      <vt:variant>
        <vt:i4>1572917</vt:i4>
      </vt:variant>
      <vt:variant>
        <vt:i4>2414</vt:i4>
      </vt:variant>
      <vt:variant>
        <vt:i4>0</vt:i4>
      </vt:variant>
      <vt:variant>
        <vt:i4>5</vt:i4>
      </vt:variant>
      <vt:variant>
        <vt:lpwstr/>
      </vt:variant>
      <vt:variant>
        <vt:lpwstr>_Toc496869174</vt:lpwstr>
      </vt:variant>
      <vt:variant>
        <vt:i4>1572917</vt:i4>
      </vt:variant>
      <vt:variant>
        <vt:i4>2408</vt:i4>
      </vt:variant>
      <vt:variant>
        <vt:i4>0</vt:i4>
      </vt:variant>
      <vt:variant>
        <vt:i4>5</vt:i4>
      </vt:variant>
      <vt:variant>
        <vt:lpwstr/>
      </vt:variant>
      <vt:variant>
        <vt:lpwstr>_Toc496869173</vt:lpwstr>
      </vt:variant>
      <vt:variant>
        <vt:i4>1572917</vt:i4>
      </vt:variant>
      <vt:variant>
        <vt:i4>2402</vt:i4>
      </vt:variant>
      <vt:variant>
        <vt:i4>0</vt:i4>
      </vt:variant>
      <vt:variant>
        <vt:i4>5</vt:i4>
      </vt:variant>
      <vt:variant>
        <vt:lpwstr/>
      </vt:variant>
      <vt:variant>
        <vt:lpwstr>_Toc496869172</vt:lpwstr>
      </vt:variant>
      <vt:variant>
        <vt:i4>1572917</vt:i4>
      </vt:variant>
      <vt:variant>
        <vt:i4>2396</vt:i4>
      </vt:variant>
      <vt:variant>
        <vt:i4>0</vt:i4>
      </vt:variant>
      <vt:variant>
        <vt:i4>5</vt:i4>
      </vt:variant>
      <vt:variant>
        <vt:lpwstr/>
      </vt:variant>
      <vt:variant>
        <vt:lpwstr>_Toc496869171</vt:lpwstr>
      </vt:variant>
      <vt:variant>
        <vt:i4>1572917</vt:i4>
      </vt:variant>
      <vt:variant>
        <vt:i4>2390</vt:i4>
      </vt:variant>
      <vt:variant>
        <vt:i4>0</vt:i4>
      </vt:variant>
      <vt:variant>
        <vt:i4>5</vt:i4>
      </vt:variant>
      <vt:variant>
        <vt:lpwstr/>
      </vt:variant>
      <vt:variant>
        <vt:lpwstr>_Toc496869170</vt:lpwstr>
      </vt:variant>
      <vt:variant>
        <vt:i4>1638453</vt:i4>
      </vt:variant>
      <vt:variant>
        <vt:i4>2384</vt:i4>
      </vt:variant>
      <vt:variant>
        <vt:i4>0</vt:i4>
      </vt:variant>
      <vt:variant>
        <vt:i4>5</vt:i4>
      </vt:variant>
      <vt:variant>
        <vt:lpwstr/>
      </vt:variant>
      <vt:variant>
        <vt:lpwstr>_Toc496869169</vt:lpwstr>
      </vt:variant>
      <vt:variant>
        <vt:i4>1638453</vt:i4>
      </vt:variant>
      <vt:variant>
        <vt:i4>2378</vt:i4>
      </vt:variant>
      <vt:variant>
        <vt:i4>0</vt:i4>
      </vt:variant>
      <vt:variant>
        <vt:i4>5</vt:i4>
      </vt:variant>
      <vt:variant>
        <vt:lpwstr/>
      </vt:variant>
      <vt:variant>
        <vt:lpwstr>_Toc496869168</vt:lpwstr>
      </vt:variant>
      <vt:variant>
        <vt:i4>1638453</vt:i4>
      </vt:variant>
      <vt:variant>
        <vt:i4>2372</vt:i4>
      </vt:variant>
      <vt:variant>
        <vt:i4>0</vt:i4>
      </vt:variant>
      <vt:variant>
        <vt:i4>5</vt:i4>
      </vt:variant>
      <vt:variant>
        <vt:lpwstr/>
      </vt:variant>
      <vt:variant>
        <vt:lpwstr>_Toc496869167</vt:lpwstr>
      </vt:variant>
      <vt:variant>
        <vt:i4>1638453</vt:i4>
      </vt:variant>
      <vt:variant>
        <vt:i4>2366</vt:i4>
      </vt:variant>
      <vt:variant>
        <vt:i4>0</vt:i4>
      </vt:variant>
      <vt:variant>
        <vt:i4>5</vt:i4>
      </vt:variant>
      <vt:variant>
        <vt:lpwstr/>
      </vt:variant>
      <vt:variant>
        <vt:lpwstr>_Toc496869166</vt:lpwstr>
      </vt:variant>
      <vt:variant>
        <vt:i4>1638453</vt:i4>
      </vt:variant>
      <vt:variant>
        <vt:i4>2360</vt:i4>
      </vt:variant>
      <vt:variant>
        <vt:i4>0</vt:i4>
      </vt:variant>
      <vt:variant>
        <vt:i4>5</vt:i4>
      </vt:variant>
      <vt:variant>
        <vt:lpwstr/>
      </vt:variant>
      <vt:variant>
        <vt:lpwstr>_Toc496869165</vt:lpwstr>
      </vt:variant>
      <vt:variant>
        <vt:i4>1638453</vt:i4>
      </vt:variant>
      <vt:variant>
        <vt:i4>2354</vt:i4>
      </vt:variant>
      <vt:variant>
        <vt:i4>0</vt:i4>
      </vt:variant>
      <vt:variant>
        <vt:i4>5</vt:i4>
      </vt:variant>
      <vt:variant>
        <vt:lpwstr/>
      </vt:variant>
      <vt:variant>
        <vt:lpwstr>_Toc496869164</vt:lpwstr>
      </vt:variant>
      <vt:variant>
        <vt:i4>1638453</vt:i4>
      </vt:variant>
      <vt:variant>
        <vt:i4>2348</vt:i4>
      </vt:variant>
      <vt:variant>
        <vt:i4>0</vt:i4>
      </vt:variant>
      <vt:variant>
        <vt:i4>5</vt:i4>
      </vt:variant>
      <vt:variant>
        <vt:lpwstr/>
      </vt:variant>
      <vt:variant>
        <vt:lpwstr>_Toc496869163</vt:lpwstr>
      </vt:variant>
      <vt:variant>
        <vt:i4>1638453</vt:i4>
      </vt:variant>
      <vt:variant>
        <vt:i4>2342</vt:i4>
      </vt:variant>
      <vt:variant>
        <vt:i4>0</vt:i4>
      </vt:variant>
      <vt:variant>
        <vt:i4>5</vt:i4>
      </vt:variant>
      <vt:variant>
        <vt:lpwstr/>
      </vt:variant>
      <vt:variant>
        <vt:lpwstr>_Toc496869162</vt:lpwstr>
      </vt:variant>
      <vt:variant>
        <vt:i4>1638453</vt:i4>
      </vt:variant>
      <vt:variant>
        <vt:i4>2336</vt:i4>
      </vt:variant>
      <vt:variant>
        <vt:i4>0</vt:i4>
      </vt:variant>
      <vt:variant>
        <vt:i4>5</vt:i4>
      </vt:variant>
      <vt:variant>
        <vt:lpwstr/>
      </vt:variant>
      <vt:variant>
        <vt:lpwstr>_Toc496869161</vt:lpwstr>
      </vt:variant>
      <vt:variant>
        <vt:i4>1638453</vt:i4>
      </vt:variant>
      <vt:variant>
        <vt:i4>2330</vt:i4>
      </vt:variant>
      <vt:variant>
        <vt:i4>0</vt:i4>
      </vt:variant>
      <vt:variant>
        <vt:i4>5</vt:i4>
      </vt:variant>
      <vt:variant>
        <vt:lpwstr/>
      </vt:variant>
      <vt:variant>
        <vt:lpwstr>_Toc496869160</vt:lpwstr>
      </vt:variant>
      <vt:variant>
        <vt:i4>1703989</vt:i4>
      </vt:variant>
      <vt:variant>
        <vt:i4>2324</vt:i4>
      </vt:variant>
      <vt:variant>
        <vt:i4>0</vt:i4>
      </vt:variant>
      <vt:variant>
        <vt:i4>5</vt:i4>
      </vt:variant>
      <vt:variant>
        <vt:lpwstr/>
      </vt:variant>
      <vt:variant>
        <vt:lpwstr>_Toc496869159</vt:lpwstr>
      </vt:variant>
      <vt:variant>
        <vt:i4>1703989</vt:i4>
      </vt:variant>
      <vt:variant>
        <vt:i4>2318</vt:i4>
      </vt:variant>
      <vt:variant>
        <vt:i4>0</vt:i4>
      </vt:variant>
      <vt:variant>
        <vt:i4>5</vt:i4>
      </vt:variant>
      <vt:variant>
        <vt:lpwstr/>
      </vt:variant>
      <vt:variant>
        <vt:lpwstr>_Toc496869158</vt:lpwstr>
      </vt:variant>
      <vt:variant>
        <vt:i4>1703989</vt:i4>
      </vt:variant>
      <vt:variant>
        <vt:i4>2312</vt:i4>
      </vt:variant>
      <vt:variant>
        <vt:i4>0</vt:i4>
      </vt:variant>
      <vt:variant>
        <vt:i4>5</vt:i4>
      </vt:variant>
      <vt:variant>
        <vt:lpwstr/>
      </vt:variant>
      <vt:variant>
        <vt:lpwstr>_Toc496869157</vt:lpwstr>
      </vt:variant>
      <vt:variant>
        <vt:i4>1703989</vt:i4>
      </vt:variant>
      <vt:variant>
        <vt:i4>2306</vt:i4>
      </vt:variant>
      <vt:variant>
        <vt:i4>0</vt:i4>
      </vt:variant>
      <vt:variant>
        <vt:i4>5</vt:i4>
      </vt:variant>
      <vt:variant>
        <vt:lpwstr/>
      </vt:variant>
      <vt:variant>
        <vt:lpwstr>_Toc496869156</vt:lpwstr>
      </vt:variant>
      <vt:variant>
        <vt:i4>1703989</vt:i4>
      </vt:variant>
      <vt:variant>
        <vt:i4>2300</vt:i4>
      </vt:variant>
      <vt:variant>
        <vt:i4>0</vt:i4>
      </vt:variant>
      <vt:variant>
        <vt:i4>5</vt:i4>
      </vt:variant>
      <vt:variant>
        <vt:lpwstr/>
      </vt:variant>
      <vt:variant>
        <vt:lpwstr>_Toc496869155</vt:lpwstr>
      </vt:variant>
      <vt:variant>
        <vt:i4>1703989</vt:i4>
      </vt:variant>
      <vt:variant>
        <vt:i4>2294</vt:i4>
      </vt:variant>
      <vt:variant>
        <vt:i4>0</vt:i4>
      </vt:variant>
      <vt:variant>
        <vt:i4>5</vt:i4>
      </vt:variant>
      <vt:variant>
        <vt:lpwstr/>
      </vt:variant>
      <vt:variant>
        <vt:lpwstr>_Toc496869154</vt:lpwstr>
      </vt:variant>
      <vt:variant>
        <vt:i4>1703989</vt:i4>
      </vt:variant>
      <vt:variant>
        <vt:i4>2288</vt:i4>
      </vt:variant>
      <vt:variant>
        <vt:i4>0</vt:i4>
      </vt:variant>
      <vt:variant>
        <vt:i4>5</vt:i4>
      </vt:variant>
      <vt:variant>
        <vt:lpwstr/>
      </vt:variant>
      <vt:variant>
        <vt:lpwstr>_Toc496869153</vt:lpwstr>
      </vt:variant>
      <vt:variant>
        <vt:i4>1703989</vt:i4>
      </vt:variant>
      <vt:variant>
        <vt:i4>2282</vt:i4>
      </vt:variant>
      <vt:variant>
        <vt:i4>0</vt:i4>
      </vt:variant>
      <vt:variant>
        <vt:i4>5</vt:i4>
      </vt:variant>
      <vt:variant>
        <vt:lpwstr/>
      </vt:variant>
      <vt:variant>
        <vt:lpwstr>_Toc496869152</vt:lpwstr>
      </vt:variant>
      <vt:variant>
        <vt:i4>1703989</vt:i4>
      </vt:variant>
      <vt:variant>
        <vt:i4>2276</vt:i4>
      </vt:variant>
      <vt:variant>
        <vt:i4>0</vt:i4>
      </vt:variant>
      <vt:variant>
        <vt:i4>5</vt:i4>
      </vt:variant>
      <vt:variant>
        <vt:lpwstr/>
      </vt:variant>
      <vt:variant>
        <vt:lpwstr>_Toc496869151</vt:lpwstr>
      </vt:variant>
      <vt:variant>
        <vt:i4>1703989</vt:i4>
      </vt:variant>
      <vt:variant>
        <vt:i4>2270</vt:i4>
      </vt:variant>
      <vt:variant>
        <vt:i4>0</vt:i4>
      </vt:variant>
      <vt:variant>
        <vt:i4>5</vt:i4>
      </vt:variant>
      <vt:variant>
        <vt:lpwstr/>
      </vt:variant>
      <vt:variant>
        <vt:lpwstr>_Toc496869150</vt:lpwstr>
      </vt:variant>
      <vt:variant>
        <vt:i4>1769525</vt:i4>
      </vt:variant>
      <vt:variant>
        <vt:i4>2264</vt:i4>
      </vt:variant>
      <vt:variant>
        <vt:i4>0</vt:i4>
      </vt:variant>
      <vt:variant>
        <vt:i4>5</vt:i4>
      </vt:variant>
      <vt:variant>
        <vt:lpwstr/>
      </vt:variant>
      <vt:variant>
        <vt:lpwstr>_Toc496869149</vt:lpwstr>
      </vt:variant>
      <vt:variant>
        <vt:i4>1769525</vt:i4>
      </vt:variant>
      <vt:variant>
        <vt:i4>2258</vt:i4>
      </vt:variant>
      <vt:variant>
        <vt:i4>0</vt:i4>
      </vt:variant>
      <vt:variant>
        <vt:i4>5</vt:i4>
      </vt:variant>
      <vt:variant>
        <vt:lpwstr/>
      </vt:variant>
      <vt:variant>
        <vt:lpwstr>_Toc496869148</vt:lpwstr>
      </vt:variant>
      <vt:variant>
        <vt:i4>1769525</vt:i4>
      </vt:variant>
      <vt:variant>
        <vt:i4>2252</vt:i4>
      </vt:variant>
      <vt:variant>
        <vt:i4>0</vt:i4>
      </vt:variant>
      <vt:variant>
        <vt:i4>5</vt:i4>
      </vt:variant>
      <vt:variant>
        <vt:lpwstr/>
      </vt:variant>
      <vt:variant>
        <vt:lpwstr>_Toc496869147</vt:lpwstr>
      </vt:variant>
      <vt:variant>
        <vt:i4>1769525</vt:i4>
      </vt:variant>
      <vt:variant>
        <vt:i4>2246</vt:i4>
      </vt:variant>
      <vt:variant>
        <vt:i4>0</vt:i4>
      </vt:variant>
      <vt:variant>
        <vt:i4>5</vt:i4>
      </vt:variant>
      <vt:variant>
        <vt:lpwstr/>
      </vt:variant>
      <vt:variant>
        <vt:lpwstr>_Toc496869146</vt:lpwstr>
      </vt:variant>
      <vt:variant>
        <vt:i4>1769525</vt:i4>
      </vt:variant>
      <vt:variant>
        <vt:i4>2240</vt:i4>
      </vt:variant>
      <vt:variant>
        <vt:i4>0</vt:i4>
      </vt:variant>
      <vt:variant>
        <vt:i4>5</vt:i4>
      </vt:variant>
      <vt:variant>
        <vt:lpwstr/>
      </vt:variant>
      <vt:variant>
        <vt:lpwstr>_Toc496869145</vt:lpwstr>
      </vt:variant>
      <vt:variant>
        <vt:i4>1769525</vt:i4>
      </vt:variant>
      <vt:variant>
        <vt:i4>2234</vt:i4>
      </vt:variant>
      <vt:variant>
        <vt:i4>0</vt:i4>
      </vt:variant>
      <vt:variant>
        <vt:i4>5</vt:i4>
      </vt:variant>
      <vt:variant>
        <vt:lpwstr/>
      </vt:variant>
      <vt:variant>
        <vt:lpwstr>_Toc496869144</vt:lpwstr>
      </vt:variant>
      <vt:variant>
        <vt:i4>1769525</vt:i4>
      </vt:variant>
      <vt:variant>
        <vt:i4>2228</vt:i4>
      </vt:variant>
      <vt:variant>
        <vt:i4>0</vt:i4>
      </vt:variant>
      <vt:variant>
        <vt:i4>5</vt:i4>
      </vt:variant>
      <vt:variant>
        <vt:lpwstr/>
      </vt:variant>
      <vt:variant>
        <vt:lpwstr>_Toc496869143</vt:lpwstr>
      </vt:variant>
      <vt:variant>
        <vt:i4>1769525</vt:i4>
      </vt:variant>
      <vt:variant>
        <vt:i4>2222</vt:i4>
      </vt:variant>
      <vt:variant>
        <vt:i4>0</vt:i4>
      </vt:variant>
      <vt:variant>
        <vt:i4>5</vt:i4>
      </vt:variant>
      <vt:variant>
        <vt:lpwstr/>
      </vt:variant>
      <vt:variant>
        <vt:lpwstr>_Toc496869142</vt:lpwstr>
      </vt:variant>
      <vt:variant>
        <vt:i4>1769525</vt:i4>
      </vt:variant>
      <vt:variant>
        <vt:i4>2216</vt:i4>
      </vt:variant>
      <vt:variant>
        <vt:i4>0</vt:i4>
      </vt:variant>
      <vt:variant>
        <vt:i4>5</vt:i4>
      </vt:variant>
      <vt:variant>
        <vt:lpwstr/>
      </vt:variant>
      <vt:variant>
        <vt:lpwstr>_Toc496869141</vt:lpwstr>
      </vt:variant>
      <vt:variant>
        <vt:i4>1769525</vt:i4>
      </vt:variant>
      <vt:variant>
        <vt:i4>2210</vt:i4>
      </vt:variant>
      <vt:variant>
        <vt:i4>0</vt:i4>
      </vt:variant>
      <vt:variant>
        <vt:i4>5</vt:i4>
      </vt:variant>
      <vt:variant>
        <vt:lpwstr/>
      </vt:variant>
      <vt:variant>
        <vt:lpwstr>_Toc496869140</vt:lpwstr>
      </vt:variant>
      <vt:variant>
        <vt:i4>1835061</vt:i4>
      </vt:variant>
      <vt:variant>
        <vt:i4>2204</vt:i4>
      </vt:variant>
      <vt:variant>
        <vt:i4>0</vt:i4>
      </vt:variant>
      <vt:variant>
        <vt:i4>5</vt:i4>
      </vt:variant>
      <vt:variant>
        <vt:lpwstr/>
      </vt:variant>
      <vt:variant>
        <vt:lpwstr>_Toc496869138</vt:lpwstr>
      </vt:variant>
      <vt:variant>
        <vt:i4>1835061</vt:i4>
      </vt:variant>
      <vt:variant>
        <vt:i4>2198</vt:i4>
      </vt:variant>
      <vt:variant>
        <vt:i4>0</vt:i4>
      </vt:variant>
      <vt:variant>
        <vt:i4>5</vt:i4>
      </vt:variant>
      <vt:variant>
        <vt:lpwstr/>
      </vt:variant>
      <vt:variant>
        <vt:lpwstr>_Toc496869137</vt:lpwstr>
      </vt:variant>
      <vt:variant>
        <vt:i4>1835061</vt:i4>
      </vt:variant>
      <vt:variant>
        <vt:i4>2192</vt:i4>
      </vt:variant>
      <vt:variant>
        <vt:i4>0</vt:i4>
      </vt:variant>
      <vt:variant>
        <vt:i4>5</vt:i4>
      </vt:variant>
      <vt:variant>
        <vt:lpwstr/>
      </vt:variant>
      <vt:variant>
        <vt:lpwstr>_Toc496869136</vt:lpwstr>
      </vt:variant>
      <vt:variant>
        <vt:i4>1835061</vt:i4>
      </vt:variant>
      <vt:variant>
        <vt:i4>2186</vt:i4>
      </vt:variant>
      <vt:variant>
        <vt:i4>0</vt:i4>
      </vt:variant>
      <vt:variant>
        <vt:i4>5</vt:i4>
      </vt:variant>
      <vt:variant>
        <vt:lpwstr/>
      </vt:variant>
      <vt:variant>
        <vt:lpwstr>_Toc496869135</vt:lpwstr>
      </vt:variant>
      <vt:variant>
        <vt:i4>1835061</vt:i4>
      </vt:variant>
      <vt:variant>
        <vt:i4>2180</vt:i4>
      </vt:variant>
      <vt:variant>
        <vt:i4>0</vt:i4>
      </vt:variant>
      <vt:variant>
        <vt:i4>5</vt:i4>
      </vt:variant>
      <vt:variant>
        <vt:lpwstr/>
      </vt:variant>
      <vt:variant>
        <vt:lpwstr>_Toc496869134</vt:lpwstr>
      </vt:variant>
      <vt:variant>
        <vt:i4>1835061</vt:i4>
      </vt:variant>
      <vt:variant>
        <vt:i4>2174</vt:i4>
      </vt:variant>
      <vt:variant>
        <vt:i4>0</vt:i4>
      </vt:variant>
      <vt:variant>
        <vt:i4>5</vt:i4>
      </vt:variant>
      <vt:variant>
        <vt:lpwstr/>
      </vt:variant>
      <vt:variant>
        <vt:lpwstr>_Toc496869133</vt:lpwstr>
      </vt:variant>
      <vt:variant>
        <vt:i4>1835061</vt:i4>
      </vt:variant>
      <vt:variant>
        <vt:i4>2168</vt:i4>
      </vt:variant>
      <vt:variant>
        <vt:i4>0</vt:i4>
      </vt:variant>
      <vt:variant>
        <vt:i4>5</vt:i4>
      </vt:variant>
      <vt:variant>
        <vt:lpwstr/>
      </vt:variant>
      <vt:variant>
        <vt:lpwstr>_Toc496869132</vt:lpwstr>
      </vt:variant>
      <vt:variant>
        <vt:i4>1835061</vt:i4>
      </vt:variant>
      <vt:variant>
        <vt:i4>2162</vt:i4>
      </vt:variant>
      <vt:variant>
        <vt:i4>0</vt:i4>
      </vt:variant>
      <vt:variant>
        <vt:i4>5</vt:i4>
      </vt:variant>
      <vt:variant>
        <vt:lpwstr/>
      </vt:variant>
      <vt:variant>
        <vt:lpwstr>_Toc496869131</vt:lpwstr>
      </vt:variant>
      <vt:variant>
        <vt:i4>1835061</vt:i4>
      </vt:variant>
      <vt:variant>
        <vt:i4>2156</vt:i4>
      </vt:variant>
      <vt:variant>
        <vt:i4>0</vt:i4>
      </vt:variant>
      <vt:variant>
        <vt:i4>5</vt:i4>
      </vt:variant>
      <vt:variant>
        <vt:lpwstr/>
      </vt:variant>
      <vt:variant>
        <vt:lpwstr>_Toc496869130</vt:lpwstr>
      </vt:variant>
      <vt:variant>
        <vt:i4>1900597</vt:i4>
      </vt:variant>
      <vt:variant>
        <vt:i4>2150</vt:i4>
      </vt:variant>
      <vt:variant>
        <vt:i4>0</vt:i4>
      </vt:variant>
      <vt:variant>
        <vt:i4>5</vt:i4>
      </vt:variant>
      <vt:variant>
        <vt:lpwstr/>
      </vt:variant>
      <vt:variant>
        <vt:lpwstr>_Toc496869129</vt:lpwstr>
      </vt:variant>
      <vt:variant>
        <vt:i4>1900597</vt:i4>
      </vt:variant>
      <vt:variant>
        <vt:i4>2144</vt:i4>
      </vt:variant>
      <vt:variant>
        <vt:i4>0</vt:i4>
      </vt:variant>
      <vt:variant>
        <vt:i4>5</vt:i4>
      </vt:variant>
      <vt:variant>
        <vt:lpwstr/>
      </vt:variant>
      <vt:variant>
        <vt:lpwstr>_Toc496869128</vt:lpwstr>
      </vt:variant>
      <vt:variant>
        <vt:i4>1900597</vt:i4>
      </vt:variant>
      <vt:variant>
        <vt:i4>2138</vt:i4>
      </vt:variant>
      <vt:variant>
        <vt:i4>0</vt:i4>
      </vt:variant>
      <vt:variant>
        <vt:i4>5</vt:i4>
      </vt:variant>
      <vt:variant>
        <vt:lpwstr/>
      </vt:variant>
      <vt:variant>
        <vt:lpwstr>_Toc496869127</vt:lpwstr>
      </vt:variant>
      <vt:variant>
        <vt:i4>1900597</vt:i4>
      </vt:variant>
      <vt:variant>
        <vt:i4>2132</vt:i4>
      </vt:variant>
      <vt:variant>
        <vt:i4>0</vt:i4>
      </vt:variant>
      <vt:variant>
        <vt:i4>5</vt:i4>
      </vt:variant>
      <vt:variant>
        <vt:lpwstr/>
      </vt:variant>
      <vt:variant>
        <vt:lpwstr>_Toc496869126</vt:lpwstr>
      </vt:variant>
      <vt:variant>
        <vt:i4>1900597</vt:i4>
      </vt:variant>
      <vt:variant>
        <vt:i4>2126</vt:i4>
      </vt:variant>
      <vt:variant>
        <vt:i4>0</vt:i4>
      </vt:variant>
      <vt:variant>
        <vt:i4>5</vt:i4>
      </vt:variant>
      <vt:variant>
        <vt:lpwstr/>
      </vt:variant>
      <vt:variant>
        <vt:lpwstr>_Toc496869125</vt:lpwstr>
      </vt:variant>
      <vt:variant>
        <vt:i4>1900597</vt:i4>
      </vt:variant>
      <vt:variant>
        <vt:i4>2120</vt:i4>
      </vt:variant>
      <vt:variant>
        <vt:i4>0</vt:i4>
      </vt:variant>
      <vt:variant>
        <vt:i4>5</vt:i4>
      </vt:variant>
      <vt:variant>
        <vt:lpwstr/>
      </vt:variant>
      <vt:variant>
        <vt:lpwstr>_Toc496869124</vt:lpwstr>
      </vt:variant>
      <vt:variant>
        <vt:i4>1900597</vt:i4>
      </vt:variant>
      <vt:variant>
        <vt:i4>2114</vt:i4>
      </vt:variant>
      <vt:variant>
        <vt:i4>0</vt:i4>
      </vt:variant>
      <vt:variant>
        <vt:i4>5</vt:i4>
      </vt:variant>
      <vt:variant>
        <vt:lpwstr/>
      </vt:variant>
      <vt:variant>
        <vt:lpwstr>_Toc496869123</vt:lpwstr>
      </vt:variant>
      <vt:variant>
        <vt:i4>1900597</vt:i4>
      </vt:variant>
      <vt:variant>
        <vt:i4>2108</vt:i4>
      </vt:variant>
      <vt:variant>
        <vt:i4>0</vt:i4>
      </vt:variant>
      <vt:variant>
        <vt:i4>5</vt:i4>
      </vt:variant>
      <vt:variant>
        <vt:lpwstr/>
      </vt:variant>
      <vt:variant>
        <vt:lpwstr>_Toc496869122</vt:lpwstr>
      </vt:variant>
      <vt:variant>
        <vt:i4>1900597</vt:i4>
      </vt:variant>
      <vt:variant>
        <vt:i4>2102</vt:i4>
      </vt:variant>
      <vt:variant>
        <vt:i4>0</vt:i4>
      </vt:variant>
      <vt:variant>
        <vt:i4>5</vt:i4>
      </vt:variant>
      <vt:variant>
        <vt:lpwstr/>
      </vt:variant>
      <vt:variant>
        <vt:lpwstr>_Toc496869121</vt:lpwstr>
      </vt:variant>
      <vt:variant>
        <vt:i4>1900597</vt:i4>
      </vt:variant>
      <vt:variant>
        <vt:i4>2096</vt:i4>
      </vt:variant>
      <vt:variant>
        <vt:i4>0</vt:i4>
      </vt:variant>
      <vt:variant>
        <vt:i4>5</vt:i4>
      </vt:variant>
      <vt:variant>
        <vt:lpwstr/>
      </vt:variant>
      <vt:variant>
        <vt:lpwstr>_Toc496869120</vt:lpwstr>
      </vt:variant>
      <vt:variant>
        <vt:i4>1966133</vt:i4>
      </vt:variant>
      <vt:variant>
        <vt:i4>2090</vt:i4>
      </vt:variant>
      <vt:variant>
        <vt:i4>0</vt:i4>
      </vt:variant>
      <vt:variant>
        <vt:i4>5</vt:i4>
      </vt:variant>
      <vt:variant>
        <vt:lpwstr/>
      </vt:variant>
      <vt:variant>
        <vt:lpwstr>_Toc496869119</vt:lpwstr>
      </vt:variant>
      <vt:variant>
        <vt:i4>1966133</vt:i4>
      </vt:variant>
      <vt:variant>
        <vt:i4>2084</vt:i4>
      </vt:variant>
      <vt:variant>
        <vt:i4>0</vt:i4>
      </vt:variant>
      <vt:variant>
        <vt:i4>5</vt:i4>
      </vt:variant>
      <vt:variant>
        <vt:lpwstr/>
      </vt:variant>
      <vt:variant>
        <vt:lpwstr>_Toc496869118</vt:lpwstr>
      </vt:variant>
      <vt:variant>
        <vt:i4>1966133</vt:i4>
      </vt:variant>
      <vt:variant>
        <vt:i4>2078</vt:i4>
      </vt:variant>
      <vt:variant>
        <vt:i4>0</vt:i4>
      </vt:variant>
      <vt:variant>
        <vt:i4>5</vt:i4>
      </vt:variant>
      <vt:variant>
        <vt:lpwstr/>
      </vt:variant>
      <vt:variant>
        <vt:lpwstr>_Toc496869117</vt:lpwstr>
      </vt:variant>
      <vt:variant>
        <vt:i4>1966133</vt:i4>
      </vt:variant>
      <vt:variant>
        <vt:i4>2072</vt:i4>
      </vt:variant>
      <vt:variant>
        <vt:i4>0</vt:i4>
      </vt:variant>
      <vt:variant>
        <vt:i4>5</vt:i4>
      </vt:variant>
      <vt:variant>
        <vt:lpwstr/>
      </vt:variant>
      <vt:variant>
        <vt:lpwstr>_Toc496869116</vt:lpwstr>
      </vt:variant>
      <vt:variant>
        <vt:i4>1966133</vt:i4>
      </vt:variant>
      <vt:variant>
        <vt:i4>2066</vt:i4>
      </vt:variant>
      <vt:variant>
        <vt:i4>0</vt:i4>
      </vt:variant>
      <vt:variant>
        <vt:i4>5</vt:i4>
      </vt:variant>
      <vt:variant>
        <vt:lpwstr/>
      </vt:variant>
      <vt:variant>
        <vt:lpwstr>_Toc496869115</vt:lpwstr>
      </vt:variant>
      <vt:variant>
        <vt:i4>1966133</vt:i4>
      </vt:variant>
      <vt:variant>
        <vt:i4>2060</vt:i4>
      </vt:variant>
      <vt:variant>
        <vt:i4>0</vt:i4>
      </vt:variant>
      <vt:variant>
        <vt:i4>5</vt:i4>
      </vt:variant>
      <vt:variant>
        <vt:lpwstr/>
      </vt:variant>
      <vt:variant>
        <vt:lpwstr>_Toc496869114</vt:lpwstr>
      </vt:variant>
      <vt:variant>
        <vt:i4>1966133</vt:i4>
      </vt:variant>
      <vt:variant>
        <vt:i4>2054</vt:i4>
      </vt:variant>
      <vt:variant>
        <vt:i4>0</vt:i4>
      </vt:variant>
      <vt:variant>
        <vt:i4>5</vt:i4>
      </vt:variant>
      <vt:variant>
        <vt:lpwstr/>
      </vt:variant>
      <vt:variant>
        <vt:lpwstr>_Toc496869113</vt:lpwstr>
      </vt:variant>
      <vt:variant>
        <vt:i4>1966133</vt:i4>
      </vt:variant>
      <vt:variant>
        <vt:i4>2048</vt:i4>
      </vt:variant>
      <vt:variant>
        <vt:i4>0</vt:i4>
      </vt:variant>
      <vt:variant>
        <vt:i4>5</vt:i4>
      </vt:variant>
      <vt:variant>
        <vt:lpwstr/>
      </vt:variant>
      <vt:variant>
        <vt:lpwstr>_Toc496869112</vt:lpwstr>
      </vt:variant>
      <vt:variant>
        <vt:i4>1966133</vt:i4>
      </vt:variant>
      <vt:variant>
        <vt:i4>2042</vt:i4>
      </vt:variant>
      <vt:variant>
        <vt:i4>0</vt:i4>
      </vt:variant>
      <vt:variant>
        <vt:i4>5</vt:i4>
      </vt:variant>
      <vt:variant>
        <vt:lpwstr/>
      </vt:variant>
      <vt:variant>
        <vt:lpwstr>_Toc496869111</vt:lpwstr>
      </vt:variant>
      <vt:variant>
        <vt:i4>1966133</vt:i4>
      </vt:variant>
      <vt:variant>
        <vt:i4>2036</vt:i4>
      </vt:variant>
      <vt:variant>
        <vt:i4>0</vt:i4>
      </vt:variant>
      <vt:variant>
        <vt:i4>5</vt:i4>
      </vt:variant>
      <vt:variant>
        <vt:lpwstr/>
      </vt:variant>
      <vt:variant>
        <vt:lpwstr>_Toc496869110</vt:lpwstr>
      </vt:variant>
      <vt:variant>
        <vt:i4>2031669</vt:i4>
      </vt:variant>
      <vt:variant>
        <vt:i4>2030</vt:i4>
      </vt:variant>
      <vt:variant>
        <vt:i4>0</vt:i4>
      </vt:variant>
      <vt:variant>
        <vt:i4>5</vt:i4>
      </vt:variant>
      <vt:variant>
        <vt:lpwstr/>
      </vt:variant>
      <vt:variant>
        <vt:lpwstr>_Toc496869109</vt:lpwstr>
      </vt:variant>
      <vt:variant>
        <vt:i4>2031669</vt:i4>
      </vt:variant>
      <vt:variant>
        <vt:i4>2024</vt:i4>
      </vt:variant>
      <vt:variant>
        <vt:i4>0</vt:i4>
      </vt:variant>
      <vt:variant>
        <vt:i4>5</vt:i4>
      </vt:variant>
      <vt:variant>
        <vt:lpwstr/>
      </vt:variant>
      <vt:variant>
        <vt:lpwstr>_Toc496869108</vt:lpwstr>
      </vt:variant>
      <vt:variant>
        <vt:i4>2031669</vt:i4>
      </vt:variant>
      <vt:variant>
        <vt:i4>2018</vt:i4>
      </vt:variant>
      <vt:variant>
        <vt:i4>0</vt:i4>
      </vt:variant>
      <vt:variant>
        <vt:i4>5</vt:i4>
      </vt:variant>
      <vt:variant>
        <vt:lpwstr/>
      </vt:variant>
      <vt:variant>
        <vt:lpwstr>_Toc496869107</vt:lpwstr>
      </vt:variant>
      <vt:variant>
        <vt:i4>2031669</vt:i4>
      </vt:variant>
      <vt:variant>
        <vt:i4>2012</vt:i4>
      </vt:variant>
      <vt:variant>
        <vt:i4>0</vt:i4>
      </vt:variant>
      <vt:variant>
        <vt:i4>5</vt:i4>
      </vt:variant>
      <vt:variant>
        <vt:lpwstr/>
      </vt:variant>
      <vt:variant>
        <vt:lpwstr>_Toc496869106</vt:lpwstr>
      </vt:variant>
      <vt:variant>
        <vt:i4>2031669</vt:i4>
      </vt:variant>
      <vt:variant>
        <vt:i4>2006</vt:i4>
      </vt:variant>
      <vt:variant>
        <vt:i4>0</vt:i4>
      </vt:variant>
      <vt:variant>
        <vt:i4>5</vt:i4>
      </vt:variant>
      <vt:variant>
        <vt:lpwstr/>
      </vt:variant>
      <vt:variant>
        <vt:lpwstr>_Toc496869105</vt:lpwstr>
      </vt:variant>
      <vt:variant>
        <vt:i4>2031669</vt:i4>
      </vt:variant>
      <vt:variant>
        <vt:i4>2000</vt:i4>
      </vt:variant>
      <vt:variant>
        <vt:i4>0</vt:i4>
      </vt:variant>
      <vt:variant>
        <vt:i4>5</vt:i4>
      </vt:variant>
      <vt:variant>
        <vt:lpwstr/>
      </vt:variant>
      <vt:variant>
        <vt:lpwstr>_Toc496869104</vt:lpwstr>
      </vt:variant>
      <vt:variant>
        <vt:i4>2031669</vt:i4>
      </vt:variant>
      <vt:variant>
        <vt:i4>1994</vt:i4>
      </vt:variant>
      <vt:variant>
        <vt:i4>0</vt:i4>
      </vt:variant>
      <vt:variant>
        <vt:i4>5</vt:i4>
      </vt:variant>
      <vt:variant>
        <vt:lpwstr/>
      </vt:variant>
      <vt:variant>
        <vt:lpwstr>_Toc496869103</vt:lpwstr>
      </vt:variant>
      <vt:variant>
        <vt:i4>2031669</vt:i4>
      </vt:variant>
      <vt:variant>
        <vt:i4>1988</vt:i4>
      </vt:variant>
      <vt:variant>
        <vt:i4>0</vt:i4>
      </vt:variant>
      <vt:variant>
        <vt:i4>5</vt:i4>
      </vt:variant>
      <vt:variant>
        <vt:lpwstr/>
      </vt:variant>
      <vt:variant>
        <vt:lpwstr>_Toc496869102</vt:lpwstr>
      </vt:variant>
      <vt:variant>
        <vt:i4>2031669</vt:i4>
      </vt:variant>
      <vt:variant>
        <vt:i4>1982</vt:i4>
      </vt:variant>
      <vt:variant>
        <vt:i4>0</vt:i4>
      </vt:variant>
      <vt:variant>
        <vt:i4>5</vt:i4>
      </vt:variant>
      <vt:variant>
        <vt:lpwstr/>
      </vt:variant>
      <vt:variant>
        <vt:lpwstr>_Toc496869101</vt:lpwstr>
      </vt:variant>
      <vt:variant>
        <vt:i4>2031669</vt:i4>
      </vt:variant>
      <vt:variant>
        <vt:i4>1976</vt:i4>
      </vt:variant>
      <vt:variant>
        <vt:i4>0</vt:i4>
      </vt:variant>
      <vt:variant>
        <vt:i4>5</vt:i4>
      </vt:variant>
      <vt:variant>
        <vt:lpwstr/>
      </vt:variant>
      <vt:variant>
        <vt:lpwstr>_Toc496869100</vt:lpwstr>
      </vt:variant>
      <vt:variant>
        <vt:i4>1441844</vt:i4>
      </vt:variant>
      <vt:variant>
        <vt:i4>1970</vt:i4>
      </vt:variant>
      <vt:variant>
        <vt:i4>0</vt:i4>
      </vt:variant>
      <vt:variant>
        <vt:i4>5</vt:i4>
      </vt:variant>
      <vt:variant>
        <vt:lpwstr/>
      </vt:variant>
      <vt:variant>
        <vt:lpwstr>_Toc496869099</vt:lpwstr>
      </vt:variant>
      <vt:variant>
        <vt:i4>1441844</vt:i4>
      </vt:variant>
      <vt:variant>
        <vt:i4>1964</vt:i4>
      </vt:variant>
      <vt:variant>
        <vt:i4>0</vt:i4>
      </vt:variant>
      <vt:variant>
        <vt:i4>5</vt:i4>
      </vt:variant>
      <vt:variant>
        <vt:lpwstr/>
      </vt:variant>
      <vt:variant>
        <vt:lpwstr>_Toc496869098</vt:lpwstr>
      </vt:variant>
      <vt:variant>
        <vt:i4>1441844</vt:i4>
      </vt:variant>
      <vt:variant>
        <vt:i4>1958</vt:i4>
      </vt:variant>
      <vt:variant>
        <vt:i4>0</vt:i4>
      </vt:variant>
      <vt:variant>
        <vt:i4>5</vt:i4>
      </vt:variant>
      <vt:variant>
        <vt:lpwstr/>
      </vt:variant>
      <vt:variant>
        <vt:lpwstr>_Toc496869097</vt:lpwstr>
      </vt:variant>
      <vt:variant>
        <vt:i4>1441844</vt:i4>
      </vt:variant>
      <vt:variant>
        <vt:i4>1952</vt:i4>
      </vt:variant>
      <vt:variant>
        <vt:i4>0</vt:i4>
      </vt:variant>
      <vt:variant>
        <vt:i4>5</vt:i4>
      </vt:variant>
      <vt:variant>
        <vt:lpwstr/>
      </vt:variant>
      <vt:variant>
        <vt:lpwstr>_Toc496869096</vt:lpwstr>
      </vt:variant>
      <vt:variant>
        <vt:i4>1441844</vt:i4>
      </vt:variant>
      <vt:variant>
        <vt:i4>1946</vt:i4>
      </vt:variant>
      <vt:variant>
        <vt:i4>0</vt:i4>
      </vt:variant>
      <vt:variant>
        <vt:i4>5</vt:i4>
      </vt:variant>
      <vt:variant>
        <vt:lpwstr/>
      </vt:variant>
      <vt:variant>
        <vt:lpwstr>_Toc496869095</vt:lpwstr>
      </vt:variant>
      <vt:variant>
        <vt:i4>1441844</vt:i4>
      </vt:variant>
      <vt:variant>
        <vt:i4>1940</vt:i4>
      </vt:variant>
      <vt:variant>
        <vt:i4>0</vt:i4>
      </vt:variant>
      <vt:variant>
        <vt:i4>5</vt:i4>
      </vt:variant>
      <vt:variant>
        <vt:lpwstr/>
      </vt:variant>
      <vt:variant>
        <vt:lpwstr>_Toc496869094</vt:lpwstr>
      </vt:variant>
      <vt:variant>
        <vt:i4>1441844</vt:i4>
      </vt:variant>
      <vt:variant>
        <vt:i4>1934</vt:i4>
      </vt:variant>
      <vt:variant>
        <vt:i4>0</vt:i4>
      </vt:variant>
      <vt:variant>
        <vt:i4>5</vt:i4>
      </vt:variant>
      <vt:variant>
        <vt:lpwstr/>
      </vt:variant>
      <vt:variant>
        <vt:lpwstr>_Toc496869093</vt:lpwstr>
      </vt:variant>
      <vt:variant>
        <vt:i4>1441844</vt:i4>
      </vt:variant>
      <vt:variant>
        <vt:i4>1928</vt:i4>
      </vt:variant>
      <vt:variant>
        <vt:i4>0</vt:i4>
      </vt:variant>
      <vt:variant>
        <vt:i4>5</vt:i4>
      </vt:variant>
      <vt:variant>
        <vt:lpwstr/>
      </vt:variant>
      <vt:variant>
        <vt:lpwstr>_Toc496869092</vt:lpwstr>
      </vt:variant>
      <vt:variant>
        <vt:i4>1441844</vt:i4>
      </vt:variant>
      <vt:variant>
        <vt:i4>1922</vt:i4>
      </vt:variant>
      <vt:variant>
        <vt:i4>0</vt:i4>
      </vt:variant>
      <vt:variant>
        <vt:i4>5</vt:i4>
      </vt:variant>
      <vt:variant>
        <vt:lpwstr/>
      </vt:variant>
      <vt:variant>
        <vt:lpwstr>_Toc496869091</vt:lpwstr>
      </vt:variant>
      <vt:variant>
        <vt:i4>1441844</vt:i4>
      </vt:variant>
      <vt:variant>
        <vt:i4>1916</vt:i4>
      </vt:variant>
      <vt:variant>
        <vt:i4>0</vt:i4>
      </vt:variant>
      <vt:variant>
        <vt:i4>5</vt:i4>
      </vt:variant>
      <vt:variant>
        <vt:lpwstr/>
      </vt:variant>
      <vt:variant>
        <vt:lpwstr>_Toc496869090</vt:lpwstr>
      </vt:variant>
      <vt:variant>
        <vt:i4>1507380</vt:i4>
      </vt:variant>
      <vt:variant>
        <vt:i4>1910</vt:i4>
      </vt:variant>
      <vt:variant>
        <vt:i4>0</vt:i4>
      </vt:variant>
      <vt:variant>
        <vt:i4>5</vt:i4>
      </vt:variant>
      <vt:variant>
        <vt:lpwstr/>
      </vt:variant>
      <vt:variant>
        <vt:lpwstr>_Toc496869089</vt:lpwstr>
      </vt:variant>
      <vt:variant>
        <vt:i4>1507380</vt:i4>
      </vt:variant>
      <vt:variant>
        <vt:i4>1904</vt:i4>
      </vt:variant>
      <vt:variant>
        <vt:i4>0</vt:i4>
      </vt:variant>
      <vt:variant>
        <vt:i4>5</vt:i4>
      </vt:variant>
      <vt:variant>
        <vt:lpwstr/>
      </vt:variant>
      <vt:variant>
        <vt:lpwstr>_Toc496869088</vt:lpwstr>
      </vt:variant>
      <vt:variant>
        <vt:i4>1507380</vt:i4>
      </vt:variant>
      <vt:variant>
        <vt:i4>1898</vt:i4>
      </vt:variant>
      <vt:variant>
        <vt:i4>0</vt:i4>
      </vt:variant>
      <vt:variant>
        <vt:i4>5</vt:i4>
      </vt:variant>
      <vt:variant>
        <vt:lpwstr/>
      </vt:variant>
      <vt:variant>
        <vt:lpwstr>_Toc496869087</vt:lpwstr>
      </vt:variant>
      <vt:variant>
        <vt:i4>1507380</vt:i4>
      </vt:variant>
      <vt:variant>
        <vt:i4>1892</vt:i4>
      </vt:variant>
      <vt:variant>
        <vt:i4>0</vt:i4>
      </vt:variant>
      <vt:variant>
        <vt:i4>5</vt:i4>
      </vt:variant>
      <vt:variant>
        <vt:lpwstr/>
      </vt:variant>
      <vt:variant>
        <vt:lpwstr>_Toc496869086</vt:lpwstr>
      </vt:variant>
      <vt:variant>
        <vt:i4>1507380</vt:i4>
      </vt:variant>
      <vt:variant>
        <vt:i4>1886</vt:i4>
      </vt:variant>
      <vt:variant>
        <vt:i4>0</vt:i4>
      </vt:variant>
      <vt:variant>
        <vt:i4>5</vt:i4>
      </vt:variant>
      <vt:variant>
        <vt:lpwstr/>
      </vt:variant>
      <vt:variant>
        <vt:lpwstr>_Toc496869085</vt:lpwstr>
      </vt:variant>
      <vt:variant>
        <vt:i4>1507380</vt:i4>
      </vt:variant>
      <vt:variant>
        <vt:i4>1880</vt:i4>
      </vt:variant>
      <vt:variant>
        <vt:i4>0</vt:i4>
      </vt:variant>
      <vt:variant>
        <vt:i4>5</vt:i4>
      </vt:variant>
      <vt:variant>
        <vt:lpwstr/>
      </vt:variant>
      <vt:variant>
        <vt:lpwstr>_Toc496869084</vt:lpwstr>
      </vt:variant>
      <vt:variant>
        <vt:i4>1507380</vt:i4>
      </vt:variant>
      <vt:variant>
        <vt:i4>1874</vt:i4>
      </vt:variant>
      <vt:variant>
        <vt:i4>0</vt:i4>
      </vt:variant>
      <vt:variant>
        <vt:i4>5</vt:i4>
      </vt:variant>
      <vt:variant>
        <vt:lpwstr/>
      </vt:variant>
      <vt:variant>
        <vt:lpwstr>_Toc496869083</vt:lpwstr>
      </vt:variant>
      <vt:variant>
        <vt:i4>1507380</vt:i4>
      </vt:variant>
      <vt:variant>
        <vt:i4>1868</vt:i4>
      </vt:variant>
      <vt:variant>
        <vt:i4>0</vt:i4>
      </vt:variant>
      <vt:variant>
        <vt:i4>5</vt:i4>
      </vt:variant>
      <vt:variant>
        <vt:lpwstr/>
      </vt:variant>
      <vt:variant>
        <vt:lpwstr>_Toc496869082</vt:lpwstr>
      </vt:variant>
      <vt:variant>
        <vt:i4>1507380</vt:i4>
      </vt:variant>
      <vt:variant>
        <vt:i4>1862</vt:i4>
      </vt:variant>
      <vt:variant>
        <vt:i4>0</vt:i4>
      </vt:variant>
      <vt:variant>
        <vt:i4>5</vt:i4>
      </vt:variant>
      <vt:variant>
        <vt:lpwstr/>
      </vt:variant>
      <vt:variant>
        <vt:lpwstr>_Toc496869081</vt:lpwstr>
      </vt:variant>
      <vt:variant>
        <vt:i4>1507380</vt:i4>
      </vt:variant>
      <vt:variant>
        <vt:i4>1856</vt:i4>
      </vt:variant>
      <vt:variant>
        <vt:i4>0</vt:i4>
      </vt:variant>
      <vt:variant>
        <vt:i4>5</vt:i4>
      </vt:variant>
      <vt:variant>
        <vt:lpwstr/>
      </vt:variant>
      <vt:variant>
        <vt:lpwstr>_Toc496869080</vt:lpwstr>
      </vt:variant>
      <vt:variant>
        <vt:i4>1572916</vt:i4>
      </vt:variant>
      <vt:variant>
        <vt:i4>1850</vt:i4>
      </vt:variant>
      <vt:variant>
        <vt:i4>0</vt:i4>
      </vt:variant>
      <vt:variant>
        <vt:i4>5</vt:i4>
      </vt:variant>
      <vt:variant>
        <vt:lpwstr/>
      </vt:variant>
      <vt:variant>
        <vt:lpwstr>_Toc496869079</vt:lpwstr>
      </vt:variant>
      <vt:variant>
        <vt:i4>1572916</vt:i4>
      </vt:variant>
      <vt:variant>
        <vt:i4>1844</vt:i4>
      </vt:variant>
      <vt:variant>
        <vt:i4>0</vt:i4>
      </vt:variant>
      <vt:variant>
        <vt:i4>5</vt:i4>
      </vt:variant>
      <vt:variant>
        <vt:lpwstr/>
      </vt:variant>
      <vt:variant>
        <vt:lpwstr>_Toc496869078</vt:lpwstr>
      </vt:variant>
      <vt:variant>
        <vt:i4>1572916</vt:i4>
      </vt:variant>
      <vt:variant>
        <vt:i4>1838</vt:i4>
      </vt:variant>
      <vt:variant>
        <vt:i4>0</vt:i4>
      </vt:variant>
      <vt:variant>
        <vt:i4>5</vt:i4>
      </vt:variant>
      <vt:variant>
        <vt:lpwstr/>
      </vt:variant>
      <vt:variant>
        <vt:lpwstr>_Toc496869077</vt:lpwstr>
      </vt:variant>
      <vt:variant>
        <vt:i4>1572916</vt:i4>
      </vt:variant>
      <vt:variant>
        <vt:i4>1832</vt:i4>
      </vt:variant>
      <vt:variant>
        <vt:i4>0</vt:i4>
      </vt:variant>
      <vt:variant>
        <vt:i4>5</vt:i4>
      </vt:variant>
      <vt:variant>
        <vt:lpwstr/>
      </vt:variant>
      <vt:variant>
        <vt:lpwstr>_Toc496869076</vt:lpwstr>
      </vt:variant>
      <vt:variant>
        <vt:i4>1572916</vt:i4>
      </vt:variant>
      <vt:variant>
        <vt:i4>1826</vt:i4>
      </vt:variant>
      <vt:variant>
        <vt:i4>0</vt:i4>
      </vt:variant>
      <vt:variant>
        <vt:i4>5</vt:i4>
      </vt:variant>
      <vt:variant>
        <vt:lpwstr/>
      </vt:variant>
      <vt:variant>
        <vt:lpwstr>_Toc496869075</vt:lpwstr>
      </vt:variant>
      <vt:variant>
        <vt:i4>1572916</vt:i4>
      </vt:variant>
      <vt:variant>
        <vt:i4>1820</vt:i4>
      </vt:variant>
      <vt:variant>
        <vt:i4>0</vt:i4>
      </vt:variant>
      <vt:variant>
        <vt:i4>5</vt:i4>
      </vt:variant>
      <vt:variant>
        <vt:lpwstr/>
      </vt:variant>
      <vt:variant>
        <vt:lpwstr>_Toc496869074</vt:lpwstr>
      </vt:variant>
      <vt:variant>
        <vt:i4>1572916</vt:i4>
      </vt:variant>
      <vt:variant>
        <vt:i4>1814</vt:i4>
      </vt:variant>
      <vt:variant>
        <vt:i4>0</vt:i4>
      </vt:variant>
      <vt:variant>
        <vt:i4>5</vt:i4>
      </vt:variant>
      <vt:variant>
        <vt:lpwstr/>
      </vt:variant>
      <vt:variant>
        <vt:lpwstr>_Toc496869073</vt:lpwstr>
      </vt:variant>
      <vt:variant>
        <vt:i4>1572916</vt:i4>
      </vt:variant>
      <vt:variant>
        <vt:i4>1808</vt:i4>
      </vt:variant>
      <vt:variant>
        <vt:i4>0</vt:i4>
      </vt:variant>
      <vt:variant>
        <vt:i4>5</vt:i4>
      </vt:variant>
      <vt:variant>
        <vt:lpwstr/>
      </vt:variant>
      <vt:variant>
        <vt:lpwstr>_Toc496869072</vt:lpwstr>
      </vt:variant>
      <vt:variant>
        <vt:i4>1572916</vt:i4>
      </vt:variant>
      <vt:variant>
        <vt:i4>1802</vt:i4>
      </vt:variant>
      <vt:variant>
        <vt:i4>0</vt:i4>
      </vt:variant>
      <vt:variant>
        <vt:i4>5</vt:i4>
      </vt:variant>
      <vt:variant>
        <vt:lpwstr/>
      </vt:variant>
      <vt:variant>
        <vt:lpwstr>_Toc496869071</vt:lpwstr>
      </vt:variant>
      <vt:variant>
        <vt:i4>1572916</vt:i4>
      </vt:variant>
      <vt:variant>
        <vt:i4>1796</vt:i4>
      </vt:variant>
      <vt:variant>
        <vt:i4>0</vt:i4>
      </vt:variant>
      <vt:variant>
        <vt:i4>5</vt:i4>
      </vt:variant>
      <vt:variant>
        <vt:lpwstr/>
      </vt:variant>
      <vt:variant>
        <vt:lpwstr>_Toc496869070</vt:lpwstr>
      </vt:variant>
      <vt:variant>
        <vt:i4>1638452</vt:i4>
      </vt:variant>
      <vt:variant>
        <vt:i4>1790</vt:i4>
      </vt:variant>
      <vt:variant>
        <vt:i4>0</vt:i4>
      </vt:variant>
      <vt:variant>
        <vt:i4>5</vt:i4>
      </vt:variant>
      <vt:variant>
        <vt:lpwstr/>
      </vt:variant>
      <vt:variant>
        <vt:lpwstr>_Toc496869069</vt:lpwstr>
      </vt:variant>
      <vt:variant>
        <vt:i4>1638452</vt:i4>
      </vt:variant>
      <vt:variant>
        <vt:i4>1784</vt:i4>
      </vt:variant>
      <vt:variant>
        <vt:i4>0</vt:i4>
      </vt:variant>
      <vt:variant>
        <vt:i4>5</vt:i4>
      </vt:variant>
      <vt:variant>
        <vt:lpwstr/>
      </vt:variant>
      <vt:variant>
        <vt:lpwstr>_Toc496869068</vt:lpwstr>
      </vt:variant>
      <vt:variant>
        <vt:i4>1638452</vt:i4>
      </vt:variant>
      <vt:variant>
        <vt:i4>1778</vt:i4>
      </vt:variant>
      <vt:variant>
        <vt:i4>0</vt:i4>
      </vt:variant>
      <vt:variant>
        <vt:i4>5</vt:i4>
      </vt:variant>
      <vt:variant>
        <vt:lpwstr/>
      </vt:variant>
      <vt:variant>
        <vt:lpwstr>_Toc496869067</vt:lpwstr>
      </vt:variant>
      <vt:variant>
        <vt:i4>1638452</vt:i4>
      </vt:variant>
      <vt:variant>
        <vt:i4>1772</vt:i4>
      </vt:variant>
      <vt:variant>
        <vt:i4>0</vt:i4>
      </vt:variant>
      <vt:variant>
        <vt:i4>5</vt:i4>
      </vt:variant>
      <vt:variant>
        <vt:lpwstr/>
      </vt:variant>
      <vt:variant>
        <vt:lpwstr>_Toc496869066</vt:lpwstr>
      </vt:variant>
      <vt:variant>
        <vt:i4>1638452</vt:i4>
      </vt:variant>
      <vt:variant>
        <vt:i4>1766</vt:i4>
      </vt:variant>
      <vt:variant>
        <vt:i4>0</vt:i4>
      </vt:variant>
      <vt:variant>
        <vt:i4>5</vt:i4>
      </vt:variant>
      <vt:variant>
        <vt:lpwstr/>
      </vt:variant>
      <vt:variant>
        <vt:lpwstr>_Toc496869065</vt:lpwstr>
      </vt:variant>
      <vt:variant>
        <vt:i4>1638452</vt:i4>
      </vt:variant>
      <vt:variant>
        <vt:i4>1760</vt:i4>
      </vt:variant>
      <vt:variant>
        <vt:i4>0</vt:i4>
      </vt:variant>
      <vt:variant>
        <vt:i4>5</vt:i4>
      </vt:variant>
      <vt:variant>
        <vt:lpwstr/>
      </vt:variant>
      <vt:variant>
        <vt:lpwstr>_Toc496869064</vt:lpwstr>
      </vt:variant>
      <vt:variant>
        <vt:i4>1638452</vt:i4>
      </vt:variant>
      <vt:variant>
        <vt:i4>1754</vt:i4>
      </vt:variant>
      <vt:variant>
        <vt:i4>0</vt:i4>
      </vt:variant>
      <vt:variant>
        <vt:i4>5</vt:i4>
      </vt:variant>
      <vt:variant>
        <vt:lpwstr/>
      </vt:variant>
      <vt:variant>
        <vt:lpwstr>_Toc496869063</vt:lpwstr>
      </vt:variant>
      <vt:variant>
        <vt:i4>1638452</vt:i4>
      </vt:variant>
      <vt:variant>
        <vt:i4>1748</vt:i4>
      </vt:variant>
      <vt:variant>
        <vt:i4>0</vt:i4>
      </vt:variant>
      <vt:variant>
        <vt:i4>5</vt:i4>
      </vt:variant>
      <vt:variant>
        <vt:lpwstr/>
      </vt:variant>
      <vt:variant>
        <vt:lpwstr>_Toc496869062</vt:lpwstr>
      </vt:variant>
      <vt:variant>
        <vt:i4>1638452</vt:i4>
      </vt:variant>
      <vt:variant>
        <vt:i4>1742</vt:i4>
      </vt:variant>
      <vt:variant>
        <vt:i4>0</vt:i4>
      </vt:variant>
      <vt:variant>
        <vt:i4>5</vt:i4>
      </vt:variant>
      <vt:variant>
        <vt:lpwstr/>
      </vt:variant>
      <vt:variant>
        <vt:lpwstr>_Toc496869061</vt:lpwstr>
      </vt:variant>
      <vt:variant>
        <vt:i4>1638452</vt:i4>
      </vt:variant>
      <vt:variant>
        <vt:i4>1736</vt:i4>
      </vt:variant>
      <vt:variant>
        <vt:i4>0</vt:i4>
      </vt:variant>
      <vt:variant>
        <vt:i4>5</vt:i4>
      </vt:variant>
      <vt:variant>
        <vt:lpwstr/>
      </vt:variant>
      <vt:variant>
        <vt:lpwstr>_Toc496869060</vt:lpwstr>
      </vt:variant>
      <vt:variant>
        <vt:i4>1703988</vt:i4>
      </vt:variant>
      <vt:variant>
        <vt:i4>1730</vt:i4>
      </vt:variant>
      <vt:variant>
        <vt:i4>0</vt:i4>
      </vt:variant>
      <vt:variant>
        <vt:i4>5</vt:i4>
      </vt:variant>
      <vt:variant>
        <vt:lpwstr/>
      </vt:variant>
      <vt:variant>
        <vt:lpwstr>_Toc496869059</vt:lpwstr>
      </vt:variant>
      <vt:variant>
        <vt:i4>1703988</vt:i4>
      </vt:variant>
      <vt:variant>
        <vt:i4>1724</vt:i4>
      </vt:variant>
      <vt:variant>
        <vt:i4>0</vt:i4>
      </vt:variant>
      <vt:variant>
        <vt:i4>5</vt:i4>
      </vt:variant>
      <vt:variant>
        <vt:lpwstr/>
      </vt:variant>
      <vt:variant>
        <vt:lpwstr>_Toc496869058</vt:lpwstr>
      </vt:variant>
      <vt:variant>
        <vt:i4>1703988</vt:i4>
      </vt:variant>
      <vt:variant>
        <vt:i4>1718</vt:i4>
      </vt:variant>
      <vt:variant>
        <vt:i4>0</vt:i4>
      </vt:variant>
      <vt:variant>
        <vt:i4>5</vt:i4>
      </vt:variant>
      <vt:variant>
        <vt:lpwstr/>
      </vt:variant>
      <vt:variant>
        <vt:lpwstr>_Toc496869057</vt:lpwstr>
      </vt:variant>
      <vt:variant>
        <vt:i4>1703988</vt:i4>
      </vt:variant>
      <vt:variant>
        <vt:i4>1712</vt:i4>
      </vt:variant>
      <vt:variant>
        <vt:i4>0</vt:i4>
      </vt:variant>
      <vt:variant>
        <vt:i4>5</vt:i4>
      </vt:variant>
      <vt:variant>
        <vt:lpwstr/>
      </vt:variant>
      <vt:variant>
        <vt:lpwstr>_Toc496869056</vt:lpwstr>
      </vt:variant>
      <vt:variant>
        <vt:i4>1703988</vt:i4>
      </vt:variant>
      <vt:variant>
        <vt:i4>1706</vt:i4>
      </vt:variant>
      <vt:variant>
        <vt:i4>0</vt:i4>
      </vt:variant>
      <vt:variant>
        <vt:i4>5</vt:i4>
      </vt:variant>
      <vt:variant>
        <vt:lpwstr/>
      </vt:variant>
      <vt:variant>
        <vt:lpwstr>_Toc496869055</vt:lpwstr>
      </vt:variant>
      <vt:variant>
        <vt:i4>1703988</vt:i4>
      </vt:variant>
      <vt:variant>
        <vt:i4>1700</vt:i4>
      </vt:variant>
      <vt:variant>
        <vt:i4>0</vt:i4>
      </vt:variant>
      <vt:variant>
        <vt:i4>5</vt:i4>
      </vt:variant>
      <vt:variant>
        <vt:lpwstr/>
      </vt:variant>
      <vt:variant>
        <vt:lpwstr>_Toc496869054</vt:lpwstr>
      </vt:variant>
      <vt:variant>
        <vt:i4>1703988</vt:i4>
      </vt:variant>
      <vt:variant>
        <vt:i4>1694</vt:i4>
      </vt:variant>
      <vt:variant>
        <vt:i4>0</vt:i4>
      </vt:variant>
      <vt:variant>
        <vt:i4>5</vt:i4>
      </vt:variant>
      <vt:variant>
        <vt:lpwstr/>
      </vt:variant>
      <vt:variant>
        <vt:lpwstr>_Toc496869053</vt:lpwstr>
      </vt:variant>
      <vt:variant>
        <vt:i4>1703988</vt:i4>
      </vt:variant>
      <vt:variant>
        <vt:i4>1688</vt:i4>
      </vt:variant>
      <vt:variant>
        <vt:i4>0</vt:i4>
      </vt:variant>
      <vt:variant>
        <vt:i4>5</vt:i4>
      </vt:variant>
      <vt:variant>
        <vt:lpwstr/>
      </vt:variant>
      <vt:variant>
        <vt:lpwstr>_Toc496869052</vt:lpwstr>
      </vt:variant>
      <vt:variant>
        <vt:i4>1703988</vt:i4>
      </vt:variant>
      <vt:variant>
        <vt:i4>1682</vt:i4>
      </vt:variant>
      <vt:variant>
        <vt:i4>0</vt:i4>
      </vt:variant>
      <vt:variant>
        <vt:i4>5</vt:i4>
      </vt:variant>
      <vt:variant>
        <vt:lpwstr/>
      </vt:variant>
      <vt:variant>
        <vt:lpwstr>_Toc496869051</vt:lpwstr>
      </vt:variant>
      <vt:variant>
        <vt:i4>1703988</vt:i4>
      </vt:variant>
      <vt:variant>
        <vt:i4>1676</vt:i4>
      </vt:variant>
      <vt:variant>
        <vt:i4>0</vt:i4>
      </vt:variant>
      <vt:variant>
        <vt:i4>5</vt:i4>
      </vt:variant>
      <vt:variant>
        <vt:lpwstr/>
      </vt:variant>
      <vt:variant>
        <vt:lpwstr>_Toc496869050</vt:lpwstr>
      </vt:variant>
      <vt:variant>
        <vt:i4>1769524</vt:i4>
      </vt:variant>
      <vt:variant>
        <vt:i4>1670</vt:i4>
      </vt:variant>
      <vt:variant>
        <vt:i4>0</vt:i4>
      </vt:variant>
      <vt:variant>
        <vt:i4>5</vt:i4>
      </vt:variant>
      <vt:variant>
        <vt:lpwstr/>
      </vt:variant>
      <vt:variant>
        <vt:lpwstr>_Toc496869049</vt:lpwstr>
      </vt:variant>
      <vt:variant>
        <vt:i4>1769524</vt:i4>
      </vt:variant>
      <vt:variant>
        <vt:i4>1664</vt:i4>
      </vt:variant>
      <vt:variant>
        <vt:i4>0</vt:i4>
      </vt:variant>
      <vt:variant>
        <vt:i4>5</vt:i4>
      </vt:variant>
      <vt:variant>
        <vt:lpwstr/>
      </vt:variant>
      <vt:variant>
        <vt:lpwstr>_Toc496869048</vt:lpwstr>
      </vt:variant>
      <vt:variant>
        <vt:i4>1769524</vt:i4>
      </vt:variant>
      <vt:variant>
        <vt:i4>1658</vt:i4>
      </vt:variant>
      <vt:variant>
        <vt:i4>0</vt:i4>
      </vt:variant>
      <vt:variant>
        <vt:i4>5</vt:i4>
      </vt:variant>
      <vt:variant>
        <vt:lpwstr/>
      </vt:variant>
      <vt:variant>
        <vt:lpwstr>_Toc496869047</vt:lpwstr>
      </vt:variant>
      <vt:variant>
        <vt:i4>1769524</vt:i4>
      </vt:variant>
      <vt:variant>
        <vt:i4>1652</vt:i4>
      </vt:variant>
      <vt:variant>
        <vt:i4>0</vt:i4>
      </vt:variant>
      <vt:variant>
        <vt:i4>5</vt:i4>
      </vt:variant>
      <vt:variant>
        <vt:lpwstr/>
      </vt:variant>
      <vt:variant>
        <vt:lpwstr>_Toc496869046</vt:lpwstr>
      </vt:variant>
      <vt:variant>
        <vt:i4>1769524</vt:i4>
      </vt:variant>
      <vt:variant>
        <vt:i4>1646</vt:i4>
      </vt:variant>
      <vt:variant>
        <vt:i4>0</vt:i4>
      </vt:variant>
      <vt:variant>
        <vt:i4>5</vt:i4>
      </vt:variant>
      <vt:variant>
        <vt:lpwstr/>
      </vt:variant>
      <vt:variant>
        <vt:lpwstr>_Toc496869045</vt:lpwstr>
      </vt:variant>
      <vt:variant>
        <vt:i4>1769524</vt:i4>
      </vt:variant>
      <vt:variant>
        <vt:i4>1640</vt:i4>
      </vt:variant>
      <vt:variant>
        <vt:i4>0</vt:i4>
      </vt:variant>
      <vt:variant>
        <vt:i4>5</vt:i4>
      </vt:variant>
      <vt:variant>
        <vt:lpwstr/>
      </vt:variant>
      <vt:variant>
        <vt:lpwstr>_Toc496869044</vt:lpwstr>
      </vt:variant>
      <vt:variant>
        <vt:i4>1769524</vt:i4>
      </vt:variant>
      <vt:variant>
        <vt:i4>1634</vt:i4>
      </vt:variant>
      <vt:variant>
        <vt:i4>0</vt:i4>
      </vt:variant>
      <vt:variant>
        <vt:i4>5</vt:i4>
      </vt:variant>
      <vt:variant>
        <vt:lpwstr/>
      </vt:variant>
      <vt:variant>
        <vt:lpwstr>_Toc496869043</vt:lpwstr>
      </vt:variant>
      <vt:variant>
        <vt:i4>1769524</vt:i4>
      </vt:variant>
      <vt:variant>
        <vt:i4>1628</vt:i4>
      </vt:variant>
      <vt:variant>
        <vt:i4>0</vt:i4>
      </vt:variant>
      <vt:variant>
        <vt:i4>5</vt:i4>
      </vt:variant>
      <vt:variant>
        <vt:lpwstr/>
      </vt:variant>
      <vt:variant>
        <vt:lpwstr>_Toc496869042</vt:lpwstr>
      </vt:variant>
      <vt:variant>
        <vt:i4>1769524</vt:i4>
      </vt:variant>
      <vt:variant>
        <vt:i4>1622</vt:i4>
      </vt:variant>
      <vt:variant>
        <vt:i4>0</vt:i4>
      </vt:variant>
      <vt:variant>
        <vt:i4>5</vt:i4>
      </vt:variant>
      <vt:variant>
        <vt:lpwstr/>
      </vt:variant>
      <vt:variant>
        <vt:lpwstr>_Toc496869041</vt:lpwstr>
      </vt:variant>
      <vt:variant>
        <vt:i4>1769524</vt:i4>
      </vt:variant>
      <vt:variant>
        <vt:i4>1616</vt:i4>
      </vt:variant>
      <vt:variant>
        <vt:i4>0</vt:i4>
      </vt:variant>
      <vt:variant>
        <vt:i4>5</vt:i4>
      </vt:variant>
      <vt:variant>
        <vt:lpwstr/>
      </vt:variant>
      <vt:variant>
        <vt:lpwstr>_Toc496869040</vt:lpwstr>
      </vt:variant>
      <vt:variant>
        <vt:i4>1835060</vt:i4>
      </vt:variant>
      <vt:variant>
        <vt:i4>1610</vt:i4>
      </vt:variant>
      <vt:variant>
        <vt:i4>0</vt:i4>
      </vt:variant>
      <vt:variant>
        <vt:i4>5</vt:i4>
      </vt:variant>
      <vt:variant>
        <vt:lpwstr/>
      </vt:variant>
      <vt:variant>
        <vt:lpwstr>_Toc496869039</vt:lpwstr>
      </vt:variant>
      <vt:variant>
        <vt:i4>1835060</vt:i4>
      </vt:variant>
      <vt:variant>
        <vt:i4>1604</vt:i4>
      </vt:variant>
      <vt:variant>
        <vt:i4>0</vt:i4>
      </vt:variant>
      <vt:variant>
        <vt:i4>5</vt:i4>
      </vt:variant>
      <vt:variant>
        <vt:lpwstr/>
      </vt:variant>
      <vt:variant>
        <vt:lpwstr>_Toc496869038</vt:lpwstr>
      </vt:variant>
      <vt:variant>
        <vt:i4>1835060</vt:i4>
      </vt:variant>
      <vt:variant>
        <vt:i4>1598</vt:i4>
      </vt:variant>
      <vt:variant>
        <vt:i4>0</vt:i4>
      </vt:variant>
      <vt:variant>
        <vt:i4>5</vt:i4>
      </vt:variant>
      <vt:variant>
        <vt:lpwstr/>
      </vt:variant>
      <vt:variant>
        <vt:lpwstr>_Toc496869037</vt:lpwstr>
      </vt:variant>
      <vt:variant>
        <vt:i4>1835060</vt:i4>
      </vt:variant>
      <vt:variant>
        <vt:i4>1592</vt:i4>
      </vt:variant>
      <vt:variant>
        <vt:i4>0</vt:i4>
      </vt:variant>
      <vt:variant>
        <vt:i4>5</vt:i4>
      </vt:variant>
      <vt:variant>
        <vt:lpwstr/>
      </vt:variant>
      <vt:variant>
        <vt:lpwstr>_Toc496869036</vt:lpwstr>
      </vt:variant>
      <vt:variant>
        <vt:i4>1835060</vt:i4>
      </vt:variant>
      <vt:variant>
        <vt:i4>1586</vt:i4>
      </vt:variant>
      <vt:variant>
        <vt:i4>0</vt:i4>
      </vt:variant>
      <vt:variant>
        <vt:i4>5</vt:i4>
      </vt:variant>
      <vt:variant>
        <vt:lpwstr/>
      </vt:variant>
      <vt:variant>
        <vt:lpwstr>_Toc496869035</vt:lpwstr>
      </vt:variant>
      <vt:variant>
        <vt:i4>1835060</vt:i4>
      </vt:variant>
      <vt:variant>
        <vt:i4>1580</vt:i4>
      </vt:variant>
      <vt:variant>
        <vt:i4>0</vt:i4>
      </vt:variant>
      <vt:variant>
        <vt:i4>5</vt:i4>
      </vt:variant>
      <vt:variant>
        <vt:lpwstr/>
      </vt:variant>
      <vt:variant>
        <vt:lpwstr>_Toc496869034</vt:lpwstr>
      </vt:variant>
      <vt:variant>
        <vt:i4>1835060</vt:i4>
      </vt:variant>
      <vt:variant>
        <vt:i4>1574</vt:i4>
      </vt:variant>
      <vt:variant>
        <vt:i4>0</vt:i4>
      </vt:variant>
      <vt:variant>
        <vt:i4>5</vt:i4>
      </vt:variant>
      <vt:variant>
        <vt:lpwstr/>
      </vt:variant>
      <vt:variant>
        <vt:lpwstr>_Toc496869033</vt:lpwstr>
      </vt:variant>
      <vt:variant>
        <vt:i4>1835060</vt:i4>
      </vt:variant>
      <vt:variant>
        <vt:i4>1568</vt:i4>
      </vt:variant>
      <vt:variant>
        <vt:i4>0</vt:i4>
      </vt:variant>
      <vt:variant>
        <vt:i4>5</vt:i4>
      </vt:variant>
      <vt:variant>
        <vt:lpwstr/>
      </vt:variant>
      <vt:variant>
        <vt:lpwstr>_Toc496869032</vt:lpwstr>
      </vt:variant>
      <vt:variant>
        <vt:i4>1835060</vt:i4>
      </vt:variant>
      <vt:variant>
        <vt:i4>1562</vt:i4>
      </vt:variant>
      <vt:variant>
        <vt:i4>0</vt:i4>
      </vt:variant>
      <vt:variant>
        <vt:i4>5</vt:i4>
      </vt:variant>
      <vt:variant>
        <vt:lpwstr/>
      </vt:variant>
      <vt:variant>
        <vt:lpwstr>_Toc496869031</vt:lpwstr>
      </vt:variant>
      <vt:variant>
        <vt:i4>1835060</vt:i4>
      </vt:variant>
      <vt:variant>
        <vt:i4>1556</vt:i4>
      </vt:variant>
      <vt:variant>
        <vt:i4>0</vt:i4>
      </vt:variant>
      <vt:variant>
        <vt:i4>5</vt:i4>
      </vt:variant>
      <vt:variant>
        <vt:lpwstr/>
      </vt:variant>
      <vt:variant>
        <vt:lpwstr>_Toc496869030</vt:lpwstr>
      </vt:variant>
      <vt:variant>
        <vt:i4>1900596</vt:i4>
      </vt:variant>
      <vt:variant>
        <vt:i4>1550</vt:i4>
      </vt:variant>
      <vt:variant>
        <vt:i4>0</vt:i4>
      </vt:variant>
      <vt:variant>
        <vt:i4>5</vt:i4>
      </vt:variant>
      <vt:variant>
        <vt:lpwstr/>
      </vt:variant>
      <vt:variant>
        <vt:lpwstr>_Toc496869029</vt:lpwstr>
      </vt:variant>
      <vt:variant>
        <vt:i4>1900596</vt:i4>
      </vt:variant>
      <vt:variant>
        <vt:i4>1544</vt:i4>
      </vt:variant>
      <vt:variant>
        <vt:i4>0</vt:i4>
      </vt:variant>
      <vt:variant>
        <vt:i4>5</vt:i4>
      </vt:variant>
      <vt:variant>
        <vt:lpwstr/>
      </vt:variant>
      <vt:variant>
        <vt:lpwstr>_Toc496869028</vt:lpwstr>
      </vt:variant>
      <vt:variant>
        <vt:i4>1900596</vt:i4>
      </vt:variant>
      <vt:variant>
        <vt:i4>1538</vt:i4>
      </vt:variant>
      <vt:variant>
        <vt:i4>0</vt:i4>
      </vt:variant>
      <vt:variant>
        <vt:i4>5</vt:i4>
      </vt:variant>
      <vt:variant>
        <vt:lpwstr/>
      </vt:variant>
      <vt:variant>
        <vt:lpwstr>_Toc496869027</vt:lpwstr>
      </vt:variant>
      <vt:variant>
        <vt:i4>1900596</vt:i4>
      </vt:variant>
      <vt:variant>
        <vt:i4>1532</vt:i4>
      </vt:variant>
      <vt:variant>
        <vt:i4>0</vt:i4>
      </vt:variant>
      <vt:variant>
        <vt:i4>5</vt:i4>
      </vt:variant>
      <vt:variant>
        <vt:lpwstr/>
      </vt:variant>
      <vt:variant>
        <vt:lpwstr>_Toc496869026</vt:lpwstr>
      </vt:variant>
      <vt:variant>
        <vt:i4>1900596</vt:i4>
      </vt:variant>
      <vt:variant>
        <vt:i4>1526</vt:i4>
      </vt:variant>
      <vt:variant>
        <vt:i4>0</vt:i4>
      </vt:variant>
      <vt:variant>
        <vt:i4>5</vt:i4>
      </vt:variant>
      <vt:variant>
        <vt:lpwstr/>
      </vt:variant>
      <vt:variant>
        <vt:lpwstr>_Toc496869025</vt:lpwstr>
      </vt:variant>
      <vt:variant>
        <vt:i4>1900596</vt:i4>
      </vt:variant>
      <vt:variant>
        <vt:i4>1520</vt:i4>
      </vt:variant>
      <vt:variant>
        <vt:i4>0</vt:i4>
      </vt:variant>
      <vt:variant>
        <vt:i4>5</vt:i4>
      </vt:variant>
      <vt:variant>
        <vt:lpwstr/>
      </vt:variant>
      <vt:variant>
        <vt:lpwstr>_Toc496869024</vt:lpwstr>
      </vt:variant>
      <vt:variant>
        <vt:i4>1900596</vt:i4>
      </vt:variant>
      <vt:variant>
        <vt:i4>1514</vt:i4>
      </vt:variant>
      <vt:variant>
        <vt:i4>0</vt:i4>
      </vt:variant>
      <vt:variant>
        <vt:i4>5</vt:i4>
      </vt:variant>
      <vt:variant>
        <vt:lpwstr/>
      </vt:variant>
      <vt:variant>
        <vt:lpwstr>_Toc496869023</vt:lpwstr>
      </vt:variant>
      <vt:variant>
        <vt:i4>1900596</vt:i4>
      </vt:variant>
      <vt:variant>
        <vt:i4>1508</vt:i4>
      </vt:variant>
      <vt:variant>
        <vt:i4>0</vt:i4>
      </vt:variant>
      <vt:variant>
        <vt:i4>5</vt:i4>
      </vt:variant>
      <vt:variant>
        <vt:lpwstr/>
      </vt:variant>
      <vt:variant>
        <vt:lpwstr>_Toc496869022</vt:lpwstr>
      </vt:variant>
      <vt:variant>
        <vt:i4>1900596</vt:i4>
      </vt:variant>
      <vt:variant>
        <vt:i4>1502</vt:i4>
      </vt:variant>
      <vt:variant>
        <vt:i4>0</vt:i4>
      </vt:variant>
      <vt:variant>
        <vt:i4>5</vt:i4>
      </vt:variant>
      <vt:variant>
        <vt:lpwstr/>
      </vt:variant>
      <vt:variant>
        <vt:lpwstr>_Toc496869021</vt:lpwstr>
      </vt:variant>
      <vt:variant>
        <vt:i4>1900596</vt:i4>
      </vt:variant>
      <vt:variant>
        <vt:i4>1496</vt:i4>
      </vt:variant>
      <vt:variant>
        <vt:i4>0</vt:i4>
      </vt:variant>
      <vt:variant>
        <vt:i4>5</vt:i4>
      </vt:variant>
      <vt:variant>
        <vt:lpwstr/>
      </vt:variant>
      <vt:variant>
        <vt:lpwstr>_Toc496869020</vt:lpwstr>
      </vt:variant>
      <vt:variant>
        <vt:i4>1966132</vt:i4>
      </vt:variant>
      <vt:variant>
        <vt:i4>1490</vt:i4>
      </vt:variant>
      <vt:variant>
        <vt:i4>0</vt:i4>
      </vt:variant>
      <vt:variant>
        <vt:i4>5</vt:i4>
      </vt:variant>
      <vt:variant>
        <vt:lpwstr/>
      </vt:variant>
      <vt:variant>
        <vt:lpwstr>_Toc496869019</vt:lpwstr>
      </vt:variant>
      <vt:variant>
        <vt:i4>1966132</vt:i4>
      </vt:variant>
      <vt:variant>
        <vt:i4>1484</vt:i4>
      </vt:variant>
      <vt:variant>
        <vt:i4>0</vt:i4>
      </vt:variant>
      <vt:variant>
        <vt:i4>5</vt:i4>
      </vt:variant>
      <vt:variant>
        <vt:lpwstr/>
      </vt:variant>
      <vt:variant>
        <vt:lpwstr>_Toc496869018</vt:lpwstr>
      </vt:variant>
      <vt:variant>
        <vt:i4>1966132</vt:i4>
      </vt:variant>
      <vt:variant>
        <vt:i4>1478</vt:i4>
      </vt:variant>
      <vt:variant>
        <vt:i4>0</vt:i4>
      </vt:variant>
      <vt:variant>
        <vt:i4>5</vt:i4>
      </vt:variant>
      <vt:variant>
        <vt:lpwstr/>
      </vt:variant>
      <vt:variant>
        <vt:lpwstr>_Toc496869017</vt:lpwstr>
      </vt:variant>
      <vt:variant>
        <vt:i4>1966132</vt:i4>
      </vt:variant>
      <vt:variant>
        <vt:i4>1472</vt:i4>
      </vt:variant>
      <vt:variant>
        <vt:i4>0</vt:i4>
      </vt:variant>
      <vt:variant>
        <vt:i4>5</vt:i4>
      </vt:variant>
      <vt:variant>
        <vt:lpwstr/>
      </vt:variant>
      <vt:variant>
        <vt:lpwstr>_Toc496869016</vt:lpwstr>
      </vt:variant>
      <vt:variant>
        <vt:i4>1966132</vt:i4>
      </vt:variant>
      <vt:variant>
        <vt:i4>1466</vt:i4>
      </vt:variant>
      <vt:variant>
        <vt:i4>0</vt:i4>
      </vt:variant>
      <vt:variant>
        <vt:i4>5</vt:i4>
      </vt:variant>
      <vt:variant>
        <vt:lpwstr/>
      </vt:variant>
      <vt:variant>
        <vt:lpwstr>_Toc496869015</vt:lpwstr>
      </vt:variant>
      <vt:variant>
        <vt:i4>1966132</vt:i4>
      </vt:variant>
      <vt:variant>
        <vt:i4>1460</vt:i4>
      </vt:variant>
      <vt:variant>
        <vt:i4>0</vt:i4>
      </vt:variant>
      <vt:variant>
        <vt:i4>5</vt:i4>
      </vt:variant>
      <vt:variant>
        <vt:lpwstr/>
      </vt:variant>
      <vt:variant>
        <vt:lpwstr>_Toc496869014</vt:lpwstr>
      </vt:variant>
      <vt:variant>
        <vt:i4>1966132</vt:i4>
      </vt:variant>
      <vt:variant>
        <vt:i4>1454</vt:i4>
      </vt:variant>
      <vt:variant>
        <vt:i4>0</vt:i4>
      </vt:variant>
      <vt:variant>
        <vt:i4>5</vt:i4>
      </vt:variant>
      <vt:variant>
        <vt:lpwstr/>
      </vt:variant>
      <vt:variant>
        <vt:lpwstr>_Toc496869013</vt:lpwstr>
      </vt:variant>
      <vt:variant>
        <vt:i4>1966132</vt:i4>
      </vt:variant>
      <vt:variant>
        <vt:i4>1448</vt:i4>
      </vt:variant>
      <vt:variant>
        <vt:i4>0</vt:i4>
      </vt:variant>
      <vt:variant>
        <vt:i4>5</vt:i4>
      </vt:variant>
      <vt:variant>
        <vt:lpwstr/>
      </vt:variant>
      <vt:variant>
        <vt:lpwstr>_Toc496869012</vt:lpwstr>
      </vt:variant>
      <vt:variant>
        <vt:i4>1966132</vt:i4>
      </vt:variant>
      <vt:variant>
        <vt:i4>1442</vt:i4>
      </vt:variant>
      <vt:variant>
        <vt:i4>0</vt:i4>
      </vt:variant>
      <vt:variant>
        <vt:i4>5</vt:i4>
      </vt:variant>
      <vt:variant>
        <vt:lpwstr/>
      </vt:variant>
      <vt:variant>
        <vt:lpwstr>_Toc496869011</vt:lpwstr>
      </vt:variant>
      <vt:variant>
        <vt:i4>1966132</vt:i4>
      </vt:variant>
      <vt:variant>
        <vt:i4>1436</vt:i4>
      </vt:variant>
      <vt:variant>
        <vt:i4>0</vt:i4>
      </vt:variant>
      <vt:variant>
        <vt:i4>5</vt:i4>
      </vt:variant>
      <vt:variant>
        <vt:lpwstr/>
      </vt:variant>
      <vt:variant>
        <vt:lpwstr>_Toc496869010</vt:lpwstr>
      </vt:variant>
      <vt:variant>
        <vt:i4>2031668</vt:i4>
      </vt:variant>
      <vt:variant>
        <vt:i4>1430</vt:i4>
      </vt:variant>
      <vt:variant>
        <vt:i4>0</vt:i4>
      </vt:variant>
      <vt:variant>
        <vt:i4>5</vt:i4>
      </vt:variant>
      <vt:variant>
        <vt:lpwstr/>
      </vt:variant>
      <vt:variant>
        <vt:lpwstr>_Toc496869009</vt:lpwstr>
      </vt:variant>
      <vt:variant>
        <vt:i4>2031668</vt:i4>
      </vt:variant>
      <vt:variant>
        <vt:i4>1424</vt:i4>
      </vt:variant>
      <vt:variant>
        <vt:i4>0</vt:i4>
      </vt:variant>
      <vt:variant>
        <vt:i4>5</vt:i4>
      </vt:variant>
      <vt:variant>
        <vt:lpwstr/>
      </vt:variant>
      <vt:variant>
        <vt:lpwstr>_Toc496869008</vt:lpwstr>
      </vt:variant>
      <vt:variant>
        <vt:i4>2031668</vt:i4>
      </vt:variant>
      <vt:variant>
        <vt:i4>1418</vt:i4>
      </vt:variant>
      <vt:variant>
        <vt:i4>0</vt:i4>
      </vt:variant>
      <vt:variant>
        <vt:i4>5</vt:i4>
      </vt:variant>
      <vt:variant>
        <vt:lpwstr/>
      </vt:variant>
      <vt:variant>
        <vt:lpwstr>_Toc496869007</vt:lpwstr>
      </vt:variant>
      <vt:variant>
        <vt:i4>2031668</vt:i4>
      </vt:variant>
      <vt:variant>
        <vt:i4>1412</vt:i4>
      </vt:variant>
      <vt:variant>
        <vt:i4>0</vt:i4>
      </vt:variant>
      <vt:variant>
        <vt:i4>5</vt:i4>
      </vt:variant>
      <vt:variant>
        <vt:lpwstr/>
      </vt:variant>
      <vt:variant>
        <vt:lpwstr>_Toc496869006</vt:lpwstr>
      </vt:variant>
      <vt:variant>
        <vt:i4>2031668</vt:i4>
      </vt:variant>
      <vt:variant>
        <vt:i4>1406</vt:i4>
      </vt:variant>
      <vt:variant>
        <vt:i4>0</vt:i4>
      </vt:variant>
      <vt:variant>
        <vt:i4>5</vt:i4>
      </vt:variant>
      <vt:variant>
        <vt:lpwstr/>
      </vt:variant>
      <vt:variant>
        <vt:lpwstr>_Toc496869005</vt:lpwstr>
      </vt:variant>
      <vt:variant>
        <vt:i4>2031668</vt:i4>
      </vt:variant>
      <vt:variant>
        <vt:i4>1400</vt:i4>
      </vt:variant>
      <vt:variant>
        <vt:i4>0</vt:i4>
      </vt:variant>
      <vt:variant>
        <vt:i4>5</vt:i4>
      </vt:variant>
      <vt:variant>
        <vt:lpwstr/>
      </vt:variant>
      <vt:variant>
        <vt:lpwstr>_Toc496869004</vt:lpwstr>
      </vt:variant>
      <vt:variant>
        <vt:i4>2031668</vt:i4>
      </vt:variant>
      <vt:variant>
        <vt:i4>1394</vt:i4>
      </vt:variant>
      <vt:variant>
        <vt:i4>0</vt:i4>
      </vt:variant>
      <vt:variant>
        <vt:i4>5</vt:i4>
      </vt:variant>
      <vt:variant>
        <vt:lpwstr/>
      </vt:variant>
      <vt:variant>
        <vt:lpwstr>_Toc496869003</vt:lpwstr>
      </vt:variant>
      <vt:variant>
        <vt:i4>2031668</vt:i4>
      </vt:variant>
      <vt:variant>
        <vt:i4>1388</vt:i4>
      </vt:variant>
      <vt:variant>
        <vt:i4>0</vt:i4>
      </vt:variant>
      <vt:variant>
        <vt:i4>5</vt:i4>
      </vt:variant>
      <vt:variant>
        <vt:lpwstr/>
      </vt:variant>
      <vt:variant>
        <vt:lpwstr>_Toc496869002</vt:lpwstr>
      </vt:variant>
      <vt:variant>
        <vt:i4>2031668</vt:i4>
      </vt:variant>
      <vt:variant>
        <vt:i4>1382</vt:i4>
      </vt:variant>
      <vt:variant>
        <vt:i4>0</vt:i4>
      </vt:variant>
      <vt:variant>
        <vt:i4>5</vt:i4>
      </vt:variant>
      <vt:variant>
        <vt:lpwstr/>
      </vt:variant>
      <vt:variant>
        <vt:lpwstr>_Toc496869000</vt:lpwstr>
      </vt:variant>
      <vt:variant>
        <vt:i4>1507389</vt:i4>
      </vt:variant>
      <vt:variant>
        <vt:i4>1376</vt:i4>
      </vt:variant>
      <vt:variant>
        <vt:i4>0</vt:i4>
      </vt:variant>
      <vt:variant>
        <vt:i4>5</vt:i4>
      </vt:variant>
      <vt:variant>
        <vt:lpwstr/>
      </vt:variant>
      <vt:variant>
        <vt:lpwstr>_Toc496868999</vt:lpwstr>
      </vt:variant>
      <vt:variant>
        <vt:i4>1507389</vt:i4>
      </vt:variant>
      <vt:variant>
        <vt:i4>1370</vt:i4>
      </vt:variant>
      <vt:variant>
        <vt:i4>0</vt:i4>
      </vt:variant>
      <vt:variant>
        <vt:i4>5</vt:i4>
      </vt:variant>
      <vt:variant>
        <vt:lpwstr/>
      </vt:variant>
      <vt:variant>
        <vt:lpwstr>_Toc496868998</vt:lpwstr>
      </vt:variant>
      <vt:variant>
        <vt:i4>1507389</vt:i4>
      </vt:variant>
      <vt:variant>
        <vt:i4>1364</vt:i4>
      </vt:variant>
      <vt:variant>
        <vt:i4>0</vt:i4>
      </vt:variant>
      <vt:variant>
        <vt:i4>5</vt:i4>
      </vt:variant>
      <vt:variant>
        <vt:lpwstr/>
      </vt:variant>
      <vt:variant>
        <vt:lpwstr>_Toc496868997</vt:lpwstr>
      </vt:variant>
      <vt:variant>
        <vt:i4>1507389</vt:i4>
      </vt:variant>
      <vt:variant>
        <vt:i4>1358</vt:i4>
      </vt:variant>
      <vt:variant>
        <vt:i4>0</vt:i4>
      </vt:variant>
      <vt:variant>
        <vt:i4>5</vt:i4>
      </vt:variant>
      <vt:variant>
        <vt:lpwstr/>
      </vt:variant>
      <vt:variant>
        <vt:lpwstr>_Toc496868996</vt:lpwstr>
      </vt:variant>
      <vt:variant>
        <vt:i4>1507389</vt:i4>
      </vt:variant>
      <vt:variant>
        <vt:i4>1352</vt:i4>
      </vt:variant>
      <vt:variant>
        <vt:i4>0</vt:i4>
      </vt:variant>
      <vt:variant>
        <vt:i4>5</vt:i4>
      </vt:variant>
      <vt:variant>
        <vt:lpwstr/>
      </vt:variant>
      <vt:variant>
        <vt:lpwstr>_Toc496868995</vt:lpwstr>
      </vt:variant>
      <vt:variant>
        <vt:i4>1507389</vt:i4>
      </vt:variant>
      <vt:variant>
        <vt:i4>1346</vt:i4>
      </vt:variant>
      <vt:variant>
        <vt:i4>0</vt:i4>
      </vt:variant>
      <vt:variant>
        <vt:i4>5</vt:i4>
      </vt:variant>
      <vt:variant>
        <vt:lpwstr/>
      </vt:variant>
      <vt:variant>
        <vt:lpwstr>_Toc496868994</vt:lpwstr>
      </vt:variant>
      <vt:variant>
        <vt:i4>1507389</vt:i4>
      </vt:variant>
      <vt:variant>
        <vt:i4>1340</vt:i4>
      </vt:variant>
      <vt:variant>
        <vt:i4>0</vt:i4>
      </vt:variant>
      <vt:variant>
        <vt:i4>5</vt:i4>
      </vt:variant>
      <vt:variant>
        <vt:lpwstr/>
      </vt:variant>
      <vt:variant>
        <vt:lpwstr>_Toc496868993</vt:lpwstr>
      </vt:variant>
      <vt:variant>
        <vt:i4>1507389</vt:i4>
      </vt:variant>
      <vt:variant>
        <vt:i4>1334</vt:i4>
      </vt:variant>
      <vt:variant>
        <vt:i4>0</vt:i4>
      </vt:variant>
      <vt:variant>
        <vt:i4>5</vt:i4>
      </vt:variant>
      <vt:variant>
        <vt:lpwstr/>
      </vt:variant>
      <vt:variant>
        <vt:lpwstr>_Toc496868992</vt:lpwstr>
      </vt:variant>
      <vt:variant>
        <vt:i4>1507389</vt:i4>
      </vt:variant>
      <vt:variant>
        <vt:i4>1328</vt:i4>
      </vt:variant>
      <vt:variant>
        <vt:i4>0</vt:i4>
      </vt:variant>
      <vt:variant>
        <vt:i4>5</vt:i4>
      </vt:variant>
      <vt:variant>
        <vt:lpwstr/>
      </vt:variant>
      <vt:variant>
        <vt:lpwstr>_Toc496868991</vt:lpwstr>
      </vt:variant>
      <vt:variant>
        <vt:i4>1507389</vt:i4>
      </vt:variant>
      <vt:variant>
        <vt:i4>1322</vt:i4>
      </vt:variant>
      <vt:variant>
        <vt:i4>0</vt:i4>
      </vt:variant>
      <vt:variant>
        <vt:i4>5</vt:i4>
      </vt:variant>
      <vt:variant>
        <vt:lpwstr/>
      </vt:variant>
      <vt:variant>
        <vt:lpwstr>_Toc496868990</vt:lpwstr>
      </vt:variant>
      <vt:variant>
        <vt:i4>1441853</vt:i4>
      </vt:variant>
      <vt:variant>
        <vt:i4>1316</vt:i4>
      </vt:variant>
      <vt:variant>
        <vt:i4>0</vt:i4>
      </vt:variant>
      <vt:variant>
        <vt:i4>5</vt:i4>
      </vt:variant>
      <vt:variant>
        <vt:lpwstr/>
      </vt:variant>
      <vt:variant>
        <vt:lpwstr>_Toc496868989</vt:lpwstr>
      </vt:variant>
      <vt:variant>
        <vt:i4>1441853</vt:i4>
      </vt:variant>
      <vt:variant>
        <vt:i4>1310</vt:i4>
      </vt:variant>
      <vt:variant>
        <vt:i4>0</vt:i4>
      </vt:variant>
      <vt:variant>
        <vt:i4>5</vt:i4>
      </vt:variant>
      <vt:variant>
        <vt:lpwstr/>
      </vt:variant>
      <vt:variant>
        <vt:lpwstr>_Toc496868988</vt:lpwstr>
      </vt:variant>
      <vt:variant>
        <vt:i4>1441853</vt:i4>
      </vt:variant>
      <vt:variant>
        <vt:i4>1304</vt:i4>
      </vt:variant>
      <vt:variant>
        <vt:i4>0</vt:i4>
      </vt:variant>
      <vt:variant>
        <vt:i4>5</vt:i4>
      </vt:variant>
      <vt:variant>
        <vt:lpwstr/>
      </vt:variant>
      <vt:variant>
        <vt:lpwstr>_Toc496868987</vt:lpwstr>
      </vt:variant>
      <vt:variant>
        <vt:i4>1441853</vt:i4>
      </vt:variant>
      <vt:variant>
        <vt:i4>1298</vt:i4>
      </vt:variant>
      <vt:variant>
        <vt:i4>0</vt:i4>
      </vt:variant>
      <vt:variant>
        <vt:i4>5</vt:i4>
      </vt:variant>
      <vt:variant>
        <vt:lpwstr/>
      </vt:variant>
      <vt:variant>
        <vt:lpwstr>_Toc496868986</vt:lpwstr>
      </vt:variant>
      <vt:variant>
        <vt:i4>1441853</vt:i4>
      </vt:variant>
      <vt:variant>
        <vt:i4>1292</vt:i4>
      </vt:variant>
      <vt:variant>
        <vt:i4>0</vt:i4>
      </vt:variant>
      <vt:variant>
        <vt:i4>5</vt:i4>
      </vt:variant>
      <vt:variant>
        <vt:lpwstr/>
      </vt:variant>
      <vt:variant>
        <vt:lpwstr>_Toc496868985</vt:lpwstr>
      </vt:variant>
      <vt:variant>
        <vt:i4>1441853</vt:i4>
      </vt:variant>
      <vt:variant>
        <vt:i4>1286</vt:i4>
      </vt:variant>
      <vt:variant>
        <vt:i4>0</vt:i4>
      </vt:variant>
      <vt:variant>
        <vt:i4>5</vt:i4>
      </vt:variant>
      <vt:variant>
        <vt:lpwstr/>
      </vt:variant>
      <vt:variant>
        <vt:lpwstr>_Toc496868984</vt:lpwstr>
      </vt:variant>
      <vt:variant>
        <vt:i4>1441853</vt:i4>
      </vt:variant>
      <vt:variant>
        <vt:i4>1280</vt:i4>
      </vt:variant>
      <vt:variant>
        <vt:i4>0</vt:i4>
      </vt:variant>
      <vt:variant>
        <vt:i4>5</vt:i4>
      </vt:variant>
      <vt:variant>
        <vt:lpwstr/>
      </vt:variant>
      <vt:variant>
        <vt:lpwstr>_Toc496868983</vt:lpwstr>
      </vt:variant>
      <vt:variant>
        <vt:i4>1441853</vt:i4>
      </vt:variant>
      <vt:variant>
        <vt:i4>1274</vt:i4>
      </vt:variant>
      <vt:variant>
        <vt:i4>0</vt:i4>
      </vt:variant>
      <vt:variant>
        <vt:i4>5</vt:i4>
      </vt:variant>
      <vt:variant>
        <vt:lpwstr/>
      </vt:variant>
      <vt:variant>
        <vt:lpwstr>_Toc496868982</vt:lpwstr>
      </vt:variant>
      <vt:variant>
        <vt:i4>1441853</vt:i4>
      </vt:variant>
      <vt:variant>
        <vt:i4>1268</vt:i4>
      </vt:variant>
      <vt:variant>
        <vt:i4>0</vt:i4>
      </vt:variant>
      <vt:variant>
        <vt:i4>5</vt:i4>
      </vt:variant>
      <vt:variant>
        <vt:lpwstr/>
      </vt:variant>
      <vt:variant>
        <vt:lpwstr>_Toc496868981</vt:lpwstr>
      </vt:variant>
      <vt:variant>
        <vt:i4>1441853</vt:i4>
      </vt:variant>
      <vt:variant>
        <vt:i4>1262</vt:i4>
      </vt:variant>
      <vt:variant>
        <vt:i4>0</vt:i4>
      </vt:variant>
      <vt:variant>
        <vt:i4>5</vt:i4>
      </vt:variant>
      <vt:variant>
        <vt:lpwstr/>
      </vt:variant>
      <vt:variant>
        <vt:lpwstr>_Toc496868980</vt:lpwstr>
      </vt:variant>
      <vt:variant>
        <vt:i4>1638461</vt:i4>
      </vt:variant>
      <vt:variant>
        <vt:i4>1256</vt:i4>
      </vt:variant>
      <vt:variant>
        <vt:i4>0</vt:i4>
      </vt:variant>
      <vt:variant>
        <vt:i4>5</vt:i4>
      </vt:variant>
      <vt:variant>
        <vt:lpwstr/>
      </vt:variant>
      <vt:variant>
        <vt:lpwstr>_Toc496868979</vt:lpwstr>
      </vt:variant>
      <vt:variant>
        <vt:i4>1638461</vt:i4>
      </vt:variant>
      <vt:variant>
        <vt:i4>1250</vt:i4>
      </vt:variant>
      <vt:variant>
        <vt:i4>0</vt:i4>
      </vt:variant>
      <vt:variant>
        <vt:i4>5</vt:i4>
      </vt:variant>
      <vt:variant>
        <vt:lpwstr/>
      </vt:variant>
      <vt:variant>
        <vt:lpwstr>_Toc496868978</vt:lpwstr>
      </vt:variant>
      <vt:variant>
        <vt:i4>1638461</vt:i4>
      </vt:variant>
      <vt:variant>
        <vt:i4>1244</vt:i4>
      </vt:variant>
      <vt:variant>
        <vt:i4>0</vt:i4>
      </vt:variant>
      <vt:variant>
        <vt:i4>5</vt:i4>
      </vt:variant>
      <vt:variant>
        <vt:lpwstr/>
      </vt:variant>
      <vt:variant>
        <vt:lpwstr>_Toc496868977</vt:lpwstr>
      </vt:variant>
      <vt:variant>
        <vt:i4>1638461</vt:i4>
      </vt:variant>
      <vt:variant>
        <vt:i4>1238</vt:i4>
      </vt:variant>
      <vt:variant>
        <vt:i4>0</vt:i4>
      </vt:variant>
      <vt:variant>
        <vt:i4>5</vt:i4>
      </vt:variant>
      <vt:variant>
        <vt:lpwstr/>
      </vt:variant>
      <vt:variant>
        <vt:lpwstr>_Toc496868976</vt:lpwstr>
      </vt:variant>
      <vt:variant>
        <vt:i4>1638461</vt:i4>
      </vt:variant>
      <vt:variant>
        <vt:i4>1232</vt:i4>
      </vt:variant>
      <vt:variant>
        <vt:i4>0</vt:i4>
      </vt:variant>
      <vt:variant>
        <vt:i4>5</vt:i4>
      </vt:variant>
      <vt:variant>
        <vt:lpwstr/>
      </vt:variant>
      <vt:variant>
        <vt:lpwstr>_Toc496868975</vt:lpwstr>
      </vt:variant>
      <vt:variant>
        <vt:i4>1638461</vt:i4>
      </vt:variant>
      <vt:variant>
        <vt:i4>1226</vt:i4>
      </vt:variant>
      <vt:variant>
        <vt:i4>0</vt:i4>
      </vt:variant>
      <vt:variant>
        <vt:i4>5</vt:i4>
      </vt:variant>
      <vt:variant>
        <vt:lpwstr/>
      </vt:variant>
      <vt:variant>
        <vt:lpwstr>_Toc496868974</vt:lpwstr>
      </vt:variant>
      <vt:variant>
        <vt:i4>1638461</vt:i4>
      </vt:variant>
      <vt:variant>
        <vt:i4>1220</vt:i4>
      </vt:variant>
      <vt:variant>
        <vt:i4>0</vt:i4>
      </vt:variant>
      <vt:variant>
        <vt:i4>5</vt:i4>
      </vt:variant>
      <vt:variant>
        <vt:lpwstr/>
      </vt:variant>
      <vt:variant>
        <vt:lpwstr>_Toc496868973</vt:lpwstr>
      </vt:variant>
      <vt:variant>
        <vt:i4>1638461</vt:i4>
      </vt:variant>
      <vt:variant>
        <vt:i4>1214</vt:i4>
      </vt:variant>
      <vt:variant>
        <vt:i4>0</vt:i4>
      </vt:variant>
      <vt:variant>
        <vt:i4>5</vt:i4>
      </vt:variant>
      <vt:variant>
        <vt:lpwstr/>
      </vt:variant>
      <vt:variant>
        <vt:lpwstr>_Toc496868972</vt:lpwstr>
      </vt:variant>
      <vt:variant>
        <vt:i4>1638461</vt:i4>
      </vt:variant>
      <vt:variant>
        <vt:i4>1208</vt:i4>
      </vt:variant>
      <vt:variant>
        <vt:i4>0</vt:i4>
      </vt:variant>
      <vt:variant>
        <vt:i4>5</vt:i4>
      </vt:variant>
      <vt:variant>
        <vt:lpwstr/>
      </vt:variant>
      <vt:variant>
        <vt:lpwstr>_Toc496868971</vt:lpwstr>
      </vt:variant>
      <vt:variant>
        <vt:i4>1638461</vt:i4>
      </vt:variant>
      <vt:variant>
        <vt:i4>1202</vt:i4>
      </vt:variant>
      <vt:variant>
        <vt:i4>0</vt:i4>
      </vt:variant>
      <vt:variant>
        <vt:i4>5</vt:i4>
      </vt:variant>
      <vt:variant>
        <vt:lpwstr/>
      </vt:variant>
      <vt:variant>
        <vt:lpwstr>_Toc496868970</vt:lpwstr>
      </vt:variant>
      <vt:variant>
        <vt:i4>1572925</vt:i4>
      </vt:variant>
      <vt:variant>
        <vt:i4>1196</vt:i4>
      </vt:variant>
      <vt:variant>
        <vt:i4>0</vt:i4>
      </vt:variant>
      <vt:variant>
        <vt:i4>5</vt:i4>
      </vt:variant>
      <vt:variant>
        <vt:lpwstr/>
      </vt:variant>
      <vt:variant>
        <vt:lpwstr>_Toc496868969</vt:lpwstr>
      </vt:variant>
      <vt:variant>
        <vt:i4>1572925</vt:i4>
      </vt:variant>
      <vt:variant>
        <vt:i4>1190</vt:i4>
      </vt:variant>
      <vt:variant>
        <vt:i4>0</vt:i4>
      </vt:variant>
      <vt:variant>
        <vt:i4>5</vt:i4>
      </vt:variant>
      <vt:variant>
        <vt:lpwstr/>
      </vt:variant>
      <vt:variant>
        <vt:lpwstr>_Toc496868968</vt:lpwstr>
      </vt:variant>
      <vt:variant>
        <vt:i4>1572925</vt:i4>
      </vt:variant>
      <vt:variant>
        <vt:i4>1184</vt:i4>
      </vt:variant>
      <vt:variant>
        <vt:i4>0</vt:i4>
      </vt:variant>
      <vt:variant>
        <vt:i4>5</vt:i4>
      </vt:variant>
      <vt:variant>
        <vt:lpwstr/>
      </vt:variant>
      <vt:variant>
        <vt:lpwstr>_Toc496868967</vt:lpwstr>
      </vt:variant>
      <vt:variant>
        <vt:i4>1572925</vt:i4>
      </vt:variant>
      <vt:variant>
        <vt:i4>1178</vt:i4>
      </vt:variant>
      <vt:variant>
        <vt:i4>0</vt:i4>
      </vt:variant>
      <vt:variant>
        <vt:i4>5</vt:i4>
      </vt:variant>
      <vt:variant>
        <vt:lpwstr/>
      </vt:variant>
      <vt:variant>
        <vt:lpwstr>_Toc496868966</vt:lpwstr>
      </vt:variant>
      <vt:variant>
        <vt:i4>1572925</vt:i4>
      </vt:variant>
      <vt:variant>
        <vt:i4>1172</vt:i4>
      </vt:variant>
      <vt:variant>
        <vt:i4>0</vt:i4>
      </vt:variant>
      <vt:variant>
        <vt:i4>5</vt:i4>
      </vt:variant>
      <vt:variant>
        <vt:lpwstr/>
      </vt:variant>
      <vt:variant>
        <vt:lpwstr>_Toc496868965</vt:lpwstr>
      </vt:variant>
      <vt:variant>
        <vt:i4>1572925</vt:i4>
      </vt:variant>
      <vt:variant>
        <vt:i4>1166</vt:i4>
      </vt:variant>
      <vt:variant>
        <vt:i4>0</vt:i4>
      </vt:variant>
      <vt:variant>
        <vt:i4>5</vt:i4>
      </vt:variant>
      <vt:variant>
        <vt:lpwstr/>
      </vt:variant>
      <vt:variant>
        <vt:lpwstr>_Toc496868964</vt:lpwstr>
      </vt:variant>
      <vt:variant>
        <vt:i4>1572925</vt:i4>
      </vt:variant>
      <vt:variant>
        <vt:i4>1160</vt:i4>
      </vt:variant>
      <vt:variant>
        <vt:i4>0</vt:i4>
      </vt:variant>
      <vt:variant>
        <vt:i4>5</vt:i4>
      </vt:variant>
      <vt:variant>
        <vt:lpwstr/>
      </vt:variant>
      <vt:variant>
        <vt:lpwstr>_Toc496868963</vt:lpwstr>
      </vt:variant>
      <vt:variant>
        <vt:i4>1572925</vt:i4>
      </vt:variant>
      <vt:variant>
        <vt:i4>1154</vt:i4>
      </vt:variant>
      <vt:variant>
        <vt:i4>0</vt:i4>
      </vt:variant>
      <vt:variant>
        <vt:i4>5</vt:i4>
      </vt:variant>
      <vt:variant>
        <vt:lpwstr/>
      </vt:variant>
      <vt:variant>
        <vt:lpwstr>_Toc496868962</vt:lpwstr>
      </vt:variant>
      <vt:variant>
        <vt:i4>1572925</vt:i4>
      </vt:variant>
      <vt:variant>
        <vt:i4>1148</vt:i4>
      </vt:variant>
      <vt:variant>
        <vt:i4>0</vt:i4>
      </vt:variant>
      <vt:variant>
        <vt:i4>5</vt:i4>
      </vt:variant>
      <vt:variant>
        <vt:lpwstr/>
      </vt:variant>
      <vt:variant>
        <vt:lpwstr>_Toc496868961</vt:lpwstr>
      </vt:variant>
      <vt:variant>
        <vt:i4>1572925</vt:i4>
      </vt:variant>
      <vt:variant>
        <vt:i4>1142</vt:i4>
      </vt:variant>
      <vt:variant>
        <vt:i4>0</vt:i4>
      </vt:variant>
      <vt:variant>
        <vt:i4>5</vt:i4>
      </vt:variant>
      <vt:variant>
        <vt:lpwstr/>
      </vt:variant>
      <vt:variant>
        <vt:lpwstr>_Toc496868960</vt:lpwstr>
      </vt:variant>
      <vt:variant>
        <vt:i4>1769533</vt:i4>
      </vt:variant>
      <vt:variant>
        <vt:i4>1136</vt:i4>
      </vt:variant>
      <vt:variant>
        <vt:i4>0</vt:i4>
      </vt:variant>
      <vt:variant>
        <vt:i4>5</vt:i4>
      </vt:variant>
      <vt:variant>
        <vt:lpwstr/>
      </vt:variant>
      <vt:variant>
        <vt:lpwstr>_Toc496868959</vt:lpwstr>
      </vt:variant>
      <vt:variant>
        <vt:i4>1769533</vt:i4>
      </vt:variant>
      <vt:variant>
        <vt:i4>1130</vt:i4>
      </vt:variant>
      <vt:variant>
        <vt:i4>0</vt:i4>
      </vt:variant>
      <vt:variant>
        <vt:i4>5</vt:i4>
      </vt:variant>
      <vt:variant>
        <vt:lpwstr/>
      </vt:variant>
      <vt:variant>
        <vt:lpwstr>_Toc496868958</vt:lpwstr>
      </vt:variant>
      <vt:variant>
        <vt:i4>1769533</vt:i4>
      </vt:variant>
      <vt:variant>
        <vt:i4>1124</vt:i4>
      </vt:variant>
      <vt:variant>
        <vt:i4>0</vt:i4>
      </vt:variant>
      <vt:variant>
        <vt:i4>5</vt:i4>
      </vt:variant>
      <vt:variant>
        <vt:lpwstr/>
      </vt:variant>
      <vt:variant>
        <vt:lpwstr>_Toc496868957</vt:lpwstr>
      </vt:variant>
      <vt:variant>
        <vt:i4>1769533</vt:i4>
      </vt:variant>
      <vt:variant>
        <vt:i4>1118</vt:i4>
      </vt:variant>
      <vt:variant>
        <vt:i4>0</vt:i4>
      </vt:variant>
      <vt:variant>
        <vt:i4>5</vt:i4>
      </vt:variant>
      <vt:variant>
        <vt:lpwstr/>
      </vt:variant>
      <vt:variant>
        <vt:lpwstr>_Toc496868956</vt:lpwstr>
      </vt:variant>
      <vt:variant>
        <vt:i4>1769533</vt:i4>
      </vt:variant>
      <vt:variant>
        <vt:i4>1112</vt:i4>
      </vt:variant>
      <vt:variant>
        <vt:i4>0</vt:i4>
      </vt:variant>
      <vt:variant>
        <vt:i4>5</vt:i4>
      </vt:variant>
      <vt:variant>
        <vt:lpwstr/>
      </vt:variant>
      <vt:variant>
        <vt:lpwstr>_Toc496868955</vt:lpwstr>
      </vt:variant>
      <vt:variant>
        <vt:i4>1769533</vt:i4>
      </vt:variant>
      <vt:variant>
        <vt:i4>1106</vt:i4>
      </vt:variant>
      <vt:variant>
        <vt:i4>0</vt:i4>
      </vt:variant>
      <vt:variant>
        <vt:i4>5</vt:i4>
      </vt:variant>
      <vt:variant>
        <vt:lpwstr/>
      </vt:variant>
      <vt:variant>
        <vt:lpwstr>_Toc496868954</vt:lpwstr>
      </vt:variant>
      <vt:variant>
        <vt:i4>1769533</vt:i4>
      </vt:variant>
      <vt:variant>
        <vt:i4>1100</vt:i4>
      </vt:variant>
      <vt:variant>
        <vt:i4>0</vt:i4>
      </vt:variant>
      <vt:variant>
        <vt:i4>5</vt:i4>
      </vt:variant>
      <vt:variant>
        <vt:lpwstr/>
      </vt:variant>
      <vt:variant>
        <vt:lpwstr>_Toc496868953</vt:lpwstr>
      </vt:variant>
      <vt:variant>
        <vt:i4>1769533</vt:i4>
      </vt:variant>
      <vt:variant>
        <vt:i4>1094</vt:i4>
      </vt:variant>
      <vt:variant>
        <vt:i4>0</vt:i4>
      </vt:variant>
      <vt:variant>
        <vt:i4>5</vt:i4>
      </vt:variant>
      <vt:variant>
        <vt:lpwstr/>
      </vt:variant>
      <vt:variant>
        <vt:lpwstr>_Toc496868952</vt:lpwstr>
      </vt:variant>
      <vt:variant>
        <vt:i4>1769533</vt:i4>
      </vt:variant>
      <vt:variant>
        <vt:i4>1088</vt:i4>
      </vt:variant>
      <vt:variant>
        <vt:i4>0</vt:i4>
      </vt:variant>
      <vt:variant>
        <vt:i4>5</vt:i4>
      </vt:variant>
      <vt:variant>
        <vt:lpwstr/>
      </vt:variant>
      <vt:variant>
        <vt:lpwstr>_Toc496868951</vt:lpwstr>
      </vt:variant>
      <vt:variant>
        <vt:i4>1769533</vt:i4>
      </vt:variant>
      <vt:variant>
        <vt:i4>1082</vt:i4>
      </vt:variant>
      <vt:variant>
        <vt:i4>0</vt:i4>
      </vt:variant>
      <vt:variant>
        <vt:i4>5</vt:i4>
      </vt:variant>
      <vt:variant>
        <vt:lpwstr/>
      </vt:variant>
      <vt:variant>
        <vt:lpwstr>_Toc496868950</vt:lpwstr>
      </vt:variant>
      <vt:variant>
        <vt:i4>1703997</vt:i4>
      </vt:variant>
      <vt:variant>
        <vt:i4>1076</vt:i4>
      </vt:variant>
      <vt:variant>
        <vt:i4>0</vt:i4>
      </vt:variant>
      <vt:variant>
        <vt:i4>5</vt:i4>
      </vt:variant>
      <vt:variant>
        <vt:lpwstr/>
      </vt:variant>
      <vt:variant>
        <vt:lpwstr>_Toc496868949</vt:lpwstr>
      </vt:variant>
      <vt:variant>
        <vt:i4>1703997</vt:i4>
      </vt:variant>
      <vt:variant>
        <vt:i4>1070</vt:i4>
      </vt:variant>
      <vt:variant>
        <vt:i4>0</vt:i4>
      </vt:variant>
      <vt:variant>
        <vt:i4>5</vt:i4>
      </vt:variant>
      <vt:variant>
        <vt:lpwstr/>
      </vt:variant>
      <vt:variant>
        <vt:lpwstr>_Toc496868948</vt:lpwstr>
      </vt:variant>
      <vt:variant>
        <vt:i4>1703997</vt:i4>
      </vt:variant>
      <vt:variant>
        <vt:i4>1064</vt:i4>
      </vt:variant>
      <vt:variant>
        <vt:i4>0</vt:i4>
      </vt:variant>
      <vt:variant>
        <vt:i4>5</vt:i4>
      </vt:variant>
      <vt:variant>
        <vt:lpwstr/>
      </vt:variant>
      <vt:variant>
        <vt:lpwstr>_Toc496868947</vt:lpwstr>
      </vt:variant>
      <vt:variant>
        <vt:i4>1703997</vt:i4>
      </vt:variant>
      <vt:variant>
        <vt:i4>1058</vt:i4>
      </vt:variant>
      <vt:variant>
        <vt:i4>0</vt:i4>
      </vt:variant>
      <vt:variant>
        <vt:i4>5</vt:i4>
      </vt:variant>
      <vt:variant>
        <vt:lpwstr/>
      </vt:variant>
      <vt:variant>
        <vt:lpwstr>_Toc496868946</vt:lpwstr>
      </vt:variant>
      <vt:variant>
        <vt:i4>1703997</vt:i4>
      </vt:variant>
      <vt:variant>
        <vt:i4>1052</vt:i4>
      </vt:variant>
      <vt:variant>
        <vt:i4>0</vt:i4>
      </vt:variant>
      <vt:variant>
        <vt:i4>5</vt:i4>
      </vt:variant>
      <vt:variant>
        <vt:lpwstr/>
      </vt:variant>
      <vt:variant>
        <vt:lpwstr>_Toc496868945</vt:lpwstr>
      </vt:variant>
      <vt:variant>
        <vt:i4>1703997</vt:i4>
      </vt:variant>
      <vt:variant>
        <vt:i4>1046</vt:i4>
      </vt:variant>
      <vt:variant>
        <vt:i4>0</vt:i4>
      </vt:variant>
      <vt:variant>
        <vt:i4>5</vt:i4>
      </vt:variant>
      <vt:variant>
        <vt:lpwstr/>
      </vt:variant>
      <vt:variant>
        <vt:lpwstr>_Toc496868943</vt:lpwstr>
      </vt:variant>
      <vt:variant>
        <vt:i4>1703997</vt:i4>
      </vt:variant>
      <vt:variant>
        <vt:i4>1040</vt:i4>
      </vt:variant>
      <vt:variant>
        <vt:i4>0</vt:i4>
      </vt:variant>
      <vt:variant>
        <vt:i4>5</vt:i4>
      </vt:variant>
      <vt:variant>
        <vt:lpwstr/>
      </vt:variant>
      <vt:variant>
        <vt:lpwstr>_Toc496868942</vt:lpwstr>
      </vt:variant>
      <vt:variant>
        <vt:i4>1703997</vt:i4>
      </vt:variant>
      <vt:variant>
        <vt:i4>1034</vt:i4>
      </vt:variant>
      <vt:variant>
        <vt:i4>0</vt:i4>
      </vt:variant>
      <vt:variant>
        <vt:i4>5</vt:i4>
      </vt:variant>
      <vt:variant>
        <vt:lpwstr/>
      </vt:variant>
      <vt:variant>
        <vt:lpwstr>_Toc496868941</vt:lpwstr>
      </vt:variant>
      <vt:variant>
        <vt:i4>1703997</vt:i4>
      </vt:variant>
      <vt:variant>
        <vt:i4>1028</vt:i4>
      </vt:variant>
      <vt:variant>
        <vt:i4>0</vt:i4>
      </vt:variant>
      <vt:variant>
        <vt:i4>5</vt:i4>
      </vt:variant>
      <vt:variant>
        <vt:lpwstr/>
      </vt:variant>
      <vt:variant>
        <vt:lpwstr>_Toc496868940</vt:lpwstr>
      </vt:variant>
      <vt:variant>
        <vt:i4>1900605</vt:i4>
      </vt:variant>
      <vt:variant>
        <vt:i4>1022</vt:i4>
      </vt:variant>
      <vt:variant>
        <vt:i4>0</vt:i4>
      </vt:variant>
      <vt:variant>
        <vt:i4>5</vt:i4>
      </vt:variant>
      <vt:variant>
        <vt:lpwstr/>
      </vt:variant>
      <vt:variant>
        <vt:lpwstr>_Toc496868939</vt:lpwstr>
      </vt:variant>
      <vt:variant>
        <vt:i4>1900605</vt:i4>
      </vt:variant>
      <vt:variant>
        <vt:i4>1016</vt:i4>
      </vt:variant>
      <vt:variant>
        <vt:i4>0</vt:i4>
      </vt:variant>
      <vt:variant>
        <vt:i4>5</vt:i4>
      </vt:variant>
      <vt:variant>
        <vt:lpwstr/>
      </vt:variant>
      <vt:variant>
        <vt:lpwstr>_Toc496868938</vt:lpwstr>
      </vt:variant>
      <vt:variant>
        <vt:i4>1900605</vt:i4>
      </vt:variant>
      <vt:variant>
        <vt:i4>1010</vt:i4>
      </vt:variant>
      <vt:variant>
        <vt:i4>0</vt:i4>
      </vt:variant>
      <vt:variant>
        <vt:i4>5</vt:i4>
      </vt:variant>
      <vt:variant>
        <vt:lpwstr/>
      </vt:variant>
      <vt:variant>
        <vt:lpwstr>_Toc496868937</vt:lpwstr>
      </vt:variant>
      <vt:variant>
        <vt:i4>1900605</vt:i4>
      </vt:variant>
      <vt:variant>
        <vt:i4>1004</vt:i4>
      </vt:variant>
      <vt:variant>
        <vt:i4>0</vt:i4>
      </vt:variant>
      <vt:variant>
        <vt:i4>5</vt:i4>
      </vt:variant>
      <vt:variant>
        <vt:lpwstr/>
      </vt:variant>
      <vt:variant>
        <vt:lpwstr>_Toc496868936</vt:lpwstr>
      </vt:variant>
      <vt:variant>
        <vt:i4>1900605</vt:i4>
      </vt:variant>
      <vt:variant>
        <vt:i4>998</vt:i4>
      </vt:variant>
      <vt:variant>
        <vt:i4>0</vt:i4>
      </vt:variant>
      <vt:variant>
        <vt:i4>5</vt:i4>
      </vt:variant>
      <vt:variant>
        <vt:lpwstr/>
      </vt:variant>
      <vt:variant>
        <vt:lpwstr>_Toc496868935</vt:lpwstr>
      </vt:variant>
      <vt:variant>
        <vt:i4>1900605</vt:i4>
      </vt:variant>
      <vt:variant>
        <vt:i4>992</vt:i4>
      </vt:variant>
      <vt:variant>
        <vt:i4>0</vt:i4>
      </vt:variant>
      <vt:variant>
        <vt:i4>5</vt:i4>
      </vt:variant>
      <vt:variant>
        <vt:lpwstr/>
      </vt:variant>
      <vt:variant>
        <vt:lpwstr>_Toc496868934</vt:lpwstr>
      </vt:variant>
      <vt:variant>
        <vt:i4>1900605</vt:i4>
      </vt:variant>
      <vt:variant>
        <vt:i4>986</vt:i4>
      </vt:variant>
      <vt:variant>
        <vt:i4>0</vt:i4>
      </vt:variant>
      <vt:variant>
        <vt:i4>5</vt:i4>
      </vt:variant>
      <vt:variant>
        <vt:lpwstr/>
      </vt:variant>
      <vt:variant>
        <vt:lpwstr>_Toc496868933</vt:lpwstr>
      </vt:variant>
      <vt:variant>
        <vt:i4>1900605</vt:i4>
      </vt:variant>
      <vt:variant>
        <vt:i4>980</vt:i4>
      </vt:variant>
      <vt:variant>
        <vt:i4>0</vt:i4>
      </vt:variant>
      <vt:variant>
        <vt:i4>5</vt:i4>
      </vt:variant>
      <vt:variant>
        <vt:lpwstr/>
      </vt:variant>
      <vt:variant>
        <vt:lpwstr>_Toc496868932</vt:lpwstr>
      </vt:variant>
      <vt:variant>
        <vt:i4>1900605</vt:i4>
      </vt:variant>
      <vt:variant>
        <vt:i4>974</vt:i4>
      </vt:variant>
      <vt:variant>
        <vt:i4>0</vt:i4>
      </vt:variant>
      <vt:variant>
        <vt:i4>5</vt:i4>
      </vt:variant>
      <vt:variant>
        <vt:lpwstr/>
      </vt:variant>
      <vt:variant>
        <vt:lpwstr>_Toc496868931</vt:lpwstr>
      </vt:variant>
      <vt:variant>
        <vt:i4>1900605</vt:i4>
      </vt:variant>
      <vt:variant>
        <vt:i4>968</vt:i4>
      </vt:variant>
      <vt:variant>
        <vt:i4>0</vt:i4>
      </vt:variant>
      <vt:variant>
        <vt:i4>5</vt:i4>
      </vt:variant>
      <vt:variant>
        <vt:lpwstr/>
      </vt:variant>
      <vt:variant>
        <vt:lpwstr>_Toc496868930</vt:lpwstr>
      </vt:variant>
      <vt:variant>
        <vt:i4>1835069</vt:i4>
      </vt:variant>
      <vt:variant>
        <vt:i4>962</vt:i4>
      </vt:variant>
      <vt:variant>
        <vt:i4>0</vt:i4>
      </vt:variant>
      <vt:variant>
        <vt:i4>5</vt:i4>
      </vt:variant>
      <vt:variant>
        <vt:lpwstr/>
      </vt:variant>
      <vt:variant>
        <vt:lpwstr>_Toc496868929</vt:lpwstr>
      </vt:variant>
      <vt:variant>
        <vt:i4>1835069</vt:i4>
      </vt:variant>
      <vt:variant>
        <vt:i4>956</vt:i4>
      </vt:variant>
      <vt:variant>
        <vt:i4>0</vt:i4>
      </vt:variant>
      <vt:variant>
        <vt:i4>5</vt:i4>
      </vt:variant>
      <vt:variant>
        <vt:lpwstr/>
      </vt:variant>
      <vt:variant>
        <vt:lpwstr>_Toc496868928</vt:lpwstr>
      </vt:variant>
      <vt:variant>
        <vt:i4>1835069</vt:i4>
      </vt:variant>
      <vt:variant>
        <vt:i4>950</vt:i4>
      </vt:variant>
      <vt:variant>
        <vt:i4>0</vt:i4>
      </vt:variant>
      <vt:variant>
        <vt:i4>5</vt:i4>
      </vt:variant>
      <vt:variant>
        <vt:lpwstr/>
      </vt:variant>
      <vt:variant>
        <vt:lpwstr>_Toc496868927</vt:lpwstr>
      </vt:variant>
      <vt:variant>
        <vt:i4>1835069</vt:i4>
      </vt:variant>
      <vt:variant>
        <vt:i4>944</vt:i4>
      </vt:variant>
      <vt:variant>
        <vt:i4>0</vt:i4>
      </vt:variant>
      <vt:variant>
        <vt:i4>5</vt:i4>
      </vt:variant>
      <vt:variant>
        <vt:lpwstr/>
      </vt:variant>
      <vt:variant>
        <vt:lpwstr>_Toc496868926</vt:lpwstr>
      </vt:variant>
      <vt:variant>
        <vt:i4>1835069</vt:i4>
      </vt:variant>
      <vt:variant>
        <vt:i4>938</vt:i4>
      </vt:variant>
      <vt:variant>
        <vt:i4>0</vt:i4>
      </vt:variant>
      <vt:variant>
        <vt:i4>5</vt:i4>
      </vt:variant>
      <vt:variant>
        <vt:lpwstr/>
      </vt:variant>
      <vt:variant>
        <vt:lpwstr>_Toc496868925</vt:lpwstr>
      </vt:variant>
      <vt:variant>
        <vt:i4>1835069</vt:i4>
      </vt:variant>
      <vt:variant>
        <vt:i4>932</vt:i4>
      </vt:variant>
      <vt:variant>
        <vt:i4>0</vt:i4>
      </vt:variant>
      <vt:variant>
        <vt:i4>5</vt:i4>
      </vt:variant>
      <vt:variant>
        <vt:lpwstr/>
      </vt:variant>
      <vt:variant>
        <vt:lpwstr>_Toc496868924</vt:lpwstr>
      </vt:variant>
      <vt:variant>
        <vt:i4>1835069</vt:i4>
      </vt:variant>
      <vt:variant>
        <vt:i4>926</vt:i4>
      </vt:variant>
      <vt:variant>
        <vt:i4>0</vt:i4>
      </vt:variant>
      <vt:variant>
        <vt:i4>5</vt:i4>
      </vt:variant>
      <vt:variant>
        <vt:lpwstr/>
      </vt:variant>
      <vt:variant>
        <vt:lpwstr>_Toc496868923</vt:lpwstr>
      </vt:variant>
      <vt:variant>
        <vt:i4>1835069</vt:i4>
      </vt:variant>
      <vt:variant>
        <vt:i4>920</vt:i4>
      </vt:variant>
      <vt:variant>
        <vt:i4>0</vt:i4>
      </vt:variant>
      <vt:variant>
        <vt:i4>5</vt:i4>
      </vt:variant>
      <vt:variant>
        <vt:lpwstr/>
      </vt:variant>
      <vt:variant>
        <vt:lpwstr>_Toc496868922</vt:lpwstr>
      </vt:variant>
      <vt:variant>
        <vt:i4>1835069</vt:i4>
      </vt:variant>
      <vt:variant>
        <vt:i4>914</vt:i4>
      </vt:variant>
      <vt:variant>
        <vt:i4>0</vt:i4>
      </vt:variant>
      <vt:variant>
        <vt:i4>5</vt:i4>
      </vt:variant>
      <vt:variant>
        <vt:lpwstr/>
      </vt:variant>
      <vt:variant>
        <vt:lpwstr>_Toc496868921</vt:lpwstr>
      </vt:variant>
      <vt:variant>
        <vt:i4>1835069</vt:i4>
      </vt:variant>
      <vt:variant>
        <vt:i4>908</vt:i4>
      </vt:variant>
      <vt:variant>
        <vt:i4>0</vt:i4>
      </vt:variant>
      <vt:variant>
        <vt:i4>5</vt:i4>
      </vt:variant>
      <vt:variant>
        <vt:lpwstr/>
      </vt:variant>
      <vt:variant>
        <vt:lpwstr>_Toc496868920</vt:lpwstr>
      </vt:variant>
      <vt:variant>
        <vt:i4>2031677</vt:i4>
      </vt:variant>
      <vt:variant>
        <vt:i4>902</vt:i4>
      </vt:variant>
      <vt:variant>
        <vt:i4>0</vt:i4>
      </vt:variant>
      <vt:variant>
        <vt:i4>5</vt:i4>
      </vt:variant>
      <vt:variant>
        <vt:lpwstr/>
      </vt:variant>
      <vt:variant>
        <vt:lpwstr>_Toc496868919</vt:lpwstr>
      </vt:variant>
      <vt:variant>
        <vt:i4>2031677</vt:i4>
      </vt:variant>
      <vt:variant>
        <vt:i4>896</vt:i4>
      </vt:variant>
      <vt:variant>
        <vt:i4>0</vt:i4>
      </vt:variant>
      <vt:variant>
        <vt:i4>5</vt:i4>
      </vt:variant>
      <vt:variant>
        <vt:lpwstr/>
      </vt:variant>
      <vt:variant>
        <vt:lpwstr>_Toc496868918</vt:lpwstr>
      </vt:variant>
      <vt:variant>
        <vt:i4>2031677</vt:i4>
      </vt:variant>
      <vt:variant>
        <vt:i4>890</vt:i4>
      </vt:variant>
      <vt:variant>
        <vt:i4>0</vt:i4>
      </vt:variant>
      <vt:variant>
        <vt:i4>5</vt:i4>
      </vt:variant>
      <vt:variant>
        <vt:lpwstr/>
      </vt:variant>
      <vt:variant>
        <vt:lpwstr>_Toc496868917</vt:lpwstr>
      </vt:variant>
      <vt:variant>
        <vt:i4>2031677</vt:i4>
      </vt:variant>
      <vt:variant>
        <vt:i4>884</vt:i4>
      </vt:variant>
      <vt:variant>
        <vt:i4>0</vt:i4>
      </vt:variant>
      <vt:variant>
        <vt:i4>5</vt:i4>
      </vt:variant>
      <vt:variant>
        <vt:lpwstr/>
      </vt:variant>
      <vt:variant>
        <vt:lpwstr>_Toc496868916</vt:lpwstr>
      </vt:variant>
      <vt:variant>
        <vt:i4>2031677</vt:i4>
      </vt:variant>
      <vt:variant>
        <vt:i4>878</vt:i4>
      </vt:variant>
      <vt:variant>
        <vt:i4>0</vt:i4>
      </vt:variant>
      <vt:variant>
        <vt:i4>5</vt:i4>
      </vt:variant>
      <vt:variant>
        <vt:lpwstr/>
      </vt:variant>
      <vt:variant>
        <vt:lpwstr>_Toc496868915</vt:lpwstr>
      </vt:variant>
      <vt:variant>
        <vt:i4>2031677</vt:i4>
      </vt:variant>
      <vt:variant>
        <vt:i4>872</vt:i4>
      </vt:variant>
      <vt:variant>
        <vt:i4>0</vt:i4>
      </vt:variant>
      <vt:variant>
        <vt:i4>5</vt:i4>
      </vt:variant>
      <vt:variant>
        <vt:lpwstr/>
      </vt:variant>
      <vt:variant>
        <vt:lpwstr>_Toc496868914</vt:lpwstr>
      </vt:variant>
      <vt:variant>
        <vt:i4>2031677</vt:i4>
      </vt:variant>
      <vt:variant>
        <vt:i4>866</vt:i4>
      </vt:variant>
      <vt:variant>
        <vt:i4>0</vt:i4>
      </vt:variant>
      <vt:variant>
        <vt:i4>5</vt:i4>
      </vt:variant>
      <vt:variant>
        <vt:lpwstr/>
      </vt:variant>
      <vt:variant>
        <vt:lpwstr>_Toc496868913</vt:lpwstr>
      </vt:variant>
      <vt:variant>
        <vt:i4>2031677</vt:i4>
      </vt:variant>
      <vt:variant>
        <vt:i4>860</vt:i4>
      </vt:variant>
      <vt:variant>
        <vt:i4>0</vt:i4>
      </vt:variant>
      <vt:variant>
        <vt:i4>5</vt:i4>
      </vt:variant>
      <vt:variant>
        <vt:lpwstr/>
      </vt:variant>
      <vt:variant>
        <vt:lpwstr>_Toc496868912</vt:lpwstr>
      </vt:variant>
      <vt:variant>
        <vt:i4>2031677</vt:i4>
      </vt:variant>
      <vt:variant>
        <vt:i4>854</vt:i4>
      </vt:variant>
      <vt:variant>
        <vt:i4>0</vt:i4>
      </vt:variant>
      <vt:variant>
        <vt:i4>5</vt:i4>
      </vt:variant>
      <vt:variant>
        <vt:lpwstr/>
      </vt:variant>
      <vt:variant>
        <vt:lpwstr>_Toc496868911</vt:lpwstr>
      </vt:variant>
      <vt:variant>
        <vt:i4>2031677</vt:i4>
      </vt:variant>
      <vt:variant>
        <vt:i4>848</vt:i4>
      </vt:variant>
      <vt:variant>
        <vt:i4>0</vt:i4>
      </vt:variant>
      <vt:variant>
        <vt:i4>5</vt:i4>
      </vt:variant>
      <vt:variant>
        <vt:lpwstr/>
      </vt:variant>
      <vt:variant>
        <vt:lpwstr>_Toc496868910</vt:lpwstr>
      </vt:variant>
      <vt:variant>
        <vt:i4>1966141</vt:i4>
      </vt:variant>
      <vt:variant>
        <vt:i4>842</vt:i4>
      </vt:variant>
      <vt:variant>
        <vt:i4>0</vt:i4>
      </vt:variant>
      <vt:variant>
        <vt:i4>5</vt:i4>
      </vt:variant>
      <vt:variant>
        <vt:lpwstr/>
      </vt:variant>
      <vt:variant>
        <vt:lpwstr>_Toc496868909</vt:lpwstr>
      </vt:variant>
      <vt:variant>
        <vt:i4>1966141</vt:i4>
      </vt:variant>
      <vt:variant>
        <vt:i4>836</vt:i4>
      </vt:variant>
      <vt:variant>
        <vt:i4>0</vt:i4>
      </vt:variant>
      <vt:variant>
        <vt:i4>5</vt:i4>
      </vt:variant>
      <vt:variant>
        <vt:lpwstr/>
      </vt:variant>
      <vt:variant>
        <vt:lpwstr>_Toc496868908</vt:lpwstr>
      </vt:variant>
      <vt:variant>
        <vt:i4>1966141</vt:i4>
      </vt:variant>
      <vt:variant>
        <vt:i4>830</vt:i4>
      </vt:variant>
      <vt:variant>
        <vt:i4>0</vt:i4>
      </vt:variant>
      <vt:variant>
        <vt:i4>5</vt:i4>
      </vt:variant>
      <vt:variant>
        <vt:lpwstr/>
      </vt:variant>
      <vt:variant>
        <vt:lpwstr>_Toc496868907</vt:lpwstr>
      </vt:variant>
      <vt:variant>
        <vt:i4>1966141</vt:i4>
      </vt:variant>
      <vt:variant>
        <vt:i4>824</vt:i4>
      </vt:variant>
      <vt:variant>
        <vt:i4>0</vt:i4>
      </vt:variant>
      <vt:variant>
        <vt:i4>5</vt:i4>
      </vt:variant>
      <vt:variant>
        <vt:lpwstr/>
      </vt:variant>
      <vt:variant>
        <vt:lpwstr>_Toc496868906</vt:lpwstr>
      </vt:variant>
      <vt:variant>
        <vt:i4>1966141</vt:i4>
      </vt:variant>
      <vt:variant>
        <vt:i4>818</vt:i4>
      </vt:variant>
      <vt:variant>
        <vt:i4>0</vt:i4>
      </vt:variant>
      <vt:variant>
        <vt:i4>5</vt:i4>
      </vt:variant>
      <vt:variant>
        <vt:lpwstr/>
      </vt:variant>
      <vt:variant>
        <vt:lpwstr>_Toc496868905</vt:lpwstr>
      </vt:variant>
      <vt:variant>
        <vt:i4>1966141</vt:i4>
      </vt:variant>
      <vt:variant>
        <vt:i4>812</vt:i4>
      </vt:variant>
      <vt:variant>
        <vt:i4>0</vt:i4>
      </vt:variant>
      <vt:variant>
        <vt:i4>5</vt:i4>
      </vt:variant>
      <vt:variant>
        <vt:lpwstr/>
      </vt:variant>
      <vt:variant>
        <vt:lpwstr>_Toc496868904</vt:lpwstr>
      </vt:variant>
      <vt:variant>
        <vt:i4>1966141</vt:i4>
      </vt:variant>
      <vt:variant>
        <vt:i4>806</vt:i4>
      </vt:variant>
      <vt:variant>
        <vt:i4>0</vt:i4>
      </vt:variant>
      <vt:variant>
        <vt:i4>5</vt:i4>
      </vt:variant>
      <vt:variant>
        <vt:lpwstr/>
      </vt:variant>
      <vt:variant>
        <vt:lpwstr>_Toc496868903</vt:lpwstr>
      </vt:variant>
      <vt:variant>
        <vt:i4>1966141</vt:i4>
      </vt:variant>
      <vt:variant>
        <vt:i4>800</vt:i4>
      </vt:variant>
      <vt:variant>
        <vt:i4>0</vt:i4>
      </vt:variant>
      <vt:variant>
        <vt:i4>5</vt:i4>
      </vt:variant>
      <vt:variant>
        <vt:lpwstr/>
      </vt:variant>
      <vt:variant>
        <vt:lpwstr>_Toc496868902</vt:lpwstr>
      </vt:variant>
      <vt:variant>
        <vt:i4>1966141</vt:i4>
      </vt:variant>
      <vt:variant>
        <vt:i4>794</vt:i4>
      </vt:variant>
      <vt:variant>
        <vt:i4>0</vt:i4>
      </vt:variant>
      <vt:variant>
        <vt:i4>5</vt:i4>
      </vt:variant>
      <vt:variant>
        <vt:lpwstr/>
      </vt:variant>
      <vt:variant>
        <vt:lpwstr>_Toc496868901</vt:lpwstr>
      </vt:variant>
      <vt:variant>
        <vt:i4>1966141</vt:i4>
      </vt:variant>
      <vt:variant>
        <vt:i4>788</vt:i4>
      </vt:variant>
      <vt:variant>
        <vt:i4>0</vt:i4>
      </vt:variant>
      <vt:variant>
        <vt:i4>5</vt:i4>
      </vt:variant>
      <vt:variant>
        <vt:lpwstr/>
      </vt:variant>
      <vt:variant>
        <vt:lpwstr>_Toc496868900</vt:lpwstr>
      </vt:variant>
      <vt:variant>
        <vt:i4>1507388</vt:i4>
      </vt:variant>
      <vt:variant>
        <vt:i4>782</vt:i4>
      </vt:variant>
      <vt:variant>
        <vt:i4>0</vt:i4>
      </vt:variant>
      <vt:variant>
        <vt:i4>5</vt:i4>
      </vt:variant>
      <vt:variant>
        <vt:lpwstr/>
      </vt:variant>
      <vt:variant>
        <vt:lpwstr>_Toc496868899</vt:lpwstr>
      </vt:variant>
      <vt:variant>
        <vt:i4>1507388</vt:i4>
      </vt:variant>
      <vt:variant>
        <vt:i4>776</vt:i4>
      </vt:variant>
      <vt:variant>
        <vt:i4>0</vt:i4>
      </vt:variant>
      <vt:variant>
        <vt:i4>5</vt:i4>
      </vt:variant>
      <vt:variant>
        <vt:lpwstr/>
      </vt:variant>
      <vt:variant>
        <vt:lpwstr>_Toc496868898</vt:lpwstr>
      </vt:variant>
      <vt:variant>
        <vt:i4>1507388</vt:i4>
      </vt:variant>
      <vt:variant>
        <vt:i4>770</vt:i4>
      </vt:variant>
      <vt:variant>
        <vt:i4>0</vt:i4>
      </vt:variant>
      <vt:variant>
        <vt:i4>5</vt:i4>
      </vt:variant>
      <vt:variant>
        <vt:lpwstr/>
      </vt:variant>
      <vt:variant>
        <vt:lpwstr>_Toc496868897</vt:lpwstr>
      </vt:variant>
      <vt:variant>
        <vt:i4>1507388</vt:i4>
      </vt:variant>
      <vt:variant>
        <vt:i4>764</vt:i4>
      </vt:variant>
      <vt:variant>
        <vt:i4>0</vt:i4>
      </vt:variant>
      <vt:variant>
        <vt:i4>5</vt:i4>
      </vt:variant>
      <vt:variant>
        <vt:lpwstr/>
      </vt:variant>
      <vt:variant>
        <vt:lpwstr>_Toc496868896</vt:lpwstr>
      </vt:variant>
      <vt:variant>
        <vt:i4>1507388</vt:i4>
      </vt:variant>
      <vt:variant>
        <vt:i4>758</vt:i4>
      </vt:variant>
      <vt:variant>
        <vt:i4>0</vt:i4>
      </vt:variant>
      <vt:variant>
        <vt:i4>5</vt:i4>
      </vt:variant>
      <vt:variant>
        <vt:lpwstr/>
      </vt:variant>
      <vt:variant>
        <vt:lpwstr>_Toc496868895</vt:lpwstr>
      </vt:variant>
      <vt:variant>
        <vt:i4>1507388</vt:i4>
      </vt:variant>
      <vt:variant>
        <vt:i4>752</vt:i4>
      </vt:variant>
      <vt:variant>
        <vt:i4>0</vt:i4>
      </vt:variant>
      <vt:variant>
        <vt:i4>5</vt:i4>
      </vt:variant>
      <vt:variant>
        <vt:lpwstr/>
      </vt:variant>
      <vt:variant>
        <vt:lpwstr>_Toc496868894</vt:lpwstr>
      </vt:variant>
      <vt:variant>
        <vt:i4>1507388</vt:i4>
      </vt:variant>
      <vt:variant>
        <vt:i4>746</vt:i4>
      </vt:variant>
      <vt:variant>
        <vt:i4>0</vt:i4>
      </vt:variant>
      <vt:variant>
        <vt:i4>5</vt:i4>
      </vt:variant>
      <vt:variant>
        <vt:lpwstr/>
      </vt:variant>
      <vt:variant>
        <vt:lpwstr>_Toc496868893</vt:lpwstr>
      </vt:variant>
      <vt:variant>
        <vt:i4>1507388</vt:i4>
      </vt:variant>
      <vt:variant>
        <vt:i4>740</vt:i4>
      </vt:variant>
      <vt:variant>
        <vt:i4>0</vt:i4>
      </vt:variant>
      <vt:variant>
        <vt:i4>5</vt:i4>
      </vt:variant>
      <vt:variant>
        <vt:lpwstr/>
      </vt:variant>
      <vt:variant>
        <vt:lpwstr>_Toc496868892</vt:lpwstr>
      </vt:variant>
      <vt:variant>
        <vt:i4>1507388</vt:i4>
      </vt:variant>
      <vt:variant>
        <vt:i4>734</vt:i4>
      </vt:variant>
      <vt:variant>
        <vt:i4>0</vt:i4>
      </vt:variant>
      <vt:variant>
        <vt:i4>5</vt:i4>
      </vt:variant>
      <vt:variant>
        <vt:lpwstr/>
      </vt:variant>
      <vt:variant>
        <vt:lpwstr>_Toc496868891</vt:lpwstr>
      </vt:variant>
      <vt:variant>
        <vt:i4>1507388</vt:i4>
      </vt:variant>
      <vt:variant>
        <vt:i4>728</vt:i4>
      </vt:variant>
      <vt:variant>
        <vt:i4>0</vt:i4>
      </vt:variant>
      <vt:variant>
        <vt:i4>5</vt:i4>
      </vt:variant>
      <vt:variant>
        <vt:lpwstr/>
      </vt:variant>
      <vt:variant>
        <vt:lpwstr>_Toc496868890</vt:lpwstr>
      </vt:variant>
      <vt:variant>
        <vt:i4>1441852</vt:i4>
      </vt:variant>
      <vt:variant>
        <vt:i4>722</vt:i4>
      </vt:variant>
      <vt:variant>
        <vt:i4>0</vt:i4>
      </vt:variant>
      <vt:variant>
        <vt:i4>5</vt:i4>
      </vt:variant>
      <vt:variant>
        <vt:lpwstr/>
      </vt:variant>
      <vt:variant>
        <vt:lpwstr>_Toc496868889</vt:lpwstr>
      </vt:variant>
      <vt:variant>
        <vt:i4>1441852</vt:i4>
      </vt:variant>
      <vt:variant>
        <vt:i4>716</vt:i4>
      </vt:variant>
      <vt:variant>
        <vt:i4>0</vt:i4>
      </vt:variant>
      <vt:variant>
        <vt:i4>5</vt:i4>
      </vt:variant>
      <vt:variant>
        <vt:lpwstr/>
      </vt:variant>
      <vt:variant>
        <vt:lpwstr>_Toc496868888</vt:lpwstr>
      </vt:variant>
      <vt:variant>
        <vt:i4>1441852</vt:i4>
      </vt:variant>
      <vt:variant>
        <vt:i4>710</vt:i4>
      </vt:variant>
      <vt:variant>
        <vt:i4>0</vt:i4>
      </vt:variant>
      <vt:variant>
        <vt:i4>5</vt:i4>
      </vt:variant>
      <vt:variant>
        <vt:lpwstr/>
      </vt:variant>
      <vt:variant>
        <vt:lpwstr>_Toc496868887</vt:lpwstr>
      </vt:variant>
      <vt:variant>
        <vt:i4>1441852</vt:i4>
      </vt:variant>
      <vt:variant>
        <vt:i4>704</vt:i4>
      </vt:variant>
      <vt:variant>
        <vt:i4>0</vt:i4>
      </vt:variant>
      <vt:variant>
        <vt:i4>5</vt:i4>
      </vt:variant>
      <vt:variant>
        <vt:lpwstr/>
      </vt:variant>
      <vt:variant>
        <vt:lpwstr>_Toc496868886</vt:lpwstr>
      </vt:variant>
      <vt:variant>
        <vt:i4>1441852</vt:i4>
      </vt:variant>
      <vt:variant>
        <vt:i4>698</vt:i4>
      </vt:variant>
      <vt:variant>
        <vt:i4>0</vt:i4>
      </vt:variant>
      <vt:variant>
        <vt:i4>5</vt:i4>
      </vt:variant>
      <vt:variant>
        <vt:lpwstr/>
      </vt:variant>
      <vt:variant>
        <vt:lpwstr>_Toc496868885</vt:lpwstr>
      </vt:variant>
      <vt:variant>
        <vt:i4>1441852</vt:i4>
      </vt:variant>
      <vt:variant>
        <vt:i4>692</vt:i4>
      </vt:variant>
      <vt:variant>
        <vt:i4>0</vt:i4>
      </vt:variant>
      <vt:variant>
        <vt:i4>5</vt:i4>
      </vt:variant>
      <vt:variant>
        <vt:lpwstr/>
      </vt:variant>
      <vt:variant>
        <vt:lpwstr>_Toc496868884</vt:lpwstr>
      </vt:variant>
      <vt:variant>
        <vt:i4>1441852</vt:i4>
      </vt:variant>
      <vt:variant>
        <vt:i4>686</vt:i4>
      </vt:variant>
      <vt:variant>
        <vt:i4>0</vt:i4>
      </vt:variant>
      <vt:variant>
        <vt:i4>5</vt:i4>
      </vt:variant>
      <vt:variant>
        <vt:lpwstr/>
      </vt:variant>
      <vt:variant>
        <vt:lpwstr>_Toc496868883</vt:lpwstr>
      </vt:variant>
      <vt:variant>
        <vt:i4>1441852</vt:i4>
      </vt:variant>
      <vt:variant>
        <vt:i4>680</vt:i4>
      </vt:variant>
      <vt:variant>
        <vt:i4>0</vt:i4>
      </vt:variant>
      <vt:variant>
        <vt:i4>5</vt:i4>
      </vt:variant>
      <vt:variant>
        <vt:lpwstr/>
      </vt:variant>
      <vt:variant>
        <vt:lpwstr>_Toc496868882</vt:lpwstr>
      </vt:variant>
      <vt:variant>
        <vt:i4>1441852</vt:i4>
      </vt:variant>
      <vt:variant>
        <vt:i4>674</vt:i4>
      </vt:variant>
      <vt:variant>
        <vt:i4>0</vt:i4>
      </vt:variant>
      <vt:variant>
        <vt:i4>5</vt:i4>
      </vt:variant>
      <vt:variant>
        <vt:lpwstr/>
      </vt:variant>
      <vt:variant>
        <vt:lpwstr>_Toc496868881</vt:lpwstr>
      </vt:variant>
      <vt:variant>
        <vt:i4>1441852</vt:i4>
      </vt:variant>
      <vt:variant>
        <vt:i4>668</vt:i4>
      </vt:variant>
      <vt:variant>
        <vt:i4>0</vt:i4>
      </vt:variant>
      <vt:variant>
        <vt:i4>5</vt:i4>
      </vt:variant>
      <vt:variant>
        <vt:lpwstr/>
      </vt:variant>
      <vt:variant>
        <vt:lpwstr>_Toc496868880</vt:lpwstr>
      </vt:variant>
      <vt:variant>
        <vt:i4>1638460</vt:i4>
      </vt:variant>
      <vt:variant>
        <vt:i4>662</vt:i4>
      </vt:variant>
      <vt:variant>
        <vt:i4>0</vt:i4>
      </vt:variant>
      <vt:variant>
        <vt:i4>5</vt:i4>
      </vt:variant>
      <vt:variant>
        <vt:lpwstr/>
      </vt:variant>
      <vt:variant>
        <vt:lpwstr>_Toc496868879</vt:lpwstr>
      </vt:variant>
      <vt:variant>
        <vt:i4>1638460</vt:i4>
      </vt:variant>
      <vt:variant>
        <vt:i4>656</vt:i4>
      </vt:variant>
      <vt:variant>
        <vt:i4>0</vt:i4>
      </vt:variant>
      <vt:variant>
        <vt:i4>5</vt:i4>
      </vt:variant>
      <vt:variant>
        <vt:lpwstr/>
      </vt:variant>
      <vt:variant>
        <vt:lpwstr>_Toc496868878</vt:lpwstr>
      </vt:variant>
      <vt:variant>
        <vt:i4>1638460</vt:i4>
      </vt:variant>
      <vt:variant>
        <vt:i4>650</vt:i4>
      </vt:variant>
      <vt:variant>
        <vt:i4>0</vt:i4>
      </vt:variant>
      <vt:variant>
        <vt:i4>5</vt:i4>
      </vt:variant>
      <vt:variant>
        <vt:lpwstr/>
      </vt:variant>
      <vt:variant>
        <vt:lpwstr>_Toc496868877</vt:lpwstr>
      </vt:variant>
      <vt:variant>
        <vt:i4>1638460</vt:i4>
      </vt:variant>
      <vt:variant>
        <vt:i4>644</vt:i4>
      </vt:variant>
      <vt:variant>
        <vt:i4>0</vt:i4>
      </vt:variant>
      <vt:variant>
        <vt:i4>5</vt:i4>
      </vt:variant>
      <vt:variant>
        <vt:lpwstr/>
      </vt:variant>
      <vt:variant>
        <vt:lpwstr>_Toc496868876</vt:lpwstr>
      </vt:variant>
      <vt:variant>
        <vt:i4>1638460</vt:i4>
      </vt:variant>
      <vt:variant>
        <vt:i4>638</vt:i4>
      </vt:variant>
      <vt:variant>
        <vt:i4>0</vt:i4>
      </vt:variant>
      <vt:variant>
        <vt:i4>5</vt:i4>
      </vt:variant>
      <vt:variant>
        <vt:lpwstr/>
      </vt:variant>
      <vt:variant>
        <vt:lpwstr>_Toc496868875</vt:lpwstr>
      </vt:variant>
      <vt:variant>
        <vt:i4>1638460</vt:i4>
      </vt:variant>
      <vt:variant>
        <vt:i4>632</vt:i4>
      </vt:variant>
      <vt:variant>
        <vt:i4>0</vt:i4>
      </vt:variant>
      <vt:variant>
        <vt:i4>5</vt:i4>
      </vt:variant>
      <vt:variant>
        <vt:lpwstr/>
      </vt:variant>
      <vt:variant>
        <vt:lpwstr>_Toc496868874</vt:lpwstr>
      </vt:variant>
      <vt:variant>
        <vt:i4>1638460</vt:i4>
      </vt:variant>
      <vt:variant>
        <vt:i4>626</vt:i4>
      </vt:variant>
      <vt:variant>
        <vt:i4>0</vt:i4>
      </vt:variant>
      <vt:variant>
        <vt:i4>5</vt:i4>
      </vt:variant>
      <vt:variant>
        <vt:lpwstr/>
      </vt:variant>
      <vt:variant>
        <vt:lpwstr>_Toc496868873</vt:lpwstr>
      </vt:variant>
      <vt:variant>
        <vt:i4>1638460</vt:i4>
      </vt:variant>
      <vt:variant>
        <vt:i4>620</vt:i4>
      </vt:variant>
      <vt:variant>
        <vt:i4>0</vt:i4>
      </vt:variant>
      <vt:variant>
        <vt:i4>5</vt:i4>
      </vt:variant>
      <vt:variant>
        <vt:lpwstr/>
      </vt:variant>
      <vt:variant>
        <vt:lpwstr>_Toc496868872</vt:lpwstr>
      </vt:variant>
      <vt:variant>
        <vt:i4>1638460</vt:i4>
      </vt:variant>
      <vt:variant>
        <vt:i4>614</vt:i4>
      </vt:variant>
      <vt:variant>
        <vt:i4>0</vt:i4>
      </vt:variant>
      <vt:variant>
        <vt:i4>5</vt:i4>
      </vt:variant>
      <vt:variant>
        <vt:lpwstr/>
      </vt:variant>
      <vt:variant>
        <vt:lpwstr>_Toc496868871</vt:lpwstr>
      </vt:variant>
      <vt:variant>
        <vt:i4>1638460</vt:i4>
      </vt:variant>
      <vt:variant>
        <vt:i4>608</vt:i4>
      </vt:variant>
      <vt:variant>
        <vt:i4>0</vt:i4>
      </vt:variant>
      <vt:variant>
        <vt:i4>5</vt:i4>
      </vt:variant>
      <vt:variant>
        <vt:lpwstr/>
      </vt:variant>
      <vt:variant>
        <vt:lpwstr>_Toc496868870</vt:lpwstr>
      </vt:variant>
      <vt:variant>
        <vt:i4>1572924</vt:i4>
      </vt:variant>
      <vt:variant>
        <vt:i4>602</vt:i4>
      </vt:variant>
      <vt:variant>
        <vt:i4>0</vt:i4>
      </vt:variant>
      <vt:variant>
        <vt:i4>5</vt:i4>
      </vt:variant>
      <vt:variant>
        <vt:lpwstr/>
      </vt:variant>
      <vt:variant>
        <vt:lpwstr>_Toc496868869</vt:lpwstr>
      </vt:variant>
      <vt:variant>
        <vt:i4>1572924</vt:i4>
      </vt:variant>
      <vt:variant>
        <vt:i4>596</vt:i4>
      </vt:variant>
      <vt:variant>
        <vt:i4>0</vt:i4>
      </vt:variant>
      <vt:variant>
        <vt:i4>5</vt:i4>
      </vt:variant>
      <vt:variant>
        <vt:lpwstr/>
      </vt:variant>
      <vt:variant>
        <vt:lpwstr>_Toc496868868</vt:lpwstr>
      </vt:variant>
      <vt:variant>
        <vt:i4>1572924</vt:i4>
      </vt:variant>
      <vt:variant>
        <vt:i4>590</vt:i4>
      </vt:variant>
      <vt:variant>
        <vt:i4>0</vt:i4>
      </vt:variant>
      <vt:variant>
        <vt:i4>5</vt:i4>
      </vt:variant>
      <vt:variant>
        <vt:lpwstr/>
      </vt:variant>
      <vt:variant>
        <vt:lpwstr>_Toc496868867</vt:lpwstr>
      </vt:variant>
      <vt:variant>
        <vt:i4>1572924</vt:i4>
      </vt:variant>
      <vt:variant>
        <vt:i4>584</vt:i4>
      </vt:variant>
      <vt:variant>
        <vt:i4>0</vt:i4>
      </vt:variant>
      <vt:variant>
        <vt:i4>5</vt:i4>
      </vt:variant>
      <vt:variant>
        <vt:lpwstr/>
      </vt:variant>
      <vt:variant>
        <vt:lpwstr>_Toc496868866</vt:lpwstr>
      </vt:variant>
      <vt:variant>
        <vt:i4>1572924</vt:i4>
      </vt:variant>
      <vt:variant>
        <vt:i4>578</vt:i4>
      </vt:variant>
      <vt:variant>
        <vt:i4>0</vt:i4>
      </vt:variant>
      <vt:variant>
        <vt:i4>5</vt:i4>
      </vt:variant>
      <vt:variant>
        <vt:lpwstr/>
      </vt:variant>
      <vt:variant>
        <vt:lpwstr>_Toc496868865</vt:lpwstr>
      </vt:variant>
      <vt:variant>
        <vt:i4>1572924</vt:i4>
      </vt:variant>
      <vt:variant>
        <vt:i4>572</vt:i4>
      </vt:variant>
      <vt:variant>
        <vt:i4>0</vt:i4>
      </vt:variant>
      <vt:variant>
        <vt:i4>5</vt:i4>
      </vt:variant>
      <vt:variant>
        <vt:lpwstr/>
      </vt:variant>
      <vt:variant>
        <vt:lpwstr>_Toc496868864</vt:lpwstr>
      </vt:variant>
      <vt:variant>
        <vt:i4>1572924</vt:i4>
      </vt:variant>
      <vt:variant>
        <vt:i4>566</vt:i4>
      </vt:variant>
      <vt:variant>
        <vt:i4>0</vt:i4>
      </vt:variant>
      <vt:variant>
        <vt:i4>5</vt:i4>
      </vt:variant>
      <vt:variant>
        <vt:lpwstr/>
      </vt:variant>
      <vt:variant>
        <vt:lpwstr>_Toc496868863</vt:lpwstr>
      </vt:variant>
      <vt:variant>
        <vt:i4>1572924</vt:i4>
      </vt:variant>
      <vt:variant>
        <vt:i4>560</vt:i4>
      </vt:variant>
      <vt:variant>
        <vt:i4>0</vt:i4>
      </vt:variant>
      <vt:variant>
        <vt:i4>5</vt:i4>
      </vt:variant>
      <vt:variant>
        <vt:lpwstr/>
      </vt:variant>
      <vt:variant>
        <vt:lpwstr>_Toc496868862</vt:lpwstr>
      </vt:variant>
      <vt:variant>
        <vt:i4>1572924</vt:i4>
      </vt:variant>
      <vt:variant>
        <vt:i4>554</vt:i4>
      </vt:variant>
      <vt:variant>
        <vt:i4>0</vt:i4>
      </vt:variant>
      <vt:variant>
        <vt:i4>5</vt:i4>
      </vt:variant>
      <vt:variant>
        <vt:lpwstr/>
      </vt:variant>
      <vt:variant>
        <vt:lpwstr>_Toc496868861</vt:lpwstr>
      </vt:variant>
      <vt:variant>
        <vt:i4>1572924</vt:i4>
      </vt:variant>
      <vt:variant>
        <vt:i4>548</vt:i4>
      </vt:variant>
      <vt:variant>
        <vt:i4>0</vt:i4>
      </vt:variant>
      <vt:variant>
        <vt:i4>5</vt:i4>
      </vt:variant>
      <vt:variant>
        <vt:lpwstr/>
      </vt:variant>
      <vt:variant>
        <vt:lpwstr>_Toc496868860</vt:lpwstr>
      </vt:variant>
      <vt:variant>
        <vt:i4>1769532</vt:i4>
      </vt:variant>
      <vt:variant>
        <vt:i4>542</vt:i4>
      </vt:variant>
      <vt:variant>
        <vt:i4>0</vt:i4>
      </vt:variant>
      <vt:variant>
        <vt:i4>5</vt:i4>
      </vt:variant>
      <vt:variant>
        <vt:lpwstr/>
      </vt:variant>
      <vt:variant>
        <vt:lpwstr>_Toc496868859</vt:lpwstr>
      </vt:variant>
      <vt:variant>
        <vt:i4>1769532</vt:i4>
      </vt:variant>
      <vt:variant>
        <vt:i4>536</vt:i4>
      </vt:variant>
      <vt:variant>
        <vt:i4>0</vt:i4>
      </vt:variant>
      <vt:variant>
        <vt:i4>5</vt:i4>
      </vt:variant>
      <vt:variant>
        <vt:lpwstr/>
      </vt:variant>
      <vt:variant>
        <vt:lpwstr>_Toc496868858</vt:lpwstr>
      </vt:variant>
      <vt:variant>
        <vt:i4>1769532</vt:i4>
      </vt:variant>
      <vt:variant>
        <vt:i4>530</vt:i4>
      </vt:variant>
      <vt:variant>
        <vt:i4>0</vt:i4>
      </vt:variant>
      <vt:variant>
        <vt:i4>5</vt:i4>
      </vt:variant>
      <vt:variant>
        <vt:lpwstr/>
      </vt:variant>
      <vt:variant>
        <vt:lpwstr>_Toc496868857</vt:lpwstr>
      </vt:variant>
      <vt:variant>
        <vt:i4>1769532</vt:i4>
      </vt:variant>
      <vt:variant>
        <vt:i4>524</vt:i4>
      </vt:variant>
      <vt:variant>
        <vt:i4>0</vt:i4>
      </vt:variant>
      <vt:variant>
        <vt:i4>5</vt:i4>
      </vt:variant>
      <vt:variant>
        <vt:lpwstr/>
      </vt:variant>
      <vt:variant>
        <vt:lpwstr>_Toc496868856</vt:lpwstr>
      </vt:variant>
      <vt:variant>
        <vt:i4>1769532</vt:i4>
      </vt:variant>
      <vt:variant>
        <vt:i4>518</vt:i4>
      </vt:variant>
      <vt:variant>
        <vt:i4>0</vt:i4>
      </vt:variant>
      <vt:variant>
        <vt:i4>5</vt:i4>
      </vt:variant>
      <vt:variant>
        <vt:lpwstr/>
      </vt:variant>
      <vt:variant>
        <vt:lpwstr>_Toc496868855</vt:lpwstr>
      </vt:variant>
      <vt:variant>
        <vt:i4>1769532</vt:i4>
      </vt:variant>
      <vt:variant>
        <vt:i4>512</vt:i4>
      </vt:variant>
      <vt:variant>
        <vt:i4>0</vt:i4>
      </vt:variant>
      <vt:variant>
        <vt:i4>5</vt:i4>
      </vt:variant>
      <vt:variant>
        <vt:lpwstr/>
      </vt:variant>
      <vt:variant>
        <vt:lpwstr>_Toc496868854</vt:lpwstr>
      </vt:variant>
      <vt:variant>
        <vt:i4>1769532</vt:i4>
      </vt:variant>
      <vt:variant>
        <vt:i4>506</vt:i4>
      </vt:variant>
      <vt:variant>
        <vt:i4>0</vt:i4>
      </vt:variant>
      <vt:variant>
        <vt:i4>5</vt:i4>
      </vt:variant>
      <vt:variant>
        <vt:lpwstr/>
      </vt:variant>
      <vt:variant>
        <vt:lpwstr>_Toc496868853</vt:lpwstr>
      </vt:variant>
      <vt:variant>
        <vt:i4>1769532</vt:i4>
      </vt:variant>
      <vt:variant>
        <vt:i4>500</vt:i4>
      </vt:variant>
      <vt:variant>
        <vt:i4>0</vt:i4>
      </vt:variant>
      <vt:variant>
        <vt:i4>5</vt:i4>
      </vt:variant>
      <vt:variant>
        <vt:lpwstr/>
      </vt:variant>
      <vt:variant>
        <vt:lpwstr>_Toc496868852</vt:lpwstr>
      </vt:variant>
      <vt:variant>
        <vt:i4>1769532</vt:i4>
      </vt:variant>
      <vt:variant>
        <vt:i4>494</vt:i4>
      </vt:variant>
      <vt:variant>
        <vt:i4>0</vt:i4>
      </vt:variant>
      <vt:variant>
        <vt:i4>5</vt:i4>
      </vt:variant>
      <vt:variant>
        <vt:lpwstr/>
      </vt:variant>
      <vt:variant>
        <vt:lpwstr>_Toc496868851</vt:lpwstr>
      </vt:variant>
      <vt:variant>
        <vt:i4>1703996</vt:i4>
      </vt:variant>
      <vt:variant>
        <vt:i4>488</vt:i4>
      </vt:variant>
      <vt:variant>
        <vt:i4>0</vt:i4>
      </vt:variant>
      <vt:variant>
        <vt:i4>5</vt:i4>
      </vt:variant>
      <vt:variant>
        <vt:lpwstr/>
      </vt:variant>
      <vt:variant>
        <vt:lpwstr>_Toc496868849</vt:lpwstr>
      </vt:variant>
      <vt:variant>
        <vt:i4>1703996</vt:i4>
      </vt:variant>
      <vt:variant>
        <vt:i4>482</vt:i4>
      </vt:variant>
      <vt:variant>
        <vt:i4>0</vt:i4>
      </vt:variant>
      <vt:variant>
        <vt:i4>5</vt:i4>
      </vt:variant>
      <vt:variant>
        <vt:lpwstr/>
      </vt:variant>
      <vt:variant>
        <vt:lpwstr>_Toc496868848</vt:lpwstr>
      </vt:variant>
      <vt:variant>
        <vt:i4>1703996</vt:i4>
      </vt:variant>
      <vt:variant>
        <vt:i4>476</vt:i4>
      </vt:variant>
      <vt:variant>
        <vt:i4>0</vt:i4>
      </vt:variant>
      <vt:variant>
        <vt:i4>5</vt:i4>
      </vt:variant>
      <vt:variant>
        <vt:lpwstr/>
      </vt:variant>
      <vt:variant>
        <vt:lpwstr>_Toc496868847</vt:lpwstr>
      </vt:variant>
      <vt:variant>
        <vt:i4>1703996</vt:i4>
      </vt:variant>
      <vt:variant>
        <vt:i4>470</vt:i4>
      </vt:variant>
      <vt:variant>
        <vt:i4>0</vt:i4>
      </vt:variant>
      <vt:variant>
        <vt:i4>5</vt:i4>
      </vt:variant>
      <vt:variant>
        <vt:lpwstr/>
      </vt:variant>
      <vt:variant>
        <vt:lpwstr>_Toc496868846</vt:lpwstr>
      </vt:variant>
      <vt:variant>
        <vt:i4>1703996</vt:i4>
      </vt:variant>
      <vt:variant>
        <vt:i4>464</vt:i4>
      </vt:variant>
      <vt:variant>
        <vt:i4>0</vt:i4>
      </vt:variant>
      <vt:variant>
        <vt:i4>5</vt:i4>
      </vt:variant>
      <vt:variant>
        <vt:lpwstr/>
      </vt:variant>
      <vt:variant>
        <vt:lpwstr>_Toc496868845</vt:lpwstr>
      </vt:variant>
      <vt:variant>
        <vt:i4>1703996</vt:i4>
      </vt:variant>
      <vt:variant>
        <vt:i4>458</vt:i4>
      </vt:variant>
      <vt:variant>
        <vt:i4>0</vt:i4>
      </vt:variant>
      <vt:variant>
        <vt:i4>5</vt:i4>
      </vt:variant>
      <vt:variant>
        <vt:lpwstr/>
      </vt:variant>
      <vt:variant>
        <vt:lpwstr>_Toc496868844</vt:lpwstr>
      </vt:variant>
      <vt:variant>
        <vt:i4>1703996</vt:i4>
      </vt:variant>
      <vt:variant>
        <vt:i4>452</vt:i4>
      </vt:variant>
      <vt:variant>
        <vt:i4>0</vt:i4>
      </vt:variant>
      <vt:variant>
        <vt:i4>5</vt:i4>
      </vt:variant>
      <vt:variant>
        <vt:lpwstr/>
      </vt:variant>
      <vt:variant>
        <vt:lpwstr>_Toc496868843</vt:lpwstr>
      </vt:variant>
      <vt:variant>
        <vt:i4>1703996</vt:i4>
      </vt:variant>
      <vt:variant>
        <vt:i4>446</vt:i4>
      </vt:variant>
      <vt:variant>
        <vt:i4>0</vt:i4>
      </vt:variant>
      <vt:variant>
        <vt:i4>5</vt:i4>
      </vt:variant>
      <vt:variant>
        <vt:lpwstr/>
      </vt:variant>
      <vt:variant>
        <vt:lpwstr>_Toc496868842</vt:lpwstr>
      </vt:variant>
      <vt:variant>
        <vt:i4>1703996</vt:i4>
      </vt:variant>
      <vt:variant>
        <vt:i4>440</vt:i4>
      </vt:variant>
      <vt:variant>
        <vt:i4>0</vt:i4>
      </vt:variant>
      <vt:variant>
        <vt:i4>5</vt:i4>
      </vt:variant>
      <vt:variant>
        <vt:lpwstr/>
      </vt:variant>
      <vt:variant>
        <vt:lpwstr>_Toc496868841</vt:lpwstr>
      </vt:variant>
      <vt:variant>
        <vt:i4>1703996</vt:i4>
      </vt:variant>
      <vt:variant>
        <vt:i4>434</vt:i4>
      </vt:variant>
      <vt:variant>
        <vt:i4>0</vt:i4>
      </vt:variant>
      <vt:variant>
        <vt:i4>5</vt:i4>
      </vt:variant>
      <vt:variant>
        <vt:lpwstr/>
      </vt:variant>
      <vt:variant>
        <vt:lpwstr>_Toc496868840</vt:lpwstr>
      </vt:variant>
      <vt:variant>
        <vt:i4>1900604</vt:i4>
      </vt:variant>
      <vt:variant>
        <vt:i4>428</vt:i4>
      </vt:variant>
      <vt:variant>
        <vt:i4>0</vt:i4>
      </vt:variant>
      <vt:variant>
        <vt:i4>5</vt:i4>
      </vt:variant>
      <vt:variant>
        <vt:lpwstr/>
      </vt:variant>
      <vt:variant>
        <vt:lpwstr>_Toc496868839</vt:lpwstr>
      </vt:variant>
      <vt:variant>
        <vt:i4>1900604</vt:i4>
      </vt:variant>
      <vt:variant>
        <vt:i4>422</vt:i4>
      </vt:variant>
      <vt:variant>
        <vt:i4>0</vt:i4>
      </vt:variant>
      <vt:variant>
        <vt:i4>5</vt:i4>
      </vt:variant>
      <vt:variant>
        <vt:lpwstr/>
      </vt:variant>
      <vt:variant>
        <vt:lpwstr>_Toc496868838</vt:lpwstr>
      </vt:variant>
      <vt:variant>
        <vt:i4>1900604</vt:i4>
      </vt:variant>
      <vt:variant>
        <vt:i4>416</vt:i4>
      </vt:variant>
      <vt:variant>
        <vt:i4>0</vt:i4>
      </vt:variant>
      <vt:variant>
        <vt:i4>5</vt:i4>
      </vt:variant>
      <vt:variant>
        <vt:lpwstr/>
      </vt:variant>
      <vt:variant>
        <vt:lpwstr>_Toc496868837</vt:lpwstr>
      </vt:variant>
      <vt:variant>
        <vt:i4>1900604</vt:i4>
      </vt:variant>
      <vt:variant>
        <vt:i4>410</vt:i4>
      </vt:variant>
      <vt:variant>
        <vt:i4>0</vt:i4>
      </vt:variant>
      <vt:variant>
        <vt:i4>5</vt:i4>
      </vt:variant>
      <vt:variant>
        <vt:lpwstr/>
      </vt:variant>
      <vt:variant>
        <vt:lpwstr>_Toc496868836</vt:lpwstr>
      </vt:variant>
      <vt:variant>
        <vt:i4>1900604</vt:i4>
      </vt:variant>
      <vt:variant>
        <vt:i4>404</vt:i4>
      </vt:variant>
      <vt:variant>
        <vt:i4>0</vt:i4>
      </vt:variant>
      <vt:variant>
        <vt:i4>5</vt:i4>
      </vt:variant>
      <vt:variant>
        <vt:lpwstr/>
      </vt:variant>
      <vt:variant>
        <vt:lpwstr>_Toc496868835</vt:lpwstr>
      </vt:variant>
      <vt:variant>
        <vt:i4>1900604</vt:i4>
      </vt:variant>
      <vt:variant>
        <vt:i4>398</vt:i4>
      </vt:variant>
      <vt:variant>
        <vt:i4>0</vt:i4>
      </vt:variant>
      <vt:variant>
        <vt:i4>5</vt:i4>
      </vt:variant>
      <vt:variant>
        <vt:lpwstr/>
      </vt:variant>
      <vt:variant>
        <vt:lpwstr>_Toc496868834</vt:lpwstr>
      </vt:variant>
      <vt:variant>
        <vt:i4>1900604</vt:i4>
      </vt:variant>
      <vt:variant>
        <vt:i4>392</vt:i4>
      </vt:variant>
      <vt:variant>
        <vt:i4>0</vt:i4>
      </vt:variant>
      <vt:variant>
        <vt:i4>5</vt:i4>
      </vt:variant>
      <vt:variant>
        <vt:lpwstr/>
      </vt:variant>
      <vt:variant>
        <vt:lpwstr>_Toc496868833</vt:lpwstr>
      </vt:variant>
      <vt:variant>
        <vt:i4>1900604</vt:i4>
      </vt:variant>
      <vt:variant>
        <vt:i4>386</vt:i4>
      </vt:variant>
      <vt:variant>
        <vt:i4>0</vt:i4>
      </vt:variant>
      <vt:variant>
        <vt:i4>5</vt:i4>
      </vt:variant>
      <vt:variant>
        <vt:lpwstr/>
      </vt:variant>
      <vt:variant>
        <vt:lpwstr>_Toc496868832</vt:lpwstr>
      </vt:variant>
      <vt:variant>
        <vt:i4>1900604</vt:i4>
      </vt:variant>
      <vt:variant>
        <vt:i4>380</vt:i4>
      </vt:variant>
      <vt:variant>
        <vt:i4>0</vt:i4>
      </vt:variant>
      <vt:variant>
        <vt:i4>5</vt:i4>
      </vt:variant>
      <vt:variant>
        <vt:lpwstr/>
      </vt:variant>
      <vt:variant>
        <vt:lpwstr>_Toc496868831</vt:lpwstr>
      </vt:variant>
      <vt:variant>
        <vt:i4>1900604</vt:i4>
      </vt:variant>
      <vt:variant>
        <vt:i4>374</vt:i4>
      </vt:variant>
      <vt:variant>
        <vt:i4>0</vt:i4>
      </vt:variant>
      <vt:variant>
        <vt:i4>5</vt:i4>
      </vt:variant>
      <vt:variant>
        <vt:lpwstr/>
      </vt:variant>
      <vt:variant>
        <vt:lpwstr>_Toc496868830</vt:lpwstr>
      </vt:variant>
      <vt:variant>
        <vt:i4>1835068</vt:i4>
      </vt:variant>
      <vt:variant>
        <vt:i4>368</vt:i4>
      </vt:variant>
      <vt:variant>
        <vt:i4>0</vt:i4>
      </vt:variant>
      <vt:variant>
        <vt:i4>5</vt:i4>
      </vt:variant>
      <vt:variant>
        <vt:lpwstr/>
      </vt:variant>
      <vt:variant>
        <vt:lpwstr>_Toc496868829</vt:lpwstr>
      </vt:variant>
      <vt:variant>
        <vt:i4>1835068</vt:i4>
      </vt:variant>
      <vt:variant>
        <vt:i4>362</vt:i4>
      </vt:variant>
      <vt:variant>
        <vt:i4>0</vt:i4>
      </vt:variant>
      <vt:variant>
        <vt:i4>5</vt:i4>
      </vt:variant>
      <vt:variant>
        <vt:lpwstr/>
      </vt:variant>
      <vt:variant>
        <vt:lpwstr>_Toc496868828</vt:lpwstr>
      </vt:variant>
      <vt:variant>
        <vt:i4>1835068</vt:i4>
      </vt:variant>
      <vt:variant>
        <vt:i4>356</vt:i4>
      </vt:variant>
      <vt:variant>
        <vt:i4>0</vt:i4>
      </vt:variant>
      <vt:variant>
        <vt:i4>5</vt:i4>
      </vt:variant>
      <vt:variant>
        <vt:lpwstr/>
      </vt:variant>
      <vt:variant>
        <vt:lpwstr>_Toc496868827</vt:lpwstr>
      </vt:variant>
      <vt:variant>
        <vt:i4>1835068</vt:i4>
      </vt:variant>
      <vt:variant>
        <vt:i4>350</vt:i4>
      </vt:variant>
      <vt:variant>
        <vt:i4>0</vt:i4>
      </vt:variant>
      <vt:variant>
        <vt:i4>5</vt:i4>
      </vt:variant>
      <vt:variant>
        <vt:lpwstr/>
      </vt:variant>
      <vt:variant>
        <vt:lpwstr>_Toc496868826</vt:lpwstr>
      </vt:variant>
      <vt:variant>
        <vt:i4>1835068</vt:i4>
      </vt:variant>
      <vt:variant>
        <vt:i4>344</vt:i4>
      </vt:variant>
      <vt:variant>
        <vt:i4>0</vt:i4>
      </vt:variant>
      <vt:variant>
        <vt:i4>5</vt:i4>
      </vt:variant>
      <vt:variant>
        <vt:lpwstr/>
      </vt:variant>
      <vt:variant>
        <vt:lpwstr>_Toc496868825</vt:lpwstr>
      </vt:variant>
      <vt:variant>
        <vt:i4>1835068</vt:i4>
      </vt:variant>
      <vt:variant>
        <vt:i4>338</vt:i4>
      </vt:variant>
      <vt:variant>
        <vt:i4>0</vt:i4>
      </vt:variant>
      <vt:variant>
        <vt:i4>5</vt:i4>
      </vt:variant>
      <vt:variant>
        <vt:lpwstr/>
      </vt:variant>
      <vt:variant>
        <vt:lpwstr>_Toc496868824</vt:lpwstr>
      </vt:variant>
      <vt:variant>
        <vt:i4>1835068</vt:i4>
      </vt:variant>
      <vt:variant>
        <vt:i4>332</vt:i4>
      </vt:variant>
      <vt:variant>
        <vt:i4>0</vt:i4>
      </vt:variant>
      <vt:variant>
        <vt:i4>5</vt:i4>
      </vt:variant>
      <vt:variant>
        <vt:lpwstr/>
      </vt:variant>
      <vt:variant>
        <vt:lpwstr>_Toc496868823</vt:lpwstr>
      </vt:variant>
      <vt:variant>
        <vt:i4>1835068</vt:i4>
      </vt:variant>
      <vt:variant>
        <vt:i4>326</vt:i4>
      </vt:variant>
      <vt:variant>
        <vt:i4>0</vt:i4>
      </vt:variant>
      <vt:variant>
        <vt:i4>5</vt:i4>
      </vt:variant>
      <vt:variant>
        <vt:lpwstr/>
      </vt:variant>
      <vt:variant>
        <vt:lpwstr>_Toc496868822</vt:lpwstr>
      </vt:variant>
      <vt:variant>
        <vt:i4>1835068</vt:i4>
      </vt:variant>
      <vt:variant>
        <vt:i4>320</vt:i4>
      </vt:variant>
      <vt:variant>
        <vt:i4>0</vt:i4>
      </vt:variant>
      <vt:variant>
        <vt:i4>5</vt:i4>
      </vt:variant>
      <vt:variant>
        <vt:lpwstr/>
      </vt:variant>
      <vt:variant>
        <vt:lpwstr>_Toc496868821</vt:lpwstr>
      </vt:variant>
      <vt:variant>
        <vt:i4>1835068</vt:i4>
      </vt:variant>
      <vt:variant>
        <vt:i4>314</vt:i4>
      </vt:variant>
      <vt:variant>
        <vt:i4>0</vt:i4>
      </vt:variant>
      <vt:variant>
        <vt:i4>5</vt:i4>
      </vt:variant>
      <vt:variant>
        <vt:lpwstr/>
      </vt:variant>
      <vt:variant>
        <vt:lpwstr>_Toc496868820</vt:lpwstr>
      </vt:variant>
      <vt:variant>
        <vt:i4>2031676</vt:i4>
      </vt:variant>
      <vt:variant>
        <vt:i4>308</vt:i4>
      </vt:variant>
      <vt:variant>
        <vt:i4>0</vt:i4>
      </vt:variant>
      <vt:variant>
        <vt:i4>5</vt:i4>
      </vt:variant>
      <vt:variant>
        <vt:lpwstr/>
      </vt:variant>
      <vt:variant>
        <vt:lpwstr>_Toc496868819</vt:lpwstr>
      </vt:variant>
      <vt:variant>
        <vt:i4>2031676</vt:i4>
      </vt:variant>
      <vt:variant>
        <vt:i4>302</vt:i4>
      </vt:variant>
      <vt:variant>
        <vt:i4>0</vt:i4>
      </vt:variant>
      <vt:variant>
        <vt:i4>5</vt:i4>
      </vt:variant>
      <vt:variant>
        <vt:lpwstr/>
      </vt:variant>
      <vt:variant>
        <vt:lpwstr>_Toc496868818</vt:lpwstr>
      </vt:variant>
      <vt:variant>
        <vt:i4>2031676</vt:i4>
      </vt:variant>
      <vt:variant>
        <vt:i4>296</vt:i4>
      </vt:variant>
      <vt:variant>
        <vt:i4>0</vt:i4>
      </vt:variant>
      <vt:variant>
        <vt:i4>5</vt:i4>
      </vt:variant>
      <vt:variant>
        <vt:lpwstr/>
      </vt:variant>
      <vt:variant>
        <vt:lpwstr>_Toc496868817</vt:lpwstr>
      </vt:variant>
      <vt:variant>
        <vt:i4>2031676</vt:i4>
      </vt:variant>
      <vt:variant>
        <vt:i4>290</vt:i4>
      </vt:variant>
      <vt:variant>
        <vt:i4>0</vt:i4>
      </vt:variant>
      <vt:variant>
        <vt:i4>5</vt:i4>
      </vt:variant>
      <vt:variant>
        <vt:lpwstr/>
      </vt:variant>
      <vt:variant>
        <vt:lpwstr>_Toc496868816</vt:lpwstr>
      </vt:variant>
      <vt:variant>
        <vt:i4>2031676</vt:i4>
      </vt:variant>
      <vt:variant>
        <vt:i4>284</vt:i4>
      </vt:variant>
      <vt:variant>
        <vt:i4>0</vt:i4>
      </vt:variant>
      <vt:variant>
        <vt:i4>5</vt:i4>
      </vt:variant>
      <vt:variant>
        <vt:lpwstr/>
      </vt:variant>
      <vt:variant>
        <vt:lpwstr>_Toc496868815</vt:lpwstr>
      </vt:variant>
      <vt:variant>
        <vt:i4>2031676</vt:i4>
      </vt:variant>
      <vt:variant>
        <vt:i4>278</vt:i4>
      </vt:variant>
      <vt:variant>
        <vt:i4>0</vt:i4>
      </vt:variant>
      <vt:variant>
        <vt:i4>5</vt:i4>
      </vt:variant>
      <vt:variant>
        <vt:lpwstr/>
      </vt:variant>
      <vt:variant>
        <vt:lpwstr>_Toc496868814</vt:lpwstr>
      </vt:variant>
      <vt:variant>
        <vt:i4>2031676</vt:i4>
      </vt:variant>
      <vt:variant>
        <vt:i4>272</vt:i4>
      </vt:variant>
      <vt:variant>
        <vt:i4>0</vt:i4>
      </vt:variant>
      <vt:variant>
        <vt:i4>5</vt:i4>
      </vt:variant>
      <vt:variant>
        <vt:lpwstr/>
      </vt:variant>
      <vt:variant>
        <vt:lpwstr>_Toc496868813</vt:lpwstr>
      </vt:variant>
      <vt:variant>
        <vt:i4>2031676</vt:i4>
      </vt:variant>
      <vt:variant>
        <vt:i4>266</vt:i4>
      </vt:variant>
      <vt:variant>
        <vt:i4>0</vt:i4>
      </vt:variant>
      <vt:variant>
        <vt:i4>5</vt:i4>
      </vt:variant>
      <vt:variant>
        <vt:lpwstr/>
      </vt:variant>
      <vt:variant>
        <vt:lpwstr>_Toc496868812</vt:lpwstr>
      </vt:variant>
      <vt:variant>
        <vt:i4>2031676</vt:i4>
      </vt:variant>
      <vt:variant>
        <vt:i4>260</vt:i4>
      </vt:variant>
      <vt:variant>
        <vt:i4>0</vt:i4>
      </vt:variant>
      <vt:variant>
        <vt:i4>5</vt:i4>
      </vt:variant>
      <vt:variant>
        <vt:lpwstr/>
      </vt:variant>
      <vt:variant>
        <vt:lpwstr>_Toc496868811</vt:lpwstr>
      </vt:variant>
      <vt:variant>
        <vt:i4>2031676</vt:i4>
      </vt:variant>
      <vt:variant>
        <vt:i4>254</vt:i4>
      </vt:variant>
      <vt:variant>
        <vt:i4>0</vt:i4>
      </vt:variant>
      <vt:variant>
        <vt:i4>5</vt:i4>
      </vt:variant>
      <vt:variant>
        <vt:lpwstr/>
      </vt:variant>
      <vt:variant>
        <vt:lpwstr>_Toc496868810</vt:lpwstr>
      </vt:variant>
      <vt:variant>
        <vt:i4>1966140</vt:i4>
      </vt:variant>
      <vt:variant>
        <vt:i4>248</vt:i4>
      </vt:variant>
      <vt:variant>
        <vt:i4>0</vt:i4>
      </vt:variant>
      <vt:variant>
        <vt:i4>5</vt:i4>
      </vt:variant>
      <vt:variant>
        <vt:lpwstr/>
      </vt:variant>
      <vt:variant>
        <vt:lpwstr>_Toc496868809</vt:lpwstr>
      </vt:variant>
      <vt:variant>
        <vt:i4>1966140</vt:i4>
      </vt:variant>
      <vt:variant>
        <vt:i4>242</vt:i4>
      </vt:variant>
      <vt:variant>
        <vt:i4>0</vt:i4>
      </vt:variant>
      <vt:variant>
        <vt:i4>5</vt:i4>
      </vt:variant>
      <vt:variant>
        <vt:lpwstr/>
      </vt:variant>
      <vt:variant>
        <vt:lpwstr>_Toc496868808</vt:lpwstr>
      </vt:variant>
      <vt:variant>
        <vt:i4>1966140</vt:i4>
      </vt:variant>
      <vt:variant>
        <vt:i4>236</vt:i4>
      </vt:variant>
      <vt:variant>
        <vt:i4>0</vt:i4>
      </vt:variant>
      <vt:variant>
        <vt:i4>5</vt:i4>
      </vt:variant>
      <vt:variant>
        <vt:lpwstr/>
      </vt:variant>
      <vt:variant>
        <vt:lpwstr>_Toc496868807</vt:lpwstr>
      </vt:variant>
      <vt:variant>
        <vt:i4>1966140</vt:i4>
      </vt:variant>
      <vt:variant>
        <vt:i4>230</vt:i4>
      </vt:variant>
      <vt:variant>
        <vt:i4>0</vt:i4>
      </vt:variant>
      <vt:variant>
        <vt:i4>5</vt:i4>
      </vt:variant>
      <vt:variant>
        <vt:lpwstr/>
      </vt:variant>
      <vt:variant>
        <vt:lpwstr>_Toc496868806</vt:lpwstr>
      </vt:variant>
      <vt:variant>
        <vt:i4>1966140</vt:i4>
      </vt:variant>
      <vt:variant>
        <vt:i4>224</vt:i4>
      </vt:variant>
      <vt:variant>
        <vt:i4>0</vt:i4>
      </vt:variant>
      <vt:variant>
        <vt:i4>5</vt:i4>
      </vt:variant>
      <vt:variant>
        <vt:lpwstr/>
      </vt:variant>
      <vt:variant>
        <vt:lpwstr>_Toc496868805</vt:lpwstr>
      </vt:variant>
      <vt:variant>
        <vt:i4>1966140</vt:i4>
      </vt:variant>
      <vt:variant>
        <vt:i4>218</vt:i4>
      </vt:variant>
      <vt:variant>
        <vt:i4>0</vt:i4>
      </vt:variant>
      <vt:variant>
        <vt:i4>5</vt:i4>
      </vt:variant>
      <vt:variant>
        <vt:lpwstr/>
      </vt:variant>
      <vt:variant>
        <vt:lpwstr>_Toc496868804</vt:lpwstr>
      </vt:variant>
      <vt:variant>
        <vt:i4>1966140</vt:i4>
      </vt:variant>
      <vt:variant>
        <vt:i4>212</vt:i4>
      </vt:variant>
      <vt:variant>
        <vt:i4>0</vt:i4>
      </vt:variant>
      <vt:variant>
        <vt:i4>5</vt:i4>
      </vt:variant>
      <vt:variant>
        <vt:lpwstr/>
      </vt:variant>
      <vt:variant>
        <vt:lpwstr>_Toc496868803</vt:lpwstr>
      </vt:variant>
      <vt:variant>
        <vt:i4>1966140</vt:i4>
      </vt:variant>
      <vt:variant>
        <vt:i4>206</vt:i4>
      </vt:variant>
      <vt:variant>
        <vt:i4>0</vt:i4>
      </vt:variant>
      <vt:variant>
        <vt:i4>5</vt:i4>
      </vt:variant>
      <vt:variant>
        <vt:lpwstr/>
      </vt:variant>
      <vt:variant>
        <vt:lpwstr>_Toc496868802</vt:lpwstr>
      </vt:variant>
      <vt:variant>
        <vt:i4>1966140</vt:i4>
      </vt:variant>
      <vt:variant>
        <vt:i4>200</vt:i4>
      </vt:variant>
      <vt:variant>
        <vt:i4>0</vt:i4>
      </vt:variant>
      <vt:variant>
        <vt:i4>5</vt:i4>
      </vt:variant>
      <vt:variant>
        <vt:lpwstr/>
      </vt:variant>
      <vt:variant>
        <vt:lpwstr>_Toc496868801</vt:lpwstr>
      </vt:variant>
      <vt:variant>
        <vt:i4>1966140</vt:i4>
      </vt:variant>
      <vt:variant>
        <vt:i4>194</vt:i4>
      </vt:variant>
      <vt:variant>
        <vt:i4>0</vt:i4>
      </vt:variant>
      <vt:variant>
        <vt:i4>5</vt:i4>
      </vt:variant>
      <vt:variant>
        <vt:lpwstr/>
      </vt:variant>
      <vt:variant>
        <vt:lpwstr>_Toc496868800</vt:lpwstr>
      </vt:variant>
      <vt:variant>
        <vt:i4>1507379</vt:i4>
      </vt:variant>
      <vt:variant>
        <vt:i4>188</vt:i4>
      </vt:variant>
      <vt:variant>
        <vt:i4>0</vt:i4>
      </vt:variant>
      <vt:variant>
        <vt:i4>5</vt:i4>
      </vt:variant>
      <vt:variant>
        <vt:lpwstr/>
      </vt:variant>
      <vt:variant>
        <vt:lpwstr>_Toc496868799</vt:lpwstr>
      </vt:variant>
      <vt:variant>
        <vt:i4>1507379</vt:i4>
      </vt:variant>
      <vt:variant>
        <vt:i4>182</vt:i4>
      </vt:variant>
      <vt:variant>
        <vt:i4>0</vt:i4>
      </vt:variant>
      <vt:variant>
        <vt:i4>5</vt:i4>
      </vt:variant>
      <vt:variant>
        <vt:lpwstr/>
      </vt:variant>
      <vt:variant>
        <vt:lpwstr>_Toc496868798</vt:lpwstr>
      </vt:variant>
      <vt:variant>
        <vt:i4>1507379</vt:i4>
      </vt:variant>
      <vt:variant>
        <vt:i4>176</vt:i4>
      </vt:variant>
      <vt:variant>
        <vt:i4>0</vt:i4>
      </vt:variant>
      <vt:variant>
        <vt:i4>5</vt:i4>
      </vt:variant>
      <vt:variant>
        <vt:lpwstr/>
      </vt:variant>
      <vt:variant>
        <vt:lpwstr>_Toc496868797</vt:lpwstr>
      </vt:variant>
      <vt:variant>
        <vt:i4>1507379</vt:i4>
      </vt:variant>
      <vt:variant>
        <vt:i4>170</vt:i4>
      </vt:variant>
      <vt:variant>
        <vt:i4>0</vt:i4>
      </vt:variant>
      <vt:variant>
        <vt:i4>5</vt:i4>
      </vt:variant>
      <vt:variant>
        <vt:lpwstr/>
      </vt:variant>
      <vt:variant>
        <vt:lpwstr>_Toc496868796</vt:lpwstr>
      </vt:variant>
      <vt:variant>
        <vt:i4>1507379</vt:i4>
      </vt:variant>
      <vt:variant>
        <vt:i4>164</vt:i4>
      </vt:variant>
      <vt:variant>
        <vt:i4>0</vt:i4>
      </vt:variant>
      <vt:variant>
        <vt:i4>5</vt:i4>
      </vt:variant>
      <vt:variant>
        <vt:lpwstr/>
      </vt:variant>
      <vt:variant>
        <vt:lpwstr>_Toc496868795</vt:lpwstr>
      </vt:variant>
      <vt:variant>
        <vt:i4>1507379</vt:i4>
      </vt:variant>
      <vt:variant>
        <vt:i4>158</vt:i4>
      </vt:variant>
      <vt:variant>
        <vt:i4>0</vt:i4>
      </vt:variant>
      <vt:variant>
        <vt:i4>5</vt:i4>
      </vt:variant>
      <vt:variant>
        <vt:lpwstr/>
      </vt:variant>
      <vt:variant>
        <vt:lpwstr>_Toc496868794</vt:lpwstr>
      </vt:variant>
      <vt:variant>
        <vt:i4>1507379</vt:i4>
      </vt:variant>
      <vt:variant>
        <vt:i4>152</vt:i4>
      </vt:variant>
      <vt:variant>
        <vt:i4>0</vt:i4>
      </vt:variant>
      <vt:variant>
        <vt:i4>5</vt:i4>
      </vt:variant>
      <vt:variant>
        <vt:lpwstr/>
      </vt:variant>
      <vt:variant>
        <vt:lpwstr>_Toc496868793</vt:lpwstr>
      </vt:variant>
      <vt:variant>
        <vt:i4>1507379</vt:i4>
      </vt:variant>
      <vt:variant>
        <vt:i4>146</vt:i4>
      </vt:variant>
      <vt:variant>
        <vt:i4>0</vt:i4>
      </vt:variant>
      <vt:variant>
        <vt:i4>5</vt:i4>
      </vt:variant>
      <vt:variant>
        <vt:lpwstr/>
      </vt:variant>
      <vt:variant>
        <vt:lpwstr>_Toc496868792</vt:lpwstr>
      </vt:variant>
      <vt:variant>
        <vt:i4>1507379</vt:i4>
      </vt:variant>
      <vt:variant>
        <vt:i4>140</vt:i4>
      </vt:variant>
      <vt:variant>
        <vt:i4>0</vt:i4>
      </vt:variant>
      <vt:variant>
        <vt:i4>5</vt:i4>
      </vt:variant>
      <vt:variant>
        <vt:lpwstr/>
      </vt:variant>
      <vt:variant>
        <vt:lpwstr>_Toc496868791</vt:lpwstr>
      </vt:variant>
      <vt:variant>
        <vt:i4>1507379</vt:i4>
      </vt:variant>
      <vt:variant>
        <vt:i4>134</vt:i4>
      </vt:variant>
      <vt:variant>
        <vt:i4>0</vt:i4>
      </vt:variant>
      <vt:variant>
        <vt:i4>5</vt:i4>
      </vt:variant>
      <vt:variant>
        <vt:lpwstr/>
      </vt:variant>
      <vt:variant>
        <vt:lpwstr>_Toc496868790</vt:lpwstr>
      </vt:variant>
      <vt:variant>
        <vt:i4>1441843</vt:i4>
      </vt:variant>
      <vt:variant>
        <vt:i4>128</vt:i4>
      </vt:variant>
      <vt:variant>
        <vt:i4>0</vt:i4>
      </vt:variant>
      <vt:variant>
        <vt:i4>5</vt:i4>
      </vt:variant>
      <vt:variant>
        <vt:lpwstr/>
      </vt:variant>
      <vt:variant>
        <vt:lpwstr>_Toc496868789</vt:lpwstr>
      </vt:variant>
      <vt:variant>
        <vt:i4>1441843</vt:i4>
      </vt:variant>
      <vt:variant>
        <vt:i4>122</vt:i4>
      </vt:variant>
      <vt:variant>
        <vt:i4>0</vt:i4>
      </vt:variant>
      <vt:variant>
        <vt:i4>5</vt:i4>
      </vt:variant>
      <vt:variant>
        <vt:lpwstr/>
      </vt:variant>
      <vt:variant>
        <vt:lpwstr>_Toc496868788</vt:lpwstr>
      </vt:variant>
      <vt:variant>
        <vt:i4>1441843</vt:i4>
      </vt:variant>
      <vt:variant>
        <vt:i4>116</vt:i4>
      </vt:variant>
      <vt:variant>
        <vt:i4>0</vt:i4>
      </vt:variant>
      <vt:variant>
        <vt:i4>5</vt:i4>
      </vt:variant>
      <vt:variant>
        <vt:lpwstr/>
      </vt:variant>
      <vt:variant>
        <vt:lpwstr>_Toc496868786</vt:lpwstr>
      </vt:variant>
      <vt:variant>
        <vt:i4>1441843</vt:i4>
      </vt:variant>
      <vt:variant>
        <vt:i4>110</vt:i4>
      </vt:variant>
      <vt:variant>
        <vt:i4>0</vt:i4>
      </vt:variant>
      <vt:variant>
        <vt:i4>5</vt:i4>
      </vt:variant>
      <vt:variant>
        <vt:lpwstr/>
      </vt:variant>
      <vt:variant>
        <vt:lpwstr>_Toc496868785</vt:lpwstr>
      </vt:variant>
      <vt:variant>
        <vt:i4>1441843</vt:i4>
      </vt:variant>
      <vt:variant>
        <vt:i4>104</vt:i4>
      </vt:variant>
      <vt:variant>
        <vt:i4>0</vt:i4>
      </vt:variant>
      <vt:variant>
        <vt:i4>5</vt:i4>
      </vt:variant>
      <vt:variant>
        <vt:lpwstr/>
      </vt:variant>
      <vt:variant>
        <vt:lpwstr>_Toc496868784</vt:lpwstr>
      </vt:variant>
      <vt:variant>
        <vt:i4>1441843</vt:i4>
      </vt:variant>
      <vt:variant>
        <vt:i4>98</vt:i4>
      </vt:variant>
      <vt:variant>
        <vt:i4>0</vt:i4>
      </vt:variant>
      <vt:variant>
        <vt:i4>5</vt:i4>
      </vt:variant>
      <vt:variant>
        <vt:lpwstr/>
      </vt:variant>
      <vt:variant>
        <vt:lpwstr>_Toc496868782</vt:lpwstr>
      </vt:variant>
      <vt:variant>
        <vt:i4>1441843</vt:i4>
      </vt:variant>
      <vt:variant>
        <vt:i4>92</vt:i4>
      </vt:variant>
      <vt:variant>
        <vt:i4>0</vt:i4>
      </vt:variant>
      <vt:variant>
        <vt:i4>5</vt:i4>
      </vt:variant>
      <vt:variant>
        <vt:lpwstr/>
      </vt:variant>
      <vt:variant>
        <vt:lpwstr>_Toc496868781</vt:lpwstr>
      </vt:variant>
      <vt:variant>
        <vt:i4>1441843</vt:i4>
      </vt:variant>
      <vt:variant>
        <vt:i4>86</vt:i4>
      </vt:variant>
      <vt:variant>
        <vt:i4>0</vt:i4>
      </vt:variant>
      <vt:variant>
        <vt:i4>5</vt:i4>
      </vt:variant>
      <vt:variant>
        <vt:lpwstr/>
      </vt:variant>
      <vt:variant>
        <vt:lpwstr>_Toc496868780</vt:lpwstr>
      </vt:variant>
      <vt:variant>
        <vt:i4>1638451</vt:i4>
      </vt:variant>
      <vt:variant>
        <vt:i4>80</vt:i4>
      </vt:variant>
      <vt:variant>
        <vt:i4>0</vt:i4>
      </vt:variant>
      <vt:variant>
        <vt:i4>5</vt:i4>
      </vt:variant>
      <vt:variant>
        <vt:lpwstr/>
      </vt:variant>
      <vt:variant>
        <vt:lpwstr>_Toc496868779</vt:lpwstr>
      </vt:variant>
      <vt:variant>
        <vt:i4>1638451</vt:i4>
      </vt:variant>
      <vt:variant>
        <vt:i4>74</vt:i4>
      </vt:variant>
      <vt:variant>
        <vt:i4>0</vt:i4>
      </vt:variant>
      <vt:variant>
        <vt:i4>5</vt:i4>
      </vt:variant>
      <vt:variant>
        <vt:lpwstr/>
      </vt:variant>
      <vt:variant>
        <vt:lpwstr>_Toc496868778</vt:lpwstr>
      </vt:variant>
      <vt:variant>
        <vt:i4>1638451</vt:i4>
      </vt:variant>
      <vt:variant>
        <vt:i4>68</vt:i4>
      </vt:variant>
      <vt:variant>
        <vt:i4>0</vt:i4>
      </vt:variant>
      <vt:variant>
        <vt:i4>5</vt:i4>
      </vt:variant>
      <vt:variant>
        <vt:lpwstr/>
      </vt:variant>
      <vt:variant>
        <vt:lpwstr>_Toc496868777</vt:lpwstr>
      </vt:variant>
      <vt:variant>
        <vt:i4>1638451</vt:i4>
      </vt:variant>
      <vt:variant>
        <vt:i4>62</vt:i4>
      </vt:variant>
      <vt:variant>
        <vt:i4>0</vt:i4>
      </vt:variant>
      <vt:variant>
        <vt:i4>5</vt:i4>
      </vt:variant>
      <vt:variant>
        <vt:lpwstr/>
      </vt:variant>
      <vt:variant>
        <vt:lpwstr>_Toc496868776</vt:lpwstr>
      </vt:variant>
      <vt:variant>
        <vt:i4>1638451</vt:i4>
      </vt:variant>
      <vt:variant>
        <vt:i4>56</vt:i4>
      </vt:variant>
      <vt:variant>
        <vt:i4>0</vt:i4>
      </vt:variant>
      <vt:variant>
        <vt:i4>5</vt:i4>
      </vt:variant>
      <vt:variant>
        <vt:lpwstr/>
      </vt:variant>
      <vt:variant>
        <vt:lpwstr>_Toc496868775</vt:lpwstr>
      </vt:variant>
      <vt:variant>
        <vt:i4>1638451</vt:i4>
      </vt:variant>
      <vt:variant>
        <vt:i4>50</vt:i4>
      </vt:variant>
      <vt:variant>
        <vt:i4>0</vt:i4>
      </vt:variant>
      <vt:variant>
        <vt:i4>5</vt:i4>
      </vt:variant>
      <vt:variant>
        <vt:lpwstr/>
      </vt:variant>
      <vt:variant>
        <vt:lpwstr>_Toc496868774</vt:lpwstr>
      </vt:variant>
      <vt:variant>
        <vt:i4>1638451</vt:i4>
      </vt:variant>
      <vt:variant>
        <vt:i4>44</vt:i4>
      </vt:variant>
      <vt:variant>
        <vt:i4>0</vt:i4>
      </vt:variant>
      <vt:variant>
        <vt:i4>5</vt:i4>
      </vt:variant>
      <vt:variant>
        <vt:lpwstr/>
      </vt:variant>
      <vt:variant>
        <vt:lpwstr>_Toc496868773</vt:lpwstr>
      </vt:variant>
      <vt:variant>
        <vt:i4>1638451</vt:i4>
      </vt:variant>
      <vt:variant>
        <vt:i4>38</vt:i4>
      </vt:variant>
      <vt:variant>
        <vt:i4>0</vt:i4>
      </vt:variant>
      <vt:variant>
        <vt:i4>5</vt:i4>
      </vt:variant>
      <vt:variant>
        <vt:lpwstr/>
      </vt:variant>
      <vt:variant>
        <vt:lpwstr>_Toc496868772</vt:lpwstr>
      </vt:variant>
      <vt:variant>
        <vt:i4>1638451</vt:i4>
      </vt:variant>
      <vt:variant>
        <vt:i4>32</vt:i4>
      </vt:variant>
      <vt:variant>
        <vt:i4>0</vt:i4>
      </vt:variant>
      <vt:variant>
        <vt:i4>5</vt:i4>
      </vt:variant>
      <vt:variant>
        <vt:lpwstr/>
      </vt:variant>
      <vt:variant>
        <vt:lpwstr>_Toc496868771</vt:lpwstr>
      </vt:variant>
      <vt:variant>
        <vt:i4>1638451</vt:i4>
      </vt:variant>
      <vt:variant>
        <vt:i4>26</vt:i4>
      </vt:variant>
      <vt:variant>
        <vt:i4>0</vt:i4>
      </vt:variant>
      <vt:variant>
        <vt:i4>5</vt:i4>
      </vt:variant>
      <vt:variant>
        <vt:lpwstr/>
      </vt:variant>
      <vt:variant>
        <vt:lpwstr>_Toc496868770</vt:lpwstr>
      </vt:variant>
      <vt:variant>
        <vt:i4>1572915</vt:i4>
      </vt:variant>
      <vt:variant>
        <vt:i4>20</vt:i4>
      </vt:variant>
      <vt:variant>
        <vt:i4>0</vt:i4>
      </vt:variant>
      <vt:variant>
        <vt:i4>5</vt:i4>
      </vt:variant>
      <vt:variant>
        <vt:lpwstr/>
      </vt:variant>
      <vt:variant>
        <vt:lpwstr>_Toc496868769</vt:lpwstr>
      </vt:variant>
      <vt:variant>
        <vt:i4>1572915</vt:i4>
      </vt:variant>
      <vt:variant>
        <vt:i4>14</vt:i4>
      </vt:variant>
      <vt:variant>
        <vt:i4>0</vt:i4>
      </vt:variant>
      <vt:variant>
        <vt:i4>5</vt:i4>
      </vt:variant>
      <vt:variant>
        <vt:lpwstr/>
      </vt:variant>
      <vt:variant>
        <vt:lpwstr>_Toc496868768</vt:lpwstr>
      </vt:variant>
      <vt:variant>
        <vt:i4>1572915</vt:i4>
      </vt:variant>
      <vt:variant>
        <vt:i4>8</vt:i4>
      </vt:variant>
      <vt:variant>
        <vt:i4>0</vt:i4>
      </vt:variant>
      <vt:variant>
        <vt:i4>5</vt:i4>
      </vt:variant>
      <vt:variant>
        <vt:lpwstr/>
      </vt:variant>
      <vt:variant>
        <vt:lpwstr>_Toc496868767</vt:lpwstr>
      </vt:variant>
      <vt:variant>
        <vt:i4>1572915</vt:i4>
      </vt:variant>
      <vt:variant>
        <vt:i4>2</vt:i4>
      </vt:variant>
      <vt:variant>
        <vt:i4>0</vt:i4>
      </vt:variant>
      <vt:variant>
        <vt:i4>5</vt:i4>
      </vt:variant>
      <vt:variant>
        <vt:lpwstr/>
      </vt:variant>
      <vt:variant>
        <vt:lpwstr>_Toc496868766</vt:lpwstr>
      </vt:variant>
      <vt:variant>
        <vt:i4>7012411</vt:i4>
      </vt:variant>
      <vt:variant>
        <vt:i4>9</vt:i4>
      </vt:variant>
      <vt:variant>
        <vt:i4>0</vt:i4>
      </vt:variant>
      <vt:variant>
        <vt:i4>5</vt:i4>
      </vt:variant>
      <vt:variant>
        <vt:lpwstr>http://www.hidmet.gov.rs/data/klimatologija/latin/2020.pdf</vt:lpwstr>
      </vt:variant>
      <vt:variant>
        <vt:lpwstr/>
      </vt:variant>
      <vt:variant>
        <vt:i4>6553604</vt:i4>
      </vt:variant>
      <vt:variant>
        <vt:i4>6</vt:i4>
      </vt:variant>
      <vt:variant>
        <vt:i4>0</vt:i4>
      </vt:variant>
      <vt:variant>
        <vt:i4>5</vt:i4>
      </vt:variant>
      <vt:variant>
        <vt:lpwstr>http://surfobs.climate.copernicus.eu/dataaccess/access_eobs.php</vt:lpwstr>
      </vt:variant>
      <vt:variant>
        <vt:lpwstr/>
      </vt:variant>
      <vt:variant>
        <vt:i4>70</vt:i4>
      </vt:variant>
      <vt:variant>
        <vt:i4>3</vt:i4>
      </vt:variant>
      <vt:variant>
        <vt:i4>0</vt:i4>
      </vt:variant>
      <vt:variant>
        <vt:i4>5</vt:i4>
      </vt:variant>
      <vt:variant>
        <vt:lpwstr>https://en.wikipedia.org/wiki/Roads_in_Serbia</vt:lpwstr>
      </vt:variant>
      <vt:variant>
        <vt:lpwstr>:~:text=The%20total%20length%20of%20roads,construction%20company%20JP%20Putevi%20Srbije</vt:lpwstr>
      </vt:variant>
      <vt:variant>
        <vt:i4>70</vt:i4>
      </vt:variant>
      <vt:variant>
        <vt:i4>0</vt:i4>
      </vt:variant>
      <vt:variant>
        <vt:i4>0</vt:i4>
      </vt:variant>
      <vt:variant>
        <vt:i4>5</vt:i4>
      </vt:variant>
      <vt:variant>
        <vt:lpwstr>https://en.wikipedia.org/wiki/Roads_in_Serbia</vt:lpwstr>
      </vt:variant>
      <vt:variant>
        <vt:lpwstr>:~:text=The%20total%20length%20of%20roads,construction%20company%20JP%20Putevi%20Srbije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Etienne EM. MATHIAS</dc:creator>
  <cp:keywords/>
  <dc:description/>
  <cp:lastModifiedBy>Ivana Dukić</cp:lastModifiedBy>
  <cp:revision>3</cp:revision>
  <cp:lastPrinted>2017-03-14T12:49:00Z</cp:lastPrinted>
  <dcterms:created xsi:type="dcterms:W3CDTF">2024-12-25T07:54:00Z</dcterms:created>
  <dcterms:modified xsi:type="dcterms:W3CDTF">2024-12-27T07:51:00Z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0x010100442AFF67DDDF9446B9922A85DB901AA0</vt:lpwstr>
  </property>
  <property fmtid="{D5CDD505-2E9C-101B-9397-08002B2CF9AE}" pid="3" name="MediaServiceImageTags">
    <vt:lpwstr/>
  </property>
</Properties>
</file>