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8727" w14:textId="77777777" w:rsidR="005E1D5D" w:rsidRPr="00972085" w:rsidRDefault="005E1D5D" w:rsidP="005E1D5D">
      <w:pPr>
        <w:pStyle w:val="Header"/>
        <w:rPr>
          <w:sz w:val="2"/>
          <w:szCs w:val="2"/>
          <w:lang w:val="en-US"/>
        </w:rPr>
      </w:pPr>
    </w:p>
    <w:p w14:paraId="53EDB5AA" w14:textId="77777777" w:rsidR="005E1D5D" w:rsidRPr="00972085" w:rsidRDefault="005E1D5D" w:rsidP="005E1D5D">
      <w:pPr>
        <w:pStyle w:val="Header"/>
        <w:spacing w:line="14" w:lineRule="exact"/>
        <w:rPr>
          <w:sz w:val="4"/>
          <w:szCs w:val="4"/>
          <w:lang w:val="en-US"/>
        </w:rPr>
      </w:pPr>
    </w:p>
    <w:tbl>
      <w:tblPr>
        <w:tblW w:w="15877" w:type="dxa"/>
        <w:tblInd w:w="-370" w:type="dxa"/>
        <w:shd w:val="clear" w:color="auto" w:fill="E0E0E0"/>
        <w:tblLayout w:type="fixed"/>
        <w:tblCellMar>
          <w:left w:w="56" w:type="dxa"/>
          <w:right w:w="56" w:type="dxa"/>
        </w:tblCellMar>
        <w:tblLook w:val="0000" w:firstRow="0" w:lastRow="0" w:firstColumn="0" w:lastColumn="0" w:noHBand="0" w:noVBand="0"/>
      </w:tblPr>
      <w:tblGrid>
        <w:gridCol w:w="4821"/>
        <w:gridCol w:w="11056"/>
      </w:tblGrid>
      <w:tr w:rsidR="005C5581" w:rsidRPr="005C5581" w14:paraId="7D5C793B" w14:textId="77777777" w:rsidTr="00DB0167">
        <w:trPr>
          <w:cantSplit/>
          <w:trHeight w:val="953"/>
        </w:trPr>
        <w:tc>
          <w:tcPr>
            <w:tcW w:w="15877" w:type="dxa"/>
            <w:gridSpan w:val="2"/>
            <w:tcBorders>
              <w:top w:val="single" w:sz="4" w:space="0" w:color="auto"/>
              <w:left w:val="single" w:sz="4" w:space="0" w:color="auto"/>
              <w:bottom w:val="single" w:sz="4" w:space="0" w:color="auto"/>
              <w:right w:val="single" w:sz="4" w:space="0" w:color="auto"/>
            </w:tcBorders>
            <w:vAlign w:val="center"/>
          </w:tcPr>
          <w:p w14:paraId="57980E8D" w14:textId="6D683AA7" w:rsidR="005C5581" w:rsidRPr="005C5581" w:rsidRDefault="000372B5" w:rsidP="005C5581">
            <w:pPr>
              <w:ind w:left="86"/>
              <w:jc w:val="left"/>
              <w:rPr>
                <w:rFonts w:ascii="Times New Roman" w:hAnsi="Times New Roman" w:cs="Times New Roman"/>
                <w:b/>
                <w:sz w:val="24"/>
                <w:szCs w:val="20"/>
              </w:rPr>
            </w:pPr>
            <w:r>
              <w:rPr>
                <w:rFonts w:ascii="Times New Roman" w:hAnsi="Times New Roman" w:cs="Times New Roman"/>
                <w:noProof/>
                <w:sz w:val="24"/>
                <w:szCs w:val="20"/>
              </w:rPr>
              <w:drawing>
                <wp:anchor distT="0" distB="0" distL="114300" distR="114300" simplePos="0" relativeHeight="251658240" behindDoc="0" locked="0" layoutInCell="1" allowOverlap="0" wp14:anchorId="0D4047F2" wp14:editId="7CA552D9">
                  <wp:simplePos x="0" y="0"/>
                  <wp:positionH relativeFrom="column">
                    <wp:posOffset>223520</wp:posOffset>
                  </wp:positionH>
                  <wp:positionV relativeFrom="paragraph">
                    <wp:posOffset>62865</wp:posOffset>
                  </wp:positionV>
                  <wp:extent cx="571500" cy="457200"/>
                  <wp:effectExtent l="0" t="0" r="0" b="0"/>
                  <wp:wrapNone/>
                  <wp:docPr id="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0"/>
              </w:rPr>
              <mc:AlternateContent>
                <mc:Choice Requires="wps">
                  <w:drawing>
                    <wp:anchor distT="0" distB="0" distL="114300" distR="114300" simplePos="0" relativeHeight="251657216" behindDoc="0" locked="0" layoutInCell="0" allowOverlap="1" wp14:anchorId="7614CFE0" wp14:editId="04252F7A">
                      <wp:simplePos x="0" y="0"/>
                      <wp:positionH relativeFrom="column">
                        <wp:posOffset>3321050</wp:posOffset>
                      </wp:positionH>
                      <wp:positionV relativeFrom="paragraph">
                        <wp:posOffset>92075</wp:posOffset>
                      </wp:positionV>
                      <wp:extent cx="4678680" cy="478155"/>
                      <wp:effectExtent l="3175" t="0" r="444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614CFE0" id="_x0000_t202" coordsize="21600,21600" o:spt="202" path="m,l,21600r21600,l21600,xe">
                      <v:stroke joinstyle="miter"/>
                      <v:path gradientshapeok="t" o:connecttype="rect"/>
                    </v:shapetype>
                    <v:shape id="Text Box 4" o:spid="_x0000_s1026" type="#_x0000_t202" style="position:absolute;left:0;text-align:left;margin-left:261.5pt;margin-top:7.25pt;width:368.4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" o:allowincell="f" filled="f" stroked="f">
                      <v:textbo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v:textbox>
                    </v:shape>
                  </w:pict>
                </mc:Fallback>
              </mc:AlternateContent>
            </w:r>
          </w:p>
          <w:p w14:paraId="7F731794" w14:textId="77777777" w:rsidR="005C5581" w:rsidRPr="005C5581" w:rsidRDefault="005C5581" w:rsidP="005C5581">
            <w:pPr>
              <w:ind w:left="86"/>
              <w:jc w:val="left"/>
              <w:rPr>
                <w:rFonts w:ascii="Times New Roman" w:hAnsi="Times New Roman" w:cs="Times New Roman"/>
                <w:b/>
                <w:sz w:val="24"/>
                <w:szCs w:val="20"/>
              </w:rPr>
            </w:pPr>
          </w:p>
        </w:tc>
      </w:tr>
      <w:tr w:rsidR="005C5581" w:rsidRPr="002B2858" w14:paraId="39FF624E"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09DF7C6" w14:textId="603418B1" w:rsidR="005C5581" w:rsidRPr="005C5581" w:rsidRDefault="005C5581" w:rsidP="005C5581">
            <w:pPr>
              <w:spacing w:before="120" w:after="120"/>
              <w:jc w:val="left"/>
              <w:rPr>
                <w:rFonts w:cs="Times New Roman"/>
                <w:i/>
                <w:iCs/>
                <w:szCs w:val="20"/>
              </w:rPr>
            </w:pPr>
            <w:r w:rsidRPr="005C5581">
              <w:rPr>
                <w:rFonts w:cs="Times New Roman"/>
                <w:bCs/>
                <w:i/>
                <w:iCs/>
                <w:szCs w:val="20"/>
              </w:rPr>
              <w:t>Name of submitter</w:t>
            </w:r>
          </w:p>
        </w:tc>
        <w:tc>
          <w:tcPr>
            <w:tcW w:w="11056" w:type="dxa"/>
            <w:tcBorders>
              <w:top w:val="single" w:sz="4" w:space="0" w:color="auto"/>
              <w:left w:val="single" w:sz="4" w:space="0" w:color="auto"/>
              <w:bottom w:val="single" w:sz="4" w:space="0" w:color="auto"/>
              <w:right w:val="single" w:sz="4" w:space="0" w:color="auto"/>
            </w:tcBorders>
          </w:tcPr>
          <w:p w14:paraId="173727D2" w14:textId="08D351CD" w:rsidR="005C5581" w:rsidRPr="002B2858" w:rsidRDefault="002B2858" w:rsidP="005C5581">
            <w:pPr>
              <w:spacing w:before="120"/>
              <w:ind w:left="227"/>
              <w:jc w:val="left"/>
              <w:rPr>
                <w:rFonts w:ascii="Times New Roman" w:hAnsi="Times New Roman" w:cs="Times New Roman"/>
                <w:bCs/>
                <w:color w:val="0000FF"/>
                <w:szCs w:val="20"/>
                <w:lang w:val="en-US"/>
              </w:rPr>
            </w:pPr>
            <w:proofErr w:type="spellStart"/>
            <w:r w:rsidRPr="002B2858">
              <w:rPr>
                <w:rFonts w:ascii="Times New Roman" w:hAnsi="Times New Roman" w:cs="Times New Roman"/>
                <w:bCs/>
                <w:color w:val="0000FF"/>
                <w:szCs w:val="20"/>
                <w:lang w:val="en-US"/>
              </w:rPr>
              <w:t>Berioska</w:t>
            </w:r>
            <w:proofErr w:type="spellEnd"/>
            <w:r w:rsidRPr="002B2858">
              <w:rPr>
                <w:rFonts w:ascii="Times New Roman" w:hAnsi="Times New Roman" w:cs="Times New Roman"/>
                <w:bCs/>
                <w:color w:val="0000FF"/>
                <w:szCs w:val="20"/>
                <w:lang w:val="en-US"/>
              </w:rPr>
              <w:t xml:space="preserve"> </w:t>
            </w:r>
            <w:proofErr w:type="spellStart"/>
            <w:r w:rsidRPr="002B2858">
              <w:rPr>
                <w:rFonts w:ascii="Times New Roman" w:hAnsi="Times New Roman" w:cs="Times New Roman"/>
                <w:bCs/>
                <w:color w:val="0000FF"/>
                <w:szCs w:val="20"/>
                <w:lang w:val="en-US"/>
              </w:rPr>
              <w:t>Quispe</w:t>
            </w:r>
            <w:proofErr w:type="spellEnd"/>
            <w:r w:rsidRPr="002B2858">
              <w:rPr>
                <w:rFonts w:ascii="Times New Roman" w:hAnsi="Times New Roman" w:cs="Times New Roman"/>
                <w:bCs/>
                <w:color w:val="0000FF"/>
                <w:szCs w:val="20"/>
                <w:lang w:val="en-US"/>
              </w:rPr>
              <w:t xml:space="preserve"> Estrada</w:t>
            </w:r>
            <w:r w:rsidR="004C0471">
              <w:rPr>
                <w:rFonts w:ascii="Times New Roman" w:hAnsi="Times New Roman" w:cs="Times New Roman"/>
                <w:bCs/>
                <w:color w:val="0000FF"/>
                <w:szCs w:val="20"/>
                <w:lang w:val="en-US"/>
              </w:rPr>
              <w:t>,</w:t>
            </w:r>
            <w:r w:rsidRPr="002B2858">
              <w:rPr>
                <w:rFonts w:ascii="Times New Roman" w:hAnsi="Times New Roman" w:cs="Times New Roman"/>
                <w:bCs/>
                <w:color w:val="0000FF"/>
                <w:szCs w:val="20"/>
                <w:lang w:val="en-US"/>
              </w:rPr>
              <w:t xml:space="preserve"> General Director of Climate Change and Deser</w:t>
            </w:r>
            <w:r>
              <w:rPr>
                <w:rFonts w:ascii="Times New Roman" w:hAnsi="Times New Roman" w:cs="Times New Roman"/>
                <w:bCs/>
                <w:color w:val="0000FF"/>
                <w:szCs w:val="20"/>
                <w:lang w:val="en-US"/>
              </w:rPr>
              <w:t>tification</w:t>
            </w:r>
            <w:r w:rsidR="004C0471">
              <w:rPr>
                <w:rFonts w:ascii="Times New Roman" w:hAnsi="Times New Roman" w:cs="Times New Roman"/>
                <w:bCs/>
                <w:color w:val="0000FF"/>
                <w:szCs w:val="20"/>
                <w:lang w:val="en-US"/>
              </w:rPr>
              <w:t xml:space="preserve">, </w:t>
            </w:r>
            <w:r w:rsidR="004C0471" w:rsidRPr="004C0471">
              <w:rPr>
                <w:rFonts w:ascii="Times New Roman" w:hAnsi="Times New Roman" w:cs="Times New Roman"/>
                <w:bCs/>
                <w:color w:val="0000FF"/>
                <w:szCs w:val="20"/>
                <w:lang w:val="en-US"/>
              </w:rPr>
              <w:t>(Peru’s DNA for Art. 6.4)</w:t>
            </w:r>
          </w:p>
        </w:tc>
      </w:tr>
      <w:tr w:rsidR="005C5581" w:rsidRPr="005C3777" w14:paraId="23674CA8"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56B1AF6" w14:textId="2460AE50" w:rsidR="005C5581" w:rsidRPr="005C5581" w:rsidRDefault="005C5581" w:rsidP="005C5581">
            <w:pPr>
              <w:spacing w:before="120" w:after="120"/>
              <w:jc w:val="left"/>
              <w:rPr>
                <w:rFonts w:cs="Times New Roman"/>
                <w:i/>
                <w:iCs/>
                <w:szCs w:val="20"/>
              </w:rPr>
            </w:pPr>
            <w:r w:rsidRPr="005C5581">
              <w:rPr>
                <w:rFonts w:cs="Times New Roman"/>
                <w:i/>
                <w:iCs/>
                <w:szCs w:val="20"/>
              </w:rPr>
              <w:t>Affiliated organization of submitter (if any)</w:t>
            </w:r>
          </w:p>
        </w:tc>
        <w:tc>
          <w:tcPr>
            <w:tcW w:w="11056" w:type="dxa"/>
            <w:tcBorders>
              <w:top w:val="single" w:sz="4" w:space="0" w:color="auto"/>
              <w:left w:val="single" w:sz="4" w:space="0" w:color="auto"/>
              <w:bottom w:val="single" w:sz="4" w:space="0" w:color="auto"/>
              <w:right w:val="single" w:sz="4" w:space="0" w:color="auto"/>
            </w:tcBorders>
          </w:tcPr>
          <w:p w14:paraId="48F613ED" w14:textId="68A4A55D" w:rsidR="005C5581" w:rsidRPr="00472DBC" w:rsidRDefault="002B2858" w:rsidP="005C5581">
            <w:pPr>
              <w:spacing w:before="120"/>
              <w:ind w:left="227"/>
              <w:jc w:val="left"/>
              <w:rPr>
                <w:rFonts w:ascii="Times New Roman" w:hAnsi="Times New Roman" w:cs="Times New Roman"/>
                <w:bCs/>
                <w:color w:val="0000FF"/>
                <w:szCs w:val="20"/>
                <w:lang w:val="en-US"/>
              </w:rPr>
            </w:pPr>
            <w:r>
              <w:rPr>
                <w:rFonts w:ascii="Times New Roman" w:hAnsi="Times New Roman" w:cs="Times New Roman"/>
                <w:bCs/>
                <w:color w:val="0000FF"/>
                <w:szCs w:val="20"/>
                <w:lang w:val="en-US"/>
              </w:rPr>
              <w:t>Ministry of Environment of Peru</w:t>
            </w:r>
          </w:p>
        </w:tc>
      </w:tr>
      <w:tr w:rsidR="005C5581" w:rsidRPr="005C5581" w14:paraId="1A91592D"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4CF48F8A" w14:textId="18007943" w:rsidR="005C5581" w:rsidRPr="005C5581" w:rsidRDefault="005C5581" w:rsidP="005C5581">
            <w:pPr>
              <w:spacing w:before="120" w:after="120"/>
              <w:jc w:val="left"/>
              <w:rPr>
                <w:rFonts w:cs="Times New Roman"/>
                <w:i/>
                <w:iCs/>
                <w:szCs w:val="20"/>
              </w:rPr>
            </w:pPr>
            <w:r w:rsidRPr="00472DBC">
              <w:rPr>
                <w:rFonts w:cs="Times New Roman"/>
                <w:i/>
                <w:iCs/>
                <w:szCs w:val="20"/>
                <w:lang w:val="en-US"/>
              </w:rPr>
              <w:t xml:space="preserve"> </w:t>
            </w:r>
            <w:r w:rsidRPr="005C5581">
              <w:rPr>
                <w:rFonts w:cs="Times New Roman"/>
                <w:i/>
                <w:iCs/>
                <w:szCs w:val="20"/>
              </w:rPr>
              <w:t>Email of submitter</w:t>
            </w:r>
          </w:p>
        </w:tc>
        <w:tc>
          <w:tcPr>
            <w:tcW w:w="11056" w:type="dxa"/>
            <w:tcBorders>
              <w:top w:val="single" w:sz="4" w:space="0" w:color="auto"/>
              <w:left w:val="single" w:sz="4" w:space="0" w:color="auto"/>
              <w:bottom w:val="single" w:sz="4" w:space="0" w:color="auto"/>
              <w:right w:val="single" w:sz="4" w:space="0" w:color="auto"/>
            </w:tcBorders>
          </w:tcPr>
          <w:p w14:paraId="5D33780C" w14:textId="425280E1" w:rsidR="005C5581" w:rsidRPr="005C5581" w:rsidRDefault="002B2858" w:rsidP="002B2858">
            <w:pPr>
              <w:spacing w:before="120"/>
              <w:ind w:left="227"/>
              <w:jc w:val="left"/>
              <w:rPr>
                <w:rFonts w:ascii="Times New Roman" w:hAnsi="Times New Roman" w:cs="Times New Roman"/>
                <w:bCs/>
                <w:color w:val="0000FF"/>
                <w:szCs w:val="20"/>
              </w:rPr>
            </w:pPr>
            <w:r w:rsidRPr="004C0471">
              <w:rPr>
                <w:rFonts w:ascii="Times New Roman" w:hAnsi="Times New Roman" w:cs="Times New Roman"/>
                <w:bCs/>
                <w:color w:val="0000FF"/>
                <w:szCs w:val="20"/>
              </w:rPr>
              <w:t>bquispe@minam.gob.pe</w:t>
            </w:r>
            <w:r w:rsidRPr="002B2858">
              <w:rPr>
                <w:rFonts w:ascii="Times New Roman" w:hAnsi="Times New Roman" w:cs="Times New Roman"/>
                <w:bCs/>
                <w:color w:val="0000FF"/>
                <w:szCs w:val="20"/>
              </w:rPr>
              <w:t>;</w:t>
            </w:r>
            <w:r>
              <w:rPr>
                <w:rFonts w:ascii="Times New Roman" w:hAnsi="Times New Roman" w:cs="Times New Roman"/>
                <w:bCs/>
                <w:color w:val="0000FF"/>
                <w:szCs w:val="20"/>
              </w:rPr>
              <w:t xml:space="preserve"> </w:t>
            </w:r>
            <w:r w:rsidRPr="004C0471">
              <w:rPr>
                <w:rFonts w:ascii="Times New Roman" w:hAnsi="Times New Roman" w:cs="Times New Roman"/>
                <w:bCs/>
                <w:color w:val="0000FF"/>
                <w:szCs w:val="20"/>
              </w:rPr>
              <w:t>kmondonedo@minam.gob.pe</w:t>
            </w:r>
            <w:r>
              <w:rPr>
                <w:rFonts w:ascii="Times New Roman" w:hAnsi="Times New Roman" w:cs="Times New Roman"/>
                <w:bCs/>
                <w:color w:val="0000FF"/>
                <w:szCs w:val="20"/>
              </w:rPr>
              <w:t xml:space="preserve">; </w:t>
            </w:r>
            <w:r w:rsidR="004C0471" w:rsidRPr="004C0471">
              <w:rPr>
                <w:rFonts w:ascii="Times New Roman" w:hAnsi="Times New Roman" w:cs="Times New Roman"/>
                <w:bCs/>
                <w:color w:val="0000FF"/>
                <w:szCs w:val="20"/>
              </w:rPr>
              <w:t>jmora@minam.gob.pe</w:t>
            </w:r>
            <w:r w:rsidR="004C0471">
              <w:rPr>
                <w:rFonts w:ascii="Times New Roman" w:hAnsi="Times New Roman" w:cs="Times New Roman"/>
                <w:bCs/>
                <w:color w:val="0000FF"/>
                <w:szCs w:val="20"/>
              </w:rPr>
              <w:t xml:space="preserve">; </w:t>
            </w:r>
            <w:r w:rsidR="004C0471" w:rsidRPr="004C0471">
              <w:rPr>
                <w:rFonts w:ascii="Times New Roman" w:hAnsi="Times New Roman" w:cs="Times New Roman"/>
                <w:bCs/>
                <w:color w:val="0000FF"/>
                <w:szCs w:val="20"/>
              </w:rPr>
              <w:t>rcampos@minam.gob.pe</w:t>
            </w:r>
            <w:r w:rsidR="004C0471">
              <w:rPr>
                <w:rFonts w:ascii="Times New Roman" w:hAnsi="Times New Roman" w:cs="Times New Roman"/>
                <w:bCs/>
                <w:color w:val="0000FF"/>
                <w:szCs w:val="20"/>
              </w:rPr>
              <w:t xml:space="preserve">; </w:t>
            </w:r>
            <w:r w:rsidR="004C0471" w:rsidRPr="004C0471">
              <w:rPr>
                <w:rFonts w:ascii="Times New Roman" w:hAnsi="Times New Roman" w:cs="Times New Roman"/>
                <w:bCs/>
                <w:color w:val="0000FF"/>
                <w:szCs w:val="20"/>
              </w:rPr>
              <w:t>dgccd6_proy@minam.gob.pe</w:t>
            </w:r>
          </w:p>
        </w:tc>
      </w:tr>
      <w:tr w:rsidR="005C5581" w:rsidRPr="005C5581" w14:paraId="5038C2D4" w14:textId="77777777" w:rsidTr="00DB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4821" w:type="dxa"/>
            <w:tcBorders>
              <w:top w:val="single" w:sz="4" w:space="0" w:color="auto"/>
              <w:left w:val="single" w:sz="4" w:space="0" w:color="auto"/>
              <w:bottom w:val="single" w:sz="4" w:space="0" w:color="auto"/>
              <w:right w:val="single" w:sz="4" w:space="0" w:color="auto"/>
            </w:tcBorders>
            <w:shd w:val="clear" w:color="auto" w:fill="E0E0E0"/>
          </w:tcPr>
          <w:p w14:paraId="3AFD782C" w14:textId="4BBFD656" w:rsidR="005C5581" w:rsidRPr="005C5581" w:rsidRDefault="005C5581" w:rsidP="005C5581">
            <w:pPr>
              <w:spacing w:before="120" w:after="120"/>
              <w:jc w:val="left"/>
              <w:rPr>
                <w:rFonts w:cs="Times New Roman"/>
                <w:bCs/>
                <w:i/>
                <w:iCs/>
                <w:sz w:val="20"/>
                <w:szCs w:val="20"/>
              </w:rPr>
            </w:pPr>
            <w:r w:rsidRPr="005C5581">
              <w:rPr>
                <w:rFonts w:cs="Times New Roman"/>
                <w:bCs/>
                <w:i/>
                <w:iCs/>
              </w:rPr>
              <w:t xml:space="preserve">Date </w:t>
            </w:r>
            <w:r>
              <w:rPr>
                <w:rFonts w:cs="Times New Roman"/>
                <w:bCs/>
                <w:i/>
                <w:iCs/>
              </w:rPr>
              <w:t>of submission</w:t>
            </w:r>
          </w:p>
        </w:tc>
        <w:tc>
          <w:tcPr>
            <w:tcW w:w="11056" w:type="dxa"/>
            <w:tcBorders>
              <w:top w:val="single" w:sz="4" w:space="0" w:color="auto"/>
              <w:left w:val="single" w:sz="4" w:space="0" w:color="auto"/>
              <w:bottom w:val="single" w:sz="4" w:space="0" w:color="auto"/>
              <w:right w:val="single" w:sz="4" w:space="0" w:color="auto"/>
            </w:tcBorders>
          </w:tcPr>
          <w:p w14:paraId="28F8148A" w14:textId="20967943" w:rsidR="005C5581" w:rsidRPr="005C5581" w:rsidRDefault="00E22331" w:rsidP="005C5581">
            <w:pPr>
              <w:spacing w:before="60"/>
              <w:jc w:val="left"/>
              <w:rPr>
                <w:rFonts w:cs="Times New Roman"/>
                <w:bCs/>
                <w:sz w:val="20"/>
                <w:szCs w:val="20"/>
              </w:rPr>
            </w:pPr>
            <w:r>
              <w:rPr>
                <w:rFonts w:cs="Times New Roman"/>
                <w:bCs/>
                <w:sz w:val="20"/>
                <w:szCs w:val="20"/>
              </w:rPr>
              <w:t xml:space="preserve"> </w:t>
            </w:r>
            <w:r w:rsidR="00E22B84">
              <w:rPr>
                <w:rFonts w:cs="Times New Roman"/>
                <w:bCs/>
                <w:sz w:val="20"/>
                <w:szCs w:val="20"/>
              </w:rPr>
              <w:t xml:space="preserve">  </w:t>
            </w:r>
            <w:r w:rsidR="002B2858" w:rsidRPr="002B2858">
              <w:rPr>
                <w:rFonts w:cs="Times New Roman"/>
                <w:bCs/>
                <w:sz w:val="20"/>
                <w:szCs w:val="20"/>
              </w:rPr>
              <w:t>August 4, 2025</w:t>
            </w:r>
          </w:p>
        </w:tc>
      </w:tr>
    </w:tbl>
    <w:p w14:paraId="003D8F75" w14:textId="77777777" w:rsidR="000343A9" w:rsidRPr="006148C7" w:rsidRDefault="000343A9" w:rsidP="00842079">
      <w:pPr>
        <w:spacing w:line="240" w:lineRule="exact"/>
        <w:jc w:val="left"/>
        <w:rPr>
          <w:lang w:val="en-US"/>
        </w:rPr>
      </w:pPr>
    </w:p>
    <w:p w14:paraId="7AA7082E" w14:textId="6961DF1A" w:rsidR="00917B13" w:rsidRPr="007B1DB4" w:rsidRDefault="00842079" w:rsidP="00842079">
      <w:pPr>
        <w:spacing w:line="240" w:lineRule="exact"/>
        <w:jc w:val="left"/>
      </w:pPr>
      <w:r w:rsidRPr="007B1DB4">
        <w:t xml:space="preserve">Instruction: </w:t>
      </w:r>
      <w:r w:rsidR="007B1DB4" w:rsidRPr="007B1DB4">
        <w:t>Enter your input in the table below</w:t>
      </w:r>
      <w:r w:rsidRPr="007B1DB4">
        <w:t xml:space="preserve">.  </w:t>
      </w:r>
    </w:p>
    <w:tbl>
      <w:tblPr>
        <w:tblW w:w="15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43"/>
        <w:gridCol w:w="2802"/>
        <w:gridCol w:w="2977"/>
        <w:gridCol w:w="4669"/>
        <w:gridCol w:w="4723"/>
      </w:tblGrid>
      <w:tr w:rsidR="00302395" w:rsidRPr="000808F1" w14:paraId="0E21EAC1" w14:textId="77777777" w:rsidTr="00DB0167">
        <w:trPr>
          <w:cantSplit/>
          <w:tblHeader/>
          <w:jc w:val="center"/>
        </w:trPr>
        <w:tc>
          <w:tcPr>
            <w:tcW w:w="15914" w:type="dxa"/>
            <w:gridSpan w:val="5"/>
            <w:tcBorders>
              <w:top w:val="single" w:sz="6" w:space="0" w:color="auto"/>
              <w:left w:val="single" w:sz="6" w:space="0" w:color="auto"/>
              <w:bottom w:val="single" w:sz="6" w:space="0" w:color="auto"/>
              <w:right w:val="single" w:sz="6" w:space="0" w:color="auto"/>
            </w:tcBorders>
            <w:shd w:val="clear" w:color="auto" w:fill="auto"/>
          </w:tcPr>
          <w:p w14:paraId="408E4E23" w14:textId="13A4FD11" w:rsidR="00302395" w:rsidRPr="00CF5637" w:rsidRDefault="00302395" w:rsidP="007B1DB4">
            <w:pPr>
              <w:keepLines/>
              <w:spacing w:before="40" w:after="40" w:line="190" w:lineRule="exact"/>
              <w:jc w:val="left"/>
              <w:rPr>
                <w:b/>
                <w:bCs/>
                <w:color w:val="0070C0"/>
              </w:rPr>
            </w:pPr>
            <w:r w:rsidRPr="00CF5637">
              <w:rPr>
                <w:b/>
                <w:bCs/>
              </w:rPr>
              <w:t xml:space="preserve">Document </w:t>
            </w:r>
            <w:r w:rsidR="003106A1">
              <w:rPr>
                <w:b/>
                <w:bCs/>
              </w:rPr>
              <w:t xml:space="preserve">reference number and </w:t>
            </w:r>
            <w:r w:rsidR="00A52FA2" w:rsidRPr="00CF5637">
              <w:rPr>
                <w:b/>
                <w:bCs/>
              </w:rPr>
              <w:t>title</w:t>
            </w:r>
            <w:r w:rsidR="00EF310B">
              <w:rPr>
                <w:b/>
                <w:bCs/>
              </w:rPr>
              <w:t xml:space="preserve">: </w:t>
            </w:r>
            <w:r w:rsidR="00CF5637" w:rsidRPr="00CF5637">
              <w:rPr>
                <w:b/>
                <w:bCs/>
                <w:color w:val="0070C0"/>
              </w:rPr>
              <w:t>A6.4-MEP0</w:t>
            </w:r>
            <w:r w:rsidR="00A42991">
              <w:rPr>
                <w:b/>
                <w:bCs/>
                <w:color w:val="0070C0"/>
              </w:rPr>
              <w:t>07</w:t>
            </w:r>
            <w:r w:rsidR="00CF5637" w:rsidRPr="00CF5637">
              <w:rPr>
                <w:b/>
                <w:bCs/>
                <w:color w:val="0070C0"/>
              </w:rPr>
              <w:t>-A0</w:t>
            </w:r>
            <w:r w:rsidR="0014141B">
              <w:rPr>
                <w:b/>
                <w:bCs/>
                <w:color w:val="0070C0"/>
              </w:rPr>
              <w:t>4</w:t>
            </w:r>
            <w:r w:rsidR="00EF310B">
              <w:rPr>
                <w:b/>
                <w:bCs/>
                <w:color w:val="0070C0"/>
              </w:rPr>
              <w:t xml:space="preserve">. </w:t>
            </w:r>
            <w:r w:rsidR="0014141B" w:rsidRPr="0014141B">
              <w:rPr>
                <w:b/>
                <w:bCs/>
                <w:color w:val="0070C0"/>
              </w:rPr>
              <w:t>Draft Standard: Addressing non-permanence/reversals</w:t>
            </w:r>
            <w:r w:rsidR="007D498B" w:rsidRPr="00CF5637">
              <w:rPr>
                <w:b/>
                <w:bCs/>
                <w:color w:val="0070C0"/>
              </w:rPr>
              <w:t xml:space="preserve"> (version 01.0)</w:t>
            </w:r>
          </w:p>
          <w:p w14:paraId="0EF95441" w14:textId="48AD6F29" w:rsidR="00302395" w:rsidRPr="008E3D67" w:rsidRDefault="00302395" w:rsidP="00302395">
            <w:pPr>
              <w:keepLines/>
              <w:spacing w:before="40" w:after="40" w:line="190" w:lineRule="exact"/>
              <w:rPr>
                <w:b/>
                <w:bCs/>
                <w:color w:val="0070C0"/>
                <w:sz w:val="20"/>
                <w:szCs w:val="20"/>
              </w:rPr>
            </w:pPr>
          </w:p>
        </w:tc>
      </w:tr>
      <w:tr w:rsidR="00FE65CB" w:rsidRPr="000808F1" w14:paraId="5233CAC2" w14:textId="77777777" w:rsidTr="00DB26EA">
        <w:trPr>
          <w:cantSplit/>
          <w:tblHeader/>
          <w:jc w:val="center"/>
        </w:trPr>
        <w:tc>
          <w:tcPr>
            <w:tcW w:w="743" w:type="dxa"/>
            <w:tcBorders>
              <w:top w:val="single" w:sz="6" w:space="0" w:color="auto"/>
              <w:left w:val="single" w:sz="6" w:space="0" w:color="auto"/>
              <w:bottom w:val="single" w:sz="6" w:space="0" w:color="auto"/>
              <w:right w:val="single" w:sz="6" w:space="0" w:color="auto"/>
            </w:tcBorders>
            <w:shd w:val="clear" w:color="auto" w:fill="E7E6E6"/>
          </w:tcPr>
          <w:p w14:paraId="1ECD5AFA" w14:textId="27C8433E" w:rsidR="000926EA" w:rsidRPr="008D4BE2" w:rsidRDefault="00093883">
            <w:pPr>
              <w:keepLines/>
              <w:spacing w:before="40" w:after="40" w:line="190" w:lineRule="exact"/>
              <w:jc w:val="center"/>
              <w:rPr>
                <w:b/>
                <w:bCs/>
                <w:sz w:val="20"/>
                <w:szCs w:val="20"/>
              </w:rPr>
            </w:pPr>
            <w:r w:rsidRPr="008D4BE2">
              <w:rPr>
                <w:b/>
                <w:bCs/>
                <w:sz w:val="20"/>
                <w:szCs w:val="20"/>
              </w:rPr>
              <w:t>Item</w:t>
            </w:r>
          </w:p>
        </w:tc>
        <w:tc>
          <w:tcPr>
            <w:tcW w:w="2802" w:type="dxa"/>
            <w:tcBorders>
              <w:top w:val="single" w:sz="6" w:space="0" w:color="auto"/>
              <w:left w:val="single" w:sz="6" w:space="0" w:color="auto"/>
              <w:bottom w:val="single" w:sz="6" w:space="0" w:color="auto"/>
              <w:right w:val="single" w:sz="6" w:space="0" w:color="auto"/>
            </w:tcBorders>
            <w:shd w:val="clear" w:color="auto" w:fill="E7E6E6"/>
          </w:tcPr>
          <w:p w14:paraId="69FEAD68" w14:textId="68E11AC8" w:rsidR="000926EA" w:rsidRPr="008D4BE2" w:rsidRDefault="000926EA">
            <w:pPr>
              <w:keepLines/>
              <w:spacing w:before="40" w:after="40" w:line="190" w:lineRule="exact"/>
              <w:jc w:val="center"/>
              <w:rPr>
                <w:b/>
                <w:bCs/>
                <w:sz w:val="20"/>
                <w:szCs w:val="20"/>
              </w:rPr>
            </w:pPr>
            <w:r w:rsidRPr="008D4BE2">
              <w:rPr>
                <w:b/>
                <w:bCs/>
                <w:sz w:val="20"/>
                <w:szCs w:val="20"/>
              </w:rPr>
              <w:t xml:space="preserve">Section no. </w:t>
            </w:r>
            <w:r w:rsidRPr="008D4BE2">
              <w:rPr>
                <w:b/>
                <w:bCs/>
                <w:sz w:val="20"/>
                <w:szCs w:val="20"/>
              </w:rPr>
              <w:br/>
            </w:r>
            <w:r w:rsidRPr="008D4BE2">
              <w:rPr>
                <w:sz w:val="20"/>
                <w:szCs w:val="20"/>
              </w:rPr>
              <w:t>(as indicated in the document)</w:t>
            </w:r>
          </w:p>
        </w:tc>
        <w:tc>
          <w:tcPr>
            <w:tcW w:w="2977" w:type="dxa"/>
            <w:tcBorders>
              <w:top w:val="single" w:sz="6" w:space="0" w:color="auto"/>
              <w:left w:val="single" w:sz="6" w:space="0" w:color="auto"/>
              <w:bottom w:val="single" w:sz="6" w:space="0" w:color="auto"/>
              <w:right w:val="single" w:sz="6" w:space="0" w:color="auto"/>
            </w:tcBorders>
            <w:shd w:val="clear" w:color="auto" w:fill="E7E6E6"/>
          </w:tcPr>
          <w:p w14:paraId="6A4F6A0A" w14:textId="1295D9A5" w:rsidR="000926EA" w:rsidRPr="008D4BE2" w:rsidRDefault="000926EA">
            <w:pPr>
              <w:keepLines/>
              <w:spacing w:before="40" w:after="40" w:line="190" w:lineRule="exact"/>
              <w:jc w:val="center"/>
              <w:rPr>
                <w:b/>
                <w:bCs/>
                <w:sz w:val="20"/>
                <w:szCs w:val="20"/>
              </w:rPr>
            </w:pPr>
            <w:r w:rsidRPr="008D4BE2">
              <w:rPr>
                <w:b/>
                <w:bCs/>
                <w:sz w:val="20"/>
                <w:szCs w:val="20"/>
              </w:rPr>
              <w:t>Paragraph/Table</w:t>
            </w:r>
            <w:r w:rsidR="005C5581" w:rsidRPr="008D4BE2">
              <w:rPr>
                <w:b/>
                <w:bCs/>
                <w:sz w:val="20"/>
                <w:szCs w:val="20"/>
              </w:rPr>
              <w:t xml:space="preserve">/Figure </w:t>
            </w:r>
            <w:r w:rsidRPr="008D4BE2">
              <w:rPr>
                <w:b/>
                <w:bCs/>
                <w:sz w:val="20"/>
                <w:szCs w:val="20"/>
              </w:rPr>
              <w:t xml:space="preserve">no. </w:t>
            </w:r>
            <w:r w:rsidRPr="008D4BE2">
              <w:rPr>
                <w:b/>
                <w:bCs/>
                <w:sz w:val="20"/>
                <w:szCs w:val="20"/>
              </w:rPr>
              <w:br/>
            </w:r>
            <w:r w:rsidRPr="008D4BE2">
              <w:rPr>
                <w:sz w:val="20"/>
                <w:szCs w:val="20"/>
              </w:rPr>
              <w:t>(as indicated in the document)</w:t>
            </w:r>
          </w:p>
        </w:tc>
        <w:tc>
          <w:tcPr>
            <w:tcW w:w="4669" w:type="dxa"/>
            <w:tcBorders>
              <w:top w:val="single" w:sz="6" w:space="0" w:color="auto"/>
              <w:left w:val="single" w:sz="6" w:space="0" w:color="auto"/>
              <w:bottom w:val="single" w:sz="6" w:space="0" w:color="auto"/>
              <w:right w:val="single" w:sz="6" w:space="0" w:color="auto"/>
            </w:tcBorders>
            <w:shd w:val="clear" w:color="auto" w:fill="E7E6E6"/>
          </w:tcPr>
          <w:p w14:paraId="4271E83F" w14:textId="6C7BBC29" w:rsidR="000926EA" w:rsidRPr="008D4BE2" w:rsidRDefault="000926EA" w:rsidP="008E3D67">
            <w:pPr>
              <w:keepLines/>
              <w:spacing w:before="40" w:after="40" w:line="190" w:lineRule="exact"/>
              <w:jc w:val="center"/>
              <w:rPr>
                <w:b/>
                <w:bCs/>
                <w:sz w:val="20"/>
                <w:szCs w:val="20"/>
              </w:rPr>
            </w:pPr>
            <w:r w:rsidRPr="008D4BE2">
              <w:rPr>
                <w:b/>
                <w:bCs/>
                <w:sz w:val="20"/>
                <w:szCs w:val="20"/>
              </w:rPr>
              <w:t>Comment</w:t>
            </w:r>
            <w:r w:rsidRPr="008D4BE2">
              <w:rPr>
                <w:b/>
                <w:bCs/>
                <w:sz w:val="20"/>
                <w:szCs w:val="20"/>
              </w:rPr>
              <w:br/>
            </w:r>
            <w:r w:rsidRPr="008D4BE2">
              <w:rPr>
                <w:sz w:val="20"/>
                <w:szCs w:val="20"/>
              </w:rPr>
              <w:t>(including justification for change)</w:t>
            </w:r>
            <w:r w:rsidRPr="008D4BE2">
              <w:rPr>
                <w:b/>
                <w:bCs/>
                <w:sz w:val="20"/>
                <w:szCs w:val="20"/>
              </w:rPr>
              <w:t xml:space="preserve"> </w:t>
            </w:r>
          </w:p>
        </w:tc>
        <w:tc>
          <w:tcPr>
            <w:tcW w:w="4723" w:type="dxa"/>
            <w:tcBorders>
              <w:top w:val="single" w:sz="6" w:space="0" w:color="auto"/>
              <w:left w:val="single" w:sz="6" w:space="0" w:color="auto"/>
              <w:bottom w:val="single" w:sz="6" w:space="0" w:color="auto"/>
              <w:right w:val="single" w:sz="6" w:space="0" w:color="auto"/>
            </w:tcBorders>
            <w:shd w:val="clear" w:color="auto" w:fill="E7E6E6"/>
          </w:tcPr>
          <w:p w14:paraId="26E79593" w14:textId="77777777" w:rsidR="000926EA" w:rsidRPr="008D4BE2" w:rsidRDefault="000926EA">
            <w:pPr>
              <w:keepLines/>
              <w:spacing w:before="40" w:after="40" w:line="190" w:lineRule="exact"/>
              <w:jc w:val="center"/>
              <w:rPr>
                <w:b/>
                <w:bCs/>
                <w:sz w:val="20"/>
                <w:szCs w:val="20"/>
              </w:rPr>
            </w:pPr>
            <w:r w:rsidRPr="008D4BE2">
              <w:rPr>
                <w:b/>
                <w:bCs/>
                <w:sz w:val="20"/>
                <w:szCs w:val="20"/>
              </w:rPr>
              <w:t>Proposed change</w:t>
            </w:r>
          </w:p>
          <w:p w14:paraId="1D61F655" w14:textId="6E428CDD" w:rsidR="000926EA" w:rsidRPr="008D4BE2" w:rsidRDefault="000926EA">
            <w:pPr>
              <w:keepLines/>
              <w:spacing w:before="40" w:after="40" w:line="190" w:lineRule="exact"/>
              <w:jc w:val="center"/>
              <w:rPr>
                <w:sz w:val="20"/>
                <w:szCs w:val="20"/>
              </w:rPr>
            </w:pPr>
            <w:r w:rsidRPr="008D4BE2">
              <w:rPr>
                <w:sz w:val="20"/>
                <w:szCs w:val="20"/>
              </w:rPr>
              <w:t>(including proposed text)</w:t>
            </w:r>
          </w:p>
        </w:tc>
      </w:tr>
      <w:tr w:rsidR="00472DBC" w:rsidRPr="006148C7" w14:paraId="17E8C0D6" w14:textId="77777777" w:rsidTr="00472DBC">
        <w:trPr>
          <w:cantSplit/>
          <w:trHeight w:val="5386"/>
          <w:jc w:val="center"/>
        </w:trPr>
        <w:tc>
          <w:tcPr>
            <w:tcW w:w="743" w:type="dxa"/>
            <w:tcBorders>
              <w:top w:val="single" w:sz="6" w:space="0" w:color="auto"/>
              <w:left w:val="single" w:sz="6" w:space="0" w:color="auto"/>
              <w:bottom w:val="single" w:sz="6" w:space="0" w:color="auto"/>
              <w:right w:val="single" w:sz="6" w:space="0" w:color="auto"/>
            </w:tcBorders>
          </w:tcPr>
          <w:p w14:paraId="22099EC3" w14:textId="22304FC8" w:rsidR="00472DBC" w:rsidRPr="000926EA" w:rsidRDefault="00472DBC">
            <w:pPr>
              <w:keepLines/>
              <w:spacing w:before="40" w:after="40" w:line="190" w:lineRule="exact"/>
              <w:jc w:val="center"/>
              <w:rPr>
                <w:sz w:val="20"/>
                <w:szCs w:val="20"/>
              </w:rPr>
            </w:pPr>
            <w:r>
              <w:rPr>
                <w:sz w:val="20"/>
                <w:szCs w:val="20"/>
              </w:rPr>
              <w:t>1</w:t>
            </w:r>
          </w:p>
        </w:tc>
        <w:tc>
          <w:tcPr>
            <w:tcW w:w="2802" w:type="dxa"/>
            <w:tcBorders>
              <w:top w:val="single" w:sz="6" w:space="0" w:color="auto"/>
              <w:left w:val="single" w:sz="6" w:space="0" w:color="auto"/>
              <w:bottom w:val="single" w:sz="6" w:space="0" w:color="auto"/>
              <w:right w:val="single" w:sz="6" w:space="0" w:color="auto"/>
            </w:tcBorders>
          </w:tcPr>
          <w:p w14:paraId="28C018D0" w14:textId="39059B6F" w:rsidR="00472DBC" w:rsidRDefault="00472DBC" w:rsidP="00605734">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Cover Note,</w:t>
            </w:r>
          </w:p>
          <w:p w14:paraId="79B0DBF7" w14:textId="15C437E7" w:rsidR="00472DBC" w:rsidRDefault="00472DBC" w:rsidP="00605734">
            <w:pPr>
              <w:pStyle w:val="NormalWeb"/>
              <w:spacing w:before="0" w:beforeAutospacing="0" w:after="0" w:afterAutospacing="0"/>
              <w:rPr>
                <w:rFonts w:ascii="Calibri" w:hAnsi="Calibri" w:cs="Calibri"/>
                <w:b/>
                <w:bCs/>
                <w:color w:val="000000"/>
                <w:sz w:val="22"/>
                <w:szCs w:val="22"/>
              </w:rPr>
            </w:pPr>
            <w:r w:rsidRPr="00472DBC">
              <w:rPr>
                <w:rFonts w:ascii="Calibri" w:hAnsi="Calibri" w:cs="Calibri"/>
                <w:b/>
                <w:bCs/>
                <w:color w:val="000000"/>
                <w:sz w:val="22"/>
                <w:szCs w:val="22"/>
              </w:rPr>
              <w:t xml:space="preserve">Appendix 1, </w:t>
            </w:r>
          </w:p>
          <w:p w14:paraId="74ED0403" w14:textId="4FE0543B" w:rsidR="00472DBC" w:rsidRDefault="00472DBC" w:rsidP="00605734">
            <w:pPr>
              <w:pStyle w:val="NormalWeb"/>
              <w:spacing w:before="0" w:beforeAutospacing="0" w:after="0" w:afterAutospacing="0"/>
              <w:rPr>
                <w:rFonts w:ascii="Calibri" w:hAnsi="Calibri" w:cs="Calibri"/>
                <w:b/>
                <w:bCs/>
                <w:color w:val="000000"/>
                <w:sz w:val="22"/>
                <w:szCs w:val="22"/>
              </w:rPr>
            </w:pPr>
            <w:r w:rsidRPr="00472DBC">
              <w:rPr>
                <w:rFonts w:ascii="Calibri" w:hAnsi="Calibri" w:cs="Calibri"/>
                <w:b/>
                <w:bCs/>
                <w:color w:val="000000"/>
                <w:sz w:val="22"/>
                <w:szCs w:val="22"/>
              </w:rPr>
              <w:t xml:space="preserve">Appendix 2 </w:t>
            </w:r>
            <w:r>
              <w:rPr>
                <w:rFonts w:ascii="Calibri" w:hAnsi="Calibri" w:cs="Calibri"/>
                <w:b/>
                <w:bCs/>
                <w:color w:val="000000"/>
                <w:sz w:val="22"/>
                <w:szCs w:val="22"/>
              </w:rPr>
              <w:t>and</w:t>
            </w:r>
          </w:p>
          <w:p w14:paraId="661C5A08" w14:textId="45A563A8" w:rsidR="00472DBC" w:rsidRDefault="00472DBC" w:rsidP="00605734">
            <w:pPr>
              <w:pStyle w:val="NormalWeb"/>
              <w:spacing w:before="0" w:beforeAutospacing="0" w:after="0" w:afterAutospacing="0"/>
              <w:rPr>
                <w:rFonts w:ascii="Calibri" w:hAnsi="Calibri" w:cs="Calibri"/>
                <w:b/>
                <w:bCs/>
                <w:color w:val="000000"/>
                <w:sz w:val="22"/>
                <w:szCs w:val="22"/>
              </w:rPr>
            </w:pPr>
            <w:r w:rsidRPr="00472DBC">
              <w:rPr>
                <w:rFonts w:ascii="Calibri" w:hAnsi="Calibri" w:cs="Calibri"/>
                <w:b/>
                <w:bCs/>
                <w:color w:val="000000"/>
                <w:sz w:val="22"/>
                <w:szCs w:val="22"/>
              </w:rPr>
              <w:t>Appendix 3</w:t>
            </w:r>
          </w:p>
        </w:tc>
        <w:tc>
          <w:tcPr>
            <w:tcW w:w="2977" w:type="dxa"/>
            <w:tcBorders>
              <w:top w:val="single" w:sz="6" w:space="0" w:color="auto"/>
              <w:left w:val="single" w:sz="6" w:space="0" w:color="auto"/>
              <w:bottom w:val="single" w:sz="6" w:space="0" w:color="auto"/>
              <w:right w:val="single" w:sz="6" w:space="0" w:color="auto"/>
            </w:tcBorders>
          </w:tcPr>
          <w:p w14:paraId="68B6D1C6" w14:textId="11FFC813" w:rsidR="00472DBC" w:rsidRPr="00472DBC" w:rsidRDefault="00472DBC" w:rsidP="00605734">
            <w:pPr>
              <w:pStyle w:val="NormalWeb"/>
              <w:spacing w:before="0" w:beforeAutospacing="0" w:after="0" w:afterAutospacing="0"/>
              <w:rPr>
                <w:rFonts w:ascii="Calibri" w:hAnsi="Calibri" w:cs="Calibri"/>
                <w:b/>
                <w:bCs/>
                <w:color w:val="000000"/>
                <w:sz w:val="22"/>
                <w:szCs w:val="22"/>
              </w:rPr>
            </w:pPr>
            <w:r w:rsidRPr="00472DBC">
              <w:rPr>
                <w:rFonts w:ascii="Calibri" w:hAnsi="Calibri" w:cs="Calibri"/>
                <w:b/>
                <w:bCs/>
                <w:color w:val="000000"/>
                <w:sz w:val="22"/>
                <w:szCs w:val="22"/>
              </w:rPr>
              <w:t xml:space="preserve">General </w:t>
            </w:r>
            <w:r>
              <w:rPr>
                <w:rFonts w:ascii="Calibri" w:hAnsi="Calibri" w:cs="Calibri"/>
                <w:b/>
                <w:bCs/>
                <w:color w:val="000000"/>
                <w:sz w:val="22"/>
                <w:szCs w:val="22"/>
              </w:rPr>
              <w:t>inputs for Draft Standard</w:t>
            </w:r>
          </w:p>
        </w:tc>
        <w:tc>
          <w:tcPr>
            <w:tcW w:w="4669" w:type="dxa"/>
            <w:tcBorders>
              <w:top w:val="single" w:sz="6" w:space="0" w:color="auto"/>
              <w:left w:val="single" w:sz="6" w:space="0" w:color="auto"/>
              <w:bottom w:val="single" w:sz="6" w:space="0" w:color="auto"/>
              <w:right w:val="single" w:sz="6" w:space="0" w:color="auto"/>
            </w:tcBorders>
          </w:tcPr>
          <w:p w14:paraId="489A9636" w14:textId="11605ABA" w:rsidR="00472DBC" w:rsidRPr="00472DBC" w:rsidRDefault="00472DBC" w:rsidP="00472DBC">
            <w:pPr>
              <w:spacing w:line="240" w:lineRule="exact"/>
            </w:pPr>
            <w:r w:rsidRPr="00472DBC">
              <w:rPr>
                <w:rFonts w:ascii="Calibri" w:hAnsi="Calibri" w:cs="Calibri"/>
                <w:color w:val="000000"/>
                <w:lang w:val="en-US"/>
              </w:rPr>
              <w:t>Nature-based solutions are an essential component in addressing the climate crisis, due to their contributions to mitigation, adaptation, and biodiversity conservation. In this regard, it is considered crucial to ensure that Article 6.4 is operationalized in a way that allows for the inclusion of forest credits and other nature-based credits that meet high integrity standards, particularly during these decisive decades leading up to 2050.</w:t>
            </w:r>
            <w:r w:rsidRPr="006148C7">
              <w:t xml:space="preserve"> </w:t>
            </w:r>
          </w:p>
        </w:tc>
        <w:tc>
          <w:tcPr>
            <w:tcW w:w="4723" w:type="dxa"/>
            <w:tcBorders>
              <w:top w:val="single" w:sz="6" w:space="0" w:color="auto"/>
              <w:left w:val="single" w:sz="6" w:space="0" w:color="auto"/>
              <w:bottom w:val="single" w:sz="6" w:space="0" w:color="auto"/>
              <w:right w:val="single" w:sz="6" w:space="0" w:color="auto"/>
            </w:tcBorders>
          </w:tcPr>
          <w:p w14:paraId="2E928F70" w14:textId="77777777" w:rsidR="00472DBC" w:rsidRPr="00472DBC" w:rsidRDefault="00472DBC" w:rsidP="00472DBC">
            <w:pPr>
              <w:spacing w:line="240" w:lineRule="exact"/>
              <w:rPr>
                <w:rFonts w:ascii="Calibri" w:hAnsi="Calibri" w:cs="Calibri"/>
                <w:color w:val="000000"/>
                <w:lang w:val="en-US"/>
              </w:rPr>
            </w:pPr>
            <w:r w:rsidRPr="00472DBC">
              <w:rPr>
                <w:rFonts w:ascii="Calibri" w:hAnsi="Calibri" w:cs="Calibri"/>
                <w:color w:val="000000"/>
                <w:lang w:val="en-US"/>
              </w:rPr>
              <w:t>To move in this direction, it is important to expand the sectoral expertise of the Methodological Expert Panel (MEP), for example, through the creation of a working group with experts in nature-based solutions, with the aim of developing a proposal tailored to the sector's specific needs and ensuring its operational and economic viability.</w:t>
            </w:r>
          </w:p>
          <w:p w14:paraId="2D870792" w14:textId="77777777" w:rsidR="00472DBC" w:rsidRPr="00472DBC" w:rsidRDefault="00472DBC" w:rsidP="00472DBC">
            <w:pPr>
              <w:spacing w:line="240" w:lineRule="exact"/>
              <w:rPr>
                <w:rFonts w:ascii="Calibri" w:hAnsi="Calibri" w:cs="Calibri"/>
                <w:color w:val="000000"/>
                <w:lang w:val="en-US"/>
              </w:rPr>
            </w:pPr>
          </w:p>
          <w:p w14:paraId="6D816411" w14:textId="6DDDC16C" w:rsidR="00472DBC" w:rsidRPr="00472DBC" w:rsidRDefault="00472DBC" w:rsidP="00472DBC">
            <w:pPr>
              <w:spacing w:line="240" w:lineRule="exact"/>
              <w:rPr>
                <w:i/>
                <w:iCs/>
                <w:lang w:val="en-US"/>
              </w:rPr>
            </w:pPr>
            <w:r w:rsidRPr="00472DBC">
              <w:rPr>
                <w:rFonts w:ascii="Calibri" w:hAnsi="Calibri" w:cs="Calibri"/>
                <w:color w:val="000000"/>
                <w:lang w:val="en-US"/>
              </w:rPr>
              <w:t>Likewise, to ensure the effectiveness and relevance of the Article 6.4 mechanism, it is considered essential to carry out a broad, fair, and effective consultation process that guarantees the participation of all key stakeholders. In this sense, it is noted that the current deadlines for submitting inputs may limit the effective participation of some stakeholders, which would undermine the possibility of receiving representative, technically sound, and well-substantiated contributions. Therefore, a call is made to consider an extension of the established deadlines to allow for a thorough review and meaningful response from all interested parties.</w:t>
            </w:r>
          </w:p>
        </w:tc>
      </w:tr>
      <w:tr w:rsidR="000926EA" w:rsidRPr="006148C7" w14:paraId="6FEF17B7" w14:textId="77777777" w:rsidTr="00DB26EA">
        <w:trPr>
          <w:cantSplit/>
          <w:trHeight w:val="6832"/>
          <w:jc w:val="center"/>
        </w:trPr>
        <w:tc>
          <w:tcPr>
            <w:tcW w:w="743" w:type="dxa"/>
            <w:tcBorders>
              <w:top w:val="single" w:sz="6" w:space="0" w:color="auto"/>
              <w:left w:val="single" w:sz="6" w:space="0" w:color="auto"/>
              <w:bottom w:val="single" w:sz="6" w:space="0" w:color="auto"/>
              <w:right w:val="single" w:sz="6" w:space="0" w:color="auto"/>
            </w:tcBorders>
          </w:tcPr>
          <w:p w14:paraId="60D62EC9" w14:textId="1018CC86" w:rsidR="000926EA" w:rsidRPr="000926EA" w:rsidRDefault="00472DBC">
            <w:pPr>
              <w:keepLines/>
              <w:spacing w:before="40" w:after="40" w:line="190" w:lineRule="exact"/>
              <w:jc w:val="center"/>
              <w:rPr>
                <w:sz w:val="20"/>
                <w:szCs w:val="20"/>
              </w:rPr>
            </w:pPr>
            <w:r>
              <w:rPr>
                <w:sz w:val="20"/>
                <w:szCs w:val="20"/>
              </w:rPr>
              <w:lastRenderedPageBreak/>
              <w:t>2</w:t>
            </w:r>
          </w:p>
        </w:tc>
        <w:tc>
          <w:tcPr>
            <w:tcW w:w="2802" w:type="dxa"/>
            <w:tcBorders>
              <w:top w:val="single" w:sz="6" w:space="0" w:color="auto"/>
              <w:left w:val="single" w:sz="6" w:space="0" w:color="auto"/>
              <w:bottom w:val="single" w:sz="6" w:space="0" w:color="auto"/>
              <w:right w:val="single" w:sz="6" w:space="0" w:color="auto"/>
            </w:tcBorders>
          </w:tcPr>
          <w:p w14:paraId="51EE2298" w14:textId="6668D948" w:rsidR="00605734" w:rsidRDefault="008F08D4" w:rsidP="00605734">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Key issues and proposed solutions</w:t>
            </w:r>
          </w:p>
          <w:p w14:paraId="5F649577" w14:textId="2381AAF4" w:rsidR="008F08D4" w:rsidRDefault="008F08D4" w:rsidP="00605734">
            <w:pPr>
              <w:pStyle w:val="NormalWeb"/>
              <w:spacing w:before="0" w:beforeAutospacing="0" w:after="0" w:afterAutospacing="0"/>
            </w:pPr>
            <w:r>
              <w:rPr>
                <w:rFonts w:ascii="Calibri" w:hAnsi="Calibri" w:cs="Calibri"/>
                <w:b/>
                <w:bCs/>
                <w:color w:val="000000"/>
                <w:sz w:val="22"/>
                <w:szCs w:val="22"/>
              </w:rPr>
              <w:t>Document architecture</w:t>
            </w:r>
          </w:p>
          <w:p w14:paraId="36E9EE9A" w14:textId="77777777" w:rsidR="000926EA" w:rsidRPr="00605734" w:rsidRDefault="000926EA" w:rsidP="000926EA">
            <w:pPr>
              <w:keepLines/>
              <w:spacing w:before="40" w:after="40" w:line="190" w:lineRule="exact"/>
              <w:jc w:val="left"/>
              <w:rPr>
                <w:sz w:val="20"/>
                <w:szCs w:val="20"/>
                <w:lang w:val="en-US"/>
              </w:rPr>
            </w:pPr>
          </w:p>
          <w:p w14:paraId="5C86CAAB" w14:textId="640BD16A" w:rsidR="002E58F5" w:rsidRPr="002E58F5" w:rsidRDefault="002E58F5" w:rsidP="002E58F5">
            <w:pPr>
              <w:pStyle w:val="Default"/>
              <w:rPr>
                <w:lang w:val="en-US"/>
              </w:rPr>
            </w:pPr>
            <w:r w:rsidRPr="002E58F5">
              <w:rPr>
                <w:rFonts w:ascii="Calibri" w:hAnsi="Calibri" w:cs="Calibri"/>
                <w:b/>
                <w:bCs/>
                <w:sz w:val="22"/>
                <w:szCs w:val="22"/>
                <w:lang w:val="en-US"/>
              </w:rPr>
              <w:t>Structure and Scope of the regulatory documents to address reversals for Appendix 1</w:t>
            </w:r>
            <w:r>
              <w:rPr>
                <w:rFonts w:ascii="Calibri" w:hAnsi="Calibri" w:cs="Calibri"/>
                <w:b/>
                <w:bCs/>
                <w:sz w:val="22"/>
                <w:szCs w:val="22"/>
                <w:lang w:val="en-US"/>
              </w:rPr>
              <w:t xml:space="preserve">, </w:t>
            </w:r>
            <w:r w:rsidRPr="002E58F5">
              <w:rPr>
                <w:rFonts w:ascii="Calibri" w:hAnsi="Calibri" w:cs="Calibri"/>
                <w:b/>
                <w:bCs/>
                <w:sz w:val="22"/>
                <w:szCs w:val="22"/>
                <w:lang w:val="en-US"/>
              </w:rPr>
              <w:t>Appendix 2 and</w:t>
            </w:r>
            <w:r>
              <w:rPr>
                <w:rFonts w:ascii="Calibri" w:hAnsi="Calibri" w:cs="Calibri"/>
                <w:b/>
                <w:bCs/>
                <w:sz w:val="22"/>
                <w:szCs w:val="22"/>
                <w:lang w:val="en-US"/>
              </w:rPr>
              <w:t xml:space="preserve"> </w:t>
            </w:r>
            <w:r w:rsidRPr="002E58F5">
              <w:rPr>
                <w:rFonts w:ascii="Calibri" w:hAnsi="Calibri" w:cs="Calibri"/>
                <w:b/>
                <w:bCs/>
                <w:sz w:val="22"/>
                <w:szCs w:val="22"/>
                <w:lang w:val="en-US"/>
              </w:rPr>
              <w:t xml:space="preserve">Appendix </w:t>
            </w:r>
            <w:r>
              <w:rPr>
                <w:rFonts w:ascii="Calibri" w:hAnsi="Calibri" w:cs="Calibri"/>
                <w:b/>
                <w:bCs/>
                <w:sz w:val="22"/>
                <w:szCs w:val="22"/>
                <w:lang w:val="en-US"/>
              </w:rPr>
              <w:t>3</w:t>
            </w:r>
          </w:p>
          <w:p w14:paraId="3A19F164" w14:textId="77777777" w:rsidR="002E58F5" w:rsidRPr="002E58F5" w:rsidRDefault="002E58F5" w:rsidP="002E58F5">
            <w:pPr>
              <w:pStyle w:val="Default"/>
              <w:numPr>
                <w:ilvl w:val="1"/>
                <w:numId w:val="5"/>
              </w:numPr>
              <w:rPr>
                <w:sz w:val="22"/>
                <w:szCs w:val="22"/>
                <w:lang w:val="en-US"/>
              </w:rPr>
            </w:pPr>
          </w:p>
          <w:p w14:paraId="7B783D6E" w14:textId="104E590E" w:rsidR="002E58F5" w:rsidRDefault="002E58F5" w:rsidP="002E58F5">
            <w:pPr>
              <w:pStyle w:val="NormalWeb"/>
              <w:spacing w:before="0" w:beforeAutospacing="0" w:after="0" w:afterAutospacing="0"/>
            </w:pPr>
          </w:p>
          <w:p w14:paraId="2F8BE693" w14:textId="65D852B6" w:rsidR="000926EA" w:rsidRPr="002E58F5" w:rsidRDefault="000926EA" w:rsidP="000926EA">
            <w:pPr>
              <w:keepLines/>
              <w:spacing w:before="40" w:after="40" w:line="190" w:lineRule="exact"/>
              <w:jc w:val="left"/>
              <w:rPr>
                <w:sz w:val="20"/>
                <w:szCs w:val="20"/>
                <w:lang w:val="en-US"/>
              </w:rPr>
            </w:pPr>
          </w:p>
        </w:tc>
        <w:tc>
          <w:tcPr>
            <w:tcW w:w="2977" w:type="dxa"/>
            <w:tcBorders>
              <w:top w:val="single" w:sz="6" w:space="0" w:color="auto"/>
              <w:left w:val="single" w:sz="6" w:space="0" w:color="auto"/>
              <w:bottom w:val="single" w:sz="6" w:space="0" w:color="auto"/>
              <w:right w:val="single" w:sz="6" w:space="0" w:color="auto"/>
            </w:tcBorders>
          </w:tcPr>
          <w:p w14:paraId="3F081779" w14:textId="77777777" w:rsidR="00605734" w:rsidRDefault="00605734" w:rsidP="00605734">
            <w:pPr>
              <w:pStyle w:val="NormalWeb"/>
              <w:spacing w:before="0" w:beforeAutospacing="0" w:after="0" w:afterAutospacing="0"/>
            </w:pPr>
            <w:r>
              <w:rPr>
                <w:rFonts w:ascii="Calibri" w:hAnsi="Calibri" w:cs="Calibri"/>
                <w:color w:val="000000"/>
                <w:sz w:val="22"/>
                <w:szCs w:val="22"/>
              </w:rPr>
              <w:t>Cover note. Section 3.1, Paragraph 11-13 </w:t>
            </w:r>
          </w:p>
          <w:p w14:paraId="45DA64C4" w14:textId="77777777" w:rsidR="002E58F5" w:rsidRDefault="002E58F5" w:rsidP="002E58F5">
            <w:pPr>
              <w:pStyle w:val="NormalWeb"/>
              <w:spacing w:before="0" w:beforeAutospacing="0" w:after="0" w:afterAutospacing="0"/>
              <w:rPr>
                <w:rFonts w:ascii="Calibri" w:hAnsi="Calibri" w:cs="Calibri"/>
                <w:color w:val="000000"/>
                <w:sz w:val="22"/>
                <w:szCs w:val="22"/>
              </w:rPr>
            </w:pPr>
          </w:p>
          <w:p w14:paraId="708BF51E" w14:textId="77777777" w:rsidR="002E58F5" w:rsidRDefault="002E58F5" w:rsidP="002E58F5">
            <w:pPr>
              <w:pStyle w:val="NormalWeb"/>
              <w:spacing w:before="0" w:beforeAutospacing="0" w:after="0" w:afterAutospacing="0"/>
              <w:rPr>
                <w:rFonts w:ascii="Calibri" w:hAnsi="Calibri" w:cs="Calibri"/>
                <w:color w:val="000000"/>
                <w:sz w:val="22"/>
                <w:szCs w:val="22"/>
              </w:rPr>
            </w:pPr>
          </w:p>
          <w:p w14:paraId="60797694" w14:textId="2612BA87" w:rsidR="002E58F5" w:rsidRDefault="002E58F5" w:rsidP="002E58F5">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Cover note</w:t>
            </w:r>
          </w:p>
          <w:p w14:paraId="0E0C94BC" w14:textId="74D4EBB8" w:rsidR="002E58F5" w:rsidRDefault="002E58F5" w:rsidP="002E58F5">
            <w:pPr>
              <w:pStyle w:val="NormalWeb"/>
              <w:spacing w:before="0" w:beforeAutospacing="0" w:after="0" w:afterAutospacing="0"/>
            </w:pPr>
            <w:r>
              <w:rPr>
                <w:rFonts w:ascii="Calibri" w:hAnsi="Calibri" w:cs="Calibri"/>
                <w:color w:val="000000"/>
                <w:sz w:val="22"/>
                <w:szCs w:val="22"/>
              </w:rPr>
              <w:t>Appendix 1 and 2 (Section 3.2), Paragraph 14-</w:t>
            </w:r>
            <w:r w:rsidR="003443A2">
              <w:rPr>
                <w:rFonts w:ascii="Calibri" w:hAnsi="Calibri" w:cs="Calibri"/>
                <w:color w:val="000000"/>
                <w:sz w:val="22"/>
                <w:szCs w:val="22"/>
              </w:rPr>
              <w:t>32</w:t>
            </w:r>
            <w:r>
              <w:rPr>
                <w:rFonts w:ascii="Calibri" w:hAnsi="Calibri" w:cs="Calibri"/>
                <w:color w:val="000000"/>
                <w:sz w:val="22"/>
                <w:szCs w:val="22"/>
              </w:rPr>
              <w:t> </w:t>
            </w:r>
          </w:p>
          <w:p w14:paraId="1EEC20DC" w14:textId="77777777" w:rsidR="000926EA" w:rsidRDefault="000926EA" w:rsidP="000926EA">
            <w:pPr>
              <w:keepLines/>
              <w:spacing w:before="40" w:after="40" w:line="190" w:lineRule="exact"/>
              <w:jc w:val="left"/>
              <w:rPr>
                <w:sz w:val="20"/>
                <w:szCs w:val="20"/>
              </w:rPr>
            </w:pPr>
          </w:p>
          <w:p w14:paraId="63B54973" w14:textId="38CC9E11" w:rsidR="002E58F5" w:rsidRDefault="002E58F5" w:rsidP="002E58F5">
            <w:pPr>
              <w:pStyle w:val="NormalWeb"/>
              <w:spacing w:before="0" w:beforeAutospacing="0" w:after="0" w:afterAutospacing="0"/>
            </w:pPr>
            <w:r>
              <w:rPr>
                <w:rFonts w:ascii="Calibri" w:hAnsi="Calibri" w:cs="Calibri"/>
                <w:color w:val="000000"/>
                <w:sz w:val="22"/>
                <w:szCs w:val="22"/>
              </w:rPr>
              <w:t>Appendix 3 (Section 3.</w:t>
            </w:r>
            <w:r w:rsidR="003443A2">
              <w:rPr>
                <w:rFonts w:ascii="Calibri" w:hAnsi="Calibri" w:cs="Calibri"/>
                <w:color w:val="000000"/>
                <w:sz w:val="22"/>
                <w:szCs w:val="22"/>
              </w:rPr>
              <w:t>3</w:t>
            </w:r>
            <w:r>
              <w:rPr>
                <w:rFonts w:ascii="Calibri" w:hAnsi="Calibri" w:cs="Calibri"/>
                <w:color w:val="000000"/>
                <w:sz w:val="22"/>
                <w:szCs w:val="22"/>
              </w:rPr>
              <w:t xml:space="preserve">), Paragraph </w:t>
            </w:r>
            <w:r w:rsidR="003443A2">
              <w:rPr>
                <w:rFonts w:ascii="Calibri" w:hAnsi="Calibri" w:cs="Calibri"/>
                <w:color w:val="000000"/>
                <w:sz w:val="22"/>
                <w:szCs w:val="22"/>
              </w:rPr>
              <w:t>33</w:t>
            </w:r>
            <w:r>
              <w:rPr>
                <w:rFonts w:ascii="Calibri" w:hAnsi="Calibri" w:cs="Calibri"/>
                <w:color w:val="000000"/>
                <w:sz w:val="22"/>
                <w:szCs w:val="22"/>
              </w:rPr>
              <w:t>-</w:t>
            </w:r>
            <w:r w:rsidR="003443A2">
              <w:rPr>
                <w:rFonts w:ascii="Calibri" w:hAnsi="Calibri" w:cs="Calibri"/>
                <w:color w:val="000000"/>
                <w:sz w:val="22"/>
                <w:szCs w:val="22"/>
              </w:rPr>
              <w:t>39</w:t>
            </w:r>
          </w:p>
          <w:p w14:paraId="251951A6" w14:textId="6EF09760" w:rsidR="002E58F5" w:rsidRPr="000926EA" w:rsidRDefault="002E58F5" w:rsidP="000926EA">
            <w:pPr>
              <w:keepLines/>
              <w:spacing w:before="40" w:after="40" w:line="190" w:lineRule="exact"/>
              <w:jc w:val="left"/>
              <w:rPr>
                <w:sz w:val="20"/>
                <w:szCs w:val="20"/>
              </w:rPr>
            </w:pPr>
          </w:p>
        </w:tc>
        <w:tc>
          <w:tcPr>
            <w:tcW w:w="4669" w:type="dxa"/>
            <w:tcBorders>
              <w:top w:val="single" w:sz="6" w:space="0" w:color="auto"/>
              <w:left w:val="single" w:sz="6" w:space="0" w:color="auto"/>
              <w:bottom w:val="single" w:sz="6" w:space="0" w:color="auto"/>
              <w:right w:val="single" w:sz="6" w:space="0" w:color="auto"/>
            </w:tcBorders>
          </w:tcPr>
          <w:p w14:paraId="63936465" w14:textId="211A5D7A" w:rsidR="00DB26EA" w:rsidRPr="006148C7" w:rsidRDefault="006148C7" w:rsidP="00DB26EA">
            <w:pPr>
              <w:keepLines/>
              <w:spacing w:before="40" w:after="40"/>
              <w:rPr>
                <w:rFonts w:ascii="Calibri" w:hAnsi="Calibri" w:cs="Calibri"/>
                <w:color w:val="000000"/>
                <w:lang w:val="en-US"/>
              </w:rPr>
            </w:pPr>
            <w:r w:rsidRPr="006148C7">
              <w:rPr>
                <w:rFonts w:ascii="Calibri" w:hAnsi="Calibri" w:cs="Calibri"/>
                <w:color w:val="000000"/>
                <w:lang w:val="en-US"/>
              </w:rPr>
              <w:t xml:space="preserve">It is reported that the MEP </w:t>
            </w:r>
            <w:r w:rsidR="001F5275">
              <w:rPr>
                <w:rFonts w:ascii="Calibri" w:hAnsi="Calibri" w:cs="Calibri"/>
                <w:color w:val="000000"/>
                <w:lang w:val="en-US"/>
              </w:rPr>
              <w:t>did not</w:t>
            </w:r>
            <w:r w:rsidRPr="006148C7">
              <w:rPr>
                <w:rFonts w:ascii="Calibri" w:hAnsi="Calibri" w:cs="Calibri"/>
                <w:color w:val="000000"/>
                <w:lang w:val="en-US"/>
              </w:rPr>
              <w:t xml:space="preserve"> reach a consensus on the structure and scope of the regulatory documents to address non-permanence/reversals. Therefore, the MEP is presenting three appendices as representative of two alternative proposals for the draft standard</w:t>
            </w:r>
            <w:r w:rsidR="00DB26EA">
              <w:rPr>
                <w:rFonts w:ascii="Calibri" w:hAnsi="Calibri" w:cs="Calibri"/>
                <w:color w:val="000000"/>
                <w:lang w:val="en-US"/>
              </w:rPr>
              <w:t>.</w:t>
            </w:r>
          </w:p>
          <w:p w14:paraId="0FE3E320" w14:textId="406AC649" w:rsidR="006148C7" w:rsidRDefault="006148C7" w:rsidP="00DB26EA">
            <w:pPr>
              <w:keepLines/>
              <w:spacing w:before="40" w:after="40"/>
              <w:rPr>
                <w:rFonts w:ascii="Calibri" w:hAnsi="Calibri" w:cs="Calibri"/>
                <w:color w:val="000000"/>
                <w:lang w:val="en-US"/>
              </w:rPr>
            </w:pPr>
            <w:r w:rsidRPr="0020071B">
              <w:rPr>
                <w:rFonts w:ascii="Calibri" w:hAnsi="Calibri" w:cs="Calibri"/>
                <w:b/>
                <w:bCs/>
                <w:color w:val="000000"/>
                <w:lang w:val="en-US"/>
              </w:rPr>
              <w:t>Proposal A</w:t>
            </w:r>
            <w:r w:rsidRPr="006148C7">
              <w:rPr>
                <w:rFonts w:ascii="Calibri" w:hAnsi="Calibri" w:cs="Calibri"/>
                <w:color w:val="000000"/>
                <w:lang w:val="en-US"/>
              </w:rPr>
              <w:t xml:space="preserve"> </w:t>
            </w:r>
            <w:r w:rsidR="0020071B">
              <w:rPr>
                <w:rFonts w:ascii="Calibri" w:hAnsi="Calibri" w:cs="Calibri"/>
                <w:color w:val="000000"/>
                <w:lang w:val="en-US"/>
              </w:rPr>
              <w:t>(</w:t>
            </w:r>
            <w:r w:rsidRPr="006148C7">
              <w:rPr>
                <w:rFonts w:ascii="Calibri" w:hAnsi="Calibri" w:cs="Calibri"/>
                <w:color w:val="000000"/>
                <w:lang w:val="en-US"/>
              </w:rPr>
              <w:t xml:space="preserve">position held by </w:t>
            </w:r>
            <w:r w:rsidR="0020071B" w:rsidRPr="006148C7">
              <w:rPr>
                <w:rFonts w:ascii="Calibri" w:hAnsi="Calibri" w:cs="Calibri"/>
                <w:color w:val="000000"/>
                <w:lang w:val="en-US"/>
              </w:rPr>
              <w:t>most</w:t>
            </w:r>
            <w:r w:rsidRPr="006148C7">
              <w:rPr>
                <w:rFonts w:ascii="Calibri" w:hAnsi="Calibri" w:cs="Calibri"/>
                <w:color w:val="000000"/>
                <w:lang w:val="en-US"/>
              </w:rPr>
              <w:t xml:space="preserve"> MEP members</w:t>
            </w:r>
            <w:r w:rsidR="0020071B">
              <w:rPr>
                <w:rFonts w:ascii="Calibri" w:hAnsi="Calibri" w:cs="Calibri"/>
                <w:color w:val="000000"/>
                <w:lang w:val="en-US"/>
              </w:rPr>
              <w:t>)</w:t>
            </w:r>
            <w:r w:rsidRPr="006148C7">
              <w:rPr>
                <w:rFonts w:ascii="Calibri" w:hAnsi="Calibri" w:cs="Calibri"/>
                <w:color w:val="000000"/>
                <w:lang w:val="en-US"/>
              </w:rPr>
              <w:t xml:space="preserve"> involves addressing some requirements in a standard </w:t>
            </w:r>
            <w:r w:rsidR="0020071B">
              <w:rPr>
                <w:rFonts w:ascii="Calibri" w:hAnsi="Calibri" w:cs="Calibri"/>
                <w:color w:val="000000"/>
                <w:lang w:val="en-US"/>
              </w:rPr>
              <w:t>for</w:t>
            </w:r>
            <w:r w:rsidRPr="006148C7">
              <w:rPr>
                <w:rFonts w:ascii="Calibri" w:hAnsi="Calibri" w:cs="Calibri"/>
                <w:color w:val="000000"/>
                <w:lang w:val="en-US"/>
              </w:rPr>
              <w:t xml:space="preserve"> mechanism’s methodologies (Appendix 1) and others in a standard directed at activity participants (Appendix 2).</w:t>
            </w:r>
          </w:p>
          <w:p w14:paraId="357C2388" w14:textId="02E6E11C" w:rsidR="00DB26EA" w:rsidRPr="006148C7" w:rsidRDefault="00DB26EA" w:rsidP="00DB26EA">
            <w:pPr>
              <w:keepLines/>
              <w:spacing w:before="40" w:after="40"/>
              <w:rPr>
                <w:rFonts w:ascii="Calibri" w:hAnsi="Calibri" w:cs="Calibri"/>
                <w:color w:val="000000"/>
                <w:lang w:val="en-US"/>
              </w:rPr>
            </w:pPr>
            <w:r w:rsidRPr="00DB26EA">
              <w:rPr>
                <w:rFonts w:ascii="Calibri" w:hAnsi="Calibri" w:cs="Calibri"/>
                <w:color w:val="000000"/>
                <w:lang w:val="en-US"/>
              </w:rPr>
              <w:t>In this regard, it is observed that Appendices 1 and 2 impose indefinite monitoring obligations that create significant barriers for land-use projects, as open-ended timelines are not viable for attracting investment. This could considerably limit or exclude the participation of nature-based solutions</w:t>
            </w:r>
            <w:r w:rsidR="0020071B">
              <w:rPr>
                <w:rFonts w:ascii="Calibri" w:hAnsi="Calibri" w:cs="Calibri"/>
                <w:color w:val="000000"/>
                <w:lang w:val="en-US"/>
              </w:rPr>
              <w:t>,</w:t>
            </w:r>
            <w:r w:rsidRPr="00DB26EA">
              <w:rPr>
                <w:rFonts w:ascii="Calibri" w:hAnsi="Calibri" w:cs="Calibri"/>
                <w:color w:val="000000"/>
                <w:lang w:val="en-US"/>
              </w:rPr>
              <w:t xml:space="preserve"> </w:t>
            </w:r>
            <w:r w:rsidR="0020071B">
              <w:rPr>
                <w:rFonts w:ascii="Calibri" w:hAnsi="Calibri" w:cs="Calibri"/>
                <w:color w:val="000000"/>
                <w:lang w:val="en-US"/>
              </w:rPr>
              <w:t xml:space="preserve">as REDD+, </w:t>
            </w:r>
            <w:r w:rsidRPr="00DB26EA">
              <w:rPr>
                <w:rFonts w:ascii="Calibri" w:hAnsi="Calibri" w:cs="Calibri"/>
                <w:color w:val="000000"/>
                <w:lang w:val="en-US"/>
              </w:rPr>
              <w:t>in the Article 6.4 mechanism.</w:t>
            </w:r>
          </w:p>
          <w:p w14:paraId="35AE0A4C" w14:textId="0FF94740" w:rsidR="00DB26EA" w:rsidRPr="00DB26EA" w:rsidRDefault="006148C7" w:rsidP="00DB26EA">
            <w:pPr>
              <w:keepLines/>
              <w:spacing w:before="40" w:after="40"/>
              <w:rPr>
                <w:rFonts w:ascii="Calibri" w:hAnsi="Calibri" w:cs="Calibri"/>
                <w:color w:val="000000"/>
                <w:lang w:val="en-US"/>
              </w:rPr>
            </w:pPr>
            <w:r w:rsidRPr="006148C7">
              <w:rPr>
                <w:rFonts w:ascii="Calibri" w:hAnsi="Calibri" w:cs="Calibri"/>
                <w:color w:val="000000"/>
                <w:lang w:val="en-US"/>
              </w:rPr>
              <w:t xml:space="preserve">Meanwhile, </w:t>
            </w:r>
            <w:r w:rsidRPr="0020071B">
              <w:rPr>
                <w:rFonts w:ascii="Calibri" w:hAnsi="Calibri" w:cs="Calibri"/>
                <w:b/>
                <w:bCs/>
                <w:color w:val="000000"/>
                <w:lang w:val="en-US"/>
              </w:rPr>
              <w:t>Proposal B</w:t>
            </w:r>
            <w:r w:rsidR="0020071B">
              <w:rPr>
                <w:rFonts w:ascii="Calibri" w:hAnsi="Calibri" w:cs="Calibri"/>
                <w:color w:val="000000"/>
                <w:lang w:val="en-US"/>
              </w:rPr>
              <w:t xml:space="preserve"> (</w:t>
            </w:r>
            <w:r w:rsidRPr="006148C7">
              <w:rPr>
                <w:rFonts w:ascii="Calibri" w:hAnsi="Calibri" w:cs="Calibri"/>
                <w:color w:val="000000"/>
                <w:lang w:val="en-US"/>
              </w:rPr>
              <w:t>position held by one MEP member</w:t>
            </w:r>
            <w:r w:rsidR="0020071B">
              <w:rPr>
                <w:rFonts w:ascii="Calibri" w:hAnsi="Calibri" w:cs="Calibri"/>
                <w:color w:val="000000"/>
                <w:lang w:val="en-US"/>
              </w:rPr>
              <w:t xml:space="preserve">) </w:t>
            </w:r>
            <w:r w:rsidRPr="006148C7">
              <w:rPr>
                <w:rFonts w:ascii="Calibri" w:hAnsi="Calibri" w:cs="Calibri"/>
                <w:color w:val="000000"/>
                <w:lang w:val="en-US"/>
              </w:rPr>
              <w:t xml:space="preserve">states all requirements for addressing reversals can be established in a single standard </w:t>
            </w:r>
            <w:r w:rsidR="0020071B">
              <w:rPr>
                <w:rFonts w:ascii="Calibri" w:hAnsi="Calibri" w:cs="Calibri"/>
                <w:color w:val="000000"/>
                <w:lang w:val="en-US"/>
              </w:rPr>
              <w:t>for</w:t>
            </w:r>
            <w:r w:rsidRPr="006148C7">
              <w:rPr>
                <w:rFonts w:ascii="Calibri" w:hAnsi="Calibri" w:cs="Calibri"/>
                <w:color w:val="000000"/>
                <w:lang w:val="en-US"/>
              </w:rPr>
              <w:t xml:space="preserve"> activity participants (Appendix 3).</w:t>
            </w:r>
            <w:r w:rsidR="0020071B">
              <w:rPr>
                <w:rFonts w:ascii="Calibri" w:hAnsi="Calibri" w:cs="Calibri"/>
                <w:color w:val="000000"/>
                <w:lang w:val="en-US"/>
              </w:rPr>
              <w:t xml:space="preserve"> </w:t>
            </w:r>
            <w:r w:rsidR="00DB26EA">
              <w:rPr>
                <w:rFonts w:ascii="Calibri" w:hAnsi="Calibri" w:cs="Calibri"/>
                <w:color w:val="000000"/>
                <w:lang w:val="en-US"/>
              </w:rPr>
              <w:t>This</w:t>
            </w:r>
            <w:r w:rsidR="00DB26EA" w:rsidRPr="00DB26EA">
              <w:rPr>
                <w:rFonts w:ascii="Calibri" w:hAnsi="Calibri" w:cs="Calibri"/>
                <w:color w:val="000000"/>
                <w:lang w:val="en-US"/>
              </w:rPr>
              <w:t xml:space="preserve"> </w:t>
            </w:r>
            <w:r w:rsidR="0020071B" w:rsidRPr="00DB26EA">
              <w:rPr>
                <w:rFonts w:ascii="Calibri" w:hAnsi="Calibri" w:cs="Calibri"/>
                <w:color w:val="000000"/>
                <w:lang w:val="en-US"/>
              </w:rPr>
              <w:t>Appendix proposes</w:t>
            </w:r>
            <w:r w:rsidR="00DB26EA" w:rsidRPr="00DB26EA">
              <w:rPr>
                <w:rFonts w:ascii="Calibri" w:hAnsi="Calibri" w:cs="Calibri"/>
                <w:color w:val="000000"/>
                <w:lang w:val="en-US"/>
              </w:rPr>
              <w:t xml:space="preserve"> a more manageable approach by establishing a fixed post-issuance monitoring period. However, the proposed duration (45 years) is still considered excessive.</w:t>
            </w:r>
          </w:p>
          <w:p w14:paraId="575E0247" w14:textId="0BB6F4B9" w:rsidR="00DB26EA" w:rsidRPr="0020071B" w:rsidRDefault="00DB26EA" w:rsidP="0020071B">
            <w:pPr>
              <w:keepLines/>
              <w:spacing w:before="40" w:after="40"/>
              <w:rPr>
                <w:rFonts w:ascii="Calibri" w:hAnsi="Calibri" w:cs="Calibri"/>
                <w:color w:val="000000"/>
              </w:rPr>
            </w:pPr>
            <w:r w:rsidRPr="00DB26EA">
              <w:rPr>
                <w:rFonts w:ascii="Calibri" w:hAnsi="Calibri" w:cs="Calibri"/>
                <w:color w:val="000000"/>
                <w:lang w:val="en-US"/>
              </w:rPr>
              <w:t xml:space="preserve">Therefore, the adoption of Appendix 3 is viewed positively, as it promotes participation among activity types and simplifies reporting responsibilities. </w:t>
            </w:r>
            <w:r w:rsidR="0020071B">
              <w:rPr>
                <w:rFonts w:ascii="Calibri" w:hAnsi="Calibri" w:cs="Calibri"/>
                <w:color w:val="000000"/>
                <w:lang w:val="en-US"/>
              </w:rPr>
              <w:t>However</w:t>
            </w:r>
            <w:r w:rsidRPr="00DB26EA">
              <w:rPr>
                <w:rFonts w:ascii="Calibri" w:hAnsi="Calibri" w:cs="Calibri"/>
                <w:color w:val="000000"/>
                <w:lang w:val="en-US"/>
              </w:rPr>
              <w:t>, some adjustments should be considered</w:t>
            </w:r>
            <w:r w:rsidR="0020071B">
              <w:rPr>
                <w:rFonts w:ascii="Calibri" w:hAnsi="Calibri" w:cs="Calibri"/>
                <w:color w:val="000000"/>
                <w:lang w:val="en-US"/>
              </w:rPr>
              <w:t xml:space="preserve">. </w:t>
            </w:r>
          </w:p>
        </w:tc>
        <w:tc>
          <w:tcPr>
            <w:tcW w:w="4723" w:type="dxa"/>
            <w:tcBorders>
              <w:top w:val="single" w:sz="6" w:space="0" w:color="auto"/>
              <w:left w:val="single" w:sz="6" w:space="0" w:color="auto"/>
              <w:bottom w:val="single" w:sz="6" w:space="0" w:color="auto"/>
              <w:right w:val="single" w:sz="6" w:space="0" w:color="auto"/>
            </w:tcBorders>
          </w:tcPr>
          <w:p w14:paraId="3DD5194D" w14:textId="5BF46643" w:rsidR="006148C7" w:rsidRPr="006148C7" w:rsidRDefault="006148C7" w:rsidP="0020071B">
            <w:pPr>
              <w:pStyle w:val="NormalWeb"/>
              <w:jc w:val="both"/>
              <w:rPr>
                <w:rFonts w:ascii="Calibri" w:hAnsi="Calibri" w:cs="Calibri"/>
                <w:color w:val="000000"/>
                <w:sz w:val="22"/>
                <w:szCs w:val="22"/>
              </w:rPr>
            </w:pPr>
            <w:r w:rsidRPr="006148C7">
              <w:rPr>
                <w:rFonts w:ascii="Calibri" w:hAnsi="Calibri" w:cs="Calibri"/>
                <w:color w:val="000000"/>
                <w:sz w:val="22"/>
                <w:szCs w:val="22"/>
              </w:rPr>
              <w:t xml:space="preserve">Peru expresses concern that Appendices 1 and 2 propose indefinite monitoring obligations, which create significant barriers for projects in the land-use sector. Open-ended timelines or those lacking a clear time horizon are not viable for mobilizing investments, especially in contexts where clear incentives and enabling conditions are needed to foster the participation of the private sector and other local actors. </w:t>
            </w:r>
          </w:p>
          <w:p w14:paraId="2C6D5BFD" w14:textId="77777777" w:rsidR="000926EA" w:rsidRPr="002B2858" w:rsidRDefault="006148C7" w:rsidP="002B2858">
            <w:pPr>
              <w:pStyle w:val="NormalWeb"/>
              <w:jc w:val="both"/>
              <w:rPr>
                <w:rFonts w:ascii="Calibri" w:hAnsi="Calibri" w:cs="Calibri"/>
                <w:color w:val="000000"/>
                <w:sz w:val="22"/>
                <w:szCs w:val="22"/>
              </w:rPr>
            </w:pPr>
            <w:r w:rsidRPr="006148C7">
              <w:rPr>
                <w:rFonts w:ascii="Calibri" w:hAnsi="Calibri" w:cs="Calibri"/>
                <w:color w:val="000000"/>
              </w:rPr>
              <w:t xml:space="preserve">Therefore, Peru </w:t>
            </w:r>
            <w:r w:rsidR="001F5275">
              <w:rPr>
                <w:rFonts w:ascii="Calibri" w:hAnsi="Calibri" w:cs="Calibri"/>
                <w:color w:val="000000"/>
              </w:rPr>
              <w:t>considers</w:t>
            </w:r>
            <w:r w:rsidR="001F5275" w:rsidRPr="006148C7">
              <w:rPr>
                <w:rFonts w:ascii="Calibri" w:hAnsi="Calibri" w:cs="Calibri"/>
                <w:color w:val="000000"/>
              </w:rPr>
              <w:t xml:space="preserve"> </w:t>
            </w:r>
            <w:r w:rsidRPr="006148C7">
              <w:rPr>
                <w:rFonts w:ascii="Calibri" w:hAnsi="Calibri" w:cs="Calibri"/>
                <w:color w:val="000000"/>
              </w:rPr>
              <w:t>the adoption of Appendix 3</w:t>
            </w:r>
            <w:r w:rsidR="001F5275">
              <w:rPr>
                <w:rFonts w:ascii="Calibri" w:hAnsi="Calibri" w:cs="Calibri"/>
                <w:color w:val="000000"/>
              </w:rPr>
              <w:t xml:space="preserve"> as a better option</w:t>
            </w:r>
            <w:r w:rsidRPr="006148C7">
              <w:rPr>
                <w:rFonts w:ascii="Calibri" w:hAnsi="Calibri" w:cs="Calibri"/>
                <w:color w:val="000000"/>
              </w:rPr>
              <w:t xml:space="preserve">; however, it </w:t>
            </w:r>
            <w:r w:rsidRPr="002B2858">
              <w:rPr>
                <w:rFonts w:ascii="Calibri" w:hAnsi="Calibri" w:cs="Calibri"/>
                <w:color w:val="000000"/>
                <w:sz w:val="22"/>
                <w:szCs w:val="22"/>
              </w:rPr>
              <w:t>highlights the need for further adjustments (see further details in this table).</w:t>
            </w:r>
            <w:r w:rsidR="0020071B" w:rsidRPr="002B2858">
              <w:rPr>
                <w:rFonts w:ascii="Calibri" w:hAnsi="Calibri" w:cs="Calibri"/>
                <w:color w:val="000000"/>
                <w:sz w:val="22"/>
                <w:szCs w:val="22"/>
              </w:rPr>
              <w:t xml:space="preserve"> I</w:t>
            </w:r>
            <w:r w:rsidR="0020071B" w:rsidRPr="00DB26EA">
              <w:rPr>
                <w:rFonts w:ascii="Calibri" w:hAnsi="Calibri" w:cs="Calibri"/>
                <w:color w:val="000000"/>
                <w:sz w:val="22"/>
                <w:szCs w:val="22"/>
              </w:rPr>
              <w:t>t is also recommended to deepen collaborative work</w:t>
            </w:r>
            <w:r w:rsidR="0020071B" w:rsidRPr="006148C7">
              <w:rPr>
                <w:rFonts w:ascii="Calibri" w:hAnsi="Calibri" w:cs="Calibri"/>
                <w:color w:val="000000"/>
                <w:sz w:val="22"/>
                <w:szCs w:val="22"/>
              </w:rPr>
              <w:t xml:space="preserve"> with key stakeholders to ensure that </w:t>
            </w:r>
            <w:r w:rsidR="0020071B" w:rsidRPr="002B2858">
              <w:rPr>
                <w:rFonts w:ascii="Calibri" w:hAnsi="Calibri" w:cs="Calibri"/>
                <w:color w:val="000000"/>
                <w:sz w:val="22"/>
                <w:szCs w:val="22"/>
              </w:rPr>
              <w:t>the proposal</w:t>
            </w:r>
            <w:r w:rsidR="0020071B" w:rsidRPr="006148C7">
              <w:rPr>
                <w:rFonts w:ascii="Calibri" w:hAnsi="Calibri" w:cs="Calibri"/>
                <w:color w:val="000000"/>
                <w:sz w:val="22"/>
                <w:szCs w:val="22"/>
              </w:rPr>
              <w:t xml:space="preserve"> is operationally feasible and economically viable.</w:t>
            </w:r>
          </w:p>
          <w:p w14:paraId="4C8A47BE" w14:textId="0B04D7DE" w:rsidR="002B2858" w:rsidRPr="006148C7" w:rsidRDefault="002B2858" w:rsidP="002B2858">
            <w:pPr>
              <w:pStyle w:val="NormalWeb"/>
              <w:jc w:val="both"/>
              <w:rPr>
                <w:sz w:val="20"/>
                <w:szCs w:val="20"/>
              </w:rPr>
            </w:pPr>
            <w:r w:rsidRPr="002B2858">
              <w:rPr>
                <w:rFonts w:ascii="Calibri" w:hAnsi="Calibri" w:cs="Calibri"/>
                <w:color w:val="000000"/>
                <w:sz w:val="22"/>
                <w:szCs w:val="22"/>
              </w:rPr>
              <w:t xml:space="preserve">Nevertheless, </w:t>
            </w:r>
            <w:r w:rsidR="004C0471">
              <w:rPr>
                <w:rFonts w:ascii="Calibri" w:hAnsi="Calibri" w:cs="Calibri"/>
                <w:color w:val="000000"/>
                <w:sz w:val="22"/>
                <w:szCs w:val="22"/>
              </w:rPr>
              <w:t>Peru</w:t>
            </w:r>
            <w:r w:rsidRPr="002B2858">
              <w:rPr>
                <w:rFonts w:ascii="Calibri" w:hAnsi="Calibri" w:cs="Calibri"/>
                <w:color w:val="000000"/>
                <w:sz w:val="22"/>
                <w:szCs w:val="22"/>
              </w:rPr>
              <w:t xml:space="preserve"> request</w:t>
            </w:r>
            <w:r w:rsidR="004C0471">
              <w:rPr>
                <w:rFonts w:ascii="Calibri" w:hAnsi="Calibri" w:cs="Calibri"/>
                <w:color w:val="000000"/>
                <w:sz w:val="22"/>
                <w:szCs w:val="22"/>
              </w:rPr>
              <w:t>s</w:t>
            </w:r>
            <w:r w:rsidRPr="002B2858">
              <w:rPr>
                <w:rFonts w:ascii="Calibri" w:hAnsi="Calibri" w:cs="Calibri"/>
                <w:color w:val="000000"/>
                <w:sz w:val="22"/>
                <w:szCs w:val="22"/>
              </w:rPr>
              <w:t xml:space="preserve"> the MEP extend the deadline for submitting feedback</w:t>
            </w:r>
            <w:r w:rsidR="004C0471">
              <w:rPr>
                <w:rFonts w:ascii="Calibri" w:hAnsi="Calibri" w:cs="Calibri"/>
                <w:color w:val="000000"/>
                <w:sz w:val="22"/>
                <w:szCs w:val="22"/>
              </w:rPr>
              <w:t xml:space="preserve"> and inputs</w:t>
            </w:r>
            <w:r w:rsidRPr="002B2858">
              <w:rPr>
                <w:rFonts w:ascii="Calibri" w:hAnsi="Calibri" w:cs="Calibri"/>
                <w:color w:val="000000"/>
                <w:sz w:val="22"/>
                <w:szCs w:val="22"/>
              </w:rPr>
              <w:t>, considering the complexity of both proposals (option A and option B)</w:t>
            </w:r>
            <w:r w:rsidR="004C0471">
              <w:rPr>
                <w:rFonts w:ascii="Calibri" w:hAnsi="Calibri" w:cs="Calibri"/>
                <w:color w:val="000000"/>
                <w:sz w:val="22"/>
                <w:szCs w:val="22"/>
              </w:rPr>
              <w:t xml:space="preserve"> </w:t>
            </w:r>
            <w:r w:rsidR="004C0471" w:rsidRPr="004C0471">
              <w:rPr>
                <w:rFonts w:ascii="Calibri" w:hAnsi="Calibri" w:cs="Calibri"/>
                <w:color w:val="000000"/>
                <w:sz w:val="22"/>
                <w:szCs w:val="22"/>
              </w:rPr>
              <w:t xml:space="preserve">and considering the impact </w:t>
            </w:r>
            <w:r w:rsidR="004C0471">
              <w:rPr>
                <w:rFonts w:ascii="Calibri" w:hAnsi="Calibri" w:cs="Calibri"/>
                <w:color w:val="000000"/>
                <w:sz w:val="22"/>
                <w:szCs w:val="22"/>
              </w:rPr>
              <w:t>this Standard</w:t>
            </w:r>
            <w:r w:rsidR="004C0471" w:rsidRPr="004C0471">
              <w:rPr>
                <w:rFonts w:ascii="Calibri" w:hAnsi="Calibri" w:cs="Calibri"/>
                <w:color w:val="000000"/>
                <w:sz w:val="22"/>
                <w:szCs w:val="22"/>
              </w:rPr>
              <w:t xml:space="preserve"> will have on countries with high potential for projects related to nature-based solutions and REDD+</w:t>
            </w:r>
            <w:r w:rsidR="004C0471">
              <w:rPr>
                <w:rFonts w:ascii="Calibri" w:hAnsi="Calibri" w:cs="Calibri"/>
                <w:color w:val="000000"/>
                <w:sz w:val="22"/>
                <w:szCs w:val="22"/>
              </w:rPr>
              <w:t>.</w:t>
            </w:r>
          </w:p>
        </w:tc>
      </w:tr>
      <w:tr w:rsidR="008F08D4" w:rsidRPr="006148C7" w14:paraId="00C38433"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7BD216FB" w14:textId="6B602969" w:rsidR="008F08D4" w:rsidRPr="000926EA" w:rsidRDefault="00472DBC" w:rsidP="008F08D4">
            <w:pPr>
              <w:keepLines/>
              <w:spacing w:before="40" w:after="40" w:line="190" w:lineRule="exact"/>
              <w:jc w:val="center"/>
              <w:rPr>
                <w:sz w:val="20"/>
                <w:szCs w:val="20"/>
              </w:rPr>
            </w:pPr>
            <w:r>
              <w:rPr>
                <w:sz w:val="20"/>
                <w:szCs w:val="20"/>
              </w:rPr>
              <w:lastRenderedPageBreak/>
              <w:t>3</w:t>
            </w:r>
          </w:p>
        </w:tc>
        <w:tc>
          <w:tcPr>
            <w:tcW w:w="2802" w:type="dxa"/>
            <w:tcBorders>
              <w:top w:val="single" w:sz="6" w:space="0" w:color="auto"/>
              <w:left w:val="single" w:sz="6" w:space="0" w:color="auto"/>
              <w:bottom w:val="single" w:sz="6" w:space="0" w:color="auto"/>
              <w:right w:val="single" w:sz="6" w:space="0" w:color="auto"/>
            </w:tcBorders>
          </w:tcPr>
          <w:p w14:paraId="04495539" w14:textId="77777777" w:rsidR="000F4613" w:rsidRDefault="000F4613" w:rsidP="000F4613">
            <w:pPr>
              <w:pStyle w:val="NormalWeb"/>
              <w:spacing w:before="0" w:beforeAutospacing="0" w:after="0" w:afterAutospacing="0"/>
              <w:rPr>
                <w:rFonts w:ascii="Calibri" w:hAnsi="Calibri" w:cs="Calibri"/>
                <w:b/>
                <w:bCs/>
                <w:color w:val="000000"/>
                <w:sz w:val="22"/>
                <w:szCs w:val="22"/>
              </w:rPr>
            </w:pPr>
            <w:r w:rsidRPr="000F4613">
              <w:rPr>
                <w:rFonts w:ascii="Calibri" w:hAnsi="Calibri" w:cs="Calibri"/>
                <w:b/>
                <w:bCs/>
                <w:color w:val="000000"/>
                <w:sz w:val="22"/>
                <w:szCs w:val="22"/>
              </w:rPr>
              <w:t>Appendix 3</w:t>
            </w:r>
          </w:p>
          <w:p w14:paraId="02A7FE88" w14:textId="7BF4C2D3" w:rsidR="000F4613" w:rsidRDefault="00AC59B0" w:rsidP="000F4613">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Section 3.</w:t>
            </w:r>
            <w:r w:rsidRPr="000F4613">
              <w:rPr>
                <w:rFonts w:ascii="Calibri" w:hAnsi="Calibri" w:cs="Calibri"/>
                <w:b/>
                <w:bCs/>
                <w:color w:val="000000"/>
                <w:sz w:val="22"/>
                <w:szCs w:val="22"/>
              </w:rPr>
              <w:t xml:space="preserve"> Definitions</w:t>
            </w:r>
          </w:p>
          <w:p w14:paraId="6BB268FD" w14:textId="44F0A1F5" w:rsidR="008F08D4" w:rsidRPr="000926EA" w:rsidRDefault="008F08D4" w:rsidP="000C00F5">
            <w:pPr>
              <w:pStyle w:val="NormalWeb"/>
              <w:spacing w:before="0" w:beforeAutospacing="0" w:after="0" w:afterAutospacing="0"/>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3672A29A" w14:textId="70D97CEA" w:rsidR="008F08D4" w:rsidRPr="000926EA" w:rsidRDefault="000F4613" w:rsidP="008F08D4">
            <w:pPr>
              <w:keepLines/>
              <w:spacing w:before="40" w:after="40" w:line="190" w:lineRule="exact"/>
              <w:jc w:val="left"/>
              <w:rPr>
                <w:sz w:val="20"/>
                <w:szCs w:val="20"/>
              </w:rPr>
            </w:pPr>
            <w:r w:rsidRPr="2A32E557">
              <w:rPr>
                <w:rFonts w:eastAsia="Arial"/>
                <w:sz w:val="20"/>
                <w:szCs w:val="20"/>
              </w:rPr>
              <w:t xml:space="preserve">Paragraph </w:t>
            </w:r>
            <w:r>
              <w:rPr>
                <w:rFonts w:eastAsia="Arial"/>
                <w:sz w:val="20"/>
                <w:szCs w:val="20"/>
              </w:rPr>
              <w:t>8</w:t>
            </w:r>
            <w:r w:rsidR="00AF3AFE">
              <w:rPr>
                <w:rFonts w:eastAsia="Arial"/>
                <w:sz w:val="20"/>
                <w:szCs w:val="20"/>
              </w:rPr>
              <w:t xml:space="preserve"> </w:t>
            </w:r>
            <w:r>
              <w:rPr>
                <w:rFonts w:eastAsia="Arial"/>
                <w:sz w:val="20"/>
                <w:szCs w:val="20"/>
              </w:rPr>
              <w:t>(g)</w:t>
            </w:r>
          </w:p>
        </w:tc>
        <w:tc>
          <w:tcPr>
            <w:tcW w:w="4669" w:type="dxa"/>
            <w:tcBorders>
              <w:top w:val="single" w:sz="6" w:space="0" w:color="auto"/>
              <w:left w:val="single" w:sz="6" w:space="0" w:color="auto"/>
              <w:bottom w:val="single" w:sz="6" w:space="0" w:color="auto"/>
              <w:right w:val="single" w:sz="6" w:space="0" w:color="auto"/>
            </w:tcBorders>
          </w:tcPr>
          <w:p w14:paraId="66D4CEFA" w14:textId="2193012E" w:rsidR="008F08D4" w:rsidRPr="006148C7" w:rsidRDefault="006148C7" w:rsidP="00582536">
            <w:pPr>
              <w:keepLines/>
              <w:spacing w:before="40" w:after="40"/>
              <w:jc w:val="left"/>
              <w:rPr>
                <w:rFonts w:ascii="Calibri" w:hAnsi="Calibri" w:cs="Calibri"/>
                <w:color w:val="000000"/>
                <w:lang w:val="en-US"/>
              </w:rPr>
            </w:pPr>
            <w:r w:rsidRPr="006148C7">
              <w:rPr>
                <w:rFonts w:ascii="Calibri" w:hAnsi="Calibri" w:cs="Calibri"/>
                <w:color w:val="000000"/>
                <w:lang w:val="en-US"/>
              </w:rPr>
              <w:t>While the proposed definition of net removal includes the consideration of leakage in the estimation of net removals and emission reductions, it is important to recognize that international leakage involves high levels of uncertainty and has a limited scientific basis across different geographical contexts and credit types. Requiring its precise estimation imposes a significant monitoring burden and, in the absence of accessible and reliable data, could discourage investment, limit market participation, and undermine the effectiveness of the mechanism.</w:t>
            </w:r>
          </w:p>
        </w:tc>
        <w:tc>
          <w:tcPr>
            <w:tcW w:w="4723" w:type="dxa"/>
            <w:tcBorders>
              <w:top w:val="single" w:sz="6" w:space="0" w:color="auto"/>
              <w:left w:val="single" w:sz="6" w:space="0" w:color="auto"/>
              <w:bottom w:val="single" w:sz="6" w:space="0" w:color="auto"/>
              <w:right w:val="single" w:sz="6" w:space="0" w:color="auto"/>
            </w:tcBorders>
          </w:tcPr>
          <w:p w14:paraId="0D152F48" w14:textId="5D7BE089" w:rsidR="008F08D4" w:rsidRPr="006148C7" w:rsidRDefault="006148C7" w:rsidP="00AA6E84">
            <w:pPr>
              <w:keepLines/>
              <w:spacing w:before="40" w:after="40"/>
              <w:rPr>
                <w:sz w:val="20"/>
                <w:szCs w:val="20"/>
                <w:lang w:val="en-US"/>
              </w:rPr>
            </w:pPr>
            <w:r w:rsidRPr="006148C7">
              <w:rPr>
                <w:rFonts w:ascii="Calibri" w:hAnsi="Calibri" w:cs="Calibri"/>
                <w:color w:val="000000"/>
                <w:lang w:val="en-US"/>
              </w:rPr>
              <w:t>As an alternative to address this limitation, the application of a fixed discount tailored to each credit category could be considered. This would conservatively reflect the risk of leakage without imposing technical and monitoring requirements that could compromise the viability of the activities.</w:t>
            </w:r>
          </w:p>
        </w:tc>
      </w:tr>
      <w:tr w:rsidR="008F08D4" w:rsidRPr="006148C7" w14:paraId="09C11D74"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3CF24BA5" w14:textId="7389A02F" w:rsidR="008F08D4" w:rsidRPr="000926EA" w:rsidRDefault="00472DBC" w:rsidP="008F08D4">
            <w:pPr>
              <w:keepLines/>
              <w:spacing w:before="40" w:after="40" w:line="190" w:lineRule="exact"/>
              <w:jc w:val="center"/>
              <w:rPr>
                <w:sz w:val="20"/>
                <w:szCs w:val="20"/>
              </w:rPr>
            </w:pPr>
            <w:r>
              <w:rPr>
                <w:sz w:val="20"/>
                <w:szCs w:val="20"/>
              </w:rPr>
              <w:t>4</w:t>
            </w:r>
          </w:p>
        </w:tc>
        <w:tc>
          <w:tcPr>
            <w:tcW w:w="2802" w:type="dxa"/>
            <w:tcBorders>
              <w:top w:val="single" w:sz="6" w:space="0" w:color="auto"/>
              <w:left w:val="single" w:sz="6" w:space="0" w:color="auto"/>
              <w:bottom w:val="single" w:sz="6" w:space="0" w:color="auto"/>
              <w:right w:val="single" w:sz="6" w:space="0" w:color="auto"/>
            </w:tcBorders>
          </w:tcPr>
          <w:p w14:paraId="31FB30BD" w14:textId="77777777" w:rsidR="009F51BF" w:rsidRDefault="009F51BF" w:rsidP="009F51BF">
            <w:pPr>
              <w:pStyle w:val="NormalWeb"/>
              <w:spacing w:before="0" w:beforeAutospacing="0" w:after="0" w:afterAutospacing="0"/>
              <w:rPr>
                <w:rFonts w:ascii="Calibri" w:hAnsi="Calibri" w:cs="Calibri"/>
                <w:b/>
                <w:bCs/>
                <w:color w:val="000000"/>
                <w:sz w:val="22"/>
                <w:szCs w:val="22"/>
              </w:rPr>
            </w:pPr>
            <w:r w:rsidRPr="000F4613">
              <w:rPr>
                <w:rFonts w:ascii="Calibri" w:hAnsi="Calibri" w:cs="Calibri"/>
                <w:b/>
                <w:bCs/>
                <w:color w:val="000000"/>
                <w:sz w:val="22"/>
                <w:szCs w:val="22"/>
              </w:rPr>
              <w:t>Appendix 3</w:t>
            </w:r>
          </w:p>
          <w:p w14:paraId="2E117AC0" w14:textId="52E990D2" w:rsidR="008F08D4" w:rsidRPr="009F51BF" w:rsidRDefault="009F51BF" w:rsidP="009F51BF">
            <w:pPr>
              <w:keepLines/>
              <w:spacing w:before="40" w:after="40"/>
              <w:jc w:val="left"/>
              <w:rPr>
                <w:b/>
                <w:bCs/>
                <w:sz w:val="20"/>
                <w:szCs w:val="20"/>
              </w:rPr>
            </w:pPr>
            <w:r w:rsidRPr="009F51BF">
              <w:rPr>
                <w:b/>
                <w:bCs/>
                <w:sz w:val="20"/>
                <w:szCs w:val="20"/>
              </w:rPr>
              <w:t>Section 5.2. Reversal monitoring duration</w:t>
            </w:r>
          </w:p>
          <w:p w14:paraId="625E0C38" w14:textId="3E03AD05" w:rsidR="008F08D4" w:rsidRPr="000926EA" w:rsidRDefault="008F08D4" w:rsidP="008F08D4">
            <w:pPr>
              <w:keepLines/>
              <w:spacing w:before="40" w:after="40" w:line="190" w:lineRule="exact"/>
              <w:jc w:val="left"/>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4D07A892" w14:textId="16EECD4B" w:rsidR="008F08D4" w:rsidRPr="000926EA" w:rsidRDefault="009F51BF" w:rsidP="008F08D4">
            <w:pPr>
              <w:keepLines/>
              <w:spacing w:before="40" w:after="40" w:line="190" w:lineRule="exact"/>
              <w:jc w:val="left"/>
              <w:rPr>
                <w:sz w:val="20"/>
                <w:szCs w:val="20"/>
              </w:rPr>
            </w:pPr>
            <w:r w:rsidRPr="2A32E557">
              <w:rPr>
                <w:rFonts w:eastAsia="Arial"/>
                <w:sz w:val="20"/>
                <w:szCs w:val="20"/>
              </w:rPr>
              <w:t xml:space="preserve">Paragraph </w:t>
            </w:r>
            <w:r>
              <w:rPr>
                <w:rFonts w:eastAsia="Arial"/>
                <w:sz w:val="20"/>
                <w:szCs w:val="20"/>
              </w:rPr>
              <w:t>17</w:t>
            </w:r>
          </w:p>
        </w:tc>
        <w:tc>
          <w:tcPr>
            <w:tcW w:w="4669" w:type="dxa"/>
            <w:tcBorders>
              <w:top w:val="single" w:sz="6" w:space="0" w:color="auto"/>
              <w:left w:val="single" w:sz="6" w:space="0" w:color="auto"/>
              <w:bottom w:val="single" w:sz="6" w:space="0" w:color="auto"/>
              <w:right w:val="single" w:sz="6" w:space="0" w:color="auto"/>
            </w:tcBorders>
          </w:tcPr>
          <w:p w14:paraId="39DAB5EB" w14:textId="6840AB76" w:rsidR="00613F2C" w:rsidRPr="006148C7" w:rsidRDefault="006148C7" w:rsidP="00613F2C">
            <w:pPr>
              <w:keepLines/>
              <w:spacing w:before="40" w:after="40"/>
              <w:jc w:val="left"/>
              <w:rPr>
                <w:rFonts w:ascii="Calibri" w:hAnsi="Calibri" w:cs="Calibri"/>
                <w:color w:val="000000"/>
                <w:lang w:val="en-US"/>
              </w:rPr>
            </w:pPr>
            <w:r w:rsidRPr="006148C7">
              <w:rPr>
                <w:rFonts w:ascii="Calibri" w:hAnsi="Calibri" w:cs="Calibri"/>
                <w:color w:val="000000"/>
                <w:lang w:val="en-US"/>
              </w:rPr>
              <w:t>Appendix 3 establishes that participants must monitor reversals for 45 years following the date of final verification. In the context of Peru, for example, there are projects with crediting periods ranging from 30 to 40 years, which would imply contractual commitments of 75 to 85 years. This requirement is operationally unfeasible, as it would be unreasonable to expect project developers to assume obligations that exceed the duration of their contracts and their long-term management capacities.</w:t>
            </w:r>
          </w:p>
        </w:tc>
        <w:tc>
          <w:tcPr>
            <w:tcW w:w="4723" w:type="dxa"/>
            <w:tcBorders>
              <w:top w:val="single" w:sz="6" w:space="0" w:color="auto"/>
              <w:left w:val="single" w:sz="6" w:space="0" w:color="auto"/>
              <w:bottom w:val="single" w:sz="6" w:space="0" w:color="auto"/>
              <w:right w:val="single" w:sz="6" w:space="0" w:color="auto"/>
            </w:tcBorders>
          </w:tcPr>
          <w:p w14:paraId="244E7249" w14:textId="77777777" w:rsidR="006148C7" w:rsidRPr="006148C7" w:rsidRDefault="006148C7" w:rsidP="006148C7">
            <w:pPr>
              <w:keepLines/>
              <w:spacing w:before="40" w:after="40"/>
              <w:jc w:val="left"/>
              <w:rPr>
                <w:rFonts w:ascii="Calibri" w:hAnsi="Calibri" w:cs="Calibri"/>
                <w:color w:val="000000"/>
                <w:lang w:val="en-US"/>
              </w:rPr>
            </w:pPr>
            <w:r w:rsidRPr="006148C7">
              <w:rPr>
                <w:rFonts w:ascii="Calibri" w:hAnsi="Calibri" w:cs="Calibri"/>
                <w:color w:val="000000"/>
                <w:lang w:val="en-US"/>
              </w:rPr>
              <w:t>It is recommended to work with key stakeholders to assess the operational feasibility and cost implications of the post-crediting period monitoring requirements.</w:t>
            </w:r>
          </w:p>
          <w:p w14:paraId="1681B9C9" w14:textId="70830FF1" w:rsidR="00FB6945" w:rsidRPr="006148C7" w:rsidRDefault="006148C7" w:rsidP="006148C7">
            <w:pPr>
              <w:keepLines/>
              <w:spacing w:before="40" w:after="40"/>
              <w:jc w:val="left"/>
              <w:rPr>
                <w:sz w:val="20"/>
                <w:szCs w:val="20"/>
                <w:lang w:val="en-US"/>
              </w:rPr>
            </w:pPr>
            <w:r w:rsidRPr="006148C7">
              <w:rPr>
                <w:rFonts w:ascii="Calibri" w:hAnsi="Calibri" w:cs="Calibri"/>
                <w:color w:val="000000"/>
                <w:lang w:val="en-US"/>
              </w:rPr>
              <w:t xml:space="preserve">In this context, it is suggested to modify this requirement to a period of 40 years counted from the project start date, and to establish a periodic review every 5 years </w:t>
            </w:r>
            <w:proofErr w:type="gramStart"/>
            <w:r w:rsidRPr="006148C7">
              <w:rPr>
                <w:rFonts w:ascii="Calibri" w:hAnsi="Calibri" w:cs="Calibri"/>
                <w:color w:val="000000"/>
                <w:lang w:val="en-US"/>
              </w:rPr>
              <w:t>in order to</w:t>
            </w:r>
            <w:proofErr w:type="gramEnd"/>
            <w:r w:rsidRPr="006148C7">
              <w:rPr>
                <w:rFonts w:ascii="Calibri" w:hAnsi="Calibri" w:cs="Calibri"/>
                <w:color w:val="000000"/>
                <w:lang w:val="en-US"/>
              </w:rPr>
              <w:t xml:space="preserve"> incorporate potential advancements in technology and assurance mechanisms that could optimize its implementation.</w:t>
            </w:r>
          </w:p>
        </w:tc>
      </w:tr>
      <w:tr w:rsidR="008F08D4" w:rsidRPr="006148C7" w14:paraId="6D7EE0FA"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3B6D3DC5" w14:textId="0DDC4C99" w:rsidR="008F08D4" w:rsidRPr="000926EA" w:rsidRDefault="00472DBC" w:rsidP="008F08D4">
            <w:pPr>
              <w:keepLines/>
              <w:spacing w:before="40" w:after="40" w:line="190" w:lineRule="exact"/>
              <w:jc w:val="center"/>
              <w:rPr>
                <w:sz w:val="20"/>
                <w:szCs w:val="20"/>
              </w:rPr>
            </w:pPr>
            <w:r>
              <w:rPr>
                <w:sz w:val="20"/>
                <w:szCs w:val="20"/>
              </w:rPr>
              <w:lastRenderedPageBreak/>
              <w:t>5</w:t>
            </w:r>
          </w:p>
        </w:tc>
        <w:tc>
          <w:tcPr>
            <w:tcW w:w="2802" w:type="dxa"/>
            <w:tcBorders>
              <w:top w:val="single" w:sz="6" w:space="0" w:color="auto"/>
              <w:left w:val="single" w:sz="6" w:space="0" w:color="auto"/>
              <w:bottom w:val="single" w:sz="6" w:space="0" w:color="auto"/>
              <w:right w:val="single" w:sz="6" w:space="0" w:color="auto"/>
            </w:tcBorders>
          </w:tcPr>
          <w:p w14:paraId="4F1886C2" w14:textId="77777777" w:rsidR="002722AA" w:rsidRDefault="002722AA" w:rsidP="002722AA">
            <w:pPr>
              <w:pStyle w:val="NormalWeb"/>
              <w:spacing w:before="0" w:beforeAutospacing="0" w:after="0" w:afterAutospacing="0"/>
              <w:rPr>
                <w:rFonts w:ascii="Calibri" w:hAnsi="Calibri" w:cs="Calibri"/>
                <w:b/>
                <w:bCs/>
                <w:color w:val="000000"/>
                <w:sz w:val="22"/>
                <w:szCs w:val="22"/>
              </w:rPr>
            </w:pPr>
            <w:r w:rsidRPr="000F4613">
              <w:rPr>
                <w:rFonts w:ascii="Calibri" w:hAnsi="Calibri" w:cs="Calibri"/>
                <w:b/>
                <w:bCs/>
                <w:color w:val="000000"/>
                <w:sz w:val="22"/>
                <w:szCs w:val="22"/>
              </w:rPr>
              <w:t>Appendix 3</w:t>
            </w:r>
          </w:p>
          <w:p w14:paraId="7AF693F2" w14:textId="77777777" w:rsidR="002722AA" w:rsidRPr="009F51BF" w:rsidRDefault="002722AA" w:rsidP="002722AA">
            <w:pPr>
              <w:keepLines/>
              <w:spacing w:before="40" w:after="40"/>
              <w:jc w:val="left"/>
              <w:rPr>
                <w:b/>
                <w:bCs/>
                <w:sz w:val="20"/>
                <w:szCs w:val="20"/>
              </w:rPr>
            </w:pPr>
            <w:r w:rsidRPr="009F51BF">
              <w:rPr>
                <w:b/>
                <w:bCs/>
                <w:sz w:val="20"/>
                <w:szCs w:val="20"/>
              </w:rPr>
              <w:t>Section 5.2. Reversal monitoring duration</w:t>
            </w:r>
          </w:p>
          <w:p w14:paraId="4A44648D" w14:textId="6F9EDABC" w:rsidR="008F08D4" w:rsidRPr="000926EA" w:rsidRDefault="008F08D4" w:rsidP="008F08D4">
            <w:pPr>
              <w:keepLines/>
              <w:spacing w:before="40" w:after="40" w:line="190" w:lineRule="exact"/>
              <w:jc w:val="left"/>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3CD2647E" w14:textId="72E5D212" w:rsidR="008F08D4" w:rsidRPr="000926EA" w:rsidRDefault="00561B1B" w:rsidP="008F08D4">
            <w:pPr>
              <w:keepLines/>
              <w:spacing w:before="40" w:after="40" w:line="190" w:lineRule="exact"/>
              <w:jc w:val="left"/>
              <w:rPr>
                <w:sz w:val="20"/>
                <w:szCs w:val="20"/>
              </w:rPr>
            </w:pPr>
            <w:r w:rsidRPr="2A32E557">
              <w:rPr>
                <w:rFonts w:eastAsia="Arial"/>
                <w:sz w:val="20"/>
                <w:szCs w:val="20"/>
              </w:rPr>
              <w:t xml:space="preserve">Paragraph </w:t>
            </w:r>
            <w:r>
              <w:rPr>
                <w:rFonts w:eastAsia="Arial"/>
                <w:sz w:val="20"/>
                <w:szCs w:val="20"/>
              </w:rPr>
              <w:t xml:space="preserve">19 </w:t>
            </w:r>
          </w:p>
        </w:tc>
        <w:tc>
          <w:tcPr>
            <w:tcW w:w="4669" w:type="dxa"/>
            <w:tcBorders>
              <w:top w:val="single" w:sz="6" w:space="0" w:color="auto"/>
              <w:left w:val="single" w:sz="6" w:space="0" w:color="auto"/>
              <w:bottom w:val="single" w:sz="6" w:space="0" w:color="auto"/>
              <w:right w:val="single" w:sz="6" w:space="0" w:color="auto"/>
            </w:tcBorders>
          </w:tcPr>
          <w:p w14:paraId="6E66057F" w14:textId="4DAEBC8C" w:rsidR="008F08D4" w:rsidRPr="006148C7" w:rsidRDefault="006148C7" w:rsidP="00561B1B">
            <w:pPr>
              <w:keepLines/>
              <w:spacing w:before="40" w:after="40"/>
              <w:jc w:val="left"/>
              <w:rPr>
                <w:sz w:val="20"/>
                <w:szCs w:val="20"/>
                <w:lang w:val="en-US"/>
              </w:rPr>
            </w:pPr>
            <w:r w:rsidRPr="006148C7">
              <w:rPr>
                <w:rFonts w:ascii="Calibri" w:hAnsi="Calibri" w:cs="Calibri"/>
                <w:color w:val="000000"/>
                <w:lang w:val="en-US"/>
              </w:rPr>
              <w:t xml:space="preserve">The current definition of </w:t>
            </w:r>
            <w:r w:rsidR="00D22430">
              <w:rPr>
                <w:rFonts w:ascii="Calibri" w:hAnsi="Calibri" w:cs="Calibri"/>
                <w:color w:val="000000"/>
                <w:lang w:val="en-US"/>
              </w:rPr>
              <w:t>n</w:t>
            </w:r>
            <w:r w:rsidR="00D22430" w:rsidRPr="00D22430">
              <w:rPr>
                <w:rFonts w:ascii="Calibri" w:hAnsi="Calibri" w:cs="Calibri"/>
                <w:color w:val="000000"/>
                <w:lang w:val="en-US"/>
              </w:rPr>
              <w:t>egligible</w:t>
            </w:r>
            <w:r w:rsidR="00D22430">
              <w:rPr>
                <w:rFonts w:ascii="Calibri" w:hAnsi="Calibri" w:cs="Calibri"/>
                <w:color w:val="000000"/>
                <w:lang w:val="en-US"/>
              </w:rPr>
              <w:t xml:space="preserve"> </w:t>
            </w:r>
            <w:r w:rsidRPr="006148C7">
              <w:rPr>
                <w:rFonts w:ascii="Calibri" w:hAnsi="Calibri" w:cs="Calibri"/>
                <w:color w:val="000000"/>
                <w:lang w:val="en-US"/>
              </w:rPr>
              <w:t xml:space="preserve">risk of reversal is excessively restrictive and does not </w:t>
            </w:r>
            <w:r w:rsidR="00D22430" w:rsidRPr="006148C7">
              <w:rPr>
                <w:rFonts w:ascii="Calibri" w:hAnsi="Calibri" w:cs="Calibri"/>
                <w:color w:val="000000"/>
                <w:lang w:val="en-US"/>
              </w:rPr>
              <w:t>consider</w:t>
            </w:r>
            <w:r w:rsidRPr="006148C7">
              <w:rPr>
                <w:rFonts w:ascii="Calibri" w:hAnsi="Calibri" w:cs="Calibri"/>
                <w:color w:val="000000"/>
                <w:lang w:val="en-US"/>
              </w:rPr>
              <w:t xml:space="preserve"> the inherent limitations of long-term (100-year) carbon stability projections, especially in the land-use sector. This severely limits the ability of projects to qualify for exemptions from post-crediting period monitoring, imposing disproportionate demands on participants. Therefore, this requirement could negatively impact the legitimacy and credibility of the mechanism.</w:t>
            </w:r>
          </w:p>
        </w:tc>
        <w:tc>
          <w:tcPr>
            <w:tcW w:w="4723" w:type="dxa"/>
            <w:tcBorders>
              <w:top w:val="single" w:sz="6" w:space="0" w:color="auto"/>
              <w:left w:val="single" w:sz="6" w:space="0" w:color="auto"/>
              <w:bottom w:val="single" w:sz="6" w:space="0" w:color="auto"/>
              <w:right w:val="single" w:sz="6" w:space="0" w:color="auto"/>
            </w:tcBorders>
          </w:tcPr>
          <w:p w14:paraId="5AEDBD2A" w14:textId="38B4AB48" w:rsidR="008F08D4" w:rsidRPr="006148C7" w:rsidRDefault="006148C7" w:rsidP="00EF2315">
            <w:pPr>
              <w:keepLines/>
              <w:spacing w:before="40" w:after="40"/>
              <w:jc w:val="left"/>
              <w:rPr>
                <w:sz w:val="20"/>
                <w:szCs w:val="20"/>
                <w:lang w:val="en-US"/>
              </w:rPr>
            </w:pPr>
            <w:r w:rsidRPr="006148C7">
              <w:rPr>
                <w:rFonts w:ascii="Calibri" w:hAnsi="Calibri" w:cs="Calibri"/>
                <w:color w:val="000000"/>
                <w:lang w:val="en-US"/>
              </w:rPr>
              <w:t>It is recommended to replace the definition of “</w:t>
            </w:r>
            <w:proofErr w:type="spellStart"/>
            <w:r w:rsidR="00D22430">
              <w:rPr>
                <w:rFonts w:ascii="Calibri" w:hAnsi="Calibri" w:cs="Calibri"/>
                <w:color w:val="000000"/>
                <w:lang w:val="en-US"/>
              </w:rPr>
              <w:t>n</w:t>
            </w:r>
            <w:r w:rsidR="00D22430" w:rsidRPr="00D22430">
              <w:rPr>
                <w:rFonts w:ascii="Calibri" w:hAnsi="Calibri" w:cs="Calibri"/>
                <w:color w:val="000000"/>
                <w:lang w:val="en-US"/>
              </w:rPr>
              <w:t>egligible</w:t>
            </w:r>
            <w:r w:rsidRPr="006148C7">
              <w:rPr>
                <w:rFonts w:ascii="Calibri" w:hAnsi="Calibri" w:cs="Calibri"/>
                <w:color w:val="000000"/>
                <w:lang w:val="en-US"/>
              </w:rPr>
              <w:t>risk</w:t>
            </w:r>
            <w:proofErr w:type="spellEnd"/>
            <w:r w:rsidRPr="006148C7">
              <w:rPr>
                <w:rFonts w:ascii="Calibri" w:hAnsi="Calibri" w:cs="Calibri"/>
                <w:color w:val="000000"/>
                <w:lang w:val="en-US"/>
              </w:rPr>
              <w:t>” with that of “acceptable risk,” understood as a reasonable probability of carbon permanence over a 40-year period. It is also suggested that the term “reasonable probability” be interpreted in accordance with the IPCC Guidance Note on Consistent Treatment of Uncertainties, equivalent to a probability of 66% (Mastrandrea et al., 2010, AR5).</w:t>
            </w:r>
          </w:p>
        </w:tc>
      </w:tr>
      <w:tr w:rsidR="00561B1B" w:rsidRPr="006148C7" w14:paraId="19554E5A"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146EBAB5" w14:textId="1FEEE03A" w:rsidR="00561B1B" w:rsidRPr="00561B1B" w:rsidRDefault="00472DBC" w:rsidP="00561B1B">
            <w:pPr>
              <w:keepLines/>
              <w:spacing w:before="40" w:after="40" w:line="190" w:lineRule="exact"/>
              <w:jc w:val="center"/>
              <w:rPr>
                <w:sz w:val="20"/>
                <w:szCs w:val="20"/>
                <w:lang w:val="es-PE"/>
              </w:rPr>
            </w:pPr>
            <w:r>
              <w:rPr>
                <w:sz w:val="20"/>
                <w:szCs w:val="20"/>
                <w:lang w:val="es-PE"/>
              </w:rPr>
              <w:t>6</w:t>
            </w:r>
          </w:p>
        </w:tc>
        <w:tc>
          <w:tcPr>
            <w:tcW w:w="2802" w:type="dxa"/>
            <w:tcBorders>
              <w:top w:val="single" w:sz="6" w:space="0" w:color="auto"/>
              <w:left w:val="single" w:sz="6" w:space="0" w:color="auto"/>
              <w:bottom w:val="single" w:sz="6" w:space="0" w:color="auto"/>
              <w:right w:val="single" w:sz="6" w:space="0" w:color="auto"/>
            </w:tcBorders>
          </w:tcPr>
          <w:p w14:paraId="77F15CFD" w14:textId="77777777" w:rsidR="00561B1B" w:rsidRDefault="00561B1B" w:rsidP="00561B1B">
            <w:pPr>
              <w:pStyle w:val="NormalWeb"/>
              <w:spacing w:before="0" w:beforeAutospacing="0" w:after="0" w:afterAutospacing="0"/>
              <w:rPr>
                <w:rFonts w:ascii="Calibri" w:hAnsi="Calibri" w:cs="Calibri"/>
                <w:b/>
                <w:bCs/>
                <w:color w:val="000000"/>
                <w:sz w:val="22"/>
                <w:szCs w:val="22"/>
              </w:rPr>
            </w:pPr>
            <w:r w:rsidRPr="000F4613">
              <w:rPr>
                <w:rFonts w:ascii="Calibri" w:hAnsi="Calibri" w:cs="Calibri"/>
                <w:b/>
                <w:bCs/>
                <w:color w:val="000000"/>
                <w:sz w:val="22"/>
                <w:szCs w:val="22"/>
              </w:rPr>
              <w:t>Appendix 3</w:t>
            </w:r>
          </w:p>
          <w:p w14:paraId="01895511" w14:textId="77777777" w:rsidR="00561B1B" w:rsidRPr="009F51BF" w:rsidRDefault="00561B1B" w:rsidP="00561B1B">
            <w:pPr>
              <w:keepLines/>
              <w:spacing w:before="40" w:after="40"/>
              <w:jc w:val="left"/>
              <w:rPr>
                <w:b/>
                <w:bCs/>
                <w:sz w:val="20"/>
                <w:szCs w:val="20"/>
              </w:rPr>
            </w:pPr>
            <w:r w:rsidRPr="009F51BF">
              <w:rPr>
                <w:b/>
                <w:bCs/>
                <w:sz w:val="20"/>
                <w:szCs w:val="20"/>
              </w:rPr>
              <w:t>Section 5.2. Reversal monitoring duration</w:t>
            </w:r>
          </w:p>
          <w:p w14:paraId="3B84101A" w14:textId="68E781E2" w:rsidR="00561B1B" w:rsidRPr="000926EA" w:rsidRDefault="00561B1B" w:rsidP="00561B1B">
            <w:pPr>
              <w:keepLines/>
              <w:spacing w:before="40" w:after="40" w:line="190" w:lineRule="exact"/>
              <w:jc w:val="left"/>
              <w:rPr>
                <w:sz w:val="20"/>
                <w:szCs w:val="20"/>
              </w:rPr>
            </w:pPr>
          </w:p>
        </w:tc>
        <w:tc>
          <w:tcPr>
            <w:tcW w:w="2977" w:type="dxa"/>
            <w:tcBorders>
              <w:top w:val="single" w:sz="6" w:space="0" w:color="auto"/>
              <w:left w:val="single" w:sz="6" w:space="0" w:color="auto"/>
              <w:bottom w:val="single" w:sz="6" w:space="0" w:color="auto"/>
              <w:right w:val="single" w:sz="6" w:space="0" w:color="auto"/>
            </w:tcBorders>
          </w:tcPr>
          <w:p w14:paraId="546A7CED" w14:textId="55730C98" w:rsidR="00561B1B" w:rsidRPr="000926EA" w:rsidRDefault="00561B1B" w:rsidP="00561B1B">
            <w:pPr>
              <w:keepLines/>
              <w:spacing w:before="40" w:after="40" w:line="190" w:lineRule="exact"/>
              <w:jc w:val="left"/>
              <w:rPr>
                <w:sz w:val="20"/>
                <w:szCs w:val="20"/>
              </w:rPr>
            </w:pPr>
            <w:r w:rsidRPr="2A32E557">
              <w:rPr>
                <w:rFonts w:eastAsia="Arial"/>
                <w:sz w:val="20"/>
                <w:szCs w:val="20"/>
              </w:rPr>
              <w:t xml:space="preserve">Paragraph </w:t>
            </w:r>
            <w:r>
              <w:rPr>
                <w:rFonts w:eastAsia="Arial"/>
                <w:sz w:val="20"/>
                <w:szCs w:val="20"/>
              </w:rPr>
              <w:t xml:space="preserve">20 </w:t>
            </w:r>
          </w:p>
        </w:tc>
        <w:tc>
          <w:tcPr>
            <w:tcW w:w="4669" w:type="dxa"/>
            <w:tcBorders>
              <w:top w:val="single" w:sz="6" w:space="0" w:color="auto"/>
              <w:left w:val="single" w:sz="6" w:space="0" w:color="auto"/>
              <w:bottom w:val="single" w:sz="6" w:space="0" w:color="auto"/>
              <w:right w:val="single" w:sz="6" w:space="0" w:color="auto"/>
            </w:tcBorders>
          </w:tcPr>
          <w:p w14:paraId="144774E1" w14:textId="2A513D2C" w:rsidR="00561B1B" w:rsidRPr="006148C7" w:rsidRDefault="006148C7" w:rsidP="00A05A05">
            <w:pPr>
              <w:keepLines/>
              <w:spacing w:before="40" w:after="40"/>
              <w:jc w:val="left"/>
              <w:rPr>
                <w:sz w:val="20"/>
                <w:szCs w:val="20"/>
                <w:lang w:val="en-US"/>
              </w:rPr>
            </w:pPr>
            <w:r w:rsidRPr="006148C7">
              <w:rPr>
                <w:rFonts w:ascii="Calibri" w:hAnsi="Calibri" w:cs="Calibri"/>
                <w:color w:val="000000"/>
                <w:lang w:val="en-US"/>
              </w:rPr>
              <w:t>The content of the paragraph is overly generic in stating that "activity participants shall provide evidence in the form of models or other methods."</w:t>
            </w:r>
          </w:p>
        </w:tc>
        <w:tc>
          <w:tcPr>
            <w:tcW w:w="4723" w:type="dxa"/>
            <w:tcBorders>
              <w:top w:val="single" w:sz="6" w:space="0" w:color="auto"/>
              <w:left w:val="single" w:sz="6" w:space="0" w:color="auto"/>
              <w:bottom w:val="single" w:sz="6" w:space="0" w:color="auto"/>
              <w:right w:val="single" w:sz="6" w:space="0" w:color="auto"/>
            </w:tcBorders>
          </w:tcPr>
          <w:p w14:paraId="145B9AFB" w14:textId="7539CBBA" w:rsidR="00561B1B" w:rsidRPr="006148C7" w:rsidRDefault="006148C7" w:rsidP="00A05A05">
            <w:pPr>
              <w:keepLines/>
              <w:spacing w:before="40" w:after="40"/>
              <w:jc w:val="left"/>
              <w:rPr>
                <w:sz w:val="20"/>
                <w:szCs w:val="20"/>
                <w:lang w:val="en-US"/>
              </w:rPr>
            </w:pPr>
            <w:r w:rsidRPr="006148C7">
              <w:rPr>
                <w:rFonts w:ascii="Calibri" w:hAnsi="Calibri" w:cs="Calibri"/>
                <w:color w:val="000000"/>
                <w:lang w:val="en-US"/>
              </w:rPr>
              <w:t xml:space="preserve">It is recommended to standardize the methods for quantifying risk </w:t>
            </w:r>
            <w:r w:rsidR="00D22430" w:rsidRPr="006148C7">
              <w:rPr>
                <w:rFonts w:ascii="Calibri" w:hAnsi="Calibri" w:cs="Calibri"/>
                <w:color w:val="000000"/>
                <w:lang w:val="en-US"/>
              </w:rPr>
              <w:t>to</w:t>
            </w:r>
            <w:r w:rsidRPr="006148C7">
              <w:rPr>
                <w:rFonts w:ascii="Calibri" w:hAnsi="Calibri" w:cs="Calibri"/>
                <w:color w:val="000000"/>
                <w:lang w:val="en-US"/>
              </w:rPr>
              <w:t xml:space="preserve"> provide clear guidance to participants in assessing the risk of reversal, including, for example, the factors that should be considered and how to quantify them. This would help ensure greater consistency and comparability across different activities.</w:t>
            </w:r>
          </w:p>
        </w:tc>
      </w:tr>
      <w:tr w:rsidR="00DB359C" w:rsidRPr="006148C7" w14:paraId="1D82670A"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4F363903" w14:textId="1314634F" w:rsidR="00DB359C" w:rsidRDefault="00472DBC" w:rsidP="00561B1B">
            <w:pPr>
              <w:keepLines/>
              <w:spacing w:before="40" w:after="40" w:line="190" w:lineRule="exact"/>
              <w:jc w:val="center"/>
              <w:rPr>
                <w:sz w:val="20"/>
                <w:szCs w:val="20"/>
                <w:lang w:val="es-PE"/>
              </w:rPr>
            </w:pPr>
            <w:r>
              <w:rPr>
                <w:sz w:val="20"/>
                <w:szCs w:val="20"/>
                <w:lang w:val="es-PE"/>
              </w:rPr>
              <w:t>7</w:t>
            </w:r>
          </w:p>
        </w:tc>
        <w:tc>
          <w:tcPr>
            <w:tcW w:w="2802" w:type="dxa"/>
            <w:tcBorders>
              <w:top w:val="single" w:sz="6" w:space="0" w:color="auto"/>
              <w:left w:val="single" w:sz="6" w:space="0" w:color="auto"/>
              <w:bottom w:val="single" w:sz="6" w:space="0" w:color="auto"/>
              <w:right w:val="single" w:sz="6" w:space="0" w:color="auto"/>
            </w:tcBorders>
          </w:tcPr>
          <w:p w14:paraId="0D80CD04" w14:textId="77777777" w:rsidR="00062054" w:rsidRDefault="00062054" w:rsidP="00062054">
            <w:pPr>
              <w:pStyle w:val="NormalWeb"/>
              <w:spacing w:before="0" w:beforeAutospacing="0" w:after="0" w:afterAutospacing="0"/>
              <w:rPr>
                <w:rFonts w:ascii="Calibri" w:hAnsi="Calibri" w:cs="Calibri"/>
                <w:b/>
                <w:bCs/>
                <w:color w:val="000000"/>
                <w:sz w:val="22"/>
                <w:szCs w:val="22"/>
              </w:rPr>
            </w:pPr>
            <w:r w:rsidRPr="000F4613">
              <w:rPr>
                <w:rFonts w:ascii="Calibri" w:hAnsi="Calibri" w:cs="Calibri"/>
                <w:b/>
                <w:bCs/>
                <w:color w:val="000000"/>
                <w:sz w:val="22"/>
                <w:szCs w:val="22"/>
              </w:rPr>
              <w:t>Appendix 3</w:t>
            </w:r>
          </w:p>
          <w:p w14:paraId="2145C029" w14:textId="2FDF1755" w:rsidR="00062054" w:rsidRPr="009F51BF" w:rsidRDefault="00062054" w:rsidP="00062054">
            <w:pPr>
              <w:keepLines/>
              <w:spacing w:before="40" w:after="40"/>
              <w:jc w:val="left"/>
              <w:rPr>
                <w:b/>
                <w:bCs/>
                <w:sz w:val="20"/>
                <w:szCs w:val="20"/>
              </w:rPr>
            </w:pPr>
            <w:r w:rsidRPr="009F51BF">
              <w:rPr>
                <w:b/>
                <w:bCs/>
                <w:sz w:val="20"/>
                <w:szCs w:val="20"/>
              </w:rPr>
              <w:t>Section 5.</w:t>
            </w:r>
            <w:r w:rsidR="002812D6">
              <w:rPr>
                <w:b/>
                <w:bCs/>
                <w:sz w:val="20"/>
                <w:szCs w:val="20"/>
              </w:rPr>
              <w:t>3</w:t>
            </w:r>
            <w:r w:rsidRPr="009F51BF">
              <w:rPr>
                <w:b/>
                <w:bCs/>
                <w:sz w:val="20"/>
                <w:szCs w:val="20"/>
              </w:rPr>
              <w:t xml:space="preserve">. Reversal </w:t>
            </w:r>
            <w:r>
              <w:rPr>
                <w:b/>
                <w:bCs/>
                <w:sz w:val="20"/>
                <w:szCs w:val="20"/>
              </w:rPr>
              <w:t>reporting</w:t>
            </w:r>
          </w:p>
          <w:p w14:paraId="6E35FA35" w14:textId="77777777" w:rsidR="00DB359C" w:rsidRPr="000F4613" w:rsidRDefault="00DB359C" w:rsidP="00561B1B">
            <w:pPr>
              <w:pStyle w:val="NormalWeb"/>
              <w:spacing w:before="0" w:beforeAutospacing="0" w:after="0" w:afterAutospacing="0"/>
              <w:rPr>
                <w:rFonts w:ascii="Calibri" w:hAnsi="Calibri" w:cs="Calibri"/>
                <w:b/>
                <w:bCs/>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tcPr>
          <w:p w14:paraId="27CCC675" w14:textId="7A9336B1" w:rsidR="00DB359C" w:rsidRPr="2A32E557" w:rsidRDefault="00062054" w:rsidP="00561B1B">
            <w:pPr>
              <w:keepLines/>
              <w:spacing w:before="40" w:after="40" w:line="190" w:lineRule="exact"/>
              <w:jc w:val="left"/>
              <w:rPr>
                <w:rFonts w:eastAsia="Arial"/>
                <w:sz w:val="20"/>
                <w:szCs w:val="20"/>
              </w:rPr>
            </w:pPr>
            <w:r w:rsidRPr="2A32E557">
              <w:rPr>
                <w:rFonts w:eastAsia="Arial"/>
                <w:sz w:val="20"/>
                <w:szCs w:val="20"/>
              </w:rPr>
              <w:t xml:space="preserve">Paragraph </w:t>
            </w:r>
            <w:r>
              <w:rPr>
                <w:rFonts w:eastAsia="Arial"/>
                <w:sz w:val="20"/>
                <w:szCs w:val="20"/>
              </w:rPr>
              <w:t>24 - 27</w:t>
            </w:r>
          </w:p>
        </w:tc>
        <w:tc>
          <w:tcPr>
            <w:tcW w:w="4669" w:type="dxa"/>
            <w:tcBorders>
              <w:top w:val="single" w:sz="6" w:space="0" w:color="auto"/>
              <w:left w:val="single" w:sz="6" w:space="0" w:color="auto"/>
              <w:bottom w:val="single" w:sz="6" w:space="0" w:color="auto"/>
              <w:right w:val="single" w:sz="6" w:space="0" w:color="auto"/>
            </w:tcBorders>
          </w:tcPr>
          <w:p w14:paraId="75E62C13" w14:textId="64D645E3" w:rsidR="00DB359C" w:rsidRPr="006148C7" w:rsidRDefault="006148C7" w:rsidP="00A05A05">
            <w:pPr>
              <w:keepLines/>
              <w:spacing w:before="40" w:after="40"/>
              <w:jc w:val="left"/>
              <w:rPr>
                <w:rFonts w:ascii="Calibri" w:hAnsi="Calibri" w:cs="Calibri"/>
                <w:color w:val="000000"/>
                <w:lang w:val="en-US"/>
              </w:rPr>
            </w:pPr>
            <w:r w:rsidRPr="006148C7">
              <w:rPr>
                <w:rFonts w:ascii="Calibri" w:hAnsi="Calibri" w:cs="Calibri"/>
                <w:color w:val="000000"/>
                <w:lang w:val="en-US"/>
              </w:rPr>
              <w:t>The requirement to prepare annual reversal reports, including the estimation of their magnitude, may represent a significant burden for small</w:t>
            </w:r>
            <w:r w:rsidR="006E3376">
              <w:rPr>
                <w:rFonts w:ascii="Calibri" w:hAnsi="Calibri" w:cs="Calibri"/>
                <w:color w:val="000000"/>
                <w:lang w:val="en-US"/>
              </w:rPr>
              <w:t xml:space="preserve"> </w:t>
            </w:r>
            <w:r w:rsidRPr="006148C7">
              <w:rPr>
                <w:rFonts w:ascii="Calibri" w:hAnsi="Calibri" w:cs="Calibri"/>
                <w:color w:val="000000"/>
                <w:lang w:val="en-US"/>
              </w:rPr>
              <w:t>scale projects, as it involves allocating limited resources that could otherwise be used directly for implementing corrective measures. In some cases, participants may be forced to choose between stopping the reversal and quantifying its impact. While rigorous monitoring is essential to ensure environmental integrity, requirements as stringent as currently proposed may discourage the participation of actors with lower technical or financial capacity, thereby reducing their engagement in the market.</w:t>
            </w:r>
          </w:p>
        </w:tc>
        <w:tc>
          <w:tcPr>
            <w:tcW w:w="4723" w:type="dxa"/>
            <w:tcBorders>
              <w:top w:val="single" w:sz="6" w:space="0" w:color="auto"/>
              <w:left w:val="single" w:sz="6" w:space="0" w:color="auto"/>
              <w:bottom w:val="single" w:sz="6" w:space="0" w:color="auto"/>
              <w:right w:val="single" w:sz="6" w:space="0" w:color="auto"/>
            </w:tcBorders>
          </w:tcPr>
          <w:p w14:paraId="1A35D03D" w14:textId="43F58353" w:rsidR="00DB359C" w:rsidRPr="00376E71" w:rsidRDefault="006148C7" w:rsidP="0079478F">
            <w:pPr>
              <w:keepLines/>
              <w:spacing w:before="40" w:after="40"/>
              <w:jc w:val="left"/>
              <w:rPr>
                <w:rFonts w:ascii="Calibri" w:hAnsi="Calibri" w:cs="Calibri"/>
                <w:color w:val="000000"/>
              </w:rPr>
            </w:pPr>
            <w:r w:rsidRPr="006148C7">
              <w:rPr>
                <w:rFonts w:ascii="Calibri" w:hAnsi="Calibri" w:cs="Calibri"/>
                <w:color w:val="000000"/>
                <w:lang w:val="en-US"/>
              </w:rPr>
              <w:t>It is recommended to adopt a more flexible approach to reversal reporting that balances the need for rigorous oversight with operational feasibility and the inclusion of projects of different scales. In this regard, a reversal report could be required at the time of credit issuance</w:t>
            </w:r>
            <w:r w:rsidR="00376E71">
              <w:rPr>
                <w:rFonts w:ascii="Calibri" w:hAnsi="Calibri" w:cs="Calibri"/>
                <w:color w:val="000000"/>
                <w:lang w:val="en-US"/>
              </w:rPr>
              <w:t>, as a section of the monitoring report</w:t>
            </w:r>
            <w:r w:rsidRPr="006148C7">
              <w:rPr>
                <w:rFonts w:ascii="Calibri" w:hAnsi="Calibri" w:cs="Calibri"/>
                <w:color w:val="000000"/>
                <w:lang w:val="en-US"/>
              </w:rPr>
              <w:t>, and, additionally, projects could be offered different reporting options depending on the magnitude of the detected reversal event.</w:t>
            </w:r>
            <w:r w:rsidR="00376E71">
              <w:rPr>
                <w:rFonts w:ascii="Calibri" w:hAnsi="Calibri" w:cs="Calibri"/>
                <w:color w:val="000000"/>
              </w:rPr>
              <w:t xml:space="preserve"> In the post-crediting monitoring periods, the reversal report could be every 3 or 5 years.</w:t>
            </w:r>
          </w:p>
        </w:tc>
      </w:tr>
      <w:tr w:rsidR="00A17B19" w:rsidRPr="008C7E8B" w14:paraId="3A37CBB7"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746EEFB3" w14:textId="5FAD3BEA" w:rsidR="00A17B19" w:rsidRDefault="00472DBC" w:rsidP="00561B1B">
            <w:pPr>
              <w:keepLines/>
              <w:spacing w:before="40" w:after="40" w:line="190" w:lineRule="exact"/>
              <w:jc w:val="center"/>
              <w:rPr>
                <w:sz w:val="20"/>
                <w:szCs w:val="20"/>
                <w:lang w:val="es-PE"/>
              </w:rPr>
            </w:pPr>
            <w:r>
              <w:rPr>
                <w:sz w:val="20"/>
                <w:szCs w:val="20"/>
                <w:lang w:val="es-PE"/>
              </w:rPr>
              <w:lastRenderedPageBreak/>
              <w:t>8</w:t>
            </w:r>
          </w:p>
        </w:tc>
        <w:tc>
          <w:tcPr>
            <w:tcW w:w="2802" w:type="dxa"/>
            <w:tcBorders>
              <w:top w:val="single" w:sz="6" w:space="0" w:color="auto"/>
              <w:left w:val="single" w:sz="6" w:space="0" w:color="auto"/>
              <w:bottom w:val="single" w:sz="6" w:space="0" w:color="auto"/>
              <w:right w:val="single" w:sz="6" w:space="0" w:color="auto"/>
            </w:tcBorders>
          </w:tcPr>
          <w:p w14:paraId="3C6AA9A2" w14:textId="77777777" w:rsidR="002812D6" w:rsidRDefault="002812D6" w:rsidP="002812D6">
            <w:pPr>
              <w:pStyle w:val="NormalWeb"/>
              <w:spacing w:before="0" w:beforeAutospacing="0" w:after="0" w:afterAutospacing="0"/>
              <w:rPr>
                <w:rFonts w:ascii="Calibri" w:hAnsi="Calibri" w:cs="Calibri"/>
                <w:b/>
                <w:bCs/>
                <w:color w:val="000000"/>
                <w:sz w:val="22"/>
                <w:szCs w:val="22"/>
              </w:rPr>
            </w:pPr>
            <w:r w:rsidRPr="000F4613">
              <w:rPr>
                <w:rFonts w:ascii="Calibri" w:hAnsi="Calibri" w:cs="Calibri"/>
                <w:b/>
                <w:bCs/>
                <w:color w:val="000000"/>
                <w:sz w:val="22"/>
                <w:szCs w:val="22"/>
              </w:rPr>
              <w:t>Appendix 3</w:t>
            </w:r>
          </w:p>
          <w:p w14:paraId="62FA7894" w14:textId="77777777" w:rsidR="002812D6" w:rsidRPr="009F51BF" w:rsidRDefault="002812D6" w:rsidP="002812D6">
            <w:pPr>
              <w:keepLines/>
              <w:spacing w:before="40" w:after="40"/>
              <w:jc w:val="left"/>
              <w:rPr>
                <w:b/>
                <w:bCs/>
                <w:sz w:val="20"/>
                <w:szCs w:val="20"/>
              </w:rPr>
            </w:pPr>
            <w:r w:rsidRPr="009F51BF">
              <w:rPr>
                <w:b/>
                <w:bCs/>
                <w:sz w:val="20"/>
                <w:szCs w:val="20"/>
              </w:rPr>
              <w:t>Section 5.</w:t>
            </w:r>
            <w:r>
              <w:rPr>
                <w:b/>
                <w:bCs/>
                <w:sz w:val="20"/>
                <w:szCs w:val="20"/>
              </w:rPr>
              <w:t>3</w:t>
            </w:r>
            <w:r w:rsidRPr="009F51BF">
              <w:rPr>
                <w:b/>
                <w:bCs/>
                <w:sz w:val="20"/>
                <w:szCs w:val="20"/>
              </w:rPr>
              <w:t xml:space="preserve">. Reversal </w:t>
            </w:r>
            <w:r>
              <w:rPr>
                <w:b/>
                <w:bCs/>
                <w:sz w:val="20"/>
                <w:szCs w:val="20"/>
              </w:rPr>
              <w:t>reporting</w:t>
            </w:r>
          </w:p>
          <w:p w14:paraId="5EEEA242" w14:textId="77777777" w:rsidR="00A17B19" w:rsidRPr="000F4613" w:rsidRDefault="00A17B19" w:rsidP="00062054">
            <w:pPr>
              <w:pStyle w:val="NormalWeb"/>
              <w:spacing w:before="0" w:beforeAutospacing="0" w:after="0" w:afterAutospacing="0"/>
              <w:rPr>
                <w:rFonts w:ascii="Calibri" w:hAnsi="Calibri" w:cs="Calibri"/>
                <w:b/>
                <w:bCs/>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tcPr>
          <w:p w14:paraId="03D39E1D" w14:textId="4B126308" w:rsidR="00A17B19" w:rsidRPr="2A32E557" w:rsidRDefault="002812D6" w:rsidP="00561B1B">
            <w:pPr>
              <w:keepLines/>
              <w:spacing w:before="40" w:after="40" w:line="190" w:lineRule="exact"/>
              <w:jc w:val="left"/>
              <w:rPr>
                <w:rFonts w:eastAsia="Arial"/>
                <w:sz w:val="20"/>
                <w:szCs w:val="20"/>
              </w:rPr>
            </w:pPr>
            <w:r w:rsidRPr="2A32E557">
              <w:rPr>
                <w:rFonts w:eastAsia="Arial"/>
                <w:sz w:val="20"/>
                <w:szCs w:val="20"/>
              </w:rPr>
              <w:t xml:space="preserve">Paragraph </w:t>
            </w:r>
            <w:r>
              <w:rPr>
                <w:rFonts w:eastAsia="Arial"/>
                <w:sz w:val="20"/>
                <w:szCs w:val="20"/>
              </w:rPr>
              <w:t xml:space="preserve">27 (c) </w:t>
            </w:r>
          </w:p>
        </w:tc>
        <w:tc>
          <w:tcPr>
            <w:tcW w:w="4669" w:type="dxa"/>
            <w:tcBorders>
              <w:top w:val="single" w:sz="6" w:space="0" w:color="auto"/>
              <w:left w:val="single" w:sz="6" w:space="0" w:color="auto"/>
              <w:bottom w:val="single" w:sz="6" w:space="0" w:color="auto"/>
              <w:right w:val="single" w:sz="6" w:space="0" w:color="auto"/>
            </w:tcBorders>
          </w:tcPr>
          <w:p w14:paraId="686573BB" w14:textId="7576E8FE" w:rsidR="00A17B19" w:rsidRPr="002812D6" w:rsidRDefault="006148C7" w:rsidP="00A05A05">
            <w:pPr>
              <w:keepLines/>
              <w:spacing w:before="40" w:after="40"/>
              <w:jc w:val="left"/>
              <w:rPr>
                <w:rFonts w:ascii="Calibri" w:hAnsi="Calibri" w:cs="Calibri"/>
                <w:color w:val="000000"/>
                <w:lang w:val="es-PE"/>
              </w:rPr>
            </w:pPr>
            <w:r w:rsidRPr="006148C7">
              <w:rPr>
                <w:rFonts w:ascii="Calibri" w:hAnsi="Calibri" w:cs="Calibri"/>
                <w:color w:val="000000"/>
                <w:lang w:val="en-US"/>
              </w:rPr>
              <w:t xml:space="preserve">An estimate of the amount of the reversal is requested using the upper bound of a 95% confidence interval, including a description of the methodology used. </w:t>
            </w:r>
            <w:r w:rsidRPr="006148C7">
              <w:rPr>
                <w:rFonts w:ascii="Calibri" w:hAnsi="Calibri" w:cs="Calibri"/>
                <w:color w:val="000000"/>
                <w:lang w:val="es-PE"/>
              </w:rPr>
              <w:t>This requirement is unnecessarily strict.</w:t>
            </w:r>
          </w:p>
        </w:tc>
        <w:tc>
          <w:tcPr>
            <w:tcW w:w="4723" w:type="dxa"/>
            <w:tcBorders>
              <w:top w:val="single" w:sz="6" w:space="0" w:color="auto"/>
              <w:left w:val="single" w:sz="6" w:space="0" w:color="auto"/>
              <w:bottom w:val="single" w:sz="6" w:space="0" w:color="auto"/>
              <w:right w:val="single" w:sz="6" w:space="0" w:color="auto"/>
            </w:tcBorders>
          </w:tcPr>
          <w:p w14:paraId="1715CBCA" w14:textId="41BF2ACE" w:rsidR="00A17B19" w:rsidRPr="008C7E8B" w:rsidRDefault="008C7E8B" w:rsidP="0079478F">
            <w:pPr>
              <w:keepLines/>
              <w:spacing w:before="40" w:after="40"/>
              <w:jc w:val="left"/>
              <w:rPr>
                <w:rFonts w:ascii="Calibri" w:hAnsi="Calibri" w:cs="Calibri"/>
                <w:color w:val="000000"/>
                <w:lang w:val="en-US"/>
              </w:rPr>
            </w:pPr>
            <w:r w:rsidRPr="008C7E8B">
              <w:rPr>
                <w:rFonts w:ascii="Calibri" w:hAnsi="Calibri" w:cs="Calibri"/>
                <w:color w:val="000000"/>
                <w:lang w:val="en-US"/>
              </w:rPr>
              <w:t xml:space="preserve">It is suggested to reduce the confidence level to 90% </w:t>
            </w:r>
            <w:r w:rsidR="00376E71" w:rsidRPr="008C7E8B">
              <w:rPr>
                <w:rFonts w:ascii="Calibri" w:hAnsi="Calibri" w:cs="Calibri"/>
                <w:color w:val="000000"/>
                <w:lang w:val="en-US"/>
              </w:rPr>
              <w:t>to</w:t>
            </w:r>
            <w:r w:rsidRPr="008C7E8B">
              <w:rPr>
                <w:rFonts w:ascii="Calibri" w:hAnsi="Calibri" w:cs="Calibri"/>
                <w:color w:val="000000"/>
                <w:lang w:val="en-US"/>
              </w:rPr>
              <w:t xml:space="preserve"> achieve a more appropriate balance between technical rigor and operational feasibility. This modification would allow for a more realistic and practical verification without compromising the environmental integrity of the mechanism.</w:t>
            </w:r>
          </w:p>
        </w:tc>
      </w:tr>
      <w:tr w:rsidR="00A17B19" w:rsidRPr="008C7E8B" w14:paraId="000A8181"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5E6DA5BC" w14:textId="1B175215" w:rsidR="00A17B19" w:rsidRDefault="00472DBC" w:rsidP="00561B1B">
            <w:pPr>
              <w:keepLines/>
              <w:spacing w:before="40" w:after="40" w:line="190" w:lineRule="exact"/>
              <w:jc w:val="center"/>
              <w:rPr>
                <w:sz w:val="20"/>
                <w:szCs w:val="20"/>
                <w:lang w:val="es-PE"/>
              </w:rPr>
            </w:pPr>
            <w:r>
              <w:rPr>
                <w:sz w:val="20"/>
                <w:szCs w:val="20"/>
                <w:lang w:val="es-PE"/>
              </w:rPr>
              <w:t>9</w:t>
            </w:r>
          </w:p>
        </w:tc>
        <w:tc>
          <w:tcPr>
            <w:tcW w:w="2802" w:type="dxa"/>
            <w:tcBorders>
              <w:top w:val="single" w:sz="6" w:space="0" w:color="auto"/>
              <w:left w:val="single" w:sz="6" w:space="0" w:color="auto"/>
              <w:bottom w:val="single" w:sz="6" w:space="0" w:color="auto"/>
              <w:right w:val="single" w:sz="6" w:space="0" w:color="auto"/>
            </w:tcBorders>
          </w:tcPr>
          <w:p w14:paraId="00C905DD" w14:textId="77777777" w:rsidR="002812D6" w:rsidRPr="002812D6" w:rsidRDefault="002812D6" w:rsidP="002812D6">
            <w:pPr>
              <w:keepLines/>
              <w:spacing w:before="40" w:after="40"/>
              <w:jc w:val="left"/>
              <w:rPr>
                <w:b/>
                <w:bCs/>
                <w:sz w:val="20"/>
                <w:szCs w:val="20"/>
              </w:rPr>
            </w:pPr>
            <w:r w:rsidRPr="002812D6">
              <w:rPr>
                <w:b/>
                <w:bCs/>
                <w:sz w:val="20"/>
                <w:szCs w:val="20"/>
              </w:rPr>
              <w:t>Appendix 3</w:t>
            </w:r>
          </w:p>
          <w:p w14:paraId="3AF29CD8" w14:textId="62C0B932" w:rsidR="002812D6" w:rsidRPr="002812D6" w:rsidRDefault="002812D6" w:rsidP="002812D6">
            <w:pPr>
              <w:keepLines/>
              <w:spacing w:before="40" w:after="40"/>
              <w:jc w:val="left"/>
              <w:rPr>
                <w:b/>
                <w:bCs/>
                <w:sz w:val="20"/>
                <w:szCs w:val="20"/>
              </w:rPr>
            </w:pPr>
            <w:r>
              <w:rPr>
                <w:b/>
                <w:bCs/>
                <w:sz w:val="20"/>
                <w:szCs w:val="20"/>
              </w:rPr>
              <w:t xml:space="preserve">Section </w:t>
            </w:r>
            <w:r w:rsidRPr="002812D6">
              <w:rPr>
                <w:b/>
                <w:bCs/>
                <w:sz w:val="20"/>
                <w:szCs w:val="20"/>
              </w:rPr>
              <w:t>6.1. Distinguishing between unintentional and intentional reversals</w:t>
            </w:r>
          </w:p>
          <w:p w14:paraId="2F7C0706" w14:textId="77777777" w:rsidR="00A17B19" w:rsidRPr="002812D6" w:rsidRDefault="00A17B19" w:rsidP="00062054">
            <w:pPr>
              <w:pStyle w:val="NormalWeb"/>
              <w:spacing w:before="0" w:beforeAutospacing="0" w:after="0" w:afterAutospacing="0"/>
              <w:rPr>
                <w:rFonts w:ascii="Calibri" w:hAnsi="Calibri" w:cs="Calibri"/>
                <w:b/>
                <w:bCs/>
                <w:color w:val="000000"/>
                <w:sz w:val="22"/>
                <w:szCs w:val="22"/>
                <w:lang w:val="en-GB"/>
              </w:rPr>
            </w:pPr>
          </w:p>
        </w:tc>
        <w:tc>
          <w:tcPr>
            <w:tcW w:w="2977" w:type="dxa"/>
            <w:tcBorders>
              <w:top w:val="single" w:sz="6" w:space="0" w:color="auto"/>
              <w:left w:val="single" w:sz="6" w:space="0" w:color="auto"/>
              <w:bottom w:val="single" w:sz="6" w:space="0" w:color="auto"/>
              <w:right w:val="single" w:sz="6" w:space="0" w:color="auto"/>
            </w:tcBorders>
          </w:tcPr>
          <w:p w14:paraId="44262FF8" w14:textId="60DE8755" w:rsidR="00A17B19" w:rsidRPr="00D46468" w:rsidRDefault="002812D6" w:rsidP="00D46468">
            <w:pPr>
              <w:keepLines/>
              <w:spacing w:before="40" w:after="40"/>
              <w:jc w:val="left"/>
              <w:rPr>
                <w:rFonts w:ascii="Calibri" w:hAnsi="Calibri" w:cs="Calibri"/>
                <w:color w:val="000000"/>
                <w:lang w:val="es-PE"/>
              </w:rPr>
            </w:pPr>
            <w:r w:rsidRPr="00D46468">
              <w:rPr>
                <w:rFonts w:ascii="Calibri" w:hAnsi="Calibri" w:cs="Calibri"/>
                <w:color w:val="000000"/>
                <w:lang w:val="es-PE"/>
              </w:rPr>
              <w:t>Paragraph 37 - 46</w:t>
            </w:r>
          </w:p>
        </w:tc>
        <w:tc>
          <w:tcPr>
            <w:tcW w:w="4669" w:type="dxa"/>
            <w:tcBorders>
              <w:top w:val="single" w:sz="6" w:space="0" w:color="auto"/>
              <w:left w:val="single" w:sz="6" w:space="0" w:color="auto"/>
              <w:bottom w:val="single" w:sz="6" w:space="0" w:color="auto"/>
              <w:right w:val="single" w:sz="6" w:space="0" w:color="auto"/>
            </w:tcBorders>
          </w:tcPr>
          <w:p w14:paraId="3A5CB79D" w14:textId="5D4A20A9" w:rsidR="008C7E8B" w:rsidRPr="008C7E8B" w:rsidRDefault="008C7E8B" w:rsidP="008C7E8B">
            <w:pPr>
              <w:pStyle w:val="NormalWeb"/>
              <w:rPr>
                <w:rFonts w:ascii="Calibri" w:hAnsi="Calibri" w:cs="Calibri"/>
                <w:color w:val="000000"/>
                <w:sz w:val="22"/>
                <w:szCs w:val="22"/>
              </w:rPr>
            </w:pPr>
            <w:r w:rsidRPr="008C7E8B">
              <w:rPr>
                <w:rFonts w:ascii="Calibri" w:hAnsi="Calibri" w:cs="Calibri"/>
                <w:color w:val="000000"/>
                <w:sz w:val="22"/>
                <w:szCs w:val="22"/>
              </w:rPr>
              <w:t xml:space="preserve">The distinction between intentional and unintentional reversals is a proposal that could be considered applicable at the level of land-use projects, as this differentiation is </w:t>
            </w:r>
            <w:r w:rsidR="006E3376">
              <w:rPr>
                <w:rFonts w:ascii="Calibri" w:hAnsi="Calibri" w:cs="Calibri"/>
                <w:color w:val="000000"/>
                <w:sz w:val="22"/>
                <w:szCs w:val="22"/>
              </w:rPr>
              <w:t>needed</w:t>
            </w:r>
            <w:r w:rsidR="006E3376" w:rsidRPr="008C7E8B">
              <w:rPr>
                <w:rFonts w:ascii="Calibri" w:hAnsi="Calibri" w:cs="Calibri"/>
                <w:color w:val="000000"/>
                <w:sz w:val="22"/>
                <w:szCs w:val="22"/>
              </w:rPr>
              <w:t xml:space="preserve"> </w:t>
            </w:r>
            <w:r w:rsidRPr="008C7E8B">
              <w:rPr>
                <w:rFonts w:ascii="Calibri" w:hAnsi="Calibri" w:cs="Calibri"/>
                <w:color w:val="000000"/>
                <w:sz w:val="22"/>
                <w:szCs w:val="22"/>
              </w:rPr>
              <w:t>in that context.</w:t>
            </w:r>
          </w:p>
          <w:p w14:paraId="080B1F2E" w14:textId="11FCE000" w:rsidR="00A17B19" w:rsidRPr="008C7E8B" w:rsidRDefault="008C7E8B" w:rsidP="008C7E8B">
            <w:pPr>
              <w:keepLines/>
              <w:spacing w:before="40" w:after="40"/>
              <w:jc w:val="left"/>
              <w:rPr>
                <w:rFonts w:ascii="Calibri" w:hAnsi="Calibri" w:cs="Calibri"/>
                <w:color w:val="000000"/>
                <w:lang w:val="en-US"/>
              </w:rPr>
            </w:pPr>
            <w:r w:rsidRPr="008C7E8B">
              <w:rPr>
                <w:rFonts w:ascii="Calibri" w:hAnsi="Calibri" w:cs="Calibri"/>
                <w:color w:val="000000"/>
                <w:lang w:val="en-US"/>
              </w:rPr>
              <w:t>However, it is noted that extending this classification to large-scale interventions, such as jurisdictional REDD+ programs, would not be appropriate, as these involve multiple actors. In such initiatives, establishing this distinction would be impractical and would entail a considerable burden in terms of monitoring and verification, undermining the principles of inclusion, equity, and operational feasibility that should guide the design and implementation of these actions.</w:t>
            </w:r>
          </w:p>
        </w:tc>
        <w:tc>
          <w:tcPr>
            <w:tcW w:w="4723" w:type="dxa"/>
            <w:tcBorders>
              <w:top w:val="single" w:sz="6" w:space="0" w:color="auto"/>
              <w:left w:val="single" w:sz="6" w:space="0" w:color="auto"/>
              <w:bottom w:val="single" w:sz="6" w:space="0" w:color="auto"/>
              <w:right w:val="single" w:sz="6" w:space="0" w:color="auto"/>
            </w:tcBorders>
          </w:tcPr>
          <w:p w14:paraId="2DB7D246" w14:textId="7BB044ED" w:rsidR="00A17B19" w:rsidRPr="008C7E8B" w:rsidRDefault="008C7E8B" w:rsidP="0079478F">
            <w:pPr>
              <w:keepLines/>
              <w:spacing w:before="40" w:after="40"/>
              <w:jc w:val="left"/>
              <w:rPr>
                <w:rFonts w:ascii="Calibri" w:hAnsi="Calibri" w:cs="Calibri"/>
                <w:color w:val="000000"/>
                <w:lang w:val="en-US"/>
              </w:rPr>
            </w:pPr>
            <w:r w:rsidRPr="008C7E8B">
              <w:rPr>
                <w:rFonts w:ascii="Calibri" w:hAnsi="Calibri" w:cs="Calibri"/>
                <w:color w:val="000000"/>
                <w:lang w:val="en-US"/>
              </w:rPr>
              <w:t>It is recommended that, although the distinction between intentional and unintentional reversals may be useful in the context of project-level crediting, this classification should not be applied to jurisdictional REDD+ programs in the context of the MEP’s future work, as its implementation would not be practical given the scale and complexity of such programs.</w:t>
            </w:r>
            <w:r w:rsidR="00CF6B50">
              <w:rPr>
                <w:rFonts w:ascii="Calibri" w:hAnsi="Calibri" w:cs="Calibri"/>
                <w:color w:val="000000"/>
                <w:lang w:val="en-US"/>
              </w:rPr>
              <w:t xml:space="preserve"> It is suggested to have different recommendations for land use projects, REDD+ projects and programs.</w:t>
            </w:r>
          </w:p>
        </w:tc>
      </w:tr>
      <w:tr w:rsidR="00CB2DDC" w:rsidRPr="008C7E8B" w14:paraId="43F4A202"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12A09B67" w14:textId="2E958EF1" w:rsidR="00CB2DDC" w:rsidRPr="00D46468" w:rsidRDefault="00472DBC" w:rsidP="00CB2DDC">
            <w:pPr>
              <w:keepLines/>
              <w:spacing w:before="40" w:after="40" w:line="190" w:lineRule="exact"/>
              <w:jc w:val="center"/>
              <w:rPr>
                <w:sz w:val="20"/>
                <w:szCs w:val="20"/>
                <w:lang w:val="es-PE"/>
              </w:rPr>
            </w:pPr>
            <w:r>
              <w:rPr>
                <w:sz w:val="20"/>
                <w:szCs w:val="20"/>
                <w:lang w:val="es-PE"/>
              </w:rPr>
              <w:t>10</w:t>
            </w:r>
          </w:p>
        </w:tc>
        <w:tc>
          <w:tcPr>
            <w:tcW w:w="2802" w:type="dxa"/>
            <w:tcBorders>
              <w:top w:val="single" w:sz="6" w:space="0" w:color="auto"/>
              <w:left w:val="single" w:sz="6" w:space="0" w:color="auto"/>
              <w:bottom w:val="single" w:sz="6" w:space="0" w:color="auto"/>
              <w:right w:val="single" w:sz="6" w:space="0" w:color="auto"/>
            </w:tcBorders>
          </w:tcPr>
          <w:p w14:paraId="7A66087C" w14:textId="77777777" w:rsidR="00CB2DDC" w:rsidRPr="002812D6" w:rsidRDefault="00CB2DDC" w:rsidP="00CB2DDC">
            <w:pPr>
              <w:keepLines/>
              <w:spacing w:before="40" w:after="40"/>
              <w:jc w:val="left"/>
              <w:rPr>
                <w:b/>
                <w:bCs/>
                <w:sz w:val="20"/>
                <w:szCs w:val="20"/>
              </w:rPr>
            </w:pPr>
            <w:r w:rsidRPr="002812D6">
              <w:rPr>
                <w:b/>
                <w:bCs/>
                <w:sz w:val="20"/>
                <w:szCs w:val="20"/>
              </w:rPr>
              <w:t>Appendix 3</w:t>
            </w:r>
          </w:p>
          <w:p w14:paraId="37606D5E" w14:textId="49CC33A3" w:rsidR="00CB2DDC" w:rsidRPr="002812D6" w:rsidRDefault="00CB2DDC" w:rsidP="00CB2DDC">
            <w:pPr>
              <w:keepLines/>
              <w:spacing w:before="40" w:after="40"/>
              <w:jc w:val="left"/>
              <w:rPr>
                <w:b/>
                <w:bCs/>
                <w:sz w:val="20"/>
                <w:szCs w:val="20"/>
              </w:rPr>
            </w:pPr>
            <w:r>
              <w:rPr>
                <w:b/>
                <w:bCs/>
                <w:sz w:val="20"/>
                <w:szCs w:val="20"/>
              </w:rPr>
              <w:t xml:space="preserve">Section </w:t>
            </w:r>
            <w:r w:rsidRPr="002812D6">
              <w:rPr>
                <w:b/>
                <w:bCs/>
                <w:sz w:val="20"/>
                <w:szCs w:val="20"/>
              </w:rPr>
              <w:t>6.1.</w:t>
            </w:r>
            <w:r>
              <w:rPr>
                <w:b/>
                <w:bCs/>
                <w:sz w:val="20"/>
                <w:szCs w:val="20"/>
              </w:rPr>
              <w:t>1. U</w:t>
            </w:r>
            <w:r w:rsidRPr="002812D6">
              <w:rPr>
                <w:b/>
                <w:bCs/>
                <w:sz w:val="20"/>
                <w:szCs w:val="20"/>
              </w:rPr>
              <w:t>nintentional reversals</w:t>
            </w:r>
          </w:p>
          <w:p w14:paraId="367668D4" w14:textId="77777777" w:rsidR="00CB2DDC" w:rsidRPr="00CB2DDC" w:rsidRDefault="00CB2DDC" w:rsidP="00CB2DDC">
            <w:pPr>
              <w:pStyle w:val="NormalWeb"/>
              <w:spacing w:before="0" w:beforeAutospacing="0" w:after="0" w:afterAutospacing="0"/>
              <w:rPr>
                <w:rFonts w:ascii="Calibri" w:hAnsi="Calibri" w:cs="Calibri"/>
                <w:b/>
                <w:bCs/>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tcPr>
          <w:p w14:paraId="77A05F82" w14:textId="0E24D110" w:rsidR="00CB2DDC" w:rsidRPr="00D46468" w:rsidRDefault="00CB2DDC" w:rsidP="00CB2DDC">
            <w:pPr>
              <w:keepLines/>
              <w:spacing w:before="40" w:after="40" w:line="190" w:lineRule="exact"/>
              <w:jc w:val="left"/>
              <w:rPr>
                <w:rFonts w:eastAsia="Arial"/>
                <w:sz w:val="20"/>
                <w:szCs w:val="20"/>
                <w:lang w:val="es-PE"/>
              </w:rPr>
            </w:pPr>
            <w:r w:rsidRPr="00D46468">
              <w:rPr>
                <w:rFonts w:ascii="Calibri" w:hAnsi="Calibri" w:cs="Calibri"/>
                <w:color w:val="000000"/>
                <w:lang w:val="es-PE"/>
              </w:rPr>
              <w:t xml:space="preserve">Paragraph </w:t>
            </w:r>
            <w:r>
              <w:rPr>
                <w:rFonts w:ascii="Calibri" w:hAnsi="Calibri" w:cs="Calibri"/>
                <w:color w:val="000000"/>
                <w:lang w:val="es-PE"/>
              </w:rPr>
              <w:t>42</w:t>
            </w:r>
          </w:p>
        </w:tc>
        <w:tc>
          <w:tcPr>
            <w:tcW w:w="4669" w:type="dxa"/>
            <w:tcBorders>
              <w:top w:val="single" w:sz="6" w:space="0" w:color="auto"/>
              <w:left w:val="single" w:sz="6" w:space="0" w:color="auto"/>
              <w:bottom w:val="single" w:sz="6" w:space="0" w:color="auto"/>
              <w:right w:val="single" w:sz="6" w:space="0" w:color="auto"/>
            </w:tcBorders>
          </w:tcPr>
          <w:p w14:paraId="5E7CFDE7" w14:textId="123B8AFE" w:rsidR="00CB2DDC" w:rsidRPr="008C7E8B" w:rsidRDefault="008C7E8B" w:rsidP="00CB2DDC">
            <w:pPr>
              <w:keepLines/>
              <w:spacing w:before="40" w:after="40"/>
              <w:jc w:val="left"/>
              <w:rPr>
                <w:rFonts w:ascii="Calibri" w:hAnsi="Calibri" w:cs="Calibri"/>
                <w:color w:val="000000"/>
                <w:lang w:val="en-US"/>
              </w:rPr>
            </w:pPr>
            <w:r w:rsidRPr="008C7E8B">
              <w:rPr>
                <w:rFonts w:ascii="Calibri" w:hAnsi="Calibri" w:cs="Calibri"/>
                <w:color w:val="000000"/>
                <w:lang w:val="en-US"/>
              </w:rPr>
              <w:t>The classification between intentional and unintentional reversals could be questionable, given that even reversals caused by third parties unrelated to the project, such as illegal logging, can be considered avoidable.</w:t>
            </w:r>
          </w:p>
        </w:tc>
        <w:tc>
          <w:tcPr>
            <w:tcW w:w="4723" w:type="dxa"/>
            <w:tcBorders>
              <w:top w:val="single" w:sz="6" w:space="0" w:color="auto"/>
              <w:left w:val="single" w:sz="6" w:space="0" w:color="auto"/>
              <w:bottom w:val="single" w:sz="6" w:space="0" w:color="auto"/>
              <w:right w:val="single" w:sz="6" w:space="0" w:color="auto"/>
            </w:tcBorders>
          </w:tcPr>
          <w:p w14:paraId="7C257489" w14:textId="58A64D95" w:rsidR="00CB2DDC" w:rsidRPr="008C7E8B" w:rsidRDefault="008C7E8B" w:rsidP="00CB2DDC">
            <w:pPr>
              <w:keepLines/>
              <w:spacing w:before="40" w:after="40"/>
              <w:jc w:val="left"/>
              <w:rPr>
                <w:rFonts w:ascii="Calibri" w:hAnsi="Calibri" w:cs="Calibri"/>
                <w:color w:val="000000"/>
                <w:lang w:val="en-US"/>
              </w:rPr>
            </w:pPr>
            <w:r w:rsidRPr="008C7E8B">
              <w:rPr>
                <w:rFonts w:ascii="Calibri" w:hAnsi="Calibri" w:cs="Calibri"/>
                <w:color w:val="000000"/>
                <w:lang w:val="en-US"/>
              </w:rPr>
              <w:t xml:space="preserve">It is recommended to </w:t>
            </w:r>
            <w:r w:rsidR="00CF6B50">
              <w:rPr>
                <w:rFonts w:ascii="Calibri" w:hAnsi="Calibri" w:cs="Calibri"/>
                <w:color w:val="000000"/>
                <w:lang w:val="en-US"/>
              </w:rPr>
              <w:t>provide more guidance on</w:t>
            </w:r>
            <w:r w:rsidRPr="008C7E8B">
              <w:rPr>
                <w:rFonts w:ascii="Calibri" w:hAnsi="Calibri" w:cs="Calibri"/>
                <w:color w:val="000000"/>
                <w:lang w:val="en-US"/>
              </w:rPr>
              <w:t xml:space="preserve"> avoidable reversal and to establish a rule that assigns strict liability to activity participants in cases of willful misconduct, fraud, or illegal acts.</w:t>
            </w:r>
          </w:p>
        </w:tc>
      </w:tr>
      <w:tr w:rsidR="000779FF" w:rsidRPr="008C7E8B" w14:paraId="4002A453"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70B87066" w14:textId="7AC329EE" w:rsidR="000779FF" w:rsidRDefault="000779FF" w:rsidP="000779FF">
            <w:pPr>
              <w:keepLines/>
              <w:spacing w:before="40" w:after="40" w:line="190" w:lineRule="exact"/>
              <w:jc w:val="center"/>
              <w:rPr>
                <w:sz w:val="20"/>
                <w:szCs w:val="20"/>
                <w:lang w:val="es-PE"/>
              </w:rPr>
            </w:pPr>
            <w:r>
              <w:rPr>
                <w:sz w:val="20"/>
                <w:szCs w:val="20"/>
                <w:lang w:val="es-PE"/>
              </w:rPr>
              <w:lastRenderedPageBreak/>
              <w:t>1</w:t>
            </w:r>
            <w:r w:rsidR="00472DBC">
              <w:rPr>
                <w:sz w:val="20"/>
                <w:szCs w:val="20"/>
                <w:lang w:val="es-PE"/>
              </w:rPr>
              <w:t>1</w:t>
            </w:r>
          </w:p>
        </w:tc>
        <w:tc>
          <w:tcPr>
            <w:tcW w:w="2802" w:type="dxa"/>
            <w:tcBorders>
              <w:top w:val="single" w:sz="6" w:space="0" w:color="auto"/>
              <w:left w:val="single" w:sz="6" w:space="0" w:color="auto"/>
              <w:bottom w:val="single" w:sz="6" w:space="0" w:color="auto"/>
              <w:right w:val="single" w:sz="6" w:space="0" w:color="auto"/>
            </w:tcBorders>
          </w:tcPr>
          <w:p w14:paraId="3AC9899E" w14:textId="77777777" w:rsidR="000779FF" w:rsidRPr="002812D6" w:rsidRDefault="000779FF" w:rsidP="000779FF">
            <w:pPr>
              <w:keepLines/>
              <w:spacing w:before="40" w:after="40"/>
              <w:jc w:val="left"/>
              <w:rPr>
                <w:b/>
                <w:bCs/>
                <w:sz w:val="20"/>
                <w:szCs w:val="20"/>
              </w:rPr>
            </w:pPr>
            <w:r w:rsidRPr="002812D6">
              <w:rPr>
                <w:b/>
                <w:bCs/>
                <w:sz w:val="20"/>
                <w:szCs w:val="20"/>
              </w:rPr>
              <w:t>Appendix 3</w:t>
            </w:r>
          </w:p>
          <w:p w14:paraId="60B13382" w14:textId="682B58DE" w:rsidR="000779FF" w:rsidRPr="002812D6" w:rsidRDefault="000779FF" w:rsidP="000779FF">
            <w:pPr>
              <w:keepLines/>
              <w:spacing w:before="40" w:after="40"/>
              <w:jc w:val="left"/>
              <w:rPr>
                <w:b/>
                <w:bCs/>
                <w:sz w:val="20"/>
                <w:szCs w:val="20"/>
              </w:rPr>
            </w:pPr>
            <w:r>
              <w:rPr>
                <w:b/>
                <w:bCs/>
                <w:sz w:val="20"/>
                <w:szCs w:val="20"/>
              </w:rPr>
              <w:t xml:space="preserve">Section </w:t>
            </w:r>
            <w:r w:rsidRPr="002812D6">
              <w:rPr>
                <w:b/>
                <w:bCs/>
                <w:sz w:val="20"/>
                <w:szCs w:val="20"/>
              </w:rPr>
              <w:t>6.</w:t>
            </w:r>
            <w:r>
              <w:rPr>
                <w:b/>
                <w:bCs/>
                <w:sz w:val="20"/>
                <w:szCs w:val="20"/>
              </w:rPr>
              <w:t>2. Mitigation u</w:t>
            </w:r>
            <w:r w:rsidRPr="002812D6">
              <w:rPr>
                <w:b/>
                <w:bCs/>
                <w:sz w:val="20"/>
                <w:szCs w:val="20"/>
              </w:rPr>
              <w:t>nintentional reversals</w:t>
            </w:r>
          </w:p>
          <w:p w14:paraId="6EBCED0B" w14:textId="77777777" w:rsidR="000779FF" w:rsidRPr="002812D6" w:rsidRDefault="000779FF" w:rsidP="000779FF">
            <w:pPr>
              <w:keepLines/>
              <w:spacing w:before="40" w:after="40"/>
              <w:jc w:val="left"/>
              <w:rPr>
                <w:b/>
                <w:bCs/>
                <w:sz w:val="20"/>
                <w:szCs w:val="20"/>
              </w:rPr>
            </w:pPr>
          </w:p>
        </w:tc>
        <w:tc>
          <w:tcPr>
            <w:tcW w:w="2977" w:type="dxa"/>
            <w:tcBorders>
              <w:top w:val="single" w:sz="6" w:space="0" w:color="auto"/>
              <w:left w:val="single" w:sz="6" w:space="0" w:color="auto"/>
              <w:bottom w:val="single" w:sz="6" w:space="0" w:color="auto"/>
              <w:right w:val="single" w:sz="6" w:space="0" w:color="auto"/>
            </w:tcBorders>
          </w:tcPr>
          <w:p w14:paraId="60DE9FBA" w14:textId="743F6CC2" w:rsidR="000779FF" w:rsidRPr="00D46468" w:rsidRDefault="000779FF" w:rsidP="000779FF">
            <w:pPr>
              <w:keepLines/>
              <w:spacing w:before="40" w:after="40" w:line="190" w:lineRule="exact"/>
              <w:jc w:val="left"/>
              <w:rPr>
                <w:rFonts w:ascii="Calibri" w:hAnsi="Calibri" w:cs="Calibri"/>
                <w:color w:val="000000"/>
                <w:lang w:val="es-PE"/>
              </w:rPr>
            </w:pPr>
            <w:r w:rsidRPr="00D46468">
              <w:rPr>
                <w:rFonts w:ascii="Calibri" w:hAnsi="Calibri" w:cs="Calibri"/>
                <w:color w:val="000000"/>
                <w:lang w:val="es-PE"/>
              </w:rPr>
              <w:t xml:space="preserve">Paragraph </w:t>
            </w:r>
            <w:r>
              <w:rPr>
                <w:rFonts w:ascii="Calibri" w:hAnsi="Calibri" w:cs="Calibri"/>
                <w:color w:val="000000"/>
                <w:lang w:val="es-PE"/>
              </w:rPr>
              <w:t>48 - 49</w:t>
            </w:r>
          </w:p>
        </w:tc>
        <w:tc>
          <w:tcPr>
            <w:tcW w:w="4669" w:type="dxa"/>
            <w:tcBorders>
              <w:top w:val="single" w:sz="6" w:space="0" w:color="auto"/>
              <w:left w:val="single" w:sz="6" w:space="0" w:color="auto"/>
              <w:bottom w:val="single" w:sz="6" w:space="0" w:color="auto"/>
              <w:right w:val="single" w:sz="6" w:space="0" w:color="auto"/>
            </w:tcBorders>
          </w:tcPr>
          <w:p w14:paraId="57A28F97" w14:textId="1896CA3B" w:rsidR="000779FF" w:rsidRPr="008C7E8B" w:rsidRDefault="008C7E8B" w:rsidP="000779FF">
            <w:pPr>
              <w:keepLines/>
              <w:spacing w:before="40" w:after="40"/>
              <w:jc w:val="left"/>
              <w:rPr>
                <w:rFonts w:ascii="Calibri" w:hAnsi="Calibri" w:cs="Calibri"/>
                <w:color w:val="000000"/>
                <w:lang w:val="en-US"/>
              </w:rPr>
            </w:pPr>
            <w:r w:rsidRPr="008C7E8B">
              <w:rPr>
                <w:rFonts w:ascii="Calibri" w:hAnsi="Calibri" w:cs="Calibri"/>
                <w:color w:val="000000"/>
                <w:lang w:val="en-US"/>
              </w:rPr>
              <w:t xml:space="preserve">It is specified that a Reversal Risk </w:t>
            </w:r>
            <w:r>
              <w:rPr>
                <w:rFonts w:ascii="Calibri" w:hAnsi="Calibri" w:cs="Calibri"/>
                <w:color w:val="000000"/>
                <w:lang w:val="en-US"/>
              </w:rPr>
              <w:t>(</w:t>
            </w:r>
            <w:r w:rsidRPr="008C7E8B">
              <w:rPr>
                <w:rFonts w:ascii="Calibri" w:hAnsi="Calibri" w:cs="Calibri"/>
                <w:color w:val="000000"/>
                <w:lang w:val="en-US"/>
              </w:rPr>
              <w:t>Buffer Pool</w:t>
            </w:r>
            <w:r>
              <w:rPr>
                <w:rFonts w:ascii="Calibri" w:hAnsi="Calibri" w:cs="Calibri"/>
                <w:color w:val="000000"/>
                <w:lang w:val="en-US"/>
              </w:rPr>
              <w:t>)</w:t>
            </w:r>
            <w:r w:rsidRPr="008C7E8B">
              <w:rPr>
                <w:rFonts w:ascii="Calibri" w:hAnsi="Calibri" w:cs="Calibri"/>
                <w:color w:val="000000"/>
                <w:lang w:val="en-US"/>
              </w:rPr>
              <w:t xml:space="preserve"> will be established, but other options are also being considered, such as insurance or monetary reserves that would allow for the purchase and cancellation of low-risk credits.</w:t>
            </w:r>
          </w:p>
        </w:tc>
        <w:tc>
          <w:tcPr>
            <w:tcW w:w="4723" w:type="dxa"/>
            <w:tcBorders>
              <w:top w:val="single" w:sz="6" w:space="0" w:color="auto"/>
              <w:left w:val="single" w:sz="6" w:space="0" w:color="auto"/>
              <w:bottom w:val="single" w:sz="6" w:space="0" w:color="auto"/>
              <w:right w:val="single" w:sz="6" w:space="0" w:color="auto"/>
            </w:tcBorders>
          </w:tcPr>
          <w:p w14:paraId="126B78B6" w14:textId="6D82A357" w:rsidR="000779FF" w:rsidRPr="008C7E8B" w:rsidRDefault="008C7E8B" w:rsidP="000779FF">
            <w:pPr>
              <w:keepLines/>
              <w:spacing w:before="40" w:after="40"/>
              <w:jc w:val="left"/>
              <w:rPr>
                <w:rFonts w:ascii="Calibri" w:hAnsi="Calibri" w:cs="Calibri"/>
                <w:color w:val="000000"/>
                <w:lang w:val="en-US"/>
              </w:rPr>
            </w:pPr>
            <w:r w:rsidRPr="008C7E8B">
              <w:rPr>
                <w:rFonts w:ascii="Calibri" w:hAnsi="Calibri" w:cs="Calibri"/>
                <w:color w:val="000000"/>
                <w:lang w:val="en-US"/>
              </w:rPr>
              <w:t>While the use of alternative measures to remedy reversals is anticipated, it is considered that all projects should contribute to the buffer pool. It is essential that the management of non-permanence risk be carried out through a coherent and consistent strategy across the entire portfolio of removal activities under the Article 6.4 mechanism.</w:t>
            </w:r>
          </w:p>
        </w:tc>
      </w:tr>
      <w:tr w:rsidR="008E794F" w:rsidRPr="008C7E8B" w14:paraId="38AD68D3"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2E5D4EC1" w14:textId="6CABD518" w:rsidR="008E794F" w:rsidRDefault="00472DBC" w:rsidP="008E794F">
            <w:pPr>
              <w:keepLines/>
              <w:spacing w:before="40" w:after="40" w:line="190" w:lineRule="exact"/>
              <w:jc w:val="center"/>
              <w:rPr>
                <w:sz w:val="20"/>
                <w:szCs w:val="20"/>
                <w:lang w:val="es-PE"/>
              </w:rPr>
            </w:pPr>
            <w:r>
              <w:rPr>
                <w:sz w:val="20"/>
                <w:szCs w:val="20"/>
                <w:lang w:val="es-PE"/>
              </w:rPr>
              <w:t>12</w:t>
            </w:r>
          </w:p>
        </w:tc>
        <w:tc>
          <w:tcPr>
            <w:tcW w:w="2802" w:type="dxa"/>
            <w:tcBorders>
              <w:top w:val="single" w:sz="6" w:space="0" w:color="auto"/>
              <w:left w:val="single" w:sz="6" w:space="0" w:color="auto"/>
              <w:bottom w:val="single" w:sz="6" w:space="0" w:color="auto"/>
              <w:right w:val="single" w:sz="6" w:space="0" w:color="auto"/>
            </w:tcBorders>
          </w:tcPr>
          <w:p w14:paraId="3DE20215" w14:textId="77777777" w:rsidR="008E794F" w:rsidRPr="002812D6" w:rsidRDefault="008E794F" w:rsidP="008E794F">
            <w:pPr>
              <w:keepLines/>
              <w:spacing w:before="40" w:after="40"/>
              <w:jc w:val="left"/>
              <w:rPr>
                <w:b/>
                <w:bCs/>
                <w:sz w:val="20"/>
                <w:szCs w:val="20"/>
              </w:rPr>
            </w:pPr>
            <w:r w:rsidRPr="002812D6">
              <w:rPr>
                <w:b/>
                <w:bCs/>
                <w:sz w:val="20"/>
                <w:szCs w:val="20"/>
              </w:rPr>
              <w:t>Appendix 3</w:t>
            </w:r>
          </w:p>
          <w:p w14:paraId="2276C2A6" w14:textId="6729636A" w:rsidR="008E794F" w:rsidRPr="002812D6" w:rsidRDefault="008E794F" w:rsidP="008E794F">
            <w:pPr>
              <w:keepLines/>
              <w:spacing w:before="40" w:after="40"/>
              <w:jc w:val="left"/>
              <w:rPr>
                <w:b/>
                <w:bCs/>
                <w:sz w:val="20"/>
                <w:szCs w:val="20"/>
              </w:rPr>
            </w:pPr>
            <w:r>
              <w:rPr>
                <w:b/>
                <w:bCs/>
                <w:sz w:val="20"/>
                <w:szCs w:val="20"/>
              </w:rPr>
              <w:t xml:space="preserve">Section </w:t>
            </w:r>
            <w:r w:rsidRPr="002812D6">
              <w:rPr>
                <w:b/>
                <w:bCs/>
                <w:sz w:val="20"/>
                <w:szCs w:val="20"/>
              </w:rPr>
              <w:t>6.</w:t>
            </w:r>
            <w:r>
              <w:rPr>
                <w:b/>
                <w:bCs/>
                <w:sz w:val="20"/>
                <w:szCs w:val="20"/>
              </w:rPr>
              <w:t>2.1 R</w:t>
            </w:r>
            <w:r w:rsidRPr="002812D6">
              <w:rPr>
                <w:b/>
                <w:bCs/>
                <w:sz w:val="20"/>
                <w:szCs w:val="20"/>
              </w:rPr>
              <w:t>eversals</w:t>
            </w:r>
            <w:r>
              <w:rPr>
                <w:b/>
                <w:bCs/>
                <w:sz w:val="20"/>
                <w:szCs w:val="20"/>
              </w:rPr>
              <w:t xml:space="preserve"> risk assessment</w:t>
            </w:r>
          </w:p>
          <w:p w14:paraId="4CA311FD" w14:textId="77777777" w:rsidR="008E794F" w:rsidRPr="008E794F" w:rsidRDefault="008E794F" w:rsidP="008E794F">
            <w:pPr>
              <w:keepLines/>
              <w:spacing w:before="40" w:after="40"/>
              <w:jc w:val="left"/>
              <w:rPr>
                <w:b/>
                <w:bCs/>
                <w:sz w:val="20"/>
                <w:szCs w:val="20"/>
                <w:lang w:val="en-US"/>
              </w:rPr>
            </w:pPr>
          </w:p>
        </w:tc>
        <w:tc>
          <w:tcPr>
            <w:tcW w:w="2977" w:type="dxa"/>
            <w:tcBorders>
              <w:top w:val="single" w:sz="6" w:space="0" w:color="auto"/>
              <w:left w:val="single" w:sz="6" w:space="0" w:color="auto"/>
              <w:bottom w:val="single" w:sz="6" w:space="0" w:color="auto"/>
              <w:right w:val="single" w:sz="6" w:space="0" w:color="auto"/>
            </w:tcBorders>
          </w:tcPr>
          <w:p w14:paraId="26F5E284" w14:textId="0ECA25D0" w:rsidR="008E794F" w:rsidRPr="00D46468" w:rsidRDefault="008E794F" w:rsidP="008E794F">
            <w:pPr>
              <w:keepLines/>
              <w:spacing w:before="40" w:after="40" w:line="190" w:lineRule="exact"/>
              <w:jc w:val="left"/>
              <w:rPr>
                <w:rFonts w:ascii="Calibri" w:hAnsi="Calibri" w:cs="Calibri"/>
                <w:color w:val="000000"/>
                <w:lang w:val="es-PE"/>
              </w:rPr>
            </w:pPr>
            <w:r w:rsidRPr="00D46468">
              <w:rPr>
                <w:rFonts w:ascii="Calibri" w:hAnsi="Calibri" w:cs="Calibri"/>
                <w:color w:val="000000"/>
                <w:lang w:val="es-PE"/>
              </w:rPr>
              <w:t xml:space="preserve">Paragraph </w:t>
            </w:r>
            <w:r>
              <w:rPr>
                <w:rFonts w:ascii="Calibri" w:hAnsi="Calibri" w:cs="Calibri"/>
                <w:color w:val="000000"/>
                <w:lang w:val="es-PE"/>
              </w:rPr>
              <w:t>54 - 56</w:t>
            </w:r>
          </w:p>
        </w:tc>
        <w:tc>
          <w:tcPr>
            <w:tcW w:w="4669" w:type="dxa"/>
            <w:tcBorders>
              <w:top w:val="single" w:sz="6" w:space="0" w:color="auto"/>
              <w:left w:val="single" w:sz="6" w:space="0" w:color="auto"/>
              <w:bottom w:val="single" w:sz="6" w:space="0" w:color="auto"/>
              <w:right w:val="single" w:sz="6" w:space="0" w:color="auto"/>
            </w:tcBorders>
          </w:tcPr>
          <w:p w14:paraId="768FF7C1" w14:textId="77777777" w:rsidR="008C7E8B" w:rsidRPr="008C7E8B" w:rsidRDefault="008C7E8B" w:rsidP="008C7E8B">
            <w:pPr>
              <w:keepLines/>
              <w:spacing w:before="40" w:after="40"/>
              <w:jc w:val="left"/>
              <w:rPr>
                <w:rFonts w:ascii="Calibri" w:hAnsi="Calibri" w:cs="Calibri"/>
                <w:color w:val="000000"/>
                <w:lang w:val="en-US"/>
              </w:rPr>
            </w:pPr>
            <w:r w:rsidRPr="008C7E8B">
              <w:rPr>
                <w:rFonts w:ascii="Calibri" w:hAnsi="Calibri" w:cs="Calibri"/>
                <w:color w:val="000000"/>
                <w:lang w:val="en-US"/>
              </w:rPr>
              <w:t>All participants in mitigation activities are required to undergo a suitability and integrity assessment to ensure their ethical, legal, and financial capacity to fulfill the project's commitments. This assessment must be updated with each renewal of the crediting period, and failure to comply disqualifies the project. In addition, the reversal risk of an activity under Article 6.4 will be determined by summing various risk factors: insolvency, type of activity, primary risks, and the quality of the reversal management plan.</w:t>
            </w:r>
          </w:p>
          <w:p w14:paraId="41FF9FFE" w14:textId="0C20A9CB" w:rsidR="001E31FC" w:rsidRPr="008C7E8B" w:rsidRDefault="008C7E8B" w:rsidP="008C7E8B">
            <w:pPr>
              <w:keepLines/>
              <w:spacing w:before="40" w:after="40"/>
              <w:jc w:val="left"/>
              <w:rPr>
                <w:rFonts w:ascii="Calibri" w:hAnsi="Calibri" w:cs="Calibri"/>
                <w:color w:val="000000"/>
                <w:lang w:val="en-US"/>
              </w:rPr>
            </w:pPr>
            <w:r w:rsidRPr="008C7E8B">
              <w:rPr>
                <w:rFonts w:ascii="Calibri" w:hAnsi="Calibri" w:cs="Calibri"/>
                <w:color w:val="000000"/>
                <w:lang w:val="en-US"/>
              </w:rPr>
              <w:t>This requirement could create barriers for communities and small project developers, limiting their participation in the mechanism.</w:t>
            </w:r>
          </w:p>
        </w:tc>
        <w:tc>
          <w:tcPr>
            <w:tcW w:w="4723" w:type="dxa"/>
            <w:tcBorders>
              <w:top w:val="single" w:sz="6" w:space="0" w:color="auto"/>
              <w:left w:val="single" w:sz="6" w:space="0" w:color="auto"/>
              <w:bottom w:val="single" w:sz="6" w:space="0" w:color="auto"/>
              <w:right w:val="single" w:sz="6" w:space="0" w:color="auto"/>
            </w:tcBorders>
          </w:tcPr>
          <w:p w14:paraId="06A9BC67" w14:textId="21C37F72" w:rsidR="001E31FC" w:rsidRPr="008C7E8B" w:rsidRDefault="008C7E8B" w:rsidP="008E794F">
            <w:pPr>
              <w:keepLines/>
              <w:spacing w:before="40" w:after="40"/>
              <w:jc w:val="left"/>
              <w:rPr>
                <w:rFonts w:ascii="Calibri" w:hAnsi="Calibri" w:cs="Calibri"/>
                <w:color w:val="000000"/>
                <w:lang w:val="en-US"/>
              </w:rPr>
            </w:pPr>
            <w:r w:rsidRPr="008C7E8B">
              <w:rPr>
                <w:rFonts w:ascii="Calibri" w:hAnsi="Calibri" w:cs="Calibri"/>
                <w:color w:val="000000"/>
                <w:lang w:val="en-US"/>
              </w:rPr>
              <w:t xml:space="preserve">It is recommended to review this requirement considering the </w:t>
            </w:r>
            <w:r w:rsidR="008E733E" w:rsidRPr="008C7E8B">
              <w:rPr>
                <w:rFonts w:ascii="Calibri" w:hAnsi="Calibri" w:cs="Calibri"/>
                <w:color w:val="000000"/>
                <w:lang w:val="en-US"/>
              </w:rPr>
              <w:t>circumstances</w:t>
            </w:r>
            <w:r w:rsidRPr="008C7E8B">
              <w:rPr>
                <w:rFonts w:ascii="Calibri" w:hAnsi="Calibri" w:cs="Calibri"/>
                <w:color w:val="000000"/>
                <w:lang w:val="en-US"/>
              </w:rPr>
              <w:t xml:space="preserve"> of Indigenous Peoples and small project developers, given that insolvency risks can be adequately addressed through the reversal risk assessment of the activity.</w:t>
            </w:r>
          </w:p>
        </w:tc>
      </w:tr>
      <w:tr w:rsidR="001E31FC" w:rsidRPr="008C7E8B" w14:paraId="4880F3F8"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732E68ED" w14:textId="38A3D613" w:rsidR="001E31FC" w:rsidRDefault="00472DBC" w:rsidP="001E31FC">
            <w:pPr>
              <w:keepLines/>
              <w:spacing w:before="40" w:after="40" w:line="190" w:lineRule="exact"/>
              <w:jc w:val="center"/>
              <w:rPr>
                <w:sz w:val="20"/>
                <w:szCs w:val="20"/>
                <w:lang w:val="es-PE"/>
              </w:rPr>
            </w:pPr>
            <w:r>
              <w:rPr>
                <w:sz w:val="20"/>
                <w:szCs w:val="20"/>
                <w:lang w:val="es-PE"/>
              </w:rPr>
              <w:t>13</w:t>
            </w:r>
          </w:p>
        </w:tc>
        <w:tc>
          <w:tcPr>
            <w:tcW w:w="2802" w:type="dxa"/>
            <w:tcBorders>
              <w:top w:val="single" w:sz="6" w:space="0" w:color="auto"/>
              <w:left w:val="single" w:sz="6" w:space="0" w:color="auto"/>
              <w:bottom w:val="single" w:sz="6" w:space="0" w:color="auto"/>
              <w:right w:val="single" w:sz="6" w:space="0" w:color="auto"/>
            </w:tcBorders>
          </w:tcPr>
          <w:p w14:paraId="29F0369E" w14:textId="77777777" w:rsidR="001E31FC" w:rsidRPr="002812D6" w:rsidRDefault="001E31FC" w:rsidP="001E31FC">
            <w:pPr>
              <w:keepLines/>
              <w:spacing w:before="40" w:after="40"/>
              <w:jc w:val="left"/>
              <w:rPr>
                <w:b/>
                <w:bCs/>
                <w:sz w:val="20"/>
                <w:szCs w:val="20"/>
              </w:rPr>
            </w:pPr>
            <w:r w:rsidRPr="002812D6">
              <w:rPr>
                <w:b/>
                <w:bCs/>
                <w:sz w:val="20"/>
                <w:szCs w:val="20"/>
              </w:rPr>
              <w:t>Appendix 3</w:t>
            </w:r>
          </w:p>
          <w:p w14:paraId="7F6C223D" w14:textId="0769EDA0" w:rsidR="001E31FC" w:rsidRPr="002812D6" w:rsidRDefault="001E31FC" w:rsidP="001E31FC">
            <w:pPr>
              <w:keepLines/>
              <w:spacing w:before="40" w:after="40"/>
              <w:jc w:val="left"/>
              <w:rPr>
                <w:b/>
                <w:bCs/>
                <w:sz w:val="20"/>
                <w:szCs w:val="20"/>
              </w:rPr>
            </w:pPr>
            <w:r>
              <w:rPr>
                <w:b/>
                <w:bCs/>
                <w:sz w:val="20"/>
                <w:szCs w:val="20"/>
              </w:rPr>
              <w:t xml:space="preserve">Section </w:t>
            </w:r>
            <w:r w:rsidRPr="002812D6">
              <w:rPr>
                <w:b/>
                <w:bCs/>
                <w:sz w:val="20"/>
                <w:szCs w:val="20"/>
              </w:rPr>
              <w:t>6.</w:t>
            </w:r>
            <w:r>
              <w:rPr>
                <w:b/>
                <w:bCs/>
                <w:sz w:val="20"/>
                <w:szCs w:val="20"/>
              </w:rPr>
              <w:t>3. Mitigating intentional reversals</w:t>
            </w:r>
          </w:p>
          <w:p w14:paraId="567C3E23" w14:textId="77777777" w:rsidR="001E31FC" w:rsidRPr="002812D6" w:rsidRDefault="001E31FC" w:rsidP="001E31FC">
            <w:pPr>
              <w:keepLines/>
              <w:spacing w:before="40" w:after="40"/>
              <w:jc w:val="left"/>
              <w:rPr>
                <w:b/>
                <w:bCs/>
                <w:sz w:val="20"/>
                <w:szCs w:val="20"/>
              </w:rPr>
            </w:pPr>
          </w:p>
        </w:tc>
        <w:tc>
          <w:tcPr>
            <w:tcW w:w="2977" w:type="dxa"/>
            <w:tcBorders>
              <w:top w:val="single" w:sz="6" w:space="0" w:color="auto"/>
              <w:left w:val="single" w:sz="6" w:space="0" w:color="auto"/>
              <w:bottom w:val="single" w:sz="6" w:space="0" w:color="auto"/>
              <w:right w:val="single" w:sz="6" w:space="0" w:color="auto"/>
            </w:tcBorders>
          </w:tcPr>
          <w:p w14:paraId="7768B03C" w14:textId="7C284D76" w:rsidR="001E31FC" w:rsidRPr="00D46468" w:rsidRDefault="001E31FC" w:rsidP="001E31FC">
            <w:pPr>
              <w:keepLines/>
              <w:spacing w:before="40" w:after="40" w:line="190" w:lineRule="exact"/>
              <w:jc w:val="left"/>
              <w:rPr>
                <w:rFonts w:ascii="Calibri" w:hAnsi="Calibri" w:cs="Calibri"/>
                <w:color w:val="000000"/>
                <w:lang w:val="es-PE"/>
              </w:rPr>
            </w:pPr>
            <w:r w:rsidRPr="00D46468">
              <w:rPr>
                <w:rFonts w:ascii="Calibri" w:hAnsi="Calibri" w:cs="Calibri"/>
                <w:color w:val="000000"/>
                <w:lang w:val="es-PE"/>
              </w:rPr>
              <w:t xml:space="preserve">Paragraph </w:t>
            </w:r>
            <w:r>
              <w:rPr>
                <w:rFonts w:ascii="Calibri" w:hAnsi="Calibri" w:cs="Calibri"/>
                <w:color w:val="000000"/>
                <w:lang w:val="es-PE"/>
              </w:rPr>
              <w:t>68</w:t>
            </w:r>
          </w:p>
        </w:tc>
        <w:tc>
          <w:tcPr>
            <w:tcW w:w="4669" w:type="dxa"/>
            <w:tcBorders>
              <w:top w:val="single" w:sz="6" w:space="0" w:color="auto"/>
              <w:left w:val="single" w:sz="6" w:space="0" w:color="auto"/>
              <w:bottom w:val="single" w:sz="6" w:space="0" w:color="auto"/>
              <w:right w:val="single" w:sz="6" w:space="0" w:color="auto"/>
            </w:tcBorders>
          </w:tcPr>
          <w:p w14:paraId="063DE0BE" w14:textId="4744292D" w:rsidR="001E31FC" w:rsidRPr="008C7E8B" w:rsidRDefault="008C7E8B" w:rsidP="001E31FC">
            <w:pPr>
              <w:keepLines/>
              <w:spacing w:before="40" w:after="40"/>
              <w:jc w:val="left"/>
              <w:rPr>
                <w:rFonts w:ascii="Calibri" w:hAnsi="Calibri" w:cs="Calibri"/>
                <w:color w:val="000000"/>
                <w:lang w:val="en-US"/>
              </w:rPr>
            </w:pPr>
            <w:r w:rsidRPr="008C7E8B">
              <w:rPr>
                <w:rFonts w:ascii="Calibri" w:hAnsi="Calibri" w:cs="Calibri"/>
                <w:color w:val="000000"/>
                <w:lang w:val="en-US"/>
              </w:rPr>
              <w:t>Activity participants are required to obtain and maintain sufficient coverage through an insurance policy or comparable guarantee products to cover the risk of intentional reversals, which poses a limitation for communities and small project developers.</w:t>
            </w:r>
          </w:p>
        </w:tc>
        <w:tc>
          <w:tcPr>
            <w:tcW w:w="4723" w:type="dxa"/>
            <w:tcBorders>
              <w:top w:val="single" w:sz="6" w:space="0" w:color="auto"/>
              <w:left w:val="single" w:sz="6" w:space="0" w:color="auto"/>
              <w:bottom w:val="single" w:sz="6" w:space="0" w:color="auto"/>
              <w:right w:val="single" w:sz="6" w:space="0" w:color="auto"/>
            </w:tcBorders>
          </w:tcPr>
          <w:p w14:paraId="0EE37EB7" w14:textId="54936661" w:rsidR="001E31FC" w:rsidRPr="008C7E8B" w:rsidRDefault="008C7E8B" w:rsidP="001E31FC">
            <w:pPr>
              <w:keepLines/>
              <w:spacing w:before="40" w:after="40"/>
              <w:jc w:val="left"/>
              <w:rPr>
                <w:rFonts w:ascii="Calibri" w:hAnsi="Calibri" w:cs="Calibri"/>
                <w:color w:val="000000"/>
                <w:lang w:val="en-US"/>
              </w:rPr>
            </w:pPr>
            <w:r w:rsidRPr="008C7E8B">
              <w:rPr>
                <w:rFonts w:ascii="Calibri" w:hAnsi="Calibri" w:cs="Calibri"/>
                <w:color w:val="000000"/>
                <w:lang w:val="en-US"/>
              </w:rPr>
              <w:t xml:space="preserve">It is recommended to </w:t>
            </w:r>
            <w:r w:rsidR="00F742F3">
              <w:rPr>
                <w:rFonts w:ascii="Calibri" w:hAnsi="Calibri" w:cs="Calibri"/>
                <w:color w:val="000000"/>
                <w:lang w:val="en-US"/>
              </w:rPr>
              <w:t>modify</w:t>
            </w:r>
            <w:r w:rsidR="00F742F3" w:rsidRPr="008C7E8B">
              <w:rPr>
                <w:rFonts w:ascii="Calibri" w:hAnsi="Calibri" w:cs="Calibri"/>
                <w:color w:val="000000"/>
                <w:lang w:val="en-US"/>
              </w:rPr>
              <w:t xml:space="preserve"> </w:t>
            </w:r>
            <w:r w:rsidRPr="008C7E8B">
              <w:rPr>
                <w:rFonts w:ascii="Calibri" w:hAnsi="Calibri" w:cs="Calibri"/>
                <w:color w:val="000000"/>
                <w:lang w:val="en-US"/>
              </w:rPr>
              <w:t>the requirement for an insurance policy or comparable guarantee products to cover intentional reversals, considering alternative mechanisms that do not pose an access barrier for communities and small project developers. This would help maintain environmental integrity without compromising the inclusiveness and fairness of the mechanism.</w:t>
            </w:r>
          </w:p>
        </w:tc>
      </w:tr>
      <w:tr w:rsidR="00B53E80" w:rsidRPr="008C7E8B" w14:paraId="09B56B43"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360DEABB" w14:textId="64249E3A" w:rsidR="00B53E80" w:rsidRDefault="00472DBC" w:rsidP="00B53E80">
            <w:pPr>
              <w:keepLines/>
              <w:spacing w:before="40" w:after="40" w:line="190" w:lineRule="exact"/>
              <w:jc w:val="center"/>
              <w:rPr>
                <w:sz w:val="20"/>
                <w:szCs w:val="20"/>
                <w:lang w:val="es-PE"/>
              </w:rPr>
            </w:pPr>
            <w:r>
              <w:rPr>
                <w:sz w:val="20"/>
                <w:szCs w:val="20"/>
                <w:lang w:val="es-PE"/>
              </w:rPr>
              <w:lastRenderedPageBreak/>
              <w:t>14</w:t>
            </w:r>
          </w:p>
        </w:tc>
        <w:tc>
          <w:tcPr>
            <w:tcW w:w="2802" w:type="dxa"/>
            <w:tcBorders>
              <w:top w:val="single" w:sz="6" w:space="0" w:color="auto"/>
              <w:left w:val="single" w:sz="6" w:space="0" w:color="auto"/>
              <w:bottom w:val="single" w:sz="6" w:space="0" w:color="auto"/>
              <w:right w:val="single" w:sz="6" w:space="0" w:color="auto"/>
            </w:tcBorders>
          </w:tcPr>
          <w:p w14:paraId="1AD39925" w14:textId="77777777" w:rsidR="00B53E80" w:rsidRPr="002812D6" w:rsidRDefault="00B53E80" w:rsidP="00B53E80">
            <w:pPr>
              <w:keepLines/>
              <w:spacing w:before="40" w:after="40"/>
              <w:jc w:val="left"/>
              <w:rPr>
                <w:b/>
                <w:bCs/>
                <w:sz w:val="20"/>
                <w:szCs w:val="20"/>
              </w:rPr>
            </w:pPr>
            <w:r w:rsidRPr="002812D6">
              <w:rPr>
                <w:b/>
                <w:bCs/>
                <w:sz w:val="20"/>
                <w:szCs w:val="20"/>
              </w:rPr>
              <w:t>Appendix 3</w:t>
            </w:r>
          </w:p>
          <w:p w14:paraId="42A6E24E" w14:textId="4A8C6309" w:rsidR="00B53E80" w:rsidRPr="002812D6" w:rsidRDefault="00B53E80" w:rsidP="00B53E80">
            <w:pPr>
              <w:keepLines/>
              <w:spacing w:before="40" w:after="40"/>
              <w:jc w:val="left"/>
              <w:rPr>
                <w:b/>
                <w:bCs/>
                <w:sz w:val="20"/>
                <w:szCs w:val="20"/>
              </w:rPr>
            </w:pPr>
            <w:r>
              <w:rPr>
                <w:b/>
                <w:bCs/>
                <w:sz w:val="20"/>
                <w:szCs w:val="20"/>
              </w:rPr>
              <w:t>Section 7.1. Post reversals actions</w:t>
            </w:r>
          </w:p>
          <w:p w14:paraId="4EF2D662" w14:textId="77777777" w:rsidR="00B53E80" w:rsidRPr="002812D6" w:rsidRDefault="00B53E80" w:rsidP="00B53E80">
            <w:pPr>
              <w:keepLines/>
              <w:spacing w:before="40" w:after="40"/>
              <w:jc w:val="left"/>
              <w:rPr>
                <w:b/>
                <w:bCs/>
                <w:sz w:val="20"/>
                <w:szCs w:val="20"/>
              </w:rPr>
            </w:pPr>
          </w:p>
        </w:tc>
        <w:tc>
          <w:tcPr>
            <w:tcW w:w="2977" w:type="dxa"/>
            <w:tcBorders>
              <w:top w:val="single" w:sz="6" w:space="0" w:color="auto"/>
              <w:left w:val="single" w:sz="6" w:space="0" w:color="auto"/>
              <w:bottom w:val="single" w:sz="6" w:space="0" w:color="auto"/>
              <w:right w:val="single" w:sz="6" w:space="0" w:color="auto"/>
            </w:tcBorders>
          </w:tcPr>
          <w:p w14:paraId="55174E42" w14:textId="1D4C6567" w:rsidR="00B53E80" w:rsidRPr="00D46468" w:rsidRDefault="00B53E80" w:rsidP="00B53E80">
            <w:pPr>
              <w:keepLines/>
              <w:spacing w:before="40" w:after="40" w:line="190" w:lineRule="exact"/>
              <w:jc w:val="left"/>
              <w:rPr>
                <w:rFonts w:ascii="Calibri" w:hAnsi="Calibri" w:cs="Calibri"/>
                <w:color w:val="000000"/>
                <w:lang w:val="es-PE"/>
              </w:rPr>
            </w:pPr>
            <w:r w:rsidRPr="00D46468">
              <w:rPr>
                <w:rFonts w:ascii="Calibri" w:hAnsi="Calibri" w:cs="Calibri"/>
                <w:color w:val="000000"/>
                <w:lang w:val="es-PE"/>
              </w:rPr>
              <w:t xml:space="preserve">Paragraph </w:t>
            </w:r>
            <w:r>
              <w:rPr>
                <w:rFonts w:ascii="Calibri" w:hAnsi="Calibri" w:cs="Calibri"/>
                <w:color w:val="000000"/>
                <w:lang w:val="es-PE"/>
              </w:rPr>
              <w:t>81</w:t>
            </w:r>
          </w:p>
        </w:tc>
        <w:tc>
          <w:tcPr>
            <w:tcW w:w="4669" w:type="dxa"/>
            <w:tcBorders>
              <w:top w:val="single" w:sz="6" w:space="0" w:color="auto"/>
              <w:left w:val="single" w:sz="6" w:space="0" w:color="auto"/>
              <w:bottom w:val="single" w:sz="6" w:space="0" w:color="auto"/>
              <w:right w:val="single" w:sz="6" w:space="0" w:color="auto"/>
            </w:tcBorders>
          </w:tcPr>
          <w:p w14:paraId="7A221FF3" w14:textId="7D733FDD" w:rsidR="00B53E80" w:rsidRPr="008C7E8B" w:rsidRDefault="008C7E8B" w:rsidP="00B53E80">
            <w:pPr>
              <w:keepLines/>
              <w:spacing w:before="40" w:after="40"/>
              <w:jc w:val="left"/>
              <w:rPr>
                <w:rFonts w:ascii="Calibri" w:hAnsi="Calibri" w:cs="Calibri"/>
                <w:color w:val="000000"/>
                <w:lang w:val="en-US"/>
              </w:rPr>
            </w:pPr>
            <w:r w:rsidRPr="008C7E8B">
              <w:rPr>
                <w:rFonts w:ascii="Calibri" w:hAnsi="Calibri" w:cs="Calibri"/>
                <w:color w:val="000000"/>
                <w:lang w:val="en-US"/>
              </w:rPr>
              <w:t xml:space="preserve">It is proposed that, in the case of a recoverable reversal, participants must report whether they will choose to terminate the activity and return the verified </w:t>
            </w:r>
            <w:proofErr w:type="gramStart"/>
            <w:r w:rsidRPr="008C7E8B">
              <w:rPr>
                <w:rFonts w:ascii="Calibri" w:hAnsi="Calibri" w:cs="Calibri"/>
                <w:color w:val="000000"/>
                <w:lang w:val="en-US"/>
              </w:rPr>
              <w:t>reductions, or</w:t>
            </w:r>
            <w:proofErr w:type="gramEnd"/>
            <w:r w:rsidRPr="008C7E8B">
              <w:rPr>
                <w:rFonts w:ascii="Calibri" w:hAnsi="Calibri" w:cs="Calibri"/>
                <w:color w:val="000000"/>
                <w:lang w:val="en-US"/>
              </w:rPr>
              <w:t xml:space="preserve"> continue the activity by undertaking recovery actions to restore the previous mitigation levels.</w:t>
            </w:r>
          </w:p>
        </w:tc>
        <w:tc>
          <w:tcPr>
            <w:tcW w:w="4723" w:type="dxa"/>
            <w:tcBorders>
              <w:top w:val="single" w:sz="6" w:space="0" w:color="auto"/>
              <w:left w:val="single" w:sz="6" w:space="0" w:color="auto"/>
              <w:bottom w:val="single" w:sz="6" w:space="0" w:color="auto"/>
              <w:right w:val="single" w:sz="6" w:space="0" w:color="auto"/>
            </w:tcBorders>
          </w:tcPr>
          <w:p w14:paraId="0A30B5A7" w14:textId="44BF36C2" w:rsidR="00B53E80" w:rsidRPr="008C7E8B" w:rsidRDefault="008C7E8B" w:rsidP="00B53E80">
            <w:pPr>
              <w:keepLines/>
              <w:spacing w:before="40" w:after="40"/>
              <w:jc w:val="left"/>
              <w:rPr>
                <w:rFonts w:ascii="Calibri" w:hAnsi="Calibri" w:cs="Calibri"/>
                <w:color w:val="000000"/>
                <w:lang w:val="en-US"/>
              </w:rPr>
            </w:pPr>
            <w:r w:rsidRPr="008C7E8B">
              <w:rPr>
                <w:rFonts w:ascii="Calibri" w:hAnsi="Calibri" w:cs="Calibri"/>
                <w:color w:val="000000"/>
                <w:lang w:val="en-US"/>
              </w:rPr>
              <w:t>It is recommended to further develop the option of adopting recovery measures in response to potentially recoverable reversal events, prioritizing the continuation of the activity over its cancellation.</w:t>
            </w:r>
          </w:p>
        </w:tc>
      </w:tr>
      <w:tr w:rsidR="009424D6" w:rsidRPr="008C7E8B" w14:paraId="6BAB2153"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1BA3FE1E" w14:textId="633F1A99" w:rsidR="009424D6" w:rsidRDefault="00472DBC" w:rsidP="009424D6">
            <w:pPr>
              <w:keepLines/>
              <w:spacing w:before="40" w:after="40" w:line="190" w:lineRule="exact"/>
              <w:jc w:val="center"/>
              <w:rPr>
                <w:sz w:val="20"/>
                <w:szCs w:val="20"/>
                <w:lang w:val="es-PE"/>
              </w:rPr>
            </w:pPr>
            <w:r>
              <w:rPr>
                <w:sz w:val="20"/>
                <w:szCs w:val="20"/>
                <w:lang w:val="es-PE"/>
              </w:rPr>
              <w:t>15</w:t>
            </w:r>
          </w:p>
        </w:tc>
        <w:tc>
          <w:tcPr>
            <w:tcW w:w="2802" w:type="dxa"/>
            <w:tcBorders>
              <w:top w:val="single" w:sz="6" w:space="0" w:color="auto"/>
              <w:left w:val="single" w:sz="6" w:space="0" w:color="auto"/>
              <w:bottom w:val="single" w:sz="6" w:space="0" w:color="auto"/>
              <w:right w:val="single" w:sz="6" w:space="0" w:color="auto"/>
            </w:tcBorders>
          </w:tcPr>
          <w:p w14:paraId="2A2D8D71" w14:textId="77777777" w:rsidR="009424D6" w:rsidRPr="002812D6" w:rsidRDefault="009424D6" w:rsidP="009424D6">
            <w:pPr>
              <w:keepLines/>
              <w:spacing w:before="40" w:after="40"/>
              <w:jc w:val="left"/>
              <w:rPr>
                <w:b/>
                <w:bCs/>
                <w:sz w:val="20"/>
                <w:szCs w:val="20"/>
              </w:rPr>
            </w:pPr>
            <w:r w:rsidRPr="002812D6">
              <w:rPr>
                <w:b/>
                <w:bCs/>
                <w:sz w:val="20"/>
                <w:szCs w:val="20"/>
              </w:rPr>
              <w:t>Appendix 3</w:t>
            </w:r>
          </w:p>
          <w:p w14:paraId="3097E86A" w14:textId="4BBB40FD" w:rsidR="009424D6" w:rsidRPr="002812D6" w:rsidRDefault="009424D6" w:rsidP="009424D6">
            <w:pPr>
              <w:keepLines/>
              <w:spacing w:before="40" w:after="40"/>
              <w:jc w:val="left"/>
              <w:rPr>
                <w:b/>
                <w:bCs/>
                <w:sz w:val="20"/>
                <w:szCs w:val="20"/>
              </w:rPr>
            </w:pPr>
            <w:r>
              <w:rPr>
                <w:b/>
                <w:bCs/>
                <w:sz w:val="20"/>
                <w:szCs w:val="20"/>
              </w:rPr>
              <w:t>Section 7.3. Reversals that fall below baseline</w:t>
            </w:r>
          </w:p>
          <w:p w14:paraId="7D587EBD" w14:textId="77777777" w:rsidR="009424D6" w:rsidRPr="002812D6" w:rsidRDefault="009424D6" w:rsidP="009424D6">
            <w:pPr>
              <w:keepLines/>
              <w:spacing w:before="40" w:after="40"/>
              <w:jc w:val="left"/>
              <w:rPr>
                <w:b/>
                <w:bCs/>
                <w:sz w:val="20"/>
                <w:szCs w:val="20"/>
              </w:rPr>
            </w:pPr>
          </w:p>
        </w:tc>
        <w:tc>
          <w:tcPr>
            <w:tcW w:w="2977" w:type="dxa"/>
            <w:tcBorders>
              <w:top w:val="single" w:sz="6" w:space="0" w:color="auto"/>
              <w:left w:val="single" w:sz="6" w:space="0" w:color="auto"/>
              <w:bottom w:val="single" w:sz="6" w:space="0" w:color="auto"/>
              <w:right w:val="single" w:sz="6" w:space="0" w:color="auto"/>
            </w:tcBorders>
          </w:tcPr>
          <w:p w14:paraId="4703218E" w14:textId="00A048E6" w:rsidR="009424D6" w:rsidRPr="00D46468" w:rsidRDefault="009424D6" w:rsidP="009424D6">
            <w:pPr>
              <w:keepLines/>
              <w:spacing w:before="40" w:after="40" w:line="190" w:lineRule="exact"/>
              <w:jc w:val="left"/>
              <w:rPr>
                <w:rFonts w:ascii="Calibri" w:hAnsi="Calibri" w:cs="Calibri"/>
                <w:color w:val="000000"/>
                <w:lang w:val="es-PE"/>
              </w:rPr>
            </w:pPr>
            <w:r w:rsidRPr="00D46468">
              <w:rPr>
                <w:rFonts w:ascii="Calibri" w:hAnsi="Calibri" w:cs="Calibri"/>
                <w:color w:val="000000"/>
                <w:lang w:val="es-PE"/>
              </w:rPr>
              <w:t xml:space="preserve">Paragraph </w:t>
            </w:r>
            <w:r>
              <w:rPr>
                <w:rFonts w:ascii="Calibri" w:hAnsi="Calibri" w:cs="Calibri"/>
                <w:color w:val="000000"/>
                <w:lang w:val="es-PE"/>
              </w:rPr>
              <w:t>95</w:t>
            </w:r>
          </w:p>
        </w:tc>
        <w:tc>
          <w:tcPr>
            <w:tcW w:w="4669" w:type="dxa"/>
            <w:tcBorders>
              <w:top w:val="single" w:sz="6" w:space="0" w:color="auto"/>
              <w:left w:val="single" w:sz="6" w:space="0" w:color="auto"/>
              <w:bottom w:val="single" w:sz="6" w:space="0" w:color="auto"/>
              <w:right w:val="single" w:sz="6" w:space="0" w:color="auto"/>
            </w:tcBorders>
          </w:tcPr>
          <w:p w14:paraId="37F3060C" w14:textId="77777777" w:rsidR="00F742F3" w:rsidRDefault="008C7E8B" w:rsidP="009424D6">
            <w:pPr>
              <w:keepLines/>
              <w:spacing w:before="40" w:after="40"/>
              <w:jc w:val="left"/>
              <w:rPr>
                <w:rFonts w:ascii="Calibri" w:hAnsi="Calibri" w:cs="Calibri"/>
                <w:color w:val="000000"/>
                <w:lang w:val="en-US"/>
              </w:rPr>
            </w:pPr>
            <w:r w:rsidRPr="008C7E8B">
              <w:rPr>
                <w:rFonts w:ascii="Calibri" w:hAnsi="Calibri" w:cs="Calibri"/>
                <w:color w:val="000000"/>
                <w:lang w:val="en-US"/>
              </w:rPr>
              <w:t xml:space="preserve">It is proposed that if a reversal (loss of emission reductions) occurs in activities other than those related to terrestrial carbon stocks, and this loss exceeds what had been verified plus the expected emissions from GHG storage, the project participant must compensate for the difference. </w:t>
            </w:r>
          </w:p>
          <w:p w14:paraId="5E2B1907" w14:textId="45D92F29" w:rsidR="009424D6" w:rsidRPr="008C7E8B" w:rsidRDefault="008C7E8B" w:rsidP="009424D6">
            <w:pPr>
              <w:keepLines/>
              <w:spacing w:before="40" w:after="40"/>
              <w:jc w:val="left"/>
              <w:rPr>
                <w:rFonts w:ascii="Calibri" w:hAnsi="Calibri" w:cs="Calibri"/>
                <w:color w:val="000000"/>
                <w:lang w:val="en-US"/>
              </w:rPr>
            </w:pPr>
            <w:r w:rsidRPr="008C7E8B">
              <w:rPr>
                <w:rFonts w:ascii="Calibri" w:hAnsi="Calibri" w:cs="Calibri"/>
                <w:color w:val="000000"/>
                <w:lang w:val="en-US"/>
              </w:rPr>
              <w:t>However, it is not specified what is meant by the different types of activities.</w:t>
            </w:r>
          </w:p>
        </w:tc>
        <w:tc>
          <w:tcPr>
            <w:tcW w:w="4723" w:type="dxa"/>
            <w:tcBorders>
              <w:top w:val="single" w:sz="6" w:space="0" w:color="auto"/>
              <w:left w:val="single" w:sz="6" w:space="0" w:color="auto"/>
              <w:bottom w:val="single" w:sz="6" w:space="0" w:color="auto"/>
              <w:right w:val="single" w:sz="6" w:space="0" w:color="auto"/>
            </w:tcBorders>
          </w:tcPr>
          <w:p w14:paraId="366C1695" w14:textId="710B080B" w:rsidR="009424D6" w:rsidRPr="008C7E8B" w:rsidRDefault="008C7E8B" w:rsidP="009424D6">
            <w:pPr>
              <w:keepLines/>
              <w:spacing w:before="40" w:after="40"/>
              <w:jc w:val="left"/>
              <w:rPr>
                <w:rFonts w:ascii="Calibri" w:hAnsi="Calibri" w:cs="Calibri"/>
                <w:color w:val="000000"/>
                <w:lang w:val="en-US"/>
              </w:rPr>
            </w:pPr>
            <w:r w:rsidRPr="008C7E8B">
              <w:rPr>
                <w:rFonts w:ascii="Calibri" w:hAnsi="Calibri" w:cs="Calibri"/>
                <w:color w:val="000000"/>
                <w:lang w:val="en-US"/>
              </w:rPr>
              <w:t>It is recommended to more precisely define the different types of activities included in the mechanism and to establish specific criteria for each regarding the amount that must be remedied in the event of a reversal. This is particularly relevant considering that, in the case of activities not related to terrestrial carbon stocks, compensation is required for the difference when the reversal exceeds the verified reductions plus the emissions associated with GHG storage</w:t>
            </w:r>
            <w:r>
              <w:rPr>
                <w:rFonts w:ascii="Calibri" w:hAnsi="Calibri" w:cs="Calibri"/>
                <w:color w:val="000000"/>
                <w:lang w:val="en-US"/>
              </w:rPr>
              <w:t xml:space="preserve">, </w:t>
            </w:r>
            <w:r w:rsidRPr="008C7E8B">
              <w:rPr>
                <w:rFonts w:ascii="Calibri" w:hAnsi="Calibri" w:cs="Calibri"/>
                <w:color w:val="000000"/>
                <w:lang w:val="en-US"/>
              </w:rPr>
              <w:t>without clearly specifying which types of activities this provision refers to.</w:t>
            </w:r>
          </w:p>
        </w:tc>
      </w:tr>
      <w:tr w:rsidR="00F94E5A" w:rsidRPr="008C7E8B" w14:paraId="7210562D"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682DC291" w14:textId="52DAA340" w:rsidR="00F94E5A" w:rsidRDefault="00472DBC" w:rsidP="00F94E5A">
            <w:pPr>
              <w:keepLines/>
              <w:spacing w:before="40" w:after="40" w:line="190" w:lineRule="exact"/>
              <w:jc w:val="center"/>
              <w:rPr>
                <w:sz w:val="20"/>
                <w:szCs w:val="20"/>
                <w:lang w:val="es-PE"/>
              </w:rPr>
            </w:pPr>
            <w:r>
              <w:rPr>
                <w:sz w:val="20"/>
                <w:szCs w:val="20"/>
                <w:lang w:val="es-PE"/>
              </w:rPr>
              <w:t>16</w:t>
            </w:r>
          </w:p>
        </w:tc>
        <w:tc>
          <w:tcPr>
            <w:tcW w:w="2802" w:type="dxa"/>
            <w:tcBorders>
              <w:top w:val="single" w:sz="6" w:space="0" w:color="auto"/>
              <w:left w:val="single" w:sz="6" w:space="0" w:color="auto"/>
              <w:bottom w:val="single" w:sz="6" w:space="0" w:color="auto"/>
              <w:right w:val="single" w:sz="6" w:space="0" w:color="auto"/>
            </w:tcBorders>
          </w:tcPr>
          <w:p w14:paraId="36F311C8" w14:textId="77777777" w:rsidR="00F94E5A" w:rsidRPr="002812D6" w:rsidRDefault="00F94E5A" w:rsidP="00F94E5A">
            <w:pPr>
              <w:keepLines/>
              <w:spacing w:before="40" w:after="40"/>
              <w:jc w:val="left"/>
              <w:rPr>
                <w:b/>
                <w:bCs/>
                <w:sz w:val="20"/>
                <w:szCs w:val="20"/>
              </w:rPr>
            </w:pPr>
            <w:r w:rsidRPr="002812D6">
              <w:rPr>
                <w:b/>
                <w:bCs/>
                <w:sz w:val="20"/>
                <w:szCs w:val="20"/>
              </w:rPr>
              <w:t>Appendix 3</w:t>
            </w:r>
          </w:p>
          <w:p w14:paraId="25FE0498" w14:textId="5D6C9795" w:rsidR="00F94E5A" w:rsidRPr="002812D6" w:rsidRDefault="00F94E5A" w:rsidP="00F94E5A">
            <w:pPr>
              <w:keepLines/>
              <w:spacing w:before="40" w:after="40"/>
              <w:jc w:val="left"/>
              <w:rPr>
                <w:b/>
                <w:bCs/>
                <w:sz w:val="20"/>
                <w:szCs w:val="20"/>
              </w:rPr>
            </w:pPr>
            <w:r>
              <w:rPr>
                <w:b/>
                <w:bCs/>
                <w:sz w:val="20"/>
                <w:szCs w:val="20"/>
              </w:rPr>
              <w:t>Section 7.3. Reversals that fall below baseline</w:t>
            </w:r>
          </w:p>
          <w:p w14:paraId="3E8E2332" w14:textId="77777777" w:rsidR="00F94E5A" w:rsidRPr="002812D6" w:rsidRDefault="00F94E5A" w:rsidP="00F94E5A">
            <w:pPr>
              <w:keepLines/>
              <w:spacing w:before="40" w:after="40"/>
              <w:jc w:val="left"/>
              <w:rPr>
                <w:b/>
                <w:bCs/>
                <w:sz w:val="20"/>
                <w:szCs w:val="20"/>
              </w:rPr>
            </w:pPr>
          </w:p>
        </w:tc>
        <w:tc>
          <w:tcPr>
            <w:tcW w:w="2977" w:type="dxa"/>
            <w:tcBorders>
              <w:top w:val="single" w:sz="6" w:space="0" w:color="auto"/>
              <w:left w:val="single" w:sz="6" w:space="0" w:color="auto"/>
              <w:bottom w:val="single" w:sz="6" w:space="0" w:color="auto"/>
              <w:right w:val="single" w:sz="6" w:space="0" w:color="auto"/>
            </w:tcBorders>
          </w:tcPr>
          <w:p w14:paraId="6DE90BEE" w14:textId="788FA562" w:rsidR="00F94E5A" w:rsidRPr="00D46468" w:rsidRDefault="00F94E5A" w:rsidP="00F94E5A">
            <w:pPr>
              <w:keepLines/>
              <w:spacing w:before="40" w:after="40" w:line="190" w:lineRule="exact"/>
              <w:jc w:val="left"/>
              <w:rPr>
                <w:rFonts w:ascii="Calibri" w:hAnsi="Calibri" w:cs="Calibri"/>
                <w:color w:val="000000"/>
                <w:lang w:val="es-PE"/>
              </w:rPr>
            </w:pPr>
            <w:r w:rsidRPr="00D46468">
              <w:rPr>
                <w:rFonts w:ascii="Calibri" w:hAnsi="Calibri" w:cs="Calibri"/>
                <w:color w:val="000000"/>
                <w:lang w:val="es-PE"/>
              </w:rPr>
              <w:t xml:space="preserve">Paragraph </w:t>
            </w:r>
            <w:r>
              <w:rPr>
                <w:rFonts w:ascii="Calibri" w:hAnsi="Calibri" w:cs="Calibri"/>
                <w:color w:val="000000"/>
                <w:lang w:val="es-PE"/>
              </w:rPr>
              <w:t>97 - 98</w:t>
            </w:r>
          </w:p>
        </w:tc>
        <w:tc>
          <w:tcPr>
            <w:tcW w:w="4669" w:type="dxa"/>
            <w:tcBorders>
              <w:top w:val="single" w:sz="6" w:space="0" w:color="auto"/>
              <w:left w:val="single" w:sz="6" w:space="0" w:color="auto"/>
              <w:bottom w:val="single" w:sz="6" w:space="0" w:color="auto"/>
              <w:right w:val="single" w:sz="6" w:space="0" w:color="auto"/>
            </w:tcBorders>
          </w:tcPr>
          <w:p w14:paraId="2BB4850D" w14:textId="77777777" w:rsidR="00F742F3" w:rsidRDefault="008C7E8B" w:rsidP="00F94E5A">
            <w:pPr>
              <w:keepLines/>
              <w:spacing w:before="40" w:after="40"/>
              <w:jc w:val="left"/>
              <w:rPr>
                <w:rFonts w:ascii="Calibri" w:hAnsi="Calibri" w:cs="Calibri"/>
                <w:color w:val="000000"/>
                <w:lang w:val="en-US"/>
              </w:rPr>
            </w:pPr>
            <w:r w:rsidRPr="008C7E8B">
              <w:rPr>
                <w:rFonts w:ascii="Calibri" w:hAnsi="Calibri" w:cs="Calibri"/>
                <w:color w:val="000000"/>
                <w:lang w:val="en-US"/>
              </w:rPr>
              <w:t xml:space="preserve">The participant must demonstrate that site remediation has been completed within 24 months following the reversal event. If more time is needed, a justified extension may be requested, which will be evaluated and either approved or rejected by the Secretariat. </w:t>
            </w:r>
          </w:p>
          <w:p w14:paraId="207B9057" w14:textId="7D5B1EAB" w:rsidR="00F94E5A" w:rsidRPr="008C7E8B" w:rsidRDefault="008C7E8B" w:rsidP="00F94E5A">
            <w:pPr>
              <w:keepLines/>
              <w:spacing w:before="40" w:after="40"/>
              <w:jc w:val="left"/>
              <w:rPr>
                <w:rFonts w:ascii="Calibri" w:hAnsi="Calibri" w:cs="Calibri"/>
                <w:color w:val="000000"/>
                <w:lang w:val="en-US"/>
              </w:rPr>
            </w:pPr>
            <w:r w:rsidRPr="008C7E8B">
              <w:rPr>
                <w:rFonts w:ascii="Calibri" w:hAnsi="Calibri" w:cs="Calibri"/>
                <w:color w:val="000000"/>
                <w:lang w:val="en-US"/>
              </w:rPr>
              <w:t>However, it is unclear what is meant by “remediation completion date.”</w:t>
            </w:r>
          </w:p>
        </w:tc>
        <w:tc>
          <w:tcPr>
            <w:tcW w:w="4723" w:type="dxa"/>
            <w:tcBorders>
              <w:top w:val="single" w:sz="6" w:space="0" w:color="auto"/>
              <w:left w:val="single" w:sz="6" w:space="0" w:color="auto"/>
              <w:bottom w:val="single" w:sz="6" w:space="0" w:color="auto"/>
              <w:right w:val="single" w:sz="6" w:space="0" w:color="auto"/>
            </w:tcBorders>
          </w:tcPr>
          <w:p w14:paraId="3F5D1C38" w14:textId="3B3A2B39" w:rsidR="00F94E5A" w:rsidRPr="008C7E8B" w:rsidRDefault="008C7E8B" w:rsidP="00F94E5A">
            <w:pPr>
              <w:keepLines/>
              <w:spacing w:before="40" w:after="40"/>
              <w:jc w:val="left"/>
              <w:rPr>
                <w:rFonts w:ascii="Calibri" w:hAnsi="Calibri" w:cs="Calibri"/>
                <w:color w:val="000000"/>
                <w:lang w:val="en-US"/>
              </w:rPr>
            </w:pPr>
            <w:r w:rsidRPr="008C7E8B">
              <w:rPr>
                <w:rFonts w:ascii="Calibri" w:hAnsi="Calibri" w:cs="Calibri"/>
                <w:color w:val="000000"/>
                <w:lang w:val="en-US"/>
              </w:rPr>
              <w:t>It is recommended to provide a clear definition of “remediation completion date,” specifying whether it refers to the actual remediation of the lost removals or the completion of actions that will enable such remediation in the future, considering that in many cases this process may extend beyond the 24-month period established.</w:t>
            </w:r>
          </w:p>
        </w:tc>
      </w:tr>
      <w:tr w:rsidR="00C72F5F" w:rsidRPr="008C7E8B" w14:paraId="7B048AA4" w14:textId="77777777" w:rsidTr="00DB26EA">
        <w:trPr>
          <w:cantSplit/>
          <w:jc w:val="center"/>
        </w:trPr>
        <w:tc>
          <w:tcPr>
            <w:tcW w:w="743" w:type="dxa"/>
            <w:tcBorders>
              <w:top w:val="single" w:sz="6" w:space="0" w:color="auto"/>
              <w:left w:val="single" w:sz="6" w:space="0" w:color="auto"/>
              <w:bottom w:val="single" w:sz="6" w:space="0" w:color="auto"/>
              <w:right w:val="single" w:sz="6" w:space="0" w:color="auto"/>
            </w:tcBorders>
          </w:tcPr>
          <w:p w14:paraId="2F897DD8" w14:textId="158205C0" w:rsidR="00C72F5F" w:rsidRDefault="00472DBC" w:rsidP="00C72F5F">
            <w:pPr>
              <w:keepLines/>
              <w:spacing w:before="40" w:after="40" w:line="190" w:lineRule="exact"/>
              <w:jc w:val="center"/>
              <w:rPr>
                <w:sz w:val="20"/>
                <w:szCs w:val="20"/>
                <w:lang w:val="es-PE"/>
              </w:rPr>
            </w:pPr>
            <w:r>
              <w:rPr>
                <w:sz w:val="20"/>
                <w:szCs w:val="20"/>
                <w:lang w:val="es-PE"/>
              </w:rPr>
              <w:lastRenderedPageBreak/>
              <w:t>17</w:t>
            </w:r>
          </w:p>
        </w:tc>
        <w:tc>
          <w:tcPr>
            <w:tcW w:w="2802" w:type="dxa"/>
            <w:tcBorders>
              <w:top w:val="single" w:sz="6" w:space="0" w:color="auto"/>
              <w:left w:val="single" w:sz="6" w:space="0" w:color="auto"/>
              <w:bottom w:val="single" w:sz="6" w:space="0" w:color="auto"/>
              <w:right w:val="single" w:sz="6" w:space="0" w:color="auto"/>
            </w:tcBorders>
          </w:tcPr>
          <w:p w14:paraId="433A12D2" w14:textId="77777777" w:rsidR="00C72F5F" w:rsidRPr="002812D6" w:rsidRDefault="00C72F5F" w:rsidP="00C72F5F">
            <w:pPr>
              <w:keepLines/>
              <w:spacing w:before="40" w:after="40"/>
              <w:jc w:val="left"/>
              <w:rPr>
                <w:b/>
                <w:bCs/>
                <w:sz w:val="20"/>
                <w:szCs w:val="20"/>
              </w:rPr>
            </w:pPr>
            <w:r w:rsidRPr="002812D6">
              <w:rPr>
                <w:b/>
                <w:bCs/>
                <w:sz w:val="20"/>
                <w:szCs w:val="20"/>
              </w:rPr>
              <w:t>Appendix 3</w:t>
            </w:r>
          </w:p>
          <w:p w14:paraId="25F0E6FF" w14:textId="3D472FF8" w:rsidR="00C72F5F" w:rsidRPr="002812D6" w:rsidRDefault="00C72F5F" w:rsidP="00C72F5F">
            <w:pPr>
              <w:keepLines/>
              <w:spacing w:before="40" w:after="40"/>
              <w:jc w:val="left"/>
              <w:rPr>
                <w:b/>
                <w:bCs/>
                <w:sz w:val="20"/>
                <w:szCs w:val="20"/>
              </w:rPr>
            </w:pPr>
            <w:r>
              <w:rPr>
                <w:b/>
                <w:bCs/>
                <w:sz w:val="20"/>
                <w:szCs w:val="20"/>
              </w:rPr>
              <w:t xml:space="preserve">Section 7.4. </w:t>
            </w:r>
            <w:r w:rsidR="00D342F8">
              <w:rPr>
                <w:b/>
                <w:bCs/>
                <w:sz w:val="20"/>
                <w:szCs w:val="20"/>
              </w:rPr>
              <w:t>Termination of activities</w:t>
            </w:r>
          </w:p>
          <w:p w14:paraId="48AD82BD" w14:textId="77777777" w:rsidR="00C72F5F" w:rsidRPr="002812D6" w:rsidRDefault="00C72F5F" w:rsidP="00C72F5F">
            <w:pPr>
              <w:keepLines/>
              <w:spacing w:before="40" w:after="40"/>
              <w:jc w:val="left"/>
              <w:rPr>
                <w:b/>
                <w:bCs/>
                <w:sz w:val="20"/>
                <w:szCs w:val="20"/>
              </w:rPr>
            </w:pPr>
          </w:p>
        </w:tc>
        <w:tc>
          <w:tcPr>
            <w:tcW w:w="2977" w:type="dxa"/>
            <w:tcBorders>
              <w:top w:val="single" w:sz="6" w:space="0" w:color="auto"/>
              <w:left w:val="single" w:sz="6" w:space="0" w:color="auto"/>
              <w:bottom w:val="single" w:sz="6" w:space="0" w:color="auto"/>
              <w:right w:val="single" w:sz="6" w:space="0" w:color="auto"/>
            </w:tcBorders>
          </w:tcPr>
          <w:p w14:paraId="437D5A23" w14:textId="595E29AF" w:rsidR="00C72F5F" w:rsidRPr="00D46468" w:rsidRDefault="00C72F5F" w:rsidP="00C72F5F">
            <w:pPr>
              <w:keepLines/>
              <w:spacing w:before="40" w:after="40" w:line="190" w:lineRule="exact"/>
              <w:jc w:val="left"/>
              <w:rPr>
                <w:rFonts w:ascii="Calibri" w:hAnsi="Calibri" w:cs="Calibri"/>
                <w:color w:val="000000"/>
                <w:lang w:val="es-PE"/>
              </w:rPr>
            </w:pPr>
            <w:r w:rsidRPr="00D46468">
              <w:rPr>
                <w:rFonts w:ascii="Calibri" w:hAnsi="Calibri" w:cs="Calibri"/>
                <w:color w:val="000000"/>
                <w:lang w:val="es-PE"/>
              </w:rPr>
              <w:t xml:space="preserve">Paragraph </w:t>
            </w:r>
            <w:r>
              <w:rPr>
                <w:rFonts w:ascii="Calibri" w:hAnsi="Calibri" w:cs="Calibri"/>
                <w:color w:val="000000"/>
                <w:lang w:val="es-PE"/>
              </w:rPr>
              <w:t>101 -103</w:t>
            </w:r>
          </w:p>
        </w:tc>
        <w:tc>
          <w:tcPr>
            <w:tcW w:w="4669" w:type="dxa"/>
            <w:tcBorders>
              <w:top w:val="single" w:sz="6" w:space="0" w:color="auto"/>
              <w:left w:val="single" w:sz="6" w:space="0" w:color="auto"/>
              <w:bottom w:val="single" w:sz="6" w:space="0" w:color="auto"/>
              <w:right w:val="single" w:sz="6" w:space="0" w:color="auto"/>
            </w:tcBorders>
          </w:tcPr>
          <w:p w14:paraId="21358B06" w14:textId="77777777" w:rsidR="008C7E8B" w:rsidRPr="008C7E8B" w:rsidRDefault="008C7E8B" w:rsidP="008C7E8B">
            <w:pPr>
              <w:keepLines/>
              <w:spacing w:before="40" w:after="40"/>
              <w:jc w:val="left"/>
              <w:rPr>
                <w:rFonts w:ascii="Calibri" w:hAnsi="Calibri" w:cs="Calibri"/>
                <w:color w:val="000000"/>
                <w:lang w:val="en-US"/>
              </w:rPr>
            </w:pPr>
            <w:r w:rsidRPr="008C7E8B">
              <w:rPr>
                <w:rFonts w:ascii="Calibri" w:hAnsi="Calibri" w:cs="Calibri"/>
                <w:color w:val="000000"/>
                <w:lang w:val="en-US"/>
              </w:rPr>
              <w:t>It is proposed that if a participant decides to terminate a registered activity, they must cancel the verified A6.4ERs issued up to that point, using the credits available in their account. The amount to be canceled will be determined based on a declining liability.</w:t>
            </w:r>
          </w:p>
          <w:p w14:paraId="3AF7C383" w14:textId="1E23258C" w:rsidR="00D342F8" w:rsidRPr="008C7E8B" w:rsidRDefault="008C7E8B" w:rsidP="008C7E8B">
            <w:pPr>
              <w:keepLines/>
              <w:spacing w:before="40" w:after="40"/>
              <w:jc w:val="left"/>
              <w:rPr>
                <w:rFonts w:ascii="Calibri" w:hAnsi="Calibri" w:cs="Calibri"/>
                <w:color w:val="000000"/>
                <w:lang w:val="en-US"/>
              </w:rPr>
            </w:pPr>
            <w:r w:rsidRPr="008C7E8B">
              <w:rPr>
                <w:rFonts w:ascii="Calibri" w:hAnsi="Calibri" w:cs="Calibri"/>
                <w:color w:val="000000"/>
                <w:lang w:val="en-US"/>
              </w:rPr>
              <w:t>However, there does not appear to be an option for the Supervisory Body to terminate a registered activity.</w:t>
            </w:r>
          </w:p>
        </w:tc>
        <w:tc>
          <w:tcPr>
            <w:tcW w:w="4723" w:type="dxa"/>
            <w:tcBorders>
              <w:top w:val="single" w:sz="6" w:space="0" w:color="auto"/>
              <w:left w:val="single" w:sz="6" w:space="0" w:color="auto"/>
              <w:bottom w:val="single" w:sz="6" w:space="0" w:color="auto"/>
              <w:right w:val="single" w:sz="6" w:space="0" w:color="auto"/>
            </w:tcBorders>
          </w:tcPr>
          <w:p w14:paraId="23D0B73D" w14:textId="77777777" w:rsidR="008C7E8B" w:rsidRPr="008C7E8B" w:rsidRDefault="008C7E8B" w:rsidP="008C7E8B">
            <w:pPr>
              <w:keepLines/>
              <w:spacing w:before="40" w:after="40"/>
              <w:jc w:val="left"/>
              <w:rPr>
                <w:rFonts w:ascii="Calibri" w:hAnsi="Calibri" w:cs="Calibri"/>
                <w:color w:val="000000"/>
                <w:lang w:val="en-US"/>
              </w:rPr>
            </w:pPr>
            <w:r w:rsidRPr="008C7E8B">
              <w:rPr>
                <w:rFonts w:ascii="Calibri" w:hAnsi="Calibri" w:cs="Calibri"/>
                <w:color w:val="000000"/>
                <w:lang w:val="en-US"/>
              </w:rPr>
              <w:t>It would be advisable for the Supervisory Body to have the authority to terminate a registered activity, as well as to clearly define the conditions under which it would be empowered to do so.</w:t>
            </w:r>
          </w:p>
          <w:p w14:paraId="1912710F" w14:textId="77777777" w:rsidR="008C7E8B" w:rsidRPr="008C7E8B" w:rsidRDefault="008C7E8B" w:rsidP="008C7E8B">
            <w:pPr>
              <w:keepLines/>
              <w:spacing w:before="40" w:after="40"/>
              <w:jc w:val="left"/>
              <w:rPr>
                <w:rFonts w:ascii="Calibri" w:hAnsi="Calibri" w:cs="Calibri"/>
                <w:color w:val="000000"/>
                <w:lang w:val="en-US"/>
              </w:rPr>
            </w:pPr>
            <w:r w:rsidRPr="008C7E8B">
              <w:rPr>
                <w:rFonts w:ascii="Calibri" w:hAnsi="Calibri" w:cs="Calibri"/>
                <w:color w:val="000000"/>
                <w:lang w:val="en-US"/>
              </w:rPr>
              <w:t>Additionally, it would be important to assess the establishment of a minimum retention percentage based on overall risk and the capitalization needs of the buffer.</w:t>
            </w:r>
          </w:p>
          <w:p w14:paraId="4E14476A" w14:textId="73881461" w:rsidR="00D342F8" w:rsidRPr="008C7E8B" w:rsidRDefault="008C7E8B" w:rsidP="008C7E8B">
            <w:pPr>
              <w:keepLines/>
              <w:spacing w:before="40" w:after="40"/>
              <w:jc w:val="left"/>
              <w:rPr>
                <w:rFonts w:ascii="Calibri" w:hAnsi="Calibri" w:cs="Calibri"/>
                <w:color w:val="000000"/>
                <w:lang w:val="en-US"/>
              </w:rPr>
            </w:pPr>
            <w:r w:rsidRPr="008C7E8B">
              <w:rPr>
                <w:rFonts w:ascii="Calibri" w:hAnsi="Calibri" w:cs="Calibri"/>
                <w:color w:val="000000"/>
                <w:lang w:val="en-US"/>
              </w:rPr>
              <w:t>Both measures would contribute to strengthening the integrity of the mechanism and ensuring an appropriate response to high risks or potential non-compliance.</w:t>
            </w:r>
          </w:p>
        </w:tc>
      </w:tr>
    </w:tbl>
    <w:p w14:paraId="2049EFB2" w14:textId="7D5B961F" w:rsidR="00DF4F6B" w:rsidRPr="000926EA" w:rsidRDefault="00FE65CB" w:rsidP="00FE65CB">
      <w:pPr>
        <w:spacing w:line="240" w:lineRule="exact"/>
      </w:pPr>
      <w:r>
        <w:t xml:space="preserve">-- </w:t>
      </w:r>
      <w:r w:rsidR="000926EA">
        <w:t>(</w:t>
      </w:r>
      <w:r w:rsidR="000926EA" w:rsidRPr="000926EA">
        <w:rPr>
          <w:i/>
          <w:iCs/>
        </w:rPr>
        <w:t>Please add rows as required</w:t>
      </w:r>
      <w:r w:rsidR="000926EA">
        <w:t xml:space="preserve">) </w:t>
      </w:r>
      <w:r>
        <w:t>-</w:t>
      </w:r>
    </w:p>
    <w:sectPr w:rsidR="00DF4F6B" w:rsidRPr="000926EA" w:rsidSect="007B1DB4">
      <w:footerReference w:type="even" r:id="rId12"/>
      <w:footerReference w:type="default" r:id="rId13"/>
      <w:type w:val="continuous"/>
      <w:pgSz w:w="16840" w:h="11907" w:orient="landscape" w:code="9"/>
      <w:pgMar w:top="576" w:right="994" w:bottom="850" w:left="850" w:header="563" w:footer="205"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6045" w14:textId="77777777" w:rsidR="00842E50" w:rsidRDefault="00842E50" w:rsidP="00DF4F6B">
      <w:r>
        <w:separator/>
      </w:r>
    </w:p>
  </w:endnote>
  <w:endnote w:type="continuationSeparator" w:id="0">
    <w:p w14:paraId="7BE07AA4" w14:textId="77777777" w:rsidR="00842E50" w:rsidRDefault="00842E50" w:rsidP="00DF4F6B">
      <w:r>
        <w:continuationSeparator/>
      </w:r>
    </w:p>
  </w:endnote>
  <w:endnote w:type="continuationNotice" w:id="1">
    <w:p w14:paraId="0FF7AFC4" w14:textId="77777777" w:rsidR="00842E50" w:rsidRDefault="00842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0458" w14:textId="0B1F2ABF" w:rsidR="00E976DA" w:rsidRDefault="00E976DA"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DB4">
      <w:rPr>
        <w:rStyle w:val="PageNumber"/>
        <w:noProof/>
      </w:rPr>
      <w:t>1</w:t>
    </w:r>
    <w:r>
      <w:rPr>
        <w:rStyle w:val="PageNumber"/>
      </w:rPr>
      <w:fldChar w:fldCharType="end"/>
    </w:r>
  </w:p>
  <w:p w14:paraId="3C5B7471" w14:textId="77777777" w:rsidR="00E976DA" w:rsidRDefault="00E976DA"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27D5" w14:textId="77777777" w:rsidR="007B1DB4" w:rsidRPr="007B1DB4" w:rsidRDefault="007B1DB4">
    <w:pPr>
      <w:tabs>
        <w:tab w:val="center" w:pos="4550"/>
        <w:tab w:val="left" w:pos="5818"/>
      </w:tabs>
      <w:ind w:right="260"/>
      <w:jc w:val="right"/>
      <w:rPr>
        <w:color w:val="222A35"/>
        <w:sz w:val="20"/>
        <w:szCs w:val="20"/>
      </w:rPr>
    </w:pPr>
    <w:r w:rsidRPr="007B1DB4">
      <w:rPr>
        <w:color w:val="8496B0"/>
        <w:spacing w:val="60"/>
        <w:sz w:val="20"/>
        <w:szCs w:val="20"/>
      </w:rPr>
      <w:t>Page</w:t>
    </w:r>
    <w:r w:rsidRPr="007B1DB4">
      <w:rPr>
        <w:color w:val="8496B0"/>
        <w:sz w:val="20"/>
        <w:szCs w:val="20"/>
      </w:rPr>
      <w:t xml:space="preserve"> </w:t>
    </w:r>
    <w:r w:rsidRPr="007B1DB4">
      <w:rPr>
        <w:color w:val="323E4F"/>
        <w:sz w:val="20"/>
        <w:szCs w:val="20"/>
      </w:rPr>
      <w:fldChar w:fldCharType="begin"/>
    </w:r>
    <w:r w:rsidRPr="007B1DB4">
      <w:rPr>
        <w:color w:val="323E4F"/>
        <w:sz w:val="20"/>
        <w:szCs w:val="20"/>
      </w:rPr>
      <w:instrText xml:space="preserve"> PAGE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r w:rsidRPr="007B1DB4">
      <w:rPr>
        <w:color w:val="323E4F"/>
        <w:sz w:val="20"/>
        <w:szCs w:val="20"/>
      </w:rPr>
      <w:t xml:space="preserve"> | </w:t>
    </w:r>
    <w:r w:rsidRPr="007B1DB4">
      <w:rPr>
        <w:color w:val="323E4F"/>
        <w:sz w:val="20"/>
        <w:szCs w:val="20"/>
      </w:rPr>
      <w:fldChar w:fldCharType="begin"/>
    </w:r>
    <w:r w:rsidRPr="007B1DB4">
      <w:rPr>
        <w:color w:val="323E4F"/>
        <w:sz w:val="20"/>
        <w:szCs w:val="20"/>
      </w:rPr>
      <w:instrText xml:space="preserve"> NUMPAGES  \* Arabic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p>
  <w:p w14:paraId="479A3F4C" w14:textId="77777777" w:rsidR="00E976DA" w:rsidRDefault="00E976DA"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E4EF" w14:textId="77777777" w:rsidR="00842E50" w:rsidRDefault="00842E50" w:rsidP="00DF4F6B">
      <w:r>
        <w:separator/>
      </w:r>
    </w:p>
  </w:footnote>
  <w:footnote w:type="continuationSeparator" w:id="0">
    <w:p w14:paraId="65EAAAF2" w14:textId="77777777" w:rsidR="00842E50" w:rsidRDefault="00842E50" w:rsidP="00DF4F6B">
      <w:r>
        <w:continuationSeparator/>
      </w:r>
    </w:p>
  </w:footnote>
  <w:footnote w:type="continuationNotice" w:id="1">
    <w:p w14:paraId="639D436D" w14:textId="77777777" w:rsidR="00842E50" w:rsidRDefault="00842E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BCA2E"/>
    <w:multiLevelType w:val="hybridMultilevel"/>
    <w:tmpl w:val="CC7C96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561FB6"/>
    <w:multiLevelType w:val="hybridMultilevel"/>
    <w:tmpl w:val="CFBE31E6"/>
    <w:lvl w:ilvl="0" w:tplc="7F066FA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12699"/>
    <w:multiLevelType w:val="hybridMultilevel"/>
    <w:tmpl w:val="F606EB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4CD5821"/>
    <w:multiLevelType w:val="hybridMultilevel"/>
    <w:tmpl w:val="DBC476D6"/>
    <w:lvl w:ilvl="0" w:tplc="33C203FA">
      <w:start w:val="1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3E9138A"/>
    <w:multiLevelType w:val="hybridMultilevel"/>
    <w:tmpl w:val="20E2CC56"/>
    <w:lvl w:ilvl="0" w:tplc="04F8132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1903903389">
    <w:abstractNumId w:val="5"/>
  </w:num>
  <w:num w:numId="2" w16cid:durableId="1117944277">
    <w:abstractNumId w:val="1"/>
  </w:num>
  <w:num w:numId="3" w16cid:durableId="2124839941">
    <w:abstractNumId w:val="4"/>
  </w:num>
  <w:num w:numId="4" w16cid:durableId="300813525">
    <w:abstractNumId w:val="3"/>
  </w:num>
  <w:num w:numId="5" w16cid:durableId="1285890327">
    <w:abstractNumId w:val="0"/>
  </w:num>
  <w:num w:numId="6" w16cid:durableId="1640303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119C6"/>
    <w:rsid w:val="00013672"/>
    <w:rsid w:val="0002698E"/>
    <w:rsid w:val="00032798"/>
    <w:rsid w:val="000343A9"/>
    <w:rsid w:val="000372B5"/>
    <w:rsid w:val="0004054B"/>
    <w:rsid w:val="00044598"/>
    <w:rsid w:val="00047EFF"/>
    <w:rsid w:val="00062054"/>
    <w:rsid w:val="000779FF"/>
    <w:rsid w:val="000808F1"/>
    <w:rsid w:val="000926EA"/>
    <w:rsid w:val="00093883"/>
    <w:rsid w:val="00094FF7"/>
    <w:rsid w:val="00097411"/>
    <w:rsid w:val="000B2D48"/>
    <w:rsid w:val="000C00F5"/>
    <w:rsid w:val="000D37BC"/>
    <w:rsid w:val="000F4613"/>
    <w:rsid w:val="00101860"/>
    <w:rsid w:val="0010510D"/>
    <w:rsid w:val="00114F43"/>
    <w:rsid w:val="00115969"/>
    <w:rsid w:val="001214F2"/>
    <w:rsid w:val="001227DB"/>
    <w:rsid w:val="00127981"/>
    <w:rsid w:val="001374D5"/>
    <w:rsid w:val="0014141B"/>
    <w:rsid w:val="00142693"/>
    <w:rsid w:val="0016520D"/>
    <w:rsid w:val="001A3E3F"/>
    <w:rsid w:val="001D0F91"/>
    <w:rsid w:val="001E31FC"/>
    <w:rsid w:val="001E3876"/>
    <w:rsid w:val="001F5275"/>
    <w:rsid w:val="001F7280"/>
    <w:rsid w:val="0020071B"/>
    <w:rsid w:val="00215405"/>
    <w:rsid w:val="00236049"/>
    <w:rsid w:val="00260F71"/>
    <w:rsid w:val="00266024"/>
    <w:rsid w:val="002722AA"/>
    <w:rsid w:val="00276A82"/>
    <w:rsid w:val="00277022"/>
    <w:rsid w:val="002812D6"/>
    <w:rsid w:val="002B1566"/>
    <w:rsid w:val="002B2858"/>
    <w:rsid w:val="002D6372"/>
    <w:rsid w:val="002E58F5"/>
    <w:rsid w:val="002F135C"/>
    <w:rsid w:val="002F684D"/>
    <w:rsid w:val="00302395"/>
    <w:rsid w:val="003106A1"/>
    <w:rsid w:val="00343E39"/>
    <w:rsid w:val="003443A2"/>
    <w:rsid w:val="0034660C"/>
    <w:rsid w:val="0035472F"/>
    <w:rsid w:val="00356C44"/>
    <w:rsid w:val="00360486"/>
    <w:rsid w:val="00364AA3"/>
    <w:rsid w:val="00366FD7"/>
    <w:rsid w:val="003706ED"/>
    <w:rsid w:val="0037164B"/>
    <w:rsid w:val="00376E71"/>
    <w:rsid w:val="003A59D7"/>
    <w:rsid w:val="003C1561"/>
    <w:rsid w:val="003D0FC3"/>
    <w:rsid w:val="003D6FCA"/>
    <w:rsid w:val="004039E1"/>
    <w:rsid w:val="00405FB3"/>
    <w:rsid w:val="004248BD"/>
    <w:rsid w:val="00426673"/>
    <w:rsid w:val="00450EEA"/>
    <w:rsid w:val="00463861"/>
    <w:rsid w:val="00472C3C"/>
    <w:rsid w:val="00472DBC"/>
    <w:rsid w:val="0048326B"/>
    <w:rsid w:val="00483A35"/>
    <w:rsid w:val="00492958"/>
    <w:rsid w:val="004B16F7"/>
    <w:rsid w:val="004C0471"/>
    <w:rsid w:val="004F6D08"/>
    <w:rsid w:val="00507860"/>
    <w:rsid w:val="005242C9"/>
    <w:rsid w:val="00545ED0"/>
    <w:rsid w:val="00561B1B"/>
    <w:rsid w:val="00582536"/>
    <w:rsid w:val="00592402"/>
    <w:rsid w:val="005A0D13"/>
    <w:rsid w:val="005A256D"/>
    <w:rsid w:val="005A6649"/>
    <w:rsid w:val="005A6C46"/>
    <w:rsid w:val="005B1074"/>
    <w:rsid w:val="005B3CDF"/>
    <w:rsid w:val="005C3777"/>
    <w:rsid w:val="005C5581"/>
    <w:rsid w:val="005D3091"/>
    <w:rsid w:val="005E1D5D"/>
    <w:rsid w:val="005F5267"/>
    <w:rsid w:val="005F6F5F"/>
    <w:rsid w:val="00605734"/>
    <w:rsid w:val="00613F2C"/>
    <w:rsid w:val="006148C7"/>
    <w:rsid w:val="006256E9"/>
    <w:rsid w:val="006665EE"/>
    <w:rsid w:val="006740C2"/>
    <w:rsid w:val="00690879"/>
    <w:rsid w:val="006B0672"/>
    <w:rsid w:val="006B5427"/>
    <w:rsid w:val="006C1880"/>
    <w:rsid w:val="006D0849"/>
    <w:rsid w:val="006E3376"/>
    <w:rsid w:val="006F32C1"/>
    <w:rsid w:val="007014A2"/>
    <w:rsid w:val="007432E3"/>
    <w:rsid w:val="00777AC5"/>
    <w:rsid w:val="0079478F"/>
    <w:rsid w:val="007A6041"/>
    <w:rsid w:val="007B1DB4"/>
    <w:rsid w:val="007C483F"/>
    <w:rsid w:val="007D2932"/>
    <w:rsid w:val="007D498B"/>
    <w:rsid w:val="007D6248"/>
    <w:rsid w:val="007E1C1E"/>
    <w:rsid w:val="007E469D"/>
    <w:rsid w:val="00805487"/>
    <w:rsid w:val="008066DE"/>
    <w:rsid w:val="00813B75"/>
    <w:rsid w:val="00822935"/>
    <w:rsid w:val="008337AE"/>
    <w:rsid w:val="008351B7"/>
    <w:rsid w:val="00840C5C"/>
    <w:rsid w:val="00841D26"/>
    <w:rsid w:val="00842079"/>
    <w:rsid w:val="00842E50"/>
    <w:rsid w:val="00844689"/>
    <w:rsid w:val="0084484A"/>
    <w:rsid w:val="00850007"/>
    <w:rsid w:val="0085751E"/>
    <w:rsid w:val="00862898"/>
    <w:rsid w:val="00863150"/>
    <w:rsid w:val="008736A6"/>
    <w:rsid w:val="00875F2A"/>
    <w:rsid w:val="008769B1"/>
    <w:rsid w:val="00886ACE"/>
    <w:rsid w:val="008C7E8B"/>
    <w:rsid w:val="008D2B67"/>
    <w:rsid w:val="008D4BE2"/>
    <w:rsid w:val="008D5DDB"/>
    <w:rsid w:val="008E3D67"/>
    <w:rsid w:val="008E733E"/>
    <w:rsid w:val="008E794F"/>
    <w:rsid w:val="008F08D4"/>
    <w:rsid w:val="008F258D"/>
    <w:rsid w:val="00910AD5"/>
    <w:rsid w:val="009177A1"/>
    <w:rsid w:val="00917B13"/>
    <w:rsid w:val="00931575"/>
    <w:rsid w:val="009336FE"/>
    <w:rsid w:val="009424D6"/>
    <w:rsid w:val="00955744"/>
    <w:rsid w:val="00972085"/>
    <w:rsid w:val="009805DF"/>
    <w:rsid w:val="00981D31"/>
    <w:rsid w:val="009832E0"/>
    <w:rsid w:val="00990598"/>
    <w:rsid w:val="009B43AE"/>
    <w:rsid w:val="009C2C7A"/>
    <w:rsid w:val="009C4012"/>
    <w:rsid w:val="009D0F11"/>
    <w:rsid w:val="009E2FBD"/>
    <w:rsid w:val="009F49C2"/>
    <w:rsid w:val="009F4F8A"/>
    <w:rsid w:val="009F51BF"/>
    <w:rsid w:val="009F61CD"/>
    <w:rsid w:val="00A05A05"/>
    <w:rsid w:val="00A05B27"/>
    <w:rsid w:val="00A13B92"/>
    <w:rsid w:val="00A17B19"/>
    <w:rsid w:val="00A21F31"/>
    <w:rsid w:val="00A233A7"/>
    <w:rsid w:val="00A42991"/>
    <w:rsid w:val="00A47E47"/>
    <w:rsid w:val="00A52FA2"/>
    <w:rsid w:val="00A54BC5"/>
    <w:rsid w:val="00A76FE1"/>
    <w:rsid w:val="00A82959"/>
    <w:rsid w:val="00A92ED3"/>
    <w:rsid w:val="00A96FCD"/>
    <w:rsid w:val="00AA6E84"/>
    <w:rsid w:val="00AC59B0"/>
    <w:rsid w:val="00AD2612"/>
    <w:rsid w:val="00AE4048"/>
    <w:rsid w:val="00AF3AFE"/>
    <w:rsid w:val="00B24A4D"/>
    <w:rsid w:val="00B31CD1"/>
    <w:rsid w:val="00B32B10"/>
    <w:rsid w:val="00B344E5"/>
    <w:rsid w:val="00B3792D"/>
    <w:rsid w:val="00B426BF"/>
    <w:rsid w:val="00B47092"/>
    <w:rsid w:val="00B53E80"/>
    <w:rsid w:val="00B54A5C"/>
    <w:rsid w:val="00BE7935"/>
    <w:rsid w:val="00BF2B1A"/>
    <w:rsid w:val="00BF5DB9"/>
    <w:rsid w:val="00C02B84"/>
    <w:rsid w:val="00C21CBA"/>
    <w:rsid w:val="00C31749"/>
    <w:rsid w:val="00C31E04"/>
    <w:rsid w:val="00C33E85"/>
    <w:rsid w:val="00C408D1"/>
    <w:rsid w:val="00C466E7"/>
    <w:rsid w:val="00C47DE0"/>
    <w:rsid w:val="00C5298E"/>
    <w:rsid w:val="00C62C25"/>
    <w:rsid w:val="00C630BD"/>
    <w:rsid w:val="00C6672C"/>
    <w:rsid w:val="00C72F5F"/>
    <w:rsid w:val="00C73FD2"/>
    <w:rsid w:val="00C8564C"/>
    <w:rsid w:val="00CA1E76"/>
    <w:rsid w:val="00CB0732"/>
    <w:rsid w:val="00CB2DDC"/>
    <w:rsid w:val="00CC0EB7"/>
    <w:rsid w:val="00CC1077"/>
    <w:rsid w:val="00CD791E"/>
    <w:rsid w:val="00CE573A"/>
    <w:rsid w:val="00CF5637"/>
    <w:rsid w:val="00CF6B50"/>
    <w:rsid w:val="00D131BD"/>
    <w:rsid w:val="00D22430"/>
    <w:rsid w:val="00D342F8"/>
    <w:rsid w:val="00D36C4F"/>
    <w:rsid w:val="00D42EEC"/>
    <w:rsid w:val="00D46468"/>
    <w:rsid w:val="00D6268F"/>
    <w:rsid w:val="00D70A95"/>
    <w:rsid w:val="00D772DA"/>
    <w:rsid w:val="00DB0167"/>
    <w:rsid w:val="00DB1144"/>
    <w:rsid w:val="00DB26EA"/>
    <w:rsid w:val="00DB29C0"/>
    <w:rsid w:val="00DB359C"/>
    <w:rsid w:val="00DC1054"/>
    <w:rsid w:val="00DC1784"/>
    <w:rsid w:val="00DD32EA"/>
    <w:rsid w:val="00DD7155"/>
    <w:rsid w:val="00DF4E03"/>
    <w:rsid w:val="00DF4F6B"/>
    <w:rsid w:val="00E01997"/>
    <w:rsid w:val="00E22331"/>
    <w:rsid w:val="00E22B84"/>
    <w:rsid w:val="00E3424B"/>
    <w:rsid w:val="00E50939"/>
    <w:rsid w:val="00E60C4A"/>
    <w:rsid w:val="00E613A9"/>
    <w:rsid w:val="00E61FED"/>
    <w:rsid w:val="00E84AD5"/>
    <w:rsid w:val="00E914F2"/>
    <w:rsid w:val="00E9173C"/>
    <w:rsid w:val="00E976DA"/>
    <w:rsid w:val="00EA18C6"/>
    <w:rsid w:val="00EA5488"/>
    <w:rsid w:val="00EA769E"/>
    <w:rsid w:val="00EB2E36"/>
    <w:rsid w:val="00EB66F3"/>
    <w:rsid w:val="00EC78F1"/>
    <w:rsid w:val="00ED1D0C"/>
    <w:rsid w:val="00EE5FD1"/>
    <w:rsid w:val="00EF2315"/>
    <w:rsid w:val="00EF310B"/>
    <w:rsid w:val="00F0508D"/>
    <w:rsid w:val="00F11AD8"/>
    <w:rsid w:val="00F23B31"/>
    <w:rsid w:val="00F27817"/>
    <w:rsid w:val="00F327FF"/>
    <w:rsid w:val="00F37030"/>
    <w:rsid w:val="00F414D9"/>
    <w:rsid w:val="00F65050"/>
    <w:rsid w:val="00F65F7F"/>
    <w:rsid w:val="00F6759C"/>
    <w:rsid w:val="00F72038"/>
    <w:rsid w:val="00F742F3"/>
    <w:rsid w:val="00F92AB4"/>
    <w:rsid w:val="00F94E5A"/>
    <w:rsid w:val="00FB6945"/>
    <w:rsid w:val="00FC5840"/>
    <w:rsid w:val="00FD50A9"/>
    <w:rsid w:val="00FE0DE6"/>
    <w:rsid w:val="00FE6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06F71"/>
  <w15:docId w15:val="{5ADDBBAC-D931-4C24-9AF9-E16E5C34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link w:val="FooterChar"/>
    <w:uiPriority w:val="99"/>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rPr>
      <w:color w:val="FF0000"/>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customStyle="1" w:styleId="AtxtHdgs">
    <w:name w:val="Atxt_Hdgs"/>
    <w:basedOn w:val="Normal"/>
    <w:rsid w:val="00C02B84"/>
    <w:pPr>
      <w:jc w:val="center"/>
    </w:pPr>
    <w:rPr>
      <w:rFonts w:ascii="Times New Roman" w:hAnsi="Times New Roman" w:cs="Times New Roman"/>
      <w:sz w:val="24"/>
      <w:szCs w:val="20"/>
    </w:rPr>
  </w:style>
  <w:style w:type="character" w:styleId="Hyperlink">
    <w:name w:val="Hyperlink"/>
    <w:rsid w:val="00AD2612"/>
    <w:rPr>
      <w:color w:val="0563C1"/>
      <w:u w:val="single"/>
    </w:rPr>
  </w:style>
  <w:style w:type="character" w:styleId="UnresolvedMention">
    <w:name w:val="Unresolved Mention"/>
    <w:uiPriority w:val="99"/>
    <w:semiHidden/>
    <w:unhideWhenUsed/>
    <w:rsid w:val="00AD2612"/>
    <w:rPr>
      <w:color w:val="605E5C"/>
      <w:shd w:val="clear" w:color="auto" w:fill="E1DFDD"/>
    </w:rPr>
  </w:style>
  <w:style w:type="character" w:customStyle="1" w:styleId="FooterChar">
    <w:name w:val="Footer Char"/>
    <w:link w:val="Footer"/>
    <w:uiPriority w:val="99"/>
    <w:rsid w:val="000808F1"/>
    <w:rPr>
      <w:rFonts w:ascii="Arial" w:hAnsi="Arial" w:cs="Arial"/>
      <w:sz w:val="22"/>
      <w:szCs w:val="22"/>
      <w:lang w:val="en-GB" w:eastAsia="en-US"/>
    </w:rPr>
  </w:style>
  <w:style w:type="paragraph" w:styleId="NormalWeb">
    <w:name w:val="Normal (Web)"/>
    <w:basedOn w:val="Normal"/>
    <w:uiPriority w:val="99"/>
    <w:unhideWhenUsed/>
    <w:rsid w:val="00605734"/>
    <w:pPr>
      <w:spacing w:before="100" w:beforeAutospacing="1" w:after="100" w:afterAutospacing="1"/>
      <w:jc w:val="left"/>
    </w:pPr>
    <w:rPr>
      <w:rFonts w:ascii="Times New Roman" w:hAnsi="Times New Roman" w:cs="Times New Roman"/>
      <w:sz w:val="24"/>
      <w:szCs w:val="24"/>
      <w:lang w:val="en-US"/>
    </w:rPr>
  </w:style>
  <w:style w:type="paragraph" w:styleId="ListParagraph">
    <w:name w:val="List Paragraph"/>
    <w:basedOn w:val="Normal"/>
    <w:uiPriority w:val="34"/>
    <w:qFormat/>
    <w:rsid w:val="000343A9"/>
    <w:pPr>
      <w:ind w:left="720"/>
      <w:contextualSpacing/>
    </w:pPr>
  </w:style>
  <w:style w:type="paragraph" w:customStyle="1" w:styleId="Default">
    <w:name w:val="Default"/>
    <w:rsid w:val="002E58F5"/>
    <w:pPr>
      <w:autoSpaceDE w:val="0"/>
      <w:autoSpaceDN w:val="0"/>
      <w:adjustRightInd w:val="0"/>
    </w:pPr>
    <w:rPr>
      <w:rFonts w:ascii="Arial" w:hAnsi="Arial" w:cs="Arial"/>
      <w:color w:val="000000"/>
      <w:sz w:val="24"/>
      <w:szCs w:val="24"/>
      <w:lang w:val="es-PE"/>
    </w:rPr>
  </w:style>
  <w:style w:type="character" w:styleId="Emphasis">
    <w:name w:val="Emphasis"/>
    <w:basedOn w:val="DefaultParagraphFont"/>
    <w:uiPriority w:val="20"/>
    <w:qFormat/>
    <w:rsid w:val="00EF2315"/>
    <w:rPr>
      <w:i/>
      <w:iCs/>
    </w:rPr>
  </w:style>
  <w:style w:type="paragraph" w:styleId="Revision">
    <w:name w:val="Revision"/>
    <w:hidden/>
    <w:uiPriority w:val="99"/>
    <w:semiHidden/>
    <w:rsid w:val="001F5275"/>
    <w:rPr>
      <w:rFonts w:ascii="Arial" w:hAnsi="Arial" w:cs="Arial"/>
      <w:sz w:val="22"/>
      <w:szCs w:val="22"/>
      <w:lang w:val="en-GB" w:eastAsia="en-US"/>
    </w:rPr>
  </w:style>
  <w:style w:type="character" w:styleId="CommentReference">
    <w:name w:val="annotation reference"/>
    <w:basedOn w:val="DefaultParagraphFont"/>
    <w:rsid w:val="00822935"/>
    <w:rPr>
      <w:sz w:val="16"/>
      <w:szCs w:val="16"/>
    </w:rPr>
  </w:style>
  <w:style w:type="paragraph" w:styleId="CommentText">
    <w:name w:val="annotation text"/>
    <w:basedOn w:val="Normal"/>
    <w:link w:val="CommentTextChar"/>
    <w:rsid w:val="00822935"/>
    <w:rPr>
      <w:sz w:val="20"/>
      <w:szCs w:val="20"/>
    </w:rPr>
  </w:style>
  <w:style w:type="character" w:customStyle="1" w:styleId="CommentTextChar">
    <w:name w:val="Comment Text Char"/>
    <w:basedOn w:val="DefaultParagraphFont"/>
    <w:link w:val="CommentText"/>
    <w:rsid w:val="00822935"/>
    <w:rPr>
      <w:rFonts w:ascii="Arial" w:hAnsi="Arial" w:cs="Arial"/>
      <w:lang w:val="en-GB" w:eastAsia="en-US"/>
    </w:rPr>
  </w:style>
  <w:style w:type="paragraph" w:styleId="CommentSubject">
    <w:name w:val="annotation subject"/>
    <w:basedOn w:val="CommentText"/>
    <w:next w:val="CommentText"/>
    <w:link w:val="CommentSubjectChar"/>
    <w:rsid w:val="00822935"/>
    <w:rPr>
      <w:b/>
      <w:bCs/>
    </w:rPr>
  </w:style>
  <w:style w:type="character" w:customStyle="1" w:styleId="CommentSubjectChar">
    <w:name w:val="Comment Subject Char"/>
    <w:basedOn w:val="CommentTextChar"/>
    <w:link w:val="CommentSubject"/>
    <w:rsid w:val="00822935"/>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3151">
      <w:bodyDiv w:val="1"/>
      <w:marLeft w:val="0"/>
      <w:marRight w:val="0"/>
      <w:marTop w:val="0"/>
      <w:marBottom w:val="0"/>
      <w:divBdr>
        <w:top w:val="none" w:sz="0" w:space="0" w:color="auto"/>
        <w:left w:val="none" w:sz="0" w:space="0" w:color="auto"/>
        <w:bottom w:val="none" w:sz="0" w:space="0" w:color="auto"/>
        <w:right w:val="none" w:sz="0" w:space="0" w:color="auto"/>
      </w:divBdr>
    </w:div>
    <w:div w:id="780951266">
      <w:bodyDiv w:val="1"/>
      <w:marLeft w:val="0"/>
      <w:marRight w:val="0"/>
      <w:marTop w:val="0"/>
      <w:marBottom w:val="0"/>
      <w:divBdr>
        <w:top w:val="none" w:sz="0" w:space="0" w:color="auto"/>
        <w:left w:val="none" w:sz="0" w:space="0" w:color="auto"/>
        <w:bottom w:val="none" w:sz="0" w:space="0" w:color="auto"/>
        <w:right w:val="none" w:sz="0" w:space="0" w:color="auto"/>
      </w:divBdr>
    </w:div>
    <w:div w:id="944777027">
      <w:bodyDiv w:val="1"/>
      <w:marLeft w:val="0"/>
      <w:marRight w:val="0"/>
      <w:marTop w:val="0"/>
      <w:marBottom w:val="0"/>
      <w:divBdr>
        <w:top w:val="none" w:sz="0" w:space="0" w:color="auto"/>
        <w:left w:val="none" w:sz="0" w:space="0" w:color="auto"/>
        <w:bottom w:val="none" w:sz="0" w:space="0" w:color="auto"/>
        <w:right w:val="none" w:sz="0" w:space="0" w:color="auto"/>
      </w:divBdr>
    </w:div>
    <w:div w:id="138309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4559c4-8463-4985-927f-f0d558bff8f0" xsi:nil="true"/>
    <Document_x0020_Symbol xmlns="13d80b15-5f07-43ab-b435-85767a7dac08">template_A6.4-MEP002-A01_callforinput</Document_x0020_Symbol>
    <lcf76f155ced4ddcb4097134ff3c332f xmlns="b819522c-9de1-4f2d-ac58-6f2cdd8b04ea">
      <Terms xmlns="http://schemas.microsoft.com/office/infopath/2007/PartnerControls"/>
    </lcf76f155ced4ddcb4097134ff3c332f>
    <Source xmlns="b819522c-9de1-4f2d-ac58-6f2cdd8b04ea" xsi:nil="true"/>
    <Documenttype xmlns="b819522c-9de1-4f2d-ac58-6f2cdd8b04ea" xsi:nil="true"/>
    <Substantivecheck xmlns="b819522c-9de1-4f2d-ac58-6f2cdd8b04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EBFA4AD3D067488A4F8AE22F38BF68" ma:contentTypeVersion="19" ma:contentTypeDescription="Create a new document." ma:contentTypeScope="" ma:versionID="a68622f1899a43144497ab767498d836">
  <xsd:schema xmlns:xsd="http://www.w3.org/2001/XMLSchema" xmlns:xs="http://www.w3.org/2001/XMLSchema" xmlns:p="http://schemas.microsoft.com/office/2006/metadata/properties" xmlns:ns2="b819522c-9de1-4f2d-ac58-6f2cdd8b04ea" xmlns:ns3="13d80b15-5f07-43ab-b435-85767a7dac08" xmlns:ns4="eb4559c4-8463-4985-927f-f0d558bff8f0" targetNamespace="http://schemas.microsoft.com/office/2006/metadata/properties" ma:root="true" ma:fieldsID="7310c1bb65b0e8e94eb65402724946ef" ns2:_="" ns3:_="" ns4:_="">
    <xsd:import namespace="b819522c-9de1-4f2d-ac58-6f2cdd8b04ea"/>
    <xsd:import namespace="13d80b15-5f07-43ab-b435-85767a7dac08"/>
    <xsd:import namespace="eb4559c4-8463-4985-927f-f0d558bff8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Document_x0020_Symbol"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ource" minOccurs="0"/>
                <xsd:element ref="ns2:MediaServiceLocation" minOccurs="0"/>
                <xsd:element ref="ns2:Documenttype" minOccurs="0"/>
                <xsd:element ref="ns2:Substantiveche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9522c-9de1-4f2d-ac58-6f2cdd8b0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ource" ma:index="23" nillable="true" ma:displayName="Source" ma:format="Dropdown" ma:internalName="Sourc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Documenttype" ma:index="25" nillable="true" ma:displayName="Document type" ma:format="Dropdown" ma:internalName="Documenttype">
      <xsd:simpleType>
        <xsd:restriction base="dms:Text">
          <xsd:maxLength value="255"/>
        </xsd:restriction>
      </xsd:simpleType>
    </xsd:element>
    <xsd:element name="Substantivecheck" ma:index="26" nillable="true" ma:displayName="Substantive check" ma:format="Dropdown" ma:internalName="Substantivecheck">
      <xsd:simpleType>
        <xsd:restriction base="dms:Choice">
          <xsd:enumeration value="Editing"/>
          <xsd:enumeration value="Cleared"/>
          <xsd:enumeration value="On review"/>
        </xsd:restriction>
      </xsd:simple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Document_x0020_Symbol" ma:index="12" nillable="true" ma:displayName="Document Symbol" ma:internalName="Document_x0020_Symb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9A2C3-E5A4-4B1D-83FF-96975877A37F}">
  <ds:schemaRefs>
    <ds:schemaRef ds:uri="http://schemas.microsoft.com/office/2006/metadata/properties"/>
    <ds:schemaRef ds:uri="http://schemas.microsoft.com/office/infopath/2007/PartnerControls"/>
    <ds:schemaRef ds:uri="eb4559c4-8463-4985-927f-f0d558bff8f0"/>
    <ds:schemaRef ds:uri="13d80b15-5f07-43ab-b435-85767a7dac08"/>
    <ds:schemaRef ds:uri="b819522c-9de1-4f2d-ac58-6f2cdd8b04ea"/>
  </ds:schemaRefs>
</ds:datastoreItem>
</file>

<file path=customXml/itemProps2.xml><?xml version="1.0" encoding="utf-8"?>
<ds:datastoreItem xmlns:ds="http://schemas.openxmlformats.org/officeDocument/2006/customXml" ds:itemID="{D843928E-68DB-4886-BD62-CE60E624DE53}">
  <ds:schemaRefs>
    <ds:schemaRef ds:uri="http://schemas.microsoft.com/sharepoint/v3/contenttype/forms"/>
  </ds:schemaRefs>
</ds:datastoreItem>
</file>

<file path=customXml/itemProps3.xml><?xml version="1.0" encoding="utf-8"?>
<ds:datastoreItem xmlns:ds="http://schemas.openxmlformats.org/officeDocument/2006/customXml" ds:itemID="{4B653231-A299-499E-9FD0-AB4B692C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9522c-9de1-4f2d-ac58-6f2cdd8b04ea"/>
    <ds:schemaRef ds:uri="13d80b15-5f07-43ab-b435-85767a7dac08"/>
    <ds:schemaRef ds:uri="eb4559c4-8463-4985-927f-f0d558bf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4F2E9-11BA-43AC-9B29-05D221C5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2635</Words>
  <Characters>15020</Characters>
  <Application>Microsoft Office Word</Application>
  <DocSecurity>4</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A6.4-MEP006-A01-CallForInput-Template</vt:lpstr>
      <vt:lpstr>Template_A6.4-MEP002-A01_callforinput</vt:lpstr>
    </vt:vector>
  </TitlesOfParts>
  <Company>ISO</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A6.4-MEP006-A01-CallForInput-Template</dc:title>
  <dc:subject/>
  <dc:creator>dow</dc:creator>
  <cp:keywords>A6.4-MEP006-A01-CallForInput-Template</cp:keywords>
  <dc:description>A6.4-MEP006-A01-CallForInput-Template</dc:description>
  <cp:lastModifiedBy>Jane Stickdorn</cp:lastModifiedBy>
  <cp:revision>2</cp:revision>
  <cp:lastPrinted>2001-10-25T12:04:00Z</cp:lastPrinted>
  <dcterms:created xsi:type="dcterms:W3CDTF">2025-08-04T19:04:00Z</dcterms:created>
  <dcterms:modified xsi:type="dcterms:W3CDTF">2025-08-04T19:04:00Z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0x0101002BEBFA4AD3D067488A4F8AE22F38BF68</vt:lpwstr>
  </property>
  <property fmtid="{D5CDD505-2E9C-101B-9397-08002B2CF9AE}" pid="4" name="MediaServiceImageTags">
    <vt:lpwstr/>
  </property>
</Properties>
</file>