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16F04992" w:rsidR="005C5581" w:rsidRPr="005C5581" w:rsidRDefault="00606AAA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t xml:space="preserve">Foundation </w:t>
            </w:r>
            <w:proofErr w:type="spellStart"/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t>myclimate</w:t>
            </w:r>
            <w:proofErr w:type="spellEnd"/>
          </w:p>
        </w:tc>
      </w:tr>
      <w:tr w:rsidR="005C5581" w:rsidRPr="00916BE7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5E413658" w:rsidR="005C5581" w:rsidRPr="00916BE7" w:rsidRDefault="00606AAA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</w:pPr>
            <w:proofErr w:type="spellStart"/>
            <w:r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Foundation</w:t>
            </w:r>
            <w:proofErr w:type="spellEnd"/>
            <w:r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 xml:space="preserve"> myclimate, </w:t>
            </w:r>
            <w:proofErr w:type="spellStart"/>
            <w:r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Pfingstweidstrasse</w:t>
            </w:r>
            <w:proofErr w:type="spellEnd"/>
            <w:r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 xml:space="preserve"> 10, </w:t>
            </w:r>
            <w:r w:rsid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8</w:t>
            </w:r>
            <w:r w:rsidR="00916BE7"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 xml:space="preserve">005 </w:t>
            </w:r>
            <w:proofErr w:type="spellStart"/>
            <w:r w:rsidR="00916BE7"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Zurich</w:t>
            </w:r>
            <w:proofErr w:type="spellEnd"/>
            <w:r w:rsidR="00916BE7"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 xml:space="preserve">, </w:t>
            </w:r>
            <w:proofErr w:type="spellStart"/>
            <w:r w:rsidR="00916BE7" w:rsidRP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Sw</w:t>
            </w:r>
            <w:r w:rsidR="00916BE7">
              <w:rPr>
                <w:rFonts w:ascii="Times New Roman" w:hAnsi="Times New Roman" w:cs="Times New Roman"/>
                <w:bCs/>
                <w:color w:val="0000FF"/>
                <w:szCs w:val="20"/>
                <w:lang w:val="de-DE"/>
              </w:rPr>
              <w:t>itzerland</w:t>
            </w:r>
            <w:proofErr w:type="spellEnd"/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916BE7">
              <w:rPr>
                <w:rFonts w:cs="Times New Roman"/>
                <w:i/>
                <w:iCs/>
                <w:szCs w:val="20"/>
                <w:lang w:val="de-DE"/>
              </w:rPr>
              <w:t xml:space="preserve"> </w:t>
            </w:r>
            <w:r w:rsidRPr="005C5581">
              <w:rPr>
                <w:rFonts w:cs="Times New Roman"/>
                <w:i/>
                <w:iCs/>
                <w:szCs w:val="20"/>
              </w:rPr>
              <w:t>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39464562" w:rsidR="005C5581" w:rsidRPr="005C5581" w:rsidRDefault="00916BE7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Cs w:val="20"/>
              </w:rPr>
              <w:t>s</w:t>
            </w:r>
            <w:r w:rsidR="00606AAA">
              <w:rPr>
                <w:rFonts w:ascii="Times New Roman" w:hAnsi="Times New Roman" w:cs="Times New Roman"/>
                <w:bCs/>
                <w:color w:val="0000FF"/>
                <w:szCs w:val="20"/>
              </w:rPr>
              <w:t>usan.gille@myclimate.org</w:t>
            </w: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1545663C" w:rsidR="005C5581" w:rsidRPr="005C5581" w:rsidRDefault="00606AAA" w:rsidP="00606AAA">
            <w:pPr>
              <w:spacing w:before="120"/>
              <w:ind w:left="227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606AAA">
              <w:rPr>
                <w:rFonts w:ascii="Times New Roman" w:hAnsi="Times New Roman" w:cs="Times New Roman"/>
                <w:bCs/>
                <w:color w:val="0000FF"/>
                <w:szCs w:val="20"/>
              </w:rPr>
              <w:t>04.08.2025</w:t>
            </w: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DB0167">
        <w:trPr>
          <w:cantSplit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E4E23" w14:textId="13A4FD11" w:rsidR="00302395" w:rsidRPr="00CF5637" w:rsidRDefault="00302395" w:rsidP="007B1DB4">
            <w:pPr>
              <w:keepLines/>
              <w:spacing w:before="40" w:after="40" w:line="190" w:lineRule="exact"/>
              <w:jc w:val="left"/>
              <w:rPr>
                <w:b/>
                <w:bCs/>
                <w:color w:val="0070C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CF5637" w:rsidRPr="00CF5637">
              <w:rPr>
                <w:b/>
                <w:bCs/>
                <w:color w:val="0070C0"/>
              </w:rPr>
              <w:t>A6.4-MEP0</w:t>
            </w:r>
            <w:r w:rsidR="00A42991">
              <w:rPr>
                <w:b/>
                <w:bCs/>
                <w:color w:val="0070C0"/>
              </w:rPr>
              <w:t>07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14141B">
              <w:rPr>
                <w:b/>
                <w:bCs/>
                <w:color w:val="0070C0"/>
              </w:rPr>
              <w:t>4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14141B" w:rsidRPr="0014141B">
              <w:rPr>
                <w:b/>
                <w:bCs/>
                <w:color w:val="0070C0"/>
              </w:rPr>
              <w:t>Draft Standard: Addressing non-permanence/reversals</w:t>
            </w:r>
            <w:r w:rsidR="007D498B" w:rsidRPr="00CF5637">
              <w:rPr>
                <w:b/>
                <w:bCs/>
                <w:color w:val="0070C0"/>
              </w:rPr>
              <w:t xml:space="preserve"> (version 01.0)</w:t>
            </w:r>
          </w:p>
          <w:p w14:paraId="0EF95441" w14:textId="48AD6F29" w:rsidR="00302395" w:rsidRPr="008E3D67" w:rsidRDefault="00302395" w:rsidP="00302395">
            <w:pPr>
              <w:keepLines/>
              <w:spacing w:before="40" w:after="40" w:line="190" w:lineRule="exact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35FC3433" w:rsidR="000926EA" w:rsidRDefault="00606AA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A (Appendix 1 and 2)</w:t>
            </w: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656E" w14:textId="024B04AC" w:rsidR="00606AAA" w:rsidRPr="00606AAA" w:rsidRDefault="00606AAA" w:rsidP="00606AA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 w:rsidRPr="00606AAA">
              <w:rPr>
                <w:b/>
                <w:bCs/>
                <w:sz w:val="20"/>
                <w:szCs w:val="20"/>
                <w:lang w:val="en-US"/>
              </w:rPr>
              <w:t>Length of Monitoring: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06AAA">
              <w:rPr>
                <w:sz w:val="20"/>
                <w:szCs w:val="20"/>
                <w:lang w:val="en-US"/>
              </w:rPr>
              <w:t>Draft A requires projects to monitor until they prove "negligible risk"</w:t>
            </w:r>
            <w:r>
              <w:rPr>
                <w:sz w:val="20"/>
                <w:szCs w:val="20"/>
                <w:lang w:val="en-US"/>
              </w:rPr>
              <w:t xml:space="preserve">, i.e. </w:t>
            </w:r>
            <w:r w:rsidRPr="00606AAA">
              <w:rPr>
                <w:sz w:val="20"/>
                <w:szCs w:val="20"/>
                <w:lang w:val="en-US"/>
              </w:rPr>
              <w:t xml:space="preserve"> less than 5% reversal risk over 100 years</w:t>
            </w:r>
            <w:r>
              <w:rPr>
                <w:sz w:val="20"/>
                <w:szCs w:val="20"/>
                <w:lang w:val="en-US"/>
              </w:rPr>
              <w:t xml:space="preserve"> =&gt;</w:t>
            </w:r>
            <w:r w:rsidRPr="00606A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606AAA">
              <w:rPr>
                <w:sz w:val="20"/>
                <w:szCs w:val="20"/>
                <w:lang w:val="en-US"/>
              </w:rPr>
              <w:t xml:space="preserve">his </w:t>
            </w:r>
            <w:r>
              <w:rPr>
                <w:sz w:val="20"/>
                <w:szCs w:val="20"/>
                <w:lang w:val="en-US"/>
              </w:rPr>
              <w:t xml:space="preserve">requirement is totally </w:t>
            </w:r>
            <w:r w:rsidRPr="00606AAA">
              <w:rPr>
                <w:sz w:val="20"/>
                <w:szCs w:val="20"/>
                <w:lang w:val="en-US"/>
              </w:rPr>
              <w:t>unrealistic for any land use project</w:t>
            </w:r>
            <w:r>
              <w:rPr>
                <w:sz w:val="20"/>
                <w:szCs w:val="20"/>
                <w:lang w:val="en-US"/>
              </w:rPr>
              <w:t xml:space="preserve"> and will make it extremely difficult to make land use projects work. </w:t>
            </w:r>
            <w:r w:rsidR="005B094E">
              <w:rPr>
                <w:sz w:val="20"/>
                <w:szCs w:val="20"/>
                <w:lang w:val="en-US"/>
              </w:rPr>
              <w:t xml:space="preserve">How can this be proved whether 7% or 5% over 100 years? </w:t>
            </w:r>
            <w:r w:rsidRPr="00606AAA">
              <w:rPr>
                <w:sz w:val="20"/>
                <w:szCs w:val="20"/>
              </w:rPr>
              <w:t>Not only will it drive up the cost by a lot</w:t>
            </w:r>
            <w:r>
              <w:rPr>
                <w:sz w:val="20"/>
                <w:szCs w:val="20"/>
              </w:rPr>
              <w:t xml:space="preserve">. Who will fund such projects if the </w:t>
            </w:r>
            <w:r w:rsidRPr="00606AAA">
              <w:rPr>
                <w:sz w:val="20"/>
                <w:szCs w:val="20"/>
              </w:rPr>
              <w:t xml:space="preserve">risk will </w:t>
            </w:r>
            <w:r>
              <w:rPr>
                <w:sz w:val="20"/>
                <w:szCs w:val="20"/>
              </w:rPr>
              <w:t xml:space="preserve">ever be ongoing for such a long </w:t>
            </w:r>
            <w:proofErr w:type="gramStart"/>
            <w:r>
              <w:rPr>
                <w:sz w:val="20"/>
                <w:szCs w:val="20"/>
              </w:rPr>
              <w:t>time period</w:t>
            </w:r>
            <w:proofErr w:type="gramEnd"/>
            <w:r>
              <w:rPr>
                <w:sz w:val="20"/>
                <w:szCs w:val="20"/>
              </w:rPr>
              <w:t xml:space="preserve">? This requirement will highly disadvantage NBS projects in comparison to technical projects.  </w:t>
            </w:r>
          </w:p>
          <w:p w14:paraId="46413AFC" w14:textId="404741E1" w:rsidR="00606AAA" w:rsidRPr="00606AAA" w:rsidRDefault="00606AAA" w:rsidP="00606AAA">
            <w:pPr>
              <w:keepLines/>
              <w:tabs>
                <w:tab w:val="num" w:pos="720"/>
              </w:tabs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 w:rsidRPr="00606AAA">
              <w:rPr>
                <w:b/>
                <w:bCs/>
                <w:sz w:val="20"/>
                <w:szCs w:val="20"/>
                <w:lang w:val="en-US"/>
              </w:rPr>
              <w:t>No Flexibility on Permanence:</w:t>
            </w:r>
            <w:r w:rsidRPr="00606A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no </w:t>
            </w:r>
            <w:proofErr w:type="gramStart"/>
            <w:r w:rsidRPr="00606AAA">
              <w:rPr>
                <w:sz w:val="20"/>
                <w:szCs w:val="20"/>
                <w:lang w:val="en-US"/>
              </w:rPr>
              <w:t>allow</w:t>
            </w:r>
            <w:r>
              <w:rPr>
                <w:sz w:val="20"/>
                <w:szCs w:val="20"/>
                <w:lang w:val="en-US"/>
              </w:rPr>
              <w:t>ance  of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insurances or financial g</w:t>
            </w:r>
            <w:r w:rsidRPr="00606AAA">
              <w:rPr>
                <w:sz w:val="20"/>
                <w:szCs w:val="20"/>
                <w:lang w:val="en-US"/>
              </w:rPr>
              <w:t xml:space="preserve">uarantees. </w:t>
            </w:r>
            <w:r>
              <w:rPr>
                <w:sz w:val="20"/>
                <w:szCs w:val="20"/>
                <w:lang w:val="en-US"/>
              </w:rPr>
              <w:t>Why? Should be allowed</w:t>
            </w:r>
          </w:p>
          <w:p w14:paraId="757595A4" w14:textId="3FEF5DD4" w:rsidR="00606AAA" w:rsidRPr="00606AAA" w:rsidRDefault="00606AA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 w:rsidRPr="00606AAA">
              <w:rPr>
                <w:b/>
                <w:bCs/>
                <w:sz w:val="20"/>
                <w:szCs w:val="20"/>
                <w:lang w:val="en-US"/>
              </w:rPr>
              <w:t>Penalties for late Reporting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606AAA">
              <w:rPr>
                <w:b/>
                <w:bCs/>
                <w:sz w:val="20"/>
                <w:szCs w:val="20"/>
                <w:lang w:val="en-US"/>
              </w:rPr>
              <w:t xml:space="preserve">too strict for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the realities of </w:t>
            </w:r>
            <w:r w:rsidRPr="00606AAA">
              <w:rPr>
                <w:b/>
                <w:bCs/>
                <w:sz w:val="20"/>
                <w:szCs w:val="20"/>
                <w:lang w:val="en-US"/>
              </w:rPr>
              <w:t>community projects</w:t>
            </w:r>
            <w:r>
              <w:rPr>
                <w:sz w:val="20"/>
                <w:szCs w:val="20"/>
                <w:lang w:val="en-US"/>
              </w:rPr>
              <w:t xml:space="preserve"> working with smallholders to comply with: </w:t>
            </w:r>
            <w:r w:rsidRPr="00606AAA">
              <w:rPr>
                <w:sz w:val="20"/>
                <w:szCs w:val="20"/>
                <w:lang w:val="en-US"/>
              </w:rPr>
              <w:t>immediate suspension after one missed report</w:t>
            </w:r>
            <w:r>
              <w:rPr>
                <w:sz w:val="20"/>
                <w:szCs w:val="20"/>
                <w:lang w:val="en-US"/>
              </w:rPr>
              <w:t xml:space="preserve"> and </w:t>
            </w:r>
            <w:r w:rsidRPr="00606AAA">
              <w:rPr>
                <w:sz w:val="20"/>
                <w:szCs w:val="20"/>
                <w:lang w:val="en-US"/>
              </w:rPr>
              <w:t>all issued credits voided</w:t>
            </w:r>
            <w:r>
              <w:rPr>
                <w:sz w:val="20"/>
                <w:szCs w:val="20"/>
                <w:lang w:val="en-US"/>
              </w:rPr>
              <w:t xml:space="preserve"> (!) if another one is delayed! </w:t>
            </w:r>
            <w:r w:rsidRPr="00606AAA">
              <w:rPr>
                <w:sz w:val="20"/>
                <w:szCs w:val="20"/>
                <w:lang w:val="en-US"/>
              </w:rPr>
              <w:t xml:space="preserve"> </w:t>
            </w:r>
          </w:p>
          <w:p w14:paraId="575E0247" w14:textId="499694A7" w:rsidR="00606AAA" w:rsidRPr="000926EA" w:rsidRDefault="00606AA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36532AB" w:rsidR="000926EA" w:rsidRPr="00606AAA" w:rsidRDefault="00606AAA" w:rsidP="000926EA">
            <w:pPr>
              <w:keepLines/>
              <w:spacing w:before="40" w:after="40" w:line="190" w:lineRule="exact"/>
              <w:jc w:val="left"/>
              <w:rPr>
                <w:b/>
                <w:bCs/>
                <w:sz w:val="20"/>
                <w:szCs w:val="20"/>
              </w:rPr>
            </w:pPr>
            <w:r w:rsidRPr="00606AAA">
              <w:rPr>
                <w:b/>
                <w:bCs/>
                <w:sz w:val="20"/>
                <w:szCs w:val="20"/>
              </w:rPr>
              <w:t xml:space="preserve">We do not support </w:t>
            </w:r>
            <w:r w:rsidR="00916BE7">
              <w:rPr>
                <w:b/>
                <w:bCs/>
                <w:sz w:val="20"/>
                <w:szCs w:val="20"/>
              </w:rPr>
              <w:t xml:space="preserve">the entire </w:t>
            </w:r>
            <w:r w:rsidRPr="00606AAA">
              <w:rPr>
                <w:b/>
                <w:bCs/>
                <w:sz w:val="20"/>
                <w:szCs w:val="20"/>
              </w:rPr>
              <w:t>draft A (Appendix 1 and 2) and would like to request to proceed with draft B (Appendix 3)</w:t>
            </w: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581854B" w:rsidR="000926EA" w:rsidRDefault="00606AA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B (Appendix 3)</w:t>
            </w: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4784" w14:textId="77777777" w:rsidR="000926EA" w:rsidRDefault="005B094E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5.2, 17</w:t>
            </w:r>
          </w:p>
          <w:p w14:paraId="43DD0668" w14:textId="77777777" w:rsidR="005B094E" w:rsidRDefault="005B094E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3FE2C84A" w14:textId="4F71DE92" w:rsidR="005B094E" w:rsidRPr="000926EA" w:rsidRDefault="005B094E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5.2, 19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6CE8" w14:textId="37A023D0" w:rsidR="00606AAA" w:rsidRDefault="00606AAA" w:rsidP="00606AA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 w:rsidRPr="00606AAA">
              <w:rPr>
                <w:b/>
                <w:bCs/>
                <w:sz w:val="20"/>
                <w:szCs w:val="20"/>
                <w:lang w:val="en-US"/>
              </w:rPr>
              <w:t>Length of Monitoring:</w:t>
            </w:r>
            <w:r>
              <w:rPr>
                <w:sz w:val="20"/>
                <w:szCs w:val="20"/>
                <w:lang w:val="en-US"/>
              </w:rPr>
              <w:t xml:space="preserve"> Slightly better than draft A but also here we will end up with project lifetimes of minimum 60 years rather more. </w:t>
            </w:r>
            <w:r w:rsidRPr="00606AAA">
              <w:rPr>
                <w:sz w:val="20"/>
                <w:szCs w:val="20"/>
                <w:lang w:val="en-US"/>
              </w:rPr>
              <w:t xml:space="preserve">No investor will commit to such long timelines. Most funding cycles, even from development banks, are capped at 20–30 years. </w:t>
            </w:r>
          </w:p>
          <w:p w14:paraId="356FBE7A" w14:textId="77777777" w:rsidR="005B094E" w:rsidRDefault="005B094E" w:rsidP="00606AA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</w:p>
          <w:p w14:paraId="468DEB50" w14:textId="071C1C4C" w:rsidR="005B094E" w:rsidRDefault="005B094E" w:rsidP="00606AA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5.2, 19</w:t>
            </w:r>
          </w:p>
          <w:p w14:paraId="24CBA63F" w14:textId="06AB7443" w:rsidR="005B094E" w:rsidRPr="00606AAA" w:rsidRDefault="005B094E" w:rsidP="00606AA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</w:t>
            </w:r>
            <w:r w:rsidRPr="005B094E">
              <w:rPr>
                <w:sz w:val="20"/>
                <w:szCs w:val="20"/>
              </w:rPr>
              <w:t>egligible risk is defined as an expected risk of reversal of no more than 0.5 percent (1 in 200 chance) over a 100-year timeframe</w:t>
            </w:r>
            <w:r>
              <w:rPr>
                <w:sz w:val="20"/>
                <w:szCs w:val="20"/>
              </w:rPr>
              <w:t xml:space="preserve"> =&gt; </w:t>
            </w:r>
            <w:r>
              <w:rPr>
                <w:sz w:val="20"/>
                <w:szCs w:val="20"/>
                <w:lang w:val="en-US"/>
              </w:rPr>
              <w:t xml:space="preserve">How can this be proved whether 7% or 5% over 100 years? </w:t>
            </w:r>
            <w:r w:rsidRPr="00606AAA">
              <w:rPr>
                <w:sz w:val="20"/>
                <w:szCs w:val="20"/>
              </w:rPr>
              <w:t>Not only will it drive up the cost by a lot</w:t>
            </w:r>
            <w:r>
              <w:rPr>
                <w:sz w:val="20"/>
                <w:szCs w:val="20"/>
              </w:rPr>
              <w:t xml:space="preserve">. Who will fund such projects if the </w:t>
            </w:r>
            <w:r w:rsidRPr="00606AAA">
              <w:rPr>
                <w:sz w:val="20"/>
                <w:szCs w:val="20"/>
              </w:rPr>
              <w:t xml:space="preserve">risk will </w:t>
            </w:r>
            <w:r>
              <w:rPr>
                <w:sz w:val="20"/>
                <w:szCs w:val="20"/>
              </w:rPr>
              <w:t xml:space="preserve">ever be ongoing for such a long </w:t>
            </w:r>
            <w:proofErr w:type="gramStart"/>
            <w:r>
              <w:rPr>
                <w:sz w:val="20"/>
                <w:szCs w:val="20"/>
              </w:rPr>
              <w:t>time period</w:t>
            </w:r>
            <w:proofErr w:type="gramEnd"/>
            <w:r>
              <w:rPr>
                <w:sz w:val="20"/>
                <w:szCs w:val="20"/>
              </w:rPr>
              <w:t xml:space="preserve">? This requirement will highly disadvantage NBS projects in comparison to technical projects.  </w:t>
            </w:r>
          </w:p>
          <w:p w14:paraId="7A2A9EDD" w14:textId="6397BB6E" w:rsidR="000926EA" w:rsidRPr="000926EA" w:rsidRDefault="000926EA" w:rsidP="005B094E">
            <w:pPr>
              <w:keepLines/>
              <w:numPr>
                <w:ilvl w:val="0"/>
                <w:numId w:val="8"/>
              </w:numPr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5B40FBC3" w:rsidR="000926EA" w:rsidRPr="000926EA" w:rsidRDefault="005B094E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 w:rsidRPr="005B094E">
              <w:rPr>
                <w:sz w:val="20"/>
                <w:szCs w:val="20"/>
              </w:rPr>
              <w:t>Activity participants shall continue to monitor and report on the activity for a period of at least [</w:t>
            </w:r>
            <w:r>
              <w:rPr>
                <w:sz w:val="20"/>
                <w:szCs w:val="20"/>
              </w:rPr>
              <w:t>1</w:t>
            </w:r>
            <w:r w:rsidRPr="005B094E">
              <w:rPr>
                <w:sz w:val="20"/>
                <w:szCs w:val="20"/>
              </w:rPr>
              <w:t>5] years from the date of the final verification.</w:t>
            </w: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542F480" w:rsidR="000926EA" w:rsidRPr="000926EA" w:rsidRDefault="005B094E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  <w:r w:rsidR="00916BE7">
              <w:rPr>
                <w:sz w:val="20"/>
                <w:szCs w:val="20"/>
              </w:rPr>
              <w:t>, 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B9C9" w14:textId="77845434" w:rsidR="00916BE7" w:rsidRDefault="005B094E" w:rsidP="005B094E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Very rigid approach</w:t>
            </w:r>
            <w:r w:rsidR="00916BE7">
              <w:rPr>
                <w:sz w:val="20"/>
                <w:szCs w:val="20"/>
                <w:lang w:val="en-US"/>
              </w:rPr>
              <w:t xml:space="preserve"> to cancel all issued credits up-to date. </w:t>
            </w:r>
          </w:p>
          <w:p w14:paraId="6FF4C5A0" w14:textId="37D57249" w:rsidR="005B094E" w:rsidRPr="00606AAA" w:rsidRDefault="005B094E" w:rsidP="005B094E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  <w:lang w:val="en-US"/>
              </w:rPr>
            </w:pPr>
            <w:r w:rsidRPr="00606AAA">
              <w:rPr>
                <w:sz w:val="20"/>
                <w:szCs w:val="20"/>
                <w:lang w:val="en-US"/>
              </w:rPr>
              <w:t>For community and smallholder projects, reporting can be delayed due to seasonal work, consensus-building, or logistical barriers. These rules would exclude many valuable initiatives.</w:t>
            </w:r>
          </w:p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EAED" w14:textId="77777777" w:rsidR="00032798" w:rsidRDefault="00032798" w:rsidP="00DF4F6B">
      <w:r>
        <w:separator/>
      </w:r>
    </w:p>
  </w:endnote>
  <w:endnote w:type="continuationSeparator" w:id="0">
    <w:p w14:paraId="5514A3EA" w14:textId="77777777" w:rsidR="00032798" w:rsidRDefault="00032798" w:rsidP="00DF4F6B">
      <w:r>
        <w:continuationSeparator/>
      </w:r>
    </w:p>
  </w:endnote>
  <w:endnote w:type="continuationNotice" w:id="1">
    <w:p w14:paraId="3EAE5593" w14:textId="77777777" w:rsidR="00032798" w:rsidRDefault="00032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D2ED" w14:textId="77777777" w:rsidR="00032798" w:rsidRDefault="00032798" w:rsidP="00DF4F6B">
      <w:r>
        <w:separator/>
      </w:r>
    </w:p>
  </w:footnote>
  <w:footnote w:type="continuationSeparator" w:id="0">
    <w:p w14:paraId="1AEEBF72" w14:textId="77777777" w:rsidR="00032798" w:rsidRDefault="00032798" w:rsidP="00DF4F6B">
      <w:r>
        <w:continuationSeparator/>
      </w:r>
    </w:p>
  </w:footnote>
  <w:footnote w:type="continuationNotice" w:id="1">
    <w:p w14:paraId="4B414ED3" w14:textId="77777777" w:rsidR="00032798" w:rsidRDefault="00032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6E4"/>
    <w:multiLevelType w:val="multilevel"/>
    <w:tmpl w:val="CEF0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831B3"/>
    <w:multiLevelType w:val="multilevel"/>
    <w:tmpl w:val="A1D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418AE"/>
    <w:multiLevelType w:val="multilevel"/>
    <w:tmpl w:val="DC0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D52F4"/>
    <w:multiLevelType w:val="multilevel"/>
    <w:tmpl w:val="3414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8D7371"/>
    <w:multiLevelType w:val="multilevel"/>
    <w:tmpl w:val="FC6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915063"/>
    <w:multiLevelType w:val="multilevel"/>
    <w:tmpl w:val="5E7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7"/>
  </w:num>
  <w:num w:numId="2" w16cid:durableId="2142068773">
    <w:abstractNumId w:val="3"/>
  </w:num>
  <w:num w:numId="3" w16cid:durableId="260913117">
    <w:abstractNumId w:val="6"/>
  </w:num>
  <w:num w:numId="4" w16cid:durableId="2078818638">
    <w:abstractNumId w:val="4"/>
  </w:num>
  <w:num w:numId="5" w16cid:durableId="865404833">
    <w:abstractNumId w:val="0"/>
  </w:num>
  <w:num w:numId="6" w16cid:durableId="133256094">
    <w:abstractNumId w:val="2"/>
  </w:num>
  <w:num w:numId="7" w16cid:durableId="1393770425">
    <w:abstractNumId w:val="1"/>
  </w:num>
  <w:num w:numId="8" w16cid:durableId="18544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2798"/>
    <w:rsid w:val="000372B5"/>
    <w:rsid w:val="00044598"/>
    <w:rsid w:val="00047EFF"/>
    <w:rsid w:val="000808F1"/>
    <w:rsid w:val="000926EA"/>
    <w:rsid w:val="00093883"/>
    <w:rsid w:val="00097411"/>
    <w:rsid w:val="00101860"/>
    <w:rsid w:val="00114F43"/>
    <w:rsid w:val="00115969"/>
    <w:rsid w:val="001374D5"/>
    <w:rsid w:val="0014141B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43E39"/>
    <w:rsid w:val="0034660C"/>
    <w:rsid w:val="00356C44"/>
    <w:rsid w:val="00366FD7"/>
    <w:rsid w:val="003706ED"/>
    <w:rsid w:val="00370CE2"/>
    <w:rsid w:val="003A59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92402"/>
    <w:rsid w:val="005A256D"/>
    <w:rsid w:val="005B094E"/>
    <w:rsid w:val="005B1074"/>
    <w:rsid w:val="005C5581"/>
    <w:rsid w:val="005E1D5D"/>
    <w:rsid w:val="005F5267"/>
    <w:rsid w:val="00606AAA"/>
    <w:rsid w:val="006740C2"/>
    <w:rsid w:val="006B0672"/>
    <w:rsid w:val="006D0849"/>
    <w:rsid w:val="006F32C1"/>
    <w:rsid w:val="007014A2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D2B67"/>
    <w:rsid w:val="008D4BE2"/>
    <w:rsid w:val="008D5DDB"/>
    <w:rsid w:val="008E3D67"/>
    <w:rsid w:val="00916BE7"/>
    <w:rsid w:val="009177A1"/>
    <w:rsid w:val="00924829"/>
    <w:rsid w:val="009336FE"/>
    <w:rsid w:val="009716BB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2991"/>
    <w:rsid w:val="00A47E47"/>
    <w:rsid w:val="00A52FA2"/>
    <w:rsid w:val="00A54BC5"/>
    <w:rsid w:val="00A82959"/>
    <w:rsid w:val="00A96FCD"/>
    <w:rsid w:val="00AD2612"/>
    <w:rsid w:val="00AE4048"/>
    <w:rsid w:val="00B344E5"/>
    <w:rsid w:val="00B3792D"/>
    <w:rsid w:val="00B426BF"/>
    <w:rsid w:val="00B47092"/>
    <w:rsid w:val="00BE407F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A1E76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B0167"/>
    <w:rsid w:val="00DB29C0"/>
    <w:rsid w:val="00DD7155"/>
    <w:rsid w:val="00DF4E03"/>
    <w:rsid w:val="00DF4F6B"/>
    <w:rsid w:val="00E50939"/>
    <w:rsid w:val="00E510BA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C5840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13d80b15-5f07-43ab-b435-85767a7dac08"/>
    <ds:schemaRef ds:uri="b819522c-9de1-4f2d-ac58-6f2cdd8b04ea"/>
  </ds:schemaRefs>
</ds:datastoreItem>
</file>

<file path=customXml/itemProps3.xml><?xml version="1.0" encoding="utf-8"?>
<ds:datastoreItem xmlns:ds="http://schemas.openxmlformats.org/officeDocument/2006/customXml" ds:itemID="{4B653231-A299-499E-9FD0-AB4B692C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A6.4-MEP006-A01-CallForInput-Template</vt:lpstr>
      <vt:lpstr>Template_A6.4-MEP002-A01_callforinput</vt:lpstr>
    </vt:vector>
  </TitlesOfParts>
  <Company>ISO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A6.4-MEP006-A01-CallForInput-Template</dc:title>
  <dc:subject/>
  <dc:creator>dow</dc:creator>
  <cp:keywords>A6.4-MEP006-A01-CallForInput-Template</cp:keywords>
  <dc:description>A6.4-MEP006-A01-CallForInput-Template</dc:description>
  <cp:lastModifiedBy>Jane Stickdorn</cp:lastModifiedBy>
  <cp:revision>2</cp:revision>
  <cp:lastPrinted>2001-10-25T12:04:00Z</cp:lastPrinted>
  <dcterms:created xsi:type="dcterms:W3CDTF">2025-08-04T18:01:00Z</dcterms:created>
  <dcterms:modified xsi:type="dcterms:W3CDTF">2025-08-04T18:01:00Z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</Properties>
</file>