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66A2" w14:textId="77777777" w:rsidR="00993233" w:rsidRDefault="00993233">
      <w:pPr>
        <w:pBdr>
          <w:top w:val="nil"/>
          <w:left w:val="nil"/>
          <w:bottom w:val="nil"/>
          <w:right w:val="nil"/>
          <w:between w:val="nil"/>
        </w:pBdr>
        <w:tabs>
          <w:tab w:val="center" w:pos="4820"/>
          <w:tab w:val="right" w:pos="9639"/>
        </w:tabs>
        <w:rPr>
          <w:color w:val="000000"/>
          <w:sz w:val="2"/>
          <w:szCs w:val="2"/>
        </w:rPr>
      </w:pPr>
    </w:p>
    <w:p w14:paraId="66E729AB" w14:textId="77777777" w:rsidR="00993233" w:rsidRDefault="00993233">
      <w:pPr>
        <w:pBdr>
          <w:top w:val="nil"/>
          <w:left w:val="nil"/>
          <w:bottom w:val="nil"/>
          <w:right w:val="nil"/>
          <w:between w:val="nil"/>
        </w:pBdr>
        <w:tabs>
          <w:tab w:val="center" w:pos="4820"/>
          <w:tab w:val="right" w:pos="9639"/>
        </w:tabs>
        <w:spacing w:line="14" w:lineRule="auto"/>
        <w:rPr>
          <w:color w:val="000000"/>
          <w:sz w:val="4"/>
          <w:szCs w:val="4"/>
        </w:rPr>
      </w:pPr>
    </w:p>
    <w:tbl>
      <w:tblPr>
        <w:tblStyle w:val="a"/>
        <w:tblW w:w="15876" w:type="dxa"/>
        <w:tblInd w:w="-370" w:type="dxa"/>
        <w:tblLayout w:type="fixed"/>
        <w:tblLook w:val="0000" w:firstRow="0" w:lastRow="0" w:firstColumn="0" w:lastColumn="0" w:noHBand="0" w:noVBand="0"/>
      </w:tblPr>
      <w:tblGrid>
        <w:gridCol w:w="4821"/>
        <w:gridCol w:w="11055"/>
      </w:tblGrid>
      <w:tr w:rsidR="00993233" w14:paraId="60156F78" w14:textId="77777777">
        <w:trPr>
          <w:cantSplit/>
          <w:trHeight w:val="953"/>
        </w:trPr>
        <w:tc>
          <w:tcPr>
            <w:tcW w:w="15877" w:type="dxa"/>
            <w:gridSpan w:val="2"/>
            <w:tcBorders>
              <w:top w:val="single" w:sz="4" w:space="0" w:color="000000"/>
              <w:left w:val="single" w:sz="4" w:space="0" w:color="000000"/>
              <w:bottom w:val="single" w:sz="4" w:space="0" w:color="000000"/>
              <w:right w:val="single" w:sz="4" w:space="0" w:color="000000"/>
            </w:tcBorders>
            <w:vAlign w:val="center"/>
          </w:tcPr>
          <w:p w14:paraId="4D3676A3" w14:textId="77777777" w:rsidR="00993233" w:rsidRDefault="00986F88">
            <w:pPr>
              <w:ind w:left="86"/>
              <w:jc w:val="left"/>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76AE3766" wp14:editId="149049BB">
                      <wp:simplePos x="0" y="0"/>
                      <wp:positionH relativeFrom="column">
                        <wp:posOffset>3314700</wp:posOffset>
                      </wp:positionH>
                      <wp:positionV relativeFrom="paragraph">
                        <wp:posOffset>76200</wp:posOffset>
                      </wp:positionV>
                      <wp:extent cx="4688205" cy="487680"/>
                      <wp:effectExtent l="0" t="0" r="0" b="0"/>
                      <wp:wrapNone/>
                      <wp:docPr id="6" name="Rectangle 6"/>
                      <wp:cNvGraphicFramePr/>
                      <a:graphic xmlns:a="http://schemas.openxmlformats.org/drawingml/2006/main">
                        <a:graphicData uri="http://schemas.microsoft.com/office/word/2010/wordprocessingShape">
                          <wps:wsp>
                            <wps:cNvSpPr/>
                            <wps:spPr>
                              <a:xfrm>
                                <a:off x="3006660" y="3540923"/>
                                <a:ext cx="4678680" cy="478155"/>
                              </a:xfrm>
                              <a:prstGeom prst="rect">
                                <a:avLst/>
                              </a:prstGeom>
                              <a:noFill/>
                              <a:ln>
                                <a:noFill/>
                              </a:ln>
                            </wps:spPr>
                            <wps:txbx>
                              <w:txbxContent>
                                <w:p w14:paraId="3E893A96" w14:textId="77777777" w:rsidR="00993233" w:rsidRDefault="00986F88">
                                  <w:pPr>
                                    <w:jc w:val="center"/>
                                    <w:textDirection w:val="btLr"/>
                                  </w:pPr>
                                  <w:r>
                                    <w:rPr>
                                      <w:b/>
                                      <w:color w:val="000000"/>
                                    </w:rPr>
                                    <w:t xml:space="preserve"> CALL FOR INPUT</w:t>
                                  </w:r>
                                  <w:r>
                                    <w:rPr>
                                      <w:b/>
                                      <w:color w:val="000000"/>
                                    </w:rPr>
                                    <w:br/>
                                  </w:r>
                                </w:p>
                                <w:p w14:paraId="3199510E" w14:textId="77777777" w:rsidR="00993233" w:rsidRDefault="00993233">
                                  <w:pPr>
                                    <w:jc w:val="center"/>
                                    <w:textDirection w:val="btLr"/>
                                  </w:pPr>
                                </w:p>
                                <w:p w14:paraId="61C74147" w14:textId="77777777" w:rsidR="00993233" w:rsidRDefault="00993233">
                                  <w:pPr>
                                    <w:jc w:val="right"/>
                                    <w:textDirection w:val="btLr"/>
                                  </w:pPr>
                                </w:p>
                                <w:p w14:paraId="34202DAA" w14:textId="77777777" w:rsidR="00993233" w:rsidRDefault="00986F88">
                                  <w:pPr>
                                    <w:jc w:val="center"/>
                                    <w:textDirection w:val="btLr"/>
                                  </w:pPr>
                                  <w:r>
                                    <w:rPr>
                                      <w:b/>
                                      <w:color w:val="000000"/>
                                    </w:rPr>
                                    <w:t xml:space="preserve"> </w:t>
                                  </w:r>
                                </w:p>
                                <w:p w14:paraId="5184A9AD" w14:textId="77777777" w:rsidR="00993233" w:rsidRDefault="00993233">
                                  <w:pPr>
                                    <w:textDirection w:val="btLr"/>
                                  </w:pPr>
                                </w:p>
                              </w:txbxContent>
                            </wps:txbx>
                            <wps:bodyPr spcFirstLastPara="1" wrap="square" lIns="91425" tIns="45700" rIns="91425" bIns="45700" anchor="t" anchorCtr="0">
                              <a:noAutofit/>
                            </wps:bodyPr>
                          </wps:wsp>
                        </a:graphicData>
                      </a:graphic>
                    </wp:anchor>
                  </w:drawing>
                </mc:Choice>
                <mc:Fallback>
                  <w:pict>
                    <v:rect w14:anchorId="76AE3766" id="Rectangle 6" o:spid="_x0000_s1026" style="position:absolute;left:0;text-align:left;margin-left:261pt;margin-top:6pt;width:369.1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" filled="f" stroked="f">
                      <v:textbox inset="2.53958mm,1.2694mm,2.53958mm,1.2694mm">
                        <w:txbxContent>
                          <w:p w14:paraId="3E893A96" w14:textId="77777777" w:rsidR="00993233" w:rsidRDefault="00986F88">
                            <w:pPr>
                              <w:jc w:val="center"/>
                              <w:textDirection w:val="btLr"/>
                            </w:pPr>
                            <w:r>
                              <w:rPr>
                                <w:b/>
                                <w:color w:val="000000"/>
                              </w:rPr>
                              <w:t xml:space="preserve"> CALL FOR INPUT</w:t>
                            </w:r>
                            <w:r>
                              <w:rPr>
                                <w:b/>
                                <w:color w:val="000000"/>
                              </w:rPr>
                              <w:br/>
                            </w:r>
                          </w:p>
                          <w:p w14:paraId="3199510E" w14:textId="77777777" w:rsidR="00993233" w:rsidRDefault="00993233">
                            <w:pPr>
                              <w:jc w:val="center"/>
                              <w:textDirection w:val="btLr"/>
                            </w:pPr>
                          </w:p>
                          <w:p w14:paraId="61C74147" w14:textId="77777777" w:rsidR="00993233" w:rsidRDefault="00993233">
                            <w:pPr>
                              <w:jc w:val="right"/>
                              <w:textDirection w:val="btLr"/>
                            </w:pPr>
                          </w:p>
                          <w:p w14:paraId="34202DAA" w14:textId="77777777" w:rsidR="00993233" w:rsidRDefault="00986F88">
                            <w:pPr>
                              <w:jc w:val="center"/>
                              <w:textDirection w:val="btLr"/>
                            </w:pPr>
                            <w:r>
                              <w:rPr>
                                <w:b/>
                                <w:color w:val="000000"/>
                              </w:rPr>
                              <w:t xml:space="preserve"> </w:t>
                            </w:r>
                          </w:p>
                          <w:p w14:paraId="5184A9AD" w14:textId="77777777" w:rsidR="00993233" w:rsidRDefault="00993233">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E694034" wp14:editId="26D110B7">
                  <wp:simplePos x="0" y="0"/>
                  <wp:positionH relativeFrom="column">
                    <wp:posOffset>223520</wp:posOffset>
                  </wp:positionH>
                  <wp:positionV relativeFrom="paragraph">
                    <wp:posOffset>62865</wp:posOffset>
                  </wp:positionV>
                  <wp:extent cx="571500" cy="4572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1500" cy="457200"/>
                          </a:xfrm>
                          <a:prstGeom prst="rect">
                            <a:avLst/>
                          </a:prstGeom>
                          <a:ln/>
                        </pic:spPr>
                      </pic:pic>
                    </a:graphicData>
                  </a:graphic>
                </wp:anchor>
              </w:drawing>
            </w:r>
          </w:p>
          <w:p w14:paraId="3D722C2C" w14:textId="77777777" w:rsidR="00993233" w:rsidRDefault="00993233">
            <w:pPr>
              <w:ind w:left="86"/>
              <w:jc w:val="left"/>
              <w:rPr>
                <w:rFonts w:ascii="Times New Roman" w:eastAsia="Times New Roman" w:hAnsi="Times New Roman" w:cs="Times New Roman"/>
                <w:b/>
                <w:sz w:val="24"/>
                <w:szCs w:val="24"/>
              </w:rPr>
            </w:pPr>
          </w:p>
        </w:tc>
      </w:tr>
      <w:tr w:rsidR="00993233" w14:paraId="25DD1D2F"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3162467B" w14:textId="77777777" w:rsidR="00993233" w:rsidRDefault="00986F88">
            <w:pPr>
              <w:spacing w:before="120" w:after="120"/>
              <w:jc w:val="left"/>
              <w:rPr>
                <w:i/>
              </w:rPr>
            </w:pPr>
            <w:r>
              <w:rPr>
                <w:i/>
              </w:rPr>
              <w:t>Name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36A823" w14:textId="77777777" w:rsidR="00993233" w:rsidRDefault="00986F88">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Biocare Projects Pty Ltd</w:t>
            </w:r>
          </w:p>
        </w:tc>
      </w:tr>
      <w:tr w:rsidR="00993233" w14:paraId="3D8DB540"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2EB55F14" w14:textId="77777777" w:rsidR="00993233" w:rsidRDefault="00986F88">
            <w:pPr>
              <w:spacing w:before="120" w:after="120"/>
              <w:jc w:val="left"/>
              <w:rPr>
                <w:i/>
              </w:rPr>
            </w:pPr>
            <w:r>
              <w:rPr>
                <w:i/>
              </w:rPr>
              <w:t>Affiliated organization of submitter (if any)</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0D5548" w14:textId="77777777" w:rsidR="00993233" w:rsidRDefault="00986F88">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ANZBIG</w:t>
            </w:r>
          </w:p>
        </w:tc>
      </w:tr>
      <w:tr w:rsidR="00993233" w14:paraId="6645390D"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006F291A" w14:textId="77777777" w:rsidR="00993233" w:rsidRDefault="00986F88">
            <w:pPr>
              <w:spacing w:before="120" w:after="120"/>
              <w:jc w:val="left"/>
              <w:rPr>
                <w:i/>
              </w:rPr>
            </w:pPr>
            <w:r>
              <w:rPr>
                <w:i/>
              </w:rPr>
              <w:t xml:space="preserve"> Email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887D8C" w14:textId="77777777" w:rsidR="00993233" w:rsidRDefault="00986F88">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team@biocareprojects.com</w:t>
            </w:r>
          </w:p>
        </w:tc>
      </w:tr>
      <w:tr w:rsidR="00993233" w14:paraId="47DE24CC" w14:textId="77777777">
        <w:trPr>
          <w:cantSplit/>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tcPr>
          <w:p w14:paraId="08AAA12F" w14:textId="77777777" w:rsidR="00993233" w:rsidRDefault="00986F88">
            <w:pPr>
              <w:spacing w:before="120" w:after="120"/>
              <w:jc w:val="left"/>
              <w:rPr>
                <w:i/>
                <w:sz w:val="20"/>
                <w:szCs w:val="20"/>
              </w:rPr>
            </w:pPr>
            <w:r>
              <w:rPr>
                <w:i/>
              </w:rPr>
              <w:t>Date of submission</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F64C69" w14:textId="77777777" w:rsidR="00993233" w:rsidRDefault="00986F88">
            <w:pPr>
              <w:spacing w:before="60"/>
              <w:jc w:val="left"/>
              <w:rPr>
                <w:sz w:val="20"/>
                <w:szCs w:val="20"/>
              </w:rPr>
            </w:pPr>
            <w:r>
              <w:rPr>
                <w:sz w:val="20"/>
                <w:szCs w:val="20"/>
              </w:rPr>
              <w:t xml:space="preserve">  4th of August 2025</w:t>
            </w:r>
          </w:p>
        </w:tc>
      </w:tr>
    </w:tbl>
    <w:p w14:paraId="303678FB" w14:textId="77777777" w:rsidR="00993233" w:rsidRDefault="00993233">
      <w:pPr>
        <w:rPr>
          <w:rFonts w:ascii="Calibri" w:eastAsia="Calibri" w:hAnsi="Calibri" w:cs="Calibri"/>
        </w:rPr>
      </w:pPr>
    </w:p>
    <w:p w14:paraId="34CC0AFA" w14:textId="77777777" w:rsidR="00993233" w:rsidRDefault="00986F88">
      <w:pPr>
        <w:jc w:val="left"/>
      </w:pPr>
      <w:r>
        <w:t xml:space="preserve">Instruction: Enter your input in the table below.  </w:t>
      </w:r>
      <w:r>
        <w:br/>
      </w:r>
    </w:p>
    <w:tbl>
      <w:tblPr>
        <w:tblStyle w:val="a0"/>
        <w:tblW w:w="15914" w:type="dxa"/>
        <w:jc w:val="center"/>
        <w:tblLayout w:type="fixed"/>
        <w:tblLook w:val="0000" w:firstRow="0" w:lastRow="0" w:firstColumn="0" w:lastColumn="0" w:noHBand="0" w:noVBand="0"/>
      </w:tblPr>
      <w:tblGrid>
        <w:gridCol w:w="743"/>
        <w:gridCol w:w="2802"/>
        <w:gridCol w:w="2977"/>
        <w:gridCol w:w="4536"/>
        <w:gridCol w:w="4856"/>
      </w:tblGrid>
      <w:tr w:rsidR="00993233" w14:paraId="41BF4BC5" w14:textId="77777777">
        <w:trPr>
          <w:cantSplit/>
          <w:tblHeader/>
          <w:jc w:val="center"/>
        </w:trPr>
        <w:tc>
          <w:tcPr>
            <w:tcW w:w="15914" w:type="dxa"/>
            <w:gridSpan w:val="5"/>
            <w:tcBorders>
              <w:top w:val="single" w:sz="6" w:space="0" w:color="000000"/>
              <w:left w:val="single" w:sz="6" w:space="0" w:color="000000"/>
              <w:bottom w:val="single" w:sz="6" w:space="0" w:color="000000"/>
              <w:right w:val="single" w:sz="6" w:space="0" w:color="000000"/>
            </w:tcBorders>
            <w:shd w:val="clear" w:color="auto" w:fill="auto"/>
          </w:tcPr>
          <w:p w14:paraId="12CDF1D7" w14:textId="77777777" w:rsidR="00993233" w:rsidRDefault="00986F88">
            <w:pPr>
              <w:keepLines/>
              <w:spacing w:before="40" w:after="40" w:line="190" w:lineRule="auto"/>
              <w:jc w:val="left"/>
              <w:rPr>
                <w:b/>
                <w:color w:val="0070C0"/>
              </w:rPr>
            </w:pPr>
            <w:r>
              <w:rPr>
                <w:b/>
              </w:rPr>
              <w:t xml:space="preserve">Document reference number and title: </w:t>
            </w:r>
            <w:r>
              <w:rPr>
                <w:b/>
                <w:color w:val="0070C0"/>
              </w:rPr>
              <w:t>A6.4-MEP007-A04. Draft Standard: Addressing non-permanence/reversals (version 01.0)</w:t>
            </w:r>
          </w:p>
          <w:p w14:paraId="01C3707E" w14:textId="77777777" w:rsidR="00993233" w:rsidRDefault="00993233">
            <w:pPr>
              <w:keepLines/>
              <w:spacing w:before="40" w:after="40" w:line="190" w:lineRule="auto"/>
              <w:rPr>
                <w:b/>
                <w:color w:val="0070C0"/>
                <w:sz w:val="20"/>
                <w:szCs w:val="20"/>
              </w:rPr>
            </w:pPr>
          </w:p>
        </w:tc>
      </w:tr>
      <w:tr w:rsidR="00993233" w14:paraId="79F59C3D" w14:textId="77777777">
        <w:trPr>
          <w:cantSplit/>
          <w:tblHeader/>
          <w:jc w:val="center"/>
        </w:trPr>
        <w:tc>
          <w:tcPr>
            <w:tcW w:w="743" w:type="dxa"/>
            <w:tcBorders>
              <w:top w:val="single" w:sz="6" w:space="0" w:color="000000"/>
              <w:left w:val="single" w:sz="6" w:space="0" w:color="000000"/>
              <w:bottom w:val="single" w:sz="6" w:space="0" w:color="000000"/>
              <w:right w:val="single" w:sz="6" w:space="0" w:color="000000"/>
            </w:tcBorders>
            <w:shd w:val="clear" w:color="auto" w:fill="E7E6E6"/>
          </w:tcPr>
          <w:p w14:paraId="62CA8EAC" w14:textId="77777777" w:rsidR="00993233" w:rsidRDefault="00986F88">
            <w:pPr>
              <w:keepLines/>
              <w:spacing w:before="40" w:after="40" w:line="190" w:lineRule="auto"/>
              <w:jc w:val="center"/>
              <w:rPr>
                <w:b/>
                <w:sz w:val="20"/>
                <w:szCs w:val="20"/>
              </w:rPr>
            </w:pPr>
            <w:r>
              <w:rPr>
                <w:b/>
                <w:sz w:val="20"/>
                <w:szCs w:val="20"/>
              </w:rPr>
              <w:t>Item</w:t>
            </w:r>
          </w:p>
        </w:tc>
        <w:tc>
          <w:tcPr>
            <w:tcW w:w="2802" w:type="dxa"/>
            <w:tcBorders>
              <w:top w:val="single" w:sz="6" w:space="0" w:color="000000"/>
              <w:left w:val="single" w:sz="6" w:space="0" w:color="000000"/>
              <w:bottom w:val="single" w:sz="6" w:space="0" w:color="000000"/>
              <w:right w:val="single" w:sz="6" w:space="0" w:color="000000"/>
            </w:tcBorders>
            <w:shd w:val="clear" w:color="auto" w:fill="E7E6E6"/>
          </w:tcPr>
          <w:p w14:paraId="0FD03F9E" w14:textId="77777777" w:rsidR="00993233" w:rsidRDefault="00986F88">
            <w:pPr>
              <w:keepLines/>
              <w:spacing w:before="40" w:after="40" w:line="190" w:lineRule="auto"/>
              <w:jc w:val="center"/>
              <w:rPr>
                <w:b/>
                <w:sz w:val="20"/>
                <w:szCs w:val="20"/>
              </w:rPr>
            </w:pPr>
            <w:r>
              <w:rPr>
                <w:b/>
                <w:sz w:val="20"/>
                <w:szCs w:val="20"/>
              </w:rPr>
              <w:t xml:space="preserve">Section no. </w:t>
            </w:r>
            <w:r>
              <w:rPr>
                <w:b/>
                <w:sz w:val="20"/>
                <w:szCs w:val="20"/>
              </w:rPr>
              <w:br/>
            </w:r>
            <w:r>
              <w:rPr>
                <w:sz w:val="20"/>
                <w:szCs w:val="20"/>
              </w:rPr>
              <w:t>(as indicated in the document)</w:t>
            </w:r>
          </w:p>
        </w:tc>
        <w:tc>
          <w:tcPr>
            <w:tcW w:w="2977" w:type="dxa"/>
            <w:tcBorders>
              <w:top w:val="single" w:sz="6" w:space="0" w:color="000000"/>
              <w:left w:val="single" w:sz="6" w:space="0" w:color="000000"/>
              <w:bottom w:val="single" w:sz="6" w:space="0" w:color="000000"/>
              <w:right w:val="single" w:sz="6" w:space="0" w:color="000000"/>
            </w:tcBorders>
            <w:shd w:val="clear" w:color="auto" w:fill="E7E6E6"/>
          </w:tcPr>
          <w:p w14:paraId="43254FCA" w14:textId="77777777" w:rsidR="00993233" w:rsidRDefault="00986F88">
            <w:pPr>
              <w:keepLines/>
              <w:spacing w:before="40" w:after="40" w:line="190" w:lineRule="auto"/>
              <w:jc w:val="center"/>
              <w:rPr>
                <w:b/>
                <w:sz w:val="20"/>
                <w:szCs w:val="20"/>
              </w:rPr>
            </w:pPr>
            <w:r>
              <w:rPr>
                <w:b/>
                <w:sz w:val="20"/>
                <w:szCs w:val="20"/>
              </w:rPr>
              <w:t xml:space="preserve">Paragraph/Table/Figure no. </w:t>
            </w:r>
            <w:r>
              <w:rPr>
                <w:b/>
                <w:sz w:val="20"/>
                <w:szCs w:val="20"/>
              </w:rPr>
              <w:br/>
            </w:r>
            <w:r>
              <w:rPr>
                <w:sz w:val="20"/>
                <w:szCs w:val="20"/>
              </w:rPr>
              <w:t>(as indicated in the document)</w:t>
            </w:r>
          </w:p>
        </w:tc>
        <w:tc>
          <w:tcPr>
            <w:tcW w:w="4536" w:type="dxa"/>
            <w:tcBorders>
              <w:top w:val="single" w:sz="6" w:space="0" w:color="000000"/>
              <w:left w:val="single" w:sz="6" w:space="0" w:color="000000"/>
              <w:bottom w:val="single" w:sz="6" w:space="0" w:color="000000"/>
              <w:right w:val="single" w:sz="6" w:space="0" w:color="000000"/>
            </w:tcBorders>
            <w:shd w:val="clear" w:color="auto" w:fill="E7E6E6"/>
          </w:tcPr>
          <w:p w14:paraId="0972C57D" w14:textId="77777777" w:rsidR="00993233" w:rsidRDefault="00986F88">
            <w:pPr>
              <w:keepLines/>
              <w:spacing w:before="40" w:after="40" w:line="190" w:lineRule="auto"/>
              <w:jc w:val="center"/>
              <w:rPr>
                <w:b/>
                <w:sz w:val="20"/>
                <w:szCs w:val="20"/>
              </w:rPr>
            </w:pPr>
            <w:r>
              <w:rPr>
                <w:b/>
                <w:sz w:val="20"/>
                <w:szCs w:val="20"/>
              </w:rPr>
              <w:t>Comment</w:t>
            </w:r>
            <w:r>
              <w:rPr>
                <w:b/>
                <w:sz w:val="20"/>
                <w:szCs w:val="20"/>
              </w:rPr>
              <w:br/>
            </w:r>
            <w:r>
              <w:rPr>
                <w:sz w:val="20"/>
                <w:szCs w:val="20"/>
              </w:rPr>
              <w:t>(including justification for change)</w:t>
            </w:r>
            <w:r>
              <w:rPr>
                <w:b/>
                <w:sz w:val="20"/>
                <w:szCs w:val="20"/>
              </w:rPr>
              <w:t xml:space="preserve"> </w:t>
            </w:r>
          </w:p>
        </w:tc>
        <w:tc>
          <w:tcPr>
            <w:tcW w:w="4856" w:type="dxa"/>
            <w:tcBorders>
              <w:top w:val="single" w:sz="6" w:space="0" w:color="000000"/>
              <w:left w:val="single" w:sz="6" w:space="0" w:color="000000"/>
              <w:bottom w:val="single" w:sz="6" w:space="0" w:color="000000"/>
              <w:right w:val="single" w:sz="6" w:space="0" w:color="000000"/>
            </w:tcBorders>
            <w:shd w:val="clear" w:color="auto" w:fill="E7E6E6"/>
          </w:tcPr>
          <w:p w14:paraId="130EFC5E" w14:textId="77777777" w:rsidR="00993233" w:rsidRDefault="00986F88">
            <w:pPr>
              <w:keepLines/>
              <w:spacing w:before="40" w:after="40" w:line="190" w:lineRule="auto"/>
              <w:jc w:val="center"/>
              <w:rPr>
                <w:b/>
                <w:sz w:val="20"/>
                <w:szCs w:val="20"/>
              </w:rPr>
            </w:pPr>
            <w:r>
              <w:rPr>
                <w:b/>
                <w:sz w:val="20"/>
                <w:szCs w:val="20"/>
              </w:rPr>
              <w:t>Proposed change</w:t>
            </w:r>
          </w:p>
          <w:p w14:paraId="40F45F37" w14:textId="77777777" w:rsidR="00993233" w:rsidRDefault="00986F88">
            <w:pPr>
              <w:keepLines/>
              <w:spacing w:before="40" w:after="40" w:line="190" w:lineRule="auto"/>
              <w:jc w:val="center"/>
              <w:rPr>
                <w:sz w:val="20"/>
                <w:szCs w:val="20"/>
              </w:rPr>
            </w:pPr>
            <w:r>
              <w:rPr>
                <w:sz w:val="20"/>
                <w:szCs w:val="20"/>
              </w:rPr>
              <w:t>(including proposed text)</w:t>
            </w:r>
          </w:p>
        </w:tc>
      </w:tr>
      <w:tr w:rsidR="00993233" w14:paraId="12DEE10F"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77D981" w14:textId="77777777" w:rsidR="00993233" w:rsidRDefault="00986F88">
            <w:pPr>
              <w:widowControl w:val="0"/>
              <w:spacing w:line="276" w:lineRule="auto"/>
              <w:jc w:val="right"/>
              <w:rPr>
                <w:sz w:val="20"/>
                <w:szCs w:val="20"/>
              </w:rPr>
            </w:pPr>
            <w:r>
              <w:rPr>
                <w:sz w:val="20"/>
                <w:szCs w:val="20"/>
              </w:rPr>
              <w:t>1</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E001C1" w14:textId="77777777" w:rsidR="00993233" w:rsidRDefault="00986F88">
            <w:pPr>
              <w:widowControl w:val="0"/>
              <w:spacing w:line="276" w:lineRule="auto"/>
              <w:jc w:val="left"/>
              <w:rPr>
                <w:sz w:val="20"/>
                <w:szCs w:val="20"/>
              </w:rPr>
            </w:pPr>
            <w:r>
              <w:rPr>
                <w:sz w:val="20"/>
                <w:szCs w:val="20"/>
              </w:rPr>
              <w:t>Overall Structure &amp; Administrative Burden</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B0256D" w14:textId="77777777" w:rsidR="00993233" w:rsidRDefault="00986F88">
            <w:pPr>
              <w:widowControl w:val="0"/>
              <w:spacing w:line="276" w:lineRule="auto"/>
              <w:jc w:val="left"/>
              <w:rPr>
                <w:sz w:val="20"/>
                <w:szCs w:val="20"/>
              </w:rPr>
            </w:pPr>
            <w:r>
              <w:rPr>
                <w:sz w:val="20"/>
                <w:szCs w:val="20"/>
              </w:rPr>
              <w:t>App. 1 &amp; 2 vs. App. 3</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98980B" w14:textId="77777777" w:rsidR="00993233" w:rsidRDefault="00986F88">
            <w:pPr>
              <w:widowControl w:val="0"/>
              <w:spacing w:line="276" w:lineRule="auto"/>
              <w:jc w:val="left"/>
              <w:rPr>
                <w:sz w:val="20"/>
                <w:szCs w:val="20"/>
              </w:rPr>
            </w:pPr>
            <w:r>
              <w:rPr>
                <w:sz w:val="20"/>
                <w:szCs w:val="20"/>
              </w:rPr>
              <w:t>The split proposal of Appendix 1 (for methodologies) and Appendix 2 (for activities) is unnecessarily complex, creates a high administrative burden, and is inappropriate as non-permanence risks are project-specific, not methodology-specific. Directing reversal requirements to methodologies will increase costs and cause delays in approval. Appendix 3 presents a single, integrated, and clearer standard directed at activity participants, which is more efficient and user-friendly.</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0DC8D9" w14:textId="77777777" w:rsidR="00993233" w:rsidRDefault="00986F88">
            <w:pPr>
              <w:widowControl w:val="0"/>
              <w:spacing w:line="276" w:lineRule="auto"/>
              <w:jc w:val="left"/>
              <w:rPr>
                <w:sz w:val="20"/>
                <w:szCs w:val="20"/>
              </w:rPr>
            </w:pPr>
            <w:r>
              <w:rPr>
                <w:sz w:val="20"/>
                <w:szCs w:val="20"/>
              </w:rPr>
              <w:t>The Supervisory Body should reject the two-document approach proposed in Appendices 1 and 2. The standard should be structured as a single document directed at activity participants, using Appendix 3 as the basis for the final standard.</w:t>
            </w:r>
          </w:p>
        </w:tc>
      </w:tr>
      <w:tr w:rsidR="00993233" w14:paraId="65B1A181"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6CC715" w14:textId="77777777" w:rsidR="00993233" w:rsidRDefault="00986F88">
            <w:pPr>
              <w:widowControl w:val="0"/>
              <w:spacing w:line="276" w:lineRule="auto"/>
              <w:jc w:val="right"/>
              <w:rPr>
                <w:sz w:val="20"/>
                <w:szCs w:val="20"/>
              </w:rPr>
            </w:pPr>
            <w:r>
              <w:rPr>
                <w:sz w:val="20"/>
                <w:szCs w:val="20"/>
              </w:rPr>
              <w:lastRenderedPageBreak/>
              <w:t>2</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1E20CE" w14:textId="77777777" w:rsidR="00993233" w:rsidRDefault="00986F88">
            <w:pPr>
              <w:widowControl w:val="0"/>
              <w:spacing w:line="276" w:lineRule="auto"/>
              <w:jc w:val="left"/>
              <w:rPr>
                <w:sz w:val="20"/>
                <w:szCs w:val="20"/>
              </w:rPr>
            </w:pPr>
            <w:r>
              <w:rPr>
                <w:sz w:val="20"/>
                <w:szCs w:val="20"/>
              </w:rPr>
              <w:t>Sectoral Bias &amp; Equity</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DD772D" w14:textId="77777777" w:rsidR="00993233" w:rsidRDefault="00986F88">
            <w:pPr>
              <w:widowControl w:val="0"/>
              <w:spacing w:line="276" w:lineRule="auto"/>
              <w:jc w:val="left"/>
              <w:rPr>
                <w:sz w:val="20"/>
                <w:szCs w:val="20"/>
              </w:rPr>
            </w:pPr>
            <w:r>
              <w:rPr>
                <w:sz w:val="20"/>
                <w:szCs w:val="20"/>
              </w:rPr>
              <w:t>App. 2, Sec 3.1, para 36; App 3, para 34(a)</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31A1E3" w14:textId="77777777" w:rsidR="00993233" w:rsidRDefault="00986F88">
            <w:pPr>
              <w:widowControl w:val="0"/>
              <w:spacing w:line="276" w:lineRule="auto"/>
              <w:jc w:val="left"/>
              <w:rPr>
                <w:sz w:val="20"/>
                <w:szCs w:val="20"/>
              </w:rPr>
            </w:pPr>
            <w:r>
              <w:rPr>
                <w:sz w:val="20"/>
                <w:szCs w:val="20"/>
              </w:rPr>
              <w:t>The combined effect of provisions in Appendices 1 &amp; 2 creates a strong sectoral bias that favors geological storage projects while creating prohibitive barriers for land-based solutions (NbS). Features like indefinite monitoring and complex reporting create unsustainable costs that discourage NbS participation. This undermines the Paris Agreement's mandate for wide sectoral participation. Appendix 3 proposes adjustments to allow more equal participation for all activity types.</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1C3F34" w14:textId="77777777" w:rsidR="00993233" w:rsidRDefault="00986F88">
            <w:pPr>
              <w:widowControl w:val="0"/>
              <w:spacing w:line="276" w:lineRule="auto"/>
              <w:jc w:val="left"/>
              <w:rPr>
                <w:sz w:val="20"/>
                <w:szCs w:val="20"/>
              </w:rPr>
            </w:pPr>
            <w:r>
              <w:rPr>
                <w:sz w:val="20"/>
                <w:szCs w:val="20"/>
              </w:rPr>
              <w:t>The final standard must be sectorally neutral. Adopt the balanced framework of Appendix 3, which provides equitable requirements for all activity types, ensuring wide participation and access to benefits from Article 6.4.</w:t>
            </w:r>
          </w:p>
        </w:tc>
      </w:tr>
      <w:tr w:rsidR="00993233" w14:paraId="447A6EA4"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8DB61D" w14:textId="77777777" w:rsidR="00993233" w:rsidRDefault="00986F88">
            <w:pPr>
              <w:widowControl w:val="0"/>
              <w:spacing w:line="276" w:lineRule="auto"/>
              <w:jc w:val="right"/>
              <w:rPr>
                <w:sz w:val="20"/>
                <w:szCs w:val="20"/>
              </w:rPr>
            </w:pPr>
            <w:r>
              <w:rPr>
                <w:sz w:val="20"/>
                <w:szCs w:val="20"/>
              </w:rPr>
              <w:t>3</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907816" w14:textId="77777777" w:rsidR="00993233" w:rsidRDefault="00986F88">
            <w:pPr>
              <w:widowControl w:val="0"/>
              <w:spacing w:line="276" w:lineRule="auto"/>
              <w:jc w:val="left"/>
              <w:rPr>
                <w:sz w:val="20"/>
                <w:szCs w:val="20"/>
              </w:rPr>
            </w:pPr>
            <w:r>
              <w:rPr>
                <w:sz w:val="20"/>
                <w:szCs w:val="20"/>
              </w:rPr>
              <w:t>Completeness of Standard</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5BC002" w14:textId="77777777" w:rsidR="00993233" w:rsidRDefault="00986F88">
            <w:pPr>
              <w:widowControl w:val="0"/>
              <w:spacing w:line="276" w:lineRule="auto"/>
              <w:jc w:val="left"/>
              <w:rPr>
                <w:sz w:val="20"/>
                <w:szCs w:val="20"/>
              </w:rPr>
            </w:pPr>
            <w:r>
              <w:rPr>
                <w:sz w:val="20"/>
                <w:szCs w:val="20"/>
              </w:rPr>
              <w:t>Sec 5, para 42; Sec 3.2.1.2.5, para 32</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E1C24D" w14:textId="77777777" w:rsidR="00993233" w:rsidRDefault="00986F88">
            <w:pPr>
              <w:widowControl w:val="0"/>
              <w:spacing w:line="276" w:lineRule="auto"/>
              <w:jc w:val="left"/>
              <w:rPr>
                <w:sz w:val="20"/>
                <w:szCs w:val="20"/>
              </w:rPr>
            </w:pPr>
            <w:r>
              <w:rPr>
                <w:sz w:val="20"/>
                <w:szCs w:val="20"/>
              </w:rPr>
              <w:t>The proposal in Appendices 1 &amp; 2 is incomplete. Key components, such as a functional reversal risk assessment tool and elaborated requirements for "below-baseline" reversals, are missing. The document acknowledges these elements require "further consideration", making a full evaluation impossible. Appendix 3 addresses all requested work items, providing a complete framework.</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E7D8F0" w14:textId="77777777" w:rsidR="00993233" w:rsidRDefault="00986F88">
            <w:pPr>
              <w:widowControl w:val="0"/>
              <w:spacing w:line="276" w:lineRule="auto"/>
              <w:jc w:val="left"/>
              <w:rPr>
                <w:sz w:val="20"/>
                <w:szCs w:val="20"/>
              </w:rPr>
            </w:pPr>
            <w:r>
              <w:rPr>
                <w:sz w:val="20"/>
                <w:szCs w:val="20"/>
              </w:rPr>
              <w:t>The proposal in Appendices 1 and 2 should be set aside. The Supervisory Body should proceed with Appendix 3 as it represents a complete and evaluable proposal.</w:t>
            </w:r>
          </w:p>
        </w:tc>
      </w:tr>
      <w:tr w:rsidR="00993233" w14:paraId="166DA778"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F3624C" w14:textId="77777777" w:rsidR="00993233" w:rsidRDefault="00986F88">
            <w:pPr>
              <w:widowControl w:val="0"/>
              <w:spacing w:line="276" w:lineRule="auto"/>
              <w:jc w:val="right"/>
              <w:rPr>
                <w:sz w:val="20"/>
                <w:szCs w:val="20"/>
              </w:rPr>
            </w:pPr>
            <w:r>
              <w:rPr>
                <w:sz w:val="20"/>
                <w:szCs w:val="20"/>
              </w:rPr>
              <w:t>4</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0EB37C" w14:textId="77777777" w:rsidR="00993233" w:rsidRDefault="00986F88">
            <w:pPr>
              <w:widowControl w:val="0"/>
              <w:spacing w:line="276" w:lineRule="auto"/>
              <w:jc w:val="left"/>
              <w:rPr>
                <w:sz w:val="20"/>
                <w:szCs w:val="20"/>
              </w:rPr>
            </w:pPr>
            <w:r>
              <w:rPr>
                <w:sz w:val="20"/>
                <w:szCs w:val="20"/>
              </w:rPr>
              <w:t>Post-Crediting Monitoring Duration</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086687" w14:textId="77777777" w:rsidR="00993233" w:rsidRDefault="00986F88">
            <w:pPr>
              <w:widowControl w:val="0"/>
              <w:spacing w:line="276" w:lineRule="auto"/>
              <w:jc w:val="left"/>
              <w:rPr>
                <w:sz w:val="20"/>
                <w:szCs w:val="20"/>
              </w:rPr>
            </w:pPr>
            <w:r>
              <w:rPr>
                <w:sz w:val="20"/>
                <w:szCs w:val="20"/>
              </w:rPr>
              <w:t>App. 2, Sec 3.1, para 36 vs. App. 3, Sec 5.2, para 17</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5211A7" w14:textId="77777777" w:rsidR="00993233" w:rsidRDefault="00986F88">
            <w:pPr>
              <w:widowControl w:val="0"/>
              <w:spacing w:line="276" w:lineRule="auto"/>
              <w:jc w:val="left"/>
              <w:rPr>
                <w:sz w:val="20"/>
                <w:szCs w:val="20"/>
              </w:rPr>
            </w:pPr>
            <w:r>
              <w:rPr>
                <w:sz w:val="20"/>
                <w:szCs w:val="20"/>
              </w:rPr>
              <w:t>Appendix 2 requires the post-crediting monitoring period to "continue indefinitely" unless a "negligible risk of reversal" can be proven. This is a significant barrier for land-sector projects, which may be subject to perpetual, high-cost monitoring. Appendix 3 proposes a finite monitoring period of at least 45 years post-crediting, which is a more proportionate and predictable requirement.</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7BE784" w14:textId="77777777" w:rsidR="00993233" w:rsidRDefault="00986F88">
            <w:pPr>
              <w:widowControl w:val="0"/>
              <w:spacing w:line="276" w:lineRule="auto"/>
              <w:jc w:val="left"/>
              <w:rPr>
                <w:sz w:val="20"/>
                <w:szCs w:val="20"/>
              </w:rPr>
            </w:pPr>
            <w:r>
              <w:rPr>
                <w:sz w:val="20"/>
                <w:szCs w:val="20"/>
              </w:rPr>
              <w:t>Replace the "indefinite" monitoring period with a defined, finite duration.</w:t>
            </w:r>
            <w:r>
              <w:rPr>
                <w:sz w:val="20"/>
                <w:szCs w:val="20"/>
              </w:rPr>
              <w:br/>
              <w:t>Proposed text (from Appendix 3): "Activity participants shall continue to monitor and report on the activity for a period of at least [45] years from the date of the final verification".</w:t>
            </w:r>
          </w:p>
        </w:tc>
      </w:tr>
      <w:tr w:rsidR="00993233" w14:paraId="39A331F7"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E6B75" w14:textId="77777777" w:rsidR="00993233" w:rsidRDefault="00986F88">
            <w:pPr>
              <w:widowControl w:val="0"/>
              <w:spacing w:line="276" w:lineRule="auto"/>
              <w:jc w:val="right"/>
              <w:rPr>
                <w:sz w:val="20"/>
                <w:szCs w:val="20"/>
              </w:rPr>
            </w:pPr>
            <w:r>
              <w:rPr>
                <w:sz w:val="20"/>
                <w:szCs w:val="20"/>
              </w:rPr>
              <w:lastRenderedPageBreak/>
              <w:t>5</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2D1835" w14:textId="77777777" w:rsidR="00993233" w:rsidRDefault="00986F88">
            <w:pPr>
              <w:widowControl w:val="0"/>
              <w:spacing w:line="276" w:lineRule="auto"/>
              <w:jc w:val="left"/>
              <w:rPr>
                <w:sz w:val="20"/>
                <w:szCs w:val="20"/>
              </w:rPr>
            </w:pPr>
            <w:r>
              <w:rPr>
                <w:sz w:val="20"/>
                <w:szCs w:val="20"/>
              </w:rPr>
              <w:t>Monitoring &amp; Reporting Burden</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0685A3" w14:textId="77777777" w:rsidR="00993233" w:rsidRDefault="00986F88">
            <w:pPr>
              <w:widowControl w:val="0"/>
              <w:spacing w:line="276" w:lineRule="auto"/>
              <w:jc w:val="left"/>
              <w:rPr>
                <w:sz w:val="20"/>
                <w:szCs w:val="20"/>
              </w:rPr>
            </w:pPr>
            <w:r>
              <w:rPr>
                <w:sz w:val="20"/>
                <w:szCs w:val="20"/>
              </w:rPr>
              <w:t>App. 1, para 39; App. 2, Sec 1; App. 3, Sec 5.3, para 24, 25</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41BCFE" w14:textId="77777777" w:rsidR="00993233" w:rsidRDefault="00986F88">
            <w:pPr>
              <w:widowControl w:val="0"/>
              <w:spacing w:line="276" w:lineRule="auto"/>
              <w:jc w:val="left"/>
              <w:rPr>
                <w:sz w:val="20"/>
                <w:szCs w:val="20"/>
              </w:rPr>
            </w:pPr>
            <w:r>
              <w:rPr>
                <w:sz w:val="20"/>
                <w:szCs w:val="20"/>
              </w:rPr>
              <w:t>The approach in Appendices 1 &amp; 2 requires comprehensive and expensive "monitoring reports," with a frequency of 1-5 years, which can also be triggered by an "observed event". For the land sector, this could result in unsustainable costs. Appendix 3 proposes a more pragmatic "annual reversal report" which is tailored to detecting reversals and is more cost-effective.</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FC4301" w14:textId="77777777" w:rsidR="00993233" w:rsidRDefault="00986F88">
            <w:pPr>
              <w:widowControl w:val="0"/>
              <w:spacing w:line="276" w:lineRule="auto"/>
              <w:jc w:val="left"/>
              <w:rPr>
                <w:sz w:val="20"/>
                <w:szCs w:val="20"/>
              </w:rPr>
            </w:pPr>
            <w:r>
              <w:rPr>
                <w:sz w:val="20"/>
                <w:szCs w:val="20"/>
              </w:rPr>
              <w:t>The reporting requirements should be simplified to reduce the burden on participants. Adopt the "annual reversal report" concept from Appendix 3.</w:t>
            </w:r>
          </w:p>
        </w:tc>
      </w:tr>
      <w:tr w:rsidR="00993233" w14:paraId="4E617F4D"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097D6" w14:textId="77777777" w:rsidR="00993233" w:rsidRDefault="00986F88">
            <w:pPr>
              <w:widowControl w:val="0"/>
              <w:spacing w:line="276" w:lineRule="auto"/>
              <w:jc w:val="right"/>
              <w:rPr>
                <w:sz w:val="20"/>
                <w:szCs w:val="20"/>
              </w:rPr>
            </w:pPr>
            <w:r>
              <w:rPr>
                <w:sz w:val="20"/>
                <w:szCs w:val="20"/>
              </w:rPr>
              <w:t>6</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8DD50B" w14:textId="77777777" w:rsidR="00993233" w:rsidRDefault="00986F88">
            <w:pPr>
              <w:widowControl w:val="0"/>
              <w:spacing w:line="276" w:lineRule="auto"/>
              <w:jc w:val="left"/>
              <w:rPr>
                <w:sz w:val="20"/>
                <w:szCs w:val="20"/>
              </w:rPr>
            </w:pPr>
            <w:r>
              <w:rPr>
                <w:sz w:val="20"/>
                <w:szCs w:val="20"/>
              </w:rPr>
              <w:t>Investment Risk - Registry Suspensions</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32DAD6" w14:textId="77777777" w:rsidR="00993233" w:rsidRDefault="00986F88">
            <w:pPr>
              <w:widowControl w:val="0"/>
              <w:spacing w:line="276" w:lineRule="auto"/>
              <w:jc w:val="left"/>
              <w:rPr>
                <w:sz w:val="20"/>
                <w:szCs w:val="20"/>
              </w:rPr>
            </w:pPr>
            <w:r>
              <w:rPr>
                <w:sz w:val="20"/>
                <w:szCs w:val="20"/>
              </w:rPr>
              <w:t>App. 2, Sec 1.1, para 4 vs. App. 3, Sec 7.2, para 91(b)</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024DC2" w14:textId="77777777" w:rsidR="00993233" w:rsidRDefault="00986F88">
            <w:pPr>
              <w:widowControl w:val="0"/>
              <w:spacing w:line="276" w:lineRule="auto"/>
              <w:jc w:val="left"/>
              <w:rPr>
                <w:sz w:val="20"/>
                <w:szCs w:val="20"/>
              </w:rPr>
            </w:pPr>
            <w:r>
              <w:rPr>
                <w:sz w:val="20"/>
                <w:szCs w:val="20"/>
              </w:rPr>
              <w:t>Appendix 2 mandates the immediate suspension of an activity's registry functions upon notification of a "potential reversal event". This creates significant investment uncertainty. Appendix 3 proposes a more measured approach where suspensions are a punitive measure applied only after demonstrated failures by participants to meet their obligations after a 60-day notice period.</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6DFBCC" w14:textId="77777777" w:rsidR="00993233" w:rsidRDefault="00986F88">
            <w:pPr>
              <w:widowControl w:val="0"/>
              <w:spacing w:line="276" w:lineRule="auto"/>
              <w:jc w:val="left"/>
              <w:rPr>
                <w:sz w:val="20"/>
                <w:szCs w:val="20"/>
              </w:rPr>
            </w:pPr>
            <w:r>
              <w:rPr>
                <w:sz w:val="20"/>
                <w:szCs w:val="20"/>
              </w:rPr>
              <w:t>The trigger for registry suspensions should be based on non-compliance by the activity participant, not on unconfirmed events. Adopt the fairer enforcement provisions from Appendix 3.</w:t>
            </w:r>
          </w:p>
        </w:tc>
      </w:tr>
      <w:tr w:rsidR="00993233" w14:paraId="5C9C60CC"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5D7DAD" w14:textId="77777777" w:rsidR="00993233" w:rsidRDefault="00986F88">
            <w:pPr>
              <w:widowControl w:val="0"/>
              <w:spacing w:line="276" w:lineRule="auto"/>
              <w:jc w:val="right"/>
              <w:rPr>
                <w:sz w:val="20"/>
                <w:szCs w:val="20"/>
              </w:rPr>
            </w:pPr>
            <w:r>
              <w:rPr>
                <w:sz w:val="20"/>
                <w:szCs w:val="20"/>
              </w:rPr>
              <w:t>7</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AAFB03" w14:textId="77777777" w:rsidR="00993233" w:rsidRDefault="00986F88">
            <w:pPr>
              <w:widowControl w:val="0"/>
              <w:spacing w:line="276" w:lineRule="auto"/>
              <w:jc w:val="left"/>
              <w:rPr>
                <w:sz w:val="20"/>
                <w:szCs w:val="20"/>
              </w:rPr>
            </w:pPr>
            <w:r>
              <w:rPr>
                <w:sz w:val="20"/>
                <w:szCs w:val="20"/>
              </w:rPr>
              <w:t>Risk Rating Calculation</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6C7F86" w14:textId="77777777" w:rsidR="00993233" w:rsidRDefault="00986F88">
            <w:pPr>
              <w:widowControl w:val="0"/>
              <w:spacing w:line="276" w:lineRule="auto"/>
              <w:jc w:val="left"/>
              <w:rPr>
                <w:sz w:val="20"/>
                <w:szCs w:val="20"/>
              </w:rPr>
            </w:pPr>
            <w:r>
              <w:rPr>
                <w:sz w:val="20"/>
                <w:szCs w:val="20"/>
              </w:rPr>
              <w:t>App. 3, Sec 3, para 34(b)</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6524EC" w14:textId="77777777" w:rsidR="00993233" w:rsidRDefault="00986F88">
            <w:pPr>
              <w:widowControl w:val="0"/>
              <w:spacing w:line="276" w:lineRule="auto"/>
              <w:jc w:val="left"/>
              <w:rPr>
                <w:sz w:val="20"/>
                <w:szCs w:val="20"/>
              </w:rPr>
            </w:pPr>
            <w:r>
              <w:rPr>
                <w:sz w:val="20"/>
                <w:szCs w:val="20"/>
              </w:rPr>
              <w:t>The Removals Standard, which Appendix 1 &amp; 2 aligns with, requires including avoidable reversals in the risk rating calculation. This unfairly penalizes land sector activities. Appendix 3 proposes to include only unavoidable (unintentional) reversals in the risk rating for buffer pool contributions, which is standard practice and more equitable.</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466BA5" w14:textId="77777777" w:rsidR="00993233" w:rsidRDefault="00986F88">
            <w:pPr>
              <w:widowControl w:val="0"/>
              <w:spacing w:line="276" w:lineRule="auto"/>
              <w:jc w:val="left"/>
              <w:rPr>
                <w:sz w:val="20"/>
                <w:szCs w:val="20"/>
              </w:rPr>
            </w:pPr>
            <w:r>
              <w:rPr>
                <w:sz w:val="20"/>
                <w:szCs w:val="20"/>
              </w:rPr>
              <w:t>The risk rating calculation for buffer pool contributions should only account for unintentional/unavoidable risks.</w:t>
            </w:r>
            <w:r>
              <w:rPr>
                <w:sz w:val="20"/>
                <w:szCs w:val="20"/>
              </w:rPr>
              <w:br/>
            </w:r>
            <w:r>
              <w:rPr>
                <w:sz w:val="20"/>
                <w:szCs w:val="20"/>
              </w:rPr>
              <w:br/>
              <w:t>Proposed approach (from Appendix 3): "The proposed amendment is to include unavoidable reversals only within the risk rating as is normal practice".</w:t>
            </w:r>
          </w:p>
        </w:tc>
      </w:tr>
      <w:tr w:rsidR="00993233" w14:paraId="761CE8FB"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3A535D" w14:textId="77777777" w:rsidR="00993233" w:rsidRDefault="00986F88">
            <w:pPr>
              <w:widowControl w:val="0"/>
              <w:spacing w:line="276" w:lineRule="auto"/>
              <w:jc w:val="right"/>
              <w:rPr>
                <w:sz w:val="20"/>
                <w:szCs w:val="20"/>
              </w:rPr>
            </w:pPr>
            <w:r>
              <w:rPr>
                <w:sz w:val="20"/>
                <w:szCs w:val="20"/>
              </w:rPr>
              <w:t>8</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9D0E26" w14:textId="77777777" w:rsidR="00993233" w:rsidRDefault="00986F88">
            <w:pPr>
              <w:widowControl w:val="0"/>
              <w:spacing w:line="276" w:lineRule="auto"/>
              <w:jc w:val="left"/>
              <w:rPr>
                <w:sz w:val="20"/>
                <w:szCs w:val="20"/>
              </w:rPr>
            </w:pPr>
            <w:r>
              <w:rPr>
                <w:sz w:val="20"/>
                <w:szCs w:val="20"/>
              </w:rPr>
              <w:t>Classification of Reversals</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3488EB" w14:textId="77777777" w:rsidR="00993233" w:rsidRDefault="00986F88">
            <w:pPr>
              <w:widowControl w:val="0"/>
              <w:spacing w:line="276" w:lineRule="auto"/>
              <w:jc w:val="left"/>
              <w:rPr>
                <w:sz w:val="20"/>
                <w:szCs w:val="20"/>
              </w:rPr>
            </w:pPr>
            <w:r>
              <w:rPr>
                <w:sz w:val="20"/>
                <w:szCs w:val="20"/>
              </w:rPr>
              <w:t>App. 1, Sec 2, para 3; App. 3, Sec 3, para 8, para 35</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75734A" w14:textId="77777777" w:rsidR="00993233" w:rsidRDefault="00986F88">
            <w:pPr>
              <w:widowControl w:val="0"/>
              <w:spacing w:line="276" w:lineRule="auto"/>
              <w:jc w:val="left"/>
              <w:rPr>
                <w:sz w:val="20"/>
                <w:szCs w:val="20"/>
              </w:rPr>
            </w:pPr>
            <w:r>
              <w:rPr>
                <w:sz w:val="20"/>
                <w:szCs w:val="20"/>
              </w:rPr>
              <w:t>The terms "avoidable" and "unavoidable" used in Appendices 1 and 2 are highly subjective and could lead to disputes. Appendix 3 proposes the terms "intentional" and "unintentional", which provides a clearer, less subjective distinction and is expected to reduce disputes.</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D4C881" w14:textId="77777777" w:rsidR="00993233" w:rsidRDefault="00986F88">
            <w:pPr>
              <w:widowControl w:val="0"/>
              <w:spacing w:line="276" w:lineRule="auto"/>
              <w:jc w:val="left"/>
              <w:rPr>
                <w:sz w:val="20"/>
                <w:szCs w:val="20"/>
              </w:rPr>
            </w:pPr>
            <w:r>
              <w:rPr>
                <w:sz w:val="20"/>
                <w:szCs w:val="20"/>
              </w:rPr>
              <w:t>Adopt the "intentional" and "unintentional" terminology for classifying reversals as proposed in Appendix 3.</w:t>
            </w:r>
          </w:p>
        </w:tc>
      </w:tr>
      <w:tr w:rsidR="00993233" w14:paraId="7BA3143F"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22E982" w14:textId="77777777" w:rsidR="00993233" w:rsidRDefault="00986F88">
            <w:pPr>
              <w:widowControl w:val="0"/>
              <w:spacing w:line="276" w:lineRule="auto"/>
              <w:jc w:val="right"/>
              <w:rPr>
                <w:sz w:val="20"/>
                <w:szCs w:val="20"/>
              </w:rPr>
            </w:pPr>
            <w:r>
              <w:rPr>
                <w:sz w:val="20"/>
                <w:szCs w:val="20"/>
              </w:rPr>
              <w:lastRenderedPageBreak/>
              <w:t>9</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64F1AD" w14:textId="77777777" w:rsidR="00993233" w:rsidRDefault="00986F88">
            <w:pPr>
              <w:widowControl w:val="0"/>
              <w:spacing w:line="276" w:lineRule="auto"/>
              <w:jc w:val="left"/>
              <w:rPr>
                <w:sz w:val="20"/>
                <w:szCs w:val="20"/>
              </w:rPr>
            </w:pPr>
            <w:r>
              <w:rPr>
                <w:sz w:val="20"/>
                <w:szCs w:val="20"/>
              </w:rPr>
              <w:t>Treatment of Sustainable Forest Management (SFM)</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983E55" w14:textId="77777777" w:rsidR="00993233" w:rsidRDefault="00986F88">
            <w:pPr>
              <w:widowControl w:val="0"/>
              <w:spacing w:line="276" w:lineRule="auto"/>
              <w:jc w:val="left"/>
              <w:rPr>
                <w:sz w:val="20"/>
                <w:szCs w:val="20"/>
              </w:rPr>
            </w:pPr>
            <w:r>
              <w:rPr>
                <w:sz w:val="20"/>
                <w:szCs w:val="20"/>
              </w:rPr>
              <w:t>App. 1, Sec 7.3, para 41(a) vs. App. 3, Sec 6.3.1, para 70</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9C1D77" w14:textId="77777777" w:rsidR="00993233" w:rsidRDefault="00986F88">
            <w:pPr>
              <w:widowControl w:val="0"/>
              <w:spacing w:line="276" w:lineRule="auto"/>
              <w:jc w:val="left"/>
              <w:rPr>
                <w:sz w:val="20"/>
                <w:szCs w:val="20"/>
              </w:rPr>
            </w:pPr>
            <w:r>
              <w:rPr>
                <w:sz w:val="20"/>
                <w:szCs w:val="20"/>
              </w:rPr>
              <w:t>Appendices 1 and 2 would classify reversals from planned harvesting in a forestry project as "avoidable reversals", failing to recognize the cyclical nature of SFM. Appendix 3 provides a workable solution by allowing for harvesting and crediting activities based on the long-term average carbon stock.</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234F3A" w14:textId="77777777" w:rsidR="00993233" w:rsidRDefault="00986F88">
            <w:pPr>
              <w:widowControl w:val="0"/>
              <w:spacing w:line="276" w:lineRule="auto"/>
              <w:jc w:val="left"/>
              <w:rPr>
                <w:sz w:val="20"/>
                <w:szCs w:val="20"/>
              </w:rPr>
            </w:pPr>
            <w:r>
              <w:rPr>
                <w:sz w:val="20"/>
                <w:szCs w:val="20"/>
              </w:rPr>
              <w:t>A mechanism must be included to accommodate carbon stock fluctuations from legitimate management activities. Adopt the "long-term contribution crediting limit" approach detailed in Appendix 3, section 6.3.1.</w:t>
            </w:r>
          </w:p>
        </w:tc>
      </w:tr>
      <w:tr w:rsidR="00993233" w14:paraId="734EBCDB"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4CAD39" w14:textId="77777777" w:rsidR="00993233" w:rsidRDefault="00986F88">
            <w:pPr>
              <w:widowControl w:val="0"/>
              <w:spacing w:line="276" w:lineRule="auto"/>
              <w:jc w:val="right"/>
              <w:rPr>
                <w:sz w:val="20"/>
                <w:szCs w:val="20"/>
              </w:rPr>
            </w:pPr>
            <w:r>
              <w:rPr>
                <w:sz w:val="20"/>
                <w:szCs w:val="20"/>
              </w:rPr>
              <w:t>10</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9E32C2" w14:textId="77777777" w:rsidR="00993233" w:rsidRDefault="00986F88">
            <w:pPr>
              <w:widowControl w:val="0"/>
              <w:spacing w:line="276" w:lineRule="auto"/>
              <w:jc w:val="left"/>
              <w:rPr>
                <w:sz w:val="20"/>
                <w:szCs w:val="20"/>
              </w:rPr>
            </w:pPr>
            <w:r>
              <w:rPr>
                <w:sz w:val="20"/>
                <w:szCs w:val="20"/>
              </w:rPr>
              <w:t>Treatment of Below-Baseline Reversals</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0E0828" w14:textId="77777777" w:rsidR="00993233" w:rsidRDefault="00986F88">
            <w:pPr>
              <w:widowControl w:val="0"/>
              <w:spacing w:line="276" w:lineRule="auto"/>
              <w:jc w:val="left"/>
              <w:rPr>
                <w:sz w:val="20"/>
                <w:szCs w:val="20"/>
              </w:rPr>
            </w:pPr>
            <w:r>
              <w:rPr>
                <w:sz w:val="20"/>
                <w:szCs w:val="20"/>
              </w:rPr>
              <w:t>Sec 3.2.1.2.5, para 31, 32 vs. App. 3, Sec 7.3, para 96</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5BAB8A" w14:textId="77777777" w:rsidR="00993233" w:rsidRDefault="00986F88">
            <w:pPr>
              <w:widowControl w:val="0"/>
              <w:spacing w:line="276" w:lineRule="auto"/>
              <w:jc w:val="left"/>
              <w:rPr>
                <w:sz w:val="20"/>
                <w:szCs w:val="20"/>
              </w:rPr>
            </w:pPr>
            <w:r>
              <w:rPr>
                <w:sz w:val="20"/>
                <w:szCs w:val="20"/>
              </w:rPr>
              <w:t>The approach in Appendices 1 and 2 is ambiguous, suggesting two un-elaborated options. One option, requiring participants to purchase A6.4ERs, creates extreme investment risk. Appendix 3 provides a clearer approach, requiring the participant to undertake site remediation to restore the carbon stock to the baseline level.</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D0B223" w14:textId="77777777" w:rsidR="00993233" w:rsidRDefault="00986F88">
            <w:pPr>
              <w:widowControl w:val="0"/>
              <w:spacing w:line="276" w:lineRule="auto"/>
              <w:jc w:val="left"/>
              <w:rPr>
                <w:sz w:val="20"/>
                <w:szCs w:val="20"/>
              </w:rPr>
            </w:pPr>
            <w:r>
              <w:rPr>
                <w:sz w:val="20"/>
                <w:szCs w:val="20"/>
              </w:rPr>
              <w:t>The rules for below-baseline reversals must be clear and proportionate. Adopt the approach from Appendix 3, Section 7.3, requiring participants to restore the site to its baseline condition.</w:t>
            </w:r>
          </w:p>
        </w:tc>
      </w:tr>
      <w:tr w:rsidR="00993233" w14:paraId="2B760B1D"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B01D17" w14:textId="77777777" w:rsidR="00993233" w:rsidRDefault="00986F88">
            <w:pPr>
              <w:widowControl w:val="0"/>
              <w:spacing w:line="276" w:lineRule="auto"/>
              <w:jc w:val="right"/>
              <w:rPr>
                <w:sz w:val="20"/>
                <w:szCs w:val="20"/>
              </w:rPr>
            </w:pPr>
            <w:r>
              <w:rPr>
                <w:sz w:val="20"/>
                <w:szCs w:val="20"/>
              </w:rPr>
              <w:t>11</w:t>
            </w:r>
          </w:p>
        </w:tc>
        <w:tc>
          <w:tcPr>
            <w:tcW w:w="28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58B4D4" w14:textId="77777777" w:rsidR="00993233" w:rsidRDefault="00986F88">
            <w:pPr>
              <w:widowControl w:val="0"/>
              <w:spacing w:line="276" w:lineRule="auto"/>
              <w:jc w:val="left"/>
              <w:rPr>
                <w:sz w:val="20"/>
                <w:szCs w:val="20"/>
              </w:rPr>
            </w:pPr>
            <w:r>
              <w:rPr>
                <w:sz w:val="20"/>
                <w:szCs w:val="20"/>
              </w:rPr>
              <w:t>Allowance for Recoverable Events</w:t>
            </w:r>
          </w:p>
        </w:tc>
        <w:tc>
          <w:tcPr>
            <w:tcW w:w="297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1DE8B5" w14:textId="77777777" w:rsidR="00993233" w:rsidRDefault="00986F88">
            <w:pPr>
              <w:widowControl w:val="0"/>
              <w:spacing w:line="276" w:lineRule="auto"/>
              <w:jc w:val="left"/>
              <w:rPr>
                <w:sz w:val="20"/>
                <w:szCs w:val="20"/>
              </w:rPr>
            </w:pPr>
            <w:r>
              <w:rPr>
                <w:sz w:val="20"/>
                <w:szCs w:val="20"/>
              </w:rPr>
              <w:t>N/A in App 1 or 2. Cf. App. 3, Sec 7.1, para 81-83</w:t>
            </w:r>
          </w:p>
        </w:tc>
        <w:tc>
          <w:tcPr>
            <w:tcW w:w="4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752A5E" w14:textId="77777777" w:rsidR="00993233" w:rsidRDefault="00986F88">
            <w:pPr>
              <w:widowControl w:val="0"/>
              <w:spacing w:line="276" w:lineRule="auto"/>
              <w:jc w:val="left"/>
              <w:rPr>
                <w:sz w:val="20"/>
                <w:szCs w:val="20"/>
              </w:rPr>
            </w:pPr>
            <w:r>
              <w:rPr>
                <w:sz w:val="20"/>
                <w:szCs w:val="20"/>
              </w:rPr>
              <w:t>Appendices 1 and 2 lack a mechanism to address recoverable reversals (e.g., regrowth after a fire). This disincentivizes the land sector. Appendix 3 allows for this, specifying that an activity can continue and once it has recovered its carbon stocks to the pre-reversal level, it can once again be issued A6.4ERs. This provides a pathway back to crediting.</w:t>
            </w:r>
          </w:p>
        </w:tc>
        <w:tc>
          <w:tcPr>
            <w:tcW w:w="485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E71DFB" w14:textId="77777777" w:rsidR="00993233" w:rsidRDefault="00986F88">
            <w:pPr>
              <w:widowControl w:val="0"/>
              <w:spacing w:line="276" w:lineRule="auto"/>
              <w:jc w:val="left"/>
              <w:rPr>
                <w:sz w:val="20"/>
                <w:szCs w:val="20"/>
              </w:rPr>
            </w:pPr>
            <w:r>
              <w:rPr>
                <w:sz w:val="20"/>
                <w:szCs w:val="20"/>
              </w:rPr>
              <w:t>The standard must include a mechanism for activities to recover from reversal events. Adopt the provisions from Appendix 3, Section 7.1, paragraphs 81-83.</w:t>
            </w:r>
          </w:p>
        </w:tc>
      </w:tr>
    </w:tbl>
    <w:p w14:paraId="6A9524B6" w14:textId="77777777" w:rsidR="00993233" w:rsidRDefault="00986F88">
      <w:r>
        <w:t>-- (</w:t>
      </w:r>
      <w:r>
        <w:rPr>
          <w:i/>
        </w:rPr>
        <w:t>Please add rows as required</w:t>
      </w:r>
      <w:r>
        <w:t>) -</w:t>
      </w:r>
    </w:p>
    <w:sectPr w:rsidR="00993233">
      <w:footerReference w:type="even" r:id="rId9"/>
      <w:footerReference w:type="default" r:id="rId10"/>
      <w:pgSz w:w="16840" w:h="11907" w:orient="landscape"/>
      <w:pgMar w:top="576" w:right="994" w:bottom="850" w:left="850" w:header="563" w:footer="2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A7D" w14:textId="77777777" w:rsidR="00986F88" w:rsidRDefault="00986F88">
      <w:r>
        <w:separator/>
      </w:r>
    </w:p>
  </w:endnote>
  <w:endnote w:type="continuationSeparator" w:id="0">
    <w:p w14:paraId="54C4B97B" w14:textId="77777777" w:rsidR="00986F88" w:rsidRDefault="009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4721" w14:textId="77777777" w:rsidR="00993233" w:rsidRDefault="00986F88">
    <w:pPr>
      <w:pBdr>
        <w:top w:val="nil"/>
        <w:left w:val="nil"/>
        <w:bottom w:val="nil"/>
        <w:right w:val="nil"/>
        <w:between w:val="nil"/>
      </w:pBdr>
      <w:tabs>
        <w:tab w:val="center" w:pos="4820"/>
        <w:tab w:val="right" w:pos="963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3ED3AD15" w14:textId="77777777" w:rsidR="00993233" w:rsidRDefault="00993233">
    <w:pPr>
      <w:pBdr>
        <w:top w:val="nil"/>
        <w:left w:val="nil"/>
        <w:bottom w:val="nil"/>
        <w:right w:val="nil"/>
        <w:between w:val="nil"/>
      </w:pBdr>
      <w:tabs>
        <w:tab w:val="center" w:pos="4820"/>
        <w:tab w:val="right" w:pos="963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6DA" w14:textId="77777777" w:rsidR="00993233" w:rsidRDefault="00986F88">
    <w:pPr>
      <w:tabs>
        <w:tab w:val="center" w:pos="4550"/>
        <w:tab w:val="left" w:pos="5818"/>
      </w:tabs>
      <w:ind w:right="260"/>
      <w:jc w:val="right"/>
      <w:rPr>
        <w:color w:val="222A35"/>
        <w:sz w:val="20"/>
        <w:szCs w:val="20"/>
      </w:rPr>
    </w:pPr>
    <w:r>
      <w:rPr>
        <w:color w:val="8496B0"/>
        <w:sz w:val="20"/>
        <w:szCs w:val="20"/>
      </w:rPr>
      <w:t xml:space="preserve">Page </w:t>
    </w:r>
    <w:r>
      <w:rPr>
        <w:color w:val="323E4F"/>
        <w:sz w:val="20"/>
        <w:szCs w:val="20"/>
      </w:rPr>
      <w:fldChar w:fldCharType="begin"/>
    </w:r>
    <w:r>
      <w:rPr>
        <w:color w:val="323E4F"/>
        <w:sz w:val="20"/>
        <w:szCs w:val="20"/>
      </w:rPr>
      <w:instrText>PAGE</w:instrText>
    </w:r>
    <w:r>
      <w:rPr>
        <w:color w:val="323E4F"/>
        <w:sz w:val="20"/>
        <w:szCs w:val="20"/>
      </w:rPr>
      <w:fldChar w:fldCharType="separate"/>
    </w:r>
    <w:r>
      <w:rPr>
        <w:noProof/>
        <w:color w:val="323E4F"/>
        <w:sz w:val="20"/>
        <w:szCs w:val="20"/>
      </w:rPr>
      <w:t>1</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NUMPAGES</w:instrText>
    </w:r>
    <w:r>
      <w:rPr>
        <w:color w:val="323E4F"/>
        <w:sz w:val="20"/>
        <w:szCs w:val="20"/>
      </w:rPr>
      <w:fldChar w:fldCharType="separate"/>
    </w:r>
    <w:r>
      <w:rPr>
        <w:noProof/>
        <w:color w:val="323E4F"/>
        <w:sz w:val="20"/>
        <w:szCs w:val="20"/>
      </w:rPr>
      <w:t>2</w:t>
    </w:r>
    <w:r>
      <w:rPr>
        <w:color w:val="323E4F"/>
        <w:sz w:val="20"/>
        <w:szCs w:val="20"/>
      </w:rPr>
      <w:fldChar w:fldCharType="end"/>
    </w:r>
  </w:p>
  <w:p w14:paraId="7269D9F6" w14:textId="77777777" w:rsidR="00993233" w:rsidRDefault="00993233">
    <w:pPr>
      <w:pBdr>
        <w:top w:val="nil"/>
        <w:left w:val="nil"/>
        <w:bottom w:val="nil"/>
        <w:right w:val="nil"/>
        <w:between w:val="nil"/>
      </w:pBdr>
      <w:tabs>
        <w:tab w:val="center" w:pos="4820"/>
        <w:tab w:val="right" w:pos="9639"/>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C043" w14:textId="77777777" w:rsidR="00986F88" w:rsidRDefault="00986F88">
      <w:r>
        <w:separator/>
      </w:r>
    </w:p>
  </w:footnote>
  <w:footnote w:type="continuationSeparator" w:id="0">
    <w:p w14:paraId="132CBE60" w14:textId="77777777" w:rsidR="00986F88" w:rsidRDefault="0098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A6A54"/>
    <w:multiLevelType w:val="multilevel"/>
    <w:tmpl w:val="BA468894"/>
    <w:lvl w:ilvl="0">
      <w:start w:val="1"/>
      <w:numFmt w:val="decimal"/>
      <w:pStyle w:val="StyleRegHead111pt"/>
      <w:lvlText w:val="%1."/>
      <w:lvlJc w:val="left"/>
      <w:pPr>
        <w:tabs>
          <w:tab w:val="num" w:pos="720"/>
        </w:tabs>
        <w:ind w:left="720" w:hanging="720"/>
      </w:pPr>
    </w:lvl>
    <w:lvl w:ilvl="1">
      <w:start w:val="1"/>
      <w:numFmt w:val="decimal"/>
      <w:pStyle w:val="RegHead2"/>
      <w:lvlText w:val="%2."/>
      <w:lvlJc w:val="left"/>
      <w:pPr>
        <w:tabs>
          <w:tab w:val="num" w:pos="1440"/>
        </w:tabs>
        <w:ind w:left="1440" w:hanging="720"/>
      </w:pPr>
    </w:lvl>
    <w:lvl w:ilvl="2">
      <w:start w:val="1"/>
      <w:numFmt w:val="decimal"/>
      <w:pStyle w:val="RegHead3"/>
      <w:lvlText w:val="%3."/>
      <w:lvlJc w:val="left"/>
      <w:pPr>
        <w:tabs>
          <w:tab w:val="num" w:pos="2160"/>
        </w:tabs>
        <w:ind w:left="2160" w:hanging="720"/>
      </w:pPr>
    </w:lvl>
    <w:lvl w:ilvl="3">
      <w:start w:val="1"/>
      <w:numFmt w:val="decimal"/>
      <w:pStyle w:val="RegPar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20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33"/>
    <w:rsid w:val="00317CEE"/>
    <w:rsid w:val="00986F88"/>
    <w:rsid w:val="009932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F738"/>
  <w15:docId w15:val="{314DB3AB-285E-4E7A-A63D-40A5F2B1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200"/>
      <w:outlineLvl w:val="0"/>
    </w:pPr>
    <w:rPr>
      <w:b/>
      <w:sz w:val="24"/>
      <w:szCs w:val="24"/>
    </w:rPr>
  </w:style>
  <w:style w:type="paragraph" w:styleId="Heading2">
    <w:name w:val="heading 2"/>
    <w:basedOn w:val="Normal"/>
    <w:next w:val="Normal"/>
    <w:uiPriority w:val="9"/>
    <w:semiHidden/>
    <w:unhideWhenUsed/>
    <w:qFormat/>
    <w:pPr>
      <w:keepNext/>
      <w:spacing w:after="200"/>
      <w:ind w:left="567" w:hanging="567"/>
      <w:outlineLvl w:val="1"/>
    </w:pPr>
    <w:rPr>
      <w:b/>
    </w:rPr>
  </w:style>
  <w:style w:type="paragraph" w:styleId="Heading3">
    <w:name w:val="heading 3"/>
    <w:basedOn w:val="Normal"/>
    <w:next w:val="Normal"/>
    <w:uiPriority w:val="9"/>
    <w:semiHidden/>
    <w:unhideWhenUsed/>
    <w:qFormat/>
    <w:pPr>
      <w:keepNext/>
      <w:spacing w:after="200"/>
      <w:ind w:left="567" w:hanging="567"/>
      <w:outlineLvl w:val="2"/>
    </w:pPr>
  </w:style>
  <w:style w:type="paragraph" w:styleId="Heading4">
    <w:name w:val="heading 4"/>
    <w:basedOn w:val="Normal"/>
    <w:next w:val="Normal"/>
    <w:uiPriority w:val="9"/>
    <w:semiHidden/>
    <w:unhideWhenUsed/>
    <w:qFormat/>
    <w:pPr>
      <w:keepNext/>
      <w:spacing w:after="20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6" w:type="dxa"/>
        <w:right w:w="56" w:type="dxa"/>
      </w:tblCellMar>
    </w:tblPr>
  </w:style>
  <w:style w:type="table" w:customStyle="1" w:styleId="a0">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u9udC4pIW/bjp7FkrDcN2D5Q==">CgMxLjA4AHIhMVZzcDRmTkFSVHAxVDRpTDgzQ25LNzRlOGdPdTNSWUJz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6595</Characters>
  <Application>Microsoft Office Word</Application>
  <DocSecurity>4</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Jane Stickdorn</cp:lastModifiedBy>
  <cp:revision>2</cp:revision>
  <dcterms:created xsi:type="dcterms:W3CDTF">2025-08-04T08:17:00Z</dcterms:created>
  <dcterms:modified xsi:type="dcterms:W3CDTF">2025-08-04T08:17:00Z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0x0101002BEBFA4AD3D067488A4F8AE22F38BF68</vt:lpwstr>
  </property>
  <property fmtid="{D5CDD505-2E9C-101B-9397-08002B2CF9AE}" pid="4" name="MediaServiceImageTags">
    <vt:lpwstr/>
  </property>
</Properties>
</file>