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&#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5C5581"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11E9A393" w:rsidR="005C5581" w:rsidRPr="00485B35" w:rsidRDefault="00485B35" w:rsidP="005C5581">
            <w:pPr>
              <w:spacing w:before="120"/>
              <w:ind w:left="227"/>
              <w:jc w:val="left"/>
              <w:rPr>
                <w:rFonts w:ascii="Times New Roman" w:hAnsi="Times New Roman" w:cs="Times New Roman"/>
                <w:bCs/>
                <w:color w:val="000000" w:themeColor="text1"/>
                <w:szCs w:val="20"/>
              </w:rPr>
            </w:pPr>
            <w:r w:rsidRPr="00485B35">
              <w:rPr>
                <w:rFonts w:ascii="Times New Roman" w:hAnsi="Times New Roman" w:cs="Times New Roman"/>
                <w:bCs/>
                <w:color w:val="000000" w:themeColor="text1"/>
                <w:szCs w:val="20"/>
              </w:rPr>
              <w:t>Dr. Max Gutbrod</w:t>
            </w:r>
          </w:p>
        </w:tc>
      </w:tr>
      <w:tr w:rsidR="005C5581" w:rsidRPr="005C5581"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2460AE50"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0EFE7D0D" w:rsidR="005C5581" w:rsidRPr="00485B35" w:rsidRDefault="00485B35" w:rsidP="005C5581">
            <w:pPr>
              <w:spacing w:before="120"/>
              <w:ind w:left="227"/>
              <w:jc w:val="left"/>
              <w:rPr>
                <w:rFonts w:ascii="Times New Roman" w:hAnsi="Times New Roman" w:cs="Times New Roman"/>
                <w:bCs/>
                <w:color w:val="000000" w:themeColor="text1"/>
                <w:szCs w:val="20"/>
              </w:rPr>
            </w:pPr>
            <w:r w:rsidRPr="00485B35">
              <w:rPr>
                <w:rFonts w:ascii="Times New Roman" w:hAnsi="Times New Roman" w:cs="Times New Roman"/>
                <w:bCs/>
                <w:color w:val="000000" w:themeColor="text1"/>
                <w:szCs w:val="20"/>
              </w:rPr>
              <w:t>Visiting professor, University of Potsdam</w:t>
            </w:r>
            <w:r>
              <w:rPr>
                <w:rFonts w:ascii="Times New Roman" w:hAnsi="Times New Roman" w:cs="Times New Roman"/>
                <w:bCs/>
                <w:color w:val="000000" w:themeColor="text1"/>
                <w:szCs w:val="20"/>
              </w:rPr>
              <w:t>, investor</w:t>
            </w: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5C5581">
              <w:rPr>
                <w:rFonts w:cs="Times New Roman"/>
                <w:i/>
                <w:iCs/>
                <w:szCs w:val="20"/>
              </w:rPr>
              <w:t xml:space="preserve"> 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576CF7DA" w:rsidR="005C5581" w:rsidRPr="00485B35" w:rsidRDefault="00485B35" w:rsidP="005C5581">
            <w:pPr>
              <w:spacing w:before="120"/>
              <w:ind w:left="227"/>
              <w:jc w:val="left"/>
              <w:rPr>
                <w:rFonts w:ascii="Times New Roman" w:hAnsi="Times New Roman" w:cs="Times New Roman"/>
                <w:bCs/>
                <w:color w:val="000000" w:themeColor="text1"/>
                <w:szCs w:val="20"/>
                <w:lang w:val="en-US"/>
              </w:rPr>
            </w:pPr>
            <w:proofErr w:type="spellStart"/>
            <w:r w:rsidRPr="00485B35">
              <w:rPr>
                <w:rFonts w:ascii="Times New Roman" w:hAnsi="Times New Roman" w:cs="Times New Roman"/>
                <w:bCs/>
                <w:color w:val="000000" w:themeColor="text1"/>
                <w:szCs w:val="20"/>
              </w:rPr>
              <w:t>Gutbrod.max</w:t>
            </w:r>
            <w:proofErr w:type="spellEnd"/>
            <w:r w:rsidRPr="00485B35">
              <w:rPr>
                <w:rFonts w:ascii="Times New Roman" w:hAnsi="Times New Roman" w:cs="Times New Roman"/>
                <w:bCs/>
                <w:color w:val="000000" w:themeColor="text1"/>
                <w:szCs w:val="20"/>
                <w:lang w:val="en-US"/>
              </w:rPr>
              <w:t>@gmail.com</w:t>
            </w:r>
          </w:p>
        </w:tc>
      </w:tr>
      <w:tr w:rsidR="005C5581" w:rsidRPr="005C5581" w14:paraId="5038C2D4" w14:textId="77777777" w:rsidTr="00DB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tcPr>
          <w:p w14:paraId="28F8148A" w14:textId="1288EB4C" w:rsidR="005C5581" w:rsidRPr="005C5581" w:rsidRDefault="007D6DA4" w:rsidP="005C5581">
            <w:pPr>
              <w:spacing w:before="60"/>
              <w:jc w:val="left"/>
              <w:rPr>
                <w:rFonts w:cs="Times New Roman"/>
                <w:bCs/>
                <w:sz w:val="20"/>
                <w:szCs w:val="20"/>
              </w:rPr>
            </w:pPr>
            <w:r>
              <w:rPr>
                <w:rFonts w:cs="Times New Roman"/>
                <w:bCs/>
                <w:sz w:val="20"/>
                <w:szCs w:val="20"/>
              </w:rPr>
              <w:t xml:space="preserve">August </w:t>
            </w:r>
            <w:r w:rsidR="00EC406C">
              <w:rPr>
                <w:rFonts w:cs="Times New Roman"/>
                <w:bCs/>
                <w:sz w:val="20"/>
                <w:szCs w:val="20"/>
              </w:rPr>
              <w:t>4th</w:t>
            </w:r>
            <w:r>
              <w:rPr>
                <w:rFonts w:cs="Times New Roman"/>
                <w:bCs/>
                <w:sz w:val="20"/>
                <w:szCs w:val="20"/>
              </w:rPr>
              <w:t xml:space="preserve"> 2025</w:t>
            </w:r>
          </w:p>
        </w:tc>
      </w:tr>
    </w:tbl>
    <w:p w14:paraId="3B490F6C" w14:textId="77777777" w:rsidR="00842079" w:rsidRDefault="00842079">
      <w:pPr>
        <w:spacing w:line="240" w:lineRule="exact"/>
        <w:rPr>
          <w:rFonts w:ascii="Calibri" w:hAnsi="Calibri" w:cs="Calibri"/>
        </w:rPr>
      </w:pPr>
    </w:p>
    <w:p w14:paraId="44E81C25" w14:textId="77777777" w:rsidR="007D6DA4" w:rsidRPr="007D6DA4" w:rsidRDefault="007D6DA4" w:rsidP="007D6DA4">
      <w:pPr>
        <w:rPr>
          <w:rFonts w:ascii="Times New Roman" w:hAnsi="Times New Roman" w:cs="Times New Roman"/>
          <w:sz w:val="24"/>
          <w:szCs w:val="24"/>
          <w:lang w:val="en-US"/>
        </w:rPr>
      </w:pPr>
      <w:r w:rsidRPr="007D6DA4">
        <w:rPr>
          <w:rFonts w:ascii="Calibri" w:hAnsi="Calibri" w:cs="Calibri"/>
          <w:color w:val="000000"/>
          <w:lang w:val="en-US"/>
        </w:rPr>
        <w:t> </w:t>
      </w:r>
    </w:p>
    <w:p w14:paraId="178C9A20" w14:textId="77777777" w:rsidR="007D6DA4" w:rsidRPr="007D6DA4" w:rsidRDefault="007D6DA4" w:rsidP="007D6DA4">
      <w:pPr>
        <w:jc w:val="left"/>
        <w:rPr>
          <w:rFonts w:ascii="Times New Roman" w:hAnsi="Times New Roman" w:cs="Times New Roman"/>
          <w:sz w:val="24"/>
          <w:szCs w:val="24"/>
          <w:lang w:val="en-US"/>
        </w:rPr>
      </w:pPr>
      <w:r w:rsidRPr="007D6DA4">
        <w:rPr>
          <w:color w:val="000000"/>
          <w:lang w:val="en-US"/>
        </w:rPr>
        <w:t>Instruction: Enter your input in the table below. </w:t>
      </w:r>
    </w:p>
    <w:p w14:paraId="6D0D3B8F" w14:textId="77777777" w:rsidR="007D6DA4" w:rsidRPr="007D6DA4" w:rsidRDefault="007D6DA4" w:rsidP="007D6DA4">
      <w:pPr>
        <w:jc w:val="left"/>
        <w:rPr>
          <w:rFonts w:ascii="Times New Roman" w:hAnsi="Times New Roman" w:cs="Times New Roman"/>
          <w:vanish/>
          <w:sz w:val="24"/>
          <w:szCs w:val="24"/>
          <w:lang w:val="en-US"/>
        </w:rPr>
      </w:pPr>
    </w:p>
    <w:p w14:paraId="0FA971D2" w14:textId="77777777" w:rsidR="006F0CF4" w:rsidRDefault="006F0CF4" w:rsidP="006F0CF4">
      <w:pPr>
        <w:jc w:val="left"/>
        <w:rPr>
          <w:rFonts w:ascii="Times New Roman" w:hAnsi="Times New Roman" w:cs="Times New Roman"/>
          <w:sz w:val="24"/>
          <w:szCs w:val="24"/>
          <w:lang w:val="en-US"/>
        </w:rPr>
      </w:pPr>
    </w:p>
    <w:p w14:paraId="728030AB" w14:textId="77777777" w:rsidR="006F0CF4" w:rsidRDefault="006F0CF4" w:rsidP="006F0CF4">
      <w:pPr>
        <w:pStyle w:val="NormalWeb"/>
        <w:spacing w:before="0" w:beforeAutospacing="0" w:after="0" w:afterAutospacing="0"/>
        <w:jc w:val="both"/>
      </w:pPr>
      <w:r>
        <w:rPr>
          <w:rFonts w:ascii="Calibri" w:hAnsi="Calibri" w:cs="Calibri"/>
          <w:color w:val="000000"/>
          <w:sz w:val="22"/>
          <w:szCs w:val="22"/>
        </w:rPr>
        <w:t> </w:t>
      </w:r>
    </w:p>
    <w:p w14:paraId="3AD816D8" w14:textId="77777777" w:rsidR="006F0CF4" w:rsidRDefault="006F0CF4" w:rsidP="006F0CF4">
      <w:pPr>
        <w:pStyle w:val="NormalWeb"/>
        <w:spacing w:before="0" w:beforeAutospacing="0" w:after="0" w:afterAutospacing="0"/>
      </w:pPr>
      <w:r>
        <w:rPr>
          <w:rFonts w:ascii="Arial" w:hAnsi="Arial" w:cs="Arial"/>
          <w:color w:val="000000"/>
          <w:sz w:val="22"/>
          <w:szCs w:val="22"/>
        </w:rPr>
        <w:t>Instruction: Enter your input in the table below. </w:t>
      </w:r>
    </w:p>
    <w:tbl>
      <w:tblPr>
        <w:tblW w:w="0" w:type="auto"/>
        <w:tblCellMar>
          <w:top w:w="15" w:type="dxa"/>
          <w:left w:w="15" w:type="dxa"/>
          <w:bottom w:w="15" w:type="dxa"/>
          <w:right w:w="15" w:type="dxa"/>
        </w:tblCellMar>
        <w:tblLook w:val="04A0" w:firstRow="1" w:lastRow="0" w:firstColumn="1" w:lastColumn="0" w:noHBand="0" w:noVBand="1"/>
      </w:tblPr>
      <w:tblGrid>
        <w:gridCol w:w="1838"/>
        <w:gridCol w:w="2564"/>
        <w:gridCol w:w="5938"/>
        <w:gridCol w:w="4636"/>
      </w:tblGrid>
      <w:tr w:rsidR="006F0CF4" w14:paraId="407EA6DD" w14:textId="77777777" w:rsidTr="006F0CF4">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F12693" w14:textId="77777777" w:rsidR="006F0CF4" w:rsidRDefault="006F0CF4">
            <w:pPr>
              <w:pStyle w:val="NormalWeb"/>
              <w:spacing w:before="40" w:beforeAutospacing="0" w:after="40" w:afterAutospacing="0"/>
            </w:pPr>
            <w:r>
              <w:rPr>
                <w:rFonts w:ascii="Arial" w:hAnsi="Arial" w:cs="Arial"/>
                <w:b/>
                <w:bCs/>
                <w:color w:val="000000"/>
                <w:sz w:val="22"/>
                <w:szCs w:val="22"/>
              </w:rPr>
              <w:t xml:space="preserve">Document reference number and title: </w:t>
            </w:r>
            <w:r>
              <w:rPr>
                <w:rFonts w:ascii="Arial" w:hAnsi="Arial" w:cs="Arial"/>
                <w:b/>
                <w:bCs/>
                <w:color w:val="0070C0"/>
                <w:sz w:val="22"/>
                <w:szCs w:val="22"/>
              </w:rPr>
              <w:t>A6.4-MEP007-A04. Draft Standard: Addressing non-permanence/reversals (version 01.0)</w:t>
            </w:r>
          </w:p>
          <w:p w14:paraId="5461A187" w14:textId="77777777" w:rsidR="006F0CF4" w:rsidRDefault="006F0CF4"/>
        </w:tc>
      </w:tr>
      <w:tr w:rsidR="006F0CF4" w14:paraId="5DC26F4E" w14:textId="77777777" w:rsidTr="003E34A8">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5D43890" w14:textId="77777777" w:rsidR="006F0CF4" w:rsidRDefault="006F0CF4">
            <w:pPr>
              <w:pStyle w:val="NormalWeb"/>
              <w:spacing w:before="0" w:beforeAutospacing="0" w:after="0" w:afterAutospacing="0"/>
            </w:pPr>
            <w:r>
              <w:rPr>
                <w:rFonts w:ascii="Calibri" w:hAnsi="Calibri" w:cs="Calibri"/>
                <w:b/>
                <w:bCs/>
                <w:color w:val="000000"/>
                <w:sz w:val="22"/>
                <w:szCs w:val="22"/>
              </w:rPr>
              <w:t>Section number</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98AC2B4" w14:textId="77777777" w:rsidR="006F0CF4" w:rsidRDefault="006F0CF4">
            <w:pPr>
              <w:pStyle w:val="NormalWeb"/>
              <w:spacing w:before="0" w:beforeAutospacing="0" w:after="0" w:afterAutospacing="0"/>
            </w:pPr>
            <w:r>
              <w:rPr>
                <w:rFonts w:ascii="Calibri" w:hAnsi="Calibri" w:cs="Calibri"/>
                <w:b/>
                <w:bCs/>
                <w:color w:val="000000"/>
                <w:sz w:val="22"/>
                <w:szCs w:val="22"/>
              </w:rPr>
              <w:t>Paragraph/Table/Figure number</w:t>
            </w:r>
          </w:p>
        </w:tc>
        <w:tc>
          <w:tcPr>
            <w:tcW w:w="5938"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B5C5DC9" w14:textId="77777777" w:rsidR="006F0CF4" w:rsidRDefault="006F0CF4">
            <w:pPr>
              <w:pStyle w:val="NormalWeb"/>
              <w:spacing w:before="0" w:beforeAutospacing="0" w:after="0" w:afterAutospacing="0"/>
            </w:pPr>
            <w:r>
              <w:rPr>
                <w:rFonts w:ascii="Calibri" w:hAnsi="Calibri" w:cs="Calibri"/>
                <w:b/>
                <w:bCs/>
                <w:color w:val="000000"/>
                <w:sz w:val="22"/>
                <w:szCs w:val="22"/>
              </w:rPr>
              <w:t>Comment</w:t>
            </w:r>
          </w:p>
          <w:p w14:paraId="5186E586" w14:textId="77777777" w:rsidR="006F0CF4" w:rsidRDefault="006F0CF4">
            <w:pPr>
              <w:pStyle w:val="NormalWeb"/>
              <w:spacing w:before="0" w:beforeAutospacing="0" w:after="0" w:afterAutospacing="0"/>
            </w:pPr>
            <w:r>
              <w:rPr>
                <w:rFonts w:ascii="Calibri" w:hAnsi="Calibri" w:cs="Calibri"/>
                <w:color w:val="000000"/>
                <w:sz w:val="22"/>
                <w:szCs w:val="22"/>
              </w:rPr>
              <w:t>(including justification for change)</w:t>
            </w:r>
          </w:p>
        </w:tc>
        <w:tc>
          <w:tcPr>
            <w:tcW w:w="4636"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F20291C" w14:textId="77777777" w:rsidR="006F0CF4" w:rsidRDefault="006F0CF4">
            <w:pPr>
              <w:pStyle w:val="NormalWeb"/>
              <w:spacing w:before="40" w:beforeAutospacing="0" w:after="40" w:afterAutospacing="0"/>
            </w:pPr>
            <w:r>
              <w:rPr>
                <w:rFonts w:ascii="Calibri" w:hAnsi="Calibri" w:cs="Calibri"/>
                <w:b/>
                <w:bCs/>
                <w:color w:val="000000"/>
                <w:sz w:val="22"/>
                <w:szCs w:val="22"/>
              </w:rPr>
              <w:t>Proposed change</w:t>
            </w:r>
          </w:p>
          <w:p w14:paraId="4FD5F26F" w14:textId="77777777" w:rsidR="006F0CF4" w:rsidRDefault="006F0CF4">
            <w:pPr>
              <w:pStyle w:val="NormalWeb"/>
              <w:spacing w:before="0" w:beforeAutospacing="0" w:after="0" w:afterAutospacing="0"/>
            </w:pPr>
            <w:r>
              <w:rPr>
                <w:rFonts w:ascii="Calibri" w:hAnsi="Calibri" w:cs="Calibri"/>
                <w:color w:val="000000"/>
                <w:sz w:val="22"/>
                <w:szCs w:val="22"/>
              </w:rPr>
              <w:t>(including proposed text)</w:t>
            </w:r>
          </w:p>
        </w:tc>
      </w:tr>
      <w:tr w:rsidR="006F0CF4" w14:paraId="62D8CD83" w14:textId="77777777" w:rsidTr="003E34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4DB28" w14:textId="77777777" w:rsidR="006F0CF4" w:rsidRDefault="006F0CF4">
            <w:pPr>
              <w:pStyle w:val="NormalWeb"/>
              <w:spacing w:before="0" w:beforeAutospacing="0" w:after="0" w:afterAutospacing="0"/>
            </w:pPr>
            <w:r>
              <w:rPr>
                <w:rFonts w:ascii="Calibri" w:hAnsi="Calibri" w:cs="Calibri"/>
                <w:b/>
                <w:bCs/>
                <w:color w:val="000000"/>
                <w:sz w:val="22"/>
                <w:szCs w:val="22"/>
              </w:rPr>
              <w:t>Structure and Scope of the regulatory documents to address reversals. </w:t>
            </w:r>
          </w:p>
          <w:p w14:paraId="11C83C84" w14:textId="77777777" w:rsidR="006F0CF4" w:rsidRDefault="006F0CF4">
            <w:pPr>
              <w:spacing w:after="24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64328" w14:textId="77777777" w:rsidR="006F0CF4" w:rsidRDefault="006F0CF4">
            <w:pPr>
              <w:pStyle w:val="NormalWeb"/>
              <w:spacing w:before="0" w:beforeAutospacing="0" w:after="0" w:afterAutospacing="0"/>
            </w:pPr>
            <w:r>
              <w:rPr>
                <w:rFonts w:ascii="Calibri" w:hAnsi="Calibri" w:cs="Calibri"/>
                <w:color w:val="000000"/>
                <w:sz w:val="22"/>
                <w:szCs w:val="22"/>
              </w:rPr>
              <w:t xml:space="preserve">Cover </w:t>
            </w:r>
            <w:proofErr w:type="gramStart"/>
            <w:r>
              <w:rPr>
                <w:rFonts w:ascii="Calibri" w:hAnsi="Calibri" w:cs="Calibri"/>
                <w:color w:val="000000"/>
                <w:sz w:val="22"/>
                <w:szCs w:val="22"/>
              </w:rPr>
              <w:t>note</w:t>
            </w:r>
            <w:proofErr w:type="gramEnd"/>
            <w:r>
              <w:rPr>
                <w:rFonts w:ascii="Calibri" w:hAnsi="Calibri" w:cs="Calibri"/>
                <w:color w:val="000000"/>
                <w:sz w:val="22"/>
                <w:szCs w:val="22"/>
              </w:rPr>
              <w:t>. Section 3.1, Paragraph 11-13 </w:t>
            </w:r>
          </w:p>
          <w:p w14:paraId="560B4001" w14:textId="77777777" w:rsidR="006F0CF4" w:rsidRDefault="006F0CF4"/>
        </w:tc>
        <w:tc>
          <w:tcPr>
            <w:tcW w:w="5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3447A" w14:textId="44C3160D" w:rsidR="006F0CF4" w:rsidRDefault="006F0CF4">
            <w:pPr>
              <w:pStyle w:val="NormalWeb"/>
              <w:spacing w:before="0" w:beforeAutospacing="0" w:after="0" w:afterAutospacing="0"/>
              <w:rPr>
                <w:rFonts w:ascii="Calibri" w:hAnsi="Calibri" w:cs="Calibri"/>
                <w:color w:val="000000"/>
                <w:sz w:val="22"/>
                <w:szCs w:val="22"/>
              </w:rPr>
            </w:pPr>
            <w:proofErr w:type="gramStart"/>
            <w:r>
              <w:rPr>
                <w:rFonts w:ascii="Calibri" w:hAnsi="Calibri" w:cs="Calibri"/>
                <w:b/>
                <w:bCs/>
                <w:color w:val="000000"/>
                <w:sz w:val="22"/>
                <w:szCs w:val="22"/>
              </w:rPr>
              <w:t>Appendix</w:t>
            </w:r>
            <w:proofErr w:type="gramEnd"/>
            <w:r>
              <w:rPr>
                <w:rFonts w:ascii="Calibri" w:hAnsi="Calibri" w:cs="Calibri"/>
                <w:b/>
                <w:bCs/>
                <w:color w:val="000000"/>
                <w:sz w:val="22"/>
                <w:szCs w:val="22"/>
              </w:rPr>
              <w:t xml:space="preserve"> 1 and 2</w:t>
            </w:r>
            <w:r>
              <w:rPr>
                <w:rFonts w:ascii="Calibri" w:hAnsi="Calibri" w:cs="Calibri"/>
                <w:color w:val="000000"/>
                <w:sz w:val="22"/>
                <w:szCs w:val="22"/>
              </w:rPr>
              <w:t xml:space="preserve"> </w:t>
            </w:r>
            <w:r w:rsidR="00654CA3">
              <w:rPr>
                <w:rFonts w:ascii="Calibri" w:hAnsi="Calibri" w:cs="Calibri"/>
                <w:color w:val="000000"/>
                <w:sz w:val="22"/>
                <w:szCs w:val="22"/>
              </w:rPr>
              <w:t xml:space="preserve">lack provisions on the end of the </w:t>
            </w:r>
            <w:r>
              <w:rPr>
                <w:rFonts w:ascii="Calibri" w:hAnsi="Calibri" w:cs="Calibri"/>
                <w:color w:val="000000"/>
                <w:sz w:val="22"/>
                <w:szCs w:val="22"/>
              </w:rPr>
              <w:t>post-crediting monitoring period</w:t>
            </w:r>
            <w:r w:rsidR="00654CA3">
              <w:rPr>
                <w:rFonts w:ascii="Calibri" w:hAnsi="Calibri" w:cs="Calibri"/>
                <w:color w:val="000000"/>
                <w:sz w:val="22"/>
                <w:szCs w:val="22"/>
              </w:rPr>
              <w:t xml:space="preserve">. The rationale for this appears to be the belief that otherwise the reliability of such credits cannot be guaranteed. This </w:t>
            </w:r>
            <w:proofErr w:type="gramStart"/>
            <w:r w:rsidR="00654CA3">
              <w:rPr>
                <w:rFonts w:ascii="Calibri" w:hAnsi="Calibri" w:cs="Calibri"/>
                <w:color w:val="000000"/>
                <w:sz w:val="22"/>
                <w:szCs w:val="22"/>
              </w:rPr>
              <w:t>in particular affects</w:t>
            </w:r>
            <w:proofErr w:type="gramEnd"/>
            <w:r w:rsidR="00654CA3">
              <w:rPr>
                <w:rFonts w:ascii="Calibri" w:hAnsi="Calibri" w:cs="Calibri"/>
                <w:color w:val="000000"/>
                <w:sz w:val="22"/>
                <w:szCs w:val="22"/>
              </w:rPr>
              <w:t xml:space="preserve"> </w:t>
            </w:r>
            <w:r>
              <w:rPr>
                <w:rFonts w:ascii="Calibri" w:hAnsi="Calibri" w:cs="Calibri"/>
                <w:color w:val="000000"/>
                <w:sz w:val="22"/>
                <w:szCs w:val="22"/>
              </w:rPr>
              <w:t>nature-based activities</w:t>
            </w:r>
            <w:r w:rsidR="00654CA3">
              <w:rPr>
                <w:rFonts w:ascii="Calibri" w:hAnsi="Calibri" w:cs="Calibri"/>
                <w:color w:val="000000"/>
                <w:sz w:val="22"/>
                <w:szCs w:val="22"/>
              </w:rPr>
              <w:t xml:space="preserve">, and it does seem unrealistic to expect that </w:t>
            </w:r>
            <w:proofErr w:type="gramStart"/>
            <w:r w:rsidR="00654CA3">
              <w:rPr>
                <w:rFonts w:ascii="Calibri" w:hAnsi="Calibri" w:cs="Calibri"/>
                <w:color w:val="000000"/>
                <w:sz w:val="22"/>
                <w:szCs w:val="22"/>
              </w:rPr>
              <w:t>nature based</w:t>
            </w:r>
            <w:proofErr w:type="gramEnd"/>
            <w:r w:rsidR="00654CA3">
              <w:rPr>
                <w:rFonts w:ascii="Calibri" w:hAnsi="Calibri" w:cs="Calibri"/>
                <w:color w:val="000000"/>
                <w:sz w:val="22"/>
                <w:szCs w:val="22"/>
              </w:rPr>
              <w:t xml:space="preserve"> activities remain viable. </w:t>
            </w:r>
            <w:r>
              <w:rPr>
                <w:rFonts w:ascii="Calibri" w:hAnsi="Calibri" w:cs="Calibri"/>
                <w:color w:val="000000"/>
                <w:sz w:val="22"/>
                <w:szCs w:val="22"/>
              </w:rPr>
              <w:t> </w:t>
            </w:r>
          </w:p>
          <w:p w14:paraId="00A0E7C8" w14:textId="77777777" w:rsidR="00207FAE" w:rsidRDefault="00207FAE">
            <w:pPr>
              <w:pStyle w:val="NormalWeb"/>
              <w:spacing w:before="0" w:beforeAutospacing="0" w:after="0" w:afterAutospacing="0"/>
            </w:pPr>
          </w:p>
          <w:p w14:paraId="4B77BB92" w14:textId="5E9EF6EE" w:rsidR="00207FAE" w:rsidRDefault="00207FAE">
            <w:pPr>
              <w:pStyle w:val="NormalWeb"/>
              <w:spacing w:before="0" w:beforeAutospacing="0" w:after="0" w:afterAutospacing="0"/>
            </w:pPr>
            <w:r>
              <w:t xml:space="preserve">Whilst </w:t>
            </w:r>
            <w:r w:rsidR="005D62E9">
              <w:t xml:space="preserve">Appendix 2, </w:t>
            </w:r>
            <w:r w:rsidR="003A1686">
              <w:t xml:space="preserve">Section 1.1., Paragraph 2 seems to </w:t>
            </w:r>
            <w:r w:rsidR="00A814DA">
              <w:t xml:space="preserve">intend to provide for some protection from late claims by setting a </w:t>
            </w:r>
            <w:r w:rsidR="002E387D">
              <w:t xml:space="preserve">term of 30 days after becoming aware of an observed event, in reality this provision leads to </w:t>
            </w:r>
            <w:r w:rsidR="0093310F">
              <w:t xml:space="preserve">substantial uncertainty, as any climate related event is likely to be complex, not reduced to a simple perception and depend on </w:t>
            </w:r>
            <w:r w:rsidR="0093310F">
              <w:lastRenderedPageBreak/>
              <w:t xml:space="preserve">a multitude of assessments which in different jurisdictions are likely to be </w:t>
            </w:r>
            <w:r w:rsidR="00C02500">
              <w:t xml:space="preserve">more or less difficult to evidence. </w:t>
            </w:r>
            <w:r w:rsidR="0093310F">
              <w:t xml:space="preserve"> </w:t>
            </w:r>
          </w:p>
          <w:p w14:paraId="7A86B530" w14:textId="77777777" w:rsidR="006F0CF4" w:rsidRDefault="006F0CF4"/>
          <w:p w14:paraId="1CE1ED79" w14:textId="07D7ED8F" w:rsidR="006F0CF4" w:rsidRDefault="006F0CF4">
            <w:pPr>
              <w:pStyle w:val="NormalWeb"/>
              <w:spacing w:before="0" w:beforeAutospacing="0" w:after="0" w:afterAutospacing="0"/>
            </w:pPr>
            <w:r>
              <w:rPr>
                <w:rFonts w:ascii="Calibri" w:hAnsi="Calibri" w:cs="Calibri"/>
                <w:color w:val="000000"/>
                <w:sz w:val="22"/>
                <w:szCs w:val="22"/>
              </w:rPr>
              <w:t xml:space="preserve">Imposing unrealistic monitoring requirements, </w:t>
            </w:r>
            <w:r w:rsidR="002B37D8">
              <w:rPr>
                <w:rFonts w:ascii="Calibri" w:hAnsi="Calibri" w:cs="Calibri"/>
                <w:color w:val="000000"/>
                <w:sz w:val="22"/>
                <w:szCs w:val="22"/>
              </w:rPr>
              <w:t>in particular</w:t>
            </w:r>
            <w:r>
              <w:rPr>
                <w:rFonts w:ascii="Calibri" w:hAnsi="Calibri" w:cs="Calibri"/>
                <w:color w:val="000000"/>
                <w:sz w:val="22"/>
                <w:szCs w:val="22"/>
              </w:rPr>
              <w:t xml:space="preserve"> disqualifying nature from participation in Article 6.4, undermines the increased ambition Article 6 was designed to foment. </w:t>
            </w:r>
            <w:r w:rsidR="002B37D8">
              <w:rPr>
                <w:rFonts w:ascii="Calibri" w:hAnsi="Calibri" w:cs="Calibri"/>
                <w:color w:val="000000"/>
                <w:sz w:val="22"/>
                <w:szCs w:val="22"/>
              </w:rPr>
              <w:t>This approach</w:t>
            </w:r>
            <w:r w:rsidR="002B37D8">
              <w:rPr>
                <w:rFonts w:ascii="Calibri" w:hAnsi="Calibri" w:cs="Calibri"/>
                <w:color w:val="000000"/>
                <w:sz w:val="22"/>
                <w:szCs w:val="22"/>
              </w:rPr>
              <w:t xml:space="preserve"> </w:t>
            </w:r>
            <w:r>
              <w:rPr>
                <w:rFonts w:ascii="Calibri" w:hAnsi="Calibri" w:cs="Calibri"/>
                <w:color w:val="000000"/>
                <w:sz w:val="22"/>
                <w:szCs w:val="22"/>
              </w:rPr>
              <w:t xml:space="preserve">diverts climate finance away from natural climate solutions at </w:t>
            </w:r>
            <w:r w:rsidR="004304F1">
              <w:rPr>
                <w:rFonts w:ascii="Calibri" w:hAnsi="Calibri" w:cs="Calibri"/>
                <w:color w:val="000000"/>
                <w:sz w:val="22"/>
                <w:szCs w:val="22"/>
              </w:rPr>
              <w:t xml:space="preserve">a very important time for climate action. </w:t>
            </w:r>
            <w:r w:rsidR="0081209A">
              <w:rPr>
                <w:rFonts w:ascii="Calibri" w:hAnsi="Calibri" w:cs="Calibri"/>
                <w:color w:val="000000"/>
                <w:sz w:val="22"/>
                <w:szCs w:val="22"/>
              </w:rPr>
              <w:t xml:space="preserve">It seems </w:t>
            </w:r>
            <w:r w:rsidR="00C76F99">
              <w:rPr>
                <w:rFonts w:ascii="Calibri" w:hAnsi="Calibri" w:cs="Calibri"/>
                <w:color w:val="000000"/>
                <w:sz w:val="22"/>
                <w:szCs w:val="22"/>
              </w:rPr>
              <w:t>increasingly</w:t>
            </w:r>
            <w:r w:rsidR="0081209A">
              <w:rPr>
                <w:rFonts w:ascii="Calibri" w:hAnsi="Calibri" w:cs="Calibri"/>
                <w:color w:val="000000"/>
                <w:sz w:val="22"/>
                <w:szCs w:val="22"/>
              </w:rPr>
              <w:t xml:space="preserve"> doubtful whether the climate goals can be reached. Art. 6.2 projects have proven </w:t>
            </w:r>
            <w:r w:rsidR="00C76F99">
              <w:rPr>
                <w:rFonts w:ascii="Calibri" w:hAnsi="Calibri" w:cs="Calibri"/>
                <w:color w:val="000000"/>
                <w:sz w:val="22"/>
                <w:szCs w:val="22"/>
              </w:rPr>
              <w:t xml:space="preserve">slow in forthcoming. Accordingly, whilst some national and multinational carbon markets such as the European ETS have </w:t>
            </w:r>
            <w:r w:rsidR="00C85B67">
              <w:rPr>
                <w:rFonts w:ascii="Calibri" w:hAnsi="Calibri" w:cs="Calibri"/>
                <w:color w:val="000000"/>
                <w:sz w:val="22"/>
                <w:szCs w:val="22"/>
              </w:rPr>
              <w:t xml:space="preserve">provided valuable guidance on pricing of emission reductions on national and multinational level, the international level has not progressed. </w:t>
            </w:r>
            <w:r w:rsidR="00187C79">
              <w:rPr>
                <w:rFonts w:ascii="Calibri" w:hAnsi="Calibri" w:cs="Calibri"/>
                <w:color w:val="000000"/>
                <w:sz w:val="22"/>
                <w:szCs w:val="22"/>
              </w:rPr>
              <w:t xml:space="preserve">Also, from now until 2050 a very substantial amount of investment </w:t>
            </w:r>
            <w:r w:rsidR="00874ECB">
              <w:rPr>
                <w:rFonts w:ascii="Calibri" w:hAnsi="Calibri" w:cs="Calibri"/>
                <w:color w:val="000000"/>
                <w:sz w:val="22"/>
                <w:szCs w:val="22"/>
              </w:rPr>
              <w:t xml:space="preserve">is likely be particularly helpful to mitigate climate action, so that </w:t>
            </w:r>
            <w:r w:rsidR="00E41E28">
              <w:rPr>
                <w:rFonts w:ascii="Calibri" w:hAnsi="Calibri" w:cs="Calibri"/>
                <w:color w:val="000000"/>
                <w:sz w:val="22"/>
                <w:szCs w:val="22"/>
              </w:rPr>
              <w:t xml:space="preserve">increasing stability in the period thereafter to the detriment of earlier investment appears to be particularly counterproductive. </w:t>
            </w:r>
            <w:r w:rsidR="000A629F">
              <w:rPr>
                <w:rFonts w:ascii="Calibri" w:hAnsi="Calibri" w:cs="Calibri"/>
                <w:color w:val="000000"/>
                <w:sz w:val="22"/>
                <w:szCs w:val="22"/>
              </w:rPr>
              <w:t xml:space="preserve">Furthermore, the more project activity occurs under Art. 6.4, the easier the obligations contained in the various NDCs </w:t>
            </w:r>
            <w:r w:rsidR="00C86F3F">
              <w:rPr>
                <w:rFonts w:ascii="Calibri" w:hAnsi="Calibri" w:cs="Calibri"/>
                <w:color w:val="000000"/>
                <w:sz w:val="22"/>
                <w:szCs w:val="22"/>
              </w:rPr>
              <w:t xml:space="preserve">can be aligned. </w:t>
            </w:r>
            <w:r w:rsidR="00E41E28">
              <w:rPr>
                <w:rFonts w:ascii="Calibri" w:hAnsi="Calibri" w:cs="Calibri"/>
                <w:color w:val="000000"/>
                <w:sz w:val="22"/>
                <w:szCs w:val="22"/>
              </w:rPr>
              <w:t xml:space="preserve">Last not least, the </w:t>
            </w:r>
            <w:r w:rsidR="00E7638F">
              <w:rPr>
                <w:rFonts w:ascii="Calibri" w:hAnsi="Calibri" w:cs="Calibri"/>
                <w:color w:val="000000"/>
                <w:sz w:val="22"/>
                <w:szCs w:val="22"/>
              </w:rPr>
              <w:t xml:space="preserve">negative </w:t>
            </w:r>
            <w:r w:rsidR="00E41E28">
              <w:rPr>
                <w:rFonts w:ascii="Calibri" w:hAnsi="Calibri" w:cs="Calibri"/>
                <w:color w:val="000000"/>
                <w:sz w:val="22"/>
                <w:szCs w:val="22"/>
              </w:rPr>
              <w:t>approach of the Trump administration</w:t>
            </w:r>
            <w:r w:rsidR="00E7638F">
              <w:rPr>
                <w:rFonts w:ascii="Calibri" w:hAnsi="Calibri" w:cs="Calibri"/>
                <w:color w:val="000000"/>
                <w:sz w:val="22"/>
                <w:szCs w:val="22"/>
              </w:rPr>
              <w:t xml:space="preserve"> towards climate change policy suggests furthering quick action, which </w:t>
            </w:r>
            <w:r w:rsidR="0013286E">
              <w:rPr>
                <w:rFonts w:ascii="Calibri" w:hAnsi="Calibri" w:cs="Calibri"/>
                <w:color w:val="000000"/>
                <w:sz w:val="22"/>
                <w:szCs w:val="22"/>
              </w:rPr>
              <w:t xml:space="preserve">Appendices 1 and 2 do not support. </w:t>
            </w:r>
          </w:p>
          <w:p w14:paraId="225FF82D" w14:textId="77777777" w:rsidR="006F0CF4" w:rsidRDefault="006F0CF4"/>
          <w:p w14:paraId="56C0992F" w14:textId="4971B0AF" w:rsidR="006F0CF4" w:rsidRDefault="006F0CF4">
            <w:pPr>
              <w:pStyle w:val="NormalWeb"/>
              <w:spacing w:before="0" w:beforeAutospacing="0" w:after="0" w:afterAutospacing="0"/>
            </w:pPr>
            <w:r>
              <w:rPr>
                <w:rFonts w:ascii="Calibri" w:hAnsi="Calibri" w:cs="Calibri"/>
                <w:color w:val="000000"/>
                <w:sz w:val="22"/>
                <w:szCs w:val="22"/>
              </w:rPr>
              <w:t>Existing models, such as durability requirements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40 years from the start of the project), combined with </w:t>
            </w:r>
            <w:r>
              <w:rPr>
                <w:rFonts w:ascii="Calibri" w:hAnsi="Calibri" w:cs="Calibri"/>
                <w:b/>
                <w:bCs/>
                <w:color w:val="000000"/>
                <w:sz w:val="22"/>
                <w:szCs w:val="22"/>
              </w:rPr>
              <w:t xml:space="preserve">options </w:t>
            </w:r>
            <w:r>
              <w:rPr>
                <w:rFonts w:ascii="Calibri" w:hAnsi="Calibri" w:cs="Calibri"/>
                <w:color w:val="000000"/>
                <w:sz w:val="22"/>
                <w:szCs w:val="22"/>
              </w:rPr>
              <w:t xml:space="preserve">for post-crediting assurance, including reasonable monitoring periods </w:t>
            </w:r>
            <w:r>
              <w:rPr>
                <w:rFonts w:ascii="Calibri" w:hAnsi="Calibri" w:cs="Calibri"/>
                <w:b/>
                <w:bCs/>
                <w:color w:val="000000"/>
                <w:sz w:val="22"/>
                <w:szCs w:val="22"/>
              </w:rPr>
              <w:t>or</w:t>
            </w:r>
            <w:r>
              <w:rPr>
                <w:rFonts w:ascii="Calibri" w:hAnsi="Calibri" w:cs="Calibri"/>
                <w:color w:val="000000"/>
                <w:sz w:val="22"/>
                <w:szCs w:val="22"/>
              </w:rPr>
              <w:t xml:space="preserve"> buffer cancellations </w:t>
            </w:r>
            <w:r>
              <w:rPr>
                <w:rFonts w:ascii="Calibri" w:hAnsi="Calibri" w:cs="Calibri"/>
                <w:b/>
                <w:bCs/>
                <w:color w:val="000000"/>
                <w:sz w:val="22"/>
                <w:szCs w:val="22"/>
              </w:rPr>
              <w:t>or</w:t>
            </w:r>
            <w:r>
              <w:rPr>
                <w:rFonts w:ascii="Calibri" w:hAnsi="Calibri" w:cs="Calibri"/>
                <w:color w:val="000000"/>
                <w:sz w:val="22"/>
                <w:szCs w:val="22"/>
              </w:rPr>
              <w:t xml:space="preserve"> </w:t>
            </w:r>
            <w:r w:rsidR="00837B27">
              <w:rPr>
                <w:rFonts w:ascii="Calibri" w:hAnsi="Calibri" w:cs="Calibri"/>
                <w:color w:val="000000"/>
                <w:sz w:val="22"/>
                <w:szCs w:val="22"/>
              </w:rPr>
              <w:t xml:space="preserve">all sorts </w:t>
            </w:r>
            <w:r>
              <w:rPr>
                <w:rFonts w:ascii="Calibri" w:hAnsi="Calibri" w:cs="Calibri"/>
                <w:color w:val="000000"/>
                <w:sz w:val="22"/>
                <w:szCs w:val="22"/>
              </w:rPr>
              <w:t xml:space="preserve">insurance mechanisms </w:t>
            </w:r>
            <w:r>
              <w:rPr>
                <w:rFonts w:ascii="Calibri" w:hAnsi="Calibri" w:cs="Calibri"/>
                <w:b/>
                <w:bCs/>
                <w:color w:val="000000"/>
                <w:sz w:val="22"/>
                <w:szCs w:val="22"/>
              </w:rPr>
              <w:t>or</w:t>
            </w:r>
            <w:r>
              <w:rPr>
                <w:rFonts w:ascii="Calibri" w:hAnsi="Calibri" w:cs="Calibri"/>
                <w:color w:val="000000"/>
                <w:sz w:val="22"/>
                <w:szCs w:val="22"/>
              </w:rPr>
              <w:t xml:space="preserve"> permanence trust funds to manage long-term reversals </w:t>
            </w:r>
            <w:r>
              <w:rPr>
                <w:rFonts w:ascii="Calibri" w:hAnsi="Calibri" w:cs="Calibri"/>
                <w:b/>
                <w:bCs/>
                <w:color w:val="000000"/>
                <w:sz w:val="22"/>
                <w:szCs w:val="22"/>
              </w:rPr>
              <w:t>or</w:t>
            </w:r>
            <w:r>
              <w:rPr>
                <w:rFonts w:ascii="Calibri" w:hAnsi="Calibri" w:cs="Calibri"/>
                <w:color w:val="000000"/>
                <w:sz w:val="22"/>
                <w:szCs w:val="22"/>
              </w:rPr>
              <w:t xml:space="preserve"> other innovations</w:t>
            </w:r>
            <w:r w:rsidR="0068081C">
              <w:rPr>
                <w:rFonts w:ascii="Calibri" w:hAnsi="Calibri" w:cs="Calibri"/>
                <w:color w:val="000000"/>
                <w:sz w:val="22"/>
                <w:szCs w:val="22"/>
              </w:rPr>
              <w:t xml:space="preserve"> </w:t>
            </w:r>
            <w:r w:rsidR="0068081C" w:rsidRPr="00B32A48">
              <w:rPr>
                <w:rFonts w:ascii="Calibri" w:hAnsi="Calibri" w:cs="Calibri"/>
                <w:b/>
                <w:bCs/>
                <w:color w:val="000000"/>
                <w:sz w:val="22"/>
                <w:szCs w:val="22"/>
              </w:rPr>
              <w:t>or</w:t>
            </w:r>
            <w:r w:rsidR="0068081C">
              <w:rPr>
                <w:rFonts w:ascii="Calibri" w:hAnsi="Calibri" w:cs="Calibri"/>
                <w:color w:val="000000"/>
                <w:sz w:val="22"/>
                <w:szCs w:val="22"/>
              </w:rPr>
              <w:t xml:space="preserve"> </w:t>
            </w:r>
            <w:r>
              <w:rPr>
                <w:rFonts w:ascii="Calibri" w:hAnsi="Calibri" w:cs="Calibri"/>
                <w:color w:val="000000"/>
                <w:sz w:val="22"/>
                <w:szCs w:val="22"/>
              </w:rPr>
              <w:t xml:space="preserve">  </w:t>
            </w:r>
            <w:r w:rsidR="006E268A">
              <w:rPr>
                <w:rFonts w:ascii="Calibri" w:hAnsi="Calibri" w:cs="Calibri"/>
                <w:color w:val="000000"/>
                <w:sz w:val="22"/>
                <w:szCs w:val="22"/>
              </w:rPr>
              <w:t>commitments by sovereigns or quasi-sovereigns</w:t>
            </w:r>
            <w:r>
              <w:rPr>
                <w:rFonts w:ascii="Calibri" w:hAnsi="Calibri" w:cs="Calibri"/>
                <w:color w:val="000000"/>
                <w:sz w:val="22"/>
                <w:szCs w:val="22"/>
              </w:rPr>
              <w:t>– offer a more realistic and enforceable means of managing non-permanence risk, while allowing high-quality nature credits to benefit from much-needed finance to meet the goals of the Paris Agreement.</w:t>
            </w:r>
            <w:r w:rsidR="00D30958">
              <w:rPr>
                <w:rFonts w:ascii="Calibri" w:hAnsi="Calibri" w:cs="Calibri"/>
                <w:color w:val="000000"/>
                <w:sz w:val="22"/>
                <w:szCs w:val="22"/>
              </w:rPr>
              <w:t xml:space="preserve"> The more </w:t>
            </w:r>
            <w:r w:rsidR="006E268A">
              <w:rPr>
                <w:rFonts w:ascii="Calibri" w:hAnsi="Calibri" w:cs="Calibri"/>
                <w:color w:val="000000"/>
                <w:sz w:val="22"/>
                <w:szCs w:val="22"/>
              </w:rPr>
              <w:t>the mentioned</w:t>
            </w:r>
            <w:r w:rsidR="00D30958">
              <w:rPr>
                <w:rFonts w:ascii="Calibri" w:hAnsi="Calibri" w:cs="Calibri"/>
                <w:color w:val="000000"/>
                <w:sz w:val="22"/>
                <w:szCs w:val="22"/>
              </w:rPr>
              <w:t xml:space="preserve"> mechanisms are used </w:t>
            </w:r>
            <w:proofErr w:type="gramStart"/>
            <w:r w:rsidR="00D30958">
              <w:rPr>
                <w:rFonts w:ascii="Calibri" w:hAnsi="Calibri" w:cs="Calibri"/>
                <w:color w:val="000000"/>
                <w:sz w:val="22"/>
                <w:szCs w:val="22"/>
              </w:rPr>
              <w:t>in particular in</w:t>
            </w:r>
            <w:proofErr w:type="gramEnd"/>
            <w:r w:rsidR="00D30958">
              <w:rPr>
                <w:rFonts w:ascii="Calibri" w:hAnsi="Calibri" w:cs="Calibri"/>
                <w:color w:val="000000"/>
                <w:sz w:val="22"/>
                <w:szCs w:val="22"/>
              </w:rPr>
              <w:t xml:space="preserve"> a</w:t>
            </w:r>
            <w:r w:rsidR="006E268A">
              <w:rPr>
                <w:rFonts w:ascii="Calibri" w:hAnsi="Calibri" w:cs="Calibri"/>
                <w:color w:val="000000"/>
                <w:sz w:val="22"/>
                <w:szCs w:val="22"/>
              </w:rPr>
              <w:t xml:space="preserve">n </w:t>
            </w:r>
            <w:r w:rsidR="00D30958">
              <w:rPr>
                <w:rFonts w:ascii="Calibri" w:hAnsi="Calibri" w:cs="Calibri"/>
                <w:color w:val="000000"/>
                <w:sz w:val="22"/>
                <w:szCs w:val="22"/>
              </w:rPr>
              <w:t>environment as</w:t>
            </w:r>
            <w:r w:rsidR="006E268A">
              <w:rPr>
                <w:rFonts w:ascii="Calibri" w:hAnsi="Calibri" w:cs="Calibri"/>
                <w:color w:val="000000"/>
                <w:sz w:val="22"/>
                <w:szCs w:val="22"/>
              </w:rPr>
              <w:t xml:space="preserve"> regulated</w:t>
            </w:r>
            <w:r w:rsidR="00D30958">
              <w:rPr>
                <w:rFonts w:ascii="Calibri" w:hAnsi="Calibri" w:cs="Calibri"/>
                <w:color w:val="000000"/>
                <w:sz w:val="22"/>
                <w:szCs w:val="22"/>
              </w:rPr>
              <w:t xml:space="preserve"> the </w:t>
            </w:r>
            <w:r w:rsidR="00B13E21">
              <w:rPr>
                <w:rFonts w:ascii="Calibri" w:hAnsi="Calibri" w:cs="Calibri"/>
                <w:color w:val="000000"/>
                <w:sz w:val="22"/>
                <w:szCs w:val="22"/>
              </w:rPr>
              <w:t xml:space="preserve">one </w:t>
            </w:r>
            <w:r w:rsidR="00D30958">
              <w:rPr>
                <w:rFonts w:ascii="Calibri" w:hAnsi="Calibri" w:cs="Calibri"/>
                <w:color w:val="000000"/>
                <w:sz w:val="22"/>
                <w:szCs w:val="22"/>
              </w:rPr>
              <w:t>Art. 6.4</w:t>
            </w:r>
            <w:r w:rsidR="00A8149C">
              <w:rPr>
                <w:rFonts w:ascii="Calibri" w:hAnsi="Calibri" w:cs="Calibri"/>
                <w:color w:val="000000"/>
                <w:sz w:val="22"/>
                <w:szCs w:val="22"/>
              </w:rPr>
              <w:t xml:space="preserve"> provides, the more such mechanisms </w:t>
            </w:r>
            <w:r w:rsidR="00A8149C">
              <w:rPr>
                <w:rFonts w:ascii="Calibri" w:hAnsi="Calibri" w:cs="Calibri"/>
                <w:color w:val="000000"/>
                <w:sz w:val="22"/>
                <w:szCs w:val="22"/>
              </w:rPr>
              <w:lastRenderedPageBreak/>
              <w:t>can be priced and further other climate related markets, which given the climate crisis is of major importance.</w:t>
            </w:r>
          </w:p>
          <w:p w14:paraId="35C17AD0" w14:textId="77777777" w:rsidR="006F0CF4" w:rsidRDefault="006F0CF4"/>
          <w:p w14:paraId="5A915620" w14:textId="2E5DD067" w:rsidR="006F0CF4" w:rsidRDefault="006F0CF4">
            <w:pPr>
              <w:pStyle w:val="NormalWeb"/>
              <w:spacing w:before="0" w:beforeAutospacing="0" w:after="0" w:afterAutospacing="0"/>
            </w:pPr>
            <w:r>
              <w:rPr>
                <w:rFonts w:ascii="Calibri" w:hAnsi="Calibri" w:cs="Calibri"/>
                <w:b/>
                <w:bCs/>
                <w:color w:val="000000"/>
                <w:sz w:val="22"/>
                <w:szCs w:val="22"/>
              </w:rPr>
              <w:t>Appendix 3</w:t>
            </w:r>
            <w:r>
              <w:rPr>
                <w:rFonts w:ascii="Calibri" w:hAnsi="Calibri" w:cs="Calibri"/>
                <w:color w:val="000000"/>
                <w:sz w:val="22"/>
                <w:szCs w:val="22"/>
              </w:rPr>
              <w:t xml:space="preserve"> provides a more workable requirement - a fixed monitoring period of 45 years from the date of final verification. </w:t>
            </w:r>
            <w:r w:rsidR="00A8149C">
              <w:rPr>
                <w:rFonts w:ascii="Calibri" w:hAnsi="Calibri" w:cs="Calibri"/>
                <w:color w:val="000000"/>
                <w:sz w:val="22"/>
                <w:szCs w:val="22"/>
              </w:rPr>
              <w:t>Whilst</w:t>
            </w:r>
            <w:r>
              <w:rPr>
                <w:rFonts w:ascii="Calibri" w:hAnsi="Calibri" w:cs="Calibri"/>
                <w:color w:val="000000"/>
                <w:sz w:val="22"/>
                <w:szCs w:val="22"/>
              </w:rPr>
              <w:t xml:space="preserve"> this</w:t>
            </w:r>
            <w:r w:rsidR="00A8149C">
              <w:rPr>
                <w:rFonts w:ascii="Calibri" w:hAnsi="Calibri" w:cs="Calibri"/>
                <w:color w:val="000000"/>
                <w:sz w:val="22"/>
                <w:szCs w:val="22"/>
              </w:rPr>
              <w:t>, depending on the project,</w:t>
            </w:r>
            <w:r>
              <w:rPr>
                <w:rFonts w:ascii="Calibri" w:hAnsi="Calibri" w:cs="Calibri"/>
                <w:color w:val="000000"/>
                <w:sz w:val="22"/>
                <w:szCs w:val="22"/>
              </w:rPr>
              <w:t xml:space="preserve"> may still be </w:t>
            </w:r>
            <w:r w:rsidR="00E970B9">
              <w:rPr>
                <w:rFonts w:ascii="Calibri" w:hAnsi="Calibri" w:cs="Calibri"/>
                <w:color w:val="000000"/>
                <w:sz w:val="22"/>
                <w:szCs w:val="22"/>
              </w:rPr>
              <w:t xml:space="preserve">out of proportion, </w:t>
            </w:r>
            <w:proofErr w:type="gramStart"/>
            <w:r w:rsidR="00E970B9">
              <w:rPr>
                <w:rFonts w:ascii="Calibri" w:hAnsi="Calibri" w:cs="Calibri"/>
                <w:color w:val="000000"/>
                <w:sz w:val="22"/>
                <w:szCs w:val="22"/>
              </w:rPr>
              <w:t xml:space="preserve">in particular </w:t>
            </w:r>
            <w:r>
              <w:rPr>
                <w:rFonts w:ascii="Calibri" w:hAnsi="Calibri" w:cs="Calibri"/>
                <w:color w:val="000000"/>
                <w:sz w:val="22"/>
                <w:szCs w:val="22"/>
              </w:rPr>
              <w:t>if</w:t>
            </w:r>
            <w:proofErr w:type="gramEnd"/>
            <w:r>
              <w:rPr>
                <w:rFonts w:ascii="Calibri" w:hAnsi="Calibri" w:cs="Calibri"/>
                <w:color w:val="000000"/>
                <w:sz w:val="22"/>
                <w:szCs w:val="22"/>
              </w:rPr>
              <w:t xml:space="preserve"> the crediting period of the project is already long.</w:t>
            </w:r>
            <w:r w:rsidR="00E970B9">
              <w:rPr>
                <w:rFonts w:ascii="Calibri" w:hAnsi="Calibri" w:cs="Calibri"/>
                <w:color w:val="000000"/>
                <w:sz w:val="22"/>
                <w:szCs w:val="22"/>
              </w:rPr>
              <w:t xml:space="preserve"> Furthermore, as mentioned for Appendix 1 and 2 above, Appendix </w:t>
            </w:r>
            <w:proofErr w:type="gramStart"/>
            <w:r w:rsidR="00E970B9">
              <w:rPr>
                <w:rFonts w:ascii="Calibri" w:hAnsi="Calibri" w:cs="Calibri"/>
                <w:color w:val="000000"/>
                <w:sz w:val="22"/>
                <w:szCs w:val="22"/>
              </w:rPr>
              <w:t xml:space="preserve">3 </w:t>
            </w:r>
            <w:r>
              <w:rPr>
                <w:rFonts w:ascii="Calibri" w:hAnsi="Calibri" w:cs="Calibri"/>
                <w:color w:val="000000"/>
                <w:sz w:val="22"/>
                <w:szCs w:val="22"/>
              </w:rPr>
              <w:t xml:space="preserve"> should</w:t>
            </w:r>
            <w:proofErr w:type="gramEnd"/>
            <w:r>
              <w:rPr>
                <w:rFonts w:ascii="Calibri" w:hAnsi="Calibri" w:cs="Calibri"/>
                <w:color w:val="000000"/>
                <w:sz w:val="22"/>
                <w:szCs w:val="22"/>
              </w:rPr>
              <w:t xml:space="preserve"> </w:t>
            </w:r>
            <w:r w:rsidR="00E970B9">
              <w:rPr>
                <w:rFonts w:ascii="Calibri" w:hAnsi="Calibri" w:cs="Calibri"/>
                <w:color w:val="000000"/>
                <w:sz w:val="22"/>
                <w:szCs w:val="22"/>
              </w:rPr>
              <w:t xml:space="preserve">also allow for the numerous </w:t>
            </w:r>
            <w:r>
              <w:rPr>
                <w:rFonts w:ascii="Calibri" w:hAnsi="Calibri" w:cs="Calibri"/>
                <w:color w:val="000000"/>
                <w:sz w:val="22"/>
                <w:szCs w:val="22"/>
              </w:rPr>
              <w:t xml:space="preserve">alternatives </w:t>
            </w:r>
            <w:r w:rsidR="00E970B9">
              <w:rPr>
                <w:rFonts w:ascii="Calibri" w:hAnsi="Calibri" w:cs="Calibri"/>
                <w:color w:val="000000"/>
                <w:sz w:val="22"/>
                <w:szCs w:val="22"/>
              </w:rPr>
              <w:t xml:space="preserve">for </w:t>
            </w:r>
            <w:r>
              <w:rPr>
                <w:rFonts w:ascii="Calibri" w:hAnsi="Calibri" w:cs="Calibri"/>
                <w:color w:val="000000"/>
                <w:sz w:val="22"/>
                <w:szCs w:val="22"/>
              </w:rPr>
              <w:t>post-crediting assurance</w:t>
            </w:r>
            <w:r w:rsidR="00E970B9">
              <w:rPr>
                <w:rFonts w:ascii="Calibri" w:hAnsi="Calibri" w:cs="Calibri"/>
                <w:color w:val="000000"/>
                <w:sz w:val="22"/>
                <w:szCs w:val="22"/>
              </w:rPr>
              <w:t>.</w:t>
            </w:r>
          </w:p>
          <w:p w14:paraId="14A1FE4B" w14:textId="77777777" w:rsidR="006F0CF4" w:rsidRDefault="006F0CF4">
            <w:pPr>
              <w:pStyle w:val="NormalWeb"/>
              <w:spacing w:before="0" w:beforeAutospacing="0" w:after="0" w:afterAutospacing="0"/>
            </w:pPr>
            <w:r>
              <w:rPr>
                <w:rFonts w:ascii="Calibri" w:hAnsi="Calibri" w:cs="Calibri"/>
                <w:color w:val="000000"/>
                <w:sz w:val="22"/>
                <w:szCs w:val="22"/>
              </w:rPr>
              <w:t> </w:t>
            </w:r>
          </w:p>
          <w:p w14:paraId="25A52F9B" w14:textId="7DDC53A4" w:rsidR="006F0CF4" w:rsidRDefault="006F0CF4">
            <w:pPr>
              <w:pStyle w:val="NormalWeb"/>
              <w:spacing w:before="0" w:beforeAutospacing="0" w:after="0" w:afterAutospacing="0"/>
            </w:pPr>
          </w:p>
        </w:tc>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E26A9" w14:textId="72BCB5C3" w:rsidR="00FC22C7" w:rsidRDefault="001B22CC">
            <w:pPr>
              <w:pStyle w:val="NormalWeb"/>
              <w:spacing w:before="0" w:beforeAutospacing="0" w:after="0" w:afterAutospacing="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I generally </w:t>
            </w:r>
            <w:r w:rsidR="006F0CF4">
              <w:rPr>
                <w:rFonts w:ascii="Calibri" w:hAnsi="Calibri" w:cs="Calibri"/>
                <w:color w:val="000000"/>
                <w:sz w:val="22"/>
                <w:szCs w:val="22"/>
                <w:shd w:val="clear" w:color="auto" w:fill="FFFFFF"/>
              </w:rPr>
              <w:t xml:space="preserve">support the adoption of </w:t>
            </w:r>
            <w:r w:rsidR="006F0CF4">
              <w:rPr>
                <w:rFonts w:ascii="Calibri" w:hAnsi="Calibri" w:cs="Calibri"/>
                <w:b/>
                <w:bCs/>
                <w:color w:val="000000"/>
                <w:sz w:val="22"/>
                <w:szCs w:val="22"/>
                <w:shd w:val="clear" w:color="auto" w:fill="FFFFFF"/>
              </w:rPr>
              <w:t>Appendix 3</w:t>
            </w:r>
            <w:r>
              <w:rPr>
                <w:rFonts w:ascii="Calibri" w:hAnsi="Calibri" w:cs="Calibri"/>
                <w:b/>
                <w:bCs/>
                <w:color w:val="000000"/>
                <w:sz w:val="22"/>
                <w:szCs w:val="22"/>
                <w:shd w:val="clear" w:color="auto" w:fill="FFFFFF"/>
              </w:rPr>
              <w:t xml:space="preserve"> </w:t>
            </w:r>
            <w:r w:rsidR="00C653A2">
              <w:rPr>
                <w:rFonts w:ascii="Calibri" w:hAnsi="Calibri" w:cs="Calibri"/>
                <w:color w:val="000000"/>
                <w:sz w:val="22"/>
                <w:szCs w:val="22"/>
                <w:shd w:val="clear" w:color="auto" w:fill="FFFFFF"/>
              </w:rPr>
              <w:t xml:space="preserve">as being much more likely to </w:t>
            </w:r>
            <w:r w:rsidR="006557D3">
              <w:rPr>
                <w:rFonts w:ascii="Calibri" w:hAnsi="Calibri" w:cs="Calibri"/>
                <w:color w:val="000000"/>
                <w:sz w:val="22"/>
                <w:szCs w:val="22"/>
                <w:shd w:val="clear" w:color="auto" w:fill="FFFFFF"/>
              </w:rPr>
              <w:t>further projects</w:t>
            </w:r>
            <w:r w:rsidR="0021513A">
              <w:rPr>
                <w:rFonts w:ascii="Calibri" w:hAnsi="Calibri" w:cs="Calibri"/>
                <w:color w:val="000000"/>
                <w:sz w:val="22"/>
                <w:szCs w:val="22"/>
                <w:shd w:val="clear" w:color="auto" w:fill="FFFFFF"/>
              </w:rPr>
              <w:t xml:space="preserve">, </w:t>
            </w:r>
            <w:r w:rsidR="00FC22C7">
              <w:rPr>
                <w:rFonts w:ascii="Calibri" w:hAnsi="Calibri" w:cs="Calibri"/>
                <w:color w:val="000000"/>
                <w:sz w:val="22"/>
                <w:szCs w:val="22"/>
                <w:shd w:val="clear" w:color="auto" w:fill="FFFFFF"/>
              </w:rPr>
              <w:t xml:space="preserve">allowing different </w:t>
            </w:r>
            <w:r w:rsidR="0021513A">
              <w:rPr>
                <w:rFonts w:ascii="Calibri" w:hAnsi="Calibri" w:cs="Calibri"/>
                <w:color w:val="000000"/>
                <w:sz w:val="22"/>
                <w:szCs w:val="22"/>
                <w:shd w:val="clear" w:color="auto" w:fill="FFFFFF"/>
              </w:rPr>
              <w:t>types</w:t>
            </w:r>
            <w:r w:rsidR="00FC22C7">
              <w:rPr>
                <w:rFonts w:ascii="Calibri" w:hAnsi="Calibri" w:cs="Calibri"/>
                <w:color w:val="000000"/>
                <w:sz w:val="22"/>
                <w:szCs w:val="22"/>
                <w:shd w:val="clear" w:color="auto" w:fill="FFFFFF"/>
              </w:rPr>
              <w:t xml:space="preserve"> of projects, </w:t>
            </w:r>
            <w:r w:rsidR="0021513A">
              <w:rPr>
                <w:rFonts w:ascii="Calibri" w:hAnsi="Calibri" w:cs="Calibri"/>
                <w:color w:val="000000"/>
                <w:sz w:val="22"/>
                <w:szCs w:val="22"/>
                <w:shd w:val="clear" w:color="auto" w:fill="FFFFFF"/>
              </w:rPr>
              <w:t xml:space="preserve">simplifying </w:t>
            </w:r>
            <w:r w:rsidR="00BC3138">
              <w:rPr>
                <w:rFonts w:ascii="Calibri" w:hAnsi="Calibri" w:cs="Calibri"/>
                <w:color w:val="000000"/>
                <w:sz w:val="22"/>
                <w:szCs w:val="22"/>
                <w:shd w:val="clear" w:color="auto" w:fill="FFFFFF"/>
              </w:rPr>
              <w:t xml:space="preserve">reporting responsibilities, </w:t>
            </w:r>
            <w:r w:rsidR="006F0CF4">
              <w:rPr>
                <w:rFonts w:ascii="Calibri" w:hAnsi="Calibri" w:cs="Calibri"/>
                <w:color w:val="000000"/>
                <w:sz w:val="22"/>
                <w:szCs w:val="22"/>
                <w:shd w:val="clear" w:color="auto" w:fill="FFFFFF"/>
              </w:rPr>
              <w:t xml:space="preserve">noting that </w:t>
            </w:r>
            <w:r w:rsidR="006557D3">
              <w:rPr>
                <w:rFonts w:ascii="Calibri" w:hAnsi="Calibri" w:cs="Calibri"/>
                <w:color w:val="000000"/>
                <w:sz w:val="22"/>
                <w:szCs w:val="22"/>
                <w:shd w:val="clear" w:color="auto" w:fill="FFFFFF"/>
              </w:rPr>
              <w:t xml:space="preserve">further work </w:t>
            </w:r>
            <w:r w:rsidR="006F0CF4">
              <w:rPr>
                <w:rFonts w:ascii="Calibri" w:hAnsi="Calibri" w:cs="Calibri"/>
                <w:color w:val="000000"/>
                <w:sz w:val="22"/>
                <w:szCs w:val="22"/>
                <w:shd w:val="clear" w:color="auto" w:fill="FFFFFF"/>
              </w:rPr>
              <w:t xml:space="preserve">to make Article 6.4 open to </w:t>
            </w:r>
            <w:r w:rsidR="006557D3">
              <w:rPr>
                <w:rFonts w:ascii="Calibri" w:hAnsi="Calibri" w:cs="Calibri"/>
                <w:color w:val="000000"/>
                <w:sz w:val="22"/>
                <w:szCs w:val="22"/>
                <w:shd w:val="clear" w:color="auto" w:fill="FFFFFF"/>
              </w:rPr>
              <w:t>a broad range of</w:t>
            </w:r>
            <w:r w:rsidR="006557D3">
              <w:rPr>
                <w:rFonts w:ascii="Calibri" w:hAnsi="Calibri" w:cs="Calibri"/>
                <w:color w:val="000000"/>
                <w:sz w:val="22"/>
                <w:szCs w:val="22"/>
                <w:shd w:val="clear" w:color="auto" w:fill="FFFFFF"/>
              </w:rPr>
              <w:t xml:space="preserve"> </w:t>
            </w:r>
            <w:r w:rsidR="006F0CF4">
              <w:rPr>
                <w:rFonts w:ascii="Calibri" w:hAnsi="Calibri" w:cs="Calibri"/>
                <w:color w:val="000000"/>
                <w:sz w:val="22"/>
                <w:szCs w:val="22"/>
                <w:shd w:val="clear" w:color="auto" w:fill="FFFFFF"/>
              </w:rPr>
              <w:t>nature and engineering-based activities</w:t>
            </w:r>
            <w:r w:rsidR="006557D3">
              <w:rPr>
                <w:rFonts w:ascii="Calibri" w:hAnsi="Calibri" w:cs="Calibri"/>
                <w:color w:val="000000"/>
                <w:sz w:val="22"/>
                <w:szCs w:val="22"/>
                <w:shd w:val="clear" w:color="auto" w:fill="FFFFFF"/>
              </w:rPr>
              <w:t xml:space="preserve"> </w:t>
            </w:r>
            <w:r w:rsidR="002B37D8">
              <w:rPr>
                <w:rFonts w:ascii="Calibri" w:hAnsi="Calibri" w:cs="Calibri"/>
                <w:color w:val="000000"/>
                <w:sz w:val="22"/>
                <w:szCs w:val="22"/>
                <w:shd w:val="clear" w:color="auto" w:fill="FFFFFF"/>
              </w:rPr>
              <w:t xml:space="preserve">would be </w:t>
            </w:r>
            <w:r w:rsidR="00FC22C7">
              <w:rPr>
                <w:rFonts w:ascii="Calibri" w:hAnsi="Calibri" w:cs="Calibri"/>
                <w:color w:val="000000"/>
                <w:sz w:val="22"/>
                <w:szCs w:val="22"/>
                <w:shd w:val="clear" w:color="auto" w:fill="FFFFFF"/>
              </w:rPr>
              <w:t>favored</w:t>
            </w:r>
            <w:r w:rsidR="006F0CF4">
              <w:rPr>
                <w:rFonts w:ascii="Calibri" w:hAnsi="Calibri" w:cs="Calibri"/>
                <w:color w:val="000000"/>
                <w:sz w:val="22"/>
                <w:szCs w:val="22"/>
                <w:shd w:val="clear" w:color="auto" w:fill="FFFFFF"/>
              </w:rPr>
              <w:t>.</w:t>
            </w:r>
          </w:p>
          <w:p w14:paraId="4D20152A" w14:textId="4C95EEBA" w:rsidR="006F0CF4" w:rsidRDefault="006F0CF4">
            <w:pPr>
              <w:pStyle w:val="NormalWeb"/>
              <w:spacing w:before="0" w:beforeAutospacing="0" w:after="0" w:afterAutospacing="0"/>
            </w:pPr>
          </w:p>
        </w:tc>
      </w:tr>
      <w:tr w:rsidR="006F0CF4" w14:paraId="2EAA19A3" w14:textId="77777777" w:rsidTr="003E34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111F4" w14:textId="77777777" w:rsidR="006F0CF4" w:rsidRDefault="006F0CF4">
            <w:pPr>
              <w:pStyle w:val="NormalWeb"/>
              <w:spacing w:before="0" w:beforeAutospacing="0" w:after="0" w:afterAutospacing="0"/>
            </w:pPr>
            <w:r>
              <w:rPr>
                <w:rFonts w:ascii="Calibri" w:hAnsi="Calibri" w:cs="Calibri"/>
                <w:b/>
                <w:bCs/>
                <w:color w:val="000000"/>
                <w:sz w:val="22"/>
                <w:szCs w:val="22"/>
              </w:rPr>
              <w:lastRenderedPageBreak/>
              <w:t>Negligible Risk of Reversals: </w:t>
            </w:r>
          </w:p>
          <w:p w14:paraId="6B2A7EAD" w14:textId="77777777" w:rsidR="006F0CF4" w:rsidRDefault="006F0CF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AA629" w14:textId="77777777" w:rsidR="006F0CF4" w:rsidRPr="00EC406C" w:rsidRDefault="006F0CF4">
            <w:pPr>
              <w:pStyle w:val="NormalWeb"/>
              <w:spacing w:before="0" w:beforeAutospacing="0" w:after="0" w:afterAutospacing="0"/>
              <w:rPr>
                <w:lang w:val="fr-FR"/>
              </w:rPr>
            </w:pPr>
            <w:r w:rsidRPr="00EC406C">
              <w:rPr>
                <w:rFonts w:ascii="Calibri" w:hAnsi="Calibri" w:cs="Calibri"/>
                <w:color w:val="000000"/>
                <w:sz w:val="22"/>
                <w:szCs w:val="22"/>
                <w:lang w:val="fr-FR"/>
              </w:rPr>
              <w:t xml:space="preserve">Cover note, </w:t>
            </w:r>
            <w:proofErr w:type="spellStart"/>
            <w:r w:rsidRPr="00EC406C">
              <w:rPr>
                <w:rFonts w:ascii="Calibri" w:hAnsi="Calibri" w:cs="Calibri"/>
                <w:color w:val="000000"/>
                <w:sz w:val="22"/>
                <w:szCs w:val="22"/>
                <w:lang w:val="fr-FR"/>
              </w:rPr>
              <w:t>paragraph</w:t>
            </w:r>
            <w:proofErr w:type="spellEnd"/>
            <w:r w:rsidRPr="00EC406C">
              <w:rPr>
                <w:rFonts w:ascii="Calibri" w:hAnsi="Calibri" w:cs="Calibri"/>
                <w:color w:val="000000"/>
                <w:sz w:val="22"/>
                <w:szCs w:val="22"/>
                <w:lang w:val="fr-FR"/>
              </w:rPr>
              <w:t xml:space="preserve"> 19</w:t>
            </w:r>
          </w:p>
          <w:p w14:paraId="42D561B7" w14:textId="77777777" w:rsidR="006F0CF4" w:rsidRPr="00EC406C" w:rsidRDefault="006F0CF4">
            <w:pPr>
              <w:rPr>
                <w:lang w:val="fr-FR"/>
              </w:rPr>
            </w:pPr>
          </w:p>
          <w:p w14:paraId="0F1275C3" w14:textId="77777777" w:rsidR="006F0CF4" w:rsidRPr="00EC406C" w:rsidRDefault="006F0CF4">
            <w:pPr>
              <w:pStyle w:val="NormalWeb"/>
              <w:spacing w:before="0" w:beforeAutospacing="0" w:after="40" w:afterAutospacing="0"/>
              <w:rPr>
                <w:lang w:val="fr-FR"/>
              </w:rPr>
            </w:pPr>
            <w:r w:rsidRPr="00EC406C">
              <w:rPr>
                <w:rFonts w:ascii="Calibri" w:hAnsi="Calibri" w:cs="Calibri"/>
                <w:color w:val="000000"/>
                <w:sz w:val="22"/>
                <w:szCs w:val="22"/>
                <w:lang w:val="fr-FR"/>
              </w:rPr>
              <w:t xml:space="preserve">Appendix 1. Section 2, </w:t>
            </w:r>
            <w:proofErr w:type="spellStart"/>
            <w:r w:rsidRPr="00EC406C">
              <w:rPr>
                <w:rFonts w:ascii="Calibri" w:hAnsi="Calibri" w:cs="Calibri"/>
                <w:color w:val="000000"/>
                <w:sz w:val="22"/>
                <w:szCs w:val="22"/>
                <w:lang w:val="fr-FR"/>
              </w:rPr>
              <w:t>paragraph</w:t>
            </w:r>
            <w:proofErr w:type="spellEnd"/>
            <w:r w:rsidRPr="00EC406C">
              <w:rPr>
                <w:rFonts w:ascii="Calibri" w:hAnsi="Calibri" w:cs="Calibri"/>
                <w:color w:val="000000"/>
                <w:sz w:val="22"/>
                <w:szCs w:val="22"/>
                <w:lang w:val="fr-FR"/>
              </w:rPr>
              <w:t xml:space="preserve"> 3 (g)</w:t>
            </w:r>
          </w:p>
          <w:p w14:paraId="523C69DE" w14:textId="77777777" w:rsidR="006F0CF4" w:rsidRPr="00EC406C" w:rsidRDefault="006F0CF4">
            <w:pPr>
              <w:rPr>
                <w:lang w:val="fr-FR"/>
              </w:rPr>
            </w:pPr>
          </w:p>
          <w:p w14:paraId="72B6540B" w14:textId="77777777" w:rsidR="006F0CF4" w:rsidRDefault="006F0CF4">
            <w:pPr>
              <w:pStyle w:val="NormalWeb"/>
              <w:spacing w:before="0" w:beforeAutospacing="0" w:after="40" w:afterAutospacing="0"/>
            </w:pPr>
            <w:r>
              <w:rPr>
                <w:rFonts w:ascii="Calibri" w:hAnsi="Calibri" w:cs="Calibri"/>
                <w:color w:val="000000"/>
                <w:sz w:val="22"/>
                <w:szCs w:val="22"/>
              </w:rPr>
              <w:t>Appendix 2, Paragraphs 42 - 50</w:t>
            </w:r>
          </w:p>
          <w:p w14:paraId="57C32780" w14:textId="77777777" w:rsidR="006F0CF4" w:rsidRDefault="006F0CF4"/>
        </w:tc>
        <w:tc>
          <w:tcPr>
            <w:tcW w:w="5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F3CED" w14:textId="71FFEE2F" w:rsidR="006F0CF4" w:rsidRDefault="00DA0FBB">
            <w:pPr>
              <w:pStyle w:val="NormalWeb"/>
              <w:spacing w:before="0" w:beforeAutospacing="0" w:after="0" w:afterAutospacing="0"/>
            </w:pPr>
            <w:r>
              <w:rPr>
                <w:rFonts w:ascii="Calibri" w:hAnsi="Calibri" w:cs="Calibri"/>
                <w:color w:val="000000"/>
                <w:sz w:val="22"/>
                <w:szCs w:val="22"/>
                <w:lang w:val="en-GB"/>
              </w:rPr>
              <w:t>I believe t</w:t>
            </w:r>
            <w:r w:rsidR="008414E1">
              <w:rPr>
                <w:rFonts w:ascii="Calibri" w:hAnsi="Calibri" w:cs="Calibri"/>
                <w:color w:val="000000"/>
                <w:sz w:val="22"/>
                <w:szCs w:val="22"/>
                <w:lang w:val="en-GB"/>
              </w:rPr>
              <w:t xml:space="preserve">he </w:t>
            </w:r>
            <w:r w:rsidR="004E1D07">
              <w:rPr>
                <w:rFonts w:ascii="Calibri" w:hAnsi="Calibri" w:cs="Calibri"/>
                <w:color w:val="000000"/>
                <w:sz w:val="22"/>
                <w:szCs w:val="22"/>
                <w:lang w:val="en-GB"/>
              </w:rPr>
              <w:t xml:space="preserve">threshold for reversal set at a possible </w:t>
            </w:r>
            <w:r w:rsidR="006F0CF4">
              <w:rPr>
                <w:rFonts w:ascii="Calibri" w:hAnsi="Calibri" w:cs="Calibri"/>
                <w:color w:val="000000"/>
                <w:sz w:val="22"/>
                <w:szCs w:val="22"/>
              </w:rPr>
              <w:t xml:space="preserve">0.1% </w:t>
            </w:r>
            <w:r>
              <w:rPr>
                <w:rFonts w:ascii="Calibri" w:hAnsi="Calibri" w:cs="Calibri"/>
                <w:color w:val="000000"/>
                <w:sz w:val="22"/>
                <w:szCs w:val="22"/>
              </w:rPr>
              <w:t xml:space="preserve">is </w:t>
            </w:r>
            <w:r w:rsidR="0042137F">
              <w:rPr>
                <w:rFonts w:ascii="Calibri" w:hAnsi="Calibri" w:cs="Calibri"/>
                <w:color w:val="000000"/>
                <w:sz w:val="22"/>
                <w:szCs w:val="22"/>
              </w:rPr>
              <w:t xml:space="preserve">much too low. </w:t>
            </w:r>
          </w:p>
          <w:p w14:paraId="4D6151B9" w14:textId="77777777" w:rsidR="006F0CF4" w:rsidRDefault="006F0CF4">
            <w:pPr>
              <w:spacing w:after="240"/>
            </w:pPr>
          </w:p>
          <w:p w14:paraId="29890930" w14:textId="6BE677DE" w:rsidR="006F0CF4" w:rsidRDefault="006F0CF4">
            <w:pPr>
              <w:pStyle w:val="NormalWeb"/>
              <w:spacing w:before="0" w:beforeAutospacing="0" w:after="0" w:afterAutospacing="0"/>
            </w:pPr>
            <w:r>
              <w:rPr>
                <w:rFonts w:ascii="Calibri" w:hAnsi="Calibri" w:cs="Calibri"/>
                <w:color w:val="000000"/>
                <w:sz w:val="22"/>
                <w:szCs w:val="22"/>
              </w:rPr>
              <w:t xml:space="preserve">Post-crediting monitoring </w:t>
            </w:r>
            <w:r w:rsidR="0042137F">
              <w:rPr>
                <w:rFonts w:ascii="Calibri" w:hAnsi="Calibri" w:cs="Calibri"/>
                <w:color w:val="000000"/>
                <w:sz w:val="22"/>
                <w:szCs w:val="22"/>
              </w:rPr>
              <w:t xml:space="preserve">should remain the most important element of </w:t>
            </w:r>
            <w:r w:rsidR="00BB7848">
              <w:rPr>
                <w:rFonts w:ascii="Calibri" w:hAnsi="Calibri" w:cs="Calibri"/>
                <w:color w:val="000000"/>
                <w:sz w:val="22"/>
                <w:szCs w:val="22"/>
              </w:rPr>
              <w:t>monitoring</w:t>
            </w:r>
            <w:r>
              <w:rPr>
                <w:rFonts w:ascii="Calibri" w:hAnsi="Calibri" w:cs="Calibri"/>
                <w:color w:val="000000"/>
                <w:sz w:val="22"/>
                <w:szCs w:val="22"/>
              </w:rPr>
              <w:t>,</w:t>
            </w:r>
            <w:r w:rsidR="00827EEE">
              <w:rPr>
                <w:rFonts w:ascii="Calibri" w:hAnsi="Calibri" w:cs="Calibri"/>
                <w:color w:val="000000"/>
                <w:sz w:val="22"/>
                <w:szCs w:val="22"/>
              </w:rPr>
              <w:t xml:space="preserve"> and</w:t>
            </w:r>
            <w:r>
              <w:rPr>
                <w:rFonts w:ascii="Calibri" w:hAnsi="Calibri" w:cs="Calibri"/>
                <w:color w:val="000000"/>
                <w:sz w:val="22"/>
                <w:szCs w:val="22"/>
              </w:rPr>
              <w:t xml:space="preserve"> land and technology activities should be required to engage in monitoring</w:t>
            </w:r>
            <w:r w:rsidR="008B51F1">
              <w:rPr>
                <w:rFonts w:ascii="Calibri" w:hAnsi="Calibri" w:cs="Calibri"/>
                <w:color w:val="000000"/>
                <w:sz w:val="22"/>
                <w:szCs w:val="22"/>
              </w:rPr>
              <w:t xml:space="preserve"> to a degree adequate for the relevant project</w:t>
            </w:r>
            <w:r>
              <w:rPr>
                <w:rFonts w:ascii="Calibri" w:hAnsi="Calibri" w:cs="Calibri"/>
                <w:color w:val="000000"/>
                <w:sz w:val="22"/>
                <w:szCs w:val="22"/>
              </w:rPr>
              <w:t xml:space="preserve">. Engineering-based approaches to capturing CO₂ are still relatively untested at scale, so it is essential that they </w:t>
            </w:r>
            <w:r w:rsidR="00022953">
              <w:rPr>
                <w:rFonts w:ascii="Calibri" w:hAnsi="Calibri" w:cs="Calibri"/>
                <w:color w:val="000000"/>
                <w:sz w:val="22"/>
                <w:szCs w:val="22"/>
              </w:rPr>
              <w:t>be</w:t>
            </w:r>
            <w:r w:rsidR="00022953">
              <w:rPr>
                <w:rFonts w:ascii="Calibri" w:hAnsi="Calibri" w:cs="Calibri"/>
                <w:color w:val="000000"/>
                <w:sz w:val="22"/>
                <w:szCs w:val="22"/>
              </w:rPr>
              <w:t xml:space="preserve"> </w:t>
            </w:r>
            <w:r>
              <w:rPr>
                <w:rFonts w:ascii="Calibri" w:hAnsi="Calibri" w:cs="Calibri"/>
                <w:color w:val="000000"/>
                <w:sz w:val="22"/>
                <w:szCs w:val="22"/>
              </w:rPr>
              <w:t xml:space="preserve">subject to </w:t>
            </w:r>
            <w:r w:rsidR="00022953">
              <w:rPr>
                <w:rFonts w:ascii="Calibri" w:hAnsi="Calibri" w:cs="Calibri"/>
                <w:color w:val="000000"/>
                <w:sz w:val="22"/>
                <w:szCs w:val="22"/>
              </w:rPr>
              <w:t xml:space="preserve">particularly </w:t>
            </w:r>
            <w:r>
              <w:rPr>
                <w:rFonts w:ascii="Calibri" w:hAnsi="Calibri" w:cs="Calibri"/>
                <w:color w:val="000000"/>
                <w:sz w:val="22"/>
                <w:szCs w:val="22"/>
              </w:rPr>
              <w:t xml:space="preserve">robust monitoring. This is the only way to ensure they are </w:t>
            </w:r>
            <w:proofErr w:type="gramStart"/>
            <w:r>
              <w:rPr>
                <w:rFonts w:ascii="Calibri" w:hAnsi="Calibri" w:cs="Calibri"/>
                <w:color w:val="000000"/>
                <w:sz w:val="22"/>
                <w:szCs w:val="22"/>
              </w:rPr>
              <w:t>actually delivering</w:t>
            </w:r>
            <w:proofErr w:type="gramEnd"/>
            <w:r>
              <w:rPr>
                <w:rFonts w:ascii="Calibri" w:hAnsi="Calibri" w:cs="Calibri"/>
                <w:color w:val="000000"/>
                <w:sz w:val="22"/>
                <w:szCs w:val="22"/>
              </w:rPr>
              <w:t xml:space="preserve"> climate benefits as intended—and not causing unintended harm to people or the environment. As these technologies evolve, ongoing oversight will be critical to maintaining public trust and ensuring their contribution to real, measurable climate solutions.</w:t>
            </w:r>
            <w:r w:rsidR="009348BD">
              <w:rPr>
                <w:rFonts w:ascii="Calibri" w:hAnsi="Calibri" w:cs="Calibri"/>
                <w:color w:val="000000"/>
                <w:sz w:val="22"/>
                <w:szCs w:val="22"/>
              </w:rPr>
              <w:t xml:space="preserve"> A focus on reversals could divert attention from monitoring</w:t>
            </w:r>
          </w:p>
          <w:p w14:paraId="09324E42" w14:textId="77777777" w:rsidR="006F0CF4" w:rsidRDefault="006F0CF4"/>
          <w:p w14:paraId="69F0E8F4" w14:textId="77777777" w:rsidR="006F0CF4" w:rsidRDefault="006F0CF4">
            <w:pPr>
              <w:pStyle w:val="NormalWeb"/>
              <w:spacing w:before="0" w:beforeAutospacing="0" w:after="0" w:afterAutospacing="0"/>
            </w:pPr>
            <w:r>
              <w:rPr>
                <w:rFonts w:ascii="Calibri" w:hAnsi="Calibri" w:cs="Calibri"/>
                <w:color w:val="000000"/>
                <w:sz w:val="22"/>
                <w:szCs w:val="22"/>
              </w:rPr>
              <w:t xml:space="preserve">In addition, there must be flexibility provided as to </w:t>
            </w:r>
            <w:r>
              <w:rPr>
                <w:rFonts w:ascii="Calibri" w:hAnsi="Calibri" w:cs="Calibri"/>
                <w:b/>
                <w:bCs/>
                <w:color w:val="000000"/>
                <w:sz w:val="22"/>
                <w:szCs w:val="22"/>
              </w:rPr>
              <w:t>how activity participants compensate for any lost mitigation</w:t>
            </w:r>
            <w:r>
              <w:rPr>
                <w:rFonts w:ascii="Calibri" w:hAnsi="Calibri" w:cs="Calibri"/>
                <w:color w:val="000000"/>
                <w:sz w:val="22"/>
                <w:szCs w:val="22"/>
              </w:rPr>
              <w:t xml:space="preserve"> from post-crediting reversals.  Several such avenues were identified and endorsed by the conference of parties in Baku and included in the Removals guidance in section 4.6.3.1, paragraph 62.</w:t>
            </w:r>
          </w:p>
          <w:p w14:paraId="5A25D492" w14:textId="77777777" w:rsidR="006F0CF4" w:rsidRDefault="006F0CF4"/>
        </w:tc>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8CF82" w14:textId="77777777" w:rsidR="006F0CF4" w:rsidRDefault="006F0CF4">
            <w:pPr>
              <w:pStyle w:val="NormalWeb"/>
              <w:spacing w:before="0" w:beforeAutospacing="0" w:after="0" w:afterAutospacing="0"/>
            </w:pPr>
            <w:r>
              <w:rPr>
                <w:rFonts w:ascii="Calibri" w:hAnsi="Calibri" w:cs="Calibri"/>
                <w:color w:val="000000"/>
                <w:sz w:val="22"/>
                <w:szCs w:val="22"/>
              </w:rPr>
              <w:t>We suggest that a negligible risk of reversals is established at 5%. </w:t>
            </w:r>
          </w:p>
          <w:p w14:paraId="021DB2B4" w14:textId="77777777" w:rsidR="006F0CF4" w:rsidRDefault="006F0CF4"/>
          <w:p w14:paraId="485D5C43" w14:textId="7B5C33FB" w:rsidR="006F0CF4" w:rsidRDefault="00E6601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w:t>
            </w:r>
            <w:r>
              <w:rPr>
                <w:rFonts w:ascii="Calibri" w:hAnsi="Calibri" w:cs="Calibri"/>
                <w:color w:val="000000"/>
                <w:sz w:val="22"/>
                <w:szCs w:val="22"/>
              </w:rPr>
              <w:t xml:space="preserve"> </w:t>
            </w:r>
            <w:r w:rsidR="006F0CF4">
              <w:rPr>
                <w:rFonts w:ascii="Calibri" w:hAnsi="Calibri" w:cs="Calibri"/>
                <w:color w:val="000000"/>
                <w:sz w:val="22"/>
                <w:szCs w:val="22"/>
              </w:rPr>
              <w:t xml:space="preserve">also suggest that the options for managing reversals after crediting periods (e.g., canceling buffer pool credits, monitoring of a reasonable length, insurance mechanisms, permanence trust, etc. rather than being overly prescriptive </w:t>
            </w:r>
            <w:r w:rsidR="00AD1C0C">
              <w:rPr>
                <w:rFonts w:ascii="Calibri" w:hAnsi="Calibri" w:cs="Calibri"/>
                <w:color w:val="000000"/>
                <w:sz w:val="22"/>
                <w:szCs w:val="22"/>
              </w:rPr>
              <w:t xml:space="preserve">in requiring </w:t>
            </w:r>
            <w:r w:rsidR="000A4E26">
              <w:rPr>
                <w:rFonts w:ascii="Calibri" w:hAnsi="Calibri" w:cs="Calibri"/>
                <w:color w:val="000000"/>
                <w:sz w:val="22"/>
                <w:szCs w:val="22"/>
              </w:rPr>
              <w:t xml:space="preserve">reversals only </w:t>
            </w:r>
            <w:r w:rsidR="006F0CF4">
              <w:rPr>
                <w:rFonts w:ascii="Calibri" w:hAnsi="Calibri" w:cs="Calibri"/>
                <w:color w:val="000000"/>
                <w:sz w:val="22"/>
                <w:szCs w:val="22"/>
              </w:rPr>
              <w:t>at this point.</w:t>
            </w:r>
          </w:p>
          <w:p w14:paraId="30E8101D" w14:textId="77777777" w:rsidR="00E6601F" w:rsidRDefault="00E6601F">
            <w:pPr>
              <w:pStyle w:val="NormalWeb"/>
              <w:spacing w:before="0" w:beforeAutospacing="0" w:after="0" w:afterAutospacing="0"/>
            </w:pPr>
          </w:p>
          <w:p w14:paraId="1F60877A" w14:textId="7D9B5BF7" w:rsidR="00924917" w:rsidRDefault="00E6601F" w:rsidP="00924917">
            <w:pPr>
              <w:pStyle w:val="NormalWeb"/>
              <w:spacing w:before="0" w:beforeAutospacing="0" w:after="0" w:afterAutospacing="0"/>
            </w:pPr>
            <w:r w:rsidRPr="00B32A48">
              <w:rPr>
                <w:rFonts w:asciiTheme="minorHAnsi" w:hAnsiTheme="minorHAnsi" w:cstheme="minorHAnsi"/>
              </w:rPr>
              <w:t xml:space="preserve">All in all, this could be achieved through </w:t>
            </w:r>
            <w:r w:rsidR="00924917" w:rsidRPr="00B32A48">
              <w:rPr>
                <w:rFonts w:asciiTheme="minorHAnsi" w:hAnsiTheme="minorHAnsi" w:cstheme="minorHAnsi"/>
              </w:rPr>
              <w:t>the</w:t>
            </w:r>
            <w:r w:rsidRPr="00B32A48">
              <w:rPr>
                <w:rFonts w:asciiTheme="minorHAnsi" w:hAnsiTheme="minorHAnsi" w:cstheme="minorHAnsi"/>
              </w:rPr>
              <w:t xml:space="preserve"> following language</w:t>
            </w:r>
            <w:r w:rsidR="00924917" w:rsidRPr="00B32A48">
              <w:rPr>
                <w:rFonts w:asciiTheme="minorHAnsi" w:hAnsiTheme="minorHAnsi" w:cstheme="minorHAnsi"/>
              </w:rPr>
              <w:t>:</w:t>
            </w:r>
          </w:p>
          <w:p w14:paraId="37C7A689" w14:textId="77777777" w:rsidR="00924917" w:rsidRDefault="00924917" w:rsidP="00924917">
            <w:pPr>
              <w:pStyle w:val="NormalWeb"/>
              <w:spacing w:before="0" w:beforeAutospacing="0" w:after="0" w:afterAutospacing="0"/>
            </w:pPr>
          </w:p>
          <w:p w14:paraId="78E91AF0" w14:textId="0E86CA82" w:rsidR="006F0CF4" w:rsidRDefault="00924917" w:rsidP="00B32A48">
            <w:pPr>
              <w:pStyle w:val="NormalWeb"/>
              <w:spacing w:before="0" w:beforeAutospacing="0" w:after="0" w:afterAutospacing="0"/>
            </w:pPr>
            <w:r>
              <w:t>“</w:t>
            </w:r>
            <w:r w:rsidR="006F0CF4">
              <w:rPr>
                <w:rFonts w:ascii="Calibri" w:hAnsi="Calibri" w:cs="Calibri"/>
                <w:color w:val="000000"/>
                <w:sz w:val="22"/>
                <w:szCs w:val="22"/>
              </w:rPr>
              <w:t>Activity participants may submit, at any time in the post-crediting period or after the minimum post-crediting period defined in an activity’s mechanism methodology has elapsed, a request to the Supervisory Body to terminate post-crediting period monitoring and reporting, demonstrating that:</w:t>
            </w:r>
          </w:p>
          <w:p w14:paraId="21BB680B" w14:textId="77777777" w:rsidR="006F0CF4" w:rsidRPr="00D65701" w:rsidRDefault="006F0CF4"/>
          <w:p w14:paraId="2D933567" w14:textId="2EAFFCA1" w:rsidR="006F0CF4" w:rsidRPr="00D65701" w:rsidRDefault="006F0CF4">
            <w:pPr>
              <w:pStyle w:val="NormalWeb"/>
              <w:spacing w:before="40" w:beforeAutospacing="0" w:after="40" w:afterAutospacing="0"/>
            </w:pPr>
            <w:r w:rsidRPr="00D65701">
              <w:rPr>
                <w:rFonts w:ascii="Calibri" w:hAnsi="Calibri" w:cs="Calibri"/>
                <w:color w:val="000000"/>
                <w:sz w:val="22"/>
                <w:szCs w:val="22"/>
              </w:rPr>
              <w:t xml:space="preserve">a. The stored greenhouse gases, or precursors of greenhouse gases, are at a negligible risk of reversal </w:t>
            </w:r>
            <w:r w:rsidRPr="00B32A48">
              <w:rPr>
                <w:rFonts w:ascii="Calibri" w:hAnsi="Calibri" w:cs="Calibri"/>
                <w:color w:val="000000"/>
                <w:sz w:val="22"/>
                <w:szCs w:val="22"/>
              </w:rPr>
              <w:t xml:space="preserve">or that another robust form of post-crediting assurance is being used, including, but </w:t>
            </w:r>
            <w:r w:rsidRPr="00B32A48">
              <w:rPr>
                <w:rFonts w:ascii="Calibri" w:hAnsi="Calibri" w:cs="Calibri"/>
                <w:color w:val="000000"/>
                <w:sz w:val="22"/>
                <w:szCs w:val="22"/>
              </w:rPr>
              <w:lastRenderedPageBreak/>
              <w:t xml:space="preserve">not limited to, canceling buffer pool credits, or insurance mechanisms, or monitoring of a reasonable length, or </w:t>
            </w:r>
            <w:r w:rsidR="00A32395" w:rsidRPr="00B32A48">
              <w:rPr>
                <w:rFonts w:ascii="Calibri" w:hAnsi="Calibri" w:cs="Calibri"/>
                <w:color w:val="000000"/>
                <w:sz w:val="22"/>
                <w:szCs w:val="22"/>
              </w:rPr>
              <w:t>transferring</w:t>
            </w:r>
            <w:r w:rsidRPr="00B32A48">
              <w:rPr>
                <w:rFonts w:ascii="Calibri" w:hAnsi="Calibri" w:cs="Calibri"/>
                <w:color w:val="000000"/>
                <w:sz w:val="22"/>
                <w:szCs w:val="22"/>
              </w:rPr>
              <w:t xml:space="preserve"> the responsibility to a third party with sufficient capacity and resources to compensate for any lost mitigation from post-crediting reversals; and</w:t>
            </w:r>
          </w:p>
          <w:p w14:paraId="03748E3B" w14:textId="77777777" w:rsidR="006F0CF4" w:rsidRPr="00D65701" w:rsidRDefault="006F0CF4"/>
          <w:p w14:paraId="298130CC" w14:textId="77777777" w:rsidR="006F0CF4" w:rsidRDefault="006F0CF4">
            <w:pPr>
              <w:pStyle w:val="NormalWeb"/>
              <w:spacing w:before="40" w:beforeAutospacing="0" w:after="40" w:afterAutospacing="0"/>
            </w:pPr>
            <w:r>
              <w:rPr>
                <w:rFonts w:ascii="Calibri" w:hAnsi="Calibri" w:cs="Calibri"/>
                <w:color w:val="000000"/>
                <w:sz w:val="22"/>
                <w:szCs w:val="22"/>
              </w:rPr>
              <w:t>b. All conditions or criteria set in the mechanism methodology for termination of post- crediting period monitoring have been fulfilled.</w:t>
            </w:r>
          </w:p>
          <w:p w14:paraId="5C39C0E6" w14:textId="77777777" w:rsidR="006F0CF4" w:rsidRDefault="006F0CF4">
            <w:pPr>
              <w:spacing w:after="240"/>
            </w:pPr>
            <w:r>
              <w:br/>
            </w:r>
          </w:p>
        </w:tc>
      </w:tr>
      <w:tr w:rsidR="006F0CF4" w14:paraId="77B49042" w14:textId="77777777" w:rsidTr="003E34A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65323" w14:textId="77777777" w:rsidR="006F0CF4" w:rsidRDefault="006F0CF4">
            <w:pPr>
              <w:pStyle w:val="NormalWeb"/>
              <w:spacing w:before="0" w:beforeAutospacing="0" w:after="0" w:afterAutospacing="0"/>
            </w:pPr>
            <w:r>
              <w:rPr>
                <w:rFonts w:ascii="Calibri" w:hAnsi="Calibri" w:cs="Calibri"/>
                <w:b/>
                <w:bCs/>
                <w:color w:val="000000"/>
                <w:sz w:val="22"/>
                <w:szCs w:val="22"/>
              </w:rPr>
              <w:lastRenderedPageBreak/>
              <w:t>Monitoring reports / annual reversal reports:</w:t>
            </w:r>
          </w:p>
          <w:p w14:paraId="5DD04625" w14:textId="77777777" w:rsidR="006F0CF4" w:rsidRDefault="006F0CF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FF0E1" w14:textId="77777777" w:rsidR="006F0CF4" w:rsidRDefault="006F0CF4"/>
          <w:p w14:paraId="5668AFBE" w14:textId="77777777" w:rsidR="006F0CF4" w:rsidRDefault="006F0CF4">
            <w:pPr>
              <w:pStyle w:val="NormalWeb"/>
              <w:spacing w:before="0" w:beforeAutospacing="0" w:after="0" w:afterAutospacing="0"/>
            </w:pPr>
            <w:r>
              <w:rPr>
                <w:rFonts w:ascii="Calibri" w:hAnsi="Calibri" w:cs="Calibri"/>
                <w:color w:val="000000"/>
                <w:sz w:val="22"/>
                <w:szCs w:val="22"/>
              </w:rPr>
              <w:t xml:space="preserve">Cover </w:t>
            </w:r>
            <w:proofErr w:type="gramStart"/>
            <w:r>
              <w:rPr>
                <w:rFonts w:ascii="Calibri" w:hAnsi="Calibri" w:cs="Calibri"/>
                <w:color w:val="000000"/>
                <w:sz w:val="22"/>
                <w:szCs w:val="22"/>
              </w:rPr>
              <w:t>note</w:t>
            </w:r>
            <w:proofErr w:type="gramEnd"/>
            <w:r>
              <w:rPr>
                <w:rFonts w:ascii="Calibri" w:hAnsi="Calibri" w:cs="Calibri"/>
                <w:color w:val="000000"/>
                <w:sz w:val="22"/>
                <w:szCs w:val="22"/>
              </w:rPr>
              <w:t>. Paragraph 24, 25</w:t>
            </w:r>
          </w:p>
          <w:p w14:paraId="092AFB38" w14:textId="77777777" w:rsidR="006F0CF4" w:rsidRDefault="006F0CF4"/>
          <w:p w14:paraId="50F45C19" w14:textId="77777777" w:rsidR="006F0CF4" w:rsidRDefault="006F0CF4">
            <w:pPr>
              <w:pStyle w:val="NormalWeb"/>
              <w:spacing w:before="0" w:beforeAutospacing="0" w:after="0" w:afterAutospacing="0"/>
            </w:pPr>
            <w:r>
              <w:rPr>
                <w:rFonts w:ascii="Calibri" w:hAnsi="Calibri" w:cs="Calibri"/>
                <w:color w:val="000000"/>
                <w:sz w:val="22"/>
                <w:szCs w:val="22"/>
              </w:rPr>
              <w:t xml:space="preserve">Cover </w:t>
            </w:r>
            <w:proofErr w:type="gramStart"/>
            <w:r>
              <w:rPr>
                <w:rFonts w:ascii="Calibri" w:hAnsi="Calibri" w:cs="Calibri"/>
                <w:color w:val="000000"/>
                <w:sz w:val="22"/>
                <w:szCs w:val="22"/>
              </w:rPr>
              <w:t>note</w:t>
            </w:r>
            <w:proofErr w:type="gramEnd"/>
            <w:r>
              <w:rPr>
                <w:rFonts w:ascii="Calibri" w:hAnsi="Calibri" w:cs="Calibri"/>
                <w:color w:val="000000"/>
                <w:sz w:val="22"/>
                <w:szCs w:val="22"/>
              </w:rPr>
              <w:t>, Paragraph 34 (a)</w:t>
            </w:r>
          </w:p>
          <w:p w14:paraId="497E133B" w14:textId="77777777" w:rsidR="006F0CF4" w:rsidRDefault="006F0CF4"/>
          <w:p w14:paraId="04B4AAB5" w14:textId="77777777" w:rsidR="006F0CF4" w:rsidRDefault="006F0CF4">
            <w:pPr>
              <w:pStyle w:val="NormalWeb"/>
              <w:spacing w:before="0" w:beforeAutospacing="0" w:after="0" w:afterAutospacing="0"/>
            </w:pPr>
            <w:r>
              <w:rPr>
                <w:rFonts w:ascii="Calibri" w:hAnsi="Calibri" w:cs="Calibri"/>
                <w:color w:val="000000"/>
                <w:sz w:val="22"/>
                <w:szCs w:val="22"/>
              </w:rPr>
              <w:t>Appendix 2, paragraphs 10-14</w:t>
            </w:r>
          </w:p>
          <w:p w14:paraId="2205A74A" w14:textId="77777777" w:rsidR="006F0CF4" w:rsidRDefault="006F0CF4">
            <w:pPr>
              <w:spacing w:after="240"/>
            </w:pPr>
          </w:p>
        </w:tc>
        <w:tc>
          <w:tcPr>
            <w:tcW w:w="5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F8AF0" w14:textId="180C7575" w:rsidR="006F0CF4" w:rsidRDefault="006F0CF4">
            <w:pPr>
              <w:pStyle w:val="NormalWeb"/>
              <w:spacing w:before="0" w:beforeAutospacing="0" w:after="0" w:afterAutospacing="0"/>
            </w:pPr>
            <w:r>
              <w:rPr>
                <w:rFonts w:ascii="Calibri" w:hAnsi="Calibri" w:cs="Calibri"/>
                <w:color w:val="000000"/>
                <w:sz w:val="22"/>
                <w:szCs w:val="22"/>
              </w:rPr>
              <w:t xml:space="preserve">While </w:t>
            </w:r>
            <w:r w:rsidR="00D50F9A">
              <w:rPr>
                <w:rFonts w:ascii="Calibri" w:hAnsi="Calibri" w:cs="Calibri"/>
                <w:color w:val="000000"/>
                <w:sz w:val="22"/>
                <w:szCs w:val="22"/>
              </w:rPr>
              <w:t>I</w:t>
            </w:r>
            <w:r w:rsidR="00D50F9A">
              <w:rPr>
                <w:rFonts w:ascii="Calibri" w:hAnsi="Calibri" w:cs="Calibri"/>
                <w:color w:val="000000"/>
                <w:sz w:val="22"/>
                <w:szCs w:val="22"/>
              </w:rPr>
              <w:t xml:space="preserve"> </w:t>
            </w:r>
            <w:r>
              <w:rPr>
                <w:rFonts w:ascii="Calibri" w:hAnsi="Calibri" w:cs="Calibri"/>
                <w:color w:val="000000"/>
                <w:sz w:val="22"/>
                <w:szCs w:val="22"/>
              </w:rPr>
              <w:t xml:space="preserve">appreciate the intent to create more frequent communication </w:t>
            </w:r>
            <w:r w:rsidR="00D50F9A">
              <w:rPr>
                <w:rFonts w:ascii="Calibri" w:hAnsi="Calibri" w:cs="Calibri"/>
                <w:color w:val="000000"/>
                <w:sz w:val="22"/>
                <w:szCs w:val="22"/>
              </w:rPr>
              <w:t>for</w:t>
            </w:r>
            <w:r w:rsidR="00D50F9A">
              <w:rPr>
                <w:rFonts w:ascii="Calibri" w:hAnsi="Calibri" w:cs="Calibri"/>
                <w:color w:val="000000"/>
                <w:sz w:val="22"/>
                <w:szCs w:val="22"/>
              </w:rPr>
              <w:t xml:space="preserve"> </w:t>
            </w:r>
            <w:r>
              <w:rPr>
                <w:rFonts w:ascii="Calibri" w:hAnsi="Calibri" w:cs="Calibri"/>
                <w:color w:val="000000"/>
                <w:sz w:val="22"/>
                <w:szCs w:val="22"/>
              </w:rPr>
              <w:t xml:space="preserve">Article 6.4 activities, </w:t>
            </w:r>
            <w:r w:rsidR="00D50F9A">
              <w:rPr>
                <w:rFonts w:ascii="Calibri" w:hAnsi="Calibri" w:cs="Calibri"/>
                <w:color w:val="000000"/>
                <w:sz w:val="22"/>
                <w:szCs w:val="22"/>
              </w:rPr>
              <w:t xml:space="preserve">I find </w:t>
            </w:r>
            <w:r>
              <w:rPr>
                <w:rFonts w:ascii="Calibri" w:hAnsi="Calibri" w:cs="Calibri"/>
                <w:color w:val="000000"/>
                <w:sz w:val="22"/>
                <w:szCs w:val="22"/>
              </w:rPr>
              <w:t xml:space="preserve">the proposal of an “annual reversal report” according to the terms in paragraph </w:t>
            </w:r>
            <w:r w:rsidR="003E4863">
              <w:rPr>
                <w:rFonts w:ascii="Calibri" w:hAnsi="Calibri" w:cs="Calibri"/>
                <w:color w:val="000000"/>
                <w:sz w:val="22"/>
                <w:szCs w:val="22"/>
              </w:rPr>
              <w:t>10 ss of Appen</w:t>
            </w:r>
            <w:r w:rsidR="00081419">
              <w:rPr>
                <w:rFonts w:ascii="Calibri" w:hAnsi="Calibri" w:cs="Calibri"/>
                <w:color w:val="000000"/>
                <w:sz w:val="22"/>
                <w:szCs w:val="22"/>
              </w:rPr>
              <w:t>dix 2</w:t>
            </w:r>
            <w:r w:rsidR="003E4863">
              <w:rPr>
                <w:rFonts w:ascii="Calibri" w:hAnsi="Calibri" w:cs="Calibri"/>
                <w:color w:val="000000"/>
                <w:sz w:val="22"/>
                <w:szCs w:val="22"/>
              </w:rPr>
              <w:t xml:space="preserve"> </w:t>
            </w:r>
            <w:r w:rsidR="001260E4">
              <w:rPr>
                <w:rFonts w:ascii="Calibri" w:hAnsi="Calibri" w:cs="Calibri"/>
                <w:color w:val="000000"/>
                <w:sz w:val="22"/>
                <w:szCs w:val="22"/>
              </w:rPr>
              <w:t>unfortunate</w:t>
            </w:r>
            <w:r>
              <w:rPr>
                <w:rFonts w:ascii="Calibri" w:hAnsi="Calibri" w:cs="Calibri"/>
                <w:color w:val="000000"/>
                <w:sz w:val="22"/>
                <w:szCs w:val="22"/>
              </w:rPr>
              <w:t>.</w:t>
            </w:r>
          </w:p>
          <w:p w14:paraId="79B1F6D8" w14:textId="77777777" w:rsidR="006F0CF4" w:rsidRDefault="006F0CF4"/>
          <w:p w14:paraId="3B57BE9F" w14:textId="467DA167" w:rsidR="006F0CF4" w:rsidRDefault="006F0CF4">
            <w:pPr>
              <w:pStyle w:val="NormalWeb"/>
              <w:spacing w:before="0" w:beforeAutospacing="0" w:after="0" w:afterAutospacing="0"/>
            </w:pPr>
            <w:r>
              <w:rPr>
                <w:rFonts w:ascii="Calibri" w:hAnsi="Calibri" w:cs="Calibri"/>
                <w:color w:val="000000"/>
                <w:sz w:val="22"/>
                <w:szCs w:val="22"/>
              </w:rPr>
              <w:t xml:space="preserve">First,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make a useful conclusion on whether a reversal has occurred or not, in effect activity participants will need to conduct annual monitoring, so the burden on them is not materially less than what would be required of a formal monitoring report, and all the expense that requires. </w:t>
            </w:r>
            <w:r w:rsidR="00081419">
              <w:rPr>
                <w:rFonts w:ascii="Calibri" w:hAnsi="Calibri" w:cs="Calibri"/>
                <w:color w:val="000000"/>
                <w:sz w:val="22"/>
                <w:szCs w:val="22"/>
              </w:rPr>
              <w:t>Whilst Paragraph 24</w:t>
            </w:r>
            <w:r w:rsidR="00304DE8">
              <w:rPr>
                <w:rFonts w:ascii="Calibri" w:hAnsi="Calibri" w:cs="Calibri"/>
                <w:color w:val="000000"/>
                <w:sz w:val="22"/>
                <w:szCs w:val="22"/>
              </w:rPr>
              <w:t xml:space="preserve"> of the Cover Note suggests that if no event occurred the</w:t>
            </w:r>
            <w:r w:rsidR="0076317F">
              <w:rPr>
                <w:rFonts w:ascii="Calibri" w:hAnsi="Calibri" w:cs="Calibri"/>
                <w:color w:val="000000"/>
                <w:sz w:val="22"/>
                <w:szCs w:val="22"/>
              </w:rPr>
              <w:t xml:space="preserve"> annual reversal report constitutes no burden, paragraph 1</w:t>
            </w:r>
            <w:r w:rsidR="00C56ADE">
              <w:rPr>
                <w:rFonts w:ascii="Calibri" w:hAnsi="Calibri" w:cs="Calibri"/>
                <w:color w:val="000000"/>
                <w:sz w:val="22"/>
                <w:szCs w:val="22"/>
              </w:rPr>
              <w:t xml:space="preserve">3 of Appendix 2 requires evidence of no event having occurred, which presumably has to be evidenced by the consent of the other parties to </w:t>
            </w:r>
            <w:r w:rsidR="00140B11">
              <w:rPr>
                <w:rFonts w:ascii="Calibri" w:hAnsi="Calibri" w:cs="Calibri"/>
                <w:color w:val="000000"/>
                <w:sz w:val="22"/>
                <w:szCs w:val="22"/>
              </w:rPr>
              <w:t>the project including those disputing the occurrence of the event as well as by verifiers and validators</w:t>
            </w:r>
            <w:r w:rsidR="009A5867">
              <w:rPr>
                <w:rFonts w:ascii="Calibri" w:hAnsi="Calibri" w:cs="Calibri"/>
                <w:color w:val="000000"/>
                <w:sz w:val="22"/>
                <w:szCs w:val="22"/>
              </w:rPr>
              <w:t>, which constitutes a substantial additional burden.</w:t>
            </w:r>
          </w:p>
          <w:p w14:paraId="3038A0DF" w14:textId="77777777" w:rsidR="006F0CF4" w:rsidRDefault="006F0CF4"/>
          <w:p w14:paraId="1155D2F7" w14:textId="6D1B83B5" w:rsidR="002A36CB" w:rsidRDefault="006F0CF4" w:rsidP="002A36CB">
            <w:pPr>
              <w:pStyle w:val="NormalWeb"/>
              <w:spacing w:before="0" w:beforeAutospacing="0" w:after="0" w:afterAutospacing="0"/>
            </w:pPr>
            <w:r>
              <w:rPr>
                <w:rFonts w:ascii="Calibri" w:hAnsi="Calibri" w:cs="Calibri"/>
                <w:color w:val="000000"/>
                <w:sz w:val="22"/>
                <w:szCs w:val="22"/>
              </w:rPr>
              <w:t xml:space="preserve">Secondly and more importantly, we are concerned that the MEP may be underestimating the amount of capacity required to process and validate such reports within such a timeframe. Already in the current voluntary market there are delays from standards bodies in processing these kinds of reports that extend beyond (in some cases) 12 months. </w:t>
            </w:r>
          </w:p>
          <w:p w14:paraId="1028B86A" w14:textId="77777777" w:rsidR="002A36CB" w:rsidRDefault="002A36CB" w:rsidP="002A36CB">
            <w:pPr>
              <w:pStyle w:val="NormalWeb"/>
              <w:spacing w:before="0" w:beforeAutospacing="0" w:after="0" w:afterAutospacing="0"/>
            </w:pPr>
          </w:p>
          <w:p w14:paraId="1B00BAEB" w14:textId="6592CC3A" w:rsidR="006F0CF4" w:rsidRDefault="006F0CF4" w:rsidP="002A36CB">
            <w:pPr>
              <w:pStyle w:val="NormalWeb"/>
              <w:spacing w:before="0" w:beforeAutospacing="0" w:after="0" w:afterAutospacing="0"/>
            </w:pPr>
            <w:r>
              <w:rPr>
                <w:rFonts w:ascii="Calibri" w:hAnsi="Calibri" w:cs="Calibri"/>
                <w:color w:val="000000"/>
                <w:sz w:val="22"/>
                <w:szCs w:val="22"/>
              </w:rPr>
              <w:t xml:space="preserve">Third, nature-based projects may very well experience year-by-year fluctuations but still have net positive climate benefits over time. Annual reporting, which are then associated with suspension of the project registry and tapping the buffer pool, may be </w:t>
            </w:r>
            <w:r w:rsidR="00A71748">
              <w:rPr>
                <w:rFonts w:ascii="Calibri" w:hAnsi="Calibri" w:cs="Calibri"/>
                <w:color w:val="000000"/>
                <w:sz w:val="22"/>
                <w:szCs w:val="22"/>
              </w:rPr>
              <w:t>misleading</w:t>
            </w:r>
            <w:r>
              <w:rPr>
                <w:rFonts w:ascii="Calibri" w:hAnsi="Calibri" w:cs="Calibri"/>
                <w:color w:val="000000"/>
                <w:sz w:val="22"/>
                <w:szCs w:val="22"/>
              </w:rPr>
              <w:t xml:space="preserve"> if the project can regrow and make good on the losses of the prior year. </w:t>
            </w:r>
          </w:p>
        </w:tc>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F932E" w14:textId="5B486DD3" w:rsidR="006F0CF4" w:rsidRPr="00A32395" w:rsidRDefault="001260E4">
            <w:pPr>
              <w:pStyle w:val="NormalWeb"/>
              <w:spacing w:before="0" w:beforeAutospacing="0" w:after="0" w:afterAutospacing="0"/>
            </w:pPr>
            <w:r w:rsidRPr="007B09DD">
              <w:rPr>
                <w:rFonts w:ascii="Calibri" w:hAnsi="Calibri" w:cs="Calibri"/>
                <w:color w:val="000000"/>
                <w:sz w:val="22"/>
                <w:szCs w:val="22"/>
              </w:rPr>
              <w:lastRenderedPageBreak/>
              <w:t>I</w:t>
            </w:r>
            <w:r w:rsidRPr="007B09DD">
              <w:rPr>
                <w:rFonts w:ascii="Calibri" w:hAnsi="Calibri" w:cs="Calibri"/>
                <w:color w:val="000000"/>
                <w:sz w:val="22"/>
                <w:szCs w:val="22"/>
              </w:rPr>
              <w:t xml:space="preserve"> </w:t>
            </w:r>
            <w:r w:rsidR="006F0CF4" w:rsidRPr="007B09DD">
              <w:rPr>
                <w:rFonts w:ascii="Calibri" w:hAnsi="Calibri" w:cs="Calibri"/>
                <w:color w:val="000000"/>
                <w:sz w:val="22"/>
                <w:szCs w:val="22"/>
              </w:rPr>
              <w:t>suggest</w:t>
            </w:r>
            <w:r w:rsidR="00705DDB" w:rsidRPr="007B09DD">
              <w:rPr>
                <w:rFonts w:ascii="Calibri" w:hAnsi="Calibri" w:cs="Calibri"/>
                <w:color w:val="000000"/>
                <w:sz w:val="22"/>
                <w:szCs w:val="22"/>
              </w:rPr>
              <w:t xml:space="preserve"> Appendix 3 to be amended to require</w:t>
            </w:r>
          </w:p>
          <w:p w14:paraId="1E8DFBF8" w14:textId="04AA153E" w:rsidR="006F0CF4" w:rsidRDefault="00206320" w:rsidP="006F0CF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M</w:t>
            </w:r>
            <w:r w:rsidR="006F0CF4">
              <w:rPr>
                <w:rFonts w:ascii="Calibri" w:hAnsi="Calibri" w:cs="Calibri"/>
                <w:color w:val="000000"/>
                <w:sz w:val="22"/>
                <w:szCs w:val="22"/>
                <w:shd w:val="clear" w:color="auto" w:fill="FFFFFF"/>
              </w:rPr>
              <w:t xml:space="preserve">onitoring reports </w:t>
            </w:r>
            <w:r w:rsidR="00C73553">
              <w:rPr>
                <w:rFonts w:ascii="Calibri" w:hAnsi="Calibri" w:cs="Calibri"/>
                <w:color w:val="000000"/>
                <w:sz w:val="22"/>
                <w:szCs w:val="22"/>
                <w:shd w:val="clear" w:color="auto" w:fill="FFFFFF"/>
              </w:rPr>
              <w:t xml:space="preserve">to be </w:t>
            </w:r>
            <w:r w:rsidR="006F0CF4">
              <w:rPr>
                <w:rFonts w:ascii="Calibri" w:hAnsi="Calibri" w:cs="Calibri"/>
                <w:color w:val="000000"/>
                <w:sz w:val="22"/>
                <w:szCs w:val="22"/>
                <w:shd w:val="clear" w:color="auto" w:fill="FFFFFF"/>
              </w:rPr>
              <w:t>submitted for verification every five years.</w:t>
            </w:r>
          </w:p>
          <w:p w14:paraId="48080BAC" w14:textId="5AE48743" w:rsidR="006F0CF4" w:rsidRDefault="006F0CF4" w:rsidP="006F0CF4">
            <w:pPr>
              <w:pStyle w:val="NormalWeb"/>
              <w:numPr>
                <w:ilvl w:val="0"/>
                <w:numId w:val="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FFFF"/>
              </w:rPr>
              <w:t>An “annual reversal report”, which requires only records and logs of the observed events of GHG release, and information on how he risks of reversals were assessed and addressed. This</w:t>
            </w:r>
            <w:r w:rsidR="009A40C2">
              <w:rPr>
                <w:rFonts w:ascii="Calibri" w:hAnsi="Calibri" w:cs="Calibri"/>
                <w:color w:val="000000"/>
                <w:sz w:val="22"/>
                <w:szCs w:val="22"/>
                <w:shd w:val="clear" w:color="auto" w:fill="FFFFFF"/>
              </w:rPr>
              <w:t xml:space="preserve"> methodology would allow for a less </w:t>
            </w:r>
            <w:r>
              <w:rPr>
                <w:rFonts w:ascii="Calibri" w:hAnsi="Calibri" w:cs="Calibri"/>
                <w:color w:val="000000"/>
                <w:sz w:val="22"/>
                <w:szCs w:val="22"/>
                <w:shd w:val="clear" w:color="auto" w:fill="FFFFFF"/>
              </w:rPr>
              <w:t xml:space="preserve">burdensome </w:t>
            </w:r>
            <w:r w:rsidR="009A40C2">
              <w:rPr>
                <w:rFonts w:ascii="Calibri" w:hAnsi="Calibri" w:cs="Calibri"/>
                <w:color w:val="000000"/>
                <w:sz w:val="22"/>
                <w:szCs w:val="22"/>
                <w:shd w:val="clear" w:color="auto" w:fill="FFFFFF"/>
              </w:rPr>
              <w:t xml:space="preserve">and </w:t>
            </w:r>
            <w:r w:rsidR="00D366AD">
              <w:rPr>
                <w:rFonts w:ascii="Calibri" w:hAnsi="Calibri" w:cs="Calibri"/>
                <w:color w:val="000000"/>
                <w:sz w:val="22"/>
                <w:szCs w:val="22"/>
                <w:shd w:val="clear" w:color="auto" w:fill="FFFFFF"/>
              </w:rPr>
              <w:t>more predictable reporting</w:t>
            </w:r>
            <w:r>
              <w:rPr>
                <w:rFonts w:ascii="Calibri" w:hAnsi="Calibri" w:cs="Calibri"/>
                <w:color w:val="000000"/>
                <w:sz w:val="22"/>
                <w:szCs w:val="22"/>
                <w:shd w:val="clear" w:color="auto" w:fill="FFFFFF"/>
              </w:rPr>
              <w:t>, as it does not require quantification annually. </w:t>
            </w:r>
          </w:p>
        </w:tc>
      </w:tr>
    </w:tbl>
    <w:p w14:paraId="650F3ED1" w14:textId="77777777" w:rsidR="006F0CF4" w:rsidRDefault="006F0CF4" w:rsidP="006F0CF4">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2612"/>
        <w:gridCol w:w="2634"/>
        <w:gridCol w:w="5924"/>
        <w:gridCol w:w="3806"/>
      </w:tblGrid>
      <w:tr w:rsidR="009C6E60" w14:paraId="50447FDB" w14:textId="77777777" w:rsidTr="00AF5B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9C819" w14:textId="77777777" w:rsidR="006F0CF4" w:rsidRDefault="006F0CF4">
            <w:pPr>
              <w:pStyle w:val="NormalWeb"/>
              <w:spacing w:before="0" w:beforeAutospacing="0" w:after="0" w:afterAutospacing="0"/>
            </w:pPr>
            <w:r>
              <w:rPr>
                <w:rFonts w:ascii="Calibri" w:hAnsi="Calibri" w:cs="Calibri"/>
                <w:b/>
                <w:bCs/>
                <w:color w:val="000000"/>
                <w:sz w:val="22"/>
                <w:szCs w:val="22"/>
              </w:rPr>
              <w:t>Post crediting monitoring</w:t>
            </w:r>
          </w:p>
          <w:p w14:paraId="67AE1755" w14:textId="77777777" w:rsidR="006F0CF4" w:rsidRDefault="006F0CF4"/>
        </w:tc>
        <w:tc>
          <w:tcPr>
            <w:tcW w:w="2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2172F" w14:textId="77777777" w:rsidR="006F0CF4" w:rsidRPr="00EC406C" w:rsidRDefault="006F0CF4">
            <w:pPr>
              <w:rPr>
                <w:lang w:val="fr-FR"/>
              </w:rPr>
            </w:pPr>
          </w:p>
          <w:p w14:paraId="5D0030DA" w14:textId="77777777" w:rsidR="006F0CF4" w:rsidRPr="00EC406C" w:rsidRDefault="006F0CF4">
            <w:pPr>
              <w:pStyle w:val="NormalWeb"/>
              <w:spacing w:before="0" w:beforeAutospacing="0" w:after="0" w:afterAutospacing="0"/>
              <w:rPr>
                <w:lang w:val="fr-FR"/>
              </w:rPr>
            </w:pPr>
            <w:r w:rsidRPr="00EC406C">
              <w:rPr>
                <w:rFonts w:ascii="Calibri" w:hAnsi="Calibri" w:cs="Calibri"/>
                <w:color w:val="000000"/>
                <w:sz w:val="22"/>
                <w:szCs w:val="22"/>
                <w:lang w:val="fr-FR"/>
              </w:rPr>
              <w:t xml:space="preserve">Cover note, </w:t>
            </w:r>
            <w:proofErr w:type="spellStart"/>
            <w:r w:rsidRPr="00EC406C">
              <w:rPr>
                <w:rFonts w:ascii="Calibri" w:hAnsi="Calibri" w:cs="Calibri"/>
                <w:color w:val="000000"/>
                <w:sz w:val="22"/>
                <w:szCs w:val="22"/>
                <w:lang w:val="fr-FR"/>
              </w:rPr>
              <w:t>paragraph</w:t>
            </w:r>
            <w:proofErr w:type="spellEnd"/>
            <w:r w:rsidRPr="00EC406C">
              <w:rPr>
                <w:rFonts w:ascii="Calibri" w:hAnsi="Calibri" w:cs="Calibri"/>
                <w:color w:val="000000"/>
                <w:sz w:val="22"/>
                <w:szCs w:val="22"/>
                <w:lang w:val="fr-FR"/>
              </w:rPr>
              <w:t xml:space="preserve"> 28</w:t>
            </w:r>
          </w:p>
          <w:p w14:paraId="6B5EFFAC" w14:textId="77777777" w:rsidR="006F0CF4" w:rsidRPr="00EC406C" w:rsidRDefault="006F0CF4">
            <w:pPr>
              <w:rPr>
                <w:lang w:val="fr-FR"/>
              </w:rPr>
            </w:pPr>
          </w:p>
          <w:p w14:paraId="36835994" w14:textId="77777777" w:rsidR="006F0CF4" w:rsidRPr="00EC406C" w:rsidRDefault="006F0CF4">
            <w:pPr>
              <w:pStyle w:val="NormalWeb"/>
              <w:spacing w:before="40" w:beforeAutospacing="0" w:after="40" w:afterAutospacing="0"/>
              <w:rPr>
                <w:lang w:val="fr-FR"/>
              </w:rPr>
            </w:pPr>
            <w:r w:rsidRPr="00EC406C">
              <w:rPr>
                <w:rFonts w:ascii="Calibri" w:hAnsi="Calibri" w:cs="Calibri"/>
                <w:color w:val="000000"/>
                <w:sz w:val="22"/>
                <w:szCs w:val="22"/>
                <w:lang w:val="fr-FR"/>
              </w:rPr>
              <w:t xml:space="preserve">Appendix 1. Section 7.4 </w:t>
            </w:r>
            <w:proofErr w:type="spellStart"/>
            <w:r w:rsidRPr="00EC406C">
              <w:rPr>
                <w:rFonts w:ascii="Calibri" w:hAnsi="Calibri" w:cs="Calibri"/>
                <w:color w:val="000000"/>
                <w:sz w:val="22"/>
                <w:szCs w:val="22"/>
                <w:lang w:val="fr-FR"/>
              </w:rPr>
              <w:t>Paragraph</w:t>
            </w:r>
            <w:proofErr w:type="spellEnd"/>
            <w:r w:rsidRPr="00EC406C">
              <w:rPr>
                <w:rFonts w:ascii="Calibri" w:hAnsi="Calibri" w:cs="Calibri"/>
                <w:color w:val="000000"/>
                <w:sz w:val="22"/>
                <w:szCs w:val="22"/>
                <w:lang w:val="fr-FR"/>
              </w:rPr>
              <w:t xml:space="preserve"> 45 – 47</w:t>
            </w:r>
          </w:p>
          <w:p w14:paraId="6810526A" w14:textId="77777777" w:rsidR="006F0CF4" w:rsidRPr="00EC406C" w:rsidRDefault="006F0CF4">
            <w:pPr>
              <w:rPr>
                <w:lang w:val="fr-FR"/>
              </w:rPr>
            </w:pPr>
          </w:p>
          <w:p w14:paraId="55368991" w14:textId="77777777" w:rsidR="006F0CF4" w:rsidRDefault="006F0CF4">
            <w:pPr>
              <w:pStyle w:val="NormalWeb"/>
              <w:spacing w:before="40" w:beforeAutospacing="0" w:after="40" w:afterAutospacing="0"/>
            </w:pPr>
            <w:r>
              <w:rPr>
                <w:rFonts w:ascii="Calibri" w:hAnsi="Calibri" w:cs="Calibri"/>
                <w:color w:val="000000"/>
                <w:sz w:val="22"/>
                <w:szCs w:val="22"/>
              </w:rPr>
              <w:t>Appendix 3. Paragraph 17 and 18</w:t>
            </w:r>
          </w:p>
          <w:p w14:paraId="28487072" w14:textId="77777777" w:rsidR="006F0CF4" w:rsidRDefault="006F0CF4"/>
        </w:tc>
        <w:tc>
          <w:tcPr>
            <w:tcW w:w="5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E870C" w14:textId="77777777" w:rsidR="006F0CF4" w:rsidRDefault="006F0CF4">
            <w:pPr>
              <w:pStyle w:val="NormalWeb"/>
              <w:spacing w:before="40" w:beforeAutospacing="0" w:after="40" w:afterAutospacing="0"/>
            </w:pPr>
            <w:r>
              <w:rPr>
                <w:rFonts w:ascii="Calibri" w:hAnsi="Calibri" w:cs="Calibri"/>
                <w:b/>
                <w:bCs/>
                <w:color w:val="000000"/>
                <w:sz w:val="22"/>
                <w:szCs w:val="22"/>
              </w:rPr>
              <w:t>OPTION A</w:t>
            </w:r>
          </w:p>
          <w:p w14:paraId="0E5FDC10" w14:textId="77777777" w:rsidR="006F0CF4" w:rsidRDefault="006F0CF4"/>
          <w:p w14:paraId="0E89F94E" w14:textId="29CAED04" w:rsidR="006F0CF4" w:rsidRDefault="006F0CF4">
            <w:pPr>
              <w:pStyle w:val="NormalWeb"/>
              <w:spacing w:before="40" w:beforeAutospacing="0" w:after="40" w:afterAutospacing="0"/>
            </w:pPr>
            <w:r>
              <w:rPr>
                <w:rFonts w:ascii="Calibri" w:hAnsi="Calibri" w:cs="Calibri"/>
                <w:b/>
                <w:bCs/>
                <w:color w:val="000000"/>
                <w:sz w:val="22"/>
                <w:szCs w:val="22"/>
              </w:rPr>
              <w:t>Appendix 1</w:t>
            </w:r>
            <w:r>
              <w:rPr>
                <w:rFonts w:ascii="Calibri" w:hAnsi="Calibri" w:cs="Calibri"/>
                <w:color w:val="000000"/>
                <w:sz w:val="22"/>
                <w:szCs w:val="22"/>
              </w:rPr>
              <w:t xml:space="preserve"> does not set a clear time limit for post-crediting monitoring obligations in the land use sector.  Such projects will inherently have risks of reversals above the </w:t>
            </w:r>
            <w:r w:rsidR="00B00304">
              <w:rPr>
                <w:rFonts w:ascii="Calibri" w:hAnsi="Calibri" w:cs="Calibri"/>
                <w:color w:val="000000"/>
                <w:sz w:val="22"/>
                <w:szCs w:val="22"/>
              </w:rPr>
              <w:t xml:space="preserve">current </w:t>
            </w:r>
            <w:r>
              <w:rPr>
                <w:rFonts w:ascii="Calibri" w:hAnsi="Calibri" w:cs="Calibri"/>
                <w:color w:val="000000"/>
                <w:sz w:val="22"/>
                <w:szCs w:val="22"/>
              </w:rPr>
              <w:t xml:space="preserve">threshold </w:t>
            </w:r>
            <w:r w:rsidR="00B00304">
              <w:rPr>
                <w:rFonts w:ascii="Calibri" w:hAnsi="Calibri" w:cs="Calibri"/>
                <w:color w:val="000000"/>
                <w:sz w:val="22"/>
                <w:szCs w:val="22"/>
              </w:rPr>
              <w:t>considered</w:t>
            </w:r>
            <w:r w:rsidR="00B00304">
              <w:rPr>
                <w:rFonts w:ascii="Calibri" w:hAnsi="Calibri" w:cs="Calibri"/>
                <w:color w:val="000000"/>
                <w:sz w:val="22"/>
                <w:szCs w:val="22"/>
              </w:rPr>
              <w:t xml:space="preserve"> </w:t>
            </w:r>
            <w:r>
              <w:rPr>
                <w:rFonts w:ascii="Calibri" w:hAnsi="Calibri" w:cs="Calibri"/>
                <w:color w:val="000000"/>
                <w:sz w:val="22"/>
                <w:szCs w:val="22"/>
              </w:rPr>
              <w:t>“negligible”.</w:t>
            </w:r>
          </w:p>
          <w:p w14:paraId="5E2DCE3F" w14:textId="77777777" w:rsidR="006F0CF4" w:rsidRDefault="006F0CF4"/>
          <w:p w14:paraId="1E4E2779" w14:textId="68F38087" w:rsidR="006F0CF4" w:rsidRDefault="006F0CF4">
            <w:pPr>
              <w:pStyle w:val="NormalWeb"/>
              <w:spacing w:before="0" w:beforeAutospacing="0" w:after="0" w:afterAutospacing="0"/>
            </w:pPr>
            <w:r>
              <w:rPr>
                <w:rFonts w:ascii="Calibri" w:hAnsi="Calibri" w:cs="Calibri"/>
                <w:color w:val="000000"/>
                <w:sz w:val="22"/>
                <w:szCs w:val="22"/>
              </w:rPr>
              <w:t xml:space="preserve">It is unwise to set up a system which </w:t>
            </w:r>
            <w:r w:rsidR="00423A55">
              <w:rPr>
                <w:rFonts w:ascii="Calibri" w:hAnsi="Calibri" w:cs="Calibri"/>
                <w:color w:val="000000"/>
                <w:sz w:val="22"/>
                <w:szCs w:val="22"/>
              </w:rPr>
              <w:t>cannot</w:t>
            </w:r>
            <w:r>
              <w:rPr>
                <w:rFonts w:ascii="Calibri" w:hAnsi="Calibri" w:cs="Calibri"/>
                <w:color w:val="000000"/>
                <w:sz w:val="22"/>
                <w:szCs w:val="22"/>
              </w:rPr>
              <w:t xml:space="preserve"> reasonably be expected to operate. The number of institutions of any kind that have persisted on the time scales imagined in this paragraph (effectively, for perpetuity) are very limited in number. It is unreasonable to expect a participant to take on or be able to compensate for any lost mitigation from post-crediting reversals. There are two options to address this: </w:t>
            </w:r>
          </w:p>
          <w:p w14:paraId="374D059B" w14:textId="77777777" w:rsidR="006F0CF4" w:rsidRDefault="006F0CF4">
            <w:r>
              <w:br/>
            </w:r>
          </w:p>
          <w:p w14:paraId="20DCCB13" w14:textId="60969F38" w:rsidR="006F0CF4" w:rsidRDefault="006F0CF4" w:rsidP="006F0CF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limit the post-crediting monitoring period to a timeframe </w:t>
            </w:r>
            <w:r w:rsidR="00423A55">
              <w:rPr>
                <w:rFonts w:ascii="Calibri" w:hAnsi="Calibri" w:cs="Calibri"/>
                <w:color w:val="000000"/>
                <w:sz w:val="22"/>
                <w:szCs w:val="22"/>
              </w:rPr>
              <w:t>for</w:t>
            </w:r>
            <w:r w:rsidR="00423A55">
              <w:rPr>
                <w:rFonts w:ascii="Calibri" w:hAnsi="Calibri" w:cs="Calibri"/>
                <w:color w:val="000000"/>
                <w:sz w:val="22"/>
                <w:szCs w:val="22"/>
              </w:rPr>
              <w:t xml:space="preserve"> </w:t>
            </w:r>
            <w:r>
              <w:rPr>
                <w:rFonts w:ascii="Calibri" w:hAnsi="Calibri" w:cs="Calibri"/>
                <w:color w:val="000000"/>
                <w:sz w:val="22"/>
                <w:szCs w:val="22"/>
              </w:rPr>
              <w:t>which those institutions could reasonably be expected to persist; and/ or </w:t>
            </w:r>
          </w:p>
          <w:p w14:paraId="5167617B" w14:textId="77777777" w:rsidR="006F0CF4" w:rsidRDefault="006F0CF4" w:rsidP="006F0CF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Include insurance mechanisms or equivalent guarantees; and/or</w:t>
            </w:r>
          </w:p>
          <w:p w14:paraId="061393C3" w14:textId="77777777" w:rsidR="006F0CF4" w:rsidRDefault="006F0CF4" w:rsidP="006F0CF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allow the cancellation of credits in a buffer pool to cover the anticipated post-crediting risk; and/or </w:t>
            </w:r>
          </w:p>
          <w:p w14:paraId="38185EC8" w14:textId="488D613B" w:rsidR="006F0CF4" w:rsidRDefault="006F0CF4" w:rsidP="006F0CF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for the transfer of this obligation to third parties.</w:t>
            </w:r>
            <w:r w:rsidR="00DF76DD">
              <w:rPr>
                <w:rFonts w:ascii="Calibri" w:hAnsi="Calibri" w:cs="Calibri"/>
                <w:color w:val="000000"/>
                <w:sz w:val="22"/>
                <w:szCs w:val="22"/>
              </w:rPr>
              <w:t xml:space="preserve"> I</w:t>
            </w:r>
            <w:r>
              <w:rPr>
                <w:rFonts w:ascii="Calibri" w:hAnsi="Calibri" w:cs="Calibri"/>
                <w:color w:val="000000"/>
                <w:sz w:val="22"/>
                <w:szCs w:val="22"/>
              </w:rPr>
              <w:t>t is</w:t>
            </w:r>
            <w:r w:rsidR="00DF76DD">
              <w:rPr>
                <w:rFonts w:ascii="Calibri" w:hAnsi="Calibri" w:cs="Calibri"/>
                <w:color w:val="000000"/>
                <w:sz w:val="22"/>
                <w:szCs w:val="22"/>
              </w:rPr>
              <w:t xml:space="preserve"> </w:t>
            </w:r>
            <w:proofErr w:type="spellStart"/>
            <w:r w:rsidR="00DF76DD">
              <w:rPr>
                <w:rFonts w:ascii="Calibri" w:hAnsi="Calibri" w:cs="Calibri"/>
                <w:color w:val="000000"/>
                <w:sz w:val="22"/>
                <w:szCs w:val="22"/>
              </w:rPr>
              <w:t>particularlz</w:t>
            </w:r>
            <w:proofErr w:type="spellEnd"/>
            <w:r>
              <w:rPr>
                <w:rFonts w:ascii="Calibri" w:hAnsi="Calibri" w:cs="Calibri"/>
                <w:color w:val="000000"/>
                <w:sz w:val="22"/>
                <w:szCs w:val="22"/>
              </w:rPr>
              <w:t xml:space="preserve"> important to leave flexibility for the rapid innovations occurring in this space. It is possible to imagine specialized entities forming to absorb this </w:t>
            </w:r>
            <w:r>
              <w:rPr>
                <w:rFonts w:ascii="Calibri" w:hAnsi="Calibri" w:cs="Calibri"/>
                <w:color w:val="000000"/>
                <w:sz w:val="22"/>
                <w:szCs w:val="22"/>
              </w:rPr>
              <w:lastRenderedPageBreak/>
              <w:t>obligation from participants. However, this flexibility must be explicitly allowed for in the standard. </w:t>
            </w:r>
          </w:p>
          <w:p w14:paraId="19F8E850" w14:textId="77777777" w:rsidR="006F0CF4" w:rsidRDefault="006F0CF4">
            <w:pPr>
              <w:rPr>
                <w:rFonts w:ascii="Times New Roman" w:hAnsi="Times New Roman" w:cs="Times New Roman"/>
                <w:sz w:val="24"/>
                <w:szCs w:val="24"/>
              </w:rPr>
            </w:pPr>
          </w:p>
          <w:p w14:paraId="7CF50DBD" w14:textId="77777777" w:rsidR="006F0CF4" w:rsidRDefault="006F0CF4">
            <w:pPr>
              <w:pStyle w:val="NormalWeb"/>
              <w:spacing w:before="0" w:beforeAutospacing="0" w:after="0" w:afterAutospacing="0"/>
            </w:pPr>
            <w:r>
              <w:rPr>
                <w:rFonts w:ascii="Calibri" w:hAnsi="Calibri" w:cs="Calibri"/>
                <w:b/>
                <w:bCs/>
                <w:color w:val="000000"/>
                <w:sz w:val="22"/>
                <w:szCs w:val="22"/>
              </w:rPr>
              <w:t>OPTION B</w:t>
            </w:r>
          </w:p>
          <w:p w14:paraId="601D1334" w14:textId="77777777" w:rsidR="006F0CF4" w:rsidRDefault="006F0CF4"/>
          <w:p w14:paraId="5676A25B" w14:textId="78D5D364" w:rsidR="006F0CF4" w:rsidRDefault="006F0CF4">
            <w:pPr>
              <w:pStyle w:val="NormalWeb"/>
              <w:spacing w:before="0" w:beforeAutospacing="0" w:after="0" w:afterAutospacing="0"/>
            </w:pPr>
            <w:r>
              <w:rPr>
                <w:rFonts w:ascii="Calibri" w:hAnsi="Calibri" w:cs="Calibri"/>
                <w:b/>
                <w:bCs/>
                <w:color w:val="000000"/>
                <w:sz w:val="22"/>
                <w:szCs w:val="22"/>
              </w:rPr>
              <w:t>Appendix 3</w:t>
            </w:r>
            <w:r>
              <w:rPr>
                <w:rFonts w:ascii="Calibri" w:hAnsi="Calibri" w:cs="Calibri"/>
                <w:color w:val="000000"/>
                <w:sz w:val="22"/>
                <w:szCs w:val="22"/>
              </w:rPr>
              <w:t xml:space="preserve"> requires participants to monitor reversals for 45 years after the date of the final verification. Clear timelines like this are essential for making land use projects investable. </w:t>
            </w:r>
            <w:proofErr w:type="gramStart"/>
            <w:r w:rsidR="00A71DB2">
              <w:rPr>
                <w:rFonts w:ascii="Calibri" w:hAnsi="Calibri" w:cs="Calibri"/>
                <w:color w:val="000000"/>
                <w:sz w:val="22"/>
                <w:szCs w:val="22"/>
              </w:rPr>
              <w:t>Nevertheless</w:t>
            </w:r>
            <w:proofErr w:type="gramEnd"/>
            <w:r w:rsidR="00A71DB2">
              <w:rPr>
                <w:rFonts w:ascii="Calibri" w:hAnsi="Calibri" w:cs="Calibri"/>
                <w:color w:val="000000"/>
                <w:sz w:val="22"/>
                <w:szCs w:val="22"/>
              </w:rPr>
              <w:t xml:space="preserve"> </w:t>
            </w:r>
            <w:r>
              <w:rPr>
                <w:rFonts w:ascii="Calibri" w:hAnsi="Calibri" w:cs="Calibri"/>
                <w:color w:val="000000"/>
                <w:sz w:val="22"/>
                <w:szCs w:val="22"/>
              </w:rPr>
              <w:t>for a project that operates for 30 years, this would mean a 75-year contractual commitment</w:t>
            </w:r>
            <w:r w:rsidR="001169C6">
              <w:rPr>
                <w:rFonts w:ascii="Calibri" w:hAnsi="Calibri" w:cs="Calibri"/>
                <w:color w:val="000000"/>
                <w:sz w:val="22"/>
                <w:szCs w:val="22"/>
              </w:rPr>
              <w:t xml:space="preserve">, which is </w:t>
            </w:r>
            <w:r>
              <w:rPr>
                <w:rFonts w:ascii="Calibri" w:hAnsi="Calibri" w:cs="Calibri"/>
                <w:color w:val="000000"/>
                <w:sz w:val="22"/>
                <w:szCs w:val="22"/>
              </w:rPr>
              <w:t>far longer than what</w:t>
            </w:r>
            <w:r w:rsidR="001169C6">
              <w:rPr>
                <w:rFonts w:ascii="Calibri" w:hAnsi="Calibri" w:cs="Calibri"/>
                <w:color w:val="000000"/>
                <w:sz w:val="22"/>
                <w:szCs w:val="22"/>
              </w:rPr>
              <w:t xml:space="preserve"> i</w:t>
            </w:r>
            <w:r>
              <w:rPr>
                <w:rFonts w:ascii="Calibri" w:hAnsi="Calibri" w:cs="Calibri"/>
                <w:color w:val="000000"/>
                <w:sz w:val="22"/>
                <w:szCs w:val="22"/>
              </w:rPr>
              <w:t>s common even in long-term financial markets like home mortgages</w:t>
            </w:r>
            <w:r w:rsidR="00347B95">
              <w:rPr>
                <w:rFonts w:ascii="Calibri" w:hAnsi="Calibri" w:cs="Calibri"/>
                <w:color w:val="000000"/>
                <w:sz w:val="22"/>
                <w:szCs w:val="22"/>
              </w:rPr>
              <w:t xml:space="preserve"> and is only sometimes reached </w:t>
            </w:r>
            <w:proofErr w:type="gramStart"/>
            <w:r w:rsidR="00347B95">
              <w:rPr>
                <w:rFonts w:ascii="Calibri" w:hAnsi="Calibri" w:cs="Calibri"/>
                <w:color w:val="000000"/>
                <w:sz w:val="22"/>
                <w:szCs w:val="22"/>
              </w:rPr>
              <w:t>with  life</w:t>
            </w:r>
            <w:proofErr w:type="gramEnd"/>
            <w:r w:rsidR="00347B95">
              <w:rPr>
                <w:rFonts w:ascii="Calibri" w:hAnsi="Calibri" w:cs="Calibri"/>
                <w:color w:val="000000"/>
                <w:sz w:val="22"/>
                <w:szCs w:val="22"/>
              </w:rPr>
              <w:t xml:space="preserve"> insurances</w:t>
            </w:r>
            <w:r>
              <w:rPr>
                <w:rFonts w:ascii="Calibri" w:hAnsi="Calibri" w:cs="Calibri"/>
                <w:color w:val="000000"/>
                <w:sz w:val="22"/>
                <w:szCs w:val="22"/>
              </w:rPr>
              <w:t>.</w:t>
            </w:r>
          </w:p>
          <w:p w14:paraId="203F6F8D" w14:textId="77777777" w:rsidR="006F0CF4" w:rsidRDefault="006F0CF4">
            <w:pPr>
              <w:pStyle w:val="NormalWeb"/>
              <w:spacing w:before="0" w:beforeAutospacing="0" w:after="0" w:afterAutospacing="0"/>
            </w:pPr>
            <w:r>
              <w:rPr>
                <w:rFonts w:ascii="Calibri" w:hAnsi="Calibri" w:cs="Calibri"/>
                <w:color w:val="000000"/>
                <w:sz w:val="22"/>
                <w:szCs w:val="22"/>
              </w:rPr>
              <w:t> </w:t>
            </w:r>
          </w:p>
          <w:p w14:paraId="3CA73CAE" w14:textId="47FD1F4A" w:rsidR="006F0CF4" w:rsidRDefault="006F0CF4">
            <w:pPr>
              <w:pStyle w:val="NormalWeb"/>
              <w:spacing w:before="240" w:beforeAutospacing="0" w:after="240" w:afterAutospacing="0"/>
            </w:pPr>
            <w:r>
              <w:rPr>
                <w:rFonts w:ascii="Calibri" w:hAnsi="Calibri" w:cs="Calibri"/>
                <w:color w:val="000000"/>
                <w:sz w:val="22"/>
                <w:szCs w:val="22"/>
              </w:rPr>
              <w:t>This requirement could be workable if paragraph 18 allow</w:t>
            </w:r>
            <w:r w:rsidR="00A71DB2">
              <w:rPr>
                <w:rFonts w:ascii="Calibri" w:hAnsi="Calibri" w:cs="Calibri"/>
                <w:color w:val="000000"/>
                <w:sz w:val="22"/>
                <w:szCs w:val="22"/>
              </w:rPr>
              <w:t xml:space="preserve">ed </w:t>
            </w:r>
            <w:r>
              <w:rPr>
                <w:rFonts w:ascii="Calibri" w:hAnsi="Calibri" w:cs="Calibri"/>
                <w:color w:val="000000"/>
                <w:sz w:val="22"/>
                <w:szCs w:val="22"/>
              </w:rPr>
              <w:t>post-crediting obligations to be transferred or cancelled once reversal risks have been addressed—</w:t>
            </w:r>
            <w:proofErr w:type="gramStart"/>
            <w:r>
              <w:rPr>
                <w:rFonts w:ascii="Calibri" w:hAnsi="Calibri" w:cs="Calibri"/>
                <w:color w:val="000000"/>
                <w:sz w:val="22"/>
                <w:szCs w:val="22"/>
              </w:rPr>
              <w:t xml:space="preserve">either </w:t>
            </w:r>
            <w:r w:rsidR="009B1BF4">
              <w:rPr>
                <w:rFonts w:ascii="Calibri" w:hAnsi="Calibri" w:cs="Calibri"/>
                <w:color w:val="000000"/>
                <w:sz w:val="22"/>
                <w:szCs w:val="22"/>
              </w:rPr>
              <w:t xml:space="preserve"> </w:t>
            </w:r>
            <w:r>
              <w:rPr>
                <w:rFonts w:ascii="Calibri" w:hAnsi="Calibri" w:cs="Calibri"/>
                <w:color w:val="000000"/>
                <w:sz w:val="22"/>
                <w:szCs w:val="22"/>
              </w:rPr>
              <w:t>as</w:t>
            </w:r>
            <w:proofErr w:type="gramEnd"/>
            <w:r>
              <w:rPr>
                <w:rFonts w:ascii="Calibri" w:hAnsi="Calibri" w:cs="Calibri"/>
                <w:color w:val="000000"/>
                <w:sz w:val="22"/>
                <w:szCs w:val="22"/>
              </w:rPr>
              <w:t xml:space="preserve"> sufficient cancellation of buffer pool credits, insurance mechanisms or </w:t>
            </w:r>
            <w:proofErr w:type="spellStart"/>
            <w:r>
              <w:rPr>
                <w:rFonts w:ascii="Calibri" w:hAnsi="Calibri" w:cs="Calibri"/>
                <w:color w:val="000000"/>
                <w:sz w:val="22"/>
                <w:szCs w:val="22"/>
              </w:rPr>
              <w:t>transferrance</w:t>
            </w:r>
            <w:proofErr w:type="spellEnd"/>
            <w:r>
              <w:rPr>
                <w:rFonts w:ascii="Calibri" w:hAnsi="Calibri" w:cs="Calibri"/>
                <w:color w:val="000000"/>
                <w:sz w:val="22"/>
                <w:szCs w:val="22"/>
              </w:rPr>
              <w:t xml:space="preserve"> of the monitoring and compensation responsibility to a credible third party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FAB7C" w14:textId="04802FE3" w:rsidR="006F0CF4" w:rsidRPr="00C177B5" w:rsidRDefault="0049116F">
            <w:pPr>
              <w:pStyle w:val="NormalWeb"/>
              <w:spacing w:before="0" w:beforeAutospacing="0" w:after="0" w:afterAutospacing="0"/>
            </w:pPr>
            <w:r w:rsidRPr="00C177B5">
              <w:rPr>
                <w:rFonts w:ascii="Calibri" w:hAnsi="Calibri" w:cs="Calibri"/>
                <w:color w:val="000000"/>
                <w:sz w:val="22"/>
                <w:szCs w:val="22"/>
              </w:rPr>
              <w:lastRenderedPageBreak/>
              <w:t>I</w:t>
            </w:r>
            <w:r w:rsidRPr="00C177B5">
              <w:rPr>
                <w:rFonts w:ascii="Calibri" w:hAnsi="Calibri" w:cs="Calibri"/>
                <w:color w:val="000000"/>
                <w:sz w:val="22"/>
                <w:szCs w:val="22"/>
              </w:rPr>
              <w:t xml:space="preserve"> </w:t>
            </w:r>
            <w:r w:rsidR="006F0CF4" w:rsidRPr="00C177B5">
              <w:rPr>
                <w:rFonts w:ascii="Calibri" w:hAnsi="Calibri" w:cs="Calibri"/>
                <w:color w:val="000000"/>
                <w:sz w:val="22"/>
                <w:szCs w:val="22"/>
              </w:rPr>
              <w:t xml:space="preserve">recommend </w:t>
            </w:r>
            <w:r w:rsidR="001C1211">
              <w:rPr>
                <w:rFonts w:ascii="Calibri" w:hAnsi="Calibri" w:cs="Calibri"/>
                <w:color w:val="000000"/>
                <w:sz w:val="22"/>
                <w:szCs w:val="22"/>
              </w:rPr>
              <w:t xml:space="preserve">the following provisions to be included into Appendix </w:t>
            </w:r>
            <w:r w:rsidR="00BC3F7C">
              <w:rPr>
                <w:rFonts w:ascii="Calibri" w:hAnsi="Calibri" w:cs="Calibri"/>
                <w:color w:val="000000"/>
                <w:sz w:val="22"/>
                <w:szCs w:val="22"/>
              </w:rPr>
              <w:t>3</w:t>
            </w:r>
            <w:r w:rsidR="00BC3F7C">
              <w:rPr>
                <w:rFonts w:ascii="Calibri" w:hAnsi="Calibri" w:cs="Calibri"/>
                <w:color w:val="000000"/>
                <w:sz w:val="22"/>
                <w:szCs w:val="22"/>
              </w:rPr>
              <w:br/>
            </w:r>
            <w:r w:rsidR="00BC3F7C">
              <w:rPr>
                <w:rFonts w:ascii="Calibri" w:hAnsi="Calibri" w:cs="Calibri"/>
                <w:color w:val="000000"/>
                <w:sz w:val="22"/>
                <w:szCs w:val="22"/>
              </w:rPr>
              <w:br/>
              <w:t xml:space="preserve">1. The </w:t>
            </w:r>
            <w:r w:rsidR="006F0CF4" w:rsidRPr="00C177B5">
              <w:rPr>
                <w:rFonts w:ascii="Calibri" w:hAnsi="Calibri" w:cs="Calibri"/>
                <w:color w:val="000000"/>
                <w:sz w:val="22"/>
                <w:szCs w:val="22"/>
              </w:rPr>
              <w:t xml:space="preserve">obligation to monitor and report in the post-crediting period </w:t>
            </w:r>
            <w:r w:rsidRPr="00C177B5">
              <w:rPr>
                <w:rFonts w:ascii="Calibri" w:hAnsi="Calibri" w:cs="Calibri"/>
                <w:color w:val="000000"/>
                <w:sz w:val="22"/>
                <w:szCs w:val="22"/>
              </w:rPr>
              <w:t>to be</w:t>
            </w:r>
            <w:r w:rsidRPr="00C177B5">
              <w:rPr>
                <w:rFonts w:ascii="Calibri" w:hAnsi="Calibri" w:cs="Calibri"/>
                <w:color w:val="000000"/>
                <w:sz w:val="22"/>
                <w:szCs w:val="22"/>
              </w:rPr>
              <w:t xml:space="preserve"> </w:t>
            </w:r>
            <w:r w:rsidR="006F0CF4" w:rsidRPr="00C177B5">
              <w:rPr>
                <w:rFonts w:ascii="Calibri" w:hAnsi="Calibri" w:cs="Calibri"/>
                <w:color w:val="000000"/>
                <w:sz w:val="22"/>
                <w:szCs w:val="22"/>
              </w:rPr>
              <w:t xml:space="preserve">ongoing until </w:t>
            </w:r>
            <w:r w:rsidR="006F0CF4" w:rsidRPr="00B32A48">
              <w:rPr>
                <w:rFonts w:ascii="Calibri" w:hAnsi="Calibri" w:cs="Calibri"/>
                <w:color w:val="000000"/>
                <w:sz w:val="22"/>
                <w:szCs w:val="22"/>
              </w:rPr>
              <w:t>a) 40 years have passed from the beginning of the project</w:t>
            </w:r>
            <w:r w:rsidR="006F0CF4" w:rsidRPr="00C177B5">
              <w:rPr>
                <w:rFonts w:ascii="Calibri" w:hAnsi="Calibri" w:cs="Calibri"/>
                <w:color w:val="000000"/>
                <w:sz w:val="22"/>
                <w:szCs w:val="22"/>
              </w:rPr>
              <w:t xml:space="preserve">, or b) activity participants can demonstrate either i) that the stored greenhouse gases or their precursors have a negligible risk of reversal; or that ii) the potential future reversal of this storage has been remediated, </w:t>
            </w:r>
            <w:r w:rsidR="006F0CF4" w:rsidRPr="00B32A48">
              <w:rPr>
                <w:rFonts w:ascii="Calibri" w:hAnsi="Calibri" w:cs="Calibri"/>
                <w:color w:val="000000"/>
                <w:sz w:val="22"/>
                <w:szCs w:val="22"/>
              </w:rPr>
              <w:t xml:space="preserve">including through alternative mechanisms such the </w:t>
            </w:r>
            <w:r w:rsidR="0025740A" w:rsidRPr="00B32A48">
              <w:rPr>
                <w:rFonts w:ascii="Calibri" w:hAnsi="Calibri" w:cs="Calibri"/>
                <w:color w:val="000000"/>
                <w:sz w:val="22"/>
                <w:szCs w:val="22"/>
              </w:rPr>
              <w:t>cancellation</w:t>
            </w:r>
            <w:r w:rsidR="006F0CF4" w:rsidRPr="00B32A48">
              <w:rPr>
                <w:rFonts w:ascii="Calibri" w:hAnsi="Calibri" w:cs="Calibri"/>
                <w:color w:val="000000"/>
                <w:sz w:val="22"/>
                <w:szCs w:val="22"/>
              </w:rPr>
              <w:t xml:space="preserve"> of credits in the buffer pool, or </w:t>
            </w:r>
            <w:r w:rsidR="0025740A" w:rsidRPr="00B32A48">
              <w:rPr>
                <w:rFonts w:ascii="Calibri" w:hAnsi="Calibri" w:cs="Calibri"/>
                <w:color w:val="000000"/>
                <w:sz w:val="22"/>
                <w:szCs w:val="22"/>
              </w:rPr>
              <w:t>utilization</w:t>
            </w:r>
            <w:r w:rsidR="006F0CF4" w:rsidRPr="00B32A48">
              <w:rPr>
                <w:rFonts w:ascii="Calibri" w:hAnsi="Calibri" w:cs="Calibri"/>
                <w:color w:val="000000"/>
                <w:sz w:val="22"/>
                <w:szCs w:val="22"/>
              </w:rPr>
              <w:t xml:space="preserve"> of insurance mechanisms or the transfer of the obligation for monitoring and compensation to a credible third party established for such a purpose. </w:t>
            </w:r>
          </w:p>
          <w:p w14:paraId="3D932C06" w14:textId="77777777" w:rsidR="006F0CF4" w:rsidRDefault="006F0CF4"/>
          <w:p w14:paraId="520CC16A" w14:textId="0CD3CC6D" w:rsidR="006F0CF4" w:rsidRDefault="00BC3F7C">
            <w:pPr>
              <w:pStyle w:val="NormalWeb"/>
              <w:spacing w:before="40" w:beforeAutospacing="0" w:after="40" w:afterAutospacing="0"/>
            </w:pPr>
            <w:r>
              <w:rPr>
                <w:rFonts w:ascii="Calibri" w:hAnsi="Calibri" w:cs="Calibri"/>
                <w:color w:val="000000"/>
                <w:sz w:val="22"/>
                <w:szCs w:val="22"/>
              </w:rPr>
              <w:t>2</w:t>
            </w:r>
            <w:r w:rsidR="006F0CF4">
              <w:rPr>
                <w:rFonts w:ascii="Calibri" w:hAnsi="Calibri" w:cs="Calibri"/>
                <w:color w:val="000000"/>
                <w:sz w:val="22"/>
                <w:szCs w:val="22"/>
              </w:rPr>
              <w:t xml:space="preserve">. Activity participants may submit, at any time in the post-crediting period </w:t>
            </w:r>
            <w:r w:rsidR="006F0CF4" w:rsidRPr="00B32A48">
              <w:rPr>
                <w:rFonts w:ascii="Calibri" w:hAnsi="Calibri" w:cs="Calibri"/>
                <w:color w:val="000000"/>
                <w:sz w:val="22"/>
                <w:szCs w:val="22"/>
              </w:rPr>
              <w:t>during</w:t>
            </w:r>
            <w:r w:rsidR="006F0CF4">
              <w:rPr>
                <w:rFonts w:ascii="Calibri" w:hAnsi="Calibri" w:cs="Calibri"/>
                <w:b/>
                <w:bCs/>
                <w:color w:val="000000"/>
                <w:sz w:val="22"/>
                <w:szCs w:val="22"/>
              </w:rPr>
              <w:t xml:space="preserve"> </w:t>
            </w:r>
            <w:r w:rsidR="006F0CF4">
              <w:rPr>
                <w:rFonts w:ascii="Calibri" w:hAnsi="Calibri" w:cs="Calibri"/>
                <w:color w:val="000000"/>
                <w:sz w:val="22"/>
                <w:szCs w:val="22"/>
              </w:rPr>
              <w:t xml:space="preserve">or after the minimum post-crediting period defined in an activity’s mechanism methodology has elapsed, a request to the Supervisory Body to terminate post-crediting period </w:t>
            </w:r>
            <w:r w:rsidR="006F0CF4">
              <w:rPr>
                <w:rFonts w:ascii="Calibri" w:hAnsi="Calibri" w:cs="Calibri"/>
                <w:color w:val="000000"/>
                <w:sz w:val="22"/>
                <w:szCs w:val="22"/>
              </w:rPr>
              <w:lastRenderedPageBreak/>
              <w:t>monitoring and reporting, demonstrating that:</w:t>
            </w:r>
          </w:p>
          <w:p w14:paraId="4E64D42D" w14:textId="77777777" w:rsidR="006F0CF4" w:rsidRDefault="006F0CF4"/>
          <w:p w14:paraId="0D2CA5EE" w14:textId="677D1FB6" w:rsidR="006F0CF4" w:rsidRPr="008A57FF" w:rsidRDefault="006F0CF4">
            <w:pPr>
              <w:pStyle w:val="NormalWeb"/>
              <w:spacing w:before="40" w:beforeAutospacing="0" w:after="40" w:afterAutospacing="0"/>
            </w:pPr>
            <w:r>
              <w:rPr>
                <w:rFonts w:ascii="Calibri" w:hAnsi="Calibri" w:cs="Calibri"/>
                <w:color w:val="000000"/>
                <w:sz w:val="22"/>
                <w:szCs w:val="22"/>
              </w:rPr>
              <w:t xml:space="preserve">a. The stored greenhouse gases, or precursors of greenhouse gases, are at a negligible risk of reversal </w:t>
            </w:r>
            <w:r w:rsidRPr="00B32A48">
              <w:rPr>
                <w:rFonts w:ascii="Calibri" w:hAnsi="Calibri" w:cs="Calibri"/>
                <w:color w:val="000000"/>
                <w:sz w:val="22"/>
                <w:szCs w:val="22"/>
              </w:rPr>
              <w:t>or that the responsibility for ongoing monitoring and compensation for reversals has been fulfilled with insurance mechanisms or equivalent guarantees; or transferred to a third party with sufficient capacity and resources to compensate for any lost mitigation from post-crediting reversals</w:t>
            </w:r>
            <w:r w:rsidRPr="00B32A48">
              <w:rPr>
                <w:rFonts w:ascii="Calibri" w:hAnsi="Calibri" w:cs="Calibri"/>
                <w:color w:val="000000"/>
                <w:sz w:val="22"/>
                <w:szCs w:val="22"/>
                <w:shd w:val="clear" w:color="auto" w:fill="FFFFFF"/>
              </w:rPr>
              <w:t>; or all crediting period buffer credits have been cancelled at the end of the crediting period, and evidence has been provided to demonstrate that cancelled credits will be sufficient to cover any lost mitigation from anticipated post-crediting reversals.</w:t>
            </w:r>
          </w:p>
          <w:p w14:paraId="04E65E4D" w14:textId="77777777" w:rsidR="006F0CF4" w:rsidRDefault="006F0CF4"/>
          <w:p w14:paraId="14BC645A" w14:textId="77777777" w:rsidR="006F0CF4" w:rsidRDefault="006F0CF4">
            <w:pPr>
              <w:pStyle w:val="NormalWeb"/>
              <w:spacing w:before="40" w:beforeAutospacing="0" w:after="40" w:afterAutospacing="0"/>
            </w:pPr>
            <w:r>
              <w:rPr>
                <w:rFonts w:ascii="Calibri" w:hAnsi="Calibri" w:cs="Calibri"/>
                <w:color w:val="000000"/>
                <w:sz w:val="22"/>
                <w:szCs w:val="22"/>
              </w:rPr>
              <w:t>b. All conditions or criteria set in the mechanism methodology for termination of post-crediting period monitoring have been fulfilled.</w:t>
            </w:r>
          </w:p>
          <w:p w14:paraId="1A6282E6" w14:textId="77777777" w:rsidR="006F0CF4" w:rsidRDefault="006F0CF4">
            <w:pPr>
              <w:spacing w:after="240"/>
            </w:pPr>
            <w:r>
              <w:br/>
            </w:r>
            <w:r>
              <w:br/>
            </w:r>
            <w:r>
              <w:br/>
            </w:r>
          </w:p>
        </w:tc>
      </w:tr>
      <w:tr w:rsidR="009C6E60" w14:paraId="1064ACFD" w14:textId="77777777" w:rsidTr="00AF5B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9C747" w14:textId="77777777" w:rsidR="006F0CF4" w:rsidRDefault="006F0CF4">
            <w:pPr>
              <w:pStyle w:val="NormalWeb"/>
              <w:spacing w:before="0" w:beforeAutospacing="0" w:after="240" w:afterAutospacing="0"/>
            </w:pPr>
            <w:r>
              <w:rPr>
                <w:rFonts w:ascii="Calibri" w:hAnsi="Calibri" w:cs="Calibri"/>
                <w:b/>
                <w:bCs/>
                <w:color w:val="000000"/>
                <w:sz w:val="22"/>
                <w:szCs w:val="22"/>
              </w:rPr>
              <w:lastRenderedPageBreak/>
              <w:t>Below baseline reversals: </w:t>
            </w:r>
          </w:p>
          <w:p w14:paraId="198EDD04" w14:textId="77777777" w:rsidR="006F0CF4" w:rsidRDefault="006F0CF4"/>
        </w:tc>
        <w:tc>
          <w:tcPr>
            <w:tcW w:w="2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19D6D" w14:textId="77777777" w:rsidR="006F0CF4" w:rsidRDefault="006F0CF4">
            <w:pPr>
              <w:pStyle w:val="NormalWeb"/>
              <w:spacing w:before="0" w:beforeAutospacing="0" w:after="240" w:afterAutospacing="0"/>
            </w:pPr>
            <w:r>
              <w:rPr>
                <w:rFonts w:ascii="Calibri" w:hAnsi="Calibri" w:cs="Calibri"/>
                <w:color w:val="000000"/>
                <w:sz w:val="22"/>
                <w:szCs w:val="22"/>
              </w:rPr>
              <w:t xml:space="preserve">Cover </w:t>
            </w:r>
            <w:proofErr w:type="gramStart"/>
            <w:r>
              <w:rPr>
                <w:rFonts w:ascii="Calibri" w:hAnsi="Calibri" w:cs="Calibri"/>
                <w:color w:val="000000"/>
                <w:sz w:val="22"/>
                <w:szCs w:val="22"/>
              </w:rPr>
              <w:t>note</w:t>
            </w:r>
            <w:proofErr w:type="gramEnd"/>
            <w:r>
              <w:rPr>
                <w:rFonts w:ascii="Calibri" w:hAnsi="Calibri" w:cs="Calibri"/>
                <w:color w:val="000000"/>
                <w:sz w:val="22"/>
                <w:szCs w:val="22"/>
              </w:rPr>
              <w:t>, Paragraph 31 (b)</w:t>
            </w:r>
          </w:p>
        </w:tc>
        <w:tc>
          <w:tcPr>
            <w:tcW w:w="5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11033" w14:textId="4636734A" w:rsidR="006F0CF4" w:rsidRDefault="006F0CF4">
            <w:pPr>
              <w:pStyle w:val="NormalWeb"/>
              <w:spacing w:before="0" w:beforeAutospacing="0" w:after="240" w:afterAutospacing="0"/>
            </w:pPr>
            <w:r>
              <w:rPr>
                <w:rFonts w:ascii="Calibri" w:hAnsi="Calibri" w:cs="Calibri"/>
                <w:color w:val="000000"/>
                <w:sz w:val="22"/>
                <w:szCs w:val="22"/>
              </w:rPr>
              <w:t xml:space="preserve">This paragraph seems to suggest that participants would be responsible not only for monitoring and maintaining the storage of greenhouse gases that have been removed and / or maintained through their activities, but also the historical storage (or “carbon stocks”) that existed prior to their activities. </w:t>
            </w:r>
            <w:r>
              <w:rPr>
                <w:rFonts w:ascii="Calibri" w:hAnsi="Calibri" w:cs="Calibri"/>
                <w:color w:val="000000"/>
                <w:sz w:val="22"/>
                <w:szCs w:val="22"/>
              </w:rPr>
              <w:lastRenderedPageBreak/>
              <w:t>This is not a reasonable, and if taken literally would likely make many nature-based projects impossible. </w:t>
            </w:r>
          </w:p>
          <w:p w14:paraId="479757CF" w14:textId="23584C67" w:rsidR="006F0CF4" w:rsidRDefault="00976B44">
            <w:pPr>
              <w:pStyle w:val="NormalWeb"/>
              <w:spacing w:before="0" w:beforeAutospacing="0" w:after="240" w:afterAutospacing="0"/>
            </w:pPr>
            <w:r>
              <w:rPr>
                <w:rFonts w:ascii="Calibri" w:hAnsi="Calibri" w:cs="Calibri"/>
                <w:color w:val="000000"/>
                <w:sz w:val="22"/>
                <w:szCs w:val="22"/>
              </w:rPr>
              <w:t>This paragraph</w:t>
            </w:r>
            <w:r>
              <w:rPr>
                <w:rFonts w:ascii="Calibri" w:hAnsi="Calibri" w:cs="Calibri"/>
                <w:color w:val="000000"/>
                <w:sz w:val="22"/>
                <w:szCs w:val="22"/>
              </w:rPr>
              <w:t xml:space="preserve"> </w:t>
            </w:r>
            <w:r w:rsidR="006F0CF4">
              <w:rPr>
                <w:rFonts w:ascii="Calibri" w:hAnsi="Calibri" w:cs="Calibri"/>
                <w:color w:val="000000"/>
                <w:sz w:val="22"/>
                <w:szCs w:val="22"/>
              </w:rPr>
              <w:t>also makes no sense from a carbon accounting perspective, as no credit or claim is created based on the baseline itself. As no credit, claim, or asset is created based on the baseline itself, it is logically inconsistent to create a corresponding liability</w:t>
            </w:r>
            <w:r>
              <w:rPr>
                <w:rFonts w:ascii="Calibri" w:hAnsi="Calibri" w:cs="Calibri"/>
                <w:color w:val="000000"/>
                <w:sz w:val="22"/>
                <w:szCs w:val="22"/>
              </w:rPr>
              <w:t>, and no reasonable commercial</w:t>
            </w:r>
            <w:r w:rsidR="006F0CF4">
              <w:rPr>
                <w:rFonts w:ascii="Calibri" w:hAnsi="Calibri" w:cs="Calibri"/>
                <w:color w:val="000000"/>
                <w:sz w:val="22"/>
                <w:szCs w:val="22"/>
              </w:rPr>
              <w:t xml:space="preserve"> entity would want to take on this liability.  A liability only exists when an asset (a credit) is created through the project scenario exceeding the baseline scenario. If the project scenario does not exceed the baseline scenario, no assets are created (or, if assets have been created, they are nullified), and thus no liability should exist.</w:t>
            </w:r>
          </w:p>
          <w:p w14:paraId="14106D87" w14:textId="77777777" w:rsidR="006F0CF4" w:rsidRDefault="006F0CF4">
            <w:pPr>
              <w:pStyle w:val="NormalWeb"/>
              <w:spacing w:before="0" w:beforeAutospacing="0" w:after="240" w:afterAutospacing="0"/>
            </w:pPr>
            <w:r>
              <w:rPr>
                <w:rFonts w:ascii="Calibri" w:hAnsi="Calibri" w:cs="Calibri"/>
                <w:color w:val="000000"/>
                <w:sz w:val="22"/>
                <w:szCs w:val="22"/>
              </w:rPr>
              <w:t>Further, this approach will overly tax the buffer pool, unnecessarily retiring credits that were never claimed as climate mitigation.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698E7" w14:textId="66D364E4" w:rsidR="006F0CF4" w:rsidRDefault="006F0CF4">
            <w:pPr>
              <w:pStyle w:val="NormalWeb"/>
              <w:spacing w:before="0" w:beforeAutospacing="0" w:after="0" w:afterAutospacing="0"/>
            </w:pPr>
            <w:r>
              <w:rPr>
                <w:rFonts w:ascii="Calibri" w:hAnsi="Calibri" w:cs="Calibri"/>
                <w:color w:val="000000"/>
                <w:sz w:val="22"/>
                <w:szCs w:val="22"/>
              </w:rPr>
              <w:lastRenderedPageBreak/>
              <w:t>We suggest deleting this paragraph as it implies that baselines are measured in terms of GHG pools (“stocks”). This</w:t>
            </w:r>
            <w:r w:rsidR="009E14C9">
              <w:rPr>
                <w:rFonts w:ascii="Calibri" w:hAnsi="Calibri" w:cs="Calibri"/>
                <w:color w:val="000000"/>
                <w:sz w:val="22"/>
                <w:szCs w:val="22"/>
              </w:rPr>
              <w:t xml:space="preserve"> paragraph</w:t>
            </w:r>
            <w:r>
              <w:rPr>
                <w:rFonts w:ascii="Calibri" w:hAnsi="Calibri" w:cs="Calibri"/>
                <w:color w:val="000000"/>
                <w:sz w:val="22"/>
                <w:szCs w:val="22"/>
              </w:rPr>
              <w:t xml:space="preserve"> is inconsistent with the definition of crediting baseline, which is </w:t>
            </w:r>
            <w:r>
              <w:rPr>
                <w:rFonts w:ascii="Calibri" w:hAnsi="Calibri" w:cs="Calibri"/>
                <w:color w:val="000000"/>
                <w:sz w:val="22"/>
                <w:szCs w:val="22"/>
              </w:rPr>
              <w:lastRenderedPageBreak/>
              <w:t>defined in units of GHG fluxes or changes in storage.</w:t>
            </w:r>
          </w:p>
        </w:tc>
      </w:tr>
      <w:tr w:rsidR="009C6E60" w14:paraId="2068EF4C" w14:textId="77777777" w:rsidTr="00AF5B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D1BF0" w14:textId="77777777" w:rsidR="006F0CF4" w:rsidRDefault="006F0CF4">
            <w:pPr>
              <w:pStyle w:val="NormalWeb"/>
              <w:spacing w:before="0" w:beforeAutospacing="0" w:after="0" w:afterAutospacing="0"/>
            </w:pPr>
            <w:r>
              <w:rPr>
                <w:rFonts w:ascii="Calibri" w:hAnsi="Calibri" w:cs="Calibri"/>
                <w:b/>
                <w:bCs/>
                <w:color w:val="000000"/>
                <w:sz w:val="22"/>
                <w:szCs w:val="22"/>
              </w:rPr>
              <w:t>Reversal risk assessment tool:</w:t>
            </w:r>
          </w:p>
          <w:p w14:paraId="0635783E" w14:textId="77777777" w:rsidR="006F0CF4" w:rsidRDefault="006F0CF4">
            <w:pPr>
              <w:spacing w:after="240"/>
            </w:pPr>
          </w:p>
        </w:tc>
        <w:tc>
          <w:tcPr>
            <w:tcW w:w="2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2A2E3" w14:textId="77777777" w:rsidR="006F0CF4" w:rsidRDefault="006F0CF4">
            <w:pPr>
              <w:pStyle w:val="NormalWeb"/>
              <w:spacing w:before="0" w:beforeAutospacing="0" w:after="240" w:afterAutospacing="0"/>
            </w:pPr>
            <w:r>
              <w:rPr>
                <w:rFonts w:ascii="Calibri" w:hAnsi="Calibri" w:cs="Calibri"/>
                <w:color w:val="000000"/>
                <w:sz w:val="22"/>
                <w:szCs w:val="22"/>
              </w:rPr>
              <w:t xml:space="preserve">Cover </w:t>
            </w:r>
            <w:proofErr w:type="gramStart"/>
            <w:r>
              <w:rPr>
                <w:rFonts w:ascii="Calibri" w:hAnsi="Calibri" w:cs="Calibri"/>
                <w:color w:val="000000"/>
                <w:sz w:val="22"/>
                <w:szCs w:val="22"/>
              </w:rPr>
              <w:t>note</w:t>
            </w:r>
            <w:proofErr w:type="gramEnd"/>
            <w:r>
              <w:rPr>
                <w:rFonts w:ascii="Calibri" w:hAnsi="Calibri" w:cs="Calibri"/>
                <w:color w:val="000000"/>
                <w:sz w:val="22"/>
                <w:szCs w:val="22"/>
              </w:rPr>
              <w:t>. Paragraph 42.</w:t>
            </w:r>
          </w:p>
          <w:p w14:paraId="193FC4EF" w14:textId="77777777" w:rsidR="006F0CF4" w:rsidRDefault="006F0CF4">
            <w:pPr>
              <w:pStyle w:val="NormalWeb"/>
              <w:spacing w:before="0" w:beforeAutospacing="0" w:after="240" w:afterAutospacing="0"/>
            </w:pPr>
            <w:r>
              <w:rPr>
                <w:rFonts w:ascii="Calibri" w:hAnsi="Calibri" w:cs="Calibri"/>
                <w:color w:val="000000"/>
                <w:sz w:val="22"/>
                <w:szCs w:val="22"/>
              </w:rPr>
              <w:t>Cover Note. 3.1 Procedural Background, paragraph 8(a)</w:t>
            </w:r>
          </w:p>
        </w:tc>
        <w:tc>
          <w:tcPr>
            <w:tcW w:w="5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2B441" w14:textId="0D77DE97" w:rsidR="006F0CF4" w:rsidRDefault="006F0CF4">
            <w:pPr>
              <w:pStyle w:val="NormalWeb"/>
              <w:spacing w:before="0" w:beforeAutospacing="0" w:after="240" w:afterAutospacing="0"/>
            </w:pPr>
            <w:r>
              <w:rPr>
                <w:rFonts w:ascii="Calibri" w:hAnsi="Calibri" w:cs="Calibri"/>
                <w:color w:val="000000"/>
                <w:sz w:val="22"/>
                <w:szCs w:val="22"/>
              </w:rPr>
              <w:t xml:space="preserve">These provisions are key to define the role of land use activities in Article 6.4. However, the current draft of the non-permanence Standard </w:t>
            </w:r>
            <w:r w:rsidR="007B5E5C">
              <w:rPr>
                <w:rFonts w:ascii="Calibri" w:hAnsi="Calibri" w:cs="Calibri"/>
                <w:color w:val="000000"/>
                <w:sz w:val="22"/>
                <w:szCs w:val="22"/>
              </w:rPr>
              <w:t>does</w:t>
            </w:r>
            <w:r w:rsidR="007B5E5C">
              <w:rPr>
                <w:rFonts w:ascii="Calibri" w:hAnsi="Calibri" w:cs="Calibri"/>
                <w:color w:val="000000"/>
                <w:sz w:val="22"/>
                <w:szCs w:val="22"/>
              </w:rPr>
              <w:t xml:space="preserve"> </w:t>
            </w:r>
            <w:r>
              <w:rPr>
                <w:rFonts w:ascii="Calibri" w:hAnsi="Calibri" w:cs="Calibri"/>
                <w:color w:val="000000"/>
                <w:sz w:val="22"/>
                <w:szCs w:val="22"/>
              </w:rPr>
              <w:t xml:space="preserve">not go into detail on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items, leaving an open question on when these will be developed and when stakeholders will have an opportunity to provide feedback ahead of any decisions.</w:t>
            </w:r>
          </w:p>
          <w:p w14:paraId="5179FAA1" w14:textId="77777777" w:rsidR="006F0CF4" w:rsidRDefault="006F0CF4">
            <w:pPr>
              <w:pStyle w:val="NormalWeb"/>
              <w:spacing w:before="40" w:beforeAutospacing="0" w:after="0" w:afterAutospacing="0"/>
            </w:pPr>
            <w:r>
              <w:rPr>
                <w:rFonts w:ascii="Calibri" w:hAnsi="Calibri" w:cs="Calibri"/>
                <w:color w:val="000000"/>
                <w:sz w:val="22"/>
                <w:szCs w:val="22"/>
              </w:rPr>
              <w:t>The inclusion of an upper limit to risk appears to set a threshold beyond which no credit category would be accepted in 6.4.</w:t>
            </w:r>
          </w:p>
          <w:p w14:paraId="4F90C43C" w14:textId="77777777" w:rsidR="006F0CF4" w:rsidRDefault="006F0CF4">
            <w:pPr>
              <w:pStyle w:val="NormalWeb"/>
              <w:spacing w:before="40" w:beforeAutospacing="0" w:after="0" w:afterAutospacing="0"/>
            </w:pPr>
            <w:r>
              <w:rPr>
                <w:rFonts w:ascii="Calibri" w:hAnsi="Calibri" w:cs="Calibri"/>
                <w:color w:val="000000"/>
                <w:sz w:val="22"/>
                <w:szCs w:val="22"/>
              </w:rPr>
              <w:t> </w:t>
            </w:r>
          </w:p>
          <w:p w14:paraId="7FC51227" w14:textId="4AA31228" w:rsidR="006F0CF4" w:rsidRDefault="006F0CF4">
            <w:pPr>
              <w:pStyle w:val="NormalWeb"/>
              <w:spacing w:before="40" w:beforeAutospacing="0" w:after="0" w:afterAutospacing="0"/>
            </w:pPr>
            <w:r>
              <w:rPr>
                <w:rFonts w:ascii="Calibri" w:hAnsi="Calibri" w:cs="Calibri"/>
                <w:color w:val="000000"/>
                <w:sz w:val="22"/>
                <w:szCs w:val="22"/>
              </w:rPr>
              <w:t xml:space="preserve">Since any threshold would be arbitrary, as there is no science to justify the choice of a given upper limit, the threshold could be used to discriminate against credit categories, which may be crucially needed in the short and medium term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avoid the worst impacts of climate change, for example, </w:t>
            </w:r>
            <w:proofErr w:type="gramStart"/>
            <w:r>
              <w:rPr>
                <w:rFonts w:ascii="Calibri" w:hAnsi="Calibri" w:cs="Calibri"/>
                <w:color w:val="000000"/>
                <w:sz w:val="22"/>
                <w:szCs w:val="22"/>
              </w:rPr>
              <w:t>nature based</w:t>
            </w:r>
            <w:proofErr w:type="gramEnd"/>
            <w:r>
              <w:rPr>
                <w:rFonts w:ascii="Calibri" w:hAnsi="Calibri" w:cs="Calibri"/>
                <w:color w:val="000000"/>
                <w:sz w:val="22"/>
                <w:szCs w:val="22"/>
              </w:rPr>
              <w:t xml:space="preserve"> solutions.   </w:t>
            </w:r>
          </w:p>
          <w:p w14:paraId="465652A3" w14:textId="77777777" w:rsidR="006F0CF4" w:rsidRDefault="006F0CF4">
            <w:pPr>
              <w:spacing w:after="240"/>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D036A" w14:textId="77777777" w:rsidR="006F0CF4" w:rsidRDefault="006F0CF4">
            <w:pPr>
              <w:pStyle w:val="NormalWeb"/>
              <w:spacing w:before="0" w:beforeAutospacing="0" w:after="0" w:afterAutospacing="0"/>
            </w:pPr>
            <w:r>
              <w:rPr>
                <w:rFonts w:ascii="Calibri" w:hAnsi="Calibri" w:cs="Calibri"/>
                <w:color w:val="000000"/>
                <w:sz w:val="22"/>
                <w:szCs w:val="22"/>
              </w:rPr>
              <w:t>Clarify when and how the reversal risk assessment tool will be developed, and whether this tool will be static or evolve as the science improves. Delete the application of upper limits.</w:t>
            </w:r>
          </w:p>
        </w:tc>
      </w:tr>
      <w:tr w:rsidR="006F0CF4" w14:paraId="452A7BF8" w14:textId="77777777" w:rsidTr="006F0CF4">
        <w:trPr>
          <w:trHeight w:val="380"/>
        </w:trPr>
        <w:tc>
          <w:tcPr>
            <w:tcW w:w="0" w:type="auto"/>
            <w:gridSpan w:val="4"/>
            <w:tcBorders>
              <w:top w:val="single" w:sz="8" w:space="0" w:color="000000"/>
              <w:left w:val="single" w:sz="8" w:space="0" w:color="000000"/>
              <w:bottom w:val="single" w:sz="6" w:space="0" w:color="000000"/>
              <w:right w:val="single" w:sz="8" w:space="0" w:color="000000"/>
            </w:tcBorders>
            <w:shd w:val="clear" w:color="auto" w:fill="17365D"/>
            <w:tcMar>
              <w:top w:w="100" w:type="dxa"/>
              <w:left w:w="100" w:type="dxa"/>
              <w:bottom w:w="100" w:type="dxa"/>
              <w:right w:w="100" w:type="dxa"/>
            </w:tcMar>
            <w:hideMark/>
          </w:tcPr>
          <w:p w14:paraId="74B0FEC3" w14:textId="77777777" w:rsidR="006F0CF4" w:rsidRDefault="006F0CF4">
            <w:pPr>
              <w:pStyle w:val="NormalWeb"/>
              <w:spacing w:before="0" w:beforeAutospacing="0" w:after="0" w:afterAutospacing="0"/>
              <w:jc w:val="center"/>
            </w:pPr>
            <w:r>
              <w:rPr>
                <w:rFonts w:ascii="Calibri" w:hAnsi="Calibri" w:cs="Calibri"/>
                <w:b/>
                <w:bCs/>
                <w:color w:val="FFFFFF"/>
                <w:sz w:val="22"/>
                <w:szCs w:val="22"/>
              </w:rPr>
              <w:lastRenderedPageBreak/>
              <w:t>Appendix 1 and 2</w:t>
            </w:r>
          </w:p>
        </w:tc>
      </w:tr>
      <w:tr w:rsidR="009C6E60" w14:paraId="196A0E65" w14:textId="77777777" w:rsidTr="00AF5B76">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E2BFF9" w14:textId="77777777" w:rsidR="006F0CF4" w:rsidRDefault="006F0CF4">
            <w:pPr>
              <w:pStyle w:val="NormalWeb"/>
              <w:spacing w:before="40" w:beforeAutospacing="0" w:after="40" w:afterAutospacing="0"/>
            </w:pPr>
            <w:r>
              <w:rPr>
                <w:rFonts w:ascii="Calibri" w:hAnsi="Calibri" w:cs="Calibri"/>
                <w:b/>
                <w:bCs/>
                <w:color w:val="000000"/>
                <w:sz w:val="22"/>
                <w:szCs w:val="22"/>
              </w:rPr>
              <w:t>Observed events that could lead to a reversal</w:t>
            </w:r>
          </w:p>
          <w:p w14:paraId="5AEB75FE" w14:textId="77777777" w:rsidR="006F0CF4" w:rsidRDefault="006F0CF4"/>
          <w:p w14:paraId="161A7681" w14:textId="77777777" w:rsidR="006F0CF4" w:rsidRDefault="006F0CF4">
            <w:pPr>
              <w:pStyle w:val="NormalWeb"/>
              <w:spacing w:before="40" w:beforeAutospacing="0" w:after="40" w:afterAutospacing="0"/>
            </w:pPr>
            <w:r>
              <w:rPr>
                <w:rFonts w:ascii="Calibri" w:hAnsi="Calibri" w:cs="Calibri"/>
                <w:color w:val="000000"/>
                <w:sz w:val="22"/>
                <w:szCs w:val="22"/>
              </w:rPr>
              <w:t>Appendix 2. Section 1.1.</w:t>
            </w:r>
          </w:p>
        </w:tc>
        <w:tc>
          <w:tcPr>
            <w:tcW w:w="26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40F58D" w14:textId="77777777" w:rsidR="006F0CF4" w:rsidRDefault="006F0CF4">
            <w:pPr>
              <w:pStyle w:val="NormalWeb"/>
              <w:spacing w:before="40" w:beforeAutospacing="0" w:after="40" w:afterAutospacing="0"/>
            </w:pPr>
            <w:r>
              <w:rPr>
                <w:rFonts w:ascii="Calibri" w:hAnsi="Calibri" w:cs="Calibri"/>
                <w:color w:val="000000"/>
                <w:sz w:val="22"/>
                <w:szCs w:val="22"/>
              </w:rPr>
              <w:t>Appendix 2. Paragraph 8 (a)</w:t>
            </w:r>
          </w:p>
        </w:tc>
        <w:tc>
          <w:tcPr>
            <w:tcW w:w="59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18EF07" w14:textId="77777777" w:rsidR="006F0CF4" w:rsidRDefault="006F0CF4">
            <w:pPr>
              <w:pStyle w:val="NormalWeb"/>
              <w:spacing w:before="0" w:beforeAutospacing="0" w:after="0" w:afterAutospacing="0"/>
            </w:pPr>
            <w:r>
              <w:rPr>
                <w:rFonts w:ascii="Calibri" w:hAnsi="Calibri" w:cs="Calibri"/>
                <w:color w:val="000000"/>
                <w:sz w:val="22"/>
                <w:szCs w:val="22"/>
              </w:rPr>
              <w:t>Using a 95% confidence level to quantify reversals is overly stringent and unnecessary.</w:t>
            </w:r>
          </w:p>
          <w:p w14:paraId="029699FE" w14:textId="77777777" w:rsidR="006F0CF4" w:rsidRDefault="006F0CF4">
            <w:pPr>
              <w:pStyle w:val="NormalWeb"/>
              <w:spacing w:before="0" w:beforeAutospacing="0" w:after="0" w:afterAutospacing="0"/>
            </w:pPr>
            <w:r>
              <w:rPr>
                <w:rFonts w:ascii="Calibri" w:hAnsi="Calibri" w:cs="Calibri"/>
                <w:color w:val="000000"/>
                <w:sz w:val="22"/>
                <w:szCs w:val="22"/>
              </w:rPr>
              <w:t> </w:t>
            </w:r>
          </w:p>
          <w:p w14:paraId="669E4C75" w14:textId="6CFC776C" w:rsidR="006F0CF4" w:rsidRDefault="006F0CF4">
            <w:pPr>
              <w:pStyle w:val="NormalWeb"/>
              <w:spacing w:before="0" w:beforeAutospacing="0" w:after="0" w:afterAutospacing="0"/>
            </w:pPr>
            <w:r>
              <w:rPr>
                <w:rFonts w:ascii="Calibri" w:hAnsi="Calibri" w:cs="Calibri"/>
                <w:color w:val="000000"/>
                <w:sz w:val="22"/>
                <w:szCs w:val="22"/>
              </w:rPr>
              <w:t>Lowering the confidence level to</w:t>
            </w:r>
            <w:r w:rsidR="006447B2">
              <w:rPr>
                <w:rFonts w:ascii="Calibri" w:hAnsi="Calibri" w:cs="Calibri"/>
                <w:color w:val="000000"/>
                <w:sz w:val="22"/>
                <w:szCs w:val="22"/>
              </w:rPr>
              <w:t xml:space="preserve"> a value </w:t>
            </w:r>
            <w:proofErr w:type="gramStart"/>
            <w:r w:rsidR="006447B2">
              <w:rPr>
                <w:rFonts w:ascii="Calibri" w:hAnsi="Calibri" w:cs="Calibri"/>
                <w:color w:val="000000"/>
                <w:sz w:val="22"/>
                <w:szCs w:val="22"/>
              </w:rPr>
              <w:t xml:space="preserve">like </w:t>
            </w:r>
            <w:r>
              <w:rPr>
                <w:rFonts w:ascii="Calibri" w:hAnsi="Calibri" w:cs="Calibri"/>
                <w:color w:val="000000"/>
                <w:sz w:val="22"/>
                <w:szCs w:val="22"/>
              </w:rPr>
              <w:t xml:space="preserve"> 90</w:t>
            </w:r>
            <w:proofErr w:type="gramEnd"/>
            <w:r>
              <w:rPr>
                <w:rFonts w:ascii="Calibri" w:hAnsi="Calibri" w:cs="Calibri"/>
                <w:color w:val="000000"/>
                <w:sz w:val="22"/>
                <w:szCs w:val="22"/>
              </w:rPr>
              <w:t>%, strikes a better balance between rigor and practicality, allowing for more realistic and achievable verification without compromising environmental integrity.</w:t>
            </w:r>
          </w:p>
          <w:p w14:paraId="61E824A2" w14:textId="77777777" w:rsidR="006F0CF4" w:rsidRDefault="006F0CF4"/>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D23C8F" w14:textId="77777777" w:rsidR="006F0CF4" w:rsidRDefault="006F0CF4">
            <w:pPr>
              <w:pStyle w:val="NormalWeb"/>
              <w:spacing w:before="0" w:beforeAutospacing="0" w:after="0" w:afterAutospacing="0"/>
            </w:pPr>
            <w:proofErr w:type="gramStart"/>
            <w:r>
              <w:rPr>
                <w:rFonts w:ascii="Calibri" w:hAnsi="Calibri" w:cs="Calibri"/>
                <w:color w:val="000000"/>
                <w:sz w:val="22"/>
                <w:szCs w:val="22"/>
              </w:rPr>
              <w:t xml:space="preserve">“ </w:t>
            </w:r>
            <w:r>
              <w:rPr>
                <w:rFonts w:ascii="Calibri" w:hAnsi="Calibri" w:cs="Calibri"/>
                <w:i/>
                <w:iCs/>
                <w:color w:val="000000"/>
                <w:sz w:val="22"/>
                <w:szCs w:val="22"/>
              </w:rPr>
              <w:t>Assess</w:t>
            </w:r>
            <w:proofErr w:type="gramEnd"/>
            <w:r>
              <w:rPr>
                <w:rFonts w:ascii="Calibri" w:hAnsi="Calibri" w:cs="Calibri"/>
                <w:i/>
                <w:iCs/>
                <w:color w:val="000000"/>
                <w:sz w:val="22"/>
                <w:szCs w:val="22"/>
              </w:rPr>
              <w:t xml:space="preserve"> and quantify the amount of the reversal by using the higher bound of the uncertainty interval at a </w:t>
            </w:r>
            <w:r>
              <w:rPr>
                <w:rFonts w:ascii="Calibri" w:hAnsi="Calibri" w:cs="Calibri"/>
                <w:i/>
                <w:iCs/>
                <w:strike/>
                <w:color w:val="000000"/>
                <w:sz w:val="22"/>
                <w:szCs w:val="22"/>
              </w:rPr>
              <w:t>95%</w:t>
            </w:r>
            <w:r>
              <w:rPr>
                <w:rFonts w:ascii="Calibri" w:hAnsi="Calibri" w:cs="Calibri"/>
                <w:i/>
                <w:iCs/>
                <w:color w:val="000000"/>
                <w:sz w:val="22"/>
                <w:szCs w:val="22"/>
              </w:rPr>
              <w:t xml:space="preserve"> </w:t>
            </w:r>
            <w:r>
              <w:rPr>
                <w:rFonts w:ascii="Calibri" w:hAnsi="Calibri" w:cs="Calibri"/>
                <w:b/>
                <w:bCs/>
                <w:i/>
                <w:iCs/>
                <w:color w:val="000000"/>
                <w:sz w:val="22"/>
                <w:szCs w:val="22"/>
              </w:rPr>
              <w:t>90%</w:t>
            </w:r>
            <w:r>
              <w:rPr>
                <w:rFonts w:ascii="Calibri" w:hAnsi="Calibri" w:cs="Calibri"/>
                <w:i/>
                <w:iCs/>
                <w:color w:val="000000"/>
                <w:sz w:val="22"/>
                <w:szCs w:val="22"/>
              </w:rPr>
              <w:t xml:space="preserve"> confidence level, with an explanation as to how that estimate was </w:t>
            </w:r>
            <w:proofErr w:type="gramStart"/>
            <w:r>
              <w:rPr>
                <w:rFonts w:ascii="Calibri" w:hAnsi="Calibri" w:cs="Calibri"/>
                <w:i/>
                <w:iCs/>
                <w:color w:val="000000"/>
                <w:sz w:val="22"/>
                <w:szCs w:val="22"/>
              </w:rPr>
              <w:t>quantified;</w:t>
            </w:r>
            <w:proofErr w:type="gramEnd"/>
            <w:r>
              <w:rPr>
                <w:rFonts w:ascii="Calibri" w:hAnsi="Calibri" w:cs="Calibri"/>
                <w:i/>
                <w:iCs/>
                <w:color w:val="000000"/>
                <w:sz w:val="22"/>
                <w:szCs w:val="22"/>
              </w:rPr>
              <w:t xml:space="preserve"> “</w:t>
            </w:r>
          </w:p>
        </w:tc>
      </w:tr>
      <w:tr w:rsidR="009C6E60" w14:paraId="6B8A9AB9" w14:textId="77777777" w:rsidTr="00AF5B76">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B7075E" w14:textId="77777777" w:rsidR="006F0CF4" w:rsidRDefault="006F0CF4"/>
        </w:tc>
        <w:tc>
          <w:tcPr>
            <w:tcW w:w="26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A27059" w14:textId="77777777" w:rsidR="006F0CF4" w:rsidRDefault="006F0CF4">
            <w:pPr>
              <w:pStyle w:val="NormalWeb"/>
              <w:spacing w:before="40" w:beforeAutospacing="0" w:after="40" w:afterAutospacing="0"/>
            </w:pPr>
            <w:r>
              <w:rPr>
                <w:rFonts w:ascii="Calibri" w:hAnsi="Calibri" w:cs="Calibri"/>
                <w:color w:val="000000"/>
                <w:sz w:val="22"/>
                <w:szCs w:val="22"/>
              </w:rPr>
              <w:t>Appendix 1, Paragraph 28</w:t>
            </w:r>
          </w:p>
        </w:tc>
        <w:tc>
          <w:tcPr>
            <w:tcW w:w="59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BCDFF3" w14:textId="77777777" w:rsidR="006F0CF4" w:rsidRDefault="006F0CF4">
            <w:pPr>
              <w:pStyle w:val="NormalWeb"/>
              <w:spacing w:before="0" w:beforeAutospacing="0" w:after="0" w:afterAutospacing="0"/>
            </w:pPr>
            <w:r>
              <w:rPr>
                <w:rFonts w:ascii="Calibri" w:hAnsi="Calibri" w:cs="Calibri"/>
                <w:color w:val="000000"/>
                <w:sz w:val="22"/>
                <w:szCs w:val="22"/>
              </w:rPr>
              <w:t>In the removals guidance adopted at COP 29, the parties clearly endorsed not only a buffer pool account but also (4.6.3.1, paragraph 62): "other appropriate measures and procedures that may provide suitable alternative means to remediate reversals, including the following:   (a) Requirements and approval procedures for the use of insurance policies, or comparable guarantee products, or third-party guarantee approved by the Supervisory Body to cover the risk that reversals occur;</w:t>
            </w:r>
          </w:p>
          <w:p w14:paraId="7EE82A0A" w14:textId="77777777" w:rsidR="006F0CF4" w:rsidRDefault="006F0CF4">
            <w:pPr>
              <w:pStyle w:val="NormalWeb"/>
              <w:spacing w:before="0" w:beforeAutospacing="0" w:after="0" w:afterAutospacing="0"/>
            </w:pPr>
            <w:r>
              <w:rPr>
                <w:rFonts w:ascii="Calibri" w:hAnsi="Calibri" w:cs="Calibri"/>
                <w:color w:val="000000"/>
                <w:sz w:val="22"/>
                <w:szCs w:val="22"/>
              </w:rPr>
              <w:t>(b) Procedures for establishing, managing, and using a monetary permanence reserve enabling remediation of reversals through the direct or potentially centralized</w:t>
            </w:r>
          </w:p>
          <w:p w14:paraId="2BA1CDC0" w14:textId="77777777" w:rsidR="006F0CF4" w:rsidRDefault="006F0CF4">
            <w:pPr>
              <w:pStyle w:val="NormalWeb"/>
              <w:spacing w:before="0" w:beforeAutospacing="0" w:after="0" w:afterAutospacing="0"/>
            </w:pPr>
            <w:r>
              <w:rPr>
                <w:rFonts w:ascii="Calibri" w:hAnsi="Calibri" w:cs="Calibri"/>
                <w:color w:val="000000"/>
                <w:sz w:val="22"/>
                <w:szCs w:val="22"/>
              </w:rPr>
              <w:t>purchase and cancellation of A6.4ERs with negligible or no reversal risk."</w:t>
            </w:r>
          </w:p>
          <w:p w14:paraId="795F0BD9" w14:textId="77777777" w:rsidR="006F0CF4" w:rsidRDefault="006F0CF4"/>
          <w:p w14:paraId="4E568083" w14:textId="4B09484E" w:rsidR="006F0CF4" w:rsidRDefault="005B5BEB">
            <w:pPr>
              <w:pStyle w:val="NormalWeb"/>
              <w:spacing w:before="0" w:beforeAutospacing="0" w:after="0" w:afterAutospacing="0"/>
            </w:pPr>
            <w:r>
              <w:rPr>
                <w:rFonts w:ascii="Calibri" w:hAnsi="Calibri" w:cs="Calibri"/>
                <w:color w:val="000000"/>
                <w:sz w:val="22"/>
                <w:szCs w:val="22"/>
              </w:rPr>
              <w:t xml:space="preserve">If Appendix </w:t>
            </w:r>
            <w:r w:rsidR="000B2CC2">
              <w:rPr>
                <w:rFonts w:ascii="Calibri" w:hAnsi="Calibri" w:cs="Calibri"/>
                <w:color w:val="000000"/>
                <w:sz w:val="22"/>
                <w:szCs w:val="22"/>
              </w:rPr>
              <w:t xml:space="preserve">1 were adopted, it </w:t>
            </w:r>
            <w:r w:rsidR="006F0CF4">
              <w:rPr>
                <w:rFonts w:ascii="Calibri" w:hAnsi="Calibri" w:cs="Calibri"/>
                <w:color w:val="000000"/>
                <w:sz w:val="22"/>
                <w:szCs w:val="22"/>
              </w:rPr>
              <w:t>should similarly make allowances for these potential pathways alongside a buffer pool account</w:t>
            </w:r>
            <w:r w:rsidR="00554BA4">
              <w:rPr>
                <w:rFonts w:ascii="Calibri" w:hAnsi="Calibri" w:cs="Calibri"/>
                <w:color w:val="000000"/>
                <w:sz w:val="22"/>
                <w:szCs w:val="22"/>
              </w:rPr>
              <w:t>, and to allow that they be further developed.</w:t>
            </w:r>
          </w:p>
          <w:p w14:paraId="28066C15" w14:textId="5028964B" w:rsidR="006F0CF4" w:rsidRDefault="006F0CF4">
            <w:pPr>
              <w:pStyle w:val="NormalWeb"/>
              <w:spacing w:before="0" w:beforeAutospacing="0" w:after="0" w:afterAutospacing="0"/>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96D1E40" w14:textId="77777777" w:rsidR="006F0CF4" w:rsidRDefault="006F0CF4">
            <w:pPr>
              <w:pStyle w:val="NormalWeb"/>
              <w:spacing w:before="40" w:beforeAutospacing="0" w:after="40" w:afterAutospacing="0"/>
            </w:pPr>
            <w:r>
              <w:rPr>
                <w:rFonts w:ascii="Calibri" w:hAnsi="Calibri" w:cs="Calibri"/>
                <w:color w:val="000000"/>
                <w:sz w:val="22"/>
                <w:szCs w:val="22"/>
              </w:rPr>
              <w:t>Add a new paragraph 29:</w:t>
            </w:r>
            <w:r>
              <w:rPr>
                <w:rFonts w:ascii="Calibri" w:hAnsi="Calibri" w:cs="Calibri"/>
                <w:color w:val="000000"/>
                <w:sz w:val="22"/>
                <w:szCs w:val="22"/>
              </w:rPr>
              <w:br/>
            </w:r>
            <w:r>
              <w:rPr>
                <w:rFonts w:ascii="Calibri" w:hAnsi="Calibri" w:cs="Calibri"/>
                <w:color w:val="000000"/>
                <w:sz w:val="22"/>
                <w:szCs w:val="22"/>
              </w:rPr>
              <w:br/>
              <w:t>“Alternatively, mechanism methodologies may rely on other means to remediate reversals, so long as such mechanisms have been reviewed and approved by the Supervisory Body. Such means may include but are not limited to:</w:t>
            </w:r>
          </w:p>
          <w:p w14:paraId="0A2E2EB5" w14:textId="77777777" w:rsidR="006F0CF4" w:rsidRDefault="006F0CF4">
            <w:pPr>
              <w:pStyle w:val="NormalWeb"/>
              <w:spacing w:before="40" w:beforeAutospacing="0" w:after="40" w:afterAutospacing="0"/>
            </w:pPr>
            <w:r>
              <w:rPr>
                <w:rFonts w:ascii="Calibri" w:hAnsi="Calibri" w:cs="Calibri"/>
                <w:color w:val="000000"/>
                <w:sz w:val="22"/>
                <w:szCs w:val="22"/>
              </w:rPr>
              <w:t> </w:t>
            </w:r>
          </w:p>
          <w:p w14:paraId="28C284BC" w14:textId="77777777" w:rsidR="006F0CF4" w:rsidRDefault="006F0CF4">
            <w:pPr>
              <w:pStyle w:val="NormalWeb"/>
              <w:spacing w:before="0" w:beforeAutospacing="0" w:after="0" w:afterAutospacing="0"/>
            </w:pPr>
            <w:r>
              <w:rPr>
                <w:rFonts w:ascii="Calibri" w:hAnsi="Calibri" w:cs="Calibri"/>
                <w:color w:val="000000"/>
                <w:sz w:val="22"/>
                <w:szCs w:val="22"/>
              </w:rPr>
              <w:t xml:space="preserve">(a) Requirements and approval procedures for the use of insurance policies, or comparable guarantee products, or third-party guarantee approved by the Supervisory Body to cover the risk that reversals </w:t>
            </w:r>
            <w:proofErr w:type="gramStart"/>
            <w:r>
              <w:rPr>
                <w:rFonts w:ascii="Calibri" w:hAnsi="Calibri" w:cs="Calibri"/>
                <w:color w:val="000000"/>
                <w:sz w:val="22"/>
                <w:szCs w:val="22"/>
              </w:rPr>
              <w:t>occur;</w:t>
            </w:r>
            <w:proofErr w:type="gramEnd"/>
          </w:p>
          <w:p w14:paraId="496AF5DD" w14:textId="77777777" w:rsidR="006F0CF4" w:rsidRDefault="006F0CF4">
            <w:pPr>
              <w:pStyle w:val="NormalWeb"/>
              <w:spacing w:before="0" w:beforeAutospacing="0" w:after="0" w:afterAutospacing="0"/>
            </w:pPr>
            <w:r>
              <w:rPr>
                <w:rFonts w:ascii="Calibri" w:hAnsi="Calibri" w:cs="Calibri"/>
                <w:color w:val="000000"/>
                <w:sz w:val="22"/>
                <w:szCs w:val="22"/>
              </w:rPr>
              <w:t>(b) Procedures for establishing, managing, and using a monetary permanence reserve enabling remediation of reversals through the direct or potentially centralized purchase and cancellation of A6.4ERs with negligible or no reversal risk.”</w:t>
            </w:r>
          </w:p>
          <w:p w14:paraId="276709C3" w14:textId="77777777" w:rsidR="006F0CF4" w:rsidRDefault="006F0CF4">
            <w:pPr>
              <w:pStyle w:val="NormalWeb"/>
              <w:spacing w:before="0" w:beforeAutospacing="0" w:after="0" w:afterAutospacing="0"/>
            </w:pPr>
            <w:r>
              <w:rPr>
                <w:rFonts w:ascii="Calibri" w:hAnsi="Calibri" w:cs="Calibri"/>
                <w:color w:val="000000"/>
                <w:sz w:val="22"/>
                <w:szCs w:val="22"/>
              </w:rPr>
              <w:t>c) cancellation of credits in the buffer pool</w:t>
            </w:r>
          </w:p>
          <w:p w14:paraId="36EE3596" w14:textId="77777777" w:rsidR="006F0CF4" w:rsidRDefault="006F0CF4">
            <w:pPr>
              <w:spacing w:after="240"/>
            </w:pPr>
          </w:p>
        </w:tc>
      </w:tr>
      <w:tr w:rsidR="009C6E60" w14:paraId="34AFB8AB" w14:textId="77777777" w:rsidTr="00AF5B76">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5EA63D" w14:textId="77777777" w:rsidR="006F0CF4" w:rsidRDefault="006F0CF4"/>
        </w:tc>
        <w:tc>
          <w:tcPr>
            <w:tcW w:w="26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1C55BE" w14:textId="77777777" w:rsidR="006F0CF4" w:rsidRDefault="006F0CF4">
            <w:pPr>
              <w:pStyle w:val="NormalWeb"/>
              <w:spacing w:before="40" w:beforeAutospacing="0" w:after="40" w:afterAutospacing="0"/>
            </w:pPr>
            <w:r>
              <w:rPr>
                <w:rFonts w:ascii="Calibri" w:hAnsi="Calibri" w:cs="Calibri"/>
                <w:color w:val="000000"/>
                <w:sz w:val="22"/>
                <w:szCs w:val="22"/>
              </w:rPr>
              <w:t>Appendix 2, paragraph 55</w:t>
            </w:r>
          </w:p>
        </w:tc>
        <w:tc>
          <w:tcPr>
            <w:tcW w:w="59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121CDC" w14:textId="401AA27F" w:rsidR="006F0CF4" w:rsidRDefault="00084ABC">
            <w:pPr>
              <w:pStyle w:val="NormalWeb"/>
              <w:spacing w:before="0" w:beforeAutospacing="0" w:after="0" w:afterAutospacing="0"/>
            </w:pPr>
            <w:r>
              <w:rPr>
                <w:rFonts w:ascii="Calibri" w:hAnsi="Calibri" w:cs="Calibri"/>
                <w:color w:val="000000"/>
                <w:sz w:val="22"/>
                <w:szCs w:val="22"/>
              </w:rPr>
              <w:t>According to the current text, w</w:t>
            </w:r>
            <w:r w:rsidR="006F0CF4">
              <w:rPr>
                <w:rFonts w:ascii="Calibri" w:hAnsi="Calibri" w:cs="Calibri"/>
                <w:color w:val="000000"/>
                <w:sz w:val="22"/>
                <w:szCs w:val="22"/>
              </w:rPr>
              <w:t xml:space="preserve">hen presented with reversals at any kind of scale, activity participants will simply accept the suspension of their registry account, effectively </w:t>
            </w:r>
            <w:proofErr w:type="gramStart"/>
            <w:r w:rsidR="006F0CF4">
              <w:rPr>
                <w:rFonts w:ascii="Calibri" w:hAnsi="Calibri" w:cs="Calibri"/>
                <w:color w:val="000000"/>
                <w:sz w:val="22"/>
                <w:szCs w:val="22"/>
              </w:rPr>
              <w:t>leaving</w:t>
            </w:r>
            <w:proofErr w:type="gramEnd"/>
            <w:r w:rsidR="006F0CF4">
              <w:rPr>
                <w:rFonts w:ascii="Calibri" w:hAnsi="Calibri" w:cs="Calibri"/>
                <w:color w:val="000000"/>
                <w:sz w:val="22"/>
                <w:szCs w:val="22"/>
              </w:rPr>
              <w:t xml:space="preserve"> the market, and leaving the atmosphere to absorb the liability.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E9FEA9" w14:textId="137DD30B" w:rsidR="006F0CF4" w:rsidRDefault="00294B46">
            <w:pPr>
              <w:pStyle w:val="NormalWeb"/>
              <w:spacing w:before="0" w:beforeAutospacing="0" w:after="0" w:afterAutospacing="0"/>
            </w:pPr>
            <w:r>
              <w:rPr>
                <w:rFonts w:ascii="Calibri" w:hAnsi="Calibri" w:cs="Calibri"/>
                <w:color w:val="000000"/>
                <w:sz w:val="22"/>
                <w:szCs w:val="22"/>
              </w:rPr>
              <w:t>Tr</w:t>
            </w:r>
            <w:r w:rsidR="006F0CF4">
              <w:rPr>
                <w:rFonts w:ascii="Calibri" w:hAnsi="Calibri" w:cs="Calibri"/>
                <w:color w:val="000000"/>
                <w:sz w:val="22"/>
                <w:szCs w:val="22"/>
              </w:rPr>
              <w:t>ansfer of monitoring and compensation obligations to third parties</w:t>
            </w:r>
            <w:r w:rsidR="00A351D1">
              <w:rPr>
                <w:rFonts w:ascii="Calibri" w:hAnsi="Calibri" w:cs="Calibri"/>
                <w:color w:val="000000"/>
                <w:sz w:val="22"/>
                <w:szCs w:val="22"/>
              </w:rPr>
              <w:t xml:space="preserve">, in particular </w:t>
            </w:r>
            <w:proofErr w:type="gramStart"/>
            <w:r w:rsidR="00A351D1">
              <w:rPr>
                <w:rFonts w:ascii="Calibri" w:hAnsi="Calibri" w:cs="Calibri"/>
                <w:color w:val="000000"/>
                <w:sz w:val="22"/>
                <w:szCs w:val="22"/>
              </w:rPr>
              <w:t>to</w:t>
            </w:r>
            <w:r w:rsidR="006F0CF4">
              <w:rPr>
                <w:rFonts w:ascii="Calibri" w:hAnsi="Calibri" w:cs="Calibri"/>
                <w:color w:val="000000"/>
                <w:sz w:val="22"/>
                <w:szCs w:val="22"/>
              </w:rPr>
              <w:t xml:space="preserve">  institutions</w:t>
            </w:r>
            <w:proofErr w:type="gramEnd"/>
            <w:r w:rsidR="006F0CF4">
              <w:rPr>
                <w:rFonts w:ascii="Calibri" w:hAnsi="Calibri" w:cs="Calibri"/>
                <w:color w:val="000000"/>
                <w:sz w:val="22"/>
                <w:szCs w:val="22"/>
              </w:rPr>
              <w:t xml:space="preserve"> explicitly designed to execute this function</w:t>
            </w:r>
            <w:r w:rsidR="00754D4A">
              <w:rPr>
                <w:rFonts w:ascii="Calibri" w:hAnsi="Calibri" w:cs="Calibri"/>
                <w:color w:val="000000"/>
                <w:sz w:val="22"/>
                <w:szCs w:val="22"/>
              </w:rPr>
              <w:t xml:space="preserve">, </w:t>
            </w:r>
            <w:r w:rsidR="006F0CF4">
              <w:rPr>
                <w:rFonts w:ascii="Calibri" w:hAnsi="Calibri" w:cs="Calibri"/>
                <w:color w:val="000000"/>
                <w:sz w:val="22"/>
                <w:szCs w:val="22"/>
              </w:rPr>
              <w:t>insurance mechanisms or equivalent guarantees; and/or the cancellation of credits in a buffer pool to cover the anticipated post-crediting risk</w:t>
            </w:r>
            <w:r w:rsidR="00754D4A">
              <w:rPr>
                <w:rFonts w:ascii="Calibri" w:hAnsi="Calibri" w:cs="Calibri"/>
                <w:color w:val="000000"/>
                <w:sz w:val="22"/>
                <w:szCs w:val="22"/>
              </w:rPr>
              <w:t xml:space="preserve"> should be allowed</w:t>
            </w:r>
            <w:r w:rsidR="006F0CF4">
              <w:rPr>
                <w:rFonts w:ascii="Calibri" w:hAnsi="Calibri" w:cs="Calibri"/>
                <w:color w:val="000000"/>
                <w:sz w:val="22"/>
                <w:szCs w:val="22"/>
              </w:rPr>
              <w:t>.</w:t>
            </w:r>
          </w:p>
          <w:p w14:paraId="23DB71F6" w14:textId="77777777" w:rsidR="006F0CF4" w:rsidRDefault="006F0CF4"/>
        </w:tc>
      </w:tr>
      <w:tr w:rsidR="006F0CF4" w14:paraId="0DE00854" w14:textId="77777777" w:rsidTr="006F0CF4">
        <w:trPr>
          <w:trHeight w:val="380"/>
        </w:trPr>
        <w:tc>
          <w:tcPr>
            <w:tcW w:w="0" w:type="auto"/>
            <w:gridSpan w:val="4"/>
            <w:tcBorders>
              <w:top w:val="single" w:sz="6" w:space="0" w:color="000000"/>
              <w:left w:val="single" w:sz="8" w:space="0" w:color="000000"/>
              <w:bottom w:val="single" w:sz="6" w:space="0" w:color="000000"/>
              <w:right w:val="single" w:sz="8" w:space="0" w:color="000000"/>
            </w:tcBorders>
            <w:shd w:val="clear" w:color="auto" w:fill="073763"/>
            <w:tcMar>
              <w:top w:w="100" w:type="dxa"/>
              <w:left w:w="100" w:type="dxa"/>
              <w:bottom w:w="100" w:type="dxa"/>
              <w:right w:w="100" w:type="dxa"/>
            </w:tcMar>
            <w:hideMark/>
          </w:tcPr>
          <w:p w14:paraId="544C4AD7" w14:textId="77777777" w:rsidR="006F0CF4" w:rsidRDefault="006F0CF4">
            <w:pPr>
              <w:pStyle w:val="NormalWeb"/>
              <w:spacing w:before="0" w:beforeAutospacing="0" w:after="0" w:afterAutospacing="0"/>
              <w:jc w:val="center"/>
            </w:pPr>
            <w:r>
              <w:rPr>
                <w:rFonts w:ascii="Calibri" w:hAnsi="Calibri" w:cs="Calibri"/>
                <w:b/>
                <w:bCs/>
                <w:color w:val="FFFFFF"/>
                <w:sz w:val="22"/>
                <w:szCs w:val="22"/>
              </w:rPr>
              <w:t>Appendix 3</w:t>
            </w:r>
          </w:p>
        </w:tc>
      </w:tr>
      <w:tr w:rsidR="009C6E60" w14:paraId="61A033EB" w14:textId="77777777" w:rsidTr="00AF5B76">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AC3968" w14:textId="180FCBD4" w:rsidR="006F0CF4" w:rsidRDefault="006F0CF4">
            <w:pPr>
              <w:pStyle w:val="NormalWeb"/>
              <w:spacing w:before="0" w:beforeAutospacing="0" w:after="0" w:afterAutospacing="0"/>
            </w:pPr>
            <w:r>
              <w:rPr>
                <w:rFonts w:ascii="Calibri" w:hAnsi="Calibri" w:cs="Calibri"/>
                <w:b/>
                <w:bCs/>
                <w:color w:val="000000"/>
                <w:sz w:val="22"/>
                <w:szCs w:val="22"/>
              </w:rPr>
              <w:t>Unintentional and intentional</w:t>
            </w:r>
            <w:r w:rsidR="00143E8E">
              <w:rPr>
                <w:rFonts w:ascii="Calibri" w:hAnsi="Calibri" w:cs="Calibri"/>
                <w:b/>
                <w:bCs/>
                <w:color w:val="000000"/>
                <w:sz w:val="22"/>
                <w:szCs w:val="22"/>
              </w:rPr>
              <w:t xml:space="preserve"> o</w:t>
            </w:r>
            <w:r w:rsidR="006C6806">
              <w:rPr>
                <w:rFonts w:ascii="Calibri" w:hAnsi="Calibri" w:cs="Calibri"/>
                <w:b/>
                <w:bCs/>
                <w:color w:val="000000"/>
                <w:sz w:val="22"/>
                <w:szCs w:val="22"/>
              </w:rPr>
              <w:t>r avoidable/unavoidable</w:t>
            </w:r>
            <w:r>
              <w:rPr>
                <w:rFonts w:ascii="Calibri" w:hAnsi="Calibri" w:cs="Calibri"/>
                <w:b/>
                <w:bCs/>
                <w:color w:val="000000"/>
                <w:sz w:val="22"/>
                <w:szCs w:val="22"/>
              </w:rPr>
              <w:t xml:space="preserve"> reversals</w:t>
            </w:r>
          </w:p>
          <w:p w14:paraId="78234224" w14:textId="77777777" w:rsidR="006F0CF4" w:rsidRDefault="006F0CF4">
            <w:pPr>
              <w:rPr>
                <w:lang w:val="en-US"/>
              </w:rPr>
            </w:pPr>
          </w:p>
          <w:p w14:paraId="75D1C214" w14:textId="28ECA027" w:rsidR="006C6806" w:rsidRDefault="006C6806">
            <w:pPr>
              <w:rPr>
                <w:lang w:val="en-US"/>
              </w:rPr>
            </w:pPr>
            <w:r>
              <w:rPr>
                <w:lang w:val="en-US"/>
              </w:rPr>
              <w:t xml:space="preserve">Appendix 1, Section </w:t>
            </w:r>
            <w:r w:rsidR="00337A62">
              <w:rPr>
                <w:lang w:val="en-US"/>
              </w:rPr>
              <w:t xml:space="preserve">7.3, </w:t>
            </w:r>
            <w:r w:rsidR="00E649F3">
              <w:rPr>
                <w:lang w:val="en-US"/>
              </w:rPr>
              <w:t>paragraphs 40ss</w:t>
            </w:r>
          </w:p>
          <w:p w14:paraId="67AE460B" w14:textId="77777777" w:rsidR="006C6806" w:rsidRPr="00B32A48" w:rsidRDefault="006C6806">
            <w:pPr>
              <w:rPr>
                <w:lang w:val="en-US"/>
              </w:rPr>
            </w:pPr>
          </w:p>
          <w:p w14:paraId="7BAD467A" w14:textId="77777777" w:rsidR="006F0CF4" w:rsidRDefault="006F0CF4">
            <w:pPr>
              <w:pStyle w:val="NormalWeb"/>
              <w:spacing w:before="0" w:beforeAutospacing="0" w:after="0" w:afterAutospacing="0"/>
            </w:pPr>
            <w:r>
              <w:rPr>
                <w:rFonts w:ascii="Calibri" w:hAnsi="Calibri" w:cs="Calibri"/>
                <w:color w:val="000000"/>
                <w:sz w:val="22"/>
                <w:szCs w:val="22"/>
              </w:rPr>
              <w:t>Appendix 3. Section 6.1</w:t>
            </w:r>
          </w:p>
          <w:p w14:paraId="4175A9A3" w14:textId="77777777" w:rsidR="006F0CF4" w:rsidRDefault="006F0CF4">
            <w:pPr>
              <w:pStyle w:val="NormalWeb"/>
              <w:spacing w:before="0" w:beforeAutospacing="0" w:after="0" w:afterAutospacing="0"/>
            </w:pPr>
            <w:r>
              <w:rPr>
                <w:rFonts w:ascii="Calibri" w:hAnsi="Calibri" w:cs="Calibri"/>
                <w:color w:val="000000"/>
                <w:sz w:val="22"/>
                <w:szCs w:val="22"/>
              </w:rPr>
              <w:t> </w:t>
            </w:r>
          </w:p>
        </w:tc>
        <w:tc>
          <w:tcPr>
            <w:tcW w:w="26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F99AAB" w14:textId="77777777" w:rsidR="006F0CF4" w:rsidRDefault="006F0CF4">
            <w:pPr>
              <w:pStyle w:val="NormalWeb"/>
              <w:spacing w:before="0" w:beforeAutospacing="0" w:after="0" w:afterAutospacing="0"/>
            </w:pPr>
            <w:r>
              <w:rPr>
                <w:rFonts w:ascii="Calibri" w:hAnsi="Calibri" w:cs="Calibri"/>
                <w:color w:val="000000"/>
                <w:sz w:val="22"/>
                <w:szCs w:val="22"/>
              </w:rPr>
              <w:t>Appendix 3. Paragraphs 37 - 69</w:t>
            </w:r>
          </w:p>
        </w:tc>
        <w:tc>
          <w:tcPr>
            <w:tcW w:w="59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4EE666" w14:textId="749B5708" w:rsidR="006F0CF4" w:rsidRDefault="00E649F3" w:rsidP="0057348B">
            <w:pPr>
              <w:pStyle w:val="NormalWeb"/>
              <w:spacing w:before="0" w:beforeAutospacing="0" w:after="0" w:afterAutospacing="0"/>
            </w:pPr>
            <w:r>
              <w:rPr>
                <w:rFonts w:ascii="Calibri" w:hAnsi="Calibri" w:cs="Calibri"/>
                <w:color w:val="000000"/>
                <w:sz w:val="22"/>
                <w:szCs w:val="22"/>
              </w:rPr>
              <w:t xml:space="preserve">Whereas Appendix </w:t>
            </w:r>
            <w:r w:rsidR="00614359">
              <w:rPr>
                <w:rFonts w:ascii="Calibri" w:hAnsi="Calibri" w:cs="Calibri"/>
                <w:color w:val="000000"/>
                <w:sz w:val="22"/>
                <w:szCs w:val="22"/>
              </w:rPr>
              <w:t xml:space="preserve">1 appears to propose a rigid </w:t>
            </w:r>
            <w:r w:rsidR="00440BF3">
              <w:rPr>
                <w:rFonts w:ascii="Calibri" w:hAnsi="Calibri" w:cs="Calibri"/>
                <w:color w:val="000000"/>
                <w:sz w:val="22"/>
                <w:szCs w:val="22"/>
              </w:rPr>
              <w:t>distinction</w:t>
            </w:r>
            <w:r w:rsidR="00614359">
              <w:rPr>
                <w:rFonts w:ascii="Calibri" w:hAnsi="Calibri" w:cs="Calibri"/>
                <w:color w:val="000000"/>
                <w:sz w:val="22"/>
                <w:szCs w:val="22"/>
              </w:rPr>
              <w:t xml:space="preserve"> to be included into methodologies for projects</w:t>
            </w:r>
            <w:r w:rsidR="00440BF3">
              <w:rPr>
                <w:rFonts w:ascii="Calibri" w:hAnsi="Calibri" w:cs="Calibri"/>
                <w:color w:val="000000"/>
                <w:sz w:val="22"/>
                <w:szCs w:val="22"/>
              </w:rPr>
              <w:t xml:space="preserve"> and uses the seemingly objective terms avoidable/unavoidable for them</w:t>
            </w:r>
            <w:r w:rsidR="00614359">
              <w:rPr>
                <w:rFonts w:ascii="Calibri" w:hAnsi="Calibri" w:cs="Calibri"/>
                <w:color w:val="000000"/>
                <w:sz w:val="22"/>
                <w:szCs w:val="22"/>
              </w:rPr>
              <w:t xml:space="preserve">, </w:t>
            </w:r>
            <w:r w:rsidR="00440BF3">
              <w:rPr>
                <w:rFonts w:ascii="Calibri" w:hAnsi="Calibri" w:cs="Calibri"/>
                <w:color w:val="000000"/>
                <w:sz w:val="22"/>
                <w:szCs w:val="22"/>
              </w:rPr>
              <w:t>Appendix 3 seems to propose a</w:t>
            </w:r>
            <w:r w:rsidR="00024BCD">
              <w:rPr>
                <w:rFonts w:ascii="Calibri" w:hAnsi="Calibri" w:cs="Calibri"/>
                <w:color w:val="000000"/>
                <w:sz w:val="22"/>
                <w:szCs w:val="22"/>
              </w:rPr>
              <w:t xml:space="preserve"> preferrable</w:t>
            </w:r>
            <w:r w:rsidR="00440BF3">
              <w:rPr>
                <w:rFonts w:ascii="Calibri" w:hAnsi="Calibri" w:cs="Calibri"/>
                <w:color w:val="000000"/>
                <w:sz w:val="22"/>
                <w:szCs w:val="22"/>
              </w:rPr>
              <w:t xml:space="preserve"> ongoing risk distribution among the participants in the pro</w:t>
            </w:r>
            <w:r w:rsidR="004140E7">
              <w:rPr>
                <w:rFonts w:ascii="Calibri" w:hAnsi="Calibri" w:cs="Calibri"/>
                <w:color w:val="000000"/>
                <w:sz w:val="22"/>
                <w:szCs w:val="22"/>
              </w:rPr>
              <w:t xml:space="preserve">ject and </w:t>
            </w:r>
            <w:r w:rsidR="00024BCD">
              <w:rPr>
                <w:rFonts w:ascii="Calibri" w:hAnsi="Calibri" w:cs="Calibri"/>
                <w:color w:val="000000"/>
                <w:sz w:val="22"/>
                <w:szCs w:val="22"/>
              </w:rPr>
              <w:t xml:space="preserve">more </w:t>
            </w:r>
            <w:r w:rsidR="004140E7">
              <w:rPr>
                <w:rFonts w:ascii="Calibri" w:hAnsi="Calibri" w:cs="Calibri"/>
                <w:color w:val="000000"/>
                <w:sz w:val="22"/>
                <w:szCs w:val="22"/>
              </w:rPr>
              <w:t>appropriately</w:t>
            </w:r>
            <w:r w:rsidR="009A6CC2">
              <w:rPr>
                <w:rFonts w:ascii="Calibri" w:hAnsi="Calibri" w:cs="Calibri"/>
                <w:color w:val="000000"/>
                <w:sz w:val="22"/>
                <w:szCs w:val="22"/>
              </w:rPr>
              <w:t xml:space="preserve"> proposes to benchmark this risk distribution against the degree of intent of the parties. By way of example, the risk of a fire will largely differ from project to project, and </w:t>
            </w:r>
            <w:r w:rsidR="00ED7127">
              <w:rPr>
                <w:rFonts w:ascii="Calibri" w:hAnsi="Calibri" w:cs="Calibri"/>
                <w:color w:val="000000"/>
                <w:sz w:val="22"/>
                <w:szCs w:val="22"/>
              </w:rPr>
              <w:t xml:space="preserve">the degree to which a fire can be attributed to a party as well. </w:t>
            </w:r>
            <w:r w:rsidR="00A01EBB">
              <w:rPr>
                <w:rFonts w:ascii="Calibri" w:hAnsi="Calibri" w:cs="Calibri"/>
                <w:color w:val="000000"/>
                <w:sz w:val="22"/>
                <w:szCs w:val="22"/>
              </w:rPr>
              <w:t xml:space="preserve">At the beginning of a project, parties will have relevant expectations based on historical data and specific features of the project, for instance, on whether an afforestation decreases the danger or fire or whether the country in question </w:t>
            </w:r>
            <w:r w:rsidR="00F625DB">
              <w:rPr>
                <w:rFonts w:ascii="Calibri" w:hAnsi="Calibri" w:cs="Calibri"/>
                <w:color w:val="000000"/>
                <w:sz w:val="22"/>
                <w:szCs w:val="22"/>
              </w:rPr>
              <w:t>is planning improved firefighting, and a shortfall in such i</w:t>
            </w:r>
            <w:r w:rsidR="00092633">
              <w:rPr>
                <w:rFonts w:ascii="Calibri" w:hAnsi="Calibri" w:cs="Calibri"/>
                <w:color w:val="000000"/>
                <w:sz w:val="22"/>
                <w:szCs w:val="22"/>
              </w:rPr>
              <w:t xml:space="preserve">ntentions gives a benchmark for a specific fire to be considered intentional. </w:t>
            </w:r>
            <w:proofErr w:type="gramStart"/>
            <w:r w:rsidR="00EC7895">
              <w:rPr>
                <w:rFonts w:ascii="Calibri" w:hAnsi="Calibri" w:cs="Calibri"/>
                <w:color w:val="000000"/>
                <w:sz w:val="22"/>
                <w:szCs w:val="22"/>
              </w:rPr>
              <w:t>In order to</w:t>
            </w:r>
            <w:proofErr w:type="gramEnd"/>
            <w:r w:rsidR="00EC7895">
              <w:rPr>
                <w:rFonts w:ascii="Calibri" w:hAnsi="Calibri" w:cs="Calibri"/>
                <w:color w:val="000000"/>
                <w:sz w:val="22"/>
                <w:szCs w:val="22"/>
              </w:rPr>
              <w:t>, with the buffer</w:t>
            </w:r>
            <w:r w:rsidR="003D2D62">
              <w:t xml:space="preserve">, be able to </w:t>
            </w:r>
            <w:r w:rsidR="00045779">
              <w:t>professionally mitigate risks, information disclosure should be regularized and delegated to the parties.</w:t>
            </w:r>
            <w:r w:rsidR="001B065B">
              <w:t xml:space="preserve"> By way of example, if there has been no disclosure relating to the risk of a fire, no buffer amounts should be available if </w:t>
            </w:r>
            <w:r w:rsidR="00434978">
              <w:t>a fire occurred, at least not if the risk of a fire was generally not to be considered remote.</w:t>
            </w:r>
            <w:r w:rsidR="00434978">
              <w:br/>
            </w:r>
            <w:r w:rsidR="00434978">
              <w:br/>
            </w:r>
            <w:r w:rsidR="0057348B" w:rsidRPr="00B32A48">
              <w:rPr>
                <w:rFonts w:asciiTheme="minorHAnsi" w:hAnsiTheme="minorHAnsi" w:cstheme="minorHAnsi"/>
              </w:rPr>
              <w:t xml:space="preserve">This </w:t>
            </w:r>
            <w:r w:rsidR="00BD02C5">
              <w:rPr>
                <w:rFonts w:asciiTheme="minorHAnsi" w:hAnsiTheme="minorHAnsi" w:cstheme="minorHAnsi"/>
              </w:rPr>
              <w:t>type</w:t>
            </w:r>
            <w:r w:rsidR="00434978">
              <w:rPr>
                <w:rFonts w:asciiTheme="minorHAnsi" w:hAnsiTheme="minorHAnsi" w:cstheme="minorHAnsi"/>
              </w:rPr>
              <w:t xml:space="preserve"> of mechanics are</w:t>
            </w:r>
            <w:r w:rsidR="0057348B" w:rsidRPr="00B32A48">
              <w:rPr>
                <w:rFonts w:asciiTheme="minorHAnsi" w:hAnsiTheme="minorHAnsi" w:cstheme="minorHAnsi"/>
              </w:rPr>
              <w:t xml:space="preserve"> particularly important for </w:t>
            </w:r>
            <w:r w:rsidR="006F0CF4" w:rsidRPr="00B32A48">
              <w:rPr>
                <w:rFonts w:asciiTheme="minorHAnsi" w:hAnsiTheme="minorHAnsi" w:cstheme="minorHAnsi"/>
                <w:color w:val="000000"/>
                <w:sz w:val="22"/>
                <w:szCs w:val="22"/>
              </w:rPr>
              <w:t>land-use projects</w:t>
            </w:r>
            <w:r w:rsidR="001B065B" w:rsidRPr="00B32A48">
              <w:rPr>
                <w:rFonts w:asciiTheme="minorHAnsi" w:hAnsiTheme="minorHAnsi" w:cstheme="minorHAnsi"/>
                <w:color w:val="000000"/>
                <w:sz w:val="22"/>
                <w:szCs w:val="22"/>
              </w:rPr>
              <w:t xml:space="preserve"> as opposed to </w:t>
            </w:r>
            <w:r w:rsidR="006F0CF4" w:rsidRPr="00B32A48">
              <w:rPr>
                <w:rFonts w:asciiTheme="minorHAnsi" w:hAnsiTheme="minorHAnsi" w:cstheme="minorHAnsi"/>
                <w:color w:val="000000"/>
                <w:sz w:val="22"/>
                <w:szCs w:val="22"/>
              </w:rPr>
              <w:t xml:space="preserve">tech-based ones, because land </w:t>
            </w:r>
            <w:r w:rsidR="006F0CF4" w:rsidRPr="00B32A48">
              <w:rPr>
                <w:rFonts w:asciiTheme="minorHAnsi" w:hAnsiTheme="minorHAnsi" w:cstheme="minorHAnsi"/>
                <w:color w:val="000000"/>
                <w:sz w:val="22"/>
                <w:szCs w:val="22"/>
              </w:rPr>
              <w:lastRenderedPageBreak/>
              <w:t xml:space="preserve">projects face a </w:t>
            </w:r>
            <w:r w:rsidR="006F0CF4">
              <w:rPr>
                <w:rFonts w:ascii="Calibri" w:hAnsi="Calibri" w:cs="Calibri"/>
                <w:color w:val="000000"/>
                <w:sz w:val="22"/>
                <w:szCs w:val="22"/>
              </w:rPr>
              <w:t>much wider range of risks related to how the land is managed. </w:t>
            </w:r>
          </w:p>
          <w:p w14:paraId="1BE98823" w14:textId="77777777" w:rsidR="006F0CF4" w:rsidRDefault="006F0CF4"/>
          <w:p w14:paraId="69185937" w14:textId="644153E2" w:rsidR="006F0CF4" w:rsidRDefault="006F0CF4">
            <w:pPr>
              <w:pStyle w:val="NormalWeb"/>
              <w:spacing w:before="0" w:beforeAutospacing="0" w:after="0" w:afterAutospacing="0"/>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237D27" w14:textId="3FA571E6" w:rsidR="006F0CF4" w:rsidRDefault="002D458C">
            <w:pPr>
              <w:pStyle w:val="NormalWeb"/>
              <w:spacing w:before="0" w:beforeAutospacing="0" w:after="0" w:afterAutospacing="0"/>
            </w:pPr>
            <w:r w:rsidRPr="00B32A48">
              <w:rPr>
                <w:rFonts w:ascii="Calibri" w:hAnsi="Calibri" w:cs="Calibri"/>
                <w:color w:val="000000"/>
                <w:sz w:val="22"/>
                <w:szCs w:val="22"/>
              </w:rPr>
              <w:lastRenderedPageBreak/>
              <w:t xml:space="preserve">To my mind, </w:t>
            </w:r>
            <w:r w:rsidR="006F0CF4" w:rsidRPr="00B32A48">
              <w:rPr>
                <w:rFonts w:ascii="Calibri" w:hAnsi="Calibri" w:cs="Calibri"/>
                <w:color w:val="000000"/>
                <w:sz w:val="22"/>
                <w:szCs w:val="22"/>
              </w:rPr>
              <w:t>Appendix 3. paragraph 68</w:t>
            </w:r>
            <w:r w:rsidRPr="00B32A48">
              <w:rPr>
                <w:rFonts w:ascii="Calibri" w:hAnsi="Calibri" w:cs="Calibri"/>
                <w:color w:val="000000"/>
                <w:sz w:val="22"/>
                <w:szCs w:val="22"/>
              </w:rPr>
              <w:t>, should be worded as follows</w:t>
            </w:r>
            <w:r w:rsidR="006F0CF4">
              <w:rPr>
                <w:rFonts w:ascii="Calibri" w:hAnsi="Calibri" w:cs="Calibri"/>
                <w:b/>
                <w:bCs/>
                <w:color w:val="000000"/>
                <w:sz w:val="22"/>
                <w:szCs w:val="22"/>
              </w:rPr>
              <w:t>:</w:t>
            </w:r>
            <w:r w:rsidR="006F0CF4">
              <w:rPr>
                <w:rFonts w:ascii="Calibri" w:hAnsi="Calibri" w:cs="Calibri"/>
                <w:color w:val="000000"/>
                <w:sz w:val="22"/>
                <w:szCs w:val="22"/>
              </w:rPr>
              <w:t xml:space="preserve"> </w:t>
            </w:r>
            <w:r w:rsidR="00DF4DAD">
              <w:rPr>
                <w:rFonts w:ascii="Calibri" w:hAnsi="Calibri" w:cs="Calibri"/>
                <w:color w:val="000000"/>
                <w:sz w:val="22"/>
                <w:szCs w:val="22"/>
              </w:rPr>
              <w:t xml:space="preserve">Activity participants shall strive to obtain </w:t>
            </w:r>
            <w:r w:rsidR="001C3208">
              <w:rPr>
                <w:rFonts w:ascii="Calibri" w:hAnsi="Calibri" w:cs="Calibri"/>
                <w:color w:val="000000"/>
                <w:sz w:val="22"/>
                <w:szCs w:val="22"/>
              </w:rPr>
              <w:t xml:space="preserve">full insurance coverage of </w:t>
            </w:r>
            <w:r w:rsidR="00DF4DAD">
              <w:rPr>
                <w:rFonts w:ascii="Calibri" w:hAnsi="Calibri" w:cs="Calibri"/>
                <w:color w:val="000000"/>
                <w:sz w:val="22"/>
                <w:szCs w:val="22"/>
              </w:rPr>
              <w:t>in</w:t>
            </w:r>
            <w:r w:rsidR="001C3208">
              <w:rPr>
                <w:rFonts w:ascii="Calibri" w:hAnsi="Calibri" w:cs="Calibri"/>
                <w:color w:val="000000"/>
                <w:sz w:val="22"/>
                <w:szCs w:val="22"/>
              </w:rPr>
              <w:t xml:space="preserve">tentional </w:t>
            </w:r>
            <w:r w:rsidR="009C6E60">
              <w:rPr>
                <w:rFonts w:ascii="Calibri" w:hAnsi="Calibri" w:cs="Calibri"/>
                <w:color w:val="000000"/>
                <w:sz w:val="22"/>
                <w:szCs w:val="22"/>
              </w:rPr>
              <w:t xml:space="preserve">reversals not including such risks for which there is no </w:t>
            </w:r>
            <w:r w:rsidR="006F0CF4">
              <w:rPr>
                <w:rFonts w:ascii="Calibri" w:hAnsi="Calibri" w:cs="Calibri"/>
                <w:color w:val="000000"/>
                <w:sz w:val="22"/>
                <w:szCs w:val="22"/>
              </w:rPr>
              <w:t xml:space="preserve">clear timeline to end the post-crediting monitoring, </w:t>
            </w:r>
            <w:r w:rsidR="0021195F">
              <w:rPr>
                <w:rFonts w:ascii="Calibri" w:hAnsi="Calibri" w:cs="Calibri"/>
                <w:color w:val="000000"/>
                <w:sz w:val="22"/>
                <w:szCs w:val="22"/>
              </w:rPr>
              <w:t xml:space="preserve">and there is no viable </w:t>
            </w:r>
            <w:r w:rsidR="006F0CF4">
              <w:rPr>
                <w:rFonts w:ascii="Calibri" w:hAnsi="Calibri" w:cs="Calibri"/>
                <w:color w:val="000000"/>
                <w:sz w:val="22"/>
                <w:szCs w:val="22"/>
              </w:rPr>
              <w:t xml:space="preserve">insurance </w:t>
            </w:r>
            <w:r w:rsidR="009F611A">
              <w:rPr>
                <w:rFonts w:ascii="Calibri" w:hAnsi="Calibri" w:cs="Calibri"/>
                <w:color w:val="000000"/>
                <w:sz w:val="22"/>
                <w:szCs w:val="22"/>
              </w:rPr>
              <w:t xml:space="preserve">coverage available in the insurance market. </w:t>
            </w:r>
          </w:p>
          <w:p w14:paraId="7A8529C4" w14:textId="77777777" w:rsidR="006F0CF4" w:rsidRDefault="006F0CF4">
            <w:pPr>
              <w:spacing w:after="240"/>
            </w:pPr>
            <w:r>
              <w:br/>
            </w:r>
          </w:p>
        </w:tc>
      </w:tr>
    </w:tbl>
    <w:p w14:paraId="2049EFB2" w14:textId="66B9B914" w:rsidR="00DF4F6B" w:rsidRPr="000926EA" w:rsidRDefault="006F0CF4" w:rsidP="00B32A48">
      <w:r>
        <w:br/>
      </w:r>
      <w:r>
        <w:rPr>
          <w:rFonts w:ascii="Calibri" w:hAnsi="Calibri" w:cs="Calibri"/>
          <w:color w:val="000000"/>
        </w:rPr>
        <w:br/>
      </w:r>
    </w:p>
    <w:sectPr w:rsidR="00DF4F6B" w:rsidRPr="000926EA" w:rsidSect="007B1DB4">
      <w:footerReference w:type="even" r:id="rId12"/>
      <w:footerReference w:type="default" r:id="rId13"/>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88BF" w14:textId="77777777" w:rsidR="001747C6" w:rsidRDefault="001747C6" w:rsidP="00DF4F6B">
      <w:r>
        <w:separator/>
      </w:r>
    </w:p>
  </w:endnote>
  <w:endnote w:type="continuationSeparator" w:id="0">
    <w:p w14:paraId="4100F100" w14:textId="77777777" w:rsidR="001747C6" w:rsidRDefault="001747C6" w:rsidP="00DF4F6B">
      <w:r>
        <w:continuationSeparator/>
      </w:r>
    </w:p>
  </w:endnote>
  <w:endnote w:type="continuationNotice" w:id="1">
    <w:p w14:paraId="603CA8D9" w14:textId="77777777" w:rsidR="001747C6" w:rsidRDefault="00174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E77C" w14:textId="77777777" w:rsidR="001747C6" w:rsidRDefault="001747C6" w:rsidP="00DF4F6B">
      <w:r>
        <w:separator/>
      </w:r>
    </w:p>
  </w:footnote>
  <w:footnote w:type="continuationSeparator" w:id="0">
    <w:p w14:paraId="2B86CAC0" w14:textId="77777777" w:rsidR="001747C6" w:rsidRDefault="001747C6" w:rsidP="00DF4F6B">
      <w:r>
        <w:continuationSeparator/>
      </w:r>
    </w:p>
  </w:footnote>
  <w:footnote w:type="continuationNotice" w:id="1">
    <w:p w14:paraId="0AE745A5" w14:textId="77777777" w:rsidR="001747C6" w:rsidRDefault="00174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B57CE"/>
    <w:multiLevelType w:val="multilevel"/>
    <w:tmpl w:val="A3A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47F25"/>
    <w:multiLevelType w:val="multilevel"/>
    <w:tmpl w:val="1A2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62D31"/>
    <w:multiLevelType w:val="multilevel"/>
    <w:tmpl w:val="BD9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855079557">
    <w:abstractNumId w:val="4"/>
  </w:num>
  <w:num w:numId="2" w16cid:durableId="2142068773">
    <w:abstractNumId w:val="2"/>
  </w:num>
  <w:num w:numId="3" w16cid:durableId="1376931316">
    <w:abstractNumId w:val="0"/>
  </w:num>
  <w:num w:numId="4" w16cid:durableId="1409964780">
    <w:abstractNumId w:val="3"/>
  </w:num>
  <w:num w:numId="5" w16cid:durableId="30874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22953"/>
    <w:rsid w:val="00024BCD"/>
    <w:rsid w:val="0002698E"/>
    <w:rsid w:val="00032798"/>
    <w:rsid w:val="000372B5"/>
    <w:rsid w:val="00044598"/>
    <w:rsid w:val="00045779"/>
    <w:rsid w:val="00047EFF"/>
    <w:rsid w:val="000808F1"/>
    <w:rsid w:val="00081419"/>
    <w:rsid w:val="00084ABC"/>
    <w:rsid w:val="00092633"/>
    <w:rsid w:val="000926EA"/>
    <w:rsid w:val="00093883"/>
    <w:rsid w:val="00097411"/>
    <w:rsid w:val="000A4E26"/>
    <w:rsid w:val="000A629F"/>
    <w:rsid w:val="000B2CC2"/>
    <w:rsid w:val="00101860"/>
    <w:rsid w:val="00114F43"/>
    <w:rsid w:val="00115969"/>
    <w:rsid w:val="001169C6"/>
    <w:rsid w:val="001260E4"/>
    <w:rsid w:val="0013286E"/>
    <w:rsid w:val="001374D5"/>
    <w:rsid w:val="00140B11"/>
    <w:rsid w:val="0014141B"/>
    <w:rsid w:val="00142693"/>
    <w:rsid w:val="00143E8E"/>
    <w:rsid w:val="00165255"/>
    <w:rsid w:val="001747C6"/>
    <w:rsid w:val="00187C79"/>
    <w:rsid w:val="001A59B7"/>
    <w:rsid w:val="001B065B"/>
    <w:rsid w:val="001B22CC"/>
    <w:rsid w:val="001C1211"/>
    <w:rsid w:val="001C3208"/>
    <w:rsid w:val="001D0F91"/>
    <w:rsid w:val="001E3876"/>
    <w:rsid w:val="00204655"/>
    <w:rsid w:val="00206320"/>
    <w:rsid w:val="00207FAE"/>
    <w:rsid w:val="0021195F"/>
    <w:rsid w:val="0021513A"/>
    <w:rsid w:val="002268BE"/>
    <w:rsid w:val="0025740A"/>
    <w:rsid w:val="00266024"/>
    <w:rsid w:val="00276A82"/>
    <w:rsid w:val="00294B46"/>
    <w:rsid w:val="002A36CB"/>
    <w:rsid w:val="002B37D8"/>
    <w:rsid w:val="002D458C"/>
    <w:rsid w:val="002E387D"/>
    <w:rsid w:val="002F135C"/>
    <w:rsid w:val="002F684D"/>
    <w:rsid w:val="00302395"/>
    <w:rsid w:val="00304DE8"/>
    <w:rsid w:val="003106A1"/>
    <w:rsid w:val="00337A62"/>
    <w:rsid w:val="00343E39"/>
    <w:rsid w:val="0034660C"/>
    <w:rsid w:val="00347B95"/>
    <w:rsid w:val="00356C44"/>
    <w:rsid w:val="00366FD7"/>
    <w:rsid w:val="003706ED"/>
    <w:rsid w:val="003A1686"/>
    <w:rsid w:val="003A59D7"/>
    <w:rsid w:val="003D0FC3"/>
    <w:rsid w:val="003D2D62"/>
    <w:rsid w:val="003D3EDA"/>
    <w:rsid w:val="003D6FCA"/>
    <w:rsid w:val="003E34A8"/>
    <w:rsid w:val="003E4863"/>
    <w:rsid w:val="003F29F5"/>
    <w:rsid w:val="00405FB3"/>
    <w:rsid w:val="004140E7"/>
    <w:rsid w:val="0042137F"/>
    <w:rsid w:val="00423A55"/>
    <w:rsid w:val="004248BD"/>
    <w:rsid w:val="00426673"/>
    <w:rsid w:val="004304F1"/>
    <w:rsid w:val="00434978"/>
    <w:rsid w:val="00440BF3"/>
    <w:rsid w:val="00450EEA"/>
    <w:rsid w:val="00463861"/>
    <w:rsid w:val="00472C3C"/>
    <w:rsid w:val="0048326B"/>
    <w:rsid w:val="00485B35"/>
    <w:rsid w:val="0049116F"/>
    <w:rsid w:val="00492958"/>
    <w:rsid w:val="004E1D07"/>
    <w:rsid w:val="004E4B9D"/>
    <w:rsid w:val="005242C9"/>
    <w:rsid w:val="00550E7A"/>
    <w:rsid w:val="00554BA4"/>
    <w:rsid w:val="0057348B"/>
    <w:rsid w:val="00592402"/>
    <w:rsid w:val="005A256D"/>
    <w:rsid w:val="005B1074"/>
    <w:rsid w:val="005B5BEB"/>
    <w:rsid w:val="005C5581"/>
    <w:rsid w:val="005D62E9"/>
    <w:rsid w:val="005E1D5D"/>
    <w:rsid w:val="005F5267"/>
    <w:rsid w:val="00614359"/>
    <w:rsid w:val="006305FD"/>
    <w:rsid w:val="006447B2"/>
    <w:rsid w:val="00654CA3"/>
    <w:rsid w:val="006557D3"/>
    <w:rsid w:val="006740C2"/>
    <w:rsid w:val="0068081C"/>
    <w:rsid w:val="006B0672"/>
    <w:rsid w:val="006C6806"/>
    <w:rsid w:val="006D0849"/>
    <w:rsid w:val="006D27F8"/>
    <w:rsid w:val="006E268A"/>
    <w:rsid w:val="006F0CF4"/>
    <w:rsid w:val="006F32C1"/>
    <w:rsid w:val="007014A2"/>
    <w:rsid w:val="00705DDB"/>
    <w:rsid w:val="00754D4A"/>
    <w:rsid w:val="0076317F"/>
    <w:rsid w:val="00777AC5"/>
    <w:rsid w:val="00797117"/>
    <w:rsid w:val="007B09DD"/>
    <w:rsid w:val="007B1DB4"/>
    <w:rsid w:val="007B5E5C"/>
    <w:rsid w:val="007D498B"/>
    <w:rsid w:val="007D6248"/>
    <w:rsid w:val="007D6DA4"/>
    <w:rsid w:val="007E1C1E"/>
    <w:rsid w:val="00803499"/>
    <w:rsid w:val="008066DE"/>
    <w:rsid w:val="0081209A"/>
    <w:rsid w:val="00812FD0"/>
    <w:rsid w:val="00827EEE"/>
    <w:rsid w:val="008337AE"/>
    <w:rsid w:val="008351B7"/>
    <w:rsid w:val="00837B27"/>
    <w:rsid w:val="00840C5C"/>
    <w:rsid w:val="008414E1"/>
    <w:rsid w:val="00841D26"/>
    <w:rsid w:val="00842079"/>
    <w:rsid w:val="00863150"/>
    <w:rsid w:val="00874ECB"/>
    <w:rsid w:val="008A57FF"/>
    <w:rsid w:val="008B51F1"/>
    <w:rsid w:val="008D2B67"/>
    <w:rsid w:val="008D4BE2"/>
    <w:rsid w:val="008D5DDB"/>
    <w:rsid w:val="008E3D67"/>
    <w:rsid w:val="009110A0"/>
    <w:rsid w:val="009177A1"/>
    <w:rsid w:val="00924917"/>
    <w:rsid w:val="0093310F"/>
    <w:rsid w:val="009336FE"/>
    <w:rsid w:val="009348BD"/>
    <w:rsid w:val="00972085"/>
    <w:rsid w:val="00976B44"/>
    <w:rsid w:val="00981D31"/>
    <w:rsid w:val="009832E0"/>
    <w:rsid w:val="009A40C2"/>
    <w:rsid w:val="009A5867"/>
    <w:rsid w:val="009A6CC2"/>
    <w:rsid w:val="009B1BF4"/>
    <w:rsid w:val="009B43AE"/>
    <w:rsid w:val="009C6E60"/>
    <w:rsid w:val="009D0F11"/>
    <w:rsid w:val="009E14C9"/>
    <w:rsid w:val="009E2FBD"/>
    <w:rsid w:val="009E52E6"/>
    <w:rsid w:val="009F49C2"/>
    <w:rsid w:val="009F611A"/>
    <w:rsid w:val="009F61CD"/>
    <w:rsid w:val="00A01EBB"/>
    <w:rsid w:val="00A13B92"/>
    <w:rsid w:val="00A21F31"/>
    <w:rsid w:val="00A274F5"/>
    <w:rsid w:val="00A32395"/>
    <w:rsid w:val="00A351D1"/>
    <w:rsid w:val="00A42991"/>
    <w:rsid w:val="00A47E47"/>
    <w:rsid w:val="00A52FA2"/>
    <w:rsid w:val="00A54BC5"/>
    <w:rsid w:val="00A71748"/>
    <w:rsid w:val="00A71DB2"/>
    <w:rsid w:val="00A733A8"/>
    <w:rsid w:val="00A8149C"/>
    <w:rsid w:val="00A814DA"/>
    <w:rsid w:val="00A82959"/>
    <w:rsid w:val="00A96FCD"/>
    <w:rsid w:val="00AD1C0C"/>
    <w:rsid w:val="00AD2612"/>
    <w:rsid w:val="00AE4048"/>
    <w:rsid w:val="00AF5B76"/>
    <w:rsid w:val="00B00304"/>
    <w:rsid w:val="00B13E21"/>
    <w:rsid w:val="00B32A48"/>
    <w:rsid w:val="00B344E5"/>
    <w:rsid w:val="00B3792D"/>
    <w:rsid w:val="00B426BF"/>
    <w:rsid w:val="00B47092"/>
    <w:rsid w:val="00BB7848"/>
    <w:rsid w:val="00BC3138"/>
    <w:rsid w:val="00BC3F7C"/>
    <w:rsid w:val="00BD02C5"/>
    <w:rsid w:val="00BE7935"/>
    <w:rsid w:val="00BF266F"/>
    <w:rsid w:val="00BF2B1A"/>
    <w:rsid w:val="00C02500"/>
    <w:rsid w:val="00C02B84"/>
    <w:rsid w:val="00C177B5"/>
    <w:rsid w:val="00C21CBA"/>
    <w:rsid w:val="00C27D47"/>
    <w:rsid w:val="00C33E85"/>
    <w:rsid w:val="00C408D1"/>
    <w:rsid w:val="00C466E7"/>
    <w:rsid w:val="00C47DE0"/>
    <w:rsid w:val="00C5298E"/>
    <w:rsid w:val="00C56ADE"/>
    <w:rsid w:val="00C630BD"/>
    <w:rsid w:val="00C653A2"/>
    <w:rsid w:val="00C73553"/>
    <w:rsid w:val="00C76C8F"/>
    <w:rsid w:val="00C76F99"/>
    <w:rsid w:val="00C85B67"/>
    <w:rsid w:val="00C86F3F"/>
    <w:rsid w:val="00CA1E76"/>
    <w:rsid w:val="00CB0732"/>
    <w:rsid w:val="00CC0EB7"/>
    <w:rsid w:val="00CC1077"/>
    <w:rsid w:val="00CD791E"/>
    <w:rsid w:val="00CE573A"/>
    <w:rsid w:val="00CF5637"/>
    <w:rsid w:val="00D131BD"/>
    <w:rsid w:val="00D30958"/>
    <w:rsid w:val="00D366AD"/>
    <w:rsid w:val="00D36C4F"/>
    <w:rsid w:val="00D4467F"/>
    <w:rsid w:val="00D50F9A"/>
    <w:rsid w:val="00D6268F"/>
    <w:rsid w:val="00D65701"/>
    <w:rsid w:val="00D66EB6"/>
    <w:rsid w:val="00D70A95"/>
    <w:rsid w:val="00D772DA"/>
    <w:rsid w:val="00D800AA"/>
    <w:rsid w:val="00DA0FBB"/>
    <w:rsid w:val="00DB0167"/>
    <w:rsid w:val="00DB29C0"/>
    <w:rsid w:val="00DD7155"/>
    <w:rsid w:val="00DF4DAD"/>
    <w:rsid w:val="00DF4E03"/>
    <w:rsid w:val="00DF4F6B"/>
    <w:rsid w:val="00DF76DD"/>
    <w:rsid w:val="00E41E28"/>
    <w:rsid w:val="00E50939"/>
    <w:rsid w:val="00E60C4A"/>
    <w:rsid w:val="00E649F3"/>
    <w:rsid w:val="00E6601F"/>
    <w:rsid w:val="00E7638F"/>
    <w:rsid w:val="00E970B9"/>
    <w:rsid w:val="00E976DA"/>
    <w:rsid w:val="00EA18C6"/>
    <w:rsid w:val="00EA769E"/>
    <w:rsid w:val="00EC27F5"/>
    <w:rsid w:val="00EC406C"/>
    <w:rsid w:val="00EC7895"/>
    <w:rsid w:val="00EC78F1"/>
    <w:rsid w:val="00ED7127"/>
    <w:rsid w:val="00EE5FD1"/>
    <w:rsid w:val="00EF310B"/>
    <w:rsid w:val="00F0508D"/>
    <w:rsid w:val="00F11AD8"/>
    <w:rsid w:val="00F27817"/>
    <w:rsid w:val="00F327FF"/>
    <w:rsid w:val="00F37030"/>
    <w:rsid w:val="00F414D9"/>
    <w:rsid w:val="00F625DB"/>
    <w:rsid w:val="00F65050"/>
    <w:rsid w:val="00FC22C7"/>
    <w:rsid w:val="00FC2424"/>
    <w:rsid w:val="00FC5840"/>
    <w:rsid w:val="00FD1337"/>
    <w:rsid w:val="00FD50A9"/>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6F71"/>
  <w15:docId w15:val="{5ADDBBAC-D931-4C24-9AF9-E16E5C3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NormalWeb">
    <w:name w:val="Normal (Web)"/>
    <w:basedOn w:val="Normal"/>
    <w:uiPriority w:val="99"/>
    <w:unhideWhenUsed/>
    <w:rsid w:val="007D6DA4"/>
    <w:pPr>
      <w:spacing w:before="100" w:beforeAutospacing="1" w:after="100" w:afterAutospacing="1"/>
      <w:jc w:val="left"/>
    </w:pPr>
    <w:rPr>
      <w:rFonts w:ascii="Times New Roman" w:hAnsi="Times New Roman" w:cs="Times New Roman"/>
      <w:sz w:val="24"/>
      <w:szCs w:val="24"/>
      <w:lang w:val="en-US"/>
    </w:rPr>
  </w:style>
  <w:style w:type="paragraph" w:styleId="Revision">
    <w:name w:val="Revision"/>
    <w:hidden/>
    <w:uiPriority w:val="99"/>
    <w:semiHidden/>
    <w:rsid w:val="00BF266F"/>
    <w:rPr>
      <w:rFonts w:ascii="Arial" w:hAnsi="Arial" w:cs="Arial"/>
      <w:sz w:val="22"/>
      <w:szCs w:val="22"/>
      <w:lang w:val="en-GB" w:eastAsia="en-US"/>
    </w:rPr>
  </w:style>
  <w:style w:type="character" w:styleId="FollowedHyperlink">
    <w:name w:val="FollowedHyperlink"/>
    <w:basedOn w:val="DefaultParagraphFont"/>
    <w:rsid w:val="00BF26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9750">
      <w:bodyDiv w:val="1"/>
      <w:marLeft w:val="0"/>
      <w:marRight w:val="0"/>
      <w:marTop w:val="0"/>
      <w:marBottom w:val="0"/>
      <w:divBdr>
        <w:top w:val="none" w:sz="0" w:space="0" w:color="auto"/>
        <w:left w:val="none" w:sz="0" w:space="0" w:color="auto"/>
        <w:bottom w:val="none" w:sz="0" w:space="0" w:color="auto"/>
        <w:right w:val="none" w:sz="0" w:space="0" w:color="auto"/>
      </w:divBdr>
    </w:div>
    <w:div w:id="2063017527">
      <w:bodyDiv w:val="1"/>
      <w:marLeft w:val="0"/>
      <w:marRight w:val="0"/>
      <w:marTop w:val="0"/>
      <w:marBottom w:val="0"/>
      <w:divBdr>
        <w:top w:val="none" w:sz="0" w:space="0" w:color="auto"/>
        <w:left w:val="none" w:sz="0" w:space="0" w:color="auto"/>
        <w:bottom w:val="none" w:sz="0" w:space="0" w:color="auto"/>
        <w:right w:val="none" w:sz="0" w:space="0" w:color="auto"/>
      </w:divBdr>
    </w:div>
    <w:div w:id="2128114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b2056-20fd-4ce8-9376-5042594cc941" xsi:nil="true"/>
    <lcf76f155ced4ddcb4097134ff3c332f xmlns="1859636e-42f6-4957-b1cd-d9149e94eebd">
      <Terms xmlns="http://schemas.microsoft.com/office/infopath/2007/PartnerControls"/>
    </lcf76f155ced4ddcb4097134ff3c332f>
    <_ip_UnifiedCompliancePolicyUIAction xmlns="http://schemas.microsoft.com/sharepoint/v3" xsi:nil="true"/>
    <Comment xmlns="1859636e-42f6-4957-b1cd-d9149e94eeb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91C005253114CAE0B31B8ADC9B44C" ma:contentTypeVersion="22" ma:contentTypeDescription="Create a new document." ma:contentTypeScope="" ma:versionID="8b913ee5aae70bff90f79804c7612259">
  <xsd:schema xmlns:xsd="http://www.w3.org/2001/XMLSchema" xmlns:xs="http://www.w3.org/2001/XMLSchema" xmlns:p="http://schemas.microsoft.com/office/2006/metadata/properties" xmlns:ns1="http://schemas.microsoft.com/sharepoint/v3" xmlns:ns2="443b2056-20fd-4ce8-9376-5042594cc941" xmlns:ns3="1859636e-42f6-4957-b1cd-d9149e94eebd" targetNamespace="http://schemas.microsoft.com/office/2006/metadata/properties" ma:root="true" ma:fieldsID="de0db49cf974d53f363425425a3a7365" ns1:_="" ns2:_="" ns3:_="">
    <xsd:import namespace="http://schemas.microsoft.com/sharepoint/v3"/>
    <xsd:import namespace="443b2056-20fd-4ce8-9376-5042594cc941"/>
    <xsd:import namespace="1859636e-42f6-4957-b1cd-d9149e94e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Commen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b2056-20fd-4ce8-9376-5042594cc9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7193629-0461-4d84-be97-19f8bd1a403f}" ma:internalName="TaxCatchAll" ma:showField="CatchAllData" ma:web="443b2056-20fd-4ce8-9376-5042594cc9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59636e-42f6-4957-b1cd-d9149e94ee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bc463b-ac5d-4501-a57c-4ab4dc45751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Comment" ma:index="28" nillable="true" ma:displayName="Comment" ma:format="Dropdown" ma:internalName="Comment">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443b2056-20fd-4ce8-9376-5042594cc941"/>
    <ds:schemaRef ds:uri="1859636e-42f6-4957-b1cd-d9149e94eebd"/>
    <ds:schemaRef ds:uri="http://schemas.microsoft.com/sharepoint/v3"/>
  </ds:schemaRefs>
</ds:datastoreItem>
</file>

<file path=customXml/itemProps2.xml><?xml version="1.0" encoding="utf-8"?>
<ds:datastoreItem xmlns:ds="http://schemas.openxmlformats.org/officeDocument/2006/customXml" ds:itemID="{D843928E-68DB-4886-BD62-CE60E624DE53}">
  <ds:schemaRefs>
    <ds:schemaRef ds:uri="http://schemas.microsoft.com/sharepoint/v3/contenttype/forms"/>
  </ds:schemaRefs>
</ds:datastoreItem>
</file>

<file path=customXml/itemProps3.xml><?xml version="1.0" encoding="utf-8"?>
<ds:datastoreItem xmlns:ds="http://schemas.openxmlformats.org/officeDocument/2006/customXml" ds:itemID="{461DC8E4-1D72-4887-A06F-3D4CDC1D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3b2056-20fd-4ce8-9376-5042594cc941"/>
    <ds:schemaRef ds:uri="1859636e-42f6-4957-b1cd-d9149e94e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BBAB1-5CA0-DA41-867C-D2F78DBDDE74}">
  <ds:schemaRefs>
    <ds:schemaRef ds:uri="http://schemas.openxmlformats.org/officeDocument/2006/bibliography"/>
  </ds:schemaRefs>
</ds:datastoreItem>
</file>

<file path=docMetadata/LabelInfo.xml><?xml version="1.0" encoding="utf-8"?>
<clbl:labelList xmlns:clbl="http://schemas.microsoft.com/office/2020/mipLabelMetadata">
  <clbl:label id="{79be6dc1-d78e-4bbb-b22b-d994c0a417a7}" enabled="0" method="" siteId="{79be6dc1-d78e-4bbb-b22b-d994c0a417a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A6.4-MEP006-A01-CallForInput-Template</vt:lpstr>
    </vt:vector>
  </TitlesOfParts>
  <Company>ISO</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A6.4-MEP006-A01-CallForInput-Template</dc:title>
  <dc:subject/>
  <dc:creator>dow</dc:creator>
  <cp:keywords>A6.4-MEP006-A01-CallForInput-Template</cp:keywords>
  <dc:description>A6.4-MEP006-A01-CallForInput-Template</dc:description>
  <cp:lastModifiedBy>Max Gutbrod</cp:lastModifiedBy>
  <cp:revision>5</cp:revision>
  <cp:lastPrinted>2001-10-25T12:04:00Z</cp:lastPrinted>
  <dcterms:created xsi:type="dcterms:W3CDTF">2025-08-04T20:30:00Z</dcterms:created>
  <dcterms:modified xsi:type="dcterms:W3CDTF">2025-08-04T20:32:00Z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0x010100A7C91C005253114CAE0B31B8ADC9B44C</vt:lpwstr>
  </property>
  <property fmtid="{D5CDD505-2E9C-101B-9397-08002B2CF9AE}" pid="4" name="MediaServiceImageTags">
    <vt:lpwstr/>
  </property>
  <property fmtid="{D5CDD505-2E9C-101B-9397-08002B2CF9AE}" pid="5" name="MSIP_Label_58deb127-d74e-4314-9590-a71dfc387b4b_Enabled">
    <vt:lpwstr>true</vt:lpwstr>
  </property>
  <property fmtid="{D5CDD505-2E9C-101B-9397-08002B2CF9AE}" pid="6" name="MSIP_Label_58deb127-d74e-4314-9590-a71dfc387b4b_SetDate">
    <vt:lpwstr>2025-08-04T15:56:53Z</vt:lpwstr>
  </property>
  <property fmtid="{D5CDD505-2E9C-101B-9397-08002B2CF9AE}" pid="7" name="MSIP_Label_58deb127-d74e-4314-9590-a71dfc387b4b_Method">
    <vt:lpwstr>Standard</vt:lpwstr>
  </property>
  <property fmtid="{D5CDD505-2E9C-101B-9397-08002B2CF9AE}" pid="8" name="MSIP_Label_58deb127-d74e-4314-9590-a71dfc387b4b_Name">
    <vt:lpwstr>defa4170-0d19-0005-0004-bc88714345d2</vt:lpwstr>
  </property>
  <property fmtid="{D5CDD505-2E9C-101B-9397-08002B2CF9AE}" pid="9" name="MSIP_Label_58deb127-d74e-4314-9590-a71dfc387b4b_SiteId">
    <vt:lpwstr>0a436641-3742-4687-8107-3a60c81e1317</vt:lpwstr>
  </property>
  <property fmtid="{D5CDD505-2E9C-101B-9397-08002B2CF9AE}" pid="10" name="MSIP_Label_58deb127-d74e-4314-9590-a71dfc387b4b_ActionId">
    <vt:lpwstr>05015c8c-0c8f-4b90-b1b5-fd5d7a376397</vt:lpwstr>
  </property>
  <property fmtid="{D5CDD505-2E9C-101B-9397-08002B2CF9AE}" pid="11" name="MSIP_Label_58deb127-d74e-4314-9590-a71dfc387b4b_ContentBits">
    <vt:lpwstr>0</vt:lpwstr>
  </property>
  <property fmtid="{D5CDD505-2E9C-101B-9397-08002B2CF9AE}" pid="12" name="MSIP_Label_58deb127-d74e-4314-9590-a71dfc387b4b_Tag">
    <vt:lpwstr>10, 3, 0, 1</vt:lpwstr>
  </property>
</Properties>
</file>