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8727" w14:textId="77777777" w:rsidR="005E1D5D" w:rsidRPr="00972085" w:rsidRDefault="005E1D5D" w:rsidP="005E1D5D">
      <w:pPr>
        <w:pStyle w:val="Header"/>
        <w:rPr>
          <w:sz w:val="2"/>
          <w:szCs w:val="2"/>
          <w:lang w:val="en-US"/>
        </w:rPr>
      </w:pPr>
    </w:p>
    <w:p w14:paraId="53EDB5AA" w14:textId="77777777" w:rsidR="005E1D5D" w:rsidRPr="00972085" w:rsidRDefault="005E1D5D" w:rsidP="005E1D5D">
      <w:pPr>
        <w:pStyle w:val="Header"/>
        <w:spacing w:line="14" w:lineRule="exact"/>
        <w:rPr>
          <w:sz w:val="4"/>
          <w:szCs w:val="4"/>
          <w:lang w:val="en-US"/>
        </w:rPr>
      </w:pPr>
    </w:p>
    <w:tbl>
      <w:tblPr>
        <w:tblW w:w="15877" w:type="dxa"/>
        <w:tblInd w:w="-370" w:type="dxa"/>
        <w:shd w:val="clear" w:color="auto" w:fill="E0E0E0"/>
        <w:tblLayout w:type="fixed"/>
        <w:tblCellMar>
          <w:left w:w="56" w:type="dxa"/>
          <w:right w:w="56" w:type="dxa"/>
        </w:tblCellMar>
        <w:tblLook w:val="0000" w:firstRow="0" w:lastRow="0" w:firstColumn="0" w:lastColumn="0" w:noHBand="0" w:noVBand="0"/>
      </w:tblPr>
      <w:tblGrid>
        <w:gridCol w:w="4821"/>
        <w:gridCol w:w="11056"/>
      </w:tblGrid>
      <w:tr w:rsidR="005C5581" w:rsidRPr="005C5581" w14:paraId="7D5C793B" w14:textId="77777777" w:rsidTr="00DB0167">
        <w:trPr>
          <w:cantSplit/>
          <w:trHeight w:val="953"/>
        </w:trPr>
        <w:tc>
          <w:tcPr>
            <w:tcW w:w="15877" w:type="dxa"/>
            <w:gridSpan w:val="2"/>
            <w:tcBorders>
              <w:top w:val="single" w:sz="4" w:space="0" w:color="auto"/>
              <w:left w:val="single" w:sz="4" w:space="0" w:color="auto"/>
              <w:bottom w:val="single" w:sz="4" w:space="0" w:color="auto"/>
              <w:right w:val="single" w:sz="4" w:space="0" w:color="auto"/>
            </w:tcBorders>
            <w:vAlign w:val="center"/>
          </w:tcPr>
          <w:p w14:paraId="57980E8D" w14:textId="6D683AA7" w:rsidR="005C5581" w:rsidRPr="005C5581" w:rsidRDefault="000372B5" w:rsidP="005C5581">
            <w:pPr>
              <w:ind w:left="86"/>
              <w:jc w:val="left"/>
              <w:rPr>
                <w:rFonts w:ascii="Times New Roman" w:hAnsi="Times New Roman" w:cs="Times New Roman"/>
                <w:b/>
                <w:sz w:val="24"/>
                <w:szCs w:val="20"/>
              </w:rPr>
            </w:pPr>
            <w:r>
              <w:rPr>
                <w:rFonts w:ascii="Times New Roman" w:hAnsi="Times New Roman" w:cs="Times New Roman"/>
                <w:noProof/>
                <w:sz w:val="24"/>
                <w:szCs w:val="20"/>
              </w:rPr>
              <w:drawing>
                <wp:anchor distT="0" distB="0" distL="114300" distR="114300" simplePos="0" relativeHeight="251658240" behindDoc="0" locked="0" layoutInCell="1" allowOverlap="0" wp14:anchorId="0D4047F2" wp14:editId="7CA552D9">
                  <wp:simplePos x="0" y="0"/>
                  <wp:positionH relativeFrom="column">
                    <wp:posOffset>223520</wp:posOffset>
                  </wp:positionH>
                  <wp:positionV relativeFrom="paragraph">
                    <wp:posOffset>62865</wp:posOffset>
                  </wp:positionV>
                  <wp:extent cx="571500" cy="457200"/>
                  <wp:effectExtent l="0" t="0" r="0" b="0"/>
                  <wp:wrapNone/>
                  <wp:docPr id="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0"/>
              </w:rPr>
              <mc:AlternateContent>
                <mc:Choice Requires="wps">
                  <w:drawing>
                    <wp:anchor distT="0" distB="0" distL="114300" distR="114300" simplePos="0" relativeHeight="251657216" behindDoc="0" locked="0" layoutInCell="0" allowOverlap="1" wp14:anchorId="7614CFE0" wp14:editId="04252F7A">
                      <wp:simplePos x="0" y="0"/>
                      <wp:positionH relativeFrom="column">
                        <wp:posOffset>3321050</wp:posOffset>
                      </wp:positionH>
                      <wp:positionV relativeFrom="paragraph">
                        <wp:posOffset>92075</wp:posOffset>
                      </wp:positionV>
                      <wp:extent cx="4678680" cy="478155"/>
                      <wp:effectExtent l="3175" t="0" r="4445"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4CFE0" id="_x0000_t202" coordsize="21600,21600" o:spt="202" path="m,l,21600r21600,l21600,xe">
                      <v:stroke joinstyle="miter"/>
                      <v:path gradientshapeok="t" o:connecttype="rect"/>
                    </v:shapetype>
                    <v:shape id="Text Box 4" o:spid="_x0000_s1026" type="#_x0000_t202" style="position:absolute;left:0;text-align:left;margin-left:261.5pt;margin-top:7.25pt;width:368.4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" o:allowincell="f" filled="f" stroked="f">
                      <v:textbo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v:textbox>
                    </v:shape>
                  </w:pict>
                </mc:Fallback>
              </mc:AlternateContent>
            </w:r>
          </w:p>
          <w:p w14:paraId="7F731794" w14:textId="77777777" w:rsidR="005C5581" w:rsidRPr="005C5581" w:rsidRDefault="005C5581" w:rsidP="005C5581">
            <w:pPr>
              <w:ind w:left="86"/>
              <w:jc w:val="left"/>
              <w:rPr>
                <w:rFonts w:ascii="Times New Roman" w:hAnsi="Times New Roman" w:cs="Times New Roman"/>
                <w:b/>
                <w:sz w:val="24"/>
                <w:szCs w:val="20"/>
              </w:rPr>
            </w:pPr>
          </w:p>
        </w:tc>
      </w:tr>
      <w:tr w:rsidR="005C5581" w:rsidRPr="005C5581" w14:paraId="39FF624E"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09DF7C6" w14:textId="603418B1" w:rsidR="005C5581" w:rsidRPr="005C5581" w:rsidRDefault="005C5581" w:rsidP="005C5581">
            <w:pPr>
              <w:spacing w:before="120" w:after="120"/>
              <w:jc w:val="left"/>
              <w:rPr>
                <w:rFonts w:cs="Times New Roman"/>
                <w:i/>
                <w:iCs/>
                <w:szCs w:val="20"/>
              </w:rPr>
            </w:pPr>
            <w:r w:rsidRPr="005C5581">
              <w:rPr>
                <w:rFonts w:cs="Times New Roman"/>
                <w:bCs/>
                <w:i/>
                <w:iCs/>
                <w:szCs w:val="20"/>
              </w:rPr>
              <w:t>Name of submitter</w:t>
            </w:r>
          </w:p>
        </w:tc>
        <w:tc>
          <w:tcPr>
            <w:tcW w:w="11056" w:type="dxa"/>
            <w:tcBorders>
              <w:top w:val="single" w:sz="4" w:space="0" w:color="auto"/>
              <w:left w:val="single" w:sz="4" w:space="0" w:color="auto"/>
              <w:bottom w:val="single" w:sz="4" w:space="0" w:color="auto"/>
              <w:right w:val="single" w:sz="4" w:space="0" w:color="auto"/>
            </w:tcBorders>
          </w:tcPr>
          <w:p w14:paraId="173727D2" w14:textId="1D977011" w:rsidR="005C5581" w:rsidRPr="005C5581" w:rsidRDefault="000949E4" w:rsidP="00AE63A4">
            <w:pPr>
              <w:spacing w:before="120"/>
              <w:jc w:val="left"/>
              <w:rPr>
                <w:rFonts w:ascii="Times New Roman" w:hAnsi="Times New Roman" w:cs="Times New Roman"/>
                <w:bCs/>
                <w:color w:val="0000FF"/>
                <w:szCs w:val="20"/>
              </w:rPr>
            </w:pPr>
            <w:r>
              <w:rPr>
                <w:rFonts w:ascii="Times New Roman" w:hAnsi="Times New Roman" w:cs="Times New Roman"/>
                <w:bCs/>
                <w:color w:val="0000FF"/>
                <w:szCs w:val="20"/>
              </w:rPr>
              <w:t>Lorna Ritchie, Anton Tsvetov</w:t>
            </w:r>
          </w:p>
        </w:tc>
      </w:tr>
      <w:tr w:rsidR="005C5581" w:rsidRPr="005C5581" w14:paraId="23674CA8"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56B1AF6" w14:textId="2460AE50" w:rsidR="005C5581" w:rsidRPr="005C5581" w:rsidRDefault="005C5581" w:rsidP="005C5581">
            <w:pPr>
              <w:spacing w:before="120" w:after="120"/>
              <w:jc w:val="left"/>
              <w:rPr>
                <w:rFonts w:cs="Times New Roman"/>
                <w:i/>
                <w:iCs/>
                <w:szCs w:val="20"/>
              </w:rPr>
            </w:pPr>
            <w:r w:rsidRPr="005C5581">
              <w:rPr>
                <w:rFonts w:cs="Times New Roman"/>
                <w:i/>
                <w:iCs/>
                <w:szCs w:val="20"/>
              </w:rPr>
              <w:t>Affiliated organization of submitter (if any)</w:t>
            </w:r>
          </w:p>
        </w:tc>
        <w:tc>
          <w:tcPr>
            <w:tcW w:w="11056" w:type="dxa"/>
            <w:tcBorders>
              <w:top w:val="single" w:sz="4" w:space="0" w:color="auto"/>
              <w:left w:val="single" w:sz="4" w:space="0" w:color="auto"/>
              <w:bottom w:val="single" w:sz="4" w:space="0" w:color="auto"/>
              <w:right w:val="single" w:sz="4" w:space="0" w:color="auto"/>
            </w:tcBorders>
          </w:tcPr>
          <w:p w14:paraId="48F613ED" w14:textId="085EDE5A" w:rsidR="005C5581" w:rsidRPr="005C5581" w:rsidRDefault="000949E4" w:rsidP="00096DE2">
            <w:pPr>
              <w:spacing w:before="120"/>
              <w:jc w:val="left"/>
              <w:rPr>
                <w:rFonts w:ascii="Times New Roman" w:hAnsi="Times New Roman" w:cs="Times New Roman"/>
                <w:bCs/>
                <w:color w:val="0000FF"/>
                <w:szCs w:val="20"/>
              </w:rPr>
            </w:pPr>
            <w:r>
              <w:rPr>
                <w:rFonts w:ascii="Times New Roman" w:hAnsi="Times New Roman" w:cs="Times New Roman"/>
                <w:bCs/>
                <w:color w:val="0000FF"/>
                <w:szCs w:val="20"/>
              </w:rPr>
              <w:t>Integrity Council for the Voluntary Carbon Market (ICVCM)</w:t>
            </w:r>
          </w:p>
        </w:tc>
      </w:tr>
      <w:tr w:rsidR="005C5581" w:rsidRPr="005C5581" w14:paraId="1A91592D"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4CF48F8A" w14:textId="18007943" w:rsidR="005C5581" w:rsidRPr="005C5581" w:rsidRDefault="005C5581" w:rsidP="005C5581">
            <w:pPr>
              <w:spacing w:before="120" w:after="120"/>
              <w:jc w:val="left"/>
              <w:rPr>
                <w:rFonts w:cs="Times New Roman"/>
                <w:i/>
                <w:iCs/>
                <w:szCs w:val="20"/>
              </w:rPr>
            </w:pPr>
            <w:r w:rsidRPr="005C5581">
              <w:rPr>
                <w:rFonts w:cs="Times New Roman"/>
                <w:i/>
                <w:iCs/>
                <w:szCs w:val="20"/>
              </w:rPr>
              <w:t xml:space="preserve"> Email of submitter</w:t>
            </w:r>
          </w:p>
        </w:tc>
        <w:tc>
          <w:tcPr>
            <w:tcW w:w="11056" w:type="dxa"/>
            <w:tcBorders>
              <w:top w:val="single" w:sz="4" w:space="0" w:color="auto"/>
              <w:left w:val="single" w:sz="4" w:space="0" w:color="auto"/>
              <w:bottom w:val="single" w:sz="4" w:space="0" w:color="auto"/>
              <w:right w:val="single" w:sz="4" w:space="0" w:color="auto"/>
            </w:tcBorders>
          </w:tcPr>
          <w:p w14:paraId="5D33780C" w14:textId="7C6740FD" w:rsidR="005C5581" w:rsidRPr="005C5581" w:rsidRDefault="000949E4" w:rsidP="00AE63A4">
            <w:pPr>
              <w:spacing w:before="120"/>
              <w:jc w:val="left"/>
              <w:rPr>
                <w:rFonts w:ascii="Times New Roman" w:hAnsi="Times New Roman" w:cs="Times New Roman"/>
                <w:bCs/>
                <w:color w:val="0000FF"/>
                <w:szCs w:val="20"/>
              </w:rPr>
            </w:pPr>
            <w:r>
              <w:fldChar w:fldCharType="begin"/>
            </w:r>
            <w:r>
              <w:instrText>HYPERLINK "mailto:Lorna.Ritchie@icvcm.org"</w:instrText>
            </w:r>
            <w:r>
              <w:fldChar w:fldCharType="separate"/>
            </w:r>
            <w:r w:rsidRPr="007B3A4B">
              <w:rPr>
                <w:rStyle w:val="Hyperlink"/>
                <w:rFonts w:ascii="Times New Roman" w:hAnsi="Times New Roman" w:cs="Times New Roman"/>
                <w:bCs/>
                <w:szCs w:val="20"/>
              </w:rPr>
              <w:t>Lorna.Ritchie@icvcm.org</w:t>
            </w:r>
            <w:r>
              <w:fldChar w:fldCharType="end"/>
            </w:r>
            <w:r>
              <w:rPr>
                <w:rFonts w:ascii="Times New Roman" w:hAnsi="Times New Roman" w:cs="Times New Roman"/>
                <w:bCs/>
                <w:color w:val="0000FF"/>
                <w:szCs w:val="20"/>
              </w:rPr>
              <w:t xml:space="preserve">; </w:t>
            </w:r>
            <w:hyperlink r:id="rId11" w:history="1">
              <w:r w:rsidRPr="007B3A4B">
                <w:rPr>
                  <w:rStyle w:val="Hyperlink"/>
                  <w:rFonts w:ascii="Times New Roman" w:hAnsi="Times New Roman" w:cs="Times New Roman"/>
                  <w:bCs/>
                  <w:szCs w:val="20"/>
                </w:rPr>
                <w:t>Anton.tsvetov@icvcm.org</w:t>
              </w:r>
            </w:hyperlink>
            <w:r>
              <w:rPr>
                <w:rFonts w:ascii="Times New Roman" w:hAnsi="Times New Roman" w:cs="Times New Roman"/>
                <w:bCs/>
                <w:color w:val="0000FF"/>
                <w:szCs w:val="20"/>
              </w:rPr>
              <w:t xml:space="preserve"> </w:t>
            </w:r>
          </w:p>
        </w:tc>
      </w:tr>
      <w:tr w:rsidR="005C5581" w:rsidRPr="005C5581" w14:paraId="5038C2D4" w14:textId="77777777" w:rsidTr="00DB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4821" w:type="dxa"/>
            <w:tcBorders>
              <w:top w:val="single" w:sz="4" w:space="0" w:color="auto"/>
              <w:left w:val="single" w:sz="4" w:space="0" w:color="auto"/>
              <w:bottom w:val="single" w:sz="4" w:space="0" w:color="auto"/>
              <w:right w:val="single" w:sz="4" w:space="0" w:color="auto"/>
            </w:tcBorders>
            <w:shd w:val="clear" w:color="auto" w:fill="E0E0E0"/>
          </w:tcPr>
          <w:p w14:paraId="3AFD782C" w14:textId="4BBFD656" w:rsidR="005C5581" w:rsidRPr="005C5581" w:rsidRDefault="005C5581" w:rsidP="005C5581">
            <w:pPr>
              <w:spacing w:before="120" w:after="120"/>
              <w:jc w:val="left"/>
              <w:rPr>
                <w:rFonts w:cs="Times New Roman"/>
                <w:bCs/>
                <w:i/>
                <w:iCs/>
                <w:sz w:val="20"/>
                <w:szCs w:val="20"/>
              </w:rPr>
            </w:pPr>
            <w:r w:rsidRPr="005C5581">
              <w:rPr>
                <w:rFonts w:cs="Times New Roman"/>
                <w:bCs/>
                <w:i/>
                <w:iCs/>
              </w:rPr>
              <w:t xml:space="preserve">Date </w:t>
            </w:r>
            <w:r>
              <w:rPr>
                <w:rFonts w:cs="Times New Roman"/>
                <w:bCs/>
                <w:i/>
                <w:iCs/>
              </w:rPr>
              <w:t>of submission</w:t>
            </w:r>
          </w:p>
        </w:tc>
        <w:tc>
          <w:tcPr>
            <w:tcW w:w="11056" w:type="dxa"/>
            <w:tcBorders>
              <w:top w:val="single" w:sz="4" w:space="0" w:color="auto"/>
              <w:left w:val="single" w:sz="4" w:space="0" w:color="auto"/>
              <w:bottom w:val="single" w:sz="4" w:space="0" w:color="auto"/>
              <w:right w:val="single" w:sz="4" w:space="0" w:color="auto"/>
            </w:tcBorders>
          </w:tcPr>
          <w:p w14:paraId="28F8148A" w14:textId="18BDF11B" w:rsidR="005C5581" w:rsidRPr="005C5581" w:rsidRDefault="000949E4" w:rsidP="005C5581">
            <w:pPr>
              <w:spacing w:before="60"/>
              <w:jc w:val="left"/>
              <w:rPr>
                <w:rFonts w:cs="Times New Roman"/>
                <w:bCs/>
                <w:sz w:val="20"/>
                <w:szCs w:val="20"/>
              </w:rPr>
            </w:pPr>
            <w:r>
              <w:rPr>
                <w:rFonts w:cs="Times New Roman"/>
                <w:bCs/>
                <w:sz w:val="20"/>
                <w:szCs w:val="20"/>
              </w:rPr>
              <w:t>4 August 2025</w:t>
            </w:r>
          </w:p>
        </w:tc>
      </w:tr>
    </w:tbl>
    <w:p w14:paraId="3B490F6C" w14:textId="77777777" w:rsidR="00842079" w:rsidRDefault="00842079">
      <w:pPr>
        <w:spacing w:line="240" w:lineRule="exact"/>
        <w:rPr>
          <w:rFonts w:ascii="Calibri" w:hAnsi="Calibri" w:cs="Calibri"/>
        </w:rPr>
      </w:pPr>
    </w:p>
    <w:p w14:paraId="5BB7262D" w14:textId="597A62B3" w:rsidR="00DF4F6B" w:rsidRPr="007B1DB4" w:rsidRDefault="00842079" w:rsidP="00842079">
      <w:pPr>
        <w:spacing w:line="240" w:lineRule="exact"/>
        <w:jc w:val="left"/>
      </w:pPr>
      <w:r w:rsidRPr="007B1DB4">
        <w:t xml:space="preserve">Instruction: </w:t>
      </w:r>
      <w:r w:rsidR="007B1DB4" w:rsidRPr="007B1DB4">
        <w:t>Enter your input in the table below</w:t>
      </w:r>
      <w:r w:rsidRPr="007B1DB4">
        <w:t xml:space="preserve">.  </w:t>
      </w:r>
      <w:r w:rsidR="0048326B" w:rsidRPr="007B1DB4">
        <w:br/>
      </w:r>
    </w:p>
    <w:tbl>
      <w:tblPr>
        <w:tblW w:w="159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43"/>
        <w:gridCol w:w="2802"/>
        <w:gridCol w:w="2977"/>
        <w:gridCol w:w="4536"/>
        <w:gridCol w:w="4856"/>
      </w:tblGrid>
      <w:tr w:rsidR="00302395" w:rsidRPr="000808F1" w14:paraId="0E21EAC1" w14:textId="77777777" w:rsidTr="00DB0167">
        <w:trPr>
          <w:cantSplit/>
          <w:tblHeader/>
          <w:jc w:val="center"/>
        </w:trPr>
        <w:tc>
          <w:tcPr>
            <w:tcW w:w="15914" w:type="dxa"/>
            <w:gridSpan w:val="5"/>
            <w:tcBorders>
              <w:top w:val="single" w:sz="6" w:space="0" w:color="auto"/>
              <w:left w:val="single" w:sz="6" w:space="0" w:color="auto"/>
              <w:bottom w:val="single" w:sz="6" w:space="0" w:color="auto"/>
              <w:right w:val="single" w:sz="6" w:space="0" w:color="auto"/>
            </w:tcBorders>
            <w:shd w:val="clear" w:color="auto" w:fill="auto"/>
          </w:tcPr>
          <w:p w14:paraId="408E4E23" w14:textId="13A4FD11" w:rsidR="00302395" w:rsidRPr="00CF5637" w:rsidRDefault="00302395" w:rsidP="007B1DB4">
            <w:pPr>
              <w:keepLines/>
              <w:spacing w:before="40" w:after="40" w:line="190" w:lineRule="exact"/>
              <w:jc w:val="left"/>
              <w:rPr>
                <w:b/>
                <w:bCs/>
                <w:color w:val="0070C0"/>
              </w:rPr>
            </w:pPr>
            <w:r w:rsidRPr="00CF5637">
              <w:rPr>
                <w:b/>
                <w:bCs/>
              </w:rPr>
              <w:t xml:space="preserve">Document </w:t>
            </w:r>
            <w:r w:rsidR="003106A1">
              <w:rPr>
                <w:b/>
                <w:bCs/>
              </w:rPr>
              <w:t xml:space="preserve">reference number and </w:t>
            </w:r>
            <w:r w:rsidR="00A52FA2" w:rsidRPr="00CF5637">
              <w:rPr>
                <w:b/>
                <w:bCs/>
              </w:rPr>
              <w:t>title</w:t>
            </w:r>
            <w:r w:rsidR="00EF310B">
              <w:rPr>
                <w:b/>
                <w:bCs/>
              </w:rPr>
              <w:t xml:space="preserve">: </w:t>
            </w:r>
            <w:r w:rsidR="00CF5637" w:rsidRPr="00CF5637">
              <w:rPr>
                <w:b/>
                <w:bCs/>
                <w:color w:val="0070C0"/>
              </w:rPr>
              <w:t>A6.4-MEP0</w:t>
            </w:r>
            <w:r w:rsidR="00A42991">
              <w:rPr>
                <w:b/>
                <w:bCs/>
                <w:color w:val="0070C0"/>
              </w:rPr>
              <w:t>07</w:t>
            </w:r>
            <w:r w:rsidR="00CF5637" w:rsidRPr="00CF5637">
              <w:rPr>
                <w:b/>
                <w:bCs/>
                <w:color w:val="0070C0"/>
              </w:rPr>
              <w:t>-A0</w:t>
            </w:r>
            <w:r w:rsidR="0014141B">
              <w:rPr>
                <w:b/>
                <w:bCs/>
                <w:color w:val="0070C0"/>
              </w:rPr>
              <w:t>4</w:t>
            </w:r>
            <w:r w:rsidR="00EF310B">
              <w:rPr>
                <w:b/>
                <w:bCs/>
                <w:color w:val="0070C0"/>
              </w:rPr>
              <w:t xml:space="preserve">. </w:t>
            </w:r>
            <w:r w:rsidR="0014141B" w:rsidRPr="0014141B">
              <w:rPr>
                <w:b/>
                <w:bCs/>
                <w:color w:val="0070C0"/>
              </w:rPr>
              <w:t>Draft Standard: Addressing non-permanence/reversals</w:t>
            </w:r>
            <w:r w:rsidR="007D498B" w:rsidRPr="00CF5637">
              <w:rPr>
                <w:b/>
                <w:bCs/>
                <w:color w:val="0070C0"/>
              </w:rPr>
              <w:t xml:space="preserve"> (version 01.0)</w:t>
            </w:r>
          </w:p>
          <w:p w14:paraId="0EF95441" w14:textId="48AD6F29" w:rsidR="00302395" w:rsidRPr="008E3D67" w:rsidRDefault="00302395" w:rsidP="00302395">
            <w:pPr>
              <w:keepLines/>
              <w:spacing w:before="40" w:after="40" w:line="190" w:lineRule="exact"/>
              <w:rPr>
                <w:b/>
                <w:bCs/>
                <w:color w:val="0070C0"/>
                <w:sz w:val="20"/>
                <w:szCs w:val="20"/>
              </w:rPr>
            </w:pPr>
          </w:p>
        </w:tc>
      </w:tr>
      <w:tr w:rsidR="00FE65CB" w:rsidRPr="000808F1" w14:paraId="5233CAC2" w14:textId="77777777" w:rsidTr="008D4BE2">
        <w:trPr>
          <w:cantSplit/>
          <w:tblHeader/>
          <w:jc w:val="center"/>
        </w:trPr>
        <w:tc>
          <w:tcPr>
            <w:tcW w:w="743" w:type="dxa"/>
            <w:tcBorders>
              <w:top w:val="single" w:sz="6" w:space="0" w:color="auto"/>
              <w:left w:val="single" w:sz="6" w:space="0" w:color="auto"/>
              <w:bottom w:val="single" w:sz="6" w:space="0" w:color="auto"/>
              <w:right w:val="single" w:sz="6" w:space="0" w:color="auto"/>
            </w:tcBorders>
            <w:shd w:val="clear" w:color="auto" w:fill="E7E6E6"/>
          </w:tcPr>
          <w:p w14:paraId="1ECD5AFA" w14:textId="27C8433E" w:rsidR="000926EA" w:rsidRPr="008D4BE2" w:rsidRDefault="00093883">
            <w:pPr>
              <w:keepLines/>
              <w:spacing w:before="40" w:after="40" w:line="190" w:lineRule="exact"/>
              <w:jc w:val="center"/>
              <w:rPr>
                <w:b/>
                <w:bCs/>
                <w:sz w:val="20"/>
                <w:szCs w:val="20"/>
              </w:rPr>
            </w:pPr>
            <w:r w:rsidRPr="008D4BE2">
              <w:rPr>
                <w:b/>
                <w:bCs/>
                <w:sz w:val="20"/>
                <w:szCs w:val="20"/>
              </w:rPr>
              <w:t>Item</w:t>
            </w:r>
          </w:p>
        </w:tc>
        <w:tc>
          <w:tcPr>
            <w:tcW w:w="2802" w:type="dxa"/>
            <w:tcBorders>
              <w:top w:val="single" w:sz="6" w:space="0" w:color="auto"/>
              <w:left w:val="single" w:sz="6" w:space="0" w:color="auto"/>
              <w:bottom w:val="single" w:sz="6" w:space="0" w:color="auto"/>
              <w:right w:val="single" w:sz="6" w:space="0" w:color="auto"/>
            </w:tcBorders>
            <w:shd w:val="clear" w:color="auto" w:fill="E7E6E6"/>
          </w:tcPr>
          <w:p w14:paraId="69FEAD68" w14:textId="68E11AC8" w:rsidR="000926EA" w:rsidRPr="008D4BE2" w:rsidRDefault="000926EA">
            <w:pPr>
              <w:keepLines/>
              <w:spacing w:before="40" w:after="40" w:line="190" w:lineRule="exact"/>
              <w:jc w:val="center"/>
              <w:rPr>
                <w:b/>
                <w:bCs/>
                <w:sz w:val="20"/>
                <w:szCs w:val="20"/>
              </w:rPr>
            </w:pPr>
            <w:r w:rsidRPr="008D4BE2">
              <w:rPr>
                <w:b/>
                <w:bCs/>
                <w:sz w:val="20"/>
                <w:szCs w:val="20"/>
              </w:rPr>
              <w:t xml:space="preserve">Section no. </w:t>
            </w:r>
            <w:r w:rsidRPr="008D4BE2">
              <w:rPr>
                <w:b/>
                <w:bCs/>
                <w:sz w:val="20"/>
                <w:szCs w:val="20"/>
              </w:rPr>
              <w:br/>
            </w:r>
            <w:r w:rsidRPr="008D4BE2">
              <w:rPr>
                <w:sz w:val="20"/>
                <w:szCs w:val="20"/>
              </w:rPr>
              <w:t>(as indicated in the document)</w:t>
            </w:r>
          </w:p>
        </w:tc>
        <w:tc>
          <w:tcPr>
            <w:tcW w:w="2977" w:type="dxa"/>
            <w:tcBorders>
              <w:top w:val="single" w:sz="6" w:space="0" w:color="auto"/>
              <w:left w:val="single" w:sz="6" w:space="0" w:color="auto"/>
              <w:bottom w:val="single" w:sz="6" w:space="0" w:color="auto"/>
              <w:right w:val="single" w:sz="6" w:space="0" w:color="auto"/>
            </w:tcBorders>
            <w:shd w:val="clear" w:color="auto" w:fill="E7E6E6"/>
          </w:tcPr>
          <w:p w14:paraId="6A4F6A0A" w14:textId="1295D9A5" w:rsidR="000926EA" w:rsidRPr="008D4BE2" w:rsidRDefault="000926EA">
            <w:pPr>
              <w:keepLines/>
              <w:spacing w:before="40" w:after="40" w:line="190" w:lineRule="exact"/>
              <w:jc w:val="center"/>
              <w:rPr>
                <w:b/>
                <w:bCs/>
                <w:sz w:val="20"/>
                <w:szCs w:val="20"/>
              </w:rPr>
            </w:pPr>
            <w:r w:rsidRPr="008D4BE2">
              <w:rPr>
                <w:b/>
                <w:bCs/>
                <w:sz w:val="20"/>
                <w:szCs w:val="20"/>
              </w:rPr>
              <w:t>Paragraph/Table</w:t>
            </w:r>
            <w:r w:rsidR="005C5581" w:rsidRPr="008D4BE2">
              <w:rPr>
                <w:b/>
                <w:bCs/>
                <w:sz w:val="20"/>
                <w:szCs w:val="20"/>
              </w:rPr>
              <w:t xml:space="preserve">/Figure </w:t>
            </w:r>
            <w:r w:rsidRPr="008D4BE2">
              <w:rPr>
                <w:b/>
                <w:bCs/>
                <w:sz w:val="20"/>
                <w:szCs w:val="20"/>
              </w:rPr>
              <w:t xml:space="preserve">no. </w:t>
            </w:r>
            <w:r w:rsidRPr="008D4BE2">
              <w:rPr>
                <w:b/>
                <w:bCs/>
                <w:sz w:val="20"/>
                <w:szCs w:val="20"/>
              </w:rPr>
              <w:br/>
            </w:r>
            <w:r w:rsidRPr="008D4BE2">
              <w:rPr>
                <w:sz w:val="20"/>
                <w:szCs w:val="20"/>
              </w:rPr>
              <w:t>(as indicated in the document)</w:t>
            </w:r>
          </w:p>
        </w:tc>
        <w:tc>
          <w:tcPr>
            <w:tcW w:w="4536" w:type="dxa"/>
            <w:tcBorders>
              <w:top w:val="single" w:sz="6" w:space="0" w:color="auto"/>
              <w:left w:val="single" w:sz="6" w:space="0" w:color="auto"/>
              <w:bottom w:val="single" w:sz="6" w:space="0" w:color="auto"/>
              <w:right w:val="single" w:sz="6" w:space="0" w:color="auto"/>
            </w:tcBorders>
            <w:shd w:val="clear" w:color="auto" w:fill="E7E6E6"/>
          </w:tcPr>
          <w:p w14:paraId="4271E83F" w14:textId="6C7BBC29" w:rsidR="000926EA" w:rsidRPr="008D4BE2" w:rsidRDefault="000926EA" w:rsidP="008E3D67">
            <w:pPr>
              <w:keepLines/>
              <w:spacing w:before="40" w:after="40" w:line="190" w:lineRule="exact"/>
              <w:jc w:val="center"/>
              <w:rPr>
                <w:b/>
                <w:bCs/>
                <w:sz w:val="20"/>
                <w:szCs w:val="20"/>
              </w:rPr>
            </w:pPr>
            <w:r w:rsidRPr="008D4BE2">
              <w:rPr>
                <w:b/>
                <w:bCs/>
                <w:sz w:val="20"/>
                <w:szCs w:val="20"/>
              </w:rPr>
              <w:t>Comment</w:t>
            </w:r>
            <w:r w:rsidRPr="008D4BE2">
              <w:rPr>
                <w:b/>
                <w:bCs/>
                <w:sz w:val="20"/>
                <w:szCs w:val="20"/>
              </w:rPr>
              <w:br/>
            </w:r>
            <w:r w:rsidRPr="008D4BE2">
              <w:rPr>
                <w:sz w:val="20"/>
                <w:szCs w:val="20"/>
              </w:rPr>
              <w:t>(including justification for change)</w:t>
            </w:r>
            <w:r w:rsidRPr="008D4BE2">
              <w:rPr>
                <w:b/>
                <w:bCs/>
                <w:sz w:val="20"/>
                <w:szCs w:val="20"/>
              </w:rPr>
              <w:t xml:space="preserve"> </w:t>
            </w:r>
          </w:p>
        </w:tc>
        <w:tc>
          <w:tcPr>
            <w:tcW w:w="4856" w:type="dxa"/>
            <w:tcBorders>
              <w:top w:val="single" w:sz="6" w:space="0" w:color="auto"/>
              <w:left w:val="single" w:sz="6" w:space="0" w:color="auto"/>
              <w:bottom w:val="single" w:sz="6" w:space="0" w:color="auto"/>
              <w:right w:val="single" w:sz="6" w:space="0" w:color="auto"/>
            </w:tcBorders>
            <w:shd w:val="clear" w:color="auto" w:fill="E7E6E6"/>
          </w:tcPr>
          <w:p w14:paraId="26E79593" w14:textId="77777777" w:rsidR="000926EA" w:rsidRPr="008D4BE2" w:rsidRDefault="000926EA">
            <w:pPr>
              <w:keepLines/>
              <w:spacing w:before="40" w:after="40" w:line="190" w:lineRule="exact"/>
              <w:jc w:val="center"/>
              <w:rPr>
                <w:b/>
                <w:bCs/>
                <w:sz w:val="20"/>
                <w:szCs w:val="20"/>
              </w:rPr>
            </w:pPr>
            <w:r w:rsidRPr="008D4BE2">
              <w:rPr>
                <w:b/>
                <w:bCs/>
                <w:sz w:val="20"/>
                <w:szCs w:val="20"/>
              </w:rPr>
              <w:t>Proposed change</w:t>
            </w:r>
          </w:p>
          <w:p w14:paraId="1D61F655" w14:textId="6E428CDD" w:rsidR="000926EA" w:rsidRPr="008D4BE2" w:rsidRDefault="000926EA">
            <w:pPr>
              <w:keepLines/>
              <w:spacing w:before="40" w:after="40" w:line="190" w:lineRule="exact"/>
              <w:jc w:val="center"/>
              <w:rPr>
                <w:sz w:val="20"/>
                <w:szCs w:val="20"/>
              </w:rPr>
            </w:pPr>
            <w:r w:rsidRPr="008D4BE2">
              <w:rPr>
                <w:sz w:val="20"/>
                <w:szCs w:val="20"/>
              </w:rPr>
              <w:t>(including proposed text)</w:t>
            </w:r>
          </w:p>
        </w:tc>
      </w:tr>
      <w:tr w:rsidR="000926EA" w:rsidRPr="000926EA" w14:paraId="6FEF17B7" w14:textId="77777777" w:rsidTr="008D4BE2">
        <w:trPr>
          <w:cantSplit/>
          <w:jc w:val="center"/>
        </w:trPr>
        <w:tc>
          <w:tcPr>
            <w:tcW w:w="743" w:type="dxa"/>
            <w:tcBorders>
              <w:top w:val="single" w:sz="6" w:space="0" w:color="auto"/>
              <w:left w:val="single" w:sz="6" w:space="0" w:color="auto"/>
              <w:bottom w:val="single" w:sz="6" w:space="0" w:color="auto"/>
              <w:right w:val="single" w:sz="6" w:space="0" w:color="auto"/>
            </w:tcBorders>
          </w:tcPr>
          <w:p w14:paraId="60D62EC9" w14:textId="0036277E" w:rsidR="000926EA" w:rsidRPr="000926EA" w:rsidRDefault="000926EA">
            <w:pPr>
              <w:keepLines/>
              <w:spacing w:before="40" w:after="40" w:line="190" w:lineRule="exact"/>
              <w:jc w:val="center"/>
              <w:rPr>
                <w:sz w:val="20"/>
                <w:szCs w:val="20"/>
              </w:rPr>
            </w:pPr>
            <w:r w:rsidRPr="000926EA">
              <w:rPr>
                <w:sz w:val="20"/>
                <w:szCs w:val="20"/>
              </w:rPr>
              <w:t>1</w:t>
            </w:r>
          </w:p>
        </w:tc>
        <w:tc>
          <w:tcPr>
            <w:tcW w:w="2802" w:type="dxa"/>
            <w:tcBorders>
              <w:top w:val="single" w:sz="6" w:space="0" w:color="auto"/>
              <w:left w:val="single" w:sz="6" w:space="0" w:color="auto"/>
              <w:bottom w:val="single" w:sz="6" w:space="0" w:color="auto"/>
              <w:right w:val="single" w:sz="6" w:space="0" w:color="auto"/>
            </w:tcBorders>
          </w:tcPr>
          <w:p w14:paraId="2F8BE693" w14:textId="72FE010B" w:rsidR="000926EA" w:rsidRPr="000926EA" w:rsidRDefault="00E468FA" w:rsidP="000926EA">
            <w:pPr>
              <w:keepLines/>
              <w:spacing w:before="40" w:after="40" w:line="190" w:lineRule="exact"/>
              <w:jc w:val="left"/>
              <w:rPr>
                <w:sz w:val="20"/>
                <w:szCs w:val="20"/>
              </w:rPr>
            </w:pPr>
            <w:r w:rsidRPr="00193D28">
              <w:rPr>
                <w:sz w:val="20"/>
                <w:szCs w:val="20"/>
              </w:rPr>
              <w:t>3.2.1.1.1.</w:t>
            </w:r>
          </w:p>
        </w:tc>
        <w:tc>
          <w:tcPr>
            <w:tcW w:w="2977" w:type="dxa"/>
            <w:tcBorders>
              <w:top w:val="single" w:sz="6" w:space="0" w:color="auto"/>
              <w:left w:val="single" w:sz="6" w:space="0" w:color="auto"/>
              <w:bottom w:val="single" w:sz="6" w:space="0" w:color="auto"/>
              <w:right w:val="single" w:sz="6" w:space="0" w:color="auto"/>
            </w:tcBorders>
          </w:tcPr>
          <w:p w14:paraId="251951A6" w14:textId="6061D90D" w:rsidR="000926EA" w:rsidRPr="000926EA" w:rsidRDefault="00E468FA" w:rsidP="000926EA">
            <w:pPr>
              <w:keepLines/>
              <w:spacing w:before="40" w:after="40" w:line="190" w:lineRule="exact"/>
              <w:jc w:val="left"/>
              <w:rPr>
                <w:sz w:val="20"/>
                <w:szCs w:val="20"/>
              </w:rPr>
            </w:pPr>
            <w:r>
              <w:rPr>
                <w:sz w:val="20"/>
                <w:szCs w:val="20"/>
              </w:rPr>
              <w:t>18</w:t>
            </w:r>
          </w:p>
        </w:tc>
        <w:tc>
          <w:tcPr>
            <w:tcW w:w="4536" w:type="dxa"/>
            <w:tcBorders>
              <w:top w:val="single" w:sz="6" w:space="0" w:color="auto"/>
              <w:left w:val="single" w:sz="6" w:space="0" w:color="auto"/>
              <w:bottom w:val="single" w:sz="6" w:space="0" w:color="auto"/>
              <w:right w:val="single" w:sz="6" w:space="0" w:color="auto"/>
            </w:tcBorders>
          </w:tcPr>
          <w:p w14:paraId="575E0247" w14:textId="451EBE7C" w:rsidR="000926EA" w:rsidRPr="000926EA" w:rsidRDefault="00E468FA" w:rsidP="000926EA">
            <w:pPr>
              <w:keepLines/>
              <w:spacing w:before="40" w:after="40" w:line="190" w:lineRule="exact"/>
              <w:jc w:val="left"/>
              <w:rPr>
                <w:sz w:val="20"/>
                <w:szCs w:val="20"/>
              </w:rPr>
            </w:pPr>
            <w:r>
              <w:rPr>
                <w:sz w:val="20"/>
                <w:szCs w:val="20"/>
              </w:rPr>
              <w:t>Paragraph 28 of the Removals Standard is misquoted as including precursors of GHG</w:t>
            </w:r>
          </w:p>
        </w:tc>
        <w:tc>
          <w:tcPr>
            <w:tcW w:w="4856" w:type="dxa"/>
            <w:tcBorders>
              <w:top w:val="single" w:sz="6" w:space="0" w:color="auto"/>
              <w:left w:val="single" w:sz="6" w:space="0" w:color="auto"/>
              <w:bottom w:val="single" w:sz="6" w:space="0" w:color="auto"/>
              <w:right w:val="single" w:sz="6" w:space="0" w:color="auto"/>
            </w:tcBorders>
          </w:tcPr>
          <w:p w14:paraId="4C8A47BE" w14:textId="77777777" w:rsidR="000926EA" w:rsidRPr="000926EA" w:rsidRDefault="000926EA" w:rsidP="000926EA">
            <w:pPr>
              <w:keepLines/>
              <w:spacing w:before="40" w:after="40" w:line="190" w:lineRule="exact"/>
              <w:jc w:val="left"/>
              <w:rPr>
                <w:sz w:val="20"/>
                <w:szCs w:val="20"/>
              </w:rPr>
            </w:pPr>
          </w:p>
        </w:tc>
      </w:tr>
      <w:tr w:rsidR="000926EA" w:rsidRPr="000926EA" w14:paraId="159BF62A" w14:textId="77777777" w:rsidTr="008D4BE2">
        <w:trPr>
          <w:cantSplit/>
          <w:jc w:val="center"/>
        </w:trPr>
        <w:tc>
          <w:tcPr>
            <w:tcW w:w="743" w:type="dxa"/>
            <w:tcBorders>
              <w:top w:val="single" w:sz="6" w:space="0" w:color="auto"/>
              <w:left w:val="single" w:sz="6" w:space="0" w:color="auto"/>
              <w:bottom w:val="single" w:sz="6" w:space="0" w:color="auto"/>
              <w:right w:val="single" w:sz="6" w:space="0" w:color="auto"/>
            </w:tcBorders>
          </w:tcPr>
          <w:p w14:paraId="5854B614" w14:textId="3895BE74" w:rsidR="000926EA" w:rsidRPr="000926EA" w:rsidRDefault="000926EA">
            <w:pPr>
              <w:keepLines/>
              <w:spacing w:before="40" w:after="40" w:line="190" w:lineRule="exact"/>
              <w:jc w:val="center"/>
              <w:rPr>
                <w:sz w:val="20"/>
                <w:szCs w:val="20"/>
              </w:rPr>
            </w:pPr>
            <w:r w:rsidRPr="000926EA">
              <w:rPr>
                <w:sz w:val="20"/>
                <w:szCs w:val="20"/>
              </w:rPr>
              <w:t>2</w:t>
            </w:r>
          </w:p>
        </w:tc>
        <w:tc>
          <w:tcPr>
            <w:tcW w:w="2802" w:type="dxa"/>
            <w:tcBorders>
              <w:top w:val="single" w:sz="6" w:space="0" w:color="auto"/>
              <w:left w:val="single" w:sz="6" w:space="0" w:color="auto"/>
              <w:bottom w:val="single" w:sz="6" w:space="0" w:color="auto"/>
              <w:right w:val="single" w:sz="6" w:space="0" w:color="auto"/>
            </w:tcBorders>
          </w:tcPr>
          <w:p w14:paraId="310FC476" w14:textId="66A377FE" w:rsidR="000926EA" w:rsidRDefault="00193D28" w:rsidP="000926EA">
            <w:pPr>
              <w:keepLines/>
              <w:spacing w:before="40" w:after="40" w:line="190" w:lineRule="exact"/>
              <w:jc w:val="left"/>
              <w:rPr>
                <w:sz w:val="20"/>
                <w:szCs w:val="20"/>
              </w:rPr>
            </w:pPr>
            <w:r>
              <w:rPr>
                <w:sz w:val="20"/>
                <w:szCs w:val="20"/>
              </w:rPr>
              <w:t>Appendix 1</w:t>
            </w:r>
            <w:r w:rsidR="007C14EC">
              <w:rPr>
                <w:sz w:val="20"/>
                <w:szCs w:val="20"/>
              </w:rPr>
              <w:t>, Section 2</w:t>
            </w:r>
          </w:p>
          <w:p w14:paraId="07F43D5D" w14:textId="477365A8" w:rsidR="000926EA" w:rsidRPr="000926EA" w:rsidRDefault="000926EA" w:rsidP="000926EA">
            <w:pPr>
              <w:keepLines/>
              <w:spacing w:before="40" w:after="40" w:line="190" w:lineRule="exact"/>
              <w:jc w:val="left"/>
              <w:rPr>
                <w:sz w:val="20"/>
                <w:szCs w:val="20"/>
              </w:rPr>
            </w:pPr>
          </w:p>
        </w:tc>
        <w:tc>
          <w:tcPr>
            <w:tcW w:w="2977" w:type="dxa"/>
            <w:tcBorders>
              <w:top w:val="single" w:sz="6" w:space="0" w:color="auto"/>
              <w:left w:val="single" w:sz="6" w:space="0" w:color="auto"/>
              <w:bottom w:val="single" w:sz="6" w:space="0" w:color="auto"/>
              <w:right w:val="single" w:sz="6" w:space="0" w:color="auto"/>
            </w:tcBorders>
          </w:tcPr>
          <w:p w14:paraId="3FE2C84A" w14:textId="43D5CB6C" w:rsidR="000926EA" w:rsidRPr="000926EA" w:rsidRDefault="00193D28" w:rsidP="000926EA">
            <w:pPr>
              <w:keepLines/>
              <w:spacing w:before="40" w:after="40" w:line="190" w:lineRule="exact"/>
              <w:jc w:val="left"/>
              <w:rPr>
                <w:sz w:val="20"/>
                <w:szCs w:val="20"/>
              </w:rPr>
            </w:pPr>
            <w:r>
              <w:rPr>
                <w:sz w:val="20"/>
                <w:szCs w:val="20"/>
              </w:rPr>
              <w:t>3 (h)</w:t>
            </w:r>
          </w:p>
        </w:tc>
        <w:tc>
          <w:tcPr>
            <w:tcW w:w="4536" w:type="dxa"/>
            <w:tcBorders>
              <w:top w:val="single" w:sz="6" w:space="0" w:color="auto"/>
              <w:left w:val="single" w:sz="6" w:space="0" w:color="auto"/>
              <w:bottom w:val="single" w:sz="6" w:space="0" w:color="auto"/>
              <w:right w:val="single" w:sz="6" w:space="0" w:color="auto"/>
            </w:tcBorders>
          </w:tcPr>
          <w:p w14:paraId="7A2A9EDD" w14:textId="28FC133A" w:rsidR="000926EA" w:rsidRPr="000926EA" w:rsidRDefault="00193D28" w:rsidP="000926EA">
            <w:pPr>
              <w:keepLines/>
              <w:spacing w:before="40" w:after="40" w:line="190" w:lineRule="exact"/>
              <w:jc w:val="left"/>
              <w:rPr>
                <w:sz w:val="20"/>
                <w:szCs w:val="20"/>
              </w:rPr>
            </w:pPr>
            <w:r>
              <w:rPr>
                <w:sz w:val="20"/>
                <w:szCs w:val="20"/>
              </w:rPr>
              <w:t xml:space="preserve">Note that the Removals Standard refers to a ‘post-crediting monitoring period’, not a ‘post-crediting period’. </w:t>
            </w:r>
          </w:p>
        </w:tc>
        <w:tc>
          <w:tcPr>
            <w:tcW w:w="4856" w:type="dxa"/>
            <w:tcBorders>
              <w:top w:val="single" w:sz="6" w:space="0" w:color="auto"/>
              <w:left w:val="single" w:sz="6" w:space="0" w:color="auto"/>
              <w:bottom w:val="single" w:sz="6" w:space="0" w:color="auto"/>
              <w:right w:val="single" w:sz="6" w:space="0" w:color="auto"/>
            </w:tcBorders>
          </w:tcPr>
          <w:p w14:paraId="501D7846" w14:textId="77777777" w:rsidR="000926EA" w:rsidRPr="000926EA" w:rsidRDefault="000926EA" w:rsidP="000926EA">
            <w:pPr>
              <w:keepLines/>
              <w:spacing w:before="40" w:after="40" w:line="190" w:lineRule="exact"/>
              <w:jc w:val="left"/>
              <w:rPr>
                <w:sz w:val="20"/>
                <w:szCs w:val="20"/>
              </w:rPr>
            </w:pPr>
          </w:p>
        </w:tc>
      </w:tr>
      <w:tr w:rsidR="000926EA" w:rsidRPr="000926EA" w14:paraId="00C38433" w14:textId="77777777" w:rsidTr="008D4BE2">
        <w:trPr>
          <w:cantSplit/>
          <w:jc w:val="center"/>
        </w:trPr>
        <w:tc>
          <w:tcPr>
            <w:tcW w:w="743" w:type="dxa"/>
            <w:tcBorders>
              <w:top w:val="single" w:sz="6" w:space="0" w:color="auto"/>
              <w:left w:val="single" w:sz="6" w:space="0" w:color="auto"/>
              <w:bottom w:val="single" w:sz="6" w:space="0" w:color="auto"/>
              <w:right w:val="single" w:sz="6" w:space="0" w:color="auto"/>
            </w:tcBorders>
          </w:tcPr>
          <w:p w14:paraId="7BD216FB" w14:textId="63B82C06" w:rsidR="000926EA" w:rsidRPr="000926EA" w:rsidRDefault="000926EA">
            <w:pPr>
              <w:keepLines/>
              <w:spacing w:before="40" w:after="40" w:line="190" w:lineRule="exact"/>
              <w:jc w:val="center"/>
              <w:rPr>
                <w:sz w:val="20"/>
                <w:szCs w:val="20"/>
              </w:rPr>
            </w:pPr>
            <w:r w:rsidRPr="000926EA">
              <w:rPr>
                <w:sz w:val="20"/>
                <w:szCs w:val="20"/>
              </w:rPr>
              <w:t>3</w:t>
            </w:r>
          </w:p>
        </w:tc>
        <w:tc>
          <w:tcPr>
            <w:tcW w:w="2802" w:type="dxa"/>
            <w:tcBorders>
              <w:top w:val="single" w:sz="6" w:space="0" w:color="auto"/>
              <w:left w:val="single" w:sz="6" w:space="0" w:color="auto"/>
              <w:bottom w:val="single" w:sz="6" w:space="0" w:color="auto"/>
              <w:right w:val="single" w:sz="6" w:space="0" w:color="auto"/>
            </w:tcBorders>
          </w:tcPr>
          <w:p w14:paraId="43BF0FFF" w14:textId="4EBB4122" w:rsidR="00193D28" w:rsidRDefault="00193D28" w:rsidP="00193D28">
            <w:pPr>
              <w:keepLines/>
              <w:spacing w:before="40" w:after="40" w:line="190" w:lineRule="exact"/>
              <w:jc w:val="left"/>
              <w:rPr>
                <w:sz w:val="20"/>
                <w:szCs w:val="20"/>
              </w:rPr>
            </w:pPr>
            <w:r>
              <w:rPr>
                <w:sz w:val="20"/>
                <w:szCs w:val="20"/>
              </w:rPr>
              <w:t>Appendix 1</w:t>
            </w:r>
            <w:r w:rsidR="007C14EC">
              <w:rPr>
                <w:sz w:val="20"/>
                <w:szCs w:val="20"/>
              </w:rPr>
              <w:t>, Section 2</w:t>
            </w:r>
          </w:p>
          <w:p w14:paraId="6BB268FD" w14:textId="44F0A1F5" w:rsidR="000926EA" w:rsidRPr="000926EA" w:rsidRDefault="000926EA" w:rsidP="000926EA">
            <w:pPr>
              <w:keepLines/>
              <w:spacing w:before="40" w:after="40" w:line="190" w:lineRule="exact"/>
              <w:jc w:val="left"/>
              <w:rPr>
                <w:sz w:val="20"/>
                <w:szCs w:val="20"/>
              </w:rPr>
            </w:pPr>
          </w:p>
        </w:tc>
        <w:tc>
          <w:tcPr>
            <w:tcW w:w="2977" w:type="dxa"/>
            <w:tcBorders>
              <w:top w:val="single" w:sz="6" w:space="0" w:color="auto"/>
              <w:left w:val="single" w:sz="6" w:space="0" w:color="auto"/>
              <w:bottom w:val="single" w:sz="6" w:space="0" w:color="auto"/>
              <w:right w:val="single" w:sz="6" w:space="0" w:color="auto"/>
            </w:tcBorders>
          </w:tcPr>
          <w:p w14:paraId="3672A29A" w14:textId="00406A69" w:rsidR="000926EA" w:rsidRPr="000926EA" w:rsidRDefault="00193D28" w:rsidP="000926EA">
            <w:pPr>
              <w:keepLines/>
              <w:spacing w:before="40" w:after="40" w:line="190" w:lineRule="exact"/>
              <w:jc w:val="left"/>
              <w:rPr>
                <w:sz w:val="20"/>
                <w:szCs w:val="20"/>
              </w:rPr>
            </w:pPr>
            <w:r>
              <w:rPr>
                <w:sz w:val="20"/>
                <w:szCs w:val="20"/>
              </w:rPr>
              <w:t>3 (j)</w:t>
            </w:r>
          </w:p>
        </w:tc>
        <w:tc>
          <w:tcPr>
            <w:tcW w:w="4536" w:type="dxa"/>
            <w:tcBorders>
              <w:top w:val="single" w:sz="6" w:space="0" w:color="auto"/>
              <w:left w:val="single" w:sz="6" w:space="0" w:color="auto"/>
              <w:bottom w:val="single" w:sz="6" w:space="0" w:color="auto"/>
              <w:right w:val="single" w:sz="6" w:space="0" w:color="auto"/>
            </w:tcBorders>
          </w:tcPr>
          <w:p w14:paraId="66D4CEFA" w14:textId="4572008E" w:rsidR="000926EA" w:rsidRPr="000926EA" w:rsidRDefault="00193D28" w:rsidP="000926EA">
            <w:pPr>
              <w:keepLines/>
              <w:spacing w:before="40" w:after="40" w:line="190" w:lineRule="exact"/>
              <w:jc w:val="left"/>
              <w:rPr>
                <w:sz w:val="20"/>
                <w:szCs w:val="20"/>
              </w:rPr>
            </w:pPr>
            <w:r>
              <w:rPr>
                <w:sz w:val="20"/>
                <w:szCs w:val="20"/>
              </w:rPr>
              <w:t>Note that according to the Removals Standard the Reversal Risk Assessment Tool (para 38) is intended to ‘identify, assess and mitigate reversal risks’ and calculate the risk rating. That risk rating shall then ‘inform’ the proportion of A6.4ERs to be transferred to the buffer pool account.</w:t>
            </w:r>
          </w:p>
        </w:tc>
        <w:tc>
          <w:tcPr>
            <w:tcW w:w="4856" w:type="dxa"/>
            <w:tcBorders>
              <w:top w:val="single" w:sz="6" w:space="0" w:color="auto"/>
              <w:left w:val="single" w:sz="6" w:space="0" w:color="auto"/>
              <w:bottom w:val="single" w:sz="6" w:space="0" w:color="auto"/>
              <w:right w:val="single" w:sz="6" w:space="0" w:color="auto"/>
            </w:tcBorders>
          </w:tcPr>
          <w:p w14:paraId="0D152F48" w14:textId="77777777" w:rsidR="000926EA" w:rsidRPr="000926EA" w:rsidRDefault="000926EA" w:rsidP="000926EA">
            <w:pPr>
              <w:keepLines/>
              <w:spacing w:before="40" w:after="40" w:line="190" w:lineRule="exact"/>
              <w:jc w:val="left"/>
              <w:rPr>
                <w:sz w:val="20"/>
                <w:szCs w:val="20"/>
              </w:rPr>
            </w:pPr>
          </w:p>
        </w:tc>
      </w:tr>
      <w:tr w:rsidR="000926EA" w:rsidRPr="000926EA" w14:paraId="09C11D74" w14:textId="77777777" w:rsidTr="008D4BE2">
        <w:trPr>
          <w:cantSplit/>
          <w:jc w:val="center"/>
        </w:trPr>
        <w:tc>
          <w:tcPr>
            <w:tcW w:w="743" w:type="dxa"/>
            <w:tcBorders>
              <w:top w:val="single" w:sz="6" w:space="0" w:color="auto"/>
              <w:left w:val="single" w:sz="6" w:space="0" w:color="auto"/>
              <w:bottom w:val="single" w:sz="6" w:space="0" w:color="auto"/>
              <w:right w:val="single" w:sz="6" w:space="0" w:color="auto"/>
            </w:tcBorders>
          </w:tcPr>
          <w:p w14:paraId="3CF24BA5" w14:textId="2B7DE023" w:rsidR="000926EA" w:rsidRPr="000926EA" w:rsidRDefault="000926EA">
            <w:pPr>
              <w:keepLines/>
              <w:spacing w:before="40" w:after="40" w:line="190" w:lineRule="exact"/>
              <w:jc w:val="center"/>
              <w:rPr>
                <w:sz w:val="20"/>
                <w:szCs w:val="20"/>
              </w:rPr>
            </w:pPr>
            <w:r w:rsidRPr="000926EA">
              <w:rPr>
                <w:sz w:val="20"/>
                <w:szCs w:val="20"/>
              </w:rPr>
              <w:t>4</w:t>
            </w:r>
          </w:p>
        </w:tc>
        <w:tc>
          <w:tcPr>
            <w:tcW w:w="2802" w:type="dxa"/>
            <w:tcBorders>
              <w:top w:val="single" w:sz="6" w:space="0" w:color="auto"/>
              <w:left w:val="single" w:sz="6" w:space="0" w:color="auto"/>
              <w:bottom w:val="single" w:sz="6" w:space="0" w:color="auto"/>
              <w:right w:val="single" w:sz="6" w:space="0" w:color="auto"/>
            </w:tcBorders>
          </w:tcPr>
          <w:p w14:paraId="5AE1D3C2" w14:textId="12E2FE77" w:rsidR="007C14EC" w:rsidRDefault="007C14EC" w:rsidP="007C14EC">
            <w:pPr>
              <w:keepLines/>
              <w:spacing w:before="40" w:after="40" w:line="190" w:lineRule="exact"/>
              <w:jc w:val="left"/>
              <w:rPr>
                <w:sz w:val="20"/>
                <w:szCs w:val="20"/>
              </w:rPr>
            </w:pPr>
            <w:r>
              <w:rPr>
                <w:sz w:val="20"/>
                <w:szCs w:val="20"/>
              </w:rPr>
              <w:t xml:space="preserve">Appendix 1, Section </w:t>
            </w:r>
            <w:r w:rsidRPr="00394711">
              <w:rPr>
                <w:sz w:val="20"/>
                <w:szCs w:val="20"/>
              </w:rPr>
              <w:t>6.5</w:t>
            </w:r>
          </w:p>
          <w:p w14:paraId="625E0C38" w14:textId="3E03AD05" w:rsidR="000926EA" w:rsidRPr="000926EA" w:rsidRDefault="000926EA" w:rsidP="000926EA">
            <w:pPr>
              <w:keepLines/>
              <w:spacing w:before="40" w:after="40" w:line="190" w:lineRule="exact"/>
              <w:jc w:val="left"/>
              <w:rPr>
                <w:sz w:val="20"/>
                <w:szCs w:val="20"/>
              </w:rPr>
            </w:pPr>
          </w:p>
        </w:tc>
        <w:tc>
          <w:tcPr>
            <w:tcW w:w="2977" w:type="dxa"/>
            <w:tcBorders>
              <w:top w:val="single" w:sz="6" w:space="0" w:color="auto"/>
              <w:left w:val="single" w:sz="6" w:space="0" w:color="auto"/>
              <w:bottom w:val="single" w:sz="6" w:space="0" w:color="auto"/>
              <w:right w:val="single" w:sz="6" w:space="0" w:color="auto"/>
            </w:tcBorders>
          </w:tcPr>
          <w:p w14:paraId="4D07A892" w14:textId="1AF1035F" w:rsidR="000926EA" w:rsidRPr="000926EA" w:rsidRDefault="007C14EC" w:rsidP="000926EA">
            <w:pPr>
              <w:keepLines/>
              <w:spacing w:before="40" w:after="40" w:line="190" w:lineRule="exact"/>
              <w:jc w:val="left"/>
              <w:rPr>
                <w:sz w:val="20"/>
                <w:szCs w:val="20"/>
              </w:rPr>
            </w:pPr>
            <w:r>
              <w:rPr>
                <w:sz w:val="20"/>
                <w:szCs w:val="20"/>
              </w:rPr>
              <w:t>Equation 8, term</w:t>
            </w:r>
            <w:r w:rsidRPr="007C14EC">
              <w:rPr>
                <w:sz w:val="20"/>
                <w:szCs w:val="20"/>
              </w:rPr>
              <w:t xml:space="preserve"> </w:t>
            </w:r>
            <w:proofErr w:type="spellStart"/>
            <w:proofErr w:type="gramStart"/>
            <w:r w:rsidRPr="007C14EC">
              <w:rPr>
                <w:i/>
                <w:iCs/>
                <w:sz w:val="20"/>
                <w:szCs w:val="20"/>
              </w:rPr>
              <w:t>F</w:t>
            </w:r>
            <w:r w:rsidRPr="007C14EC">
              <w:rPr>
                <w:i/>
                <w:iCs/>
                <w:color w:val="000000"/>
                <w:sz w:val="13"/>
                <w:szCs w:val="13"/>
                <w:lang w:eastAsia="zh-CN"/>
              </w:rPr>
              <w:t>buffer</w:t>
            </w:r>
            <w:r>
              <w:rPr>
                <w:i/>
                <w:iCs/>
                <w:color w:val="000000"/>
                <w:sz w:val="13"/>
                <w:szCs w:val="13"/>
                <w:lang w:eastAsia="zh-CN"/>
              </w:rPr>
              <w:t>,t</w:t>
            </w:r>
            <w:proofErr w:type="spellEnd"/>
            <w:proofErr w:type="gramEnd"/>
          </w:p>
        </w:tc>
        <w:tc>
          <w:tcPr>
            <w:tcW w:w="4536" w:type="dxa"/>
            <w:tcBorders>
              <w:top w:val="single" w:sz="6" w:space="0" w:color="auto"/>
              <w:left w:val="single" w:sz="6" w:space="0" w:color="auto"/>
              <w:bottom w:val="single" w:sz="6" w:space="0" w:color="auto"/>
              <w:right w:val="single" w:sz="6" w:space="0" w:color="auto"/>
            </w:tcBorders>
          </w:tcPr>
          <w:p w14:paraId="39DAB5EB" w14:textId="0002AD84" w:rsidR="000926EA" w:rsidRPr="000926EA" w:rsidRDefault="007C14EC" w:rsidP="000926EA">
            <w:pPr>
              <w:keepLines/>
              <w:spacing w:before="40" w:after="40" w:line="190" w:lineRule="exact"/>
              <w:jc w:val="left"/>
              <w:rPr>
                <w:sz w:val="20"/>
                <w:szCs w:val="20"/>
              </w:rPr>
            </w:pPr>
            <w:r>
              <w:rPr>
                <w:sz w:val="20"/>
                <w:szCs w:val="20"/>
              </w:rPr>
              <w:t>Ibid., in relation to the bracketed language.</w:t>
            </w:r>
          </w:p>
        </w:tc>
        <w:tc>
          <w:tcPr>
            <w:tcW w:w="4856" w:type="dxa"/>
            <w:tcBorders>
              <w:top w:val="single" w:sz="6" w:space="0" w:color="auto"/>
              <w:left w:val="single" w:sz="6" w:space="0" w:color="auto"/>
              <w:bottom w:val="single" w:sz="6" w:space="0" w:color="auto"/>
              <w:right w:val="single" w:sz="6" w:space="0" w:color="auto"/>
            </w:tcBorders>
          </w:tcPr>
          <w:p w14:paraId="1681B9C9" w14:textId="77777777" w:rsidR="000926EA" w:rsidRPr="000926EA" w:rsidRDefault="000926EA" w:rsidP="000926EA">
            <w:pPr>
              <w:keepLines/>
              <w:spacing w:before="40" w:after="40" w:line="190" w:lineRule="exact"/>
              <w:jc w:val="left"/>
              <w:rPr>
                <w:sz w:val="20"/>
                <w:szCs w:val="20"/>
              </w:rPr>
            </w:pPr>
          </w:p>
        </w:tc>
      </w:tr>
      <w:tr w:rsidR="000926EA" w:rsidRPr="000926EA" w14:paraId="6D7EE0FA" w14:textId="77777777" w:rsidTr="008D4BE2">
        <w:trPr>
          <w:cantSplit/>
          <w:jc w:val="center"/>
        </w:trPr>
        <w:tc>
          <w:tcPr>
            <w:tcW w:w="743" w:type="dxa"/>
            <w:tcBorders>
              <w:top w:val="single" w:sz="6" w:space="0" w:color="auto"/>
              <w:left w:val="single" w:sz="6" w:space="0" w:color="auto"/>
              <w:bottom w:val="single" w:sz="6" w:space="0" w:color="auto"/>
              <w:right w:val="single" w:sz="6" w:space="0" w:color="auto"/>
            </w:tcBorders>
          </w:tcPr>
          <w:p w14:paraId="3B6D3DC5" w14:textId="170C5F28" w:rsidR="000926EA" w:rsidRPr="000926EA" w:rsidRDefault="000926EA">
            <w:pPr>
              <w:keepLines/>
              <w:spacing w:before="40" w:after="40" w:line="190" w:lineRule="exact"/>
              <w:jc w:val="center"/>
              <w:rPr>
                <w:sz w:val="20"/>
                <w:szCs w:val="20"/>
              </w:rPr>
            </w:pPr>
            <w:r w:rsidRPr="000926EA">
              <w:rPr>
                <w:sz w:val="20"/>
                <w:szCs w:val="20"/>
              </w:rPr>
              <w:lastRenderedPageBreak/>
              <w:t>5</w:t>
            </w:r>
          </w:p>
        </w:tc>
        <w:tc>
          <w:tcPr>
            <w:tcW w:w="2802" w:type="dxa"/>
            <w:tcBorders>
              <w:top w:val="single" w:sz="6" w:space="0" w:color="auto"/>
              <w:left w:val="single" w:sz="6" w:space="0" w:color="auto"/>
              <w:bottom w:val="single" w:sz="6" w:space="0" w:color="auto"/>
              <w:right w:val="single" w:sz="6" w:space="0" w:color="auto"/>
            </w:tcBorders>
          </w:tcPr>
          <w:p w14:paraId="31B3999E" w14:textId="2F20C912" w:rsidR="007C14EC" w:rsidRDefault="007C14EC" w:rsidP="007C14EC">
            <w:pPr>
              <w:keepLines/>
              <w:spacing w:before="40" w:after="40" w:line="190" w:lineRule="exact"/>
              <w:jc w:val="left"/>
              <w:rPr>
                <w:sz w:val="20"/>
                <w:szCs w:val="20"/>
              </w:rPr>
            </w:pPr>
            <w:r>
              <w:rPr>
                <w:sz w:val="20"/>
                <w:szCs w:val="20"/>
              </w:rPr>
              <w:t>Appendix 1, Section 3</w:t>
            </w:r>
          </w:p>
          <w:p w14:paraId="4A44648D" w14:textId="6F9EDABC" w:rsidR="000926EA" w:rsidRPr="000926EA" w:rsidRDefault="000926EA" w:rsidP="000926EA">
            <w:pPr>
              <w:keepLines/>
              <w:spacing w:before="40" w:after="40" w:line="190" w:lineRule="exact"/>
              <w:jc w:val="left"/>
              <w:rPr>
                <w:sz w:val="20"/>
                <w:szCs w:val="20"/>
              </w:rPr>
            </w:pPr>
          </w:p>
        </w:tc>
        <w:tc>
          <w:tcPr>
            <w:tcW w:w="2977" w:type="dxa"/>
            <w:tcBorders>
              <w:top w:val="single" w:sz="6" w:space="0" w:color="auto"/>
              <w:left w:val="single" w:sz="6" w:space="0" w:color="auto"/>
              <w:bottom w:val="single" w:sz="6" w:space="0" w:color="auto"/>
              <w:right w:val="single" w:sz="6" w:space="0" w:color="auto"/>
            </w:tcBorders>
          </w:tcPr>
          <w:p w14:paraId="3CD2647E" w14:textId="6B0C4968" w:rsidR="000926EA" w:rsidRPr="000926EA" w:rsidRDefault="007C14EC" w:rsidP="000926EA">
            <w:pPr>
              <w:keepLines/>
              <w:spacing w:before="40" w:after="40" w:line="190" w:lineRule="exact"/>
              <w:jc w:val="left"/>
              <w:rPr>
                <w:sz w:val="20"/>
                <w:szCs w:val="20"/>
              </w:rPr>
            </w:pPr>
            <w:r>
              <w:rPr>
                <w:sz w:val="20"/>
                <w:szCs w:val="20"/>
              </w:rPr>
              <w:t>5, 6</w:t>
            </w:r>
          </w:p>
        </w:tc>
        <w:tc>
          <w:tcPr>
            <w:tcW w:w="4536" w:type="dxa"/>
            <w:tcBorders>
              <w:top w:val="single" w:sz="6" w:space="0" w:color="auto"/>
              <w:left w:val="single" w:sz="6" w:space="0" w:color="auto"/>
              <w:bottom w:val="single" w:sz="6" w:space="0" w:color="auto"/>
              <w:right w:val="single" w:sz="6" w:space="0" w:color="auto"/>
            </w:tcBorders>
          </w:tcPr>
          <w:p w14:paraId="391C6601" w14:textId="774CD37A" w:rsidR="007C14EC" w:rsidRPr="007C14EC" w:rsidRDefault="007C14EC" w:rsidP="007C14EC">
            <w:pPr>
              <w:keepLines/>
              <w:spacing w:before="40" w:after="40" w:line="190" w:lineRule="exact"/>
              <w:jc w:val="left"/>
              <w:rPr>
                <w:sz w:val="20"/>
                <w:szCs w:val="20"/>
              </w:rPr>
            </w:pPr>
            <w:r w:rsidRPr="007C14EC">
              <w:rPr>
                <w:sz w:val="20"/>
                <w:szCs w:val="20"/>
              </w:rPr>
              <w:t>The ICVCM directly identifies categories</w:t>
            </w:r>
            <w:r>
              <w:rPr>
                <w:sz w:val="20"/>
                <w:szCs w:val="20"/>
              </w:rPr>
              <w:t xml:space="preserve"> of activities</w:t>
            </w:r>
            <w:r w:rsidRPr="007C14EC">
              <w:rPr>
                <w:sz w:val="20"/>
                <w:szCs w:val="20"/>
              </w:rPr>
              <w:t xml:space="preserve"> where permanence requirements apply, including assessing reversal risk and measures to monitor and address it.</w:t>
            </w:r>
          </w:p>
          <w:p w14:paraId="11820151" w14:textId="77777777" w:rsidR="007C14EC" w:rsidRPr="007C14EC" w:rsidRDefault="007C14EC" w:rsidP="007C14EC">
            <w:pPr>
              <w:keepLines/>
              <w:spacing w:before="40" w:after="40" w:line="190" w:lineRule="exact"/>
              <w:jc w:val="left"/>
              <w:rPr>
                <w:sz w:val="20"/>
                <w:szCs w:val="20"/>
              </w:rPr>
            </w:pPr>
          </w:p>
          <w:p w14:paraId="64FE9D79" w14:textId="77777777" w:rsidR="000926EA" w:rsidRDefault="007C14EC" w:rsidP="007C14EC">
            <w:pPr>
              <w:keepLines/>
              <w:spacing w:before="40" w:after="40" w:line="190" w:lineRule="exact"/>
              <w:jc w:val="left"/>
              <w:rPr>
                <w:sz w:val="20"/>
                <w:szCs w:val="20"/>
              </w:rPr>
            </w:pPr>
            <w:r>
              <w:rPr>
                <w:sz w:val="20"/>
                <w:szCs w:val="20"/>
              </w:rPr>
              <w:t>Quote from the ICVCM Assessment Framework:</w:t>
            </w:r>
          </w:p>
          <w:p w14:paraId="16EC0E9D" w14:textId="77777777" w:rsidR="007C14EC" w:rsidRPr="00AB0337" w:rsidRDefault="007C14EC" w:rsidP="007C14EC">
            <w:pPr>
              <w:keepLines/>
              <w:spacing w:before="40" w:after="40" w:line="190" w:lineRule="exact"/>
              <w:jc w:val="left"/>
              <w:rPr>
                <w:sz w:val="16"/>
                <w:szCs w:val="16"/>
              </w:rPr>
            </w:pPr>
            <w:r w:rsidRPr="00AB0337">
              <w:rPr>
                <w:sz w:val="16"/>
                <w:szCs w:val="16"/>
              </w:rPr>
              <w:t>CRITERION 9.1 CATEGORIES TO WHICH PERMANENCE REQUIREMENTS APPLY</w:t>
            </w:r>
          </w:p>
          <w:p w14:paraId="78F966D6" w14:textId="6DAFF942" w:rsidR="007C14EC" w:rsidRPr="00AB0337" w:rsidRDefault="007C14EC" w:rsidP="007C14EC">
            <w:pPr>
              <w:keepLines/>
              <w:spacing w:before="40" w:after="40" w:line="190" w:lineRule="exact"/>
              <w:jc w:val="left"/>
              <w:rPr>
                <w:sz w:val="16"/>
                <w:szCs w:val="16"/>
              </w:rPr>
            </w:pPr>
            <w:r w:rsidRPr="00AB0337">
              <w:rPr>
                <w:sz w:val="16"/>
                <w:szCs w:val="16"/>
              </w:rPr>
              <w:t>a) The CORSIA requirements relating to permanence shall be met.</w:t>
            </w:r>
          </w:p>
          <w:p w14:paraId="12EB1CBA" w14:textId="77777777" w:rsidR="007C14EC" w:rsidRPr="00AB0337" w:rsidRDefault="007C14EC" w:rsidP="007C14EC">
            <w:pPr>
              <w:keepLines/>
              <w:spacing w:before="40" w:after="40" w:line="190" w:lineRule="exact"/>
              <w:jc w:val="left"/>
              <w:rPr>
                <w:sz w:val="16"/>
                <w:szCs w:val="16"/>
              </w:rPr>
            </w:pPr>
            <w:r w:rsidRPr="00AB0337">
              <w:rPr>
                <w:sz w:val="16"/>
                <w:szCs w:val="16"/>
              </w:rPr>
              <w:t>b) The following Categories of mitigation activity are considered to have a material risk of reversal. Carbon credits issued for mitigation activities in the Categories below may only be CCP-Approved if all the requirements in criteria 9.2 to 9.5 related to permanence are met:</w:t>
            </w:r>
          </w:p>
          <w:p w14:paraId="60B9BE25" w14:textId="77777777" w:rsidR="007C14EC" w:rsidRPr="00AB0337" w:rsidRDefault="007C14EC" w:rsidP="007C14EC">
            <w:pPr>
              <w:keepLines/>
              <w:spacing w:before="40" w:after="40" w:line="190" w:lineRule="exact"/>
              <w:jc w:val="left"/>
              <w:rPr>
                <w:sz w:val="16"/>
                <w:szCs w:val="16"/>
              </w:rPr>
            </w:pPr>
            <w:r w:rsidRPr="00AB0337">
              <w:rPr>
                <w:sz w:val="16"/>
                <w:szCs w:val="16"/>
              </w:rPr>
              <w:t>1) storage and protection of carbon in biogenic reservoirs, including:</w:t>
            </w:r>
          </w:p>
          <w:p w14:paraId="50C08295" w14:textId="77777777" w:rsidR="007C14EC" w:rsidRPr="00AB0337" w:rsidRDefault="007C14EC" w:rsidP="007C14EC">
            <w:pPr>
              <w:keepLines/>
              <w:spacing w:before="40" w:after="40" w:line="190" w:lineRule="exact"/>
              <w:jc w:val="left"/>
              <w:rPr>
                <w:sz w:val="16"/>
                <w:szCs w:val="16"/>
              </w:rPr>
            </w:pPr>
            <w:proofErr w:type="spellStart"/>
            <w:r w:rsidRPr="00AB0337">
              <w:rPr>
                <w:sz w:val="16"/>
                <w:szCs w:val="16"/>
              </w:rPr>
              <w:t>i</w:t>
            </w:r>
            <w:proofErr w:type="spellEnd"/>
            <w:r w:rsidRPr="00AB0337">
              <w:rPr>
                <w:sz w:val="16"/>
                <w:szCs w:val="16"/>
              </w:rPr>
              <w:t>. conservation and avoided conversion (e.g., grassland/rangeland management, avoided deforestation</w:t>
            </w:r>
            <w:proofErr w:type="gramStart"/>
            <w:r w:rsidRPr="00AB0337">
              <w:rPr>
                <w:sz w:val="16"/>
                <w:szCs w:val="16"/>
              </w:rPr>
              <w:t>);</w:t>
            </w:r>
            <w:proofErr w:type="gramEnd"/>
          </w:p>
          <w:p w14:paraId="045E729D" w14:textId="77777777" w:rsidR="007C14EC" w:rsidRPr="00AB0337" w:rsidRDefault="007C14EC" w:rsidP="007C14EC">
            <w:pPr>
              <w:keepLines/>
              <w:spacing w:before="40" w:after="40" w:line="190" w:lineRule="exact"/>
              <w:jc w:val="left"/>
              <w:rPr>
                <w:sz w:val="16"/>
                <w:szCs w:val="16"/>
              </w:rPr>
            </w:pPr>
            <w:r w:rsidRPr="00AB0337">
              <w:rPr>
                <w:sz w:val="16"/>
                <w:szCs w:val="16"/>
              </w:rPr>
              <w:t xml:space="preserve">ii. agriculture soil carbon </w:t>
            </w:r>
            <w:proofErr w:type="gramStart"/>
            <w:r w:rsidRPr="00AB0337">
              <w:rPr>
                <w:sz w:val="16"/>
                <w:szCs w:val="16"/>
              </w:rPr>
              <w:t>sequestration;</w:t>
            </w:r>
            <w:proofErr w:type="gramEnd"/>
          </w:p>
          <w:p w14:paraId="365F9467" w14:textId="77777777" w:rsidR="007C14EC" w:rsidRPr="00AB0337" w:rsidRDefault="007C14EC" w:rsidP="007C14EC">
            <w:pPr>
              <w:keepLines/>
              <w:spacing w:before="40" w:after="40" w:line="190" w:lineRule="exact"/>
              <w:jc w:val="left"/>
              <w:rPr>
                <w:sz w:val="16"/>
                <w:szCs w:val="16"/>
              </w:rPr>
            </w:pPr>
            <w:r w:rsidRPr="00AB0337">
              <w:rPr>
                <w:sz w:val="16"/>
                <w:szCs w:val="16"/>
              </w:rPr>
              <w:t>iii. forestry sequestration (improved forest management, afforestation/reforestation, agroforestry</w:t>
            </w:r>
            <w:proofErr w:type="gramStart"/>
            <w:r w:rsidRPr="00AB0337">
              <w:rPr>
                <w:sz w:val="16"/>
                <w:szCs w:val="16"/>
              </w:rPr>
              <w:t>);</w:t>
            </w:r>
            <w:proofErr w:type="gramEnd"/>
          </w:p>
          <w:p w14:paraId="0BCD0312" w14:textId="77777777" w:rsidR="007C14EC" w:rsidRPr="00AB0337" w:rsidRDefault="007C14EC" w:rsidP="007C14EC">
            <w:pPr>
              <w:keepLines/>
              <w:spacing w:before="40" w:after="40" w:line="190" w:lineRule="exact"/>
              <w:jc w:val="left"/>
              <w:rPr>
                <w:sz w:val="16"/>
                <w:szCs w:val="16"/>
              </w:rPr>
            </w:pPr>
            <w:r w:rsidRPr="00AB0337">
              <w:rPr>
                <w:sz w:val="16"/>
                <w:szCs w:val="16"/>
              </w:rPr>
              <w:t>iv. wetland and marine ecosystem restoration/management (including seagrasses, saltmarshes, mangroves, peatlands).</w:t>
            </w:r>
          </w:p>
          <w:p w14:paraId="52FB803C" w14:textId="77777777" w:rsidR="007C14EC" w:rsidRPr="00AB0337" w:rsidRDefault="007C14EC" w:rsidP="007C14EC">
            <w:pPr>
              <w:keepLines/>
              <w:spacing w:before="40" w:after="40" w:line="190" w:lineRule="exact"/>
              <w:jc w:val="left"/>
              <w:rPr>
                <w:sz w:val="16"/>
                <w:szCs w:val="16"/>
              </w:rPr>
            </w:pPr>
            <w:r w:rsidRPr="00AB0337">
              <w:rPr>
                <w:sz w:val="16"/>
                <w:szCs w:val="16"/>
              </w:rPr>
              <w:t>c) The carbon-crediting program shall assess the risk of reversals and where material risk is identified, have appropriate measures to avoid material risks of reversals for the following Categories:</w:t>
            </w:r>
          </w:p>
          <w:p w14:paraId="15736E91" w14:textId="77777777" w:rsidR="007C14EC" w:rsidRPr="00AB0337" w:rsidRDefault="007C14EC" w:rsidP="007C14EC">
            <w:pPr>
              <w:keepLines/>
              <w:spacing w:before="40" w:after="40" w:line="190" w:lineRule="exact"/>
              <w:jc w:val="left"/>
              <w:rPr>
                <w:sz w:val="16"/>
                <w:szCs w:val="16"/>
              </w:rPr>
            </w:pPr>
            <w:r w:rsidRPr="00AB0337">
              <w:rPr>
                <w:sz w:val="16"/>
                <w:szCs w:val="16"/>
              </w:rPr>
              <w:t xml:space="preserve">1) mitigation activities involving the displacement of non-renewable </w:t>
            </w:r>
            <w:proofErr w:type="gramStart"/>
            <w:r w:rsidRPr="00AB0337">
              <w:rPr>
                <w:sz w:val="16"/>
                <w:szCs w:val="16"/>
              </w:rPr>
              <w:t>biomass;</w:t>
            </w:r>
            <w:proofErr w:type="gramEnd"/>
          </w:p>
          <w:p w14:paraId="08657251" w14:textId="77777777" w:rsidR="007C14EC" w:rsidRPr="00AB0337" w:rsidRDefault="007C14EC" w:rsidP="007C14EC">
            <w:pPr>
              <w:keepLines/>
              <w:spacing w:before="40" w:after="40" w:line="190" w:lineRule="exact"/>
              <w:jc w:val="left"/>
              <w:rPr>
                <w:sz w:val="16"/>
                <w:szCs w:val="16"/>
              </w:rPr>
            </w:pPr>
            <w:r w:rsidRPr="00AB0337">
              <w:rPr>
                <w:sz w:val="16"/>
                <w:szCs w:val="16"/>
              </w:rPr>
              <w:t xml:space="preserve">2) </w:t>
            </w:r>
            <w:proofErr w:type="gramStart"/>
            <w:r w:rsidRPr="00AB0337">
              <w:rPr>
                <w:sz w:val="16"/>
                <w:szCs w:val="16"/>
              </w:rPr>
              <w:t>biochar;</w:t>
            </w:r>
            <w:proofErr w:type="gramEnd"/>
          </w:p>
          <w:p w14:paraId="36DF4566" w14:textId="77777777" w:rsidR="007C14EC" w:rsidRPr="00AB0337" w:rsidRDefault="007C14EC" w:rsidP="007C14EC">
            <w:pPr>
              <w:keepLines/>
              <w:spacing w:before="40" w:after="40" w:line="190" w:lineRule="exact"/>
              <w:jc w:val="left"/>
              <w:rPr>
                <w:sz w:val="16"/>
                <w:szCs w:val="16"/>
              </w:rPr>
            </w:pPr>
            <w:r w:rsidRPr="00AB0337">
              <w:rPr>
                <w:sz w:val="16"/>
                <w:szCs w:val="16"/>
              </w:rPr>
              <w:t xml:space="preserve">3) CCS with geological </w:t>
            </w:r>
            <w:proofErr w:type="gramStart"/>
            <w:r w:rsidRPr="00AB0337">
              <w:rPr>
                <w:sz w:val="16"/>
                <w:szCs w:val="16"/>
              </w:rPr>
              <w:t>storage;</w:t>
            </w:r>
            <w:proofErr w:type="gramEnd"/>
          </w:p>
          <w:p w14:paraId="2E7627D5" w14:textId="77777777" w:rsidR="007C14EC" w:rsidRPr="00AB0337" w:rsidRDefault="007C14EC" w:rsidP="007C14EC">
            <w:pPr>
              <w:keepLines/>
              <w:spacing w:before="40" w:after="40" w:line="190" w:lineRule="exact"/>
              <w:jc w:val="left"/>
              <w:rPr>
                <w:sz w:val="16"/>
                <w:szCs w:val="16"/>
              </w:rPr>
            </w:pPr>
            <w:r w:rsidRPr="00AB0337">
              <w:rPr>
                <w:sz w:val="16"/>
                <w:szCs w:val="16"/>
              </w:rPr>
              <w:t xml:space="preserve">4) enhanced </w:t>
            </w:r>
            <w:proofErr w:type="gramStart"/>
            <w:r w:rsidRPr="00AB0337">
              <w:rPr>
                <w:sz w:val="16"/>
                <w:szCs w:val="16"/>
              </w:rPr>
              <w:t>weathering;</w:t>
            </w:r>
            <w:proofErr w:type="gramEnd"/>
          </w:p>
          <w:p w14:paraId="05E2DEB0" w14:textId="77777777" w:rsidR="007C14EC" w:rsidRPr="00AB0337" w:rsidRDefault="007C14EC" w:rsidP="007C14EC">
            <w:pPr>
              <w:keepLines/>
              <w:spacing w:before="40" w:after="40" w:line="190" w:lineRule="exact"/>
              <w:jc w:val="left"/>
              <w:rPr>
                <w:sz w:val="16"/>
                <w:szCs w:val="16"/>
              </w:rPr>
            </w:pPr>
            <w:r w:rsidRPr="00AB0337">
              <w:rPr>
                <w:sz w:val="16"/>
                <w:szCs w:val="16"/>
              </w:rPr>
              <w:t xml:space="preserve">5) CCS with </w:t>
            </w:r>
            <w:proofErr w:type="gramStart"/>
            <w:r w:rsidRPr="00AB0337">
              <w:rPr>
                <w:sz w:val="16"/>
                <w:szCs w:val="16"/>
              </w:rPr>
              <w:t>mineralization;</w:t>
            </w:r>
            <w:proofErr w:type="gramEnd"/>
          </w:p>
          <w:p w14:paraId="6B85C447" w14:textId="77777777" w:rsidR="007C14EC" w:rsidRPr="00AB0337" w:rsidRDefault="007C14EC" w:rsidP="007C14EC">
            <w:pPr>
              <w:keepLines/>
              <w:spacing w:before="40" w:after="40" w:line="190" w:lineRule="exact"/>
              <w:jc w:val="left"/>
              <w:rPr>
                <w:sz w:val="16"/>
                <w:szCs w:val="16"/>
              </w:rPr>
            </w:pPr>
            <w:r w:rsidRPr="00AB0337">
              <w:rPr>
                <w:sz w:val="16"/>
                <w:szCs w:val="16"/>
              </w:rPr>
              <w:t>6) CO2 in concrete utilization.</w:t>
            </w:r>
          </w:p>
          <w:p w14:paraId="6E66057F" w14:textId="4FF0EE68" w:rsidR="007C14EC" w:rsidRPr="000926EA" w:rsidRDefault="007C14EC" w:rsidP="007C14EC">
            <w:pPr>
              <w:keepLines/>
              <w:spacing w:before="40" w:after="40" w:line="190" w:lineRule="exact"/>
              <w:jc w:val="left"/>
              <w:rPr>
                <w:sz w:val="20"/>
                <w:szCs w:val="20"/>
              </w:rPr>
            </w:pPr>
          </w:p>
        </w:tc>
        <w:tc>
          <w:tcPr>
            <w:tcW w:w="4856" w:type="dxa"/>
            <w:tcBorders>
              <w:top w:val="single" w:sz="6" w:space="0" w:color="auto"/>
              <w:left w:val="single" w:sz="6" w:space="0" w:color="auto"/>
              <w:bottom w:val="single" w:sz="6" w:space="0" w:color="auto"/>
              <w:right w:val="single" w:sz="6" w:space="0" w:color="auto"/>
            </w:tcBorders>
          </w:tcPr>
          <w:p w14:paraId="5AEDBD2A" w14:textId="77777777" w:rsidR="000926EA" w:rsidRPr="000926EA" w:rsidRDefault="000926EA" w:rsidP="000926EA">
            <w:pPr>
              <w:keepLines/>
              <w:spacing w:before="40" w:after="40" w:line="190" w:lineRule="exact"/>
              <w:jc w:val="left"/>
              <w:rPr>
                <w:sz w:val="20"/>
                <w:szCs w:val="20"/>
              </w:rPr>
            </w:pPr>
          </w:p>
        </w:tc>
      </w:tr>
      <w:tr w:rsidR="000926EA" w:rsidRPr="000926EA" w14:paraId="19554E5A" w14:textId="77777777" w:rsidTr="008D4BE2">
        <w:trPr>
          <w:cantSplit/>
          <w:jc w:val="center"/>
        </w:trPr>
        <w:tc>
          <w:tcPr>
            <w:tcW w:w="743" w:type="dxa"/>
            <w:tcBorders>
              <w:top w:val="single" w:sz="6" w:space="0" w:color="auto"/>
              <w:left w:val="single" w:sz="6" w:space="0" w:color="auto"/>
              <w:bottom w:val="single" w:sz="6" w:space="0" w:color="auto"/>
              <w:right w:val="single" w:sz="6" w:space="0" w:color="auto"/>
            </w:tcBorders>
          </w:tcPr>
          <w:p w14:paraId="146EBAB5" w14:textId="34877FF6" w:rsidR="000926EA" w:rsidRPr="000926EA" w:rsidRDefault="000C09DE">
            <w:pPr>
              <w:keepLines/>
              <w:spacing w:before="40" w:after="40" w:line="190" w:lineRule="exact"/>
              <w:jc w:val="center"/>
              <w:rPr>
                <w:sz w:val="20"/>
                <w:szCs w:val="20"/>
              </w:rPr>
            </w:pPr>
            <w:r>
              <w:rPr>
                <w:sz w:val="20"/>
                <w:szCs w:val="20"/>
              </w:rPr>
              <w:lastRenderedPageBreak/>
              <w:t>6</w:t>
            </w:r>
          </w:p>
        </w:tc>
        <w:tc>
          <w:tcPr>
            <w:tcW w:w="2802" w:type="dxa"/>
            <w:tcBorders>
              <w:top w:val="single" w:sz="6" w:space="0" w:color="auto"/>
              <w:left w:val="single" w:sz="6" w:space="0" w:color="auto"/>
              <w:bottom w:val="single" w:sz="6" w:space="0" w:color="auto"/>
              <w:right w:val="single" w:sz="6" w:space="0" w:color="auto"/>
            </w:tcBorders>
          </w:tcPr>
          <w:p w14:paraId="3B84101A" w14:textId="2001C284" w:rsidR="000926EA" w:rsidRPr="000926EA" w:rsidRDefault="000C09DE" w:rsidP="000926EA">
            <w:pPr>
              <w:keepLines/>
              <w:spacing w:before="40" w:after="40" w:line="190" w:lineRule="exact"/>
              <w:jc w:val="left"/>
              <w:rPr>
                <w:sz w:val="20"/>
                <w:szCs w:val="20"/>
              </w:rPr>
            </w:pPr>
            <w:r>
              <w:rPr>
                <w:sz w:val="20"/>
                <w:szCs w:val="20"/>
              </w:rPr>
              <w:t>Appendix 1, Section 7.3</w:t>
            </w:r>
          </w:p>
        </w:tc>
        <w:tc>
          <w:tcPr>
            <w:tcW w:w="2977" w:type="dxa"/>
            <w:tcBorders>
              <w:top w:val="single" w:sz="6" w:space="0" w:color="auto"/>
              <w:left w:val="single" w:sz="6" w:space="0" w:color="auto"/>
              <w:bottom w:val="single" w:sz="6" w:space="0" w:color="auto"/>
              <w:right w:val="single" w:sz="6" w:space="0" w:color="auto"/>
            </w:tcBorders>
          </w:tcPr>
          <w:p w14:paraId="546A7CED" w14:textId="086E82D8" w:rsidR="000926EA" w:rsidRPr="000926EA" w:rsidRDefault="000C09DE" w:rsidP="000926EA">
            <w:pPr>
              <w:keepLines/>
              <w:spacing w:before="40" w:after="40" w:line="190" w:lineRule="exact"/>
              <w:jc w:val="left"/>
              <w:rPr>
                <w:sz w:val="20"/>
                <w:szCs w:val="20"/>
              </w:rPr>
            </w:pPr>
            <w:r>
              <w:rPr>
                <w:sz w:val="20"/>
                <w:szCs w:val="20"/>
              </w:rPr>
              <w:t>40-44</w:t>
            </w:r>
          </w:p>
        </w:tc>
        <w:tc>
          <w:tcPr>
            <w:tcW w:w="4536" w:type="dxa"/>
            <w:tcBorders>
              <w:top w:val="single" w:sz="6" w:space="0" w:color="auto"/>
              <w:left w:val="single" w:sz="6" w:space="0" w:color="auto"/>
              <w:bottom w:val="single" w:sz="6" w:space="0" w:color="auto"/>
              <w:right w:val="single" w:sz="6" w:space="0" w:color="auto"/>
            </w:tcBorders>
          </w:tcPr>
          <w:p w14:paraId="218197AE" w14:textId="77777777" w:rsidR="000926EA" w:rsidRDefault="000C09DE" w:rsidP="000926EA">
            <w:pPr>
              <w:keepLines/>
              <w:spacing w:before="40" w:after="40" w:line="190" w:lineRule="exact"/>
              <w:jc w:val="left"/>
              <w:rPr>
                <w:sz w:val="20"/>
                <w:szCs w:val="20"/>
              </w:rPr>
            </w:pPr>
            <w:r>
              <w:rPr>
                <w:sz w:val="20"/>
                <w:szCs w:val="20"/>
              </w:rPr>
              <w:t xml:space="preserve">Requirement 9.4 a) 3) of the ICVCM Assessment Framework requires carbon-crediting programs to </w:t>
            </w:r>
            <w:r w:rsidRPr="000C09DE">
              <w:rPr>
                <w:sz w:val="20"/>
                <w:szCs w:val="20"/>
              </w:rPr>
              <w:t>define and apply clear criteria for determining whether a reversal is avoidable or unavoidable</w:t>
            </w:r>
            <w:r>
              <w:rPr>
                <w:sz w:val="20"/>
                <w:szCs w:val="20"/>
              </w:rPr>
              <w:t xml:space="preserve">. </w:t>
            </w:r>
          </w:p>
          <w:p w14:paraId="62D52C52" w14:textId="77777777" w:rsidR="000C09DE" w:rsidRDefault="000C09DE" w:rsidP="000926EA">
            <w:pPr>
              <w:keepLines/>
              <w:spacing w:before="40" w:after="40" w:line="190" w:lineRule="exact"/>
              <w:jc w:val="left"/>
              <w:rPr>
                <w:sz w:val="20"/>
                <w:szCs w:val="20"/>
              </w:rPr>
            </w:pPr>
          </w:p>
          <w:p w14:paraId="09FF0E39" w14:textId="77777777" w:rsidR="000C09DE" w:rsidRDefault="000C09DE" w:rsidP="000C09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 w:val="19"/>
                <w:szCs w:val="19"/>
                <w:lang w:eastAsia="zh-CN"/>
              </w:rPr>
            </w:pPr>
            <w:r>
              <w:rPr>
                <w:sz w:val="20"/>
                <w:szCs w:val="20"/>
              </w:rPr>
              <w:t xml:space="preserve">Recommendation 1 of the recently published report on the ICVCM Continuous Improvement Work Program on Permanence suggest that the ICVCM include a standard definition of what is classified as avoidable and unavoidable reversals. The recommendation notes that </w:t>
            </w:r>
            <w:r>
              <w:rPr>
                <w:rFonts w:ascii="Helvetica" w:hAnsi="Helvetica" w:cs="Helvetica"/>
                <w:color w:val="141413"/>
                <w:sz w:val="19"/>
                <w:szCs w:val="19"/>
                <w:lang w:eastAsia="zh-CN"/>
              </w:rPr>
              <w:t>no definition will encompass all possible reversal scenarios and that this definition could change the way pooled buffer reserves are currently managed. Because of this, the CIWP recommends that the ICVCM define the terms in a way that minimises moral hazard and excludes non-credible definitions.</w:t>
            </w:r>
          </w:p>
          <w:p w14:paraId="7755AFD4" w14:textId="77777777" w:rsidR="00B13C7A" w:rsidRDefault="00B13C7A" w:rsidP="000C09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 w:val="19"/>
                <w:szCs w:val="19"/>
                <w:lang w:eastAsia="zh-CN"/>
              </w:rPr>
            </w:pPr>
          </w:p>
          <w:p w14:paraId="144774E1" w14:textId="5A89E652" w:rsidR="000C09DE" w:rsidRPr="000C09DE" w:rsidRDefault="000C09DE" w:rsidP="000C09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 w:val="19"/>
                <w:szCs w:val="19"/>
                <w:lang w:eastAsia="zh-CN"/>
              </w:rPr>
            </w:pPr>
            <w:r>
              <w:rPr>
                <w:rFonts w:ascii="Helvetica" w:hAnsi="Helvetica" w:cs="Helvetica"/>
                <w:color w:val="141413"/>
                <w:sz w:val="19"/>
                <w:szCs w:val="19"/>
                <w:lang w:eastAsia="zh-CN"/>
              </w:rPr>
              <w:t>The MEP is invited to access the full report (</w:t>
            </w:r>
            <w:hyperlink r:id="rId12" w:history="1">
              <w:r w:rsidRPr="000C09DE">
                <w:rPr>
                  <w:rStyle w:val="Hyperlink"/>
                  <w:rFonts w:ascii="Helvetica" w:hAnsi="Helvetica" w:cs="Helvetica"/>
                  <w:sz w:val="19"/>
                  <w:szCs w:val="19"/>
                  <w:lang w:eastAsia="zh-CN"/>
                </w:rPr>
                <w:t>link</w:t>
              </w:r>
            </w:hyperlink>
            <w:r>
              <w:rPr>
                <w:rFonts w:ascii="Helvetica" w:hAnsi="Helvetica" w:cs="Helvetica"/>
                <w:color w:val="141413"/>
                <w:sz w:val="19"/>
                <w:szCs w:val="19"/>
                <w:lang w:eastAsia="zh-CN"/>
              </w:rPr>
              <w:t>).</w:t>
            </w:r>
          </w:p>
        </w:tc>
        <w:tc>
          <w:tcPr>
            <w:tcW w:w="4856" w:type="dxa"/>
            <w:tcBorders>
              <w:top w:val="single" w:sz="6" w:space="0" w:color="auto"/>
              <w:left w:val="single" w:sz="6" w:space="0" w:color="auto"/>
              <w:bottom w:val="single" w:sz="6" w:space="0" w:color="auto"/>
              <w:right w:val="single" w:sz="6" w:space="0" w:color="auto"/>
            </w:tcBorders>
          </w:tcPr>
          <w:p w14:paraId="145B9AFB" w14:textId="77777777" w:rsidR="000926EA" w:rsidRPr="000926EA" w:rsidRDefault="000926EA" w:rsidP="000926EA">
            <w:pPr>
              <w:keepLines/>
              <w:spacing w:before="40" w:after="40" w:line="190" w:lineRule="exact"/>
              <w:jc w:val="left"/>
              <w:rPr>
                <w:sz w:val="20"/>
                <w:szCs w:val="20"/>
              </w:rPr>
            </w:pPr>
          </w:p>
        </w:tc>
      </w:tr>
      <w:tr w:rsidR="000C09DE" w:rsidRPr="000926EA" w14:paraId="2560718E" w14:textId="77777777" w:rsidTr="008D4BE2">
        <w:trPr>
          <w:cantSplit/>
          <w:jc w:val="center"/>
        </w:trPr>
        <w:tc>
          <w:tcPr>
            <w:tcW w:w="743" w:type="dxa"/>
            <w:tcBorders>
              <w:top w:val="single" w:sz="6" w:space="0" w:color="auto"/>
              <w:left w:val="single" w:sz="6" w:space="0" w:color="auto"/>
              <w:bottom w:val="single" w:sz="6" w:space="0" w:color="auto"/>
              <w:right w:val="single" w:sz="6" w:space="0" w:color="auto"/>
            </w:tcBorders>
          </w:tcPr>
          <w:p w14:paraId="24306146" w14:textId="4D44D52F" w:rsidR="000C09DE" w:rsidRPr="000926EA" w:rsidRDefault="000C09DE">
            <w:pPr>
              <w:keepLines/>
              <w:spacing w:before="40" w:after="40" w:line="190" w:lineRule="exact"/>
              <w:jc w:val="center"/>
              <w:rPr>
                <w:sz w:val="20"/>
                <w:szCs w:val="20"/>
              </w:rPr>
            </w:pPr>
            <w:r>
              <w:rPr>
                <w:sz w:val="20"/>
                <w:szCs w:val="20"/>
              </w:rPr>
              <w:lastRenderedPageBreak/>
              <w:t>7</w:t>
            </w:r>
          </w:p>
        </w:tc>
        <w:tc>
          <w:tcPr>
            <w:tcW w:w="2802" w:type="dxa"/>
            <w:tcBorders>
              <w:top w:val="single" w:sz="6" w:space="0" w:color="auto"/>
              <w:left w:val="single" w:sz="6" w:space="0" w:color="auto"/>
              <w:bottom w:val="single" w:sz="6" w:space="0" w:color="auto"/>
              <w:right w:val="single" w:sz="6" w:space="0" w:color="auto"/>
            </w:tcBorders>
          </w:tcPr>
          <w:p w14:paraId="6F1071A6" w14:textId="4A2F1449" w:rsidR="000C09DE" w:rsidRDefault="00251D2B" w:rsidP="000926EA">
            <w:pPr>
              <w:keepLines/>
              <w:spacing w:before="40" w:after="40" w:line="190" w:lineRule="exact"/>
              <w:jc w:val="left"/>
              <w:rPr>
                <w:sz w:val="20"/>
                <w:szCs w:val="20"/>
              </w:rPr>
            </w:pPr>
            <w:r>
              <w:rPr>
                <w:sz w:val="20"/>
                <w:szCs w:val="20"/>
              </w:rPr>
              <w:t>Appendix 1, Section 7.4</w:t>
            </w:r>
          </w:p>
        </w:tc>
        <w:tc>
          <w:tcPr>
            <w:tcW w:w="2977" w:type="dxa"/>
            <w:tcBorders>
              <w:top w:val="single" w:sz="6" w:space="0" w:color="auto"/>
              <w:left w:val="single" w:sz="6" w:space="0" w:color="auto"/>
              <w:bottom w:val="single" w:sz="6" w:space="0" w:color="auto"/>
              <w:right w:val="single" w:sz="6" w:space="0" w:color="auto"/>
            </w:tcBorders>
          </w:tcPr>
          <w:p w14:paraId="64E4E87C" w14:textId="77777777" w:rsidR="000C09DE" w:rsidRDefault="000C09DE" w:rsidP="000926EA">
            <w:pPr>
              <w:keepLines/>
              <w:spacing w:before="40" w:after="40" w:line="190" w:lineRule="exact"/>
              <w:jc w:val="left"/>
              <w:rPr>
                <w:sz w:val="20"/>
                <w:szCs w:val="20"/>
              </w:rPr>
            </w:pPr>
          </w:p>
        </w:tc>
        <w:tc>
          <w:tcPr>
            <w:tcW w:w="4536" w:type="dxa"/>
            <w:tcBorders>
              <w:top w:val="single" w:sz="6" w:space="0" w:color="auto"/>
              <w:left w:val="single" w:sz="6" w:space="0" w:color="auto"/>
              <w:bottom w:val="single" w:sz="6" w:space="0" w:color="auto"/>
              <w:right w:val="single" w:sz="6" w:space="0" w:color="auto"/>
            </w:tcBorders>
          </w:tcPr>
          <w:p w14:paraId="3298EA97" w14:textId="036DDAC2" w:rsidR="00251D2B" w:rsidRDefault="00251D2B" w:rsidP="00251D2B">
            <w:pPr>
              <w:keepLines/>
              <w:spacing w:before="40" w:after="40" w:line="190" w:lineRule="exact"/>
              <w:jc w:val="left"/>
              <w:rPr>
                <w:sz w:val="20"/>
                <w:szCs w:val="20"/>
              </w:rPr>
            </w:pPr>
            <w:r>
              <w:rPr>
                <w:sz w:val="20"/>
                <w:szCs w:val="20"/>
              </w:rPr>
              <w:t xml:space="preserve">Criterion 9.3 of the ICVCM Assessment Framework sets the following requirements for. Monitoring of reversals: </w:t>
            </w:r>
          </w:p>
          <w:p w14:paraId="13E48E29" w14:textId="77777777" w:rsidR="00251D2B" w:rsidRPr="00AB0337" w:rsidRDefault="00251D2B" w:rsidP="00251D2B">
            <w:pPr>
              <w:keepLines/>
              <w:spacing w:before="40" w:after="40" w:line="190" w:lineRule="exact"/>
              <w:jc w:val="left"/>
              <w:rPr>
                <w:sz w:val="16"/>
                <w:szCs w:val="16"/>
              </w:rPr>
            </w:pPr>
            <w:r w:rsidRPr="00AB0337">
              <w:rPr>
                <w:sz w:val="16"/>
                <w:szCs w:val="16"/>
              </w:rPr>
              <w:t>CRITERION 9.3 MONITORING AND COMPENSATION PERIOD</w:t>
            </w:r>
          </w:p>
          <w:p w14:paraId="422E74F7" w14:textId="77777777" w:rsidR="00251D2B" w:rsidRPr="00AB0337" w:rsidRDefault="00251D2B" w:rsidP="00251D2B">
            <w:pPr>
              <w:keepLines/>
              <w:spacing w:before="40" w:after="40" w:line="190" w:lineRule="exact"/>
              <w:jc w:val="left"/>
              <w:rPr>
                <w:sz w:val="16"/>
                <w:szCs w:val="16"/>
              </w:rPr>
            </w:pPr>
            <w:r w:rsidRPr="00AB0337">
              <w:rPr>
                <w:sz w:val="16"/>
                <w:szCs w:val="16"/>
              </w:rPr>
              <w:t>a) The carbon-crediting program shall in relation to Categories listed in criterion 9.1 b) 1) above:</w:t>
            </w:r>
          </w:p>
          <w:p w14:paraId="0B49F8CE" w14:textId="77777777" w:rsidR="00251D2B" w:rsidRPr="00AB0337" w:rsidRDefault="00251D2B" w:rsidP="00251D2B">
            <w:pPr>
              <w:keepLines/>
              <w:spacing w:before="40" w:after="40" w:line="190" w:lineRule="exact"/>
              <w:jc w:val="left"/>
              <w:rPr>
                <w:sz w:val="16"/>
                <w:szCs w:val="16"/>
              </w:rPr>
            </w:pPr>
            <w:r w:rsidRPr="00AB0337">
              <w:rPr>
                <w:sz w:val="16"/>
                <w:szCs w:val="16"/>
              </w:rPr>
              <w:t xml:space="preserve">1) require a monitoring and compensation period for such mitigation activities of at least forty years from the start of the first crediting period or to at least the end of the crediting period, whichever is the </w:t>
            </w:r>
            <w:proofErr w:type="gramStart"/>
            <w:r w:rsidRPr="00AB0337">
              <w:rPr>
                <w:sz w:val="16"/>
                <w:szCs w:val="16"/>
              </w:rPr>
              <w:t>later;</w:t>
            </w:r>
            <w:proofErr w:type="gramEnd"/>
          </w:p>
          <w:p w14:paraId="2FDABED8" w14:textId="16D65315" w:rsidR="00251D2B" w:rsidRPr="00AB0337" w:rsidRDefault="00251D2B" w:rsidP="00251D2B">
            <w:pPr>
              <w:keepLines/>
              <w:spacing w:before="40" w:after="40" w:line="190" w:lineRule="exact"/>
              <w:jc w:val="left"/>
              <w:rPr>
                <w:sz w:val="16"/>
                <w:szCs w:val="16"/>
              </w:rPr>
            </w:pPr>
            <w:r w:rsidRPr="00AB0337">
              <w:rPr>
                <w:sz w:val="16"/>
                <w:szCs w:val="16"/>
              </w:rPr>
              <w:t xml:space="preserve">2) require mitigation activity proponents to monitor and report any reversals for the full monitoring and compensation period and compensate for avoidable </w:t>
            </w:r>
            <w:proofErr w:type="gramStart"/>
            <w:r w:rsidRPr="00AB0337">
              <w:rPr>
                <w:sz w:val="16"/>
                <w:szCs w:val="16"/>
              </w:rPr>
              <w:t>reversals;</w:t>
            </w:r>
            <w:proofErr w:type="gramEnd"/>
          </w:p>
          <w:p w14:paraId="75D82D4C" w14:textId="77777777" w:rsidR="00251D2B" w:rsidRPr="00AB0337" w:rsidRDefault="00251D2B" w:rsidP="00251D2B">
            <w:pPr>
              <w:keepLines/>
              <w:spacing w:before="40" w:after="40" w:line="190" w:lineRule="exact"/>
              <w:jc w:val="left"/>
              <w:rPr>
                <w:sz w:val="16"/>
                <w:szCs w:val="16"/>
              </w:rPr>
            </w:pPr>
            <w:r w:rsidRPr="00AB0337">
              <w:rPr>
                <w:sz w:val="16"/>
                <w:szCs w:val="16"/>
              </w:rPr>
              <w:t xml:space="preserve">3) refrain from issuing further carbon credits until avoidable reversals have been </w:t>
            </w:r>
            <w:proofErr w:type="gramStart"/>
            <w:r w:rsidRPr="00AB0337">
              <w:rPr>
                <w:sz w:val="16"/>
                <w:szCs w:val="16"/>
              </w:rPr>
              <w:t>compensated;</w:t>
            </w:r>
            <w:proofErr w:type="gramEnd"/>
          </w:p>
          <w:p w14:paraId="014EABBB" w14:textId="77777777" w:rsidR="00251D2B" w:rsidRPr="00AB0337" w:rsidRDefault="00251D2B" w:rsidP="00251D2B">
            <w:pPr>
              <w:keepLines/>
              <w:spacing w:before="40" w:after="40" w:line="190" w:lineRule="exact"/>
              <w:jc w:val="left"/>
              <w:rPr>
                <w:sz w:val="16"/>
                <w:szCs w:val="16"/>
              </w:rPr>
            </w:pPr>
            <w:r w:rsidRPr="00AB0337">
              <w:rPr>
                <w:sz w:val="16"/>
                <w:szCs w:val="16"/>
              </w:rPr>
              <w:t xml:space="preserve">4) draw upon the pooled buffer reserve if avoidable reversals are not compensated per a) 2) </w:t>
            </w:r>
            <w:proofErr w:type="gramStart"/>
            <w:r w:rsidRPr="00AB0337">
              <w:rPr>
                <w:sz w:val="16"/>
                <w:szCs w:val="16"/>
              </w:rPr>
              <w:t>above;</w:t>
            </w:r>
            <w:proofErr w:type="gramEnd"/>
          </w:p>
          <w:p w14:paraId="1FAB47D9" w14:textId="77777777" w:rsidR="000C09DE" w:rsidRDefault="00251D2B" w:rsidP="00251D2B">
            <w:pPr>
              <w:keepLines/>
              <w:spacing w:before="40" w:after="40" w:line="190" w:lineRule="exact"/>
              <w:jc w:val="left"/>
              <w:rPr>
                <w:sz w:val="16"/>
                <w:szCs w:val="16"/>
              </w:rPr>
            </w:pPr>
            <w:r w:rsidRPr="00AB0337">
              <w:rPr>
                <w:sz w:val="16"/>
                <w:szCs w:val="16"/>
              </w:rPr>
              <w:t>5) treat cessation of monitoring and verification as an avoidable reversal.</w:t>
            </w:r>
          </w:p>
          <w:p w14:paraId="73B0806F" w14:textId="77777777" w:rsidR="00251D2B" w:rsidRDefault="00251D2B" w:rsidP="00251D2B">
            <w:pPr>
              <w:keepLines/>
              <w:spacing w:before="40" w:after="40" w:line="190" w:lineRule="exact"/>
              <w:jc w:val="left"/>
              <w:rPr>
                <w:sz w:val="16"/>
                <w:szCs w:val="16"/>
              </w:rPr>
            </w:pPr>
          </w:p>
          <w:p w14:paraId="14C22ACF" w14:textId="77777777" w:rsidR="00615A49" w:rsidRDefault="00251D2B" w:rsidP="00251D2B">
            <w:pPr>
              <w:keepLines/>
              <w:spacing w:before="40" w:after="40" w:line="190" w:lineRule="exact"/>
              <w:jc w:val="left"/>
              <w:rPr>
                <w:sz w:val="20"/>
                <w:szCs w:val="20"/>
              </w:rPr>
            </w:pPr>
            <w:r>
              <w:rPr>
                <w:sz w:val="20"/>
                <w:szCs w:val="20"/>
              </w:rPr>
              <w:t xml:space="preserve">Recommendation </w:t>
            </w:r>
            <w:r w:rsidR="00615A49">
              <w:rPr>
                <w:sz w:val="20"/>
                <w:szCs w:val="20"/>
              </w:rPr>
              <w:t>1</w:t>
            </w:r>
            <w:r>
              <w:rPr>
                <w:sz w:val="20"/>
                <w:szCs w:val="20"/>
              </w:rPr>
              <w:t xml:space="preserve"> of the recently published report on the ICVCM Continuous Improvement Work Program on Permanence suggest that the ICVCM</w:t>
            </w:r>
            <w:r w:rsidRPr="00251D2B">
              <w:rPr>
                <w:sz w:val="20"/>
                <w:szCs w:val="20"/>
              </w:rPr>
              <w:t xml:space="preserve"> </w:t>
            </w:r>
            <w:r>
              <w:rPr>
                <w:sz w:val="20"/>
                <w:szCs w:val="20"/>
              </w:rPr>
              <w:t>s</w:t>
            </w:r>
            <w:r w:rsidRPr="00251D2B">
              <w:rPr>
                <w:sz w:val="20"/>
                <w:szCs w:val="20"/>
              </w:rPr>
              <w:t>hould clarify</w:t>
            </w:r>
            <w:r>
              <w:rPr>
                <w:sz w:val="20"/>
                <w:szCs w:val="20"/>
              </w:rPr>
              <w:t xml:space="preserve"> </w:t>
            </w:r>
            <w:r w:rsidRPr="00251D2B">
              <w:rPr>
                <w:sz w:val="20"/>
                <w:szCs w:val="20"/>
              </w:rPr>
              <w:t>that cessation of monitoring and verification should result in a compensation</w:t>
            </w:r>
            <w:r>
              <w:rPr>
                <w:sz w:val="20"/>
                <w:szCs w:val="20"/>
              </w:rPr>
              <w:t xml:space="preserve"> </w:t>
            </w:r>
            <w:r w:rsidRPr="00251D2B">
              <w:rPr>
                <w:sz w:val="20"/>
                <w:szCs w:val="20"/>
              </w:rPr>
              <w:t>liability equivalent to the amount of credits that a project previously contributed</w:t>
            </w:r>
            <w:r>
              <w:rPr>
                <w:sz w:val="20"/>
                <w:szCs w:val="20"/>
              </w:rPr>
              <w:t xml:space="preserve"> </w:t>
            </w:r>
            <w:r w:rsidRPr="00251D2B">
              <w:rPr>
                <w:sz w:val="20"/>
                <w:szCs w:val="20"/>
              </w:rPr>
              <w:t>to a pooled buffer reserve.</w:t>
            </w:r>
            <w:r>
              <w:rPr>
                <w:sz w:val="20"/>
                <w:szCs w:val="20"/>
              </w:rPr>
              <w:t xml:space="preserve"> </w:t>
            </w:r>
          </w:p>
          <w:p w14:paraId="71140692" w14:textId="4AB82076" w:rsidR="00251D2B" w:rsidRDefault="00251D2B" w:rsidP="00251D2B">
            <w:pPr>
              <w:keepLines/>
              <w:spacing w:before="40" w:after="40" w:line="190" w:lineRule="exact"/>
              <w:jc w:val="left"/>
              <w:rPr>
                <w:sz w:val="20"/>
                <w:szCs w:val="20"/>
              </w:rPr>
            </w:pPr>
            <w:r>
              <w:rPr>
                <w:sz w:val="20"/>
                <w:szCs w:val="20"/>
              </w:rPr>
              <w:t>Recommendation 5 states that t</w:t>
            </w:r>
            <w:r w:rsidRPr="00251D2B">
              <w:rPr>
                <w:sz w:val="20"/>
                <w:szCs w:val="20"/>
              </w:rPr>
              <w:t>he ICVCM should explore options for extending the 40-year monitoring and</w:t>
            </w:r>
            <w:r>
              <w:rPr>
                <w:sz w:val="20"/>
                <w:szCs w:val="20"/>
              </w:rPr>
              <w:t xml:space="preserve"> </w:t>
            </w:r>
            <w:r w:rsidRPr="00251D2B">
              <w:rPr>
                <w:sz w:val="20"/>
                <w:szCs w:val="20"/>
              </w:rPr>
              <w:t>compensation period tied to the beginning of the project crediting period in a way</w:t>
            </w:r>
            <w:r>
              <w:rPr>
                <w:sz w:val="20"/>
                <w:szCs w:val="20"/>
              </w:rPr>
              <w:t xml:space="preserve"> </w:t>
            </w:r>
            <w:r w:rsidRPr="00251D2B">
              <w:rPr>
                <w:sz w:val="20"/>
                <w:szCs w:val="20"/>
              </w:rPr>
              <w:t>that distributes liability amongst other market participants and allows for the use</w:t>
            </w:r>
            <w:r>
              <w:rPr>
                <w:sz w:val="20"/>
                <w:szCs w:val="20"/>
              </w:rPr>
              <w:t xml:space="preserve"> </w:t>
            </w:r>
            <w:r w:rsidRPr="00251D2B">
              <w:rPr>
                <w:sz w:val="20"/>
                <w:szCs w:val="20"/>
              </w:rPr>
              <w:t>of novel compensation mechanisms.</w:t>
            </w:r>
            <w:r>
              <w:rPr>
                <w:sz w:val="20"/>
                <w:szCs w:val="20"/>
              </w:rPr>
              <w:t xml:space="preserve"> </w:t>
            </w:r>
          </w:p>
          <w:p w14:paraId="700D624B" w14:textId="77777777" w:rsidR="00251D2B" w:rsidRDefault="00251D2B" w:rsidP="00251D2B">
            <w:pPr>
              <w:keepLines/>
              <w:spacing w:before="40" w:after="40" w:line="190" w:lineRule="exact"/>
              <w:jc w:val="left"/>
              <w:rPr>
                <w:sz w:val="20"/>
                <w:szCs w:val="20"/>
              </w:rPr>
            </w:pPr>
            <w:r>
              <w:rPr>
                <w:sz w:val="20"/>
                <w:szCs w:val="20"/>
              </w:rPr>
              <w:t>The options put forward by the CIWP include:</w:t>
            </w:r>
          </w:p>
          <w:p w14:paraId="30E600B5" w14:textId="2601AA63" w:rsidR="00251D2B" w:rsidRDefault="00251D2B" w:rsidP="00251D2B">
            <w:pPr>
              <w:pStyle w:val="ListParagraph"/>
              <w:keepLines/>
              <w:numPr>
                <w:ilvl w:val="0"/>
                <w:numId w:val="3"/>
              </w:numPr>
              <w:spacing w:before="40" w:after="40" w:line="190" w:lineRule="exact"/>
              <w:ind w:left="455"/>
              <w:jc w:val="left"/>
              <w:rPr>
                <w:sz w:val="20"/>
                <w:szCs w:val="20"/>
              </w:rPr>
            </w:pPr>
            <w:r w:rsidRPr="00251D2B">
              <w:rPr>
                <w:sz w:val="20"/>
                <w:szCs w:val="20"/>
              </w:rPr>
              <w:t>Transition to issuance-based monitoring and compensation</w:t>
            </w:r>
          </w:p>
          <w:p w14:paraId="2FF8A699" w14:textId="77777777" w:rsidR="00251D2B" w:rsidRDefault="00251D2B" w:rsidP="00251D2B">
            <w:pPr>
              <w:pStyle w:val="ListParagraph"/>
              <w:keepLines/>
              <w:numPr>
                <w:ilvl w:val="0"/>
                <w:numId w:val="3"/>
              </w:numPr>
              <w:spacing w:before="40" w:after="40" w:line="190" w:lineRule="exact"/>
              <w:ind w:left="455"/>
              <w:jc w:val="left"/>
              <w:rPr>
                <w:sz w:val="20"/>
                <w:szCs w:val="20"/>
              </w:rPr>
            </w:pPr>
            <w:r w:rsidRPr="00251D2B">
              <w:rPr>
                <w:sz w:val="20"/>
                <w:szCs w:val="20"/>
              </w:rPr>
              <w:t>Permanence fund</w:t>
            </w:r>
          </w:p>
          <w:p w14:paraId="04206AA8" w14:textId="77777777" w:rsidR="00251D2B" w:rsidRDefault="00251D2B" w:rsidP="00251D2B">
            <w:pPr>
              <w:pStyle w:val="ListParagraph"/>
              <w:keepLines/>
              <w:numPr>
                <w:ilvl w:val="0"/>
                <w:numId w:val="3"/>
              </w:numPr>
              <w:spacing w:before="40" w:after="40" w:line="190" w:lineRule="exact"/>
              <w:ind w:left="455"/>
              <w:jc w:val="left"/>
              <w:rPr>
                <w:sz w:val="20"/>
                <w:szCs w:val="20"/>
              </w:rPr>
            </w:pPr>
            <w:r w:rsidRPr="00251D2B">
              <w:rPr>
                <w:sz w:val="20"/>
                <w:szCs w:val="20"/>
              </w:rPr>
              <w:t>Industry-wide pooled buffer reserve</w:t>
            </w:r>
          </w:p>
          <w:p w14:paraId="020F5C15" w14:textId="142254EB" w:rsidR="00251D2B" w:rsidRPr="00251D2B" w:rsidRDefault="00251D2B" w:rsidP="00251D2B">
            <w:pPr>
              <w:pStyle w:val="ListParagraph"/>
              <w:keepLines/>
              <w:numPr>
                <w:ilvl w:val="0"/>
                <w:numId w:val="3"/>
              </w:numPr>
              <w:spacing w:before="40" w:after="40" w:line="190" w:lineRule="exact"/>
              <w:ind w:left="455"/>
              <w:jc w:val="left"/>
              <w:rPr>
                <w:sz w:val="20"/>
                <w:szCs w:val="20"/>
              </w:rPr>
            </w:pPr>
            <w:r w:rsidRPr="00251D2B">
              <w:rPr>
                <w:sz w:val="20"/>
                <w:szCs w:val="20"/>
              </w:rPr>
              <w:t>Insurance</w:t>
            </w:r>
          </w:p>
          <w:p w14:paraId="7F44C2AA" w14:textId="77777777" w:rsidR="00251D2B" w:rsidRDefault="00251D2B" w:rsidP="00251D2B">
            <w:pPr>
              <w:keepLines/>
              <w:spacing w:before="40" w:after="40" w:line="190" w:lineRule="exact"/>
              <w:jc w:val="left"/>
              <w:rPr>
                <w:sz w:val="20"/>
                <w:szCs w:val="20"/>
              </w:rPr>
            </w:pPr>
          </w:p>
          <w:p w14:paraId="3CB7CE90" w14:textId="7D9090C7" w:rsidR="00251D2B" w:rsidRDefault="00251D2B" w:rsidP="00251D2B">
            <w:pPr>
              <w:keepLines/>
              <w:spacing w:before="40" w:after="40" w:line="190" w:lineRule="exact"/>
              <w:jc w:val="left"/>
              <w:rPr>
                <w:sz w:val="20"/>
                <w:szCs w:val="20"/>
              </w:rPr>
            </w:pPr>
            <w:r>
              <w:rPr>
                <w:sz w:val="20"/>
                <w:szCs w:val="20"/>
              </w:rPr>
              <w:t xml:space="preserve">These options are further elaborated in the full report </w:t>
            </w:r>
            <w:r>
              <w:rPr>
                <w:rFonts w:ascii="Helvetica" w:hAnsi="Helvetica" w:cs="Helvetica"/>
                <w:color w:val="141413"/>
                <w:sz w:val="19"/>
                <w:szCs w:val="19"/>
                <w:lang w:eastAsia="zh-CN"/>
              </w:rPr>
              <w:t>(</w:t>
            </w:r>
            <w:hyperlink r:id="rId13" w:history="1">
              <w:r w:rsidRPr="000C09DE">
                <w:rPr>
                  <w:rStyle w:val="Hyperlink"/>
                  <w:rFonts w:ascii="Helvetica" w:hAnsi="Helvetica" w:cs="Helvetica"/>
                  <w:sz w:val="19"/>
                  <w:szCs w:val="19"/>
                  <w:lang w:eastAsia="zh-CN"/>
                </w:rPr>
                <w:t>link</w:t>
              </w:r>
            </w:hyperlink>
            <w:r>
              <w:rPr>
                <w:rFonts w:ascii="Helvetica" w:hAnsi="Helvetica" w:cs="Helvetica"/>
                <w:color w:val="141413"/>
                <w:sz w:val="19"/>
                <w:szCs w:val="19"/>
                <w:lang w:eastAsia="zh-CN"/>
              </w:rPr>
              <w:t>).</w:t>
            </w:r>
          </w:p>
        </w:tc>
        <w:tc>
          <w:tcPr>
            <w:tcW w:w="4856" w:type="dxa"/>
            <w:tcBorders>
              <w:top w:val="single" w:sz="6" w:space="0" w:color="auto"/>
              <w:left w:val="single" w:sz="6" w:space="0" w:color="auto"/>
              <w:bottom w:val="single" w:sz="6" w:space="0" w:color="auto"/>
              <w:right w:val="single" w:sz="6" w:space="0" w:color="auto"/>
            </w:tcBorders>
          </w:tcPr>
          <w:p w14:paraId="727C4B44" w14:textId="77777777" w:rsidR="000C09DE" w:rsidRPr="000926EA" w:rsidRDefault="000C09DE" w:rsidP="000926EA">
            <w:pPr>
              <w:keepLines/>
              <w:spacing w:before="40" w:after="40" w:line="190" w:lineRule="exact"/>
              <w:jc w:val="left"/>
              <w:rPr>
                <w:sz w:val="20"/>
                <w:szCs w:val="20"/>
              </w:rPr>
            </w:pPr>
          </w:p>
        </w:tc>
      </w:tr>
      <w:tr w:rsidR="000C09DE" w:rsidRPr="000926EA" w14:paraId="5AADD9F0" w14:textId="77777777" w:rsidTr="008D4BE2">
        <w:trPr>
          <w:cantSplit/>
          <w:jc w:val="center"/>
        </w:trPr>
        <w:tc>
          <w:tcPr>
            <w:tcW w:w="743" w:type="dxa"/>
            <w:tcBorders>
              <w:top w:val="single" w:sz="6" w:space="0" w:color="auto"/>
              <w:left w:val="single" w:sz="6" w:space="0" w:color="auto"/>
              <w:bottom w:val="single" w:sz="6" w:space="0" w:color="auto"/>
              <w:right w:val="single" w:sz="6" w:space="0" w:color="auto"/>
            </w:tcBorders>
          </w:tcPr>
          <w:p w14:paraId="0CE13C36" w14:textId="64B35D97" w:rsidR="000C09DE" w:rsidRPr="000926EA" w:rsidRDefault="000C09DE">
            <w:pPr>
              <w:keepLines/>
              <w:spacing w:before="40" w:after="40" w:line="190" w:lineRule="exact"/>
              <w:jc w:val="center"/>
              <w:rPr>
                <w:sz w:val="20"/>
                <w:szCs w:val="20"/>
              </w:rPr>
            </w:pPr>
            <w:r>
              <w:rPr>
                <w:sz w:val="20"/>
                <w:szCs w:val="20"/>
              </w:rPr>
              <w:t>8</w:t>
            </w:r>
          </w:p>
        </w:tc>
        <w:tc>
          <w:tcPr>
            <w:tcW w:w="2802" w:type="dxa"/>
            <w:tcBorders>
              <w:top w:val="single" w:sz="6" w:space="0" w:color="auto"/>
              <w:left w:val="single" w:sz="6" w:space="0" w:color="auto"/>
              <w:bottom w:val="single" w:sz="6" w:space="0" w:color="auto"/>
              <w:right w:val="single" w:sz="6" w:space="0" w:color="auto"/>
            </w:tcBorders>
          </w:tcPr>
          <w:p w14:paraId="37CF8FE7" w14:textId="3259F5EB" w:rsidR="000C09DE" w:rsidRDefault="007E5810" w:rsidP="000926EA">
            <w:pPr>
              <w:keepLines/>
              <w:spacing w:before="40" w:after="40" w:line="190" w:lineRule="exact"/>
              <w:jc w:val="left"/>
              <w:rPr>
                <w:sz w:val="20"/>
                <w:szCs w:val="20"/>
              </w:rPr>
            </w:pPr>
            <w:r>
              <w:rPr>
                <w:sz w:val="20"/>
                <w:szCs w:val="20"/>
              </w:rPr>
              <w:t xml:space="preserve">Annex 2. </w:t>
            </w:r>
            <w:r w:rsidRPr="007E5810">
              <w:rPr>
                <w:sz w:val="20"/>
                <w:szCs w:val="20"/>
              </w:rPr>
              <w:t>Section 1.1</w:t>
            </w:r>
            <w:r>
              <w:rPr>
                <w:sz w:val="20"/>
                <w:szCs w:val="20"/>
              </w:rPr>
              <w:t>.</w:t>
            </w:r>
          </w:p>
        </w:tc>
        <w:tc>
          <w:tcPr>
            <w:tcW w:w="2977" w:type="dxa"/>
            <w:tcBorders>
              <w:top w:val="single" w:sz="6" w:space="0" w:color="auto"/>
              <w:left w:val="single" w:sz="6" w:space="0" w:color="auto"/>
              <w:bottom w:val="single" w:sz="6" w:space="0" w:color="auto"/>
              <w:right w:val="single" w:sz="6" w:space="0" w:color="auto"/>
            </w:tcBorders>
          </w:tcPr>
          <w:p w14:paraId="30D05D4F" w14:textId="403C12A9" w:rsidR="000C09DE" w:rsidRDefault="007E5810" w:rsidP="000926EA">
            <w:pPr>
              <w:keepLines/>
              <w:spacing w:before="40" w:after="40" w:line="190" w:lineRule="exact"/>
              <w:jc w:val="left"/>
              <w:rPr>
                <w:sz w:val="20"/>
                <w:szCs w:val="20"/>
              </w:rPr>
            </w:pPr>
            <w:r>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14:paraId="44986D66" w14:textId="1B16E0D6" w:rsidR="000C09DE" w:rsidRPr="007E5810" w:rsidRDefault="007E5810" w:rsidP="007E5810">
            <w:pPr>
              <w:keepLines/>
              <w:spacing w:before="40" w:after="40" w:line="190" w:lineRule="exact"/>
              <w:jc w:val="left"/>
              <w:rPr>
                <w:sz w:val="20"/>
                <w:szCs w:val="20"/>
              </w:rPr>
            </w:pPr>
            <w:r>
              <w:rPr>
                <w:sz w:val="20"/>
                <w:szCs w:val="20"/>
              </w:rPr>
              <w:t xml:space="preserve">Requirement 9.3 a) 2) of the ICVCM Assessment Framework requires that activity proponents monitor and report </w:t>
            </w:r>
            <w:r>
              <w:rPr>
                <w:i/>
                <w:iCs/>
                <w:sz w:val="20"/>
                <w:szCs w:val="20"/>
              </w:rPr>
              <w:t xml:space="preserve">reversals </w:t>
            </w:r>
            <w:r>
              <w:rPr>
                <w:sz w:val="20"/>
                <w:szCs w:val="20"/>
              </w:rPr>
              <w:t xml:space="preserve">rather </w:t>
            </w:r>
            <w:r>
              <w:rPr>
                <w:sz w:val="20"/>
                <w:szCs w:val="20"/>
              </w:rPr>
              <w:lastRenderedPageBreak/>
              <w:t>that ‘</w:t>
            </w:r>
            <w:r w:rsidRPr="007E5810">
              <w:rPr>
                <w:sz w:val="20"/>
                <w:szCs w:val="20"/>
              </w:rPr>
              <w:t>any observed event involving the</w:t>
            </w:r>
            <w:r>
              <w:rPr>
                <w:sz w:val="20"/>
                <w:szCs w:val="20"/>
              </w:rPr>
              <w:t xml:space="preserve"> </w:t>
            </w:r>
            <w:r w:rsidRPr="007E5810">
              <w:rPr>
                <w:sz w:val="20"/>
                <w:szCs w:val="20"/>
              </w:rPr>
              <w:t>release of stored greenhouse gases or stored precursors to greenhouse gases for which</w:t>
            </w:r>
            <w:r>
              <w:rPr>
                <w:sz w:val="20"/>
                <w:szCs w:val="20"/>
              </w:rPr>
              <w:t xml:space="preserve"> </w:t>
            </w:r>
            <w:r w:rsidRPr="007E5810">
              <w:rPr>
                <w:sz w:val="20"/>
                <w:szCs w:val="20"/>
              </w:rPr>
              <w:t xml:space="preserve">any </w:t>
            </w:r>
            <w:r>
              <w:rPr>
                <w:sz w:val="20"/>
                <w:szCs w:val="20"/>
              </w:rPr>
              <w:t>[credits]</w:t>
            </w:r>
            <w:r w:rsidRPr="007E5810">
              <w:rPr>
                <w:i/>
                <w:iCs/>
                <w:sz w:val="20"/>
                <w:szCs w:val="20"/>
              </w:rPr>
              <w:t xml:space="preserve"> </w:t>
            </w:r>
            <w:r w:rsidRPr="007E5810">
              <w:rPr>
                <w:sz w:val="20"/>
                <w:szCs w:val="20"/>
              </w:rPr>
              <w:t>have been issued</w:t>
            </w:r>
            <w:r>
              <w:rPr>
                <w:sz w:val="20"/>
                <w:szCs w:val="20"/>
              </w:rPr>
              <w:t>’.</w:t>
            </w:r>
          </w:p>
        </w:tc>
        <w:tc>
          <w:tcPr>
            <w:tcW w:w="4856" w:type="dxa"/>
            <w:tcBorders>
              <w:top w:val="single" w:sz="6" w:space="0" w:color="auto"/>
              <w:left w:val="single" w:sz="6" w:space="0" w:color="auto"/>
              <w:bottom w:val="single" w:sz="6" w:space="0" w:color="auto"/>
              <w:right w:val="single" w:sz="6" w:space="0" w:color="auto"/>
            </w:tcBorders>
          </w:tcPr>
          <w:p w14:paraId="26A9C9C2" w14:textId="77777777" w:rsidR="000C09DE" w:rsidRPr="000926EA" w:rsidRDefault="000C09DE" w:rsidP="000926EA">
            <w:pPr>
              <w:keepLines/>
              <w:spacing w:before="40" w:after="40" w:line="190" w:lineRule="exact"/>
              <w:jc w:val="left"/>
              <w:rPr>
                <w:sz w:val="20"/>
                <w:szCs w:val="20"/>
              </w:rPr>
            </w:pPr>
          </w:p>
        </w:tc>
      </w:tr>
      <w:tr w:rsidR="000C09DE" w:rsidRPr="000926EA" w14:paraId="06BB8C26" w14:textId="77777777" w:rsidTr="008D4BE2">
        <w:trPr>
          <w:cantSplit/>
          <w:jc w:val="center"/>
        </w:trPr>
        <w:tc>
          <w:tcPr>
            <w:tcW w:w="743" w:type="dxa"/>
            <w:tcBorders>
              <w:top w:val="single" w:sz="6" w:space="0" w:color="auto"/>
              <w:left w:val="single" w:sz="6" w:space="0" w:color="auto"/>
              <w:bottom w:val="single" w:sz="6" w:space="0" w:color="auto"/>
              <w:right w:val="single" w:sz="6" w:space="0" w:color="auto"/>
            </w:tcBorders>
          </w:tcPr>
          <w:p w14:paraId="44AC38F7" w14:textId="501A4AD0" w:rsidR="000C09DE" w:rsidRPr="000926EA" w:rsidRDefault="000C09DE">
            <w:pPr>
              <w:keepLines/>
              <w:spacing w:before="40" w:after="40" w:line="190" w:lineRule="exact"/>
              <w:jc w:val="center"/>
              <w:rPr>
                <w:sz w:val="20"/>
                <w:szCs w:val="20"/>
              </w:rPr>
            </w:pPr>
            <w:r>
              <w:rPr>
                <w:sz w:val="20"/>
                <w:szCs w:val="20"/>
              </w:rPr>
              <w:t>9</w:t>
            </w:r>
          </w:p>
        </w:tc>
        <w:tc>
          <w:tcPr>
            <w:tcW w:w="2802" w:type="dxa"/>
            <w:tcBorders>
              <w:top w:val="single" w:sz="6" w:space="0" w:color="auto"/>
              <w:left w:val="single" w:sz="6" w:space="0" w:color="auto"/>
              <w:bottom w:val="single" w:sz="6" w:space="0" w:color="auto"/>
              <w:right w:val="single" w:sz="6" w:space="0" w:color="auto"/>
            </w:tcBorders>
          </w:tcPr>
          <w:p w14:paraId="1E12380B" w14:textId="2F4E61BC" w:rsidR="000C09DE" w:rsidRDefault="007E5810" w:rsidP="000926EA">
            <w:pPr>
              <w:keepLines/>
              <w:spacing w:before="40" w:after="40" w:line="190" w:lineRule="exact"/>
              <w:jc w:val="left"/>
              <w:rPr>
                <w:sz w:val="20"/>
                <w:szCs w:val="20"/>
              </w:rPr>
            </w:pPr>
            <w:r>
              <w:rPr>
                <w:sz w:val="20"/>
                <w:szCs w:val="20"/>
              </w:rPr>
              <w:t xml:space="preserve">Annex 2. </w:t>
            </w:r>
            <w:r w:rsidRPr="007E5810">
              <w:rPr>
                <w:sz w:val="20"/>
                <w:szCs w:val="20"/>
              </w:rPr>
              <w:t xml:space="preserve">Section </w:t>
            </w:r>
            <w:r>
              <w:rPr>
                <w:sz w:val="20"/>
                <w:szCs w:val="20"/>
              </w:rPr>
              <w:t>3</w:t>
            </w:r>
            <w:r w:rsidR="00615A49">
              <w:rPr>
                <w:sz w:val="20"/>
                <w:szCs w:val="20"/>
              </w:rPr>
              <w:t>.2.1.</w:t>
            </w:r>
          </w:p>
        </w:tc>
        <w:tc>
          <w:tcPr>
            <w:tcW w:w="2977" w:type="dxa"/>
            <w:tcBorders>
              <w:top w:val="single" w:sz="6" w:space="0" w:color="auto"/>
              <w:left w:val="single" w:sz="6" w:space="0" w:color="auto"/>
              <w:bottom w:val="single" w:sz="6" w:space="0" w:color="auto"/>
              <w:right w:val="single" w:sz="6" w:space="0" w:color="auto"/>
            </w:tcBorders>
          </w:tcPr>
          <w:p w14:paraId="3BFCCF72" w14:textId="6A8D4D07" w:rsidR="000C09DE" w:rsidRDefault="00615A49" w:rsidP="000926EA">
            <w:pPr>
              <w:keepLines/>
              <w:spacing w:before="40" w:after="40" w:line="190" w:lineRule="exact"/>
              <w:jc w:val="left"/>
              <w:rPr>
                <w:sz w:val="20"/>
                <w:szCs w:val="20"/>
              </w:rPr>
            </w:pPr>
            <w:r>
              <w:rPr>
                <w:sz w:val="20"/>
                <w:szCs w:val="20"/>
              </w:rPr>
              <w:t>40-41</w:t>
            </w:r>
          </w:p>
        </w:tc>
        <w:tc>
          <w:tcPr>
            <w:tcW w:w="4536" w:type="dxa"/>
            <w:tcBorders>
              <w:top w:val="single" w:sz="6" w:space="0" w:color="auto"/>
              <w:left w:val="single" w:sz="6" w:space="0" w:color="auto"/>
              <w:bottom w:val="single" w:sz="6" w:space="0" w:color="auto"/>
              <w:right w:val="single" w:sz="6" w:space="0" w:color="auto"/>
            </w:tcBorders>
          </w:tcPr>
          <w:p w14:paraId="3596DB33" w14:textId="574AECA9" w:rsidR="007E5810" w:rsidRDefault="007E5810" w:rsidP="007E58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 w:val="19"/>
                <w:szCs w:val="19"/>
                <w:lang w:eastAsia="zh-CN"/>
              </w:rPr>
            </w:pPr>
            <w:r>
              <w:rPr>
                <w:sz w:val="20"/>
                <w:szCs w:val="20"/>
              </w:rPr>
              <w:t xml:space="preserve">Recommendation 5 of the recently published report on the ICVCM Continuous Improvement Work Program on Permanence </w:t>
            </w:r>
            <w:r>
              <w:rPr>
                <w:rFonts w:ascii="Helvetica" w:hAnsi="Helvetica" w:cs="Helvetica"/>
                <w:color w:val="141413"/>
                <w:sz w:val="19"/>
                <w:szCs w:val="19"/>
                <w:lang w:eastAsia="zh-CN"/>
              </w:rPr>
              <w:t xml:space="preserve">calls upon to </w:t>
            </w:r>
          </w:p>
          <w:p w14:paraId="6963D8F0" w14:textId="77777777" w:rsidR="007E5810" w:rsidRDefault="007E5810" w:rsidP="007E58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 w:val="19"/>
                <w:szCs w:val="19"/>
                <w:lang w:eastAsia="zh-CN"/>
              </w:rPr>
            </w:pPr>
            <w:r>
              <w:rPr>
                <w:rFonts w:ascii="Helvetica" w:hAnsi="Helvetica" w:cs="Helvetica"/>
                <w:color w:val="141413"/>
                <w:sz w:val="19"/>
                <w:szCs w:val="19"/>
                <w:lang w:eastAsia="zh-CN"/>
              </w:rPr>
              <w:t>ensure that incentives are in place for project proponents to design their mitigation activities in a way that makes them as durable as feasible.</w:t>
            </w:r>
          </w:p>
          <w:p w14:paraId="5C191BC5" w14:textId="77777777" w:rsidR="007E5810" w:rsidRDefault="007E5810" w:rsidP="007E58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 w:val="19"/>
                <w:szCs w:val="19"/>
                <w:lang w:eastAsia="zh-CN"/>
              </w:rPr>
            </w:pPr>
          </w:p>
          <w:p w14:paraId="3C6DD723" w14:textId="36865FE1" w:rsidR="007E5810" w:rsidRDefault="007E5810" w:rsidP="007E58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141413"/>
                <w:sz w:val="19"/>
                <w:szCs w:val="19"/>
                <w:lang w:eastAsia="zh-CN"/>
              </w:rPr>
            </w:pPr>
            <w:r>
              <w:rPr>
                <w:rFonts w:ascii="Helvetica" w:hAnsi="Helvetica" w:cs="Helvetica"/>
                <w:color w:val="141413"/>
                <w:sz w:val="19"/>
                <w:szCs w:val="19"/>
                <w:lang w:eastAsia="zh-CN"/>
              </w:rPr>
              <w:t>To that end, the CIWP developed a suite of options for the ICVCM to explore that could increase</w:t>
            </w:r>
          </w:p>
          <w:p w14:paraId="030407DF" w14:textId="77777777" w:rsidR="000C09DE" w:rsidRDefault="007E5810" w:rsidP="007E5810">
            <w:pPr>
              <w:keepLines/>
              <w:spacing w:before="40" w:after="40" w:line="190" w:lineRule="exact"/>
              <w:jc w:val="left"/>
              <w:rPr>
                <w:rFonts w:ascii="Helvetica" w:hAnsi="Helvetica" w:cs="Helvetica"/>
                <w:color w:val="141413"/>
                <w:sz w:val="19"/>
                <w:szCs w:val="19"/>
                <w:lang w:eastAsia="zh-CN"/>
              </w:rPr>
            </w:pPr>
            <w:r>
              <w:rPr>
                <w:rFonts w:ascii="Helvetica" w:hAnsi="Helvetica" w:cs="Helvetica"/>
                <w:color w:val="141413"/>
                <w:sz w:val="19"/>
                <w:szCs w:val="19"/>
                <w:lang w:eastAsia="zh-CN"/>
              </w:rPr>
              <w:t>the durability of carbon credits deemed to have a “material” risk of reversal:</w:t>
            </w:r>
          </w:p>
          <w:p w14:paraId="43A26179" w14:textId="77777777" w:rsidR="007E5810" w:rsidRDefault="007E5810" w:rsidP="007E5810">
            <w:pPr>
              <w:pStyle w:val="ListParagraph"/>
              <w:keepLines/>
              <w:numPr>
                <w:ilvl w:val="0"/>
                <w:numId w:val="3"/>
              </w:numPr>
              <w:spacing w:before="40" w:after="40" w:line="190" w:lineRule="exact"/>
              <w:ind w:left="455"/>
              <w:jc w:val="left"/>
              <w:rPr>
                <w:sz w:val="20"/>
                <w:szCs w:val="20"/>
              </w:rPr>
            </w:pPr>
            <w:r w:rsidRPr="00251D2B">
              <w:rPr>
                <w:sz w:val="20"/>
                <w:szCs w:val="20"/>
              </w:rPr>
              <w:t>Transition to issuance-based monitoring and compensation</w:t>
            </w:r>
          </w:p>
          <w:p w14:paraId="47823F77" w14:textId="77777777" w:rsidR="007E5810" w:rsidRDefault="007E5810" w:rsidP="007E5810">
            <w:pPr>
              <w:pStyle w:val="ListParagraph"/>
              <w:keepLines/>
              <w:numPr>
                <w:ilvl w:val="0"/>
                <w:numId w:val="3"/>
              </w:numPr>
              <w:spacing w:before="40" w:after="40" w:line="190" w:lineRule="exact"/>
              <w:ind w:left="455"/>
              <w:jc w:val="left"/>
              <w:rPr>
                <w:sz w:val="20"/>
                <w:szCs w:val="20"/>
              </w:rPr>
            </w:pPr>
            <w:r w:rsidRPr="00251D2B">
              <w:rPr>
                <w:sz w:val="20"/>
                <w:szCs w:val="20"/>
              </w:rPr>
              <w:t>Permanence fund</w:t>
            </w:r>
          </w:p>
          <w:p w14:paraId="6AC99045" w14:textId="77777777" w:rsidR="007E5810" w:rsidRDefault="007E5810" w:rsidP="007E5810">
            <w:pPr>
              <w:pStyle w:val="ListParagraph"/>
              <w:keepLines/>
              <w:numPr>
                <w:ilvl w:val="0"/>
                <w:numId w:val="3"/>
              </w:numPr>
              <w:spacing w:before="40" w:after="40" w:line="190" w:lineRule="exact"/>
              <w:ind w:left="455"/>
              <w:jc w:val="left"/>
              <w:rPr>
                <w:sz w:val="20"/>
                <w:szCs w:val="20"/>
              </w:rPr>
            </w:pPr>
            <w:r w:rsidRPr="00251D2B">
              <w:rPr>
                <w:sz w:val="20"/>
                <w:szCs w:val="20"/>
              </w:rPr>
              <w:t>Industry-wide pooled buffer reserve</w:t>
            </w:r>
          </w:p>
          <w:p w14:paraId="51B09150" w14:textId="77777777" w:rsidR="007E5810" w:rsidRPr="00251D2B" w:rsidRDefault="007E5810" w:rsidP="007E5810">
            <w:pPr>
              <w:pStyle w:val="ListParagraph"/>
              <w:keepLines/>
              <w:numPr>
                <w:ilvl w:val="0"/>
                <w:numId w:val="3"/>
              </w:numPr>
              <w:spacing w:before="40" w:after="40" w:line="190" w:lineRule="exact"/>
              <w:ind w:left="455"/>
              <w:jc w:val="left"/>
              <w:rPr>
                <w:sz w:val="20"/>
                <w:szCs w:val="20"/>
              </w:rPr>
            </w:pPr>
            <w:r w:rsidRPr="00251D2B">
              <w:rPr>
                <w:sz w:val="20"/>
                <w:szCs w:val="20"/>
              </w:rPr>
              <w:t>Insurance</w:t>
            </w:r>
          </w:p>
          <w:p w14:paraId="53118669" w14:textId="77777777" w:rsidR="007E5810" w:rsidRDefault="007E5810" w:rsidP="007E5810">
            <w:pPr>
              <w:keepLines/>
              <w:spacing w:before="40" w:after="40" w:line="190" w:lineRule="exact"/>
              <w:jc w:val="left"/>
              <w:rPr>
                <w:sz w:val="20"/>
                <w:szCs w:val="20"/>
              </w:rPr>
            </w:pPr>
          </w:p>
          <w:p w14:paraId="6CAF0CE5" w14:textId="625E5D4F" w:rsidR="007E5810" w:rsidRDefault="007E5810" w:rsidP="007E5810">
            <w:pPr>
              <w:keepLines/>
              <w:spacing w:before="40" w:after="40" w:line="190" w:lineRule="exact"/>
              <w:jc w:val="left"/>
              <w:rPr>
                <w:sz w:val="20"/>
                <w:szCs w:val="20"/>
              </w:rPr>
            </w:pPr>
            <w:r>
              <w:rPr>
                <w:sz w:val="20"/>
                <w:szCs w:val="20"/>
              </w:rPr>
              <w:t xml:space="preserve">These options are further elaborated in the full report </w:t>
            </w:r>
            <w:r>
              <w:rPr>
                <w:rFonts w:ascii="Helvetica" w:hAnsi="Helvetica" w:cs="Helvetica"/>
                <w:color w:val="141413"/>
                <w:sz w:val="19"/>
                <w:szCs w:val="19"/>
                <w:lang w:eastAsia="zh-CN"/>
              </w:rPr>
              <w:t>(</w:t>
            </w:r>
            <w:hyperlink r:id="rId14" w:history="1">
              <w:r w:rsidRPr="000C09DE">
                <w:rPr>
                  <w:rStyle w:val="Hyperlink"/>
                  <w:rFonts w:ascii="Helvetica" w:hAnsi="Helvetica" w:cs="Helvetica"/>
                  <w:sz w:val="19"/>
                  <w:szCs w:val="19"/>
                  <w:lang w:eastAsia="zh-CN"/>
                </w:rPr>
                <w:t>link</w:t>
              </w:r>
            </w:hyperlink>
            <w:r>
              <w:rPr>
                <w:rFonts w:ascii="Helvetica" w:hAnsi="Helvetica" w:cs="Helvetica"/>
                <w:color w:val="141413"/>
                <w:sz w:val="19"/>
                <w:szCs w:val="19"/>
                <w:lang w:eastAsia="zh-CN"/>
              </w:rPr>
              <w:t>).</w:t>
            </w:r>
          </w:p>
        </w:tc>
        <w:tc>
          <w:tcPr>
            <w:tcW w:w="4856" w:type="dxa"/>
            <w:tcBorders>
              <w:top w:val="single" w:sz="6" w:space="0" w:color="auto"/>
              <w:left w:val="single" w:sz="6" w:space="0" w:color="auto"/>
              <w:bottom w:val="single" w:sz="6" w:space="0" w:color="auto"/>
              <w:right w:val="single" w:sz="6" w:space="0" w:color="auto"/>
            </w:tcBorders>
          </w:tcPr>
          <w:p w14:paraId="128EAE25" w14:textId="77777777" w:rsidR="000C09DE" w:rsidRPr="000926EA" w:rsidRDefault="000C09DE" w:rsidP="000926EA">
            <w:pPr>
              <w:keepLines/>
              <w:spacing w:before="40" w:after="40" w:line="190" w:lineRule="exact"/>
              <w:jc w:val="left"/>
              <w:rPr>
                <w:sz w:val="20"/>
                <w:szCs w:val="20"/>
              </w:rPr>
            </w:pPr>
          </w:p>
        </w:tc>
      </w:tr>
      <w:tr w:rsidR="000C09DE" w:rsidRPr="000926EA" w14:paraId="0CA572AC" w14:textId="77777777" w:rsidTr="008D4BE2">
        <w:trPr>
          <w:cantSplit/>
          <w:jc w:val="center"/>
        </w:trPr>
        <w:tc>
          <w:tcPr>
            <w:tcW w:w="743" w:type="dxa"/>
            <w:tcBorders>
              <w:top w:val="single" w:sz="6" w:space="0" w:color="auto"/>
              <w:left w:val="single" w:sz="6" w:space="0" w:color="auto"/>
              <w:bottom w:val="single" w:sz="6" w:space="0" w:color="auto"/>
              <w:right w:val="single" w:sz="6" w:space="0" w:color="auto"/>
            </w:tcBorders>
          </w:tcPr>
          <w:p w14:paraId="30581314" w14:textId="065D6940" w:rsidR="000C09DE" w:rsidRPr="000926EA" w:rsidRDefault="000C09DE">
            <w:pPr>
              <w:keepLines/>
              <w:spacing w:before="40" w:after="40" w:line="190" w:lineRule="exact"/>
              <w:jc w:val="center"/>
              <w:rPr>
                <w:sz w:val="20"/>
                <w:szCs w:val="20"/>
              </w:rPr>
            </w:pPr>
            <w:r>
              <w:rPr>
                <w:sz w:val="20"/>
                <w:szCs w:val="20"/>
              </w:rPr>
              <w:t>10</w:t>
            </w:r>
          </w:p>
        </w:tc>
        <w:tc>
          <w:tcPr>
            <w:tcW w:w="2802" w:type="dxa"/>
            <w:tcBorders>
              <w:top w:val="single" w:sz="6" w:space="0" w:color="auto"/>
              <w:left w:val="single" w:sz="6" w:space="0" w:color="auto"/>
              <w:bottom w:val="single" w:sz="6" w:space="0" w:color="auto"/>
              <w:right w:val="single" w:sz="6" w:space="0" w:color="auto"/>
            </w:tcBorders>
          </w:tcPr>
          <w:p w14:paraId="3DE0AFD8" w14:textId="3BC0A823" w:rsidR="000C09DE" w:rsidRDefault="00615A49" w:rsidP="000926EA">
            <w:pPr>
              <w:keepLines/>
              <w:spacing w:before="40" w:after="40" w:line="190" w:lineRule="exact"/>
              <w:jc w:val="left"/>
              <w:rPr>
                <w:sz w:val="20"/>
                <w:szCs w:val="20"/>
              </w:rPr>
            </w:pPr>
            <w:r>
              <w:rPr>
                <w:sz w:val="20"/>
                <w:szCs w:val="20"/>
              </w:rPr>
              <w:t>Annex 3. Section 5.2</w:t>
            </w:r>
          </w:p>
        </w:tc>
        <w:tc>
          <w:tcPr>
            <w:tcW w:w="2977" w:type="dxa"/>
            <w:tcBorders>
              <w:top w:val="single" w:sz="6" w:space="0" w:color="auto"/>
              <w:left w:val="single" w:sz="6" w:space="0" w:color="auto"/>
              <w:bottom w:val="single" w:sz="6" w:space="0" w:color="auto"/>
              <w:right w:val="single" w:sz="6" w:space="0" w:color="auto"/>
            </w:tcBorders>
          </w:tcPr>
          <w:p w14:paraId="6FC6D98B" w14:textId="740F8243" w:rsidR="000C09DE" w:rsidRDefault="00615A49" w:rsidP="000926EA">
            <w:pPr>
              <w:keepLines/>
              <w:spacing w:before="40" w:after="40" w:line="190" w:lineRule="exact"/>
              <w:jc w:val="left"/>
              <w:rPr>
                <w:sz w:val="20"/>
                <w:szCs w:val="20"/>
              </w:rPr>
            </w:pPr>
            <w:r>
              <w:rPr>
                <w:sz w:val="20"/>
                <w:szCs w:val="20"/>
              </w:rPr>
              <w:t>16-21</w:t>
            </w:r>
          </w:p>
        </w:tc>
        <w:tc>
          <w:tcPr>
            <w:tcW w:w="4536" w:type="dxa"/>
            <w:tcBorders>
              <w:top w:val="single" w:sz="6" w:space="0" w:color="auto"/>
              <w:left w:val="single" w:sz="6" w:space="0" w:color="auto"/>
              <w:bottom w:val="single" w:sz="6" w:space="0" w:color="auto"/>
              <w:right w:val="single" w:sz="6" w:space="0" w:color="auto"/>
            </w:tcBorders>
          </w:tcPr>
          <w:p w14:paraId="3A948ECD" w14:textId="27B2DA0F" w:rsidR="000C09DE" w:rsidRDefault="00615A49" w:rsidP="000926EA">
            <w:pPr>
              <w:keepLines/>
              <w:spacing w:before="40" w:after="40" w:line="190" w:lineRule="exact"/>
              <w:jc w:val="left"/>
              <w:rPr>
                <w:sz w:val="20"/>
                <w:szCs w:val="20"/>
              </w:rPr>
            </w:pPr>
            <w:r>
              <w:rPr>
                <w:sz w:val="20"/>
                <w:szCs w:val="20"/>
              </w:rPr>
              <w:t>See item 5</w:t>
            </w:r>
          </w:p>
        </w:tc>
        <w:tc>
          <w:tcPr>
            <w:tcW w:w="4856" w:type="dxa"/>
            <w:tcBorders>
              <w:top w:val="single" w:sz="6" w:space="0" w:color="auto"/>
              <w:left w:val="single" w:sz="6" w:space="0" w:color="auto"/>
              <w:bottom w:val="single" w:sz="6" w:space="0" w:color="auto"/>
              <w:right w:val="single" w:sz="6" w:space="0" w:color="auto"/>
            </w:tcBorders>
          </w:tcPr>
          <w:p w14:paraId="70371820" w14:textId="77777777" w:rsidR="000C09DE" w:rsidRPr="000926EA" w:rsidRDefault="000C09DE" w:rsidP="000926EA">
            <w:pPr>
              <w:keepLines/>
              <w:spacing w:before="40" w:after="40" w:line="190" w:lineRule="exact"/>
              <w:jc w:val="left"/>
              <w:rPr>
                <w:sz w:val="20"/>
                <w:szCs w:val="20"/>
              </w:rPr>
            </w:pPr>
          </w:p>
        </w:tc>
      </w:tr>
      <w:tr w:rsidR="000C09DE" w:rsidRPr="000926EA" w14:paraId="53275F56" w14:textId="77777777" w:rsidTr="008D4BE2">
        <w:trPr>
          <w:cantSplit/>
          <w:jc w:val="center"/>
        </w:trPr>
        <w:tc>
          <w:tcPr>
            <w:tcW w:w="743" w:type="dxa"/>
            <w:tcBorders>
              <w:top w:val="single" w:sz="6" w:space="0" w:color="auto"/>
              <w:left w:val="single" w:sz="6" w:space="0" w:color="auto"/>
              <w:bottom w:val="single" w:sz="6" w:space="0" w:color="auto"/>
              <w:right w:val="single" w:sz="6" w:space="0" w:color="auto"/>
            </w:tcBorders>
          </w:tcPr>
          <w:p w14:paraId="36AD4494" w14:textId="0BF21D14" w:rsidR="000C09DE" w:rsidRPr="000926EA" w:rsidRDefault="000C09DE">
            <w:pPr>
              <w:keepLines/>
              <w:spacing w:before="40" w:after="40" w:line="190" w:lineRule="exact"/>
              <w:jc w:val="center"/>
              <w:rPr>
                <w:sz w:val="20"/>
                <w:szCs w:val="20"/>
              </w:rPr>
            </w:pPr>
            <w:r>
              <w:rPr>
                <w:sz w:val="20"/>
                <w:szCs w:val="20"/>
              </w:rPr>
              <w:t>11</w:t>
            </w:r>
          </w:p>
        </w:tc>
        <w:tc>
          <w:tcPr>
            <w:tcW w:w="2802" w:type="dxa"/>
            <w:tcBorders>
              <w:top w:val="single" w:sz="6" w:space="0" w:color="auto"/>
              <w:left w:val="single" w:sz="6" w:space="0" w:color="auto"/>
              <w:bottom w:val="single" w:sz="6" w:space="0" w:color="auto"/>
              <w:right w:val="single" w:sz="6" w:space="0" w:color="auto"/>
            </w:tcBorders>
          </w:tcPr>
          <w:p w14:paraId="302CBA68" w14:textId="69813AE0" w:rsidR="000C09DE" w:rsidRDefault="00615A49" w:rsidP="000926EA">
            <w:pPr>
              <w:keepLines/>
              <w:spacing w:before="40" w:after="40" w:line="190" w:lineRule="exact"/>
              <w:jc w:val="left"/>
              <w:rPr>
                <w:sz w:val="20"/>
                <w:szCs w:val="20"/>
              </w:rPr>
            </w:pPr>
            <w:r>
              <w:rPr>
                <w:sz w:val="20"/>
                <w:szCs w:val="20"/>
              </w:rPr>
              <w:t>Annex 3. Section 5.3</w:t>
            </w:r>
          </w:p>
        </w:tc>
        <w:tc>
          <w:tcPr>
            <w:tcW w:w="2977" w:type="dxa"/>
            <w:tcBorders>
              <w:top w:val="single" w:sz="6" w:space="0" w:color="auto"/>
              <w:left w:val="single" w:sz="6" w:space="0" w:color="auto"/>
              <w:bottom w:val="single" w:sz="6" w:space="0" w:color="auto"/>
              <w:right w:val="single" w:sz="6" w:space="0" w:color="auto"/>
            </w:tcBorders>
          </w:tcPr>
          <w:p w14:paraId="3EF7FD0D" w14:textId="64AC06AD" w:rsidR="000C09DE" w:rsidRDefault="00615A49" w:rsidP="000926EA">
            <w:pPr>
              <w:keepLines/>
              <w:spacing w:before="40" w:after="40" w:line="190" w:lineRule="exact"/>
              <w:jc w:val="left"/>
              <w:rPr>
                <w:sz w:val="20"/>
                <w:szCs w:val="20"/>
              </w:rPr>
            </w:pPr>
            <w:r>
              <w:rPr>
                <w:sz w:val="20"/>
                <w:szCs w:val="20"/>
              </w:rPr>
              <w:t>20</w:t>
            </w:r>
          </w:p>
        </w:tc>
        <w:tc>
          <w:tcPr>
            <w:tcW w:w="4536" w:type="dxa"/>
            <w:tcBorders>
              <w:top w:val="single" w:sz="6" w:space="0" w:color="auto"/>
              <w:left w:val="single" w:sz="6" w:space="0" w:color="auto"/>
              <w:bottom w:val="single" w:sz="6" w:space="0" w:color="auto"/>
              <w:right w:val="single" w:sz="6" w:space="0" w:color="auto"/>
            </w:tcBorders>
          </w:tcPr>
          <w:p w14:paraId="4AB3AA52" w14:textId="413B4C93" w:rsidR="000C09DE" w:rsidRDefault="00615A49" w:rsidP="000926EA">
            <w:pPr>
              <w:keepLines/>
              <w:spacing w:before="40" w:after="40" w:line="190" w:lineRule="exact"/>
              <w:jc w:val="left"/>
              <w:rPr>
                <w:sz w:val="20"/>
                <w:szCs w:val="20"/>
              </w:rPr>
            </w:pPr>
            <w:r>
              <w:rPr>
                <w:sz w:val="20"/>
                <w:szCs w:val="20"/>
              </w:rPr>
              <w:t>See item 8 regarding ‘observed events that could potentially lead to a reversal’</w:t>
            </w:r>
          </w:p>
        </w:tc>
        <w:tc>
          <w:tcPr>
            <w:tcW w:w="4856" w:type="dxa"/>
            <w:tcBorders>
              <w:top w:val="single" w:sz="6" w:space="0" w:color="auto"/>
              <w:left w:val="single" w:sz="6" w:space="0" w:color="auto"/>
              <w:bottom w:val="single" w:sz="6" w:space="0" w:color="auto"/>
              <w:right w:val="single" w:sz="6" w:space="0" w:color="auto"/>
            </w:tcBorders>
          </w:tcPr>
          <w:p w14:paraId="6999FA62" w14:textId="77777777" w:rsidR="000C09DE" w:rsidRPr="000926EA" w:rsidRDefault="000C09DE" w:rsidP="000926EA">
            <w:pPr>
              <w:keepLines/>
              <w:spacing w:before="40" w:after="40" w:line="190" w:lineRule="exact"/>
              <w:jc w:val="left"/>
              <w:rPr>
                <w:sz w:val="20"/>
                <w:szCs w:val="20"/>
              </w:rPr>
            </w:pPr>
          </w:p>
        </w:tc>
      </w:tr>
    </w:tbl>
    <w:p w14:paraId="2049EFB2" w14:textId="7D5B961F" w:rsidR="00DF4F6B" w:rsidRPr="000926EA" w:rsidRDefault="00FE65CB" w:rsidP="00FE65CB">
      <w:pPr>
        <w:spacing w:line="240" w:lineRule="exact"/>
      </w:pPr>
      <w:r>
        <w:t xml:space="preserve">-- </w:t>
      </w:r>
      <w:r w:rsidR="000926EA">
        <w:t>(</w:t>
      </w:r>
      <w:r w:rsidR="000926EA" w:rsidRPr="000926EA">
        <w:rPr>
          <w:i/>
          <w:iCs/>
        </w:rPr>
        <w:t>Please add rows as required</w:t>
      </w:r>
      <w:r w:rsidR="000926EA">
        <w:t xml:space="preserve">) </w:t>
      </w:r>
      <w:r>
        <w:t>-</w:t>
      </w:r>
    </w:p>
    <w:sectPr w:rsidR="00DF4F6B" w:rsidRPr="000926EA" w:rsidSect="007B1DB4">
      <w:footerReference w:type="even" r:id="rId15"/>
      <w:footerReference w:type="default" r:id="rId16"/>
      <w:type w:val="continuous"/>
      <w:pgSz w:w="16840" w:h="11907" w:orient="landscape" w:code="9"/>
      <w:pgMar w:top="576" w:right="994" w:bottom="850" w:left="850" w:header="563" w:footer="205"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4D45C" w14:textId="77777777" w:rsidR="007C3894" w:rsidRDefault="007C3894" w:rsidP="00DF4F6B">
      <w:r>
        <w:separator/>
      </w:r>
    </w:p>
  </w:endnote>
  <w:endnote w:type="continuationSeparator" w:id="0">
    <w:p w14:paraId="4956E01A" w14:textId="77777777" w:rsidR="007C3894" w:rsidRDefault="007C3894" w:rsidP="00DF4F6B">
      <w:r>
        <w:continuationSeparator/>
      </w:r>
    </w:p>
  </w:endnote>
  <w:endnote w:type="continuationNotice" w:id="1">
    <w:p w14:paraId="44201092" w14:textId="77777777" w:rsidR="007C3894" w:rsidRDefault="007C3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0458" w14:textId="0B1F2ABF" w:rsidR="00E976DA" w:rsidRDefault="00E976DA"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DB4">
      <w:rPr>
        <w:rStyle w:val="PageNumber"/>
        <w:noProof/>
      </w:rPr>
      <w:t>1</w:t>
    </w:r>
    <w:r>
      <w:rPr>
        <w:rStyle w:val="PageNumber"/>
      </w:rPr>
      <w:fldChar w:fldCharType="end"/>
    </w:r>
  </w:p>
  <w:p w14:paraId="3C5B7471" w14:textId="77777777" w:rsidR="00E976DA" w:rsidRDefault="00E976DA"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27D5" w14:textId="77777777" w:rsidR="007B1DB4" w:rsidRPr="007B1DB4" w:rsidRDefault="007B1DB4">
    <w:pPr>
      <w:tabs>
        <w:tab w:val="center" w:pos="4550"/>
        <w:tab w:val="left" w:pos="5818"/>
      </w:tabs>
      <w:ind w:right="260"/>
      <w:jc w:val="right"/>
      <w:rPr>
        <w:color w:val="222A35"/>
        <w:sz w:val="20"/>
        <w:szCs w:val="20"/>
      </w:rPr>
    </w:pPr>
    <w:r w:rsidRPr="007B1DB4">
      <w:rPr>
        <w:color w:val="8496B0"/>
        <w:spacing w:val="60"/>
        <w:sz w:val="20"/>
        <w:szCs w:val="20"/>
      </w:rPr>
      <w:t>Page</w:t>
    </w:r>
    <w:r w:rsidRPr="007B1DB4">
      <w:rPr>
        <w:color w:val="8496B0"/>
        <w:sz w:val="20"/>
        <w:szCs w:val="20"/>
      </w:rPr>
      <w:t xml:space="preserve"> </w:t>
    </w:r>
    <w:r w:rsidRPr="007B1DB4">
      <w:rPr>
        <w:color w:val="323E4F"/>
        <w:sz w:val="20"/>
        <w:szCs w:val="20"/>
      </w:rPr>
      <w:fldChar w:fldCharType="begin"/>
    </w:r>
    <w:r w:rsidRPr="007B1DB4">
      <w:rPr>
        <w:color w:val="323E4F"/>
        <w:sz w:val="20"/>
        <w:szCs w:val="20"/>
      </w:rPr>
      <w:instrText xml:space="preserve"> PAGE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r w:rsidRPr="007B1DB4">
      <w:rPr>
        <w:color w:val="323E4F"/>
        <w:sz w:val="20"/>
        <w:szCs w:val="20"/>
      </w:rPr>
      <w:t xml:space="preserve"> | </w:t>
    </w:r>
    <w:r w:rsidRPr="007B1DB4">
      <w:rPr>
        <w:color w:val="323E4F"/>
        <w:sz w:val="20"/>
        <w:szCs w:val="20"/>
      </w:rPr>
      <w:fldChar w:fldCharType="begin"/>
    </w:r>
    <w:r w:rsidRPr="007B1DB4">
      <w:rPr>
        <w:color w:val="323E4F"/>
        <w:sz w:val="20"/>
        <w:szCs w:val="20"/>
      </w:rPr>
      <w:instrText xml:space="preserve"> NUMPAGES  \* Arabic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p>
  <w:p w14:paraId="479A3F4C" w14:textId="77777777" w:rsidR="00E976DA" w:rsidRDefault="00E976DA"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2E4F9" w14:textId="77777777" w:rsidR="007C3894" w:rsidRDefault="007C3894" w:rsidP="00DF4F6B">
      <w:r>
        <w:separator/>
      </w:r>
    </w:p>
  </w:footnote>
  <w:footnote w:type="continuationSeparator" w:id="0">
    <w:p w14:paraId="39CA7F6C" w14:textId="77777777" w:rsidR="007C3894" w:rsidRDefault="007C3894" w:rsidP="00DF4F6B">
      <w:r>
        <w:continuationSeparator/>
      </w:r>
    </w:p>
  </w:footnote>
  <w:footnote w:type="continuationNotice" w:id="1">
    <w:p w14:paraId="61658C98" w14:textId="77777777" w:rsidR="007C3894" w:rsidRDefault="007C38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51763"/>
    <w:multiLevelType w:val="hybridMultilevel"/>
    <w:tmpl w:val="22743226"/>
    <w:lvl w:ilvl="0" w:tplc="C928B39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61FB6"/>
    <w:multiLevelType w:val="hybridMultilevel"/>
    <w:tmpl w:val="CFBE31E6"/>
    <w:lvl w:ilvl="0" w:tplc="7F066FA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855079557">
    <w:abstractNumId w:val="2"/>
  </w:num>
  <w:num w:numId="2" w16cid:durableId="2142068773">
    <w:abstractNumId w:val="1"/>
  </w:num>
  <w:num w:numId="3" w16cid:durableId="28901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119C6"/>
    <w:rsid w:val="0002698E"/>
    <w:rsid w:val="00032798"/>
    <w:rsid w:val="000372B5"/>
    <w:rsid w:val="00044598"/>
    <w:rsid w:val="00047EFF"/>
    <w:rsid w:val="000808F1"/>
    <w:rsid w:val="000926EA"/>
    <w:rsid w:val="00093883"/>
    <w:rsid w:val="000949E4"/>
    <w:rsid w:val="00096DE2"/>
    <w:rsid w:val="00097411"/>
    <w:rsid w:val="000C09DE"/>
    <w:rsid w:val="00101860"/>
    <w:rsid w:val="00114F43"/>
    <w:rsid w:val="00115969"/>
    <w:rsid w:val="001374D5"/>
    <w:rsid w:val="0014141B"/>
    <w:rsid w:val="00142693"/>
    <w:rsid w:val="00193D28"/>
    <w:rsid w:val="001D0F91"/>
    <w:rsid w:val="001E3876"/>
    <w:rsid w:val="00251D2B"/>
    <w:rsid w:val="00266024"/>
    <w:rsid w:val="00276A82"/>
    <w:rsid w:val="002F135C"/>
    <w:rsid w:val="002F684D"/>
    <w:rsid w:val="00302395"/>
    <w:rsid w:val="003106A1"/>
    <w:rsid w:val="00343E39"/>
    <w:rsid w:val="0034660C"/>
    <w:rsid w:val="00356C44"/>
    <w:rsid w:val="00366FD7"/>
    <w:rsid w:val="003706ED"/>
    <w:rsid w:val="00394711"/>
    <w:rsid w:val="00394B60"/>
    <w:rsid w:val="003A59D7"/>
    <w:rsid w:val="003D0FC3"/>
    <w:rsid w:val="003D6FCA"/>
    <w:rsid w:val="00405FB3"/>
    <w:rsid w:val="004248BD"/>
    <w:rsid w:val="00426673"/>
    <w:rsid w:val="00450EEA"/>
    <w:rsid w:val="00463861"/>
    <w:rsid w:val="00472C3C"/>
    <w:rsid w:val="0048326B"/>
    <w:rsid w:val="00492958"/>
    <w:rsid w:val="005242C9"/>
    <w:rsid w:val="00531C23"/>
    <w:rsid w:val="00592402"/>
    <w:rsid w:val="005A256D"/>
    <w:rsid w:val="005B1074"/>
    <w:rsid w:val="005C5581"/>
    <w:rsid w:val="005E1D5D"/>
    <w:rsid w:val="005F5267"/>
    <w:rsid w:val="00615A49"/>
    <w:rsid w:val="006740C2"/>
    <w:rsid w:val="006B0672"/>
    <w:rsid w:val="006D0849"/>
    <w:rsid w:val="006F32C1"/>
    <w:rsid w:val="007014A2"/>
    <w:rsid w:val="00777AC5"/>
    <w:rsid w:val="007B1DB4"/>
    <w:rsid w:val="007C14EC"/>
    <w:rsid w:val="007C3894"/>
    <w:rsid w:val="007D498B"/>
    <w:rsid w:val="007D6248"/>
    <w:rsid w:val="007E1C1E"/>
    <w:rsid w:val="007E5810"/>
    <w:rsid w:val="008066DE"/>
    <w:rsid w:val="008337AE"/>
    <w:rsid w:val="008351B7"/>
    <w:rsid w:val="00840C5C"/>
    <w:rsid w:val="00841D26"/>
    <w:rsid w:val="00842079"/>
    <w:rsid w:val="00863150"/>
    <w:rsid w:val="008D2B67"/>
    <w:rsid w:val="008D4BE2"/>
    <w:rsid w:val="008D5DDB"/>
    <w:rsid w:val="008E3D67"/>
    <w:rsid w:val="009177A1"/>
    <w:rsid w:val="009336FE"/>
    <w:rsid w:val="00972085"/>
    <w:rsid w:val="00981D31"/>
    <w:rsid w:val="009832E0"/>
    <w:rsid w:val="009B43AE"/>
    <w:rsid w:val="009D0F11"/>
    <w:rsid w:val="009E2FBD"/>
    <w:rsid w:val="009F49C2"/>
    <w:rsid w:val="009F61CD"/>
    <w:rsid w:val="00A13B92"/>
    <w:rsid w:val="00A21F31"/>
    <w:rsid w:val="00A42991"/>
    <w:rsid w:val="00A47E47"/>
    <w:rsid w:val="00A52FA2"/>
    <w:rsid w:val="00A54BC5"/>
    <w:rsid w:val="00A82959"/>
    <w:rsid w:val="00A96FCD"/>
    <w:rsid w:val="00AD2612"/>
    <w:rsid w:val="00AE4048"/>
    <w:rsid w:val="00AE63A4"/>
    <w:rsid w:val="00B13C7A"/>
    <w:rsid w:val="00B344E5"/>
    <w:rsid w:val="00B3792D"/>
    <w:rsid w:val="00B426BF"/>
    <w:rsid w:val="00B47092"/>
    <w:rsid w:val="00BE7935"/>
    <w:rsid w:val="00BF2B1A"/>
    <w:rsid w:val="00C02B84"/>
    <w:rsid w:val="00C21CBA"/>
    <w:rsid w:val="00C33E85"/>
    <w:rsid w:val="00C408D1"/>
    <w:rsid w:val="00C466E7"/>
    <w:rsid w:val="00C47DE0"/>
    <w:rsid w:val="00C5298E"/>
    <w:rsid w:val="00C630BD"/>
    <w:rsid w:val="00CA1E76"/>
    <w:rsid w:val="00CB0732"/>
    <w:rsid w:val="00CC0EB7"/>
    <w:rsid w:val="00CC1077"/>
    <w:rsid w:val="00CD791E"/>
    <w:rsid w:val="00CE573A"/>
    <w:rsid w:val="00CF5637"/>
    <w:rsid w:val="00D131BD"/>
    <w:rsid w:val="00D36C4F"/>
    <w:rsid w:val="00D6268F"/>
    <w:rsid w:val="00D70A95"/>
    <w:rsid w:val="00D772DA"/>
    <w:rsid w:val="00DB0167"/>
    <w:rsid w:val="00DB29C0"/>
    <w:rsid w:val="00DD0794"/>
    <w:rsid w:val="00DD7155"/>
    <w:rsid w:val="00DF4E03"/>
    <w:rsid w:val="00DF4F6B"/>
    <w:rsid w:val="00E3283C"/>
    <w:rsid w:val="00E468FA"/>
    <w:rsid w:val="00E50939"/>
    <w:rsid w:val="00E60C4A"/>
    <w:rsid w:val="00E976DA"/>
    <w:rsid w:val="00EA18C6"/>
    <w:rsid w:val="00EA769E"/>
    <w:rsid w:val="00EC78F1"/>
    <w:rsid w:val="00EE5FD1"/>
    <w:rsid w:val="00EF310B"/>
    <w:rsid w:val="00F0508D"/>
    <w:rsid w:val="00F11AD8"/>
    <w:rsid w:val="00F27817"/>
    <w:rsid w:val="00F327FF"/>
    <w:rsid w:val="00F37030"/>
    <w:rsid w:val="00F414D9"/>
    <w:rsid w:val="00F43BD3"/>
    <w:rsid w:val="00F65050"/>
    <w:rsid w:val="00FC5840"/>
    <w:rsid w:val="00FD50A9"/>
    <w:rsid w:val="00FE6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06F71"/>
  <w15:docId w15:val="{5ADDBBAC-D931-4C24-9AF9-E16E5C34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810"/>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link w:val="FooterChar"/>
    <w:uiPriority w:val="99"/>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rPr>
      <w:color w:val="FF0000"/>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customStyle="1" w:styleId="AtxtHdgs">
    <w:name w:val="Atxt_Hdgs"/>
    <w:basedOn w:val="Normal"/>
    <w:rsid w:val="00C02B84"/>
    <w:pPr>
      <w:jc w:val="center"/>
    </w:pPr>
    <w:rPr>
      <w:rFonts w:ascii="Times New Roman" w:hAnsi="Times New Roman" w:cs="Times New Roman"/>
      <w:sz w:val="24"/>
      <w:szCs w:val="20"/>
    </w:rPr>
  </w:style>
  <w:style w:type="character" w:styleId="Hyperlink">
    <w:name w:val="Hyperlink"/>
    <w:rsid w:val="00AD2612"/>
    <w:rPr>
      <w:color w:val="0563C1"/>
      <w:u w:val="single"/>
    </w:rPr>
  </w:style>
  <w:style w:type="character" w:styleId="UnresolvedMention">
    <w:name w:val="Unresolved Mention"/>
    <w:uiPriority w:val="99"/>
    <w:semiHidden/>
    <w:unhideWhenUsed/>
    <w:rsid w:val="00AD2612"/>
    <w:rPr>
      <w:color w:val="605E5C"/>
      <w:shd w:val="clear" w:color="auto" w:fill="E1DFDD"/>
    </w:rPr>
  </w:style>
  <w:style w:type="character" w:customStyle="1" w:styleId="FooterChar">
    <w:name w:val="Footer Char"/>
    <w:link w:val="Footer"/>
    <w:uiPriority w:val="99"/>
    <w:rsid w:val="000808F1"/>
    <w:rPr>
      <w:rFonts w:ascii="Arial" w:hAnsi="Arial" w:cs="Arial"/>
      <w:sz w:val="22"/>
      <w:szCs w:val="22"/>
      <w:lang w:val="en-GB" w:eastAsia="en-US"/>
    </w:rPr>
  </w:style>
  <w:style w:type="paragraph" w:styleId="ListParagraph">
    <w:name w:val="List Paragraph"/>
    <w:basedOn w:val="Normal"/>
    <w:uiPriority w:val="34"/>
    <w:qFormat/>
    <w:rsid w:val="00251D2B"/>
    <w:pPr>
      <w:ind w:left="720"/>
      <w:contextualSpacing/>
    </w:pPr>
  </w:style>
  <w:style w:type="character" w:styleId="FollowedHyperlink">
    <w:name w:val="FollowedHyperlink"/>
    <w:basedOn w:val="DefaultParagraphFont"/>
    <w:rsid w:val="00AE63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vcm.org/wp-content/uploads/2025/05/CIWP-Permanence-Repor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vcm.org/wp-content/uploads/2025/05/CIWP-Permanence-Repor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on.tsvetov@icvcm.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vcm.org/wp-content/uploads/2025/05/CIWP-Permanenc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EBFA4AD3D067488A4F8AE22F38BF68" ma:contentTypeVersion="19" ma:contentTypeDescription="Create a new document." ma:contentTypeScope="" ma:versionID="a68622f1899a43144497ab767498d836">
  <xsd:schema xmlns:xsd="http://www.w3.org/2001/XMLSchema" xmlns:xs="http://www.w3.org/2001/XMLSchema" xmlns:p="http://schemas.microsoft.com/office/2006/metadata/properties" xmlns:ns2="b819522c-9de1-4f2d-ac58-6f2cdd8b04ea" xmlns:ns3="13d80b15-5f07-43ab-b435-85767a7dac08" xmlns:ns4="eb4559c4-8463-4985-927f-f0d558bff8f0" targetNamespace="http://schemas.microsoft.com/office/2006/metadata/properties" ma:root="true" ma:fieldsID="7310c1bb65b0e8e94eb65402724946ef" ns2:_="" ns3:_="" ns4:_="">
    <xsd:import namespace="b819522c-9de1-4f2d-ac58-6f2cdd8b04ea"/>
    <xsd:import namespace="13d80b15-5f07-43ab-b435-85767a7dac08"/>
    <xsd:import namespace="eb4559c4-8463-4985-927f-f0d558bff8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Document_x0020_Symbol"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ource" minOccurs="0"/>
                <xsd:element ref="ns2:MediaServiceLocation" minOccurs="0"/>
                <xsd:element ref="ns2:Documenttype" minOccurs="0"/>
                <xsd:element ref="ns2:Substantiveche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9522c-9de1-4f2d-ac58-6f2cdd8b0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ource" ma:index="23" nillable="true" ma:displayName="Source" ma:format="Dropdown" ma:internalName="Sourc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Documenttype" ma:index="25" nillable="true" ma:displayName="Document type" ma:format="Dropdown" ma:internalName="Documenttype">
      <xsd:simpleType>
        <xsd:restriction base="dms:Text">
          <xsd:maxLength value="255"/>
        </xsd:restriction>
      </xsd:simpleType>
    </xsd:element>
    <xsd:element name="Substantivecheck" ma:index="26" nillable="true" ma:displayName="Substantive check" ma:format="Dropdown" ma:internalName="Substantivecheck">
      <xsd:simpleType>
        <xsd:restriction base="dms:Choice">
          <xsd:enumeration value="Editing"/>
          <xsd:enumeration value="Cleared"/>
          <xsd:enumeration value="On review"/>
        </xsd:restriction>
      </xsd:simple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Document_x0020_Symbol" ma:index="12" nillable="true" ma:displayName="Document Symbol" ma:internalName="Document_x0020_Symbo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4559c4-8463-4985-927f-f0d558bff8f0" xsi:nil="true"/>
    <Document_x0020_Symbol xmlns="13d80b15-5f07-43ab-b435-85767a7dac08">template_A6.4-MEP002-A01_callforinput</Document_x0020_Symbol>
    <lcf76f155ced4ddcb4097134ff3c332f xmlns="b819522c-9de1-4f2d-ac58-6f2cdd8b04ea">
      <Terms xmlns="http://schemas.microsoft.com/office/infopath/2007/PartnerControls"/>
    </lcf76f155ced4ddcb4097134ff3c332f>
    <Source xmlns="b819522c-9de1-4f2d-ac58-6f2cdd8b04ea" xsi:nil="true"/>
    <Documenttype xmlns="b819522c-9de1-4f2d-ac58-6f2cdd8b04ea" xsi:nil="true"/>
    <Substantivecheck xmlns="b819522c-9de1-4f2d-ac58-6f2cdd8b04ea" xsi:nil="true"/>
  </documentManagement>
</p:properties>
</file>

<file path=customXml/itemProps1.xml><?xml version="1.0" encoding="utf-8"?>
<ds:datastoreItem xmlns:ds="http://schemas.openxmlformats.org/officeDocument/2006/customXml" ds:itemID="{D843928E-68DB-4886-BD62-CE60E624DE53}">
  <ds:schemaRefs>
    <ds:schemaRef ds:uri="http://schemas.microsoft.com/sharepoint/v3/contenttype/forms"/>
  </ds:schemaRefs>
</ds:datastoreItem>
</file>

<file path=customXml/itemProps2.xml><?xml version="1.0" encoding="utf-8"?>
<ds:datastoreItem xmlns:ds="http://schemas.openxmlformats.org/officeDocument/2006/customXml" ds:itemID="{4B653231-A299-499E-9FD0-AB4B692C6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9522c-9de1-4f2d-ac58-6f2cdd8b04ea"/>
    <ds:schemaRef ds:uri="13d80b15-5f07-43ab-b435-85767a7dac08"/>
    <ds:schemaRef ds:uri="eb4559c4-8463-4985-927f-f0d558bf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9A2C3-E5A4-4B1D-83FF-96975877A37F}">
  <ds:schemaRefs>
    <ds:schemaRef ds:uri="http://schemas.microsoft.com/office/2006/metadata/properties"/>
    <ds:schemaRef ds:uri="http://schemas.microsoft.com/office/infopath/2007/PartnerControls"/>
    <ds:schemaRef ds:uri="eb4559c4-8463-4985-927f-f0d558bff8f0"/>
    <ds:schemaRef ds:uri="13d80b15-5f07-43ab-b435-85767a7dac08"/>
    <ds:schemaRef ds:uri="b819522c-9de1-4f2d-ac58-6f2cdd8b04ea"/>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A6.4-MEP006-A01-CallForInput-Template</vt:lpstr>
    </vt:vector>
  </TitlesOfParts>
  <Company>ISO</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A6.4-MEP006-A01-CallForInput-Template</dc:title>
  <dc:subject/>
  <dc:creator>dow</dc:creator>
  <cp:keywords>A6.4-MEP006-A01-CallForInput-Template</cp:keywords>
  <dc:description>A6.4-MEP006-A01-CallForInput-Template</dc:description>
  <cp:lastModifiedBy>Anton Tsvetov</cp:lastModifiedBy>
  <cp:revision>7</cp:revision>
  <cp:lastPrinted>2001-10-25T12:04:00Z</cp:lastPrinted>
  <dcterms:created xsi:type="dcterms:W3CDTF">2025-07-14T14:11:00Z</dcterms:created>
  <dcterms:modified xsi:type="dcterms:W3CDTF">2025-08-04T20:25:00Z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0x0101002BEBFA4AD3D067488A4F8AE22F38BF68</vt:lpwstr>
  </property>
  <property fmtid="{D5CDD505-2E9C-101B-9397-08002B2CF9AE}" pid="4" name="MediaServiceImageTags">
    <vt:lpwstr/>
  </property>
</Properties>
</file>